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6F" w:rsidRPr="00C67938" w:rsidRDefault="00A7606F" w:rsidP="00C67938">
      <w:pPr>
        <w:wordWrap/>
        <w:spacing w:line="360" w:lineRule="auto"/>
        <w:rPr>
          <w:rFonts w:ascii="Book Antiqua" w:hAnsi="Book Antiqua" w:cs="Tahoma"/>
          <w:b/>
          <w:color w:val="000000"/>
          <w:sz w:val="24"/>
          <w:szCs w:val="24"/>
        </w:rPr>
      </w:pPr>
      <w:r w:rsidRPr="00C67938">
        <w:rPr>
          <w:rFonts w:ascii="Book Antiqua" w:hAnsi="Book Antiqua" w:cs="Tahoma"/>
          <w:b/>
          <w:color w:val="0000FF"/>
          <w:sz w:val="24"/>
          <w:szCs w:val="24"/>
        </w:rPr>
        <w:t xml:space="preserve">Name of journal: </w:t>
      </w:r>
      <w:r w:rsidRPr="00C67938">
        <w:rPr>
          <w:rFonts w:ascii="Book Antiqua" w:hAnsi="Book Antiqua" w:cs="Tahoma"/>
          <w:b/>
          <w:color w:val="000000"/>
          <w:sz w:val="24"/>
          <w:szCs w:val="24"/>
        </w:rPr>
        <w:t>World Journal of Gastroenterology</w:t>
      </w:r>
    </w:p>
    <w:p w:rsidR="00A7606F" w:rsidRPr="00C67938" w:rsidRDefault="00A7606F" w:rsidP="00C67938">
      <w:pPr>
        <w:wordWrap/>
        <w:spacing w:line="360" w:lineRule="auto"/>
        <w:rPr>
          <w:rFonts w:ascii="Book Antiqua" w:eastAsia="宋体" w:hAnsi="Book Antiqua" w:cs="Tahoma"/>
          <w:b/>
          <w:color w:val="0000FF"/>
          <w:sz w:val="24"/>
          <w:szCs w:val="24"/>
          <w:lang w:eastAsia="zh-CN"/>
        </w:rPr>
      </w:pPr>
      <w:r w:rsidRPr="00C67938">
        <w:rPr>
          <w:rFonts w:ascii="Book Antiqua" w:hAnsi="Book Antiqua" w:cs="Tahoma"/>
          <w:b/>
          <w:color w:val="0000FF"/>
          <w:sz w:val="24"/>
          <w:szCs w:val="24"/>
        </w:rPr>
        <w:t xml:space="preserve">ESPS Manuscript NO: </w:t>
      </w:r>
      <w:r w:rsidRPr="00C67938">
        <w:rPr>
          <w:rFonts w:ascii="Book Antiqua" w:eastAsia="宋体" w:hAnsi="Book Antiqua" w:cs="Tahoma"/>
          <w:b/>
          <w:color w:val="0000FF"/>
          <w:sz w:val="24"/>
          <w:szCs w:val="24"/>
          <w:lang w:eastAsia="zh-CN"/>
        </w:rPr>
        <w:t>3018</w:t>
      </w:r>
    </w:p>
    <w:p w:rsidR="00A7606F" w:rsidRPr="00C67938" w:rsidRDefault="00A7606F" w:rsidP="00C67938">
      <w:pPr>
        <w:wordWrap/>
        <w:spacing w:line="360" w:lineRule="auto"/>
        <w:rPr>
          <w:rFonts w:ascii="Book Antiqua" w:eastAsia="宋体" w:hAnsi="Book Antiqua" w:cs="Tahoma"/>
          <w:b/>
          <w:color w:val="000000"/>
          <w:sz w:val="24"/>
          <w:szCs w:val="24"/>
          <w:lang w:eastAsia="zh-CN"/>
        </w:rPr>
      </w:pPr>
      <w:r w:rsidRPr="00C67938">
        <w:rPr>
          <w:rFonts w:ascii="Book Antiqua" w:hAnsi="Book Antiqua" w:cs="Tahoma"/>
          <w:b/>
          <w:color w:val="0000FF"/>
          <w:sz w:val="24"/>
          <w:szCs w:val="24"/>
        </w:rPr>
        <w:t xml:space="preserve">Columns: </w:t>
      </w:r>
      <w:r w:rsidRPr="00C67938">
        <w:rPr>
          <w:rFonts w:ascii="Book Antiqua" w:hAnsi="Book Antiqua" w:cs="Tahoma"/>
          <w:b/>
          <w:color w:val="000000"/>
          <w:sz w:val="24"/>
          <w:szCs w:val="24"/>
        </w:rPr>
        <w:t>REVIEW</w:t>
      </w:r>
    </w:p>
    <w:p w:rsidR="00A7606F" w:rsidRPr="00C67938" w:rsidRDefault="00A7606F" w:rsidP="00C67938">
      <w:pPr>
        <w:wordWrap/>
        <w:spacing w:line="360" w:lineRule="auto"/>
        <w:rPr>
          <w:rFonts w:ascii="Book Antiqua" w:eastAsia="宋体" w:hAnsi="Book Antiqua" w:cs="Tahoma"/>
          <w:b/>
          <w:color w:val="000000"/>
          <w:sz w:val="24"/>
          <w:szCs w:val="24"/>
          <w:lang w:eastAsia="zh-CN"/>
        </w:rPr>
      </w:pPr>
    </w:p>
    <w:p w:rsidR="00A7606F" w:rsidRPr="00C67938" w:rsidRDefault="00A7606F" w:rsidP="00C67938">
      <w:pPr>
        <w:wordWrap/>
        <w:spacing w:line="360" w:lineRule="auto"/>
        <w:rPr>
          <w:rFonts w:ascii="Book Antiqua" w:hAnsi="Book Antiqua"/>
          <w:bCs/>
          <w:sz w:val="24"/>
          <w:szCs w:val="24"/>
        </w:rPr>
      </w:pPr>
      <w:r w:rsidRPr="00C67938">
        <w:rPr>
          <w:rFonts w:ascii="Book Antiqua" w:hAnsi="Book Antiqua"/>
          <w:bCs/>
          <w:sz w:val="24"/>
          <w:szCs w:val="24"/>
        </w:rPr>
        <w:t>Molecular targeted therapy for hepatocellular carcinoma: Current and future</w:t>
      </w:r>
    </w:p>
    <w:p w:rsidR="00A7606F" w:rsidRPr="00C67938" w:rsidRDefault="00A7606F" w:rsidP="00C67938">
      <w:pPr>
        <w:wordWrap/>
        <w:spacing w:line="360" w:lineRule="auto"/>
        <w:rPr>
          <w:rFonts w:ascii="Book Antiqua" w:eastAsia="宋体" w:hAnsi="Book Antiqua"/>
          <w:bCs/>
          <w:sz w:val="24"/>
          <w:szCs w:val="24"/>
          <w:lang w:eastAsia="zh-CN"/>
        </w:rPr>
      </w:pPr>
    </w:p>
    <w:p w:rsidR="00A7606F" w:rsidRPr="00C67938" w:rsidRDefault="00A7606F" w:rsidP="00C67938">
      <w:pPr>
        <w:wordWrap/>
        <w:spacing w:line="360" w:lineRule="auto"/>
        <w:rPr>
          <w:rFonts w:ascii="Book Antiqua" w:hAnsi="Book Antiqua"/>
          <w:caps/>
          <w:sz w:val="24"/>
          <w:szCs w:val="24"/>
        </w:rPr>
      </w:pPr>
      <w:r w:rsidRPr="00C67938">
        <w:rPr>
          <w:rFonts w:ascii="Book Antiqua" w:hAnsi="Book Antiqua"/>
          <w:b/>
          <w:sz w:val="24"/>
          <w:szCs w:val="24"/>
        </w:rPr>
        <w:t>Shin</w:t>
      </w:r>
      <w:r w:rsidRPr="00C67938">
        <w:rPr>
          <w:rFonts w:ascii="Book Antiqua" w:eastAsia="宋体" w:hAnsi="Book Antiqua"/>
          <w:b/>
          <w:sz w:val="24"/>
          <w:szCs w:val="24"/>
          <w:lang w:eastAsia="zh-CN"/>
        </w:rPr>
        <w:t xml:space="preserve"> JW</w:t>
      </w:r>
      <w:r w:rsidRPr="00C67938">
        <w:rPr>
          <w:rFonts w:ascii="Book Antiqua" w:eastAsia="宋体" w:hAnsi="Book Antiqua"/>
          <w:b/>
          <w:i/>
          <w:sz w:val="24"/>
          <w:szCs w:val="24"/>
          <w:lang w:eastAsia="zh-CN"/>
        </w:rPr>
        <w:t xml:space="preserve"> et al</w:t>
      </w:r>
      <w:r w:rsidRPr="00C67938">
        <w:rPr>
          <w:rFonts w:ascii="Book Antiqua" w:eastAsia="宋体" w:hAnsi="Book Antiqua"/>
          <w:b/>
          <w:sz w:val="24"/>
          <w:szCs w:val="24"/>
          <w:lang w:eastAsia="zh-CN"/>
        </w:rPr>
        <w:t>.</w:t>
      </w:r>
      <w:r w:rsidRPr="00C67938">
        <w:rPr>
          <w:rFonts w:ascii="Book Antiqua" w:hAnsi="Book Antiqua"/>
          <w:bCs/>
          <w:sz w:val="24"/>
          <w:szCs w:val="24"/>
        </w:rPr>
        <w:t xml:space="preserve"> Molecular targeted therapy for HCC</w:t>
      </w:r>
    </w:p>
    <w:p w:rsidR="00A7606F" w:rsidRPr="00C67938" w:rsidRDefault="00A7606F" w:rsidP="00C67938">
      <w:pPr>
        <w:wordWrap/>
        <w:spacing w:line="360" w:lineRule="auto"/>
        <w:rPr>
          <w:rFonts w:ascii="Book Antiqua" w:eastAsia="宋体" w:hAnsi="Book Antiqua"/>
          <w:caps/>
          <w:sz w:val="24"/>
          <w:szCs w:val="24"/>
          <w:lang w:eastAsia="zh-CN"/>
        </w:rPr>
      </w:pPr>
    </w:p>
    <w:p w:rsidR="00A7606F" w:rsidRPr="00C67938" w:rsidRDefault="00A7606F" w:rsidP="00C67938">
      <w:pPr>
        <w:pStyle w:val="3"/>
        <w:wordWrap/>
        <w:spacing w:line="360" w:lineRule="auto"/>
        <w:rPr>
          <w:rFonts w:ascii="Book Antiqua" w:eastAsia="宋体" w:hAnsi="Book Antiqua"/>
          <w:bCs w:val="0"/>
          <w:szCs w:val="24"/>
          <w:shd w:val="clear" w:color="auto" w:fill="auto"/>
        </w:rPr>
      </w:pPr>
      <w:r w:rsidRPr="00C67938">
        <w:rPr>
          <w:rFonts w:ascii="Book Antiqua" w:hAnsi="Book Antiqua"/>
          <w:bCs w:val="0"/>
          <w:szCs w:val="24"/>
          <w:shd w:val="clear" w:color="auto" w:fill="auto"/>
        </w:rPr>
        <w:t>Jung Woo Shin, Young-Hwa Chung</w:t>
      </w:r>
    </w:p>
    <w:p w:rsidR="00A7606F" w:rsidRPr="00C67938" w:rsidRDefault="00A7606F" w:rsidP="00C67938">
      <w:pPr>
        <w:wordWrap/>
        <w:spacing w:line="360" w:lineRule="auto"/>
        <w:rPr>
          <w:rFonts w:ascii="Book Antiqua" w:eastAsia="宋体" w:hAnsi="Book Antiqua"/>
          <w:sz w:val="24"/>
          <w:szCs w:val="24"/>
          <w:lang w:eastAsia="zh-CN"/>
        </w:rPr>
      </w:pPr>
    </w:p>
    <w:p w:rsidR="00A7606F" w:rsidRDefault="00A7606F" w:rsidP="00C67938">
      <w:pPr>
        <w:wordWrap/>
        <w:spacing w:line="360" w:lineRule="auto"/>
        <w:rPr>
          <w:rFonts w:ascii="Book Antiqua" w:eastAsia="宋体" w:hAnsi="Book Antiqua"/>
          <w:iCs/>
          <w:sz w:val="24"/>
          <w:szCs w:val="24"/>
          <w:lang w:eastAsia="zh-CN"/>
        </w:rPr>
      </w:pPr>
      <w:r w:rsidRPr="00C67938">
        <w:rPr>
          <w:rFonts w:ascii="Book Antiqua" w:hAnsi="Book Antiqua"/>
          <w:b/>
          <w:sz w:val="24"/>
          <w:szCs w:val="24"/>
        </w:rPr>
        <w:t>Jung Woo Shin,</w:t>
      </w:r>
      <w:r w:rsidRPr="00C67938">
        <w:rPr>
          <w:rFonts w:ascii="Book Antiqua" w:eastAsia="宋体" w:hAnsi="Book Antiqua"/>
          <w:b/>
          <w:sz w:val="24"/>
          <w:szCs w:val="24"/>
          <w:lang w:eastAsia="zh-CN"/>
        </w:rPr>
        <w:t xml:space="preserve"> </w:t>
      </w:r>
      <w:r w:rsidRPr="00C67938">
        <w:rPr>
          <w:rFonts w:ascii="Book Antiqua" w:hAnsi="Book Antiqua"/>
          <w:sz w:val="24"/>
          <w:szCs w:val="24"/>
        </w:rPr>
        <w:t xml:space="preserve">Department of Internal Medicine, </w:t>
      </w:r>
      <w:smartTag w:uri="urn:schemas-microsoft-com:office:smarttags" w:element="PlaceType">
        <w:r w:rsidRPr="00C67938">
          <w:rPr>
            <w:rFonts w:ascii="Book Antiqua" w:hAnsi="Book Antiqua"/>
            <w:sz w:val="24"/>
            <w:szCs w:val="24"/>
          </w:rPr>
          <w:t>University</w:t>
        </w:r>
      </w:smartTag>
      <w:r w:rsidRPr="00C67938">
        <w:rPr>
          <w:rFonts w:ascii="Book Antiqua" w:hAnsi="Book Antiqua"/>
          <w:sz w:val="24"/>
          <w:szCs w:val="24"/>
        </w:rPr>
        <w:t xml:space="preserve"> of </w:t>
      </w:r>
      <w:smartTag w:uri="urn:schemas-microsoft-com:office:smarttags" w:element="PlaceName">
        <w:r w:rsidRPr="00C67938">
          <w:rPr>
            <w:rFonts w:ascii="Book Antiqua" w:hAnsi="Book Antiqua"/>
            <w:sz w:val="24"/>
            <w:szCs w:val="24"/>
          </w:rPr>
          <w:t>Ulsan</w:t>
        </w:r>
      </w:smartTag>
      <w:r w:rsidRPr="00C67938">
        <w:rPr>
          <w:rFonts w:ascii="Book Antiqua" w:hAnsi="Book Antiqua"/>
          <w:sz w:val="24"/>
          <w:szCs w:val="24"/>
        </w:rPr>
        <w:t xml:space="preserve"> </w:t>
      </w:r>
      <w:smartTag w:uri="urn:schemas-microsoft-com:office:smarttags" w:element="PlaceType">
        <w:r w:rsidRPr="00C67938">
          <w:rPr>
            <w:rFonts w:ascii="Book Antiqua" w:hAnsi="Book Antiqua"/>
            <w:sz w:val="24"/>
            <w:szCs w:val="24"/>
          </w:rPr>
          <w:t>College</w:t>
        </w:r>
      </w:smartTag>
      <w:r w:rsidRPr="00C67938">
        <w:rPr>
          <w:rFonts w:ascii="Book Antiqua" w:hAnsi="Book Antiqua"/>
          <w:sz w:val="24"/>
          <w:szCs w:val="24"/>
        </w:rPr>
        <w:t xml:space="preserve"> of </w:t>
      </w:r>
      <w:smartTag w:uri="urn:schemas-microsoft-com:office:smarttags" w:element="PlaceName">
        <w:r w:rsidRPr="00C67938">
          <w:rPr>
            <w:rFonts w:ascii="Book Antiqua" w:hAnsi="Book Antiqua"/>
            <w:sz w:val="24"/>
            <w:szCs w:val="24"/>
          </w:rPr>
          <w:t>Medicine</w:t>
        </w:r>
      </w:smartTag>
      <w:r w:rsidRPr="00C67938">
        <w:rPr>
          <w:rFonts w:ascii="Book Antiqua" w:hAnsi="Book Antiqua"/>
          <w:sz w:val="24"/>
          <w:szCs w:val="24"/>
        </w:rPr>
        <w:t xml:space="preserve">, </w:t>
      </w:r>
      <w:smartTag w:uri="urn:schemas-microsoft-com:office:smarttags" w:element="PlaceName">
        <w:r w:rsidRPr="00C67938">
          <w:rPr>
            <w:rFonts w:ascii="Book Antiqua" w:hAnsi="Book Antiqua"/>
            <w:sz w:val="24"/>
            <w:szCs w:val="24"/>
          </w:rPr>
          <w:t>Ulsan</w:t>
        </w:r>
      </w:smartTag>
      <w:r w:rsidRPr="00C67938">
        <w:rPr>
          <w:rFonts w:ascii="Book Antiqua" w:hAnsi="Book Antiqua"/>
          <w:sz w:val="24"/>
          <w:szCs w:val="24"/>
        </w:rPr>
        <w:t xml:space="preserve"> </w:t>
      </w:r>
      <w:smartTag w:uri="urn:schemas-microsoft-com:office:smarttags" w:element="PlaceType">
        <w:r w:rsidRPr="00C67938">
          <w:rPr>
            <w:rFonts w:ascii="Book Antiqua" w:hAnsi="Book Antiqua"/>
            <w:sz w:val="24"/>
            <w:szCs w:val="24"/>
          </w:rPr>
          <w:t>University</w:t>
        </w:r>
      </w:smartTag>
      <w:r w:rsidRPr="00C67938">
        <w:rPr>
          <w:rFonts w:ascii="Book Antiqua" w:hAnsi="Book Antiqua"/>
          <w:sz w:val="24"/>
          <w:szCs w:val="24"/>
        </w:rPr>
        <w:t xml:space="preserve"> </w:t>
      </w:r>
      <w:smartTag w:uri="urn:schemas-microsoft-com:office:smarttags" w:element="PlaceType">
        <w:r w:rsidRPr="00C67938">
          <w:rPr>
            <w:rFonts w:ascii="Book Antiqua" w:hAnsi="Book Antiqua"/>
            <w:sz w:val="24"/>
            <w:szCs w:val="24"/>
          </w:rPr>
          <w:t>Hospital</w:t>
        </w:r>
      </w:smartTag>
      <w:r w:rsidRPr="00C67938">
        <w:rPr>
          <w:rFonts w:ascii="Book Antiqua" w:hAnsi="Book Antiqua"/>
          <w:sz w:val="24"/>
          <w:szCs w:val="24"/>
        </w:rPr>
        <w:t xml:space="preserve">, </w:t>
      </w:r>
      <w:smartTag w:uri="urn:schemas-microsoft-com:office:smarttags" w:element="City">
        <w:r w:rsidRPr="00C67938">
          <w:rPr>
            <w:rFonts w:ascii="Book Antiqua" w:hAnsi="Book Antiqua"/>
            <w:sz w:val="24"/>
            <w:szCs w:val="24"/>
          </w:rPr>
          <w:t>Ulsan</w:t>
        </w:r>
      </w:smartTag>
      <w:r w:rsidRPr="00C67938">
        <w:rPr>
          <w:rFonts w:ascii="Book Antiqua" w:hAnsi="Book Antiqua"/>
          <w:sz w:val="24"/>
          <w:szCs w:val="24"/>
        </w:rPr>
        <w:t xml:space="preserve"> 682-714</w:t>
      </w:r>
      <w:r w:rsidRPr="00C67938">
        <w:rPr>
          <w:rFonts w:ascii="Book Antiqua" w:eastAsia="宋体" w:hAnsi="Book Antiqua"/>
          <w:sz w:val="24"/>
          <w:szCs w:val="24"/>
          <w:lang w:eastAsia="zh-CN"/>
        </w:rPr>
        <w:t xml:space="preserve">, </w:t>
      </w:r>
      <w:smartTag w:uri="urn:schemas-microsoft-com:office:smarttags" w:element="place">
        <w:smartTag w:uri="urn:schemas-microsoft-com:office:smarttags" w:element="country-region">
          <w:r w:rsidRPr="00C67938">
            <w:rPr>
              <w:rFonts w:ascii="Book Antiqua" w:eastAsia="宋体" w:hAnsi="Book Antiqua"/>
              <w:sz w:val="24"/>
              <w:szCs w:val="24"/>
              <w:lang w:eastAsia="zh-CN"/>
            </w:rPr>
            <w:t xml:space="preserve">South </w:t>
          </w:r>
          <w:r w:rsidRPr="00C67938">
            <w:rPr>
              <w:rFonts w:ascii="Book Antiqua" w:hAnsi="Book Antiqua"/>
              <w:iCs/>
              <w:sz w:val="24"/>
              <w:szCs w:val="24"/>
            </w:rPr>
            <w:t>Korea</w:t>
          </w:r>
        </w:smartTag>
      </w:smartTag>
    </w:p>
    <w:p w:rsidR="00A7606F" w:rsidRPr="009A747A" w:rsidRDefault="00A7606F" w:rsidP="00C67938">
      <w:pPr>
        <w:wordWrap/>
        <w:spacing w:line="360" w:lineRule="auto"/>
        <w:rPr>
          <w:rFonts w:ascii="Book Antiqua" w:eastAsia="宋体" w:hAnsi="Book Antiqua"/>
          <w:sz w:val="24"/>
          <w:szCs w:val="24"/>
          <w:lang w:eastAsia="zh-CN"/>
        </w:rPr>
      </w:pPr>
    </w:p>
    <w:p w:rsidR="00A7606F" w:rsidRPr="00C67938" w:rsidRDefault="00A7606F" w:rsidP="00C67938">
      <w:pPr>
        <w:wordWrap/>
        <w:spacing w:line="360" w:lineRule="auto"/>
        <w:rPr>
          <w:rFonts w:ascii="Book Antiqua" w:hAnsi="Book Antiqua"/>
          <w:iCs/>
          <w:sz w:val="24"/>
          <w:szCs w:val="24"/>
        </w:rPr>
      </w:pPr>
      <w:r w:rsidRPr="00C67938">
        <w:rPr>
          <w:rFonts w:ascii="Book Antiqua" w:hAnsi="Book Antiqua"/>
          <w:b/>
          <w:sz w:val="24"/>
          <w:szCs w:val="24"/>
        </w:rPr>
        <w:t>Young-Hwa Chung</w:t>
      </w:r>
      <w:r w:rsidRPr="00C67938">
        <w:rPr>
          <w:rFonts w:ascii="Book Antiqua" w:eastAsia="宋体" w:hAnsi="Book Antiqua"/>
          <w:b/>
          <w:sz w:val="24"/>
          <w:szCs w:val="24"/>
          <w:lang w:eastAsia="zh-CN"/>
        </w:rPr>
        <w:t>,</w:t>
      </w:r>
      <w:r w:rsidRPr="00C67938">
        <w:rPr>
          <w:rFonts w:ascii="Book Antiqua" w:hAnsi="Book Antiqua"/>
          <w:b/>
          <w:iCs/>
          <w:sz w:val="24"/>
          <w:szCs w:val="24"/>
        </w:rPr>
        <w:t xml:space="preserve"> </w:t>
      </w:r>
      <w:r w:rsidRPr="00C67938">
        <w:rPr>
          <w:rFonts w:ascii="Book Antiqua" w:hAnsi="Book Antiqua"/>
          <w:iCs/>
          <w:sz w:val="24"/>
          <w:szCs w:val="24"/>
        </w:rPr>
        <w:t xml:space="preserve">Department of Internal Medicine, University of Ulsan College of Medicine, Asan Medical Center, Seoul 138-736, </w:t>
      </w:r>
      <w:r w:rsidRPr="00C67938">
        <w:rPr>
          <w:rFonts w:ascii="Book Antiqua" w:eastAsia="宋体" w:hAnsi="Book Antiqua"/>
          <w:sz w:val="24"/>
          <w:szCs w:val="24"/>
          <w:lang w:eastAsia="zh-CN"/>
        </w:rPr>
        <w:t xml:space="preserve">South </w:t>
      </w:r>
      <w:r w:rsidRPr="00C67938">
        <w:rPr>
          <w:rFonts w:ascii="Book Antiqua" w:hAnsi="Book Antiqua"/>
          <w:iCs/>
          <w:sz w:val="24"/>
          <w:szCs w:val="24"/>
        </w:rPr>
        <w:t>Korea</w:t>
      </w:r>
    </w:p>
    <w:p w:rsidR="00A7606F" w:rsidRPr="00C67938" w:rsidRDefault="00A7606F" w:rsidP="00C67938">
      <w:pPr>
        <w:wordWrap/>
        <w:spacing w:line="360" w:lineRule="auto"/>
        <w:rPr>
          <w:rFonts w:ascii="Book Antiqua" w:hAnsi="Book Antiqua"/>
          <w:b/>
          <w:sz w:val="24"/>
          <w:szCs w:val="24"/>
        </w:rPr>
      </w:pPr>
    </w:p>
    <w:p w:rsidR="00A7606F" w:rsidRPr="00C67938" w:rsidRDefault="00A7606F" w:rsidP="00C67938">
      <w:pPr>
        <w:pStyle w:val="3"/>
        <w:wordWrap/>
        <w:spacing w:line="360" w:lineRule="auto"/>
        <w:rPr>
          <w:rFonts w:ascii="Book Antiqua" w:hAnsi="Book Antiqua"/>
          <w:b w:val="0"/>
          <w:bCs w:val="0"/>
          <w:szCs w:val="24"/>
          <w:shd w:val="clear" w:color="auto" w:fill="auto"/>
        </w:rPr>
      </w:pPr>
      <w:r w:rsidRPr="00C67938">
        <w:rPr>
          <w:rFonts w:ascii="Book Antiqua" w:hAnsi="Book Antiqua"/>
          <w:bCs w:val="0"/>
          <w:szCs w:val="24"/>
          <w:shd w:val="clear" w:color="auto" w:fill="auto"/>
        </w:rPr>
        <w:t xml:space="preserve">Author contribution: </w:t>
      </w:r>
      <w:r>
        <w:rPr>
          <w:rFonts w:ascii="Book Antiqua" w:hAnsi="Book Antiqua"/>
          <w:b w:val="0"/>
          <w:bCs w:val="0"/>
          <w:szCs w:val="24"/>
          <w:shd w:val="clear" w:color="auto" w:fill="auto"/>
        </w:rPr>
        <w:t>Shin JW and Chung Y</w:t>
      </w:r>
      <w:r w:rsidRPr="00C67938">
        <w:rPr>
          <w:rFonts w:ascii="Book Antiqua" w:hAnsi="Book Antiqua"/>
          <w:b w:val="0"/>
          <w:bCs w:val="0"/>
          <w:szCs w:val="24"/>
          <w:shd w:val="clear" w:color="auto" w:fill="auto"/>
        </w:rPr>
        <w:t>H designed this study, collected all the data and wrote the manuscript.</w:t>
      </w:r>
    </w:p>
    <w:p w:rsidR="00A7606F" w:rsidRPr="00C67938" w:rsidRDefault="00A7606F" w:rsidP="00C67938">
      <w:pPr>
        <w:pStyle w:val="3"/>
        <w:wordWrap/>
        <w:spacing w:line="360" w:lineRule="auto"/>
        <w:rPr>
          <w:rFonts w:ascii="Book Antiqua" w:hAnsi="Book Antiqua"/>
          <w:b w:val="0"/>
          <w:bCs w:val="0"/>
          <w:szCs w:val="24"/>
        </w:rPr>
      </w:pPr>
    </w:p>
    <w:p w:rsidR="00A7606F" w:rsidRPr="00C67938" w:rsidRDefault="00A7606F" w:rsidP="00C67938">
      <w:pPr>
        <w:pStyle w:val="2"/>
        <w:wordWrap/>
        <w:autoSpaceDE w:val="0"/>
        <w:autoSpaceDN w:val="0"/>
        <w:rPr>
          <w:rFonts w:ascii="Book Antiqua" w:eastAsia="宋体" w:hAnsi="Book Antiqua"/>
          <w:iCs/>
          <w:szCs w:val="24"/>
        </w:rPr>
      </w:pPr>
      <w:r w:rsidRPr="00C67938">
        <w:rPr>
          <w:rFonts w:ascii="Book Antiqua" w:eastAsia="신명조" w:hAnsi="Book Antiqua"/>
          <w:b/>
          <w:bCs/>
          <w:szCs w:val="24"/>
        </w:rPr>
        <w:t>Correspondence to:</w:t>
      </w:r>
      <w:r w:rsidRPr="00C67938">
        <w:rPr>
          <w:rFonts w:ascii="Book Antiqua" w:eastAsia="宋体" w:hAnsi="Book Antiqua"/>
          <w:b/>
          <w:bCs/>
          <w:szCs w:val="24"/>
        </w:rPr>
        <w:t xml:space="preserve"> </w:t>
      </w:r>
      <w:r w:rsidRPr="00C67938">
        <w:rPr>
          <w:rFonts w:ascii="Book Antiqua" w:eastAsia="신명조" w:hAnsi="Book Antiqua"/>
          <w:b/>
          <w:bCs/>
          <w:szCs w:val="24"/>
        </w:rPr>
        <w:t>Young-Hwa Chung, MD, PhD</w:t>
      </w:r>
      <w:r w:rsidRPr="00C67938">
        <w:rPr>
          <w:rFonts w:ascii="Book Antiqua" w:eastAsia="宋体" w:hAnsi="Book Antiqua"/>
          <w:b/>
          <w:bCs/>
          <w:szCs w:val="24"/>
        </w:rPr>
        <w:t>,</w:t>
      </w:r>
      <w:r w:rsidRPr="00C67938">
        <w:rPr>
          <w:rFonts w:ascii="Book Antiqua" w:eastAsia="宋体" w:hAnsi="Book Antiqua"/>
          <w:bCs/>
          <w:szCs w:val="24"/>
        </w:rPr>
        <w:t xml:space="preserve"> </w:t>
      </w:r>
      <w:r w:rsidRPr="00550CA0">
        <w:rPr>
          <w:rFonts w:ascii="Book Antiqua" w:eastAsia="宋体" w:hAnsi="Book Antiqua"/>
          <w:b/>
          <w:bCs/>
          <w:szCs w:val="24"/>
        </w:rPr>
        <w:t>Professor,</w:t>
      </w:r>
      <w:r>
        <w:rPr>
          <w:rFonts w:ascii="Book Antiqua" w:eastAsia="宋体" w:hAnsi="Book Antiqua"/>
          <w:bCs/>
          <w:szCs w:val="24"/>
        </w:rPr>
        <w:t xml:space="preserve"> </w:t>
      </w:r>
      <w:r w:rsidRPr="00C67938">
        <w:rPr>
          <w:rFonts w:ascii="Book Antiqua" w:hAnsi="Book Antiqua"/>
          <w:bCs/>
          <w:szCs w:val="24"/>
        </w:rPr>
        <w:t>Department of Internal Medicine</w:t>
      </w:r>
      <w:r w:rsidRPr="00C67938">
        <w:rPr>
          <w:rFonts w:ascii="Book Antiqua" w:eastAsia="宋体" w:hAnsi="Book Antiqua"/>
          <w:bCs/>
          <w:szCs w:val="24"/>
        </w:rPr>
        <w:t xml:space="preserve">, </w:t>
      </w:r>
      <w:r w:rsidRPr="00C67938">
        <w:rPr>
          <w:rFonts w:ascii="Book Antiqua" w:hAnsi="Book Antiqua"/>
          <w:bCs/>
          <w:szCs w:val="24"/>
        </w:rPr>
        <w:t xml:space="preserve">University of Ulsan College of Medicine, </w:t>
      </w:r>
      <w:smartTag w:uri="urn:schemas-microsoft-com:office:smarttags" w:element="PlaceName">
        <w:r w:rsidRPr="00C67938">
          <w:rPr>
            <w:rFonts w:ascii="Book Antiqua" w:hAnsi="Book Antiqua"/>
            <w:bCs/>
            <w:szCs w:val="24"/>
          </w:rPr>
          <w:t>Asan</w:t>
        </w:r>
      </w:smartTag>
      <w:r w:rsidRPr="00C67938">
        <w:rPr>
          <w:rFonts w:ascii="Book Antiqua" w:hAnsi="Book Antiqua"/>
          <w:bCs/>
          <w:szCs w:val="24"/>
        </w:rPr>
        <w:t xml:space="preserve"> </w:t>
      </w:r>
      <w:smartTag w:uri="urn:schemas-microsoft-com:office:smarttags" w:element="PlaceName">
        <w:r w:rsidRPr="00C67938">
          <w:rPr>
            <w:rFonts w:ascii="Book Antiqua" w:hAnsi="Book Antiqua"/>
            <w:bCs/>
            <w:szCs w:val="24"/>
          </w:rPr>
          <w:t>Medical</w:t>
        </w:r>
      </w:smartTag>
      <w:r w:rsidRPr="00C67938">
        <w:rPr>
          <w:rFonts w:ascii="Book Antiqua" w:hAnsi="Book Antiqua"/>
          <w:bCs/>
          <w:szCs w:val="24"/>
        </w:rPr>
        <w:t xml:space="preserve"> </w:t>
      </w:r>
      <w:smartTag w:uri="urn:schemas-microsoft-com:office:smarttags" w:element="PlaceType">
        <w:r w:rsidRPr="00C67938">
          <w:rPr>
            <w:rFonts w:ascii="Book Antiqua" w:hAnsi="Book Antiqua"/>
            <w:bCs/>
            <w:szCs w:val="24"/>
          </w:rPr>
          <w:t>Center</w:t>
        </w:r>
      </w:smartTag>
      <w:r w:rsidRPr="00C67938">
        <w:rPr>
          <w:rFonts w:ascii="Book Antiqua" w:hAnsi="Book Antiqua"/>
          <w:bCs/>
          <w:szCs w:val="24"/>
        </w:rPr>
        <w:t>, 86 Asanbyeongwon-gil</w:t>
      </w:r>
      <w:r w:rsidRPr="00C67938">
        <w:rPr>
          <w:rFonts w:ascii="Book Antiqua" w:eastAsia="신명조" w:hAnsi="Book Antiqua"/>
          <w:bCs/>
          <w:szCs w:val="24"/>
        </w:rPr>
        <w:t xml:space="preserve">, Songpa-gu, </w:t>
      </w:r>
      <w:smartTag w:uri="urn:schemas-microsoft-com:office:smarttags" w:element="City">
        <w:r w:rsidRPr="00C67938">
          <w:rPr>
            <w:rFonts w:ascii="Book Antiqua" w:eastAsia="신명조" w:hAnsi="Book Antiqua"/>
            <w:bCs/>
            <w:szCs w:val="24"/>
          </w:rPr>
          <w:t>Seoul</w:t>
        </w:r>
      </w:smartTag>
      <w:r w:rsidRPr="00C67938">
        <w:rPr>
          <w:rFonts w:ascii="Book Antiqua" w:eastAsia="신명조" w:hAnsi="Book Antiqua"/>
          <w:bCs/>
          <w:szCs w:val="24"/>
        </w:rPr>
        <w:t xml:space="preserve"> 138-736, </w:t>
      </w:r>
      <w:smartTag w:uri="urn:schemas-microsoft-com:office:smarttags" w:element="country-region">
        <w:smartTag w:uri="urn:schemas-microsoft-com:office:smarttags" w:element="place">
          <w:r w:rsidRPr="00C67938">
            <w:rPr>
              <w:rFonts w:ascii="Book Antiqua" w:eastAsia="宋体" w:hAnsi="Book Antiqua"/>
              <w:szCs w:val="24"/>
            </w:rPr>
            <w:t xml:space="preserve">South </w:t>
          </w:r>
          <w:r w:rsidRPr="00C67938">
            <w:rPr>
              <w:rFonts w:ascii="Book Antiqua" w:hAnsi="Book Antiqua"/>
              <w:iCs/>
              <w:szCs w:val="24"/>
            </w:rPr>
            <w:t>Korea</w:t>
          </w:r>
        </w:smartTag>
      </w:smartTag>
      <w:r w:rsidRPr="00C67938">
        <w:rPr>
          <w:rFonts w:ascii="Book Antiqua" w:eastAsia="宋体" w:hAnsi="Book Antiqua"/>
          <w:iCs/>
          <w:szCs w:val="24"/>
        </w:rPr>
        <w:t xml:space="preserve">. </w:t>
      </w:r>
      <w:r w:rsidRPr="00C67938">
        <w:rPr>
          <w:rFonts w:ascii="Book Antiqua" w:hAnsi="Book Antiqua"/>
          <w:szCs w:val="24"/>
        </w:rPr>
        <w:t>yhchung@www.amc.seoul.kr</w:t>
      </w:r>
    </w:p>
    <w:p w:rsidR="00A7606F" w:rsidRPr="00C67938" w:rsidRDefault="00A7606F" w:rsidP="00C67938">
      <w:pPr>
        <w:wordWrap/>
        <w:spacing w:line="360" w:lineRule="auto"/>
        <w:rPr>
          <w:rFonts w:ascii="Book Antiqua" w:eastAsia="宋体" w:hAnsi="Book Antiqua"/>
          <w:b/>
          <w:color w:val="000000"/>
          <w:sz w:val="24"/>
          <w:szCs w:val="24"/>
          <w:lang w:eastAsia="zh-CN"/>
        </w:rPr>
      </w:pPr>
      <w:r w:rsidRPr="00C67938">
        <w:rPr>
          <w:rFonts w:ascii="Book Antiqua" w:hAnsi="Book Antiqua"/>
          <w:b/>
          <w:color w:val="000000"/>
          <w:sz w:val="24"/>
          <w:szCs w:val="24"/>
        </w:rPr>
        <w:t>Telephone:</w:t>
      </w:r>
      <w:r w:rsidRPr="00C67938">
        <w:rPr>
          <w:rFonts w:ascii="Book Antiqua" w:hAnsi="Book Antiqua"/>
          <w:color w:val="000000"/>
          <w:sz w:val="24"/>
          <w:szCs w:val="24"/>
        </w:rPr>
        <w:t xml:space="preserve"> </w:t>
      </w:r>
      <w:r w:rsidRPr="00C67938">
        <w:rPr>
          <w:rFonts w:ascii="Book Antiqua" w:eastAsia="宋体" w:hAnsi="Book Antiqua"/>
          <w:color w:val="000000"/>
          <w:sz w:val="24"/>
          <w:szCs w:val="24"/>
          <w:lang w:eastAsia="zh-CN"/>
        </w:rPr>
        <w:t>+</w:t>
      </w:r>
      <w:r w:rsidRPr="00C67938">
        <w:rPr>
          <w:rFonts w:ascii="Book Antiqua" w:eastAsia="신명조" w:hAnsi="Book Antiqua"/>
          <w:sz w:val="24"/>
          <w:szCs w:val="24"/>
        </w:rPr>
        <w:t>82</w:t>
      </w:r>
      <w:r w:rsidRPr="00C67938">
        <w:rPr>
          <w:rFonts w:ascii="Book Antiqua" w:eastAsia="宋体" w:hAnsi="Book Antiqua"/>
          <w:sz w:val="24"/>
          <w:szCs w:val="24"/>
          <w:lang w:eastAsia="zh-CN"/>
        </w:rPr>
        <w:t>-</w:t>
      </w:r>
      <w:r w:rsidRPr="00C67938">
        <w:rPr>
          <w:rFonts w:ascii="Book Antiqua" w:eastAsia="신명조" w:hAnsi="Book Antiqua"/>
          <w:sz w:val="24"/>
          <w:szCs w:val="24"/>
        </w:rPr>
        <w:t>2-30103184</w:t>
      </w:r>
      <w:r w:rsidRPr="00C67938">
        <w:rPr>
          <w:rFonts w:ascii="Book Antiqua" w:hAnsi="Book Antiqua"/>
          <w:color w:val="000000"/>
          <w:sz w:val="24"/>
          <w:szCs w:val="24"/>
        </w:rPr>
        <w:t xml:space="preserve">        </w:t>
      </w:r>
      <w:r w:rsidRPr="00C67938">
        <w:rPr>
          <w:rFonts w:ascii="Book Antiqua" w:hAnsi="Book Antiqua"/>
          <w:b/>
          <w:color w:val="000000"/>
          <w:sz w:val="24"/>
          <w:szCs w:val="24"/>
        </w:rPr>
        <w:t>Fax:</w:t>
      </w:r>
      <w:r w:rsidRPr="00C67938">
        <w:rPr>
          <w:rFonts w:ascii="Book Antiqua" w:eastAsia="신명조" w:hAnsi="Book Antiqua"/>
          <w:sz w:val="24"/>
          <w:szCs w:val="24"/>
        </w:rPr>
        <w:t xml:space="preserve"> </w:t>
      </w:r>
      <w:r w:rsidRPr="00C67938">
        <w:rPr>
          <w:rFonts w:ascii="Book Antiqua" w:eastAsia="宋体" w:hAnsi="Book Antiqua"/>
          <w:sz w:val="24"/>
          <w:szCs w:val="24"/>
          <w:lang w:eastAsia="zh-CN"/>
        </w:rPr>
        <w:t>+</w:t>
      </w:r>
      <w:r w:rsidRPr="00C67938">
        <w:rPr>
          <w:rFonts w:ascii="Book Antiqua" w:eastAsia="신명조" w:hAnsi="Book Antiqua"/>
          <w:sz w:val="24"/>
          <w:szCs w:val="24"/>
        </w:rPr>
        <w:t>82</w:t>
      </w:r>
      <w:r w:rsidRPr="00C67938">
        <w:rPr>
          <w:rFonts w:ascii="Book Antiqua" w:eastAsia="宋体" w:hAnsi="Book Antiqua"/>
          <w:sz w:val="24"/>
          <w:szCs w:val="24"/>
          <w:lang w:eastAsia="zh-CN"/>
        </w:rPr>
        <w:t>-</w:t>
      </w:r>
      <w:r w:rsidRPr="00C67938">
        <w:rPr>
          <w:rFonts w:ascii="Book Antiqua" w:eastAsia="신명조" w:hAnsi="Book Antiqua"/>
          <w:sz w:val="24"/>
          <w:szCs w:val="24"/>
        </w:rPr>
        <w:t>2-4760824</w:t>
      </w:r>
    </w:p>
    <w:p w:rsidR="00A7606F" w:rsidRPr="00C67938" w:rsidRDefault="00A7606F" w:rsidP="00C67938">
      <w:pPr>
        <w:wordWrap/>
        <w:spacing w:line="360" w:lineRule="auto"/>
        <w:rPr>
          <w:rFonts w:ascii="Book Antiqua" w:eastAsia="宋体" w:hAnsi="Book Antiqua"/>
          <w:b/>
          <w:color w:val="000000"/>
          <w:sz w:val="24"/>
          <w:szCs w:val="24"/>
          <w:lang w:eastAsia="zh-CN"/>
        </w:rPr>
      </w:pPr>
    </w:p>
    <w:p w:rsidR="00A7606F" w:rsidRPr="006226A6" w:rsidRDefault="00A7606F" w:rsidP="00C67938">
      <w:pPr>
        <w:wordWrap/>
        <w:spacing w:line="360" w:lineRule="auto"/>
        <w:rPr>
          <w:rFonts w:ascii="Book Antiqua" w:eastAsia="宋体" w:hAnsi="Book Antiqua"/>
          <w:b/>
          <w:color w:val="000000"/>
          <w:sz w:val="24"/>
          <w:szCs w:val="24"/>
          <w:lang w:eastAsia="zh-CN"/>
        </w:rPr>
      </w:pPr>
      <w:r w:rsidRPr="00C67938">
        <w:rPr>
          <w:rFonts w:ascii="Book Antiqua" w:hAnsi="Book Antiqua"/>
          <w:b/>
          <w:color w:val="000000"/>
          <w:sz w:val="24"/>
          <w:szCs w:val="24"/>
        </w:rPr>
        <w:t>Received:</w:t>
      </w:r>
      <w:bookmarkStart w:id="0" w:name="OLE_LINK15"/>
      <w:bookmarkStart w:id="1" w:name="OLE_LINK16"/>
      <w:bookmarkStart w:id="2" w:name="OLE_LINK17"/>
      <w:bookmarkStart w:id="3" w:name="OLE_LINK155"/>
      <w:bookmarkStart w:id="4" w:name="OLE_LINK105"/>
      <w:bookmarkStart w:id="5" w:name="OLE_LINK114"/>
      <w:r w:rsidRPr="00840D75">
        <w:rPr>
          <w:rFonts w:ascii="Book Antiqua" w:hAnsi="Book Antiqua"/>
          <w:sz w:val="24"/>
          <w:szCs w:val="24"/>
        </w:rPr>
        <w:t xml:space="preserve"> </w:t>
      </w:r>
      <w:r w:rsidRPr="00421E83">
        <w:rPr>
          <w:rFonts w:ascii="Book Antiqua" w:hAnsi="Book Antiqua"/>
          <w:sz w:val="24"/>
          <w:szCs w:val="24"/>
        </w:rPr>
        <w:t>April</w:t>
      </w:r>
      <w:bookmarkEnd w:id="0"/>
      <w:bookmarkEnd w:id="1"/>
      <w:bookmarkEnd w:id="2"/>
      <w:bookmarkEnd w:id="3"/>
      <w:bookmarkEnd w:id="4"/>
      <w:bookmarkEnd w:id="5"/>
      <w:r>
        <w:rPr>
          <w:rFonts w:ascii="Book Antiqua" w:eastAsia="宋体" w:hAnsi="Book Antiqua"/>
          <w:sz w:val="24"/>
          <w:szCs w:val="24"/>
          <w:lang w:eastAsia="zh-CN"/>
        </w:rPr>
        <w:t xml:space="preserve"> 2, 2013      </w:t>
      </w:r>
      <w:r w:rsidRPr="00C67938">
        <w:rPr>
          <w:rFonts w:ascii="Book Antiqua" w:hAnsi="Book Antiqua"/>
          <w:b/>
          <w:color w:val="000000"/>
          <w:sz w:val="24"/>
          <w:szCs w:val="24"/>
        </w:rPr>
        <w:t xml:space="preserve"> </w:t>
      </w:r>
      <w:r w:rsidRPr="00C67938">
        <w:rPr>
          <w:rFonts w:ascii="Book Antiqua" w:hAnsi="Book Antiqua"/>
          <w:color w:val="000000"/>
          <w:sz w:val="24"/>
          <w:szCs w:val="24"/>
        </w:rPr>
        <w:t xml:space="preserve">     </w:t>
      </w:r>
      <w:r w:rsidRPr="00C67938">
        <w:rPr>
          <w:rFonts w:ascii="Book Antiqua" w:hAnsi="Book Antiqua"/>
          <w:b/>
          <w:color w:val="000000"/>
          <w:sz w:val="24"/>
          <w:szCs w:val="24"/>
        </w:rPr>
        <w:t xml:space="preserve">Revised: </w:t>
      </w:r>
      <w:bookmarkStart w:id="6" w:name="OLE_LINK25"/>
      <w:bookmarkStart w:id="7" w:name="OLE_LINK26"/>
      <w:r w:rsidRPr="00421E83">
        <w:rPr>
          <w:rFonts w:ascii="Book Antiqua" w:hAnsi="Book Antiqua"/>
          <w:sz w:val="24"/>
          <w:szCs w:val="24"/>
        </w:rPr>
        <w:t>July</w:t>
      </w:r>
      <w:bookmarkEnd w:id="6"/>
      <w:bookmarkEnd w:id="7"/>
      <w:r>
        <w:rPr>
          <w:rFonts w:ascii="Book Antiqua" w:eastAsia="宋体" w:hAnsi="Book Antiqua"/>
          <w:sz w:val="24"/>
          <w:szCs w:val="24"/>
          <w:lang w:eastAsia="zh-CN"/>
        </w:rPr>
        <w:t xml:space="preserve"> 18, 2013</w:t>
      </w:r>
    </w:p>
    <w:p w:rsidR="008437E6" w:rsidRDefault="00A7606F" w:rsidP="008437E6">
      <w:r w:rsidRPr="00C67938">
        <w:rPr>
          <w:rFonts w:ascii="Book Antiqua" w:hAnsi="Book Antiqua"/>
          <w:b/>
          <w:color w:val="000000"/>
          <w:sz w:val="24"/>
          <w:szCs w:val="24"/>
        </w:rPr>
        <w:t xml:space="preserve">Accepted: </w:t>
      </w:r>
      <w:r w:rsidR="008437E6">
        <w:t>August 4, 2013</w:t>
      </w:r>
    </w:p>
    <w:p w:rsidR="00A7606F" w:rsidRPr="00C67938" w:rsidRDefault="00A7606F" w:rsidP="00C67938">
      <w:pPr>
        <w:wordWrap/>
        <w:spacing w:line="360" w:lineRule="auto"/>
        <w:rPr>
          <w:rFonts w:ascii="Book Antiqua" w:hAnsi="Book Antiqua"/>
          <w:b/>
          <w:color w:val="000000"/>
          <w:sz w:val="24"/>
          <w:szCs w:val="24"/>
        </w:rPr>
      </w:pPr>
    </w:p>
    <w:p w:rsidR="00A7606F" w:rsidRPr="00C67938" w:rsidRDefault="00A7606F" w:rsidP="00C67938">
      <w:pPr>
        <w:wordWrap/>
        <w:spacing w:line="360" w:lineRule="auto"/>
        <w:rPr>
          <w:rFonts w:ascii="Book Antiqua" w:hAnsi="Book Antiqua"/>
          <w:color w:val="000000"/>
          <w:sz w:val="24"/>
          <w:szCs w:val="24"/>
        </w:rPr>
      </w:pPr>
      <w:r w:rsidRPr="00C67938">
        <w:rPr>
          <w:rFonts w:ascii="Book Antiqua" w:hAnsi="Book Antiqua"/>
          <w:b/>
          <w:color w:val="000000"/>
          <w:sz w:val="24"/>
          <w:szCs w:val="24"/>
        </w:rPr>
        <w:t xml:space="preserve">Published online: </w:t>
      </w:r>
    </w:p>
    <w:p w:rsidR="00A7606F" w:rsidRPr="00C67938" w:rsidRDefault="00A7606F" w:rsidP="00C67938">
      <w:pPr>
        <w:wordWrap/>
        <w:spacing w:line="360" w:lineRule="auto"/>
        <w:rPr>
          <w:rFonts w:ascii="Book Antiqua" w:hAnsi="Book Antiqua"/>
          <w:b/>
          <w:bCs/>
          <w:sz w:val="24"/>
          <w:szCs w:val="24"/>
        </w:rPr>
      </w:pPr>
    </w:p>
    <w:p w:rsidR="00A7606F" w:rsidRPr="00C67938" w:rsidRDefault="00A7606F" w:rsidP="00C67938">
      <w:pPr>
        <w:wordWrap/>
        <w:spacing w:line="360" w:lineRule="auto"/>
        <w:rPr>
          <w:rFonts w:ascii="Book Antiqua" w:eastAsia="宋体" w:hAnsi="Book Antiqua"/>
          <w:b/>
          <w:sz w:val="24"/>
          <w:szCs w:val="24"/>
          <w:lang w:eastAsia="zh-CN"/>
        </w:rPr>
      </w:pPr>
    </w:p>
    <w:p w:rsidR="00A7606F" w:rsidRDefault="00A7606F" w:rsidP="00C67938">
      <w:pPr>
        <w:wordWrap/>
        <w:spacing w:line="360" w:lineRule="auto"/>
        <w:rPr>
          <w:rFonts w:ascii="Book Antiqua" w:eastAsia="宋体" w:hAnsi="Book Antiqua"/>
          <w:b/>
          <w:sz w:val="24"/>
          <w:szCs w:val="24"/>
          <w:lang w:eastAsia="zh-CN"/>
        </w:rPr>
      </w:pPr>
    </w:p>
    <w:p w:rsidR="00A7606F" w:rsidRPr="00C67938" w:rsidRDefault="00A7606F" w:rsidP="00C67938">
      <w:pPr>
        <w:wordWrap/>
        <w:spacing w:line="360" w:lineRule="auto"/>
        <w:rPr>
          <w:rFonts w:ascii="Book Antiqua" w:hAnsi="Book Antiqua"/>
          <w:b/>
          <w:sz w:val="24"/>
          <w:szCs w:val="24"/>
        </w:rPr>
      </w:pPr>
      <w:r w:rsidRPr="00C67938">
        <w:rPr>
          <w:rFonts w:ascii="Book Antiqua" w:hAnsi="Book Antiqua"/>
          <w:b/>
          <w:sz w:val="24"/>
          <w:szCs w:val="24"/>
        </w:rPr>
        <w:t>Abstract</w:t>
      </w:r>
    </w:p>
    <w:p w:rsidR="00A7606F" w:rsidRPr="00C67938" w:rsidRDefault="00A7606F" w:rsidP="00C67938">
      <w:pPr>
        <w:wordWrap/>
        <w:adjustRightInd w:val="0"/>
        <w:spacing w:line="360" w:lineRule="auto"/>
        <w:rPr>
          <w:rFonts w:ascii="Book Antiqua" w:hAnsi="Book Antiqua"/>
          <w:kern w:val="0"/>
          <w:sz w:val="24"/>
          <w:szCs w:val="24"/>
        </w:rPr>
      </w:pPr>
      <w:r w:rsidRPr="00C67938">
        <w:rPr>
          <w:rFonts w:ascii="Book Antiqua" w:hAnsi="Book Antiqua"/>
          <w:kern w:val="0"/>
          <w:sz w:val="24"/>
          <w:szCs w:val="24"/>
        </w:rPr>
        <w:t xml:space="preserve">Hepatocellular carcinoma (HCC) is one of the most frequent tumors worldwide. The majority of HCC cases occur in patients with chronic liver disease. Despite regular surveillance to detect small HCC in these patients, HCC </w:t>
      </w:r>
      <w:r w:rsidRPr="00C67938">
        <w:rPr>
          <w:rFonts w:ascii="Book Antiqua" w:eastAsia="AdvP4DF60E" w:hAnsi="Book Antiqua"/>
          <w:kern w:val="0"/>
          <w:sz w:val="24"/>
          <w:szCs w:val="24"/>
        </w:rPr>
        <w:t>is often diagnosed at an advanced stage. Because HCC is highly resistant to conventional systemic therapies, the prognosis for advanced HCC patients remains poor. The introduction</w:t>
      </w:r>
      <w:r w:rsidRPr="00C67938">
        <w:rPr>
          <w:rFonts w:ascii="Book Antiqua" w:hAnsi="Book Antiqua"/>
          <w:kern w:val="0"/>
          <w:sz w:val="24"/>
          <w:szCs w:val="24"/>
        </w:rPr>
        <w:t xml:space="preserve"> of sorafenib as the standard systemic therapy has unveiled a new direction for future research regarding HCC treatment. However, given the limited efficacy of the drug, a need exists to look beyond sorafenib. Many molecular targeted agents that inhibit different pathways involved in hepatocarcinogenesis are under various phases of clinical development, and novel targets are being assessed in HCC. This review aims to summarize the efforts to </w:t>
      </w:r>
      <w:r w:rsidRPr="00C67938">
        <w:rPr>
          <w:rFonts w:ascii="Book Antiqua" w:eastAsia="Times New Roman" w:hAnsi="Book Antiqua"/>
          <w:kern w:val="0"/>
          <w:sz w:val="24"/>
          <w:szCs w:val="24"/>
        </w:rPr>
        <w:t>target molecular components of the signaling pathways that are</w:t>
      </w:r>
      <w:r w:rsidRPr="00C67938">
        <w:rPr>
          <w:rFonts w:ascii="Book Antiqua" w:hAnsi="Book Antiqua"/>
          <w:kern w:val="0"/>
          <w:sz w:val="24"/>
          <w:szCs w:val="24"/>
        </w:rPr>
        <w:t xml:space="preserve"> responsible for the development and progression of HCC and to discuss perspectives on the future direction of research.</w:t>
      </w:r>
    </w:p>
    <w:p w:rsidR="00A7606F" w:rsidRDefault="00A7606F" w:rsidP="00C67938">
      <w:pPr>
        <w:wordWrap/>
        <w:adjustRightInd w:val="0"/>
        <w:spacing w:line="360" w:lineRule="auto"/>
        <w:rPr>
          <w:rFonts w:ascii="Book Antiqua" w:eastAsia="宋体" w:hAnsi="Book Antiqua"/>
          <w:b/>
          <w:sz w:val="24"/>
          <w:szCs w:val="24"/>
          <w:lang w:eastAsia="zh-CN"/>
        </w:rPr>
      </w:pPr>
    </w:p>
    <w:p w:rsidR="00A7606F" w:rsidRPr="00A567B3" w:rsidRDefault="00A7606F" w:rsidP="00276A6D">
      <w:pPr>
        <w:spacing w:line="360" w:lineRule="auto"/>
        <w:rPr>
          <w:rFonts w:ascii="Book Antiqua" w:hAnsi="Book Antiqua"/>
          <w:color w:val="000000"/>
          <w:sz w:val="24"/>
          <w:szCs w:val="24"/>
        </w:rPr>
      </w:pPr>
      <w:r w:rsidRPr="00A567B3">
        <w:rPr>
          <w:rFonts w:ascii="Book Antiqua" w:hAnsi="Book Antiqua"/>
          <w:sz w:val="24"/>
          <w:szCs w:val="24"/>
        </w:rPr>
        <w:t>© 2013 Baishideng. All rights reserved.</w:t>
      </w:r>
    </w:p>
    <w:p w:rsidR="00A7606F" w:rsidRPr="00276A6D" w:rsidRDefault="00A7606F" w:rsidP="00C67938">
      <w:pPr>
        <w:wordWrap/>
        <w:adjustRightInd w:val="0"/>
        <w:spacing w:line="360" w:lineRule="auto"/>
        <w:rPr>
          <w:rFonts w:ascii="Book Antiqua" w:eastAsia="宋体" w:hAnsi="Book Antiqua"/>
          <w:b/>
          <w:sz w:val="24"/>
          <w:szCs w:val="24"/>
          <w:lang w:eastAsia="zh-CN"/>
        </w:rPr>
      </w:pPr>
    </w:p>
    <w:p w:rsidR="00A7606F" w:rsidRPr="00C67938" w:rsidRDefault="00A7606F" w:rsidP="00C67938">
      <w:pPr>
        <w:wordWrap/>
        <w:adjustRightInd w:val="0"/>
        <w:spacing w:line="360" w:lineRule="auto"/>
        <w:rPr>
          <w:rFonts w:ascii="Book Antiqua" w:hAnsi="Book Antiqua"/>
          <w:sz w:val="24"/>
          <w:szCs w:val="24"/>
        </w:rPr>
      </w:pPr>
      <w:r w:rsidRPr="00C67938">
        <w:rPr>
          <w:rFonts w:ascii="Book Antiqua" w:hAnsi="Book Antiqua"/>
          <w:b/>
          <w:sz w:val="24"/>
          <w:szCs w:val="24"/>
        </w:rPr>
        <w:t>Key</w:t>
      </w:r>
      <w:r>
        <w:rPr>
          <w:rFonts w:ascii="Book Antiqua" w:eastAsia="宋体" w:hAnsi="Book Antiqua"/>
          <w:b/>
          <w:sz w:val="24"/>
          <w:szCs w:val="24"/>
          <w:lang w:eastAsia="zh-CN"/>
        </w:rPr>
        <w:t xml:space="preserve"> </w:t>
      </w:r>
      <w:r w:rsidRPr="00C67938">
        <w:rPr>
          <w:rFonts w:ascii="Book Antiqua" w:hAnsi="Book Antiqua"/>
          <w:b/>
          <w:sz w:val="24"/>
          <w:szCs w:val="24"/>
        </w:rPr>
        <w:t>words</w:t>
      </w:r>
      <w:r>
        <w:rPr>
          <w:rFonts w:ascii="Book Antiqua" w:eastAsia="宋体" w:hAnsi="Book Antiqua"/>
          <w:b/>
          <w:sz w:val="24"/>
          <w:szCs w:val="24"/>
          <w:lang w:eastAsia="zh-CN"/>
        </w:rPr>
        <w:t xml:space="preserve">: </w:t>
      </w:r>
      <w:r w:rsidRPr="00C67938">
        <w:rPr>
          <w:rFonts w:ascii="Book Antiqua" w:hAnsi="Book Antiqua"/>
          <w:sz w:val="24"/>
          <w:szCs w:val="24"/>
        </w:rPr>
        <w:t>Hepatocellular carcinoma; Targeted therapy; Molecular agents; Sorafenib</w:t>
      </w:r>
    </w:p>
    <w:p w:rsidR="00A7606F" w:rsidRPr="00C67938" w:rsidRDefault="00A7606F" w:rsidP="00C67938">
      <w:pPr>
        <w:wordWrap/>
        <w:adjustRightInd w:val="0"/>
        <w:spacing w:line="360" w:lineRule="auto"/>
        <w:rPr>
          <w:rFonts w:ascii="Book Antiqua" w:hAnsi="Book Antiqua"/>
          <w:sz w:val="24"/>
          <w:szCs w:val="24"/>
        </w:rPr>
      </w:pPr>
    </w:p>
    <w:p w:rsidR="00A7606F" w:rsidRPr="00C67938" w:rsidRDefault="00A7606F" w:rsidP="00C67938">
      <w:pPr>
        <w:wordWrap/>
        <w:adjustRightInd w:val="0"/>
        <w:spacing w:line="360" w:lineRule="auto"/>
        <w:rPr>
          <w:rFonts w:ascii="Book Antiqua" w:hAnsi="Book Antiqua"/>
          <w:kern w:val="0"/>
          <w:sz w:val="24"/>
          <w:szCs w:val="24"/>
        </w:rPr>
      </w:pPr>
      <w:r w:rsidRPr="00C67938">
        <w:rPr>
          <w:rFonts w:ascii="Book Antiqua" w:hAnsi="Book Antiqua"/>
          <w:b/>
          <w:sz w:val="24"/>
          <w:szCs w:val="24"/>
        </w:rPr>
        <w:t>Core tip</w:t>
      </w:r>
      <w:r>
        <w:rPr>
          <w:rFonts w:ascii="Book Antiqua" w:eastAsia="宋体" w:hAnsi="Book Antiqua"/>
          <w:b/>
          <w:sz w:val="24"/>
          <w:szCs w:val="24"/>
          <w:lang w:eastAsia="zh-CN"/>
        </w:rPr>
        <w:t xml:space="preserve">: </w:t>
      </w:r>
      <w:r w:rsidRPr="00C67938">
        <w:rPr>
          <w:rFonts w:ascii="Book Antiqua" w:hAnsi="Book Antiqua"/>
          <w:kern w:val="0"/>
          <w:sz w:val="24"/>
          <w:szCs w:val="24"/>
        </w:rPr>
        <w:t>Sorafenib is the first drug to prolong survival of patients with advanced hepatocellular carcinoma. This advance has shifted the paradigm of systemic treatment for hepatocellular carcinoma (HCC) toward molecular targeted therapy.</w:t>
      </w:r>
      <w:r w:rsidRPr="00C67938">
        <w:rPr>
          <w:rFonts w:ascii="Book Antiqua" w:hAnsi="Book Antiqua"/>
          <w:sz w:val="24"/>
          <w:szCs w:val="24"/>
        </w:rPr>
        <w:t xml:space="preserve"> </w:t>
      </w:r>
      <w:r w:rsidRPr="00C67938">
        <w:rPr>
          <w:rFonts w:ascii="Book Antiqua" w:hAnsi="Book Antiqua"/>
          <w:kern w:val="0"/>
          <w:sz w:val="24"/>
          <w:szCs w:val="24"/>
        </w:rPr>
        <w:t xml:space="preserve">This review aims to summarize the efforts to </w:t>
      </w:r>
      <w:r w:rsidRPr="00C67938">
        <w:rPr>
          <w:rFonts w:ascii="Book Antiqua" w:eastAsia="Times New Roman" w:hAnsi="Book Antiqua"/>
          <w:kern w:val="0"/>
          <w:sz w:val="24"/>
          <w:szCs w:val="24"/>
        </w:rPr>
        <w:t>target molecular components of the signaling pathways</w:t>
      </w:r>
      <w:r w:rsidRPr="00C67938">
        <w:rPr>
          <w:rFonts w:ascii="Book Antiqua" w:hAnsi="Book Antiqua"/>
          <w:kern w:val="0"/>
          <w:sz w:val="24"/>
          <w:szCs w:val="24"/>
        </w:rPr>
        <w:t xml:space="preserve"> that are responsible for the development and progression of HCC and to discuss perspectives on the future direction of research.</w:t>
      </w:r>
    </w:p>
    <w:p w:rsidR="00A7606F" w:rsidRPr="00C67938" w:rsidRDefault="00A7606F" w:rsidP="00C67938">
      <w:pPr>
        <w:wordWrap/>
        <w:adjustRightInd w:val="0"/>
        <w:spacing w:line="360" w:lineRule="auto"/>
        <w:ind w:firstLine="800"/>
        <w:rPr>
          <w:rFonts w:ascii="Book Antiqua" w:hAnsi="Book Antiqua"/>
          <w:sz w:val="24"/>
          <w:szCs w:val="24"/>
        </w:rPr>
      </w:pPr>
    </w:p>
    <w:p w:rsidR="00A7606F" w:rsidRPr="005F6721" w:rsidRDefault="00A7606F" w:rsidP="00690F41">
      <w:pPr>
        <w:pStyle w:val="3"/>
        <w:wordWrap/>
        <w:spacing w:line="360" w:lineRule="auto"/>
        <w:rPr>
          <w:rFonts w:ascii="Book Antiqua" w:eastAsia="Times New Roman" w:hAnsi="Book Antiqua"/>
          <w:b w:val="0"/>
          <w:bCs w:val="0"/>
          <w:kern w:val="0"/>
          <w:szCs w:val="24"/>
          <w:shd w:val="clear" w:color="auto" w:fill="auto"/>
          <w:lang w:eastAsia="ko-KR"/>
        </w:rPr>
      </w:pPr>
      <w:r w:rsidRPr="00690F41">
        <w:rPr>
          <w:rFonts w:ascii="Book Antiqua" w:hAnsi="Book Antiqua"/>
          <w:b w:val="0"/>
          <w:bCs w:val="0"/>
          <w:szCs w:val="24"/>
          <w:shd w:val="clear" w:color="auto" w:fill="auto"/>
        </w:rPr>
        <w:t>Shin</w:t>
      </w:r>
      <w:r w:rsidRPr="00690F41">
        <w:rPr>
          <w:rFonts w:ascii="Book Antiqua" w:eastAsia="宋体" w:hAnsi="Book Antiqua"/>
          <w:b w:val="0"/>
          <w:bCs w:val="0"/>
          <w:szCs w:val="24"/>
          <w:shd w:val="clear" w:color="auto" w:fill="auto"/>
        </w:rPr>
        <w:t xml:space="preserve"> JW</w:t>
      </w:r>
      <w:r w:rsidRPr="00690F41">
        <w:rPr>
          <w:rFonts w:ascii="Book Antiqua" w:hAnsi="Book Antiqua"/>
          <w:b w:val="0"/>
          <w:bCs w:val="0"/>
          <w:szCs w:val="24"/>
          <w:shd w:val="clear" w:color="auto" w:fill="auto"/>
        </w:rPr>
        <w:t>, Chung</w:t>
      </w:r>
      <w:r w:rsidRPr="00690F41">
        <w:rPr>
          <w:rFonts w:ascii="Book Antiqua" w:eastAsia="宋体" w:hAnsi="Book Antiqua"/>
          <w:b w:val="0"/>
          <w:bCs w:val="0"/>
          <w:szCs w:val="24"/>
          <w:shd w:val="clear" w:color="auto" w:fill="auto"/>
        </w:rPr>
        <w:t xml:space="preserve"> YH. </w:t>
      </w:r>
      <w:r w:rsidRPr="005F6721">
        <w:rPr>
          <w:rFonts w:ascii="Book Antiqua" w:eastAsia="Times New Roman" w:hAnsi="Book Antiqua"/>
          <w:b w:val="0"/>
          <w:bCs w:val="0"/>
          <w:kern w:val="0"/>
          <w:szCs w:val="24"/>
          <w:shd w:val="clear" w:color="auto" w:fill="auto"/>
          <w:lang w:eastAsia="ko-KR"/>
        </w:rPr>
        <w:t>Molecular targeted therapy for hepatocellular carcinoma: Current and future.</w:t>
      </w:r>
    </w:p>
    <w:p w:rsidR="00A7606F" w:rsidRDefault="00A7606F" w:rsidP="00690F41">
      <w:pPr>
        <w:pStyle w:val="3"/>
        <w:wordWrap/>
        <w:spacing w:line="360" w:lineRule="auto"/>
        <w:rPr>
          <w:rFonts w:ascii="Book Antiqua" w:eastAsia="宋体" w:hAnsi="Book Antiqua"/>
          <w:szCs w:val="24"/>
        </w:rPr>
      </w:pPr>
    </w:p>
    <w:p w:rsidR="00A7606F" w:rsidRPr="001A6525" w:rsidRDefault="00A7606F" w:rsidP="00D34B0F">
      <w:pPr>
        <w:spacing w:line="360" w:lineRule="auto"/>
        <w:rPr>
          <w:rFonts w:ascii="Book Antiqua" w:hAnsi="Book Antiqua"/>
          <w:b/>
          <w:sz w:val="24"/>
          <w:szCs w:val="24"/>
        </w:rPr>
      </w:pPr>
      <w:bookmarkStart w:id="8" w:name="OLE_LINK46"/>
      <w:bookmarkStart w:id="9" w:name="OLE_LINK47"/>
      <w:bookmarkStart w:id="10" w:name="OLE_LINK61"/>
      <w:bookmarkStart w:id="11" w:name="OLE_LINK84"/>
      <w:bookmarkStart w:id="12" w:name="OLE_LINK90"/>
      <w:bookmarkStart w:id="13" w:name="OLE_LINK104"/>
      <w:r w:rsidRPr="001A6525">
        <w:rPr>
          <w:rFonts w:ascii="Book Antiqua" w:hAnsi="Book Antiqua"/>
          <w:b/>
          <w:sz w:val="24"/>
          <w:szCs w:val="24"/>
        </w:rPr>
        <w:t xml:space="preserve">Available from: URL: </w:t>
      </w:r>
    </w:p>
    <w:p w:rsidR="00A7606F" w:rsidRDefault="00A7606F" w:rsidP="00D34B0F">
      <w:pPr>
        <w:spacing w:line="360" w:lineRule="auto"/>
        <w:rPr>
          <w:rFonts w:ascii="Book Antiqua" w:eastAsia="宋体" w:hAnsi="Book Antiqua"/>
          <w:b/>
          <w:sz w:val="24"/>
          <w:szCs w:val="24"/>
          <w:lang w:eastAsia="zh-CN"/>
        </w:rPr>
      </w:pPr>
      <w:r w:rsidRPr="001A6525">
        <w:rPr>
          <w:rFonts w:ascii="Book Antiqua" w:hAnsi="Book Antiqua"/>
          <w:b/>
          <w:sz w:val="24"/>
          <w:szCs w:val="24"/>
        </w:rPr>
        <w:t>DOI:</w:t>
      </w:r>
    </w:p>
    <w:p w:rsidR="00A7606F" w:rsidRPr="007C138E" w:rsidRDefault="00A7606F" w:rsidP="00D34B0F">
      <w:pPr>
        <w:spacing w:line="360" w:lineRule="auto"/>
        <w:rPr>
          <w:rFonts w:ascii="Book Antiqua" w:eastAsia="宋体" w:hAnsi="Book Antiqua"/>
          <w:b/>
          <w:sz w:val="24"/>
          <w:szCs w:val="24"/>
          <w:lang w:eastAsia="zh-CN"/>
        </w:rPr>
      </w:pPr>
    </w:p>
    <w:bookmarkEnd w:id="8"/>
    <w:bookmarkEnd w:id="9"/>
    <w:bookmarkEnd w:id="10"/>
    <w:bookmarkEnd w:id="11"/>
    <w:bookmarkEnd w:id="12"/>
    <w:bookmarkEnd w:id="13"/>
    <w:p w:rsidR="00A7606F" w:rsidRPr="007C138E" w:rsidRDefault="00A7606F" w:rsidP="007C138E">
      <w:pPr>
        <w:wordWrap/>
        <w:adjustRightInd w:val="0"/>
        <w:spacing w:line="360" w:lineRule="auto"/>
        <w:rPr>
          <w:rFonts w:ascii="Book Antiqua" w:eastAsia="宋体" w:hAnsi="Book Antiqua"/>
          <w:b/>
          <w:sz w:val="24"/>
          <w:szCs w:val="24"/>
          <w:lang w:eastAsia="zh-CN"/>
        </w:rPr>
      </w:pPr>
      <w:r w:rsidRPr="007C138E">
        <w:rPr>
          <w:rFonts w:ascii="Book Antiqua" w:eastAsia="宋体" w:hAnsi="Book Antiqua"/>
          <w:b/>
          <w:sz w:val="24"/>
          <w:szCs w:val="24"/>
          <w:lang w:eastAsia="zh-CN"/>
        </w:rPr>
        <w:t>INTRODUCTION</w:t>
      </w:r>
    </w:p>
    <w:p w:rsidR="00A7606F" w:rsidRPr="00C67938" w:rsidRDefault="00A7606F" w:rsidP="007C138E">
      <w:pPr>
        <w:wordWrap/>
        <w:adjustRightInd w:val="0"/>
        <w:spacing w:line="360" w:lineRule="auto"/>
        <w:rPr>
          <w:rFonts w:ascii="Book Antiqua" w:eastAsia="Times New Roman" w:hAnsi="Book Antiqua"/>
          <w:kern w:val="0"/>
          <w:sz w:val="24"/>
          <w:szCs w:val="24"/>
        </w:rPr>
      </w:pPr>
      <w:r w:rsidRPr="00C67938">
        <w:rPr>
          <w:rFonts w:ascii="Book Antiqua" w:hAnsi="Book Antiqua"/>
          <w:sz w:val="24"/>
          <w:szCs w:val="24"/>
        </w:rPr>
        <w:t xml:space="preserve">Hepatocellular carcinoma (HCC) is a common solid cancer and the third most frequent cause of cancer-related mortality worldwide. </w:t>
      </w:r>
      <w:r w:rsidRPr="00C67938">
        <w:rPr>
          <w:rFonts w:ascii="Book Antiqua" w:eastAsia="Times New Roman" w:hAnsi="Book Antiqua"/>
          <w:kern w:val="0"/>
          <w:sz w:val="24"/>
          <w:szCs w:val="24"/>
        </w:rPr>
        <w:t>The 5-year relative survival rate for patients with HCC is only 7%, and very few patients with symptomatic disease survive for &gt;</w:t>
      </w:r>
      <w:r>
        <w:rPr>
          <w:rFonts w:ascii="Book Antiqua" w:eastAsia="宋体" w:hAnsi="Book Antiqua"/>
          <w:kern w:val="0"/>
          <w:sz w:val="24"/>
          <w:szCs w:val="24"/>
          <w:lang w:eastAsia="zh-CN"/>
        </w:rPr>
        <w:t xml:space="preserve"> </w:t>
      </w:r>
      <w:r w:rsidRPr="00C67938">
        <w:rPr>
          <w:rFonts w:ascii="Book Antiqua" w:eastAsia="Times New Roman" w:hAnsi="Book Antiqua"/>
          <w:kern w:val="0"/>
          <w:sz w:val="24"/>
          <w:szCs w:val="24"/>
        </w:rPr>
        <w:t>1 year</w:t>
      </w:r>
      <w:r w:rsidRPr="00C67938">
        <w:rPr>
          <w:rFonts w:ascii="Book Antiqua" w:eastAsia="Times New Roman" w:hAnsi="Book Antiqua"/>
          <w:kern w:val="0"/>
          <w:sz w:val="24"/>
          <w:szCs w:val="24"/>
          <w:vertAlign w:val="superscript"/>
        </w:rPr>
        <w:t>[1]</w:t>
      </w:r>
      <w:r w:rsidRPr="00C67938">
        <w:rPr>
          <w:rFonts w:ascii="Book Antiqua" w:eastAsia="Times New Roman" w:hAnsi="Book Antiqua"/>
          <w:kern w:val="0"/>
          <w:sz w:val="24"/>
          <w:szCs w:val="24"/>
        </w:rPr>
        <w:t xml:space="preserve">. One of the primary reasons for the poor prognosis of patients with HCC is the lack of effective treatment options, especially for those with advanced disease. Although surgery and percutaneous ablation can achieve long-term control in some patients with early HCC, </w:t>
      </w:r>
      <w:r w:rsidRPr="00C67938">
        <w:rPr>
          <w:rFonts w:ascii="Book Antiqua" w:eastAsia="MinionPro-Regular" w:hAnsi="Book Antiqua"/>
          <w:kern w:val="0"/>
          <w:sz w:val="24"/>
          <w:szCs w:val="24"/>
        </w:rPr>
        <w:t>fewer than 40% of patients</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are diagnosed at early stages; hence, only a minority</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of HCC patients are eligible for potentially curative</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therapies, such as resection, transplantation, or percutaneous</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ablation</w:t>
      </w:r>
      <w:r w:rsidRPr="00C67938">
        <w:rPr>
          <w:rFonts w:ascii="Book Antiqua" w:eastAsia="MinionPro-Regular" w:hAnsi="Book Antiqua"/>
          <w:kern w:val="0"/>
          <w:sz w:val="24"/>
          <w:szCs w:val="24"/>
          <w:vertAlign w:val="superscript"/>
        </w:rPr>
        <w:t>[2]</w:t>
      </w:r>
      <w:r w:rsidRPr="00C67938">
        <w:rPr>
          <w:rFonts w:ascii="Book Antiqua" w:eastAsia="MinionPro-Regular" w:hAnsi="Book Antiqua"/>
          <w:kern w:val="0"/>
          <w:sz w:val="24"/>
          <w:szCs w:val="24"/>
        </w:rPr>
        <w:t>. Furthermore, systemic therapies (such</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as standard chemotherapeutic agents) do not provide</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significant efficacy in HCC based on randomized trials</w:t>
      </w:r>
      <w:r w:rsidRPr="00C67938">
        <w:rPr>
          <w:rFonts w:ascii="Book Antiqua" w:eastAsia="MinionPro-Regular" w:hAnsi="Book Antiqua"/>
          <w:kern w:val="0"/>
          <w:sz w:val="24"/>
          <w:szCs w:val="24"/>
          <w:vertAlign w:val="superscript"/>
        </w:rPr>
        <w:t>[3]</w:t>
      </w:r>
      <w:r w:rsidRPr="00C67938">
        <w:rPr>
          <w:rFonts w:ascii="Book Antiqua" w:eastAsia="MinionPro-Regular" w:hAnsi="Book Antiqua"/>
          <w:kern w:val="0"/>
          <w:sz w:val="24"/>
          <w:szCs w:val="24"/>
        </w:rPr>
        <w:t>.</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rPr>
      </w:pPr>
      <w:r w:rsidRPr="00C67938">
        <w:rPr>
          <w:rFonts w:ascii="Book Antiqua" w:eastAsia="Times New Roman" w:hAnsi="Book Antiqua"/>
          <w:kern w:val="0"/>
          <w:sz w:val="24"/>
          <w:szCs w:val="24"/>
        </w:rPr>
        <w:t xml:space="preserve">In recent years, improved knowledge of the oncogenic processes and signaling pathways that regulate tumor cell proliferation, differentiation, angiogenesis, invasion and metastasis has led to the identification of several potential therapeutic targets, which has driven the development of molecularly targeted therapies. </w:t>
      </w:r>
      <w:r w:rsidRPr="00C67938">
        <w:rPr>
          <w:rFonts w:ascii="Book Antiqua" w:eastAsia="GulliverRM" w:hAnsi="Book Antiqua"/>
          <w:kern w:val="0"/>
          <w:sz w:val="24"/>
          <w:szCs w:val="24"/>
        </w:rPr>
        <w:t>An ideal cancer target meets the following criteria: (</w:t>
      </w:r>
      <w:r>
        <w:rPr>
          <w:rFonts w:ascii="Book Antiqua" w:eastAsia="宋体" w:hAnsi="Book Antiqua"/>
          <w:kern w:val="0"/>
          <w:sz w:val="24"/>
          <w:szCs w:val="24"/>
          <w:lang w:eastAsia="zh-CN"/>
        </w:rPr>
        <w:t>1</w:t>
      </w:r>
      <w:r w:rsidRPr="00C67938">
        <w:rPr>
          <w:rFonts w:ascii="Book Antiqua" w:eastAsia="GulliverRM" w:hAnsi="Book Antiqua"/>
          <w:kern w:val="0"/>
          <w:sz w:val="24"/>
          <w:szCs w:val="24"/>
        </w:rPr>
        <w:t>) the target is relatively</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specific for cancer cells (not expressed or</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expressed at very low levels in normal cells but overexpressed</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in cancer cells). Meanwhile, overexpression of the target is associated with</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malignant biological phenotypes and/or poor prognosis; (</w:t>
      </w:r>
      <w:r>
        <w:rPr>
          <w:rFonts w:ascii="Book Antiqua" w:eastAsia="宋体" w:hAnsi="Book Antiqua"/>
          <w:kern w:val="0"/>
          <w:sz w:val="24"/>
          <w:szCs w:val="24"/>
          <w:lang w:eastAsia="zh-CN"/>
        </w:rPr>
        <w:t>2</w:t>
      </w:r>
      <w:r w:rsidRPr="00C67938">
        <w:rPr>
          <w:rFonts w:ascii="Book Antiqua" w:eastAsia="GulliverRM" w:hAnsi="Book Antiqua"/>
          <w:kern w:val="0"/>
          <w:sz w:val="24"/>
          <w:szCs w:val="24"/>
        </w:rPr>
        <w:t>) inhibition of the target is efficacious (the target plays an essential role</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in cancer initiation and progression, and inhibition of expression</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or activity of the target induces growth suppression and/or apoptosis in cancer</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 xml:space="preserve">cells); </w:t>
      </w:r>
      <w:r>
        <w:rPr>
          <w:rFonts w:ascii="Book Antiqua" w:eastAsia="宋体" w:hAnsi="Book Antiqua"/>
          <w:kern w:val="0"/>
          <w:sz w:val="24"/>
          <w:szCs w:val="24"/>
          <w:lang w:eastAsia="zh-CN"/>
        </w:rPr>
        <w:t xml:space="preserve">and </w:t>
      </w:r>
      <w:r w:rsidRPr="00C67938">
        <w:rPr>
          <w:rFonts w:ascii="Book Antiqua" w:eastAsia="GulliverRM" w:hAnsi="Book Antiqua"/>
          <w:kern w:val="0"/>
          <w:sz w:val="24"/>
          <w:szCs w:val="24"/>
        </w:rPr>
        <w:t>(</w:t>
      </w:r>
      <w:r>
        <w:rPr>
          <w:rFonts w:ascii="Book Antiqua" w:eastAsia="宋体" w:hAnsi="Book Antiqua"/>
          <w:kern w:val="0"/>
          <w:sz w:val="24"/>
          <w:szCs w:val="24"/>
          <w:lang w:eastAsia="zh-CN"/>
        </w:rPr>
        <w:t>3</w:t>
      </w:r>
      <w:r w:rsidRPr="00C67938">
        <w:rPr>
          <w:rFonts w:ascii="Book Antiqua" w:eastAsia="GulliverRM" w:hAnsi="Book Antiqua"/>
          <w:kern w:val="0"/>
          <w:sz w:val="24"/>
          <w:szCs w:val="24"/>
        </w:rPr>
        <w:t>) the target is “drugable” as an enzyme (</w:t>
      </w:r>
      <w:r w:rsidRPr="00792137">
        <w:rPr>
          <w:rFonts w:ascii="Book Antiqua" w:eastAsia="GulliverIT" w:hAnsi="Book Antiqua"/>
          <w:i/>
          <w:kern w:val="0"/>
          <w:sz w:val="24"/>
          <w:szCs w:val="24"/>
        </w:rPr>
        <w:t>e.g</w:t>
      </w:r>
      <w:r w:rsidRPr="00C67938">
        <w:rPr>
          <w:rFonts w:ascii="Book Antiqua" w:eastAsia="GulliverIT" w:hAnsi="Book Antiqua"/>
          <w:kern w:val="0"/>
          <w:sz w:val="24"/>
          <w:szCs w:val="24"/>
        </w:rPr>
        <w:t xml:space="preserve">., a </w:t>
      </w:r>
      <w:r w:rsidRPr="00C67938">
        <w:rPr>
          <w:rFonts w:ascii="Book Antiqua" w:eastAsia="GulliverRM" w:hAnsi="Book Antiqua"/>
          <w:kern w:val="0"/>
          <w:sz w:val="24"/>
          <w:szCs w:val="24"/>
        </w:rPr>
        <w:t>kinase)</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or a cell surface molecule (</w:t>
      </w:r>
      <w:r w:rsidRPr="00792137">
        <w:rPr>
          <w:rFonts w:ascii="Book Antiqua" w:eastAsia="GulliverIT" w:hAnsi="Book Antiqua"/>
          <w:i/>
          <w:kern w:val="0"/>
          <w:sz w:val="24"/>
          <w:szCs w:val="24"/>
        </w:rPr>
        <w:t>e.g</w:t>
      </w:r>
      <w:r w:rsidRPr="00C67938">
        <w:rPr>
          <w:rFonts w:ascii="Book Antiqua" w:eastAsia="GulliverIT" w:hAnsi="Book Antiqua"/>
          <w:kern w:val="0"/>
          <w:sz w:val="24"/>
          <w:szCs w:val="24"/>
        </w:rPr>
        <w:t xml:space="preserve">., a </w:t>
      </w:r>
      <w:r w:rsidRPr="00C67938">
        <w:rPr>
          <w:rFonts w:ascii="Book Antiqua" w:eastAsia="GulliverRM" w:hAnsi="Book Antiqua"/>
          <w:kern w:val="0"/>
          <w:sz w:val="24"/>
          <w:szCs w:val="24"/>
        </w:rPr>
        <w:t>membrane-bound receptor) that</w:t>
      </w:r>
      <w:r w:rsidRPr="00C67938">
        <w:rPr>
          <w:rFonts w:ascii="Book Antiqua" w:eastAsia="Times New Roman" w:hAnsi="Book Antiqua"/>
          <w:kern w:val="0"/>
          <w:sz w:val="24"/>
          <w:szCs w:val="24"/>
        </w:rPr>
        <w:t xml:space="preserve"> </w:t>
      </w:r>
      <w:r w:rsidRPr="00C67938">
        <w:rPr>
          <w:rFonts w:ascii="Book Antiqua" w:eastAsia="GulliverRM" w:hAnsi="Book Antiqua"/>
          <w:kern w:val="0"/>
          <w:sz w:val="24"/>
          <w:szCs w:val="24"/>
        </w:rPr>
        <w:t>can be easily screened for small-molecule inhibitors or targeted by a specific antibody</w:t>
      </w:r>
      <w:r w:rsidRPr="00C67938">
        <w:rPr>
          <w:rFonts w:ascii="Book Antiqua" w:eastAsia="GulliverRM" w:hAnsi="Book Antiqua"/>
          <w:kern w:val="0"/>
          <w:sz w:val="24"/>
          <w:szCs w:val="24"/>
          <w:vertAlign w:val="superscript"/>
        </w:rPr>
        <w:t>[4]</w:t>
      </w:r>
      <w:r w:rsidRPr="00C67938">
        <w:rPr>
          <w:rFonts w:ascii="Book Antiqua" w:eastAsia="GulliverRM"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hAnsi="Book Antiqua"/>
          <w:kern w:val="0"/>
          <w:sz w:val="24"/>
          <w:szCs w:val="24"/>
        </w:rPr>
      </w:pPr>
      <w:r w:rsidRPr="00C67938">
        <w:rPr>
          <w:rFonts w:ascii="Book Antiqua" w:hAnsi="Book Antiqua"/>
          <w:kern w:val="0"/>
          <w:sz w:val="24"/>
          <w:szCs w:val="24"/>
        </w:rPr>
        <w:t xml:space="preserve">The aim of this article is to review the efforts to </w:t>
      </w:r>
      <w:r w:rsidRPr="00C67938">
        <w:rPr>
          <w:rFonts w:ascii="Book Antiqua" w:eastAsia="Times New Roman" w:hAnsi="Book Antiqua"/>
          <w:kern w:val="0"/>
          <w:sz w:val="24"/>
          <w:szCs w:val="24"/>
        </w:rPr>
        <w:t>target molecular components of the signaling pathways that are</w:t>
      </w:r>
      <w:r w:rsidRPr="00C67938">
        <w:rPr>
          <w:rFonts w:ascii="Book Antiqua" w:hAnsi="Book Antiqua"/>
          <w:kern w:val="0"/>
          <w:sz w:val="24"/>
          <w:szCs w:val="24"/>
        </w:rPr>
        <w:t xml:space="preserve"> responsible for the development and progression of HCC and to </w:t>
      </w:r>
      <w:r w:rsidRPr="00C67938">
        <w:rPr>
          <w:rFonts w:ascii="Book Antiqua" w:eastAsia="Times New Roman" w:hAnsi="Book Antiqua"/>
          <w:kern w:val="0"/>
          <w:sz w:val="24"/>
          <w:szCs w:val="24"/>
        </w:rPr>
        <w:t>summarize the evidence for the clinical activity of these agents in</w:t>
      </w:r>
      <w:r w:rsidRPr="00C67938">
        <w:rPr>
          <w:rFonts w:ascii="Book Antiqua" w:hAnsi="Book Antiqua"/>
          <w:kern w:val="0"/>
          <w:sz w:val="24"/>
          <w:szCs w:val="24"/>
        </w:rPr>
        <w:t xml:space="preserve"> </w:t>
      </w:r>
      <w:r w:rsidRPr="00C67938">
        <w:rPr>
          <w:rFonts w:ascii="Book Antiqua" w:eastAsia="Times New Roman" w:hAnsi="Book Antiqua"/>
          <w:kern w:val="0"/>
          <w:sz w:val="24"/>
          <w:szCs w:val="24"/>
        </w:rPr>
        <w:t xml:space="preserve">patients with HCC. </w:t>
      </w:r>
    </w:p>
    <w:p w:rsidR="00A7606F" w:rsidRPr="00C67938" w:rsidRDefault="00A7606F" w:rsidP="00C67938">
      <w:pPr>
        <w:wordWrap/>
        <w:adjustRightInd w:val="0"/>
        <w:spacing w:line="360" w:lineRule="auto"/>
        <w:rPr>
          <w:rFonts w:ascii="Book Antiqua" w:hAnsi="Book Antiqua" w:cs="AdvP4B06EF"/>
          <w:kern w:val="0"/>
          <w:sz w:val="24"/>
          <w:szCs w:val="24"/>
        </w:rPr>
      </w:pPr>
    </w:p>
    <w:p w:rsidR="00A7606F" w:rsidRPr="00C67938" w:rsidRDefault="00A7606F" w:rsidP="00C67938">
      <w:pPr>
        <w:wordWrap/>
        <w:adjustRightInd w:val="0"/>
        <w:spacing w:line="360" w:lineRule="auto"/>
        <w:rPr>
          <w:rFonts w:ascii="Book Antiqua" w:eastAsia="AdvTimes-b" w:hAnsi="Book Antiqua"/>
          <w:b/>
          <w:kern w:val="0"/>
          <w:sz w:val="24"/>
          <w:szCs w:val="24"/>
        </w:rPr>
      </w:pPr>
      <w:r w:rsidRPr="00C67938">
        <w:rPr>
          <w:rFonts w:ascii="Book Antiqua" w:hAnsi="Book Antiqua"/>
          <w:b/>
          <w:kern w:val="0"/>
          <w:sz w:val="24"/>
          <w:szCs w:val="24"/>
        </w:rPr>
        <w:t xml:space="preserve">HCC DEVELOPMENT AND </w:t>
      </w:r>
      <w:r w:rsidRPr="00C67938">
        <w:rPr>
          <w:rFonts w:ascii="Book Antiqua" w:eastAsia="AdvTimes-b" w:hAnsi="Book Antiqua"/>
          <w:b/>
          <w:kern w:val="0"/>
          <w:sz w:val="24"/>
          <w:szCs w:val="24"/>
        </w:rPr>
        <w:t xml:space="preserve">SIGNALING PATHWAYS </w:t>
      </w:r>
    </w:p>
    <w:p w:rsidR="00A7606F" w:rsidRPr="00C67938" w:rsidRDefault="00A7606F" w:rsidP="00943786">
      <w:pPr>
        <w:wordWrap/>
        <w:adjustRightInd w:val="0"/>
        <w:spacing w:line="360" w:lineRule="auto"/>
        <w:rPr>
          <w:rFonts w:ascii="Book Antiqua" w:hAnsi="Book Antiqua"/>
          <w:kern w:val="0"/>
          <w:sz w:val="24"/>
          <w:szCs w:val="24"/>
        </w:rPr>
      </w:pPr>
      <w:r w:rsidRPr="00C67938">
        <w:rPr>
          <w:rFonts w:ascii="Book Antiqua" w:hAnsi="Book Antiqua"/>
          <w:kern w:val="0"/>
          <w:sz w:val="24"/>
          <w:szCs w:val="24"/>
        </w:rPr>
        <w:t>Hepatocarcinogenesis is a multistep process initiated by external stimuli that lead to genetic changes in hepatocytes or stem cells, resulting in proliferation, apoptosis, dysplasia and neoplasia. The majority of HCC cases are related to chronic viral infections. However, the mechanisms by which hepatitis B virus (HBV) or hepatitis C virus (HCV) induce malignant transformation seem to differ. HBV DNA integrates into the host genome, inducing chromosome instability and insertional mutations that may activate various oncogenes, such as cyclin A</w:t>
      </w:r>
      <w:r w:rsidRPr="00C67938">
        <w:rPr>
          <w:rFonts w:ascii="Book Antiqua" w:hAnsi="Book Antiqua"/>
          <w:kern w:val="0"/>
          <w:sz w:val="24"/>
          <w:szCs w:val="24"/>
          <w:vertAlign w:val="superscript"/>
        </w:rPr>
        <w:t>[5-7]</w:t>
      </w:r>
      <w:r w:rsidRPr="00C67938">
        <w:rPr>
          <w:rFonts w:ascii="Book Antiqua" w:hAnsi="Book Antiqua"/>
          <w:kern w:val="0"/>
          <w:sz w:val="24"/>
          <w:szCs w:val="24"/>
        </w:rPr>
        <w:t>. Viral proteins, in particular X protein (HBx), act as transactivators to upregulate several oncogenes (such as c-myc and c-jun) and transcriptional factors (such as NF-kB)</w:t>
      </w:r>
      <w:r w:rsidRPr="003814C6">
        <w:rPr>
          <w:rFonts w:ascii="Book Antiqua" w:hAnsi="Book Antiqua"/>
          <w:kern w:val="0"/>
          <w:sz w:val="24"/>
          <w:szCs w:val="24"/>
          <w:vertAlign w:val="superscript"/>
        </w:rPr>
        <w:t xml:space="preserve"> </w:t>
      </w:r>
      <w:r w:rsidRPr="00C67938">
        <w:rPr>
          <w:rFonts w:ascii="Book Antiqua" w:hAnsi="Book Antiqua"/>
          <w:kern w:val="0"/>
          <w:sz w:val="24"/>
          <w:szCs w:val="24"/>
          <w:vertAlign w:val="superscript"/>
        </w:rPr>
        <w:t>[8-10]</w:t>
      </w:r>
      <w:r w:rsidRPr="00C67938">
        <w:rPr>
          <w:rFonts w:ascii="Book Antiqua" w:hAnsi="Book Antiqua"/>
          <w:kern w:val="0"/>
          <w:sz w:val="24"/>
          <w:szCs w:val="24"/>
        </w:rPr>
        <w:t>. Additionally, HBx activates promoters of genes encoding IL-8, tumor necrosis factor (TNF), transforming growth factor (TGF)-ß and epidermal growth factor receptor (EGFR).</w:t>
      </w:r>
      <w:r w:rsidRPr="00C67938">
        <w:rPr>
          <w:rFonts w:ascii="Book Antiqua" w:hAnsi="Book Antiqua"/>
          <w:kern w:val="0"/>
          <w:sz w:val="24"/>
          <w:szCs w:val="24"/>
          <w:vertAlign w:val="superscript"/>
        </w:rPr>
        <w:t>[11]</w:t>
      </w:r>
      <w:r w:rsidRPr="00C67938">
        <w:rPr>
          <w:rFonts w:ascii="Book Antiqua" w:hAnsi="Book Antiqua"/>
          <w:kern w:val="0"/>
          <w:sz w:val="24"/>
          <w:szCs w:val="24"/>
        </w:rPr>
        <w:t xml:space="preserve"> HBx can also stimulate several signal transduction pathways, including the JAK/STAT, RAS/ RAF/MAPK, and Wnt/ß-catenin pathways</w:t>
      </w:r>
      <w:r w:rsidRPr="00C67938">
        <w:rPr>
          <w:rFonts w:ascii="Book Antiqua" w:hAnsi="Book Antiqua"/>
          <w:kern w:val="0"/>
          <w:sz w:val="24"/>
          <w:szCs w:val="24"/>
          <w:vertAlign w:val="superscript"/>
        </w:rPr>
        <w:t>[12-14]</w:t>
      </w:r>
      <w:r w:rsidRPr="00C67938">
        <w:rPr>
          <w:rFonts w:ascii="Book Antiqua"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hAnsi="Book Antiqua"/>
          <w:kern w:val="0"/>
          <w:sz w:val="24"/>
          <w:szCs w:val="24"/>
        </w:rPr>
      </w:pPr>
      <w:r w:rsidRPr="00C67938">
        <w:rPr>
          <w:rFonts w:ascii="Book Antiqua" w:hAnsi="Book Antiqua"/>
          <w:kern w:val="0"/>
          <w:sz w:val="24"/>
          <w:szCs w:val="24"/>
        </w:rPr>
        <w:t>The contributions of HCV to hepatocarcinogenesis are mediated by viral proteins, including core, NS3 and NS</w:t>
      </w:r>
      <w:smartTag w:uri="urn:schemas-microsoft-com:office:smarttags" w:element="State">
        <w:r w:rsidRPr="00C67938">
          <w:rPr>
            <w:rFonts w:ascii="Book Antiqua" w:hAnsi="Book Antiqua"/>
            <w:kern w:val="0"/>
            <w:sz w:val="24"/>
            <w:szCs w:val="24"/>
          </w:rPr>
          <w:t>5A</w:t>
        </w:r>
      </w:smartTag>
      <w:r w:rsidRPr="00C67938">
        <w:rPr>
          <w:rFonts w:ascii="Book Antiqua" w:hAnsi="Book Antiqua"/>
          <w:kern w:val="0"/>
          <w:sz w:val="24"/>
          <w:szCs w:val="24"/>
        </w:rPr>
        <w:t xml:space="preserve"> proteins. HCV core protein can promote apoptosis or cell proliferation through interaction with p53 or upregulation of Wnt-1 at the transcriptional level</w:t>
      </w:r>
      <w:r w:rsidRPr="00C67938">
        <w:rPr>
          <w:rFonts w:ascii="Book Antiqua" w:hAnsi="Book Antiqua"/>
          <w:kern w:val="0"/>
          <w:sz w:val="24"/>
          <w:szCs w:val="24"/>
          <w:vertAlign w:val="superscript"/>
        </w:rPr>
        <w:t>[15,16]</w:t>
      </w:r>
      <w:r w:rsidRPr="00C67938">
        <w:rPr>
          <w:rFonts w:ascii="Book Antiqua" w:hAnsi="Book Antiqua"/>
          <w:kern w:val="0"/>
          <w:sz w:val="24"/>
          <w:szCs w:val="24"/>
        </w:rPr>
        <w:t>. NS</w:t>
      </w:r>
      <w:smartTag w:uri="urn:schemas-microsoft-com:office:smarttags" w:element="State">
        <w:r w:rsidRPr="00C67938">
          <w:rPr>
            <w:rFonts w:ascii="Book Antiqua" w:hAnsi="Book Antiqua"/>
            <w:kern w:val="0"/>
            <w:sz w:val="24"/>
            <w:szCs w:val="24"/>
          </w:rPr>
          <w:t>4A</w:t>
        </w:r>
      </w:smartTag>
      <w:r w:rsidRPr="00C67938">
        <w:rPr>
          <w:rFonts w:ascii="Book Antiqua" w:hAnsi="Book Antiqua"/>
          <w:kern w:val="0"/>
          <w:sz w:val="24"/>
          <w:szCs w:val="24"/>
        </w:rPr>
        <w:t xml:space="preserve"> and NS4B proteins mediate translational inhibition and degradation of various cellular proteins</w:t>
      </w:r>
      <w:r w:rsidRPr="00C67938">
        <w:rPr>
          <w:rFonts w:ascii="Book Antiqua" w:hAnsi="Book Antiqua"/>
          <w:kern w:val="0"/>
          <w:sz w:val="24"/>
          <w:szCs w:val="24"/>
          <w:vertAlign w:val="superscript"/>
        </w:rPr>
        <w:t>[17]</w:t>
      </w:r>
      <w:r w:rsidRPr="00C67938">
        <w:rPr>
          <w:rFonts w:ascii="Book Antiqua" w:hAnsi="Book Antiqua"/>
          <w:kern w:val="0"/>
          <w:sz w:val="24"/>
          <w:szCs w:val="24"/>
        </w:rPr>
        <w:t>. Cirrhosis is present in approximately 80%</w:t>
      </w:r>
      <w:r>
        <w:rPr>
          <w:rFonts w:ascii="Book Antiqua" w:hAnsi="Book Antiqua"/>
          <w:kern w:val="0"/>
          <w:sz w:val="24"/>
          <w:szCs w:val="24"/>
        </w:rPr>
        <w:t>–</w:t>
      </w:r>
      <w:r w:rsidRPr="00C67938">
        <w:rPr>
          <w:rFonts w:ascii="Book Antiqua" w:hAnsi="Book Antiqua"/>
          <w:kern w:val="0"/>
          <w:sz w:val="24"/>
          <w:szCs w:val="24"/>
        </w:rPr>
        <w:t>90% of HCC patients and constitutes the largest single risk factor. In cirrhotic liver, changes in fat metabolism associated with the activation of adipocyte-like pathways are thought to be involved in neoplastic transformation</w:t>
      </w:r>
      <w:r w:rsidRPr="00C67938">
        <w:rPr>
          <w:rFonts w:ascii="Book Antiqua" w:hAnsi="Book Antiqua"/>
          <w:kern w:val="0"/>
          <w:sz w:val="24"/>
          <w:szCs w:val="24"/>
          <w:vertAlign w:val="superscript"/>
        </w:rPr>
        <w:t>[18]</w:t>
      </w:r>
      <w:r w:rsidRPr="00C67938">
        <w:rPr>
          <w:rFonts w:ascii="Book Antiqua" w:hAnsi="Book Antiqua"/>
          <w:kern w:val="0"/>
          <w:sz w:val="24"/>
          <w:szCs w:val="24"/>
        </w:rPr>
        <w:t xml:space="preserve">. </w:t>
      </w:r>
    </w:p>
    <w:p w:rsidR="00A7606F" w:rsidRPr="00C67938" w:rsidRDefault="00A7606F" w:rsidP="00C67938">
      <w:pPr>
        <w:wordWrap/>
        <w:adjustRightInd w:val="0"/>
        <w:spacing w:line="360" w:lineRule="auto"/>
        <w:rPr>
          <w:rFonts w:ascii="Book Antiqua" w:eastAsia="MinionPro-It" w:hAnsi="Book Antiqua"/>
          <w:b/>
          <w:iCs/>
          <w:kern w:val="0"/>
          <w:sz w:val="24"/>
          <w:szCs w:val="24"/>
        </w:rPr>
      </w:pPr>
    </w:p>
    <w:p w:rsidR="00A7606F" w:rsidRPr="00C67938" w:rsidRDefault="00A7606F" w:rsidP="00C67938">
      <w:pPr>
        <w:wordWrap/>
        <w:adjustRightInd w:val="0"/>
        <w:spacing w:line="360" w:lineRule="auto"/>
        <w:rPr>
          <w:rFonts w:ascii="Book Antiqua" w:eastAsia="MinionPro-It" w:hAnsi="Book Antiqua"/>
          <w:b/>
          <w:iCs/>
          <w:kern w:val="0"/>
          <w:sz w:val="24"/>
          <w:szCs w:val="24"/>
        </w:rPr>
      </w:pPr>
      <w:r w:rsidRPr="00C67938">
        <w:rPr>
          <w:rFonts w:ascii="Book Antiqua" w:eastAsia="MinionPro-It" w:hAnsi="Book Antiqua"/>
          <w:b/>
          <w:iCs/>
          <w:kern w:val="0"/>
          <w:sz w:val="24"/>
          <w:szCs w:val="24"/>
        </w:rPr>
        <w:t>MAPK PATHWAY (RAS/RAF/MEK/ERK)</w:t>
      </w:r>
    </w:p>
    <w:p w:rsidR="00A7606F" w:rsidRPr="00C67938" w:rsidRDefault="00A7606F" w:rsidP="00FF37DB">
      <w:pPr>
        <w:wordWrap/>
        <w:adjustRightInd w:val="0"/>
        <w:spacing w:line="360" w:lineRule="auto"/>
        <w:rPr>
          <w:rFonts w:ascii="Book Antiqua" w:hAnsi="Book Antiqua"/>
          <w:kern w:val="0"/>
          <w:sz w:val="24"/>
          <w:szCs w:val="24"/>
        </w:rPr>
      </w:pPr>
      <w:r w:rsidRPr="00C67938">
        <w:rPr>
          <w:rFonts w:ascii="Book Antiqua" w:hAnsi="Book Antiqua"/>
          <w:kern w:val="0"/>
          <w:sz w:val="24"/>
          <w:szCs w:val="24"/>
        </w:rPr>
        <w:t xml:space="preserve">The Raf/MAPK/ERK pathway is an important pro-survival signaling pathway </w:t>
      </w:r>
      <w:r w:rsidRPr="00C67938">
        <w:rPr>
          <w:rFonts w:ascii="Book Antiqua" w:eastAsia="MinionPro-Regular" w:hAnsi="Book Antiqua"/>
          <w:kern w:val="0"/>
          <w:sz w:val="24"/>
          <w:szCs w:val="24"/>
        </w:rPr>
        <w:t>that is primarily involved in cell growth and survival and regulates cell differentiation</w:t>
      </w:r>
      <w:r w:rsidRPr="00C67938">
        <w:rPr>
          <w:rFonts w:ascii="Book Antiqua" w:hAnsi="Book Antiqua"/>
          <w:kern w:val="0"/>
          <w:sz w:val="24"/>
          <w:szCs w:val="24"/>
        </w:rPr>
        <w:t xml:space="preserve">. This pathway transduces extracellular signals form membrane-bound tyrosine kinase receptors, such as EGFR, insulin-like growth factor receptor (IGFR), vascular endothelial growth factor receptor (VEGFR), c-Met and platelet-derived growth factor receptor (PDGFR), to the nucleus. </w:t>
      </w:r>
      <w:r w:rsidRPr="00C67938">
        <w:rPr>
          <w:rFonts w:ascii="Book Antiqua" w:eastAsia="Times New Roman" w:hAnsi="Book Antiqua"/>
          <w:kern w:val="0"/>
          <w:sz w:val="24"/>
          <w:szCs w:val="24"/>
        </w:rPr>
        <w:t>Growth factor binding results in receptor phosphorylation, which activates an adapter molecule</w:t>
      </w:r>
      <w:r w:rsidRPr="00C67938">
        <w:rPr>
          <w:rFonts w:ascii="Book Antiqua" w:hAnsi="Book Antiqua"/>
          <w:kern w:val="0"/>
          <w:sz w:val="24"/>
          <w:szCs w:val="24"/>
        </w:rPr>
        <w:t xml:space="preserve"> </w:t>
      </w:r>
      <w:r w:rsidRPr="00C67938">
        <w:rPr>
          <w:rFonts w:ascii="Book Antiqua" w:eastAsia="Times New Roman" w:hAnsi="Book Antiqua"/>
          <w:kern w:val="0"/>
          <w:sz w:val="24"/>
          <w:szCs w:val="24"/>
        </w:rPr>
        <w:t>complex known as GRB2/SHC/SOS. This sequence in turn activates the RAF/MEK/ERK pathway, which triggers a cascade of specific phosphorylation events</w:t>
      </w:r>
      <w:r w:rsidRPr="00C67938">
        <w:rPr>
          <w:rFonts w:ascii="Book Antiqua" w:eastAsia="Times New Roman" w:hAnsi="Book Antiqua"/>
          <w:kern w:val="0"/>
          <w:sz w:val="24"/>
          <w:szCs w:val="24"/>
          <w:vertAlign w:val="superscript"/>
        </w:rPr>
        <w:t>[19]</w:t>
      </w:r>
      <w:r w:rsidRPr="00C67938">
        <w:rPr>
          <w:rFonts w:ascii="Book Antiqua" w:eastAsia="Times New Roman" w:hAnsi="Book Antiqua"/>
          <w:kern w:val="0"/>
          <w:sz w:val="24"/>
          <w:szCs w:val="24"/>
        </w:rPr>
        <w:t>. Within this pathway, the small GTPase RAS and the serine/threonine kinase Raf are the key signal regulators</w:t>
      </w:r>
      <w:r w:rsidRPr="00C67938">
        <w:rPr>
          <w:rFonts w:ascii="Book Antiqua" w:eastAsia="Times New Roman" w:hAnsi="Book Antiqua"/>
          <w:kern w:val="0"/>
          <w:sz w:val="24"/>
          <w:szCs w:val="24"/>
          <w:vertAlign w:val="superscript"/>
        </w:rPr>
        <w:t>[20]</w:t>
      </w:r>
      <w:r w:rsidRPr="00C67938">
        <w:rPr>
          <w:rFonts w:ascii="Book Antiqua" w:eastAsia="Times New Roman" w:hAnsi="Book Antiqua"/>
          <w:kern w:val="0"/>
          <w:sz w:val="24"/>
          <w:szCs w:val="24"/>
        </w:rPr>
        <w:t>. Intermediate signaling</w:t>
      </w:r>
      <w:r w:rsidRPr="00C67938">
        <w:rPr>
          <w:rFonts w:ascii="Book Antiqua" w:hAnsi="Book Antiqua"/>
          <w:kern w:val="0"/>
          <w:sz w:val="24"/>
          <w:szCs w:val="24"/>
        </w:rPr>
        <w:t xml:space="preserve"> </w:t>
      </w:r>
      <w:r w:rsidRPr="00C67938">
        <w:rPr>
          <w:rFonts w:ascii="Book Antiqua" w:eastAsia="Times New Roman" w:hAnsi="Book Antiqua"/>
          <w:kern w:val="0"/>
          <w:sz w:val="24"/>
          <w:szCs w:val="24"/>
        </w:rPr>
        <w:t>is regulated by mitogen/extracellular protein kinase (MEK)1 and MEK2, which are responsible for phosphorylating and activating the final downstream signaling molecules extracellular-regulated protein kinases (ERK)1 and ERK2.</w:t>
      </w:r>
      <w:r w:rsidRPr="00C67938">
        <w:rPr>
          <w:rFonts w:ascii="Book Antiqua" w:eastAsia="Times New Roman" w:hAnsi="Book Antiqua"/>
          <w:kern w:val="0"/>
          <w:sz w:val="24"/>
          <w:szCs w:val="24"/>
          <w:vertAlign w:val="superscript"/>
        </w:rPr>
        <w:t>[21]</w:t>
      </w:r>
      <w:r w:rsidRPr="00C67938">
        <w:rPr>
          <w:rFonts w:ascii="Book Antiqua" w:eastAsia="Times New Roman" w:hAnsi="Book Antiqua"/>
          <w:kern w:val="0"/>
          <w:sz w:val="24"/>
          <w:szCs w:val="24"/>
        </w:rPr>
        <w:t xml:space="preserve"> ERK1/2 regulates cellular activity by acting on more than 100 substrates in the cytoplasm and nucleus. RAS also regulates the PI3K/AKT/mTOR pathway, the phospholipase C/protein kinase C pathway and the RALGDS (ral guanine nucleotide dissociation stimulator) pathway</w:t>
      </w:r>
      <w:r w:rsidRPr="00C67938">
        <w:rPr>
          <w:rFonts w:ascii="Book Antiqua" w:eastAsia="Times New Roman" w:hAnsi="Book Antiqua"/>
          <w:kern w:val="0"/>
          <w:sz w:val="24"/>
          <w:szCs w:val="24"/>
          <w:vertAlign w:val="superscript"/>
        </w:rPr>
        <w:t>[22,23]</w:t>
      </w:r>
      <w:r w:rsidRPr="00C67938">
        <w:rPr>
          <w:rFonts w:ascii="Book Antiqua" w:eastAsia="Times New Roman"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hAnsi="Book Antiqua"/>
          <w:kern w:val="0"/>
          <w:sz w:val="24"/>
          <w:szCs w:val="24"/>
        </w:rPr>
      </w:pPr>
      <w:r w:rsidRPr="00C67938">
        <w:rPr>
          <w:rFonts w:ascii="Book Antiqua" w:hAnsi="Book Antiqua"/>
          <w:kern w:val="0"/>
          <w:sz w:val="24"/>
          <w:szCs w:val="24"/>
        </w:rPr>
        <w:t>Up-regulated activation of the Raf/MAPK/ERK signaling pathway has been well documented in HCC and correlates with advanced stage</w:t>
      </w:r>
      <w:r w:rsidRPr="00C67938">
        <w:rPr>
          <w:rFonts w:ascii="Book Antiqua" w:hAnsi="Book Antiqua"/>
          <w:kern w:val="0"/>
          <w:sz w:val="24"/>
          <w:szCs w:val="24"/>
          <w:vertAlign w:val="superscript"/>
        </w:rPr>
        <w:t>[24,25]</w:t>
      </w:r>
      <w:r w:rsidRPr="00C67938">
        <w:rPr>
          <w:rFonts w:ascii="Book Antiqua" w:hAnsi="Book Antiqua"/>
          <w:kern w:val="0"/>
          <w:sz w:val="24"/>
          <w:szCs w:val="24"/>
        </w:rPr>
        <w:t>. Mechanisms for the increased activity of the Raf/MAPK/ERK signaling pathway in HCC include down-regulation of Raf kinase inhibitor protein (a suppressor of the Raf/MAPK/ERK pathway) and induction by hepatitis viral proteins (such as the hepatitis B X protein and the hepatitis C core protein)</w:t>
      </w:r>
      <w:r w:rsidRPr="00C67938">
        <w:rPr>
          <w:rFonts w:ascii="Book Antiqua" w:hAnsi="Book Antiqua"/>
          <w:kern w:val="0"/>
          <w:sz w:val="24"/>
          <w:szCs w:val="24"/>
          <w:vertAlign w:val="superscript"/>
        </w:rPr>
        <w:t>[26-28]</w:t>
      </w:r>
      <w:r w:rsidRPr="00C67938">
        <w:rPr>
          <w:rFonts w:ascii="Book Antiqua" w:hAnsi="Book Antiqua"/>
          <w:kern w:val="0"/>
          <w:sz w:val="24"/>
          <w:szCs w:val="24"/>
        </w:rPr>
        <w:t>.</w:t>
      </w:r>
    </w:p>
    <w:p w:rsidR="00A7606F" w:rsidRPr="00C67938" w:rsidRDefault="00A7606F" w:rsidP="00C67938">
      <w:pPr>
        <w:wordWrap/>
        <w:adjustRightInd w:val="0"/>
        <w:spacing w:line="360" w:lineRule="auto"/>
        <w:ind w:firstLine="800"/>
        <w:rPr>
          <w:rFonts w:ascii="Book Antiqua" w:eastAsia="MinionPro-Regular" w:hAnsi="Book Antiqua"/>
          <w:kern w:val="0"/>
          <w:sz w:val="24"/>
          <w:szCs w:val="24"/>
        </w:rPr>
      </w:pPr>
      <w:r w:rsidRPr="00C67938">
        <w:rPr>
          <w:rFonts w:ascii="Book Antiqua" w:eastAsia="MinionPro-Regular" w:hAnsi="Book Antiqua"/>
          <w:kern w:val="0"/>
          <w:sz w:val="24"/>
          <w:szCs w:val="24"/>
        </w:rPr>
        <w:t>Targeting Raf kinase is one of the most promising targeted approaches for the treatment of HCC. Sorafenib has strong inhibitory activity against Raf-1 (C-Raf) kinase and</w:t>
      </w:r>
      <w:r w:rsidRPr="00C67938">
        <w:rPr>
          <w:rFonts w:ascii="Book Antiqua" w:hAnsi="Book Antiqua"/>
          <w:kern w:val="0"/>
          <w:sz w:val="24"/>
          <w:szCs w:val="24"/>
        </w:rPr>
        <w:t xml:space="preserve"> </w:t>
      </w:r>
      <w:r w:rsidRPr="00C67938">
        <w:rPr>
          <w:rFonts w:ascii="Book Antiqua" w:eastAsia="MinionPro-Regular" w:hAnsi="Book Antiqua"/>
          <w:kern w:val="0"/>
          <w:sz w:val="24"/>
          <w:szCs w:val="24"/>
        </w:rPr>
        <w:t>B-Raf (wild-type B-Raf and mutant V600E B-Raf)</w:t>
      </w:r>
      <w:r w:rsidRPr="00C67938">
        <w:rPr>
          <w:rFonts w:ascii="Book Antiqua" w:hAnsi="Book Antiqua"/>
          <w:kern w:val="0"/>
          <w:sz w:val="24"/>
          <w:szCs w:val="24"/>
        </w:rPr>
        <w:t xml:space="preserve"> and has been shown to inhibit other </w:t>
      </w:r>
      <w:r w:rsidRPr="00C67938">
        <w:rPr>
          <w:rFonts w:ascii="Book Antiqua" w:eastAsia="MinionPro-Regular" w:hAnsi="Book Antiqua"/>
          <w:kern w:val="0"/>
          <w:sz w:val="24"/>
          <w:szCs w:val="24"/>
        </w:rPr>
        <w:t>serine/threonine kinases, the pro-angiogenic receptor tyrosine</w:t>
      </w:r>
      <w:r w:rsidRPr="00C67938">
        <w:rPr>
          <w:rFonts w:ascii="Book Antiqua" w:hAnsi="Book Antiqua"/>
          <w:kern w:val="0"/>
          <w:sz w:val="24"/>
          <w:szCs w:val="24"/>
        </w:rPr>
        <w:t xml:space="preserve"> </w:t>
      </w:r>
      <w:r w:rsidRPr="00C67938">
        <w:rPr>
          <w:rFonts w:ascii="Book Antiqua" w:eastAsia="MinionPro-Regular" w:hAnsi="Book Antiqua"/>
          <w:kern w:val="0"/>
          <w:sz w:val="24"/>
          <w:szCs w:val="24"/>
        </w:rPr>
        <w:t>kinases VEGFR, PDGFR and FGFR1, and tyrosine</w:t>
      </w:r>
      <w:r w:rsidRPr="00C67938">
        <w:rPr>
          <w:rFonts w:ascii="Book Antiqua" w:hAnsi="Book Antiqua"/>
          <w:kern w:val="0"/>
          <w:sz w:val="24"/>
          <w:szCs w:val="24"/>
        </w:rPr>
        <w:t xml:space="preserve"> </w:t>
      </w:r>
      <w:r w:rsidRPr="00C67938">
        <w:rPr>
          <w:rFonts w:ascii="Book Antiqua" w:eastAsia="MinionPro-Regular" w:hAnsi="Book Antiqua"/>
          <w:kern w:val="0"/>
          <w:sz w:val="24"/>
          <w:szCs w:val="24"/>
        </w:rPr>
        <w:t>kinases such as c-kit, Flt-3 and RET, which are involved</w:t>
      </w:r>
      <w:r w:rsidRPr="00C67938">
        <w:rPr>
          <w:rFonts w:ascii="Book Antiqua" w:hAnsi="Book Antiqua"/>
          <w:kern w:val="0"/>
          <w:sz w:val="24"/>
          <w:szCs w:val="24"/>
        </w:rPr>
        <w:t xml:space="preserve"> </w:t>
      </w:r>
      <w:r w:rsidRPr="00C67938">
        <w:rPr>
          <w:rFonts w:ascii="Book Antiqua" w:eastAsia="MinionPro-Regular" w:hAnsi="Book Antiqua"/>
          <w:kern w:val="0"/>
          <w:sz w:val="24"/>
          <w:szCs w:val="24"/>
        </w:rPr>
        <w:t>in tumor progression and overall prognosis</w:t>
      </w:r>
      <w:r w:rsidRPr="00C67938">
        <w:rPr>
          <w:rFonts w:ascii="Book Antiqua" w:eastAsia="MinionPro-Regular" w:hAnsi="Book Antiqua"/>
          <w:kern w:val="0"/>
          <w:sz w:val="24"/>
          <w:szCs w:val="24"/>
          <w:vertAlign w:val="superscript"/>
        </w:rPr>
        <w:t>[29]</w:t>
      </w:r>
      <w:r w:rsidRPr="00C67938">
        <w:rPr>
          <w:rFonts w:ascii="Book Antiqua" w:eastAsia="MinionPro-Regular"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eastAsia="AdvP4DF60E" w:hAnsi="Book Antiqua"/>
          <w:kern w:val="0"/>
          <w:sz w:val="24"/>
          <w:szCs w:val="24"/>
        </w:rPr>
      </w:pPr>
      <w:r w:rsidRPr="00C67938">
        <w:rPr>
          <w:rFonts w:ascii="Book Antiqua" w:hAnsi="Book Antiqua"/>
          <w:sz w:val="24"/>
          <w:szCs w:val="24"/>
        </w:rPr>
        <w:t xml:space="preserve">Selumetinib </w:t>
      </w:r>
      <w:r w:rsidRPr="00C67938">
        <w:rPr>
          <w:rFonts w:ascii="Book Antiqua" w:eastAsia="AdvP4DF60E" w:hAnsi="Book Antiqua"/>
          <w:kern w:val="0"/>
          <w:sz w:val="24"/>
          <w:szCs w:val="24"/>
        </w:rPr>
        <w:t>(AZD6244)</w:t>
      </w:r>
      <w:r w:rsidRPr="00C67938">
        <w:rPr>
          <w:rFonts w:ascii="Book Antiqua" w:hAnsi="Book Antiqua"/>
          <w:sz w:val="24"/>
          <w:szCs w:val="24"/>
        </w:rPr>
        <w:t xml:space="preserve"> is an oral non-ATP-competitive small-molecule inhibitor of the mitogen-activated protein kinase MEK1/2.</w:t>
      </w:r>
      <w:r w:rsidRPr="00C67938">
        <w:rPr>
          <w:rFonts w:ascii="Book Antiqua" w:eastAsia="AdvP4DF60E" w:hAnsi="Book Antiqua"/>
          <w:kern w:val="0"/>
          <w:sz w:val="24"/>
          <w:szCs w:val="24"/>
        </w:rPr>
        <w:t xml:space="preserve"> A recent study has shown that </w:t>
      </w:r>
      <w:r w:rsidRPr="00C67938">
        <w:rPr>
          <w:rFonts w:ascii="Book Antiqua" w:hAnsi="Book Antiqua"/>
          <w:sz w:val="24"/>
          <w:szCs w:val="24"/>
        </w:rPr>
        <w:t>selumetinib</w:t>
      </w:r>
      <w:r w:rsidRPr="00C67938">
        <w:rPr>
          <w:rFonts w:ascii="Book Antiqua" w:eastAsia="AdvP4DF60E" w:hAnsi="Book Antiqua"/>
          <w:kern w:val="0"/>
          <w:sz w:val="24"/>
          <w:szCs w:val="24"/>
        </w:rPr>
        <w:t xml:space="preserve"> plus rapamycin exerts antitumor and antiangiogenic effects in preclinical models of human HCC</w:t>
      </w:r>
      <w:r w:rsidRPr="00C67938">
        <w:rPr>
          <w:rFonts w:ascii="Book Antiqua" w:eastAsia="AdvP4DF60E" w:hAnsi="Book Antiqua"/>
          <w:kern w:val="0"/>
          <w:sz w:val="24"/>
          <w:szCs w:val="24"/>
          <w:vertAlign w:val="superscript"/>
        </w:rPr>
        <w:t>[30]</w:t>
      </w:r>
      <w:r w:rsidRPr="00C67938">
        <w:rPr>
          <w:rFonts w:ascii="Book Antiqua" w:eastAsia="AdvP4DF60E" w:hAnsi="Book Antiqua"/>
          <w:kern w:val="0"/>
          <w:sz w:val="24"/>
          <w:szCs w:val="24"/>
        </w:rPr>
        <w:t xml:space="preserve">. In a phase I/II study of </w:t>
      </w:r>
      <w:r w:rsidRPr="00C67938">
        <w:rPr>
          <w:rFonts w:ascii="Book Antiqua" w:hAnsi="Book Antiqua"/>
          <w:sz w:val="24"/>
          <w:szCs w:val="24"/>
        </w:rPr>
        <w:t>selumetinib</w:t>
      </w:r>
      <w:r w:rsidRPr="00C67938">
        <w:rPr>
          <w:rFonts w:ascii="Book Antiqua" w:eastAsia="AdvP4DF60E" w:hAnsi="Book Antiqua"/>
          <w:kern w:val="0"/>
          <w:sz w:val="24"/>
          <w:szCs w:val="24"/>
        </w:rPr>
        <w:t xml:space="preserve"> in combination with sorafenib in advanced HCC, the </w:t>
      </w:r>
      <w:r w:rsidRPr="00C67938">
        <w:rPr>
          <w:rFonts w:ascii="Book Antiqua" w:hAnsi="Book Antiqua"/>
          <w:sz w:val="24"/>
          <w:szCs w:val="24"/>
        </w:rPr>
        <w:t>objective responses were 3 partial response (PR), 6 stable disease (SD) and 2 progressive disease (PD) among 11 patients, and the common toxicities were diarrhea, rash, fatigue, and hypertension</w:t>
      </w:r>
      <w:r w:rsidRPr="00C67938">
        <w:rPr>
          <w:rFonts w:ascii="Book Antiqua" w:hAnsi="Book Antiqua"/>
          <w:sz w:val="24"/>
          <w:szCs w:val="24"/>
          <w:vertAlign w:val="superscript"/>
        </w:rPr>
        <w:t>[31]</w:t>
      </w:r>
      <w:r w:rsidRPr="00C67938">
        <w:rPr>
          <w:rFonts w:ascii="Book Antiqua" w:hAnsi="Book Antiqua"/>
          <w:sz w:val="24"/>
          <w:szCs w:val="24"/>
        </w:rPr>
        <w:t>.</w:t>
      </w:r>
    </w:p>
    <w:p w:rsidR="00A7606F" w:rsidRPr="00C67938" w:rsidRDefault="00A7606F" w:rsidP="00C67938">
      <w:pPr>
        <w:wordWrap/>
        <w:adjustRightInd w:val="0"/>
        <w:spacing w:line="360" w:lineRule="auto"/>
        <w:ind w:firstLine="800"/>
        <w:rPr>
          <w:rFonts w:ascii="Book Antiqua" w:eastAsia="AdvP4DF60E" w:hAnsi="Book Antiqua"/>
          <w:kern w:val="0"/>
          <w:sz w:val="24"/>
          <w:szCs w:val="24"/>
        </w:rPr>
      </w:pPr>
      <w:r w:rsidRPr="00C67938">
        <w:rPr>
          <w:rFonts w:ascii="Book Antiqua" w:eastAsia="AdvP4DF60E" w:hAnsi="Book Antiqua"/>
          <w:kern w:val="0"/>
          <w:sz w:val="24"/>
          <w:szCs w:val="24"/>
        </w:rPr>
        <w:t>Another phase I/II study has evaluated the combination of the MEK inhibitor RDEA119 and sorafenib in patients with advanced cancer (NCT00785226).</w:t>
      </w:r>
    </w:p>
    <w:p w:rsidR="00A7606F" w:rsidRPr="00C67938" w:rsidRDefault="00A7606F" w:rsidP="00C67938">
      <w:pPr>
        <w:wordWrap/>
        <w:adjustRightInd w:val="0"/>
        <w:spacing w:line="360" w:lineRule="auto"/>
        <w:rPr>
          <w:rFonts w:ascii="Book Antiqua" w:eastAsia="MinionPro-Regular" w:hAnsi="Book Antiqua"/>
          <w:kern w:val="0"/>
          <w:sz w:val="24"/>
          <w:szCs w:val="24"/>
        </w:rPr>
      </w:pPr>
    </w:p>
    <w:p w:rsidR="00A7606F" w:rsidRPr="00C67938" w:rsidRDefault="00A7606F" w:rsidP="00C67938">
      <w:pPr>
        <w:wordWrap/>
        <w:adjustRightInd w:val="0"/>
        <w:spacing w:line="360" w:lineRule="auto"/>
        <w:rPr>
          <w:rFonts w:ascii="Book Antiqua" w:eastAsia="MinionPro-It" w:hAnsi="Book Antiqua"/>
          <w:b/>
          <w:iCs/>
          <w:kern w:val="0"/>
          <w:sz w:val="24"/>
          <w:szCs w:val="24"/>
        </w:rPr>
      </w:pPr>
      <w:r w:rsidRPr="00C67938">
        <w:rPr>
          <w:rFonts w:ascii="Book Antiqua" w:eastAsia="MinionPro-It" w:hAnsi="Book Antiqua"/>
          <w:b/>
          <w:iCs/>
          <w:kern w:val="0"/>
          <w:sz w:val="24"/>
          <w:szCs w:val="24"/>
        </w:rPr>
        <w:t>PI3K/AKT/MTOR PATHWAY</w:t>
      </w:r>
    </w:p>
    <w:p w:rsidR="00A7606F" w:rsidRPr="00C67938" w:rsidRDefault="00A7606F" w:rsidP="00AB01C8">
      <w:pPr>
        <w:wordWrap/>
        <w:adjustRightInd w:val="0"/>
        <w:spacing w:line="360" w:lineRule="auto"/>
        <w:rPr>
          <w:rFonts w:ascii="Book Antiqua" w:eastAsia="Times New Roman" w:hAnsi="Book Antiqua"/>
          <w:kern w:val="0"/>
          <w:sz w:val="24"/>
          <w:szCs w:val="24"/>
        </w:rPr>
      </w:pPr>
      <w:r w:rsidRPr="00C67938">
        <w:rPr>
          <w:rFonts w:ascii="Book Antiqua" w:eastAsia="MinionPro-Regular" w:hAnsi="Book Antiqua"/>
          <w:kern w:val="0"/>
          <w:sz w:val="24"/>
          <w:szCs w:val="24"/>
        </w:rPr>
        <w:t>The PI3K/Akt/mTOR pathway also plays an important role in cell growth, survival regulation, metabolism and anti-apoptosis</w:t>
      </w:r>
      <w:r w:rsidRPr="00C67938">
        <w:rPr>
          <w:rFonts w:ascii="Book Antiqua" w:eastAsia="MinionPro-Regular" w:hAnsi="Book Antiqua"/>
          <w:kern w:val="0"/>
          <w:sz w:val="24"/>
          <w:szCs w:val="24"/>
          <w:vertAlign w:val="superscript"/>
        </w:rPr>
        <w:t>[32]</w:t>
      </w:r>
      <w:r w:rsidRPr="00C67938">
        <w:rPr>
          <w:rFonts w:ascii="Book Antiqua" w:eastAsia="MinionPro-Regular" w:hAnsi="Book Antiqua"/>
          <w:kern w:val="0"/>
          <w:sz w:val="24"/>
          <w:szCs w:val="24"/>
        </w:rPr>
        <w:t xml:space="preserve">. The </w:t>
      </w:r>
      <w:r w:rsidRPr="00C67938">
        <w:rPr>
          <w:rFonts w:ascii="Book Antiqua" w:eastAsia="Times New Roman" w:hAnsi="Book Antiqua"/>
          <w:kern w:val="0"/>
          <w:sz w:val="24"/>
          <w:szCs w:val="24"/>
        </w:rPr>
        <w:t>binding of growth factors (such as IGF and EGF) to their receptors activates PI3K</w:t>
      </w:r>
      <w:r w:rsidRPr="00C67938">
        <w:rPr>
          <w:rFonts w:ascii="Book Antiqua" w:eastAsia="Times New Roman" w:hAnsi="Book Antiqua"/>
          <w:kern w:val="0"/>
          <w:sz w:val="24"/>
          <w:szCs w:val="24"/>
          <w:vertAlign w:val="superscript"/>
        </w:rPr>
        <w:t>[19]</w:t>
      </w:r>
      <w:r w:rsidRPr="00C67938">
        <w:rPr>
          <w:rFonts w:ascii="Book Antiqua" w:eastAsia="Times New Roman" w:hAnsi="Book Antiqua"/>
          <w:kern w:val="0"/>
          <w:sz w:val="24"/>
          <w:szCs w:val="24"/>
        </w:rPr>
        <w:t>. PI3K subsequently produces the lipid second messenger PIP3b (phospho-inositol triphosphate), which in turn activates the serine/threonine kinase AKT. Activated AKT also phosphorylates several cytoplasmic proteins, most notably mTOR and BCL-2-associated death promoter</w:t>
      </w:r>
      <w:r w:rsidRPr="00C67938">
        <w:rPr>
          <w:rFonts w:ascii="Book Antiqua" w:eastAsia="Times New Roman" w:hAnsi="Book Antiqua"/>
          <w:kern w:val="0"/>
          <w:sz w:val="24"/>
          <w:szCs w:val="24"/>
          <w:vertAlign w:val="superscript"/>
        </w:rPr>
        <w:t>[19]</w:t>
      </w:r>
      <w:r w:rsidRPr="00C67938">
        <w:rPr>
          <w:rFonts w:ascii="Book Antiqua" w:eastAsia="Times New Roman" w:hAnsi="Book Antiqua"/>
          <w:kern w:val="0"/>
          <w:sz w:val="24"/>
          <w:szCs w:val="24"/>
        </w:rPr>
        <w:t>. The activation of mTOR increases cellular proliferation, and inactivation of BAD decreases apoptosis and increases cell survival</w:t>
      </w:r>
      <w:r w:rsidRPr="00C67938">
        <w:rPr>
          <w:rFonts w:ascii="Book Antiqua" w:eastAsia="Times New Roman" w:hAnsi="Book Antiqua"/>
          <w:kern w:val="0"/>
          <w:sz w:val="24"/>
          <w:szCs w:val="24"/>
          <w:vertAlign w:val="superscript"/>
        </w:rPr>
        <w:t>[21]</w:t>
      </w:r>
      <w:r w:rsidRPr="00C67938">
        <w:rPr>
          <w:rFonts w:ascii="Book Antiqua" w:eastAsia="Times New Roman" w:hAnsi="Book Antiqua"/>
          <w:kern w:val="0"/>
          <w:sz w:val="24"/>
          <w:szCs w:val="24"/>
        </w:rPr>
        <w:t xml:space="preserve">. In normal tissue, this pathway is negatively regulated by the tumor suppressor phosphatase on chromosome 10 </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phosphatase and tensin homolog (PTEN)</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which targets the lipid products of PI3K for dephosphorylation</w:t>
      </w:r>
      <w:r w:rsidRPr="00C67938">
        <w:rPr>
          <w:rFonts w:ascii="Book Antiqua" w:eastAsia="Times New Roman" w:hAnsi="Book Antiqua"/>
          <w:kern w:val="0"/>
          <w:sz w:val="24"/>
          <w:szCs w:val="24"/>
          <w:vertAlign w:val="superscript"/>
        </w:rPr>
        <w:t>[21]</w:t>
      </w:r>
      <w:r w:rsidRPr="00C67938">
        <w:rPr>
          <w:rFonts w:ascii="Book Antiqua" w:eastAsia="Times New Roman" w:hAnsi="Book Antiqua"/>
          <w:kern w:val="0"/>
          <w:sz w:val="24"/>
          <w:szCs w:val="24"/>
        </w:rPr>
        <w:t>.</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rPr>
      </w:pPr>
      <w:r w:rsidRPr="00C67938">
        <w:rPr>
          <w:rFonts w:ascii="Book Antiqua" w:eastAsia="Times New Roman" w:hAnsi="Book Antiqua"/>
          <w:kern w:val="0"/>
          <w:sz w:val="24"/>
          <w:szCs w:val="24"/>
        </w:rPr>
        <w:t>Expression of both IGF and the IGF receptor is up-regulated in HCC and cirrhotic liver, resulting in stimulation of the PI3K/AKT/mTOR signaling pathway in addition to activation of the RAF/MEK/ERK and WNT/â-catenin pathways</w:t>
      </w:r>
      <w:r w:rsidRPr="00C67938">
        <w:rPr>
          <w:rFonts w:ascii="Book Antiqua" w:eastAsia="Times New Roman" w:hAnsi="Book Antiqua"/>
          <w:kern w:val="0"/>
          <w:sz w:val="24"/>
          <w:szCs w:val="24"/>
          <w:vertAlign w:val="superscript"/>
        </w:rPr>
        <w:t>[33,34]</w:t>
      </w:r>
      <w:r w:rsidRPr="00C67938">
        <w:rPr>
          <w:rFonts w:ascii="Book Antiqua" w:eastAsia="Times New Roman" w:hAnsi="Book Antiqua"/>
          <w:kern w:val="0"/>
          <w:sz w:val="24"/>
          <w:szCs w:val="24"/>
        </w:rPr>
        <w:t xml:space="preserve">. Anomalies in PTEN function may lead to overactivation of the PI3K/AKT/mTOR pathway in HCC. </w:t>
      </w:r>
      <w:r w:rsidRPr="00C67938">
        <w:rPr>
          <w:rFonts w:ascii="Book Antiqua" w:eastAsia="AdvTimes-i" w:hAnsi="Book Antiqua"/>
          <w:kern w:val="0"/>
          <w:sz w:val="24"/>
          <w:szCs w:val="24"/>
        </w:rPr>
        <w:t xml:space="preserve">PTEN </w:t>
      </w:r>
      <w:r w:rsidRPr="00C67938">
        <w:rPr>
          <w:rFonts w:ascii="Book Antiqua" w:eastAsia="Times New Roman" w:hAnsi="Book Antiqua"/>
          <w:kern w:val="0"/>
          <w:sz w:val="24"/>
          <w:szCs w:val="24"/>
        </w:rPr>
        <w:t>expression is reduced in nearly half of all HCC tumors, resulting in constitutive activation of the PI3K/AKT/mTOR pathway</w:t>
      </w:r>
      <w:r w:rsidRPr="00C67938">
        <w:rPr>
          <w:rFonts w:ascii="Book Antiqua" w:eastAsia="Times New Roman" w:hAnsi="Book Antiqua"/>
          <w:kern w:val="0"/>
          <w:sz w:val="24"/>
          <w:szCs w:val="24"/>
          <w:vertAlign w:val="superscript"/>
        </w:rPr>
        <w:t>[35]</w:t>
      </w:r>
      <w:r w:rsidRPr="00C67938">
        <w:rPr>
          <w:rFonts w:ascii="Book Antiqua" w:eastAsia="Times New Roman" w:hAnsi="Book Antiqua"/>
          <w:kern w:val="0"/>
          <w:sz w:val="24"/>
          <w:szCs w:val="24"/>
        </w:rPr>
        <w:t>. Decreased PTEN expression has been shown to correlate with increased tumor grade, advanced disease stage and reduced overall survival (OS) in patients with HCC</w:t>
      </w:r>
      <w:r w:rsidRPr="00C67938">
        <w:rPr>
          <w:rFonts w:ascii="Book Antiqua" w:eastAsia="Times New Roman" w:hAnsi="Book Antiqua"/>
          <w:kern w:val="0"/>
          <w:sz w:val="24"/>
          <w:szCs w:val="24"/>
          <w:vertAlign w:val="superscript"/>
        </w:rPr>
        <w:t>[35]</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In a mutation analysis of HCC samples, activation of the IGF pathway, upregulation of EGF, dysregulation of PTEN, and aberrant mTOR signaling were present in half of the samples; inhibition of mTOR activity with a rapamycin analog (everolimus) was effective in improving survival and suppressing recurrence</w:t>
      </w:r>
      <w:r w:rsidRPr="00C67938">
        <w:rPr>
          <w:rFonts w:ascii="Book Antiqua" w:eastAsia="MinionPro-Regular" w:hAnsi="Book Antiqua"/>
          <w:kern w:val="0"/>
          <w:sz w:val="24"/>
          <w:szCs w:val="24"/>
          <w:vertAlign w:val="superscript"/>
        </w:rPr>
        <w:t>[36]</w:t>
      </w:r>
      <w:r w:rsidRPr="00C67938">
        <w:rPr>
          <w:rFonts w:ascii="Book Antiqua" w:eastAsia="MinionPro-Regular" w:hAnsi="Book Antiqua"/>
          <w:kern w:val="0"/>
          <w:sz w:val="24"/>
          <w:szCs w:val="24"/>
        </w:rPr>
        <w:t>. These results suggest that mTOR pathway activation plays a crucial role in the pathogenesis of HCC.</w:t>
      </w:r>
    </w:p>
    <w:p w:rsidR="00A7606F" w:rsidRPr="00C67938" w:rsidRDefault="00A7606F" w:rsidP="00C67938">
      <w:pPr>
        <w:wordWrap/>
        <w:adjustRightInd w:val="0"/>
        <w:spacing w:line="360" w:lineRule="auto"/>
        <w:ind w:firstLine="800"/>
        <w:rPr>
          <w:rFonts w:ascii="Book Antiqua" w:eastAsia="MinionPro-Regular" w:hAnsi="Book Antiqua"/>
          <w:kern w:val="0"/>
          <w:sz w:val="24"/>
          <w:szCs w:val="24"/>
        </w:rPr>
      </w:pPr>
      <w:r w:rsidRPr="00C67938">
        <w:rPr>
          <w:rFonts w:ascii="Book Antiqua" w:eastAsia="MinionPro-Regular" w:hAnsi="Book Antiqua"/>
          <w:kern w:val="0"/>
          <w:sz w:val="24"/>
          <w:szCs w:val="24"/>
        </w:rPr>
        <w:t>The PI3K inhibitor RG7321 and the Akt inhibitor perifosine target the PI3K/Akt/mTOR pathway and are in early stages of clinical development. The mTOR inhibitors everolimus (RAD001), sirolimus (Rapamune) and temsirolimus (CCI-779) have been studied for efficacy and safety in patients with advanced HCC.</w:t>
      </w:r>
      <w:r w:rsidRPr="00C67938">
        <w:rPr>
          <w:rFonts w:ascii="Book Antiqua" w:hAnsi="Book Antiqua"/>
          <w:sz w:val="24"/>
          <w:szCs w:val="24"/>
        </w:rPr>
        <w:t xml:space="preserve"> Everolimus has produced a median </w:t>
      </w:r>
      <w:r w:rsidRPr="00C67938">
        <w:rPr>
          <w:rFonts w:ascii="Book Antiqua" w:eastAsia="AdvPS3D5C76" w:hAnsi="Book Antiqua"/>
          <w:kern w:val="0"/>
          <w:sz w:val="24"/>
          <w:szCs w:val="24"/>
        </w:rPr>
        <w:t>progression-free survival</w:t>
      </w:r>
      <w:r w:rsidRPr="00C67938">
        <w:rPr>
          <w:rFonts w:ascii="Book Antiqua" w:hAnsi="Book Antiqua"/>
          <w:sz w:val="24"/>
          <w:szCs w:val="24"/>
        </w:rPr>
        <w:t xml:space="preserve"> (PFS) of 3.8 </w:t>
      </w:r>
      <w:r>
        <w:rPr>
          <w:rFonts w:ascii="Book Antiqua" w:hAnsi="Book Antiqua"/>
          <w:sz w:val="24"/>
          <w:szCs w:val="24"/>
        </w:rPr>
        <w:t>mo</w:t>
      </w:r>
      <w:r w:rsidRPr="00C67938">
        <w:rPr>
          <w:rFonts w:ascii="Book Antiqua" w:hAnsi="Book Antiqua"/>
          <w:sz w:val="24"/>
          <w:szCs w:val="24"/>
        </w:rPr>
        <w:t xml:space="preserve"> and OS of 8.4 </w:t>
      </w:r>
      <w:r>
        <w:rPr>
          <w:rFonts w:ascii="Book Antiqua" w:hAnsi="Book Antiqua"/>
          <w:sz w:val="24"/>
          <w:szCs w:val="24"/>
        </w:rPr>
        <w:t>mo</w:t>
      </w:r>
      <w:r w:rsidRPr="00C67938">
        <w:rPr>
          <w:rFonts w:ascii="Book Antiqua" w:hAnsi="Book Antiqua"/>
          <w:sz w:val="24"/>
          <w:szCs w:val="24"/>
        </w:rPr>
        <w:t xml:space="preserve"> in phase I/II testing</w:t>
      </w:r>
      <w:r w:rsidRPr="00C67938">
        <w:rPr>
          <w:rFonts w:ascii="Book Antiqua" w:eastAsia="MinionPro-Regular" w:hAnsi="Book Antiqua"/>
          <w:kern w:val="0"/>
          <w:sz w:val="24"/>
          <w:szCs w:val="24"/>
        </w:rPr>
        <w:t xml:space="preserve"> </w:t>
      </w:r>
      <w:r w:rsidRPr="00C67938">
        <w:rPr>
          <w:rFonts w:ascii="Book Antiqua" w:hAnsi="Book Antiqua"/>
          <w:sz w:val="24"/>
          <w:szCs w:val="24"/>
        </w:rPr>
        <w:t>in patients with advanced HCC</w:t>
      </w:r>
      <w:r w:rsidRPr="00C67938">
        <w:rPr>
          <w:rFonts w:ascii="Book Antiqua" w:eastAsia="MinionPro-Regular" w:hAnsi="Book Antiqua"/>
          <w:kern w:val="0"/>
          <w:sz w:val="24"/>
          <w:szCs w:val="24"/>
          <w:vertAlign w:val="superscript"/>
        </w:rPr>
        <w:t>[37]</w:t>
      </w:r>
      <w:r w:rsidRPr="00C67938">
        <w:rPr>
          <w:rFonts w:ascii="Book Antiqua" w:hAnsi="Book Antiqua"/>
          <w:sz w:val="24"/>
          <w:szCs w:val="24"/>
        </w:rPr>
        <w:t>.</w:t>
      </w:r>
      <w:r w:rsidRPr="00C67938">
        <w:rPr>
          <w:rFonts w:ascii="Book Antiqua" w:eastAsia="MinionPro-Regular" w:hAnsi="Book Antiqua"/>
          <w:kern w:val="0"/>
          <w:sz w:val="24"/>
          <w:szCs w:val="24"/>
        </w:rPr>
        <w:t xml:space="preserve"> A phase III study to compare everolimus and placebo and a phase I/randomized phase II study (sorafenib + everolimus </w:t>
      </w:r>
      <w:r w:rsidRPr="002074CE">
        <w:rPr>
          <w:rFonts w:ascii="Book Antiqua" w:eastAsia="MinionPro-Regular" w:hAnsi="Book Antiqua"/>
          <w:i/>
          <w:kern w:val="0"/>
          <w:sz w:val="24"/>
          <w:szCs w:val="24"/>
        </w:rPr>
        <w:t>vs</w:t>
      </w:r>
      <w:r w:rsidRPr="00C67938">
        <w:rPr>
          <w:rFonts w:ascii="Book Antiqua" w:eastAsia="MinionPro-Regular" w:hAnsi="Book Antiqua"/>
          <w:kern w:val="0"/>
          <w:sz w:val="24"/>
          <w:szCs w:val="24"/>
        </w:rPr>
        <w:t xml:space="preserve"> sorafenib alone) to test the efficacy and tolerance of sorafenib in combination with everolimus are underway </w:t>
      </w:r>
      <w:r w:rsidRPr="00C67938">
        <w:rPr>
          <w:rFonts w:ascii="Book Antiqua" w:eastAsia="Gulim" w:hAnsi="Book Antiqua"/>
          <w:kern w:val="0"/>
          <w:sz w:val="24"/>
          <w:szCs w:val="24"/>
        </w:rPr>
        <w:t>(NCT01035229).</w:t>
      </w:r>
      <w:r w:rsidRPr="00C67938">
        <w:rPr>
          <w:rFonts w:ascii="Book Antiqua" w:eastAsia="MinionPro-Regular" w:hAnsi="Book Antiqua"/>
          <w:kern w:val="0"/>
          <w:sz w:val="24"/>
          <w:szCs w:val="24"/>
        </w:rPr>
        <w:t xml:space="preserve"> </w:t>
      </w:r>
      <w:r w:rsidRPr="00C67938">
        <w:rPr>
          <w:rFonts w:ascii="Book Antiqua" w:eastAsia="Arial Unicode MS" w:hAnsi="Book Antiqua"/>
          <w:sz w:val="24"/>
          <w:szCs w:val="24"/>
        </w:rPr>
        <w:t xml:space="preserve">In a phase II study of sirolimus in patients with advanced HCC, </w:t>
      </w:r>
      <w:r w:rsidRPr="00C67938">
        <w:rPr>
          <w:rFonts w:ascii="Book Antiqua" w:hAnsi="Book Antiqua"/>
          <w:sz w:val="24"/>
          <w:szCs w:val="24"/>
        </w:rPr>
        <w:t>sirolimus exhibited some antitumor activity in patients with advanced HCC</w:t>
      </w:r>
      <w:r w:rsidRPr="00C67938">
        <w:rPr>
          <w:rFonts w:ascii="Book Antiqua" w:hAnsi="Book Antiqua"/>
          <w:sz w:val="24"/>
          <w:szCs w:val="24"/>
          <w:vertAlign w:val="superscript"/>
        </w:rPr>
        <w:t>[38]</w:t>
      </w:r>
      <w:r w:rsidRPr="00C67938">
        <w:rPr>
          <w:rFonts w:ascii="Book Antiqua" w:hAnsi="Book Antiqua"/>
          <w:sz w:val="24"/>
          <w:szCs w:val="24"/>
        </w:rPr>
        <w:t>. However, larger studies are required to determine the value of this agent.</w:t>
      </w:r>
    </w:p>
    <w:p w:rsidR="00A7606F" w:rsidRPr="00C67938" w:rsidRDefault="00A7606F" w:rsidP="00C67938">
      <w:pPr>
        <w:wordWrap/>
        <w:adjustRightInd w:val="0"/>
        <w:spacing w:line="360" w:lineRule="auto"/>
        <w:ind w:firstLine="800"/>
        <w:rPr>
          <w:rFonts w:ascii="Book Antiqua" w:hAnsi="Book Antiqua"/>
          <w:sz w:val="24"/>
          <w:szCs w:val="24"/>
        </w:rPr>
      </w:pPr>
      <w:r w:rsidRPr="00C67938">
        <w:rPr>
          <w:rFonts w:ascii="Book Antiqua" w:hAnsi="Book Antiqua"/>
          <w:sz w:val="24"/>
          <w:szCs w:val="24"/>
        </w:rPr>
        <w:t>Temsirolimus, an mTOR inhibitor, has been approved for the treatment of advanced renal cell carcinoma. The efficacy and potential utility of this agent in HCC is currently under investigation (NCT01079767).</w:t>
      </w:r>
    </w:p>
    <w:p w:rsidR="00A7606F" w:rsidRPr="00C67938" w:rsidRDefault="00A7606F" w:rsidP="00C67938">
      <w:pPr>
        <w:wordWrap/>
        <w:adjustRightInd w:val="0"/>
        <w:spacing w:line="360" w:lineRule="auto"/>
        <w:rPr>
          <w:rFonts w:ascii="Book Antiqua" w:eastAsia="MinionPro-Regular" w:hAnsi="Book Antiqua"/>
          <w:kern w:val="0"/>
          <w:sz w:val="24"/>
          <w:szCs w:val="24"/>
          <w:shd w:val="pct15" w:color="auto" w:fill="FFFFFF"/>
        </w:rPr>
      </w:pPr>
    </w:p>
    <w:p w:rsidR="00A7606F" w:rsidRPr="00C67938" w:rsidRDefault="00A7606F" w:rsidP="00C67938">
      <w:pPr>
        <w:wordWrap/>
        <w:adjustRightInd w:val="0"/>
        <w:spacing w:line="360" w:lineRule="auto"/>
        <w:rPr>
          <w:rFonts w:ascii="Book Antiqua" w:eastAsia="MinionPro-It" w:hAnsi="Book Antiqua"/>
          <w:b/>
          <w:iCs/>
          <w:kern w:val="0"/>
          <w:sz w:val="24"/>
          <w:szCs w:val="24"/>
        </w:rPr>
      </w:pPr>
      <w:r w:rsidRPr="00C67938">
        <w:rPr>
          <w:rFonts w:ascii="Book Antiqua" w:eastAsia="MinionPro-It" w:hAnsi="Book Antiqua"/>
          <w:b/>
          <w:iCs/>
          <w:kern w:val="0"/>
          <w:sz w:val="24"/>
          <w:szCs w:val="24"/>
        </w:rPr>
        <w:t>VEGF/VEGFR, PDGFR, AND FGFR</w:t>
      </w:r>
    </w:p>
    <w:p w:rsidR="00A7606F" w:rsidRPr="00C67938" w:rsidRDefault="00A7606F" w:rsidP="005767BD">
      <w:pPr>
        <w:wordWrap/>
        <w:adjustRightInd w:val="0"/>
        <w:spacing w:line="360" w:lineRule="auto"/>
        <w:rPr>
          <w:rFonts w:ascii="Book Antiqua" w:eastAsia="MinionPro-Regular" w:hAnsi="Book Antiqua"/>
          <w:kern w:val="0"/>
          <w:sz w:val="24"/>
          <w:szCs w:val="24"/>
        </w:rPr>
      </w:pPr>
      <w:r w:rsidRPr="00C67938">
        <w:rPr>
          <w:rFonts w:ascii="Book Antiqua" w:eastAsia="Times New Roman" w:hAnsi="Book Antiqua"/>
          <w:kern w:val="0"/>
          <w:sz w:val="24"/>
          <w:szCs w:val="24"/>
        </w:rPr>
        <w:t>Normal angiogenesis is maintained by a balance between proangiogenic and anti-angiogenic factors</w:t>
      </w:r>
      <w:r w:rsidRPr="00C67938">
        <w:rPr>
          <w:rFonts w:ascii="Book Antiqua" w:eastAsia="Times New Roman" w:hAnsi="Book Antiqua"/>
          <w:kern w:val="0"/>
          <w:sz w:val="24"/>
          <w:szCs w:val="24"/>
          <w:vertAlign w:val="superscript"/>
        </w:rPr>
        <w:t>[39]</w:t>
      </w:r>
      <w:r w:rsidRPr="00C67938">
        <w:rPr>
          <w:rFonts w:ascii="Book Antiqua" w:eastAsia="Times New Roman" w:hAnsi="Book Antiqua"/>
          <w:kern w:val="0"/>
          <w:sz w:val="24"/>
          <w:szCs w:val="24"/>
        </w:rPr>
        <w:t xml:space="preserve">. The angiogenic balance is disturbed in HCC. </w:t>
      </w:r>
      <w:r w:rsidRPr="00C67938">
        <w:rPr>
          <w:rFonts w:ascii="Book Antiqua" w:eastAsia="MinionPro-Regular" w:hAnsi="Book Antiqua"/>
          <w:kern w:val="0"/>
          <w:sz w:val="24"/>
          <w:szCs w:val="24"/>
        </w:rPr>
        <w:t xml:space="preserve">Angiogenesis is important for HCC growth and metastasis and occurs as a result of complex alterations that involve promoting factors </w:t>
      </w:r>
      <w:r>
        <w:rPr>
          <w:rFonts w:ascii="Book Antiqua" w:eastAsia="宋体" w:hAnsi="Book Antiqua"/>
          <w:kern w:val="0"/>
          <w:sz w:val="24"/>
          <w:szCs w:val="24"/>
          <w:lang w:eastAsia="zh-CN"/>
        </w:rPr>
        <w:t>[</w:t>
      </w:r>
      <w:r w:rsidRPr="00C67938">
        <w:rPr>
          <w:rFonts w:ascii="Book Antiqua" w:eastAsia="MinionPro-Regular" w:hAnsi="Book Antiqua"/>
          <w:kern w:val="0"/>
          <w:sz w:val="24"/>
          <w:szCs w:val="24"/>
        </w:rPr>
        <w:t xml:space="preserve">such as VEGF, angiopoietin and </w:t>
      </w:r>
      <w:r w:rsidRPr="00C67938">
        <w:rPr>
          <w:rFonts w:ascii="Book Antiqua" w:hAnsi="Book Antiqua"/>
          <w:sz w:val="24"/>
          <w:szCs w:val="24"/>
        </w:rPr>
        <w:t>fibroblast growth factor</w:t>
      </w:r>
      <w:r w:rsidRPr="00C67938">
        <w:rPr>
          <w:rFonts w:ascii="Book Antiqua" w:eastAsia="MinionPro-Regular" w:hAnsi="Book Antiqua"/>
          <w:kern w:val="0"/>
          <w:sz w:val="24"/>
          <w:szCs w:val="24"/>
        </w:rPr>
        <w:t xml:space="preserve"> (FGF), inhibitory factors (including thrombospondin (TSP) and angiostatin), and the surrounding tissue. </w:t>
      </w:r>
      <w:r w:rsidRPr="00C67938">
        <w:rPr>
          <w:rFonts w:ascii="Book Antiqua" w:eastAsia="Times New Roman" w:hAnsi="Book Antiqua"/>
          <w:kern w:val="0"/>
          <w:sz w:val="24"/>
          <w:szCs w:val="24"/>
        </w:rPr>
        <w:t>A number of angiogenic growth factors,</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including VEGF-A, angiopoietin-2 and PDGF, have been</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shown to be upregulated in HCC tumors at the gene expression level and plasma protein level in patients</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with HCC compared with cirrhotic patients</w:t>
      </w:r>
      <w:r w:rsidRPr="00C67938">
        <w:rPr>
          <w:rFonts w:ascii="Book Antiqua" w:eastAsia="Times New Roman" w:hAnsi="Book Antiqua"/>
          <w:kern w:val="0"/>
          <w:sz w:val="24"/>
          <w:szCs w:val="24"/>
          <w:vertAlign w:val="superscript"/>
        </w:rPr>
        <w:t>[40]</w:t>
      </w:r>
      <w:r w:rsidRPr="00C67938">
        <w:rPr>
          <w:rFonts w:ascii="Book Antiqua" w:eastAsia="Times New Roman" w:hAnsi="Book Antiqua"/>
          <w:kern w:val="0"/>
          <w:sz w:val="24"/>
          <w:szCs w:val="24"/>
        </w:rPr>
        <w:t>. The principal angiogenic factors involved are</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VEGFs, PDGFs, TGF-alpha and -beta, basic FGF, EGF, hepatocyte growth factor (HGF), angiopoietins and interleukin-4 and -8</w:t>
      </w:r>
      <w:r w:rsidRPr="00C67938">
        <w:rPr>
          <w:rFonts w:ascii="Book Antiqua" w:eastAsia="Times New Roman" w:hAnsi="Book Antiqua"/>
          <w:kern w:val="0"/>
          <w:sz w:val="24"/>
          <w:szCs w:val="24"/>
          <w:vertAlign w:val="superscript"/>
        </w:rPr>
        <w:t>[39,41]</w:t>
      </w:r>
      <w:r w:rsidRPr="00C67938">
        <w:rPr>
          <w:rFonts w:ascii="Book Antiqua" w:eastAsia="Times New Roman" w:hAnsi="Book Antiqua"/>
          <w:kern w:val="0"/>
          <w:sz w:val="24"/>
          <w:szCs w:val="24"/>
        </w:rPr>
        <w:t>. These growth</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factors and cytokines induce angiogenic signaling through</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a variety of mechanisms, including activation of the</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RAF/MEK/ERK, PI3K/AKT/mTOR and JAK/signal transducer and activator pathways.</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shd w:val="pct15" w:color="auto" w:fill="FFFFFF"/>
        </w:rPr>
      </w:pPr>
      <w:r w:rsidRPr="00C67938">
        <w:rPr>
          <w:rFonts w:ascii="Book Antiqua" w:eastAsia="Times New Roman" w:hAnsi="Book Antiqua"/>
          <w:kern w:val="0"/>
          <w:sz w:val="24"/>
          <w:szCs w:val="24"/>
        </w:rPr>
        <w:t>Increased VEGF expression has been reported in cirrhotic and dysplastic liver tissue, suggesting a possible role for VEGF-mediated angiogenesis in hepatocarcinogenesis</w:t>
      </w:r>
      <w:r w:rsidRPr="00C67938">
        <w:rPr>
          <w:rFonts w:ascii="Book Antiqua" w:eastAsia="Times New Roman" w:hAnsi="Book Antiqua"/>
          <w:kern w:val="0"/>
          <w:sz w:val="24"/>
          <w:szCs w:val="24"/>
          <w:vertAlign w:val="superscript"/>
        </w:rPr>
        <w:t>[42]</w:t>
      </w:r>
      <w:r w:rsidRPr="00C67938">
        <w:rPr>
          <w:rFonts w:ascii="Book Antiqua" w:eastAsia="Times New Roman" w:hAnsi="Book Antiqua"/>
          <w:kern w:val="0"/>
          <w:sz w:val="24"/>
          <w:szCs w:val="24"/>
        </w:rPr>
        <w:t>. VEGF clearly plays an important regulatory role in HCC; high levels of VEGF expression have been linked with HCC tumor grade, poor outcome after resection, disease recurrence, poor disease-free survival (DFS) and OS, vascular invasion and portal vein emboli</w:t>
      </w:r>
      <w:r w:rsidRPr="00C67938">
        <w:rPr>
          <w:rFonts w:ascii="Book Antiqua" w:eastAsia="Times New Roman" w:hAnsi="Book Antiqua"/>
          <w:kern w:val="0"/>
          <w:sz w:val="24"/>
          <w:szCs w:val="24"/>
          <w:vertAlign w:val="superscript"/>
        </w:rPr>
        <w:t>[43-46]</w:t>
      </w:r>
      <w:r w:rsidRPr="00C67938">
        <w:rPr>
          <w:rFonts w:ascii="Book Antiqua" w:eastAsia="Times New Roman" w:hAnsi="Book Antiqua"/>
          <w:kern w:val="0"/>
          <w:sz w:val="24"/>
          <w:szCs w:val="24"/>
        </w:rPr>
        <w:t xml:space="preserve">. </w:t>
      </w:r>
      <w:r w:rsidRPr="00C67938">
        <w:rPr>
          <w:rFonts w:ascii="Book Antiqua" w:hAnsi="Book Antiqua"/>
          <w:sz w:val="24"/>
          <w:szCs w:val="24"/>
        </w:rPr>
        <w:t>Expression of FGF-2 is also elevated in patients with HCC,</w:t>
      </w:r>
      <w:r w:rsidRPr="00C67938">
        <w:rPr>
          <w:rStyle w:val="A10"/>
          <w:rFonts w:ascii="Book Antiqua" w:hAnsi="Book Antiqua"/>
          <w:color w:val="auto"/>
          <w:sz w:val="24"/>
          <w:szCs w:val="24"/>
        </w:rPr>
        <w:t xml:space="preserve"> </w:t>
      </w:r>
      <w:r w:rsidRPr="00C67938">
        <w:rPr>
          <w:rFonts w:ascii="Book Antiqua" w:hAnsi="Book Antiqua"/>
          <w:sz w:val="24"/>
          <w:szCs w:val="24"/>
        </w:rPr>
        <w:t>and FGF-2 expression in HCC correlates with tumor microvessel density</w:t>
      </w:r>
      <w:r w:rsidRPr="00C67938">
        <w:rPr>
          <w:rStyle w:val="A10"/>
          <w:rFonts w:ascii="Book Antiqua" w:hAnsi="Book Antiqua"/>
          <w:color w:val="auto"/>
          <w:sz w:val="24"/>
          <w:szCs w:val="24"/>
        </w:rPr>
        <w:t xml:space="preserve"> </w:t>
      </w:r>
      <w:r w:rsidRPr="00C67938">
        <w:rPr>
          <w:rFonts w:ascii="Book Antiqua" w:hAnsi="Book Antiqua"/>
          <w:sz w:val="24"/>
          <w:szCs w:val="24"/>
        </w:rPr>
        <w:t>and postoperative recurrence rate</w:t>
      </w:r>
      <w:r w:rsidRPr="00C67938">
        <w:rPr>
          <w:rFonts w:ascii="Book Antiqua" w:hAnsi="Book Antiqua"/>
          <w:sz w:val="24"/>
          <w:szCs w:val="24"/>
          <w:vertAlign w:val="superscript"/>
        </w:rPr>
        <w:t>[47-49]</w:t>
      </w:r>
      <w:r w:rsidRPr="00C67938">
        <w:rPr>
          <w:rFonts w:ascii="Book Antiqua" w:hAnsi="Book Antiqua"/>
          <w:sz w:val="24"/>
          <w:szCs w:val="24"/>
        </w:rPr>
        <w:t>. Tumor angiogenin expression correlates with mi</w:t>
      </w:r>
      <w:r w:rsidRPr="00C67938">
        <w:rPr>
          <w:rFonts w:ascii="Book Antiqua" w:hAnsi="Book Antiqua"/>
          <w:sz w:val="24"/>
          <w:szCs w:val="24"/>
        </w:rPr>
        <w:softHyphen/>
        <w:t>crovascular density in patients with HCC, and high serum angiogenin levels are associated with decreased survival at 5 years</w:t>
      </w:r>
      <w:r w:rsidRPr="00C67938">
        <w:rPr>
          <w:rFonts w:ascii="Book Antiqua" w:hAnsi="Book Antiqua"/>
          <w:sz w:val="24"/>
          <w:szCs w:val="24"/>
          <w:vertAlign w:val="superscript"/>
        </w:rPr>
        <w:t>[50]</w:t>
      </w:r>
      <w:r w:rsidRPr="00C67938">
        <w:rPr>
          <w:rFonts w:ascii="Book Antiqua" w:hAnsi="Book Antiqua"/>
          <w:sz w:val="24"/>
          <w:szCs w:val="24"/>
        </w:rPr>
        <w:t>.</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shd w:val="pct15" w:color="auto" w:fill="FFFFFF"/>
        </w:rPr>
      </w:pPr>
      <w:r w:rsidRPr="00C67938">
        <w:rPr>
          <w:rFonts w:ascii="Book Antiqua" w:eastAsia="Times New Roman" w:hAnsi="Book Antiqua"/>
          <w:kern w:val="0"/>
          <w:sz w:val="24"/>
          <w:szCs w:val="24"/>
        </w:rPr>
        <w:t>The VEGF pathway can be targeted through two approaches: anti-VEGF monoclonal antibodies or inhibitors of the receptor tyrosine kinase associated with VEGFR.</w:t>
      </w:r>
      <w:r w:rsidRPr="00C67938">
        <w:rPr>
          <w:rFonts w:ascii="Book Antiqua" w:hAnsi="Book Antiqua"/>
          <w:sz w:val="24"/>
          <w:szCs w:val="24"/>
        </w:rPr>
        <w:t xml:space="preserve"> The anti-VEGF monoclonal antibody bevacizumab was the first angiogenesis inhibitor to be approved as an antineoplastic agent.</w:t>
      </w:r>
      <w:r w:rsidRPr="00C67938">
        <w:rPr>
          <w:rFonts w:ascii="Book Antiqua" w:eastAsia="Times New Roman" w:hAnsi="Book Antiqua"/>
          <w:kern w:val="0"/>
          <w:sz w:val="24"/>
          <w:szCs w:val="24"/>
        </w:rPr>
        <w:t xml:space="preserve"> Bevacizumab has shown encouraging early evidence of efficacy in patients with advanced HCC</w:t>
      </w:r>
      <w:r w:rsidRPr="00C67938">
        <w:rPr>
          <w:rFonts w:ascii="Book Antiqua" w:eastAsia="Times New Roman" w:hAnsi="Book Antiqua"/>
          <w:kern w:val="0"/>
          <w:sz w:val="24"/>
          <w:szCs w:val="24"/>
          <w:vertAlign w:val="superscript"/>
        </w:rPr>
        <w:t>[51,52]</w:t>
      </w:r>
      <w:r w:rsidRPr="00C67938">
        <w:rPr>
          <w:rFonts w:ascii="Book Antiqua" w:eastAsia="Times New Roman" w:hAnsi="Book Antiqua"/>
          <w:kern w:val="0"/>
          <w:sz w:val="24"/>
          <w:szCs w:val="24"/>
        </w:rPr>
        <w:t>. The combination of bevacizumab with either cytotoxic agents (gemcitabine, oxaliplatin, and capecitabine) or erlotinib has also shown encouraging results in four phase II trials in patients with advanced HCC</w:t>
      </w:r>
      <w:r w:rsidRPr="00C67938">
        <w:rPr>
          <w:rFonts w:ascii="Book Antiqua" w:eastAsia="Times New Roman" w:hAnsi="Book Antiqua"/>
          <w:kern w:val="0"/>
          <w:sz w:val="24"/>
          <w:szCs w:val="24"/>
          <w:vertAlign w:val="superscript"/>
        </w:rPr>
        <w:t>[53-56]</w:t>
      </w:r>
      <w:r w:rsidRPr="00C67938">
        <w:rPr>
          <w:rFonts w:ascii="Book Antiqua" w:eastAsia="Times New Roman" w:hAnsi="Book Antiqua"/>
          <w:kern w:val="0"/>
          <w:sz w:val="24"/>
          <w:szCs w:val="24"/>
        </w:rPr>
        <w:t>.</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rPr>
      </w:pPr>
      <w:r w:rsidRPr="00C67938">
        <w:rPr>
          <w:rFonts w:ascii="Book Antiqua" w:eastAsia="Times New Roman" w:hAnsi="Book Antiqua"/>
          <w:kern w:val="0"/>
          <w:sz w:val="24"/>
          <w:szCs w:val="24"/>
        </w:rPr>
        <w:t xml:space="preserve">Sorafenib is an orally available multikinase inhibitor that was originally designed to target VEGFR-1,-2,-3, PDGFR and c-kit. In a phase II study of patients with advanced inoperable HCC, sorafenib induced a </w:t>
      </w:r>
      <w:r w:rsidRPr="00B64ED0">
        <w:rPr>
          <w:rFonts w:ascii="Book Antiqua" w:eastAsia="Times New Roman" w:hAnsi="Book Antiqua"/>
          <w:kern w:val="0"/>
          <w:sz w:val="24"/>
          <w:szCs w:val="24"/>
        </w:rPr>
        <w:t>PR</w:t>
      </w:r>
      <w:r w:rsidRPr="00C67938">
        <w:rPr>
          <w:rFonts w:ascii="Book Antiqua" w:eastAsia="Times New Roman" w:hAnsi="Book Antiqua"/>
          <w:kern w:val="0"/>
          <w:sz w:val="24"/>
          <w:szCs w:val="24"/>
        </w:rPr>
        <w:t xml:space="preserve"> in 2% of the patients. The median time to progression (TTP) was 4.2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and median OS was 9.2 </w:t>
      </w:r>
      <w:r>
        <w:rPr>
          <w:rFonts w:ascii="Book Antiqua" w:eastAsia="Times New Roman" w:hAnsi="Book Antiqua"/>
          <w:kern w:val="0"/>
          <w:sz w:val="24"/>
          <w:szCs w:val="24"/>
        </w:rPr>
        <w:t>mo</w:t>
      </w:r>
      <w:r w:rsidRPr="00C67938">
        <w:rPr>
          <w:rFonts w:ascii="Book Antiqua" w:eastAsia="Times New Roman" w:hAnsi="Book Antiqua"/>
          <w:kern w:val="0"/>
          <w:sz w:val="24"/>
          <w:szCs w:val="24"/>
          <w:vertAlign w:val="superscript"/>
        </w:rPr>
        <w:t>[57]</w:t>
      </w:r>
      <w:r w:rsidRPr="00C67938">
        <w:rPr>
          <w:rFonts w:ascii="Book Antiqua" w:eastAsia="Times New Roman" w:hAnsi="Book Antiqua"/>
          <w:kern w:val="0"/>
          <w:sz w:val="24"/>
          <w:szCs w:val="24"/>
        </w:rPr>
        <w:t xml:space="preserve">. In the phase III SHARP (Sorafenib HCC Assessment Randomized Protocol) trial, sorafenib (400 mg twice daily) significantly prolonged OS compared with placebo in patients with advanced HCC (10.7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in the sorafenib group </w:t>
      </w:r>
      <w:r w:rsidRPr="002074CE">
        <w:rPr>
          <w:rFonts w:ascii="Book Antiqua" w:eastAsia="Times New Roman" w:hAnsi="Book Antiqua"/>
          <w:i/>
          <w:kern w:val="0"/>
          <w:sz w:val="24"/>
          <w:szCs w:val="24"/>
        </w:rPr>
        <w:t>vs</w:t>
      </w:r>
      <w:r w:rsidRPr="00C67938">
        <w:rPr>
          <w:rFonts w:ascii="Book Antiqua" w:eastAsia="Times New Roman" w:hAnsi="Book Antiqua"/>
          <w:kern w:val="0"/>
          <w:sz w:val="24"/>
          <w:szCs w:val="24"/>
        </w:rPr>
        <w:t xml:space="preserve"> 7.9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in the placebo group)</w:t>
      </w:r>
      <w:r w:rsidRPr="00C02206">
        <w:rPr>
          <w:rFonts w:ascii="Book Antiqua" w:eastAsia="Times New Roman" w:hAnsi="Book Antiqua"/>
          <w:kern w:val="0"/>
          <w:sz w:val="24"/>
          <w:szCs w:val="24"/>
          <w:vertAlign w:val="superscript"/>
        </w:rPr>
        <w:t xml:space="preserve"> </w:t>
      </w:r>
      <w:r w:rsidRPr="00C67938">
        <w:rPr>
          <w:rFonts w:ascii="Book Antiqua" w:eastAsia="Times New Roman" w:hAnsi="Book Antiqua"/>
          <w:kern w:val="0"/>
          <w:sz w:val="24"/>
          <w:szCs w:val="24"/>
          <w:vertAlign w:val="superscript"/>
        </w:rPr>
        <w:t>[58]</w:t>
      </w:r>
      <w:r w:rsidRPr="00C67938">
        <w:rPr>
          <w:rFonts w:ascii="Book Antiqua" w:eastAsia="Times New Roman" w:hAnsi="Book Antiqua"/>
          <w:kern w:val="0"/>
          <w:sz w:val="24"/>
          <w:szCs w:val="24"/>
        </w:rPr>
        <w:t xml:space="preserve">. The median time to radiological progression was significantly longer in the sorafenib group (5.5 </w:t>
      </w:r>
      <w:r>
        <w:rPr>
          <w:rFonts w:ascii="Book Antiqua" w:eastAsia="Times New Roman" w:hAnsi="Book Antiqua"/>
          <w:kern w:val="0"/>
          <w:sz w:val="24"/>
          <w:szCs w:val="24"/>
        </w:rPr>
        <w:t>mo</w:t>
      </w:r>
      <w:r w:rsidRPr="002074CE">
        <w:rPr>
          <w:rFonts w:ascii="Book Antiqua" w:eastAsia="Times New Roman" w:hAnsi="Book Antiqua"/>
          <w:i/>
          <w:kern w:val="0"/>
          <w:sz w:val="24"/>
          <w:szCs w:val="24"/>
        </w:rPr>
        <w:t xml:space="preserve"> vs</w:t>
      </w:r>
      <w:r w:rsidRPr="00C67938">
        <w:rPr>
          <w:rFonts w:ascii="Book Antiqua" w:eastAsia="Times New Roman" w:hAnsi="Book Antiqua"/>
          <w:kern w:val="0"/>
          <w:sz w:val="24"/>
          <w:szCs w:val="24"/>
        </w:rPr>
        <w:t xml:space="preserve"> 2.8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In another randomized phase III study performed in the Asia-Pacific region, the OS was 6.5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in the sorafenib group compared with 4.2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in the placebo group (the hazard ratio in the sorafenib group was 0.68</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w:t>
      </w:r>
      <w:r w:rsidRPr="00120B7F">
        <w:rPr>
          <w:rFonts w:ascii="Book Antiqua" w:eastAsia="AdvTimes-i" w:hAnsi="Book Antiqua"/>
          <w:i/>
          <w:kern w:val="0"/>
          <w:sz w:val="24"/>
          <w:szCs w:val="24"/>
        </w:rPr>
        <w:t>P</w:t>
      </w:r>
      <w:r>
        <w:rPr>
          <w:rFonts w:ascii="Book Antiqua" w:eastAsia="宋体" w:hAnsi="Book Antiqua"/>
          <w:kern w:val="0"/>
          <w:sz w:val="24"/>
          <w:szCs w:val="24"/>
          <w:lang w:eastAsia="zh-CN"/>
        </w:rPr>
        <w:t xml:space="preserve"> </w:t>
      </w:r>
      <w:r w:rsidRPr="00C67938">
        <w:rPr>
          <w:rFonts w:ascii="Book Antiqua" w:eastAsia="AdvP4C4E74" w:hAnsi="Book Antiqua"/>
          <w:kern w:val="0"/>
          <w:sz w:val="24"/>
          <w:szCs w:val="24"/>
        </w:rPr>
        <w:t xml:space="preserve">= </w:t>
      </w:r>
      <w:r w:rsidRPr="00C67938">
        <w:rPr>
          <w:rFonts w:ascii="Book Antiqua" w:eastAsia="Times New Roman" w:hAnsi="Book Antiqua"/>
          <w:kern w:val="0"/>
          <w:sz w:val="24"/>
          <w:szCs w:val="24"/>
        </w:rPr>
        <w:t>0.014)</w:t>
      </w:r>
      <w:r w:rsidRPr="00976138">
        <w:rPr>
          <w:rFonts w:ascii="Book Antiqua" w:eastAsia="Times New Roman" w:hAnsi="Book Antiqua"/>
          <w:kern w:val="0"/>
          <w:sz w:val="24"/>
          <w:szCs w:val="24"/>
          <w:vertAlign w:val="superscript"/>
        </w:rPr>
        <w:t xml:space="preserve"> </w:t>
      </w:r>
      <w:r w:rsidRPr="00C67938">
        <w:rPr>
          <w:rFonts w:ascii="Book Antiqua" w:eastAsia="Times New Roman" w:hAnsi="Book Antiqua"/>
          <w:kern w:val="0"/>
          <w:sz w:val="24"/>
          <w:szCs w:val="24"/>
          <w:vertAlign w:val="superscript"/>
        </w:rPr>
        <w:t>[59]</w:t>
      </w:r>
      <w:r w:rsidRPr="00C67938">
        <w:rPr>
          <w:rFonts w:ascii="Book Antiqua" w:eastAsia="Times New Roman" w:hAnsi="Book Antiqua"/>
          <w:kern w:val="0"/>
          <w:sz w:val="24"/>
          <w:szCs w:val="24"/>
        </w:rPr>
        <w:t xml:space="preserve">. Sorafenib is the only targeted therapy to have been approved for clinical use in several countries, including the United States and in Europe. </w:t>
      </w:r>
      <w:r w:rsidRPr="00C67938">
        <w:rPr>
          <w:rFonts w:ascii="Book Antiqua" w:hAnsi="Book Antiqua"/>
          <w:sz w:val="24"/>
          <w:szCs w:val="24"/>
        </w:rPr>
        <w:t>Although sorafenib improved OS in patients with HCC, the associated toxicities may significantly affect patients’ quality of life. High rates of dermatologic side effects have commonly been reported with sor</w:t>
      </w:r>
      <w:r>
        <w:rPr>
          <w:rFonts w:ascii="Book Antiqua" w:hAnsi="Book Antiqua"/>
          <w:sz w:val="24"/>
          <w:szCs w:val="24"/>
        </w:rPr>
        <w:t>afenib, the most clinically sig</w:t>
      </w:r>
      <w:r w:rsidRPr="00C67938">
        <w:rPr>
          <w:rFonts w:ascii="Book Antiqua" w:hAnsi="Book Antiqua"/>
          <w:sz w:val="24"/>
          <w:szCs w:val="24"/>
        </w:rPr>
        <w:t>nificant of which is hand-foot skin reaction</w:t>
      </w:r>
      <w:r w:rsidRPr="00C67938">
        <w:rPr>
          <w:rFonts w:ascii="Book Antiqua" w:hAnsi="Book Antiqua"/>
          <w:sz w:val="24"/>
          <w:szCs w:val="24"/>
          <w:vertAlign w:val="superscript"/>
        </w:rPr>
        <w:t>[60]</w:t>
      </w:r>
      <w:r w:rsidRPr="00C67938">
        <w:rPr>
          <w:rFonts w:ascii="Book Antiqua" w:hAnsi="Book Antiqua"/>
          <w:sz w:val="24"/>
          <w:szCs w:val="24"/>
        </w:rPr>
        <w:t>. Despite initial responses to sorafenib, most HCC patients experience a loss of efficacy. No effective second-line treatment options currently exist for patients who are resistant or refractory to and/or intol</w:t>
      </w:r>
      <w:r w:rsidRPr="00C67938">
        <w:rPr>
          <w:rFonts w:ascii="Book Antiqua" w:hAnsi="Book Antiqua"/>
          <w:sz w:val="24"/>
          <w:szCs w:val="24"/>
        </w:rPr>
        <w:softHyphen/>
        <w:t>erant of sorafenib.</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rPr>
      </w:pPr>
      <w:r w:rsidRPr="00C67938">
        <w:rPr>
          <w:rFonts w:ascii="Book Antiqua" w:hAnsi="Book Antiqua"/>
          <w:sz w:val="24"/>
          <w:szCs w:val="24"/>
        </w:rPr>
        <w:t>Beyond sorafenib, sunitinib is the most studied multikinase inhibitor targeting VEGFR-1, and VEGFR-2. Sunitinib also displays inhibitory activities against other receptor tyrosine kinases, including PDGFR-a/b, c-KIT, FLT3, and RET kinases. Sunitinib is currently indicated for the treatment of renal cell carcinoma and gastro</w:t>
      </w:r>
      <w:r w:rsidRPr="00C67938">
        <w:rPr>
          <w:rFonts w:ascii="Book Antiqua" w:hAnsi="Book Antiqua"/>
          <w:sz w:val="24"/>
          <w:szCs w:val="24"/>
        </w:rPr>
        <w:softHyphen/>
        <w:t>intestinal stromal tumors</w:t>
      </w:r>
      <w:r w:rsidRPr="00C67938">
        <w:rPr>
          <w:rFonts w:ascii="Book Antiqua" w:eastAsia="Times New Roman" w:hAnsi="Book Antiqua"/>
          <w:kern w:val="0"/>
          <w:sz w:val="24"/>
          <w:szCs w:val="24"/>
          <w:vertAlign w:val="superscript"/>
        </w:rPr>
        <w:t>[61-63]</w:t>
      </w:r>
      <w:r w:rsidRPr="00C67938">
        <w:rPr>
          <w:rFonts w:ascii="Book Antiqua" w:hAnsi="Book Antiqua"/>
          <w:sz w:val="24"/>
          <w:szCs w:val="24"/>
        </w:rPr>
        <w:t>.</w:t>
      </w:r>
      <w:r w:rsidRPr="00C67938">
        <w:rPr>
          <w:rFonts w:ascii="Book Antiqua" w:eastAsia="Times New Roman" w:hAnsi="Book Antiqua"/>
          <w:kern w:val="0"/>
          <w:sz w:val="24"/>
          <w:szCs w:val="24"/>
        </w:rPr>
        <w:t xml:space="preserve"> Two phase II studies of sunitinib in patients with advanced HCC have been performed. In the first study, the </w:t>
      </w:r>
      <w:r w:rsidRPr="00C67938">
        <w:rPr>
          <w:rFonts w:ascii="Book Antiqua" w:hAnsi="Book Antiqua"/>
          <w:sz w:val="24"/>
          <w:szCs w:val="24"/>
        </w:rPr>
        <w:t>PR rate was 2.9%, and 50% of the patients achieved stable disease</w:t>
      </w:r>
      <w:r w:rsidRPr="00C67938">
        <w:rPr>
          <w:rFonts w:ascii="Book Antiqua" w:hAnsi="Book Antiqua"/>
          <w:sz w:val="24"/>
          <w:szCs w:val="24"/>
          <w:vertAlign w:val="superscript"/>
        </w:rPr>
        <w:t>[64]</w:t>
      </w:r>
      <w:r w:rsidRPr="00C67938">
        <w:rPr>
          <w:rFonts w:ascii="Book Antiqua" w:hAnsi="Book Antiqua"/>
          <w:sz w:val="24"/>
          <w:szCs w:val="24"/>
        </w:rPr>
        <w:t>. In a second phase II study, one (2.7%) patient experienced a confirmed PR and 13 (35%) of 37 patients achieved stable disease</w:t>
      </w:r>
      <w:r w:rsidRPr="00C67938">
        <w:rPr>
          <w:rFonts w:ascii="Book Antiqua" w:hAnsi="Book Antiqua"/>
          <w:sz w:val="24"/>
          <w:szCs w:val="24"/>
          <w:vertAlign w:val="superscript"/>
        </w:rPr>
        <w:t>[65]</w:t>
      </w:r>
      <w:r w:rsidRPr="00C67938">
        <w:rPr>
          <w:rFonts w:ascii="Book Antiqua" w:hAnsi="Book Antiqua"/>
          <w:sz w:val="24"/>
          <w:szCs w:val="24"/>
        </w:rPr>
        <w:t>.</w:t>
      </w:r>
      <w:r w:rsidRPr="00C67938">
        <w:rPr>
          <w:rFonts w:ascii="Book Antiqua" w:eastAsia="Times New Roman" w:hAnsi="Book Antiqua"/>
          <w:kern w:val="0"/>
          <w:sz w:val="24"/>
          <w:szCs w:val="24"/>
        </w:rPr>
        <w:t xml:space="preserve"> A phase III study comparing sunitinib with sorafenib (</w:t>
      </w:r>
      <w:r w:rsidRPr="00C67938">
        <w:rPr>
          <w:rFonts w:ascii="Book Antiqua" w:hAnsi="Book Antiqua"/>
          <w:sz w:val="24"/>
          <w:szCs w:val="24"/>
        </w:rPr>
        <w:t xml:space="preserve">NCT00699374) </w:t>
      </w:r>
      <w:r w:rsidRPr="00C67938">
        <w:rPr>
          <w:rFonts w:ascii="Book Antiqua" w:eastAsia="Times New Roman" w:hAnsi="Book Antiqua"/>
          <w:kern w:val="0"/>
          <w:sz w:val="24"/>
          <w:szCs w:val="24"/>
        </w:rPr>
        <w:t xml:space="preserve">was discontinued due to a greater incidence of adverse events in the sunitinib group and because sunitinib failed to demonstrate superiority or non-inferiority to sorafenib in extending </w:t>
      </w:r>
      <w:r w:rsidRPr="00C67938">
        <w:rPr>
          <w:rFonts w:ascii="Book Antiqua" w:hAnsi="Book Antiqua"/>
          <w:sz w:val="24"/>
          <w:szCs w:val="24"/>
        </w:rPr>
        <w:t xml:space="preserve">the survival of patients with advanced HCC </w:t>
      </w:r>
      <w:r w:rsidRPr="00C67938">
        <w:rPr>
          <w:rFonts w:ascii="Book Antiqua" w:eastAsia="Times New Roman" w:hAnsi="Book Antiqua"/>
          <w:kern w:val="0"/>
          <w:sz w:val="24"/>
          <w:szCs w:val="24"/>
        </w:rPr>
        <w:t>.</w:t>
      </w:r>
    </w:p>
    <w:p w:rsidR="00A7606F" w:rsidRPr="00C67938" w:rsidRDefault="00A7606F" w:rsidP="00C67938">
      <w:pPr>
        <w:wordWrap/>
        <w:adjustRightInd w:val="0"/>
        <w:spacing w:line="360" w:lineRule="auto"/>
        <w:ind w:firstLine="800"/>
        <w:rPr>
          <w:rFonts w:ascii="Book Antiqua" w:eastAsia="Kozuka Mincho Pro" w:hAnsi="Book Antiqua" w:cs="Garamond"/>
          <w:i/>
          <w:sz w:val="24"/>
          <w:szCs w:val="24"/>
        </w:rPr>
      </w:pPr>
      <w:r w:rsidRPr="00C67938">
        <w:rPr>
          <w:rFonts w:ascii="Book Antiqua" w:eastAsia="Times New Roman" w:hAnsi="Book Antiqua"/>
          <w:kern w:val="0"/>
          <w:sz w:val="24"/>
          <w:szCs w:val="24"/>
        </w:rPr>
        <w:t xml:space="preserve">Brivanib is a dual inhibitor of VEGFR and fibroblast growth factor receptor signaling pathways. </w:t>
      </w:r>
      <w:r w:rsidRPr="00C67938">
        <w:rPr>
          <w:rFonts w:ascii="Book Antiqua" w:hAnsi="Book Antiqua"/>
          <w:sz w:val="24"/>
          <w:szCs w:val="24"/>
        </w:rPr>
        <w:t>Because FGF signaling may contrib</w:t>
      </w:r>
      <w:r w:rsidRPr="00C67938">
        <w:rPr>
          <w:rFonts w:ascii="Book Antiqua" w:hAnsi="Book Antiqua"/>
          <w:sz w:val="24"/>
          <w:szCs w:val="24"/>
        </w:rPr>
        <w:softHyphen/>
        <w:t>ute to acquired “resistance” or compensatory signaling during anti-VEGFR therapy, the simultaneous inhibi</w:t>
      </w:r>
      <w:r w:rsidRPr="00C67938">
        <w:rPr>
          <w:rFonts w:ascii="Book Antiqua" w:hAnsi="Book Antiqua"/>
          <w:sz w:val="24"/>
          <w:szCs w:val="24"/>
        </w:rPr>
        <w:softHyphen/>
        <w:t>tion of these</w:t>
      </w:r>
      <w:r w:rsidRPr="00C67938">
        <w:rPr>
          <w:rStyle w:val="A10"/>
          <w:rFonts w:ascii="Book Antiqua" w:hAnsi="Book Antiqua"/>
          <w:color w:val="auto"/>
          <w:sz w:val="24"/>
          <w:szCs w:val="24"/>
        </w:rPr>
        <w:t xml:space="preserve"> </w:t>
      </w:r>
      <w:r w:rsidRPr="00C67938">
        <w:rPr>
          <w:rFonts w:ascii="Book Antiqua" w:hAnsi="Book Antiqua"/>
          <w:sz w:val="24"/>
          <w:szCs w:val="24"/>
        </w:rPr>
        <w:t>2 pathways by brivanib may both delay initial progression in response to antiangiogenic therapy (as first-line treatment) and successfully treat tumors that have already progressed during the course of anti-VEGFR therapy (as second-line treatment)</w:t>
      </w:r>
      <w:r w:rsidRPr="008F6008">
        <w:rPr>
          <w:rFonts w:ascii="Book Antiqua" w:hAnsi="Book Antiqua"/>
          <w:sz w:val="24"/>
          <w:szCs w:val="24"/>
          <w:vertAlign w:val="superscript"/>
        </w:rPr>
        <w:t xml:space="preserve"> </w:t>
      </w:r>
      <w:r w:rsidRPr="00C67938">
        <w:rPr>
          <w:rFonts w:ascii="Book Antiqua" w:hAnsi="Book Antiqua"/>
          <w:sz w:val="24"/>
          <w:szCs w:val="24"/>
          <w:vertAlign w:val="superscript"/>
        </w:rPr>
        <w:t>[66,67]</w:t>
      </w:r>
      <w:r w:rsidRPr="00C67938">
        <w:rPr>
          <w:rFonts w:ascii="Book Antiqua" w:hAnsi="Book Antiqua"/>
          <w:sz w:val="24"/>
          <w:szCs w:val="24"/>
        </w:rPr>
        <w:t xml:space="preserve">. Brivanib has demonstrated a disease control rate of 51% and an OS of 10 </w:t>
      </w:r>
      <w:r>
        <w:rPr>
          <w:rFonts w:ascii="Book Antiqua" w:hAnsi="Book Antiqua"/>
          <w:sz w:val="24"/>
          <w:szCs w:val="24"/>
        </w:rPr>
        <w:t>mo</w:t>
      </w:r>
      <w:r w:rsidRPr="00C67938">
        <w:rPr>
          <w:rFonts w:ascii="Book Antiqua" w:hAnsi="Book Antiqua"/>
          <w:sz w:val="24"/>
          <w:szCs w:val="24"/>
        </w:rPr>
        <w:t xml:space="preserve"> as first-line monotherapy in a phase </w:t>
      </w:r>
      <w:r w:rsidRPr="00C67938">
        <w:rPr>
          <w:rStyle w:val="A70"/>
          <w:rFonts w:ascii="Book Antiqua" w:hAnsi="Book Antiqua"/>
          <w:color w:val="auto"/>
          <w:sz w:val="24"/>
          <w:szCs w:val="24"/>
        </w:rPr>
        <w:t xml:space="preserve">II </w:t>
      </w:r>
      <w:r w:rsidRPr="00C67938">
        <w:rPr>
          <w:rFonts w:ascii="Book Antiqua" w:eastAsia="Kozuka Mincho Pro" w:hAnsi="Book Antiqua"/>
          <w:sz w:val="24"/>
          <w:szCs w:val="24"/>
        </w:rPr>
        <w:t>trial of predominantly Asian patients with HCC</w:t>
      </w:r>
      <w:r w:rsidRPr="00C67938">
        <w:rPr>
          <w:rFonts w:ascii="Book Antiqua" w:eastAsia="Kozuka Mincho Pro" w:hAnsi="Book Antiqua"/>
          <w:sz w:val="24"/>
          <w:szCs w:val="24"/>
          <w:vertAlign w:val="superscript"/>
        </w:rPr>
        <w:t>[68]</w:t>
      </w:r>
      <w:r w:rsidRPr="00C67938">
        <w:rPr>
          <w:rFonts w:ascii="Book Antiqua" w:eastAsia="Kozuka Mincho Pro" w:hAnsi="Book Antiqua"/>
          <w:sz w:val="24"/>
          <w:szCs w:val="24"/>
        </w:rPr>
        <w:t>.</w:t>
      </w:r>
      <w:r w:rsidRPr="00C67938">
        <w:rPr>
          <w:rFonts w:ascii="Book Antiqua" w:eastAsia="MinionPro-Regular" w:hAnsi="Book Antiqua"/>
          <w:kern w:val="0"/>
          <w:sz w:val="24"/>
          <w:szCs w:val="24"/>
        </w:rPr>
        <w:t xml:space="preserve"> </w:t>
      </w:r>
      <w:r w:rsidRPr="00C67938">
        <w:rPr>
          <w:rFonts w:ascii="Book Antiqua" w:hAnsi="Book Antiqua"/>
          <w:sz w:val="24"/>
          <w:szCs w:val="24"/>
        </w:rPr>
        <w:t xml:space="preserve">In another phase </w:t>
      </w:r>
      <w:r w:rsidRPr="00C67938">
        <w:rPr>
          <w:rStyle w:val="A70"/>
          <w:rFonts w:ascii="Book Antiqua" w:hAnsi="Book Antiqua"/>
          <w:color w:val="auto"/>
          <w:sz w:val="24"/>
          <w:szCs w:val="24"/>
        </w:rPr>
        <w:t xml:space="preserve">II </w:t>
      </w:r>
      <w:r w:rsidRPr="00C67938">
        <w:rPr>
          <w:rFonts w:ascii="Book Antiqua" w:eastAsia="Kozuka Mincho Pro" w:hAnsi="Book Antiqua"/>
          <w:sz w:val="24"/>
          <w:szCs w:val="24"/>
        </w:rPr>
        <w:t>trial of brivanib in patients with HCC who had been treated with sorafenib, brivanib caused</w:t>
      </w:r>
      <w:r w:rsidRPr="00C67938">
        <w:rPr>
          <w:rFonts w:ascii="Book Antiqua" w:hAnsi="Book Antiqua"/>
          <w:sz w:val="24"/>
          <w:szCs w:val="24"/>
        </w:rPr>
        <w:t xml:space="preserve"> a tumor response rate of 4.3% and disease control rate of 45.7%</w:t>
      </w:r>
      <w:r w:rsidRPr="00C67938">
        <w:rPr>
          <w:rFonts w:ascii="Book Antiqua" w:eastAsia="Kozuka Mincho Pro" w:hAnsi="Book Antiqua"/>
          <w:sz w:val="24"/>
          <w:szCs w:val="24"/>
          <w:vertAlign w:val="superscript"/>
        </w:rPr>
        <w:t>[69]</w:t>
      </w:r>
      <w:r w:rsidRPr="00C67938">
        <w:rPr>
          <w:rFonts w:ascii="Book Antiqua" w:eastAsia="Kozuka Mincho Pro" w:hAnsi="Book Antiqua"/>
          <w:sz w:val="24"/>
          <w:szCs w:val="24"/>
        </w:rPr>
        <w:t>.</w:t>
      </w:r>
      <w:r w:rsidRPr="00C67938">
        <w:rPr>
          <w:rFonts w:ascii="Book Antiqua" w:eastAsia="MinionPro-Regular"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eastAsia="Gulim" w:hAnsi="Book Antiqua"/>
          <w:kern w:val="0"/>
          <w:sz w:val="24"/>
          <w:szCs w:val="24"/>
        </w:rPr>
      </w:pPr>
      <w:r w:rsidRPr="00C67938">
        <w:rPr>
          <w:rFonts w:ascii="Book Antiqua" w:eastAsia="Gulim" w:hAnsi="Book Antiqua"/>
          <w:kern w:val="0"/>
          <w:sz w:val="24"/>
          <w:szCs w:val="24"/>
        </w:rPr>
        <w:t>Large randomized phase III BRISK (Brivanib Study in Patients at Risk) HCC program trials have been conducted to evaluate the role of brivanib in advanced HCC (BRISK-FL, BRISK-PS, and BRISK-APS). The BRISK-PS trial evaluated brivanib versus placebo in patients who had failed or were intolerant to sorafenib therapy (NCT00825955). This study did not meet its primary end point of improving OS, but treatment with brivanib showed improvements in the response rate</w:t>
      </w:r>
      <w:r w:rsidRPr="00C67938">
        <w:rPr>
          <w:rFonts w:ascii="Book Antiqua" w:eastAsia="Gulim" w:hAnsi="Book Antiqua"/>
          <w:kern w:val="0"/>
          <w:sz w:val="24"/>
          <w:szCs w:val="24"/>
          <w:vertAlign w:val="superscript"/>
        </w:rPr>
        <w:t>[70]</w:t>
      </w:r>
      <w:r w:rsidRPr="00C67938">
        <w:rPr>
          <w:rFonts w:ascii="Book Antiqua" w:eastAsia="Gulim" w:hAnsi="Book Antiqua"/>
          <w:kern w:val="0"/>
          <w:sz w:val="24"/>
          <w:szCs w:val="24"/>
        </w:rPr>
        <w:t xml:space="preserve">. The BRISK-FL trial (NCT00858871) directly compared the clinical outcomes of brivanib versus sorafenib in patients with advanced HCC who received no prior systemic therapy. The </w:t>
      </w:r>
      <w:r w:rsidRPr="00C67938">
        <w:rPr>
          <w:rFonts w:ascii="Book Antiqua" w:hAnsi="Book Antiqua"/>
          <w:sz w:val="24"/>
          <w:szCs w:val="24"/>
        </w:rPr>
        <w:t xml:space="preserve">median OS was 9.5 </w:t>
      </w:r>
      <w:r>
        <w:rPr>
          <w:rFonts w:ascii="Book Antiqua" w:hAnsi="Book Antiqua"/>
          <w:sz w:val="24"/>
          <w:szCs w:val="24"/>
        </w:rPr>
        <w:t>mo</w:t>
      </w:r>
      <w:r w:rsidRPr="00C67938">
        <w:rPr>
          <w:rFonts w:ascii="Book Antiqua" w:hAnsi="Book Antiqua"/>
          <w:sz w:val="24"/>
          <w:szCs w:val="24"/>
        </w:rPr>
        <w:t xml:space="preserve"> in the brivanib arm compared with 9.9 </w:t>
      </w:r>
      <w:r>
        <w:rPr>
          <w:rFonts w:ascii="Book Antiqua" w:hAnsi="Book Antiqua"/>
          <w:sz w:val="24"/>
          <w:szCs w:val="24"/>
        </w:rPr>
        <w:t>mo</w:t>
      </w:r>
      <w:r w:rsidRPr="00C67938">
        <w:rPr>
          <w:rFonts w:ascii="Book Antiqua" w:hAnsi="Book Antiqua"/>
          <w:sz w:val="24"/>
          <w:szCs w:val="24"/>
        </w:rPr>
        <w:t xml:space="preserve"> in the sorafenib arm, which was not a statistically significant difference. No significant survival differences were observed between subgroups based on geographic regions, cause of HCC or disease severity. The study did not meet its primary OS objective based upon a non-inferiority statistical design</w:t>
      </w:r>
      <w:r w:rsidRPr="00C67938">
        <w:rPr>
          <w:rFonts w:ascii="Book Antiqua" w:hAnsi="Book Antiqua"/>
          <w:sz w:val="24"/>
          <w:szCs w:val="24"/>
          <w:vertAlign w:val="superscript"/>
        </w:rPr>
        <w:t>[71]</w:t>
      </w:r>
      <w:r w:rsidRPr="00C67938">
        <w:rPr>
          <w:rFonts w:ascii="Book Antiqua" w:hAnsi="Book Antiqua"/>
          <w:sz w:val="24"/>
          <w:szCs w:val="24"/>
        </w:rPr>
        <w:t>.</w:t>
      </w:r>
    </w:p>
    <w:p w:rsidR="00A7606F" w:rsidRPr="00C67938" w:rsidRDefault="00A7606F" w:rsidP="00C67938">
      <w:pPr>
        <w:wordWrap/>
        <w:adjustRightInd w:val="0"/>
        <w:spacing w:line="360" w:lineRule="auto"/>
        <w:ind w:firstLine="800"/>
        <w:rPr>
          <w:rFonts w:ascii="Book Antiqua" w:hAnsi="Book Antiqua"/>
          <w:sz w:val="24"/>
          <w:szCs w:val="24"/>
        </w:rPr>
      </w:pPr>
      <w:r w:rsidRPr="00C67938">
        <w:rPr>
          <w:rFonts w:ascii="Book Antiqua" w:hAnsi="Book Antiqua"/>
          <w:sz w:val="24"/>
          <w:szCs w:val="24"/>
        </w:rPr>
        <w:t>Vatalanib (PTK787) is a potent tyrosine kinase inhibitor that binds directly to the ATP-binding sites of VEGF receptors. Vatalanib inhibits both Flt-1 and Flk-1/KDR and other class III receptor tyrosine kinases, such as PDGFR-β, Flt-4, c-kit, and c-fms</w:t>
      </w:r>
      <w:r w:rsidRPr="00C67938">
        <w:rPr>
          <w:rFonts w:ascii="Book Antiqua" w:hAnsi="Book Antiqua"/>
          <w:sz w:val="24"/>
          <w:szCs w:val="24"/>
          <w:vertAlign w:val="superscript"/>
        </w:rPr>
        <w:t>[72]</w:t>
      </w:r>
      <w:r w:rsidRPr="00C67938">
        <w:rPr>
          <w:rFonts w:ascii="Book Antiqua" w:hAnsi="Book Antiqua"/>
          <w:sz w:val="24"/>
          <w:szCs w:val="24"/>
        </w:rPr>
        <w:t>. In a phase I/II study of vatalanib combined with doxorubicin in patients with advanced HCC, the overall response rate was 26.0%, with all of the responding patients achieving PR. Another 20% of the patients achieved SD for at least 12 weeks</w:t>
      </w:r>
      <w:r w:rsidRPr="00C67938">
        <w:rPr>
          <w:rFonts w:ascii="Book Antiqua" w:hAnsi="Book Antiqua"/>
          <w:sz w:val="24"/>
          <w:szCs w:val="24"/>
          <w:vertAlign w:val="superscript"/>
        </w:rPr>
        <w:t>[73]</w:t>
      </w:r>
      <w:r w:rsidRPr="00C67938">
        <w:rPr>
          <w:rFonts w:ascii="Book Antiqua" w:hAnsi="Book Antiqua"/>
          <w:sz w:val="24"/>
          <w:szCs w:val="24"/>
        </w:rPr>
        <w:t>.</w:t>
      </w:r>
    </w:p>
    <w:p w:rsidR="00A7606F" w:rsidRPr="00C67938" w:rsidRDefault="00A7606F" w:rsidP="00C67938">
      <w:pPr>
        <w:wordWrap/>
        <w:adjustRightInd w:val="0"/>
        <w:spacing w:line="360" w:lineRule="auto"/>
        <w:ind w:firstLine="800"/>
        <w:rPr>
          <w:rFonts w:ascii="Book Antiqua" w:hAnsi="Book Antiqua"/>
          <w:sz w:val="24"/>
          <w:szCs w:val="24"/>
          <w:shd w:val="pct15" w:color="auto" w:fill="FFFFFF"/>
        </w:rPr>
      </w:pPr>
      <w:r w:rsidRPr="00C67938">
        <w:rPr>
          <w:rFonts w:ascii="Book Antiqua" w:eastAsia="Times New Roman" w:hAnsi="Book Antiqua"/>
          <w:kern w:val="0"/>
          <w:sz w:val="24"/>
          <w:szCs w:val="24"/>
        </w:rPr>
        <w:t>Linifanib (ABT-869) is a novel receptor tyrosine kinase inhibitor with potent activity against members of the VEGFR and PDGFR families</w:t>
      </w:r>
      <w:r w:rsidRPr="00C67938">
        <w:rPr>
          <w:rFonts w:ascii="Book Antiqua" w:eastAsia="Times New Roman" w:hAnsi="Book Antiqua"/>
          <w:kern w:val="0"/>
          <w:sz w:val="24"/>
          <w:szCs w:val="24"/>
          <w:vertAlign w:val="superscript"/>
        </w:rPr>
        <w:t>[74]</w:t>
      </w:r>
      <w:r w:rsidRPr="00C67938">
        <w:rPr>
          <w:rFonts w:ascii="Book Antiqua" w:eastAsia="Times New Roman" w:hAnsi="Book Antiqua"/>
          <w:kern w:val="0"/>
          <w:sz w:val="24"/>
          <w:szCs w:val="24"/>
        </w:rPr>
        <w:t xml:space="preserve">. In a phase II study of linifanib in advanced HCC, </w:t>
      </w:r>
      <w:r w:rsidRPr="00C67938">
        <w:rPr>
          <w:rFonts w:ascii="Book Antiqua" w:hAnsi="Book Antiqua"/>
          <w:sz w:val="24"/>
          <w:szCs w:val="24"/>
        </w:rPr>
        <w:t xml:space="preserve">the estimated objective response rate was 9.1%, the median time to disease progression was 3.7 </w:t>
      </w:r>
      <w:r>
        <w:rPr>
          <w:rFonts w:ascii="Book Antiqua" w:hAnsi="Book Antiqua"/>
          <w:sz w:val="24"/>
          <w:szCs w:val="24"/>
        </w:rPr>
        <w:t>mo</w:t>
      </w:r>
      <w:r w:rsidRPr="00C67938">
        <w:rPr>
          <w:rFonts w:ascii="Book Antiqua" w:hAnsi="Book Antiqua"/>
          <w:sz w:val="24"/>
          <w:szCs w:val="24"/>
        </w:rPr>
        <w:t xml:space="preserve">, and the median OS was 9.7 </w:t>
      </w:r>
      <w:r>
        <w:rPr>
          <w:rFonts w:ascii="Book Antiqua" w:hAnsi="Book Antiqua"/>
          <w:sz w:val="24"/>
          <w:szCs w:val="24"/>
        </w:rPr>
        <w:t>mo</w:t>
      </w:r>
      <w:r w:rsidRPr="00C67938">
        <w:rPr>
          <w:rFonts w:ascii="Book Antiqua" w:hAnsi="Book Antiqua"/>
          <w:sz w:val="24"/>
          <w:szCs w:val="24"/>
          <w:vertAlign w:val="superscript"/>
        </w:rPr>
        <w:t>[75]</w:t>
      </w:r>
      <w:r w:rsidRPr="00C67938">
        <w:rPr>
          <w:rFonts w:ascii="Book Antiqua" w:hAnsi="Book Antiqua"/>
          <w:sz w:val="24"/>
          <w:szCs w:val="24"/>
        </w:rPr>
        <w:t>. An open-label, randomized phase III study of the efficacy and tolerability of linifanib versus sorafenib in advanced HCC (NCT01009593) was conducted. The OSl of linifanib given as monotherapy once daily was similar to sorafenib given twice daily per standard of care</w:t>
      </w:r>
      <w:r w:rsidRPr="00C67938">
        <w:rPr>
          <w:rFonts w:ascii="Book Antiqua" w:hAnsi="Book Antiqua"/>
          <w:sz w:val="24"/>
          <w:szCs w:val="24"/>
          <w:vertAlign w:val="superscript"/>
        </w:rPr>
        <w:t>[76]</w:t>
      </w:r>
      <w:r w:rsidRPr="00C67938">
        <w:rPr>
          <w:rFonts w:ascii="Book Antiqua" w:hAnsi="Book Antiqua"/>
          <w:sz w:val="24"/>
          <w:szCs w:val="24"/>
        </w:rPr>
        <w:t>.</w:t>
      </w:r>
    </w:p>
    <w:p w:rsidR="00A7606F" w:rsidRPr="00C67938" w:rsidRDefault="00A7606F" w:rsidP="00C67938">
      <w:pPr>
        <w:wordWrap/>
        <w:adjustRightInd w:val="0"/>
        <w:spacing w:line="360" w:lineRule="auto"/>
        <w:ind w:firstLine="800"/>
        <w:rPr>
          <w:rFonts w:ascii="Book Antiqua" w:eastAsia="MinionPro-Regular" w:hAnsi="Book Antiqua"/>
          <w:kern w:val="0"/>
          <w:sz w:val="24"/>
          <w:szCs w:val="24"/>
        </w:rPr>
      </w:pPr>
      <w:r w:rsidRPr="00C67938">
        <w:rPr>
          <w:rFonts w:ascii="Book Antiqua" w:eastAsia="MinionPro-Regular" w:hAnsi="Book Antiqua"/>
          <w:kern w:val="0"/>
          <w:sz w:val="24"/>
          <w:szCs w:val="24"/>
        </w:rPr>
        <w:t>TSU-68 is an oral tyrosine kinase inhibitor of FGFRs, VEGFRs and PDGFR and has demonstrated some clinical efficacy in a phase I/II trial of heavily pretreated patients with advanced HCC. Treatment of patients with unresectable or metastatic HCC with TSU-68 was associated with disease stabilization or improvement in 51% of the patients</w:t>
      </w:r>
      <w:r w:rsidRPr="00C67938">
        <w:rPr>
          <w:rFonts w:ascii="Book Antiqua" w:eastAsia="MinionPro-Regular" w:hAnsi="Book Antiqua"/>
          <w:kern w:val="0"/>
          <w:sz w:val="24"/>
          <w:szCs w:val="24"/>
          <w:vertAlign w:val="superscript"/>
        </w:rPr>
        <w:t>[77]</w:t>
      </w:r>
      <w:r w:rsidRPr="00C67938">
        <w:rPr>
          <w:rFonts w:ascii="Book Antiqua" w:eastAsia="MinionPro-Regular" w:hAnsi="Book Antiqua"/>
          <w:kern w:val="0"/>
          <w:sz w:val="24"/>
          <w:szCs w:val="24"/>
        </w:rPr>
        <w:t>. A randomized placebo-controlled phase III trial in Japan, Korea and Taiwan is currently recruiting patients with unresectable HCC and will evaluate transcatheter arterial chemoembolization (TACE) in combination with either TSU-68 or placebo.</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rPr>
      </w:pPr>
      <w:r w:rsidRPr="00C67938">
        <w:rPr>
          <w:rFonts w:ascii="Book Antiqua" w:eastAsia="Times New Roman" w:hAnsi="Book Antiqua"/>
          <w:kern w:val="0"/>
          <w:sz w:val="24"/>
          <w:szCs w:val="24"/>
        </w:rPr>
        <w:t xml:space="preserve">Cediranib (AZD2171) is another selective inhibitor of VEGFR-1, -2 and -3. </w:t>
      </w:r>
      <w:r w:rsidRPr="00C67938">
        <w:rPr>
          <w:rFonts w:ascii="Book Antiqua" w:hAnsi="Book Antiqua"/>
          <w:sz w:val="24"/>
          <w:szCs w:val="24"/>
        </w:rPr>
        <w:t>Cediranib also exhibits activity against c-kit, PDGFR-</w:t>
      </w:r>
      <w:r w:rsidRPr="00C67938">
        <w:rPr>
          <w:rFonts w:ascii="Book Antiqua" w:hAnsi="Book Antiqua"/>
          <w:i/>
          <w:iCs/>
          <w:sz w:val="24"/>
          <w:szCs w:val="24"/>
        </w:rPr>
        <w:t>β</w:t>
      </w:r>
      <w:r w:rsidRPr="00C67938">
        <w:rPr>
          <w:rFonts w:ascii="Book Antiqua" w:hAnsi="Book Antiqua"/>
          <w:sz w:val="24"/>
          <w:szCs w:val="24"/>
        </w:rPr>
        <w:t xml:space="preserve">, and FLT4 at nanomolar concentrations. </w:t>
      </w:r>
      <w:r w:rsidRPr="00C67938">
        <w:rPr>
          <w:rFonts w:ascii="Book Antiqua" w:eastAsia="Times New Roman" w:hAnsi="Book Antiqua"/>
          <w:kern w:val="0"/>
          <w:sz w:val="24"/>
          <w:szCs w:val="24"/>
        </w:rPr>
        <w:t>In a phase II clinical study of advanced HCC, t</w:t>
      </w:r>
      <w:r w:rsidRPr="00C67938">
        <w:rPr>
          <w:rFonts w:ascii="Book Antiqua" w:hAnsi="Book Antiqua"/>
          <w:sz w:val="24"/>
          <w:szCs w:val="24"/>
        </w:rPr>
        <w:t xml:space="preserve">he median OS was 5.8 </w:t>
      </w:r>
      <w:r>
        <w:rPr>
          <w:rFonts w:ascii="Book Antiqua" w:hAnsi="Book Antiqua"/>
          <w:sz w:val="24"/>
          <w:szCs w:val="24"/>
        </w:rPr>
        <w:t>mo</w:t>
      </w:r>
      <w:r w:rsidRPr="00C67938">
        <w:rPr>
          <w:rFonts w:ascii="Book Antiqua" w:hAnsi="Book Antiqua"/>
          <w:sz w:val="24"/>
          <w:szCs w:val="24"/>
        </w:rPr>
        <w:t xml:space="preserve">. No patients experienced confirmed response. The median time to progression was 2.8 </w:t>
      </w:r>
      <w:r>
        <w:rPr>
          <w:rFonts w:ascii="Book Antiqua" w:hAnsi="Book Antiqua"/>
          <w:sz w:val="24"/>
          <w:szCs w:val="24"/>
        </w:rPr>
        <w:t>mo</w:t>
      </w:r>
      <w:r w:rsidRPr="00C67938">
        <w:rPr>
          <w:rFonts w:ascii="Book Antiqua" w:hAnsi="Book Antiqua"/>
          <w:sz w:val="24"/>
          <w:szCs w:val="24"/>
          <w:vertAlign w:val="superscript"/>
        </w:rPr>
        <w:t>[78]</w:t>
      </w:r>
      <w:r w:rsidRPr="00C67938">
        <w:rPr>
          <w:rFonts w:ascii="Book Antiqua" w:hAnsi="Book Antiqua"/>
          <w:sz w:val="24"/>
          <w:szCs w:val="24"/>
        </w:rPr>
        <w:t>.</w:t>
      </w:r>
    </w:p>
    <w:p w:rsidR="00A7606F" w:rsidRPr="00C67938" w:rsidRDefault="00A7606F" w:rsidP="00C67938">
      <w:pPr>
        <w:wordWrap/>
        <w:adjustRightInd w:val="0"/>
        <w:spacing w:line="360" w:lineRule="auto"/>
        <w:rPr>
          <w:rFonts w:ascii="Book Antiqua" w:eastAsia="MinionPro-Regular" w:hAnsi="Book Antiqua"/>
          <w:kern w:val="0"/>
          <w:sz w:val="24"/>
          <w:szCs w:val="24"/>
        </w:rPr>
      </w:pPr>
    </w:p>
    <w:p w:rsidR="00A7606F" w:rsidRPr="00C67938" w:rsidRDefault="00A7606F" w:rsidP="00C67938">
      <w:pPr>
        <w:wordWrap/>
        <w:adjustRightInd w:val="0"/>
        <w:spacing w:line="360" w:lineRule="auto"/>
        <w:rPr>
          <w:rFonts w:ascii="Book Antiqua" w:eastAsia="AdvTimes-b" w:hAnsi="Book Antiqua"/>
          <w:b/>
          <w:kern w:val="0"/>
          <w:sz w:val="24"/>
          <w:szCs w:val="24"/>
        </w:rPr>
      </w:pPr>
      <w:r w:rsidRPr="00C67938">
        <w:rPr>
          <w:rFonts w:ascii="Book Antiqua" w:eastAsia="AdvTimes-b" w:hAnsi="Book Antiqua"/>
          <w:b/>
          <w:kern w:val="0"/>
          <w:sz w:val="24"/>
          <w:szCs w:val="24"/>
        </w:rPr>
        <w:t>EGFR, IGF AND HGF/c-MET SIGNALING</w:t>
      </w:r>
    </w:p>
    <w:p w:rsidR="00A7606F" w:rsidRPr="00C67938" w:rsidRDefault="00A7606F" w:rsidP="00174E24">
      <w:pPr>
        <w:wordWrap/>
        <w:adjustRightInd w:val="0"/>
        <w:spacing w:line="360" w:lineRule="auto"/>
        <w:rPr>
          <w:rFonts w:ascii="Book Antiqua" w:eastAsia="MinionPro-Regular" w:hAnsi="Book Antiqua"/>
          <w:kern w:val="0"/>
          <w:sz w:val="24"/>
          <w:szCs w:val="24"/>
        </w:rPr>
      </w:pPr>
      <w:r w:rsidRPr="00C67938">
        <w:rPr>
          <w:rFonts w:ascii="Book Antiqua" w:eastAsia="MinionPro-Regular" w:hAnsi="Book Antiqua"/>
          <w:kern w:val="0"/>
          <w:sz w:val="24"/>
          <w:szCs w:val="24"/>
        </w:rPr>
        <w:t>EGFR, a member of the human epidermal growth factor receptor (HER) family, contains an intracellular tyrosine kinase domain which can trigger signal transduction through the MAPK and PI3K/Akt/mTOR pathways. Thus, these receptors contribute to cell growth, differentiation, survival and adhesion</w:t>
      </w:r>
      <w:r w:rsidRPr="00C67938">
        <w:rPr>
          <w:rFonts w:ascii="Book Antiqua" w:eastAsia="MinionPro-Regular" w:hAnsi="Book Antiqua"/>
          <w:kern w:val="0"/>
          <w:sz w:val="24"/>
          <w:szCs w:val="24"/>
          <w:vertAlign w:val="superscript"/>
        </w:rPr>
        <w:t>[79]</w:t>
      </w:r>
      <w:r w:rsidRPr="00C67938">
        <w:rPr>
          <w:rFonts w:ascii="Book Antiqua" w:eastAsia="MinionPro-Regular" w:hAnsi="Book Antiqua"/>
          <w:kern w:val="0"/>
          <w:sz w:val="24"/>
          <w:szCs w:val="24"/>
        </w:rPr>
        <w:t>. EGFR overexpression has been reported in HCC. Immunohistochemical analysis by Buckley et al. revealed that EGFR was overexpressed in 50 (66%) of 76 HCCs, and fluorescence in situ hybridization (FISH) showed additional EGFR gene copies in 17 (45%) of 38 HCCs</w:t>
      </w:r>
      <w:r w:rsidRPr="00C67938">
        <w:rPr>
          <w:rFonts w:ascii="Book Antiqua" w:eastAsia="MinionPro-Regular" w:hAnsi="Book Antiqua"/>
          <w:kern w:val="0"/>
          <w:sz w:val="24"/>
          <w:szCs w:val="24"/>
          <w:vertAlign w:val="superscript"/>
        </w:rPr>
        <w:t>[80]</w:t>
      </w:r>
      <w:r w:rsidRPr="00C67938">
        <w:rPr>
          <w:rFonts w:ascii="Book Antiqua" w:eastAsia="MinionPro-Regular" w:hAnsi="Book Antiqua"/>
          <w:kern w:val="0"/>
          <w:sz w:val="24"/>
          <w:szCs w:val="24"/>
        </w:rPr>
        <w:t xml:space="preserve">. EGFR-targeting drugs include anti-EGFR antibodies (such as cetuximab and panitumumab) and inhibitors of EGFR tyrosine kinases (such as </w:t>
      </w:r>
      <w:r w:rsidRPr="00C67938">
        <w:rPr>
          <w:rFonts w:ascii="Book Antiqua" w:eastAsia="Times New Roman" w:hAnsi="Book Antiqua"/>
          <w:kern w:val="0"/>
          <w:sz w:val="24"/>
          <w:szCs w:val="24"/>
        </w:rPr>
        <w:t>erlotinib, lapatinib and gefitinib); these drugs</w:t>
      </w:r>
      <w:r w:rsidRPr="00C67938">
        <w:rPr>
          <w:rFonts w:ascii="Book Antiqua" w:eastAsia="MinionPro-Regular" w:hAnsi="Book Antiqua"/>
          <w:kern w:val="0"/>
          <w:sz w:val="24"/>
          <w:szCs w:val="24"/>
        </w:rPr>
        <w:t xml:space="preserve"> have been used widely for the treatment of HCC.</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rPr>
      </w:pPr>
      <w:r w:rsidRPr="00C67938">
        <w:rPr>
          <w:rFonts w:ascii="Book Antiqua" w:eastAsia="Times New Roman" w:hAnsi="Book Antiqua"/>
          <w:kern w:val="0"/>
          <w:sz w:val="24"/>
          <w:szCs w:val="24"/>
        </w:rPr>
        <w:t xml:space="preserve">Cetuximab is a recombinant chimeric monoclonal antibody that targets the extracellular domain of EGFR. </w:t>
      </w:r>
      <w:r w:rsidRPr="00C67938">
        <w:rPr>
          <w:rFonts w:ascii="Book Antiqua" w:eastAsia="MinionPro-Regular" w:hAnsi="Book Antiqua"/>
          <w:kern w:val="0"/>
          <w:sz w:val="24"/>
          <w:szCs w:val="24"/>
        </w:rPr>
        <w:t xml:space="preserve">In a phase II clinical trial of cetuximab in patients with advanced HCC, </w:t>
      </w:r>
      <w:r w:rsidRPr="00C67938">
        <w:rPr>
          <w:rFonts w:ascii="Book Antiqua" w:hAnsi="Book Antiqua"/>
          <w:sz w:val="24"/>
          <w:szCs w:val="24"/>
        </w:rPr>
        <w:t xml:space="preserve">the median OS was 9.6 </w:t>
      </w:r>
      <w:r>
        <w:rPr>
          <w:rFonts w:ascii="Book Antiqua" w:hAnsi="Book Antiqua"/>
          <w:sz w:val="24"/>
          <w:szCs w:val="24"/>
        </w:rPr>
        <w:t>mo</w:t>
      </w:r>
      <w:r w:rsidRPr="00C67938">
        <w:rPr>
          <w:rFonts w:ascii="Book Antiqua" w:hAnsi="Book Antiqua"/>
          <w:sz w:val="24"/>
          <w:szCs w:val="24"/>
        </w:rPr>
        <w:t xml:space="preserve"> and the median PFS was 1.4 </w:t>
      </w:r>
      <w:r>
        <w:rPr>
          <w:rFonts w:ascii="Book Antiqua" w:hAnsi="Book Antiqua"/>
          <w:sz w:val="24"/>
          <w:szCs w:val="24"/>
        </w:rPr>
        <w:t>mo</w:t>
      </w:r>
      <w:r w:rsidRPr="00C67938">
        <w:rPr>
          <w:rFonts w:ascii="Book Antiqua" w:hAnsi="Book Antiqua"/>
          <w:sz w:val="24"/>
          <w:szCs w:val="24"/>
        </w:rPr>
        <w:t>. The treatment was generally well tolerated. No treatment-related grade 4-5 toxicities occurred. Grade 3 aspartate aminotransferase, hypomagnesemia, and fever without neutropenia were each noted in 1 patient</w:t>
      </w:r>
      <w:r w:rsidRPr="00C67938">
        <w:rPr>
          <w:rFonts w:ascii="Book Antiqua" w:eastAsia="MinionPro-Regular" w:hAnsi="Book Antiqua"/>
          <w:kern w:val="0"/>
          <w:sz w:val="24"/>
          <w:szCs w:val="24"/>
          <w:vertAlign w:val="superscript"/>
        </w:rPr>
        <w:t>[81]</w:t>
      </w:r>
      <w:r w:rsidRPr="00C67938">
        <w:rPr>
          <w:rFonts w:ascii="Book Antiqua" w:eastAsia="MinionPro-Regular" w:hAnsi="Book Antiqua"/>
          <w:kern w:val="0"/>
          <w:sz w:val="24"/>
          <w:szCs w:val="24"/>
        </w:rPr>
        <w:t>.</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A randomized trial comparing gemcitabine-oxaliplatin (GEMOX) alone with a GEMOX-cetuximab combination is ongoing to define the real contribution of anti-EGFR therapy.</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shd w:val="pct15" w:color="auto" w:fill="FFFFFF"/>
        </w:rPr>
      </w:pPr>
      <w:r w:rsidRPr="00C67938">
        <w:rPr>
          <w:rFonts w:ascii="Book Antiqua" w:eastAsia="Times New Roman" w:hAnsi="Book Antiqua"/>
          <w:kern w:val="0"/>
          <w:sz w:val="24"/>
          <w:szCs w:val="24"/>
        </w:rPr>
        <w:t xml:space="preserve">Erlotinib is a potent and reversible inhibitor of EGFR tyrosine kinase. In an </w:t>
      </w:r>
      <w:r w:rsidRPr="00C67938">
        <w:rPr>
          <w:rFonts w:ascii="Book Antiqua" w:eastAsia="AdvTimes-i" w:hAnsi="Book Antiqua"/>
          <w:kern w:val="0"/>
          <w:sz w:val="24"/>
          <w:szCs w:val="24"/>
        </w:rPr>
        <w:t xml:space="preserve">in vitro </w:t>
      </w:r>
      <w:r w:rsidRPr="00C67938">
        <w:rPr>
          <w:rFonts w:ascii="Book Antiqua" w:eastAsia="Times New Roman" w:hAnsi="Book Antiqua"/>
          <w:kern w:val="0"/>
          <w:sz w:val="24"/>
          <w:szCs w:val="24"/>
        </w:rPr>
        <w:t>study, erlotinib potently suppressed the growth of human EGFR-expressing HCC cell lines. Erlotinib has been shown to inhibit the RAF/MEK/ERK signaling pathway and block signal transducer and activator of transcription-mediated signaling</w:t>
      </w:r>
      <w:r w:rsidRPr="00C67938">
        <w:rPr>
          <w:rFonts w:ascii="Book Antiqua" w:eastAsia="Times New Roman" w:hAnsi="Book Antiqua"/>
          <w:kern w:val="0"/>
          <w:sz w:val="24"/>
          <w:szCs w:val="24"/>
          <w:vertAlign w:val="superscript"/>
        </w:rPr>
        <w:t>[82]</w:t>
      </w:r>
      <w:r w:rsidRPr="00C67938">
        <w:rPr>
          <w:rFonts w:ascii="Book Antiqua" w:eastAsia="Times New Roman" w:hAnsi="Book Antiqua"/>
          <w:kern w:val="0"/>
          <w:sz w:val="24"/>
          <w:szCs w:val="24"/>
        </w:rPr>
        <w:t>. A phase III placebo-controlled, double-blind SEARCH (Sorafenib and Erlotinib, a Randomized Trial Protocol for the Treatment of Patients with HCC) trial has been conducted in patients with advanced HCC.</w:t>
      </w:r>
      <w:r w:rsidRPr="00C67938">
        <w:rPr>
          <w:rFonts w:ascii="Book Antiqua" w:hAnsi="Book Antiqua"/>
          <w:sz w:val="24"/>
          <w:szCs w:val="24"/>
        </w:rPr>
        <w:t xml:space="preserve"> Three hundred sixty-two patients received sorafenib plus erlotinib and 358 received sorafenib plus placebo. No significant differences were observed in OS or TTP between the arms</w:t>
      </w:r>
      <w:r w:rsidRPr="00C67938">
        <w:rPr>
          <w:rFonts w:ascii="Book Antiqua" w:eastAsia="Times New Roman" w:hAnsi="Book Antiqua"/>
          <w:kern w:val="0"/>
          <w:sz w:val="24"/>
          <w:szCs w:val="24"/>
        </w:rPr>
        <w:t xml:space="preserve">. </w:t>
      </w:r>
      <w:r w:rsidRPr="00C67938">
        <w:rPr>
          <w:rFonts w:ascii="Book Antiqua" w:hAnsi="Book Antiqua"/>
          <w:sz w:val="24"/>
          <w:szCs w:val="24"/>
        </w:rPr>
        <w:t>Erlotinib, when added to sorafenib as the standard of care in advanced HCC, did not prolong overall survival</w:t>
      </w:r>
      <w:r w:rsidRPr="00C67938">
        <w:rPr>
          <w:rFonts w:ascii="Book Antiqua" w:hAnsi="Book Antiqua"/>
          <w:sz w:val="24"/>
          <w:szCs w:val="24"/>
          <w:vertAlign w:val="superscript"/>
        </w:rPr>
        <w:t>[83]</w:t>
      </w:r>
      <w:r w:rsidRPr="00C67938">
        <w:rPr>
          <w:rFonts w:ascii="Book Antiqua" w:hAnsi="Book Antiqua"/>
          <w:sz w:val="24"/>
          <w:szCs w:val="24"/>
        </w:rPr>
        <w:t>.</w:t>
      </w:r>
    </w:p>
    <w:p w:rsidR="00A7606F" w:rsidRPr="00C67938" w:rsidRDefault="00A7606F" w:rsidP="00C67938">
      <w:pPr>
        <w:wordWrap/>
        <w:adjustRightInd w:val="0"/>
        <w:spacing w:line="360" w:lineRule="auto"/>
        <w:ind w:firstLine="800"/>
        <w:rPr>
          <w:rFonts w:ascii="Book Antiqua" w:eastAsia="AdvTT544668d2" w:hAnsi="Book Antiqua"/>
          <w:kern w:val="0"/>
          <w:sz w:val="24"/>
          <w:szCs w:val="24"/>
        </w:rPr>
      </w:pPr>
      <w:r w:rsidRPr="00C67938">
        <w:rPr>
          <w:rFonts w:ascii="Book Antiqua" w:eastAsia="AdvTT544668d2" w:hAnsi="Book Antiqua"/>
          <w:kern w:val="0"/>
          <w:sz w:val="24"/>
          <w:szCs w:val="24"/>
        </w:rPr>
        <w:t>Lapatinib is a dual inhibitor of EGFR and HER-2/NEU that acts by docking into the ATP binding site of the two receptors</w:t>
      </w:r>
      <w:r w:rsidRPr="00C67938">
        <w:rPr>
          <w:rFonts w:ascii="Book Antiqua" w:eastAsia="MinionPro-Regular" w:hAnsi="Book Antiqua"/>
          <w:kern w:val="0"/>
          <w:sz w:val="24"/>
          <w:szCs w:val="24"/>
          <w:vertAlign w:val="superscript"/>
        </w:rPr>
        <w:t>[84]</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Phase II results have indicated that lapatinib is well tolerated and have shown preliminary evidence of antitumor activity in HCC</w:t>
      </w:r>
      <w:r w:rsidRPr="00C67938">
        <w:rPr>
          <w:rFonts w:ascii="Book Antiqua" w:eastAsia="Times New Roman" w:hAnsi="Book Antiqua"/>
          <w:kern w:val="0"/>
          <w:sz w:val="24"/>
          <w:szCs w:val="24"/>
          <w:vertAlign w:val="superscript"/>
        </w:rPr>
        <w:t>[85]</w:t>
      </w:r>
      <w:r w:rsidRPr="00C67938">
        <w:rPr>
          <w:rFonts w:ascii="Book Antiqua" w:eastAsia="Times New Roman" w:hAnsi="Book Antiqua"/>
          <w:kern w:val="0"/>
          <w:sz w:val="24"/>
          <w:szCs w:val="24"/>
        </w:rPr>
        <w:t xml:space="preserve">. Among 40 patients with advanced HCC, the response rate was 5%, median PFS was 2.3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and median OS was 6.2 </w:t>
      </w:r>
      <w:r>
        <w:rPr>
          <w:rFonts w:ascii="Book Antiqua" w:eastAsia="Times New Roman" w:hAnsi="Book Antiqua"/>
          <w:kern w:val="0"/>
          <w:sz w:val="24"/>
          <w:szCs w:val="24"/>
        </w:rPr>
        <w:t>mo</w:t>
      </w:r>
      <w:r w:rsidRPr="00C67938">
        <w:rPr>
          <w:rFonts w:ascii="Book Antiqua" w:eastAsia="Times New Roman"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hAnsi="Book Antiqua"/>
          <w:sz w:val="24"/>
          <w:szCs w:val="24"/>
        </w:rPr>
      </w:pPr>
      <w:r w:rsidRPr="00C67938">
        <w:rPr>
          <w:rFonts w:ascii="Book Antiqua" w:eastAsia="Times New Roman" w:hAnsi="Book Antiqua"/>
          <w:kern w:val="0"/>
          <w:sz w:val="24"/>
          <w:szCs w:val="24"/>
        </w:rPr>
        <w:t>The IGF/IGFR signaling pathway regulates several cellular processes, including proliferation, motility and inhibition of apoptosis</w:t>
      </w:r>
      <w:r w:rsidRPr="00C67938">
        <w:rPr>
          <w:rFonts w:ascii="Book Antiqua" w:eastAsia="Times New Roman" w:hAnsi="Book Antiqua"/>
          <w:kern w:val="0"/>
          <w:sz w:val="24"/>
          <w:szCs w:val="24"/>
          <w:vertAlign w:val="superscript"/>
        </w:rPr>
        <w:t>[86]</w:t>
      </w:r>
      <w:r w:rsidRPr="00C67938">
        <w:rPr>
          <w:rFonts w:ascii="Book Antiqua" w:eastAsia="Times New Roman" w:hAnsi="Book Antiqua"/>
          <w:kern w:val="0"/>
          <w:sz w:val="24"/>
          <w:szCs w:val="24"/>
        </w:rPr>
        <w:t>. Ligand binding to IGF-1R triggers rapid receptor autophosphorylation, which in turn initiates downstream cellular effectors, ultimately leading to activation of PI3K, protein kinase B and the RAF/MEK/ERK pathway</w:t>
      </w:r>
      <w:r w:rsidRPr="00C67938">
        <w:rPr>
          <w:rFonts w:ascii="Book Antiqua" w:eastAsia="Times New Roman" w:hAnsi="Book Antiqua"/>
          <w:kern w:val="0"/>
          <w:sz w:val="24"/>
          <w:szCs w:val="24"/>
          <w:vertAlign w:val="superscript"/>
        </w:rPr>
        <w:t>[87]</w:t>
      </w:r>
      <w:r w:rsidRPr="00C67938">
        <w:rPr>
          <w:rFonts w:ascii="Book Antiqua" w:eastAsia="Times New Roman" w:hAnsi="Book Antiqua"/>
          <w:kern w:val="0"/>
          <w:sz w:val="24"/>
          <w:szCs w:val="24"/>
        </w:rPr>
        <w:t xml:space="preserve">. In HCC, dysregulation of IGF signaling occurs predominantly at the level of IGF-2. </w:t>
      </w:r>
      <w:r w:rsidRPr="00C67938">
        <w:rPr>
          <w:rFonts w:ascii="Book Antiqua" w:eastAsia="AdvTimes-i" w:hAnsi="Book Antiqua"/>
          <w:kern w:val="0"/>
          <w:sz w:val="24"/>
          <w:szCs w:val="24"/>
        </w:rPr>
        <w:t xml:space="preserve">IGF-2 </w:t>
      </w:r>
      <w:r w:rsidRPr="00C67938">
        <w:rPr>
          <w:rFonts w:ascii="Book Antiqua" w:eastAsia="Times New Roman" w:hAnsi="Book Antiqua"/>
          <w:kern w:val="0"/>
          <w:sz w:val="24"/>
          <w:szCs w:val="24"/>
        </w:rPr>
        <w:t xml:space="preserve">is overexpressed in 16 – 40% of human HCCs, and </w:t>
      </w:r>
      <w:r w:rsidRPr="00C67938">
        <w:rPr>
          <w:rFonts w:ascii="Book Antiqua" w:eastAsia="AdvTimes-i" w:hAnsi="Book Antiqua"/>
          <w:kern w:val="0"/>
          <w:sz w:val="24"/>
          <w:szCs w:val="24"/>
        </w:rPr>
        <w:t xml:space="preserve">IGF-2R </w:t>
      </w:r>
      <w:r w:rsidRPr="00C67938">
        <w:rPr>
          <w:rFonts w:ascii="Book Antiqua" w:eastAsia="Times New Roman" w:hAnsi="Book Antiqua"/>
          <w:kern w:val="0"/>
          <w:sz w:val="24"/>
          <w:szCs w:val="24"/>
        </w:rPr>
        <w:t>(an alternative receptor for IGF-2) is underexpressed in approximately 80% of HCCs</w:t>
      </w:r>
      <w:r w:rsidRPr="00C67938">
        <w:rPr>
          <w:rFonts w:ascii="Book Antiqua" w:eastAsia="Times New Roman" w:hAnsi="Book Antiqua"/>
          <w:kern w:val="0"/>
          <w:sz w:val="24"/>
          <w:szCs w:val="24"/>
          <w:vertAlign w:val="superscript"/>
        </w:rPr>
        <w:t>[88,89]</w:t>
      </w:r>
      <w:r w:rsidRPr="00C67938">
        <w:rPr>
          <w:rFonts w:ascii="Book Antiqua" w:eastAsia="Times New Roman" w:hAnsi="Book Antiqua"/>
          <w:kern w:val="0"/>
          <w:sz w:val="24"/>
          <w:szCs w:val="24"/>
        </w:rPr>
        <w:t xml:space="preserve">. </w:t>
      </w:r>
      <w:r w:rsidRPr="00C67938">
        <w:rPr>
          <w:rFonts w:ascii="Book Antiqua" w:eastAsia="MinionPro-Regular" w:hAnsi="Book Antiqua"/>
          <w:kern w:val="0"/>
          <w:sz w:val="24"/>
          <w:szCs w:val="24"/>
        </w:rPr>
        <w:t>Associations have been reported</w:t>
      </w:r>
      <w:r w:rsidRPr="00C67938" w:rsidDel="00D36F24">
        <w:rPr>
          <w:rFonts w:ascii="Book Antiqua" w:eastAsia="MinionPro-Regular" w:hAnsi="Book Antiqua"/>
          <w:kern w:val="0"/>
          <w:sz w:val="24"/>
          <w:szCs w:val="24"/>
        </w:rPr>
        <w:t xml:space="preserve"> </w:t>
      </w:r>
      <w:r w:rsidRPr="00C67938">
        <w:rPr>
          <w:rFonts w:ascii="Book Antiqua" w:eastAsia="MinionPro-Regular" w:hAnsi="Book Antiqua"/>
          <w:kern w:val="0"/>
          <w:sz w:val="24"/>
          <w:szCs w:val="24"/>
        </w:rPr>
        <w:t>between disease stage, metastasis and survival and the functions of IGF and IGFR in HCC</w:t>
      </w:r>
      <w:r w:rsidRPr="00C67938">
        <w:rPr>
          <w:rFonts w:ascii="Book Antiqua" w:eastAsia="MinionPro-Regular" w:hAnsi="Book Antiqua"/>
          <w:kern w:val="0"/>
          <w:sz w:val="24"/>
          <w:szCs w:val="24"/>
          <w:vertAlign w:val="superscript"/>
        </w:rPr>
        <w:t>[90,91]</w:t>
      </w:r>
      <w:r w:rsidRPr="00C67938">
        <w:rPr>
          <w:rFonts w:ascii="Book Antiqua" w:eastAsia="MinionPro-Regular" w:hAnsi="Book Antiqua"/>
          <w:kern w:val="0"/>
          <w:sz w:val="24"/>
          <w:szCs w:val="24"/>
        </w:rPr>
        <w:t xml:space="preserve">. </w:t>
      </w:r>
      <w:r w:rsidRPr="00C67938">
        <w:rPr>
          <w:rFonts w:ascii="Book Antiqua" w:hAnsi="Book Antiqua"/>
          <w:sz w:val="24"/>
          <w:szCs w:val="24"/>
        </w:rPr>
        <w:t>Several strategies to target this system, including monoclonal antibodies against the IGF-1 receptor (IGF-1R) and small molecule inhibitors of the tyrosine kinase function of IGF-1R, are under active investigation.</w:t>
      </w:r>
    </w:p>
    <w:p w:rsidR="00A7606F" w:rsidRPr="00C67938" w:rsidRDefault="00A7606F" w:rsidP="008437E6">
      <w:pPr>
        <w:wordWrap/>
        <w:adjustRightInd w:val="0"/>
        <w:spacing w:line="360" w:lineRule="auto"/>
        <w:ind w:firstLineChars="300" w:firstLine="720"/>
        <w:rPr>
          <w:rFonts w:ascii="Book Antiqua" w:eastAsia="MinionPro-Regular" w:hAnsi="Book Antiqua"/>
          <w:kern w:val="0"/>
          <w:sz w:val="24"/>
          <w:szCs w:val="24"/>
        </w:rPr>
      </w:pPr>
      <w:r w:rsidRPr="00C67938">
        <w:rPr>
          <w:rFonts w:ascii="Book Antiqua" w:hAnsi="Book Antiqua"/>
          <w:sz w:val="24"/>
          <w:szCs w:val="24"/>
        </w:rPr>
        <w:t>Pre-clinical evidence obtained from HCC cells has shown that IMC-A12 (cituxumumab), a human monoclonal antibody that blocks IGF-1R.</w:t>
      </w:r>
      <w:r w:rsidRPr="00C67938">
        <w:rPr>
          <w:rFonts w:ascii="Book Antiqua" w:eastAsia="MinionPro-Regular" w:hAnsi="Book Antiqua"/>
          <w:kern w:val="0"/>
          <w:sz w:val="24"/>
          <w:szCs w:val="24"/>
        </w:rPr>
        <w:t xml:space="preserve"> </w:t>
      </w:r>
      <w:r w:rsidRPr="00C67938">
        <w:rPr>
          <w:rFonts w:ascii="Book Antiqua" w:hAnsi="Book Antiqua"/>
          <w:sz w:val="24"/>
          <w:szCs w:val="24"/>
        </w:rPr>
        <w:t>A phase I study of IMC-A12 yielded a partial response in HCC</w:t>
      </w:r>
      <w:r w:rsidRPr="00C67938">
        <w:rPr>
          <w:rFonts w:ascii="Book Antiqua" w:hAnsi="Book Antiqua"/>
          <w:sz w:val="24"/>
          <w:szCs w:val="24"/>
          <w:vertAlign w:val="superscript"/>
        </w:rPr>
        <w:t>[92]</w:t>
      </w:r>
      <w:r w:rsidRPr="00C67938">
        <w:rPr>
          <w:rFonts w:ascii="Book Antiqua" w:hAnsi="Book Antiqua"/>
          <w:sz w:val="24"/>
          <w:szCs w:val="24"/>
        </w:rPr>
        <w:t>. However, a subsequent phase II study in patients with advanced HCC showed that IMC-A12 is inactive as a monotherapy</w:t>
      </w:r>
      <w:r w:rsidRPr="00C67938">
        <w:rPr>
          <w:rFonts w:ascii="Book Antiqua" w:hAnsi="Book Antiqua"/>
          <w:sz w:val="24"/>
          <w:szCs w:val="24"/>
          <w:vertAlign w:val="superscript"/>
        </w:rPr>
        <w:t>[93]</w:t>
      </w:r>
      <w:r w:rsidRPr="00C67938">
        <w:rPr>
          <w:rFonts w:ascii="Book Antiqua" w:hAnsi="Book Antiqua"/>
          <w:sz w:val="24"/>
          <w:szCs w:val="24"/>
        </w:rPr>
        <w:t xml:space="preserve">. </w:t>
      </w:r>
      <w:r w:rsidRPr="00C67938">
        <w:rPr>
          <w:rFonts w:ascii="Book Antiqua" w:hAnsi="Book Antiqua"/>
          <w:kern w:val="0"/>
          <w:sz w:val="24"/>
          <w:szCs w:val="24"/>
        </w:rPr>
        <w:t xml:space="preserve">Up to 46% of the patients developed grade 3 - 4 hyperglycemia in this study. Hyperglycemia may be the dose limiting toxicity of IGF-1R monoclonal antibodies. </w:t>
      </w:r>
    </w:p>
    <w:p w:rsidR="00A7606F" w:rsidRPr="00C67938" w:rsidRDefault="00A7606F" w:rsidP="00C67938">
      <w:pPr>
        <w:wordWrap/>
        <w:adjustRightInd w:val="0"/>
        <w:spacing w:line="360" w:lineRule="auto"/>
        <w:ind w:firstLine="800"/>
        <w:rPr>
          <w:rFonts w:ascii="Book Antiqua" w:hAnsi="Book Antiqua"/>
          <w:kern w:val="0"/>
          <w:sz w:val="24"/>
          <w:szCs w:val="24"/>
        </w:rPr>
      </w:pPr>
      <w:r w:rsidRPr="00C67938">
        <w:rPr>
          <w:rFonts w:ascii="Book Antiqua" w:hAnsi="Book Antiqua"/>
          <w:kern w:val="0"/>
          <w:sz w:val="24"/>
          <w:szCs w:val="24"/>
        </w:rPr>
        <w:t>BIIB022 is an anti-IGF-1R monoclonal antibody that blocks binding of both IGF-1 and IGF-2 to IGF-1R. This agent does not appear to cause hyperglycemia, which is a common side effect of receptor-specific antibodies.</w:t>
      </w:r>
      <w:r w:rsidRPr="00C67938">
        <w:rPr>
          <w:rFonts w:ascii="Book Antiqua" w:hAnsi="Book Antiqua"/>
          <w:sz w:val="24"/>
          <w:szCs w:val="24"/>
        </w:rPr>
        <w:t xml:space="preserve"> A planned phase I/II study comparing sorafenib with or without BIIB022 in patients with advanced HCC was terminated due to a business decision by the sponsor company.</w:t>
      </w:r>
    </w:p>
    <w:p w:rsidR="00A7606F" w:rsidRPr="00C67938" w:rsidRDefault="00A7606F" w:rsidP="00C67938">
      <w:pPr>
        <w:wordWrap/>
        <w:adjustRightInd w:val="0"/>
        <w:spacing w:line="360" w:lineRule="auto"/>
        <w:ind w:firstLine="800"/>
        <w:rPr>
          <w:rFonts w:ascii="Book Antiqua" w:hAnsi="Book Antiqua"/>
          <w:sz w:val="24"/>
          <w:szCs w:val="24"/>
        </w:rPr>
      </w:pPr>
      <w:r w:rsidRPr="00C67938">
        <w:rPr>
          <w:rFonts w:ascii="Book Antiqua" w:hAnsi="Book Antiqua"/>
          <w:sz w:val="24"/>
          <w:szCs w:val="24"/>
        </w:rPr>
        <w:t xml:space="preserve">AVE1642 is another monoclonal antibody that specifically blocks IGF-1R signaling. This agent </w:t>
      </w:r>
      <w:r w:rsidRPr="00C67938">
        <w:rPr>
          <w:rFonts w:ascii="Book Antiqua" w:hAnsi="Book Antiqua"/>
          <w:kern w:val="0"/>
          <w:sz w:val="24"/>
          <w:szCs w:val="24"/>
        </w:rPr>
        <w:t>has been evaluated in combination with sorafenib in a phase I study in advanced HCC patients</w:t>
      </w:r>
      <w:r w:rsidRPr="00C67938">
        <w:rPr>
          <w:rFonts w:ascii="Book Antiqua" w:hAnsi="Book Antiqua"/>
          <w:kern w:val="0"/>
          <w:sz w:val="24"/>
          <w:szCs w:val="24"/>
          <w:vertAlign w:val="superscript"/>
        </w:rPr>
        <w:t>[94]</w:t>
      </w:r>
      <w:r w:rsidRPr="00C67938">
        <w:rPr>
          <w:rFonts w:ascii="Book Antiqua" w:hAnsi="Book Antiqua"/>
          <w:kern w:val="0"/>
          <w:sz w:val="24"/>
          <w:szCs w:val="24"/>
        </w:rPr>
        <w:t xml:space="preserve">. </w:t>
      </w:r>
      <w:r w:rsidRPr="00C67938">
        <w:rPr>
          <w:rFonts w:ascii="Book Antiqua" w:hAnsi="Book Antiqua"/>
          <w:sz w:val="24"/>
          <w:szCs w:val="24"/>
        </w:rPr>
        <w:t>Long-lasting disease stabilization was observed in most patients with PD.</w:t>
      </w:r>
    </w:p>
    <w:p w:rsidR="00A7606F" w:rsidRPr="00C67938" w:rsidRDefault="00A7606F" w:rsidP="00C67938">
      <w:pPr>
        <w:wordWrap/>
        <w:adjustRightInd w:val="0"/>
        <w:spacing w:line="360" w:lineRule="auto"/>
        <w:ind w:firstLine="800"/>
        <w:rPr>
          <w:rFonts w:ascii="Book Antiqua" w:hAnsi="Book Antiqua"/>
          <w:sz w:val="24"/>
          <w:szCs w:val="24"/>
          <w:shd w:val="pct15" w:color="auto" w:fill="FFFFFF"/>
        </w:rPr>
      </w:pPr>
      <w:r w:rsidRPr="00C67938">
        <w:rPr>
          <w:rFonts w:ascii="Book Antiqua" w:hAnsi="Book Antiqua"/>
          <w:sz w:val="24"/>
          <w:szCs w:val="24"/>
        </w:rPr>
        <w:t>OSI-906 is a novel potent dual tyrosine kinase inhibitor of both IGF-1R and insulin receptor. The unique advantage of OSI-906 over the previous class of anti-IGF drugs is its ability to minimize IGF-2 activity</w:t>
      </w:r>
      <w:r w:rsidRPr="00C67938" w:rsidDel="00BB1E41">
        <w:rPr>
          <w:rFonts w:ascii="Book Antiqua" w:hAnsi="Book Antiqua"/>
          <w:sz w:val="24"/>
          <w:szCs w:val="24"/>
        </w:rPr>
        <w:t xml:space="preserve"> </w:t>
      </w:r>
      <w:r w:rsidRPr="00C67938">
        <w:rPr>
          <w:rFonts w:ascii="Book Antiqua" w:hAnsi="Book Antiqua"/>
          <w:sz w:val="24"/>
          <w:szCs w:val="24"/>
        </w:rPr>
        <w:t>in situations in which IGF-1R inhibition alone is not sufficient. The phase II study of second-line treatment for advanced HCC patients who failed first-line treatment with sorafenib (NCT01101906) was terminated because the sponsor decided not to pursue the development of this drug.</w:t>
      </w:r>
    </w:p>
    <w:p w:rsidR="00A7606F" w:rsidRPr="00C67938" w:rsidRDefault="00A7606F" w:rsidP="00C67938">
      <w:pPr>
        <w:wordWrap/>
        <w:adjustRightInd w:val="0"/>
        <w:spacing w:line="360" w:lineRule="auto"/>
        <w:ind w:firstLine="800"/>
        <w:rPr>
          <w:rFonts w:ascii="Book Antiqua" w:eastAsia="Times New Roman" w:hAnsi="Book Antiqua"/>
          <w:kern w:val="0"/>
          <w:sz w:val="24"/>
          <w:szCs w:val="24"/>
        </w:rPr>
      </w:pPr>
      <w:r w:rsidRPr="00C67938">
        <w:rPr>
          <w:rFonts w:ascii="Book Antiqua" w:eastAsia="MinionPro-Regular" w:hAnsi="Book Antiqua"/>
          <w:kern w:val="0"/>
          <w:sz w:val="24"/>
          <w:szCs w:val="24"/>
        </w:rPr>
        <w:t>The HGF/Met pathway is involved in tumor growth, invasion and angiogenesis in various types of cancer</w:t>
      </w:r>
      <w:r w:rsidRPr="00C67938">
        <w:rPr>
          <w:rFonts w:ascii="Book Antiqua" w:eastAsia="MinionPro-Regular" w:hAnsi="Book Antiqua"/>
          <w:kern w:val="0"/>
          <w:sz w:val="24"/>
          <w:szCs w:val="24"/>
          <w:vertAlign w:val="superscript"/>
        </w:rPr>
        <w:t>[95]</w:t>
      </w:r>
      <w:r w:rsidRPr="00C67938">
        <w:rPr>
          <w:rFonts w:ascii="Book Antiqua" w:eastAsia="MinionPro-Regular" w:hAnsi="Book Antiqua"/>
          <w:kern w:val="0"/>
          <w:sz w:val="24"/>
          <w:szCs w:val="24"/>
        </w:rPr>
        <w:t xml:space="preserve">. c-Met is a tyrosine kinase receptor for the HGF ligand. </w:t>
      </w:r>
      <w:r w:rsidRPr="00C67938">
        <w:rPr>
          <w:rFonts w:ascii="Book Antiqua" w:eastAsia="Times New Roman" w:hAnsi="Book Antiqua"/>
          <w:kern w:val="0"/>
          <w:sz w:val="24"/>
          <w:szCs w:val="24"/>
        </w:rPr>
        <w:t>HGF-induced activation of c-MET ultimately leads to the</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activation of downstream effecter molecules, including phospholipase</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C, PI3K and ERK</w:t>
      </w:r>
      <w:r w:rsidRPr="00C67938">
        <w:rPr>
          <w:rFonts w:ascii="Book Antiqua" w:eastAsia="Times New Roman" w:hAnsi="Book Antiqua"/>
          <w:kern w:val="0"/>
          <w:sz w:val="24"/>
          <w:szCs w:val="24"/>
          <w:vertAlign w:val="superscript"/>
        </w:rPr>
        <w:t>[96]</w:t>
      </w:r>
      <w:r w:rsidRPr="00C67938">
        <w:rPr>
          <w:rFonts w:ascii="Book Antiqua" w:eastAsia="Times New Roman" w:hAnsi="Book Antiqua"/>
          <w:kern w:val="0"/>
          <w:sz w:val="24"/>
          <w:szCs w:val="24"/>
        </w:rPr>
        <w:t>.</w:t>
      </w:r>
      <w:r w:rsidRPr="00C67938">
        <w:rPr>
          <w:rFonts w:ascii="Book Antiqua" w:eastAsia="GulliverRM" w:hAnsi="Book Antiqua"/>
          <w:kern w:val="0"/>
          <w:sz w:val="24"/>
          <w:szCs w:val="24"/>
        </w:rPr>
        <w:t xml:space="preserve"> </w:t>
      </w:r>
      <w:r w:rsidRPr="00C67938">
        <w:rPr>
          <w:rFonts w:ascii="Book Antiqua" w:eastAsia="AdvTimes-i" w:hAnsi="Book Antiqua"/>
          <w:kern w:val="0"/>
          <w:sz w:val="24"/>
          <w:szCs w:val="24"/>
        </w:rPr>
        <w:t xml:space="preserve">c-MET </w:t>
      </w:r>
      <w:r w:rsidRPr="00C67938">
        <w:rPr>
          <w:rFonts w:ascii="Book Antiqua" w:eastAsia="Times New Roman" w:hAnsi="Book Antiqua"/>
          <w:kern w:val="0"/>
          <w:sz w:val="24"/>
          <w:szCs w:val="24"/>
        </w:rPr>
        <w:t>overexpression has been observed in 20%–48% of HCC,</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and overexpression has been linked</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with decreased 5-year survival in patients with HCC</w:t>
      </w:r>
      <w:r w:rsidRPr="00C67938">
        <w:rPr>
          <w:rFonts w:ascii="Book Antiqua" w:eastAsia="Times New Roman" w:hAnsi="Book Antiqua"/>
          <w:kern w:val="0"/>
          <w:sz w:val="24"/>
          <w:szCs w:val="24"/>
          <w:vertAlign w:val="superscript"/>
        </w:rPr>
        <w:t>[97-99]</w:t>
      </w:r>
      <w:r w:rsidRPr="00C67938">
        <w:rPr>
          <w:rFonts w:ascii="Book Antiqua" w:eastAsia="Times New Roman"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hAnsi="Book Antiqua"/>
          <w:sz w:val="24"/>
          <w:szCs w:val="24"/>
        </w:rPr>
      </w:pPr>
      <w:r w:rsidRPr="00C67938">
        <w:rPr>
          <w:rStyle w:val="highlight"/>
          <w:rFonts w:ascii="Book Antiqua" w:hAnsi="Book Antiqua"/>
          <w:sz w:val="24"/>
          <w:szCs w:val="24"/>
        </w:rPr>
        <w:t>Tivantinib</w:t>
      </w:r>
      <w:r w:rsidRPr="00C67938">
        <w:rPr>
          <w:rFonts w:ascii="Book Antiqua" w:hAnsi="Book Antiqua"/>
          <w:sz w:val="24"/>
          <w:szCs w:val="24"/>
        </w:rPr>
        <w:t xml:space="preserve"> (</w:t>
      </w:r>
      <w:r w:rsidRPr="00C67938">
        <w:rPr>
          <w:rStyle w:val="highlight"/>
          <w:rFonts w:ascii="Book Antiqua" w:hAnsi="Book Antiqua"/>
          <w:sz w:val="24"/>
          <w:szCs w:val="24"/>
        </w:rPr>
        <w:t>ARQ 197</w:t>
      </w:r>
      <w:r w:rsidRPr="00C67938">
        <w:rPr>
          <w:rFonts w:ascii="Book Antiqua" w:hAnsi="Book Antiqua"/>
          <w:sz w:val="24"/>
          <w:szCs w:val="24"/>
        </w:rPr>
        <w:t xml:space="preserve">) is a selective, oral MET receptor tyrosine kinase inhibitor with broad-spectrum antitumor activity as single agent. MET overexpression has been shown to be a negative prognostic factor in HCC after sorafenib failure. </w:t>
      </w:r>
      <w:r w:rsidRPr="00C67938">
        <w:rPr>
          <w:rStyle w:val="highlight"/>
          <w:rFonts w:ascii="Book Antiqua" w:hAnsi="Book Antiqua"/>
          <w:sz w:val="24"/>
          <w:szCs w:val="24"/>
        </w:rPr>
        <w:t>Tivantinib</w:t>
      </w:r>
      <w:r w:rsidRPr="00C67938">
        <w:rPr>
          <w:rFonts w:ascii="Book Antiqua" w:hAnsi="Book Antiqua"/>
          <w:sz w:val="24"/>
          <w:szCs w:val="24"/>
        </w:rPr>
        <w:t xml:space="preserve"> demonstrated a nearly doubling of PFS and OS in the MET high group compared to placebo in a Phase II study as second-line treatment in patients with advanced HCC</w:t>
      </w:r>
      <w:r w:rsidRPr="00C67938">
        <w:rPr>
          <w:rFonts w:ascii="Book Antiqua" w:hAnsi="Book Antiqua"/>
          <w:sz w:val="24"/>
          <w:szCs w:val="24"/>
          <w:vertAlign w:val="superscript"/>
        </w:rPr>
        <w:t>[100]</w:t>
      </w:r>
      <w:r w:rsidRPr="00C67938">
        <w:rPr>
          <w:rFonts w:ascii="Book Antiqua" w:hAnsi="Book Antiqua"/>
          <w:sz w:val="24"/>
          <w:szCs w:val="24"/>
        </w:rPr>
        <w:t xml:space="preserve">. The activity of </w:t>
      </w:r>
      <w:r w:rsidRPr="00C67938">
        <w:rPr>
          <w:rStyle w:val="highlight"/>
          <w:rFonts w:ascii="Book Antiqua" w:hAnsi="Book Antiqua"/>
          <w:sz w:val="24"/>
          <w:szCs w:val="24"/>
        </w:rPr>
        <w:t>tivantinib</w:t>
      </w:r>
      <w:r w:rsidRPr="00C67938">
        <w:rPr>
          <w:rFonts w:ascii="Book Antiqua" w:hAnsi="Book Antiqua"/>
          <w:sz w:val="24"/>
          <w:szCs w:val="24"/>
        </w:rPr>
        <w:t xml:space="preserve"> in combination with sorafenib is also promising. Adverse events include hematological toxicity, asthenia and loss of appetite. The initially high incidence of neutropenia in patients with HCC led to dose reduction from 360 m</w:t>
      </w:r>
      <w:r>
        <w:rPr>
          <w:rFonts w:ascii="Book Antiqua" w:hAnsi="Book Antiqua"/>
          <w:sz w:val="24"/>
          <w:szCs w:val="24"/>
        </w:rPr>
        <w:t xml:space="preserve">g </w:t>
      </w:r>
      <w:r w:rsidRPr="002E5EDC">
        <w:rPr>
          <w:rFonts w:ascii="Book Antiqua" w:hAnsi="Book Antiqua"/>
          <w:i/>
          <w:sz w:val="24"/>
          <w:szCs w:val="24"/>
        </w:rPr>
        <w:t>bid</w:t>
      </w:r>
      <w:r>
        <w:rPr>
          <w:rFonts w:ascii="Book Antiqua" w:hAnsi="Book Antiqua"/>
          <w:sz w:val="24"/>
          <w:szCs w:val="24"/>
        </w:rPr>
        <w:t xml:space="preserve"> to 240 mg </w:t>
      </w:r>
      <w:r w:rsidRPr="002E5EDC">
        <w:rPr>
          <w:rFonts w:ascii="Book Antiqua" w:hAnsi="Book Antiqua"/>
          <w:i/>
          <w:sz w:val="24"/>
          <w:szCs w:val="24"/>
        </w:rPr>
        <w:t>bid</w:t>
      </w:r>
      <w:r w:rsidRPr="00C67938">
        <w:rPr>
          <w:rFonts w:ascii="Book Antiqua" w:hAnsi="Book Antiqua"/>
          <w:sz w:val="24"/>
          <w:szCs w:val="24"/>
        </w:rPr>
        <w:t>. Currently, a pivotal Phase III study in advanced, MET-high HCC after sorafenib failure is planned.</w:t>
      </w:r>
    </w:p>
    <w:p w:rsidR="00A7606F" w:rsidRPr="00C67938" w:rsidRDefault="00A7606F" w:rsidP="00C67938">
      <w:pPr>
        <w:wordWrap/>
        <w:adjustRightInd w:val="0"/>
        <w:spacing w:line="360" w:lineRule="auto"/>
        <w:rPr>
          <w:rFonts w:ascii="Book Antiqua" w:hAnsi="Book Antiqua"/>
          <w:b/>
          <w:bCs/>
          <w:sz w:val="24"/>
          <w:szCs w:val="24"/>
        </w:rPr>
      </w:pPr>
    </w:p>
    <w:p w:rsidR="00A7606F" w:rsidRPr="00C67938" w:rsidRDefault="00A7606F" w:rsidP="00C67938">
      <w:pPr>
        <w:wordWrap/>
        <w:adjustRightInd w:val="0"/>
        <w:spacing w:line="360" w:lineRule="auto"/>
        <w:rPr>
          <w:rFonts w:ascii="Book Antiqua" w:hAnsi="Book Antiqua"/>
          <w:b/>
          <w:bCs/>
          <w:sz w:val="24"/>
          <w:szCs w:val="24"/>
        </w:rPr>
      </w:pPr>
      <w:r w:rsidRPr="00C67938">
        <w:rPr>
          <w:rFonts w:ascii="Book Antiqua" w:hAnsi="Book Antiqua"/>
          <w:b/>
          <w:bCs/>
          <w:sz w:val="24"/>
          <w:szCs w:val="24"/>
        </w:rPr>
        <w:t>WNT-BETA-CATENIN PATHWAY</w:t>
      </w:r>
    </w:p>
    <w:p w:rsidR="00A7606F" w:rsidRPr="00C67938" w:rsidRDefault="00A7606F" w:rsidP="00050331">
      <w:pPr>
        <w:wordWrap/>
        <w:adjustRightInd w:val="0"/>
        <w:spacing w:line="360" w:lineRule="auto"/>
        <w:rPr>
          <w:rFonts w:ascii="Book Antiqua" w:eastAsia="Times New Roman" w:hAnsi="Book Antiqua"/>
          <w:kern w:val="0"/>
          <w:sz w:val="24"/>
          <w:szCs w:val="24"/>
        </w:rPr>
      </w:pPr>
      <w:r w:rsidRPr="00C67938">
        <w:rPr>
          <w:rFonts w:ascii="Book Antiqua" w:eastAsia="Times New Roman" w:hAnsi="Book Antiqua"/>
          <w:kern w:val="0"/>
          <w:sz w:val="24"/>
          <w:szCs w:val="24"/>
        </w:rPr>
        <w:t>A major and early carcinogenic event in the development of HCC seems to be the abnormal regulation of the transcription factor â-catenin, a key component of the WNT signaling pathway.</w:t>
      </w:r>
    </w:p>
    <w:p w:rsidR="00A7606F" w:rsidRPr="00C67938" w:rsidRDefault="00A7606F" w:rsidP="008437E6">
      <w:pPr>
        <w:pStyle w:val="Default"/>
        <w:spacing w:line="360" w:lineRule="auto"/>
        <w:ind w:firstLineChars="300" w:firstLine="720"/>
        <w:jc w:val="both"/>
        <w:rPr>
          <w:rFonts w:ascii="Book Antiqua" w:hAnsi="Book Antiqua"/>
          <w:color w:val="auto"/>
        </w:rPr>
      </w:pPr>
      <w:r w:rsidRPr="00C67938">
        <w:rPr>
          <w:rFonts w:ascii="Book Antiqua" w:hAnsi="Book Antiqua"/>
          <w:color w:val="auto"/>
        </w:rPr>
        <w:t xml:space="preserve">During normal cell homeostasis, Wnt proteins are absent. Initiation of Wnt signaling leads to a series of events that cause loss of </w:t>
      </w:r>
      <w:r w:rsidRPr="00C67938">
        <w:rPr>
          <w:rFonts w:ascii="Book Antiqua" w:hAnsi="Book Antiqua"/>
          <w:i/>
          <w:iCs/>
          <w:color w:val="auto"/>
        </w:rPr>
        <w:t>β</w:t>
      </w:r>
      <w:r w:rsidRPr="00C67938">
        <w:rPr>
          <w:rFonts w:ascii="Book Antiqua" w:hAnsi="Book Antiqua"/>
          <w:color w:val="auto"/>
        </w:rPr>
        <w:t xml:space="preserve">-catenin phosphorylation, which prevents its degradation. </w:t>
      </w:r>
      <w:r w:rsidRPr="00C67938">
        <w:rPr>
          <w:rFonts w:ascii="Book Antiqua" w:hAnsi="Book Antiqua"/>
          <w:i/>
          <w:iCs/>
          <w:color w:val="auto"/>
        </w:rPr>
        <w:t>β</w:t>
      </w:r>
      <w:r w:rsidRPr="00C67938">
        <w:rPr>
          <w:rFonts w:ascii="Book Antiqua" w:hAnsi="Book Antiqua"/>
          <w:color w:val="auto"/>
        </w:rPr>
        <w:t xml:space="preserve">-catenin then accumulates in the cytoplasm and translocates into the nucleus. Hepatocytes with nuclear translocation of </w:t>
      </w:r>
      <w:r w:rsidRPr="00C67938">
        <w:rPr>
          <w:rFonts w:ascii="Book Antiqua" w:hAnsi="Book Antiqua"/>
          <w:i/>
          <w:iCs/>
          <w:color w:val="auto"/>
        </w:rPr>
        <w:t>β</w:t>
      </w:r>
      <w:r w:rsidRPr="00C67938">
        <w:rPr>
          <w:rFonts w:ascii="Book Antiqua" w:hAnsi="Book Antiqua"/>
          <w:color w:val="auto"/>
        </w:rPr>
        <w:t>-catenin display abnormal cellular proliferation and express membrane proteins involved in HCC, metastatic behavior, and cancer stem cells</w:t>
      </w:r>
      <w:r w:rsidRPr="00C67938">
        <w:rPr>
          <w:rFonts w:ascii="Book Antiqua" w:hAnsi="Book Antiqua"/>
          <w:color w:val="auto"/>
          <w:vertAlign w:val="superscript"/>
        </w:rPr>
        <w:t>[101]</w:t>
      </w:r>
      <w:r w:rsidRPr="00C67938">
        <w:rPr>
          <w:rFonts w:ascii="Book Antiqua" w:hAnsi="Book Antiqua"/>
          <w:color w:val="auto"/>
        </w:rPr>
        <w:t xml:space="preserve">. A high incidence of </w:t>
      </w:r>
      <w:r w:rsidRPr="00C67938">
        <w:rPr>
          <w:rFonts w:ascii="Book Antiqua" w:hAnsi="Book Antiqua"/>
          <w:i/>
          <w:iCs/>
          <w:color w:val="auto"/>
        </w:rPr>
        <w:t>β</w:t>
      </w:r>
      <w:r w:rsidRPr="00C67938">
        <w:rPr>
          <w:rFonts w:ascii="Book Antiqua" w:hAnsi="Book Antiqua"/>
          <w:color w:val="auto"/>
        </w:rPr>
        <w:t xml:space="preserve">-catenin mutations (nearly 40%) has been observed in HCC cases that occur in patients with HCV. HCC cases that occur in HBV patients display </w:t>
      </w:r>
      <w:r w:rsidRPr="00C67938">
        <w:rPr>
          <w:rFonts w:ascii="Book Antiqua" w:hAnsi="Book Antiqua"/>
          <w:i/>
          <w:iCs/>
          <w:color w:val="auto"/>
        </w:rPr>
        <w:t>β</w:t>
      </w:r>
      <w:r w:rsidRPr="00C67938">
        <w:rPr>
          <w:rFonts w:ascii="Book Antiqua" w:hAnsi="Book Antiqua"/>
          <w:color w:val="auto"/>
        </w:rPr>
        <w:t>-catenin activation that is induced in a mutation-dependent manner by the expression of HBx protein</w:t>
      </w:r>
      <w:r w:rsidRPr="00C67938">
        <w:rPr>
          <w:rFonts w:ascii="Book Antiqua" w:hAnsi="Book Antiqua"/>
          <w:color w:val="auto"/>
          <w:vertAlign w:val="superscript"/>
        </w:rPr>
        <w:t>[102,103]</w:t>
      </w:r>
      <w:r w:rsidRPr="00C67938">
        <w:rPr>
          <w:rFonts w:ascii="Book Antiqua" w:hAnsi="Book Antiqua"/>
          <w:color w:val="auto"/>
        </w:rPr>
        <w:t>. Agents targeting Wnt-</w:t>
      </w:r>
      <w:r w:rsidRPr="00C67938">
        <w:rPr>
          <w:rFonts w:ascii="Book Antiqua" w:hAnsi="Book Antiqua"/>
          <w:i/>
          <w:iCs/>
          <w:color w:val="auto"/>
        </w:rPr>
        <w:t>β</w:t>
      </w:r>
      <w:r w:rsidRPr="00C67938">
        <w:rPr>
          <w:rFonts w:ascii="Book Antiqua" w:hAnsi="Book Antiqua"/>
          <w:color w:val="auto"/>
        </w:rPr>
        <w:t>-catenin are under development. Preliminary studies targeting the Wnt-</w:t>
      </w:r>
      <w:r w:rsidRPr="00C67938">
        <w:rPr>
          <w:rFonts w:ascii="Book Antiqua" w:hAnsi="Book Antiqua"/>
          <w:i/>
          <w:iCs/>
          <w:color w:val="auto"/>
        </w:rPr>
        <w:t>β</w:t>
      </w:r>
      <w:r w:rsidRPr="00C67938">
        <w:rPr>
          <w:rFonts w:ascii="Book Antiqua" w:hAnsi="Book Antiqua"/>
          <w:color w:val="auto"/>
        </w:rPr>
        <w:t>-catenin pathway have demonstrated a potential space for new novel therapies to treat HCC.</w:t>
      </w:r>
    </w:p>
    <w:p w:rsidR="00A7606F" w:rsidRPr="00C67938" w:rsidRDefault="00A7606F" w:rsidP="00C67938">
      <w:pPr>
        <w:wordWrap/>
        <w:adjustRightInd w:val="0"/>
        <w:spacing w:line="360" w:lineRule="auto"/>
        <w:rPr>
          <w:rFonts w:ascii="Book Antiqua" w:hAnsi="Book Antiqua"/>
          <w:sz w:val="24"/>
          <w:szCs w:val="24"/>
        </w:rPr>
      </w:pPr>
    </w:p>
    <w:p w:rsidR="00A7606F" w:rsidRPr="00C67938" w:rsidRDefault="00A7606F" w:rsidP="00C67938">
      <w:pPr>
        <w:wordWrap/>
        <w:adjustRightInd w:val="0"/>
        <w:spacing w:line="360" w:lineRule="auto"/>
        <w:rPr>
          <w:rFonts w:ascii="Book Antiqua" w:eastAsia="AdvP4DF60F" w:hAnsi="Book Antiqua"/>
          <w:b/>
          <w:kern w:val="0"/>
          <w:sz w:val="24"/>
          <w:szCs w:val="24"/>
        </w:rPr>
      </w:pPr>
      <w:r w:rsidRPr="00C67938">
        <w:rPr>
          <w:rFonts w:ascii="Book Antiqua" w:eastAsia="AdvP4DF60F" w:hAnsi="Book Antiqua"/>
          <w:b/>
          <w:kern w:val="0"/>
          <w:sz w:val="24"/>
          <w:szCs w:val="24"/>
        </w:rPr>
        <w:t>JAK/STAT PATHWAY</w:t>
      </w:r>
    </w:p>
    <w:p w:rsidR="00A7606F" w:rsidRPr="00C67938" w:rsidRDefault="00A7606F" w:rsidP="002D2ABB">
      <w:pPr>
        <w:wordWrap/>
        <w:adjustRightInd w:val="0"/>
        <w:spacing w:line="360" w:lineRule="auto"/>
        <w:rPr>
          <w:rFonts w:ascii="Book Antiqua" w:hAnsi="Book Antiqua"/>
          <w:sz w:val="24"/>
          <w:szCs w:val="24"/>
        </w:rPr>
      </w:pPr>
      <w:r w:rsidRPr="00C67938">
        <w:rPr>
          <w:rFonts w:ascii="Book Antiqua" w:eastAsia="AdvP4DF60E" w:hAnsi="Book Antiqua"/>
          <w:kern w:val="0"/>
          <w:sz w:val="24"/>
          <w:szCs w:val="24"/>
        </w:rPr>
        <w:t>The Jak/Stat pathway is activated by more than 40 cytokines and growth factors and is involved in multiple cell functions, including differentiation, proliferation, and apoptosis</w:t>
      </w:r>
      <w:r w:rsidRPr="00C67938">
        <w:rPr>
          <w:rFonts w:ascii="Book Antiqua" w:eastAsia="AdvP4DF60E" w:hAnsi="Book Antiqua"/>
          <w:kern w:val="0"/>
          <w:sz w:val="24"/>
          <w:szCs w:val="24"/>
          <w:vertAlign w:val="superscript"/>
        </w:rPr>
        <w:t>[104]</w:t>
      </w:r>
      <w:r w:rsidRPr="00C67938">
        <w:rPr>
          <w:rFonts w:ascii="Book Antiqua" w:eastAsia="AdvP4DF60E" w:hAnsi="Book Antiqua"/>
          <w:kern w:val="0"/>
          <w:sz w:val="24"/>
          <w:szCs w:val="24"/>
        </w:rPr>
        <w:t>. In this pathway, cytokines induce phosphorylation of the Janus tyrosine kinases (Jak1, 2 and 3 and Tyk2), which is followed by activation of Stat1-6</w:t>
      </w:r>
      <w:r w:rsidRPr="00C67938">
        <w:rPr>
          <w:rFonts w:ascii="Book Antiqua" w:eastAsia="AdvP4DF60E" w:hAnsi="Book Antiqua"/>
          <w:kern w:val="0"/>
          <w:sz w:val="24"/>
          <w:szCs w:val="24"/>
          <w:vertAlign w:val="superscript"/>
        </w:rPr>
        <w:t>[105]</w:t>
      </w:r>
      <w:r w:rsidRPr="00C67938">
        <w:rPr>
          <w:rFonts w:ascii="Book Antiqua" w:eastAsia="AdvP4DF60E" w:hAnsi="Book Antiqua"/>
          <w:kern w:val="0"/>
          <w:sz w:val="24"/>
          <w:szCs w:val="24"/>
        </w:rPr>
        <w:t>. The phosphorylation of Jak1, Jak2, and Tyk2 tyrosine kinases is not detected in normal livers but increases significantly between surrounding non-neoplastic liver and HCCs</w:t>
      </w:r>
      <w:r w:rsidRPr="00C67938">
        <w:rPr>
          <w:rFonts w:ascii="Book Antiqua" w:eastAsia="AdvP4DF60E" w:hAnsi="Book Antiqua"/>
          <w:kern w:val="0"/>
          <w:sz w:val="24"/>
          <w:szCs w:val="24"/>
          <w:vertAlign w:val="superscript"/>
        </w:rPr>
        <w:t>[106]</w:t>
      </w:r>
      <w:r w:rsidRPr="00C67938">
        <w:rPr>
          <w:rFonts w:ascii="Book Antiqua" w:eastAsia="AdvP4DF60E" w:hAnsi="Book Antiqua"/>
          <w:kern w:val="0"/>
          <w:sz w:val="24"/>
          <w:szCs w:val="24"/>
        </w:rPr>
        <w:t>. Activation of Stat1, Stat3, and Stat5 has been shown to be significantly higher in tumors than in the respective surrounding livers; pStat3 is higher in HCC with poor prognosis than in HCC with better prognosis</w:t>
      </w:r>
      <w:r w:rsidRPr="00C67938">
        <w:rPr>
          <w:rFonts w:ascii="Book Antiqua" w:eastAsia="AdvP4DF60E" w:hAnsi="Book Antiqua"/>
          <w:kern w:val="0"/>
          <w:sz w:val="24"/>
          <w:szCs w:val="24"/>
          <w:vertAlign w:val="superscript"/>
        </w:rPr>
        <w:t>[106]</w:t>
      </w:r>
      <w:r w:rsidRPr="00C67938">
        <w:rPr>
          <w:rFonts w:ascii="Book Antiqua" w:eastAsia="AdvP4DF60E" w:hAnsi="Book Antiqua"/>
          <w:kern w:val="0"/>
          <w:sz w:val="24"/>
          <w:szCs w:val="24"/>
        </w:rPr>
        <w:t>. The levels of Jak/Stat targets, including Bcl-xl, Mcl-1, cyclin D1, and c-Myc, are markedly elevated in the majority of HCCs. A phase I study of the JAK2 inhibitor AZD1480 in advanced solid malignancy (including HCC) is planned (</w:t>
      </w:r>
      <w:r w:rsidRPr="00C67938">
        <w:rPr>
          <w:rFonts w:ascii="Book Antiqua" w:hAnsi="Book Antiqua"/>
          <w:sz w:val="24"/>
          <w:szCs w:val="24"/>
        </w:rPr>
        <w:t>NCT01219543).</w:t>
      </w:r>
    </w:p>
    <w:p w:rsidR="00A7606F" w:rsidRPr="00C67938" w:rsidRDefault="00A7606F" w:rsidP="00C67938">
      <w:pPr>
        <w:wordWrap/>
        <w:adjustRightInd w:val="0"/>
        <w:spacing w:line="360" w:lineRule="auto"/>
        <w:rPr>
          <w:rFonts w:ascii="Book Antiqua" w:hAnsi="Book Antiqua"/>
          <w:sz w:val="24"/>
          <w:szCs w:val="24"/>
        </w:rPr>
      </w:pPr>
    </w:p>
    <w:p w:rsidR="00A7606F" w:rsidRPr="00C67938" w:rsidRDefault="00A7606F" w:rsidP="00C67938">
      <w:pPr>
        <w:wordWrap/>
        <w:adjustRightInd w:val="0"/>
        <w:spacing w:line="360" w:lineRule="auto"/>
        <w:rPr>
          <w:rFonts w:ascii="Book Antiqua" w:hAnsi="Book Antiqua"/>
          <w:b/>
          <w:sz w:val="24"/>
          <w:szCs w:val="24"/>
        </w:rPr>
      </w:pPr>
      <w:r w:rsidRPr="00C67938">
        <w:rPr>
          <w:rFonts w:ascii="Book Antiqua" w:hAnsi="Book Antiqua"/>
          <w:b/>
          <w:sz w:val="24"/>
          <w:szCs w:val="24"/>
        </w:rPr>
        <w:t>FUTURE PERSPECTIVES</w:t>
      </w:r>
    </w:p>
    <w:p w:rsidR="00A7606F" w:rsidRPr="00C67938" w:rsidRDefault="00A7606F" w:rsidP="00CD57B9">
      <w:pPr>
        <w:wordWrap/>
        <w:adjustRightInd w:val="0"/>
        <w:spacing w:line="360" w:lineRule="auto"/>
        <w:rPr>
          <w:rFonts w:ascii="Book Antiqua" w:eastAsia="Times New Roman" w:hAnsi="Book Antiqua"/>
          <w:kern w:val="0"/>
          <w:sz w:val="24"/>
          <w:szCs w:val="24"/>
        </w:rPr>
      </w:pPr>
      <w:r w:rsidRPr="00C67938">
        <w:rPr>
          <w:rFonts w:ascii="Book Antiqua" w:eastAsia="MinionPro-Regular" w:hAnsi="Book Antiqua"/>
          <w:kern w:val="0"/>
          <w:sz w:val="24"/>
          <w:szCs w:val="24"/>
        </w:rPr>
        <w:t>Molecular targeted agents that have been introduced into clinical use in recent years have been approved for the treatment of a specific cancer and then frequently used to treat various other types of cancer</w:t>
      </w:r>
      <w:r w:rsidRPr="00C67938">
        <w:rPr>
          <w:rFonts w:ascii="Book Antiqua" w:eastAsia="Times New Roman" w:hAnsi="Book Antiqua"/>
          <w:kern w:val="0"/>
          <w:sz w:val="24"/>
          <w:szCs w:val="24"/>
        </w:rPr>
        <w:t>. Genetic alterations clearly play a major role in hepatocarcinogenesis, and</w:t>
      </w:r>
      <w:r w:rsidRPr="00C67938">
        <w:rPr>
          <w:rFonts w:ascii="Book Antiqua" w:eastAsia="MinionPro-Regular" w:hAnsi="Book Antiqua"/>
          <w:kern w:val="0"/>
          <w:sz w:val="24"/>
          <w:szCs w:val="24"/>
        </w:rPr>
        <w:t xml:space="preserve"> </w:t>
      </w:r>
      <w:r w:rsidRPr="00C67938">
        <w:rPr>
          <w:rFonts w:ascii="Book Antiqua" w:eastAsia="Times New Roman" w:hAnsi="Book Antiqua"/>
          <w:kern w:val="0"/>
          <w:sz w:val="24"/>
          <w:szCs w:val="24"/>
        </w:rPr>
        <w:t>abnormalities in several critical molecular signaling pathways have been identified as contributing to tumor development and progression</w:t>
      </w:r>
      <w:r w:rsidRPr="00C67938">
        <w:rPr>
          <w:rFonts w:ascii="Book Antiqua" w:eastAsia="Times New Roman" w:hAnsi="Book Antiqua"/>
          <w:kern w:val="0"/>
          <w:sz w:val="24"/>
          <w:szCs w:val="24"/>
          <w:vertAlign w:val="superscript"/>
        </w:rPr>
        <w:t>[107,108]</w:t>
      </w:r>
      <w:r w:rsidRPr="00C67938">
        <w:rPr>
          <w:rFonts w:ascii="Book Antiqua" w:eastAsia="Times New Roman" w:hAnsi="Book Antiqua"/>
          <w:kern w:val="0"/>
          <w:sz w:val="24"/>
          <w:szCs w:val="24"/>
        </w:rPr>
        <w:t xml:space="preserve">. </w:t>
      </w:r>
    </w:p>
    <w:p w:rsidR="00A7606F" w:rsidRPr="00C67938" w:rsidRDefault="00A7606F" w:rsidP="00C67938">
      <w:pPr>
        <w:wordWrap/>
        <w:adjustRightInd w:val="0"/>
        <w:spacing w:line="360" w:lineRule="auto"/>
        <w:ind w:firstLine="800"/>
        <w:rPr>
          <w:rFonts w:ascii="Book Antiqua" w:hAnsi="Book Antiqua"/>
          <w:kern w:val="0"/>
          <w:sz w:val="24"/>
          <w:szCs w:val="24"/>
        </w:rPr>
      </w:pPr>
      <w:r w:rsidRPr="00C67938">
        <w:rPr>
          <w:rFonts w:ascii="Book Antiqua" w:eastAsia="Times New Roman" w:hAnsi="Book Antiqua"/>
          <w:kern w:val="0"/>
          <w:sz w:val="24"/>
          <w:szCs w:val="24"/>
        </w:rPr>
        <w:t xml:space="preserve">Currently, sorafenib is the only effective systemic treatment option for advanced HCC. </w:t>
      </w:r>
      <w:r w:rsidRPr="00C67938">
        <w:rPr>
          <w:rFonts w:ascii="Book Antiqua" w:eastAsia="Times-Roman" w:hAnsi="Book Antiqua"/>
          <w:kern w:val="0"/>
          <w:sz w:val="24"/>
          <w:szCs w:val="24"/>
        </w:rPr>
        <w:t xml:space="preserve">While the drug is effective for patients with advanced HCC, sorafenib prolongs life expectancy for only approximately three </w:t>
      </w:r>
      <w:r>
        <w:rPr>
          <w:rFonts w:ascii="Book Antiqua" w:eastAsia="Times-Roman" w:hAnsi="Book Antiqua"/>
          <w:kern w:val="0"/>
          <w:sz w:val="24"/>
          <w:szCs w:val="24"/>
        </w:rPr>
        <w:t>mo</w:t>
      </w:r>
      <w:r w:rsidRPr="00C67938">
        <w:rPr>
          <w:rFonts w:ascii="Book Antiqua" w:eastAsia="Times-Roman" w:hAnsi="Book Antiqua"/>
          <w:kern w:val="0"/>
          <w:sz w:val="24"/>
          <w:szCs w:val="24"/>
        </w:rPr>
        <w:t xml:space="preserve">. </w:t>
      </w:r>
      <w:r w:rsidRPr="00C67938">
        <w:rPr>
          <w:rFonts w:ascii="Book Antiqua" w:hAnsi="Book Antiqua"/>
          <w:kern w:val="0"/>
          <w:sz w:val="24"/>
          <w:szCs w:val="24"/>
        </w:rPr>
        <w:t xml:space="preserve">To move beyond sorafenib monotherapy, a potential role for this agent in the adjuvant setting following surgical resection, radiofrequency ablation, or TACE or in combination with other targeted agents or chemotherapy is under investigation. </w:t>
      </w:r>
    </w:p>
    <w:p w:rsidR="00A7606F" w:rsidRPr="00C67938" w:rsidRDefault="00A7606F" w:rsidP="00C67938">
      <w:pPr>
        <w:wordWrap/>
        <w:adjustRightInd w:val="0"/>
        <w:spacing w:line="360" w:lineRule="auto"/>
        <w:ind w:firstLine="800"/>
        <w:rPr>
          <w:rFonts w:ascii="Book Antiqua" w:eastAsia="AdvP4DF60E" w:hAnsi="Book Antiqua"/>
          <w:kern w:val="0"/>
          <w:sz w:val="24"/>
          <w:szCs w:val="24"/>
        </w:rPr>
      </w:pPr>
      <w:r w:rsidRPr="00C67938">
        <w:rPr>
          <w:rFonts w:ascii="Book Antiqua" w:eastAsia="AdvP4DF60E" w:hAnsi="Book Antiqua"/>
          <w:kern w:val="0"/>
          <w:sz w:val="24"/>
          <w:szCs w:val="24"/>
        </w:rPr>
        <w:t>Several new promising multi-targeted molecules have been developed and are currently under investigation for the treatment of HCC. Unfortunately, HCCs are refractory to many targeted therapies. Therefore, resistance to treatment remains the major challenge for targeted therapy. Many</w:t>
      </w:r>
      <w:r w:rsidRPr="00C67938">
        <w:rPr>
          <w:rFonts w:ascii="Book Antiqua" w:eastAsia="Arial Unicode MS" w:hAnsi="Book Antiqua"/>
          <w:sz w:val="24"/>
          <w:szCs w:val="24"/>
        </w:rPr>
        <w:t xml:space="preserve"> resistance mechanisms have been identified, including epigenetic changes, alternative splicing, target inactivation, upregulation of alternative pathways (by cellular adaptation to the pathway being targeted), and a range of mutations.</w:t>
      </w:r>
      <w:r w:rsidRPr="00C67938">
        <w:rPr>
          <w:rFonts w:ascii="Book Antiqua" w:eastAsia="AdvP4DF60E" w:hAnsi="Book Antiqua"/>
          <w:kern w:val="0"/>
          <w:sz w:val="24"/>
          <w:szCs w:val="24"/>
        </w:rPr>
        <w:t xml:space="preserve"> A combination of different agents or a single ‘‘unspecific’’ inhibitor of several pathways may offer advantages to overcome resistance. Combinations of targeted agents with chemotherapy regimens also remain to be further explored. Molecular targeted therapy blocking angiogenesis has demonstrated somewhat promising results, but the efficacy of these agents is limited by survival pathways induced by hypoxia. Thus, the inhibition of hypoxia-induced survival signals might be required for targeted agents to block angiogenesis as an adjuvant therapy following TACE. </w:t>
      </w:r>
      <w:r w:rsidRPr="00C67938">
        <w:rPr>
          <w:rFonts w:ascii="Book Antiqua" w:eastAsia="MinionPro-Regular" w:hAnsi="Book Antiqua"/>
          <w:kern w:val="0"/>
          <w:sz w:val="24"/>
          <w:szCs w:val="24"/>
        </w:rPr>
        <w:t xml:space="preserve">Additionally, exploring potential markers that can help in identifying the patients who are most likely to respond (or to at least identify those who will not respond) to treatment is critical. </w:t>
      </w:r>
      <w:r w:rsidRPr="00C67938">
        <w:rPr>
          <w:rFonts w:ascii="Book Antiqua" w:hAnsi="Book Antiqua"/>
          <w:kern w:val="0"/>
          <w:sz w:val="24"/>
          <w:szCs w:val="24"/>
        </w:rPr>
        <w:t>Future development of genomic analysis of HCC will aid in the identification of specific biomarkers for patient selection for either single agent or combination molecular targeted therapies.</w:t>
      </w:r>
    </w:p>
    <w:p w:rsidR="00A7606F" w:rsidRPr="00C67938" w:rsidRDefault="00A7606F" w:rsidP="00C67938">
      <w:pPr>
        <w:wordWrap/>
        <w:adjustRightInd w:val="0"/>
        <w:spacing w:line="360" w:lineRule="auto"/>
        <w:rPr>
          <w:rFonts w:ascii="Book Antiqua" w:hAnsi="Book Antiqua"/>
          <w:sz w:val="24"/>
          <w:szCs w:val="24"/>
        </w:rPr>
      </w:pPr>
    </w:p>
    <w:p w:rsidR="00A7606F" w:rsidRPr="00C67938" w:rsidRDefault="00A7606F" w:rsidP="00C67938">
      <w:pPr>
        <w:wordWrap/>
        <w:adjustRightInd w:val="0"/>
        <w:spacing w:line="360" w:lineRule="auto"/>
        <w:rPr>
          <w:rFonts w:ascii="Book Antiqua" w:hAnsi="Book Antiqua"/>
          <w:sz w:val="24"/>
          <w:szCs w:val="24"/>
        </w:rPr>
      </w:pPr>
    </w:p>
    <w:p w:rsidR="00A7606F" w:rsidRPr="00C67938" w:rsidRDefault="00A7606F" w:rsidP="00C67938">
      <w:pPr>
        <w:wordWrap/>
        <w:adjustRightInd w:val="0"/>
        <w:spacing w:line="360" w:lineRule="auto"/>
        <w:rPr>
          <w:rFonts w:ascii="Book Antiqua" w:hAnsi="Book Antiqua"/>
          <w:sz w:val="24"/>
          <w:szCs w:val="24"/>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Default="00A7606F" w:rsidP="00C67938">
      <w:pPr>
        <w:wordWrap/>
        <w:adjustRightInd w:val="0"/>
        <w:spacing w:line="360" w:lineRule="auto"/>
        <w:rPr>
          <w:rFonts w:ascii="Book Antiqua" w:eastAsia="宋体" w:hAnsi="Book Antiqua"/>
          <w:sz w:val="24"/>
          <w:szCs w:val="24"/>
          <w:lang w:eastAsia="zh-CN"/>
        </w:rPr>
      </w:pPr>
    </w:p>
    <w:p w:rsidR="00A7606F" w:rsidRPr="00BF3853" w:rsidRDefault="00A7606F" w:rsidP="00C67938">
      <w:pPr>
        <w:wordWrap/>
        <w:adjustRightInd w:val="0"/>
        <w:spacing w:line="360" w:lineRule="auto"/>
        <w:rPr>
          <w:rFonts w:ascii="Book Antiqua" w:eastAsia="宋体" w:hAnsi="Book Antiqua"/>
          <w:sz w:val="24"/>
          <w:szCs w:val="24"/>
          <w:lang w:eastAsia="zh-CN"/>
        </w:rPr>
      </w:pPr>
    </w:p>
    <w:p w:rsidR="00A7606F" w:rsidRPr="00BF3853" w:rsidRDefault="00A7606F" w:rsidP="00C67938">
      <w:pPr>
        <w:wordWrap/>
        <w:adjustRightInd w:val="0"/>
        <w:spacing w:line="360" w:lineRule="auto"/>
        <w:rPr>
          <w:rFonts w:ascii="Book Antiqua" w:eastAsia="宋体" w:hAnsi="Book Antiqua"/>
          <w:b/>
          <w:color w:val="000000"/>
          <w:kern w:val="0"/>
          <w:sz w:val="24"/>
          <w:szCs w:val="24"/>
          <w:lang w:eastAsia="zh-CN"/>
        </w:rPr>
      </w:pPr>
      <w:r w:rsidRPr="00C67938">
        <w:rPr>
          <w:rFonts w:ascii="Book Antiqua" w:eastAsia="AdvP4DF60E" w:hAnsi="Book Antiqua"/>
          <w:b/>
          <w:color w:val="000000"/>
          <w:kern w:val="0"/>
          <w:sz w:val="24"/>
          <w:szCs w:val="24"/>
        </w:rPr>
        <w:t>REFERENCE</w:t>
      </w:r>
      <w:r>
        <w:rPr>
          <w:rFonts w:ascii="Book Antiqua" w:eastAsia="宋体" w:hAnsi="Book Antiqua"/>
          <w:b/>
          <w:color w:val="000000"/>
          <w:kern w:val="0"/>
          <w:sz w:val="24"/>
          <w:szCs w:val="24"/>
          <w:lang w:eastAsia="zh-CN"/>
        </w:rPr>
        <w:t>S</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1 </w:t>
      </w:r>
      <w:r w:rsidRPr="00FC6C8B">
        <w:rPr>
          <w:rFonts w:ascii="Book Antiqua" w:eastAsia="宋体" w:hAnsi="Book Antiqua" w:cs="宋体"/>
          <w:b/>
          <w:bCs/>
          <w:kern w:val="0"/>
          <w:sz w:val="24"/>
          <w:szCs w:val="24"/>
        </w:rPr>
        <w:t>Bosch FX</w:t>
      </w:r>
      <w:r w:rsidRPr="00FC6C8B">
        <w:rPr>
          <w:rFonts w:ascii="Book Antiqua" w:eastAsia="宋体" w:hAnsi="Book Antiqua" w:cs="宋体"/>
          <w:kern w:val="0"/>
          <w:sz w:val="24"/>
          <w:szCs w:val="24"/>
        </w:rPr>
        <w:t>, Ribes J, Díaz M, Cléries R. Primary liver cancer: worldwide incidence and trends. </w:t>
      </w:r>
      <w:r w:rsidRPr="00FC6C8B">
        <w:rPr>
          <w:rFonts w:ascii="Book Antiqua" w:eastAsia="宋体" w:hAnsi="Book Antiqua" w:cs="宋体"/>
          <w:i/>
          <w:iCs/>
          <w:kern w:val="0"/>
          <w:sz w:val="24"/>
          <w:szCs w:val="24"/>
        </w:rPr>
        <w:t>Gastroenterology</w:t>
      </w:r>
      <w:r w:rsidRPr="00FC6C8B">
        <w:rPr>
          <w:rFonts w:ascii="Book Antiqua" w:eastAsia="宋体" w:hAnsi="Book Antiqua" w:cs="宋体"/>
          <w:kern w:val="0"/>
          <w:sz w:val="24"/>
          <w:szCs w:val="24"/>
        </w:rPr>
        <w:t> 2004; </w:t>
      </w:r>
      <w:r w:rsidRPr="00FC6C8B">
        <w:rPr>
          <w:rFonts w:ascii="Book Antiqua" w:eastAsia="宋体" w:hAnsi="Book Antiqua" w:cs="宋体"/>
          <w:b/>
          <w:bCs/>
          <w:kern w:val="0"/>
          <w:sz w:val="24"/>
          <w:szCs w:val="24"/>
        </w:rPr>
        <w:t>127</w:t>
      </w:r>
      <w:r w:rsidRPr="00FC6C8B">
        <w:rPr>
          <w:rFonts w:ascii="Book Antiqua" w:eastAsia="宋体" w:hAnsi="Book Antiqua" w:cs="宋体"/>
          <w:kern w:val="0"/>
          <w:sz w:val="24"/>
          <w:szCs w:val="24"/>
        </w:rPr>
        <w:t>: S5-S16 [PMID: 15508102 DOI: 10.1053/j.gastro.2004.09.011]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2 </w:t>
      </w:r>
      <w:r w:rsidRPr="00FC6C8B">
        <w:rPr>
          <w:rFonts w:ascii="Book Antiqua" w:eastAsia="宋体" w:hAnsi="Book Antiqua" w:cs="宋体"/>
          <w:b/>
          <w:bCs/>
          <w:kern w:val="0"/>
          <w:sz w:val="24"/>
          <w:szCs w:val="24"/>
        </w:rPr>
        <w:t>Llovet JM</w:t>
      </w:r>
      <w:r w:rsidRPr="00FC6C8B">
        <w:rPr>
          <w:rFonts w:ascii="Book Antiqua" w:eastAsia="宋体" w:hAnsi="Book Antiqua" w:cs="宋体"/>
          <w:kern w:val="0"/>
          <w:sz w:val="24"/>
          <w:szCs w:val="24"/>
        </w:rPr>
        <w:t>, Burroughs A, Bruix J. Hepatocellular carcinoma. </w:t>
      </w:r>
      <w:r w:rsidRPr="00FC6C8B">
        <w:rPr>
          <w:rFonts w:ascii="Book Antiqua" w:eastAsia="宋体" w:hAnsi="Book Antiqua" w:cs="宋体"/>
          <w:i/>
          <w:iCs/>
          <w:kern w:val="0"/>
          <w:sz w:val="24"/>
          <w:szCs w:val="24"/>
        </w:rPr>
        <w:t>Lancet</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362</w:t>
      </w:r>
      <w:r w:rsidRPr="00FC6C8B">
        <w:rPr>
          <w:rFonts w:ascii="Book Antiqua" w:eastAsia="宋体" w:hAnsi="Book Antiqua" w:cs="宋体"/>
          <w:kern w:val="0"/>
          <w:sz w:val="24"/>
          <w:szCs w:val="24"/>
        </w:rPr>
        <w:t>: 1907-1917 [PMID: 14667750 DOI: 10.1016/S0140-6736(03)14964-1]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3 </w:t>
      </w:r>
      <w:r w:rsidRPr="00FC6C8B">
        <w:rPr>
          <w:rFonts w:ascii="Book Antiqua" w:eastAsia="宋体" w:hAnsi="Book Antiqua" w:cs="宋体"/>
          <w:b/>
          <w:bCs/>
          <w:kern w:val="0"/>
          <w:sz w:val="24"/>
          <w:szCs w:val="24"/>
        </w:rPr>
        <w:t>Llovet JM</w:t>
      </w:r>
      <w:r w:rsidRPr="00FC6C8B">
        <w:rPr>
          <w:rFonts w:ascii="Book Antiqua" w:eastAsia="宋体" w:hAnsi="Book Antiqua" w:cs="宋体"/>
          <w:kern w:val="0"/>
          <w:sz w:val="24"/>
          <w:szCs w:val="24"/>
        </w:rPr>
        <w:t>, Bruix J. Systematic review of randomized trials for unresectable hepatocellular carcinoma: Chemoembolization improves survival.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37</w:t>
      </w:r>
      <w:r w:rsidRPr="00FC6C8B">
        <w:rPr>
          <w:rFonts w:ascii="Book Antiqua" w:eastAsia="宋体" w:hAnsi="Book Antiqua" w:cs="宋体"/>
          <w:kern w:val="0"/>
          <w:sz w:val="24"/>
          <w:szCs w:val="24"/>
        </w:rPr>
        <w:t>: 429-442 [PMID: 12540794 DOI: 10.1053/jhep.2003.50047]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4 </w:t>
      </w:r>
      <w:r w:rsidRPr="00FC6C8B">
        <w:rPr>
          <w:rFonts w:ascii="Book Antiqua" w:eastAsia="宋体" w:hAnsi="Book Antiqua" w:cs="宋体"/>
          <w:b/>
          <w:bCs/>
          <w:kern w:val="0"/>
          <w:sz w:val="24"/>
          <w:szCs w:val="24"/>
        </w:rPr>
        <w:t>Sarker D</w:t>
      </w:r>
      <w:r w:rsidRPr="00FC6C8B">
        <w:rPr>
          <w:rFonts w:ascii="Book Antiqua" w:eastAsia="宋体" w:hAnsi="Book Antiqua" w:cs="宋体"/>
          <w:kern w:val="0"/>
          <w:sz w:val="24"/>
          <w:szCs w:val="24"/>
        </w:rPr>
        <w:t>, Molife R, Evans TR, Hardie M, Marriott C, Butzberger-Zimmerli P, Morrison R, Fox JA, Heise C, Louie S, Aziz N, Garzon F, Michelson G, Judson IR, Jadayel D, Braendle E, de Bono JS. A phase I pharmacokinetic and pharmacodynamic study of TKI258, an oral, multitargeted receptor tyrosine kinase inhibitor in patients with advanced solid tumors. </w:t>
      </w:r>
      <w:r w:rsidRPr="00FC6C8B">
        <w:rPr>
          <w:rFonts w:ascii="Book Antiqua" w:eastAsia="宋体" w:hAnsi="Book Antiqua" w:cs="宋体"/>
          <w:i/>
          <w:iCs/>
          <w:kern w:val="0"/>
          <w:sz w:val="24"/>
          <w:szCs w:val="24"/>
        </w:rPr>
        <w:t>Clin Cancer Res</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14</w:t>
      </w:r>
      <w:r w:rsidRPr="00FC6C8B">
        <w:rPr>
          <w:rFonts w:ascii="Book Antiqua" w:eastAsia="宋体" w:hAnsi="Book Antiqua" w:cs="宋体"/>
          <w:kern w:val="0"/>
          <w:sz w:val="24"/>
          <w:szCs w:val="24"/>
        </w:rPr>
        <w:t>: 2075-2081 [PMID: 18381947 DOI: 10.1158/1078-0432.CCR-07-1466]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5 </w:t>
      </w:r>
      <w:r w:rsidRPr="00FC6C8B">
        <w:rPr>
          <w:rFonts w:ascii="Book Antiqua" w:eastAsia="宋体" w:hAnsi="Book Antiqua" w:cs="宋体"/>
          <w:b/>
          <w:bCs/>
          <w:kern w:val="0"/>
          <w:sz w:val="24"/>
          <w:szCs w:val="24"/>
        </w:rPr>
        <w:t>Brechot C</w:t>
      </w:r>
      <w:r w:rsidRPr="00FC6C8B">
        <w:rPr>
          <w:rFonts w:ascii="Book Antiqua" w:eastAsia="宋体" w:hAnsi="Book Antiqua" w:cs="宋体"/>
          <w:kern w:val="0"/>
          <w:sz w:val="24"/>
          <w:szCs w:val="24"/>
        </w:rPr>
        <w:t>, Pourcel C, Louise A, Rain B, Tiollais P. Presence of integrated hepatitis B virus DNA sequences in cellular DNA of human hepatocellular carcinoma. </w:t>
      </w:r>
      <w:r w:rsidRPr="00FC6C8B">
        <w:rPr>
          <w:rFonts w:ascii="Book Antiqua" w:eastAsia="宋体" w:hAnsi="Book Antiqua" w:cs="宋体"/>
          <w:i/>
          <w:iCs/>
          <w:kern w:val="0"/>
          <w:sz w:val="24"/>
          <w:szCs w:val="24"/>
        </w:rPr>
        <w:t>Nature</w:t>
      </w:r>
      <w:r w:rsidRPr="00FC6C8B">
        <w:rPr>
          <w:rFonts w:ascii="Book Antiqua" w:eastAsia="宋体" w:hAnsi="Book Antiqua" w:cs="宋体"/>
          <w:kern w:val="0"/>
          <w:sz w:val="24"/>
          <w:szCs w:val="24"/>
        </w:rPr>
        <w:t> 1980; </w:t>
      </w:r>
      <w:r w:rsidRPr="00FC6C8B">
        <w:rPr>
          <w:rFonts w:ascii="Book Antiqua" w:eastAsia="宋体" w:hAnsi="Book Antiqua" w:cs="宋体"/>
          <w:b/>
          <w:bCs/>
          <w:kern w:val="0"/>
          <w:sz w:val="24"/>
          <w:szCs w:val="24"/>
        </w:rPr>
        <w:t>286</w:t>
      </w:r>
      <w:r w:rsidRPr="00FC6C8B">
        <w:rPr>
          <w:rFonts w:ascii="Book Antiqua" w:eastAsia="宋体" w:hAnsi="Book Antiqua" w:cs="宋体"/>
          <w:kern w:val="0"/>
          <w:sz w:val="24"/>
          <w:szCs w:val="24"/>
        </w:rPr>
        <w:t>: 533-535 [PMID: 6250074 DOI: 10.1038/286533a0]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6 </w:t>
      </w:r>
      <w:r w:rsidRPr="00FC6C8B">
        <w:rPr>
          <w:rFonts w:ascii="Book Antiqua" w:eastAsia="宋体" w:hAnsi="Book Antiqua" w:cs="宋体"/>
          <w:b/>
          <w:bCs/>
          <w:kern w:val="0"/>
          <w:sz w:val="24"/>
          <w:szCs w:val="24"/>
        </w:rPr>
        <w:t>Minami M</w:t>
      </w:r>
      <w:r w:rsidRPr="00FC6C8B">
        <w:rPr>
          <w:rFonts w:ascii="Book Antiqua" w:eastAsia="宋体" w:hAnsi="Book Antiqua" w:cs="宋体"/>
          <w:kern w:val="0"/>
          <w:sz w:val="24"/>
          <w:szCs w:val="24"/>
        </w:rPr>
        <w:t>, Daimon Y, Mori K, Takashima H, Nakajima T, Itoh Y, Okanoue T. Hepatitis B virus-related insertional mutagenesis in chronic hepatitis B patients as an early drastic genetic change leading to hepatocarcinogenesis. </w:t>
      </w:r>
      <w:r w:rsidRPr="00FC6C8B">
        <w:rPr>
          <w:rFonts w:ascii="Book Antiqua" w:eastAsia="宋体" w:hAnsi="Book Antiqua" w:cs="宋体"/>
          <w:i/>
          <w:iCs/>
          <w:kern w:val="0"/>
          <w:sz w:val="24"/>
          <w:szCs w:val="24"/>
        </w:rPr>
        <w:t>Oncogene</w:t>
      </w:r>
      <w:r w:rsidRPr="00FC6C8B">
        <w:rPr>
          <w:rFonts w:ascii="Book Antiqua" w:eastAsia="宋体" w:hAnsi="Book Antiqua" w:cs="宋体"/>
          <w:kern w:val="0"/>
          <w:sz w:val="24"/>
          <w:szCs w:val="24"/>
        </w:rPr>
        <w:t> 2005; </w:t>
      </w:r>
      <w:r w:rsidRPr="00FC6C8B">
        <w:rPr>
          <w:rFonts w:ascii="Book Antiqua" w:eastAsia="宋体" w:hAnsi="Book Antiqua" w:cs="宋体"/>
          <w:b/>
          <w:bCs/>
          <w:kern w:val="0"/>
          <w:sz w:val="24"/>
          <w:szCs w:val="24"/>
        </w:rPr>
        <w:t>24</w:t>
      </w:r>
      <w:r w:rsidRPr="00FC6C8B">
        <w:rPr>
          <w:rFonts w:ascii="Book Antiqua" w:eastAsia="宋体" w:hAnsi="Book Antiqua" w:cs="宋体"/>
          <w:kern w:val="0"/>
          <w:sz w:val="24"/>
          <w:szCs w:val="24"/>
        </w:rPr>
        <w:t>: 4340-4348 [PMID: 15806150 DOI: 10.1038/sj.onc.1208628]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7 </w:t>
      </w:r>
      <w:r w:rsidRPr="00FC6C8B">
        <w:rPr>
          <w:rFonts w:ascii="Book Antiqua" w:eastAsia="宋体" w:hAnsi="Book Antiqua" w:cs="宋体"/>
          <w:b/>
          <w:bCs/>
          <w:kern w:val="0"/>
          <w:sz w:val="24"/>
          <w:szCs w:val="24"/>
        </w:rPr>
        <w:t>Wang J</w:t>
      </w:r>
      <w:r w:rsidRPr="00FC6C8B">
        <w:rPr>
          <w:rFonts w:ascii="Book Antiqua" w:eastAsia="宋体" w:hAnsi="Book Antiqua" w:cs="宋体"/>
          <w:kern w:val="0"/>
          <w:sz w:val="24"/>
          <w:szCs w:val="24"/>
        </w:rPr>
        <w:t>, Chenivesse X, Henglein B, Bréchot C. Hepatitis B virus integration in a cyclin A gene in a hepatocellular carcinoma. </w:t>
      </w:r>
      <w:r w:rsidRPr="00FC6C8B">
        <w:rPr>
          <w:rFonts w:ascii="Book Antiqua" w:eastAsia="宋体" w:hAnsi="Book Antiqua" w:cs="宋体"/>
          <w:i/>
          <w:iCs/>
          <w:kern w:val="0"/>
          <w:sz w:val="24"/>
          <w:szCs w:val="24"/>
        </w:rPr>
        <w:t>Nature</w:t>
      </w:r>
      <w:r w:rsidRPr="00FC6C8B">
        <w:rPr>
          <w:rFonts w:ascii="Book Antiqua" w:eastAsia="宋体" w:hAnsi="Book Antiqua" w:cs="宋体"/>
          <w:kern w:val="0"/>
          <w:sz w:val="24"/>
          <w:szCs w:val="24"/>
        </w:rPr>
        <w:t> 1990; </w:t>
      </w:r>
      <w:r w:rsidRPr="00FC6C8B">
        <w:rPr>
          <w:rFonts w:ascii="Book Antiqua" w:eastAsia="宋体" w:hAnsi="Book Antiqua" w:cs="宋体"/>
          <w:b/>
          <w:bCs/>
          <w:kern w:val="0"/>
          <w:sz w:val="24"/>
          <w:szCs w:val="24"/>
        </w:rPr>
        <w:t>343</w:t>
      </w:r>
      <w:r w:rsidRPr="00FC6C8B">
        <w:rPr>
          <w:rFonts w:ascii="Book Antiqua" w:eastAsia="宋体" w:hAnsi="Book Antiqua" w:cs="宋体"/>
          <w:kern w:val="0"/>
          <w:sz w:val="24"/>
          <w:szCs w:val="24"/>
        </w:rPr>
        <w:t>: 555-557 [PMID: 1967822 DOI: 10.1038/343555a0]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8 </w:t>
      </w:r>
      <w:r w:rsidRPr="00FC6C8B">
        <w:rPr>
          <w:rFonts w:ascii="Book Antiqua" w:eastAsia="宋体" w:hAnsi="Book Antiqua" w:cs="宋体"/>
          <w:b/>
          <w:bCs/>
          <w:kern w:val="0"/>
          <w:sz w:val="24"/>
          <w:szCs w:val="24"/>
        </w:rPr>
        <w:t>Balsano C</w:t>
      </w:r>
      <w:r w:rsidRPr="00FC6C8B">
        <w:rPr>
          <w:rFonts w:ascii="Book Antiqua" w:eastAsia="宋体" w:hAnsi="Book Antiqua" w:cs="宋体"/>
          <w:kern w:val="0"/>
          <w:sz w:val="24"/>
          <w:szCs w:val="24"/>
        </w:rPr>
        <w:t>, Avantaggiati ML, Natoli G, De Marzio E, Will H, Perricaudet M, Levrero M. Full-length and truncated versions of the hepatitis B virus (HBV) X protein (pX) transactivate the cmyc protooncogene at the transcriptional level. </w:t>
      </w:r>
      <w:r w:rsidRPr="00FC6C8B">
        <w:rPr>
          <w:rFonts w:ascii="Book Antiqua" w:eastAsia="宋体" w:hAnsi="Book Antiqua" w:cs="宋体"/>
          <w:i/>
          <w:iCs/>
          <w:kern w:val="0"/>
          <w:sz w:val="24"/>
          <w:szCs w:val="24"/>
        </w:rPr>
        <w:t>Biochem Biophys Res Commun</w:t>
      </w:r>
      <w:r w:rsidRPr="00FC6C8B">
        <w:rPr>
          <w:rFonts w:ascii="Book Antiqua" w:eastAsia="宋体" w:hAnsi="Book Antiqua" w:cs="宋体"/>
          <w:kern w:val="0"/>
          <w:sz w:val="24"/>
          <w:szCs w:val="24"/>
        </w:rPr>
        <w:t> 1991; </w:t>
      </w:r>
      <w:r w:rsidRPr="00FC6C8B">
        <w:rPr>
          <w:rFonts w:ascii="Book Antiqua" w:eastAsia="宋体" w:hAnsi="Book Antiqua" w:cs="宋体"/>
          <w:b/>
          <w:bCs/>
          <w:kern w:val="0"/>
          <w:sz w:val="24"/>
          <w:szCs w:val="24"/>
        </w:rPr>
        <w:t>176</w:t>
      </w:r>
      <w:r w:rsidRPr="00FC6C8B">
        <w:rPr>
          <w:rFonts w:ascii="Book Antiqua" w:eastAsia="宋体" w:hAnsi="Book Antiqua" w:cs="宋体"/>
          <w:kern w:val="0"/>
          <w:sz w:val="24"/>
          <w:szCs w:val="24"/>
        </w:rPr>
        <w:t>: 985-992 [PMID: 1645550 DOI: 10.1016/0006-291X(91)90379-L]</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9 </w:t>
      </w:r>
      <w:r w:rsidRPr="00FC6C8B">
        <w:rPr>
          <w:rFonts w:ascii="Book Antiqua" w:eastAsia="宋体" w:hAnsi="Book Antiqua" w:cs="宋体"/>
          <w:b/>
          <w:bCs/>
          <w:kern w:val="0"/>
          <w:sz w:val="24"/>
          <w:szCs w:val="24"/>
        </w:rPr>
        <w:t>Twu JS</w:t>
      </w:r>
      <w:r w:rsidRPr="00FC6C8B">
        <w:rPr>
          <w:rFonts w:ascii="Book Antiqua" w:eastAsia="宋体" w:hAnsi="Book Antiqua" w:cs="宋体"/>
          <w:kern w:val="0"/>
          <w:sz w:val="24"/>
          <w:szCs w:val="24"/>
        </w:rPr>
        <w:t>, Lai MY, Chen DS, Robinson WS. Activation of protooncogene c-jun by the X protein of hepatitis B virus. </w:t>
      </w:r>
      <w:r w:rsidRPr="00FC6C8B">
        <w:rPr>
          <w:rFonts w:ascii="Book Antiqua" w:eastAsia="宋体" w:hAnsi="Book Antiqua" w:cs="宋体"/>
          <w:i/>
          <w:iCs/>
          <w:kern w:val="0"/>
          <w:sz w:val="24"/>
          <w:szCs w:val="24"/>
        </w:rPr>
        <w:t>Virology</w:t>
      </w:r>
      <w:r w:rsidRPr="00FC6C8B">
        <w:rPr>
          <w:rFonts w:ascii="Book Antiqua" w:eastAsia="宋体" w:hAnsi="Book Antiqua" w:cs="宋体"/>
          <w:kern w:val="0"/>
          <w:sz w:val="24"/>
          <w:szCs w:val="24"/>
        </w:rPr>
        <w:t> 1993; </w:t>
      </w:r>
      <w:r w:rsidRPr="00FC6C8B">
        <w:rPr>
          <w:rFonts w:ascii="Book Antiqua" w:eastAsia="宋体" w:hAnsi="Book Antiqua" w:cs="宋体"/>
          <w:b/>
          <w:bCs/>
          <w:kern w:val="0"/>
          <w:sz w:val="24"/>
          <w:szCs w:val="24"/>
        </w:rPr>
        <w:t>192</w:t>
      </w:r>
      <w:r w:rsidRPr="00FC6C8B">
        <w:rPr>
          <w:rFonts w:ascii="Book Antiqua" w:eastAsia="宋体" w:hAnsi="Book Antiqua" w:cs="宋体"/>
          <w:kern w:val="0"/>
          <w:sz w:val="24"/>
          <w:szCs w:val="24"/>
        </w:rPr>
        <w:t>: 346-350 [PMID: 8390762 DOI: 10.1006/viro.1993.1041]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10 </w:t>
      </w:r>
      <w:r w:rsidRPr="00FC6C8B">
        <w:rPr>
          <w:rFonts w:ascii="Book Antiqua" w:eastAsia="宋体" w:hAnsi="Book Antiqua" w:cs="宋体"/>
          <w:b/>
          <w:bCs/>
          <w:kern w:val="0"/>
          <w:sz w:val="24"/>
          <w:szCs w:val="24"/>
        </w:rPr>
        <w:t>Chirillo P</w:t>
      </w:r>
      <w:r w:rsidRPr="00FC6C8B">
        <w:rPr>
          <w:rFonts w:ascii="Book Antiqua" w:eastAsia="宋体" w:hAnsi="Book Antiqua" w:cs="宋体"/>
          <w:kern w:val="0"/>
          <w:sz w:val="24"/>
          <w:szCs w:val="24"/>
        </w:rPr>
        <w:t>, Falco M, Puri PL, Artini M, Balsano C, Levrero M, Natoli G. Hepatitis B virus pX activates NF-kappa B-dependent transcription through a Raf-independent pathway. </w:t>
      </w:r>
      <w:r w:rsidRPr="00FC6C8B">
        <w:rPr>
          <w:rFonts w:ascii="Book Antiqua" w:eastAsia="宋体" w:hAnsi="Book Antiqua" w:cs="宋体"/>
          <w:i/>
          <w:iCs/>
          <w:kern w:val="0"/>
          <w:sz w:val="24"/>
          <w:szCs w:val="24"/>
        </w:rPr>
        <w:t>J Virol</w:t>
      </w:r>
      <w:r w:rsidRPr="00FC6C8B">
        <w:rPr>
          <w:rFonts w:ascii="Book Antiqua" w:eastAsia="宋体" w:hAnsi="Book Antiqua" w:cs="宋体"/>
          <w:kern w:val="0"/>
          <w:sz w:val="24"/>
          <w:szCs w:val="24"/>
        </w:rPr>
        <w:t> 1996; </w:t>
      </w:r>
      <w:r w:rsidRPr="00FC6C8B">
        <w:rPr>
          <w:rFonts w:ascii="Book Antiqua" w:eastAsia="宋体" w:hAnsi="Book Antiqua" w:cs="宋体"/>
          <w:b/>
          <w:bCs/>
          <w:kern w:val="0"/>
          <w:sz w:val="24"/>
          <w:szCs w:val="24"/>
        </w:rPr>
        <w:t>70</w:t>
      </w:r>
      <w:r w:rsidRPr="00FC6C8B">
        <w:rPr>
          <w:rFonts w:ascii="Book Antiqua" w:eastAsia="宋体" w:hAnsi="Book Antiqua" w:cs="宋体"/>
          <w:kern w:val="0"/>
          <w:sz w:val="24"/>
          <w:szCs w:val="24"/>
        </w:rPr>
        <w:t>: 641-646 [PMID: 8523586]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11 </w:t>
      </w:r>
      <w:r w:rsidRPr="00FC6C8B">
        <w:rPr>
          <w:rFonts w:ascii="Book Antiqua" w:eastAsia="宋体" w:hAnsi="Book Antiqua" w:cs="宋体"/>
          <w:b/>
          <w:bCs/>
          <w:kern w:val="0"/>
          <w:sz w:val="24"/>
          <w:szCs w:val="24"/>
        </w:rPr>
        <w:t>Andrisani OM</w:t>
      </w:r>
      <w:r w:rsidRPr="00FC6C8B">
        <w:rPr>
          <w:rFonts w:ascii="Book Antiqua" w:eastAsia="宋体" w:hAnsi="Book Antiqua" w:cs="宋体"/>
          <w:kern w:val="0"/>
          <w:sz w:val="24"/>
          <w:szCs w:val="24"/>
        </w:rPr>
        <w:t>, Barnabas S. The transcriptional function of the hepatitis B virus X protein and its role in hepatocarcinogenesis (Review). </w:t>
      </w:r>
      <w:r w:rsidRPr="00FC6C8B">
        <w:rPr>
          <w:rFonts w:ascii="Book Antiqua" w:eastAsia="宋体" w:hAnsi="Book Antiqua" w:cs="宋体"/>
          <w:i/>
          <w:iCs/>
          <w:kern w:val="0"/>
          <w:sz w:val="24"/>
          <w:szCs w:val="24"/>
        </w:rPr>
        <w:t>Int J Oncol</w:t>
      </w:r>
      <w:r w:rsidRPr="00FC6C8B">
        <w:rPr>
          <w:rFonts w:ascii="Book Antiqua" w:eastAsia="宋体" w:hAnsi="Book Antiqua" w:cs="宋体"/>
          <w:kern w:val="0"/>
          <w:sz w:val="24"/>
          <w:szCs w:val="24"/>
        </w:rPr>
        <w:t> 1999; </w:t>
      </w:r>
      <w:r w:rsidRPr="00FC6C8B">
        <w:rPr>
          <w:rFonts w:ascii="Book Antiqua" w:eastAsia="宋体" w:hAnsi="Book Antiqua" w:cs="宋体"/>
          <w:b/>
          <w:bCs/>
          <w:kern w:val="0"/>
          <w:sz w:val="24"/>
          <w:szCs w:val="24"/>
        </w:rPr>
        <w:t>15</w:t>
      </w:r>
      <w:r w:rsidRPr="00FC6C8B">
        <w:rPr>
          <w:rFonts w:ascii="Book Antiqua" w:eastAsia="宋体" w:hAnsi="Book Antiqua" w:cs="宋体"/>
          <w:kern w:val="0"/>
          <w:sz w:val="24"/>
          <w:szCs w:val="24"/>
        </w:rPr>
        <w:t>: 373-379 [PMID: 10402250]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12 </w:t>
      </w:r>
      <w:r w:rsidRPr="00FC6C8B">
        <w:rPr>
          <w:rFonts w:ascii="Book Antiqua" w:eastAsia="宋体" w:hAnsi="Book Antiqua" w:cs="宋体"/>
          <w:b/>
          <w:bCs/>
          <w:kern w:val="0"/>
          <w:sz w:val="24"/>
          <w:szCs w:val="24"/>
        </w:rPr>
        <w:t>Lee YH</w:t>
      </w:r>
      <w:r w:rsidRPr="00FC6C8B">
        <w:rPr>
          <w:rFonts w:ascii="Book Antiqua" w:eastAsia="宋体" w:hAnsi="Book Antiqua" w:cs="宋体"/>
          <w:kern w:val="0"/>
          <w:sz w:val="24"/>
          <w:szCs w:val="24"/>
        </w:rPr>
        <w:t>, Yun Y. HBx protein of hepatitis B virus activates Jak1-STAT signaling. </w:t>
      </w:r>
      <w:r w:rsidRPr="00FC6C8B">
        <w:rPr>
          <w:rFonts w:ascii="Book Antiqua" w:eastAsia="宋体" w:hAnsi="Book Antiqua" w:cs="宋体"/>
          <w:i/>
          <w:iCs/>
          <w:kern w:val="0"/>
          <w:sz w:val="24"/>
          <w:szCs w:val="24"/>
        </w:rPr>
        <w:t>J Biol Chem</w:t>
      </w:r>
      <w:r w:rsidRPr="00FC6C8B">
        <w:rPr>
          <w:rFonts w:ascii="Book Antiqua" w:eastAsia="宋体" w:hAnsi="Book Antiqua" w:cs="宋体"/>
          <w:kern w:val="0"/>
          <w:sz w:val="24"/>
          <w:szCs w:val="24"/>
        </w:rPr>
        <w:t> 1998; </w:t>
      </w:r>
      <w:r w:rsidRPr="00FC6C8B">
        <w:rPr>
          <w:rFonts w:ascii="Book Antiqua" w:eastAsia="宋体" w:hAnsi="Book Antiqua" w:cs="宋体"/>
          <w:b/>
          <w:bCs/>
          <w:kern w:val="0"/>
          <w:sz w:val="24"/>
          <w:szCs w:val="24"/>
        </w:rPr>
        <w:t>273</w:t>
      </w:r>
      <w:r w:rsidRPr="00FC6C8B">
        <w:rPr>
          <w:rFonts w:ascii="Book Antiqua" w:eastAsia="宋体" w:hAnsi="Book Antiqua" w:cs="宋体"/>
          <w:kern w:val="0"/>
          <w:sz w:val="24"/>
          <w:szCs w:val="24"/>
        </w:rPr>
        <w:t>: 25510-25515 [PMID: 9738022 DOI: 10.1074/jbc.273.39.25510]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13 </w:t>
      </w:r>
      <w:r w:rsidRPr="00FC6C8B">
        <w:rPr>
          <w:rFonts w:ascii="Book Antiqua" w:eastAsia="宋体" w:hAnsi="Book Antiqua" w:cs="宋体"/>
          <w:b/>
          <w:bCs/>
          <w:kern w:val="0"/>
          <w:sz w:val="24"/>
          <w:szCs w:val="24"/>
        </w:rPr>
        <w:t>Benn J</w:t>
      </w:r>
      <w:r w:rsidRPr="00FC6C8B">
        <w:rPr>
          <w:rFonts w:ascii="Book Antiqua" w:eastAsia="宋体" w:hAnsi="Book Antiqua" w:cs="宋体"/>
          <w:kern w:val="0"/>
          <w:sz w:val="24"/>
          <w:szCs w:val="24"/>
        </w:rPr>
        <w:t>, Schneider RJ. Hepatitis B virus HBx protein activates Ras-GTP complex formation and establishes a Ras, Raf, MAP kinase signaling cascade. </w:t>
      </w:r>
      <w:r w:rsidRPr="00FC6C8B">
        <w:rPr>
          <w:rFonts w:ascii="Book Antiqua" w:eastAsia="宋体" w:hAnsi="Book Antiqua" w:cs="宋体"/>
          <w:i/>
          <w:iCs/>
          <w:kern w:val="0"/>
          <w:sz w:val="24"/>
          <w:szCs w:val="24"/>
        </w:rPr>
        <w:t>Proc Natl Acad Sci U S A</w:t>
      </w:r>
      <w:r w:rsidRPr="00FC6C8B">
        <w:rPr>
          <w:rFonts w:ascii="Book Antiqua" w:eastAsia="宋体" w:hAnsi="Book Antiqua" w:cs="宋体"/>
          <w:kern w:val="0"/>
          <w:sz w:val="24"/>
          <w:szCs w:val="24"/>
        </w:rPr>
        <w:t> 1994; </w:t>
      </w:r>
      <w:r w:rsidRPr="00FC6C8B">
        <w:rPr>
          <w:rFonts w:ascii="Book Antiqua" w:eastAsia="宋体" w:hAnsi="Book Antiqua" w:cs="宋体"/>
          <w:b/>
          <w:bCs/>
          <w:kern w:val="0"/>
          <w:sz w:val="24"/>
          <w:szCs w:val="24"/>
        </w:rPr>
        <w:t>91</w:t>
      </w:r>
      <w:r w:rsidRPr="00FC6C8B">
        <w:rPr>
          <w:rFonts w:ascii="Book Antiqua" w:eastAsia="宋体" w:hAnsi="Book Antiqua" w:cs="宋体"/>
          <w:kern w:val="0"/>
          <w:sz w:val="24"/>
          <w:szCs w:val="24"/>
        </w:rPr>
        <w:t>: 10350-10354 [PMID: 7937954 DOI: 10.1073/pnas.91.22.10350]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14 </w:t>
      </w:r>
      <w:r w:rsidRPr="00FC6C8B">
        <w:rPr>
          <w:rFonts w:ascii="Book Antiqua" w:eastAsia="宋体" w:hAnsi="Book Antiqua" w:cs="宋体"/>
          <w:b/>
          <w:bCs/>
          <w:kern w:val="0"/>
          <w:sz w:val="24"/>
          <w:szCs w:val="24"/>
        </w:rPr>
        <w:t>Cha MY</w:t>
      </w:r>
      <w:r w:rsidRPr="00FC6C8B">
        <w:rPr>
          <w:rFonts w:ascii="Book Antiqua" w:eastAsia="宋体" w:hAnsi="Book Antiqua" w:cs="宋体"/>
          <w:kern w:val="0"/>
          <w:sz w:val="24"/>
          <w:szCs w:val="24"/>
        </w:rPr>
        <w:t>, Kim CM, Park YM, Ryu WS. Hepatitis B virus X protein is essential for the activation of Wnt/beta-catenin signaling in hepatoma cells.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2004; </w:t>
      </w:r>
      <w:r w:rsidRPr="00FC6C8B">
        <w:rPr>
          <w:rFonts w:ascii="Book Antiqua" w:eastAsia="宋体" w:hAnsi="Book Antiqua" w:cs="宋体"/>
          <w:b/>
          <w:bCs/>
          <w:kern w:val="0"/>
          <w:sz w:val="24"/>
          <w:szCs w:val="24"/>
        </w:rPr>
        <w:t>39</w:t>
      </w:r>
      <w:r w:rsidRPr="00FC6C8B">
        <w:rPr>
          <w:rFonts w:ascii="Book Antiqua" w:eastAsia="宋体" w:hAnsi="Book Antiqua" w:cs="宋体"/>
          <w:kern w:val="0"/>
          <w:sz w:val="24"/>
          <w:szCs w:val="24"/>
        </w:rPr>
        <w:t>: 1683-1693 [PMID: 15185310 DOI: 10.1002/hep.20245]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15 </w:t>
      </w:r>
      <w:r w:rsidRPr="00FC6C8B">
        <w:rPr>
          <w:rFonts w:ascii="Book Antiqua" w:eastAsia="宋体" w:hAnsi="Book Antiqua" w:cs="宋体"/>
          <w:b/>
          <w:bCs/>
          <w:kern w:val="0"/>
          <w:sz w:val="24"/>
          <w:szCs w:val="24"/>
        </w:rPr>
        <w:t>Yamanaka T</w:t>
      </w:r>
      <w:r w:rsidRPr="00FC6C8B">
        <w:rPr>
          <w:rFonts w:ascii="Book Antiqua" w:eastAsia="宋体" w:hAnsi="Book Antiqua" w:cs="宋体"/>
          <w:kern w:val="0"/>
          <w:sz w:val="24"/>
          <w:szCs w:val="24"/>
        </w:rPr>
        <w:t>, Kodama T, Doi T. Subcellular localization of HCV core protein regulates its ability for p53 activation and p21 suppression. </w:t>
      </w:r>
      <w:r w:rsidRPr="00FC6C8B">
        <w:rPr>
          <w:rFonts w:ascii="Book Antiqua" w:eastAsia="宋体" w:hAnsi="Book Antiqua" w:cs="宋体"/>
          <w:i/>
          <w:iCs/>
          <w:kern w:val="0"/>
          <w:sz w:val="24"/>
          <w:szCs w:val="24"/>
        </w:rPr>
        <w:t>Biochem Biophys Res Commun</w:t>
      </w:r>
      <w:r w:rsidRPr="00FC6C8B">
        <w:rPr>
          <w:rFonts w:ascii="Book Antiqua" w:eastAsia="宋体" w:hAnsi="Book Antiqua" w:cs="宋体"/>
          <w:kern w:val="0"/>
          <w:sz w:val="24"/>
          <w:szCs w:val="24"/>
        </w:rPr>
        <w:t> 2002; </w:t>
      </w:r>
      <w:r w:rsidRPr="00FC6C8B">
        <w:rPr>
          <w:rFonts w:ascii="Book Antiqua" w:eastAsia="宋体" w:hAnsi="Book Antiqua" w:cs="宋体"/>
          <w:b/>
          <w:bCs/>
          <w:kern w:val="0"/>
          <w:sz w:val="24"/>
          <w:szCs w:val="24"/>
        </w:rPr>
        <w:t>294</w:t>
      </w:r>
      <w:r w:rsidRPr="00FC6C8B">
        <w:rPr>
          <w:rFonts w:ascii="Book Antiqua" w:eastAsia="宋体" w:hAnsi="Book Antiqua" w:cs="宋体"/>
          <w:kern w:val="0"/>
          <w:sz w:val="24"/>
          <w:szCs w:val="24"/>
        </w:rPr>
        <w:t>: 528-534 [PMID: 12056798 DOI: 10.1016/S0006-291X(02)00508-9]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16 </w:t>
      </w:r>
      <w:r w:rsidRPr="00FC6C8B">
        <w:rPr>
          <w:rFonts w:ascii="Book Antiqua" w:eastAsia="宋体" w:hAnsi="Book Antiqua" w:cs="宋体"/>
          <w:b/>
          <w:bCs/>
          <w:kern w:val="0"/>
          <w:sz w:val="24"/>
          <w:szCs w:val="24"/>
        </w:rPr>
        <w:t>Fukutomi T</w:t>
      </w:r>
      <w:r w:rsidRPr="00FC6C8B">
        <w:rPr>
          <w:rFonts w:ascii="Book Antiqua" w:eastAsia="宋体" w:hAnsi="Book Antiqua" w:cs="宋体"/>
          <w:kern w:val="0"/>
          <w:sz w:val="24"/>
          <w:szCs w:val="24"/>
        </w:rPr>
        <w:t>, Zhou Y, Kawai S, Eguchi H, Wands JR, Li J. Hepatitis C virus core protein stimulates hepatocyte growth: correlation with upregulation of wnt-1 expression.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2005; </w:t>
      </w:r>
      <w:r w:rsidRPr="00FC6C8B">
        <w:rPr>
          <w:rFonts w:ascii="Book Antiqua" w:eastAsia="宋体" w:hAnsi="Book Antiqua" w:cs="宋体"/>
          <w:b/>
          <w:bCs/>
          <w:kern w:val="0"/>
          <w:sz w:val="24"/>
          <w:szCs w:val="24"/>
        </w:rPr>
        <w:t>41</w:t>
      </w:r>
      <w:r w:rsidRPr="00FC6C8B">
        <w:rPr>
          <w:rFonts w:ascii="Book Antiqua" w:eastAsia="宋体" w:hAnsi="Book Antiqua" w:cs="宋体"/>
          <w:kern w:val="0"/>
          <w:sz w:val="24"/>
          <w:szCs w:val="24"/>
        </w:rPr>
        <w:t>: 1096-1105 [PMID: 15841445 DOI: 10.1002/hep.20668]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17 </w:t>
      </w:r>
      <w:r w:rsidRPr="00FC6C8B">
        <w:rPr>
          <w:rFonts w:ascii="Book Antiqua" w:eastAsia="宋体" w:hAnsi="Book Antiqua" w:cs="宋体"/>
          <w:b/>
          <w:bCs/>
          <w:kern w:val="0"/>
          <w:sz w:val="24"/>
          <w:szCs w:val="24"/>
        </w:rPr>
        <w:t>Florese RH</w:t>
      </w:r>
      <w:r w:rsidRPr="00FC6C8B">
        <w:rPr>
          <w:rFonts w:ascii="Book Antiqua" w:eastAsia="宋体" w:hAnsi="Book Antiqua" w:cs="宋体"/>
          <w:kern w:val="0"/>
          <w:sz w:val="24"/>
          <w:szCs w:val="24"/>
        </w:rPr>
        <w:t>, Nagano-Fujii M, Iwanaga Y, Hidajat R, Hotta H. Inhibition of protein synthesis by the nonstructural proteins NS4A and NS4B of hepatitis C virus. </w:t>
      </w:r>
      <w:r w:rsidRPr="00FC6C8B">
        <w:rPr>
          <w:rFonts w:ascii="Book Antiqua" w:eastAsia="宋体" w:hAnsi="Book Antiqua" w:cs="宋体"/>
          <w:i/>
          <w:iCs/>
          <w:kern w:val="0"/>
          <w:sz w:val="24"/>
          <w:szCs w:val="24"/>
        </w:rPr>
        <w:t>Virus Res</w:t>
      </w:r>
      <w:r w:rsidRPr="00FC6C8B">
        <w:rPr>
          <w:rFonts w:ascii="Book Antiqua" w:eastAsia="宋体" w:hAnsi="Book Antiqua" w:cs="宋体"/>
          <w:kern w:val="0"/>
          <w:sz w:val="24"/>
          <w:szCs w:val="24"/>
        </w:rPr>
        <w:t> 2002; </w:t>
      </w:r>
      <w:r w:rsidRPr="00FC6C8B">
        <w:rPr>
          <w:rFonts w:ascii="Book Antiqua" w:eastAsia="宋体" w:hAnsi="Book Antiqua" w:cs="宋体"/>
          <w:b/>
          <w:bCs/>
          <w:kern w:val="0"/>
          <w:sz w:val="24"/>
          <w:szCs w:val="24"/>
        </w:rPr>
        <w:t>90</w:t>
      </w:r>
      <w:r w:rsidRPr="00FC6C8B">
        <w:rPr>
          <w:rFonts w:ascii="Book Antiqua" w:eastAsia="宋体" w:hAnsi="Book Antiqua" w:cs="宋体"/>
          <w:kern w:val="0"/>
          <w:sz w:val="24"/>
          <w:szCs w:val="24"/>
        </w:rPr>
        <w:t>: 119-131 [PMID: 12457968 DOI: 10.1016/S0168-1702(02)00146-6]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18 </w:t>
      </w:r>
      <w:r w:rsidRPr="00FC6C8B">
        <w:rPr>
          <w:rFonts w:ascii="Book Antiqua" w:eastAsia="宋体" w:hAnsi="Book Antiqua" w:cs="宋体"/>
          <w:b/>
          <w:bCs/>
          <w:kern w:val="0"/>
          <w:sz w:val="24"/>
          <w:szCs w:val="24"/>
        </w:rPr>
        <w:t>Terasaki S</w:t>
      </w:r>
      <w:r w:rsidRPr="00FC6C8B">
        <w:rPr>
          <w:rFonts w:ascii="Book Antiqua" w:eastAsia="宋体" w:hAnsi="Book Antiqua" w:cs="宋体"/>
          <w:kern w:val="0"/>
          <w:sz w:val="24"/>
          <w:szCs w:val="24"/>
        </w:rPr>
        <w:t>, Kaneko S, Kobayashi K, Nonomura A, Nakanuma Y. Histological features predicting malignant transformation of nonmalignant hepatocellular nodules: a prospective study. </w:t>
      </w:r>
      <w:r w:rsidRPr="00FC6C8B">
        <w:rPr>
          <w:rFonts w:ascii="Book Antiqua" w:eastAsia="宋体" w:hAnsi="Book Antiqua" w:cs="宋体"/>
          <w:i/>
          <w:iCs/>
          <w:kern w:val="0"/>
          <w:sz w:val="24"/>
          <w:szCs w:val="24"/>
        </w:rPr>
        <w:t>Gastroenterology</w:t>
      </w:r>
      <w:r w:rsidRPr="00FC6C8B">
        <w:rPr>
          <w:rFonts w:ascii="Book Antiqua" w:eastAsia="宋体" w:hAnsi="Book Antiqua" w:cs="宋体"/>
          <w:kern w:val="0"/>
          <w:sz w:val="24"/>
          <w:szCs w:val="24"/>
        </w:rPr>
        <w:t> 1998; </w:t>
      </w:r>
      <w:r w:rsidRPr="00FC6C8B">
        <w:rPr>
          <w:rFonts w:ascii="Book Antiqua" w:eastAsia="宋体" w:hAnsi="Book Antiqua" w:cs="宋体"/>
          <w:b/>
          <w:bCs/>
          <w:kern w:val="0"/>
          <w:sz w:val="24"/>
          <w:szCs w:val="24"/>
        </w:rPr>
        <w:t>115</w:t>
      </w:r>
      <w:r w:rsidRPr="00FC6C8B">
        <w:rPr>
          <w:rFonts w:ascii="Book Antiqua" w:eastAsia="宋体" w:hAnsi="Book Antiqua" w:cs="宋体"/>
          <w:kern w:val="0"/>
          <w:sz w:val="24"/>
          <w:szCs w:val="24"/>
        </w:rPr>
        <w:t>: 1216-1222 [PMID: 9797377 DOI: 10.1016/S0016-5085(98)70093-9]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19 </w:t>
      </w:r>
      <w:r w:rsidRPr="00FC6C8B">
        <w:rPr>
          <w:rFonts w:ascii="Book Antiqua" w:eastAsia="宋体" w:hAnsi="Book Antiqua" w:cs="宋体"/>
          <w:b/>
          <w:bCs/>
          <w:kern w:val="0"/>
          <w:sz w:val="24"/>
          <w:szCs w:val="24"/>
        </w:rPr>
        <w:t>Avila MA</w:t>
      </w:r>
      <w:r w:rsidRPr="00FC6C8B">
        <w:rPr>
          <w:rFonts w:ascii="Book Antiqua" w:eastAsia="宋体" w:hAnsi="Book Antiqua" w:cs="宋体"/>
          <w:kern w:val="0"/>
          <w:sz w:val="24"/>
          <w:szCs w:val="24"/>
        </w:rPr>
        <w:t>, Berasain C, Sangro B, Prieto J. New therapies for hepatocellular carcinoma. </w:t>
      </w:r>
      <w:r w:rsidRPr="00FC6C8B">
        <w:rPr>
          <w:rFonts w:ascii="Book Antiqua" w:eastAsia="宋体" w:hAnsi="Book Antiqua" w:cs="宋体"/>
          <w:i/>
          <w:iCs/>
          <w:kern w:val="0"/>
          <w:sz w:val="24"/>
          <w:szCs w:val="24"/>
        </w:rPr>
        <w:t>Oncogene</w:t>
      </w:r>
      <w:r w:rsidRPr="00FC6C8B">
        <w:rPr>
          <w:rFonts w:ascii="Book Antiqua" w:eastAsia="宋体" w:hAnsi="Book Antiqua" w:cs="宋体"/>
          <w:kern w:val="0"/>
          <w:sz w:val="24"/>
          <w:szCs w:val="24"/>
        </w:rPr>
        <w:t> 2006; </w:t>
      </w:r>
      <w:r w:rsidRPr="00FC6C8B">
        <w:rPr>
          <w:rFonts w:ascii="Book Antiqua" w:eastAsia="宋体" w:hAnsi="Book Antiqua" w:cs="宋体"/>
          <w:b/>
          <w:bCs/>
          <w:kern w:val="0"/>
          <w:sz w:val="24"/>
          <w:szCs w:val="24"/>
        </w:rPr>
        <w:t>25</w:t>
      </w:r>
      <w:r w:rsidRPr="00FC6C8B">
        <w:rPr>
          <w:rFonts w:ascii="Book Antiqua" w:eastAsia="宋体" w:hAnsi="Book Antiqua" w:cs="宋体"/>
          <w:kern w:val="0"/>
          <w:sz w:val="24"/>
          <w:szCs w:val="24"/>
        </w:rPr>
        <w:t>: 3866-3884 [PMID: 16799628 DOI: 10.1038/sj.onc.1209550]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20 </w:t>
      </w:r>
      <w:r w:rsidRPr="00FC6C8B">
        <w:rPr>
          <w:rFonts w:ascii="Book Antiqua" w:eastAsia="宋体" w:hAnsi="Book Antiqua" w:cs="宋体"/>
          <w:b/>
          <w:bCs/>
          <w:kern w:val="0"/>
          <w:sz w:val="24"/>
          <w:szCs w:val="24"/>
        </w:rPr>
        <w:t>Kolch W</w:t>
      </w:r>
      <w:r w:rsidRPr="00FC6C8B">
        <w:rPr>
          <w:rFonts w:ascii="Book Antiqua" w:eastAsia="宋体" w:hAnsi="Book Antiqua" w:cs="宋体"/>
          <w:kern w:val="0"/>
          <w:sz w:val="24"/>
          <w:szCs w:val="24"/>
        </w:rPr>
        <w:t>. Meaningful relationships: the regulation of the Ras/Raf/MEK/ERK pathway by protein interactions. </w:t>
      </w:r>
      <w:r w:rsidRPr="00FC6C8B">
        <w:rPr>
          <w:rFonts w:ascii="Book Antiqua" w:eastAsia="宋体" w:hAnsi="Book Antiqua" w:cs="宋体"/>
          <w:i/>
          <w:iCs/>
          <w:kern w:val="0"/>
          <w:sz w:val="24"/>
          <w:szCs w:val="24"/>
        </w:rPr>
        <w:t>Biochem J</w:t>
      </w:r>
      <w:r w:rsidRPr="00FC6C8B">
        <w:rPr>
          <w:rFonts w:ascii="Book Antiqua" w:eastAsia="宋体" w:hAnsi="Book Antiqua" w:cs="宋体"/>
          <w:kern w:val="0"/>
          <w:sz w:val="24"/>
          <w:szCs w:val="24"/>
        </w:rPr>
        <w:t> 2000; </w:t>
      </w:r>
      <w:r w:rsidRPr="00FC6C8B">
        <w:rPr>
          <w:rFonts w:ascii="Book Antiqua" w:eastAsia="宋体" w:hAnsi="Book Antiqua" w:cs="宋体"/>
          <w:b/>
          <w:bCs/>
          <w:kern w:val="0"/>
          <w:sz w:val="24"/>
          <w:szCs w:val="24"/>
        </w:rPr>
        <w:t xml:space="preserve">351 </w:t>
      </w:r>
      <w:r w:rsidRPr="00FC6C8B">
        <w:rPr>
          <w:rFonts w:ascii="Book Antiqua" w:eastAsia="宋体" w:hAnsi="Book Antiqua" w:cs="宋体"/>
          <w:bCs/>
          <w:kern w:val="0"/>
          <w:sz w:val="24"/>
          <w:szCs w:val="24"/>
        </w:rPr>
        <w:t>Pt 2</w:t>
      </w:r>
      <w:r w:rsidRPr="00FC6C8B">
        <w:rPr>
          <w:rFonts w:ascii="Book Antiqua" w:eastAsia="宋体" w:hAnsi="Book Antiqua" w:cs="宋体"/>
          <w:kern w:val="0"/>
          <w:sz w:val="24"/>
          <w:szCs w:val="24"/>
        </w:rPr>
        <w:t>: 289-305 [PMID: 11023813 DOI: 10.1042/0264-6021: 3510289]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21 </w:t>
      </w:r>
      <w:r w:rsidRPr="00FC6C8B">
        <w:rPr>
          <w:rFonts w:ascii="Book Antiqua" w:eastAsia="宋体" w:hAnsi="Book Antiqua" w:cs="宋体"/>
          <w:b/>
          <w:bCs/>
          <w:kern w:val="0"/>
          <w:sz w:val="24"/>
          <w:szCs w:val="24"/>
        </w:rPr>
        <w:t>Roberts LR</w:t>
      </w:r>
      <w:r w:rsidRPr="00FC6C8B">
        <w:rPr>
          <w:rFonts w:ascii="Book Antiqua" w:eastAsia="宋体" w:hAnsi="Book Antiqua" w:cs="宋体"/>
          <w:kern w:val="0"/>
          <w:sz w:val="24"/>
          <w:szCs w:val="24"/>
        </w:rPr>
        <w:t>, Gores GJ. Hepatocellular carcinoma: molecular pathways and new therapeutic targets. </w:t>
      </w:r>
      <w:r w:rsidRPr="00FC6C8B">
        <w:rPr>
          <w:rFonts w:ascii="Book Antiqua" w:eastAsia="宋体" w:hAnsi="Book Antiqua" w:cs="宋体"/>
          <w:i/>
          <w:iCs/>
          <w:kern w:val="0"/>
          <w:sz w:val="24"/>
          <w:szCs w:val="24"/>
        </w:rPr>
        <w:t>Semin Liver Dis</w:t>
      </w:r>
      <w:r w:rsidRPr="00FC6C8B">
        <w:rPr>
          <w:rFonts w:ascii="Book Antiqua" w:eastAsia="宋体" w:hAnsi="Book Antiqua" w:cs="宋体"/>
          <w:kern w:val="0"/>
          <w:sz w:val="24"/>
          <w:szCs w:val="24"/>
        </w:rPr>
        <w:t> 2005; </w:t>
      </w:r>
      <w:r w:rsidRPr="00FC6C8B">
        <w:rPr>
          <w:rFonts w:ascii="Book Antiqua" w:eastAsia="宋体" w:hAnsi="Book Antiqua" w:cs="宋体"/>
          <w:b/>
          <w:bCs/>
          <w:kern w:val="0"/>
          <w:sz w:val="24"/>
          <w:szCs w:val="24"/>
        </w:rPr>
        <w:t>25</w:t>
      </w:r>
      <w:r w:rsidRPr="00FC6C8B">
        <w:rPr>
          <w:rFonts w:ascii="Book Antiqua" w:eastAsia="宋体" w:hAnsi="Book Antiqua" w:cs="宋体"/>
          <w:kern w:val="0"/>
          <w:sz w:val="24"/>
          <w:szCs w:val="24"/>
        </w:rPr>
        <w:t>: 212-225 [PMID: 15918149 DOI: 10.1055/s-2005-871200]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22 </w:t>
      </w:r>
      <w:r w:rsidRPr="00FC6C8B">
        <w:rPr>
          <w:rFonts w:ascii="Book Antiqua" w:eastAsia="宋体" w:hAnsi="Book Antiqua" w:cs="宋体"/>
          <w:b/>
          <w:bCs/>
          <w:kern w:val="0"/>
          <w:sz w:val="24"/>
          <w:szCs w:val="24"/>
        </w:rPr>
        <w:t>Harden TK</w:t>
      </w:r>
      <w:r w:rsidRPr="00FC6C8B">
        <w:rPr>
          <w:rFonts w:ascii="Book Antiqua" w:eastAsia="宋体" w:hAnsi="Book Antiqua" w:cs="宋体"/>
          <w:kern w:val="0"/>
          <w:sz w:val="24"/>
          <w:szCs w:val="24"/>
        </w:rPr>
        <w:t>, Sondek J. Regulation of phospholipase C isozymes by ras superfamily GTPases. </w:t>
      </w:r>
      <w:r w:rsidRPr="00FC6C8B">
        <w:rPr>
          <w:rFonts w:ascii="Book Antiqua" w:eastAsia="宋体" w:hAnsi="Book Antiqua" w:cs="宋体"/>
          <w:i/>
          <w:iCs/>
          <w:kern w:val="0"/>
          <w:sz w:val="24"/>
          <w:szCs w:val="24"/>
        </w:rPr>
        <w:t>Annu Rev Pharmacol Toxicol</w:t>
      </w:r>
      <w:r w:rsidRPr="00FC6C8B">
        <w:rPr>
          <w:rFonts w:ascii="Book Antiqua" w:eastAsia="宋体" w:hAnsi="Book Antiqua" w:cs="宋体"/>
          <w:kern w:val="0"/>
          <w:sz w:val="24"/>
          <w:szCs w:val="24"/>
        </w:rPr>
        <w:t> 2006; </w:t>
      </w:r>
      <w:r w:rsidRPr="00FC6C8B">
        <w:rPr>
          <w:rFonts w:ascii="Book Antiqua" w:eastAsia="宋体" w:hAnsi="Book Antiqua" w:cs="宋体"/>
          <w:b/>
          <w:bCs/>
          <w:kern w:val="0"/>
          <w:sz w:val="24"/>
          <w:szCs w:val="24"/>
        </w:rPr>
        <w:t>46</w:t>
      </w:r>
      <w:r w:rsidRPr="00FC6C8B">
        <w:rPr>
          <w:rFonts w:ascii="Book Antiqua" w:eastAsia="宋体" w:hAnsi="Book Antiqua" w:cs="宋体"/>
          <w:kern w:val="0"/>
          <w:sz w:val="24"/>
          <w:szCs w:val="24"/>
        </w:rPr>
        <w:t>: 355-379 [PMID: 16402909 DOI: 10.1146/annurev.pharmtox.46.120604.141223]</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23 </w:t>
      </w:r>
      <w:r w:rsidRPr="00FC6C8B">
        <w:rPr>
          <w:rFonts w:ascii="Book Antiqua" w:eastAsia="宋体" w:hAnsi="Book Antiqua" w:cs="宋体"/>
          <w:b/>
          <w:bCs/>
          <w:kern w:val="0"/>
          <w:sz w:val="24"/>
          <w:szCs w:val="24"/>
        </w:rPr>
        <w:t>To MD</w:t>
      </w:r>
      <w:r w:rsidRPr="00FC6C8B">
        <w:rPr>
          <w:rFonts w:ascii="Book Antiqua" w:eastAsia="宋体" w:hAnsi="Book Antiqua" w:cs="宋体"/>
          <w:kern w:val="0"/>
          <w:sz w:val="24"/>
          <w:szCs w:val="24"/>
        </w:rPr>
        <w:t>, Perez-Losada J, Mao JH, Balmain A. Crosstalk between Pten and Ras signaling pathways in tumor development. </w:t>
      </w:r>
      <w:r w:rsidRPr="00FC6C8B">
        <w:rPr>
          <w:rFonts w:ascii="Book Antiqua" w:eastAsia="宋体" w:hAnsi="Book Antiqua" w:cs="宋体"/>
          <w:i/>
          <w:iCs/>
          <w:kern w:val="0"/>
          <w:sz w:val="24"/>
          <w:szCs w:val="24"/>
        </w:rPr>
        <w:t>Cell Cycle</w:t>
      </w:r>
      <w:r w:rsidRPr="00FC6C8B">
        <w:rPr>
          <w:rFonts w:ascii="Book Antiqua" w:eastAsia="宋体" w:hAnsi="Book Antiqua" w:cs="宋体"/>
          <w:kern w:val="0"/>
          <w:sz w:val="24"/>
          <w:szCs w:val="24"/>
        </w:rPr>
        <w:t> 2005; </w:t>
      </w:r>
      <w:r w:rsidRPr="00FC6C8B">
        <w:rPr>
          <w:rFonts w:ascii="Book Antiqua" w:eastAsia="宋体" w:hAnsi="Book Antiqua" w:cs="宋体"/>
          <w:b/>
          <w:bCs/>
          <w:kern w:val="0"/>
          <w:sz w:val="24"/>
          <w:szCs w:val="24"/>
        </w:rPr>
        <w:t>4</w:t>
      </w:r>
      <w:r w:rsidRPr="00FC6C8B">
        <w:rPr>
          <w:rFonts w:ascii="Book Antiqua" w:eastAsia="宋体" w:hAnsi="Book Antiqua" w:cs="宋体"/>
          <w:kern w:val="0"/>
          <w:sz w:val="24"/>
          <w:szCs w:val="24"/>
        </w:rPr>
        <w:t>: 1185-1188 [PMID: 16123588 DOI: 10.4161/cc.4.9.2039]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24 </w:t>
      </w:r>
      <w:r w:rsidRPr="00FC6C8B">
        <w:rPr>
          <w:rFonts w:ascii="Book Antiqua" w:eastAsia="宋体" w:hAnsi="Book Antiqua" w:cs="宋体"/>
          <w:b/>
          <w:bCs/>
          <w:kern w:val="0"/>
          <w:sz w:val="24"/>
          <w:szCs w:val="24"/>
        </w:rPr>
        <w:t>Huynh H</w:t>
      </w:r>
      <w:r w:rsidRPr="00FC6C8B">
        <w:rPr>
          <w:rFonts w:ascii="Book Antiqua" w:eastAsia="宋体" w:hAnsi="Book Antiqua" w:cs="宋体"/>
          <w:kern w:val="0"/>
          <w:sz w:val="24"/>
          <w:szCs w:val="24"/>
        </w:rPr>
        <w:t>, Nguyen TT, Chow KH, Tan PH, Soo KC, Tran E. Over-expression of the mitogen-activated protein kinase (MAPK) kinase (MEK)-MAPK in hepatocellular carcinoma: its role in tumor progression and apoptosis. </w:t>
      </w:r>
      <w:r w:rsidRPr="00FC6C8B">
        <w:rPr>
          <w:rFonts w:ascii="Book Antiqua" w:eastAsia="宋体" w:hAnsi="Book Antiqua" w:cs="宋体"/>
          <w:i/>
          <w:iCs/>
          <w:kern w:val="0"/>
          <w:sz w:val="24"/>
          <w:szCs w:val="24"/>
        </w:rPr>
        <w:t>BMC Gastroenterol</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3</w:t>
      </w:r>
      <w:r w:rsidRPr="00FC6C8B">
        <w:rPr>
          <w:rFonts w:ascii="Book Antiqua" w:eastAsia="宋体" w:hAnsi="Book Antiqua" w:cs="宋体"/>
          <w:kern w:val="0"/>
          <w:sz w:val="24"/>
          <w:szCs w:val="24"/>
        </w:rPr>
        <w:t>: 19 [PMID: 12906713 DOI: 10.1186/1471-230X-3-19]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25 </w:t>
      </w:r>
      <w:r w:rsidRPr="00FC6C8B">
        <w:rPr>
          <w:rFonts w:ascii="Book Antiqua" w:eastAsia="宋体" w:hAnsi="Book Antiqua" w:cs="宋体"/>
          <w:b/>
          <w:bCs/>
          <w:kern w:val="0"/>
          <w:sz w:val="24"/>
          <w:szCs w:val="24"/>
        </w:rPr>
        <w:t>Ito Y</w:t>
      </w:r>
      <w:r w:rsidRPr="00FC6C8B">
        <w:rPr>
          <w:rFonts w:ascii="Book Antiqua" w:eastAsia="宋体" w:hAnsi="Book Antiqua" w:cs="宋体"/>
          <w:kern w:val="0"/>
          <w:sz w:val="24"/>
          <w:szCs w:val="24"/>
        </w:rPr>
        <w:t>, Sasaki Y, Horimoto M, Wada S, Tanaka Y, Kasahara A, Ueki T, Hirano T, Yamamoto H, Fujimoto J, Okamoto E, Hayashi N, Hori M. Activation of mitogen-activated protein kinases/extracellular signal-regulated kinases in human hepatocellular carcinoma.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1998; </w:t>
      </w:r>
      <w:r w:rsidRPr="00FC6C8B">
        <w:rPr>
          <w:rFonts w:ascii="Book Antiqua" w:eastAsia="宋体" w:hAnsi="Book Antiqua" w:cs="宋体"/>
          <w:b/>
          <w:bCs/>
          <w:kern w:val="0"/>
          <w:sz w:val="24"/>
          <w:szCs w:val="24"/>
        </w:rPr>
        <w:t>27</w:t>
      </w:r>
      <w:r w:rsidRPr="00FC6C8B">
        <w:rPr>
          <w:rFonts w:ascii="Book Antiqua" w:eastAsia="宋体" w:hAnsi="Book Antiqua" w:cs="宋体"/>
          <w:kern w:val="0"/>
          <w:sz w:val="24"/>
          <w:szCs w:val="24"/>
        </w:rPr>
        <w:t>: 951-958 [PMID: 9537433 DOI: 10.1002/hep.510270409]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26 </w:t>
      </w:r>
      <w:r w:rsidRPr="00FC6C8B">
        <w:rPr>
          <w:rFonts w:ascii="Book Antiqua" w:eastAsia="宋体" w:hAnsi="Book Antiqua" w:cs="宋体"/>
          <w:b/>
          <w:bCs/>
          <w:kern w:val="0"/>
          <w:sz w:val="24"/>
          <w:szCs w:val="24"/>
        </w:rPr>
        <w:t>Chung TW</w:t>
      </w:r>
      <w:r w:rsidRPr="00FC6C8B">
        <w:rPr>
          <w:rFonts w:ascii="Book Antiqua" w:eastAsia="宋体" w:hAnsi="Book Antiqua" w:cs="宋体"/>
          <w:kern w:val="0"/>
          <w:sz w:val="24"/>
          <w:szCs w:val="24"/>
        </w:rPr>
        <w:t>, Lee YC, Kim CH. Hepatitis B viral HBx induces matrix metalloproteinase-9 gene expression through activation of ERK and PI-3K/AKT pathways: involvement of invasive potential. </w:t>
      </w:r>
      <w:r w:rsidRPr="00FC6C8B">
        <w:rPr>
          <w:rFonts w:ascii="Book Antiqua" w:eastAsia="宋体" w:hAnsi="Book Antiqua" w:cs="宋体"/>
          <w:i/>
          <w:iCs/>
          <w:kern w:val="0"/>
          <w:sz w:val="24"/>
          <w:szCs w:val="24"/>
        </w:rPr>
        <w:t>FASEB J</w:t>
      </w:r>
      <w:r w:rsidRPr="00FC6C8B">
        <w:rPr>
          <w:rFonts w:ascii="Book Antiqua" w:eastAsia="宋体" w:hAnsi="Book Antiqua" w:cs="宋体"/>
          <w:kern w:val="0"/>
          <w:sz w:val="24"/>
          <w:szCs w:val="24"/>
        </w:rPr>
        <w:t> 2004; </w:t>
      </w:r>
      <w:r w:rsidRPr="00FC6C8B">
        <w:rPr>
          <w:rFonts w:ascii="Book Antiqua" w:eastAsia="宋体" w:hAnsi="Book Antiqua" w:cs="宋体"/>
          <w:b/>
          <w:bCs/>
          <w:kern w:val="0"/>
          <w:sz w:val="24"/>
          <w:szCs w:val="24"/>
        </w:rPr>
        <w:t>18</w:t>
      </w:r>
      <w:r w:rsidRPr="00FC6C8B">
        <w:rPr>
          <w:rFonts w:ascii="Book Antiqua" w:eastAsia="宋体" w:hAnsi="Book Antiqua" w:cs="宋体"/>
          <w:kern w:val="0"/>
          <w:sz w:val="24"/>
          <w:szCs w:val="24"/>
        </w:rPr>
        <w:t>: 1123-1125 [PMID: 15132991]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27 </w:t>
      </w:r>
      <w:r w:rsidRPr="00FC6C8B">
        <w:rPr>
          <w:rFonts w:ascii="Book Antiqua" w:eastAsia="宋体" w:hAnsi="Book Antiqua" w:cs="宋体"/>
          <w:b/>
          <w:bCs/>
          <w:kern w:val="0"/>
          <w:sz w:val="24"/>
          <w:szCs w:val="24"/>
        </w:rPr>
        <w:t>Erhardt A</w:t>
      </w:r>
      <w:r w:rsidRPr="00FC6C8B">
        <w:rPr>
          <w:rFonts w:ascii="Book Antiqua" w:eastAsia="宋体" w:hAnsi="Book Antiqua" w:cs="宋体"/>
          <w:kern w:val="0"/>
          <w:sz w:val="24"/>
          <w:szCs w:val="24"/>
        </w:rPr>
        <w:t>, Hassan M, Heintges T, Häussinger D. Hepatitis C virus core protein induces cell proliferation and activates ERK, JNK, and p38 MAP kinases together with the MAP kinase phosphatase MKP-1 in a HepG2 Tet-Off cell line. </w:t>
      </w:r>
      <w:r w:rsidRPr="00FC6C8B">
        <w:rPr>
          <w:rFonts w:ascii="Book Antiqua" w:eastAsia="宋体" w:hAnsi="Book Antiqua" w:cs="宋体"/>
          <w:i/>
          <w:iCs/>
          <w:kern w:val="0"/>
          <w:sz w:val="24"/>
          <w:szCs w:val="24"/>
        </w:rPr>
        <w:t>Virology</w:t>
      </w:r>
      <w:r w:rsidRPr="00FC6C8B">
        <w:rPr>
          <w:rFonts w:ascii="Book Antiqua" w:eastAsia="宋体" w:hAnsi="Book Antiqua" w:cs="宋体"/>
          <w:kern w:val="0"/>
          <w:sz w:val="24"/>
          <w:szCs w:val="24"/>
        </w:rPr>
        <w:t> 2002; </w:t>
      </w:r>
      <w:r w:rsidRPr="00FC6C8B">
        <w:rPr>
          <w:rFonts w:ascii="Book Antiqua" w:eastAsia="宋体" w:hAnsi="Book Antiqua" w:cs="宋体"/>
          <w:b/>
          <w:bCs/>
          <w:kern w:val="0"/>
          <w:sz w:val="24"/>
          <w:szCs w:val="24"/>
        </w:rPr>
        <w:t>292</w:t>
      </w:r>
      <w:r w:rsidRPr="00FC6C8B">
        <w:rPr>
          <w:rFonts w:ascii="Book Antiqua" w:eastAsia="宋体" w:hAnsi="Book Antiqua" w:cs="宋体"/>
          <w:kern w:val="0"/>
          <w:sz w:val="24"/>
          <w:szCs w:val="24"/>
        </w:rPr>
        <w:t>: 272-284 [PMID: 11878930 DOI: 10.1006/viro.2001.1227]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28 </w:t>
      </w:r>
      <w:r w:rsidRPr="00FC6C8B">
        <w:rPr>
          <w:rFonts w:ascii="Book Antiqua" w:eastAsia="宋体" w:hAnsi="Book Antiqua" w:cs="宋体"/>
          <w:b/>
          <w:bCs/>
          <w:kern w:val="0"/>
          <w:sz w:val="24"/>
          <w:szCs w:val="24"/>
        </w:rPr>
        <w:t>Lee HC</w:t>
      </w:r>
      <w:r w:rsidRPr="00FC6C8B">
        <w:rPr>
          <w:rFonts w:ascii="Book Antiqua" w:eastAsia="宋体" w:hAnsi="Book Antiqua" w:cs="宋体"/>
          <w:kern w:val="0"/>
          <w:sz w:val="24"/>
          <w:szCs w:val="24"/>
        </w:rPr>
        <w:t>, Tian B, Sedivy JM, Wands JR, Kim M. Loss of Raf kinase inhibitor protein promotes cell proliferation and migration of human hepatoma cells. </w:t>
      </w:r>
      <w:r w:rsidRPr="00FC6C8B">
        <w:rPr>
          <w:rFonts w:ascii="Book Antiqua" w:eastAsia="宋体" w:hAnsi="Book Antiqua" w:cs="宋体"/>
          <w:i/>
          <w:iCs/>
          <w:kern w:val="0"/>
          <w:sz w:val="24"/>
          <w:szCs w:val="24"/>
        </w:rPr>
        <w:t>Gastroenterology</w:t>
      </w:r>
      <w:r w:rsidRPr="00FC6C8B">
        <w:rPr>
          <w:rFonts w:ascii="Book Antiqua" w:eastAsia="宋体" w:hAnsi="Book Antiqua" w:cs="宋体"/>
          <w:kern w:val="0"/>
          <w:sz w:val="24"/>
          <w:szCs w:val="24"/>
        </w:rPr>
        <w:t> 2006; </w:t>
      </w:r>
      <w:r w:rsidRPr="00FC6C8B">
        <w:rPr>
          <w:rFonts w:ascii="Book Antiqua" w:eastAsia="宋体" w:hAnsi="Book Antiqua" w:cs="宋体"/>
          <w:b/>
          <w:bCs/>
          <w:kern w:val="0"/>
          <w:sz w:val="24"/>
          <w:szCs w:val="24"/>
        </w:rPr>
        <w:t>131</w:t>
      </w:r>
      <w:r w:rsidRPr="00FC6C8B">
        <w:rPr>
          <w:rFonts w:ascii="Book Antiqua" w:eastAsia="宋体" w:hAnsi="Book Antiqua" w:cs="宋体"/>
          <w:kern w:val="0"/>
          <w:sz w:val="24"/>
          <w:szCs w:val="24"/>
        </w:rPr>
        <w:t>: 1208-1217 [PMID: 17030190 DOI: 10.1053/j.gastro.2006.07.012]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29 </w:t>
      </w:r>
      <w:r w:rsidRPr="00FC6C8B">
        <w:rPr>
          <w:rFonts w:ascii="Book Antiqua" w:eastAsia="宋体" w:hAnsi="Book Antiqua" w:cs="宋体"/>
          <w:b/>
          <w:bCs/>
          <w:kern w:val="0"/>
          <w:sz w:val="24"/>
          <w:szCs w:val="24"/>
        </w:rPr>
        <w:t>Wilhelm SM</w:t>
      </w:r>
      <w:r w:rsidRPr="00FC6C8B">
        <w:rPr>
          <w:rFonts w:ascii="Book Antiqua" w:eastAsia="宋体" w:hAnsi="Book Antiqua" w:cs="宋体"/>
          <w:kern w:val="0"/>
          <w:sz w:val="24"/>
          <w:szCs w:val="24"/>
        </w:rPr>
        <w:t>, Adnane L, Newell P, Villanueva A, Llovet JM, Lynch M. Preclinical overview of sorafenib, a multikinase inhibitor that targets both Raf and VEGF and PDGF receptor tyrosine kinase signaling. </w:t>
      </w:r>
      <w:r w:rsidRPr="00FC6C8B">
        <w:rPr>
          <w:rFonts w:ascii="Book Antiqua" w:eastAsia="宋体" w:hAnsi="Book Antiqua" w:cs="宋体"/>
          <w:i/>
          <w:iCs/>
          <w:kern w:val="0"/>
          <w:sz w:val="24"/>
          <w:szCs w:val="24"/>
        </w:rPr>
        <w:t>Mol Cancer Ther</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7</w:t>
      </w:r>
      <w:r w:rsidRPr="00FC6C8B">
        <w:rPr>
          <w:rFonts w:ascii="Book Antiqua" w:eastAsia="宋体" w:hAnsi="Book Antiqua" w:cs="宋体"/>
          <w:kern w:val="0"/>
          <w:sz w:val="24"/>
          <w:szCs w:val="24"/>
        </w:rPr>
        <w:t>: 3129-3140 [PMID: 18852116 DOI: 10.1158/1535-7163.MCT-08-0013]</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30 </w:t>
      </w:r>
      <w:r w:rsidRPr="00FC6C8B">
        <w:rPr>
          <w:rFonts w:ascii="Book Antiqua" w:eastAsia="宋体" w:hAnsi="Book Antiqua" w:cs="宋体"/>
          <w:b/>
          <w:bCs/>
          <w:kern w:val="0"/>
          <w:sz w:val="24"/>
          <w:szCs w:val="24"/>
        </w:rPr>
        <w:t>Huynh H</w:t>
      </w:r>
      <w:r w:rsidRPr="00FC6C8B">
        <w:rPr>
          <w:rFonts w:ascii="Book Antiqua" w:eastAsia="宋体" w:hAnsi="Book Antiqua" w:cs="宋体"/>
          <w:kern w:val="0"/>
          <w:sz w:val="24"/>
          <w:szCs w:val="24"/>
        </w:rPr>
        <w:t>. AZD6244 (ARRY-142886) enhances the antitumor activity of rapamycin in mouse models of human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2010; </w:t>
      </w:r>
      <w:r w:rsidRPr="00FC6C8B">
        <w:rPr>
          <w:rFonts w:ascii="Book Antiqua" w:eastAsia="宋体" w:hAnsi="Book Antiqua" w:cs="宋体"/>
          <w:b/>
          <w:bCs/>
          <w:kern w:val="0"/>
          <w:sz w:val="24"/>
          <w:szCs w:val="24"/>
        </w:rPr>
        <w:t>116</w:t>
      </w:r>
      <w:r w:rsidRPr="00FC6C8B">
        <w:rPr>
          <w:rFonts w:ascii="Book Antiqua" w:eastAsia="宋体" w:hAnsi="Book Antiqua" w:cs="宋体"/>
          <w:kern w:val="0"/>
          <w:sz w:val="24"/>
          <w:szCs w:val="24"/>
        </w:rPr>
        <w:t>: 1315-1325 [PMID: 20101735 DOI: 10.1002/cncr.24863]</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31 Choo S, Ng Q, Chen W, Tham C, Yong W, Wang L, Koh T, Goh B, Thng C, Huynh H, Zee Y, Low L, Toh H. A phase I/II study of AZD6244 in combination with sorafenib in advanced hepatocellular carcinoma. J Clin Oncol 2012; 30: Abstract 4100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32 </w:t>
      </w:r>
      <w:r w:rsidRPr="00FC6C8B">
        <w:rPr>
          <w:rFonts w:ascii="Book Antiqua" w:eastAsia="宋体" w:hAnsi="Book Antiqua" w:cs="宋体"/>
          <w:b/>
          <w:bCs/>
          <w:kern w:val="0"/>
          <w:sz w:val="24"/>
          <w:szCs w:val="24"/>
        </w:rPr>
        <w:t>Zhou Q</w:t>
      </w:r>
      <w:r w:rsidRPr="00FC6C8B">
        <w:rPr>
          <w:rFonts w:ascii="Book Antiqua" w:eastAsia="宋体" w:hAnsi="Book Antiqua" w:cs="宋体"/>
          <w:kern w:val="0"/>
          <w:sz w:val="24"/>
          <w:szCs w:val="24"/>
        </w:rPr>
        <w:t>, Lui VW, Yeo W. Targeting the PI3K/Akt/mTOR pathway in hepatocellular carcinoma. </w:t>
      </w:r>
      <w:r w:rsidRPr="00FC6C8B">
        <w:rPr>
          <w:rFonts w:ascii="Book Antiqua" w:eastAsia="宋体" w:hAnsi="Book Antiqua" w:cs="宋体"/>
          <w:i/>
          <w:iCs/>
          <w:kern w:val="0"/>
          <w:sz w:val="24"/>
          <w:szCs w:val="24"/>
        </w:rPr>
        <w:t>Future Oncol</w:t>
      </w:r>
      <w:r w:rsidRPr="00FC6C8B">
        <w:rPr>
          <w:rFonts w:ascii="Book Antiqua" w:eastAsia="宋体" w:hAnsi="Book Antiqua" w:cs="宋体"/>
          <w:kern w:val="0"/>
          <w:sz w:val="24"/>
          <w:szCs w:val="24"/>
        </w:rPr>
        <w:t> 2011; </w:t>
      </w:r>
      <w:r w:rsidRPr="00FC6C8B">
        <w:rPr>
          <w:rFonts w:ascii="Book Antiqua" w:eastAsia="宋体" w:hAnsi="Book Antiqua" w:cs="宋体"/>
          <w:b/>
          <w:bCs/>
          <w:kern w:val="0"/>
          <w:sz w:val="24"/>
          <w:szCs w:val="24"/>
        </w:rPr>
        <w:t>7</w:t>
      </w:r>
      <w:r w:rsidRPr="00FC6C8B">
        <w:rPr>
          <w:rFonts w:ascii="Book Antiqua" w:eastAsia="宋体" w:hAnsi="Book Antiqua" w:cs="宋体"/>
          <w:kern w:val="0"/>
          <w:sz w:val="24"/>
          <w:szCs w:val="24"/>
        </w:rPr>
        <w:t>: 1149-1167 [PMID: 21992728 DOI: 10.2217/fon.11.95]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33 </w:t>
      </w:r>
      <w:r w:rsidRPr="00FC6C8B">
        <w:rPr>
          <w:rFonts w:ascii="Book Antiqua" w:eastAsia="宋体" w:hAnsi="Book Antiqua" w:cs="宋体"/>
          <w:b/>
          <w:bCs/>
          <w:kern w:val="0"/>
          <w:sz w:val="24"/>
          <w:szCs w:val="24"/>
        </w:rPr>
        <w:t>Alexia C</w:t>
      </w:r>
      <w:r w:rsidRPr="00FC6C8B">
        <w:rPr>
          <w:rFonts w:ascii="Book Antiqua" w:eastAsia="宋体" w:hAnsi="Book Antiqua" w:cs="宋体"/>
          <w:kern w:val="0"/>
          <w:sz w:val="24"/>
          <w:szCs w:val="24"/>
        </w:rPr>
        <w:t>, Fallot G, Lasfer M, Schweizer-Groyer G, Groyer A. An evaluation of the role of insulin-like growth factors (IGF) and of type-I IGF receptor signalling in hepatocarcinogenesis and in the resistance of hepatocarcinoma cells against drug-induced apoptosis. </w:t>
      </w:r>
      <w:r w:rsidRPr="00FC6C8B">
        <w:rPr>
          <w:rFonts w:ascii="Book Antiqua" w:eastAsia="宋体" w:hAnsi="Book Antiqua" w:cs="宋体"/>
          <w:i/>
          <w:iCs/>
          <w:kern w:val="0"/>
          <w:sz w:val="24"/>
          <w:szCs w:val="24"/>
        </w:rPr>
        <w:t>Biochem Pharmacol</w:t>
      </w:r>
      <w:r w:rsidRPr="00FC6C8B">
        <w:rPr>
          <w:rFonts w:ascii="Book Antiqua" w:eastAsia="宋体" w:hAnsi="Book Antiqua" w:cs="宋体"/>
          <w:kern w:val="0"/>
          <w:sz w:val="24"/>
          <w:szCs w:val="24"/>
        </w:rPr>
        <w:t> 2004; </w:t>
      </w:r>
      <w:r w:rsidRPr="00FC6C8B">
        <w:rPr>
          <w:rFonts w:ascii="Book Antiqua" w:eastAsia="宋体" w:hAnsi="Book Antiqua" w:cs="宋体"/>
          <w:b/>
          <w:bCs/>
          <w:kern w:val="0"/>
          <w:sz w:val="24"/>
          <w:szCs w:val="24"/>
        </w:rPr>
        <w:t>68</w:t>
      </w:r>
      <w:r w:rsidRPr="00FC6C8B">
        <w:rPr>
          <w:rFonts w:ascii="Book Antiqua" w:eastAsia="宋体" w:hAnsi="Book Antiqua" w:cs="宋体"/>
          <w:kern w:val="0"/>
          <w:sz w:val="24"/>
          <w:szCs w:val="24"/>
        </w:rPr>
        <w:t>: 1003-1015 [PMID: 15313394 DOI: 10.1016/j.bcp.2004.05.029]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34 </w:t>
      </w:r>
      <w:r w:rsidRPr="00FC6C8B">
        <w:rPr>
          <w:rFonts w:ascii="Book Antiqua" w:eastAsia="宋体" w:hAnsi="Book Antiqua" w:cs="宋体"/>
          <w:b/>
          <w:bCs/>
          <w:kern w:val="0"/>
          <w:sz w:val="24"/>
          <w:szCs w:val="24"/>
        </w:rPr>
        <w:t>Desbois-Mouthon C</w:t>
      </w:r>
      <w:r w:rsidRPr="00FC6C8B">
        <w:rPr>
          <w:rFonts w:ascii="Book Antiqua" w:eastAsia="宋体" w:hAnsi="Book Antiqua" w:cs="宋体"/>
          <w:kern w:val="0"/>
          <w:sz w:val="24"/>
          <w:szCs w:val="24"/>
        </w:rPr>
        <w:t>, Cadoret A, Blivet-Van Eggelpoël MJ, Bertrand F, Cherqui G, Perret C, Capeau J. Insulin and IGF-1 stimulate the beta-catenin pathway through two signalling cascades involving GSK-3beta inhibition and Ras activation. </w:t>
      </w:r>
      <w:r w:rsidRPr="00FC6C8B">
        <w:rPr>
          <w:rFonts w:ascii="Book Antiqua" w:eastAsia="宋体" w:hAnsi="Book Antiqua" w:cs="宋体"/>
          <w:i/>
          <w:iCs/>
          <w:kern w:val="0"/>
          <w:sz w:val="24"/>
          <w:szCs w:val="24"/>
        </w:rPr>
        <w:t>Oncogene</w:t>
      </w:r>
      <w:r w:rsidRPr="00FC6C8B">
        <w:rPr>
          <w:rFonts w:ascii="Book Antiqua" w:eastAsia="宋体" w:hAnsi="Book Antiqua" w:cs="宋体"/>
          <w:kern w:val="0"/>
          <w:sz w:val="24"/>
          <w:szCs w:val="24"/>
        </w:rPr>
        <w:t> 2001; </w:t>
      </w:r>
      <w:r w:rsidRPr="00FC6C8B">
        <w:rPr>
          <w:rFonts w:ascii="Book Antiqua" w:eastAsia="宋体" w:hAnsi="Book Antiqua" w:cs="宋体"/>
          <w:b/>
          <w:bCs/>
          <w:kern w:val="0"/>
          <w:sz w:val="24"/>
          <w:szCs w:val="24"/>
        </w:rPr>
        <w:t>20</w:t>
      </w:r>
      <w:r w:rsidRPr="00FC6C8B">
        <w:rPr>
          <w:rFonts w:ascii="Book Antiqua" w:eastAsia="宋体" w:hAnsi="Book Antiqua" w:cs="宋体"/>
          <w:kern w:val="0"/>
          <w:sz w:val="24"/>
          <w:szCs w:val="24"/>
        </w:rPr>
        <w:t>: 252-259 [PMID: 11313952 DOI: 10.1038/sj.onc.1204064]</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35 </w:t>
      </w:r>
      <w:r w:rsidRPr="00FC6C8B">
        <w:rPr>
          <w:rFonts w:ascii="Book Antiqua" w:eastAsia="宋体" w:hAnsi="Book Antiqua" w:cs="宋体"/>
          <w:b/>
          <w:bCs/>
          <w:kern w:val="0"/>
          <w:sz w:val="24"/>
          <w:szCs w:val="24"/>
        </w:rPr>
        <w:t>Hu TH</w:t>
      </w:r>
      <w:r w:rsidRPr="00FC6C8B">
        <w:rPr>
          <w:rFonts w:ascii="Book Antiqua" w:eastAsia="宋体" w:hAnsi="Book Antiqua" w:cs="宋体"/>
          <w:kern w:val="0"/>
          <w:sz w:val="24"/>
          <w:szCs w:val="24"/>
        </w:rPr>
        <w:t>, Huang CC, Lin PR, Chang HW, Ger LP, Lin YW, Changchien CS, Lee CM, Tai MH. Expression and prognostic role of tumor suppressor gene PTEN/MMAC1/TEP1 in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97</w:t>
      </w:r>
      <w:r w:rsidRPr="00FC6C8B">
        <w:rPr>
          <w:rFonts w:ascii="Book Antiqua" w:eastAsia="宋体" w:hAnsi="Book Antiqua" w:cs="宋体"/>
          <w:kern w:val="0"/>
          <w:sz w:val="24"/>
          <w:szCs w:val="24"/>
        </w:rPr>
        <w:t>: 1929-1940 [PMID: 12673720 DOI: 10.1002/cncr.11266]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36 </w:t>
      </w:r>
      <w:r w:rsidRPr="00FC6C8B">
        <w:rPr>
          <w:rFonts w:ascii="Book Antiqua" w:eastAsia="宋体" w:hAnsi="Book Antiqua" w:cs="宋体"/>
          <w:b/>
          <w:bCs/>
          <w:kern w:val="0"/>
          <w:sz w:val="24"/>
          <w:szCs w:val="24"/>
        </w:rPr>
        <w:t>Villanueva A</w:t>
      </w:r>
      <w:r w:rsidRPr="00FC6C8B">
        <w:rPr>
          <w:rFonts w:ascii="Book Antiqua" w:eastAsia="宋体" w:hAnsi="Book Antiqua" w:cs="宋体"/>
          <w:kern w:val="0"/>
          <w:sz w:val="24"/>
          <w:szCs w:val="24"/>
        </w:rPr>
        <w:t>,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FC6C8B">
        <w:rPr>
          <w:rFonts w:ascii="Book Antiqua" w:eastAsia="宋体" w:hAnsi="Book Antiqua" w:cs="宋体"/>
          <w:i/>
          <w:iCs/>
          <w:kern w:val="0"/>
          <w:sz w:val="24"/>
          <w:szCs w:val="24"/>
        </w:rPr>
        <w:t>Gastroenterology</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135</w:t>
      </w:r>
      <w:r w:rsidRPr="00FC6C8B">
        <w:rPr>
          <w:rFonts w:ascii="Book Antiqua" w:eastAsia="宋体" w:hAnsi="Book Antiqua" w:cs="宋体"/>
          <w:kern w:val="0"/>
          <w:sz w:val="24"/>
          <w:szCs w:val="24"/>
        </w:rPr>
        <w:t>: 1972-183, 1972-183, [PMID: 18929564]</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37 </w:t>
      </w:r>
      <w:r w:rsidRPr="00FC6C8B">
        <w:rPr>
          <w:rFonts w:ascii="Book Antiqua" w:eastAsia="宋体" w:hAnsi="Book Antiqua" w:cs="宋体"/>
          <w:b/>
          <w:bCs/>
          <w:kern w:val="0"/>
          <w:sz w:val="24"/>
          <w:szCs w:val="24"/>
        </w:rPr>
        <w:t>Zhu AX</w:t>
      </w:r>
      <w:r w:rsidRPr="00FC6C8B">
        <w:rPr>
          <w:rFonts w:ascii="Book Antiqua" w:eastAsia="宋体" w:hAnsi="Book Antiqua" w:cs="宋体"/>
          <w:kern w:val="0"/>
          <w:sz w:val="24"/>
          <w:szCs w:val="24"/>
        </w:rPr>
        <w:t>, Abrams TA, Miksad R, Blaszkowsky LS, Meyerhardt JA, Zheng H, Muzikansky A, Clark JW, Kwak EL, Schrag D, Jors KR, Fuchs CS, Iafrate AJ, Borger DR, Ryan DP. Phase 1/2 study of everolimus in advanced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2011; </w:t>
      </w:r>
      <w:r w:rsidRPr="00FC6C8B">
        <w:rPr>
          <w:rFonts w:ascii="Book Antiqua" w:eastAsia="宋体" w:hAnsi="Book Antiqua" w:cs="宋体"/>
          <w:b/>
          <w:bCs/>
          <w:kern w:val="0"/>
          <w:sz w:val="24"/>
          <w:szCs w:val="24"/>
        </w:rPr>
        <w:t>117</w:t>
      </w:r>
      <w:r w:rsidRPr="00FC6C8B">
        <w:rPr>
          <w:rFonts w:ascii="Book Antiqua" w:eastAsia="宋体" w:hAnsi="Book Antiqua" w:cs="宋体"/>
          <w:kern w:val="0"/>
          <w:sz w:val="24"/>
          <w:szCs w:val="24"/>
        </w:rPr>
        <w:t>: 5094-5102 [PMID: 21538343 DOI: 10.1002/cncr.26165]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38 </w:t>
      </w:r>
      <w:r w:rsidRPr="00FC6C8B">
        <w:rPr>
          <w:rFonts w:ascii="Book Antiqua" w:eastAsia="宋体" w:hAnsi="Book Antiqua" w:cs="宋体"/>
          <w:b/>
          <w:bCs/>
          <w:kern w:val="0"/>
          <w:sz w:val="24"/>
          <w:szCs w:val="24"/>
        </w:rPr>
        <w:t>Decaens T</w:t>
      </w:r>
      <w:r w:rsidRPr="00FC6C8B">
        <w:rPr>
          <w:rFonts w:ascii="Book Antiqua" w:eastAsia="宋体" w:hAnsi="Book Antiqua" w:cs="宋体"/>
          <w:kern w:val="0"/>
          <w:sz w:val="24"/>
          <w:szCs w:val="24"/>
        </w:rPr>
        <w:t>, Luciani A, Itti E, Hulin A, Roudot-Thoraval F, Laurent A, Zafrani ES, Mallat A, Duvoux C. Phase II study of sirolimus in treatment-naive patients with advanced hepatocellular carcinoma. </w:t>
      </w:r>
      <w:r w:rsidRPr="00FC6C8B">
        <w:rPr>
          <w:rFonts w:ascii="Book Antiqua" w:eastAsia="宋体" w:hAnsi="Book Antiqua" w:cs="宋体"/>
          <w:i/>
          <w:iCs/>
          <w:kern w:val="0"/>
          <w:sz w:val="24"/>
          <w:szCs w:val="24"/>
        </w:rPr>
        <w:t>Dig Liver Dis</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44</w:t>
      </w:r>
      <w:r w:rsidRPr="00FC6C8B">
        <w:rPr>
          <w:rFonts w:ascii="Book Antiqua" w:eastAsia="宋体" w:hAnsi="Book Antiqua" w:cs="宋体"/>
          <w:kern w:val="0"/>
          <w:sz w:val="24"/>
          <w:szCs w:val="24"/>
        </w:rPr>
        <w:t>: 610-616 [PMID: 22459565 DOI: 10.1016/j.dld.2012.02.005]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39 </w:t>
      </w:r>
      <w:r w:rsidRPr="00FC6C8B">
        <w:rPr>
          <w:rFonts w:ascii="Book Antiqua" w:eastAsia="宋体" w:hAnsi="Book Antiqua" w:cs="宋体"/>
          <w:b/>
          <w:bCs/>
          <w:kern w:val="0"/>
          <w:sz w:val="24"/>
          <w:szCs w:val="24"/>
        </w:rPr>
        <w:t>Semela D</w:t>
      </w:r>
      <w:r w:rsidRPr="00FC6C8B">
        <w:rPr>
          <w:rFonts w:ascii="Book Antiqua" w:eastAsia="宋体" w:hAnsi="Book Antiqua" w:cs="宋体"/>
          <w:kern w:val="0"/>
          <w:sz w:val="24"/>
          <w:szCs w:val="24"/>
        </w:rPr>
        <w:t>, Dufour JF. Angiogenesis and hepatocellular carcinoma. </w:t>
      </w:r>
      <w:r w:rsidRPr="00FC6C8B">
        <w:rPr>
          <w:rFonts w:ascii="Book Antiqua" w:eastAsia="宋体" w:hAnsi="Book Antiqua" w:cs="宋体"/>
          <w:i/>
          <w:iCs/>
          <w:kern w:val="0"/>
          <w:sz w:val="24"/>
          <w:szCs w:val="24"/>
        </w:rPr>
        <w:t>J Hepatol</w:t>
      </w:r>
      <w:r w:rsidRPr="00FC6C8B">
        <w:rPr>
          <w:rFonts w:ascii="Book Antiqua" w:eastAsia="宋体" w:hAnsi="Book Antiqua" w:cs="宋体"/>
          <w:kern w:val="0"/>
          <w:sz w:val="24"/>
          <w:szCs w:val="24"/>
        </w:rPr>
        <w:t> 2004; </w:t>
      </w:r>
      <w:r w:rsidRPr="00FC6C8B">
        <w:rPr>
          <w:rFonts w:ascii="Book Antiqua" w:eastAsia="宋体" w:hAnsi="Book Antiqua" w:cs="宋体"/>
          <w:b/>
          <w:bCs/>
          <w:kern w:val="0"/>
          <w:sz w:val="24"/>
          <w:szCs w:val="24"/>
        </w:rPr>
        <w:t>41</w:t>
      </w:r>
      <w:r w:rsidRPr="00FC6C8B">
        <w:rPr>
          <w:rFonts w:ascii="Book Antiqua" w:eastAsia="宋体" w:hAnsi="Book Antiqua" w:cs="宋体"/>
          <w:kern w:val="0"/>
          <w:sz w:val="24"/>
          <w:szCs w:val="24"/>
        </w:rPr>
        <w:t>: 864-880 [PMID: 15519663 DOI: 10.1016/j.jhep.2004.09.006]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40 </w:t>
      </w:r>
      <w:r w:rsidRPr="00FC6C8B">
        <w:rPr>
          <w:rFonts w:ascii="Book Antiqua" w:eastAsia="宋体" w:hAnsi="Book Antiqua" w:cs="宋体"/>
          <w:b/>
          <w:bCs/>
          <w:kern w:val="0"/>
          <w:sz w:val="24"/>
          <w:szCs w:val="24"/>
        </w:rPr>
        <w:t>Mas VR</w:t>
      </w:r>
      <w:r w:rsidRPr="00FC6C8B">
        <w:rPr>
          <w:rFonts w:ascii="Book Antiqua" w:eastAsia="宋体" w:hAnsi="Book Antiqua" w:cs="宋体"/>
          <w:kern w:val="0"/>
          <w:sz w:val="24"/>
          <w:szCs w:val="24"/>
        </w:rPr>
        <w:t>, Maluf DG, Archer KJ, Yanek KC, Fisher RA. Angiogenesis soluble factors as hepatocellular carcinoma noninvasive markers for monitoring hepatitis C virus cirrhotic patients awaiting liver transplantation. </w:t>
      </w:r>
      <w:r w:rsidRPr="00FC6C8B">
        <w:rPr>
          <w:rFonts w:ascii="Book Antiqua" w:eastAsia="宋体" w:hAnsi="Book Antiqua" w:cs="宋体"/>
          <w:i/>
          <w:iCs/>
          <w:kern w:val="0"/>
          <w:sz w:val="24"/>
          <w:szCs w:val="24"/>
        </w:rPr>
        <w:t>Transplantation</w:t>
      </w:r>
      <w:r w:rsidRPr="00FC6C8B">
        <w:rPr>
          <w:rFonts w:ascii="Book Antiqua" w:eastAsia="宋体" w:hAnsi="Book Antiqua" w:cs="宋体"/>
          <w:kern w:val="0"/>
          <w:sz w:val="24"/>
          <w:szCs w:val="24"/>
        </w:rPr>
        <w:t> 2007; </w:t>
      </w:r>
      <w:r w:rsidRPr="00FC6C8B">
        <w:rPr>
          <w:rFonts w:ascii="Book Antiqua" w:eastAsia="宋体" w:hAnsi="Book Antiqua" w:cs="宋体"/>
          <w:b/>
          <w:bCs/>
          <w:kern w:val="0"/>
          <w:sz w:val="24"/>
          <w:szCs w:val="24"/>
        </w:rPr>
        <w:t>84</w:t>
      </w:r>
      <w:r w:rsidRPr="00FC6C8B">
        <w:rPr>
          <w:rFonts w:ascii="Book Antiqua" w:eastAsia="宋体" w:hAnsi="Book Antiqua" w:cs="宋体"/>
          <w:kern w:val="0"/>
          <w:sz w:val="24"/>
          <w:szCs w:val="24"/>
        </w:rPr>
        <w:t>: 1262-1271 [PMID: 18049111 DOI: 10.1097/01.tp.0000287596.91520.1a]</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41 </w:t>
      </w:r>
      <w:r w:rsidRPr="00FC6C8B">
        <w:rPr>
          <w:rFonts w:ascii="Book Antiqua" w:eastAsia="宋体" w:hAnsi="Book Antiqua" w:cs="宋体"/>
          <w:b/>
          <w:bCs/>
          <w:kern w:val="0"/>
          <w:sz w:val="24"/>
          <w:szCs w:val="24"/>
        </w:rPr>
        <w:t>Folkman J</w:t>
      </w:r>
      <w:r w:rsidRPr="00FC6C8B">
        <w:rPr>
          <w:rFonts w:ascii="Book Antiqua" w:eastAsia="宋体" w:hAnsi="Book Antiqua" w:cs="宋体"/>
          <w:kern w:val="0"/>
          <w:sz w:val="24"/>
          <w:szCs w:val="24"/>
        </w:rPr>
        <w:t>. Fundamental concepts of the angiogenic process. </w:t>
      </w:r>
      <w:r w:rsidRPr="00FC6C8B">
        <w:rPr>
          <w:rFonts w:ascii="Book Antiqua" w:eastAsia="宋体" w:hAnsi="Book Antiqua" w:cs="宋体"/>
          <w:i/>
          <w:iCs/>
          <w:kern w:val="0"/>
          <w:sz w:val="24"/>
          <w:szCs w:val="24"/>
        </w:rPr>
        <w:t>Curr Mol Med</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3</w:t>
      </w:r>
      <w:r w:rsidRPr="00FC6C8B">
        <w:rPr>
          <w:rFonts w:ascii="Book Antiqua" w:eastAsia="宋体" w:hAnsi="Book Antiqua" w:cs="宋体"/>
          <w:kern w:val="0"/>
          <w:sz w:val="24"/>
          <w:szCs w:val="24"/>
        </w:rPr>
        <w:t>: 643-651 [PMID: 14601638 DOI: 10.2174/1566524033479465]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42 </w:t>
      </w:r>
      <w:r w:rsidRPr="00FC6C8B">
        <w:rPr>
          <w:rFonts w:ascii="Book Antiqua" w:eastAsia="宋体" w:hAnsi="Book Antiqua" w:cs="宋体"/>
          <w:b/>
          <w:bCs/>
          <w:kern w:val="0"/>
          <w:sz w:val="24"/>
          <w:szCs w:val="24"/>
        </w:rPr>
        <w:t>El-Assal ON</w:t>
      </w:r>
      <w:r w:rsidRPr="00FC6C8B">
        <w:rPr>
          <w:rFonts w:ascii="Book Antiqua" w:eastAsia="宋体" w:hAnsi="Book Antiqua" w:cs="宋体"/>
          <w:kern w:val="0"/>
          <w:sz w:val="24"/>
          <w:szCs w:val="24"/>
        </w:rPr>
        <w:t>, Yamanoi A, Soda Y, Yamaguchi M, Igarashi M, Yamamoto A, Nabika T, Nagasue N. Clinical significance of microvessel density and vascular endothelial growth factor expression in hepatocellular carcinoma and surrounding liver: possible involvement of vascular endothelial growth factor in the angiogenesis of cirrhotic liver.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1998; </w:t>
      </w:r>
      <w:r w:rsidRPr="00FC6C8B">
        <w:rPr>
          <w:rFonts w:ascii="Book Antiqua" w:eastAsia="宋体" w:hAnsi="Book Antiqua" w:cs="宋体"/>
          <w:b/>
          <w:bCs/>
          <w:kern w:val="0"/>
          <w:sz w:val="24"/>
          <w:szCs w:val="24"/>
        </w:rPr>
        <w:t>27</w:t>
      </w:r>
      <w:r w:rsidRPr="00FC6C8B">
        <w:rPr>
          <w:rFonts w:ascii="Book Antiqua" w:eastAsia="宋体" w:hAnsi="Book Antiqua" w:cs="宋体"/>
          <w:kern w:val="0"/>
          <w:sz w:val="24"/>
          <w:szCs w:val="24"/>
        </w:rPr>
        <w:t>: 1554-1562 [PMID: 9620326 DOI: 10.1002/hep.510270613]</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43 </w:t>
      </w:r>
      <w:r w:rsidRPr="00FC6C8B">
        <w:rPr>
          <w:rFonts w:ascii="Book Antiqua" w:eastAsia="宋体" w:hAnsi="Book Antiqua" w:cs="宋体"/>
          <w:b/>
          <w:bCs/>
          <w:kern w:val="0"/>
          <w:sz w:val="24"/>
          <w:szCs w:val="24"/>
        </w:rPr>
        <w:t>Chao Y</w:t>
      </w:r>
      <w:r w:rsidRPr="00FC6C8B">
        <w:rPr>
          <w:rFonts w:ascii="Book Antiqua" w:eastAsia="宋体" w:hAnsi="Book Antiqua" w:cs="宋体"/>
          <w:kern w:val="0"/>
          <w:sz w:val="24"/>
          <w:szCs w:val="24"/>
        </w:rPr>
        <w:t>, Li CP, Chau GY, Chen CP, King KL, Lui WY, Yen SH, Chang FY, Chan WK, Lee SD. Prognostic significance of vascular endothelial growth factor, basic fibroblast growth factor, and angiogenin in patients with resectable hepatocellular carcinoma after surgery. </w:t>
      </w:r>
      <w:r w:rsidRPr="00FC6C8B">
        <w:rPr>
          <w:rFonts w:ascii="Book Antiqua" w:eastAsia="宋体" w:hAnsi="Book Antiqua" w:cs="宋体"/>
          <w:i/>
          <w:iCs/>
          <w:kern w:val="0"/>
          <w:sz w:val="24"/>
          <w:szCs w:val="24"/>
        </w:rPr>
        <w:t>Ann Surg Oncol</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10</w:t>
      </w:r>
      <w:r w:rsidRPr="00FC6C8B">
        <w:rPr>
          <w:rFonts w:ascii="Book Antiqua" w:eastAsia="宋体" w:hAnsi="Book Antiqua" w:cs="宋体"/>
          <w:kern w:val="0"/>
          <w:sz w:val="24"/>
          <w:szCs w:val="24"/>
        </w:rPr>
        <w:t>: 355-362 [PMID: 12734082 DOI: 10.1245/ASO.2003.10.002]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44 </w:t>
      </w:r>
      <w:r w:rsidRPr="00FC6C8B">
        <w:rPr>
          <w:rFonts w:ascii="Book Antiqua" w:eastAsia="宋体" w:hAnsi="Book Antiqua" w:cs="宋体"/>
          <w:b/>
          <w:bCs/>
          <w:kern w:val="0"/>
          <w:sz w:val="24"/>
          <w:szCs w:val="24"/>
        </w:rPr>
        <w:t>Li XM</w:t>
      </w:r>
      <w:r w:rsidRPr="00FC6C8B">
        <w:rPr>
          <w:rFonts w:ascii="Book Antiqua" w:eastAsia="宋体" w:hAnsi="Book Antiqua" w:cs="宋体"/>
          <w:kern w:val="0"/>
          <w:sz w:val="24"/>
          <w:szCs w:val="24"/>
        </w:rPr>
        <w:t>, Tang ZY, Zhou G, Lui YK, Ye SL. Significance of vascular endothelial growth factor mRNA expression in invasion and metastasis of hepatocellular carcinoma. </w:t>
      </w:r>
      <w:r w:rsidRPr="00FC6C8B">
        <w:rPr>
          <w:rFonts w:ascii="Book Antiqua" w:eastAsia="宋体" w:hAnsi="Book Antiqua" w:cs="宋体"/>
          <w:i/>
          <w:iCs/>
          <w:kern w:val="0"/>
          <w:sz w:val="24"/>
          <w:szCs w:val="24"/>
        </w:rPr>
        <w:t>J Exp Clin Cancer Res</w:t>
      </w:r>
      <w:r w:rsidRPr="00FC6C8B">
        <w:rPr>
          <w:rFonts w:ascii="Book Antiqua" w:eastAsia="宋体" w:hAnsi="Book Antiqua" w:cs="宋体"/>
          <w:kern w:val="0"/>
          <w:sz w:val="24"/>
          <w:szCs w:val="24"/>
        </w:rPr>
        <w:t> 1998; </w:t>
      </w:r>
      <w:r w:rsidRPr="00FC6C8B">
        <w:rPr>
          <w:rFonts w:ascii="Book Antiqua" w:eastAsia="宋体" w:hAnsi="Book Antiqua" w:cs="宋体"/>
          <w:b/>
          <w:bCs/>
          <w:kern w:val="0"/>
          <w:sz w:val="24"/>
          <w:szCs w:val="24"/>
        </w:rPr>
        <w:t>17</w:t>
      </w:r>
      <w:r w:rsidRPr="00FC6C8B">
        <w:rPr>
          <w:rFonts w:ascii="Book Antiqua" w:eastAsia="宋体" w:hAnsi="Book Antiqua" w:cs="宋体"/>
          <w:kern w:val="0"/>
          <w:sz w:val="24"/>
          <w:szCs w:val="24"/>
        </w:rPr>
        <w:t>: 13-17 [PMID: 9646228]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45 </w:t>
      </w:r>
      <w:r w:rsidRPr="00FC6C8B">
        <w:rPr>
          <w:rFonts w:ascii="Book Antiqua" w:eastAsia="宋体" w:hAnsi="Book Antiqua" w:cs="宋体"/>
          <w:b/>
          <w:bCs/>
          <w:kern w:val="0"/>
          <w:sz w:val="24"/>
          <w:szCs w:val="24"/>
        </w:rPr>
        <w:t>Poon RT</w:t>
      </w:r>
      <w:r w:rsidRPr="00FC6C8B">
        <w:rPr>
          <w:rFonts w:ascii="Book Antiqua" w:eastAsia="宋体" w:hAnsi="Book Antiqua" w:cs="宋体"/>
          <w:kern w:val="0"/>
          <w:sz w:val="24"/>
          <w:szCs w:val="24"/>
        </w:rPr>
        <w:t>, Lau C, Yu WC, Fan ST, Wong J. High serum levels of vascular endothelial growth factor predict poor response to transarterial chemoembolization in hepatocellular carcinoma: a prospective study. </w:t>
      </w:r>
      <w:r w:rsidRPr="00FC6C8B">
        <w:rPr>
          <w:rFonts w:ascii="Book Antiqua" w:eastAsia="宋体" w:hAnsi="Book Antiqua" w:cs="宋体"/>
          <w:i/>
          <w:iCs/>
          <w:kern w:val="0"/>
          <w:sz w:val="24"/>
          <w:szCs w:val="24"/>
        </w:rPr>
        <w:t>Oncol Rep</w:t>
      </w:r>
      <w:r w:rsidRPr="00FC6C8B">
        <w:rPr>
          <w:rFonts w:ascii="Book Antiqua" w:eastAsia="宋体" w:hAnsi="Book Antiqua" w:cs="宋体"/>
          <w:kern w:val="0"/>
          <w:sz w:val="24"/>
          <w:szCs w:val="24"/>
        </w:rPr>
        <w:t> 2004; </w:t>
      </w:r>
      <w:r w:rsidRPr="00FC6C8B">
        <w:rPr>
          <w:rFonts w:ascii="Book Antiqua" w:eastAsia="宋体" w:hAnsi="Book Antiqua" w:cs="宋体"/>
          <w:b/>
          <w:bCs/>
          <w:kern w:val="0"/>
          <w:sz w:val="24"/>
          <w:szCs w:val="24"/>
        </w:rPr>
        <w:t>11</w:t>
      </w:r>
      <w:r w:rsidRPr="00FC6C8B">
        <w:rPr>
          <w:rFonts w:ascii="Book Antiqua" w:eastAsia="宋体" w:hAnsi="Book Antiqua" w:cs="宋体"/>
          <w:kern w:val="0"/>
          <w:sz w:val="24"/>
          <w:szCs w:val="24"/>
        </w:rPr>
        <w:t>: 1077-1084 [PMID: 15069550]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46 </w:t>
      </w:r>
      <w:r w:rsidRPr="00FC6C8B">
        <w:rPr>
          <w:rFonts w:ascii="Book Antiqua" w:eastAsia="宋体" w:hAnsi="Book Antiqua" w:cs="宋体"/>
          <w:b/>
          <w:bCs/>
          <w:kern w:val="0"/>
          <w:sz w:val="24"/>
          <w:szCs w:val="24"/>
        </w:rPr>
        <w:t>Yamaguchi R</w:t>
      </w:r>
      <w:r w:rsidRPr="00FC6C8B">
        <w:rPr>
          <w:rFonts w:ascii="Book Antiqua" w:eastAsia="宋体" w:hAnsi="Book Antiqua" w:cs="宋体"/>
          <w:kern w:val="0"/>
          <w:sz w:val="24"/>
          <w:szCs w:val="24"/>
        </w:rPr>
        <w:t>, Yano H, Iemura A, Ogasawara S, Haramaki M, Kojiro M. Expression of vascular endothelial growth factor in human hepatocellular carcinoma.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1998; </w:t>
      </w:r>
      <w:r w:rsidRPr="00FC6C8B">
        <w:rPr>
          <w:rFonts w:ascii="Book Antiqua" w:eastAsia="宋体" w:hAnsi="Book Antiqua" w:cs="宋体"/>
          <w:b/>
          <w:bCs/>
          <w:kern w:val="0"/>
          <w:sz w:val="24"/>
          <w:szCs w:val="24"/>
        </w:rPr>
        <w:t>28</w:t>
      </w:r>
      <w:r w:rsidRPr="00FC6C8B">
        <w:rPr>
          <w:rFonts w:ascii="Book Antiqua" w:eastAsia="宋体" w:hAnsi="Book Antiqua" w:cs="宋体"/>
          <w:kern w:val="0"/>
          <w:sz w:val="24"/>
          <w:szCs w:val="24"/>
        </w:rPr>
        <w:t>: 68-77 [PMID: 9657098 DOI: 10.1002/hep.510280111]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47 </w:t>
      </w:r>
      <w:r w:rsidRPr="00FC6C8B">
        <w:rPr>
          <w:rFonts w:ascii="Book Antiqua" w:eastAsia="宋体" w:hAnsi="Book Antiqua" w:cs="宋体"/>
          <w:b/>
          <w:bCs/>
          <w:kern w:val="0"/>
          <w:sz w:val="24"/>
          <w:szCs w:val="24"/>
        </w:rPr>
        <w:t>Uematsu S</w:t>
      </w:r>
      <w:r w:rsidRPr="00FC6C8B">
        <w:rPr>
          <w:rFonts w:ascii="Book Antiqua" w:eastAsia="宋体" w:hAnsi="Book Antiqua" w:cs="宋体"/>
          <w:kern w:val="0"/>
          <w:sz w:val="24"/>
          <w:szCs w:val="24"/>
        </w:rPr>
        <w:t>, Higashi T, Nouso K, Kariyama K, Nakamura S, Suzuki M, Nakatsukasa H, Kobayashi Y, Hanafusa T, Tsuji T, Shiratori Y. Altered expression of vascular endothelial growth factor, fibroblast growth factor-2 and endostatin in patients with hepatocellular carcinoma. </w:t>
      </w:r>
      <w:r w:rsidRPr="00FC6C8B">
        <w:rPr>
          <w:rFonts w:ascii="Book Antiqua" w:eastAsia="宋体" w:hAnsi="Book Antiqua" w:cs="宋体"/>
          <w:i/>
          <w:iCs/>
          <w:kern w:val="0"/>
          <w:sz w:val="24"/>
          <w:szCs w:val="24"/>
        </w:rPr>
        <w:t>J Gastroenterol Hepatol</w:t>
      </w:r>
      <w:r w:rsidRPr="00FC6C8B">
        <w:rPr>
          <w:rFonts w:ascii="Book Antiqua" w:eastAsia="宋体" w:hAnsi="Book Antiqua" w:cs="宋体"/>
          <w:kern w:val="0"/>
          <w:sz w:val="24"/>
          <w:szCs w:val="24"/>
        </w:rPr>
        <w:t> 2005; </w:t>
      </w:r>
      <w:r w:rsidRPr="00FC6C8B">
        <w:rPr>
          <w:rFonts w:ascii="Book Antiqua" w:eastAsia="宋体" w:hAnsi="Book Antiqua" w:cs="宋体"/>
          <w:b/>
          <w:bCs/>
          <w:kern w:val="0"/>
          <w:sz w:val="24"/>
          <w:szCs w:val="24"/>
        </w:rPr>
        <w:t>20</w:t>
      </w:r>
      <w:r w:rsidRPr="00FC6C8B">
        <w:rPr>
          <w:rFonts w:ascii="Book Antiqua" w:eastAsia="宋体" w:hAnsi="Book Antiqua" w:cs="宋体"/>
          <w:kern w:val="0"/>
          <w:sz w:val="24"/>
          <w:szCs w:val="24"/>
        </w:rPr>
        <w:t>: 583-588 [PMID: 15836707 DOI: 10.1111/j.1440-1746.2005.03726.x]</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48 </w:t>
      </w:r>
      <w:r w:rsidRPr="00FC6C8B">
        <w:rPr>
          <w:rFonts w:ascii="Book Antiqua" w:eastAsia="宋体" w:hAnsi="Book Antiqua" w:cs="宋体"/>
          <w:b/>
          <w:bCs/>
          <w:kern w:val="0"/>
          <w:sz w:val="24"/>
          <w:szCs w:val="24"/>
        </w:rPr>
        <w:t>El-Assal ON</w:t>
      </w:r>
      <w:r w:rsidRPr="00FC6C8B">
        <w:rPr>
          <w:rFonts w:ascii="Book Antiqua" w:eastAsia="宋体" w:hAnsi="Book Antiqua" w:cs="宋体"/>
          <w:kern w:val="0"/>
          <w:sz w:val="24"/>
          <w:szCs w:val="24"/>
        </w:rPr>
        <w:t>, Yamanoi A, Ono T, Kohno H, Nagasue N. The clinicopathological significance of heparanase and basic fibroblast growth factor expressions in hepatocellular carcinoma. </w:t>
      </w:r>
      <w:r w:rsidRPr="00FC6C8B">
        <w:rPr>
          <w:rFonts w:ascii="Book Antiqua" w:eastAsia="宋体" w:hAnsi="Book Antiqua" w:cs="宋体"/>
          <w:i/>
          <w:iCs/>
          <w:kern w:val="0"/>
          <w:sz w:val="24"/>
          <w:szCs w:val="24"/>
        </w:rPr>
        <w:t>Clin Cancer Res</w:t>
      </w:r>
      <w:r w:rsidRPr="00FC6C8B">
        <w:rPr>
          <w:rFonts w:ascii="Book Antiqua" w:eastAsia="宋体" w:hAnsi="Book Antiqua" w:cs="宋体"/>
          <w:kern w:val="0"/>
          <w:sz w:val="24"/>
          <w:szCs w:val="24"/>
        </w:rPr>
        <w:t> 2001; </w:t>
      </w:r>
      <w:r w:rsidRPr="00FC6C8B">
        <w:rPr>
          <w:rFonts w:ascii="Book Antiqua" w:eastAsia="宋体" w:hAnsi="Book Antiqua" w:cs="宋体"/>
          <w:b/>
          <w:bCs/>
          <w:kern w:val="0"/>
          <w:sz w:val="24"/>
          <w:szCs w:val="24"/>
        </w:rPr>
        <w:t>7</w:t>
      </w:r>
      <w:r w:rsidRPr="00FC6C8B">
        <w:rPr>
          <w:rFonts w:ascii="Book Antiqua" w:eastAsia="宋体" w:hAnsi="Book Antiqua" w:cs="宋体"/>
          <w:kern w:val="0"/>
          <w:sz w:val="24"/>
          <w:szCs w:val="24"/>
        </w:rPr>
        <w:t>: 1299-1305 [PMID: 11350898]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49 </w:t>
      </w:r>
      <w:r w:rsidRPr="00FC6C8B">
        <w:rPr>
          <w:rFonts w:ascii="Book Antiqua" w:eastAsia="宋体" w:hAnsi="Book Antiqua" w:cs="宋体"/>
          <w:b/>
          <w:bCs/>
          <w:kern w:val="0"/>
          <w:sz w:val="24"/>
          <w:szCs w:val="24"/>
        </w:rPr>
        <w:t>Poon RT</w:t>
      </w:r>
      <w:r w:rsidRPr="00FC6C8B">
        <w:rPr>
          <w:rFonts w:ascii="Book Antiqua" w:eastAsia="宋体" w:hAnsi="Book Antiqua" w:cs="宋体"/>
          <w:kern w:val="0"/>
          <w:sz w:val="24"/>
          <w:szCs w:val="24"/>
        </w:rPr>
        <w:t>, Ng IO, Lau C, Yu WC, Fan ST, Wong J. Correlation of serum basic fibroblast growth factor levels with clinicopathologic features and postoperative recurrence in hepatocellular carcinoma. </w:t>
      </w:r>
      <w:r w:rsidRPr="00FC6C8B">
        <w:rPr>
          <w:rFonts w:ascii="Book Antiqua" w:eastAsia="宋体" w:hAnsi="Book Antiqua" w:cs="宋体"/>
          <w:i/>
          <w:iCs/>
          <w:kern w:val="0"/>
          <w:sz w:val="24"/>
          <w:szCs w:val="24"/>
        </w:rPr>
        <w:t>Am J Surg</w:t>
      </w:r>
      <w:r w:rsidRPr="00FC6C8B">
        <w:rPr>
          <w:rFonts w:ascii="Book Antiqua" w:eastAsia="宋体" w:hAnsi="Book Antiqua" w:cs="宋体"/>
          <w:kern w:val="0"/>
          <w:sz w:val="24"/>
          <w:szCs w:val="24"/>
        </w:rPr>
        <w:t> 2001; </w:t>
      </w:r>
      <w:r w:rsidRPr="00FC6C8B">
        <w:rPr>
          <w:rFonts w:ascii="Book Antiqua" w:eastAsia="宋体" w:hAnsi="Book Antiqua" w:cs="宋体"/>
          <w:b/>
          <w:bCs/>
          <w:kern w:val="0"/>
          <w:sz w:val="24"/>
          <w:szCs w:val="24"/>
        </w:rPr>
        <w:t>182</w:t>
      </w:r>
      <w:r w:rsidRPr="00FC6C8B">
        <w:rPr>
          <w:rFonts w:ascii="Book Antiqua" w:eastAsia="宋体" w:hAnsi="Book Antiqua" w:cs="宋体"/>
          <w:kern w:val="0"/>
          <w:sz w:val="24"/>
          <w:szCs w:val="24"/>
        </w:rPr>
        <w:t>: 298-304 [PMID: 11587697 DOI: 10.1016/S0002-9610(01)00708-5]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50 </w:t>
      </w:r>
      <w:r w:rsidRPr="00FC6C8B">
        <w:rPr>
          <w:rFonts w:ascii="Book Antiqua" w:eastAsia="宋体" w:hAnsi="Book Antiqua" w:cs="宋体"/>
          <w:b/>
          <w:bCs/>
          <w:kern w:val="0"/>
          <w:sz w:val="24"/>
          <w:szCs w:val="24"/>
        </w:rPr>
        <w:t>Hisai H</w:t>
      </w:r>
      <w:r w:rsidRPr="00FC6C8B">
        <w:rPr>
          <w:rFonts w:ascii="Book Antiqua" w:eastAsia="宋体" w:hAnsi="Book Antiqua" w:cs="宋体"/>
          <w:kern w:val="0"/>
          <w:sz w:val="24"/>
          <w:szCs w:val="24"/>
        </w:rPr>
        <w:t>, Kato J, Kobune M, Murakami T, Miyanishi K, Takahashi M, Yoshizaki N, Takimoto R, Terui T, Niitsu Y. Increased expression of angiogenin in hepatocellular carcinoma in correlation with tumor vascularity. </w:t>
      </w:r>
      <w:r w:rsidRPr="00FC6C8B">
        <w:rPr>
          <w:rFonts w:ascii="Book Antiqua" w:eastAsia="宋体" w:hAnsi="Book Antiqua" w:cs="宋体"/>
          <w:i/>
          <w:iCs/>
          <w:kern w:val="0"/>
          <w:sz w:val="24"/>
          <w:szCs w:val="24"/>
        </w:rPr>
        <w:t>Clin Cancer Res</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9</w:t>
      </w:r>
      <w:r w:rsidRPr="00FC6C8B">
        <w:rPr>
          <w:rFonts w:ascii="Book Antiqua" w:eastAsia="宋体" w:hAnsi="Book Antiqua" w:cs="宋体"/>
          <w:kern w:val="0"/>
          <w:sz w:val="24"/>
          <w:szCs w:val="24"/>
        </w:rPr>
        <w:t>: 4852-4859 [PMID: 14581357]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51 </w:t>
      </w:r>
      <w:r w:rsidRPr="00FC6C8B">
        <w:rPr>
          <w:rFonts w:ascii="Book Antiqua" w:eastAsia="宋体" w:hAnsi="Book Antiqua" w:cs="宋体"/>
          <w:b/>
          <w:bCs/>
          <w:kern w:val="0"/>
          <w:sz w:val="24"/>
          <w:szCs w:val="24"/>
        </w:rPr>
        <w:t>Presta LG</w:t>
      </w:r>
      <w:r w:rsidRPr="00FC6C8B">
        <w:rPr>
          <w:rFonts w:ascii="Book Antiqua" w:eastAsia="宋体" w:hAnsi="Book Antiqua" w:cs="宋体"/>
          <w:kern w:val="0"/>
          <w:sz w:val="24"/>
          <w:szCs w:val="24"/>
        </w:rPr>
        <w:t>, Chen H, O'Connor SJ, Chisholm V, Meng YG, Krummen L, Winkler M, Ferrara N. Humanization of an anti-vascular endothelial growth factor monoclonal antibody for the therapy of solid tumors and other disorders. </w:t>
      </w:r>
      <w:r w:rsidRPr="00FC6C8B">
        <w:rPr>
          <w:rFonts w:ascii="Book Antiqua" w:eastAsia="宋体" w:hAnsi="Book Antiqua" w:cs="宋体"/>
          <w:i/>
          <w:iCs/>
          <w:kern w:val="0"/>
          <w:sz w:val="24"/>
          <w:szCs w:val="24"/>
        </w:rPr>
        <w:t>Cancer Res</w:t>
      </w:r>
      <w:r w:rsidRPr="00FC6C8B">
        <w:rPr>
          <w:rFonts w:ascii="Book Antiqua" w:eastAsia="宋体" w:hAnsi="Book Antiqua" w:cs="宋体"/>
          <w:kern w:val="0"/>
          <w:sz w:val="24"/>
          <w:szCs w:val="24"/>
        </w:rPr>
        <w:t> 1997; </w:t>
      </w:r>
      <w:r w:rsidRPr="00FC6C8B">
        <w:rPr>
          <w:rFonts w:ascii="Book Antiqua" w:eastAsia="宋体" w:hAnsi="Book Antiqua" w:cs="宋体"/>
          <w:b/>
          <w:bCs/>
          <w:kern w:val="0"/>
          <w:sz w:val="24"/>
          <w:szCs w:val="24"/>
        </w:rPr>
        <w:t>57</w:t>
      </w:r>
      <w:r w:rsidRPr="00FC6C8B">
        <w:rPr>
          <w:rFonts w:ascii="Book Antiqua" w:eastAsia="宋体" w:hAnsi="Book Antiqua" w:cs="宋体"/>
          <w:kern w:val="0"/>
          <w:sz w:val="24"/>
          <w:szCs w:val="24"/>
        </w:rPr>
        <w:t>: 4593-4599 [PMID: 9377574]</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52 </w:t>
      </w:r>
      <w:r w:rsidRPr="00FC6C8B">
        <w:rPr>
          <w:rFonts w:ascii="Book Antiqua" w:eastAsia="宋体" w:hAnsi="Book Antiqua" w:cs="宋体"/>
          <w:b/>
          <w:bCs/>
          <w:kern w:val="0"/>
          <w:sz w:val="24"/>
          <w:szCs w:val="24"/>
        </w:rPr>
        <w:t>Siegel AB</w:t>
      </w:r>
      <w:r w:rsidRPr="00FC6C8B">
        <w:rPr>
          <w:rFonts w:ascii="Book Antiqua" w:eastAsia="宋体" w:hAnsi="Book Antiqua" w:cs="宋体"/>
          <w:kern w:val="0"/>
          <w:sz w:val="24"/>
          <w:szCs w:val="24"/>
        </w:rPr>
        <w:t>, Cohen EI, Ocean A, Lehrer D, Goldenberg A, Knox JJ, Chen H, Clark-Garvey S, Weinberg A, Mandeli J, Christos P, Mazumdar M, Popa E, Brown RS, Rafii S, Schwartz JD. Phase II trial evaluating the clinical and biologic effects of bevacizumab in unresectable hepatocellular carcinoma. </w:t>
      </w:r>
      <w:r w:rsidRPr="00FC6C8B">
        <w:rPr>
          <w:rFonts w:ascii="Book Antiqua" w:eastAsia="宋体" w:hAnsi="Book Antiqua" w:cs="宋体"/>
          <w:i/>
          <w:iCs/>
          <w:kern w:val="0"/>
          <w:sz w:val="24"/>
          <w:szCs w:val="24"/>
        </w:rPr>
        <w:t>J Clin Oncol</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26</w:t>
      </w:r>
      <w:r w:rsidRPr="00FC6C8B">
        <w:rPr>
          <w:rFonts w:ascii="Book Antiqua" w:eastAsia="宋体" w:hAnsi="Book Antiqua" w:cs="宋体"/>
          <w:kern w:val="0"/>
          <w:sz w:val="24"/>
          <w:szCs w:val="24"/>
        </w:rPr>
        <w:t>: 2992-2998 [PMID: 18565886 DOI: 10.1200/JCO.2007.15.9947]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53 </w:t>
      </w:r>
      <w:r w:rsidRPr="00FC6C8B">
        <w:rPr>
          <w:rFonts w:ascii="Book Antiqua" w:eastAsia="宋体" w:hAnsi="Book Antiqua" w:cs="宋体"/>
          <w:b/>
          <w:bCs/>
          <w:kern w:val="0"/>
          <w:sz w:val="24"/>
          <w:szCs w:val="24"/>
        </w:rPr>
        <w:t>Hsu CH</w:t>
      </w:r>
      <w:r w:rsidRPr="00FC6C8B">
        <w:rPr>
          <w:rFonts w:ascii="Book Antiqua" w:eastAsia="宋体" w:hAnsi="Book Antiqua" w:cs="宋体"/>
          <w:kern w:val="0"/>
          <w:sz w:val="24"/>
          <w:szCs w:val="24"/>
        </w:rPr>
        <w:t>, Yang TS, Hsu C, Toh HC, Epstein RJ, Hsiao LT, Chen PJ, Lin ZZ, Chao TY, Cheng AL. Efficacy and tolerability of bevacizumab plus capecitabine as first-line therapy in patients with advanced hepatocellular carcinoma. </w:t>
      </w:r>
      <w:r w:rsidRPr="00FC6C8B">
        <w:rPr>
          <w:rFonts w:ascii="Book Antiqua" w:eastAsia="宋体" w:hAnsi="Book Antiqua" w:cs="宋体"/>
          <w:i/>
          <w:iCs/>
          <w:kern w:val="0"/>
          <w:sz w:val="24"/>
          <w:szCs w:val="24"/>
        </w:rPr>
        <w:t>Br J Cancer</w:t>
      </w:r>
      <w:r w:rsidRPr="00FC6C8B">
        <w:rPr>
          <w:rFonts w:ascii="Book Antiqua" w:eastAsia="宋体" w:hAnsi="Book Antiqua" w:cs="宋体"/>
          <w:kern w:val="0"/>
          <w:sz w:val="24"/>
          <w:szCs w:val="24"/>
        </w:rPr>
        <w:t> 2010; </w:t>
      </w:r>
      <w:r w:rsidRPr="00FC6C8B">
        <w:rPr>
          <w:rFonts w:ascii="Book Antiqua" w:eastAsia="宋体" w:hAnsi="Book Antiqua" w:cs="宋体"/>
          <w:b/>
          <w:bCs/>
          <w:kern w:val="0"/>
          <w:sz w:val="24"/>
          <w:szCs w:val="24"/>
        </w:rPr>
        <w:t>102</w:t>
      </w:r>
      <w:r w:rsidRPr="00FC6C8B">
        <w:rPr>
          <w:rFonts w:ascii="Book Antiqua" w:eastAsia="宋体" w:hAnsi="Book Antiqua" w:cs="宋体"/>
          <w:kern w:val="0"/>
          <w:sz w:val="24"/>
          <w:szCs w:val="24"/>
        </w:rPr>
        <w:t>: 981-986 [PMID: 20160718 DOI: 10.1038/sj.bjc.6605580]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54 </w:t>
      </w:r>
      <w:r w:rsidRPr="00FC6C8B">
        <w:rPr>
          <w:rFonts w:ascii="Book Antiqua" w:eastAsia="宋体" w:hAnsi="Book Antiqua" w:cs="宋体"/>
          <w:b/>
          <w:bCs/>
          <w:kern w:val="0"/>
          <w:sz w:val="24"/>
          <w:szCs w:val="24"/>
        </w:rPr>
        <w:t>Sun W</w:t>
      </w:r>
      <w:r w:rsidRPr="00FC6C8B">
        <w:rPr>
          <w:rFonts w:ascii="Book Antiqua" w:eastAsia="宋体" w:hAnsi="Book Antiqua" w:cs="宋体"/>
          <w:kern w:val="0"/>
          <w:sz w:val="24"/>
          <w:szCs w:val="24"/>
        </w:rPr>
        <w:t>, Sohal D, Haller DG, Mykulowycz K, Rosen M, Soulen MC, Caparro M, Teitelbaum UR, Giantonio B, O'Dwyer PJ, Shaked A, Reddy R, Olthoff K. Phase 2 trial of bevacizumab, capecitabine, and oxaliplatin in treatment of advanced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2011; </w:t>
      </w:r>
      <w:r w:rsidRPr="00FC6C8B">
        <w:rPr>
          <w:rFonts w:ascii="Book Antiqua" w:eastAsia="宋体" w:hAnsi="Book Antiqua" w:cs="宋体"/>
          <w:b/>
          <w:bCs/>
          <w:kern w:val="0"/>
          <w:sz w:val="24"/>
          <w:szCs w:val="24"/>
        </w:rPr>
        <w:t>117</w:t>
      </w:r>
      <w:r w:rsidRPr="00FC6C8B">
        <w:rPr>
          <w:rFonts w:ascii="Book Antiqua" w:eastAsia="宋体" w:hAnsi="Book Antiqua" w:cs="宋体"/>
          <w:kern w:val="0"/>
          <w:sz w:val="24"/>
          <w:szCs w:val="24"/>
        </w:rPr>
        <w:t>: 3187-3192 [PMID: 21264839 DOI: 10.1002/cncr.25889]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55 </w:t>
      </w:r>
      <w:r w:rsidRPr="00FC6C8B">
        <w:rPr>
          <w:rFonts w:ascii="Book Antiqua" w:eastAsia="宋体" w:hAnsi="Book Antiqua" w:cs="宋体"/>
          <w:b/>
          <w:bCs/>
          <w:kern w:val="0"/>
          <w:sz w:val="24"/>
          <w:szCs w:val="24"/>
        </w:rPr>
        <w:t>Thomas MB</w:t>
      </w:r>
      <w:r w:rsidRPr="00FC6C8B">
        <w:rPr>
          <w:rFonts w:ascii="Book Antiqua" w:eastAsia="宋体" w:hAnsi="Book Antiqua" w:cs="宋体"/>
          <w:kern w:val="0"/>
          <w:sz w:val="24"/>
          <w:szCs w:val="24"/>
        </w:rPr>
        <w:t>, Morris JS, Chadha R, Iwasaki M, Kaur H, Lin E, Kaseb A, Glover K, Davila M, Abbruzzese J. Phase II trial of the combination of bevacizumab and erlotinib in patients who have advanced hepatocellular carcinoma. </w:t>
      </w:r>
      <w:r w:rsidRPr="00FC6C8B">
        <w:rPr>
          <w:rFonts w:ascii="Book Antiqua" w:eastAsia="宋体" w:hAnsi="Book Antiqua" w:cs="宋体"/>
          <w:i/>
          <w:iCs/>
          <w:kern w:val="0"/>
          <w:sz w:val="24"/>
          <w:szCs w:val="24"/>
        </w:rPr>
        <w:t>J Clin Oncol</w:t>
      </w:r>
      <w:r w:rsidRPr="00FC6C8B">
        <w:rPr>
          <w:rFonts w:ascii="Book Antiqua" w:eastAsia="宋体" w:hAnsi="Book Antiqua" w:cs="宋体"/>
          <w:kern w:val="0"/>
          <w:sz w:val="24"/>
          <w:szCs w:val="24"/>
        </w:rPr>
        <w:t> 2009; </w:t>
      </w:r>
      <w:r w:rsidRPr="00FC6C8B">
        <w:rPr>
          <w:rFonts w:ascii="Book Antiqua" w:eastAsia="宋体" w:hAnsi="Book Antiqua" w:cs="宋体"/>
          <w:b/>
          <w:bCs/>
          <w:kern w:val="0"/>
          <w:sz w:val="24"/>
          <w:szCs w:val="24"/>
        </w:rPr>
        <w:t>27</w:t>
      </w:r>
      <w:r w:rsidRPr="00FC6C8B">
        <w:rPr>
          <w:rFonts w:ascii="Book Antiqua" w:eastAsia="宋体" w:hAnsi="Book Antiqua" w:cs="宋体"/>
          <w:kern w:val="0"/>
          <w:sz w:val="24"/>
          <w:szCs w:val="24"/>
        </w:rPr>
        <w:t>: 843-850 [PMID: 19139433 DOI: 10.1200/JCO.2008.18.3301]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56 </w:t>
      </w:r>
      <w:r w:rsidRPr="00FC6C8B">
        <w:rPr>
          <w:rFonts w:ascii="Book Antiqua" w:eastAsia="宋体" w:hAnsi="Book Antiqua" w:cs="宋体"/>
          <w:b/>
          <w:bCs/>
          <w:kern w:val="0"/>
          <w:sz w:val="24"/>
          <w:szCs w:val="24"/>
        </w:rPr>
        <w:t>Zhu AX</w:t>
      </w:r>
      <w:r w:rsidRPr="00FC6C8B">
        <w:rPr>
          <w:rFonts w:ascii="Book Antiqua" w:eastAsia="宋体" w:hAnsi="Book Antiqua" w:cs="宋体"/>
          <w:kern w:val="0"/>
          <w:sz w:val="24"/>
          <w:szCs w:val="24"/>
        </w:rPr>
        <w:t>. Systemic therapy of advanced hepatocellular carcinoma: how hopeful should we be? </w:t>
      </w:r>
      <w:r w:rsidRPr="00FC6C8B">
        <w:rPr>
          <w:rFonts w:ascii="Book Antiqua" w:eastAsia="宋体" w:hAnsi="Book Antiqua" w:cs="宋体"/>
          <w:i/>
          <w:iCs/>
          <w:kern w:val="0"/>
          <w:sz w:val="24"/>
          <w:szCs w:val="24"/>
        </w:rPr>
        <w:t>Oncologist</w:t>
      </w:r>
      <w:r w:rsidRPr="00FC6C8B">
        <w:rPr>
          <w:rFonts w:ascii="Book Antiqua" w:eastAsia="宋体" w:hAnsi="Book Antiqua" w:cs="宋体"/>
          <w:kern w:val="0"/>
          <w:sz w:val="24"/>
          <w:szCs w:val="24"/>
        </w:rPr>
        <w:t> </w:t>
      </w:r>
      <w:r>
        <w:rPr>
          <w:rFonts w:ascii="Book Antiqua" w:eastAsia="宋体" w:hAnsi="Book Antiqua" w:cs="宋体"/>
          <w:kern w:val="0"/>
          <w:sz w:val="24"/>
          <w:szCs w:val="24"/>
        </w:rPr>
        <w:t>2006</w:t>
      </w:r>
      <w:r w:rsidRPr="00FC6C8B">
        <w:rPr>
          <w:rFonts w:ascii="Book Antiqua" w:eastAsia="宋体" w:hAnsi="Book Antiqua" w:cs="宋体"/>
          <w:kern w:val="0"/>
          <w:sz w:val="24"/>
          <w:szCs w:val="24"/>
        </w:rPr>
        <w:t>; </w:t>
      </w:r>
      <w:r w:rsidRPr="00FC6C8B">
        <w:rPr>
          <w:rFonts w:ascii="Book Antiqua" w:eastAsia="宋体" w:hAnsi="Book Antiqua" w:cs="宋体"/>
          <w:b/>
          <w:bCs/>
          <w:kern w:val="0"/>
          <w:sz w:val="24"/>
          <w:szCs w:val="24"/>
        </w:rPr>
        <w:t>11</w:t>
      </w:r>
      <w:r w:rsidRPr="00FC6C8B">
        <w:rPr>
          <w:rFonts w:ascii="Book Antiqua" w:eastAsia="宋体" w:hAnsi="Book Antiqua" w:cs="宋体"/>
          <w:kern w:val="0"/>
          <w:sz w:val="24"/>
          <w:szCs w:val="24"/>
        </w:rPr>
        <w:t>: 790-800 [PMID: 16880238 DOI: 10.1634/theoncologist.11-7-790]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57 </w:t>
      </w:r>
      <w:r w:rsidRPr="00FC6C8B">
        <w:rPr>
          <w:rFonts w:ascii="Book Antiqua" w:eastAsia="宋体" w:hAnsi="Book Antiqua" w:cs="宋体"/>
          <w:b/>
          <w:bCs/>
          <w:kern w:val="0"/>
          <w:sz w:val="24"/>
          <w:szCs w:val="24"/>
        </w:rPr>
        <w:t>Abou-Alfa GK</w:t>
      </w:r>
      <w:r w:rsidRPr="00FC6C8B">
        <w:rPr>
          <w:rFonts w:ascii="Book Antiqua" w:eastAsia="宋体" w:hAnsi="Book Antiqua" w:cs="宋体"/>
          <w:kern w:val="0"/>
          <w:sz w:val="24"/>
          <w:szCs w:val="24"/>
        </w:rPr>
        <w:t>, Schwartz L, Ricci S, Amadori D, Santoro A, Figer A, De Greve J, Douillard JY, Lathia C, Schwartz B, Taylor I, Moscovici M, Saltz LB. Phase II study of sorafenib in patients with advanced hepatocellular carcinoma. </w:t>
      </w:r>
      <w:r w:rsidRPr="00FC6C8B">
        <w:rPr>
          <w:rFonts w:ascii="Book Antiqua" w:eastAsia="宋体" w:hAnsi="Book Antiqua" w:cs="宋体"/>
          <w:i/>
          <w:iCs/>
          <w:kern w:val="0"/>
          <w:sz w:val="24"/>
          <w:szCs w:val="24"/>
        </w:rPr>
        <w:t>J Clin Oncol</w:t>
      </w:r>
      <w:r w:rsidRPr="00FC6C8B">
        <w:rPr>
          <w:rFonts w:ascii="Book Antiqua" w:eastAsia="宋体" w:hAnsi="Book Antiqua" w:cs="宋体"/>
          <w:kern w:val="0"/>
          <w:sz w:val="24"/>
          <w:szCs w:val="24"/>
        </w:rPr>
        <w:t> 2006; </w:t>
      </w:r>
      <w:r w:rsidRPr="00FC6C8B">
        <w:rPr>
          <w:rFonts w:ascii="Book Antiqua" w:eastAsia="宋体" w:hAnsi="Book Antiqua" w:cs="宋体"/>
          <w:b/>
          <w:bCs/>
          <w:kern w:val="0"/>
          <w:sz w:val="24"/>
          <w:szCs w:val="24"/>
        </w:rPr>
        <w:t>24</w:t>
      </w:r>
      <w:r w:rsidRPr="00FC6C8B">
        <w:rPr>
          <w:rFonts w:ascii="Book Antiqua" w:eastAsia="宋体" w:hAnsi="Book Antiqua" w:cs="宋体"/>
          <w:kern w:val="0"/>
          <w:sz w:val="24"/>
          <w:szCs w:val="24"/>
        </w:rPr>
        <w:t>: 4293-4300 [PMID: 16908937 DOI: 10.1200/JCO.2005.01.3441]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58 </w:t>
      </w:r>
      <w:r w:rsidRPr="00FC6C8B">
        <w:rPr>
          <w:rFonts w:ascii="Book Antiqua" w:eastAsia="宋体" w:hAnsi="Book Antiqua" w:cs="宋体"/>
          <w:b/>
          <w:bCs/>
          <w:kern w:val="0"/>
          <w:sz w:val="24"/>
          <w:szCs w:val="24"/>
        </w:rPr>
        <w:t>Llovet JM</w:t>
      </w:r>
      <w:r w:rsidRPr="00FC6C8B">
        <w:rPr>
          <w:rFonts w:ascii="Book Antiqua" w:eastAsia="宋体" w:hAnsi="Book Antiqua" w:cs="宋体"/>
          <w:kern w:val="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FC6C8B">
        <w:rPr>
          <w:rFonts w:ascii="Book Antiqua" w:eastAsia="宋体" w:hAnsi="Book Antiqua" w:cs="宋体"/>
          <w:i/>
          <w:iCs/>
          <w:kern w:val="0"/>
          <w:sz w:val="24"/>
          <w:szCs w:val="24"/>
        </w:rPr>
        <w:t>N Engl J Med</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359</w:t>
      </w:r>
      <w:r w:rsidRPr="00FC6C8B">
        <w:rPr>
          <w:rFonts w:ascii="Book Antiqua" w:eastAsia="宋体" w:hAnsi="Book Antiqua" w:cs="宋体"/>
          <w:kern w:val="0"/>
          <w:sz w:val="24"/>
          <w:szCs w:val="24"/>
        </w:rPr>
        <w:t>: 378-390 [PMID: 18650514 DOI: 10.1056/NEJMoa0708857]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 xml:space="preserve">59 </w:t>
      </w:r>
      <w:r w:rsidRPr="00FC6C8B">
        <w:rPr>
          <w:rFonts w:ascii="Book Antiqua" w:eastAsia="宋体" w:hAnsi="Book Antiqua" w:cs="宋体"/>
          <w:b/>
          <w:kern w:val="0"/>
          <w:sz w:val="24"/>
          <w:szCs w:val="24"/>
        </w:rPr>
        <w:t>Cheng AL</w:t>
      </w:r>
      <w:r w:rsidRPr="00FC6C8B">
        <w:rPr>
          <w:rFonts w:ascii="Book Antiqua" w:eastAsia="宋体" w:hAnsi="Book Antiqua" w:cs="宋体"/>
          <w:kern w:val="0"/>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w:t>
      </w:r>
      <w:r w:rsidRPr="00FC6C8B">
        <w:rPr>
          <w:rFonts w:ascii="Book Antiqua" w:eastAsia="宋体" w:hAnsi="Book Antiqua" w:cs="宋体"/>
          <w:i/>
          <w:kern w:val="0"/>
          <w:sz w:val="24"/>
          <w:szCs w:val="24"/>
        </w:rPr>
        <w:t xml:space="preserve"> Lancet Oncol</w:t>
      </w:r>
      <w:r w:rsidRPr="00FC6C8B">
        <w:rPr>
          <w:rFonts w:ascii="Book Antiqua" w:eastAsia="宋体" w:hAnsi="Book Antiqua" w:cs="宋体"/>
          <w:kern w:val="0"/>
          <w:sz w:val="24"/>
          <w:szCs w:val="24"/>
        </w:rPr>
        <w:t xml:space="preserve"> 2009; </w:t>
      </w:r>
      <w:r w:rsidRPr="00FC6C8B">
        <w:rPr>
          <w:rFonts w:ascii="Book Antiqua" w:eastAsia="宋体" w:hAnsi="Book Antiqua" w:cs="宋体"/>
          <w:b/>
          <w:kern w:val="0"/>
          <w:sz w:val="24"/>
          <w:szCs w:val="24"/>
        </w:rPr>
        <w:t>10</w:t>
      </w:r>
      <w:r w:rsidRPr="00FC6C8B">
        <w:rPr>
          <w:rFonts w:ascii="Book Antiqua" w:eastAsia="宋体" w:hAnsi="Book Antiqua" w:cs="宋体"/>
          <w:kern w:val="0"/>
          <w:sz w:val="24"/>
          <w:szCs w:val="24"/>
        </w:rPr>
        <w:t>: 25-34 doi: 10.1016/S1470-2045(08)70285-7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60 </w:t>
      </w:r>
      <w:r w:rsidRPr="00FC6C8B">
        <w:rPr>
          <w:rFonts w:ascii="Book Antiqua" w:eastAsia="宋体" w:hAnsi="Book Antiqua" w:cs="宋体"/>
          <w:b/>
          <w:bCs/>
          <w:kern w:val="0"/>
          <w:sz w:val="24"/>
          <w:szCs w:val="24"/>
        </w:rPr>
        <w:t>Lee JH</w:t>
      </w:r>
      <w:r w:rsidRPr="00FC6C8B">
        <w:rPr>
          <w:rFonts w:ascii="Book Antiqua" w:eastAsia="宋体" w:hAnsi="Book Antiqua" w:cs="宋体"/>
          <w:kern w:val="0"/>
          <w:sz w:val="24"/>
          <w:szCs w:val="24"/>
        </w:rPr>
        <w:t>, Chung YH, Kim JA, Shim JH, Lee D, Lee HC, Shin ES, Yoon JH, Kim BI, Bae SH, Koh KC, Park NH. Genetic predisposition of hand-foot skin reaction after sorafenib therapy in patients with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2013; </w:t>
      </w:r>
      <w:r w:rsidRPr="00FC6C8B">
        <w:rPr>
          <w:rFonts w:ascii="Book Antiqua" w:eastAsia="宋体" w:hAnsi="Book Antiqua" w:cs="宋体"/>
          <w:b/>
          <w:bCs/>
          <w:kern w:val="0"/>
          <w:sz w:val="24"/>
          <w:szCs w:val="24"/>
        </w:rPr>
        <w:t>119</w:t>
      </w:r>
      <w:r w:rsidRPr="00FC6C8B">
        <w:rPr>
          <w:rFonts w:ascii="Book Antiqua" w:eastAsia="宋体" w:hAnsi="Book Antiqua" w:cs="宋体"/>
          <w:kern w:val="0"/>
          <w:sz w:val="24"/>
          <w:szCs w:val="24"/>
        </w:rPr>
        <w:t>: 136-142 [PMID: 22736425 DOI: 10.1002/cncr.27705]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61 </w:t>
      </w:r>
      <w:r w:rsidRPr="00FC6C8B">
        <w:rPr>
          <w:rFonts w:ascii="Book Antiqua" w:eastAsia="宋体" w:hAnsi="Book Antiqua" w:cs="宋体"/>
          <w:b/>
          <w:bCs/>
          <w:kern w:val="0"/>
          <w:sz w:val="24"/>
          <w:szCs w:val="24"/>
        </w:rPr>
        <w:t>Abrams TJ</w:t>
      </w:r>
      <w:r w:rsidRPr="00FC6C8B">
        <w:rPr>
          <w:rFonts w:ascii="Book Antiqua" w:eastAsia="宋体" w:hAnsi="Book Antiqua" w:cs="宋体"/>
          <w:kern w:val="0"/>
          <w:sz w:val="24"/>
          <w:szCs w:val="24"/>
        </w:rPr>
        <w:t>, Lee LB, Murray LJ, Pryer NK, Cherrington JM. SU11248 inhibits KIT and platelet-derived growth factor receptor beta in preclinical models of human small cell lung cancer. </w:t>
      </w:r>
      <w:r w:rsidRPr="00FC6C8B">
        <w:rPr>
          <w:rFonts w:ascii="Book Antiqua" w:eastAsia="宋体" w:hAnsi="Book Antiqua" w:cs="宋体"/>
          <w:i/>
          <w:iCs/>
          <w:kern w:val="0"/>
          <w:sz w:val="24"/>
          <w:szCs w:val="24"/>
        </w:rPr>
        <w:t>Mol Cancer Ther</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2</w:t>
      </w:r>
      <w:r w:rsidRPr="00FC6C8B">
        <w:rPr>
          <w:rFonts w:ascii="Book Antiqua" w:eastAsia="宋体" w:hAnsi="Book Antiqua" w:cs="宋体"/>
          <w:kern w:val="0"/>
          <w:sz w:val="24"/>
          <w:szCs w:val="24"/>
        </w:rPr>
        <w:t>: 471-478 [PMID: 12748309]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62 </w:t>
      </w:r>
      <w:r w:rsidRPr="00FC6C8B">
        <w:rPr>
          <w:rFonts w:ascii="Book Antiqua" w:eastAsia="宋体" w:hAnsi="Book Antiqua" w:cs="宋体"/>
          <w:b/>
          <w:bCs/>
          <w:kern w:val="0"/>
          <w:sz w:val="24"/>
          <w:szCs w:val="24"/>
        </w:rPr>
        <w:t>Abrams TJ</w:t>
      </w:r>
      <w:r w:rsidRPr="00FC6C8B">
        <w:rPr>
          <w:rFonts w:ascii="Book Antiqua" w:eastAsia="宋体" w:hAnsi="Book Antiqua" w:cs="宋体"/>
          <w:kern w:val="0"/>
          <w:sz w:val="24"/>
          <w:szCs w:val="24"/>
        </w:rPr>
        <w:t>, Murray LJ, Pesenti E, Holway VW, Colombo T, Lee LB, Cherrington JM, Pryer NK. Preclinical evaluation of the tyrosine kinase inhibitor SU11248 as a single agent and in combination with "standard of care" therapeutic agents for the treatment of breast cancer. </w:t>
      </w:r>
      <w:r w:rsidRPr="00FC6C8B">
        <w:rPr>
          <w:rFonts w:ascii="Book Antiqua" w:eastAsia="宋体" w:hAnsi="Book Antiqua" w:cs="宋体"/>
          <w:i/>
          <w:iCs/>
          <w:kern w:val="0"/>
          <w:sz w:val="24"/>
          <w:szCs w:val="24"/>
        </w:rPr>
        <w:t>Mol Cancer Ther</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2</w:t>
      </w:r>
      <w:r w:rsidRPr="00FC6C8B">
        <w:rPr>
          <w:rFonts w:ascii="Book Antiqua" w:eastAsia="宋体" w:hAnsi="Book Antiqua" w:cs="宋体"/>
          <w:kern w:val="0"/>
          <w:sz w:val="24"/>
          <w:szCs w:val="24"/>
        </w:rPr>
        <w:t>: 1011-1021 [PMID: 14578466]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63 </w:t>
      </w:r>
      <w:r w:rsidRPr="00FC6C8B">
        <w:rPr>
          <w:rFonts w:ascii="Book Antiqua" w:eastAsia="宋体" w:hAnsi="Book Antiqua" w:cs="宋体"/>
          <w:b/>
          <w:bCs/>
          <w:kern w:val="0"/>
          <w:sz w:val="24"/>
          <w:szCs w:val="24"/>
        </w:rPr>
        <w:t>Murray LJ</w:t>
      </w:r>
      <w:r w:rsidRPr="00FC6C8B">
        <w:rPr>
          <w:rFonts w:ascii="Book Antiqua" w:eastAsia="宋体" w:hAnsi="Book Antiqua" w:cs="宋体"/>
          <w:kern w:val="0"/>
          <w:sz w:val="24"/>
          <w:szCs w:val="24"/>
        </w:rPr>
        <w:t>, Abrams TJ, Long KR, Ngai TJ, Olson LM, Hong W, Keast PK, Brassard JA, O'Farrell AM, Cherrington JM, Pryer NK. SU11248 inhibits tumor growth and CSF-1R-dependent osteolysis in an experimental breast cancer bone metastasis model. </w:t>
      </w:r>
      <w:r w:rsidRPr="00FC6C8B">
        <w:rPr>
          <w:rFonts w:ascii="Book Antiqua" w:eastAsia="宋体" w:hAnsi="Book Antiqua" w:cs="宋体"/>
          <w:i/>
          <w:iCs/>
          <w:kern w:val="0"/>
          <w:sz w:val="24"/>
          <w:szCs w:val="24"/>
        </w:rPr>
        <w:t>Clin Exp Metastasis</w:t>
      </w:r>
      <w:r w:rsidRPr="00FC6C8B">
        <w:rPr>
          <w:rFonts w:ascii="Book Antiqua" w:eastAsia="宋体" w:hAnsi="Book Antiqua" w:cs="宋体"/>
          <w:kern w:val="0"/>
          <w:sz w:val="24"/>
          <w:szCs w:val="24"/>
        </w:rPr>
        <w:t> 2003; </w:t>
      </w:r>
      <w:r w:rsidRPr="00FC6C8B">
        <w:rPr>
          <w:rFonts w:ascii="Book Antiqua" w:eastAsia="宋体" w:hAnsi="Book Antiqua" w:cs="宋体"/>
          <w:b/>
          <w:bCs/>
          <w:kern w:val="0"/>
          <w:sz w:val="24"/>
          <w:szCs w:val="24"/>
        </w:rPr>
        <w:t>20</w:t>
      </w:r>
      <w:r w:rsidRPr="00FC6C8B">
        <w:rPr>
          <w:rFonts w:ascii="Book Antiqua" w:eastAsia="宋体" w:hAnsi="Book Antiqua" w:cs="宋体"/>
          <w:kern w:val="0"/>
          <w:sz w:val="24"/>
          <w:szCs w:val="24"/>
        </w:rPr>
        <w:t>: 757-766 [PMID: 14713109 DOI: 10.1023/B: CLIN.0000006873.65590.68]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64 </w:t>
      </w:r>
      <w:r w:rsidRPr="00FC6C8B">
        <w:rPr>
          <w:rFonts w:ascii="Book Antiqua" w:eastAsia="宋体" w:hAnsi="Book Antiqua" w:cs="宋体"/>
          <w:b/>
          <w:bCs/>
          <w:kern w:val="0"/>
          <w:sz w:val="24"/>
          <w:szCs w:val="24"/>
        </w:rPr>
        <w:t>Zhu AX</w:t>
      </w:r>
      <w:r w:rsidRPr="00FC6C8B">
        <w:rPr>
          <w:rFonts w:ascii="Book Antiqua" w:eastAsia="宋体" w:hAnsi="Book Antiqua" w:cs="宋体"/>
          <w:kern w:val="0"/>
          <w:sz w:val="24"/>
          <w:szCs w:val="24"/>
        </w:rPr>
        <w:t>, Sahani DV, Duda DG, di Tomaso E, Ancukiewicz M, Catalano OA, Sindhwani V, Blaszkowsky LS, Yoon SS, Lahdenranta J, Bhargava P, Meyerhardt J, Clark JW, Kwak EL, Hezel AF, Miksad R, Abrams TA, Enzinger PC, Fuchs CS, Ryan DP, Jain RK. Efficacy, safety, and potential biomarkers of sunitinib monotherapy in advanced hepatocellular carcinoma: a phase II study. </w:t>
      </w:r>
      <w:r w:rsidRPr="00FC6C8B">
        <w:rPr>
          <w:rFonts w:ascii="Book Antiqua" w:eastAsia="宋体" w:hAnsi="Book Antiqua" w:cs="宋体"/>
          <w:i/>
          <w:iCs/>
          <w:kern w:val="0"/>
          <w:sz w:val="24"/>
          <w:szCs w:val="24"/>
        </w:rPr>
        <w:t>J Clin Oncol</w:t>
      </w:r>
      <w:r w:rsidRPr="00FC6C8B">
        <w:rPr>
          <w:rFonts w:ascii="Book Antiqua" w:eastAsia="宋体" w:hAnsi="Book Antiqua" w:cs="宋体"/>
          <w:kern w:val="0"/>
          <w:sz w:val="24"/>
          <w:szCs w:val="24"/>
        </w:rPr>
        <w:t> 2009; </w:t>
      </w:r>
      <w:r w:rsidRPr="00FC6C8B">
        <w:rPr>
          <w:rFonts w:ascii="Book Antiqua" w:eastAsia="宋体" w:hAnsi="Book Antiqua" w:cs="宋体"/>
          <w:b/>
          <w:bCs/>
          <w:kern w:val="0"/>
          <w:sz w:val="24"/>
          <w:szCs w:val="24"/>
        </w:rPr>
        <w:t>27</w:t>
      </w:r>
      <w:r w:rsidRPr="00FC6C8B">
        <w:rPr>
          <w:rFonts w:ascii="Book Antiqua" w:eastAsia="宋体" w:hAnsi="Book Antiqua" w:cs="宋体"/>
          <w:kern w:val="0"/>
          <w:sz w:val="24"/>
          <w:szCs w:val="24"/>
        </w:rPr>
        <w:t>: 3027-3035 [PMID: 19470923 DOI: 10.1200/JCO.2008.20.9908]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65 </w:t>
      </w:r>
      <w:r w:rsidRPr="00FC6C8B">
        <w:rPr>
          <w:rFonts w:ascii="Book Antiqua" w:eastAsia="宋体" w:hAnsi="Book Antiqua" w:cs="宋体"/>
          <w:b/>
          <w:bCs/>
          <w:kern w:val="0"/>
          <w:sz w:val="24"/>
          <w:szCs w:val="24"/>
        </w:rPr>
        <w:t>Faivre S</w:t>
      </w:r>
      <w:r w:rsidRPr="00FC6C8B">
        <w:rPr>
          <w:rFonts w:ascii="Book Antiqua" w:eastAsia="宋体" w:hAnsi="Book Antiqua" w:cs="宋体"/>
          <w:kern w:val="0"/>
          <w:sz w:val="24"/>
          <w:szCs w:val="24"/>
        </w:rPr>
        <w:t>, Raymond E, Boucher E, Douillard J, Lim HY, Kim JS, Zappa M, Lanzalone S, Lin X, Deprimo S, Harmon C, Ruiz-Garcia A, Lechuga MJ, Cheng AL. Safety and efficacy of sunitinib in patients with advanced hepatocellular carcinoma: an open-label, multicentre, phase II study. </w:t>
      </w:r>
      <w:r w:rsidRPr="00FC6C8B">
        <w:rPr>
          <w:rFonts w:ascii="Book Antiqua" w:eastAsia="宋体" w:hAnsi="Book Antiqua" w:cs="宋体"/>
          <w:i/>
          <w:iCs/>
          <w:kern w:val="0"/>
          <w:sz w:val="24"/>
          <w:szCs w:val="24"/>
        </w:rPr>
        <w:t>Lancet Oncol</w:t>
      </w:r>
      <w:r w:rsidRPr="00FC6C8B">
        <w:rPr>
          <w:rFonts w:ascii="Book Antiqua" w:eastAsia="宋体" w:hAnsi="Book Antiqua" w:cs="宋体"/>
          <w:kern w:val="0"/>
          <w:sz w:val="24"/>
          <w:szCs w:val="24"/>
        </w:rPr>
        <w:t> 2009; </w:t>
      </w:r>
      <w:r w:rsidRPr="00FC6C8B">
        <w:rPr>
          <w:rFonts w:ascii="Book Antiqua" w:eastAsia="宋体" w:hAnsi="Book Antiqua" w:cs="宋体"/>
          <w:b/>
          <w:bCs/>
          <w:kern w:val="0"/>
          <w:sz w:val="24"/>
          <w:szCs w:val="24"/>
        </w:rPr>
        <w:t>10</w:t>
      </w:r>
      <w:r w:rsidRPr="00FC6C8B">
        <w:rPr>
          <w:rFonts w:ascii="Book Antiqua" w:eastAsia="宋体" w:hAnsi="Book Antiqua" w:cs="宋体"/>
          <w:kern w:val="0"/>
          <w:sz w:val="24"/>
          <w:szCs w:val="24"/>
        </w:rPr>
        <w:t>: 794-800 [PMID: 19586800 DOI: 10.1016/S1470-2045(09)70171-8]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66 </w:t>
      </w:r>
      <w:r w:rsidRPr="00FC6C8B">
        <w:rPr>
          <w:rFonts w:ascii="Book Antiqua" w:eastAsia="宋体" w:hAnsi="Book Antiqua" w:cs="宋体"/>
          <w:b/>
          <w:bCs/>
          <w:kern w:val="0"/>
          <w:sz w:val="24"/>
          <w:szCs w:val="24"/>
        </w:rPr>
        <w:t>Bergers G</w:t>
      </w:r>
      <w:r w:rsidRPr="00FC6C8B">
        <w:rPr>
          <w:rFonts w:ascii="Book Antiqua" w:eastAsia="宋体" w:hAnsi="Book Antiqua" w:cs="宋体"/>
          <w:kern w:val="0"/>
          <w:sz w:val="24"/>
          <w:szCs w:val="24"/>
        </w:rPr>
        <w:t>, Hanahan D. Modes of resistance to anti-angiogenic therapy. </w:t>
      </w:r>
      <w:r w:rsidRPr="00FC6C8B">
        <w:rPr>
          <w:rFonts w:ascii="Book Antiqua" w:eastAsia="宋体" w:hAnsi="Book Antiqua" w:cs="宋体"/>
          <w:i/>
          <w:iCs/>
          <w:kern w:val="0"/>
          <w:sz w:val="24"/>
          <w:szCs w:val="24"/>
        </w:rPr>
        <w:t>Nat Rev Cancer</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8</w:t>
      </w:r>
      <w:r w:rsidRPr="00FC6C8B">
        <w:rPr>
          <w:rFonts w:ascii="Book Antiqua" w:eastAsia="宋体" w:hAnsi="Book Antiqua" w:cs="宋体"/>
          <w:kern w:val="0"/>
          <w:sz w:val="24"/>
          <w:szCs w:val="24"/>
        </w:rPr>
        <w:t>: 592-603 [PMID: 18650835 DOI: 10.1038/nrc2442]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67 </w:t>
      </w:r>
      <w:r w:rsidRPr="00FC6C8B">
        <w:rPr>
          <w:rFonts w:ascii="Book Antiqua" w:eastAsia="宋体" w:hAnsi="Book Antiqua" w:cs="宋体"/>
          <w:b/>
          <w:bCs/>
          <w:kern w:val="0"/>
          <w:sz w:val="24"/>
          <w:szCs w:val="24"/>
        </w:rPr>
        <w:t>Tille JC</w:t>
      </w:r>
      <w:r w:rsidRPr="00FC6C8B">
        <w:rPr>
          <w:rFonts w:ascii="Book Antiqua" w:eastAsia="宋体" w:hAnsi="Book Antiqua" w:cs="宋体"/>
          <w:kern w:val="0"/>
          <w:sz w:val="24"/>
          <w:szCs w:val="24"/>
        </w:rPr>
        <w:t>, Wood J, Mandriota SJ, Schnell C, Ferrari S, Mestan J, Zhu Z, Witte L, Pepper MS. Vascular endothelial growth factor (VEGF) receptor-2 antagonists inhibit VEGF- and basic fibroblast growth factor-induced angiogenesis in vivo and in vitro. </w:t>
      </w:r>
      <w:r w:rsidRPr="00FC6C8B">
        <w:rPr>
          <w:rFonts w:ascii="Book Antiqua" w:eastAsia="宋体" w:hAnsi="Book Antiqua" w:cs="宋体"/>
          <w:i/>
          <w:iCs/>
          <w:kern w:val="0"/>
          <w:sz w:val="24"/>
          <w:szCs w:val="24"/>
        </w:rPr>
        <w:t>J Pharmacol Exp Ther</w:t>
      </w:r>
      <w:r w:rsidRPr="00FC6C8B">
        <w:rPr>
          <w:rFonts w:ascii="Book Antiqua" w:eastAsia="宋体" w:hAnsi="Book Antiqua" w:cs="宋体"/>
          <w:kern w:val="0"/>
          <w:sz w:val="24"/>
          <w:szCs w:val="24"/>
        </w:rPr>
        <w:t> 2001; </w:t>
      </w:r>
      <w:r w:rsidRPr="00FC6C8B">
        <w:rPr>
          <w:rFonts w:ascii="Book Antiqua" w:eastAsia="宋体" w:hAnsi="Book Antiqua" w:cs="宋体"/>
          <w:b/>
          <w:bCs/>
          <w:kern w:val="0"/>
          <w:sz w:val="24"/>
          <w:szCs w:val="24"/>
        </w:rPr>
        <w:t>299</w:t>
      </w:r>
      <w:r w:rsidRPr="00FC6C8B">
        <w:rPr>
          <w:rFonts w:ascii="Book Antiqua" w:eastAsia="宋体" w:hAnsi="Book Antiqua" w:cs="宋体"/>
          <w:kern w:val="0"/>
          <w:sz w:val="24"/>
          <w:szCs w:val="24"/>
        </w:rPr>
        <w:t>: 1073-1085 [PMID: 11714897]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68 </w:t>
      </w:r>
      <w:r w:rsidRPr="00FC6C8B">
        <w:rPr>
          <w:rFonts w:ascii="Book Antiqua" w:eastAsia="宋体" w:hAnsi="Book Antiqua" w:cs="宋体"/>
          <w:b/>
          <w:bCs/>
          <w:kern w:val="0"/>
          <w:sz w:val="24"/>
          <w:szCs w:val="24"/>
        </w:rPr>
        <w:t>Park JW</w:t>
      </w:r>
      <w:r w:rsidRPr="00FC6C8B">
        <w:rPr>
          <w:rFonts w:ascii="Book Antiqua" w:eastAsia="宋体" w:hAnsi="Book Antiqua" w:cs="宋体"/>
          <w:kern w:val="0"/>
          <w:sz w:val="24"/>
          <w:szCs w:val="24"/>
        </w:rPr>
        <w:t>, Finn RS, Kim JS, Karwal M, Li RK, Ismail F, Thomas M, Harris R, Baudelet C, Walters I, Raoul JL. Phase II, open-label study of brivanib as first-line therapy in patients with advanced hepatocellular carcinoma. </w:t>
      </w:r>
      <w:r w:rsidRPr="00FC6C8B">
        <w:rPr>
          <w:rFonts w:ascii="Book Antiqua" w:eastAsia="宋体" w:hAnsi="Book Antiqua" w:cs="宋体"/>
          <w:i/>
          <w:iCs/>
          <w:kern w:val="0"/>
          <w:sz w:val="24"/>
          <w:szCs w:val="24"/>
        </w:rPr>
        <w:t>Clin Cancer Res</w:t>
      </w:r>
      <w:r w:rsidRPr="00FC6C8B">
        <w:rPr>
          <w:rFonts w:ascii="Book Antiqua" w:eastAsia="宋体" w:hAnsi="Book Antiqua" w:cs="宋体"/>
          <w:kern w:val="0"/>
          <w:sz w:val="24"/>
          <w:szCs w:val="24"/>
        </w:rPr>
        <w:t> 2011; </w:t>
      </w:r>
      <w:r w:rsidRPr="00FC6C8B">
        <w:rPr>
          <w:rFonts w:ascii="Book Antiqua" w:eastAsia="宋体" w:hAnsi="Book Antiqua" w:cs="宋体"/>
          <w:b/>
          <w:bCs/>
          <w:kern w:val="0"/>
          <w:sz w:val="24"/>
          <w:szCs w:val="24"/>
        </w:rPr>
        <w:t>17</w:t>
      </w:r>
      <w:r w:rsidRPr="00FC6C8B">
        <w:rPr>
          <w:rFonts w:ascii="Book Antiqua" w:eastAsia="宋体" w:hAnsi="Book Antiqua" w:cs="宋体"/>
          <w:kern w:val="0"/>
          <w:sz w:val="24"/>
          <w:szCs w:val="24"/>
        </w:rPr>
        <w:t>: 1973-1983 [PMID: 21349999 DOI: 10.1158/1078-0432.CCR-10-2011]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69 </w:t>
      </w:r>
      <w:r w:rsidRPr="00FC6C8B">
        <w:rPr>
          <w:rFonts w:ascii="Book Antiqua" w:eastAsia="宋体" w:hAnsi="Book Antiqua" w:cs="宋体"/>
          <w:b/>
          <w:bCs/>
          <w:kern w:val="0"/>
          <w:sz w:val="24"/>
          <w:szCs w:val="24"/>
        </w:rPr>
        <w:t>Finn RS</w:t>
      </w:r>
      <w:r w:rsidRPr="00FC6C8B">
        <w:rPr>
          <w:rFonts w:ascii="Book Antiqua" w:eastAsia="宋体" w:hAnsi="Book Antiqua" w:cs="宋体"/>
          <w:kern w:val="0"/>
          <w:sz w:val="24"/>
          <w:szCs w:val="24"/>
        </w:rPr>
        <w:t>, Kang YK, Mulcahy M, Polite BN, Lim HY, Walters I, Baudelet C, Manekas D, Park JW. Phase II, open-label study of brivanib as second-line therapy in patients with advanced hepatocellular carcinoma. </w:t>
      </w:r>
      <w:r w:rsidRPr="00FC6C8B">
        <w:rPr>
          <w:rFonts w:ascii="Book Antiqua" w:eastAsia="宋体" w:hAnsi="Book Antiqua" w:cs="宋体"/>
          <w:i/>
          <w:iCs/>
          <w:kern w:val="0"/>
          <w:sz w:val="24"/>
          <w:szCs w:val="24"/>
        </w:rPr>
        <w:t>Clin Cancer Res</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18</w:t>
      </w:r>
      <w:r w:rsidRPr="00FC6C8B">
        <w:rPr>
          <w:rFonts w:ascii="Book Antiqua" w:eastAsia="宋体" w:hAnsi="Book Antiqua" w:cs="宋体"/>
          <w:kern w:val="0"/>
          <w:sz w:val="24"/>
          <w:szCs w:val="24"/>
        </w:rPr>
        <w:t>: 2090-2098 [PMID: 22238246 DOI: 10.1158/1078-0432.CCR-11-1991]</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 xml:space="preserve">70 </w:t>
      </w:r>
      <w:r w:rsidRPr="00FC6C8B">
        <w:rPr>
          <w:rFonts w:ascii="Book Antiqua" w:eastAsia="宋体" w:hAnsi="Book Antiqua" w:cs="宋体"/>
          <w:b/>
          <w:kern w:val="0"/>
          <w:sz w:val="24"/>
          <w:szCs w:val="24"/>
        </w:rPr>
        <w:t>Llovet JM</w:t>
      </w:r>
      <w:r w:rsidRPr="00FC6C8B">
        <w:rPr>
          <w:rFonts w:ascii="Book Antiqua" w:eastAsia="宋体" w:hAnsi="Book Antiqua" w:cs="宋体"/>
          <w:kern w:val="0"/>
          <w:sz w:val="24"/>
          <w:szCs w:val="24"/>
        </w:rPr>
        <w:t xml:space="preserve">, Decaens T, Raoul JL, Boucher E, Kudo M, Chang C, Kang YK, Assenat E, Lim HY, Boige V, Mathurin P, Fartoux L, Lin DY, Bruix J, Poon RT, Sherman M, Blanc JF, Finn R, Tak WY, Chao Y, Ezzeddine R, Liu D, Walters I, Park JW. Brivanib versus placebo in patients with advanced hepatocellular carcinoma who failed or were intolerent to sorafenib: result from the phase 3 BRISK-PS study. </w:t>
      </w:r>
      <w:r w:rsidRPr="00FC6C8B">
        <w:rPr>
          <w:rFonts w:ascii="Book Antiqua" w:eastAsia="宋体" w:hAnsi="Book Antiqua" w:cs="宋体"/>
          <w:i/>
          <w:kern w:val="0"/>
          <w:sz w:val="24"/>
          <w:szCs w:val="24"/>
        </w:rPr>
        <w:t xml:space="preserve">J Hepatol </w:t>
      </w:r>
      <w:r w:rsidRPr="00FC6C8B">
        <w:rPr>
          <w:rFonts w:ascii="Book Antiqua" w:eastAsia="宋体" w:hAnsi="Book Antiqua" w:cs="宋体"/>
          <w:kern w:val="0"/>
          <w:sz w:val="24"/>
          <w:szCs w:val="24"/>
        </w:rPr>
        <w:t xml:space="preserve">2012; </w:t>
      </w:r>
      <w:r w:rsidRPr="00FC6C8B">
        <w:rPr>
          <w:rFonts w:ascii="Book Antiqua" w:eastAsia="宋体" w:hAnsi="Book Antiqua" w:cs="宋体"/>
          <w:b/>
          <w:kern w:val="0"/>
          <w:sz w:val="24"/>
          <w:szCs w:val="24"/>
        </w:rPr>
        <w:t>56</w:t>
      </w:r>
      <w:r w:rsidRPr="00FC6C8B">
        <w:rPr>
          <w:rFonts w:ascii="Book Antiqua" w:eastAsia="宋体" w:hAnsi="Book Antiqua" w:cs="宋体"/>
          <w:kern w:val="0"/>
          <w:sz w:val="24"/>
          <w:szCs w:val="24"/>
        </w:rPr>
        <w:t>: S549 doi: 10.1016/S0168-8278(12)61409-3</w:t>
      </w:r>
    </w:p>
    <w:p w:rsidR="00A7606F" w:rsidRPr="00FC6C8B" w:rsidRDefault="00A7606F" w:rsidP="00BF3853">
      <w:pPr>
        <w:widowControl/>
        <w:spacing w:line="360" w:lineRule="auto"/>
        <w:rPr>
          <w:rFonts w:ascii="Book Antiqua" w:eastAsia="宋体" w:hAnsi="Book Antiqua" w:cs="宋体"/>
          <w:kern w:val="0"/>
          <w:sz w:val="24"/>
          <w:szCs w:val="24"/>
        </w:rPr>
      </w:pPr>
      <w:r w:rsidRPr="009D63A2">
        <w:rPr>
          <w:rFonts w:ascii="Book Antiqua" w:eastAsia="宋体" w:hAnsi="Book Antiqua" w:cs="宋体"/>
          <w:kern w:val="0"/>
          <w:sz w:val="24"/>
          <w:szCs w:val="24"/>
        </w:rPr>
        <w:t xml:space="preserve">71 </w:t>
      </w:r>
      <w:r w:rsidRPr="009D63A2">
        <w:rPr>
          <w:rFonts w:ascii="Book Antiqua" w:eastAsia="宋体" w:hAnsi="Book Antiqua" w:cs="宋体"/>
          <w:b/>
          <w:kern w:val="0"/>
          <w:sz w:val="24"/>
          <w:szCs w:val="24"/>
        </w:rPr>
        <w:t>Johnson P</w:t>
      </w:r>
      <w:r w:rsidRPr="009D63A2">
        <w:rPr>
          <w:rFonts w:ascii="Book Antiqua" w:eastAsia="宋体" w:hAnsi="Book Antiqua" w:cs="宋体"/>
          <w:kern w:val="0"/>
          <w:sz w:val="24"/>
          <w:szCs w:val="24"/>
        </w:rPr>
        <w:t>, Qin S, Park JW. P Johnson, S Qin, J-W Park</w:t>
      </w:r>
      <w:bookmarkStart w:id="14" w:name="_GoBack"/>
      <w:bookmarkEnd w:id="14"/>
      <w:r w:rsidRPr="009D63A2">
        <w:rPr>
          <w:rFonts w:ascii="Book Antiqua" w:eastAsia="宋体" w:hAnsi="Book Antiqua" w:cs="宋体"/>
          <w:kern w:val="0"/>
          <w:sz w:val="24"/>
          <w:szCs w:val="24"/>
        </w:rPr>
        <w:t>. Brivanib (BRI) versus Sorafenib (SOR) as First-line Therapy in Patients with Unresectable, Advanced Hepatocellular Carcinoma (HCC): Results from the Phase 3 BRISK-FL Study. 63rd Annual Meeting of the American Association for the Study of Liver Diseases (AASLD 2012) 2012: Abstract LB-6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72 </w:t>
      </w:r>
      <w:r w:rsidRPr="00FC6C8B">
        <w:rPr>
          <w:rFonts w:ascii="Book Antiqua" w:eastAsia="宋体" w:hAnsi="Book Antiqua" w:cs="宋体"/>
          <w:b/>
          <w:bCs/>
          <w:kern w:val="0"/>
          <w:sz w:val="24"/>
          <w:szCs w:val="24"/>
        </w:rPr>
        <w:t>Wood JM</w:t>
      </w:r>
      <w:r w:rsidRPr="00FC6C8B">
        <w:rPr>
          <w:rFonts w:ascii="Book Antiqua" w:eastAsia="宋体" w:hAnsi="Book Antiqua" w:cs="宋体"/>
          <w:kern w:val="0"/>
          <w:sz w:val="24"/>
          <w:szCs w:val="24"/>
        </w:rPr>
        <w:t>, Bold G, Buchdunger E, Cozens R, Ferrari S, Frei J, Hofmann F, Mestan J, Mett H, O'Reilly T, Persohn E, Rösel J, Schnell C, Stover D, Theuer A, Towbin H, Wenger F, Woods-Cook K, Menrad A, Siemeister G, Schirner M, Thierauch KH, Schneider MR, Drevs J, Martiny-Baron G, Totzke F. PTK787/ZK 222584, a novel and potent inhibitor of vascular endothelial growth factor receptor tyrosine kinases, impairs vascular endothelial growth factor-induced responses and tumor growth after oral administration. </w:t>
      </w:r>
      <w:r w:rsidRPr="00FC6C8B">
        <w:rPr>
          <w:rFonts w:ascii="Book Antiqua" w:eastAsia="宋体" w:hAnsi="Book Antiqua" w:cs="宋体"/>
          <w:i/>
          <w:iCs/>
          <w:kern w:val="0"/>
          <w:sz w:val="24"/>
          <w:szCs w:val="24"/>
        </w:rPr>
        <w:t>Cancer Res</w:t>
      </w:r>
      <w:r w:rsidRPr="00FC6C8B">
        <w:rPr>
          <w:rFonts w:ascii="Book Antiqua" w:eastAsia="宋体" w:hAnsi="Book Antiqua" w:cs="宋体"/>
          <w:kern w:val="0"/>
          <w:sz w:val="24"/>
          <w:szCs w:val="24"/>
        </w:rPr>
        <w:t> 2000; </w:t>
      </w:r>
      <w:r w:rsidRPr="00FC6C8B">
        <w:rPr>
          <w:rFonts w:ascii="Book Antiqua" w:eastAsia="宋体" w:hAnsi="Book Antiqua" w:cs="宋体"/>
          <w:b/>
          <w:bCs/>
          <w:kern w:val="0"/>
          <w:sz w:val="24"/>
          <w:szCs w:val="24"/>
        </w:rPr>
        <w:t>60</w:t>
      </w:r>
      <w:r w:rsidRPr="00FC6C8B">
        <w:rPr>
          <w:rFonts w:ascii="Book Antiqua" w:eastAsia="宋体" w:hAnsi="Book Antiqua" w:cs="宋体"/>
          <w:kern w:val="0"/>
          <w:sz w:val="24"/>
          <w:szCs w:val="24"/>
        </w:rPr>
        <w:t>: 2178-2189 [PMID: 10786682]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73 </w:t>
      </w:r>
      <w:r w:rsidRPr="00FC6C8B">
        <w:rPr>
          <w:rFonts w:ascii="Book Antiqua" w:eastAsia="宋体" w:hAnsi="Book Antiqua" w:cs="宋体"/>
          <w:b/>
          <w:bCs/>
          <w:kern w:val="0"/>
          <w:sz w:val="24"/>
          <w:szCs w:val="24"/>
        </w:rPr>
        <w:t>Yau T</w:t>
      </w:r>
      <w:r w:rsidRPr="00FC6C8B">
        <w:rPr>
          <w:rFonts w:ascii="Book Antiqua" w:eastAsia="宋体" w:hAnsi="Book Antiqua" w:cs="宋体"/>
          <w:kern w:val="0"/>
          <w:sz w:val="24"/>
          <w:szCs w:val="24"/>
        </w:rPr>
        <w:t>, Chan P, Pang R, Ng K, Fan ST, Poon RT. Phase 1-2 trial of PTK787/ZK222584 combined with intravenous doxorubicin for treatment of patients with advanced hepatocellular carcinoma: implication for antiangiogenic approach to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2010; </w:t>
      </w:r>
      <w:r w:rsidRPr="00FC6C8B">
        <w:rPr>
          <w:rFonts w:ascii="Book Antiqua" w:eastAsia="宋体" w:hAnsi="Book Antiqua" w:cs="宋体"/>
          <w:b/>
          <w:bCs/>
          <w:kern w:val="0"/>
          <w:sz w:val="24"/>
          <w:szCs w:val="24"/>
        </w:rPr>
        <w:t>116</w:t>
      </w:r>
      <w:r w:rsidRPr="00FC6C8B">
        <w:rPr>
          <w:rFonts w:ascii="Book Antiqua" w:eastAsia="宋体" w:hAnsi="Book Antiqua" w:cs="宋体"/>
          <w:kern w:val="0"/>
          <w:sz w:val="24"/>
          <w:szCs w:val="24"/>
        </w:rPr>
        <w:t>: 5022-5029 [PMID: 20629034 DOI: 10.1002/cncr.25372]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74 </w:t>
      </w:r>
      <w:r w:rsidRPr="00FC6C8B">
        <w:rPr>
          <w:rFonts w:ascii="Book Antiqua" w:eastAsia="宋体" w:hAnsi="Book Antiqua" w:cs="宋体"/>
          <w:b/>
          <w:bCs/>
          <w:kern w:val="0"/>
          <w:sz w:val="24"/>
          <w:szCs w:val="24"/>
        </w:rPr>
        <w:t>Albert DH</w:t>
      </w:r>
      <w:r w:rsidRPr="00FC6C8B">
        <w:rPr>
          <w:rFonts w:ascii="Book Antiqua" w:eastAsia="宋体" w:hAnsi="Book Antiqua" w:cs="宋体"/>
          <w:kern w:val="0"/>
          <w:sz w:val="24"/>
          <w:szCs w:val="24"/>
        </w:rPr>
        <w:t>, Tapang P, Magoc TJ, Pease LJ, Reuter DR, Wei RQ, Li J, Guo J, Bousquet PF, Ghoreishi-Haack NS, Wang B, Bukofzer GT, Wang YC, Stavropoulos JA, Hartandi K, Niquette AL, Soni N, Johnson EF, McCall JO, Bouska JJ, Luo Y, Donawho CK, Dai Y, Marcotte PA, Glaser KB, Michaelides MR, Davidsen SK. Preclinical activity of ABT-869, a multitargeted receptor tyrosine kinase inhibitor. </w:t>
      </w:r>
      <w:r w:rsidRPr="00FC6C8B">
        <w:rPr>
          <w:rFonts w:ascii="Book Antiqua" w:eastAsia="宋体" w:hAnsi="Book Antiqua" w:cs="宋体"/>
          <w:i/>
          <w:iCs/>
          <w:kern w:val="0"/>
          <w:sz w:val="24"/>
          <w:szCs w:val="24"/>
        </w:rPr>
        <w:t>Mol Cancer Ther</w:t>
      </w:r>
      <w:r w:rsidRPr="00FC6C8B">
        <w:rPr>
          <w:rFonts w:ascii="Book Antiqua" w:eastAsia="宋体" w:hAnsi="Book Antiqua" w:cs="宋体"/>
          <w:kern w:val="0"/>
          <w:sz w:val="24"/>
          <w:szCs w:val="24"/>
        </w:rPr>
        <w:t> 2006; </w:t>
      </w:r>
      <w:r w:rsidRPr="00FC6C8B">
        <w:rPr>
          <w:rFonts w:ascii="Book Antiqua" w:eastAsia="宋体" w:hAnsi="Book Antiqua" w:cs="宋体"/>
          <w:b/>
          <w:bCs/>
          <w:kern w:val="0"/>
          <w:sz w:val="24"/>
          <w:szCs w:val="24"/>
        </w:rPr>
        <w:t>5</w:t>
      </w:r>
      <w:r w:rsidRPr="00FC6C8B">
        <w:rPr>
          <w:rFonts w:ascii="Book Antiqua" w:eastAsia="宋体" w:hAnsi="Book Antiqua" w:cs="宋体"/>
          <w:kern w:val="0"/>
          <w:sz w:val="24"/>
          <w:szCs w:val="24"/>
        </w:rPr>
        <w:t>: 995-1006 [PMID: 16648571 DOI: 10.1158/1535-7163.MCT-05-0410]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75 </w:t>
      </w:r>
      <w:r w:rsidRPr="00FC6C8B">
        <w:rPr>
          <w:rFonts w:ascii="Book Antiqua" w:eastAsia="宋体" w:hAnsi="Book Antiqua" w:cs="宋体"/>
          <w:b/>
          <w:bCs/>
          <w:kern w:val="0"/>
          <w:sz w:val="24"/>
          <w:szCs w:val="24"/>
        </w:rPr>
        <w:t>Toh HC</w:t>
      </w:r>
      <w:r w:rsidRPr="00FC6C8B">
        <w:rPr>
          <w:rFonts w:ascii="Book Antiqua" w:eastAsia="宋体" w:hAnsi="Book Antiqua" w:cs="宋体"/>
          <w:kern w:val="0"/>
          <w:sz w:val="24"/>
          <w:szCs w:val="24"/>
        </w:rPr>
        <w:t>, Chen PJ, Carr BI, Knox JJ, Gill S, Ansell P, McKeegan EM, Dowell B, Pedersen M, Qin Q, Qian J, Scappaticci FA, Ricker JL, Carlson DM, Yong WP. Phase 2 trial of linifanib (ABT-869) in patients with unresectable or metastatic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2013; </w:t>
      </w:r>
      <w:r w:rsidRPr="00FC6C8B">
        <w:rPr>
          <w:rFonts w:ascii="Book Antiqua" w:eastAsia="宋体" w:hAnsi="Book Antiqua" w:cs="宋体"/>
          <w:b/>
          <w:bCs/>
          <w:kern w:val="0"/>
          <w:sz w:val="24"/>
          <w:szCs w:val="24"/>
        </w:rPr>
        <w:t>119</w:t>
      </w:r>
      <w:r w:rsidRPr="00FC6C8B">
        <w:rPr>
          <w:rFonts w:ascii="Book Antiqua" w:eastAsia="宋体" w:hAnsi="Book Antiqua" w:cs="宋体"/>
          <w:kern w:val="0"/>
          <w:sz w:val="24"/>
          <w:szCs w:val="24"/>
        </w:rPr>
        <w:t>: 380-387 [PMID: 22833179 DOI: 10.1002/cncr.27758]</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76</w:t>
      </w:r>
      <w:r w:rsidRPr="00FC6C8B">
        <w:rPr>
          <w:rFonts w:ascii="Book Antiqua" w:eastAsia="宋体" w:hAnsi="Book Antiqua" w:cs="宋体"/>
          <w:b/>
          <w:kern w:val="0"/>
          <w:sz w:val="24"/>
          <w:szCs w:val="24"/>
        </w:rPr>
        <w:t xml:space="preserve"> Cainap C,</w:t>
      </w:r>
      <w:r w:rsidRPr="00FC6C8B">
        <w:rPr>
          <w:rFonts w:ascii="Book Antiqua" w:eastAsia="宋体" w:hAnsi="Book Antiqua" w:cs="宋体"/>
          <w:kern w:val="0"/>
          <w:sz w:val="24"/>
          <w:szCs w:val="24"/>
        </w:rPr>
        <w:t xml:space="preserve"> Qin S, Huang WT, Chung IJ, Pan H, Cheng Y, Kudo M, Kang YK, Chen Pj, Toh HC, Gorbunova V, Eskens F, Qian J, McKee MD, Ricker JL, Carlson DM, Nowiem SE. Phase III trial of linifanib versus sorafenib in patients with advanced hepatocellular carcinoma</w:t>
      </w:r>
      <w:r>
        <w:rPr>
          <w:rFonts w:ascii="Book Antiqua" w:eastAsia="宋体" w:hAnsi="Book Antiqua" w:cs="宋体"/>
          <w:kern w:val="0"/>
          <w:sz w:val="24"/>
          <w:szCs w:val="24"/>
        </w:rPr>
        <w:t>.</w:t>
      </w:r>
      <w:r w:rsidRPr="00FC6C8B">
        <w:rPr>
          <w:rFonts w:ascii="Book Antiqua" w:eastAsia="宋体" w:hAnsi="Book Antiqua" w:cs="宋体"/>
          <w:kern w:val="0"/>
          <w:sz w:val="24"/>
          <w:szCs w:val="24"/>
        </w:rPr>
        <w:t xml:space="preserve"> </w:t>
      </w:r>
      <w:r w:rsidRPr="00FC6C8B">
        <w:rPr>
          <w:rFonts w:ascii="Book Antiqua" w:eastAsia="宋体" w:hAnsi="Book Antiqua" w:cs="宋体"/>
          <w:i/>
          <w:kern w:val="0"/>
          <w:sz w:val="24"/>
          <w:szCs w:val="24"/>
        </w:rPr>
        <w:t xml:space="preserve">J Clin Oncol </w:t>
      </w:r>
      <w:r w:rsidRPr="00FC6C8B">
        <w:rPr>
          <w:rFonts w:ascii="Book Antiqua" w:eastAsia="宋体" w:hAnsi="Book Antiqua" w:cs="宋体"/>
          <w:kern w:val="0"/>
          <w:sz w:val="24"/>
          <w:szCs w:val="24"/>
        </w:rPr>
        <w:t xml:space="preserve">2012; </w:t>
      </w:r>
      <w:r w:rsidRPr="00FC6C8B">
        <w:rPr>
          <w:rFonts w:ascii="Book Antiqua" w:eastAsia="宋体" w:hAnsi="Book Antiqua" w:cs="宋体"/>
          <w:b/>
          <w:kern w:val="0"/>
          <w:sz w:val="24"/>
          <w:szCs w:val="24"/>
        </w:rPr>
        <w:t>30</w:t>
      </w:r>
      <w:r w:rsidRPr="00FC6C8B">
        <w:rPr>
          <w:rFonts w:ascii="Book Antiqua" w:eastAsia="宋体" w:hAnsi="Book Antiqua" w:cs="宋体"/>
          <w:kern w:val="0"/>
          <w:sz w:val="24"/>
          <w:szCs w:val="24"/>
        </w:rPr>
        <w:t>: abstr 249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77 </w:t>
      </w:r>
      <w:r w:rsidRPr="00FC6C8B">
        <w:rPr>
          <w:rFonts w:ascii="Book Antiqua" w:eastAsia="宋体" w:hAnsi="Book Antiqua" w:cs="宋体"/>
          <w:b/>
          <w:bCs/>
          <w:kern w:val="0"/>
          <w:sz w:val="24"/>
          <w:szCs w:val="24"/>
        </w:rPr>
        <w:t>Kanai F</w:t>
      </w:r>
      <w:r w:rsidRPr="00FC6C8B">
        <w:rPr>
          <w:rFonts w:ascii="Book Antiqua" w:eastAsia="宋体" w:hAnsi="Book Antiqua" w:cs="宋体"/>
          <w:kern w:val="0"/>
          <w:sz w:val="24"/>
          <w:szCs w:val="24"/>
        </w:rPr>
        <w:t>, Yoshida H, Tateishi R, Sato S, Kawabe T, Obi S, Kondo Y, Taniguchi M, Tagawa K, Ikeda M, Morizane C, Okusaka T, Arioka H, Shiina S, Omata M. A phase I/II trial of the oral antiangiogenic agent TSU-68 in patients with advanced hepatocellular carcinoma. </w:t>
      </w:r>
      <w:r w:rsidRPr="00FC6C8B">
        <w:rPr>
          <w:rFonts w:ascii="Book Antiqua" w:eastAsia="宋体" w:hAnsi="Book Antiqua" w:cs="宋体"/>
          <w:i/>
          <w:iCs/>
          <w:kern w:val="0"/>
          <w:sz w:val="24"/>
          <w:szCs w:val="24"/>
        </w:rPr>
        <w:t>Cancer Chemother Pharmacol</w:t>
      </w:r>
      <w:r w:rsidRPr="00FC6C8B">
        <w:rPr>
          <w:rFonts w:ascii="Book Antiqua" w:eastAsia="宋体" w:hAnsi="Book Antiqua" w:cs="宋体"/>
          <w:kern w:val="0"/>
          <w:sz w:val="24"/>
          <w:szCs w:val="24"/>
        </w:rPr>
        <w:t> 2011; </w:t>
      </w:r>
      <w:r w:rsidRPr="00FC6C8B">
        <w:rPr>
          <w:rFonts w:ascii="Book Antiqua" w:eastAsia="宋体" w:hAnsi="Book Antiqua" w:cs="宋体"/>
          <w:b/>
          <w:bCs/>
          <w:kern w:val="0"/>
          <w:sz w:val="24"/>
          <w:szCs w:val="24"/>
        </w:rPr>
        <w:t>67</w:t>
      </w:r>
      <w:r w:rsidRPr="00FC6C8B">
        <w:rPr>
          <w:rFonts w:ascii="Book Antiqua" w:eastAsia="宋体" w:hAnsi="Book Antiqua" w:cs="宋体"/>
          <w:kern w:val="0"/>
          <w:sz w:val="24"/>
          <w:szCs w:val="24"/>
        </w:rPr>
        <w:t>: 315-324 [PMID: 20390419 DOI: 10.1007/s00280-010-1320-2]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78 </w:t>
      </w:r>
      <w:r w:rsidRPr="00FC6C8B">
        <w:rPr>
          <w:rFonts w:ascii="Book Antiqua" w:eastAsia="宋体" w:hAnsi="Book Antiqua" w:cs="宋体"/>
          <w:b/>
          <w:bCs/>
          <w:kern w:val="0"/>
          <w:sz w:val="24"/>
          <w:szCs w:val="24"/>
        </w:rPr>
        <w:t>Alberts SR</w:t>
      </w:r>
      <w:r w:rsidRPr="00FC6C8B">
        <w:rPr>
          <w:rFonts w:ascii="Book Antiqua" w:eastAsia="宋体" w:hAnsi="Book Antiqua" w:cs="宋体"/>
          <w:kern w:val="0"/>
          <w:sz w:val="24"/>
          <w:szCs w:val="24"/>
        </w:rPr>
        <w:t>, Fitch TR, Kim GP, Morlan BW, Dakhil SR, Gross HM, Nair S. Cediranib (AZD2171) in patients with advanced hepatocellular carcinoma: a phase II North Central Cancer Treatment Group Clinical Trial. </w:t>
      </w:r>
      <w:r w:rsidRPr="00FC6C8B">
        <w:rPr>
          <w:rFonts w:ascii="Book Antiqua" w:eastAsia="宋体" w:hAnsi="Book Antiqua" w:cs="宋体"/>
          <w:i/>
          <w:iCs/>
          <w:kern w:val="0"/>
          <w:sz w:val="24"/>
          <w:szCs w:val="24"/>
        </w:rPr>
        <w:t>Am J Clin Oncol</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35</w:t>
      </w:r>
      <w:r w:rsidRPr="00FC6C8B">
        <w:rPr>
          <w:rFonts w:ascii="Book Antiqua" w:eastAsia="宋体" w:hAnsi="Book Antiqua" w:cs="宋体"/>
          <w:kern w:val="0"/>
          <w:sz w:val="24"/>
          <w:szCs w:val="24"/>
        </w:rPr>
        <w:t>: 329-333 [PMID: 21422991 DOI: 10.1097/COC.0b013e3182118cdf]</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79 </w:t>
      </w:r>
      <w:r w:rsidRPr="00FC6C8B">
        <w:rPr>
          <w:rFonts w:ascii="Book Antiqua" w:eastAsia="宋体" w:hAnsi="Book Antiqua" w:cs="宋体"/>
          <w:b/>
          <w:bCs/>
          <w:kern w:val="0"/>
          <w:sz w:val="24"/>
          <w:szCs w:val="24"/>
        </w:rPr>
        <w:t>Ciardiello F</w:t>
      </w:r>
      <w:r w:rsidRPr="00FC6C8B">
        <w:rPr>
          <w:rFonts w:ascii="Book Antiqua" w:eastAsia="宋体" w:hAnsi="Book Antiqua" w:cs="宋体"/>
          <w:kern w:val="0"/>
          <w:sz w:val="24"/>
          <w:szCs w:val="24"/>
        </w:rPr>
        <w:t>, Tortora G. EGFR antagonists in cancer treatment. </w:t>
      </w:r>
      <w:r w:rsidRPr="00FC6C8B">
        <w:rPr>
          <w:rFonts w:ascii="Book Antiqua" w:eastAsia="宋体" w:hAnsi="Book Antiqua" w:cs="宋体"/>
          <w:i/>
          <w:iCs/>
          <w:kern w:val="0"/>
          <w:sz w:val="24"/>
          <w:szCs w:val="24"/>
        </w:rPr>
        <w:t>N Engl J Med</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358</w:t>
      </w:r>
      <w:r w:rsidRPr="00FC6C8B">
        <w:rPr>
          <w:rFonts w:ascii="Book Antiqua" w:eastAsia="宋体" w:hAnsi="Book Antiqua" w:cs="宋体"/>
          <w:kern w:val="0"/>
          <w:sz w:val="24"/>
          <w:szCs w:val="24"/>
        </w:rPr>
        <w:t>: 1160-1174 [PMID: 18337605 DOI: 10.1056/NEJMra0707704]</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80 </w:t>
      </w:r>
      <w:r w:rsidRPr="00FC6C8B">
        <w:rPr>
          <w:rFonts w:ascii="Book Antiqua" w:eastAsia="宋体" w:hAnsi="Book Antiqua" w:cs="宋体"/>
          <w:b/>
          <w:bCs/>
          <w:kern w:val="0"/>
          <w:sz w:val="24"/>
          <w:szCs w:val="24"/>
        </w:rPr>
        <w:t>Buckley AF</w:t>
      </w:r>
      <w:r w:rsidRPr="00FC6C8B">
        <w:rPr>
          <w:rFonts w:ascii="Book Antiqua" w:eastAsia="宋体" w:hAnsi="Book Antiqua" w:cs="宋体"/>
          <w:kern w:val="0"/>
          <w:sz w:val="24"/>
          <w:szCs w:val="24"/>
        </w:rPr>
        <w:t>, Burgart LJ, Sahai V, Kakar S. Epidermal growth factor receptor expression and gene copy number in conventional hepatocellular carcinoma. </w:t>
      </w:r>
      <w:r w:rsidRPr="00FC6C8B">
        <w:rPr>
          <w:rFonts w:ascii="Book Antiqua" w:eastAsia="宋体" w:hAnsi="Book Antiqua" w:cs="宋体"/>
          <w:i/>
          <w:iCs/>
          <w:kern w:val="0"/>
          <w:sz w:val="24"/>
          <w:szCs w:val="24"/>
        </w:rPr>
        <w:t>Am J Clin Pathol</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129</w:t>
      </w:r>
      <w:r w:rsidRPr="00FC6C8B">
        <w:rPr>
          <w:rFonts w:ascii="Book Antiqua" w:eastAsia="宋体" w:hAnsi="Book Antiqua" w:cs="宋体"/>
          <w:kern w:val="0"/>
          <w:sz w:val="24"/>
          <w:szCs w:val="24"/>
        </w:rPr>
        <w:t>: 245-251 [PMID: 18208805 DOI: 10.1309/WF10QAAED3PP93BH]</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81 </w:t>
      </w:r>
      <w:r w:rsidRPr="00FC6C8B">
        <w:rPr>
          <w:rFonts w:ascii="Book Antiqua" w:eastAsia="宋体" w:hAnsi="Book Antiqua" w:cs="宋体"/>
          <w:b/>
          <w:bCs/>
          <w:kern w:val="0"/>
          <w:sz w:val="24"/>
          <w:szCs w:val="24"/>
        </w:rPr>
        <w:t>Zhu AX</w:t>
      </w:r>
      <w:r w:rsidRPr="00FC6C8B">
        <w:rPr>
          <w:rFonts w:ascii="Book Antiqua" w:eastAsia="宋体" w:hAnsi="Book Antiqua" w:cs="宋体"/>
          <w:kern w:val="0"/>
          <w:sz w:val="24"/>
          <w:szCs w:val="24"/>
        </w:rPr>
        <w:t>, Stuart K, Blaszkowsky LS, Muzikansky A, Reitberg DP, Clark JW, Enzinger PC, Bhargava P, Meyerhardt JA, Horgan K, Fuchs CS, Ryan DP. Phase 2 study of cetuximab in patients with advanced hepatocellular carcinoma. </w:t>
      </w:r>
      <w:r w:rsidRPr="00FC6C8B">
        <w:rPr>
          <w:rFonts w:ascii="Book Antiqua" w:eastAsia="宋体" w:hAnsi="Book Antiqua" w:cs="宋体"/>
          <w:i/>
          <w:iCs/>
          <w:kern w:val="0"/>
          <w:sz w:val="24"/>
          <w:szCs w:val="24"/>
        </w:rPr>
        <w:t>Cancer</w:t>
      </w:r>
      <w:r w:rsidRPr="00FC6C8B">
        <w:rPr>
          <w:rFonts w:ascii="Book Antiqua" w:eastAsia="宋体" w:hAnsi="Book Antiqua" w:cs="宋体"/>
          <w:kern w:val="0"/>
          <w:sz w:val="24"/>
          <w:szCs w:val="24"/>
        </w:rPr>
        <w:t> 2007; </w:t>
      </w:r>
      <w:r w:rsidRPr="00FC6C8B">
        <w:rPr>
          <w:rFonts w:ascii="Book Antiqua" w:eastAsia="宋体" w:hAnsi="Book Antiqua" w:cs="宋体"/>
          <w:b/>
          <w:bCs/>
          <w:kern w:val="0"/>
          <w:sz w:val="24"/>
          <w:szCs w:val="24"/>
        </w:rPr>
        <w:t>110</w:t>
      </w:r>
      <w:r w:rsidRPr="00FC6C8B">
        <w:rPr>
          <w:rFonts w:ascii="Book Antiqua" w:eastAsia="宋体" w:hAnsi="Book Antiqua" w:cs="宋体"/>
          <w:kern w:val="0"/>
          <w:sz w:val="24"/>
          <w:szCs w:val="24"/>
        </w:rPr>
        <w:t>: 581-589 [PMID: 17583545 DOI: 10.1002/cncr.22829]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82 </w:t>
      </w:r>
      <w:r w:rsidRPr="00FC6C8B">
        <w:rPr>
          <w:rFonts w:ascii="Book Antiqua" w:eastAsia="宋体" w:hAnsi="Book Antiqua" w:cs="宋体"/>
          <w:b/>
          <w:bCs/>
          <w:kern w:val="0"/>
          <w:sz w:val="24"/>
          <w:szCs w:val="24"/>
        </w:rPr>
        <w:t>Huether A</w:t>
      </w:r>
      <w:r w:rsidRPr="00FC6C8B">
        <w:rPr>
          <w:rFonts w:ascii="Book Antiqua" w:eastAsia="宋体" w:hAnsi="Book Antiqua" w:cs="宋体"/>
          <w:kern w:val="0"/>
          <w:sz w:val="24"/>
          <w:szCs w:val="24"/>
        </w:rPr>
        <w:t>, Hopfner M, Sutter AP, Baradari V, Schuppan D, Scherubl H. Signaling pathways involved in the inhibition of epidermal growth factor receptor by erlotinib in hepatocellular cancer. </w:t>
      </w:r>
      <w:r w:rsidRPr="00FC6C8B">
        <w:rPr>
          <w:rFonts w:ascii="Book Antiqua" w:eastAsia="宋体" w:hAnsi="Book Antiqua" w:cs="宋体"/>
          <w:i/>
          <w:iCs/>
          <w:kern w:val="0"/>
          <w:sz w:val="24"/>
          <w:szCs w:val="24"/>
        </w:rPr>
        <w:t>World J Gastroenterol</w:t>
      </w:r>
      <w:r w:rsidRPr="00FC6C8B">
        <w:rPr>
          <w:rFonts w:ascii="Book Antiqua" w:eastAsia="宋体" w:hAnsi="Book Antiqua" w:cs="宋体"/>
          <w:kern w:val="0"/>
          <w:sz w:val="24"/>
          <w:szCs w:val="24"/>
        </w:rPr>
        <w:t> 2006; </w:t>
      </w:r>
      <w:r w:rsidRPr="00FC6C8B">
        <w:rPr>
          <w:rFonts w:ascii="Book Antiqua" w:eastAsia="宋体" w:hAnsi="Book Antiqua" w:cs="宋体"/>
          <w:b/>
          <w:bCs/>
          <w:kern w:val="0"/>
          <w:sz w:val="24"/>
          <w:szCs w:val="24"/>
        </w:rPr>
        <w:t>12</w:t>
      </w:r>
      <w:r w:rsidRPr="00FC6C8B">
        <w:rPr>
          <w:rFonts w:ascii="Book Antiqua" w:eastAsia="宋体" w:hAnsi="Book Antiqua" w:cs="宋体"/>
          <w:kern w:val="0"/>
          <w:sz w:val="24"/>
          <w:szCs w:val="24"/>
        </w:rPr>
        <w:t>: 5160-5167 [PMID: 16937526]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 xml:space="preserve">83 </w:t>
      </w:r>
      <w:r w:rsidRPr="00FC6C8B">
        <w:rPr>
          <w:rFonts w:ascii="Book Antiqua" w:eastAsia="宋体" w:hAnsi="Book Antiqua" w:cs="宋体"/>
          <w:b/>
          <w:kern w:val="0"/>
          <w:sz w:val="24"/>
          <w:szCs w:val="24"/>
        </w:rPr>
        <w:t>Zhu AX,</w:t>
      </w:r>
      <w:r w:rsidRPr="00FC6C8B">
        <w:rPr>
          <w:rFonts w:ascii="Book Antiqua" w:eastAsia="宋体" w:hAnsi="Book Antiqua" w:cs="宋体"/>
          <w:kern w:val="0"/>
          <w:sz w:val="24"/>
          <w:szCs w:val="24"/>
        </w:rPr>
        <w:t xml:space="preserve"> Rosmorduc O, Evans J, Ross P, Santoro A, Carrilho FJ, Leberre M, Jensen M, Meinhardt G, Kang YK. SEARCH: a phase III, randomized, double-blind, placebo-controlled trial of sorafenib plus erlotinib in patients with hepatocellular carcinoma (HCC). Ann Oncol 2012; 23: Abstract LBA2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84 </w:t>
      </w:r>
      <w:r w:rsidRPr="00FC6C8B">
        <w:rPr>
          <w:rFonts w:ascii="Book Antiqua" w:eastAsia="宋体" w:hAnsi="Book Antiqua" w:cs="宋体"/>
          <w:b/>
          <w:bCs/>
          <w:kern w:val="0"/>
          <w:sz w:val="24"/>
          <w:szCs w:val="24"/>
        </w:rPr>
        <w:t>Burris HA</w:t>
      </w:r>
      <w:r w:rsidRPr="00FC6C8B">
        <w:rPr>
          <w:rFonts w:ascii="Book Antiqua" w:eastAsia="宋体" w:hAnsi="Book Antiqua" w:cs="宋体"/>
          <w:kern w:val="0"/>
          <w:sz w:val="24"/>
          <w:szCs w:val="24"/>
        </w:rPr>
        <w:t>, Hurwitz HI, Dees EC, Dowlati A, Blackwell KL, O'Neil B, Marcom PK, Ellis MJ, Overmoyer B, Jones SF, Harris JL, Smith DA, Koch KM, Stead A, Mangum S, Spector NL. Phase I safety, pharmacokinetics, and clinical activity study of lapatinib (GW572016), a reversible dual inhibitor of epidermal growth factor receptor tyrosine kinases, in heavily pretreated patients with metastatic carcinomas. </w:t>
      </w:r>
      <w:r w:rsidRPr="00FC6C8B">
        <w:rPr>
          <w:rFonts w:ascii="Book Antiqua" w:eastAsia="宋体" w:hAnsi="Book Antiqua" w:cs="宋体"/>
          <w:i/>
          <w:iCs/>
          <w:kern w:val="0"/>
          <w:sz w:val="24"/>
          <w:szCs w:val="24"/>
        </w:rPr>
        <w:t>J Clin Oncol</w:t>
      </w:r>
      <w:r w:rsidRPr="00FC6C8B">
        <w:rPr>
          <w:rFonts w:ascii="Book Antiqua" w:eastAsia="宋体" w:hAnsi="Book Antiqua" w:cs="宋体"/>
          <w:kern w:val="0"/>
          <w:sz w:val="24"/>
          <w:szCs w:val="24"/>
        </w:rPr>
        <w:t> 2005; </w:t>
      </w:r>
      <w:r w:rsidRPr="00FC6C8B">
        <w:rPr>
          <w:rFonts w:ascii="Book Antiqua" w:eastAsia="宋体" w:hAnsi="Book Antiqua" w:cs="宋体"/>
          <w:b/>
          <w:bCs/>
          <w:kern w:val="0"/>
          <w:sz w:val="24"/>
          <w:szCs w:val="24"/>
        </w:rPr>
        <w:t>23</w:t>
      </w:r>
      <w:r w:rsidRPr="00FC6C8B">
        <w:rPr>
          <w:rFonts w:ascii="Book Antiqua" w:eastAsia="宋体" w:hAnsi="Book Antiqua" w:cs="宋体"/>
          <w:kern w:val="0"/>
          <w:sz w:val="24"/>
          <w:szCs w:val="24"/>
        </w:rPr>
        <w:t>: 5305-5313 [PMID: 15955900 DOI: 10.1200/JCO.2005.16.584]</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85 </w:t>
      </w:r>
      <w:r w:rsidRPr="00FC6C8B">
        <w:rPr>
          <w:rFonts w:ascii="Book Antiqua" w:eastAsia="宋体" w:hAnsi="Book Antiqua" w:cs="宋体"/>
          <w:b/>
          <w:bCs/>
          <w:kern w:val="0"/>
          <w:sz w:val="24"/>
          <w:szCs w:val="24"/>
        </w:rPr>
        <w:t>Ramanathan RK</w:t>
      </w:r>
      <w:r w:rsidRPr="00FC6C8B">
        <w:rPr>
          <w:rFonts w:ascii="Book Antiqua" w:eastAsia="宋体" w:hAnsi="Book Antiqua" w:cs="宋体"/>
          <w:kern w:val="0"/>
          <w:sz w:val="24"/>
          <w:szCs w:val="24"/>
        </w:rPr>
        <w:t>, Belani CP, Singh DA, Tanaka M, Lenz HJ, Yen Y, Kindler HL, Iqbal S, Longmate J, Mack PC, Lurje G, Gandour-Edwards R, Dancey J, Gandara DR. A phase II study of lapatinib in patients with advanced biliary tree and hepatocellular cancer. </w:t>
      </w:r>
      <w:r w:rsidRPr="00FC6C8B">
        <w:rPr>
          <w:rFonts w:ascii="Book Antiqua" w:eastAsia="宋体" w:hAnsi="Book Antiqua" w:cs="宋体"/>
          <w:i/>
          <w:iCs/>
          <w:kern w:val="0"/>
          <w:sz w:val="24"/>
          <w:szCs w:val="24"/>
        </w:rPr>
        <w:t>Cancer Chemother Pharmacol</w:t>
      </w:r>
      <w:r w:rsidRPr="00FC6C8B">
        <w:rPr>
          <w:rFonts w:ascii="Book Antiqua" w:eastAsia="宋体" w:hAnsi="Book Antiqua" w:cs="宋体"/>
          <w:kern w:val="0"/>
          <w:sz w:val="24"/>
          <w:szCs w:val="24"/>
        </w:rPr>
        <w:t> 2009; </w:t>
      </w:r>
      <w:r w:rsidRPr="00FC6C8B">
        <w:rPr>
          <w:rFonts w:ascii="Book Antiqua" w:eastAsia="宋体" w:hAnsi="Book Antiqua" w:cs="宋体"/>
          <w:b/>
          <w:bCs/>
          <w:kern w:val="0"/>
          <w:sz w:val="24"/>
          <w:szCs w:val="24"/>
        </w:rPr>
        <w:t>64</w:t>
      </w:r>
      <w:r w:rsidRPr="00FC6C8B">
        <w:rPr>
          <w:rFonts w:ascii="Book Antiqua" w:eastAsia="宋体" w:hAnsi="Book Antiqua" w:cs="宋体"/>
          <w:kern w:val="0"/>
          <w:sz w:val="24"/>
          <w:szCs w:val="24"/>
        </w:rPr>
        <w:t>: 777-783 [PMID: 19169683 DOI: 10.1007/s00280-009-0927-7]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86 </w:t>
      </w:r>
      <w:r w:rsidRPr="00FC6C8B">
        <w:rPr>
          <w:rFonts w:ascii="Book Antiqua" w:eastAsia="宋体" w:hAnsi="Book Antiqua" w:cs="宋体"/>
          <w:b/>
          <w:bCs/>
          <w:kern w:val="0"/>
          <w:sz w:val="24"/>
          <w:szCs w:val="24"/>
        </w:rPr>
        <w:t>Golan T</w:t>
      </w:r>
      <w:r w:rsidRPr="00FC6C8B">
        <w:rPr>
          <w:rFonts w:ascii="Book Antiqua" w:eastAsia="宋体" w:hAnsi="Book Antiqua" w:cs="宋体"/>
          <w:kern w:val="0"/>
          <w:sz w:val="24"/>
          <w:szCs w:val="24"/>
        </w:rPr>
        <w:t>, Javle M. Targeting the insulin growth factor pathway in gastrointestinal cancers. </w:t>
      </w:r>
      <w:r w:rsidRPr="00FC6C8B">
        <w:rPr>
          <w:rFonts w:ascii="Book Antiqua" w:eastAsia="宋体" w:hAnsi="Book Antiqua" w:cs="宋体"/>
          <w:i/>
          <w:iCs/>
          <w:kern w:val="0"/>
          <w:sz w:val="24"/>
          <w:szCs w:val="24"/>
        </w:rPr>
        <w:t>Oncology (Williston Park)</w:t>
      </w:r>
      <w:r w:rsidRPr="00FC6C8B">
        <w:rPr>
          <w:rFonts w:ascii="Book Antiqua" w:eastAsia="宋体" w:hAnsi="Book Antiqua" w:cs="宋体"/>
          <w:kern w:val="0"/>
          <w:sz w:val="24"/>
          <w:szCs w:val="24"/>
        </w:rPr>
        <w:t> 2011; </w:t>
      </w:r>
      <w:r w:rsidRPr="00FC6C8B">
        <w:rPr>
          <w:rFonts w:ascii="Book Antiqua" w:eastAsia="宋体" w:hAnsi="Book Antiqua" w:cs="宋体"/>
          <w:b/>
          <w:bCs/>
          <w:kern w:val="0"/>
          <w:sz w:val="24"/>
          <w:szCs w:val="24"/>
        </w:rPr>
        <w:t>25</w:t>
      </w:r>
      <w:r w:rsidRPr="00FC6C8B">
        <w:rPr>
          <w:rFonts w:ascii="Book Antiqua" w:eastAsia="宋体" w:hAnsi="Book Antiqua" w:cs="宋体"/>
          <w:kern w:val="0"/>
          <w:sz w:val="24"/>
          <w:szCs w:val="24"/>
        </w:rPr>
        <w:t>: 518-26, 529 [PMID: 21717907]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87 </w:t>
      </w:r>
      <w:r w:rsidRPr="00FC6C8B">
        <w:rPr>
          <w:rFonts w:ascii="Book Antiqua" w:eastAsia="宋体" w:hAnsi="Book Antiqua" w:cs="宋体"/>
          <w:b/>
          <w:bCs/>
          <w:kern w:val="0"/>
          <w:sz w:val="24"/>
          <w:szCs w:val="24"/>
        </w:rPr>
        <w:t>Pollak MN</w:t>
      </w:r>
      <w:r w:rsidRPr="00FC6C8B">
        <w:rPr>
          <w:rFonts w:ascii="Book Antiqua" w:eastAsia="宋体" w:hAnsi="Book Antiqua" w:cs="宋体"/>
          <w:kern w:val="0"/>
          <w:sz w:val="24"/>
          <w:szCs w:val="24"/>
        </w:rPr>
        <w:t>, Schernhammer ES, Hankinson SE. Insulin-like growth factors and neoplasia. </w:t>
      </w:r>
      <w:r w:rsidRPr="00FC6C8B">
        <w:rPr>
          <w:rFonts w:ascii="Book Antiqua" w:eastAsia="宋体" w:hAnsi="Book Antiqua" w:cs="宋体"/>
          <w:i/>
          <w:iCs/>
          <w:kern w:val="0"/>
          <w:sz w:val="24"/>
          <w:szCs w:val="24"/>
        </w:rPr>
        <w:t>Nat Rev Cancer</w:t>
      </w:r>
      <w:r w:rsidRPr="00FC6C8B">
        <w:rPr>
          <w:rFonts w:ascii="Book Antiqua" w:eastAsia="宋体" w:hAnsi="Book Antiqua" w:cs="宋体"/>
          <w:kern w:val="0"/>
          <w:sz w:val="24"/>
          <w:szCs w:val="24"/>
        </w:rPr>
        <w:t> 2004; </w:t>
      </w:r>
      <w:r w:rsidRPr="00FC6C8B">
        <w:rPr>
          <w:rFonts w:ascii="Book Antiqua" w:eastAsia="宋体" w:hAnsi="Book Antiqua" w:cs="宋体"/>
          <w:b/>
          <w:bCs/>
          <w:kern w:val="0"/>
          <w:sz w:val="24"/>
          <w:szCs w:val="24"/>
        </w:rPr>
        <w:t>4</w:t>
      </w:r>
      <w:r w:rsidRPr="00FC6C8B">
        <w:rPr>
          <w:rFonts w:ascii="Book Antiqua" w:eastAsia="宋体" w:hAnsi="Book Antiqua" w:cs="宋体"/>
          <w:kern w:val="0"/>
          <w:sz w:val="24"/>
          <w:szCs w:val="24"/>
        </w:rPr>
        <w:t>: 505-518 [PMID: 15229476 DOI: 10.1038/nrc1387]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88 </w:t>
      </w:r>
      <w:r w:rsidRPr="00FC6C8B">
        <w:rPr>
          <w:rFonts w:ascii="Book Antiqua" w:eastAsia="宋体" w:hAnsi="Book Antiqua" w:cs="宋体"/>
          <w:b/>
          <w:bCs/>
          <w:kern w:val="0"/>
          <w:sz w:val="24"/>
          <w:szCs w:val="24"/>
        </w:rPr>
        <w:t>Cariani E</w:t>
      </w:r>
      <w:r w:rsidRPr="00FC6C8B">
        <w:rPr>
          <w:rFonts w:ascii="Book Antiqua" w:eastAsia="宋体" w:hAnsi="Book Antiqua" w:cs="宋体"/>
          <w:kern w:val="0"/>
          <w:sz w:val="24"/>
          <w:szCs w:val="24"/>
        </w:rPr>
        <w:t>, Lasserre C, Seurin D, Hamelin B, Kemeny F, Franco D, Czech MP, Ullrich A, Brechot C. Differential expression of insulin-like growth factor II mRNA in human primary liver cancers, benign liver tumors, and liver cirrhosis. </w:t>
      </w:r>
      <w:r w:rsidRPr="00FC6C8B">
        <w:rPr>
          <w:rFonts w:ascii="Book Antiqua" w:eastAsia="宋体" w:hAnsi="Book Antiqua" w:cs="宋体"/>
          <w:i/>
          <w:iCs/>
          <w:kern w:val="0"/>
          <w:sz w:val="24"/>
          <w:szCs w:val="24"/>
        </w:rPr>
        <w:t>Cancer Res</w:t>
      </w:r>
      <w:r w:rsidRPr="00FC6C8B">
        <w:rPr>
          <w:rFonts w:ascii="Book Antiqua" w:eastAsia="宋体" w:hAnsi="Book Antiqua" w:cs="宋体"/>
          <w:kern w:val="0"/>
          <w:sz w:val="24"/>
          <w:szCs w:val="24"/>
        </w:rPr>
        <w:t> 1988; </w:t>
      </w:r>
      <w:r w:rsidRPr="00FC6C8B">
        <w:rPr>
          <w:rFonts w:ascii="Book Antiqua" w:eastAsia="宋体" w:hAnsi="Book Antiqua" w:cs="宋体"/>
          <w:b/>
          <w:bCs/>
          <w:kern w:val="0"/>
          <w:sz w:val="24"/>
          <w:szCs w:val="24"/>
        </w:rPr>
        <w:t>48</w:t>
      </w:r>
      <w:r w:rsidRPr="00FC6C8B">
        <w:rPr>
          <w:rFonts w:ascii="Book Antiqua" w:eastAsia="宋体" w:hAnsi="Book Antiqua" w:cs="宋体"/>
          <w:kern w:val="0"/>
          <w:sz w:val="24"/>
          <w:szCs w:val="24"/>
        </w:rPr>
        <w:t>: 6844-6849 [PMID: 3180092]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89 </w:t>
      </w:r>
      <w:r w:rsidRPr="00FC6C8B">
        <w:rPr>
          <w:rFonts w:ascii="Book Antiqua" w:eastAsia="宋体" w:hAnsi="Book Antiqua" w:cs="宋体"/>
          <w:b/>
          <w:bCs/>
          <w:kern w:val="0"/>
          <w:sz w:val="24"/>
          <w:szCs w:val="24"/>
        </w:rPr>
        <w:t>De Souza AT</w:t>
      </w:r>
      <w:r w:rsidRPr="00FC6C8B">
        <w:rPr>
          <w:rFonts w:ascii="Book Antiqua" w:eastAsia="宋体" w:hAnsi="Book Antiqua" w:cs="宋体"/>
          <w:kern w:val="0"/>
          <w:sz w:val="24"/>
          <w:szCs w:val="24"/>
        </w:rPr>
        <w:t>, Hankins GR, Washington MK, Fine RL, Orton TC, Jirtle RL. Frequent loss of heterozygosity on 6q at the mannose 6-phosphate/insulin-like growth factor II receptor locus in human hepatocellular tumors. </w:t>
      </w:r>
      <w:r w:rsidRPr="00FC6C8B">
        <w:rPr>
          <w:rFonts w:ascii="Book Antiqua" w:eastAsia="宋体" w:hAnsi="Book Antiqua" w:cs="宋体"/>
          <w:i/>
          <w:iCs/>
          <w:kern w:val="0"/>
          <w:sz w:val="24"/>
          <w:szCs w:val="24"/>
        </w:rPr>
        <w:t>Oncogene</w:t>
      </w:r>
      <w:r w:rsidRPr="00FC6C8B">
        <w:rPr>
          <w:rFonts w:ascii="Book Antiqua" w:eastAsia="宋体" w:hAnsi="Book Antiqua" w:cs="宋体"/>
          <w:kern w:val="0"/>
          <w:sz w:val="24"/>
          <w:szCs w:val="24"/>
        </w:rPr>
        <w:t> 1995; </w:t>
      </w:r>
      <w:r w:rsidRPr="00FC6C8B">
        <w:rPr>
          <w:rFonts w:ascii="Book Antiqua" w:eastAsia="宋体" w:hAnsi="Book Antiqua" w:cs="宋体"/>
          <w:b/>
          <w:bCs/>
          <w:kern w:val="0"/>
          <w:sz w:val="24"/>
          <w:szCs w:val="24"/>
        </w:rPr>
        <w:t>10</w:t>
      </w:r>
      <w:r w:rsidRPr="00FC6C8B">
        <w:rPr>
          <w:rFonts w:ascii="Book Antiqua" w:eastAsia="宋体" w:hAnsi="Book Antiqua" w:cs="宋体"/>
          <w:kern w:val="0"/>
          <w:sz w:val="24"/>
          <w:szCs w:val="24"/>
        </w:rPr>
        <w:t>: 1725-1729 [PMID: 7753549]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90 </w:t>
      </w:r>
      <w:r w:rsidRPr="00FC6C8B">
        <w:rPr>
          <w:rFonts w:ascii="Book Antiqua" w:eastAsia="宋体" w:hAnsi="Book Antiqua" w:cs="宋体"/>
          <w:b/>
          <w:bCs/>
          <w:kern w:val="0"/>
          <w:sz w:val="24"/>
          <w:szCs w:val="24"/>
        </w:rPr>
        <w:t>Chen YW</w:t>
      </w:r>
      <w:r w:rsidRPr="00FC6C8B">
        <w:rPr>
          <w:rFonts w:ascii="Book Antiqua" w:eastAsia="宋体" w:hAnsi="Book Antiqua" w:cs="宋体"/>
          <w:kern w:val="0"/>
          <w:sz w:val="24"/>
          <w:szCs w:val="24"/>
        </w:rPr>
        <w:t>, Boyartchuk V, Lewis BC. Differential roles of insulin-like growth factor receptor- and insulin receptor-mediated signaling in the phenotypes of hepatocellular carcinoma cells. </w:t>
      </w:r>
      <w:r w:rsidRPr="00FC6C8B">
        <w:rPr>
          <w:rFonts w:ascii="Book Antiqua" w:eastAsia="宋体" w:hAnsi="Book Antiqua" w:cs="宋体"/>
          <w:i/>
          <w:iCs/>
          <w:kern w:val="0"/>
          <w:sz w:val="24"/>
          <w:szCs w:val="24"/>
        </w:rPr>
        <w:t>Neoplasia</w:t>
      </w:r>
      <w:r w:rsidRPr="00FC6C8B">
        <w:rPr>
          <w:rFonts w:ascii="Book Antiqua" w:eastAsia="宋体" w:hAnsi="Book Antiqua" w:cs="宋体"/>
          <w:kern w:val="0"/>
          <w:sz w:val="24"/>
          <w:szCs w:val="24"/>
        </w:rPr>
        <w:t> 2009; </w:t>
      </w:r>
      <w:r w:rsidRPr="00FC6C8B">
        <w:rPr>
          <w:rFonts w:ascii="Book Antiqua" w:eastAsia="宋体" w:hAnsi="Book Antiqua" w:cs="宋体"/>
          <w:b/>
          <w:bCs/>
          <w:kern w:val="0"/>
          <w:sz w:val="24"/>
          <w:szCs w:val="24"/>
        </w:rPr>
        <w:t>11</w:t>
      </w:r>
      <w:r w:rsidRPr="00FC6C8B">
        <w:rPr>
          <w:rFonts w:ascii="Book Antiqua" w:eastAsia="宋体" w:hAnsi="Book Antiqua" w:cs="宋体"/>
          <w:kern w:val="0"/>
          <w:sz w:val="24"/>
          <w:szCs w:val="24"/>
        </w:rPr>
        <w:t>: 835-845 [PMID: 19724677]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91 </w:t>
      </w:r>
      <w:r w:rsidRPr="00FC6C8B">
        <w:rPr>
          <w:rFonts w:ascii="Book Antiqua" w:eastAsia="宋体" w:hAnsi="Book Antiqua" w:cs="宋体"/>
          <w:b/>
          <w:bCs/>
          <w:kern w:val="0"/>
          <w:sz w:val="24"/>
          <w:szCs w:val="24"/>
        </w:rPr>
        <w:t>Scharf JG</w:t>
      </w:r>
      <w:r w:rsidRPr="00FC6C8B">
        <w:rPr>
          <w:rFonts w:ascii="Book Antiqua" w:eastAsia="宋体" w:hAnsi="Book Antiqua" w:cs="宋体"/>
          <w:kern w:val="0"/>
          <w:sz w:val="24"/>
          <w:szCs w:val="24"/>
        </w:rPr>
        <w:t>, Braulke T. The role of the IGF axis in hepatocarcinogenesis. </w:t>
      </w:r>
      <w:r w:rsidRPr="00FC6C8B">
        <w:rPr>
          <w:rFonts w:ascii="Book Antiqua" w:eastAsia="宋体" w:hAnsi="Book Antiqua" w:cs="宋体"/>
          <w:i/>
          <w:iCs/>
          <w:kern w:val="0"/>
          <w:sz w:val="24"/>
          <w:szCs w:val="24"/>
        </w:rPr>
        <w:t>Horm Metab Res</w:t>
      </w:r>
      <w:r w:rsidRPr="00FC6C8B">
        <w:rPr>
          <w:rFonts w:ascii="Book Antiqua" w:eastAsia="宋体" w:hAnsi="Book Antiqua" w:cs="宋体"/>
          <w:kern w:val="0"/>
          <w:sz w:val="24"/>
          <w:szCs w:val="24"/>
        </w:rPr>
        <w:t> </w:t>
      </w:r>
      <w:r>
        <w:rPr>
          <w:rFonts w:ascii="Book Antiqua" w:eastAsia="宋体" w:hAnsi="Book Antiqua" w:cs="宋体"/>
          <w:kern w:val="0"/>
          <w:sz w:val="24"/>
          <w:szCs w:val="24"/>
        </w:rPr>
        <w:t>2004</w:t>
      </w:r>
      <w:r w:rsidRPr="00FC6C8B">
        <w:rPr>
          <w:rFonts w:ascii="Book Antiqua" w:eastAsia="宋体" w:hAnsi="Book Antiqua" w:cs="宋体"/>
          <w:kern w:val="0"/>
          <w:sz w:val="24"/>
          <w:szCs w:val="24"/>
        </w:rPr>
        <w:t>; </w:t>
      </w:r>
      <w:r w:rsidRPr="00FC6C8B">
        <w:rPr>
          <w:rFonts w:ascii="Book Antiqua" w:eastAsia="宋体" w:hAnsi="Book Antiqua" w:cs="宋体"/>
          <w:b/>
          <w:bCs/>
          <w:kern w:val="0"/>
          <w:sz w:val="24"/>
          <w:szCs w:val="24"/>
        </w:rPr>
        <w:t>35</w:t>
      </w:r>
      <w:r w:rsidRPr="00FC6C8B">
        <w:rPr>
          <w:rFonts w:ascii="Book Antiqua" w:eastAsia="宋体" w:hAnsi="Book Antiqua" w:cs="宋体"/>
          <w:kern w:val="0"/>
          <w:sz w:val="24"/>
          <w:szCs w:val="24"/>
        </w:rPr>
        <w:t>: 685-693 [PMID: 14710347]</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92</w:t>
      </w:r>
      <w:r w:rsidRPr="00FC6C8B">
        <w:rPr>
          <w:rFonts w:ascii="Book Antiqua" w:eastAsia="宋体" w:hAnsi="Book Antiqua" w:cs="宋体"/>
          <w:b/>
          <w:kern w:val="0"/>
          <w:sz w:val="24"/>
          <w:szCs w:val="24"/>
        </w:rPr>
        <w:t xml:space="preserve"> Higano CS</w:t>
      </w:r>
      <w:r w:rsidRPr="00FC6C8B">
        <w:rPr>
          <w:rFonts w:ascii="Book Antiqua" w:eastAsia="宋体" w:hAnsi="Book Antiqua" w:cs="宋体"/>
          <w:kern w:val="0"/>
          <w:sz w:val="24"/>
          <w:szCs w:val="24"/>
        </w:rPr>
        <w:t xml:space="preserve">, Yu EY, Whiting SH, Gordon MS, LoRusso P, Fox F, Katz TL, Roecker JM, Schwartz JD. A phase I, first in man study of weekly IMC-A12, a fully human insulin like growth factor-I receptor IgG1 monoclonal antibody, in patients with advanced solid tumors. J Clin Oncol 2007; </w:t>
      </w:r>
      <w:r w:rsidRPr="00FC6C8B">
        <w:rPr>
          <w:rFonts w:ascii="Book Antiqua" w:eastAsia="宋体" w:hAnsi="Book Antiqua" w:cs="宋体"/>
          <w:b/>
          <w:kern w:val="0"/>
          <w:sz w:val="24"/>
          <w:szCs w:val="24"/>
        </w:rPr>
        <w:t>25</w:t>
      </w:r>
      <w:r w:rsidRPr="00FC6C8B">
        <w:rPr>
          <w:rFonts w:ascii="Book Antiqua" w:eastAsia="宋体" w:hAnsi="Book Antiqua" w:cs="宋体"/>
          <w:kern w:val="0"/>
          <w:sz w:val="24"/>
          <w:szCs w:val="24"/>
        </w:rPr>
        <w:t>: s3505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 xml:space="preserve">93 </w:t>
      </w:r>
      <w:r w:rsidRPr="00FC6C8B">
        <w:rPr>
          <w:rFonts w:ascii="Book Antiqua" w:eastAsia="宋体" w:hAnsi="Book Antiqua" w:cs="宋体"/>
          <w:b/>
          <w:kern w:val="0"/>
          <w:sz w:val="24"/>
          <w:szCs w:val="24"/>
        </w:rPr>
        <w:t>Abou-Alfa GK</w:t>
      </w:r>
      <w:r w:rsidRPr="00FC6C8B">
        <w:rPr>
          <w:rFonts w:ascii="Book Antiqua" w:eastAsia="宋体" w:hAnsi="Book Antiqua" w:cs="宋体"/>
          <w:kern w:val="0"/>
          <w:sz w:val="24"/>
          <w:szCs w:val="24"/>
        </w:rPr>
        <w:t xml:space="preserve">, Gansukh B, Chou JF, Shia J, Capanu M, Kalin M, Chen HX, Zojwalla NJ, Katz S, Reidy DL, Kelsen DP, Saltz.L. Phase II Study of Cixutumumab (IMC-A12, NSC742460; C) in Hepatocellular Carcinoma. J Clin Oncol 2011; </w:t>
      </w:r>
      <w:r w:rsidRPr="00FC6C8B">
        <w:rPr>
          <w:rFonts w:ascii="Book Antiqua" w:eastAsia="宋体" w:hAnsi="Book Antiqua" w:cs="宋体"/>
          <w:b/>
          <w:kern w:val="0"/>
          <w:sz w:val="24"/>
          <w:szCs w:val="24"/>
        </w:rPr>
        <w:t>29</w:t>
      </w:r>
      <w:r w:rsidRPr="00FC6C8B">
        <w:rPr>
          <w:rFonts w:ascii="Book Antiqua" w:eastAsia="宋体" w:hAnsi="Book Antiqua" w:cs="宋体"/>
          <w:kern w:val="0"/>
          <w:sz w:val="24"/>
          <w:szCs w:val="24"/>
        </w:rPr>
        <w:t>: Abstract 4043</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 xml:space="preserve">94 </w:t>
      </w:r>
      <w:r w:rsidRPr="00FC6C8B">
        <w:rPr>
          <w:rFonts w:ascii="Book Antiqua" w:eastAsia="宋体" w:hAnsi="Book Antiqua" w:cs="宋体"/>
          <w:b/>
          <w:kern w:val="0"/>
          <w:sz w:val="24"/>
          <w:szCs w:val="24"/>
        </w:rPr>
        <w:t>Faivre S</w:t>
      </w:r>
      <w:r w:rsidRPr="00FC6C8B">
        <w:rPr>
          <w:rFonts w:ascii="Book Antiqua" w:eastAsia="宋体" w:hAnsi="Book Antiqua" w:cs="宋体"/>
          <w:kern w:val="0"/>
          <w:sz w:val="24"/>
          <w:szCs w:val="24"/>
        </w:rPr>
        <w:t xml:space="preserve">, Fartoux L, Bouattour M, Bumsel F, Dreyer C, Raymond E, Rosmorduc O. A phase I study of AVE1642, a human monoclonal antibody-blocking insulin-like growth factor-1 receptor (IGF-1R), given as a single agent and in combination with sorafenib as first-line therapy in patients with advanced hepatocellular carcinoma (HCC). </w:t>
      </w:r>
      <w:r w:rsidRPr="00FC6C8B">
        <w:rPr>
          <w:rFonts w:ascii="Book Antiqua" w:eastAsia="宋体" w:hAnsi="Book Antiqua" w:cs="宋体"/>
          <w:i/>
          <w:kern w:val="0"/>
          <w:sz w:val="24"/>
          <w:szCs w:val="24"/>
        </w:rPr>
        <w:t xml:space="preserve">J Clin Oncol </w:t>
      </w:r>
      <w:r w:rsidRPr="00FC6C8B">
        <w:rPr>
          <w:rFonts w:ascii="Book Antiqua" w:eastAsia="宋体" w:hAnsi="Book Antiqua" w:cs="宋体"/>
          <w:kern w:val="0"/>
          <w:sz w:val="24"/>
          <w:szCs w:val="24"/>
        </w:rPr>
        <w:t xml:space="preserve">2011; </w:t>
      </w:r>
      <w:r w:rsidRPr="00FC6C8B">
        <w:rPr>
          <w:rFonts w:ascii="Book Antiqua" w:eastAsia="宋体" w:hAnsi="Book Antiqua" w:cs="宋体"/>
          <w:b/>
          <w:kern w:val="0"/>
          <w:sz w:val="24"/>
          <w:szCs w:val="24"/>
        </w:rPr>
        <w:t>29</w:t>
      </w:r>
      <w:r w:rsidRPr="00FC6C8B">
        <w:rPr>
          <w:rFonts w:ascii="Book Antiqua" w:eastAsia="宋体" w:hAnsi="Book Antiqua" w:cs="宋体"/>
          <w:kern w:val="0"/>
          <w:sz w:val="24"/>
          <w:szCs w:val="24"/>
        </w:rPr>
        <w:t>: Abstract 270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95 </w:t>
      </w:r>
      <w:r w:rsidRPr="00FC6C8B">
        <w:rPr>
          <w:rFonts w:ascii="Book Antiqua" w:eastAsia="宋体" w:hAnsi="Book Antiqua" w:cs="宋体"/>
          <w:b/>
          <w:bCs/>
          <w:kern w:val="0"/>
          <w:sz w:val="24"/>
          <w:szCs w:val="24"/>
        </w:rPr>
        <w:t>You WK</w:t>
      </w:r>
      <w:r w:rsidRPr="00FC6C8B">
        <w:rPr>
          <w:rFonts w:ascii="Book Antiqua" w:eastAsia="宋体" w:hAnsi="Book Antiqua" w:cs="宋体"/>
          <w:kern w:val="0"/>
          <w:sz w:val="24"/>
          <w:szCs w:val="24"/>
        </w:rPr>
        <w:t>, McDonald DM. The hepatocyte growth factor/c-Met signaling pathway as a therapeutic target to inhibit angiogenesis. </w:t>
      </w:r>
      <w:r w:rsidRPr="00FC6C8B">
        <w:rPr>
          <w:rFonts w:ascii="Book Antiqua" w:eastAsia="宋体" w:hAnsi="Book Antiqua" w:cs="宋体"/>
          <w:i/>
          <w:iCs/>
          <w:kern w:val="0"/>
          <w:sz w:val="24"/>
          <w:szCs w:val="24"/>
        </w:rPr>
        <w:t>BMB Rep</w:t>
      </w:r>
      <w:r w:rsidRPr="00FC6C8B">
        <w:rPr>
          <w:rFonts w:ascii="Book Antiqua" w:eastAsia="宋体" w:hAnsi="Book Antiqua" w:cs="宋体"/>
          <w:kern w:val="0"/>
          <w:sz w:val="24"/>
          <w:szCs w:val="24"/>
        </w:rPr>
        <w:t> 2008; </w:t>
      </w:r>
      <w:r w:rsidRPr="00FC6C8B">
        <w:rPr>
          <w:rFonts w:ascii="Book Antiqua" w:eastAsia="宋体" w:hAnsi="Book Antiqua" w:cs="宋体"/>
          <w:b/>
          <w:bCs/>
          <w:kern w:val="0"/>
          <w:sz w:val="24"/>
          <w:szCs w:val="24"/>
        </w:rPr>
        <w:t>41</w:t>
      </w:r>
      <w:r w:rsidRPr="00FC6C8B">
        <w:rPr>
          <w:rFonts w:ascii="Book Antiqua" w:eastAsia="宋体" w:hAnsi="Book Antiqua" w:cs="宋体"/>
          <w:kern w:val="0"/>
          <w:sz w:val="24"/>
          <w:szCs w:val="24"/>
        </w:rPr>
        <w:t>: 833-839 [PMID: 19123972 DOI: 10.5483/BMBRep.2008.41.12.833]</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96 </w:t>
      </w:r>
      <w:r w:rsidRPr="00FC6C8B">
        <w:rPr>
          <w:rFonts w:ascii="Book Antiqua" w:eastAsia="宋体" w:hAnsi="Book Antiqua" w:cs="宋体"/>
          <w:b/>
          <w:bCs/>
          <w:kern w:val="0"/>
          <w:sz w:val="24"/>
          <w:szCs w:val="24"/>
        </w:rPr>
        <w:t>Yap TA</w:t>
      </w:r>
      <w:r w:rsidRPr="00FC6C8B">
        <w:rPr>
          <w:rFonts w:ascii="Book Antiqua" w:eastAsia="宋体" w:hAnsi="Book Antiqua" w:cs="宋体"/>
          <w:kern w:val="0"/>
          <w:sz w:val="24"/>
          <w:szCs w:val="24"/>
        </w:rPr>
        <w:t>, de Bono JS. Targeting the HGF/c-Met axis: state of play. </w:t>
      </w:r>
      <w:r w:rsidRPr="00FC6C8B">
        <w:rPr>
          <w:rFonts w:ascii="Book Antiqua" w:eastAsia="宋体" w:hAnsi="Book Antiqua" w:cs="宋体"/>
          <w:i/>
          <w:iCs/>
          <w:kern w:val="0"/>
          <w:sz w:val="24"/>
          <w:szCs w:val="24"/>
        </w:rPr>
        <w:t>Mol Cancer Ther</w:t>
      </w:r>
      <w:r w:rsidRPr="00FC6C8B">
        <w:rPr>
          <w:rFonts w:ascii="Book Antiqua" w:eastAsia="宋体" w:hAnsi="Book Antiqua" w:cs="宋体"/>
          <w:kern w:val="0"/>
          <w:sz w:val="24"/>
          <w:szCs w:val="24"/>
        </w:rPr>
        <w:t> 2010; </w:t>
      </w:r>
      <w:r w:rsidRPr="00FC6C8B">
        <w:rPr>
          <w:rFonts w:ascii="Book Antiqua" w:eastAsia="宋体" w:hAnsi="Book Antiqua" w:cs="宋体"/>
          <w:b/>
          <w:bCs/>
          <w:kern w:val="0"/>
          <w:sz w:val="24"/>
          <w:szCs w:val="24"/>
        </w:rPr>
        <w:t>9</w:t>
      </w:r>
      <w:r w:rsidRPr="00FC6C8B">
        <w:rPr>
          <w:rFonts w:ascii="Book Antiqua" w:eastAsia="宋体" w:hAnsi="Book Antiqua" w:cs="宋体"/>
          <w:kern w:val="0"/>
          <w:sz w:val="24"/>
          <w:szCs w:val="24"/>
        </w:rPr>
        <w:t>: 1077-1079 [PMID: 20442310 DOI: 10.1158/1535-7163.MCT-10-0122]</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97 </w:t>
      </w:r>
      <w:r w:rsidRPr="00FC6C8B">
        <w:rPr>
          <w:rFonts w:ascii="Book Antiqua" w:eastAsia="宋体" w:hAnsi="Book Antiqua" w:cs="宋体"/>
          <w:b/>
          <w:bCs/>
          <w:kern w:val="0"/>
          <w:sz w:val="24"/>
          <w:szCs w:val="24"/>
        </w:rPr>
        <w:t>Boix L</w:t>
      </w:r>
      <w:r w:rsidRPr="00FC6C8B">
        <w:rPr>
          <w:rFonts w:ascii="Book Antiqua" w:eastAsia="宋体" w:hAnsi="Book Antiqua" w:cs="宋体"/>
          <w:kern w:val="0"/>
          <w:sz w:val="24"/>
          <w:szCs w:val="24"/>
        </w:rPr>
        <w:t>, Rosa JL, Ventura F, Castells A, Bruix J, Rodés J, Bartrons R. c-met mRNA overexpression in human hepatocellular carcinoma.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1994; </w:t>
      </w:r>
      <w:r w:rsidRPr="00FC6C8B">
        <w:rPr>
          <w:rFonts w:ascii="Book Antiqua" w:eastAsia="宋体" w:hAnsi="Book Antiqua" w:cs="宋体"/>
          <w:b/>
          <w:bCs/>
          <w:kern w:val="0"/>
          <w:sz w:val="24"/>
          <w:szCs w:val="24"/>
        </w:rPr>
        <w:t>19</w:t>
      </w:r>
      <w:r w:rsidRPr="00FC6C8B">
        <w:rPr>
          <w:rFonts w:ascii="Book Antiqua" w:eastAsia="宋体" w:hAnsi="Book Antiqua" w:cs="宋体"/>
          <w:kern w:val="0"/>
          <w:sz w:val="24"/>
          <w:szCs w:val="24"/>
        </w:rPr>
        <w:t>: 88-91 [PMID: 8276372 DOI: 10.1002/hep.1840190115]</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98 </w:t>
      </w:r>
      <w:r w:rsidRPr="00FC6C8B">
        <w:rPr>
          <w:rFonts w:ascii="Book Antiqua" w:eastAsia="宋体" w:hAnsi="Book Antiqua" w:cs="宋体"/>
          <w:b/>
          <w:bCs/>
          <w:kern w:val="0"/>
          <w:sz w:val="24"/>
          <w:szCs w:val="24"/>
        </w:rPr>
        <w:t>Tavian D</w:t>
      </w:r>
      <w:r w:rsidRPr="00FC6C8B">
        <w:rPr>
          <w:rFonts w:ascii="Book Antiqua" w:eastAsia="宋体" w:hAnsi="Book Antiqua" w:cs="宋体"/>
          <w:kern w:val="0"/>
          <w:sz w:val="24"/>
          <w:szCs w:val="24"/>
        </w:rPr>
        <w:t>, De Petro G, Benetti A, Portolani N, Giulini SM, Barlati S. u-PA and c-MET mRNA expression is co-ordinately enhanced while hepatocyte growth factor mRNA is down-regulated in human hepatocellular carcinoma. </w:t>
      </w:r>
      <w:r w:rsidRPr="00FC6C8B">
        <w:rPr>
          <w:rFonts w:ascii="Book Antiqua" w:eastAsia="宋体" w:hAnsi="Book Antiqua" w:cs="宋体"/>
          <w:i/>
          <w:iCs/>
          <w:kern w:val="0"/>
          <w:sz w:val="24"/>
          <w:szCs w:val="24"/>
        </w:rPr>
        <w:t>Int J Cancer</w:t>
      </w:r>
      <w:r w:rsidRPr="00FC6C8B">
        <w:rPr>
          <w:rFonts w:ascii="Book Antiqua" w:eastAsia="宋体" w:hAnsi="Book Antiqua" w:cs="宋体"/>
          <w:kern w:val="0"/>
          <w:sz w:val="24"/>
          <w:szCs w:val="24"/>
        </w:rPr>
        <w:t> 2000; </w:t>
      </w:r>
      <w:r w:rsidRPr="00FC6C8B">
        <w:rPr>
          <w:rFonts w:ascii="Book Antiqua" w:eastAsia="宋体" w:hAnsi="Book Antiqua" w:cs="宋体"/>
          <w:b/>
          <w:bCs/>
          <w:kern w:val="0"/>
          <w:sz w:val="24"/>
          <w:szCs w:val="24"/>
        </w:rPr>
        <w:t>87</w:t>
      </w:r>
      <w:r w:rsidRPr="00FC6C8B">
        <w:rPr>
          <w:rFonts w:ascii="Book Antiqua" w:eastAsia="宋体" w:hAnsi="Book Antiqua" w:cs="宋体"/>
          <w:kern w:val="0"/>
          <w:sz w:val="24"/>
          <w:szCs w:val="24"/>
        </w:rPr>
        <w:t>: 644-649 [PMID: 10925356 DOI: 3.0.CO; 2-W']</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99 </w:t>
      </w:r>
      <w:r w:rsidRPr="00FC6C8B">
        <w:rPr>
          <w:rFonts w:ascii="Book Antiqua" w:eastAsia="宋体" w:hAnsi="Book Antiqua" w:cs="宋体"/>
          <w:b/>
          <w:bCs/>
          <w:kern w:val="0"/>
          <w:sz w:val="24"/>
          <w:szCs w:val="24"/>
        </w:rPr>
        <w:t>Ueki T</w:t>
      </w:r>
      <w:r w:rsidRPr="00FC6C8B">
        <w:rPr>
          <w:rFonts w:ascii="Book Antiqua" w:eastAsia="宋体" w:hAnsi="Book Antiqua" w:cs="宋体"/>
          <w:kern w:val="0"/>
          <w:sz w:val="24"/>
          <w:szCs w:val="24"/>
        </w:rPr>
        <w:t>, Fujimoto J, Suzuki T, Yamamoto H, Okamoto E. Expression of hepatocyte growth factor and its receptor, the c-met proto-oncogene, in hepatocellular carcinoma.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1997; </w:t>
      </w:r>
      <w:r w:rsidRPr="00FC6C8B">
        <w:rPr>
          <w:rFonts w:ascii="Book Antiqua" w:eastAsia="宋体" w:hAnsi="Book Antiqua" w:cs="宋体"/>
          <w:b/>
          <w:bCs/>
          <w:kern w:val="0"/>
          <w:sz w:val="24"/>
          <w:szCs w:val="24"/>
        </w:rPr>
        <w:t>25</w:t>
      </w:r>
      <w:r w:rsidRPr="00FC6C8B">
        <w:rPr>
          <w:rFonts w:ascii="Book Antiqua" w:eastAsia="宋体" w:hAnsi="Book Antiqua" w:cs="宋体"/>
          <w:kern w:val="0"/>
          <w:sz w:val="24"/>
          <w:szCs w:val="24"/>
        </w:rPr>
        <w:t>: 619-623 [PMID: 9049208 DOI: 10.1002/hep.510250321]</w:t>
      </w:r>
    </w:p>
    <w:p w:rsidR="00A7606F" w:rsidRPr="00550CA0" w:rsidRDefault="00A7606F" w:rsidP="00BF3853">
      <w:pPr>
        <w:widowControl/>
        <w:spacing w:line="360" w:lineRule="auto"/>
        <w:rPr>
          <w:rFonts w:ascii="Book Antiqua" w:eastAsia="宋体" w:hAnsi="Book Antiqua" w:cs="宋体"/>
          <w:kern w:val="0"/>
          <w:sz w:val="24"/>
          <w:szCs w:val="24"/>
          <w:lang w:val="es-ES"/>
        </w:rPr>
      </w:pPr>
      <w:r w:rsidRPr="00FC6C8B">
        <w:rPr>
          <w:rFonts w:ascii="Book Antiqua" w:eastAsia="宋体" w:hAnsi="Book Antiqua" w:cs="宋体"/>
          <w:kern w:val="0"/>
          <w:sz w:val="24"/>
          <w:szCs w:val="24"/>
        </w:rPr>
        <w:t>100 </w:t>
      </w:r>
      <w:r w:rsidRPr="00FC6C8B">
        <w:rPr>
          <w:rFonts w:ascii="Book Antiqua" w:eastAsia="宋体" w:hAnsi="Book Antiqua" w:cs="宋体"/>
          <w:b/>
          <w:bCs/>
          <w:kern w:val="0"/>
          <w:sz w:val="24"/>
          <w:szCs w:val="24"/>
        </w:rPr>
        <w:t>Santoro A</w:t>
      </w:r>
      <w:r w:rsidRPr="00FC6C8B">
        <w:rPr>
          <w:rFonts w:ascii="Book Antiqua" w:eastAsia="宋体" w:hAnsi="Book Antiqua" w:cs="宋体"/>
          <w:kern w:val="0"/>
          <w:sz w:val="24"/>
          <w:szCs w:val="24"/>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550CA0">
        <w:rPr>
          <w:rFonts w:ascii="Book Antiqua" w:eastAsia="宋体" w:hAnsi="Book Antiqua" w:cs="宋体"/>
          <w:i/>
          <w:iCs/>
          <w:kern w:val="0"/>
          <w:sz w:val="24"/>
          <w:szCs w:val="24"/>
          <w:lang w:val="es-ES"/>
        </w:rPr>
        <w:t>Lancet Oncol</w:t>
      </w:r>
      <w:r w:rsidRPr="00550CA0">
        <w:rPr>
          <w:rFonts w:ascii="Book Antiqua" w:eastAsia="宋体" w:hAnsi="Book Antiqua" w:cs="宋体"/>
          <w:kern w:val="0"/>
          <w:sz w:val="24"/>
          <w:szCs w:val="24"/>
          <w:lang w:val="es-ES"/>
        </w:rPr>
        <w:t> 2013; </w:t>
      </w:r>
      <w:r w:rsidRPr="00550CA0">
        <w:rPr>
          <w:rFonts w:ascii="Book Antiqua" w:eastAsia="宋体" w:hAnsi="Book Antiqua" w:cs="宋体"/>
          <w:b/>
          <w:bCs/>
          <w:kern w:val="0"/>
          <w:sz w:val="24"/>
          <w:szCs w:val="24"/>
          <w:lang w:val="es-ES"/>
        </w:rPr>
        <w:t>14</w:t>
      </w:r>
      <w:r w:rsidRPr="00550CA0">
        <w:rPr>
          <w:rFonts w:ascii="Book Antiqua" w:eastAsia="宋体" w:hAnsi="Book Antiqua" w:cs="宋体"/>
          <w:kern w:val="0"/>
          <w:sz w:val="24"/>
          <w:szCs w:val="24"/>
          <w:lang w:val="es-ES"/>
        </w:rPr>
        <w:t>: 55-63 [PMID: 23182627 DOI: 10.1016/S1470-2045(12)70490-4]</w:t>
      </w:r>
    </w:p>
    <w:p w:rsidR="00A7606F" w:rsidRPr="00FC6C8B" w:rsidRDefault="00A7606F" w:rsidP="00BF3853">
      <w:pPr>
        <w:widowControl/>
        <w:spacing w:line="360" w:lineRule="auto"/>
        <w:rPr>
          <w:rFonts w:ascii="Book Antiqua" w:eastAsia="宋体" w:hAnsi="Book Antiqua" w:cs="宋体"/>
          <w:kern w:val="0"/>
          <w:sz w:val="24"/>
          <w:szCs w:val="24"/>
        </w:rPr>
      </w:pPr>
      <w:r w:rsidRPr="00550CA0">
        <w:rPr>
          <w:rFonts w:ascii="Book Antiqua" w:eastAsia="宋体" w:hAnsi="Book Antiqua" w:cs="宋体"/>
          <w:kern w:val="0"/>
          <w:sz w:val="24"/>
          <w:szCs w:val="24"/>
          <w:lang w:val="es-ES"/>
        </w:rPr>
        <w:t>101 </w:t>
      </w:r>
      <w:r w:rsidRPr="00550CA0">
        <w:rPr>
          <w:rFonts w:ascii="Book Antiqua" w:eastAsia="宋体" w:hAnsi="Book Antiqua" w:cs="宋体"/>
          <w:b/>
          <w:bCs/>
          <w:kern w:val="0"/>
          <w:sz w:val="24"/>
          <w:szCs w:val="24"/>
          <w:lang w:val="es-ES"/>
        </w:rPr>
        <w:t>Herencia C</w:t>
      </w:r>
      <w:r w:rsidRPr="00550CA0">
        <w:rPr>
          <w:rFonts w:ascii="Book Antiqua" w:eastAsia="宋体" w:hAnsi="Book Antiqua" w:cs="宋体"/>
          <w:kern w:val="0"/>
          <w:sz w:val="24"/>
          <w:szCs w:val="24"/>
          <w:lang w:val="es-ES"/>
        </w:rPr>
        <w:t xml:space="preserve">, Martínez-Moreno JM, Herrera C, Corrales F, Santiago-Mora R, Espejo I, Barco M, Almadén Y, de la Mata M, Rodríguez-Ariza A, Muñoz-Castañeda JR. </w:t>
      </w:r>
      <w:r w:rsidRPr="00FC6C8B">
        <w:rPr>
          <w:rFonts w:ascii="Book Antiqua" w:eastAsia="宋体" w:hAnsi="Book Antiqua" w:cs="宋体"/>
          <w:kern w:val="0"/>
          <w:sz w:val="24"/>
          <w:szCs w:val="24"/>
        </w:rPr>
        <w:t>Nuclear translocation of β-catenin during mesenchymal stem cells differentiation into hepatocytes is associated with a tumoral phenotype. </w:t>
      </w:r>
      <w:r w:rsidRPr="00FC6C8B">
        <w:rPr>
          <w:rFonts w:ascii="Book Antiqua" w:eastAsia="宋体" w:hAnsi="Book Antiqua" w:cs="宋体"/>
          <w:i/>
          <w:iCs/>
          <w:kern w:val="0"/>
          <w:sz w:val="24"/>
          <w:szCs w:val="24"/>
        </w:rPr>
        <w:t>PLoS One</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7</w:t>
      </w:r>
      <w:r w:rsidRPr="00FC6C8B">
        <w:rPr>
          <w:rFonts w:ascii="Book Antiqua" w:eastAsia="宋体" w:hAnsi="Book Antiqua" w:cs="宋体"/>
          <w:kern w:val="0"/>
          <w:sz w:val="24"/>
          <w:szCs w:val="24"/>
        </w:rPr>
        <w:t>: e34656 [PMID: 22506042 DOI: 10.1371/journal.pone.0034656]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102 </w:t>
      </w:r>
      <w:r w:rsidRPr="00FC6C8B">
        <w:rPr>
          <w:rFonts w:ascii="Book Antiqua" w:eastAsia="宋体" w:hAnsi="Book Antiqua" w:cs="宋体"/>
          <w:b/>
          <w:bCs/>
          <w:kern w:val="0"/>
          <w:sz w:val="24"/>
          <w:szCs w:val="24"/>
        </w:rPr>
        <w:t>Zhang Y</w:t>
      </w:r>
      <w:r w:rsidRPr="00FC6C8B">
        <w:rPr>
          <w:rFonts w:ascii="Book Antiqua" w:eastAsia="宋体" w:hAnsi="Book Antiqua" w:cs="宋体"/>
          <w:kern w:val="0"/>
          <w:sz w:val="24"/>
          <w:szCs w:val="24"/>
        </w:rPr>
        <w:t>, Wei W, Cheng N, Wang K, Li B, Jiang X, Sun S. Hepatitis C virus-induced up-regulation of microRNA-155 promotes hepatocarcinogenesis by activating Wnt signaling. </w:t>
      </w:r>
      <w:r w:rsidRPr="00FC6C8B">
        <w:rPr>
          <w:rFonts w:ascii="Book Antiqua" w:eastAsia="宋体" w:hAnsi="Book Antiqua" w:cs="宋体"/>
          <w:i/>
          <w:iCs/>
          <w:kern w:val="0"/>
          <w:sz w:val="24"/>
          <w:szCs w:val="24"/>
        </w:rPr>
        <w:t>Hepatology</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56</w:t>
      </w:r>
      <w:r w:rsidRPr="00FC6C8B">
        <w:rPr>
          <w:rFonts w:ascii="Book Antiqua" w:eastAsia="宋体" w:hAnsi="Book Antiqua" w:cs="宋体"/>
          <w:kern w:val="0"/>
          <w:sz w:val="24"/>
          <w:szCs w:val="24"/>
        </w:rPr>
        <w:t>: 1631-1640 [PMID: 22610915 DOI: 10.1002/hep.25849]</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103 </w:t>
      </w:r>
      <w:r w:rsidRPr="00FC6C8B">
        <w:rPr>
          <w:rFonts w:ascii="Book Antiqua" w:eastAsia="宋体" w:hAnsi="Book Antiqua" w:cs="宋体"/>
          <w:b/>
          <w:bCs/>
          <w:kern w:val="0"/>
          <w:sz w:val="24"/>
          <w:szCs w:val="24"/>
        </w:rPr>
        <w:t>Srisuttee R</w:t>
      </w:r>
      <w:r w:rsidRPr="00FC6C8B">
        <w:rPr>
          <w:rFonts w:ascii="Book Antiqua" w:eastAsia="宋体" w:hAnsi="Book Antiqua" w:cs="宋体"/>
          <w:kern w:val="0"/>
          <w:sz w:val="24"/>
          <w:szCs w:val="24"/>
        </w:rPr>
        <w:t>, Koh SS, Kim SJ, Malilas W, Boonying W, Cho IR, Jhun BH, Ito M, Horio Y, Seto E, Oh S, Chung YH. Hepatitis B virus X (HBX) protein upregulates β-catenin in a human hepatic cell line by sequestering SIRT1 deacetylase. </w:t>
      </w:r>
      <w:r w:rsidRPr="00FC6C8B">
        <w:rPr>
          <w:rFonts w:ascii="Book Antiqua" w:eastAsia="宋体" w:hAnsi="Book Antiqua" w:cs="宋体"/>
          <w:i/>
          <w:iCs/>
          <w:kern w:val="0"/>
          <w:sz w:val="24"/>
          <w:szCs w:val="24"/>
        </w:rPr>
        <w:t>Oncol Rep</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28</w:t>
      </w:r>
      <w:r w:rsidRPr="00FC6C8B">
        <w:rPr>
          <w:rFonts w:ascii="Book Antiqua" w:eastAsia="宋体" w:hAnsi="Book Antiqua" w:cs="宋体"/>
          <w:kern w:val="0"/>
          <w:sz w:val="24"/>
          <w:szCs w:val="24"/>
        </w:rPr>
        <w:t>: 276-282 [PMID: 22562294]</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104 </w:t>
      </w:r>
      <w:r w:rsidRPr="00FC6C8B">
        <w:rPr>
          <w:rFonts w:ascii="Book Antiqua" w:eastAsia="宋体" w:hAnsi="Book Antiqua" w:cs="宋体"/>
          <w:b/>
          <w:bCs/>
          <w:kern w:val="0"/>
          <w:sz w:val="24"/>
          <w:szCs w:val="24"/>
        </w:rPr>
        <w:t>Kisseleva T</w:t>
      </w:r>
      <w:r w:rsidRPr="00FC6C8B">
        <w:rPr>
          <w:rFonts w:ascii="Book Antiqua" w:eastAsia="宋体" w:hAnsi="Book Antiqua" w:cs="宋体"/>
          <w:kern w:val="0"/>
          <w:sz w:val="24"/>
          <w:szCs w:val="24"/>
        </w:rPr>
        <w:t>, Bhattacharya S, Braunstein J, Schindler CW. Signaling through the JAK/STAT pathway, recent advances and future challenges. </w:t>
      </w:r>
      <w:r w:rsidRPr="00FC6C8B">
        <w:rPr>
          <w:rFonts w:ascii="Book Antiqua" w:eastAsia="宋体" w:hAnsi="Book Antiqua" w:cs="宋体"/>
          <w:i/>
          <w:iCs/>
          <w:kern w:val="0"/>
          <w:sz w:val="24"/>
          <w:szCs w:val="24"/>
        </w:rPr>
        <w:t>Gene</w:t>
      </w:r>
      <w:r w:rsidRPr="00FC6C8B">
        <w:rPr>
          <w:rFonts w:ascii="Book Antiqua" w:eastAsia="宋体" w:hAnsi="Book Antiqua" w:cs="宋体"/>
          <w:kern w:val="0"/>
          <w:sz w:val="24"/>
          <w:szCs w:val="24"/>
        </w:rPr>
        <w:t> 2002; </w:t>
      </w:r>
      <w:r w:rsidRPr="00FC6C8B">
        <w:rPr>
          <w:rFonts w:ascii="Book Antiqua" w:eastAsia="宋体" w:hAnsi="Book Antiqua" w:cs="宋体"/>
          <w:b/>
          <w:bCs/>
          <w:kern w:val="0"/>
          <w:sz w:val="24"/>
          <w:szCs w:val="24"/>
        </w:rPr>
        <w:t>285</w:t>
      </w:r>
      <w:r w:rsidRPr="00FC6C8B">
        <w:rPr>
          <w:rFonts w:ascii="Book Antiqua" w:eastAsia="宋体" w:hAnsi="Book Antiqua" w:cs="宋体"/>
          <w:kern w:val="0"/>
          <w:sz w:val="24"/>
          <w:szCs w:val="24"/>
        </w:rPr>
        <w:t>: 1-24 [PMID: 12039028 DOI: 10.1016/S0378-1119(02)00398-0]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105 </w:t>
      </w:r>
      <w:r w:rsidRPr="00FC6C8B">
        <w:rPr>
          <w:rFonts w:ascii="Book Antiqua" w:eastAsia="宋体" w:hAnsi="Book Antiqua" w:cs="宋体"/>
          <w:b/>
          <w:bCs/>
          <w:kern w:val="0"/>
          <w:sz w:val="24"/>
          <w:szCs w:val="24"/>
        </w:rPr>
        <w:t>Bromberg JF</w:t>
      </w:r>
      <w:r w:rsidRPr="00FC6C8B">
        <w:rPr>
          <w:rFonts w:ascii="Book Antiqua" w:eastAsia="宋体" w:hAnsi="Book Antiqua" w:cs="宋体"/>
          <w:kern w:val="0"/>
          <w:sz w:val="24"/>
          <w:szCs w:val="24"/>
        </w:rPr>
        <w:t>. Activation of STAT proteins and growth control. </w:t>
      </w:r>
      <w:r w:rsidRPr="00FC6C8B">
        <w:rPr>
          <w:rFonts w:ascii="Book Antiqua" w:eastAsia="宋体" w:hAnsi="Book Antiqua" w:cs="宋体"/>
          <w:i/>
          <w:iCs/>
          <w:kern w:val="0"/>
          <w:sz w:val="24"/>
          <w:szCs w:val="24"/>
        </w:rPr>
        <w:t>Bioessays</w:t>
      </w:r>
      <w:r w:rsidRPr="00FC6C8B">
        <w:rPr>
          <w:rFonts w:ascii="Book Antiqua" w:eastAsia="宋体" w:hAnsi="Book Antiqua" w:cs="宋体"/>
          <w:kern w:val="0"/>
          <w:sz w:val="24"/>
          <w:szCs w:val="24"/>
        </w:rPr>
        <w:t> 2001; </w:t>
      </w:r>
      <w:r w:rsidRPr="00FC6C8B">
        <w:rPr>
          <w:rFonts w:ascii="Book Antiqua" w:eastAsia="宋体" w:hAnsi="Book Antiqua" w:cs="宋体"/>
          <w:b/>
          <w:bCs/>
          <w:kern w:val="0"/>
          <w:sz w:val="24"/>
          <w:szCs w:val="24"/>
        </w:rPr>
        <w:t>23</w:t>
      </w:r>
      <w:r w:rsidRPr="00FC6C8B">
        <w:rPr>
          <w:rFonts w:ascii="Book Antiqua" w:eastAsia="宋体" w:hAnsi="Book Antiqua" w:cs="宋体"/>
          <w:kern w:val="0"/>
          <w:sz w:val="24"/>
          <w:szCs w:val="24"/>
        </w:rPr>
        <w:t>: 161-169 [PMID: 11169589 DOI: 3.0.CO; 2-0']</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106 </w:t>
      </w:r>
      <w:r w:rsidRPr="00FC6C8B">
        <w:rPr>
          <w:rFonts w:ascii="Book Antiqua" w:eastAsia="宋体" w:hAnsi="Book Antiqua" w:cs="宋体"/>
          <w:b/>
          <w:bCs/>
          <w:kern w:val="0"/>
          <w:sz w:val="24"/>
          <w:szCs w:val="24"/>
        </w:rPr>
        <w:t>Calvisi DF</w:t>
      </w:r>
      <w:r w:rsidRPr="00FC6C8B">
        <w:rPr>
          <w:rFonts w:ascii="Book Antiqua" w:eastAsia="宋体" w:hAnsi="Book Antiqua" w:cs="宋体"/>
          <w:kern w:val="0"/>
          <w:sz w:val="24"/>
          <w:szCs w:val="24"/>
        </w:rPr>
        <w:t>, Ladu S, Gorden A, Farina M, Conner EA, Lee JS, Factor VM, Thorgeirsson SS. Ubiquitous activation of Ras and Jak/Stat pathways in human HCC. </w:t>
      </w:r>
      <w:r w:rsidRPr="00FC6C8B">
        <w:rPr>
          <w:rFonts w:ascii="Book Antiqua" w:eastAsia="宋体" w:hAnsi="Book Antiqua" w:cs="宋体"/>
          <w:i/>
          <w:iCs/>
          <w:kern w:val="0"/>
          <w:sz w:val="24"/>
          <w:szCs w:val="24"/>
        </w:rPr>
        <w:t>Gastroenterology</w:t>
      </w:r>
      <w:r w:rsidRPr="00FC6C8B">
        <w:rPr>
          <w:rFonts w:ascii="Book Antiqua" w:eastAsia="宋体" w:hAnsi="Book Antiqua" w:cs="宋体"/>
          <w:kern w:val="0"/>
          <w:sz w:val="24"/>
          <w:szCs w:val="24"/>
        </w:rPr>
        <w:t> 2006; </w:t>
      </w:r>
      <w:r w:rsidRPr="00FC6C8B">
        <w:rPr>
          <w:rFonts w:ascii="Book Antiqua" w:eastAsia="宋体" w:hAnsi="Book Antiqua" w:cs="宋体"/>
          <w:b/>
          <w:bCs/>
          <w:kern w:val="0"/>
          <w:sz w:val="24"/>
          <w:szCs w:val="24"/>
        </w:rPr>
        <w:t>130</w:t>
      </w:r>
      <w:r w:rsidRPr="00FC6C8B">
        <w:rPr>
          <w:rFonts w:ascii="Book Antiqua" w:eastAsia="宋体" w:hAnsi="Book Antiqua" w:cs="宋体"/>
          <w:kern w:val="0"/>
          <w:sz w:val="24"/>
          <w:szCs w:val="24"/>
        </w:rPr>
        <w:t>: 1117-1128 [PMID: 16618406 DOI: 10.1053/j.gastro.2006.01.006]</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107 </w:t>
      </w:r>
      <w:r w:rsidRPr="00FC6C8B">
        <w:rPr>
          <w:rFonts w:ascii="Book Antiqua" w:eastAsia="宋体" w:hAnsi="Book Antiqua" w:cs="宋体"/>
          <w:b/>
          <w:bCs/>
          <w:kern w:val="0"/>
          <w:sz w:val="24"/>
          <w:szCs w:val="24"/>
        </w:rPr>
        <w:t>Jin YJ</w:t>
      </w:r>
      <w:r w:rsidRPr="00FC6C8B">
        <w:rPr>
          <w:rFonts w:ascii="Book Antiqua" w:eastAsia="宋体" w:hAnsi="Book Antiqua" w:cs="宋体"/>
          <w:kern w:val="0"/>
          <w:sz w:val="24"/>
          <w:szCs w:val="24"/>
        </w:rPr>
        <w:t>, Chung YH, Kim JA, Park WH, Lee D, Seo DD, Ryu SH, Jang MK, Yu E, Lee YJ. Factors predisposing metastatic tumor antigen 1 overexpression in hepatitis B virus associated hepatocellular carcinoma. </w:t>
      </w:r>
      <w:r w:rsidRPr="00FC6C8B">
        <w:rPr>
          <w:rFonts w:ascii="Book Antiqua" w:eastAsia="宋体" w:hAnsi="Book Antiqua" w:cs="宋体"/>
          <w:i/>
          <w:iCs/>
          <w:kern w:val="0"/>
          <w:sz w:val="24"/>
          <w:szCs w:val="24"/>
        </w:rPr>
        <w:t>Dig Dis Sci</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57</w:t>
      </w:r>
      <w:r w:rsidRPr="00FC6C8B">
        <w:rPr>
          <w:rFonts w:ascii="Book Antiqua" w:eastAsia="宋体" w:hAnsi="Book Antiqua" w:cs="宋体"/>
          <w:kern w:val="0"/>
          <w:sz w:val="24"/>
          <w:szCs w:val="24"/>
        </w:rPr>
        <w:t>: 2917-2923 [PMID: 22777614 DOI: 10.1007/s10620-012-2296-z]</w:t>
      </w:r>
    </w:p>
    <w:p w:rsidR="00A7606F" w:rsidRPr="00FC6C8B" w:rsidRDefault="00A7606F" w:rsidP="00BF3853">
      <w:pPr>
        <w:widowControl/>
        <w:spacing w:line="360" w:lineRule="auto"/>
        <w:rPr>
          <w:rFonts w:ascii="Book Antiqua" w:eastAsia="宋体" w:hAnsi="Book Antiqua" w:cs="宋体"/>
          <w:kern w:val="0"/>
          <w:sz w:val="24"/>
          <w:szCs w:val="24"/>
        </w:rPr>
      </w:pPr>
      <w:r w:rsidRPr="00FC6C8B">
        <w:rPr>
          <w:rFonts w:ascii="Book Antiqua" w:eastAsia="宋体" w:hAnsi="Book Antiqua" w:cs="宋体"/>
          <w:kern w:val="0"/>
          <w:sz w:val="24"/>
          <w:szCs w:val="24"/>
        </w:rPr>
        <w:t>108 </w:t>
      </w:r>
      <w:r w:rsidRPr="00FC6C8B">
        <w:rPr>
          <w:rFonts w:ascii="Book Antiqua" w:eastAsia="宋体" w:hAnsi="Book Antiqua" w:cs="宋体"/>
          <w:b/>
          <w:bCs/>
          <w:kern w:val="0"/>
          <w:sz w:val="24"/>
          <w:szCs w:val="24"/>
        </w:rPr>
        <w:t>Jung SW</w:t>
      </w:r>
      <w:r w:rsidRPr="00FC6C8B">
        <w:rPr>
          <w:rFonts w:ascii="Book Antiqua" w:eastAsia="宋体" w:hAnsi="Book Antiqua" w:cs="宋体"/>
          <w:kern w:val="0"/>
          <w:sz w:val="24"/>
          <w:szCs w:val="24"/>
        </w:rPr>
        <w:t>, Park NH, Shin JW, Park BR, Kim CJ, Lee JE, Shin ES, Kim JA, Chung YH. Polymorphisms of DNA repair genes in Korean hepatocellular carcinoma patients with chronic hepatitis B: possible implications on survival. </w:t>
      </w:r>
      <w:r w:rsidRPr="00FC6C8B">
        <w:rPr>
          <w:rFonts w:ascii="Book Antiqua" w:eastAsia="宋体" w:hAnsi="Book Antiqua" w:cs="宋体"/>
          <w:i/>
          <w:iCs/>
          <w:kern w:val="0"/>
          <w:sz w:val="24"/>
          <w:szCs w:val="24"/>
        </w:rPr>
        <w:t>J Hepatol</w:t>
      </w:r>
      <w:r w:rsidRPr="00FC6C8B">
        <w:rPr>
          <w:rFonts w:ascii="Book Antiqua" w:eastAsia="宋体" w:hAnsi="Book Antiqua" w:cs="宋体"/>
          <w:kern w:val="0"/>
          <w:sz w:val="24"/>
          <w:szCs w:val="24"/>
        </w:rPr>
        <w:t> 2012; </w:t>
      </w:r>
      <w:r w:rsidRPr="00FC6C8B">
        <w:rPr>
          <w:rFonts w:ascii="Book Antiqua" w:eastAsia="宋体" w:hAnsi="Book Antiqua" w:cs="宋体"/>
          <w:b/>
          <w:bCs/>
          <w:kern w:val="0"/>
          <w:sz w:val="24"/>
          <w:szCs w:val="24"/>
        </w:rPr>
        <w:t>57</w:t>
      </w:r>
      <w:r w:rsidRPr="00FC6C8B">
        <w:rPr>
          <w:rFonts w:ascii="Book Antiqua" w:eastAsia="宋体" w:hAnsi="Book Antiqua" w:cs="宋体"/>
          <w:kern w:val="0"/>
          <w:sz w:val="24"/>
          <w:szCs w:val="24"/>
        </w:rPr>
        <w:t>: 621-627 [PMID: 22659345 DOI: 10.1016/j.jhep.2012.04.039]</w:t>
      </w:r>
    </w:p>
    <w:p w:rsidR="00A7606F" w:rsidRPr="00FC6C8B" w:rsidRDefault="00A7606F" w:rsidP="00BF3853">
      <w:pPr>
        <w:spacing w:line="360" w:lineRule="auto"/>
        <w:rPr>
          <w:rFonts w:ascii="Book Antiqua" w:hAnsi="Book Antiqua"/>
          <w:sz w:val="24"/>
          <w:szCs w:val="24"/>
        </w:rPr>
      </w:pPr>
    </w:p>
    <w:p w:rsidR="00A7606F" w:rsidRPr="00CE4867" w:rsidRDefault="00A7606F" w:rsidP="00BF3853">
      <w:pPr>
        <w:spacing w:line="360" w:lineRule="auto"/>
        <w:rPr>
          <w:rFonts w:ascii="Book Antiqua" w:hAnsi="Book Antiqua"/>
          <w:b/>
          <w:bCs/>
          <w:color w:val="000000"/>
          <w:sz w:val="24"/>
        </w:rPr>
      </w:pPr>
      <w:bookmarkStart w:id="15" w:name="OLE_LINK11"/>
      <w:bookmarkStart w:id="16" w:name="OLE_LINK12"/>
      <w:bookmarkStart w:id="17" w:name="OLE_LINK36"/>
      <w:bookmarkStart w:id="18" w:name="OLE_LINK37"/>
      <w:bookmarkStart w:id="19" w:name="OLE_LINK20"/>
      <w:bookmarkStart w:id="20" w:name="OLE_LINK80"/>
      <w:bookmarkStart w:id="21" w:name="OLE_LINK85"/>
      <w:bookmarkStart w:id="22" w:name="OLE_LINK194"/>
      <w:bookmarkStart w:id="23" w:name="OLE_LINK118"/>
      <w:r w:rsidRPr="00CE4867">
        <w:rPr>
          <w:rStyle w:val="af"/>
          <w:rFonts w:ascii="Book Antiqua" w:hAnsi="Book Antiqua"/>
          <w:bCs/>
          <w:noProof/>
          <w:color w:val="000000"/>
          <w:sz w:val="24"/>
          <w:szCs w:val="24"/>
        </w:rPr>
        <w:t>P-Reviewer</w:t>
      </w:r>
      <w:bookmarkEnd w:id="15"/>
      <w:bookmarkEnd w:id="16"/>
      <w:r w:rsidRPr="00CE4867">
        <w:rPr>
          <w:rFonts w:ascii="Book Antiqua" w:hAnsi="Book Antiqua"/>
          <w:b/>
          <w:bCs/>
          <w:color w:val="000000"/>
          <w:sz w:val="24"/>
        </w:rPr>
        <w:t xml:space="preserve"> </w:t>
      </w:r>
      <w:r w:rsidRPr="00BF3853">
        <w:rPr>
          <w:rFonts w:ascii="Book Antiqua" w:hAnsi="Book Antiqua"/>
          <w:bCs/>
          <w:color w:val="000000"/>
          <w:sz w:val="24"/>
        </w:rPr>
        <w:t xml:space="preserve">Sangro B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7"/>
    <w:bookmarkEnd w:id="18"/>
    <w:bookmarkEnd w:id="19"/>
    <w:bookmarkEnd w:id="20"/>
    <w:bookmarkEnd w:id="21"/>
    <w:bookmarkEnd w:id="22"/>
    <w:bookmarkEnd w:id="23"/>
    <w:p w:rsidR="00A7606F" w:rsidRPr="00BF3853"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cs="MinionPro-Regular"/>
          <w:color w:val="231F20"/>
          <w:kern w:val="0"/>
          <w:sz w:val="24"/>
          <w:szCs w:val="24"/>
        </w:rPr>
      </w:pPr>
    </w:p>
    <w:p w:rsidR="00A7606F" w:rsidRPr="00DA1794" w:rsidRDefault="00A7606F" w:rsidP="006D71D5">
      <w:pPr>
        <w:wordWrap/>
        <w:adjustRightInd w:val="0"/>
        <w:spacing w:line="360" w:lineRule="auto"/>
        <w:rPr>
          <w:rFonts w:ascii="Book Antiqua" w:eastAsia="宋体" w:hAnsi="Book Antiqua"/>
          <w:b/>
          <w:color w:val="231F20"/>
          <w:kern w:val="0"/>
          <w:sz w:val="24"/>
          <w:szCs w:val="24"/>
          <w:lang w:eastAsia="zh-CN"/>
        </w:rPr>
      </w:pPr>
    </w:p>
    <w:p w:rsidR="00A7606F" w:rsidRPr="00647CFB" w:rsidRDefault="00A7606F" w:rsidP="006D71D5">
      <w:pPr>
        <w:wordWrap/>
        <w:adjustRightInd w:val="0"/>
        <w:spacing w:line="360" w:lineRule="auto"/>
        <w:rPr>
          <w:rFonts w:ascii="Book Antiqua" w:eastAsia="宋体" w:hAnsi="Book Antiqua"/>
          <w:color w:val="231F20"/>
          <w:kern w:val="0"/>
          <w:sz w:val="24"/>
          <w:szCs w:val="24"/>
          <w:lang w:eastAsia="zh-CN"/>
        </w:rPr>
      </w:pPr>
      <w:r w:rsidRPr="0024381D">
        <w:rPr>
          <w:rFonts w:ascii="Book Antiqua" w:eastAsia="MinionPro-Regular" w:hAnsi="Book Antiqua"/>
          <w:b/>
          <w:color w:val="000000"/>
          <w:kern w:val="0"/>
          <w:sz w:val="24"/>
          <w:szCs w:val="24"/>
        </w:rPr>
        <w:t>Figure 1 Ras/Raf/MEK/ERK signaling pathways and molecular targeted agents which is currently available or in development for hepatocellular carcinoma.</w:t>
      </w:r>
      <w:r w:rsidRPr="00C67938">
        <w:rPr>
          <w:rFonts w:ascii="Book Antiqua" w:eastAsia="MinionPro-Regular" w:hAnsi="Book Antiqua"/>
          <w:color w:val="000000"/>
          <w:kern w:val="0"/>
          <w:sz w:val="24"/>
          <w:szCs w:val="24"/>
        </w:rPr>
        <w:t xml:space="preserve"> </w:t>
      </w:r>
      <w:r w:rsidRPr="00C67938">
        <w:rPr>
          <w:rFonts w:ascii="Book Antiqua" w:eastAsia="Times New Roman" w:hAnsi="Book Antiqua"/>
          <w:kern w:val="0"/>
          <w:sz w:val="24"/>
          <w:szCs w:val="24"/>
        </w:rPr>
        <w:t>EGF</w:t>
      </w:r>
      <w:r>
        <w:rPr>
          <w:rFonts w:ascii="Book Antiqua" w:eastAsia="宋体" w:hAnsi="Book Antiqua"/>
          <w:kern w:val="0"/>
          <w:sz w:val="24"/>
          <w:szCs w:val="24"/>
          <w:lang w:eastAsia="zh-CN"/>
        </w:rPr>
        <w:t xml:space="preserve">: </w:t>
      </w:r>
      <w:r w:rsidRPr="00C67938">
        <w:rPr>
          <w:rFonts w:ascii="Book Antiqua" w:eastAsia="Times New Roman" w:hAnsi="Book Antiqua"/>
          <w:kern w:val="0"/>
          <w:sz w:val="24"/>
          <w:szCs w:val="24"/>
        </w:rPr>
        <w:t>Epidermal growth factor; EGFR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EGF Receptor; ERK</w:t>
      </w:r>
      <w:r>
        <w:rPr>
          <w:rFonts w:ascii="Book Antiqua" w:eastAsia="宋体" w:hAnsi="Book Antiqua"/>
          <w:kern w:val="0"/>
          <w:sz w:val="24"/>
          <w:szCs w:val="24"/>
          <w:lang w:eastAsia="zh-CN"/>
        </w:rPr>
        <w:t xml:space="preserve">: </w:t>
      </w:r>
      <w:r w:rsidRPr="00C67938">
        <w:rPr>
          <w:rFonts w:ascii="Book Antiqua" w:eastAsia="Times New Roman" w:hAnsi="Book Antiqua"/>
          <w:kern w:val="0"/>
          <w:sz w:val="24"/>
          <w:szCs w:val="24"/>
        </w:rPr>
        <w:t>Extracellular signal-regulated kinase; FGFR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w:t>
      </w:r>
      <w:r w:rsidRPr="00C67938">
        <w:rPr>
          <w:rFonts w:ascii="Book Antiqua" w:eastAsia="MinionPro-Regular" w:hAnsi="Book Antiqua"/>
          <w:color w:val="231F20"/>
          <w:kern w:val="0"/>
          <w:sz w:val="24"/>
          <w:szCs w:val="24"/>
        </w:rPr>
        <w:t>Fibroblast growth factor receptor;</w:t>
      </w:r>
      <w:r w:rsidRPr="00C67938">
        <w:rPr>
          <w:rFonts w:ascii="Book Antiqua" w:eastAsia="Times New Roman" w:hAnsi="Book Antiqua"/>
          <w:kern w:val="0"/>
          <w:sz w:val="24"/>
          <w:szCs w:val="24"/>
        </w:rPr>
        <w:t xml:space="preserve"> IGFR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Insulin-like growth factor receptor;</w:t>
      </w:r>
      <w:r w:rsidRPr="00C67938">
        <w:rPr>
          <w:rFonts w:ascii="Book Antiqua" w:eastAsia="MinionPro-Regular" w:hAnsi="Book Antiqua"/>
          <w:color w:val="231F20"/>
          <w:kern w:val="0"/>
          <w:sz w:val="24"/>
          <w:szCs w:val="24"/>
        </w:rPr>
        <w:t xml:space="preserve"> </w:t>
      </w:r>
      <w:r w:rsidRPr="00C67938">
        <w:rPr>
          <w:rFonts w:ascii="Book Antiqua" w:eastAsia="Times New Roman" w:hAnsi="Book Antiqua"/>
          <w:kern w:val="0"/>
          <w:sz w:val="24"/>
          <w:szCs w:val="24"/>
        </w:rPr>
        <w:t>PDGFR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Platelet-derived growth factor receptor; VEGF</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Vascular endothelial growth factor; VEGFR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VEGF receptor</w:t>
      </w:r>
      <w:r>
        <w:rPr>
          <w:rFonts w:ascii="Book Antiqua" w:eastAsia="宋体" w:hAnsi="Book Antiqua"/>
          <w:kern w:val="0"/>
          <w:sz w:val="24"/>
          <w:szCs w:val="24"/>
          <w:lang w:eastAsia="zh-CN"/>
        </w:rPr>
        <w:t>.</w:t>
      </w:r>
    </w:p>
    <w:p w:rsidR="00A7606F" w:rsidRPr="00BF3853" w:rsidRDefault="00A7606F" w:rsidP="006D71D5">
      <w:pPr>
        <w:wordWrap/>
        <w:adjustRightInd w:val="0"/>
        <w:spacing w:line="360" w:lineRule="auto"/>
        <w:rPr>
          <w:rFonts w:ascii="Book Antiqua" w:eastAsia="MinionPro-Regular" w:hAnsi="Book Antiqua"/>
          <w:color w:val="000000"/>
          <w:kern w:val="0"/>
          <w:sz w:val="24"/>
          <w:szCs w:val="24"/>
        </w:rPr>
      </w:pPr>
    </w:p>
    <w:p w:rsidR="00A7606F" w:rsidRPr="00C67938" w:rsidRDefault="00A7606F" w:rsidP="006D71D5">
      <w:pPr>
        <w:wordWrap/>
        <w:adjustRightInd w:val="0"/>
        <w:spacing w:line="360" w:lineRule="auto"/>
        <w:rPr>
          <w:rFonts w:ascii="Book Antiqua" w:eastAsia="MinionPro-Regular" w:hAnsi="Book Antiqua"/>
          <w:color w:val="000000"/>
          <w:kern w:val="0"/>
          <w:sz w:val="24"/>
          <w:szCs w:val="24"/>
        </w:rPr>
      </w:pPr>
    </w:p>
    <w:p w:rsidR="00A7606F" w:rsidRPr="006D71D5" w:rsidRDefault="00A7606F" w:rsidP="006D71D5">
      <w:pPr>
        <w:wordWrap/>
        <w:adjustRightInd w:val="0"/>
        <w:spacing w:line="360" w:lineRule="auto"/>
        <w:rPr>
          <w:rFonts w:ascii="Book Antiqua" w:eastAsia="宋体" w:hAnsi="Book Antiqua"/>
          <w:kern w:val="0"/>
          <w:sz w:val="24"/>
          <w:szCs w:val="24"/>
          <w:lang w:eastAsia="zh-CN"/>
        </w:rPr>
      </w:pPr>
      <w:r w:rsidRPr="007447E9">
        <w:rPr>
          <w:rFonts w:ascii="Book Antiqua" w:eastAsia="MinionPro-Regular" w:hAnsi="Book Antiqua"/>
          <w:b/>
          <w:color w:val="000000"/>
          <w:kern w:val="0"/>
          <w:sz w:val="24"/>
          <w:szCs w:val="24"/>
        </w:rPr>
        <w:t xml:space="preserve">Figure 2 </w:t>
      </w:r>
      <w:r w:rsidRPr="007447E9">
        <w:rPr>
          <w:rFonts w:ascii="Book Antiqua" w:eastAsia="MinionPro-It" w:hAnsi="Book Antiqua"/>
          <w:b/>
          <w:iCs/>
          <w:color w:val="000000"/>
          <w:kern w:val="0"/>
          <w:sz w:val="24"/>
          <w:szCs w:val="24"/>
        </w:rPr>
        <w:t xml:space="preserve">PI3K/Akt/mTOR Pathway and the molecular agents targeting this pathway. </w:t>
      </w:r>
      <w:r w:rsidRPr="00C67938">
        <w:rPr>
          <w:rFonts w:ascii="Book Antiqua" w:eastAsia="Times New Roman" w:hAnsi="Book Antiqua"/>
          <w:kern w:val="0"/>
          <w:sz w:val="24"/>
          <w:szCs w:val="24"/>
        </w:rPr>
        <w:t>BAD</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BCL-2-associated death promoter; EGF</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Epidermal growth factor; EGFR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EGF receptor; IGFR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Insulin-like growth factor receptor; mTOR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Mammalian target of rapamycin; PTEN</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Phosphatase and tensin homolog; PI3K</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Phosphatidylinositol-3-kinase</w:t>
      </w:r>
      <w:r>
        <w:rPr>
          <w:rFonts w:ascii="Book Antiqua" w:eastAsia="宋体" w:hAnsi="Book Antiqua"/>
          <w:kern w:val="0"/>
          <w:sz w:val="24"/>
          <w:szCs w:val="24"/>
          <w:lang w:eastAsia="zh-CN"/>
        </w:rPr>
        <w:t>.</w:t>
      </w:r>
    </w:p>
    <w:p w:rsidR="00A7606F" w:rsidRPr="00BF3853" w:rsidRDefault="00A7606F" w:rsidP="006D71D5">
      <w:pPr>
        <w:wordWrap/>
        <w:adjustRightInd w:val="0"/>
        <w:spacing w:line="360" w:lineRule="auto"/>
        <w:rPr>
          <w:rFonts w:ascii="Book Antiqua" w:eastAsia="MinionPro-It" w:hAnsi="Book Antiqua"/>
          <w:iCs/>
          <w:color w:val="000000"/>
          <w:kern w:val="0"/>
          <w:sz w:val="24"/>
          <w:szCs w:val="24"/>
        </w:rPr>
      </w:pPr>
    </w:p>
    <w:p w:rsidR="00A7606F" w:rsidRPr="00C67938" w:rsidRDefault="00A7606F" w:rsidP="006D71D5">
      <w:pPr>
        <w:wordWrap/>
        <w:adjustRightInd w:val="0"/>
        <w:spacing w:line="360" w:lineRule="auto"/>
        <w:rPr>
          <w:rFonts w:ascii="Book Antiqua" w:eastAsia="MinionPro-It" w:hAnsi="Book Antiqua"/>
          <w:iCs/>
          <w:color w:val="000000"/>
          <w:kern w:val="0"/>
          <w:sz w:val="24"/>
          <w:szCs w:val="24"/>
        </w:rPr>
      </w:pPr>
    </w:p>
    <w:p w:rsidR="00A7606F" w:rsidRPr="006D71D5" w:rsidRDefault="00A7606F" w:rsidP="006D71D5">
      <w:pPr>
        <w:wordWrap/>
        <w:adjustRightInd w:val="0"/>
        <w:spacing w:line="360" w:lineRule="auto"/>
        <w:rPr>
          <w:rFonts w:ascii="Book Antiqua" w:eastAsia="宋体" w:hAnsi="Book Antiqua"/>
          <w:sz w:val="24"/>
          <w:szCs w:val="24"/>
          <w:lang w:eastAsia="zh-CN"/>
        </w:rPr>
      </w:pPr>
      <w:r w:rsidRPr="006D71D5">
        <w:rPr>
          <w:rFonts w:ascii="Book Antiqua" w:eastAsia="Arial Unicode MS" w:hAnsi="Book Antiqua"/>
          <w:b/>
          <w:color w:val="000000"/>
          <w:sz w:val="24"/>
          <w:szCs w:val="24"/>
          <w:bdr w:val="none" w:sz="0" w:space="0" w:color="auto" w:frame="1"/>
        </w:rPr>
        <w:t>Figure 3</w:t>
      </w:r>
      <w:r>
        <w:rPr>
          <w:rFonts w:ascii="Book Antiqua" w:eastAsia="Arial Unicode MS" w:hAnsi="Book Antiqua"/>
          <w:b/>
          <w:color w:val="000000"/>
          <w:sz w:val="24"/>
          <w:szCs w:val="24"/>
          <w:bdr w:val="none" w:sz="0" w:space="0" w:color="auto" w:frame="1"/>
          <w:lang w:eastAsia="zh-CN"/>
        </w:rPr>
        <w:t xml:space="preserve"> </w:t>
      </w:r>
      <w:r w:rsidRPr="006D71D5">
        <w:rPr>
          <w:rFonts w:ascii="Book Antiqua" w:eastAsia="Arial Unicode MS" w:hAnsi="Book Antiqua"/>
          <w:b/>
          <w:color w:val="000000"/>
          <w:sz w:val="24"/>
          <w:szCs w:val="24"/>
          <w:bdr w:val="none" w:sz="0" w:space="0" w:color="auto" w:frame="1"/>
        </w:rPr>
        <w:t xml:space="preserve">The c-Met signaling pathway suggested in </w:t>
      </w:r>
      <w:r w:rsidRPr="006D71D5">
        <w:rPr>
          <w:rFonts w:ascii="Book Antiqua" w:eastAsia="MinionPro-Regular" w:hAnsi="Book Antiqua"/>
          <w:b/>
          <w:color w:val="000000"/>
          <w:kern w:val="0"/>
          <w:sz w:val="24"/>
          <w:szCs w:val="24"/>
        </w:rPr>
        <w:t>hepatocellular carcinoma</w:t>
      </w:r>
      <w:r w:rsidRPr="00C67938">
        <w:rPr>
          <w:rFonts w:ascii="Book Antiqua" w:eastAsia="MinionPro-Regular" w:hAnsi="Book Antiqua"/>
          <w:color w:val="000000"/>
          <w:kern w:val="0"/>
          <w:sz w:val="24"/>
          <w:szCs w:val="24"/>
        </w:rPr>
        <w:t>.</w:t>
      </w:r>
      <w:r w:rsidRPr="00BF3853">
        <w:rPr>
          <w:rFonts w:ascii="Book Antiqua" w:hAnsi="Book Antiqua"/>
          <w:sz w:val="24"/>
          <w:szCs w:val="24"/>
        </w:rPr>
        <w:t xml:space="preserve"> </w:t>
      </w:r>
      <w:r w:rsidRPr="00C67938">
        <w:rPr>
          <w:rFonts w:ascii="Book Antiqua" w:hAnsi="Book Antiqua"/>
          <w:sz w:val="24"/>
          <w:szCs w:val="24"/>
        </w:rPr>
        <w:t>Gab1</w:t>
      </w:r>
      <w:r>
        <w:rPr>
          <w:rFonts w:ascii="Book Antiqua" w:eastAsia="宋体" w:hAnsi="Book Antiqua"/>
          <w:sz w:val="24"/>
          <w:szCs w:val="24"/>
          <w:lang w:eastAsia="zh-CN"/>
        </w:rPr>
        <w:t>:</w:t>
      </w:r>
      <w:r w:rsidRPr="00C67938">
        <w:rPr>
          <w:rFonts w:ascii="Book Antiqua" w:hAnsi="Book Antiqua"/>
          <w:sz w:val="24"/>
          <w:szCs w:val="24"/>
        </w:rPr>
        <w:t xml:space="preserve"> GRB2-associated binding protein 1</w:t>
      </w:r>
      <w:r w:rsidRPr="00C67938">
        <w:rPr>
          <w:rFonts w:ascii="Book Antiqua" w:eastAsia="Times New Roman" w:hAnsi="Book Antiqua"/>
          <w:kern w:val="0"/>
          <w:sz w:val="24"/>
          <w:szCs w:val="24"/>
        </w:rPr>
        <w:t>;</w:t>
      </w:r>
      <w:r w:rsidRPr="00C67938">
        <w:rPr>
          <w:rFonts w:ascii="Book Antiqua" w:hAnsi="Book Antiqua"/>
          <w:sz w:val="24"/>
          <w:szCs w:val="24"/>
        </w:rPr>
        <w:t xml:space="preserve"> Grb2</w:t>
      </w:r>
      <w:r>
        <w:rPr>
          <w:rFonts w:ascii="Book Antiqua" w:eastAsia="宋体" w:hAnsi="Book Antiqua"/>
          <w:sz w:val="24"/>
          <w:szCs w:val="24"/>
          <w:lang w:eastAsia="zh-CN"/>
        </w:rPr>
        <w:t>:</w:t>
      </w:r>
      <w:r w:rsidRPr="00C67938">
        <w:rPr>
          <w:rFonts w:ascii="Book Antiqua" w:hAnsi="Book Antiqua"/>
          <w:sz w:val="24"/>
          <w:szCs w:val="24"/>
        </w:rPr>
        <w:t xml:space="preserve"> Growth factor receptor-bound protein 2;</w:t>
      </w:r>
      <w:r w:rsidRPr="00C67938">
        <w:rPr>
          <w:rFonts w:ascii="Book Antiqua" w:eastAsia="Times New Roman" w:hAnsi="Book Antiqua"/>
          <w:kern w:val="0"/>
          <w:sz w:val="24"/>
          <w:szCs w:val="24"/>
        </w:rPr>
        <w:t xml:space="preserve"> HGF/SF</w:t>
      </w:r>
      <w:r>
        <w:rPr>
          <w:rFonts w:ascii="Book Antiqua" w:eastAsia="宋体" w:hAnsi="Book Antiqua"/>
          <w:kern w:val="0"/>
          <w:sz w:val="24"/>
          <w:szCs w:val="24"/>
          <w:lang w:eastAsia="zh-CN"/>
        </w:rPr>
        <w:t>:</w:t>
      </w:r>
      <w:r w:rsidRPr="00C67938">
        <w:rPr>
          <w:rFonts w:ascii="Book Antiqua" w:hAnsi="Book Antiqua"/>
          <w:sz w:val="24"/>
          <w:szCs w:val="24"/>
        </w:rPr>
        <w:t xml:space="preserve"> Hepatocyte growth factor</w:t>
      </w:r>
      <w:r w:rsidRPr="00C67938">
        <w:rPr>
          <w:rStyle w:val="st1"/>
          <w:rFonts w:ascii="Book Antiqua" w:hAnsi="Book Antiqua"/>
          <w:sz w:val="24"/>
          <w:szCs w:val="24"/>
        </w:rPr>
        <w:t>/scatter factor</w:t>
      </w:r>
      <w:r w:rsidRPr="00C67938">
        <w:rPr>
          <w:rFonts w:ascii="Book Antiqua" w:hAnsi="Book Antiqua"/>
          <w:sz w:val="24"/>
          <w:szCs w:val="24"/>
        </w:rPr>
        <w:t>; JAK1</w:t>
      </w:r>
      <w:r>
        <w:rPr>
          <w:rFonts w:ascii="Book Antiqua" w:eastAsia="宋体" w:hAnsi="Book Antiqua"/>
          <w:sz w:val="24"/>
          <w:szCs w:val="24"/>
          <w:lang w:eastAsia="zh-CN"/>
        </w:rPr>
        <w:t>:</w:t>
      </w:r>
      <w:r w:rsidRPr="00C67938">
        <w:rPr>
          <w:rFonts w:ascii="Book Antiqua" w:hAnsi="Book Antiqua"/>
          <w:sz w:val="24"/>
          <w:szCs w:val="24"/>
        </w:rPr>
        <w:t xml:space="preserve"> Janus kinase 1; Met</w:t>
      </w:r>
      <w:r>
        <w:rPr>
          <w:rFonts w:ascii="Book Antiqua" w:eastAsia="宋体" w:hAnsi="Book Antiqua"/>
          <w:sz w:val="24"/>
          <w:szCs w:val="24"/>
          <w:lang w:eastAsia="zh-CN"/>
        </w:rPr>
        <w:t>:</w:t>
      </w:r>
      <w:r w:rsidRPr="00C67938">
        <w:rPr>
          <w:rFonts w:ascii="Book Antiqua" w:hAnsi="Book Antiqua"/>
          <w:sz w:val="24"/>
          <w:szCs w:val="24"/>
        </w:rPr>
        <w:t xml:space="preserve"> Met proto-oncogene;</w:t>
      </w:r>
      <w:r w:rsidRPr="00C67938">
        <w:rPr>
          <w:rFonts w:ascii="Book Antiqua" w:eastAsia="Times New Roman" w:hAnsi="Book Antiqua"/>
          <w:kern w:val="0"/>
          <w:sz w:val="24"/>
          <w:szCs w:val="24"/>
        </w:rPr>
        <w:t xml:space="preserve"> PI3K</w:t>
      </w:r>
      <w:r>
        <w:rPr>
          <w:rFonts w:ascii="Book Antiqua" w:eastAsia="宋体" w:hAnsi="Book Antiqua"/>
          <w:kern w:val="0"/>
          <w:sz w:val="24"/>
          <w:szCs w:val="24"/>
          <w:lang w:eastAsia="zh-CN"/>
        </w:rPr>
        <w:t xml:space="preserve">: </w:t>
      </w:r>
      <w:r w:rsidRPr="00C67938">
        <w:rPr>
          <w:rFonts w:ascii="Book Antiqua" w:eastAsia="Times New Roman" w:hAnsi="Book Antiqua"/>
          <w:kern w:val="0"/>
          <w:sz w:val="24"/>
          <w:szCs w:val="24"/>
        </w:rPr>
        <w:t>Phosphatidylinositol-3-kinase; SAT3</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S</w:t>
      </w:r>
      <w:r w:rsidRPr="00C67938">
        <w:rPr>
          <w:rFonts w:ascii="Book Antiqua" w:hAnsi="Book Antiqua"/>
          <w:sz w:val="24"/>
          <w:szCs w:val="24"/>
        </w:rPr>
        <w:t>ignal transducer and activator of transcription 3</w:t>
      </w:r>
      <w:r>
        <w:rPr>
          <w:rFonts w:ascii="Book Antiqua" w:eastAsia="宋体" w:hAnsi="Book Antiqua"/>
          <w:sz w:val="24"/>
          <w:szCs w:val="24"/>
          <w:lang w:eastAsia="zh-CN"/>
        </w:rPr>
        <w:t>.</w:t>
      </w:r>
    </w:p>
    <w:p w:rsidR="00A7606F" w:rsidRPr="00BF3853" w:rsidRDefault="00A7606F" w:rsidP="006D71D5">
      <w:pPr>
        <w:wordWrap/>
        <w:adjustRightInd w:val="0"/>
        <w:spacing w:line="360" w:lineRule="auto"/>
        <w:rPr>
          <w:rFonts w:ascii="Book Antiqua" w:eastAsia="MinionPro-Regular" w:hAnsi="Book Antiqua"/>
          <w:color w:val="000000"/>
          <w:kern w:val="0"/>
          <w:sz w:val="24"/>
          <w:szCs w:val="24"/>
        </w:rPr>
      </w:pPr>
    </w:p>
    <w:p w:rsidR="00A7606F" w:rsidRPr="00C67938" w:rsidRDefault="00A7606F" w:rsidP="006D71D5">
      <w:pPr>
        <w:wordWrap/>
        <w:adjustRightInd w:val="0"/>
        <w:spacing w:line="360" w:lineRule="auto"/>
        <w:rPr>
          <w:rFonts w:ascii="Book Antiqua" w:eastAsia="Arial Unicode MS" w:hAnsi="Book Antiqua"/>
          <w:b/>
          <w:sz w:val="24"/>
          <w:szCs w:val="24"/>
          <w:bdr w:val="none" w:sz="0" w:space="0" w:color="auto" w:frame="1"/>
        </w:rPr>
      </w:pPr>
    </w:p>
    <w:p w:rsidR="00A7606F" w:rsidRPr="00C67938" w:rsidRDefault="00A7606F" w:rsidP="006D71D5">
      <w:pPr>
        <w:wordWrap/>
        <w:adjustRightInd w:val="0"/>
        <w:spacing w:line="360" w:lineRule="auto"/>
        <w:rPr>
          <w:rFonts w:ascii="Book Antiqua" w:eastAsia="Times New Roman" w:hAnsi="Book Antiqua"/>
          <w:b/>
          <w:kern w:val="0"/>
          <w:sz w:val="24"/>
          <w:szCs w:val="24"/>
        </w:rPr>
      </w:pPr>
    </w:p>
    <w:p w:rsidR="00A7606F" w:rsidRPr="00C67938" w:rsidRDefault="00A7606F" w:rsidP="006D71D5">
      <w:pPr>
        <w:wordWrap/>
        <w:adjustRightInd w:val="0"/>
        <w:spacing w:line="360" w:lineRule="auto"/>
        <w:rPr>
          <w:rFonts w:ascii="Book Antiqua" w:eastAsia="Times New Roman" w:hAnsi="Book Antiqua"/>
          <w:b/>
          <w:kern w:val="0"/>
          <w:sz w:val="24"/>
          <w:szCs w:val="24"/>
        </w:rPr>
      </w:pPr>
    </w:p>
    <w:p w:rsidR="00A7606F" w:rsidRPr="00C67938" w:rsidRDefault="00A7606F" w:rsidP="006D71D5">
      <w:pPr>
        <w:wordWrap/>
        <w:adjustRightInd w:val="0"/>
        <w:spacing w:line="360" w:lineRule="auto"/>
        <w:rPr>
          <w:rFonts w:ascii="Book Antiqua" w:eastAsia="Times New Roman" w:hAnsi="Book Antiqua"/>
          <w:b/>
          <w:kern w:val="0"/>
          <w:sz w:val="24"/>
          <w:szCs w:val="24"/>
        </w:rPr>
      </w:pPr>
    </w:p>
    <w:p w:rsidR="00A7606F" w:rsidRPr="00C67938" w:rsidRDefault="00A7606F" w:rsidP="006D71D5">
      <w:pPr>
        <w:wordWrap/>
        <w:adjustRightInd w:val="0"/>
        <w:spacing w:line="360" w:lineRule="auto"/>
        <w:rPr>
          <w:rFonts w:ascii="Book Antiqua" w:eastAsia="Times New Roman" w:hAnsi="Book Antiqua"/>
          <w:b/>
          <w:kern w:val="0"/>
          <w:sz w:val="24"/>
          <w:szCs w:val="24"/>
        </w:rPr>
      </w:pPr>
    </w:p>
    <w:p w:rsidR="00A7606F" w:rsidRPr="00C67938" w:rsidRDefault="00A7606F" w:rsidP="006D71D5">
      <w:pPr>
        <w:wordWrap/>
        <w:adjustRightInd w:val="0"/>
        <w:spacing w:line="360" w:lineRule="auto"/>
        <w:rPr>
          <w:rFonts w:ascii="Book Antiqua" w:eastAsia="Times New Roman" w:hAnsi="Book Antiqua"/>
          <w:b/>
          <w:kern w:val="0"/>
          <w:sz w:val="24"/>
          <w:szCs w:val="24"/>
        </w:rPr>
      </w:pPr>
    </w:p>
    <w:p w:rsidR="00A7606F" w:rsidRPr="00C67938" w:rsidRDefault="00A7606F" w:rsidP="006D71D5">
      <w:pPr>
        <w:wordWrap/>
        <w:adjustRightInd w:val="0"/>
        <w:spacing w:line="360" w:lineRule="auto"/>
        <w:rPr>
          <w:rFonts w:ascii="Book Antiqua" w:eastAsia="Times New Roman" w:hAnsi="Book Antiqua"/>
          <w:b/>
          <w:kern w:val="0"/>
          <w:sz w:val="24"/>
          <w:szCs w:val="24"/>
        </w:rPr>
      </w:pPr>
    </w:p>
    <w:p w:rsidR="00A7606F" w:rsidRPr="00C67938" w:rsidRDefault="00A7606F" w:rsidP="006D71D5">
      <w:pPr>
        <w:wordWrap/>
        <w:adjustRightInd w:val="0"/>
        <w:spacing w:line="360" w:lineRule="auto"/>
        <w:rPr>
          <w:rFonts w:ascii="Book Antiqua" w:eastAsia="Times New Roman" w:hAnsi="Book Antiqua"/>
          <w:b/>
          <w:kern w:val="0"/>
          <w:sz w:val="24"/>
          <w:szCs w:val="24"/>
        </w:rPr>
      </w:pPr>
    </w:p>
    <w:p w:rsidR="00A7606F" w:rsidRDefault="00A7606F" w:rsidP="006D71D5">
      <w:pPr>
        <w:wordWrap/>
        <w:adjustRightInd w:val="0"/>
        <w:spacing w:line="360" w:lineRule="auto"/>
        <w:rPr>
          <w:rFonts w:ascii="Book Antiqua" w:eastAsia="宋体" w:hAnsi="Book Antiqua"/>
          <w:sz w:val="24"/>
          <w:szCs w:val="24"/>
          <w:lang w:eastAsia="zh-CN"/>
        </w:rPr>
      </w:pPr>
    </w:p>
    <w:p w:rsidR="00A7606F" w:rsidRPr="00BF3853" w:rsidRDefault="00A7606F" w:rsidP="006D71D5">
      <w:pPr>
        <w:wordWrap/>
        <w:adjustRightInd w:val="0"/>
        <w:spacing w:line="360" w:lineRule="auto"/>
        <w:rPr>
          <w:rFonts w:ascii="Book Antiqua" w:eastAsia="宋体" w:hAnsi="Book Antiqua"/>
          <w:sz w:val="24"/>
          <w:szCs w:val="24"/>
          <w:lang w:eastAsia="zh-CN"/>
        </w:rPr>
      </w:pPr>
    </w:p>
    <w:p w:rsidR="00A7606F" w:rsidRPr="00BF3853" w:rsidRDefault="00A7606F" w:rsidP="00C67938">
      <w:pPr>
        <w:pStyle w:val="Default"/>
        <w:spacing w:line="360" w:lineRule="auto"/>
        <w:jc w:val="both"/>
        <w:rPr>
          <w:rFonts w:ascii="Book Antiqua" w:eastAsia="宋体" w:hAnsi="Book Antiqua"/>
          <w:lang w:eastAsia="zh-CN"/>
        </w:rPr>
      </w:pPr>
      <w:r w:rsidRPr="00C67938">
        <w:rPr>
          <w:rFonts w:ascii="Book Antiqua" w:hAnsi="Book Antiqua"/>
          <w:b/>
          <w:bCs/>
        </w:rPr>
        <w:t>Table 1 Molecular</w:t>
      </w:r>
      <w:r>
        <w:rPr>
          <w:rFonts w:ascii="Book Antiqua" w:hAnsi="Book Antiqua"/>
          <w:b/>
          <w:bCs/>
        </w:rPr>
        <w:t xml:space="preserve"> targets and therapeutic agents</w:t>
      </w:r>
    </w:p>
    <w:tbl>
      <w:tblPr>
        <w:tblW w:w="0" w:type="auto"/>
        <w:tblLayout w:type="fixed"/>
        <w:tblLook w:val="0000" w:firstRow="0" w:lastRow="0" w:firstColumn="0" w:lastColumn="0" w:noHBand="0" w:noVBand="0"/>
      </w:tblPr>
      <w:tblGrid>
        <w:gridCol w:w="4644"/>
        <w:gridCol w:w="4211"/>
      </w:tblGrid>
      <w:tr w:rsidR="00A7606F" w:rsidRPr="00BF3853" w:rsidTr="00285BD9">
        <w:trPr>
          <w:trHeight w:val="235"/>
        </w:trPr>
        <w:tc>
          <w:tcPr>
            <w:tcW w:w="4644" w:type="dxa"/>
            <w:tcBorders>
              <w:top w:val="single" w:sz="4" w:space="0" w:color="auto"/>
              <w:bottom w:val="single" w:sz="4" w:space="0" w:color="auto"/>
            </w:tcBorders>
          </w:tcPr>
          <w:p w:rsidR="00A7606F" w:rsidRPr="00BF3853" w:rsidRDefault="00A7606F" w:rsidP="00C67938">
            <w:pPr>
              <w:pStyle w:val="Default"/>
              <w:spacing w:line="360" w:lineRule="auto"/>
              <w:jc w:val="both"/>
              <w:rPr>
                <w:rFonts w:ascii="Book Antiqua" w:hAnsi="Book Antiqua"/>
                <w:b/>
              </w:rPr>
            </w:pPr>
            <w:r w:rsidRPr="00BF3853">
              <w:rPr>
                <w:rFonts w:ascii="Book Antiqua" w:hAnsi="Book Antiqua"/>
                <w:b/>
                <w:bCs/>
              </w:rPr>
              <w:t xml:space="preserve">Molecular targets </w:t>
            </w:r>
          </w:p>
        </w:tc>
        <w:tc>
          <w:tcPr>
            <w:tcW w:w="4211" w:type="dxa"/>
            <w:tcBorders>
              <w:top w:val="single" w:sz="4" w:space="0" w:color="auto"/>
              <w:bottom w:val="single" w:sz="4" w:space="0" w:color="auto"/>
            </w:tcBorders>
          </w:tcPr>
          <w:p w:rsidR="00A7606F" w:rsidRPr="00BF3853" w:rsidRDefault="00A7606F" w:rsidP="00C67938">
            <w:pPr>
              <w:pStyle w:val="Default"/>
              <w:spacing w:line="360" w:lineRule="auto"/>
              <w:jc w:val="both"/>
              <w:rPr>
                <w:rFonts w:ascii="Book Antiqua" w:hAnsi="Book Antiqua"/>
                <w:b/>
              </w:rPr>
            </w:pPr>
            <w:r w:rsidRPr="00BF3853">
              <w:rPr>
                <w:rFonts w:ascii="Book Antiqua" w:hAnsi="Book Antiqua"/>
                <w:b/>
                <w:bCs/>
              </w:rPr>
              <w:t xml:space="preserve">Therapeutic agents </w:t>
            </w:r>
          </w:p>
        </w:tc>
      </w:tr>
      <w:tr w:rsidR="00A7606F" w:rsidRPr="00C67938" w:rsidTr="00285BD9">
        <w:trPr>
          <w:trHeight w:val="1659"/>
        </w:trPr>
        <w:tc>
          <w:tcPr>
            <w:tcW w:w="4644" w:type="dxa"/>
            <w:tcBorders>
              <w:top w:val="single" w:sz="4" w:space="0" w:color="auto"/>
            </w:tcBorders>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VEGF/VEGFR </w:t>
            </w:r>
          </w:p>
        </w:tc>
        <w:tc>
          <w:tcPr>
            <w:tcW w:w="4211" w:type="dxa"/>
            <w:tcBorders>
              <w:top w:val="single" w:sz="4" w:space="0" w:color="auto"/>
            </w:tcBorders>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Sorafenib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Bevacizumab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Vatalanib (PTK787)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Cediranib (AZD2171)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Brivanib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Sunitinib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Linifanib (ABT869) </w:t>
            </w:r>
          </w:p>
        </w:tc>
      </w:tr>
      <w:tr w:rsidR="00A7606F" w:rsidRPr="00C67938" w:rsidTr="00285BD9">
        <w:trPr>
          <w:trHeight w:val="844"/>
        </w:trPr>
        <w:tc>
          <w:tcPr>
            <w:tcW w:w="4644"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EFGF/EGFR </w:t>
            </w:r>
          </w:p>
        </w:tc>
        <w:tc>
          <w:tcPr>
            <w:tcW w:w="4211"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Cetuximab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Erlotinib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Lapatinib </w:t>
            </w:r>
          </w:p>
        </w:tc>
      </w:tr>
      <w:tr w:rsidR="00A7606F" w:rsidRPr="00C67938" w:rsidTr="00285BD9">
        <w:trPr>
          <w:trHeight w:val="1048"/>
        </w:trPr>
        <w:tc>
          <w:tcPr>
            <w:tcW w:w="4644"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IGF/IGFR </w:t>
            </w:r>
          </w:p>
        </w:tc>
        <w:tc>
          <w:tcPr>
            <w:tcW w:w="4211"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OSI-906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IMC-A12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AVE1642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BII022 </w:t>
            </w:r>
          </w:p>
        </w:tc>
      </w:tr>
      <w:tr w:rsidR="00A7606F" w:rsidRPr="00C67938" w:rsidTr="00285BD9">
        <w:trPr>
          <w:trHeight w:val="641"/>
        </w:trPr>
        <w:tc>
          <w:tcPr>
            <w:tcW w:w="4644"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Ras/Raf/MEK/ERK </w:t>
            </w:r>
          </w:p>
        </w:tc>
        <w:tc>
          <w:tcPr>
            <w:tcW w:w="4211"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Sorafenib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Selumetinib (AZD6244) </w:t>
            </w:r>
          </w:p>
        </w:tc>
      </w:tr>
      <w:tr w:rsidR="00A7606F" w:rsidRPr="00C67938" w:rsidTr="00285BD9">
        <w:trPr>
          <w:trHeight w:val="1048"/>
        </w:trPr>
        <w:tc>
          <w:tcPr>
            <w:tcW w:w="4644"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PI3K/Akt/mTOR </w:t>
            </w:r>
          </w:p>
        </w:tc>
        <w:tc>
          <w:tcPr>
            <w:tcW w:w="4211"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AZD8055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Everolimus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Sirolimus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Temsirolimus </w:t>
            </w:r>
          </w:p>
        </w:tc>
      </w:tr>
      <w:tr w:rsidR="00A7606F" w:rsidRPr="00C67938" w:rsidTr="00285BD9">
        <w:trPr>
          <w:trHeight w:val="643"/>
        </w:trPr>
        <w:tc>
          <w:tcPr>
            <w:tcW w:w="4644"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Wnt-</w:t>
            </w:r>
            <w:r w:rsidRPr="00C67938">
              <w:rPr>
                <w:rFonts w:ascii="Book Antiqua" w:hAnsi="Book Antiqua"/>
                <w:i/>
                <w:iCs/>
              </w:rPr>
              <w:t>β</w:t>
            </w:r>
            <w:r w:rsidRPr="00C67938">
              <w:rPr>
                <w:rFonts w:ascii="Book Antiqua" w:hAnsi="Book Antiqua"/>
              </w:rPr>
              <w:t xml:space="preserve">-catenin </w:t>
            </w:r>
          </w:p>
        </w:tc>
        <w:tc>
          <w:tcPr>
            <w:tcW w:w="4211" w:type="dxa"/>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PFK118-310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PFK115-584 </w:t>
            </w:r>
          </w:p>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CGP049090 </w:t>
            </w:r>
          </w:p>
        </w:tc>
      </w:tr>
      <w:tr w:rsidR="00A7606F" w:rsidRPr="00C67938" w:rsidTr="00285BD9">
        <w:trPr>
          <w:trHeight w:val="232"/>
        </w:trPr>
        <w:tc>
          <w:tcPr>
            <w:tcW w:w="4644" w:type="dxa"/>
            <w:tcBorders>
              <w:bottom w:val="single" w:sz="4" w:space="0" w:color="auto"/>
            </w:tcBorders>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MET </w:t>
            </w:r>
          </w:p>
        </w:tc>
        <w:tc>
          <w:tcPr>
            <w:tcW w:w="4211" w:type="dxa"/>
            <w:tcBorders>
              <w:bottom w:val="single" w:sz="4" w:space="0" w:color="auto"/>
            </w:tcBorders>
          </w:tcPr>
          <w:p w:rsidR="00A7606F" w:rsidRPr="00C67938" w:rsidRDefault="00A7606F" w:rsidP="00C67938">
            <w:pPr>
              <w:pStyle w:val="Default"/>
              <w:spacing w:line="360" w:lineRule="auto"/>
              <w:jc w:val="both"/>
              <w:rPr>
                <w:rFonts w:ascii="Book Antiqua" w:hAnsi="Book Antiqua"/>
              </w:rPr>
            </w:pPr>
            <w:r w:rsidRPr="00C67938">
              <w:rPr>
                <w:rFonts w:ascii="Book Antiqua" w:hAnsi="Book Antiqua"/>
              </w:rPr>
              <w:t xml:space="preserve">Tivanitib </w:t>
            </w:r>
          </w:p>
        </w:tc>
      </w:tr>
    </w:tbl>
    <w:p w:rsidR="00A7606F" w:rsidRPr="006D71D5" w:rsidRDefault="00A7606F" w:rsidP="006D71D5">
      <w:pPr>
        <w:wordWrap/>
        <w:adjustRightInd w:val="0"/>
        <w:spacing w:line="360" w:lineRule="auto"/>
        <w:rPr>
          <w:rFonts w:ascii="Book Antiqua" w:eastAsia="宋体" w:hAnsi="Book Antiqua"/>
          <w:color w:val="231F20"/>
          <w:kern w:val="0"/>
          <w:sz w:val="24"/>
          <w:szCs w:val="24"/>
          <w:lang w:eastAsia="zh-CN"/>
        </w:rPr>
      </w:pPr>
      <w:r w:rsidRPr="00C67938">
        <w:rPr>
          <w:rFonts w:ascii="Book Antiqua" w:eastAsia="Times New Roman" w:hAnsi="Book Antiqua"/>
          <w:kern w:val="0"/>
          <w:sz w:val="24"/>
          <w:szCs w:val="24"/>
        </w:rPr>
        <w:t>EGF</w:t>
      </w:r>
      <w:r>
        <w:rPr>
          <w:rFonts w:ascii="Book Antiqua" w:eastAsia="宋体" w:hAnsi="Book Antiqua"/>
          <w:kern w:val="0"/>
          <w:sz w:val="24"/>
          <w:szCs w:val="24"/>
          <w:lang w:eastAsia="zh-CN"/>
        </w:rPr>
        <w:t xml:space="preserve">: </w:t>
      </w:r>
      <w:r w:rsidRPr="00C67938">
        <w:rPr>
          <w:rFonts w:ascii="Book Antiqua" w:eastAsia="Times New Roman" w:hAnsi="Book Antiqua"/>
          <w:kern w:val="0"/>
          <w:sz w:val="24"/>
          <w:szCs w:val="24"/>
        </w:rPr>
        <w:t>Epidermal growth factor; EGFR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EGF Receptor; ERK</w:t>
      </w:r>
      <w:r>
        <w:rPr>
          <w:rFonts w:ascii="Book Antiqua" w:eastAsia="宋体" w:hAnsi="Book Antiqua"/>
          <w:kern w:val="0"/>
          <w:sz w:val="24"/>
          <w:szCs w:val="24"/>
          <w:lang w:eastAsia="zh-CN"/>
        </w:rPr>
        <w:t xml:space="preserve">: </w:t>
      </w:r>
      <w:r w:rsidRPr="00C67938">
        <w:rPr>
          <w:rFonts w:ascii="Book Antiqua" w:eastAsia="Times New Roman" w:hAnsi="Book Antiqua"/>
          <w:kern w:val="0"/>
          <w:sz w:val="24"/>
          <w:szCs w:val="24"/>
        </w:rPr>
        <w:t>Extracellular signal-regulated kinase; FGFR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w:t>
      </w:r>
      <w:r w:rsidRPr="00C67938">
        <w:rPr>
          <w:rFonts w:ascii="Book Antiqua" w:eastAsia="MinionPro-Regular" w:hAnsi="Book Antiqua"/>
          <w:color w:val="231F20"/>
          <w:kern w:val="0"/>
          <w:sz w:val="24"/>
          <w:szCs w:val="24"/>
        </w:rPr>
        <w:t>Fibroblast growth factor receptor;</w:t>
      </w:r>
      <w:r w:rsidRPr="00C67938">
        <w:rPr>
          <w:rFonts w:ascii="Book Antiqua" w:eastAsia="Times New Roman" w:hAnsi="Book Antiqua"/>
          <w:kern w:val="0"/>
          <w:sz w:val="24"/>
          <w:szCs w:val="24"/>
        </w:rPr>
        <w:t xml:space="preserve"> IGFR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Insulin-like growth factor receptor;</w:t>
      </w:r>
      <w:r w:rsidRPr="00C67938">
        <w:rPr>
          <w:rFonts w:ascii="Book Antiqua" w:eastAsia="MinionPro-Regular" w:hAnsi="Book Antiqua"/>
          <w:color w:val="231F20"/>
          <w:kern w:val="0"/>
          <w:sz w:val="24"/>
          <w:szCs w:val="24"/>
        </w:rPr>
        <w:t xml:space="preserve"> </w:t>
      </w:r>
      <w:r w:rsidRPr="00C67938">
        <w:rPr>
          <w:rFonts w:ascii="Book Antiqua" w:eastAsia="Times New Roman" w:hAnsi="Book Antiqua"/>
          <w:kern w:val="0"/>
          <w:sz w:val="24"/>
          <w:szCs w:val="24"/>
        </w:rPr>
        <w:t>VEGF</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Vascular endothelial growth factor; VEGFR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VEGF receptor</w:t>
      </w:r>
      <w:r>
        <w:rPr>
          <w:rFonts w:ascii="Book Antiqua" w:eastAsia="宋体" w:hAnsi="Book Antiqua"/>
          <w:kern w:val="0"/>
          <w:sz w:val="24"/>
          <w:szCs w:val="24"/>
          <w:lang w:eastAsia="zh-CN"/>
        </w:rPr>
        <w:t xml:space="preserve">; </w:t>
      </w:r>
      <w:r w:rsidRPr="00C67938">
        <w:rPr>
          <w:rFonts w:ascii="Book Antiqua" w:eastAsia="Times New Roman" w:hAnsi="Book Antiqua"/>
          <w:kern w:val="0"/>
          <w:sz w:val="24"/>
          <w:szCs w:val="24"/>
        </w:rPr>
        <w:t>mTOR</w:t>
      </w:r>
      <w:r>
        <w:rPr>
          <w:rFonts w:ascii="Book Antiqua" w:eastAsia="宋体" w:hAnsi="Book Antiqua"/>
          <w:kern w:val="0"/>
          <w:sz w:val="24"/>
          <w:szCs w:val="24"/>
          <w:lang w:eastAsia="zh-CN"/>
        </w:rPr>
        <w:t>:</w:t>
      </w:r>
      <w:r w:rsidRPr="00C67938">
        <w:rPr>
          <w:rFonts w:ascii="Book Antiqua" w:eastAsia="Times New Roman" w:hAnsi="Book Antiqua"/>
          <w:kern w:val="0"/>
          <w:sz w:val="24"/>
          <w:szCs w:val="24"/>
        </w:rPr>
        <w:t xml:space="preserve"> Mammalian target of rapamycin;</w:t>
      </w:r>
      <w:r>
        <w:rPr>
          <w:rFonts w:ascii="Book Antiqua" w:eastAsia="宋体" w:hAnsi="Book Antiqua"/>
          <w:kern w:val="0"/>
          <w:sz w:val="24"/>
          <w:szCs w:val="24"/>
          <w:lang w:eastAsia="zh-CN"/>
        </w:rPr>
        <w:t xml:space="preserve"> </w:t>
      </w:r>
      <w:r w:rsidRPr="00C67938">
        <w:rPr>
          <w:rFonts w:ascii="Book Antiqua" w:hAnsi="Book Antiqua"/>
          <w:sz w:val="24"/>
          <w:szCs w:val="24"/>
        </w:rPr>
        <w:t>Met</w:t>
      </w:r>
      <w:r>
        <w:rPr>
          <w:rFonts w:ascii="Book Antiqua" w:eastAsia="宋体" w:hAnsi="Book Antiqua"/>
          <w:sz w:val="24"/>
          <w:szCs w:val="24"/>
          <w:lang w:eastAsia="zh-CN"/>
        </w:rPr>
        <w:t>:</w:t>
      </w:r>
      <w:r w:rsidRPr="00C67938">
        <w:rPr>
          <w:rFonts w:ascii="Book Antiqua" w:hAnsi="Book Antiqua"/>
          <w:sz w:val="24"/>
          <w:szCs w:val="24"/>
        </w:rPr>
        <w:t xml:space="preserve"> Met proto-oncogene;</w:t>
      </w:r>
      <w:r>
        <w:rPr>
          <w:rFonts w:ascii="Book Antiqua" w:eastAsia="宋体" w:hAnsi="Book Antiqua"/>
          <w:sz w:val="24"/>
          <w:szCs w:val="24"/>
          <w:lang w:eastAsia="zh-CN"/>
        </w:rPr>
        <w:t xml:space="preserve"> </w:t>
      </w:r>
      <w:r w:rsidRPr="00C67938">
        <w:rPr>
          <w:rFonts w:ascii="Book Antiqua" w:hAnsi="Book Antiqua"/>
          <w:sz w:val="24"/>
          <w:szCs w:val="24"/>
        </w:rPr>
        <w:t>MET</w:t>
      </w:r>
      <w:r>
        <w:rPr>
          <w:rFonts w:ascii="Book Antiqua" w:eastAsia="宋体" w:hAnsi="Book Antiqua"/>
          <w:sz w:val="24"/>
          <w:szCs w:val="24"/>
          <w:lang w:eastAsia="zh-CN"/>
        </w:rPr>
        <w:t>:</w:t>
      </w:r>
      <w:r w:rsidRPr="00C67938">
        <w:rPr>
          <w:rFonts w:ascii="Book Antiqua" w:hAnsi="Book Antiqua"/>
          <w:sz w:val="24"/>
          <w:szCs w:val="24"/>
        </w:rPr>
        <w:t xml:space="preserve"> M</w:t>
      </w:r>
      <w:r>
        <w:rPr>
          <w:rFonts w:ascii="Book Antiqua" w:hAnsi="Book Antiqua"/>
          <w:sz w:val="24"/>
          <w:szCs w:val="24"/>
        </w:rPr>
        <w:t>et proto-oncogene</w:t>
      </w:r>
      <w:r>
        <w:rPr>
          <w:rFonts w:ascii="Book Antiqua" w:eastAsia="宋体" w:hAnsi="Book Antiqua"/>
          <w:sz w:val="24"/>
          <w:szCs w:val="24"/>
          <w:lang w:eastAsia="zh-CN"/>
        </w:rPr>
        <w:t>.</w:t>
      </w:r>
    </w:p>
    <w:p w:rsidR="00A7606F" w:rsidRPr="006D71D5"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000000"/>
          <w:kern w:val="0"/>
          <w:sz w:val="24"/>
          <w:szCs w:val="24"/>
        </w:rPr>
      </w:pPr>
      <w:r w:rsidRPr="00C67938">
        <w:rPr>
          <w:rFonts w:ascii="Book Antiqua" w:eastAsia="MinionPro-Regular" w:hAnsi="Book Antiqua"/>
          <w:b/>
          <w:color w:val="000000"/>
          <w:kern w:val="0"/>
          <w:sz w:val="24"/>
          <w:szCs w:val="24"/>
        </w:rPr>
        <w:t>Table2 E</w:t>
      </w:r>
      <w:r w:rsidRPr="00C67938">
        <w:rPr>
          <w:rFonts w:ascii="Book Antiqua" w:eastAsia="Gulim" w:hAnsi="Book Antiqua"/>
          <w:b/>
          <w:bCs/>
          <w:color w:val="000000"/>
          <w:kern w:val="0"/>
          <w:sz w:val="24"/>
          <w:szCs w:val="24"/>
        </w:rPr>
        <w:t>fficacy results of targeted therapies for advanced hepatocellular carcinoma</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376"/>
        <w:gridCol w:w="2236"/>
        <w:gridCol w:w="3434"/>
        <w:gridCol w:w="1178"/>
      </w:tblGrid>
      <w:tr w:rsidR="00A7606F" w:rsidRPr="00C67938" w:rsidTr="00285BD9">
        <w:tc>
          <w:tcPr>
            <w:tcW w:w="2376" w:type="dxa"/>
            <w:tcBorders>
              <w:top w:val="single" w:sz="8" w:space="0" w:color="000000"/>
              <w:left w:val="nil"/>
              <w:bottom w:val="single" w:sz="8" w:space="0" w:color="000000"/>
              <w:right w:val="nil"/>
            </w:tcBorders>
            <w:shd w:val="clear" w:color="auto" w:fill="FFFFFF"/>
            <w:vAlign w:val="center"/>
          </w:tcPr>
          <w:p w:rsidR="00A7606F" w:rsidRPr="00C67938" w:rsidRDefault="00A7606F" w:rsidP="00C67938">
            <w:pPr>
              <w:wordWrap/>
              <w:adjustRightInd w:val="0"/>
              <w:spacing w:line="360" w:lineRule="auto"/>
              <w:rPr>
                <w:rFonts w:ascii="Book Antiqua" w:eastAsia="Gulim" w:hAnsi="Book Antiqua"/>
                <w:b/>
                <w:bCs/>
                <w:color w:val="000000"/>
                <w:kern w:val="0"/>
                <w:sz w:val="24"/>
                <w:szCs w:val="24"/>
              </w:rPr>
            </w:pPr>
            <w:r w:rsidRPr="00C67938">
              <w:rPr>
                <w:rFonts w:ascii="Book Antiqua" w:eastAsia="Gulim" w:hAnsi="Book Antiqua"/>
                <w:b/>
                <w:bCs/>
                <w:color w:val="000000"/>
                <w:kern w:val="0"/>
                <w:sz w:val="24"/>
                <w:szCs w:val="24"/>
              </w:rPr>
              <w:t>Molecular Targets</w:t>
            </w:r>
          </w:p>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Gulim" w:hAnsi="Book Antiqua"/>
                <w:b/>
                <w:bCs/>
                <w:color w:val="000000"/>
                <w:kern w:val="0"/>
                <w:sz w:val="24"/>
                <w:szCs w:val="24"/>
              </w:rPr>
              <w:t>/Agents</w:t>
            </w:r>
          </w:p>
        </w:tc>
        <w:tc>
          <w:tcPr>
            <w:tcW w:w="2236" w:type="dxa"/>
            <w:tcBorders>
              <w:top w:val="single" w:sz="8" w:space="0" w:color="000000"/>
              <w:left w:val="nil"/>
              <w:bottom w:val="single" w:sz="8" w:space="0" w:color="000000"/>
              <w:right w:val="nil"/>
            </w:tcBorders>
            <w:shd w:val="clear" w:color="auto" w:fill="FFFFFF"/>
            <w:vAlign w:val="center"/>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MinionPro-Regular" w:hAnsi="Book Antiqua"/>
                <w:b/>
                <w:bCs/>
                <w:color w:val="000000"/>
                <w:kern w:val="0"/>
                <w:sz w:val="24"/>
                <w:szCs w:val="24"/>
              </w:rPr>
              <w:t>Phase</w:t>
            </w:r>
          </w:p>
        </w:tc>
        <w:tc>
          <w:tcPr>
            <w:tcW w:w="3434" w:type="dxa"/>
            <w:tcBorders>
              <w:top w:val="single" w:sz="8" w:space="0" w:color="000000"/>
              <w:left w:val="nil"/>
              <w:bottom w:val="single" w:sz="8" w:space="0" w:color="000000"/>
              <w:right w:val="nil"/>
            </w:tcBorders>
            <w:shd w:val="clear" w:color="auto" w:fill="FFFFFF"/>
            <w:vAlign w:val="center"/>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MinionPro-Regular" w:hAnsi="Book Antiqua"/>
                <w:b/>
                <w:bCs/>
                <w:color w:val="000000"/>
                <w:kern w:val="0"/>
                <w:sz w:val="24"/>
                <w:szCs w:val="24"/>
              </w:rPr>
              <w:t>Efficacy</w:t>
            </w:r>
          </w:p>
        </w:tc>
        <w:tc>
          <w:tcPr>
            <w:tcW w:w="1178" w:type="dxa"/>
            <w:tcBorders>
              <w:top w:val="single" w:sz="8" w:space="0" w:color="000000"/>
              <w:left w:val="nil"/>
              <w:bottom w:val="single" w:sz="8" w:space="0" w:color="000000"/>
              <w:right w:val="nil"/>
            </w:tcBorders>
            <w:shd w:val="clear" w:color="auto" w:fill="FFFFFF"/>
            <w:vAlign w:val="center"/>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MinionPro-Regular" w:hAnsi="Book Antiqua"/>
                <w:b/>
                <w:bCs/>
                <w:color w:val="000000"/>
                <w:kern w:val="0"/>
                <w:sz w:val="24"/>
                <w:szCs w:val="24"/>
              </w:rPr>
              <w:t>Reference</w:t>
            </w: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Gulim" w:hAnsi="Book Antiqua"/>
                <w:b/>
                <w:bCs/>
                <w:color w:val="000000"/>
                <w:kern w:val="0"/>
                <w:sz w:val="24"/>
                <w:szCs w:val="24"/>
              </w:rPr>
              <w:t>VEGF/VEGFR</w:t>
            </w: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c>
          <w:tcPr>
            <w:tcW w:w="3434"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MinionPro-Regular" w:hAnsi="Book Antiqua"/>
                <w:bCs/>
                <w:color w:val="000000"/>
                <w:kern w:val="0"/>
                <w:sz w:val="24"/>
                <w:szCs w:val="24"/>
              </w:rPr>
              <w:t>Sorafenib</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Phase III SHARP</w:t>
            </w:r>
          </w:p>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 xml:space="preserve">sorafenib </w:t>
            </w:r>
            <w:r w:rsidRPr="00C67938">
              <w:rPr>
                <w:rFonts w:ascii="Book Antiqua" w:eastAsia="MinionPro-Regular" w:hAnsi="Book Antiqua"/>
                <w:i/>
                <w:color w:val="000000"/>
                <w:kern w:val="0"/>
                <w:sz w:val="24"/>
                <w:szCs w:val="24"/>
              </w:rPr>
              <w:t>vs</w:t>
            </w:r>
            <w:r w:rsidRPr="00C67938">
              <w:rPr>
                <w:rFonts w:ascii="Book Antiqua" w:eastAsia="MinionPro-Regular" w:hAnsi="Book Antiqua"/>
                <w:color w:val="000000"/>
                <w:kern w:val="0"/>
                <w:sz w:val="24"/>
                <w:szCs w:val="24"/>
              </w:rPr>
              <w:t xml:space="preserve"> placebo</w:t>
            </w:r>
          </w:p>
        </w:tc>
        <w:tc>
          <w:tcPr>
            <w:tcW w:w="3434" w:type="dxa"/>
            <w:shd w:val="clear" w:color="auto" w:fill="FFFFFF"/>
          </w:tcPr>
          <w:p w:rsidR="00A7606F" w:rsidRPr="00550CA0" w:rsidRDefault="00A7606F" w:rsidP="00C67938">
            <w:pPr>
              <w:wordWrap/>
              <w:adjustRightInd w:val="0"/>
              <w:spacing w:line="360" w:lineRule="auto"/>
              <w:rPr>
                <w:rFonts w:ascii="Book Antiqua" w:eastAsia="Times New Roman" w:hAnsi="Book Antiqua"/>
                <w:color w:val="000000"/>
                <w:kern w:val="0"/>
                <w:sz w:val="24"/>
                <w:szCs w:val="24"/>
                <w:lang w:val="es-ES"/>
              </w:rPr>
            </w:pPr>
            <w:r w:rsidRPr="00550CA0">
              <w:rPr>
                <w:rFonts w:ascii="Book Antiqua" w:eastAsia="Times New Roman" w:hAnsi="Book Antiqua"/>
                <w:color w:val="000000"/>
                <w:kern w:val="0"/>
                <w:sz w:val="24"/>
                <w:szCs w:val="24"/>
                <w:lang w:val="es-ES"/>
              </w:rPr>
              <w:t xml:space="preserve">Median OS: 10.7 mo </w:t>
            </w:r>
            <w:r w:rsidRPr="00550CA0">
              <w:rPr>
                <w:rFonts w:ascii="Book Antiqua" w:eastAsia="Times New Roman" w:hAnsi="Book Antiqua"/>
                <w:i/>
                <w:color w:val="000000"/>
                <w:kern w:val="0"/>
                <w:sz w:val="24"/>
                <w:szCs w:val="24"/>
                <w:lang w:val="es-ES"/>
              </w:rPr>
              <w:t>vs</w:t>
            </w:r>
            <w:r w:rsidRPr="00550CA0">
              <w:rPr>
                <w:rFonts w:ascii="Book Antiqua" w:eastAsia="Times New Roman" w:hAnsi="Book Antiqua"/>
                <w:color w:val="000000"/>
                <w:kern w:val="0"/>
                <w:sz w:val="24"/>
                <w:szCs w:val="24"/>
                <w:lang w:val="es-ES"/>
              </w:rPr>
              <w:t xml:space="preserve"> 7.9 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[58]</w:t>
            </w: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Cs/>
                <w:color w:val="000000"/>
                <w:kern w:val="0"/>
                <w:sz w:val="24"/>
                <w:szCs w:val="24"/>
              </w:rPr>
            </w:pP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Phase III (Asian )</w:t>
            </w:r>
          </w:p>
        </w:tc>
        <w:tc>
          <w:tcPr>
            <w:tcW w:w="3434"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Times New Roman" w:hAnsi="Book Antiqua"/>
                <w:color w:val="000000"/>
                <w:kern w:val="0"/>
                <w:sz w:val="24"/>
                <w:szCs w:val="24"/>
              </w:rPr>
            </w:pPr>
            <w:r w:rsidRPr="00C67938">
              <w:rPr>
                <w:rFonts w:ascii="Book Antiqua" w:eastAsia="Times New Roman" w:hAnsi="Book Antiqua"/>
                <w:color w:val="000000"/>
                <w:kern w:val="0"/>
                <w:sz w:val="24"/>
                <w:szCs w:val="24"/>
              </w:rPr>
              <w:t xml:space="preserve">Median OS:6.5 </w:t>
            </w:r>
            <w:r>
              <w:rPr>
                <w:rFonts w:ascii="Book Antiqua" w:eastAsia="Times New Roman" w:hAnsi="Book Antiqua"/>
                <w:color w:val="000000"/>
                <w:kern w:val="0"/>
                <w:sz w:val="24"/>
                <w:szCs w:val="24"/>
              </w:rPr>
              <w:t>mo</w:t>
            </w:r>
            <w:r w:rsidRPr="00C67938">
              <w:rPr>
                <w:rFonts w:ascii="Book Antiqua" w:eastAsia="Times New Roman" w:hAnsi="Book Antiqua"/>
                <w:color w:val="000000"/>
                <w:kern w:val="0"/>
                <w:sz w:val="24"/>
                <w:szCs w:val="24"/>
              </w:rPr>
              <w:t xml:space="preserve"> </w:t>
            </w:r>
            <w:r w:rsidRPr="00C67938">
              <w:rPr>
                <w:rFonts w:ascii="Book Antiqua" w:eastAsia="Times New Roman" w:hAnsi="Book Antiqua"/>
                <w:i/>
                <w:color w:val="000000"/>
                <w:kern w:val="0"/>
                <w:sz w:val="24"/>
                <w:szCs w:val="24"/>
              </w:rPr>
              <w:t>vs</w:t>
            </w:r>
            <w:r w:rsidRPr="00C67938">
              <w:rPr>
                <w:rFonts w:ascii="Book Antiqua" w:eastAsia="Times New Roman" w:hAnsi="Book Antiqua"/>
                <w:color w:val="000000"/>
                <w:kern w:val="0"/>
                <w:sz w:val="24"/>
                <w:szCs w:val="24"/>
              </w:rPr>
              <w:t xml:space="preserve"> 4.2 </w:t>
            </w:r>
            <w:r>
              <w:rPr>
                <w:rFonts w:ascii="Book Antiqua" w:eastAsia="Times New Roman" w:hAnsi="Book Antiqua"/>
                <w:color w:val="000000"/>
                <w:kern w:val="0"/>
                <w:sz w:val="24"/>
                <w:szCs w:val="24"/>
              </w:rPr>
              <w:t>mo</w:t>
            </w:r>
          </w:p>
          <w:p w:rsidR="00A7606F" w:rsidRPr="00C67938" w:rsidRDefault="00A7606F" w:rsidP="00C67938">
            <w:pPr>
              <w:wordWrap/>
              <w:adjustRightInd w:val="0"/>
              <w:spacing w:line="360" w:lineRule="auto"/>
              <w:rPr>
                <w:rFonts w:ascii="Book Antiqua" w:eastAsia="Times New Roman" w:hAnsi="Book Antiqua"/>
                <w:color w:val="000000"/>
                <w:kern w:val="0"/>
                <w:sz w:val="24"/>
                <w:szCs w:val="24"/>
              </w:rPr>
            </w:pP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[59]</w:t>
            </w: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hAnsi="Book Antiqua"/>
                <w:bCs/>
                <w:color w:val="000000"/>
                <w:kern w:val="0"/>
                <w:sz w:val="24"/>
                <w:szCs w:val="24"/>
              </w:rPr>
              <w:t>Sunitinib</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Phase II</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PFS: 3.9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OS: 9.8 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[65]</w:t>
            </w:r>
          </w:p>
        </w:tc>
      </w:tr>
      <w:tr w:rsidR="00A7606F" w:rsidRPr="00550CA0"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Cs/>
                <w:color w:val="000000"/>
                <w:kern w:val="0"/>
                <w:sz w:val="24"/>
                <w:szCs w:val="24"/>
              </w:rPr>
            </w:pPr>
          </w:p>
        </w:tc>
        <w:tc>
          <w:tcPr>
            <w:tcW w:w="2236"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Phase III</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sunitinib </w:t>
            </w:r>
            <w:r w:rsidRPr="00C67938">
              <w:rPr>
                <w:rFonts w:ascii="Book Antiqua" w:eastAsia="Gulim" w:hAnsi="Book Antiqua"/>
                <w:i/>
                <w:color w:val="000000"/>
                <w:kern w:val="0"/>
                <w:sz w:val="24"/>
                <w:szCs w:val="24"/>
              </w:rPr>
              <w:t>vs</w:t>
            </w:r>
            <w:r w:rsidRPr="00C67938">
              <w:rPr>
                <w:rFonts w:ascii="Book Antiqua" w:eastAsia="Gulim" w:hAnsi="Book Antiqua"/>
                <w:color w:val="000000"/>
                <w:kern w:val="0"/>
                <w:sz w:val="24"/>
                <w:szCs w:val="24"/>
              </w:rPr>
              <w:t xml:space="preserve"> sorafenib</w:t>
            </w:r>
          </w:p>
        </w:tc>
        <w:tc>
          <w:tcPr>
            <w:tcW w:w="3434" w:type="dxa"/>
            <w:tcBorders>
              <w:left w:val="nil"/>
              <w:right w:val="nil"/>
            </w:tcBorders>
            <w:shd w:val="clear" w:color="auto" w:fill="FFFFFF"/>
          </w:tcPr>
          <w:p w:rsidR="00A7606F" w:rsidRPr="00550CA0" w:rsidRDefault="00A7606F" w:rsidP="00C67938">
            <w:pPr>
              <w:wordWrap/>
              <w:adjustRightInd w:val="0"/>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 xml:space="preserve">Median OS: 7.9mo </w:t>
            </w:r>
            <w:r w:rsidRPr="00550CA0">
              <w:rPr>
                <w:rFonts w:ascii="Book Antiqua" w:eastAsia="Gulim" w:hAnsi="Book Antiqua"/>
                <w:i/>
                <w:color w:val="000000"/>
                <w:kern w:val="0"/>
                <w:sz w:val="24"/>
                <w:szCs w:val="24"/>
                <w:lang w:val="es-ES"/>
              </w:rPr>
              <w:t>vs</w:t>
            </w:r>
            <w:r w:rsidRPr="00550CA0">
              <w:rPr>
                <w:rFonts w:ascii="Book Antiqua" w:eastAsia="Gulim" w:hAnsi="Book Antiqua"/>
                <w:color w:val="000000"/>
                <w:kern w:val="0"/>
                <w:sz w:val="24"/>
                <w:szCs w:val="24"/>
                <w:lang w:val="es-ES"/>
              </w:rPr>
              <w:t xml:space="preserve"> 10.2 mo</w:t>
            </w:r>
          </w:p>
        </w:tc>
        <w:tc>
          <w:tcPr>
            <w:tcW w:w="1178" w:type="dxa"/>
            <w:tcBorders>
              <w:left w:val="nil"/>
              <w:right w:val="nil"/>
            </w:tcBorders>
            <w:shd w:val="clear" w:color="auto" w:fill="FFFFFF"/>
          </w:tcPr>
          <w:p w:rsidR="00A7606F" w:rsidRPr="00550CA0" w:rsidRDefault="00A7606F" w:rsidP="00C67938">
            <w:pPr>
              <w:wordWrap/>
              <w:adjustRightInd w:val="0"/>
              <w:spacing w:line="360" w:lineRule="auto"/>
              <w:rPr>
                <w:rFonts w:ascii="Book Antiqua" w:eastAsia="MinionPro-Regular" w:hAnsi="Book Antiqua"/>
                <w:color w:val="000000"/>
                <w:kern w:val="0"/>
                <w:sz w:val="24"/>
                <w:szCs w:val="24"/>
                <w:lang w:val="es-ES"/>
              </w:rPr>
            </w:pP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Times New Roman" w:hAnsi="Book Antiqua"/>
                <w:bCs/>
                <w:color w:val="000000"/>
                <w:kern w:val="0"/>
                <w:sz w:val="24"/>
                <w:szCs w:val="24"/>
              </w:rPr>
              <w:t>Brivanib</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Phase II, first-line</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PFS: 2.8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OS: 10 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[68]</w:t>
            </w: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Cs/>
                <w:color w:val="000000"/>
                <w:kern w:val="0"/>
                <w:sz w:val="24"/>
                <w:szCs w:val="24"/>
              </w:rPr>
            </w:pP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Phase II, second-line</w:t>
            </w:r>
          </w:p>
        </w:tc>
        <w:tc>
          <w:tcPr>
            <w:tcW w:w="3434" w:type="dxa"/>
            <w:tcBorders>
              <w:left w:val="nil"/>
              <w:right w:val="nil"/>
            </w:tcBorders>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PFS: 2.7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OS: 9.8 mo</w:t>
            </w: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[69]</w:t>
            </w:r>
          </w:p>
        </w:tc>
      </w:tr>
      <w:tr w:rsidR="00A7606F" w:rsidRPr="00C67938" w:rsidTr="00285BD9">
        <w:tc>
          <w:tcPr>
            <w:tcW w:w="2376" w:type="dxa"/>
            <w:shd w:val="clear" w:color="auto" w:fill="FFFFFF"/>
          </w:tcPr>
          <w:p w:rsidR="00A7606F" w:rsidRPr="00C67938" w:rsidRDefault="00A7606F" w:rsidP="00C67938">
            <w:pPr>
              <w:wordWrap/>
              <w:adjustRightInd w:val="0"/>
              <w:spacing w:line="360" w:lineRule="auto"/>
              <w:rPr>
                <w:rFonts w:ascii="Book Antiqua" w:eastAsia="MinionPro-Regular" w:hAnsi="Book Antiqua"/>
                <w:bCs/>
                <w:color w:val="000000"/>
                <w:kern w:val="0"/>
                <w:sz w:val="24"/>
                <w:szCs w:val="24"/>
              </w:rPr>
            </w:pPr>
          </w:p>
        </w:tc>
        <w:tc>
          <w:tcPr>
            <w:tcW w:w="2236" w:type="dxa"/>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Phase III (BRISK-PS)</w:t>
            </w:r>
          </w:p>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brivanib vs placebo</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 xml:space="preserve">Median OS: 9.4 mo </w:t>
            </w:r>
            <w:r w:rsidRPr="00550CA0">
              <w:rPr>
                <w:rFonts w:ascii="Book Antiqua" w:eastAsia="Gulim" w:hAnsi="Book Antiqua"/>
                <w:i/>
                <w:color w:val="000000"/>
                <w:kern w:val="0"/>
                <w:sz w:val="24"/>
                <w:szCs w:val="24"/>
                <w:lang w:val="es-ES"/>
              </w:rPr>
              <w:t xml:space="preserve">vs </w:t>
            </w:r>
            <w:r w:rsidRPr="00550CA0">
              <w:rPr>
                <w:rFonts w:ascii="Book Antiqua" w:eastAsia="Gulim" w:hAnsi="Book Antiqua"/>
                <w:color w:val="000000"/>
                <w:kern w:val="0"/>
                <w:sz w:val="24"/>
                <w:szCs w:val="24"/>
                <w:lang w:val="es-ES"/>
              </w:rPr>
              <w:t>8.3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 xml:space="preserve">TTP: 4.2 mo </w:t>
            </w:r>
            <w:r w:rsidRPr="00550CA0">
              <w:rPr>
                <w:rFonts w:ascii="Book Antiqua" w:eastAsia="Gulim" w:hAnsi="Book Antiqua"/>
                <w:i/>
                <w:color w:val="000000"/>
                <w:kern w:val="0"/>
                <w:sz w:val="24"/>
                <w:szCs w:val="24"/>
                <w:lang w:val="es-ES"/>
              </w:rPr>
              <w:t>vs</w:t>
            </w:r>
            <w:r w:rsidRPr="00550CA0">
              <w:rPr>
                <w:rFonts w:ascii="Book Antiqua" w:eastAsia="Gulim" w:hAnsi="Book Antiqua"/>
                <w:color w:val="000000"/>
                <w:kern w:val="0"/>
                <w:sz w:val="24"/>
                <w:szCs w:val="24"/>
                <w:lang w:val="es-ES"/>
              </w:rPr>
              <w:t xml:space="preserve"> 2.7 mo</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RR: 12% </w:t>
            </w:r>
            <w:r w:rsidRPr="00C67938">
              <w:rPr>
                <w:rFonts w:ascii="Book Antiqua" w:eastAsia="Gulim" w:hAnsi="Book Antiqua"/>
                <w:i/>
                <w:color w:val="000000"/>
                <w:kern w:val="0"/>
                <w:sz w:val="24"/>
                <w:szCs w:val="24"/>
              </w:rPr>
              <w:t>vs</w:t>
            </w:r>
            <w:r w:rsidRPr="00C67938">
              <w:rPr>
                <w:rFonts w:ascii="Book Antiqua" w:eastAsia="Gulim" w:hAnsi="Book Antiqua"/>
                <w:color w:val="000000"/>
                <w:kern w:val="0"/>
                <w:sz w:val="24"/>
                <w:szCs w:val="24"/>
              </w:rPr>
              <w:t xml:space="preserve"> 2%</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[70]</w:t>
            </w: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Cs/>
                <w:color w:val="000000"/>
                <w:kern w:val="0"/>
                <w:sz w:val="24"/>
                <w:szCs w:val="24"/>
              </w:rPr>
            </w:pPr>
          </w:p>
        </w:tc>
        <w:tc>
          <w:tcPr>
            <w:tcW w:w="2236"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Phase III (BRISK-FL)</w:t>
            </w:r>
          </w:p>
          <w:p w:rsidR="00A7606F" w:rsidRPr="00C67938" w:rsidRDefault="00A7606F" w:rsidP="00C67938">
            <w:pPr>
              <w:widowControl/>
              <w:wordWrap/>
              <w:autoSpaceDE/>
              <w:autoSpaceDN/>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brivanib vs placebo</w:t>
            </w:r>
          </w:p>
        </w:tc>
        <w:tc>
          <w:tcPr>
            <w:tcW w:w="3434" w:type="dxa"/>
            <w:tcBorders>
              <w:left w:val="nil"/>
              <w:right w:val="nil"/>
            </w:tcBorders>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 xml:space="preserve">Median OS: 9.5 mo </w:t>
            </w:r>
            <w:r w:rsidRPr="00550CA0">
              <w:rPr>
                <w:rFonts w:ascii="Book Antiqua" w:eastAsia="Gulim" w:hAnsi="Book Antiqua"/>
                <w:i/>
                <w:color w:val="000000"/>
                <w:kern w:val="0"/>
                <w:sz w:val="24"/>
                <w:szCs w:val="24"/>
                <w:lang w:val="es-ES"/>
              </w:rPr>
              <w:t>vs</w:t>
            </w:r>
            <w:r w:rsidRPr="00550CA0">
              <w:rPr>
                <w:rFonts w:ascii="Book Antiqua" w:eastAsia="Gulim" w:hAnsi="Book Antiqua"/>
                <w:color w:val="000000"/>
                <w:kern w:val="0"/>
                <w:sz w:val="24"/>
                <w:szCs w:val="24"/>
                <w:lang w:val="es-ES"/>
              </w:rPr>
              <w:t xml:space="preserve"> 9.9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 xml:space="preserve">TTP: 4.2 mo </w:t>
            </w:r>
            <w:r w:rsidRPr="00550CA0">
              <w:rPr>
                <w:rFonts w:ascii="Book Antiqua" w:eastAsia="Gulim" w:hAnsi="Book Antiqua"/>
                <w:i/>
                <w:color w:val="000000"/>
                <w:kern w:val="0"/>
                <w:sz w:val="24"/>
                <w:szCs w:val="24"/>
                <w:lang w:val="es-ES"/>
              </w:rPr>
              <w:t>vs</w:t>
            </w:r>
            <w:r w:rsidRPr="00550CA0">
              <w:rPr>
                <w:rFonts w:ascii="Book Antiqua" w:eastAsia="Gulim" w:hAnsi="Book Antiqua"/>
                <w:color w:val="000000"/>
                <w:kern w:val="0"/>
                <w:sz w:val="24"/>
                <w:szCs w:val="24"/>
                <w:lang w:val="es-ES"/>
              </w:rPr>
              <w:t xml:space="preserve"> 4.1 mo</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RR: 12% </w:t>
            </w:r>
            <w:r w:rsidRPr="00C67938">
              <w:rPr>
                <w:rFonts w:ascii="Book Antiqua" w:eastAsia="Gulim" w:hAnsi="Book Antiqua"/>
                <w:i/>
                <w:color w:val="000000"/>
                <w:kern w:val="0"/>
                <w:sz w:val="24"/>
                <w:szCs w:val="24"/>
              </w:rPr>
              <w:t>vs</w:t>
            </w:r>
            <w:r w:rsidRPr="00C67938">
              <w:rPr>
                <w:rFonts w:ascii="Book Antiqua" w:eastAsia="Gulim" w:hAnsi="Book Antiqua"/>
                <w:color w:val="000000"/>
                <w:kern w:val="0"/>
                <w:sz w:val="24"/>
                <w:szCs w:val="24"/>
              </w:rPr>
              <w:t xml:space="preserve"> 8%</w:t>
            </w: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[71]</w:t>
            </w: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hAnsi="Book Antiqua"/>
                <w:bCs/>
                <w:color w:val="000000"/>
                <w:kern w:val="0"/>
                <w:sz w:val="24"/>
                <w:szCs w:val="24"/>
              </w:rPr>
            </w:pPr>
            <w:r w:rsidRPr="00C67938">
              <w:rPr>
                <w:rFonts w:ascii="Book Antiqua" w:hAnsi="Book Antiqua"/>
                <w:bCs/>
                <w:color w:val="000000"/>
                <w:kern w:val="0"/>
                <w:sz w:val="24"/>
                <w:szCs w:val="24"/>
              </w:rPr>
              <w:t>Vatalanib</w:t>
            </w:r>
          </w:p>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hAnsi="Book Antiqua"/>
                <w:bCs/>
                <w:color w:val="000000"/>
                <w:kern w:val="0"/>
                <w:sz w:val="24"/>
                <w:szCs w:val="24"/>
              </w:rPr>
              <w:t>(PTK787)</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 xml:space="preserve">Phase I/II, combined </w:t>
            </w:r>
          </w:p>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color w:val="000000"/>
                <w:kern w:val="0"/>
                <w:sz w:val="24"/>
                <w:szCs w:val="24"/>
              </w:rPr>
              <w:t>with doxorubicin</w:t>
            </w:r>
          </w:p>
        </w:tc>
        <w:tc>
          <w:tcPr>
            <w:tcW w:w="3434" w:type="dxa"/>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OS: 7.3 </w:t>
            </w:r>
            <w:r>
              <w:rPr>
                <w:rFonts w:ascii="Book Antiqua" w:eastAsia="Gulim" w:hAnsi="Book Antiqua"/>
                <w:color w:val="000000"/>
                <w:kern w:val="0"/>
                <w:sz w:val="24"/>
                <w:szCs w:val="24"/>
              </w:rPr>
              <w:t>mo</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PFS: 5. 4</w:t>
            </w:r>
            <w:r>
              <w:rPr>
                <w:rFonts w:ascii="Book Antiqua" w:eastAsia="Gulim" w:hAnsi="Book Antiqua"/>
                <w:color w:val="000000"/>
                <w:kern w:val="0"/>
                <w:sz w:val="24"/>
                <w:szCs w:val="24"/>
              </w:rPr>
              <w:t>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[73]</w:t>
            </w:r>
          </w:p>
        </w:tc>
      </w:tr>
      <w:tr w:rsidR="00A7606F" w:rsidRPr="00C67938" w:rsidTr="00285BD9">
        <w:tc>
          <w:tcPr>
            <w:tcW w:w="2376" w:type="dxa"/>
            <w:tcBorders>
              <w:left w:val="nil"/>
              <w:right w:val="nil"/>
            </w:tcBorders>
            <w:shd w:val="clear" w:color="auto" w:fill="FFFFFF"/>
          </w:tcPr>
          <w:p w:rsidR="00A7606F" w:rsidRPr="00C67938" w:rsidRDefault="00A7606F" w:rsidP="008437E6">
            <w:pPr>
              <w:wordWrap/>
              <w:adjustRightInd w:val="0"/>
              <w:spacing w:line="360" w:lineRule="auto"/>
              <w:ind w:firstLineChars="150" w:firstLine="360"/>
              <w:rPr>
                <w:rFonts w:ascii="Book Antiqua" w:eastAsia="Times New Roman" w:hAnsi="Book Antiqua"/>
                <w:bCs/>
                <w:color w:val="000000"/>
                <w:kern w:val="0"/>
                <w:sz w:val="24"/>
                <w:szCs w:val="24"/>
              </w:rPr>
            </w:pPr>
            <w:r w:rsidRPr="00C67938">
              <w:rPr>
                <w:rFonts w:ascii="Book Antiqua" w:eastAsia="Times New Roman" w:hAnsi="Book Antiqua"/>
                <w:bCs/>
                <w:color w:val="000000"/>
                <w:kern w:val="0"/>
                <w:sz w:val="24"/>
                <w:szCs w:val="24"/>
              </w:rPr>
              <w:t xml:space="preserve">Inifanib </w:t>
            </w:r>
          </w:p>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Times New Roman" w:hAnsi="Book Antiqua"/>
                <w:bCs/>
                <w:color w:val="000000"/>
                <w:kern w:val="0"/>
                <w:sz w:val="24"/>
                <w:szCs w:val="24"/>
              </w:rPr>
              <w:t>(ABT-869)</w:t>
            </w: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Phase II</w:t>
            </w:r>
          </w:p>
        </w:tc>
        <w:tc>
          <w:tcPr>
            <w:tcW w:w="3434" w:type="dxa"/>
            <w:tcBorders>
              <w:left w:val="nil"/>
              <w:right w:val="nil"/>
            </w:tcBorders>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TTP: 3.7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OS: 9.7 mo</w:t>
            </w: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[75]</w:t>
            </w: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hAnsi="Book Antiqua"/>
                <w:bCs/>
                <w:color w:val="000000"/>
                <w:kern w:val="0"/>
                <w:sz w:val="24"/>
                <w:szCs w:val="24"/>
              </w:rPr>
            </w:pPr>
            <w:r w:rsidRPr="00C67938">
              <w:rPr>
                <w:rFonts w:ascii="Book Antiqua" w:hAnsi="Book Antiqua"/>
                <w:bCs/>
                <w:color w:val="000000"/>
                <w:kern w:val="0"/>
                <w:sz w:val="24"/>
                <w:szCs w:val="24"/>
              </w:rPr>
              <w:t>Cediranib</w:t>
            </w:r>
          </w:p>
          <w:p w:rsidR="00A7606F" w:rsidRPr="00C67938" w:rsidRDefault="00A7606F" w:rsidP="008437E6">
            <w:pPr>
              <w:wordWrap/>
              <w:adjustRightInd w:val="0"/>
              <w:spacing w:line="360" w:lineRule="auto"/>
              <w:ind w:firstLineChars="150" w:firstLine="360"/>
              <w:rPr>
                <w:rFonts w:ascii="Book Antiqua" w:eastAsia="Times New Roman" w:hAnsi="Book Antiqua"/>
                <w:bCs/>
                <w:color w:val="000000"/>
                <w:kern w:val="0"/>
                <w:sz w:val="24"/>
                <w:szCs w:val="24"/>
              </w:rPr>
            </w:pPr>
            <w:r w:rsidRPr="00C67938">
              <w:rPr>
                <w:rFonts w:ascii="Book Antiqua" w:hAnsi="Book Antiqua"/>
                <w:bCs/>
                <w:color w:val="000000"/>
                <w:kern w:val="0"/>
                <w:sz w:val="24"/>
                <w:szCs w:val="24"/>
              </w:rPr>
              <w:t>(AZD2171)</w:t>
            </w:r>
          </w:p>
        </w:tc>
        <w:tc>
          <w:tcPr>
            <w:tcW w:w="2236" w:type="dxa"/>
            <w:shd w:val="clear" w:color="auto" w:fill="FFFFFF"/>
          </w:tcPr>
          <w:p w:rsidR="00A7606F" w:rsidRPr="00C67938" w:rsidRDefault="00A7606F" w:rsidP="00C67938">
            <w:pPr>
              <w:wordWrap/>
              <w:adjustRightInd w:val="0"/>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Phase II</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OS: 5.8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TTP: 2.8 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[78]</w:t>
            </w:r>
          </w:p>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MinionPro-Regular" w:hAnsi="Book Antiqua"/>
                <w:b/>
                <w:bCs/>
                <w:color w:val="000000"/>
                <w:kern w:val="0"/>
                <w:sz w:val="24"/>
                <w:szCs w:val="24"/>
              </w:rPr>
              <w:t>EFGF/EGFR</w:t>
            </w: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c>
          <w:tcPr>
            <w:tcW w:w="3434"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Times New Roman" w:hAnsi="Book Antiqua"/>
                <w:bCs/>
                <w:color w:val="000000"/>
                <w:kern w:val="0"/>
                <w:sz w:val="24"/>
                <w:szCs w:val="24"/>
              </w:rPr>
              <w:t>Cetuximab</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Phase II</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hAnsi="Book Antiqua"/>
                <w:color w:val="000000"/>
                <w:sz w:val="24"/>
                <w:szCs w:val="24"/>
                <w:lang w:val="es-ES"/>
              </w:rPr>
            </w:pPr>
            <w:r w:rsidRPr="00550CA0">
              <w:rPr>
                <w:rFonts w:ascii="Book Antiqua" w:hAnsi="Book Antiqua"/>
                <w:color w:val="000000"/>
                <w:sz w:val="24"/>
                <w:szCs w:val="24"/>
                <w:lang w:val="es-ES"/>
              </w:rPr>
              <w:t>Median OS : 9.6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hAnsi="Book Antiqua"/>
                <w:color w:val="000000"/>
                <w:sz w:val="24"/>
                <w:szCs w:val="24"/>
                <w:lang w:val="es-ES"/>
              </w:rPr>
              <w:t>Median PFS : 1.4 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[81]</w:t>
            </w:r>
          </w:p>
        </w:tc>
      </w:tr>
      <w:tr w:rsidR="00A7606F" w:rsidRPr="00C67938" w:rsidTr="00285BD9">
        <w:tc>
          <w:tcPr>
            <w:tcW w:w="2376" w:type="dxa"/>
            <w:tcBorders>
              <w:left w:val="nil"/>
              <w:right w:val="nil"/>
            </w:tcBorders>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MinionPro-Regular" w:hAnsi="Book Antiqua"/>
                <w:bCs/>
                <w:color w:val="000000"/>
                <w:kern w:val="0"/>
                <w:sz w:val="24"/>
                <w:szCs w:val="24"/>
              </w:rPr>
              <w:t>Erlotinib</w:t>
            </w:r>
          </w:p>
        </w:tc>
        <w:tc>
          <w:tcPr>
            <w:tcW w:w="2236"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Phase III (SEARCH)</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sorafenib/erlotinib vs</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orafenib/placebo</w:t>
            </w:r>
          </w:p>
        </w:tc>
        <w:tc>
          <w:tcPr>
            <w:tcW w:w="3434" w:type="dxa"/>
            <w:tcBorders>
              <w:left w:val="nil"/>
              <w:right w:val="nil"/>
            </w:tcBorders>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 xml:space="preserve">Median OS: 9.5 mo </w:t>
            </w:r>
            <w:r w:rsidRPr="00550CA0">
              <w:rPr>
                <w:rFonts w:ascii="Book Antiqua" w:eastAsia="Gulim" w:hAnsi="Book Antiqua"/>
                <w:i/>
                <w:color w:val="000000"/>
                <w:kern w:val="0"/>
                <w:sz w:val="24"/>
                <w:szCs w:val="24"/>
                <w:lang w:val="es-ES"/>
              </w:rPr>
              <w:t>vs</w:t>
            </w:r>
            <w:r w:rsidRPr="00550CA0">
              <w:rPr>
                <w:rFonts w:ascii="Book Antiqua" w:eastAsia="Gulim" w:hAnsi="Book Antiqua"/>
                <w:color w:val="000000"/>
                <w:kern w:val="0"/>
                <w:sz w:val="24"/>
                <w:szCs w:val="24"/>
                <w:lang w:val="es-ES"/>
              </w:rPr>
              <w:t xml:space="preserve"> 8.5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 xml:space="preserve">TTP: 3.2 mo </w:t>
            </w:r>
            <w:r w:rsidRPr="00550CA0">
              <w:rPr>
                <w:rFonts w:ascii="Book Antiqua" w:eastAsia="Gulim" w:hAnsi="Book Antiqua"/>
                <w:i/>
                <w:color w:val="000000"/>
                <w:kern w:val="0"/>
                <w:sz w:val="24"/>
                <w:szCs w:val="24"/>
                <w:lang w:val="es-ES"/>
              </w:rPr>
              <w:t>vs</w:t>
            </w:r>
            <w:r w:rsidRPr="00550CA0">
              <w:rPr>
                <w:rFonts w:ascii="Book Antiqua" w:eastAsia="Gulim" w:hAnsi="Book Antiqua"/>
                <w:color w:val="000000"/>
                <w:kern w:val="0"/>
                <w:sz w:val="24"/>
                <w:szCs w:val="24"/>
                <w:lang w:val="es-ES"/>
              </w:rPr>
              <w:t xml:space="preserve"> 4.0 mo</w:t>
            </w: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[83]</w:t>
            </w: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AdvTT544668d2" w:hAnsi="Book Antiqua"/>
                <w:bCs/>
                <w:color w:val="000000"/>
                <w:kern w:val="0"/>
                <w:sz w:val="24"/>
                <w:szCs w:val="24"/>
              </w:rPr>
              <w:t>Lapatinib</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Phase II</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eastAsia="Times New Roman" w:hAnsi="Book Antiqua"/>
                <w:color w:val="000000"/>
                <w:kern w:val="0"/>
                <w:sz w:val="24"/>
                <w:szCs w:val="24"/>
                <w:lang w:val="es-ES"/>
              </w:rPr>
            </w:pPr>
            <w:r w:rsidRPr="00550CA0">
              <w:rPr>
                <w:rFonts w:ascii="Book Antiqua" w:eastAsia="Times New Roman" w:hAnsi="Book Antiqua"/>
                <w:color w:val="000000"/>
                <w:kern w:val="0"/>
                <w:sz w:val="24"/>
                <w:szCs w:val="24"/>
                <w:lang w:val="es-ES"/>
              </w:rPr>
              <w:t>Median PFS: 2.3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Times New Roman" w:hAnsi="Book Antiqua"/>
                <w:color w:val="000000"/>
                <w:kern w:val="0"/>
                <w:sz w:val="24"/>
                <w:szCs w:val="24"/>
                <w:lang w:val="es-ES"/>
              </w:rPr>
              <w:t>Median OS: 6.2 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[85]</w:t>
            </w:r>
          </w:p>
        </w:tc>
      </w:tr>
      <w:tr w:rsidR="00A7606F" w:rsidRPr="00550CA0"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eastAsia="AdvTT544668d2" w:hAnsi="Book Antiqua"/>
                <w:b/>
                <w:bCs/>
                <w:color w:val="000000"/>
                <w:kern w:val="0"/>
                <w:sz w:val="24"/>
                <w:szCs w:val="24"/>
              </w:rPr>
            </w:pPr>
          </w:p>
        </w:tc>
        <w:tc>
          <w:tcPr>
            <w:tcW w:w="2236" w:type="dxa"/>
            <w:shd w:val="clear" w:color="auto" w:fill="FFFFFF"/>
          </w:tcPr>
          <w:p w:rsidR="00A7606F" w:rsidRPr="00C67938" w:rsidRDefault="00A7606F" w:rsidP="00C67938">
            <w:pPr>
              <w:wordWrap/>
              <w:adjustRightInd w:val="0"/>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Phase III</w:t>
            </w:r>
          </w:p>
          <w:p w:rsidR="00A7606F" w:rsidRPr="00C67938" w:rsidRDefault="00A7606F" w:rsidP="00C67938">
            <w:pPr>
              <w:wordWrap/>
              <w:adjustRightInd w:val="0"/>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Lipatinib </w:t>
            </w:r>
            <w:r w:rsidRPr="00C67938">
              <w:rPr>
                <w:rFonts w:ascii="Book Antiqua" w:eastAsia="Gulim" w:hAnsi="Book Antiqua"/>
                <w:i/>
                <w:color w:val="000000"/>
                <w:kern w:val="0"/>
                <w:sz w:val="24"/>
                <w:szCs w:val="24"/>
              </w:rPr>
              <w:t xml:space="preserve">vs </w:t>
            </w:r>
            <w:r w:rsidRPr="00C67938">
              <w:rPr>
                <w:rFonts w:ascii="Book Antiqua" w:eastAsia="Gulim" w:hAnsi="Book Antiqua"/>
                <w:color w:val="000000"/>
                <w:kern w:val="0"/>
                <w:sz w:val="24"/>
                <w:szCs w:val="24"/>
              </w:rPr>
              <w:t>sorafenib</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eastAsia="Times New Roman" w:hAnsi="Book Antiqua"/>
                <w:color w:val="000000"/>
                <w:kern w:val="0"/>
                <w:sz w:val="24"/>
                <w:szCs w:val="24"/>
                <w:lang w:val="es-ES"/>
              </w:rPr>
            </w:pPr>
            <w:r w:rsidRPr="00550CA0">
              <w:rPr>
                <w:rFonts w:ascii="Book Antiqua" w:hAnsi="Book Antiqua"/>
                <w:color w:val="000000"/>
                <w:spacing w:val="-12"/>
                <w:sz w:val="24"/>
                <w:szCs w:val="24"/>
                <w:lang w:val="es-ES"/>
              </w:rPr>
              <w:t>Median OS: 9.1 mo vs 9.8 mo</w:t>
            </w:r>
          </w:p>
        </w:tc>
        <w:tc>
          <w:tcPr>
            <w:tcW w:w="1178" w:type="dxa"/>
            <w:shd w:val="clear" w:color="auto" w:fill="FFFFFF"/>
          </w:tcPr>
          <w:p w:rsidR="00A7606F" w:rsidRPr="00550CA0" w:rsidRDefault="00A7606F" w:rsidP="00C67938">
            <w:pPr>
              <w:wordWrap/>
              <w:adjustRightInd w:val="0"/>
              <w:spacing w:line="360" w:lineRule="auto"/>
              <w:rPr>
                <w:rFonts w:ascii="Book Antiqua" w:eastAsia="MinionPro-Regular" w:hAnsi="Book Antiqua"/>
                <w:color w:val="000000"/>
                <w:kern w:val="0"/>
                <w:sz w:val="24"/>
                <w:szCs w:val="24"/>
                <w:lang w:val="es-ES"/>
              </w:rPr>
            </w:pP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MinionPro-Regular" w:hAnsi="Book Antiqua"/>
                <w:b/>
                <w:bCs/>
                <w:color w:val="000000"/>
                <w:kern w:val="0"/>
                <w:sz w:val="24"/>
                <w:szCs w:val="24"/>
              </w:rPr>
              <w:t>IGF/IGFR</w:t>
            </w: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c>
          <w:tcPr>
            <w:tcW w:w="3434"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hAnsi="Book Antiqua"/>
                <w:bCs/>
                <w:color w:val="000000"/>
                <w:sz w:val="24"/>
                <w:szCs w:val="24"/>
              </w:rPr>
            </w:pPr>
            <w:r w:rsidRPr="00C67938">
              <w:rPr>
                <w:rFonts w:ascii="Book Antiqua" w:hAnsi="Book Antiqua"/>
                <w:bCs/>
                <w:color w:val="000000"/>
                <w:sz w:val="24"/>
                <w:szCs w:val="24"/>
              </w:rPr>
              <w:t>Cituxumumab</w:t>
            </w:r>
          </w:p>
          <w:p w:rsidR="00A7606F" w:rsidRPr="00C67938" w:rsidRDefault="00A7606F" w:rsidP="008437E6">
            <w:pPr>
              <w:wordWrap/>
              <w:adjustRightInd w:val="0"/>
              <w:spacing w:line="360" w:lineRule="auto"/>
              <w:ind w:firstLineChars="150" w:firstLine="360"/>
              <w:rPr>
                <w:rFonts w:ascii="Book Antiqua" w:hAnsi="Book Antiqua"/>
                <w:bCs/>
                <w:color w:val="000000"/>
                <w:sz w:val="24"/>
                <w:szCs w:val="24"/>
              </w:rPr>
            </w:pPr>
            <w:r w:rsidRPr="00C67938">
              <w:rPr>
                <w:rFonts w:ascii="Book Antiqua" w:hAnsi="Book Antiqua"/>
                <w:bCs/>
                <w:color w:val="000000"/>
                <w:sz w:val="24"/>
                <w:szCs w:val="24"/>
              </w:rPr>
              <w:t>(IMC-A12)</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Phase II</w:t>
            </w:r>
          </w:p>
        </w:tc>
        <w:tc>
          <w:tcPr>
            <w:tcW w:w="3434" w:type="dxa"/>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hAnsi="Book Antiqua"/>
                <w:color w:val="000000"/>
                <w:spacing w:val="-12"/>
                <w:sz w:val="24"/>
                <w:szCs w:val="24"/>
              </w:rPr>
              <w:t xml:space="preserve">Median OS : 8 </w:t>
            </w:r>
            <w:r>
              <w:rPr>
                <w:rFonts w:ascii="Book Antiqua" w:hAnsi="Book Antiqua"/>
                <w:color w:val="000000"/>
                <w:spacing w:val="-12"/>
                <w:sz w:val="24"/>
                <w:szCs w:val="24"/>
              </w:rPr>
              <w:t>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[93]</w:t>
            </w: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hAnsi="Book Antiqua"/>
                <w:b/>
                <w:bCs/>
                <w:color w:val="000000"/>
                <w:sz w:val="24"/>
                <w:szCs w:val="24"/>
              </w:rPr>
              <w:t>Ras/Raf/MEK/ERK</w:t>
            </w: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c>
          <w:tcPr>
            <w:tcW w:w="3434"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hAnsi="Book Antiqua"/>
                <w:bCs/>
                <w:color w:val="000000"/>
                <w:sz w:val="24"/>
                <w:szCs w:val="24"/>
              </w:rPr>
            </w:pPr>
            <w:r w:rsidRPr="00C67938">
              <w:rPr>
                <w:rFonts w:ascii="Book Antiqua" w:hAnsi="Book Antiqua"/>
                <w:bCs/>
                <w:color w:val="000000"/>
                <w:sz w:val="24"/>
                <w:szCs w:val="24"/>
              </w:rPr>
              <w:t>Selumetinib</w:t>
            </w:r>
          </w:p>
          <w:p w:rsidR="00A7606F" w:rsidRPr="00C67938" w:rsidRDefault="00A7606F" w:rsidP="008437E6">
            <w:pPr>
              <w:wordWrap/>
              <w:adjustRightInd w:val="0"/>
              <w:spacing w:line="360" w:lineRule="auto"/>
              <w:ind w:firstLineChars="150" w:firstLine="360"/>
              <w:rPr>
                <w:rFonts w:ascii="Book Antiqua" w:eastAsia="MinionPro-Regular" w:hAnsi="Book Antiqua"/>
                <w:b/>
                <w:bCs/>
                <w:color w:val="000000"/>
                <w:kern w:val="0"/>
                <w:sz w:val="24"/>
                <w:szCs w:val="24"/>
              </w:rPr>
            </w:pPr>
            <w:r w:rsidRPr="00C67938">
              <w:rPr>
                <w:rFonts w:ascii="Book Antiqua" w:hAnsi="Book Antiqua"/>
                <w:bCs/>
                <w:color w:val="000000"/>
                <w:sz w:val="24"/>
                <w:szCs w:val="24"/>
              </w:rPr>
              <w:t>(AZD6244)</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Phase I/II</w:t>
            </w:r>
          </w:p>
        </w:tc>
        <w:tc>
          <w:tcPr>
            <w:tcW w:w="3434" w:type="dxa"/>
            <w:shd w:val="clear" w:color="auto" w:fill="FFFFFF"/>
          </w:tcPr>
          <w:p w:rsidR="00A7606F" w:rsidRPr="00C67938" w:rsidRDefault="00A7606F" w:rsidP="00C67938">
            <w:pPr>
              <w:widowControl/>
              <w:wordWrap/>
              <w:autoSpaceDE/>
              <w:autoSpaceDN/>
              <w:spacing w:line="360" w:lineRule="auto"/>
              <w:rPr>
                <w:rFonts w:ascii="Book Antiqua" w:hAnsi="Book Antiqua"/>
                <w:color w:val="000000"/>
                <w:sz w:val="24"/>
                <w:szCs w:val="24"/>
              </w:rPr>
            </w:pPr>
            <w:r w:rsidRPr="00C67938">
              <w:rPr>
                <w:rFonts w:ascii="Book Antiqua" w:hAnsi="Book Antiqua"/>
                <w:color w:val="000000"/>
                <w:sz w:val="24"/>
                <w:szCs w:val="24"/>
              </w:rPr>
              <w:t>11 patients enrolled</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hAnsi="Book Antiqua"/>
                <w:color w:val="000000"/>
                <w:sz w:val="24"/>
                <w:szCs w:val="24"/>
              </w:rPr>
              <w:t>PR in 3, SD in6, PD in 2 patients</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[31]</w:t>
            </w: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MinionPro-Regular" w:hAnsi="Book Antiqua"/>
                <w:b/>
                <w:bCs/>
                <w:color w:val="000000"/>
                <w:kern w:val="0"/>
                <w:sz w:val="24"/>
                <w:szCs w:val="24"/>
              </w:rPr>
              <w:t>PI3K/Akt/mTOR</w:t>
            </w:r>
          </w:p>
        </w:tc>
        <w:tc>
          <w:tcPr>
            <w:tcW w:w="2236" w:type="dxa"/>
            <w:tcBorders>
              <w:left w:val="nil"/>
              <w:right w:val="nil"/>
            </w:tcBorders>
            <w:shd w:val="clear" w:color="auto" w:fill="FFFFFF"/>
          </w:tcPr>
          <w:p w:rsidR="00A7606F" w:rsidRPr="00C67938" w:rsidRDefault="00A7606F" w:rsidP="008437E6">
            <w:pPr>
              <w:wordWrap/>
              <w:adjustRightInd w:val="0"/>
              <w:spacing w:line="360" w:lineRule="auto"/>
              <w:ind w:firstLineChars="100" w:firstLine="240"/>
              <w:rPr>
                <w:rFonts w:ascii="Book Antiqua" w:eastAsia="MinionPro-Regular" w:hAnsi="Book Antiqua"/>
                <w:color w:val="000000"/>
                <w:kern w:val="0"/>
                <w:sz w:val="24"/>
                <w:szCs w:val="24"/>
              </w:rPr>
            </w:pPr>
          </w:p>
        </w:tc>
        <w:tc>
          <w:tcPr>
            <w:tcW w:w="3434"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MinionPro-Regular" w:hAnsi="Book Antiqua"/>
                <w:bCs/>
                <w:color w:val="000000"/>
                <w:kern w:val="0"/>
                <w:sz w:val="24"/>
                <w:szCs w:val="24"/>
              </w:rPr>
              <w:t>Everolimus</w:t>
            </w:r>
          </w:p>
        </w:tc>
        <w:tc>
          <w:tcPr>
            <w:tcW w:w="2236" w:type="dxa"/>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Phase I/II</w:t>
            </w:r>
          </w:p>
        </w:tc>
        <w:tc>
          <w:tcPr>
            <w:tcW w:w="3434" w:type="dxa"/>
            <w:shd w:val="clear" w:color="auto" w:fill="FFFFFF"/>
          </w:tcPr>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PFS: 3.8 mo</w:t>
            </w:r>
          </w:p>
          <w:p w:rsidR="00A7606F" w:rsidRPr="00550CA0" w:rsidRDefault="00A7606F" w:rsidP="00C67938">
            <w:pPr>
              <w:widowControl/>
              <w:wordWrap/>
              <w:autoSpaceDE/>
              <w:autoSpaceDN/>
              <w:spacing w:line="360" w:lineRule="auto"/>
              <w:rPr>
                <w:rFonts w:ascii="Book Antiqua" w:eastAsia="Gulim" w:hAnsi="Book Antiqua"/>
                <w:color w:val="000000"/>
                <w:kern w:val="0"/>
                <w:sz w:val="24"/>
                <w:szCs w:val="24"/>
                <w:lang w:val="es-ES"/>
              </w:rPr>
            </w:pPr>
            <w:r w:rsidRPr="00550CA0">
              <w:rPr>
                <w:rFonts w:ascii="Book Antiqua" w:eastAsia="Gulim" w:hAnsi="Book Antiqua"/>
                <w:color w:val="000000"/>
                <w:kern w:val="0"/>
                <w:sz w:val="24"/>
                <w:szCs w:val="24"/>
                <w:lang w:val="es-ES"/>
              </w:rPr>
              <w:t>Median OS: 8.4 mo</w:t>
            </w: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[37]</w:t>
            </w:r>
          </w:p>
        </w:tc>
      </w:tr>
      <w:tr w:rsidR="00A7606F" w:rsidRPr="00C67938" w:rsidTr="00285BD9">
        <w:tc>
          <w:tcPr>
            <w:tcW w:w="2376" w:type="dxa"/>
            <w:tcBorders>
              <w:left w:val="nil"/>
              <w:right w:val="nil"/>
            </w:tcBorders>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eastAsia="Arial Unicode MS" w:hAnsi="Book Antiqua"/>
                <w:bCs/>
                <w:color w:val="000000"/>
                <w:sz w:val="24"/>
                <w:szCs w:val="24"/>
              </w:rPr>
              <w:t>Sirolimus</w:t>
            </w:r>
          </w:p>
        </w:tc>
        <w:tc>
          <w:tcPr>
            <w:tcW w:w="223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Gulim" w:hAnsi="Book Antiqua"/>
                <w:color w:val="000000"/>
                <w:kern w:val="0"/>
                <w:sz w:val="24"/>
                <w:szCs w:val="24"/>
              </w:rPr>
              <w:t>Phase II</w:t>
            </w:r>
          </w:p>
        </w:tc>
        <w:tc>
          <w:tcPr>
            <w:tcW w:w="3434"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Arial Unicode MS" w:hAnsi="Book Antiqua"/>
                <w:color w:val="000000"/>
                <w:sz w:val="24"/>
                <w:szCs w:val="24"/>
              </w:rPr>
            </w:pPr>
            <w:r w:rsidRPr="00C67938">
              <w:rPr>
                <w:rFonts w:ascii="Book Antiqua" w:eastAsia="Gulim" w:hAnsi="Book Antiqua"/>
                <w:color w:val="000000"/>
                <w:kern w:val="0"/>
                <w:sz w:val="24"/>
                <w:szCs w:val="24"/>
              </w:rPr>
              <w:t>Median PFS</w:t>
            </w:r>
            <w:r w:rsidRPr="00C67938">
              <w:rPr>
                <w:rFonts w:ascii="Book Antiqua" w:eastAsia="Arial Unicode MS" w:hAnsi="Book Antiqua"/>
                <w:color w:val="000000"/>
                <w:sz w:val="24"/>
                <w:szCs w:val="24"/>
              </w:rPr>
              <w:t xml:space="preserve"> : 15.3 weeks</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Median OS: </w:t>
            </w:r>
            <w:r w:rsidRPr="00C67938">
              <w:rPr>
                <w:rFonts w:ascii="Book Antiqua" w:eastAsia="Arial Unicode MS" w:hAnsi="Book Antiqua"/>
                <w:color w:val="000000"/>
                <w:sz w:val="24"/>
                <w:szCs w:val="24"/>
              </w:rPr>
              <w:t>26.4 weeks</w:t>
            </w: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[38]</w:t>
            </w:r>
          </w:p>
        </w:tc>
      </w:tr>
      <w:tr w:rsidR="00A7606F" w:rsidRPr="00C67938" w:rsidTr="00285BD9">
        <w:tc>
          <w:tcPr>
            <w:tcW w:w="2376" w:type="dxa"/>
            <w:shd w:val="clear" w:color="auto" w:fill="FFFFFF"/>
          </w:tcPr>
          <w:p w:rsidR="00A7606F" w:rsidRPr="00C67938" w:rsidRDefault="00A7606F" w:rsidP="00C67938">
            <w:pPr>
              <w:wordWrap/>
              <w:adjustRightInd w:val="0"/>
              <w:spacing w:line="360" w:lineRule="auto"/>
              <w:rPr>
                <w:rFonts w:ascii="Book Antiqua" w:eastAsia="MinionPro-Regular" w:hAnsi="Book Antiqua"/>
                <w:b/>
                <w:bCs/>
                <w:color w:val="000000"/>
                <w:kern w:val="0"/>
                <w:sz w:val="24"/>
                <w:szCs w:val="24"/>
              </w:rPr>
            </w:pPr>
            <w:r w:rsidRPr="00C67938">
              <w:rPr>
                <w:rFonts w:ascii="Book Antiqua" w:eastAsia="MinionPro-Regular" w:hAnsi="Book Antiqua"/>
                <w:b/>
                <w:bCs/>
                <w:color w:val="000000"/>
                <w:kern w:val="0"/>
                <w:sz w:val="24"/>
                <w:szCs w:val="24"/>
              </w:rPr>
              <w:t>MET</w:t>
            </w:r>
          </w:p>
        </w:tc>
        <w:tc>
          <w:tcPr>
            <w:tcW w:w="2236"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c>
          <w:tcPr>
            <w:tcW w:w="3434" w:type="dxa"/>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tcBorders>
              <w:left w:val="nil"/>
              <w:right w:val="nil"/>
            </w:tcBorders>
            <w:shd w:val="clear" w:color="auto" w:fill="FFFFFF"/>
          </w:tcPr>
          <w:p w:rsidR="00A7606F" w:rsidRPr="00C67938" w:rsidRDefault="00A7606F" w:rsidP="008437E6">
            <w:pPr>
              <w:wordWrap/>
              <w:adjustRightInd w:val="0"/>
              <w:spacing w:line="360" w:lineRule="auto"/>
              <w:ind w:firstLineChars="150" w:firstLine="360"/>
              <w:rPr>
                <w:rFonts w:ascii="Book Antiqua" w:eastAsia="MinionPro-Regular" w:hAnsi="Book Antiqua"/>
                <w:bCs/>
                <w:color w:val="000000"/>
                <w:kern w:val="0"/>
                <w:sz w:val="24"/>
                <w:szCs w:val="24"/>
              </w:rPr>
            </w:pPr>
            <w:r w:rsidRPr="00C67938">
              <w:rPr>
                <w:rFonts w:ascii="Book Antiqua" w:hAnsi="Book Antiqua"/>
                <w:bCs/>
                <w:color w:val="000000"/>
                <w:sz w:val="24"/>
                <w:szCs w:val="24"/>
              </w:rPr>
              <w:t>Tivantinib</w:t>
            </w:r>
          </w:p>
        </w:tc>
        <w:tc>
          <w:tcPr>
            <w:tcW w:w="2236"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Randomized Phase II</w:t>
            </w:r>
          </w:p>
        </w:tc>
        <w:tc>
          <w:tcPr>
            <w:tcW w:w="3434"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r w:rsidRPr="00C67938">
              <w:rPr>
                <w:rFonts w:ascii="Book Antiqua" w:eastAsia="MinionPro-Regular" w:hAnsi="Book Antiqua"/>
                <w:noProof/>
                <w:color w:val="000000"/>
                <w:kern w:val="0"/>
                <w:sz w:val="24"/>
                <w:szCs w:val="24"/>
                <w:vertAlign w:val="superscript"/>
              </w:rPr>
              <w:t>[100]</w:t>
            </w:r>
          </w:p>
        </w:tc>
      </w:tr>
      <w:tr w:rsidR="00A7606F" w:rsidRPr="00C67938" w:rsidTr="00285BD9">
        <w:tc>
          <w:tcPr>
            <w:tcW w:w="2376" w:type="dxa"/>
            <w:shd w:val="clear" w:color="auto" w:fill="FFFFFF"/>
          </w:tcPr>
          <w:p w:rsidR="00A7606F" w:rsidRPr="00C67938" w:rsidRDefault="00A7606F" w:rsidP="00C67938">
            <w:pPr>
              <w:wordWrap/>
              <w:adjustRightInd w:val="0"/>
              <w:spacing w:line="360" w:lineRule="auto"/>
              <w:rPr>
                <w:rFonts w:ascii="Book Antiqua" w:hAnsi="Book Antiqua"/>
                <w:b/>
                <w:bCs/>
                <w:color w:val="000000"/>
                <w:sz w:val="24"/>
                <w:szCs w:val="24"/>
              </w:rPr>
            </w:pPr>
          </w:p>
        </w:tc>
        <w:tc>
          <w:tcPr>
            <w:tcW w:w="2236" w:type="dxa"/>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Tivantinib vs placebo</w:t>
            </w:r>
          </w:p>
        </w:tc>
        <w:tc>
          <w:tcPr>
            <w:tcW w:w="3434" w:type="dxa"/>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p>
        </w:tc>
        <w:tc>
          <w:tcPr>
            <w:tcW w:w="1178" w:type="dxa"/>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tcBorders>
              <w:left w:val="nil"/>
              <w:right w:val="nil"/>
            </w:tcBorders>
            <w:shd w:val="clear" w:color="auto" w:fill="FFFFFF"/>
          </w:tcPr>
          <w:p w:rsidR="00A7606F" w:rsidRPr="00C67938" w:rsidRDefault="00A7606F" w:rsidP="00C67938">
            <w:pPr>
              <w:wordWrap/>
              <w:adjustRightInd w:val="0"/>
              <w:spacing w:line="360" w:lineRule="auto"/>
              <w:rPr>
                <w:rFonts w:ascii="Book Antiqua" w:hAnsi="Book Antiqua"/>
                <w:b/>
                <w:bCs/>
                <w:color w:val="000000"/>
                <w:sz w:val="24"/>
                <w:szCs w:val="24"/>
              </w:rPr>
            </w:pPr>
          </w:p>
        </w:tc>
        <w:tc>
          <w:tcPr>
            <w:tcW w:w="2236"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ITT population</w:t>
            </w:r>
          </w:p>
        </w:tc>
        <w:tc>
          <w:tcPr>
            <w:tcW w:w="3434" w:type="dxa"/>
            <w:tcBorders>
              <w:left w:val="nil"/>
              <w:right w:val="nil"/>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Median TTP: 6.9 weeks </w:t>
            </w:r>
            <w:r w:rsidRPr="00C67938">
              <w:rPr>
                <w:rFonts w:ascii="Book Antiqua" w:eastAsia="Gulim" w:hAnsi="Book Antiqua"/>
                <w:i/>
                <w:color w:val="000000"/>
                <w:kern w:val="0"/>
                <w:sz w:val="24"/>
                <w:szCs w:val="24"/>
              </w:rPr>
              <w:t>vs</w:t>
            </w:r>
            <w:r w:rsidRPr="00C67938">
              <w:rPr>
                <w:rFonts w:ascii="Book Antiqua" w:eastAsia="Gulim" w:hAnsi="Book Antiqua"/>
                <w:color w:val="000000"/>
                <w:kern w:val="0"/>
                <w:sz w:val="24"/>
                <w:szCs w:val="24"/>
              </w:rPr>
              <w:t xml:space="preserve"> 6.0 weeks</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Median OS: 6.6 </w:t>
            </w:r>
            <w:r>
              <w:rPr>
                <w:rFonts w:ascii="Book Antiqua" w:eastAsia="Gulim" w:hAnsi="Book Antiqua"/>
                <w:color w:val="000000"/>
                <w:kern w:val="0"/>
                <w:sz w:val="24"/>
                <w:szCs w:val="24"/>
              </w:rPr>
              <w:t>mo</w:t>
            </w:r>
            <w:r w:rsidRPr="00C67938">
              <w:rPr>
                <w:rFonts w:ascii="Book Antiqua" w:eastAsia="Gulim" w:hAnsi="Book Antiqua"/>
                <w:color w:val="000000"/>
                <w:kern w:val="0"/>
                <w:sz w:val="24"/>
                <w:szCs w:val="24"/>
              </w:rPr>
              <w:t xml:space="preserve"> </w:t>
            </w:r>
            <w:r w:rsidRPr="00C67938">
              <w:rPr>
                <w:rFonts w:ascii="Book Antiqua" w:eastAsia="Gulim" w:hAnsi="Book Antiqua"/>
                <w:i/>
                <w:color w:val="000000"/>
                <w:kern w:val="0"/>
                <w:sz w:val="24"/>
                <w:szCs w:val="24"/>
              </w:rPr>
              <w:t>vs</w:t>
            </w:r>
            <w:r w:rsidRPr="00C67938">
              <w:rPr>
                <w:rFonts w:ascii="Book Antiqua" w:eastAsia="Gulim" w:hAnsi="Book Antiqua"/>
                <w:color w:val="000000"/>
                <w:kern w:val="0"/>
                <w:sz w:val="24"/>
                <w:szCs w:val="24"/>
              </w:rPr>
              <w:t xml:space="preserve"> 6.2 weeks</w:t>
            </w:r>
          </w:p>
        </w:tc>
        <w:tc>
          <w:tcPr>
            <w:tcW w:w="1178" w:type="dxa"/>
            <w:tcBorders>
              <w:left w:val="nil"/>
              <w:right w:val="nil"/>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r w:rsidR="00A7606F" w:rsidRPr="00C67938" w:rsidTr="00285BD9">
        <w:tc>
          <w:tcPr>
            <w:tcW w:w="2376" w:type="dxa"/>
            <w:tcBorders>
              <w:bottom w:val="single" w:sz="8" w:space="0" w:color="000000"/>
            </w:tcBorders>
            <w:shd w:val="clear" w:color="auto" w:fill="FFFFFF"/>
          </w:tcPr>
          <w:p w:rsidR="00A7606F" w:rsidRPr="00C67938" w:rsidRDefault="00A7606F" w:rsidP="00C67938">
            <w:pPr>
              <w:wordWrap/>
              <w:adjustRightInd w:val="0"/>
              <w:spacing w:line="360" w:lineRule="auto"/>
              <w:rPr>
                <w:rFonts w:ascii="Book Antiqua" w:hAnsi="Book Antiqua"/>
                <w:b/>
                <w:bCs/>
                <w:color w:val="000000"/>
                <w:sz w:val="24"/>
                <w:szCs w:val="24"/>
              </w:rPr>
            </w:pPr>
          </w:p>
        </w:tc>
        <w:tc>
          <w:tcPr>
            <w:tcW w:w="2236" w:type="dxa"/>
            <w:tcBorders>
              <w:bottom w:val="single" w:sz="8" w:space="0" w:color="000000"/>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c-Met high</w:t>
            </w:r>
          </w:p>
        </w:tc>
        <w:tc>
          <w:tcPr>
            <w:tcW w:w="3434" w:type="dxa"/>
            <w:tcBorders>
              <w:bottom w:val="single" w:sz="8" w:space="0" w:color="000000"/>
            </w:tcBorders>
            <w:shd w:val="clear" w:color="auto" w:fill="FFFFFF"/>
          </w:tcPr>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Median TTP: 11.7 weeks vs 6.1 weeks</w:t>
            </w:r>
          </w:p>
          <w:p w:rsidR="00A7606F" w:rsidRPr="00C67938" w:rsidRDefault="00A7606F" w:rsidP="00C67938">
            <w:pPr>
              <w:widowControl/>
              <w:wordWrap/>
              <w:autoSpaceDE/>
              <w:autoSpaceDN/>
              <w:spacing w:line="360" w:lineRule="auto"/>
              <w:rPr>
                <w:rFonts w:ascii="Book Antiqua" w:eastAsia="Gulim" w:hAnsi="Book Antiqua"/>
                <w:color w:val="000000"/>
                <w:kern w:val="0"/>
                <w:sz w:val="24"/>
                <w:szCs w:val="24"/>
              </w:rPr>
            </w:pPr>
            <w:r w:rsidRPr="00C67938">
              <w:rPr>
                <w:rFonts w:ascii="Book Antiqua" w:eastAsia="Gulim" w:hAnsi="Book Antiqua"/>
                <w:color w:val="000000"/>
                <w:kern w:val="0"/>
                <w:sz w:val="24"/>
                <w:szCs w:val="24"/>
              </w:rPr>
              <w:t xml:space="preserve">Median OS: 7.2 </w:t>
            </w:r>
            <w:r>
              <w:rPr>
                <w:rFonts w:ascii="Book Antiqua" w:eastAsia="Gulim" w:hAnsi="Book Antiqua"/>
                <w:color w:val="000000"/>
                <w:kern w:val="0"/>
                <w:sz w:val="24"/>
                <w:szCs w:val="24"/>
              </w:rPr>
              <w:t>mo</w:t>
            </w:r>
            <w:r w:rsidRPr="00C67938">
              <w:rPr>
                <w:rFonts w:ascii="Book Antiqua" w:eastAsia="Gulim" w:hAnsi="Book Antiqua"/>
                <w:color w:val="000000"/>
                <w:kern w:val="0"/>
                <w:sz w:val="24"/>
                <w:szCs w:val="24"/>
              </w:rPr>
              <w:t xml:space="preserve"> vs 3.8 weeks</w:t>
            </w:r>
          </w:p>
        </w:tc>
        <w:tc>
          <w:tcPr>
            <w:tcW w:w="1178" w:type="dxa"/>
            <w:tcBorders>
              <w:bottom w:val="single" w:sz="8" w:space="0" w:color="000000"/>
            </w:tcBorders>
            <w:shd w:val="clear" w:color="auto" w:fill="FFFFFF"/>
          </w:tcPr>
          <w:p w:rsidR="00A7606F" w:rsidRPr="00C67938" w:rsidRDefault="00A7606F" w:rsidP="00C67938">
            <w:pPr>
              <w:wordWrap/>
              <w:adjustRightInd w:val="0"/>
              <w:spacing w:line="360" w:lineRule="auto"/>
              <w:rPr>
                <w:rFonts w:ascii="Book Antiqua" w:eastAsia="MinionPro-Regular" w:hAnsi="Book Antiqua"/>
                <w:color w:val="000000"/>
                <w:kern w:val="0"/>
                <w:sz w:val="24"/>
                <w:szCs w:val="24"/>
              </w:rPr>
            </w:pPr>
          </w:p>
        </w:tc>
      </w:tr>
    </w:tbl>
    <w:p w:rsidR="00A7606F" w:rsidRPr="006D71D5" w:rsidRDefault="00A7606F" w:rsidP="00C67938">
      <w:pPr>
        <w:widowControl/>
        <w:wordWrap/>
        <w:autoSpaceDE/>
        <w:autoSpaceDN/>
        <w:spacing w:line="360" w:lineRule="auto"/>
        <w:rPr>
          <w:rFonts w:ascii="Book Antiqua" w:eastAsia="宋体" w:hAnsi="Book Antiqua"/>
          <w:color w:val="000000"/>
          <w:kern w:val="0"/>
          <w:sz w:val="24"/>
          <w:szCs w:val="24"/>
          <w:lang w:eastAsia="zh-CN"/>
        </w:rPr>
      </w:pPr>
      <w:r w:rsidRPr="00C67938">
        <w:rPr>
          <w:rFonts w:ascii="Book Antiqua" w:eastAsia="Gulim" w:hAnsi="Book Antiqua"/>
          <w:color w:val="000000"/>
          <w:kern w:val="0"/>
          <w:sz w:val="24"/>
          <w:szCs w:val="24"/>
        </w:rPr>
        <w:t>ITT</w:t>
      </w:r>
      <w:r>
        <w:rPr>
          <w:rFonts w:ascii="Book Antiqua" w:eastAsia="宋体" w:hAnsi="Book Antiqua"/>
          <w:color w:val="000000"/>
          <w:kern w:val="0"/>
          <w:sz w:val="24"/>
          <w:szCs w:val="24"/>
          <w:lang w:eastAsia="zh-CN"/>
        </w:rPr>
        <w:t>:</w:t>
      </w:r>
      <w:r w:rsidRPr="00C67938">
        <w:rPr>
          <w:rFonts w:ascii="Book Antiqua" w:eastAsia="Gulim" w:hAnsi="Book Antiqua"/>
          <w:color w:val="000000"/>
          <w:kern w:val="0"/>
          <w:sz w:val="24"/>
          <w:szCs w:val="24"/>
        </w:rPr>
        <w:t xml:space="preserve"> Intent to treat; OS</w:t>
      </w:r>
      <w:r>
        <w:rPr>
          <w:rFonts w:ascii="Book Antiqua" w:eastAsia="宋体" w:hAnsi="Book Antiqua"/>
          <w:color w:val="000000"/>
          <w:kern w:val="0"/>
          <w:sz w:val="24"/>
          <w:szCs w:val="24"/>
          <w:lang w:eastAsia="zh-CN"/>
        </w:rPr>
        <w:t xml:space="preserve">: </w:t>
      </w:r>
      <w:r w:rsidRPr="00C67938">
        <w:rPr>
          <w:rFonts w:ascii="Book Antiqua" w:eastAsia="Gulim" w:hAnsi="Book Antiqua"/>
          <w:color w:val="000000"/>
          <w:kern w:val="0"/>
          <w:sz w:val="24"/>
          <w:szCs w:val="24"/>
        </w:rPr>
        <w:t>Overall survival; PD</w:t>
      </w:r>
      <w:r>
        <w:rPr>
          <w:rFonts w:ascii="Book Antiqua" w:eastAsia="宋体" w:hAnsi="Book Antiqua"/>
          <w:color w:val="000000"/>
          <w:kern w:val="0"/>
          <w:sz w:val="24"/>
          <w:szCs w:val="24"/>
          <w:lang w:eastAsia="zh-CN"/>
        </w:rPr>
        <w:t>:</w:t>
      </w:r>
      <w:r w:rsidRPr="00C67938">
        <w:rPr>
          <w:rFonts w:ascii="Book Antiqua" w:eastAsia="Gulim" w:hAnsi="Book Antiqua"/>
          <w:color w:val="000000"/>
          <w:kern w:val="0"/>
          <w:sz w:val="24"/>
          <w:szCs w:val="24"/>
        </w:rPr>
        <w:t xml:space="preserve"> Progressive disease; PFS</w:t>
      </w:r>
      <w:r>
        <w:rPr>
          <w:rFonts w:ascii="Book Antiqua" w:eastAsia="宋体" w:hAnsi="Book Antiqua"/>
          <w:color w:val="000000"/>
          <w:kern w:val="0"/>
          <w:sz w:val="24"/>
          <w:szCs w:val="24"/>
          <w:lang w:eastAsia="zh-CN"/>
        </w:rPr>
        <w:t>:</w:t>
      </w:r>
      <w:r w:rsidRPr="00C67938">
        <w:rPr>
          <w:rFonts w:ascii="Book Antiqua" w:eastAsia="Gulim" w:hAnsi="Book Antiqua"/>
          <w:color w:val="000000"/>
          <w:kern w:val="0"/>
          <w:sz w:val="24"/>
          <w:szCs w:val="24"/>
        </w:rPr>
        <w:t xml:space="preserve"> Progression-free survival; </w:t>
      </w:r>
      <w:r w:rsidRPr="00C67938">
        <w:rPr>
          <w:rFonts w:ascii="Book Antiqua" w:hAnsi="Book Antiqua"/>
          <w:color w:val="000000"/>
          <w:sz w:val="24"/>
          <w:szCs w:val="24"/>
        </w:rPr>
        <w:t>PR</w:t>
      </w:r>
      <w:r>
        <w:rPr>
          <w:rFonts w:ascii="Book Antiqua" w:eastAsia="宋体" w:hAnsi="Book Antiqua"/>
          <w:color w:val="000000"/>
          <w:kern w:val="0"/>
          <w:sz w:val="24"/>
          <w:szCs w:val="24"/>
          <w:lang w:eastAsia="zh-CN"/>
        </w:rPr>
        <w:t>:</w:t>
      </w:r>
      <w:r w:rsidRPr="00C67938">
        <w:rPr>
          <w:rFonts w:ascii="Book Antiqua" w:eastAsia="Gulim" w:hAnsi="Book Antiqua"/>
          <w:color w:val="000000"/>
          <w:kern w:val="0"/>
          <w:sz w:val="24"/>
          <w:szCs w:val="24"/>
        </w:rPr>
        <w:t xml:space="preserve"> Partial response; RR</w:t>
      </w:r>
      <w:r>
        <w:rPr>
          <w:rFonts w:ascii="Book Antiqua" w:eastAsia="宋体" w:hAnsi="Book Antiqua"/>
          <w:color w:val="000000"/>
          <w:kern w:val="0"/>
          <w:sz w:val="24"/>
          <w:szCs w:val="24"/>
          <w:lang w:eastAsia="zh-CN"/>
        </w:rPr>
        <w:t xml:space="preserve">: </w:t>
      </w:r>
      <w:r w:rsidRPr="00C67938">
        <w:rPr>
          <w:rFonts w:ascii="Book Antiqua" w:eastAsia="Gulim" w:hAnsi="Book Antiqua"/>
          <w:color w:val="000000"/>
          <w:kern w:val="0"/>
          <w:sz w:val="24"/>
          <w:szCs w:val="24"/>
        </w:rPr>
        <w:t>Response rate; SD</w:t>
      </w:r>
      <w:r>
        <w:rPr>
          <w:rFonts w:ascii="Book Antiqua" w:eastAsia="宋体" w:hAnsi="Book Antiqua"/>
          <w:color w:val="000000"/>
          <w:kern w:val="0"/>
          <w:sz w:val="24"/>
          <w:szCs w:val="24"/>
          <w:lang w:eastAsia="zh-CN"/>
        </w:rPr>
        <w:t xml:space="preserve">: </w:t>
      </w:r>
      <w:r w:rsidRPr="00C67938">
        <w:rPr>
          <w:rFonts w:ascii="Book Antiqua" w:eastAsia="Gulim" w:hAnsi="Book Antiqua"/>
          <w:color w:val="000000"/>
          <w:kern w:val="0"/>
          <w:sz w:val="24"/>
          <w:szCs w:val="24"/>
        </w:rPr>
        <w:t>Stable d</w:t>
      </w:r>
      <w:r>
        <w:rPr>
          <w:rFonts w:ascii="Book Antiqua" w:eastAsia="Gulim" w:hAnsi="Book Antiqua"/>
          <w:color w:val="000000"/>
          <w:kern w:val="0"/>
          <w:sz w:val="24"/>
          <w:szCs w:val="24"/>
        </w:rPr>
        <w:t>isease;</w:t>
      </w:r>
      <w:r>
        <w:rPr>
          <w:rFonts w:ascii="Book Antiqua" w:eastAsia="宋体" w:hAnsi="Book Antiqua"/>
          <w:color w:val="000000"/>
          <w:kern w:val="0"/>
          <w:sz w:val="24"/>
          <w:szCs w:val="24"/>
          <w:lang w:eastAsia="zh-CN"/>
        </w:rPr>
        <w:t xml:space="preserve"> </w:t>
      </w:r>
      <w:r>
        <w:rPr>
          <w:rFonts w:ascii="Book Antiqua" w:eastAsia="Gulim" w:hAnsi="Book Antiqua"/>
          <w:color w:val="000000"/>
          <w:kern w:val="0"/>
          <w:sz w:val="24"/>
          <w:szCs w:val="24"/>
        </w:rPr>
        <w:t>TTP</w:t>
      </w:r>
      <w:r>
        <w:rPr>
          <w:rFonts w:ascii="Book Antiqua" w:eastAsia="宋体" w:hAnsi="Book Antiqua"/>
          <w:color w:val="000000"/>
          <w:kern w:val="0"/>
          <w:sz w:val="24"/>
          <w:szCs w:val="24"/>
          <w:lang w:eastAsia="zh-CN"/>
        </w:rPr>
        <w:t>:</w:t>
      </w:r>
      <w:r>
        <w:rPr>
          <w:rFonts w:ascii="Book Antiqua" w:eastAsia="Gulim" w:hAnsi="Book Antiqua"/>
          <w:color w:val="000000"/>
          <w:kern w:val="0"/>
          <w:sz w:val="24"/>
          <w:szCs w:val="24"/>
        </w:rPr>
        <w:t xml:space="preserve"> Time to progression</w:t>
      </w:r>
      <w:r>
        <w:rPr>
          <w:rFonts w:ascii="Book Antiqua" w:eastAsia="宋体" w:hAnsi="Book Antiqua"/>
          <w:color w:val="000000"/>
          <w:kern w:val="0"/>
          <w:sz w:val="24"/>
          <w:szCs w:val="24"/>
          <w:lang w:eastAsia="zh-CN"/>
        </w:rPr>
        <w:t>.</w:t>
      </w:r>
    </w:p>
    <w:p w:rsidR="00A7606F" w:rsidRPr="00C67938" w:rsidRDefault="00A7606F" w:rsidP="00C67938">
      <w:pPr>
        <w:wordWrap/>
        <w:adjustRightInd w:val="0"/>
        <w:spacing w:line="360" w:lineRule="auto"/>
        <w:rPr>
          <w:rFonts w:ascii="Book Antiqua" w:eastAsia="MinionPro-Regular" w:hAnsi="Book Antiqua"/>
          <w:b/>
          <w:color w:val="FF000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FF000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C67938" w:rsidRDefault="00A7606F" w:rsidP="00C67938">
      <w:pPr>
        <w:wordWrap/>
        <w:adjustRightInd w:val="0"/>
        <w:spacing w:line="360" w:lineRule="auto"/>
        <w:rPr>
          <w:rFonts w:ascii="Book Antiqua" w:eastAsia="MinionPro-Regular" w:hAnsi="Book Antiqua"/>
          <w:b/>
          <w:color w:val="231F20"/>
          <w:kern w:val="0"/>
          <w:sz w:val="24"/>
          <w:szCs w:val="24"/>
        </w:rPr>
      </w:pPr>
    </w:p>
    <w:p w:rsidR="00A7606F" w:rsidRPr="006D71D5" w:rsidRDefault="00A7606F" w:rsidP="00C67938">
      <w:pPr>
        <w:wordWrap/>
        <w:adjustRightInd w:val="0"/>
        <w:spacing w:line="360" w:lineRule="auto"/>
        <w:rPr>
          <w:rFonts w:ascii="Book Antiqua" w:eastAsia="宋体" w:hAnsi="Book Antiqua"/>
          <w:b/>
          <w:color w:val="231F20"/>
          <w:kern w:val="0"/>
          <w:sz w:val="24"/>
          <w:szCs w:val="24"/>
          <w:lang w:eastAsia="zh-CN"/>
        </w:rPr>
      </w:pPr>
    </w:p>
    <w:sectPr w:rsidR="00A7606F" w:rsidRPr="006D71D5" w:rsidSect="00876BF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22" w:rsidRDefault="00C14022" w:rsidP="00737770">
      <w:r>
        <w:separator/>
      </w:r>
    </w:p>
  </w:endnote>
  <w:endnote w:type="continuationSeparator" w:id="0">
    <w:p w:rsidR="00C14022" w:rsidRDefault="00C14022" w:rsidP="0073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Kozuka Mincho Pro">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신명조">
    <w:altName w:val="Gulim"/>
    <w:panose1 w:val="00000000000000000000"/>
    <w:charset w:val="81"/>
    <w:family w:val="auto"/>
    <w:notTrueType/>
    <w:pitch w:val="default"/>
    <w:sig w:usb0="00000001" w:usb1="09060000" w:usb2="00000010" w:usb3="00000000" w:csb0="00080000" w:csb1="00000000"/>
  </w:font>
  <w:font w:name="AdvP4DF60E">
    <w:altName w:val="Arial Unicode MS"/>
    <w:panose1 w:val="00000000000000000000"/>
    <w:charset w:val="81"/>
    <w:family w:val="auto"/>
    <w:notTrueType/>
    <w:pitch w:val="default"/>
    <w:sig w:usb0="00000001" w:usb1="09060000" w:usb2="00000010" w:usb3="00000000" w:csb0="0008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GulliverRM">
    <w:altName w:val="Arial Unicode MS"/>
    <w:panose1 w:val="00000000000000000000"/>
    <w:charset w:val="81"/>
    <w:family w:val="auto"/>
    <w:notTrueType/>
    <w:pitch w:val="default"/>
    <w:sig w:usb0="00000001" w:usb1="09060000" w:usb2="00000010" w:usb3="00000000" w:csb0="00080000" w:csb1="00000000"/>
  </w:font>
  <w:font w:name="GulliverIT">
    <w:altName w:val="Arial Unicode MS"/>
    <w:panose1 w:val="00000000000000000000"/>
    <w:charset w:val="81"/>
    <w:family w:val="auto"/>
    <w:notTrueType/>
    <w:pitch w:val="default"/>
    <w:sig w:usb0="00000001" w:usb1="09060000" w:usb2="00000010" w:usb3="00000000" w:csb0="00080000" w:csb1="00000000"/>
  </w:font>
  <w:font w:name="AdvP4B06EF">
    <w:altName w:val="Arial"/>
    <w:panose1 w:val="00000000000000000000"/>
    <w:charset w:val="00"/>
    <w:family w:val="swiss"/>
    <w:notTrueType/>
    <w:pitch w:val="default"/>
    <w:sig w:usb0="00000003" w:usb1="00000000" w:usb2="00000000" w:usb3="00000000" w:csb0="00000001" w:csb1="00000000"/>
  </w:font>
  <w:font w:name="AdvTimes-b">
    <w:altName w:val="Arial Unicode MS"/>
    <w:panose1 w:val="00000000000000000000"/>
    <w:charset w:val="81"/>
    <w:family w:val="auto"/>
    <w:notTrueType/>
    <w:pitch w:val="default"/>
    <w:sig w:usb0="00000001" w:usb1="09060000" w:usb2="00000010" w:usb3="00000000" w:csb0="00080000" w:csb1="00000000"/>
  </w:font>
  <w:font w:name="MinionPro-It">
    <w:altName w:val="Arial Unicode MS"/>
    <w:panose1 w:val="00000000000000000000"/>
    <w:charset w:val="81"/>
    <w:family w:val="auto"/>
    <w:notTrueType/>
    <w:pitch w:val="default"/>
    <w:sig w:usb0="00000001" w:usb1="09060000" w:usb2="00000010" w:usb3="00000000" w:csb0="00080000" w:csb1="00000000"/>
  </w:font>
  <w:font w:name="AdvTimes-i">
    <w:altName w:val="Arial Unicode MS"/>
    <w:panose1 w:val="00000000000000000000"/>
    <w:charset w:val="80"/>
    <w:family w:val="auto"/>
    <w:notTrueType/>
    <w:pitch w:val="default"/>
    <w:sig w:usb0="00000001" w:usb1="08070000" w:usb2="00000010" w:usb3="00000000" w:csb0="00020000" w:csb1="00000000"/>
  </w:font>
  <w:font w:name="AdvPS3D5C76">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AdvP4C4E74">
    <w:altName w:val="Arial Unicode MS"/>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dvTT544668d2">
    <w:altName w:val="Arial Unicode MS"/>
    <w:panose1 w:val="00000000000000000000"/>
    <w:charset w:val="81"/>
    <w:family w:val="auto"/>
    <w:notTrueType/>
    <w:pitch w:val="default"/>
    <w:sig w:usb0="00000001" w:usb1="09060000" w:usb2="00000010" w:usb3="00000000" w:csb0="00080000" w:csb1="00000000"/>
  </w:font>
  <w:font w:name="AdvP4DF60F">
    <w:altName w:val="Arial Unicode MS"/>
    <w:panose1 w:val="00000000000000000000"/>
    <w:charset w:val="81"/>
    <w:family w:val="auto"/>
    <w:notTrueType/>
    <w:pitch w:val="default"/>
    <w:sig w:usb0="00000001" w:usb1="09060000" w:usb2="00000010" w:usb3="00000000" w:csb0="00080000" w:csb1="00000000"/>
  </w:font>
  <w:font w:name="Times-Roman">
    <w:altName w:val="Batang"/>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22" w:rsidRDefault="00C14022" w:rsidP="00737770">
      <w:r>
        <w:separator/>
      </w:r>
    </w:p>
  </w:footnote>
  <w:footnote w:type="continuationSeparator" w:id="0">
    <w:p w:rsidR="00C14022" w:rsidRDefault="00C14022" w:rsidP="00737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23EF385F"/>
    <w:multiLevelType w:val="multilevel"/>
    <w:tmpl w:val="B78C2D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00"/>
  <w:displayHorizontalDrawingGridEvery w:val="0"/>
  <w:displayVerticalDrawingGridEvery w:val="2"/>
  <w:noPunctuationKerning/>
  <w:characterSpacingControl w:val="doNotCompress"/>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fd0evx2rxrz5d9ew00svwt9lfwwp92dr0wex&quot;&gt;HCC review&lt;record-ids&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7&lt;/item&gt;&lt;item&gt;48&lt;/item&gt;&lt;item&gt;49&lt;/item&gt;&lt;item&gt;50&lt;/item&gt;&lt;item&gt;51&lt;/item&gt;&lt;item&gt;52&lt;/item&gt;&lt;item&gt;53&lt;/item&gt;&lt;item&gt;54&lt;/item&gt;&lt;item&gt;55&lt;/item&gt;&lt;item&gt;56&lt;/item&gt;&lt;item&gt;57&lt;/item&gt;&lt;item&gt;58&lt;/item&gt;&lt;item&gt;59&lt;/item&gt;&lt;item&gt;62&lt;/item&gt;&lt;item&gt;63&lt;/item&gt;&lt;item&gt;66&lt;/item&gt;&lt;item&gt;67&lt;/item&gt;&lt;item&gt;68&lt;/item&gt;&lt;item&gt;69&lt;/item&gt;&lt;item&gt;70&lt;/item&gt;&lt;item&gt;71&lt;/item&gt;&lt;item&gt;72&lt;/item&gt;&lt;item&gt;79&lt;/item&gt;&lt;item&gt;81&lt;/item&gt;&lt;item&gt;82&lt;/item&gt;&lt;item&gt;85&lt;/item&gt;&lt;item&gt;86&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20&lt;/item&gt;&lt;item&gt;121&lt;/item&gt;&lt;item&gt;122&lt;/item&gt;&lt;item&gt;123&lt;/item&gt;&lt;item&gt;124&lt;/item&gt;&lt;item&gt;126&lt;/item&gt;&lt;item&gt;127&lt;/item&gt;&lt;item&gt;128&lt;/item&gt;&lt;item&gt;129&lt;/item&gt;&lt;item&gt;131&lt;/item&gt;&lt;item&gt;132&lt;/item&gt;&lt;item&gt;133&lt;/item&gt;&lt;item&gt;134&lt;/item&gt;&lt;item&gt;135&lt;/item&gt;&lt;item&gt;138&lt;/item&gt;&lt;item&gt;139&lt;/item&gt;&lt;item&gt;140&lt;/item&gt;&lt;item&gt;141&lt;/item&gt;&lt;item&gt;142&lt;/item&gt;&lt;item&gt;143&lt;/item&gt;&lt;item&gt;144&lt;/item&gt;&lt;item&gt;145&lt;/item&gt;&lt;/record-ids&gt;&lt;/item&gt;&lt;/Libraries&gt;"/>
  </w:docVars>
  <w:rsids>
    <w:rsidRoot w:val="00497477"/>
    <w:rsid w:val="000029C8"/>
    <w:rsid w:val="000049CF"/>
    <w:rsid w:val="00005022"/>
    <w:rsid w:val="0001541A"/>
    <w:rsid w:val="00017497"/>
    <w:rsid w:val="0002190A"/>
    <w:rsid w:val="0003024A"/>
    <w:rsid w:val="0003110D"/>
    <w:rsid w:val="0004172B"/>
    <w:rsid w:val="00042919"/>
    <w:rsid w:val="000439A5"/>
    <w:rsid w:val="0004746F"/>
    <w:rsid w:val="00050331"/>
    <w:rsid w:val="00050C0C"/>
    <w:rsid w:val="000543D8"/>
    <w:rsid w:val="0005606A"/>
    <w:rsid w:val="0006001F"/>
    <w:rsid w:val="00062401"/>
    <w:rsid w:val="000630EB"/>
    <w:rsid w:val="00064C69"/>
    <w:rsid w:val="000729A2"/>
    <w:rsid w:val="00074EE5"/>
    <w:rsid w:val="0007698F"/>
    <w:rsid w:val="00077741"/>
    <w:rsid w:val="00081ABC"/>
    <w:rsid w:val="00081B04"/>
    <w:rsid w:val="000824E5"/>
    <w:rsid w:val="00091516"/>
    <w:rsid w:val="00096ED9"/>
    <w:rsid w:val="000A7E01"/>
    <w:rsid w:val="000B2C74"/>
    <w:rsid w:val="000B5423"/>
    <w:rsid w:val="000B5741"/>
    <w:rsid w:val="000C04FB"/>
    <w:rsid w:val="000C512D"/>
    <w:rsid w:val="000C7C69"/>
    <w:rsid w:val="000D6603"/>
    <w:rsid w:val="000D6CCC"/>
    <w:rsid w:val="000D7FCA"/>
    <w:rsid w:val="000E0C04"/>
    <w:rsid w:val="000F02A5"/>
    <w:rsid w:val="000F1C5E"/>
    <w:rsid w:val="000F52DE"/>
    <w:rsid w:val="000F63BB"/>
    <w:rsid w:val="001208FE"/>
    <w:rsid w:val="00120B7F"/>
    <w:rsid w:val="001220C2"/>
    <w:rsid w:val="001263C9"/>
    <w:rsid w:val="00131987"/>
    <w:rsid w:val="00131F4B"/>
    <w:rsid w:val="00144D79"/>
    <w:rsid w:val="001516C5"/>
    <w:rsid w:val="00153D1C"/>
    <w:rsid w:val="00154D9E"/>
    <w:rsid w:val="00163965"/>
    <w:rsid w:val="00163AEB"/>
    <w:rsid w:val="00164EF9"/>
    <w:rsid w:val="00172BA5"/>
    <w:rsid w:val="001731CC"/>
    <w:rsid w:val="00173372"/>
    <w:rsid w:val="001734AA"/>
    <w:rsid w:val="00174E24"/>
    <w:rsid w:val="001801FE"/>
    <w:rsid w:val="0018425C"/>
    <w:rsid w:val="001842CD"/>
    <w:rsid w:val="00187543"/>
    <w:rsid w:val="00196FD3"/>
    <w:rsid w:val="001A4916"/>
    <w:rsid w:val="001A6525"/>
    <w:rsid w:val="001A699B"/>
    <w:rsid w:val="001A6BD0"/>
    <w:rsid w:val="001A7709"/>
    <w:rsid w:val="001B1986"/>
    <w:rsid w:val="001B45DF"/>
    <w:rsid w:val="001B6D2A"/>
    <w:rsid w:val="001B73DB"/>
    <w:rsid w:val="001B7B50"/>
    <w:rsid w:val="001C418A"/>
    <w:rsid w:val="001C49BE"/>
    <w:rsid w:val="001C5367"/>
    <w:rsid w:val="001D42C9"/>
    <w:rsid w:val="001D4FFF"/>
    <w:rsid w:val="001E0A76"/>
    <w:rsid w:val="001E19E8"/>
    <w:rsid w:val="001E6DED"/>
    <w:rsid w:val="001F1346"/>
    <w:rsid w:val="001F67EB"/>
    <w:rsid w:val="001F7A91"/>
    <w:rsid w:val="002061EE"/>
    <w:rsid w:val="002066F0"/>
    <w:rsid w:val="002074CE"/>
    <w:rsid w:val="00207676"/>
    <w:rsid w:val="002104F8"/>
    <w:rsid w:val="0022093A"/>
    <w:rsid w:val="002263D5"/>
    <w:rsid w:val="00226BCA"/>
    <w:rsid w:val="00234494"/>
    <w:rsid w:val="002362B6"/>
    <w:rsid w:val="0023725E"/>
    <w:rsid w:val="00237A81"/>
    <w:rsid w:val="00242E46"/>
    <w:rsid w:val="0024381D"/>
    <w:rsid w:val="00246A51"/>
    <w:rsid w:val="00247941"/>
    <w:rsid w:val="002519F2"/>
    <w:rsid w:val="00251BB8"/>
    <w:rsid w:val="00257694"/>
    <w:rsid w:val="00257BA1"/>
    <w:rsid w:val="00260EE2"/>
    <w:rsid w:val="002754C2"/>
    <w:rsid w:val="00275D18"/>
    <w:rsid w:val="00276A6D"/>
    <w:rsid w:val="00277A34"/>
    <w:rsid w:val="002854DE"/>
    <w:rsid w:val="00285BD9"/>
    <w:rsid w:val="00291041"/>
    <w:rsid w:val="00294C9C"/>
    <w:rsid w:val="002A7A88"/>
    <w:rsid w:val="002B0363"/>
    <w:rsid w:val="002B599F"/>
    <w:rsid w:val="002B71AF"/>
    <w:rsid w:val="002C1DB0"/>
    <w:rsid w:val="002C205B"/>
    <w:rsid w:val="002C5A51"/>
    <w:rsid w:val="002D2ABB"/>
    <w:rsid w:val="002E5EDC"/>
    <w:rsid w:val="002F0962"/>
    <w:rsid w:val="002F0B4D"/>
    <w:rsid w:val="002F1F35"/>
    <w:rsid w:val="002F48C3"/>
    <w:rsid w:val="003016E7"/>
    <w:rsid w:val="0030268F"/>
    <w:rsid w:val="00302EB8"/>
    <w:rsid w:val="003054C9"/>
    <w:rsid w:val="0031303A"/>
    <w:rsid w:val="00315B7C"/>
    <w:rsid w:val="00321FC3"/>
    <w:rsid w:val="00323110"/>
    <w:rsid w:val="00326E32"/>
    <w:rsid w:val="00327C93"/>
    <w:rsid w:val="00331D27"/>
    <w:rsid w:val="00341FDA"/>
    <w:rsid w:val="00342725"/>
    <w:rsid w:val="0034389B"/>
    <w:rsid w:val="00352583"/>
    <w:rsid w:val="003525D0"/>
    <w:rsid w:val="003657BB"/>
    <w:rsid w:val="003814C6"/>
    <w:rsid w:val="00382409"/>
    <w:rsid w:val="00382472"/>
    <w:rsid w:val="003827CE"/>
    <w:rsid w:val="00390E4C"/>
    <w:rsid w:val="00393B5B"/>
    <w:rsid w:val="00394CD0"/>
    <w:rsid w:val="00397155"/>
    <w:rsid w:val="003975F1"/>
    <w:rsid w:val="003A0837"/>
    <w:rsid w:val="003A2225"/>
    <w:rsid w:val="003A4327"/>
    <w:rsid w:val="003A6EE0"/>
    <w:rsid w:val="003B3CDB"/>
    <w:rsid w:val="003B6E15"/>
    <w:rsid w:val="003C2C1F"/>
    <w:rsid w:val="003C2EF5"/>
    <w:rsid w:val="003D6963"/>
    <w:rsid w:val="003E165E"/>
    <w:rsid w:val="003E549B"/>
    <w:rsid w:val="003E7DC1"/>
    <w:rsid w:val="003F2538"/>
    <w:rsid w:val="003F4C59"/>
    <w:rsid w:val="003F51B2"/>
    <w:rsid w:val="00406F1D"/>
    <w:rsid w:val="00411C9A"/>
    <w:rsid w:val="004173BB"/>
    <w:rsid w:val="00417D53"/>
    <w:rsid w:val="004213D4"/>
    <w:rsid w:val="00421E83"/>
    <w:rsid w:val="0042686D"/>
    <w:rsid w:val="00431D53"/>
    <w:rsid w:val="004363A8"/>
    <w:rsid w:val="0045077F"/>
    <w:rsid w:val="004509E4"/>
    <w:rsid w:val="00450B35"/>
    <w:rsid w:val="00451E8F"/>
    <w:rsid w:val="004539BD"/>
    <w:rsid w:val="00453F0E"/>
    <w:rsid w:val="00455BFD"/>
    <w:rsid w:val="00460E0E"/>
    <w:rsid w:val="00461CE3"/>
    <w:rsid w:val="004623E3"/>
    <w:rsid w:val="00464A09"/>
    <w:rsid w:val="00470688"/>
    <w:rsid w:val="00477B47"/>
    <w:rsid w:val="00477EF5"/>
    <w:rsid w:val="004841E4"/>
    <w:rsid w:val="00484E1C"/>
    <w:rsid w:val="004856CC"/>
    <w:rsid w:val="0049108C"/>
    <w:rsid w:val="00492A40"/>
    <w:rsid w:val="0049315F"/>
    <w:rsid w:val="00495DFF"/>
    <w:rsid w:val="00497477"/>
    <w:rsid w:val="004A0926"/>
    <w:rsid w:val="004A0E96"/>
    <w:rsid w:val="004A3DEB"/>
    <w:rsid w:val="004B16FF"/>
    <w:rsid w:val="004C089F"/>
    <w:rsid w:val="004E4B66"/>
    <w:rsid w:val="004F1010"/>
    <w:rsid w:val="004F16D1"/>
    <w:rsid w:val="004F3072"/>
    <w:rsid w:val="004F5C26"/>
    <w:rsid w:val="004F7D35"/>
    <w:rsid w:val="00501FB5"/>
    <w:rsid w:val="00513B49"/>
    <w:rsid w:val="00515BC7"/>
    <w:rsid w:val="00516145"/>
    <w:rsid w:val="00527036"/>
    <w:rsid w:val="00530DE5"/>
    <w:rsid w:val="00540C2B"/>
    <w:rsid w:val="00545262"/>
    <w:rsid w:val="00546779"/>
    <w:rsid w:val="00550CA0"/>
    <w:rsid w:val="005543FE"/>
    <w:rsid w:val="00557D25"/>
    <w:rsid w:val="0056006E"/>
    <w:rsid w:val="00560F51"/>
    <w:rsid w:val="00565296"/>
    <w:rsid w:val="0056787E"/>
    <w:rsid w:val="00567AE6"/>
    <w:rsid w:val="00572487"/>
    <w:rsid w:val="005732BE"/>
    <w:rsid w:val="00574582"/>
    <w:rsid w:val="00575795"/>
    <w:rsid w:val="005767BD"/>
    <w:rsid w:val="005834BA"/>
    <w:rsid w:val="005848AA"/>
    <w:rsid w:val="0058497E"/>
    <w:rsid w:val="00587EE4"/>
    <w:rsid w:val="00590319"/>
    <w:rsid w:val="005A3AD0"/>
    <w:rsid w:val="005B2586"/>
    <w:rsid w:val="005C2421"/>
    <w:rsid w:val="005C2E14"/>
    <w:rsid w:val="005C3FF5"/>
    <w:rsid w:val="005C7C96"/>
    <w:rsid w:val="005D3B4A"/>
    <w:rsid w:val="005D7886"/>
    <w:rsid w:val="005E094E"/>
    <w:rsid w:val="005E15F4"/>
    <w:rsid w:val="005E1A12"/>
    <w:rsid w:val="005E223B"/>
    <w:rsid w:val="005E4B07"/>
    <w:rsid w:val="005E7982"/>
    <w:rsid w:val="005F00B0"/>
    <w:rsid w:val="005F6721"/>
    <w:rsid w:val="005F7CBB"/>
    <w:rsid w:val="0060153E"/>
    <w:rsid w:val="0060228E"/>
    <w:rsid w:val="00602C51"/>
    <w:rsid w:val="0060477A"/>
    <w:rsid w:val="00606BAD"/>
    <w:rsid w:val="006106CE"/>
    <w:rsid w:val="00612B0F"/>
    <w:rsid w:val="0061596B"/>
    <w:rsid w:val="00622279"/>
    <w:rsid w:val="006226A6"/>
    <w:rsid w:val="00623F7C"/>
    <w:rsid w:val="00626425"/>
    <w:rsid w:val="00635104"/>
    <w:rsid w:val="00635F0F"/>
    <w:rsid w:val="006361CE"/>
    <w:rsid w:val="00642281"/>
    <w:rsid w:val="00643A17"/>
    <w:rsid w:val="00646D23"/>
    <w:rsid w:val="00647CFB"/>
    <w:rsid w:val="00647D83"/>
    <w:rsid w:val="0065012D"/>
    <w:rsid w:val="00655092"/>
    <w:rsid w:val="00656045"/>
    <w:rsid w:val="00656B98"/>
    <w:rsid w:val="00661E57"/>
    <w:rsid w:val="00663497"/>
    <w:rsid w:val="006637A2"/>
    <w:rsid w:val="0068126B"/>
    <w:rsid w:val="0068630A"/>
    <w:rsid w:val="00686CDA"/>
    <w:rsid w:val="00690F41"/>
    <w:rsid w:val="00692304"/>
    <w:rsid w:val="006A0EC3"/>
    <w:rsid w:val="006B1411"/>
    <w:rsid w:val="006B700A"/>
    <w:rsid w:val="006B79B5"/>
    <w:rsid w:val="006C2CEF"/>
    <w:rsid w:val="006C4293"/>
    <w:rsid w:val="006D24EA"/>
    <w:rsid w:val="006D71D5"/>
    <w:rsid w:val="006D7987"/>
    <w:rsid w:val="006E158C"/>
    <w:rsid w:val="006E22B5"/>
    <w:rsid w:val="006E3793"/>
    <w:rsid w:val="006E46C2"/>
    <w:rsid w:val="006E70D6"/>
    <w:rsid w:val="006F7711"/>
    <w:rsid w:val="00707227"/>
    <w:rsid w:val="007101C2"/>
    <w:rsid w:val="00732443"/>
    <w:rsid w:val="00735449"/>
    <w:rsid w:val="007365DB"/>
    <w:rsid w:val="007374D5"/>
    <w:rsid w:val="00737770"/>
    <w:rsid w:val="00743067"/>
    <w:rsid w:val="007447E9"/>
    <w:rsid w:val="00745BE4"/>
    <w:rsid w:val="007534DE"/>
    <w:rsid w:val="0075359E"/>
    <w:rsid w:val="007572DC"/>
    <w:rsid w:val="0076281D"/>
    <w:rsid w:val="00765512"/>
    <w:rsid w:val="00772B62"/>
    <w:rsid w:val="00775E00"/>
    <w:rsid w:val="00784D6A"/>
    <w:rsid w:val="00785658"/>
    <w:rsid w:val="00792137"/>
    <w:rsid w:val="0079307B"/>
    <w:rsid w:val="00793150"/>
    <w:rsid w:val="007A086B"/>
    <w:rsid w:val="007A4265"/>
    <w:rsid w:val="007A5C82"/>
    <w:rsid w:val="007B4779"/>
    <w:rsid w:val="007B560B"/>
    <w:rsid w:val="007C138E"/>
    <w:rsid w:val="007C194C"/>
    <w:rsid w:val="007C1FA6"/>
    <w:rsid w:val="007C3566"/>
    <w:rsid w:val="007C3AD1"/>
    <w:rsid w:val="007D59F4"/>
    <w:rsid w:val="007E282F"/>
    <w:rsid w:val="007E3FA7"/>
    <w:rsid w:val="007E49BB"/>
    <w:rsid w:val="007E4C1F"/>
    <w:rsid w:val="007F3FDC"/>
    <w:rsid w:val="008012F7"/>
    <w:rsid w:val="00804691"/>
    <w:rsid w:val="00806110"/>
    <w:rsid w:val="008136A6"/>
    <w:rsid w:val="00815CC8"/>
    <w:rsid w:val="008206C4"/>
    <w:rsid w:val="00821D9B"/>
    <w:rsid w:val="00826893"/>
    <w:rsid w:val="008300B7"/>
    <w:rsid w:val="0083091A"/>
    <w:rsid w:val="00840D75"/>
    <w:rsid w:val="008437E6"/>
    <w:rsid w:val="008563BB"/>
    <w:rsid w:val="008634AA"/>
    <w:rsid w:val="0086412B"/>
    <w:rsid w:val="0086549A"/>
    <w:rsid w:val="008723BC"/>
    <w:rsid w:val="00876BF1"/>
    <w:rsid w:val="00877175"/>
    <w:rsid w:val="00890E36"/>
    <w:rsid w:val="0089405B"/>
    <w:rsid w:val="0089592A"/>
    <w:rsid w:val="008A0471"/>
    <w:rsid w:val="008A2A0D"/>
    <w:rsid w:val="008A63BB"/>
    <w:rsid w:val="008C23EE"/>
    <w:rsid w:val="008C3767"/>
    <w:rsid w:val="008D59F9"/>
    <w:rsid w:val="008E1EA3"/>
    <w:rsid w:val="008E3EBA"/>
    <w:rsid w:val="008E613B"/>
    <w:rsid w:val="008F134B"/>
    <w:rsid w:val="008F5696"/>
    <w:rsid w:val="008F6008"/>
    <w:rsid w:val="00901482"/>
    <w:rsid w:val="0090324D"/>
    <w:rsid w:val="009043C1"/>
    <w:rsid w:val="00905E46"/>
    <w:rsid w:val="00910C41"/>
    <w:rsid w:val="00911082"/>
    <w:rsid w:val="009113FA"/>
    <w:rsid w:val="00913350"/>
    <w:rsid w:val="0091719F"/>
    <w:rsid w:val="00920023"/>
    <w:rsid w:val="00920530"/>
    <w:rsid w:val="0092111A"/>
    <w:rsid w:val="009239FD"/>
    <w:rsid w:val="00926188"/>
    <w:rsid w:val="00927C00"/>
    <w:rsid w:val="0094037A"/>
    <w:rsid w:val="009419B6"/>
    <w:rsid w:val="00942030"/>
    <w:rsid w:val="00943786"/>
    <w:rsid w:val="00943838"/>
    <w:rsid w:val="0094553B"/>
    <w:rsid w:val="009508F3"/>
    <w:rsid w:val="00951BF4"/>
    <w:rsid w:val="00957695"/>
    <w:rsid w:val="00957FB5"/>
    <w:rsid w:val="00963C9D"/>
    <w:rsid w:val="00965584"/>
    <w:rsid w:val="009737CD"/>
    <w:rsid w:val="009752D2"/>
    <w:rsid w:val="00976138"/>
    <w:rsid w:val="0097726C"/>
    <w:rsid w:val="00980AEC"/>
    <w:rsid w:val="00986B44"/>
    <w:rsid w:val="00986BCD"/>
    <w:rsid w:val="00987DE8"/>
    <w:rsid w:val="009971AF"/>
    <w:rsid w:val="00997415"/>
    <w:rsid w:val="009A1946"/>
    <w:rsid w:val="009A747A"/>
    <w:rsid w:val="009B041D"/>
    <w:rsid w:val="009B050E"/>
    <w:rsid w:val="009B1AF2"/>
    <w:rsid w:val="009B7F16"/>
    <w:rsid w:val="009C14A6"/>
    <w:rsid w:val="009C2B33"/>
    <w:rsid w:val="009C60F5"/>
    <w:rsid w:val="009C63C3"/>
    <w:rsid w:val="009D2264"/>
    <w:rsid w:val="009D63A2"/>
    <w:rsid w:val="009E6723"/>
    <w:rsid w:val="009F1B85"/>
    <w:rsid w:val="009F4B2B"/>
    <w:rsid w:val="009F50AD"/>
    <w:rsid w:val="009F5168"/>
    <w:rsid w:val="009F738C"/>
    <w:rsid w:val="00A031BC"/>
    <w:rsid w:val="00A04F70"/>
    <w:rsid w:val="00A06608"/>
    <w:rsid w:val="00A24303"/>
    <w:rsid w:val="00A26162"/>
    <w:rsid w:val="00A2640F"/>
    <w:rsid w:val="00A27E0D"/>
    <w:rsid w:val="00A410AC"/>
    <w:rsid w:val="00A418AF"/>
    <w:rsid w:val="00A44071"/>
    <w:rsid w:val="00A469B5"/>
    <w:rsid w:val="00A51072"/>
    <w:rsid w:val="00A52BDD"/>
    <w:rsid w:val="00A567B3"/>
    <w:rsid w:val="00A5728B"/>
    <w:rsid w:val="00A651F8"/>
    <w:rsid w:val="00A7606F"/>
    <w:rsid w:val="00A842AE"/>
    <w:rsid w:val="00A86621"/>
    <w:rsid w:val="00AA0627"/>
    <w:rsid w:val="00AA2B59"/>
    <w:rsid w:val="00AB01C8"/>
    <w:rsid w:val="00AB416D"/>
    <w:rsid w:val="00AB58D2"/>
    <w:rsid w:val="00AB7FD3"/>
    <w:rsid w:val="00AC0476"/>
    <w:rsid w:val="00AC330B"/>
    <w:rsid w:val="00AC69F1"/>
    <w:rsid w:val="00AC7397"/>
    <w:rsid w:val="00AC786E"/>
    <w:rsid w:val="00AD2C65"/>
    <w:rsid w:val="00AD42E9"/>
    <w:rsid w:val="00AD5A3F"/>
    <w:rsid w:val="00AD6E54"/>
    <w:rsid w:val="00AF2C77"/>
    <w:rsid w:val="00AF3EB3"/>
    <w:rsid w:val="00B03B4E"/>
    <w:rsid w:val="00B05425"/>
    <w:rsid w:val="00B1022C"/>
    <w:rsid w:val="00B1208C"/>
    <w:rsid w:val="00B148FC"/>
    <w:rsid w:val="00B14C69"/>
    <w:rsid w:val="00B177B1"/>
    <w:rsid w:val="00B21822"/>
    <w:rsid w:val="00B27868"/>
    <w:rsid w:val="00B350F6"/>
    <w:rsid w:val="00B428FF"/>
    <w:rsid w:val="00B42955"/>
    <w:rsid w:val="00B4467E"/>
    <w:rsid w:val="00B509D1"/>
    <w:rsid w:val="00B50EDE"/>
    <w:rsid w:val="00B523C0"/>
    <w:rsid w:val="00B52DA4"/>
    <w:rsid w:val="00B60371"/>
    <w:rsid w:val="00B603F7"/>
    <w:rsid w:val="00B61077"/>
    <w:rsid w:val="00B64ED0"/>
    <w:rsid w:val="00B6705A"/>
    <w:rsid w:val="00B67D2F"/>
    <w:rsid w:val="00B72CE5"/>
    <w:rsid w:val="00B836B9"/>
    <w:rsid w:val="00B8753A"/>
    <w:rsid w:val="00B924AD"/>
    <w:rsid w:val="00B95809"/>
    <w:rsid w:val="00BB1E41"/>
    <w:rsid w:val="00BB3BDF"/>
    <w:rsid w:val="00BB64AF"/>
    <w:rsid w:val="00BC0FBC"/>
    <w:rsid w:val="00BC379D"/>
    <w:rsid w:val="00BC411D"/>
    <w:rsid w:val="00BC451C"/>
    <w:rsid w:val="00BC4777"/>
    <w:rsid w:val="00BC7D6F"/>
    <w:rsid w:val="00BD1196"/>
    <w:rsid w:val="00BD2C20"/>
    <w:rsid w:val="00BD5081"/>
    <w:rsid w:val="00BD6366"/>
    <w:rsid w:val="00BE487B"/>
    <w:rsid w:val="00BE788B"/>
    <w:rsid w:val="00BF3853"/>
    <w:rsid w:val="00BF69F7"/>
    <w:rsid w:val="00C02206"/>
    <w:rsid w:val="00C03520"/>
    <w:rsid w:val="00C067A4"/>
    <w:rsid w:val="00C06D17"/>
    <w:rsid w:val="00C07AB8"/>
    <w:rsid w:val="00C07D3C"/>
    <w:rsid w:val="00C11E54"/>
    <w:rsid w:val="00C138AF"/>
    <w:rsid w:val="00C14022"/>
    <w:rsid w:val="00C15D3D"/>
    <w:rsid w:val="00C166F1"/>
    <w:rsid w:val="00C16DE6"/>
    <w:rsid w:val="00C233AF"/>
    <w:rsid w:val="00C23755"/>
    <w:rsid w:val="00C25D9E"/>
    <w:rsid w:val="00C25DDC"/>
    <w:rsid w:val="00C30B7A"/>
    <w:rsid w:val="00C3371B"/>
    <w:rsid w:val="00C3696F"/>
    <w:rsid w:val="00C37CEF"/>
    <w:rsid w:val="00C4593C"/>
    <w:rsid w:val="00C505F7"/>
    <w:rsid w:val="00C50DEF"/>
    <w:rsid w:val="00C6546B"/>
    <w:rsid w:val="00C66D4B"/>
    <w:rsid w:val="00C67938"/>
    <w:rsid w:val="00C7071A"/>
    <w:rsid w:val="00C75389"/>
    <w:rsid w:val="00C8066E"/>
    <w:rsid w:val="00CA1AF5"/>
    <w:rsid w:val="00CB4B2A"/>
    <w:rsid w:val="00CB5683"/>
    <w:rsid w:val="00CC6D0B"/>
    <w:rsid w:val="00CD452E"/>
    <w:rsid w:val="00CD48A6"/>
    <w:rsid w:val="00CD57B9"/>
    <w:rsid w:val="00CD720A"/>
    <w:rsid w:val="00CD7A67"/>
    <w:rsid w:val="00CE30F0"/>
    <w:rsid w:val="00CE4867"/>
    <w:rsid w:val="00CE6288"/>
    <w:rsid w:val="00CF3090"/>
    <w:rsid w:val="00D14BA3"/>
    <w:rsid w:val="00D1604E"/>
    <w:rsid w:val="00D16623"/>
    <w:rsid w:val="00D3278D"/>
    <w:rsid w:val="00D33CD8"/>
    <w:rsid w:val="00D33FEF"/>
    <w:rsid w:val="00D34410"/>
    <w:rsid w:val="00D34B0F"/>
    <w:rsid w:val="00D34C52"/>
    <w:rsid w:val="00D36B3F"/>
    <w:rsid w:val="00D36F24"/>
    <w:rsid w:val="00D37722"/>
    <w:rsid w:val="00D44611"/>
    <w:rsid w:val="00D51418"/>
    <w:rsid w:val="00D529C8"/>
    <w:rsid w:val="00D53E32"/>
    <w:rsid w:val="00D55532"/>
    <w:rsid w:val="00D667E6"/>
    <w:rsid w:val="00D724CB"/>
    <w:rsid w:val="00D7394F"/>
    <w:rsid w:val="00D765F7"/>
    <w:rsid w:val="00D86AF6"/>
    <w:rsid w:val="00D965B4"/>
    <w:rsid w:val="00DA1564"/>
    <w:rsid w:val="00DA1794"/>
    <w:rsid w:val="00DB3069"/>
    <w:rsid w:val="00DB7B73"/>
    <w:rsid w:val="00DD5474"/>
    <w:rsid w:val="00DE7D08"/>
    <w:rsid w:val="00DF38F8"/>
    <w:rsid w:val="00DF4BE0"/>
    <w:rsid w:val="00DF5D3A"/>
    <w:rsid w:val="00E12F37"/>
    <w:rsid w:val="00E165C7"/>
    <w:rsid w:val="00E17F41"/>
    <w:rsid w:val="00E20A1B"/>
    <w:rsid w:val="00E333B5"/>
    <w:rsid w:val="00E34F04"/>
    <w:rsid w:val="00E35990"/>
    <w:rsid w:val="00E40312"/>
    <w:rsid w:val="00E42D1E"/>
    <w:rsid w:val="00E465FB"/>
    <w:rsid w:val="00E46824"/>
    <w:rsid w:val="00E52115"/>
    <w:rsid w:val="00E60F09"/>
    <w:rsid w:val="00E61BF2"/>
    <w:rsid w:val="00E71814"/>
    <w:rsid w:val="00E80C0E"/>
    <w:rsid w:val="00E82F75"/>
    <w:rsid w:val="00E8333E"/>
    <w:rsid w:val="00E9086C"/>
    <w:rsid w:val="00EA0847"/>
    <w:rsid w:val="00EA0E6F"/>
    <w:rsid w:val="00EA44C4"/>
    <w:rsid w:val="00EA5D46"/>
    <w:rsid w:val="00EA6BCF"/>
    <w:rsid w:val="00EB02E3"/>
    <w:rsid w:val="00EB1CEB"/>
    <w:rsid w:val="00EB1E70"/>
    <w:rsid w:val="00EB2366"/>
    <w:rsid w:val="00EB246A"/>
    <w:rsid w:val="00EB38F7"/>
    <w:rsid w:val="00EB5078"/>
    <w:rsid w:val="00EB6474"/>
    <w:rsid w:val="00EB7A73"/>
    <w:rsid w:val="00EB7FA0"/>
    <w:rsid w:val="00EC155B"/>
    <w:rsid w:val="00EC1C3F"/>
    <w:rsid w:val="00EC5262"/>
    <w:rsid w:val="00ED15F1"/>
    <w:rsid w:val="00ED1F3E"/>
    <w:rsid w:val="00ED30B7"/>
    <w:rsid w:val="00ED43B3"/>
    <w:rsid w:val="00ED4E3E"/>
    <w:rsid w:val="00EE0BCF"/>
    <w:rsid w:val="00EE3AD9"/>
    <w:rsid w:val="00EE6575"/>
    <w:rsid w:val="00EF0784"/>
    <w:rsid w:val="00EF1B72"/>
    <w:rsid w:val="00EF3A05"/>
    <w:rsid w:val="00EF5A4C"/>
    <w:rsid w:val="00EF6271"/>
    <w:rsid w:val="00EF7391"/>
    <w:rsid w:val="00F01E90"/>
    <w:rsid w:val="00F06BBE"/>
    <w:rsid w:val="00F06E23"/>
    <w:rsid w:val="00F07E2C"/>
    <w:rsid w:val="00F11CE8"/>
    <w:rsid w:val="00F1700D"/>
    <w:rsid w:val="00F20BF5"/>
    <w:rsid w:val="00F210ED"/>
    <w:rsid w:val="00F23D80"/>
    <w:rsid w:val="00F30F3B"/>
    <w:rsid w:val="00F3401A"/>
    <w:rsid w:val="00F35709"/>
    <w:rsid w:val="00F359D3"/>
    <w:rsid w:val="00F36208"/>
    <w:rsid w:val="00F3754B"/>
    <w:rsid w:val="00F41F80"/>
    <w:rsid w:val="00F456C7"/>
    <w:rsid w:val="00F47829"/>
    <w:rsid w:val="00F50FCF"/>
    <w:rsid w:val="00F53CE5"/>
    <w:rsid w:val="00F61381"/>
    <w:rsid w:val="00F67C59"/>
    <w:rsid w:val="00F70C11"/>
    <w:rsid w:val="00F73D4D"/>
    <w:rsid w:val="00F81D90"/>
    <w:rsid w:val="00F84C99"/>
    <w:rsid w:val="00F96210"/>
    <w:rsid w:val="00FA2A3C"/>
    <w:rsid w:val="00FA6D2B"/>
    <w:rsid w:val="00FB0B19"/>
    <w:rsid w:val="00FC3780"/>
    <w:rsid w:val="00FC42CB"/>
    <w:rsid w:val="00FC6C8B"/>
    <w:rsid w:val="00FD25E2"/>
    <w:rsid w:val="00FD6DB8"/>
    <w:rsid w:val="00FD7736"/>
    <w:rsid w:val="00FE0207"/>
    <w:rsid w:val="00FE4B92"/>
    <w:rsid w:val="00FE52F8"/>
    <w:rsid w:val="00FE6CD7"/>
    <w:rsid w:val="00FF1573"/>
    <w:rsid w:val="00FF1DB7"/>
    <w:rsid w:val="00FF37DB"/>
    <w:rsid w:val="00FF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6C"/>
    <w:pPr>
      <w:widowControl w:val="0"/>
      <w:wordWrap w:val="0"/>
      <w:autoSpaceDE w:val="0"/>
      <w:autoSpaceDN w:val="0"/>
      <w:jc w:val="both"/>
    </w:pPr>
    <w:rPr>
      <w:sz w:val="20"/>
      <w:lang w:eastAsia="ko-KR"/>
    </w:rPr>
  </w:style>
  <w:style w:type="paragraph" w:styleId="1">
    <w:name w:val="heading 1"/>
    <w:basedOn w:val="a"/>
    <w:next w:val="a"/>
    <w:link w:val="1Char"/>
    <w:uiPriority w:val="99"/>
    <w:qFormat/>
    <w:rsid w:val="007E3FA7"/>
    <w:pPr>
      <w:keepNext/>
      <w:autoSpaceDE/>
      <w:autoSpaceDN/>
      <w:outlineLvl w:val="0"/>
    </w:pPr>
    <w:rPr>
      <w:rFonts w:ascii="Times New Roman" w:eastAsia="BatangChe" w:hAnsi="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E3FA7"/>
    <w:rPr>
      <w:rFonts w:ascii="Times New Roman" w:eastAsia="BatangChe" w:hAnsi="Times New Roman"/>
      <w:kern w:val="2"/>
      <w:sz w:val="24"/>
    </w:rPr>
  </w:style>
  <w:style w:type="paragraph" w:styleId="a3">
    <w:name w:val="List Paragraph"/>
    <w:basedOn w:val="a"/>
    <w:uiPriority w:val="99"/>
    <w:qFormat/>
    <w:rsid w:val="0097726C"/>
    <w:pPr>
      <w:ind w:leftChars="400" w:left="800"/>
    </w:pPr>
  </w:style>
  <w:style w:type="paragraph" w:styleId="a4">
    <w:name w:val="header"/>
    <w:basedOn w:val="a"/>
    <w:link w:val="Char"/>
    <w:uiPriority w:val="99"/>
    <w:rsid w:val="00737770"/>
    <w:pPr>
      <w:tabs>
        <w:tab w:val="center" w:pos="4513"/>
        <w:tab w:val="right" w:pos="9026"/>
      </w:tabs>
      <w:snapToGrid w:val="0"/>
    </w:pPr>
    <w:rPr>
      <w:lang w:eastAsia="zh-CN"/>
    </w:rPr>
  </w:style>
  <w:style w:type="character" w:customStyle="1" w:styleId="Char">
    <w:name w:val="页眉 Char"/>
    <w:basedOn w:val="a0"/>
    <w:link w:val="a4"/>
    <w:uiPriority w:val="99"/>
    <w:locked/>
    <w:rsid w:val="00737770"/>
    <w:rPr>
      <w:kern w:val="2"/>
      <w:sz w:val="22"/>
    </w:rPr>
  </w:style>
  <w:style w:type="paragraph" w:styleId="a5">
    <w:name w:val="footer"/>
    <w:basedOn w:val="a"/>
    <w:link w:val="Char0"/>
    <w:uiPriority w:val="99"/>
    <w:rsid w:val="00737770"/>
    <w:pPr>
      <w:tabs>
        <w:tab w:val="center" w:pos="4513"/>
        <w:tab w:val="right" w:pos="9026"/>
      </w:tabs>
      <w:snapToGrid w:val="0"/>
    </w:pPr>
    <w:rPr>
      <w:lang w:eastAsia="zh-CN"/>
    </w:rPr>
  </w:style>
  <w:style w:type="character" w:customStyle="1" w:styleId="Char0">
    <w:name w:val="页脚 Char"/>
    <w:basedOn w:val="a0"/>
    <w:link w:val="a5"/>
    <w:uiPriority w:val="99"/>
    <w:locked/>
    <w:rsid w:val="00737770"/>
    <w:rPr>
      <w:kern w:val="2"/>
      <w:sz w:val="22"/>
    </w:rPr>
  </w:style>
  <w:style w:type="character" w:styleId="a6">
    <w:name w:val="Hyperlink"/>
    <w:basedOn w:val="a0"/>
    <w:uiPriority w:val="99"/>
    <w:rsid w:val="00D3278D"/>
    <w:rPr>
      <w:rFonts w:cs="Times New Roman"/>
      <w:color w:val="0000FF"/>
      <w:u w:val="single"/>
    </w:rPr>
  </w:style>
  <w:style w:type="character" w:styleId="a7">
    <w:name w:val="FollowedHyperlink"/>
    <w:basedOn w:val="a0"/>
    <w:uiPriority w:val="99"/>
    <w:semiHidden/>
    <w:rsid w:val="00B148FC"/>
    <w:rPr>
      <w:rFonts w:cs="Times New Roman"/>
      <w:color w:val="800080"/>
      <w:u w:val="single"/>
    </w:rPr>
  </w:style>
  <w:style w:type="character" w:customStyle="1" w:styleId="A10">
    <w:name w:val="A10"/>
    <w:uiPriority w:val="99"/>
    <w:rsid w:val="009F4B2B"/>
    <w:rPr>
      <w:color w:val="000000"/>
      <w:sz w:val="12"/>
    </w:rPr>
  </w:style>
  <w:style w:type="character" w:customStyle="1" w:styleId="A70">
    <w:name w:val="A7"/>
    <w:uiPriority w:val="99"/>
    <w:rsid w:val="00BE788B"/>
    <w:rPr>
      <w:rFonts w:ascii="Kozuka Mincho Pro" w:eastAsia="Kozuka Mincho Pro"/>
      <w:color w:val="000000"/>
      <w:sz w:val="19"/>
    </w:rPr>
  </w:style>
  <w:style w:type="paragraph" w:styleId="2">
    <w:name w:val="Body Text 2"/>
    <w:basedOn w:val="a"/>
    <w:link w:val="2Char"/>
    <w:uiPriority w:val="99"/>
    <w:semiHidden/>
    <w:rsid w:val="007E3FA7"/>
    <w:pPr>
      <w:autoSpaceDE/>
      <w:autoSpaceDN/>
      <w:spacing w:line="360" w:lineRule="auto"/>
    </w:pPr>
    <w:rPr>
      <w:rFonts w:ascii="Times New Roman" w:eastAsia="BatangChe" w:hAnsi="Times New Roman"/>
      <w:sz w:val="24"/>
      <w:szCs w:val="20"/>
      <w:lang w:eastAsia="zh-CN"/>
    </w:rPr>
  </w:style>
  <w:style w:type="character" w:customStyle="1" w:styleId="2Char">
    <w:name w:val="正文文本 2 Char"/>
    <w:basedOn w:val="a0"/>
    <w:link w:val="2"/>
    <w:uiPriority w:val="99"/>
    <w:semiHidden/>
    <w:locked/>
    <w:rsid w:val="007E3FA7"/>
    <w:rPr>
      <w:rFonts w:ascii="Times New Roman" w:eastAsia="BatangChe" w:hAnsi="Times New Roman"/>
      <w:kern w:val="2"/>
      <w:sz w:val="24"/>
    </w:rPr>
  </w:style>
  <w:style w:type="paragraph" w:styleId="3">
    <w:name w:val="Body Text 3"/>
    <w:basedOn w:val="a"/>
    <w:link w:val="3Char"/>
    <w:uiPriority w:val="99"/>
    <w:semiHidden/>
    <w:rsid w:val="007E3FA7"/>
    <w:pPr>
      <w:autoSpaceDE/>
      <w:autoSpaceDN/>
      <w:spacing w:line="480" w:lineRule="auto"/>
    </w:pPr>
    <w:rPr>
      <w:rFonts w:ascii="Times New Roman" w:eastAsia="BatangChe" w:hAnsi="Times New Roman"/>
      <w:b/>
      <w:bCs/>
      <w:sz w:val="24"/>
      <w:szCs w:val="20"/>
      <w:shd w:val="pct15" w:color="auto" w:fill="FFFFFF"/>
      <w:lang w:eastAsia="zh-CN"/>
    </w:rPr>
  </w:style>
  <w:style w:type="character" w:customStyle="1" w:styleId="3Char">
    <w:name w:val="正文文本 3 Char"/>
    <w:basedOn w:val="a0"/>
    <w:link w:val="3"/>
    <w:uiPriority w:val="99"/>
    <w:semiHidden/>
    <w:locked/>
    <w:rsid w:val="007E3FA7"/>
    <w:rPr>
      <w:rFonts w:ascii="Times New Roman" w:eastAsia="BatangChe" w:hAnsi="Times New Roman"/>
      <w:b/>
      <w:kern w:val="2"/>
      <w:sz w:val="24"/>
    </w:rPr>
  </w:style>
  <w:style w:type="paragraph" w:styleId="a8">
    <w:name w:val="Normal (Web)"/>
    <w:basedOn w:val="a"/>
    <w:uiPriority w:val="99"/>
    <w:semiHidden/>
    <w:rsid w:val="00BC0FBC"/>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9">
    <w:name w:val="Revision"/>
    <w:hidden/>
    <w:uiPriority w:val="99"/>
    <w:semiHidden/>
    <w:rsid w:val="00735449"/>
    <w:rPr>
      <w:sz w:val="20"/>
      <w:lang w:eastAsia="ko-KR"/>
    </w:rPr>
  </w:style>
  <w:style w:type="paragraph" w:styleId="aa">
    <w:name w:val="Balloon Text"/>
    <w:basedOn w:val="a"/>
    <w:link w:val="Char1"/>
    <w:uiPriority w:val="99"/>
    <w:semiHidden/>
    <w:rsid w:val="00735449"/>
    <w:pPr>
      <w:jc w:val="left"/>
    </w:pPr>
    <w:rPr>
      <w:rFonts w:ascii="Tahoma" w:hAnsi="Tahoma"/>
      <w:sz w:val="16"/>
      <w:szCs w:val="18"/>
    </w:rPr>
  </w:style>
  <w:style w:type="character" w:customStyle="1" w:styleId="Char1">
    <w:name w:val="批注框文本 Char"/>
    <w:basedOn w:val="a0"/>
    <w:link w:val="aa"/>
    <w:uiPriority w:val="99"/>
    <w:semiHidden/>
    <w:locked/>
    <w:rsid w:val="00735449"/>
    <w:rPr>
      <w:rFonts w:ascii="Tahoma" w:hAnsi="Tahoma"/>
      <w:kern w:val="2"/>
      <w:sz w:val="18"/>
      <w:lang w:eastAsia="ko-KR"/>
    </w:rPr>
  </w:style>
  <w:style w:type="table" w:styleId="ab">
    <w:name w:val="Table Grid"/>
    <w:basedOn w:val="a1"/>
    <w:uiPriority w:val="99"/>
    <w:rsid w:val="009655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옅은 음영1"/>
    <w:uiPriority w:val="99"/>
    <w:rsid w:val="00D36B3F"/>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uiPriority w:val="99"/>
    <w:rsid w:val="00AC69F1"/>
    <w:pPr>
      <w:widowControl w:val="0"/>
      <w:autoSpaceDE w:val="0"/>
      <w:autoSpaceDN w:val="0"/>
      <w:adjustRightInd w:val="0"/>
    </w:pPr>
    <w:rPr>
      <w:rFonts w:ascii="Times New Roman" w:hAnsi="Times New Roman"/>
      <w:color w:val="000000"/>
      <w:kern w:val="0"/>
      <w:sz w:val="24"/>
      <w:szCs w:val="24"/>
      <w:lang w:eastAsia="ko-KR"/>
    </w:rPr>
  </w:style>
  <w:style w:type="table" w:customStyle="1" w:styleId="-11">
    <w:name w:val="옅은 음영 - 강조색 11"/>
    <w:uiPriority w:val="99"/>
    <w:rsid w:val="00342725"/>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highlight">
    <w:name w:val="highlight"/>
    <w:basedOn w:val="a0"/>
    <w:uiPriority w:val="99"/>
    <w:rsid w:val="00986B44"/>
    <w:rPr>
      <w:rFonts w:cs="Times New Roman"/>
    </w:rPr>
  </w:style>
  <w:style w:type="character" w:customStyle="1" w:styleId="st1">
    <w:name w:val="st1"/>
    <w:basedOn w:val="a0"/>
    <w:uiPriority w:val="99"/>
    <w:rsid w:val="00565296"/>
    <w:rPr>
      <w:rFonts w:cs="Times New Roman"/>
    </w:rPr>
  </w:style>
  <w:style w:type="character" w:styleId="ac">
    <w:name w:val="annotation reference"/>
    <w:basedOn w:val="a0"/>
    <w:uiPriority w:val="99"/>
    <w:semiHidden/>
    <w:rsid w:val="002C1DB0"/>
    <w:rPr>
      <w:rFonts w:cs="Times New Roman"/>
      <w:sz w:val="16"/>
    </w:rPr>
  </w:style>
  <w:style w:type="paragraph" w:styleId="ad">
    <w:name w:val="annotation text"/>
    <w:basedOn w:val="a"/>
    <w:link w:val="Char2"/>
    <w:uiPriority w:val="99"/>
    <w:semiHidden/>
    <w:rsid w:val="002C1DB0"/>
    <w:rPr>
      <w:szCs w:val="20"/>
    </w:rPr>
  </w:style>
  <w:style w:type="character" w:customStyle="1" w:styleId="Char2">
    <w:name w:val="批注文字 Char"/>
    <w:basedOn w:val="a0"/>
    <w:link w:val="ad"/>
    <w:uiPriority w:val="99"/>
    <w:semiHidden/>
    <w:locked/>
    <w:rsid w:val="002C1DB0"/>
    <w:rPr>
      <w:kern w:val="2"/>
      <w:lang w:val="en-US" w:eastAsia="ko-KR"/>
    </w:rPr>
  </w:style>
  <w:style w:type="paragraph" w:styleId="ae">
    <w:name w:val="annotation subject"/>
    <w:basedOn w:val="ad"/>
    <w:next w:val="ad"/>
    <w:link w:val="Char3"/>
    <w:uiPriority w:val="99"/>
    <w:semiHidden/>
    <w:rsid w:val="002C1DB0"/>
    <w:rPr>
      <w:b/>
      <w:bCs/>
    </w:rPr>
  </w:style>
  <w:style w:type="character" w:customStyle="1" w:styleId="Char3">
    <w:name w:val="批注主题 Char"/>
    <w:basedOn w:val="Char2"/>
    <w:link w:val="ae"/>
    <w:uiPriority w:val="99"/>
    <w:semiHidden/>
    <w:locked/>
    <w:rsid w:val="002C1DB0"/>
    <w:rPr>
      <w:b/>
      <w:kern w:val="2"/>
      <w:lang w:val="en-US" w:eastAsia="ko-KR"/>
    </w:rPr>
  </w:style>
  <w:style w:type="character" w:styleId="af">
    <w:name w:val="Strong"/>
    <w:basedOn w:val="a0"/>
    <w:uiPriority w:val="99"/>
    <w:qFormat/>
    <w:rsid w:val="00BF385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6C"/>
    <w:pPr>
      <w:widowControl w:val="0"/>
      <w:wordWrap w:val="0"/>
      <w:autoSpaceDE w:val="0"/>
      <w:autoSpaceDN w:val="0"/>
      <w:jc w:val="both"/>
    </w:pPr>
    <w:rPr>
      <w:sz w:val="20"/>
      <w:lang w:eastAsia="ko-KR"/>
    </w:rPr>
  </w:style>
  <w:style w:type="paragraph" w:styleId="1">
    <w:name w:val="heading 1"/>
    <w:basedOn w:val="a"/>
    <w:next w:val="a"/>
    <w:link w:val="1Char"/>
    <w:uiPriority w:val="99"/>
    <w:qFormat/>
    <w:rsid w:val="007E3FA7"/>
    <w:pPr>
      <w:keepNext/>
      <w:autoSpaceDE/>
      <w:autoSpaceDN/>
      <w:outlineLvl w:val="0"/>
    </w:pPr>
    <w:rPr>
      <w:rFonts w:ascii="Times New Roman" w:eastAsia="BatangChe" w:hAnsi="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E3FA7"/>
    <w:rPr>
      <w:rFonts w:ascii="Times New Roman" w:eastAsia="BatangChe" w:hAnsi="Times New Roman"/>
      <w:kern w:val="2"/>
      <w:sz w:val="24"/>
    </w:rPr>
  </w:style>
  <w:style w:type="paragraph" w:styleId="a3">
    <w:name w:val="List Paragraph"/>
    <w:basedOn w:val="a"/>
    <w:uiPriority w:val="99"/>
    <w:qFormat/>
    <w:rsid w:val="0097726C"/>
    <w:pPr>
      <w:ind w:leftChars="400" w:left="800"/>
    </w:pPr>
  </w:style>
  <w:style w:type="paragraph" w:styleId="a4">
    <w:name w:val="header"/>
    <w:basedOn w:val="a"/>
    <w:link w:val="Char"/>
    <w:uiPriority w:val="99"/>
    <w:rsid w:val="00737770"/>
    <w:pPr>
      <w:tabs>
        <w:tab w:val="center" w:pos="4513"/>
        <w:tab w:val="right" w:pos="9026"/>
      </w:tabs>
      <w:snapToGrid w:val="0"/>
    </w:pPr>
    <w:rPr>
      <w:lang w:eastAsia="zh-CN"/>
    </w:rPr>
  </w:style>
  <w:style w:type="character" w:customStyle="1" w:styleId="Char">
    <w:name w:val="页眉 Char"/>
    <w:basedOn w:val="a0"/>
    <w:link w:val="a4"/>
    <w:uiPriority w:val="99"/>
    <w:locked/>
    <w:rsid w:val="00737770"/>
    <w:rPr>
      <w:kern w:val="2"/>
      <w:sz w:val="22"/>
    </w:rPr>
  </w:style>
  <w:style w:type="paragraph" w:styleId="a5">
    <w:name w:val="footer"/>
    <w:basedOn w:val="a"/>
    <w:link w:val="Char0"/>
    <w:uiPriority w:val="99"/>
    <w:rsid w:val="00737770"/>
    <w:pPr>
      <w:tabs>
        <w:tab w:val="center" w:pos="4513"/>
        <w:tab w:val="right" w:pos="9026"/>
      </w:tabs>
      <w:snapToGrid w:val="0"/>
    </w:pPr>
    <w:rPr>
      <w:lang w:eastAsia="zh-CN"/>
    </w:rPr>
  </w:style>
  <w:style w:type="character" w:customStyle="1" w:styleId="Char0">
    <w:name w:val="页脚 Char"/>
    <w:basedOn w:val="a0"/>
    <w:link w:val="a5"/>
    <w:uiPriority w:val="99"/>
    <w:locked/>
    <w:rsid w:val="00737770"/>
    <w:rPr>
      <w:kern w:val="2"/>
      <w:sz w:val="22"/>
    </w:rPr>
  </w:style>
  <w:style w:type="character" w:styleId="a6">
    <w:name w:val="Hyperlink"/>
    <w:basedOn w:val="a0"/>
    <w:uiPriority w:val="99"/>
    <w:rsid w:val="00D3278D"/>
    <w:rPr>
      <w:rFonts w:cs="Times New Roman"/>
      <w:color w:val="0000FF"/>
      <w:u w:val="single"/>
    </w:rPr>
  </w:style>
  <w:style w:type="character" w:styleId="a7">
    <w:name w:val="FollowedHyperlink"/>
    <w:basedOn w:val="a0"/>
    <w:uiPriority w:val="99"/>
    <w:semiHidden/>
    <w:rsid w:val="00B148FC"/>
    <w:rPr>
      <w:rFonts w:cs="Times New Roman"/>
      <w:color w:val="800080"/>
      <w:u w:val="single"/>
    </w:rPr>
  </w:style>
  <w:style w:type="character" w:customStyle="1" w:styleId="A10">
    <w:name w:val="A10"/>
    <w:uiPriority w:val="99"/>
    <w:rsid w:val="009F4B2B"/>
    <w:rPr>
      <w:color w:val="000000"/>
      <w:sz w:val="12"/>
    </w:rPr>
  </w:style>
  <w:style w:type="character" w:customStyle="1" w:styleId="A70">
    <w:name w:val="A7"/>
    <w:uiPriority w:val="99"/>
    <w:rsid w:val="00BE788B"/>
    <w:rPr>
      <w:rFonts w:ascii="Kozuka Mincho Pro" w:eastAsia="Kozuka Mincho Pro"/>
      <w:color w:val="000000"/>
      <w:sz w:val="19"/>
    </w:rPr>
  </w:style>
  <w:style w:type="paragraph" w:styleId="2">
    <w:name w:val="Body Text 2"/>
    <w:basedOn w:val="a"/>
    <w:link w:val="2Char"/>
    <w:uiPriority w:val="99"/>
    <w:semiHidden/>
    <w:rsid w:val="007E3FA7"/>
    <w:pPr>
      <w:autoSpaceDE/>
      <w:autoSpaceDN/>
      <w:spacing w:line="360" w:lineRule="auto"/>
    </w:pPr>
    <w:rPr>
      <w:rFonts w:ascii="Times New Roman" w:eastAsia="BatangChe" w:hAnsi="Times New Roman"/>
      <w:sz w:val="24"/>
      <w:szCs w:val="20"/>
      <w:lang w:eastAsia="zh-CN"/>
    </w:rPr>
  </w:style>
  <w:style w:type="character" w:customStyle="1" w:styleId="2Char">
    <w:name w:val="正文文本 2 Char"/>
    <w:basedOn w:val="a0"/>
    <w:link w:val="2"/>
    <w:uiPriority w:val="99"/>
    <w:semiHidden/>
    <w:locked/>
    <w:rsid w:val="007E3FA7"/>
    <w:rPr>
      <w:rFonts w:ascii="Times New Roman" w:eastAsia="BatangChe" w:hAnsi="Times New Roman"/>
      <w:kern w:val="2"/>
      <w:sz w:val="24"/>
    </w:rPr>
  </w:style>
  <w:style w:type="paragraph" w:styleId="3">
    <w:name w:val="Body Text 3"/>
    <w:basedOn w:val="a"/>
    <w:link w:val="3Char"/>
    <w:uiPriority w:val="99"/>
    <w:semiHidden/>
    <w:rsid w:val="007E3FA7"/>
    <w:pPr>
      <w:autoSpaceDE/>
      <w:autoSpaceDN/>
      <w:spacing w:line="480" w:lineRule="auto"/>
    </w:pPr>
    <w:rPr>
      <w:rFonts w:ascii="Times New Roman" w:eastAsia="BatangChe" w:hAnsi="Times New Roman"/>
      <w:b/>
      <w:bCs/>
      <w:sz w:val="24"/>
      <w:szCs w:val="20"/>
      <w:shd w:val="pct15" w:color="auto" w:fill="FFFFFF"/>
      <w:lang w:eastAsia="zh-CN"/>
    </w:rPr>
  </w:style>
  <w:style w:type="character" w:customStyle="1" w:styleId="3Char">
    <w:name w:val="正文文本 3 Char"/>
    <w:basedOn w:val="a0"/>
    <w:link w:val="3"/>
    <w:uiPriority w:val="99"/>
    <w:semiHidden/>
    <w:locked/>
    <w:rsid w:val="007E3FA7"/>
    <w:rPr>
      <w:rFonts w:ascii="Times New Roman" w:eastAsia="BatangChe" w:hAnsi="Times New Roman"/>
      <w:b/>
      <w:kern w:val="2"/>
      <w:sz w:val="24"/>
    </w:rPr>
  </w:style>
  <w:style w:type="paragraph" w:styleId="a8">
    <w:name w:val="Normal (Web)"/>
    <w:basedOn w:val="a"/>
    <w:uiPriority w:val="99"/>
    <w:semiHidden/>
    <w:rsid w:val="00BC0FBC"/>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9">
    <w:name w:val="Revision"/>
    <w:hidden/>
    <w:uiPriority w:val="99"/>
    <w:semiHidden/>
    <w:rsid w:val="00735449"/>
    <w:rPr>
      <w:sz w:val="20"/>
      <w:lang w:eastAsia="ko-KR"/>
    </w:rPr>
  </w:style>
  <w:style w:type="paragraph" w:styleId="aa">
    <w:name w:val="Balloon Text"/>
    <w:basedOn w:val="a"/>
    <w:link w:val="Char1"/>
    <w:uiPriority w:val="99"/>
    <w:semiHidden/>
    <w:rsid w:val="00735449"/>
    <w:pPr>
      <w:jc w:val="left"/>
    </w:pPr>
    <w:rPr>
      <w:rFonts w:ascii="Tahoma" w:hAnsi="Tahoma"/>
      <w:sz w:val="16"/>
      <w:szCs w:val="18"/>
    </w:rPr>
  </w:style>
  <w:style w:type="character" w:customStyle="1" w:styleId="Char1">
    <w:name w:val="批注框文本 Char"/>
    <w:basedOn w:val="a0"/>
    <w:link w:val="aa"/>
    <w:uiPriority w:val="99"/>
    <w:semiHidden/>
    <w:locked/>
    <w:rsid w:val="00735449"/>
    <w:rPr>
      <w:rFonts w:ascii="Tahoma" w:hAnsi="Tahoma"/>
      <w:kern w:val="2"/>
      <w:sz w:val="18"/>
      <w:lang w:eastAsia="ko-KR"/>
    </w:rPr>
  </w:style>
  <w:style w:type="table" w:styleId="ab">
    <w:name w:val="Table Grid"/>
    <w:basedOn w:val="a1"/>
    <w:uiPriority w:val="99"/>
    <w:rsid w:val="009655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옅은 음영1"/>
    <w:uiPriority w:val="99"/>
    <w:rsid w:val="00D36B3F"/>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uiPriority w:val="99"/>
    <w:rsid w:val="00AC69F1"/>
    <w:pPr>
      <w:widowControl w:val="0"/>
      <w:autoSpaceDE w:val="0"/>
      <w:autoSpaceDN w:val="0"/>
      <w:adjustRightInd w:val="0"/>
    </w:pPr>
    <w:rPr>
      <w:rFonts w:ascii="Times New Roman" w:hAnsi="Times New Roman"/>
      <w:color w:val="000000"/>
      <w:kern w:val="0"/>
      <w:sz w:val="24"/>
      <w:szCs w:val="24"/>
      <w:lang w:eastAsia="ko-KR"/>
    </w:rPr>
  </w:style>
  <w:style w:type="table" w:customStyle="1" w:styleId="-11">
    <w:name w:val="옅은 음영 - 강조색 11"/>
    <w:uiPriority w:val="99"/>
    <w:rsid w:val="00342725"/>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highlight">
    <w:name w:val="highlight"/>
    <w:basedOn w:val="a0"/>
    <w:uiPriority w:val="99"/>
    <w:rsid w:val="00986B44"/>
    <w:rPr>
      <w:rFonts w:cs="Times New Roman"/>
    </w:rPr>
  </w:style>
  <w:style w:type="character" w:customStyle="1" w:styleId="st1">
    <w:name w:val="st1"/>
    <w:basedOn w:val="a0"/>
    <w:uiPriority w:val="99"/>
    <w:rsid w:val="00565296"/>
    <w:rPr>
      <w:rFonts w:cs="Times New Roman"/>
    </w:rPr>
  </w:style>
  <w:style w:type="character" w:styleId="ac">
    <w:name w:val="annotation reference"/>
    <w:basedOn w:val="a0"/>
    <w:uiPriority w:val="99"/>
    <w:semiHidden/>
    <w:rsid w:val="002C1DB0"/>
    <w:rPr>
      <w:rFonts w:cs="Times New Roman"/>
      <w:sz w:val="16"/>
    </w:rPr>
  </w:style>
  <w:style w:type="paragraph" w:styleId="ad">
    <w:name w:val="annotation text"/>
    <w:basedOn w:val="a"/>
    <w:link w:val="Char2"/>
    <w:uiPriority w:val="99"/>
    <w:semiHidden/>
    <w:rsid w:val="002C1DB0"/>
    <w:rPr>
      <w:szCs w:val="20"/>
    </w:rPr>
  </w:style>
  <w:style w:type="character" w:customStyle="1" w:styleId="Char2">
    <w:name w:val="批注文字 Char"/>
    <w:basedOn w:val="a0"/>
    <w:link w:val="ad"/>
    <w:uiPriority w:val="99"/>
    <w:semiHidden/>
    <w:locked/>
    <w:rsid w:val="002C1DB0"/>
    <w:rPr>
      <w:kern w:val="2"/>
      <w:lang w:val="en-US" w:eastAsia="ko-KR"/>
    </w:rPr>
  </w:style>
  <w:style w:type="paragraph" w:styleId="ae">
    <w:name w:val="annotation subject"/>
    <w:basedOn w:val="ad"/>
    <w:next w:val="ad"/>
    <w:link w:val="Char3"/>
    <w:uiPriority w:val="99"/>
    <w:semiHidden/>
    <w:rsid w:val="002C1DB0"/>
    <w:rPr>
      <w:b/>
      <w:bCs/>
    </w:rPr>
  </w:style>
  <w:style w:type="character" w:customStyle="1" w:styleId="Char3">
    <w:name w:val="批注主题 Char"/>
    <w:basedOn w:val="Char2"/>
    <w:link w:val="ae"/>
    <w:uiPriority w:val="99"/>
    <w:semiHidden/>
    <w:locked/>
    <w:rsid w:val="002C1DB0"/>
    <w:rPr>
      <w:b/>
      <w:kern w:val="2"/>
      <w:lang w:val="en-US" w:eastAsia="ko-KR"/>
    </w:rPr>
  </w:style>
  <w:style w:type="character" w:styleId="af">
    <w:name w:val="Strong"/>
    <w:basedOn w:val="a0"/>
    <w:uiPriority w:val="99"/>
    <w:qFormat/>
    <w:rsid w:val="00BF385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86174">
      <w:marLeft w:val="0"/>
      <w:marRight w:val="0"/>
      <w:marTop w:val="0"/>
      <w:marBottom w:val="0"/>
      <w:divBdr>
        <w:top w:val="none" w:sz="0" w:space="0" w:color="auto"/>
        <w:left w:val="none" w:sz="0" w:space="0" w:color="auto"/>
        <w:bottom w:val="none" w:sz="0" w:space="0" w:color="auto"/>
        <w:right w:val="none" w:sz="0" w:space="0" w:color="auto"/>
      </w:divBdr>
      <w:divsChild>
        <w:div w:id="1499686213">
          <w:marLeft w:val="0"/>
          <w:marRight w:val="0"/>
          <w:marTop w:val="0"/>
          <w:marBottom w:val="0"/>
          <w:divBdr>
            <w:top w:val="none" w:sz="0" w:space="0" w:color="auto"/>
            <w:left w:val="none" w:sz="0" w:space="0" w:color="auto"/>
            <w:bottom w:val="none" w:sz="0" w:space="0" w:color="auto"/>
            <w:right w:val="none" w:sz="0" w:space="0" w:color="auto"/>
          </w:divBdr>
          <w:divsChild>
            <w:div w:id="1499686194">
              <w:marLeft w:val="0"/>
              <w:marRight w:val="0"/>
              <w:marTop w:val="0"/>
              <w:marBottom w:val="0"/>
              <w:divBdr>
                <w:top w:val="none" w:sz="0" w:space="0" w:color="auto"/>
                <w:left w:val="none" w:sz="0" w:space="0" w:color="auto"/>
                <w:bottom w:val="none" w:sz="0" w:space="0" w:color="auto"/>
                <w:right w:val="none" w:sz="0" w:space="0" w:color="auto"/>
              </w:divBdr>
              <w:divsChild>
                <w:div w:id="1499686175">
                  <w:marLeft w:val="0"/>
                  <w:marRight w:val="0"/>
                  <w:marTop w:val="0"/>
                  <w:marBottom w:val="0"/>
                  <w:divBdr>
                    <w:top w:val="none" w:sz="0" w:space="0" w:color="auto"/>
                    <w:left w:val="none" w:sz="0" w:space="0" w:color="auto"/>
                    <w:bottom w:val="none" w:sz="0" w:space="0" w:color="auto"/>
                    <w:right w:val="none" w:sz="0" w:space="0" w:color="auto"/>
                  </w:divBdr>
                  <w:divsChild>
                    <w:div w:id="1499686202">
                      <w:marLeft w:val="0"/>
                      <w:marRight w:val="0"/>
                      <w:marTop w:val="0"/>
                      <w:marBottom w:val="0"/>
                      <w:divBdr>
                        <w:top w:val="none" w:sz="0" w:space="0" w:color="auto"/>
                        <w:left w:val="none" w:sz="0" w:space="0" w:color="auto"/>
                        <w:bottom w:val="none" w:sz="0" w:space="0" w:color="auto"/>
                        <w:right w:val="none" w:sz="0" w:space="0" w:color="auto"/>
                      </w:divBdr>
                      <w:divsChild>
                        <w:div w:id="1499686188">
                          <w:marLeft w:val="0"/>
                          <w:marRight w:val="0"/>
                          <w:marTop w:val="0"/>
                          <w:marBottom w:val="0"/>
                          <w:divBdr>
                            <w:top w:val="none" w:sz="0" w:space="0" w:color="auto"/>
                            <w:left w:val="none" w:sz="0" w:space="0" w:color="auto"/>
                            <w:bottom w:val="none" w:sz="0" w:space="0" w:color="auto"/>
                            <w:right w:val="none" w:sz="0" w:space="0" w:color="auto"/>
                          </w:divBdr>
                          <w:divsChild>
                            <w:div w:id="1499686183">
                              <w:marLeft w:val="0"/>
                              <w:marRight w:val="0"/>
                              <w:marTop w:val="0"/>
                              <w:marBottom w:val="0"/>
                              <w:divBdr>
                                <w:top w:val="none" w:sz="0" w:space="0" w:color="auto"/>
                                <w:left w:val="none" w:sz="0" w:space="0" w:color="auto"/>
                                <w:bottom w:val="none" w:sz="0" w:space="0" w:color="auto"/>
                                <w:right w:val="none" w:sz="0" w:space="0" w:color="auto"/>
                              </w:divBdr>
                              <w:divsChild>
                                <w:div w:id="1499686201">
                                  <w:marLeft w:val="0"/>
                                  <w:marRight w:val="0"/>
                                  <w:marTop w:val="0"/>
                                  <w:marBottom w:val="0"/>
                                  <w:divBdr>
                                    <w:top w:val="none" w:sz="0" w:space="0" w:color="auto"/>
                                    <w:left w:val="none" w:sz="0" w:space="0" w:color="auto"/>
                                    <w:bottom w:val="none" w:sz="0" w:space="0" w:color="auto"/>
                                    <w:right w:val="none" w:sz="0" w:space="0" w:color="auto"/>
                                  </w:divBdr>
                                  <w:divsChild>
                                    <w:div w:id="1499686197">
                                      <w:marLeft w:val="0"/>
                                      <w:marRight w:val="0"/>
                                      <w:marTop w:val="0"/>
                                      <w:marBottom w:val="0"/>
                                      <w:divBdr>
                                        <w:top w:val="none" w:sz="0" w:space="0" w:color="auto"/>
                                        <w:left w:val="none" w:sz="0" w:space="0" w:color="auto"/>
                                        <w:bottom w:val="none" w:sz="0" w:space="0" w:color="auto"/>
                                        <w:right w:val="none" w:sz="0" w:space="0" w:color="auto"/>
                                      </w:divBdr>
                                      <w:divsChild>
                                        <w:div w:id="1499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686177">
      <w:marLeft w:val="0"/>
      <w:marRight w:val="0"/>
      <w:marTop w:val="0"/>
      <w:marBottom w:val="0"/>
      <w:divBdr>
        <w:top w:val="none" w:sz="0" w:space="0" w:color="auto"/>
        <w:left w:val="none" w:sz="0" w:space="0" w:color="auto"/>
        <w:bottom w:val="none" w:sz="0" w:space="0" w:color="auto"/>
        <w:right w:val="none" w:sz="0" w:space="0" w:color="auto"/>
      </w:divBdr>
    </w:div>
    <w:div w:id="1499686184">
      <w:marLeft w:val="0"/>
      <w:marRight w:val="0"/>
      <w:marTop w:val="0"/>
      <w:marBottom w:val="0"/>
      <w:divBdr>
        <w:top w:val="none" w:sz="0" w:space="0" w:color="auto"/>
        <w:left w:val="none" w:sz="0" w:space="0" w:color="auto"/>
        <w:bottom w:val="none" w:sz="0" w:space="0" w:color="auto"/>
        <w:right w:val="none" w:sz="0" w:space="0" w:color="auto"/>
      </w:divBdr>
      <w:divsChild>
        <w:div w:id="1499686212">
          <w:marLeft w:val="0"/>
          <w:marRight w:val="0"/>
          <w:marTop w:val="0"/>
          <w:marBottom w:val="0"/>
          <w:divBdr>
            <w:top w:val="none" w:sz="0" w:space="0" w:color="auto"/>
            <w:left w:val="none" w:sz="0" w:space="0" w:color="auto"/>
            <w:bottom w:val="none" w:sz="0" w:space="0" w:color="auto"/>
            <w:right w:val="none" w:sz="0" w:space="0" w:color="auto"/>
          </w:divBdr>
          <w:divsChild>
            <w:div w:id="1499686190">
              <w:marLeft w:val="0"/>
              <w:marRight w:val="0"/>
              <w:marTop w:val="0"/>
              <w:marBottom w:val="0"/>
              <w:divBdr>
                <w:top w:val="none" w:sz="0" w:space="0" w:color="auto"/>
                <w:left w:val="none" w:sz="0" w:space="0" w:color="auto"/>
                <w:bottom w:val="none" w:sz="0" w:space="0" w:color="auto"/>
                <w:right w:val="none" w:sz="0" w:space="0" w:color="auto"/>
              </w:divBdr>
              <w:divsChild>
                <w:div w:id="1499686192">
                  <w:marLeft w:val="0"/>
                  <w:marRight w:val="0"/>
                  <w:marTop w:val="0"/>
                  <w:marBottom w:val="0"/>
                  <w:divBdr>
                    <w:top w:val="none" w:sz="0" w:space="0" w:color="auto"/>
                    <w:left w:val="none" w:sz="0" w:space="0" w:color="auto"/>
                    <w:bottom w:val="none" w:sz="0" w:space="0" w:color="auto"/>
                    <w:right w:val="none" w:sz="0" w:space="0" w:color="auto"/>
                  </w:divBdr>
                  <w:divsChild>
                    <w:div w:id="1499686200">
                      <w:marLeft w:val="0"/>
                      <w:marRight w:val="0"/>
                      <w:marTop w:val="0"/>
                      <w:marBottom w:val="0"/>
                      <w:divBdr>
                        <w:top w:val="none" w:sz="0" w:space="0" w:color="auto"/>
                        <w:left w:val="none" w:sz="0" w:space="0" w:color="auto"/>
                        <w:bottom w:val="none" w:sz="0" w:space="0" w:color="auto"/>
                        <w:right w:val="none" w:sz="0" w:space="0" w:color="auto"/>
                      </w:divBdr>
                      <w:divsChild>
                        <w:div w:id="1499686180">
                          <w:marLeft w:val="0"/>
                          <w:marRight w:val="0"/>
                          <w:marTop w:val="0"/>
                          <w:marBottom w:val="0"/>
                          <w:divBdr>
                            <w:top w:val="none" w:sz="0" w:space="0" w:color="auto"/>
                            <w:left w:val="none" w:sz="0" w:space="0" w:color="auto"/>
                            <w:bottom w:val="none" w:sz="0" w:space="0" w:color="auto"/>
                            <w:right w:val="none" w:sz="0" w:space="0" w:color="auto"/>
                          </w:divBdr>
                          <w:divsChild>
                            <w:div w:id="1499686204">
                              <w:marLeft w:val="0"/>
                              <w:marRight w:val="0"/>
                              <w:marTop w:val="0"/>
                              <w:marBottom w:val="0"/>
                              <w:divBdr>
                                <w:top w:val="none" w:sz="0" w:space="0" w:color="auto"/>
                                <w:left w:val="none" w:sz="0" w:space="0" w:color="auto"/>
                                <w:bottom w:val="none" w:sz="0" w:space="0" w:color="auto"/>
                                <w:right w:val="none" w:sz="0" w:space="0" w:color="auto"/>
                              </w:divBdr>
                              <w:divsChild>
                                <w:div w:id="1499686210">
                                  <w:marLeft w:val="0"/>
                                  <w:marRight w:val="0"/>
                                  <w:marTop w:val="0"/>
                                  <w:marBottom w:val="0"/>
                                  <w:divBdr>
                                    <w:top w:val="none" w:sz="0" w:space="0" w:color="auto"/>
                                    <w:left w:val="none" w:sz="0" w:space="0" w:color="auto"/>
                                    <w:bottom w:val="none" w:sz="0" w:space="0" w:color="auto"/>
                                    <w:right w:val="none" w:sz="0" w:space="0" w:color="auto"/>
                                  </w:divBdr>
                                  <w:divsChild>
                                    <w:div w:id="1499686205">
                                      <w:marLeft w:val="0"/>
                                      <w:marRight w:val="0"/>
                                      <w:marTop w:val="0"/>
                                      <w:marBottom w:val="0"/>
                                      <w:divBdr>
                                        <w:top w:val="none" w:sz="0" w:space="0" w:color="auto"/>
                                        <w:left w:val="none" w:sz="0" w:space="0" w:color="auto"/>
                                        <w:bottom w:val="none" w:sz="0" w:space="0" w:color="auto"/>
                                        <w:right w:val="none" w:sz="0" w:space="0" w:color="auto"/>
                                      </w:divBdr>
                                      <w:divsChild>
                                        <w:div w:id="14996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686187">
      <w:marLeft w:val="0"/>
      <w:marRight w:val="0"/>
      <w:marTop w:val="0"/>
      <w:marBottom w:val="0"/>
      <w:divBdr>
        <w:top w:val="none" w:sz="0" w:space="0" w:color="auto"/>
        <w:left w:val="none" w:sz="0" w:space="0" w:color="auto"/>
        <w:bottom w:val="none" w:sz="0" w:space="0" w:color="auto"/>
        <w:right w:val="none" w:sz="0" w:space="0" w:color="auto"/>
      </w:divBdr>
      <w:divsChild>
        <w:div w:id="1499686191">
          <w:marLeft w:val="0"/>
          <w:marRight w:val="0"/>
          <w:marTop w:val="0"/>
          <w:marBottom w:val="0"/>
          <w:divBdr>
            <w:top w:val="none" w:sz="0" w:space="0" w:color="auto"/>
            <w:left w:val="none" w:sz="0" w:space="0" w:color="auto"/>
            <w:bottom w:val="none" w:sz="0" w:space="0" w:color="auto"/>
            <w:right w:val="none" w:sz="0" w:space="0" w:color="auto"/>
          </w:divBdr>
          <w:divsChild>
            <w:div w:id="1499686186">
              <w:marLeft w:val="0"/>
              <w:marRight w:val="1"/>
              <w:marTop w:val="0"/>
              <w:marBottom w:val="0"/>
              <w:divBdr>
                <w:top w:val="none" w:sz="0" w:space="0" w:color="auto"/>
                <w:left w:val="none" w:sz="0" w:space="0" w:color="auto"/>
                <w:bottom w:val="none" w:sz="0" w:space="0" w:color="auto"/>
                <w:right w:val="none" w:sz="0" w:space="0" w:color="auto"/>
              </w:divBdr>
              <w:divsChild>
                <w:div w:id="1499686178">
                  <w:marLeft w:val="384"/>
                  <w:marRight w:val="384"/>
                  <w:marTop w:val="0"/>
                  <w:marBottom w:val="0"/>
                  <w:divBdr>
                    <w:top w:val="none" w:sz="0" w:space="0" w:color="auto"/>
                    <w:left w:val="none" w:sz="0" w:space="0" w:color="auto"/>
                    <w:bottom w:val="none" w:sz="0" w:space="0" w:color="auto"/>
                    <w:right w:val="none" w:sz="0" w:space="0" w:color="auto"/>
                  </w:divBdr>
                  <w:divsChild>
                    <w:div w:id="1499686196">
                      <w:marLeft w:val="0"/>
                      <w:marRight w:val="0"/>
                      <w:marTop w:val="0"/>
                      <w:marBottom w:val="0"/>
                      <w:divBdr>
                        <w:top w:val="none" w:sz="0" w:space="0" w:color="auto"/>
                        <w:left w:val="none" w:sz="0" w:space="0" w:color="auto"/>
                        <w:bottom w:val="none" w:sz="0" w:space="0" w:color="auto"/>
                        <w:right w:val="none" w:sz="0" w:space="0" w:color="auto"/>
                      </w:divBdr>
                      <w:divsChild>
                        <w:div w:id="1499686179">
                          <w:marLeft w:val="0"/>
                          <w:marRight w:val="0"/>
                          <w:marTop w:val="0"/>
                          <w:marBottom w:val="0"/>
                          <w:divBdr>
                            <w:top w:val="none" w:sz="0" w:space="0" w:color="auto"/>
                            <w:left w:val="none" w:sz="0" w:space="0" w:color="auto"/>
                            <w:bottom w:val="none" w:sz="0" w:space="0" w:color="auto"/>
                            <w:right w:val="none" w:sz="0" w:space="0" w:color="auto"/>
                          </w:divBdr>
                          <w:divsChild>
                            <w:div w:id="1499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86193">
      <w:marLeft w:val="0"/>
      <w:marRight w:val="0"/>
      <w:marTop w:val="0"/>
      <w:marBottom w:val="0"/>
      <w:divBdr>
        <w:top w:val="none" w:sz="0" w:space="0" w:color="auto"/>
        <w:left w:val="none" w:sz="0" w:space="0" w:color="auto"/>
        <w:bottom w:val="none" w:sz="0" w:space="0" w:color="auto"/>
        <w:right w:val="none" w:sz="0" w:space="0" w:color="auto"/>
      </w:divBdr>
    </w:div>
    <w:div w:id="1499686195">
      <w:marLeft w:val="0"/>
      <w:marRight w:val="0"/>
      <w:marTop w:val="0"/>
      <w:marBottom w:val="0"/>
      <w:divBdr>
        <w:top w:val="none" w:sz="0" w:space="0" w:color="auto"/>
        <w:left w:val="none" w:sz="0" w:space="0" w:color="auto"/>
        <w:bottom w:val="none" w:sz="0" w:space="0" w:color="auto"/>
        <w:right w:val="none" w:sz="0" w:space="0" w:color="auto"/>
      </w:divBdr>
    </w:div>
    <w:div w:id="1499686198">
      <w:marLeft w:val="0"/>
      <w:marRight w:val="0"/>
      <w:marTop w:val="0"/>
      <w:marBottom w:val="0"/>
      <w:divBdr>
        <w:top w:val="none" w:sz="0" w:space="0" w:color="auto"/>
        <w:left w:val="none" w:sz="0" w:space="0" w:color="auto"/>
        <w:bottom w:val="none" w:sz="0" w:space="0" w:color="auto"/>
        <w:right w:val="none" w:sz="0" w:space="0" w:color="auto"/>
      </w:divBdr>
    </w:div>
    <w:div w:id="1499686203">
      <w:marLeft w:val="0"/>
      <w:marRight w:val="0"/>
      <w:marTop w:val="0"/>
      <w:marBottom w:val="0"/>
      <w:divBdr>
        <w:top w:val="none" w:sz="0" w:space="0" w:color="auto"/>
        <w:left w:val="none" w:sz="0" w:space="0" w:color="auto"/>
        <w:bottom w:val="none" w:sz="0" w:space="0" w:color="auto"/>
        <w:right w:val="none" w:sz="0" w:space="0" w:color="auto"/>
      </w:divBdr>
      <w:divsChild>
        <w:div w:id="1499686206">
          <w:marLeft w:val="0"/>
          <w:marRight w:val="0"/>
          <w:marTop w:val="0"/>
          <w:marBottom w:val="0"/>
          <w:divBdr>
            <w:top w:val="none" w:sz="0" w:space="0" w:color="auto"/>
            <w:left w:val="none" w:sz="0" w:space="0" w:color="auto"/>
            <w:bottom w:val="none" w:sz="0" w:space="0" w:color="auto"/>
            <w:right w:val="none" w:sz="0" w:space="0" w:color="auto"/>
          </w:divBdr>
          <w:divsChild>
            <w:div w:id="1499686181">
              <w:marLeft w:val="0"/>
              <w:marRight w:val="0"/>
              <w:marTop w:val="0"/>
              <w:marBottom w:val="0"/>
              <w:divBdr>
                <w:top w:val="none" w:sz="0" w:space="0" w:color="auto"/>
                <w:left w:val="none" w:sz="0" w:space="0" w:color="auto"/>
                <w:bottom w:val="none" w:sz="0" w:space="0" w:color="auto"/>
                <w:right w:val="none" w:sz="0" w:space="0" w:color="auto"/>
              </w:divBdr>
              <w:divsChild>
                <w:div w:id="1499686185">
                  <w:marLeft w:val="0"/>
                  <w:marRight w:val="0"/>
                  <w:marTop w:val="0"/>
                  <w:marBottom w:val="0"/>
                  <w:divBdr>
                    <w:top w:val="none" w:sz="0" w:space="0" w:color="auto"/>
                    <w:left w:val="none" w:sz="0" w:space="0" w:color="auto"/>
                    <w:bottom w:val="none" w:sz="0" w:space="0" w:color="auto"/>
                    <w:right w:val="none" w:sz="0" w:space="0" w:color="auto"/>
                  </w:divBdr>
                  <w:divsChild>
                    <w:div w:id="1499686176">
                      <w:marLeft w:val="0"/>
                      <w:marRight w:val="0"/>
                      <w:marTop w:val="0"/>
                      <w:marBottom w:val="0"/>
                      <w:divBdr>
                        <w:top w:val="none" w:sz="0" w:space="0" w:color="auto"/>
                        <w:left w:val="none" w:sz="0" w:space="0" w:color="auto"/>
                        <w:bottom w:val="none" w:sz="0" w:space="0" w:color="auto"/>
                        <w:right w:val="none" w:sz="0" w:space="0" w:color="auto"/>
                      </w:divBdr>
                      <w:divsChild>
                        <w:div w:id="1499686182">
                          <w:marLeft w:val="0"/>
                          <w:marRight w:val="0"/>
                          <w:marTop w:val="0"/>
                          <w:marBottom w:val="0"/>
                          <w:divBdr>
                            <w:top w:val="none" w:sz="0" w:space="0" w:color="auto"/>
                            <w:left w:val="none" w:sz="0" w:space="0" w:color="auto"/>
                            <w:bottom w:val="none" w:sz="0" w:space="0" w:color="auto"/>
                            <w:right w:val="none" w:sz="0" w:space="0" w:color="auto"/>
                          </w:divBdr>
                          <w:divsChild>
                            <w:div w:id="1499686173">
                              <w:marLeft w:val="0"/>
                              <w:marRight w:val="0"/>
                              <w:marTop w:val="0"/>
                              <w:marBottom w:val="0"/>
                              <w:divBdr>
                                <w:top w:val="none" w:sz="0" w:space="0" w:color="auto"/>
                                <w:left w:val="none" w:sz="0" w:space="0" w:color="auto"/>
                                <w:bottom w:val="none" w:sz="0" w:space="0" w:color="auto"/>
                                <w:right w:val="none" w:sz="0" w:space="0" w:color="auto"/>
                              </w:divBdr>
                              <w:divsChild>
                                <w:div w:id="14996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686208">
      <w:marLeft w:val="0"/>
      <w:marRight w:val="0"/>
      <w:marTop w:val="0"/>
      <w:marBottom w:val="0"/>
      <w:divBdr>
        <w:top w:val="none" w:sz="0" w:space="0" w:color="auto"/>
        <w:left w:val="none" w:sz="0" w:space="0" w:color="auto"/>
        <w:bottom w:val="none" w:sz="0" w:space="0" w:color="auto"/>
        <w:right w:val="none" w:sz="0" w:space="0" w:color="auto"/>
      </w:divBdr>
    </w:div>
    <w:div w:id="1499686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9928</Words>
  <Characters>56595</Characters>
  <Application>Microsoft Office Word</Application>
  <DocSecurity>0</DocSecurity>
  <Lines>471</Lines>
  <Paragraphs>132</Paragraphs>
  <ScaleCrop>false</ScaleCrop>
  <Company>Your Company Name</Company>
  <LinksUpToDate>false</LinksUpToDate>
  <CharactersWithSpaces>66391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Wen Lingling</cp:lastModifiedBy>
  <cp:revision>3</cp:revision>
  <cp:lastPrinted>2013-02-21T04:37:00Z</cp:lastPrinted>
  <dcterms:created xsi:type="dcterms:W3CDTF">2013-08-04T14:57:00Z</dcterms:created>
  <dcterms:modified xsi:type="dcterms:W3CDTF">2013-08-06T01:47:00Z</dcterms:modified>
</cp:coreProperties>
</file>