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F735B" w14:textId="77777777" w:rsidR="00957A59" w:rsidRPr="006E4AC9" w:rsidRDefault="00957A59" w:rsidP="00610593">
      <w:pPr>
        <w:widowControl w:val="0"/>
        <w:autoSpaceDE w:val="0"/>
        <w:autoSpaceDN w:val="0"/>
        <w:adjustRightInd w:val="0"/>
        <w:snapToGrid w:val="0"/>
        <w:spacing w:after="0"/>
        <w:jc w:val="both"/>
        <w:rPr>
          <w:rFonts w:cs="Book Antiqua"/>
          <w:b/>
          <w:i/>
          <w:iCs/>
          <w:color w:val="222222"/>
          <w:szCs w:val="24"/>
        </w:rPr>
      </w:pPr>
      <w:r w:rsidRPr="006E4AC9">
        <w:rPr>
          <w:rFonts w:cs="Book Antiqua"/>
          <w:b/>
          <w:color w:val="222222"/>
          <w:szCs w:val="24"/>
        </w:rPr>
        <w:t xml:space="preserve">Name of Journal: </w:t>
      </w:r>
      <w:r w:rsidRPr="006E4AC9">
        <w:rPr>
          <w:rFonts w:cs="Book Antiqua"/>
          <w:b/>
          <w:i/>
          <w:iCs/>
          <w:color w:val="222222"/>
          <w:szCs w:val="24"/>
        </w:rPr>
        <w:t>World Journal of Gastroenterology</w:t>
      </w:r>
    </w:p>
    <w:p w14:paraId="45492C98" w14:textId="04B74603" w:rsidR="00957A59" w:rsidRPr="006E4AC9" w:rsidRDefault="00957A59" w:rsidP="00610593">
      <w:pPr>
        <w:widowControl w:val="0"/>
        <w:autoSpaceDE w:val="0"/>
        <w:autoSpaceDN w:val="0"/>
        <w:adjustRightInd w:val="0"/>
        <w:snapToGrid w:val="0"/>
        <w:spacing w:after="0"/>
        <w:jc w:val="both"/>
        <w:rPr>
          <w:rFonts w:cs="Book Antiqua"/>
          <w:b/>
          <w:color w:val="222222"/>
          <w:szCs w:val="24"/>
        </w:rPr>
      </w:pPr>
      <w:r w:rsidRPr="006E4AC9">
        <w:rPr>
          <w:rFonts w:cs="Book Antiqua"/>
          <w:b/>
          <w:color w:val="222222"/>
          <w:szCs w:val="24"/>
        </w:rPr>
        <w:t xml:space="preserve">ESPS Manuscript NO: </w:t>
      </w:r>
      <w:r w:rsidRPr="006E4AC9">
        <w:rPr>
          <w:b/>
          <w:szCs w:val="24"/>
        </w:rPr>
        <w:t>30525</w:t>
      </w:r>
    </w:p>
    <w:p w14:paraId="77813B72" w14:textId="0F5577B1" w:rsidR="008C2014" w:rsidRPr="006E4AC9" w:rsidRDefault="00957A59" w:rsidP="00610593">
      <w:pPr>
        <w:widowControl w:val="0"/>
        <w:snapToGrid w:val="0"/>
        <w:spacing w:after="0"/>
        <w:jc w:val="both"/>
        <w:rPr>
          <w:rFonts w:eastAsia="SimSun" w:cs="Book Antiqua"/>
          <w:b/>
          <w:color w:val="000000"/>
          <w:szCs w:val="24"/>
          <w:lang w:eastAsia="zh-CN"/>
        </w:rPr>
      </w:pPr>
      <w:r w:rsidRPr="006E4AC9">
        <w:rPr>
          <w:rFonts w:cs="Book Antiqua"/>
          <w:b/>
          <w:color w:val="000000"/>
          <w:szCs w:val="24"/>
        </w:rPr>
        <w:t xml:space="preserve">Manuscript Type: </w:t>
      </w:r>
      <w:r w:rsidR="008C2014" w:rsidRPr="006E4AC9">
        <w:rPr>
          <w:b/>
        </w:rPr>
        <w:t>ORIGINAL ARTICLE</w:t>
      </w:r>
    </w:p>
    <w:p w14:paraId="2B98B134" w14:textId="77777777" w:rsidR="008C2014" w:rsidRPr="006E4AC9" w:rsidRDefault="008C2014" w:rsidP="00610593">
      <w:pPr>
        <w:widowControl w:val="0"/>
        <w:snapToGrid w:val="0"/>
        <w:spacing w:after="0"/>
        <w:jc w:val="both"/>
        <w:rPr>
          <w:rFonts w:eastAsia="SimSun" w:cs="Book Antiqua"/>
          <w:b/>
          <w:color w:val="000000"/>
          <w:szCs w:val="24"/>
          <w:lang w:eastAsia="zh-CN"/>
        </w:rPr>
      </w:pPr>
    </w:p>
    <w:p w14:paraId="79B256B4" w14:textId="1BD2F268" w:rsidR="00957A59" w:rsidRPr="006E4AC9" w:rsidRDefault="00957A59" w:rsidP="00610593">
      <w:pPr>
        <w:widowControl w:val="0"/>
        <w:snapToGrid w:val="0"/>
        <w:spacing w:after="0"/>
        <w:jc w:val="both"/>
        <w:rPr>
          <w:rFonts w:eastAsia="SimSun"/>
          <w:b/>
          <w:i/>
          <w:szCs w:val="24"/>
          <w:lang w:eastAsia="zh-CN"/>
        </w:rPr>
      </w:pPr>
      <w:r w:rsidRPr="006E4AC9">
        <w:rPr>
          <w:rFonts w:cs="Book Antiqua"/>
          <w:b/>
          <w:i/>
          <w:color w:val="000000"/>
          <w:szCs w:val="24"/>
        </w:rPr>
        <w:t>Retrospective Study</w:t>
      </w:r>
    </w:p>
    <w:p w14:paraId="7185D2EA" w14:textId="349FFD86" w:rsidR="00840EEB" w:rsidRPr="006E4AC9" w:rsidRDefault="00326738" w:rsidP="00610593">
      <w:pPr>
        <w:widowControl w:val="0"/>
        <w:snapToGrid w:val="0"/>
        <w:spacing w:after="0"/>
        <w:jc w:val="both"/>
        <w:rPr>
          <w:b/>
          <w:szCs w:val="24"/>
        </w:rPr>
      </w:pPr>
      <w:r w:rsidRPr="006E4AC9">
        <w:rPr>
          <w:b/>
          <w:szCs w:val="24"/>
        </w:rPr>
        <w:t>Eosinophilic cholangitis</w:t>
      </w:r>
      <w:r w:rsidR="0014789F" w:rsidRPr="006E4AC9">
        <w:rPr>
          <w:b/>
          <w:szCs w:val="24"/>
        </w:rPr>
        <w:t xml:space="preserve"> is</w:t>
      </w:r>
      <w:r w:rsidRPr="006E4AC9">
        <w:rPr>
          <w:b/>
          <w:szCs w:val="24"/>
        </w:rPr>
        <w:t xml:space="preserve"> a potentially underdiagnosed etiology</w:t>
      </w:r>
      <w:r w:rsidR="00840EEB" w:rsidRPr="006E4AC9">
        <w:rPr>
          <w:b/>
          <w:szCs w:val="24"/>
        </w:rPr>
        <w:t xml:space="preserve"> in indeterminate biliary stricture </w:t>
      </w:r>
    </w:p>
    <w:p w14:paraId="17350AC5" w14:textId="77777777" w:rsidR="008C2014" w:rsidRPr="006E4AC9" w:rsidRDefault="008C2014" w:rsidP="00610593">
      <w:pPr>
        <w:widowControl w:val="0"/>
        <w:snapToGrid w:val="0"/>
        <w:spacing w:after="0"/>
        <w:jc w:val="both"/>
        <w:rPr>
          <w:rFonts w:eastAsia="SimSun"/>
          <w:b/>
          <w:szCs w:val="24"/>
          <w:lang w:eastAsia="zh-CN"/>
        </w:rPr>
      </w:pPr>
    </w:p>
    <w:p w14:paraId="190F69F7" w14:textId="7FD0031F" w:rsidR="008C2014" w:rsidRPr="006E4AC9" w:rsidRDefault="008C2014" w:rsidP="00610593">
      <w:pPr>
        <w:pStyle w:val="Header"/>
        <w:widowControl w:val="0"/>
        <w:snapToGrid w:val="0"/>
        <w:spacing w:line="360" w:lineRule="auto"/>
      </w:pPr>
      <w:r w:rsidRPr="006E4AC9">
        <w:rPr>
          <w:szCs w:val="24"/>
        </w:rPr>
        <w:t>Walter</w:t>
      </w:r>
      <w:r w:rsidRPr="006E4AC9">
        <w:t xml:space="preserve"> </w:t>
      </w:r>
      <w:r w:rsidRPr="006E4AC9">
        <w:rPr>
          <w:rFonts w:eastAsia="SimSun" w:hint="eastAsia"/>
          <w:lang w:eastAsia="zh-CN"/>
        </w:rPr>
        <w:t xml:space="preserve">D </w:t>
      </w:r>
      <w:r w:rsidRPr="006E4AC9">
        <w:rPr>
          <w:rFonts w:eastAsia="SimSun" w:hint="eastAsia"/>
          <w:i/>
          <w:lang w:eastAsia="zh-CN"/>
        </w:rPr>
        <w:t>et al</w:t>
      </w:r>
      <w:r w:rsidRPr="006E4AC9">
        <w:rPr>
          <w:rFonts w:eastAsia="SimSun" w:hint="eastAsia"/>
          <w:lang w:eastAsia="zh-CN"/>
        </w:rPr>
        <w:t xml:space="preserve">. </w:t>
      </w:r>
      <w:r w:rsidRPr="006E4AC9">
        <w:t>Eosinophilic cholangitis in indeterminate biliary stricture</w:t>
      </w:r>
    </w:p>
    <w:p w14:paraId="2DCB0850" w14:textId="77777777" w:rsidR="008C2014" w:rsidRPr="006E4AC9" w:rsidRDefault="008C2014" w:rsidP="00610593">
      <w:pPr>
        <w:widowControl w:val="0"/>
        <w:snapToGrid w:val="0"/>
        <w:spacing w:after="0"/>
        <w:jc w:val="both"/>
        <w:rPr>
          <w:rFonts w:eastAsia="SimSun"/>
          <w:b/>
          <w:szCs w:val="24"/>
          <w:lang w:eastAsia="zh-CN"/>
        </w:rPr>
      </w:pPr>
    </w:p>
    <w:p w14:paraId="035F203E" w14:textId="2658F296" w:rsidR="00C71EA4" w:rsidRPr="006E4AC9" w:rsidRDefault="005C7BD3" w:rsidP="00610593">
      <w:pPr>
        <w:widowControl w:val="0"/>
        <w:snapToGrid w:val="0"/>
        <w:spacing w:after="0"/>
        <w:jc w:val="both"/>
        <w:rPr>
          <w:b/>
          <w:szCs w:val="24"/>
          <w:lang w:val="de-DE"/>
        </w:rPr>
      </w:pPr>
      <w:r w:rsidRPr="006E4AC9">
        <w:rPr>
          <w:b/>
          <w:szCs w:val="24"/>
          <w:lang w:val="de-DE"/>
        </w:rPr>
        <w:t>Dirk Walter,</w:t>
      </w:r>
      <w:r w:rsidR="008C2014" w:rsidRPr="006E4AC9">
        <w:rPr>
          <w:rFonts w:hint="eastAsia"/>
          <w:b/>
          <w:szCs w:val="24"/>
          <w:lang w:val="de-DE"/>
        </w:rPr>
        <w:t xml:space="preserve"> </w:t>
      </w:r>
      <w:r w:rsidRPr="006E4AC9">
        <w:rPr>
          <w:b/>
          <w:szCs w:val="24"/>
          <w:lang w:val="de-DE"/>
        </w:rPr>
        <w:t>Sylvia Hartmann,</w:t>
      </w:r>
      <w:r w:rsidR="008C2014" w:rsidRPr="006E4AC9">
        <w:rPr>
          <w:rFonts w:hint="eastAsia"/>
          <w:b/>
          <w:szCs w:val="24"/>
          <w:lang w:val="de-DE"/>
        </w:rPr>
        <w:t xml:space="preserve"> </w:t>
      </w:r>
      <w:r w:rsidRPr="006E4AC9">
        <w:rPr>
          <w:b/>
          <w:szCs w:val="24"/>
          <w:lang w:val="de-DE"/>
        </w:rPr>
        <w:t>Eva Herrmann,</w:t>
      </w:r>
      <w:r w:rsidR="008C2014" w:rsidRPr="006E4AC9">
        <w:rPr>
          <w:rFonts w:hint="eastAsia"/>
          <w:b/>
          <w:szCs w:val="24"/>
          <w:lang w:val="de-DE"/>
        </w:rPr>
        <w:t xml:space="preserve"> </w:t>
      </w:r>
      <w:r w:rsidR="005435B6" w:rsidRPr="006E4AC9">
        <w:rPr>
          <w:b/>
          <w:szCs w:val="24"/>
          <w:lang w:val="de-DE"/>
        </w:rPr>
        <w:t>Jan Peveling-Oberhag,</w:t>
      </w:r>
      <w:r w:rsidR="008C2014" w:rsidRPr="006E4AC9">
        <w:rPr>
          <w:rFonts w:hint="eastAsia"/>
          <w:b/>
          <w:szCs w:val="24"/>
          <w:lang w:val="de-DE"/>
        </w:rPr>
        <w:t xml:space="preserve"> </w:t>
      </w:r>
      <w:r w:rsidR="00971ED8" w:rsidRPr="006E4AC9">
        <w:rPr>
          <w:b/>
          <w:szCs w:val="24"/>
          <w:lang w:val="de-DE"/>
        </w:rPr>
        <w:t>Wolf</w:t>
      </w:r>
      <w:r w:rsidR="00D37E9A" w:rsidRPr="006E4AC9">
        <w:rPr>
          <w:b/>
          <w:szCs w:val="24"/>
          <w:lang w:val="de-DE"/>
        </w:rPr>
        <w:t xml:space="preserve"> </w:t>
      </w:r>
      <w:r w:rsidR="00971ED8" w:rsidRPr="006E4AC9">
        <w:rPr>
          <w:b/>
          <w:szCs w:val="24"/>
          <w:lang w:val="de-DE"/>
        </w:rPr>
        <w:t>Bechstein,</w:t>
      </w:r>
      <w:r w:rsidR="008C2014" w:rsidRPr="006E4AC9">
        <w:rPr>
          <w:rFonts w:hint="eastAsia"/>
          <w:b/>
          <w:szCs w:val="24"/>
          <w:lang w:val="de-DE"/>
        </w:rPr>
        <w:t xml:space="preserve"> </w:t>
      </w:r>
      <w:r w:rsidRPr="006E4AC9">
        <w:rPr>
          <w:b/>
          <w:szCs w:val="24"/>
          <w:lang w:val="de-DE"/>
        </w:rPr>
        <w:t>Stefan Zeuzem,</w:t>
      </w:r>
      <w:r w:rsidR="008C2014" w:rsidRPr="006E4AC9">
        <w:rPr>
          <w:rFonts w:hint="eastAsia"/>
          <w:b/>
          <w:szCs w:val="24"/>
          <w:lang w:val="de-DE"/>
        </w:rPr>
        <w:t xml:space="preserve"> </w:t>
      </w:r>
      <w:r w:rsidR="00A44C78" w:rsidRPr="006E4AC9">
        <w:rPr>
          <w:b/>
          <w:szCs w:val="24"/>
          <w:lang w:val="de-DE"/>
        </w:rPr>
        <w:t>Martin-Leo Hansmann,</w:t>
      </w:r>
      <w:r w:rsidR="008C2014" w:rsidRPr="006E4AC9">
        <w:rPr>
          <w:rFonts w:hint="eastAsia"/>
          <w:b/>
          <w:szCs w:val="24"/>
          <w:lang w:val="de-DE"/>
        </w:rPr>
        <w:t xml:space="preserve"> </w:t>
      </w:r>
      <w:r w:rsidR="00EC50B7" w:rsidRPr="006E4AC9">
        <w:rPr>
          <w:b/>
          <w:szCs w:val="24"/>
          <w:lang w:val="de-DE"/>
        </w:rPr>
        <w:t>Mireen Friedrich-Rust,</w:t>
      </w:r>
      <w:r w:rsidR="008C2014" w:rsidRPr="006E4AC9">
        <w:rPr>
          <w:rFonts w:hint="eastAsia"/>
          <w:b/>
          <w:szCs w:val="24"/>
          <w:lang w:val="de-DE"/>
        </w:rPr>
        <w:t xml:space="preserve"> </w:t>
      </w:r>
      <w:r w:rsidRPr="006E4AC9">
        <w:rPr>
          <w:b/>
          <w:szCs w:val="24"/>
          <w:lang w:val="de-DE"/>
        </w:rPr>
        <w:t>Jörg G</w:t>
      </w:r>
      <w:r w:rsidR="008C2014" w:rsidRPr="006E4AC9">
        <w:rPr>
          <w:rFonts w:hint="eastAsia"/>
          <w:b/>
          <w:szCs w:val="24"/>
          <w:lang w:val="de-DE"/>
        </w:rPr>
        <w:t xml:space="preserve"> </w:t>
      </w:r>
      <w:r w:rsidRPr="006E4AC9">
        <w:rPr>
          <w:b/>
          <w:szCs w:val="24"/>
          <w:lang w:val="de-DE"/>
        </w:rPr>
        <w:t>Albert</w:t>
      </w:r>
    </w:p>
    <w:p w14:paraId="546F6A9E" w14:textId="77777777" w:rsidR="00C400A8" w:rsidRPr="006E4AC9" w:rsidRDefault="00C400A8" w:rsidP="00610593">
      <w:pPr>
        <w:widowControl w:val="0"/>
        <w:snapToGrid w:val="0"/>
        <w:spacing w:after="0"/>
        <w:jc w:val="both"/>
        <w:rPr>
          <w:szCs w:val="24"/>
          <w:vertAlign w:val="superscript"/>
          <w:lang w:val="de-DE"/>
        </w:rPr>
      </w:pPr>
    </w:p>
    <w:p w14:paraId="49D29F63" w14:textId="0018C761" w:rsidR="00C71EA4" w:rsidRPr="006E4AC9" w:rsidRDefault="00C71EA4" w:rsidP="00610593">
      <w:pPr>
        <w:widowControl w:val="0"/>
        <w:snapToGrid w:val="0"/>
        <w:spacing w:after="0"/>
        <w:jc w:val="both"/>
        <w:rPr>
          <w:szCs w:val="24"/>
          <w:lang w:val="de-DE"/>
        </w:rPr>
      </w:pPr>
      <w:r w:rsidRPr="006E4AC9">
        <w:rPr>
          <w:b/>
          <w:szCs w:val="24"/>
          <w:lang w:val="de-DE"/>
        </w:rPr>
        <w:t>Dirk Walter, Stefan Zeuzem</w:t>
      </w:r>
      <w:r w:rsidRPr="006E4AC9">
        <w:rPr>
          <w:szCs w:val="24"/>
          <w:lang w:val="de-DE"/>
        </w:rPr>
        <w:t xml:space="preserve">, </w:t>
      </w:r>
      <w:r w:rsidR="00C400A8" w:rsidRPr="006E4AC9">
        <w:rPr>
          <w:b/>
          <w:szCs w:val="24"/>
          <w:lang w:val="de-DE"/>
        </w:rPr>
        <w:t>Mireen Friedrich-Rust</w:t>
      </w:r>
      <w:r w:rsidRPr="006E4AC9">
        <w:rPr>
          <w:szCs w:val="24"/>
          <w:lang w:val="de-DE"/>
        </w:rPr>
        <w:t xml:space="preserve"> Department of Internal Medicine I, Johann Wolfgang Goethe-University Hospital, 60590 Frankfurt, Germany</w:t>
      </w:r>
    </w:p>
    <w:p w14:paraId="5A9613F8" w14:textId="77777777" w:rsidR="008C2014" w:rsidRPr="006E4AC9" w:rsidRDefault="008C2014" w:rsidP="00610593">
      <w:pPr>
        <w:widowControl w:val="0"/>
        <w:snapToGrid w:val="0"/>
        <w:spacing w:after="0"/>
        <w:jc w:val="both"/>
        <w:rPr>
          <w:rFonts w:eastAsia="SimSun"/>
          <w:b/>
          <w:szCs w:val="24"/>
          <w:lang w:val="de-DE" w:eastAsia="zh-CN"/>
        </w:rPr>
      </w:pPr>
    </w:p>
    <w:p w14:paraId="525D3915" w14:textId="4684C14E" w:rsidR="00C71EA4" w:rsidRPr="006E4AC9" w:rsidRDefault="00C71EA4" w:rsidP="00610593">
      <w:pPr>
        <w:widowControl w:val="0"/>
        <w:snapToGrid w:val="0"/>
        <w:spacing w:after="0"/>
        <w:jc w:val="both"/>
        <w:rPr>
          <w:szCs w:val="24"/>
          <w:lang w:val="de-DE"/>
        </w:rPr>
      </w:pPr>
      <w:r w:rsidRPr="006E4AC9">
        <w:rPr>
          <w:b/>
          <w:szCs w:val="24"/>
          <w:lang w:val="de-DE"/>
        </w:rPr>
        <w:t xml:space="preserve">Sylvia Hartmann, Martin-Leo Hansmann, </w:t>
      </w:r>
      <w:r w:rsidRPr="006E4AC9">
        <w:rPr>
          <w:rFonts w:eastAsia="Times New Roman"/>
          <w:szCs w:val="24"/>
          <w:lang w:val="de-DE"/>
        </w:rPr>
        <w:t xml:space="preserve">Dr. Senckenberg Institute for Pathology, </w:t>
      </w:r>
      <w:r w:rsidRPr="006E4AC9">
        <w:rPr>
          <w:szCs w:val="24"/>
          <w:lang w:val="de-DE"/>
        </w:rPr>
        <w:t>Johann Wolfgang Goethe-University Hospital, 60590 Frankfurt, Germany</w:t>
      </w:r>
    </w:p>
    <w:p w14:paraId="4A890682" w14:textId="77777777" w:rsidR="008C2014" w:rsidRPr="006E4AC9" w:rsidRDefault="008C2014" w:rsidP="00610593">
      <w:pPr>
        <w:widowControl w:val="0"/>
        <w:snapToGrid w:val="0"/>
        <w:spacing w:after="0"/>
        <w:jc w:val="both"/>
        <w:rPr>
          <w:rFonts w:eastAsia="SimSun"/>
          <w:b/>
          <w:szCs w:val="24"/>
          <w:lang w:val="de-DE" w:eastAsia="zh-CN"/>
        </w:rPr>
      </w:pPr>
    </w:p>
    <w:p w14:paraId="7094C959" w14:textId="25F9D839" w:rsidR="005C7BD3" w:rsidRPr="006E4AC9" w:rsidRDefault="00C71EA4" w:rsidP="00610593">
      <w:pPr>
        <w:widowControl w:val="0"/>
        <w:snapToGrid w:val="0"/>
        <w:spacing w:after="0"/>
        <w:jc w:val="both"/>
        <w:rPr>
          <w:szCs w:val="24"/>
        </w:rPr>
      </w:pPr>
      <w:r w:rsidRPr="006E4AC9">
        <w:rPr>
          <w:b/>
          <w:szCs w:val="24"/>
        </w:rPr>
        <w:t>Eva Herrmann</w:t>
      </w:r>
      <w:r w:rsidRPr="006E4AC9">
        <w:rPr>
          <w:szCs w:val="24"/>
        </w:rPr>
        <w:t xml:space="preserve">, </w:t>
      </w:r>
      <w:r w:rsidR="005C7BD3" w:rsidRPr="006E4AC9">
        <w:rPr>
          <w:szCs w:val="24"/>
        </w:rPr>
        <w:t>Institute of Biostatistics and Mathematical Modeling</w:t>
      </w:r>
      <w:r w:rsidRPr="006E4AC9">
        <w:rPr>
          <w:szCs w:val="24"/>
        </w:rPr>
        <w:t xml:space="preserve">, </w:t>
      </w:r>
      <w:r w:rsidR="005C7BD3" w:rsidRPr="006E4AC9">
        <w:rPr>
          <w:szCs w:val="24"/>
        </w:rPr>
        <w:t>Johann Wolfgang Goethe-Univer</w:t>
      </w:r>
      <w:r w:rsidR="00787A29" w:rsidRPr="006E4AC9">
        <w:rPr>
          <w:szCs w:val="24"/>
        </w:rPr>
        <w:t>sity H</w:t>
      </w:r>
      <w:r w:rsidR="005C7BD3" w:rsidRPr="006E4AC9">
        <w:rPr>
          <w:szCs w:val="24"/>
        </w:rPr>
        <w:t>ospital</w:t>
      </w:r>
      <w:r w:rsidRPr="006E4AC9">
        <w:rPr>
          <w:szCs w:val="24"/>
        </w:rPr>
        <w:t xml:space="preserve">, </w:t>
      </w:r>
      <w:r w:rsidR="005C7BD3" w:rsidRPr="006E4AC9">
        <w:rPr>
          <w:szCs w:val="24"/>
        </w:rPr>
        <w:t>60590 Frankfurt, Germany</w:t>
      </w:r>
    </w:p>
    <w:p w14:paraId="05CB74E8" w14:textId="77777777" w:rsidR="008C2014" w:rsidRPr="006E4AC9" w:rsidRDefault="008C2014" w:rsidP="00610593">
      <w:pPr>
        <w:widowControl w:val="0"/>
        <w:snapToGrid w:val="0"/>
        <w:spacing w:after="0"/>
        <w:jc w:val="both"/>
        <w:rPr>
          <w:rFonts w:eastAsia="SimSun"/>
          <w:b/>
          <w:szCs w:val="24"/>
          <w:lang w:eastAsia="zh-CN"/>
        </w:rPr>
      </w:pPr>
    </w:p>
    <w:p w14:paraId="54CA410E" w14:textId="2C3736FC" w:rsidR="005C7BD3" w:rsidRPr="006E4AC9" w:rsidRDefault="00C71EA4" w:rsidP="00610593">
      <w:pPr>
        <w:widowControl w:val="0"/>
        <w:snapToGrid w:val="0"/>
        <w:spacing w:after="0"/>
        <w:jc w:val="both"/>
        <w:rPr>
          <w:szCs w:val="24"/>
        </w:rPr>
      </w:pPr>
      <w:r w:rsidRPr="006E4AC9">
        <w:rPr>
          <w:b/>
          <w:szCs w:val="24"/>
        </w:rPr>
        <w:t>Wolf Bechstein</w:t>
      </w:r>
      <w:r w:rsidRPr="006E4AC9">
        <w:rPr>
          <w:szCs w:val="24"/>
        </w:rPr>
        <w:t xml:space="preserve">, </w:t>
      </w:r>
      <w:r w:rsidR="00971ED8" w:rsidRPr="006E4AC9">
        <w:rPr>
          <w:szCs w:val="24"/>
          <w:lang w:val="en-GB"/>
        </w:rPr>
        <w:t>Department of General and Visceral Surgery</w:t>
      </w:r>
      <w:r w:rsidRPr="006E4AC9">
        <w:rPr>
          <w:szCs w:val="24"/>
          <w:lang w:val="en-GB"/>
        </w:rPr>
        <w:t xml:space="preserve">, </w:t>
      </w:r>
      <w:r w:rsidR="00971ED8" w:rsidRPr="006E4AC9">
        <w:rPr>
          <w:szCs w:val="24"/>
        </w:rPr>
        <w:t>Joh</w:t>
      </w:r>
      <w:r w:rsidRPr="006E4AC9">
        <w:rPr>
          <w:szCs w:val="24"/>
        </w:rPr>
        <w:t>ann Wolfgang Goethe-University H</w:t>
      </w:r>
      <w:r w:rsidR="00971ED8" w:rsidRPr="006E4AC9">
        <w:rPr>
          <w:szCs w:val="24"/>
        </w:rPr>
        <w:t>ospital</w:t>
      </w:r>
      <w:r w:rsidRPr="006E4AC9">
        <w:rPr>
          <w:szCs w:val="24"/>
        </w:rPr>
        <w:t xml:space="preserve">, </w:t>
      </w:r>
      <w:r w:rsidR="00971ED8" w:rsidRPr="006E4AC9">
        <w:rPr>
          <w:szCs w:val="24"/>
        </w:rPr>
        <w:t>60590 Frankfurt, Germany</w:t>
      </w:r>
    </w:p>
    <w:p w14:paraId="6950AD4A" w14:textId="77777777" w:rsidR="008C2014" w:rsidRPr="006E4AC9" w:rsidRDefault="008C2014" w:rsidP="00610593">
      <w:pPr>
        <w:widowControl w:val="0"/>
        <w:snapToGrid w:val="0"/>
        <w:spacing w:after="0"/>
        <w:jc w:val="both"/>
        <w:rPr>
          <w:rFonts w:eastAsia="SimSun"/>
          <w:b/>
          <w:szCs w:val="24"/>
          <w:lang w:eastAsia="zh-CN"/>
        </w:rPr>
      </w:pPr>
    </w:p>
    <w:p w14:paraId="01AC6A25" w14:textId="60B5BDDB" w:rsidR="00E4286D" w:rsidRPr="006E4AC9" w:rsidRDefault="00C400A8" w:rsidP="00610593">
      <w:pPr>
        <w:widowControl w:val="0"/>
        <w:snapToGrid w:val="0"/>
        <w:spacing w:after="0"/>
        <w:jc w:val="both"/>
        <w:rPr>
          <w:rFonts w:eastAsia="SimSun"/>
          <w:szCs w:val="24"/>
          <w:lang w:eastAsia="zh-CN"/>
        </w:rPr>
      </w:pPr>
      <w:r w:rsidRPr="006E4AC9">
        <w:rPr>
          <w:b/>
          <w:szCs w:val="24"/>
        </w:rPr>
        <w:t xml:space="preserve">Jan Peveling-Oberhag, </w:t>
      </w:r>
      <w:r w:rsidR="00C71EA4" w:rsidRPr="006E4AC9">
        <w:rPr>
          <w:b/>
          <w:szCs w:val="24"/>
        </w:rPr>
        <w:t>Jörg G</w:t>
      </w:r>
      <w:r w:rsidR="008C2014" w:rsidRPr="006E4AC9">
        <w:rPr>
          <w:rFonts w:eastAsia="SimSun" w:hint="eastAsia"/>
          <w:b/>
          <w:szCs w:val="24"/>
          <w:lang w:eastAsia="zh-CN"/>
        </w:rPr>
        <w:t xml:space="preserve"> </w:t>
      </w:r>
      <w:r w:rsidR="00C71EA4" w:rsidRPr="006E4AC9">
        <w:rPr>
          <w:b/>
          <w:szCs w:val="24"/>
        </w:rPr>
        <w:t>Albert</w:t>
      </w:r>
      <w:r w:rsidR="00C71EA4" w:rsidRPr="006E4AC9">
        <w:rPr>
          <w:szCs w:val="24"/>
        </w:rPr>
        <w:t>, Department for Gastro</w:t>
      </w:r>
      <w:r w:rsidR="00D45BFD" w:rsidRPr="006E4AC9">
        <w:rPr>
          <w:szCs w:val="24"/>
        </w:rPr>
        <w:t>enterology, Hepatology and Endoc</w:t>
      </w:r>
      <w:r w:rsidR="00C71EA4" w:rsidRPr="006E4AC9">
        <w:rPr>
          <w:szCs w:val="24"/>
        </w:rPr>
        <w:t xml:space="preserve">rinology, </w:t>
      </w:r>
      <w:r w:rsidR="006B5B8D" w:rsidRPr="006E4AC9">
        <w:rPr>
          <w:szCs w:val="24"/>
        </w:rPr>
        <w:t>Robert-Bosch Hospital</w:t>
      </w:r>
      <w:r w:rsidR="00C71EA4" w:rsidRPr="006E4AC9">
        <w:rPr>
          <w:szCs w:val="24"/>
        </w:rPr>
        <w:t xml:space="preserve">, </w:t>
      </w:r>
      <w:r w:rsidR="006B5B8D" w:rsidRPr="006E4AC9">
        <w:rPr>
          <w:szCs w:val="24"/>
        </w:rPr>
        <w:t>70376 Stuttgart</w:t>
      </w:r>
      <w:r w:rsidR="008C2014" w:rsidRPr="006E4AC9">
        <w:rPr>
          <w:rFonts w:eastAsia="SimSun" w:hint="eastAsia"/>
          <w:szCs w:val="24"/>
          <w:lang w:eastAsia="zh-CN"/>
        </w:rPr>
        <w:t xml:space="preserve">, </w:t>
      </w:r>
      <w:r w:rsidR="008C2014" w:rsidRPr="006E4AC9">
        <w:rPr>
          <w:szCs w:val="24"/>
        </w:rPr>
        <w:t>Germany</w:t>
      </w:r>
    </w:p>
    <w:p w14:paraId="5714D4E3" w14:textId="77777777" w:rsidR="008C2014" w:rsidRPr="006E4AC9" w:rsidRDefault="008C2014" w:rsidP="00610593">
      <w:pPr>
        <w:widowControl w:val="0"/>
        <w:snapToGrid w:val="0"/>
        <w:spacing w:after="0"/>
        <w:jc w:val="both"/>
        <w:rPr>
          <w:rFonts w:eastAsia="SimSun"/>
          <w:b/>
          <w:szCs w:val="24"/>
          <w:lang w:eastAsia="zh-CN"/>
        </w:rPr>
      </w:pPr>
    </w:p>
    <w:p w14:paraId="7251F0D8" w14:textId="02DB46C8" w:rsidR="005C7BD3" w:rsidRPr="006E4AC9" w:rsidRDefault="00C71EA4" w:rsidP="00610593">
      <w:pPr>
        <w:widowControl w:val="0"/>
        <w:snapToGrid w:val="0"/>
        <w:spacing w:after="0"/>
        <w:jc w:val="both"/>
        <w:rPr>
          <w:szCs w:val="24"/>
        </w:rPr>
      </w:pPr>
      <w:r w:rsidRPr="006E4AC9">
        <w:rPr>
          <w:b/>
          <w:szCs w:val="24"/>
        </w:rPr>
        <w:t>Author contributions</w:t>
      </w:r>
      <w:r w:rsidRPr="006E4AC9">
        <w:rPr>
          <w:szCs w:val="24"/>
        </w:rPr>
        <w:t>: Walter D and Albert JG designed</w:t>
      </w:r>
      <w:r w:rsidR="00E4286D" w:rsidRPr="006E4AC9">
        <w:rPr>
          <w:szCs w:val="24"/>
        </w:rPr>
        <w:t xml:space="preserve"> the</w:t>
      </w:r>
      <w:r w:rsidRPr="006E4AC9">
        <w:rPr>
          <w:szCs w:val="24"/>
        </w:rPr>
        <w:t xml:space="preserve"> concept of the study</w:t>
      </w:r>
      <w:r w:rsidR="008C2014" w:rsidRPr="006E4AC9">
        <w:rPr>
          <w:rFonts w:eastAsia="SimSun" w:hint="eastAsia"/>
          <w:szCs w:val="24"/>
          <w:lang w:eastAsia="zh-CN"/>
        </w:rPr>
        <w:t xml:space="preserve">; </w:t>
      </w:r>
      <w:r w:rsidR="00E4286D" w:rsidRPr="006E4AC9">
        <w:rPr>
          <w:szCs w:val="24"/>
        </w:rPr>
        <w:t>Data were gathered by Walter D, Peveling-Oberhag J, Friedrich-Rust M, Bechstein W and Zeuzem S</w:t>
      </w:r>
      <w:r w:rsidR="008C2014" w:rsidRPr="006E4AC9">
        <w:rPr>
          <w:rFonts w:eastAsia="SimSun" w:hint="eastAsia"/>
          <w:szCs w:val="24"/>
          <w:lang w:eastAsia="zh-CN"/>
        </w:rPr>
        <w:t>;</w:t>
      </w:r>
      <w:r w:rsidR="00E4286D" w:rsidRPr="006E4AC9">
        <w:rPr>
          <w:szCs w:val="24"/>
        </w:rPr>
        <w:t xml:space="preserve"> Hartmann S and Hansmann ML performed histopathological review</w:t>
      </w:r>
      <w:r w:rsidR="008C2014" w:rsidRPr="006E4AC9">
        <w:rPr>
          <w:rFonts w:eastAsia="SimSun" w:hint="eastAsia"/>
          <w:szCs w:val="24"/>
          <w:lang w:eastAsia="zh-CN"/>
        </w:rPr>
        <w:t xml:space="preserve">; </w:t>
      </w:r>
      <w:r w:rsidR="00E4286D" w:rsidRPr="006E4AC9">
        <w:rPr>
          <w:szCs w:val="24"/>
        </w:rPr>
        <w:lastRenderedPageBreak/>
        <w:t>Statistical analysis was performed from Herrmann E</w:t>
      </w:r>
      <w:r w:rsidR="008C2014" w:rsidRPr="006E4AC9">
        <w:rPr>
          <w:rFonts w:eastAsia="SimSun" w:hint="eastAsia"/>
          <w:szCs w:val="24"/>
          <w:lang w:eastAsia="zh-CN"/>
        </w:rPr>
        <w:t xml:space="preserve">; </w:t>
      </w:r>
      <w:r w:rsidR="00E4286D" w:rsidRPr="006E4AC9">
        <w:rPr>
          <w:szCs w:val="24"/>
        </w:rPr>
        <w:t>The manuscript was drafted by Walter D, Peveling-Oberhag J, Hartmann S and Albert JG</w:t>
      </w:r>
      <w:r w:rsidR="008C2014" w:rsidRPr="006E4AC9">
        <w:rPr>
          <w:rFonts w:eastAsia="SimSun" w:hint="eastAsia"/>
          <w:szCs w:val="24"/>
          <w:lang w:eastAsia="zh-CN"/>
        </w:rPr>
        <w:t xml:space="preserve">; </w:t>
      </w:r>
      <w:r w:rsidR="00A6329E" w:rsidRPr="006E4AC9">
        <w:rPr>
          <w:szCs w:val="24"/>
        </w:rPr>
        <w:t>a</w:t>
      </w:r>
      <w:r w:rsidR="00E4286D" w:rsidRPr="006E4AC9">
        <w:rPr>
          <w:szCs w:val="24"/>
        </w:rPr>
        <w:t>ll authors critically revised the manuscript.</w:t>
      </w:r>
    </w:p>
    <w:p w14:paraId="047776F3" w14:textId="77777777" w:rsidR="00E4286D" w:rsidRPr="006E4AC9" w:rsidRDefault="00E4286D" w:rsidP="00610593">
      <w:pPr>
        <w:widowControl w:val="0"/>
        <w:snapToGrid w:val="0"/>
        <w:spacing w:after="0"/>
        <w:jc w:val="both"/>
        <w:outlineLvl w:val="2"/>
        <w:rPr>
          <w:rFonts w:cs="Times New Roman"/>
          <w:szCs w:val="24"/>
        </w:rPr>
      </w:pPr>
    </w:p>
    <w:p w14:paraId="508E5584" w14:textId="0D0E9BB0" w:rsidR="00E4286D" w:rsidRPr="006E4AC9" w:rsidRDefault="00E4286D" w:rsidP="00610593">
      <w:pPr>
        <w:widowControl w:val="0"/>
        <w:snapToGrid w:val="0"/>
        <w:spacing w:after="0"/>
        <w:jc w:val="both"/>
        <w:rPr>
          <w:szCs w:val="24"/>
        </w:rPr>
      </w:pPr>
      <w:r w:rsidRPr="006E4AC9">
        <w:rPr>
          <w:b/>
          <w:szCs w:val="24"/>
        </w:rPr>
        <w:t>Institutional review board statement:</w:t>
      </w:r>
      <w:r w:rsidRPr="006E4AC9">
        <w:rPr>
          <w:szCs w:val="24"/>
        </w:rPr>
        <w:t xml:space="preserve"> The study protocol was approved by the institutional review board (No. 478/15) of the local ethics committee of the University Hospital Frankfurt.</w:t>
      </w:r>
    </w:p>
    <w:p w14:paraId="1D3E2FCE" w14:textId="77777777" w:rsidR="008C2014" w:rsidRPr="006E4AC9" w:rsidRDefault="008C2014" w:rsidP="00610593">
      <w:pPr>
        <w:widowControl w:val="0"/>
        <w:snapToGrid w:val="0"/>
        <w:spacing w:after="0"/>
        <w:jc w:val="both"/>
        <w:rPr>
          <w:rFonts w:eastAsia="SimSun"/>
          <w:b/>
          <w:bCs/>
          <w:szCs w:val="24"/>
          <w:lang w:eastAsia="zh-CN"/>
        </w:rPr>
      </w:pPr>
    </w:p>
    <w:p w14:paraId="58CDB037" w14:textId="282946FB" w:rsidR="00E4286D" w:rsidRPr="006E4AC9" w:rsidRDefault="00E4286D" w:rsidP="00610593">
      <w:pPr>
        <w:widowControl w:val="0"/>
        <w:snapToGrid w:val="0"/>
        <w:spacing w:after="0"/>
        <w:jc w:val="both"/>
        <w:rPr>
          <w:szCs w:val="24"/>
        </w:rPr>
      </w:pPr>
      <w:r w:rsidRPr="006E4AC9">
        <w:rPr>
          <w:b/>
          <w:bCs/>
          <w:szCs w:val="24"/>
        </w:rPr>
        <w:t>Informed consent statement</w:t>
      </w:r>
      <w:r w:rsidRPr="006E4AC9">
        <w:rPr>
          <w:szCs w:val="24"/>
        </w:rPr>
        <w:t>: Patient informed consent was waived due to the retrospective design of the study.</w:t>
      </w:r>
    </w:p>
    <w:p w14:paraId="75BCAF0D" w14:textId="77777777" w:rsidR="008C2014" w:rsidRPr="006E4AC9" w:rsidRDefault="008C2014" w:rsidP="00610593">
      <w:pPr>
        <w:widowControl w:val="0"/>
        <w:snapToGrid w:val="0"/>
        <w:spacing w:after="0"/>
        <w:jc w:val="both"/>
        <w:rPr>
          <w:rFonts w:eastAsia="SimSun"/>
          <w:b/>
          <w:bCs/>
          <w:szCs w:val="24"/>
          <w:lang w:eastAsia="zh-CN"/>
        </w:rPr>
      </w:pPr>
    </w:p>
    <w:p w14:paraId="5294C939" w14:textId="441C3694" w:rsidR="00E4286D" w:rsidRPr="006E4AC9" w:rsidRDefault="00E4286D" w:rsidP="00610593">
      <w:pPr>
        <w:widowControl w:val="0"/>
        <w:snapToGrid w:val="0"/>
        <w:spacing w:after="0"/>
        <w:jc w:val="both"/>
        <w:rPr>
          <w:szCs w:val="24"/>
        </w:rPr>
      </w:pPr>
      <w:r w:rsidRPr="006E4AC9">
        <w:rPr>
          <w:b/>
          <w:bCs/>
          <w:szCs w:val="24"/>
        </w:rPr>
        <w:t>Conflict-of-interest statement</w:t>
      </w:r>
      <w:r w:rsidRPr="006E4AC9">
        <w:rPr>
          <w:szCs w:val="24"/>
        </w:rPr>
        <w:t>: The authors have no conflicts of interest to declare or other disclosures of record.</w:t>
      </w:r>
    </w:p>
    <w:p w14:paraId="62946EEC" w14:textId="77777777" w:rsidR="008C2014" w:rsidRPr="006E4AC9" w:rsidRDefault="008C2014" w:rsidP="00610593">
      <w:pPr>
        <w:widowControl w:val="0"/>
        <w:snapToGrid w:val="0"/>
        <w:spacing w:after="0"/>
        <w:jc w:val="both"/>
        <w:rPr>
          <w:rFonts w:eastAsia="SimSun"/>
          <w:b/>
          <w:bCs/>
          <w:szCs w:val="24"/>
          <w:lang w:eastAsia="zh-CN"/>
        </w:rPr>
      </w:pPr>
    </w:p>
    <w:p w14:paraId="37303C84" w14:textId="30B285B1" w:rsidR="00E4286D" w:rsidRPr="006E4AC9" w:rsidRDefault="00E4286D" w:rsidP="00610593">
      <w:pPr>
        <w:widowControl w:val="0"/>
        <w:snapToGrid w:val="0"/>
        <w:spacing w:after="0"/>
        <w:jc w:val="both"/>
        <w:rPr>
          <w:rFonts w:eastAsia="SimSun"/>
          <w:szCs w:val="24"/>
          <w:lang w:eastAsia="zh-CN"/>
        </w:rPr>
      </w:pPr>
      <w:r w:rsidRPr="006E4AC9">
        <w:rPr>
          <w:b/>
          <w:bCs/>
          <w:szCs w:val="24"/>
        </w:rPr>
        <w:t>Data sharing statement</w:t>
      </w:r>
      <w:r w:rsidRPr="006E4AC9">
        <w:rPr>
          <w:szCs w:val="24"/>
        </w:rPr>
        <w:t xml:space="preserve">: </w:t>
      </w:r>
      <w:r w:rsidR="00720555" w:rsidRPr="006E4AC9">
        <w:rPr>
          <w:szCs w:val="24"/>
        </w:rPr>
        <w:t>No additional data are available.</w:t>
      </w:r>
    </w:p>
    <w:p w14:paraId="73702E78" w14:textId="77777777" w:rsidR="008C2014" w:rsidRPr="006E4AC9" w:rsidRDefault="008C2014" w:rsidP="00610593">
      <w:pPr>
        <w:widowControl w:val="0"/>
        <w:snapToGrid w:val="0"/>
        <w:spacing w:after="0"/>
        <w:jc w:val="both"/>
        <w:rPr>
          <w:rFonts w:eastAsia="SimSun"/>
          <w:b/>
          <w:szCs w:val="24"/>
          <w:lang w:eastAsia="zh-CN"/>
        </w:rPr>
      </w:pPr>
    </w:p>
    <w:p w14:paraId="45CD98C1" w14:textId="77777777" w:rsidR="008C2014" w:rsidRPr="006E4AC9" w:rsidRDefault="008C2014" w:rsidP="00610593">
      <w:pPr>
        <w:pStyle w:val="1"/>
        <w:widowControl w:val="0"/>
        <w:snapToGrid w:val="0"/>
        <w:spacing w:line="360" w:lineRule="auto"/>
        <w:jc w:val="both"/>
        <w:rPr>
          <w:rFonts w:ascii="Book Antiqua" w:hAnsi="Book Antiqua" w:cs="Times New Roman"/>
          <w:bCs/>
          <w:color w:val="auto"/>
          <w:sz w:val="24"/>
          <w:lang w:val="en-US"/>
        </w:rPr>
      </w:pPr>
      <w:bookmarkStart w:id="0" w:name="OLE_LINK734"/>
      <w:bookmarkStart w:id="1" w:name="OLE_LINK441"/>
      <w:bookmarkStart w:id="2" w:name="OLE_LINK442"/>
      <w:bookmarkStart w:id="3" w:name="OLE_LINK1032"/>
      <w:bookmarkStart w:id="4" w:name="OLE_LINK1232"/>
      <w:bookmarkStart w:id="5" w:name="OLE_LINK559"/>
      <w:r w:rsidRPr="006E4AC9">
        <w:rPr>
          <w:rFonts w:ascii="Book Antiqua" w:hAnsi="Book Antiqua" w:cs="Times New Roman"/>
          <w:b/>
          <w:bCs/>
          <w:color w:val="auto"/>
          <w:sz w:val="24"/>
          <w:lang w:val="en-US"/>
        </w:rPr>
        <w:t>Open-Access:</w:t>
      </w:r>
      <w:r w:rsidRPr="006E4AC9">
        <w:rPr>
          <w:rFonts w:ascii="Book Antiqua" w:hAnsi="Book Antiqua" w:cs="Times New Roman"/>
          <w:bCs/>
          <w:color w:val="auto"/>
          <w:sz w:val="24"/>
          <w:lang w:val="en-US"/>
        </w:rPr>
        <w:t xml:space="preserve"> </w:t>
      </w:r>
      <w:bookmarkStart w:id="6" w:name="OLE_LINK479"/>
      <w:bookmarkStart w:id="7" w:name="OLE_LINK496"/>
      <w:bookmarkStart w:id="8" w:name="OLE_LINK506"/>
      <w:bookmarkStart w:id="9" w:name="OLE_LINK507"/>
      <w:r w:rsidRPr="006E4AC9">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6E4AC9">
        <w:rPr>
          <w:rFonts w:ascii="Book Antiqua" w:hAnsi="Book Antiqua" w:cs="Times New Roman" w:hint="eastAsia"/>
          <w:bCs/>
          <w:color w:val="auto"/>
          <w:sz w:val="24"/>
          <w:lang w:val="en-US" w:eastAsia="zh-CN"/>
        </w:rPr>
        <w:t xml:space="preserve"> </w:t>
      </w:r>
      <w:r w:rsidRPr="006E4AC9">
        <w:rPr>
          <w:rFonts w:ascii="Book Antiqua" w:hAnsi="Book Antiqua" w:cs="Times New Roman"/>
          <w:bCs/>
          <w:color w:val="auto"/>
          <w:sz w:val="24"/>
          <w:lang w:val="en-US"/>
        </w:rPr>
        <w:t>in</w:t>
      </w:r>
      <w:r w:rsidRPr="006E4AC9">
        <w:rPr>
          <w:rFonts w:ascii="Book Antiqua" w:hAnsi="Book Antiqua" w:cs="Times New Roman" w:hint="eastAsia"/>
          <w:bCs/>
          <w:color w:val="auto"/>
          <w:sz w:val="24"/>
          <w:lang w:val="en-US" w:eastAsia="zh-CN"/>
        </w:rPr>
        <w:t xml:space="preserve"> </w:t>
      </w:r>
      <w:r w:rsidRPr="006E4AC9">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E4AC9">
          <w:rPr>
            <w:rStyle w:val="Hyperlink"/>
            <w:rFonts w:ascii="Book Antiqua" w:hAnsi="Book Antiqua"/>
            <w:bCs/>
            <w:color w:val="auto"/>
            <w:sz w:val="24"/>
            <w:lang w:val="en-US"/>
          </w:rPr>
          <w:t>http://creativecommons.org/licenses/by-nc/4.0/</w:t>
        </w:r>
      </w:hyperlink>
      <w:bookmarkEnd w:id="0"/>
      <w:bookmarkEnd w:id="6"/>
      <w:bookmarkEnd w:id="7"/>
      <w:bookmarkEnd w:id="8"/>
      <w:bookmarkEnd w:id="9"/>
    </w:p>
    <w:bookmarkEnd w:id="1"/>
    <w:bookmarkEnd w:id="2"/>
    <w:bookmarkEnd w:id="3"/>
    <w:bookmarkEnd w:id="4"/>
    <w:bookmarkEnd w:id="5"/>
    <w:p w14:paraId="7B69F63B" w14:textId="77777777" w:rsidR="008C2014" w:rsidRPr="006E4AC9" w:rsidRDefault="008C2014" w:rsidP="00610593">
      <w:pPr>
        <w:pStyle w:val="1"/>
        <w:widowControl w:val="0"/>
        <w:snapToGrid w:val="0"/>
        <w:spacing w:line="360" w:lineRule="auto"/>
        <w:jc w:val="both"/>
        <w:rPr>
          <w:rFonts w:ascii="Book Antiqua" w:hAnsi="Book Antiqua" w:cs="Times New Roman"/>
          <w:b/>
          <w:bCs/>
          <w:color w:val="FF0000"/>
          <w:sz w:val="24"/>
          <w:lang w:val="en-US" w:eastAsia="zh-CN"/>
        </w:rPr>
      </w:pPr>
    </w:p>
    <w:p w14:paraId="2B1838A2" w14:textId="77777777" w:rsidR="008C2014" w:rsidRPr="006E4AC9" w:rsidRDefault="008C2014" w:rsidP="00610593">
      <w:pPr>
        <w:pStyle w:val="1"/>
        <w:widowControl w:val="0"/>
        <w:snapToGrid w:val="0"/>
        <w:spacing w:line="360" w:lineRule="auto"/>
        <w:jc w:val="both"/>
        <w:rPr>
          <w:rFonts w:ascii="Book Antiqua" w:hAnsi="Book Antiqua" w:cs="Times New Roman"/>
          <w:b/>
          <w:bCs/>
          <w:color w:val="auto"/>
          <w:sz w:val="24"/>
          <w:lang w:val="en-US" w:eastAsia="zh-CN"/>
        </w:rPr>
      </w:pPr>
      <w:r w:rsidRPr="006E4AC9">
        <w:rPr>
          <w:rFonts w:ascii="Book Antiqua" w:hAnsi="Book Antiqua" w:cs="Times New Roman"/>
          <w:b/>
          <w:bCs/>
          <w:color w:val="auto"/>
          <w:sz w:val="24"/>
          <w:lang w:val="en-US"/>
        </w:rPr>
        <w:t>Manuscript source:</w:t>
      </w:r>
      <w:r w:rsidRPr="006E4AC9">
        <w:rPr>
          <w:rFonts w:ascii="Book Antiqua" w:hAnsi="Book Antiqua" w:cs="Times New Roman" w:hint="eastAsia"/>
          <w:b/>
          <w:bCs/>
          <w:color w:val="auto"/>
          <w:sz w:val="24"/>
          <w:lang w:val="en-US" w:eastAsia="zh-CN"/>
        </w:rPr>
        <w:t xml:space="preserve"> </w:t>
      </w:r>
      <w:r w:rsidRPr="006E4AC9">
        <w:rPr>
          <w:rFonts w:ascii="Book Antiqua" w:hAnsi="Book Antiqua" w:cs="Times New Roman"/>
          <w:bCs/>
          <w:color w:val="auto"/>
          <w:sz w:val="24"/>
          <w:lang w:val="en-US"/>
        </w:rPr>
        <w:t>Invited manuscript</w:t>
      </w:r>
    </w:p>
    <w:p w14:paraId="6A14C5E7" w14:textId="77777777" w:rsidR="008C2014" w:rsidRPr="006E4AC9" w:rsidRDefault="008C2014" w:rsidP="00610593">
      <w:pPr>
        <w:widowControl w:val="0"/>
        <w:snapToGrid w:val="0"/>
        <w:spacing w:after="0"/>
        <w:jc w:val="both"/>
        <w:rPr>
          <w:rFonts w:eastAsia="SimSun"/>
          <w:b/>
          <w:szCs w:val="24"/>
          <w:lang w:eastAsia="zh-CN"/>
        </w:rPr>
      </w:pPr>
    </w:p>
    <w:p w14:paraId="66FAA4CF" w14:textId="01E218CD" w:rsidR="008C2014" w:rsidRPr="006E4AC9" w:rsidRDefault="00351310" w:rsidP="00610593">
      <w:pPr>
        <w:widowControl w:val="0"/>
        <w:snapToGrid w:val="0"/>
        <w:spacing w:after="0"/>
        <w:jc w:val="both"/>
        <w:rPr>
          <w:rFonts w:eastAsia="SimSun"/>
          <w:szCs w:val="24"/>
          <w:lang w:eastAsia="zh-CN"/>
        </w:rPr>
      </w:pPr>
      <w:r w:rsidRPr="006E4AC9">
        <w:rPr>
          <w:b/>
          <w:szCs w:val="24"/>
        </w:rPr>
        <w:t>Correspondence to: Dr. Dirk Walter,</w:t>
      </w:r>
      <w:r w:rsidRPr="006E4AC9">
        <w:rPr>
          <w:szCs w:val="24"/>
        </w:rPr>
        <w:t xml:space="preserve"> Department of Internal Medicine I, Johann Wolfgang Goethe-University hospital, Theodor-Stern-Kai 7, 60590 Frankfurt, Germany</w:t>
      </w:r>
      <w:r w:rsidR="008C2014" w:rsidRPr="006E4AC9">
        <w:rPr>
          <w:rFonts w:eastAsia="SimSun" w:hint="eastAsia"/>
          <w:szCs w:val="24"/>
          <w:lang w:eastAsia="zh-CN"/>
        </w:rPr>
        <w:t>.</w:t>
      </w:r>
      <w:r w:rsidRPr="006E4AC9">
        <w:rPr>
          <w:szCs w:val="24"/>
        </w:rPr>
        <w:t xml:space="preserve"> </w:t>
      </w:r>
      <w:hyperlink r:id="rId9" w:history="1">
        <w:r w:rsidR="008C2014" w:rsidRPr="006E4AC9">
          <w:rPr>
            <w:rStyle w:val="Hyperlink"/>
            <w:rFonts w:cstheme="minorBidi"/>
            <w:szCs w:val="24"/>
          </w:rPr>
          <w:t>dirk.walter@kgu.de</w:t>
        </w:r>
      </w:hyperlink>
    </w:p>
    <w:p w14:paraId="386F65F7" w14:textId="6A19E362" w:rsidR="008C2014" w:rsidRPr="006E4AC9" w:rsidRDefault="008C2014" w:rsidP="00610593">
      <w:pPr>
        <w:widowControl w:val="0"/>
        <w:snapToGrid w:val="0"/>
        <w:spacing w:after="0"/>
        <w:jc w:val="both"/>
        <w:rPr>
          <w:rFonts w:eastAsia="SimSun"/>
          <w:szCs w:val="24"/>
          <w:lang w:eastAsia="zh-CN"/>
        </w:rPr>
      </w:pPr>
      <w:r w:rsidRPr="006E4AC9">
        <w:rPr>
          <w:rFonts w:eastAsia="SimSun" w:hint="eastAsia"/>
          <w:b/>
          <w:szCs w:val="24"/>
          <w:lang w:eastAsia="zh-CN"/>
        </w:rPr>
        <w:t>Tele</w:t>
      </w:r>
      <w:r w:rsidRPr="006E4AC9">
        <w:rPr>
          <w:b/>
          <w:szCs w:val="24"/>
        </w:rPr>
        <w:t>p</w:t>
      </w:r>
      <w:r w:rsidR="00351310" w:rsidRPr="006E4AC9">
        <w:rPr>
          <w:b/>
          <w:szCs w:val="24"/>
        </w:rPr>
        <w:t>hone:</w:t>
      </w:r>
      <w:r w:rsidRPr="006E4AC9">
        <w:rPr>
          <w:szCs w:val="24"/>
        </w:rPr>
        <w:t xml:space="preserve"> +49-69-6301</w:t>
      </w:r>
      <w:r w:rsidR="00351310" w:rsidRPr="006E4AC9">
        <w:rPr>
          <w:szCs w:val="24"/>
        </w:rPr>
        <w:t>5122</w:t>
      </w:r>
    </w:p>
    <w:p w14:paraId="5C501243" w14:textId="57132A89" w:rsidR="00351310" w:rsidRPr="006E4AC9" w:rsidRDefault="00351310" w:rsidP="00610593">
      <w:pPr>
        <w:widowControl w:val="0"/>
        <w:snapToGrid w:val="0"/>
        <w:spacing w:after="0"/>
        <w:jc w:val="both"/>
        <w:rPr>
          <w:szCs w:val="24"/>
        </w:rPr>
      </w:pPr>
      <w:r w:rsidRPr="006E4AC9">
        <w:rPr>
          <w:b/>
          <w:szCs w:val="24"/>
        </w:rPr>
        <w:t xml:space="preserve">Fax: </w:t>
      </w:r>
      <w:r w:rsidRPr="006E4AC9">
        <w:rPr>
          <w:szCs w:val="24"/>
        </w:rPr>
        <w:t>+49-6</w:t>
      </w:r>
      <w:r w:rsidR="008C2014" w:rsidRPr="006E4AC9">
        <w:rPr>
          <w:szCs w:val="24"/>
        </w:rPr>
        <w:t>9-6301</w:t>
      </w:r>
      <w:r w:rsidRPr="006E4AC9">
        <w:rPr>
          <w:szCs w:val="24"/>
        </w:rPr>
        <w:t>6448</w:t>
      </w:r>
    </w:p>
    <w:p w14:paraId="31B3B086" w14:textId="77777777" w:rsidR="008C2014" w:rsidRPr="006E4AC9" w:rsidRDefault="008C2014" w:rsidP="00610593">
      <w:pPr>
        <w:widowControl w:val="0"/>
        <w:snapToGrid w:val="0"/>
        <w:spacing w:after="0"/>
        <w:jc w:val="both"/>
        <w:rPr>
          <w:rFonts w:eastAsia="SimSun"/>
          <w:b/>
          <w:szCs w:val="24"/>
          <w:lang w:eastAsia="zh-CN"/>
        </w:rPr>
      </w:pPr>
    </w:p>
    <w:p w14:paraId="5A22E49B" w14:textId="59E10691" w:rsidR="008C2014" w:rsidRPr="006E4AC9" w:rsidRDefault="008C2014" w:rsidP="00610593">
      <w:pPr>
        <w:widowControl w:val="0"/>
        <w:snapToGrid w:val="0"/>
        <w:spacing w:after="0"/>
        <w:jc w:val="both"/>
        <w:rPr>
          <w:rFonts w:eastAsia="SimSun" w:cs="SimSun"/>
          <w:b/>
          <w:szCs w:val="24"/>
          <w:lang w:eastAsia="zh-CN"/>
        </w:rPr>
      </w:pPr>
      <w:bookmarkStart w:id="10" w:name="OLE_LINK952"/>
      <w:r w:rsidRPr="006E4AC9">
        <w:rPr>
          <w:rFonts w:eastAsia="SimSun" w:cs="SimSun"/>
          <w:b/>
          <w:szCs w:val="24"/>
          <w:lang w:eastAsia="zh-CN"/>
        </w:rPr>
        <w:lastRenderedPageBreak/>
        <w:t>Received:</w:t>
      </w:r>
      <w:r w:rsidRPr="006E4AC9">
        <w:rPr>
          <w:rFonts w:eastAsia="SimSun" w:cs="SimSun" w:hint="eastAsia"/>
          <w:b/>
          <w:szCs w:val="24"/>
          <w:lang w:eastAsia="zh-CN"/>
        </w:rPr>
        <w:t xml:space="preserve"> </w:t>
      </w:r>
      <w:r w:rsidRPr="006E4AC9">
        <w:rPr>
          <w:rFonts w:eastAsia="SimSun" w:cs="SimSun" w:hint="eastAsia"/>
          <w:szCs w:val="24"/>
          <w:lang w:eastAsia="zh-CN"/>
        </w:rPr>
        <w:t>October 6, 2016</w:t>
      </w:r>
    </w:p>
    <w:p w14:paraId="07A902AE" w14:textId="23BA6475" w:rsidR="008C2014" w:rsidRPr="006E4AC9" w:rsidRDefault="008C2014" w:rsidP="00610593">
      <w:pPr>
        <w:widowControl w:val="0"/>
        <w:snapToGrid w:val="0"/>
        <w:spacing w:after="0"/>
        <w:jc w:val="both"/>
        <w:rPr>
          <w:rFonts w:eastAsia="SimSun" w:cs="SimSun"/>
          <w:b/>
          <w:szCs w:val="24"/>
          <w:lang w:eastAsia="zh-CN"/>
        </w:rPr>
      </w:pPr>
      <w:r w:rsidRPr="006E4AC9">
        <w:rPr>
          <w:rFonts w:eastAsia="SimSun" w:cs="SimSun"/>
          <w:b/>
          <w:szCs w:val="24"/>
          <w:lang w:eastAsia="zh-CN"/>
        </w:rPr>
        <w:t>Peer-review started:</w:t>
      </w:r>
      <w:r w:rsidRPr="006E4AC9">
        <w:rPr>
          <w:rFonts w:eastAsia="SimSun" w:cs="SimSun" w:hint="eastAsia"/>
          <w:b/>
          <w:szCs w:val="24"/>
          <w:lang w:eastAsia="zh-CN"/>
        </w:rPr>
        <w:t xml:space="preserve"> </w:t>
      </w:r>
      <w:r w:rsidRPr="006E4AC9">
        <w:rPr>
          <w:rFonts w:eastAsia="SimSun" w:cs="SimSun" w:hint="eastAsia"/>
          <w:szCs w:val="24"/>
          <w:lang w:eastAsia="zh-CN"/>
        </w:rPr>
        <w:t>October 10, 2016</w:t>
      </w:r>
    </w:p>
    <w:p w14:paraId="79D874B2" w14:textId="2A3F7AE2" w:rsidR="008C2014" w:rsidRPr="006E4AC9" w:rsidRDefault="008C2014" w:rsidP="00610593">
      <w:pPr>
        <w:widowControl w:val="0"/>
        <w:snapToGrid w:val="0"/>
        <w:spacing w:after="0"/>
        <w:jc w:val="both"/>
        <w:rPr>
          <w:rFonts w:eastAsia="SimSun" w:cs="SimSun"/>
          <w:b/>
          <w:szCs w:val="24"/>
          <w:lang w:eastAsia="zh-CN"/>
        </w:rPr>
      </w:pPr>
      <w:r w:rsidRPr="006E4AC9">
        <w:rPr>
          <w:rFonts w:eastAsia="SimSun" w:cs="SimSun"/>
          <w:b/>
          <w:szCs w:val="24"/>
          <w:lang w:eastAsia="zh-CN"/>
        </w:rPr>
        <w:t>First decision:</w:t>
      </w:r>
      <w:r w:rsidRPr="006E4AC9">
        <w:rPr>
          <w:rFonts w:eastAsia="SimSun" w:cs="SimSun" w:hint="eastAsia"/>
          <w:b/>
          <w:szCs w:val="24"/>
          <w:lang w:eastAsia="zh-CN"/>
        </w:rPr>
        <w:t xml:space="preserve"> </w:t>
      </w:r>
      <w:r w:rsidRPr="006E4AC9">
        <w:rPr>
          <w:rFonts w:eastAsia="SimSun" w:cs="SimSun" w:hint="eastAsia"/>
          <w:szCs w:val="24"/>
          <w:lang w:eastAsia="zh-CN"/>
        </w:rPr>
        <w:t>October 20, 2016</w:t>
      </w:r>
    </w:p>
    <w:p w14:paraId="0001C64E" w14:textId="750EE454" w:rsidR="008C2014" w:rsidRPr="006E4AC9" w:rsidRDefault="008C2014" w:rsidP="00610593">
      <w:pPr>
        <w:widowControl w:val="0"/>
        <w:snapToGrid w:val="0"/>
        <w:spacing w:after="0"/>
        <w:jc w:val="both"/>
        <w:rPr>
          <w:rFonts w:eastAsia="SimSun" w:cs="SimSun"/>
          <w:b/>
          <w:szCs w:val="24"/>
          <w:lang w:eastAsia="zh-CN"/>
        </w:rPr>
      </w:pPr>
      <w:r w:rsidRPr="006E4AC9">
        <w:rPr>
          <w:rFonts w:eastAsia="SimSun" w:cs="SimSun"/>
          <w:b/>
          <w:szCs w:val="24"/>
          <w:lang w:eastAsia="zh-CN"/>
        </w:rPr>
        <w:t>Revised:</w:t>
      </w:r>
      <w:r w:rsidRPr="006E4AC9">
        <w:rPr>
          <w:rFonts w:eastAsia="SimSun" w:cs="SimSun" w:hint="eastAsia"/>
          <w:b/>
          <w:szCs w:val="24"/>
          <w:lang w:eastAsia="zh-CN"/>
        </w:rPr>
        <w:t xml:space="preserve"> </w:t>
      </w:r>
      <w:r w:rsidRPr="006E4AC9">
        <w:rPr>
          <w:rFonts w:eastAsia="SimSun" w:cs="SimSun" w:hint="eastAsia"/>
          <w:szCs w:val="24"/>
          <w:lang w:eastAsia="zh-CN"/>
        </w:rPr>
        <w:t>November 17, 2016</w:t>
      </w:r>
    </w:p>
    <w:p w14:paraId="5F21588E" w14:textId="6DC21032" w:rsidR="008C2014" w:rsidRPr="007A54F3" w:rsidRDefault="008C2014" w:rsidP="007A54F3">
      <w:pPr>
        <w:rPr>
          <w:color w:val="000000"/>
        </w:rPr>
      </w:pPr>
      <w:r w:rsidRPr="006E4AC9">
        <w:rPr>
          <w:rFonts w:eastAsia="SimSun" w:cs="SimSun"/>
          <w:b/>
          <w:szCs w:val="24"/>
          <w:lang w:eastAsia="zh-CN"/>
        </w:rPr>
        <w:t>Accepted:</w:t>
      </w:r>
      <w:r w:rsidR="007A54F3" w:rsidRPr="007A54F3">
        <w:rPr>
          <w:color w:val="000000"/>
        </w:rPr>
        <w:t xml:space="preserve"> </w:t>
      </w:r>
      <w:r w:rsidR="007A54F3">
        <w:rPr>
          <w:color w:val="000000"/>
        </w:rPr>
        <w:t>January 11</w:t>
      </w:r>
      <w:r w:rsidR="007A54F3">
        <w:rPr>
          <w:color w:val="000000"/>
        </w:rPr>
        <w:t>, 2017</w:t>
      </w:r>
      <w:bookmarkStart w:id="11" w:name="_GoBack"/>
      <w:bookmarkEnd w:id="11"/>
    </w:p>
    <w:p w14:paraId="1D4F1E99" w14:textId="77777777" w:rsidR="008C2014" w:rsidRPr="006E4AC9" w:rsidRDefault="008C2014" w:rsidP="00610593">
      <w:pPr>
        <w:widowControl w:val="0"/>
        <w:snapToGrid w:val="0"/>
        <w:spacing w:after="0"/>
        <w:jc w:val="both"/>
        <w:rPr>
          <w:rFonts w:eastAsia="SimSun" w:cs="SimSun"/>
          <w:b/>
          <w:szCs w:val="24"/>
          <w:lang w:eastAsia="zh-CN"/>
        </w:rPr>
      </w:pPr>
      <w:r w:rsidRPr="006E4AC9">
        <w:rPr>
          <w:rFonts w:eastAsia="SimSun" w:cs="SimSun"/>
          <w:b/>
          <w:szCs w:val="24"/>
          <w:lang w:eastAsia="zh-CN"/>
        </w:rPr>
        <w:t>Article in press:</w:t>
      </w:r>
    </w:p>
    <w:p w14:paraId="7F55A134" w14:textId="77777777" w:rsidR="008C2014" w:rsidRPr="006E4AC9" w:rsidRDefault="008C2014" w:rsidP="00610593">
      <w:pPr>
        <w:widowControl w:val="0"/>
        <w:snapToGrid w:val="0"/>
        <w:spacing w:after="0"/>
        <w:jc w:val="both"/>
        <w:rPr>
          <w:rFonts w:eastAsia="SimSun" w:cs="Arial"/>
          <w:b/>
          <w:szCs w:val="24"/>
          <w:lang w:val="pl-PL" w:eastAsia="zh-CN"/>
        </w:rPr>
      </w:pPr>
      <w:r w:rsidRPr="006E4AC9">
        <w:rPr>
          <w:rFonts w:eastAsia="SimSun" w:cs="Arial"/>
          <w:b/>
          <w:szCs w:val="24"/>
          <w:lang w:val="pl-PL" w:eastAsia="pl-PL"/>
        </w:rPr>
        <w:t>Published online</w:t>
      </w:r>
      <w:r w:rsidRPr="006E4AC9">
        <w:rPr>
          <w:rFonts w:eastAsia="SimSun" w:cs="Arial" w:hint="eastAsia"/>
          <w:b/>
          <w:szCs w:val="24"/>
          <w:lang w:val="pl-PL" w:eastAsia="pl-PL"/>
        </w:rPr>
        <w:t>:</w:t>
      </w:r>
    </w:p>
    <w:bookmarkEnd w:id="10"/>
    <w:p w14:paraId="1553A2DD" w14:textId="575A68C5" w:rsidR="008C2014" w:rsidRPr="006E4AC9" w:rsidRDefault="008C2014" w:rsidP="00610593">
      <w:pPr>
        <w:widowControl w:val="0"/>
        <w:snapToGrid w:val="0"/>
        <w:spacing w:after="0"/>
        <w:rPr>
          <w:rFonts w:eastAsia="SimSun"/>
          <w:b/>
          <w:szCs w:val="24"/>
          <w:lang w:eastAsia="zh-CN"/>
        </w:rPr>
      </w:pPr>
      <w:r w:rsidRPr="006E4AC9">
        <w:rPr>
          <w:rFonts w:eastAsia="SimSun"/>
          <w:b/>
          <w:szCs w:val="24"/>
          <w:lang w:eastAsia="zh-CN"/>
        </w:rPr>
        <w:br w:type="page"/>
      </w:r>
    </w:p>
    <w:p w14:paraId="4C918B26" w14:textId="77777777" w:rsidR="005C7BD3" w:rsidRPr="006E4AC9" w:rsidRDefault="005C7BD3" w:rsidP="00610593">
      <w:pPr>
        <w:pStyle w:val="Heading1"/>
        <w:keepNext w:val="0"/>
        <w:keepLines w:val="0"/>
        <w:pageBreakBefore w:val="0"/>
        <w:widowControl w:val="0"/>
        <w:snapToGrid w:val="0"/>
        <w:spacing w:before="0" w:after="0"/>
        <w:jc w:val="both"/>
        <w:rPr>
          <w:rFonts w:ascii="Book Antiqua" w:hAnsi="Book Antiqua"/>
          <w:sz w:val="24"/>
          <w:szCs w:val="24"/>
        </w:rPr>
      </w:pPr>
      <w:r w:rsidRPr="006E4AC9">
        <w:rPr>
          <w:rFonts w:ascii="Book Antiqua" w:hAnsi="Book Antiqua"/>
          <w:sz w:val="24"/>
          <w:szCs w:val="24"/>
        </w:rPr>
        <w:lastRenderedPageBreak/>
        <w:t>Abstract</w:t>
      </w:r>
    </w:p>
    <w:p w14:paraId="0694143D" w14:textId="1C0BE787" w:rsidR="005C7BD3" w:rsidRPr="006E4AC9" w:rsidRDefault="00351310" w:rsidP="00610593">
      <w:pPr>
        <w:widowControl w:val="0"/>
        <w:snapToGrid w:val="0"/>
        <w:spacing w:after="0"/>
        <w:jc w:val="both"/>
        <w:rPr>
          <w:rFonts w:eastAsia="SimSun"/>
          <w:b/>
          <w:i/>
          <w:caps/>
          <w:szCs w:val="24"/>
          <w:lang w:eastAsia="zh-CN"/>
        </w:rPr>
      </w:pPr>
      <w:r w:rsidRPr="006E4AC9">
        <w:rPr>
          <w:b/>
          <w:i/>
          <w:caps/>
          <w:szCs w:val="24"/>
        </w:rPr>
        <w:t>Aim</w:t>
      </w:r>
    </w:p>
    <w:p w14:paraId="246AAB25" w14:textId="31F01FDC" w:rsidR="00351310" w:rsidRPr="006E4AC9" w:rsidRDefault="00351310" w:rsidP="00610593">
      <w:pPr>
        <w:widowControl w:val="0"/>
        <w:snapToGrid w:val="0"/>
        <w:spacing w:after="0"/>
        <w:jc w:val="both"/>
        <w:rPr>
          <w:szCs w:val="24"/>
        </w:rPr>
      </w:pPr>
      <w:r w:rsidRPr="006E4AC9">
        <w:rPr>
          <w:szCs w:val="24"/>
        </w:rPr>
        <w:t>To investigate presence and extent of eosinophilic cholangitis (EC)</w:t>
      </w:r>
      <w:r w:rsidR="006A5076" w:rsidRPr="006E4AC9">
        <w:rPr>
          <w:szCs w:val="24"/>
        </w:rPr>
        <w:t xml:space="preserve"> as well as IgG4-relat</w:t>
      </w:r>
      <w:r w:rsidR="0094659B" w:rsidRPr="006E4AC9">
        <w:rPr>
          <w:szCs w:val="24"/>
        </w:rPr>
        <w:t>ed disease</w:t>
      </w:r>
      <w:r w:rsidRPr="006E4AC9">
        <w:rPr>
          <w:szCs w:val="24"/>
        </w:rPr>
        <w:t xml:space="preserve"> in patients with indeterminate biliary stricture (IBS).</w:t>
      </w:r>
    </w:p>
    <w:p w14:paraId="0FBDED27" w14:textId="77777777" w:rsidR="008C2014" w:rsidRPr="006E4AC9" w:rsidRDefault="008C2014" w:rsidP="00610593">
      <w:pPr>
        <w:widowControl w:val="0"/>
        <w:snapToGrid w:val="0"/>
        <w:spacing w:after="0"/>
        <w:jc w:val="both"/>
        <w:rPr>
          <w:rFonts w:eastAsia="SimSun"/>
          <w:szCs w:val="24"/>
          <w:lang w:eastAsia="zh-CN"/>
        </w:rPr>
      </w:pPr>
    </w:p>
    <w:p w14:paraId="193CAB6F" w14:textId="1AC6E6A8" w:rsidR="00AD41D9" w:rsidRPr="006E4AC9" w:rsidRDefault="008C2014" w:rsidP="00610593">
      <w:pPr>
        <w:widowControl w:val="0"/>
        <w:snapToGrid w:val="0"/>
        <w:spacing w:after="0"/>
        <w:jc w:val="both"/>
        <w:rPr>
          <w:rFonts w:eastAsia="SimSun"/>
          <w:b/>
          <w:i/>
          <w:caps/>
          <w:szCs w:val="24"/>
          <w:lang w:eastAsia="zh-CN"/>
        </w:rPr>
      </w:pPr>
      <w:r w:rsidRPr="006E4AC9">
        <w:rPr>
          <w:b/>
          <w:i/>
          <w:caps/>
          <w:szCs w:val="24"/>
        </w:rPr>
        <w:t>Methods</w:t>
      </w:r>
    </w:p>
    <w:p w14:paraId="478972DA" w14:textId="11EA7AA0" w:rsidR="009000A5" w:rsidRPr="006E4AC9" w:rsidRDefault="009000A5" w:rsidP="00610593">
      <w:pPr>
        <w:widowControl w:val="0"/>
        <w:snapToGrid w:val="0"/>
        <w:spacing w:after="0"/>
        <w:jc w:val="both"/>
        <w:rPr>
          <w:szCs w:val="24"/>
        </w:rPr>
      </w:pPr>
      <w:r w:rsidRPr="006E4AC9">
        <w:rPr>
          <w:szCs w:val="24"/>
        </w:rPr>
        <w:t xml:space="preserve">All </w:t>
      </w:r>
      <w:r w:rsidR="006D37FC" w:rsidRPr="006E4AC9">
        <w:rPr>
          <w:szCs w:val="24"/>
        </w:rPr>
        <w:t xml:space="preserve">patients with diagnosis of </w:t>
      </w:r>
      <w:r w:rsidR="00C72476" w:rsidRPr="006E4AC9">
        <w:rPr>
          <w:szCs w:val="24"/>
        </w:rPr>
        <w:t>sclerosing cholangitis</w:t>
      </w:r>
      <w:r w:rsidR="006D37FC" w:rsidRPr="006E4AC9">
        <w:rPr>
          <w:szCs w:val="24"/>
        </w:rPr>
        <w:t xml:space="preserve"> </w:t>
      </w:r>
      <w:r w:rsidR="006F06A1" w:rsidRPr="006E4AC9">
        <w:rPr>
          <w:szCs w:val="24"/>
        </w:rPr>
        <w:t xml:space="preserve">(SC) </w:t>
      </w:r>
      <w:r w:rsidR="006D37FC" w:rsidRPr="006E4AC9">
        <w:rPr>
          <w:szCs w:val="24"/>
        </w:rPr>
        <w:t xml:space="preserve">and </w:t>
      </w:r>
      <w:r w:rsidRPr="006E4AC9">
        <w:rPr>
          <w:szCs w:val="24"/>
        </w:rPr>
        <w:t xml:space="preserve">histopathological </w:t>
      </w:r>
      <w:r w:rsidR="0094659B" w:rsidRPr="006E4AC9">
        <w:rPr>
          <w:szCs w:val="24"/>
        </w:rPr>
        <w:t xml:space="preserve">samples such as biopsies or surgical specimens </w:t>
      </w:r>
      <w:r w:rsidR="0030138D" w:rsidRPr="006E4AC9">
        <w:rPr>
          <w:szCs w:val="24"/>
        </w:rPr>
        <w:t>at University Hospital Frankfurt</w:t>
      </w:r>
      <w:r w:rsidR="004D4679" w:rsidRPr="006E4AC9">
        <w:rPr>
          <w:szCs w:val="24"/>
        </w:rPr>
        <w:t xml:space="preserve"> from </w:t>
      </w:r>
      <w:r w:rsidR="008C2014" w:rsidRPr="006E4AC9">
        <w:rPr>
          <w:szCs w:val="24"/>
        </w:rPr>
        <w:t>2005</w:t>
      </w:r>
      <w:r w:rsidR="006B0964" w:rsidRPr="006E4AC9">
        <w:rPr>
          <w:szCs w:val="24"/>
        </w:rPr>
        <w:t>-</w:t>
      </w:r>
      <w:r w:rsidR="004D4679" w:rsidRPr="006E4AC9">
        <w:rPr>
          <w:szCs w:val="24"/>
        </w:rPr>
        <w:t>2015</w:t>
      </w:r>
      <w:r w:rsidR="0030138D" w:rsidRPr="006E4AC9">
        <w:rPr>
          <w:szCs w:val="24"/>
        </w:rPr>
        <w:t xml:space="preserve"> were included.</w:t>
      </w:r>
      <w:r w:rsidR="00B24008" w:rsidRPr="006E4AC9">
        <w:rPr>
          <w:szCs w:val="24"/>
        </w:rPr>
        <w:t xml:space="preserve"> </w:t>
      </w:r>
      <w:r w:rsidR="0094659B" w:rsidRPr="006E4AC9">
        <w:rPr>
          <w:szCs w:val="24"/>
        </w:rPr>
        <w:t>Histopathological diagnoses as well as</w:t>
      </w:r>
      <w:r w:rsidR="005A6BC2" w:rsidRPr="006E4AC9">
        <w:rPr>
          <w:szCs w:val="24"/>
        </w:rPr>
        <w:t xml:space="preserve"> further</w:t>
      </w:r>
      <w:r w:rsidR="0094659B" w:rsidRPr="006E4AC9">
        <w:rPr>
          <w:szCs w:val="24"/>
        </w:rPr>
        <w:t xml:space="preserve"> clinical course were reviewed. </w:t>
      </w:r>
      <w:r w:rsidR="005A6BC2" w:rsidRPr="006E4AC9">
        <w:rPr>
          <w:szCs w:val="24"/>
        </w:rPr>
        <w:t xml:space="preserve">Tissue samples of patients without </w:t>
      </w:r>
      <w:r w:rsidR="0094659B" w:rsidRPr="006E4AC9">
        <w:rPr>
          <w:szCs w:val="24"/>
        </w:rPr>
        <w:t xml:space="preserve">definite diagnosis after complete diagnostic work-up were reviewed </w:t>
      </w:r>
      <w:r w:rsidR="0086404F" w:rsidRPr="006E4AC9">
        <w:rPr>
          <w:szCs w:val="24"/>
        </w:rPr>
        <w:t xml:space="preserve">regarding </w:t>
      </w:r>
      <w:r w:rsidR="0094659B" w:rsidRPr="006E4AC9">
        <w:rPr>
          <w:szCs w:val="24"/>
        </w:rPr>
        <w:t xml:space="preserve">presence of </w:t>
      </w:r>
      <w:r w:rsidR="0086404F" w:rsidRPr="006E4AC9">
        <w:rPr>
          <w:szCs w:val="24"/>
        </w:rPr>
        <w:t xml:space="preserve">eosinophilic infiltration and </w:t>
      </w:r>
      <w:r w:rsidR="00B24008" w:rsidRPr="006E4AC9">
        <w:rPr>
          <w:szCs w:val="24"/>
        </w:rPr>
        <w:t>IgG4</w:t>
      </w:r>
      <w:r w:rsidR="0086404F" w:rsidRPr="006E4AC9">
        <w:rPr>
          <w:szCs w:val="24"/>
        </w:rPr>
        <w:t xml:space="preserve"> positive plasma cells</w:t>
      </w:r>
      <w:r w:rsidR="00C96CBC" w:rsidRPr="006E4AC9">
        <w:rPr>
          <w:szCs w:val="24"/>
        </w:rPr>
        <w:t xml:space="preserve">. </w:t>
      </w:r>
      <w:r w:rsidR="0086404F" w:rsidRPr="006E4AC9">
        <w:rPr>
          <w:szCs w:val="24"/>
        </w:rPr>
        <w:t>Eosinophilic infiltration</w:t>
      </w:r>
      <w:r w:rsidR="004D4679" w:rsidRPr="006E4AC9">
        <w:rPr>
          <w:szCs w:val="24"/>
        </w:rPr>
        <w:t xml:space="preserve"> was</w:t>
      </w:r>
      <w:r w:rsidR="0086404F" w:rsidRPr="006E4AC9">
        <w:rPr>
          <w:szCs w:val="24"/>
        </w:rPr>
        <w:t xml:space="preserve"> </w:t>
      </w:r>
      <w:r w:rsidR="00BB68F6" w:rsidRPr="006E4AC9">
        <w:rPr>
          <w:szCs w:val="24"/>
        </w:rPr>
        <w:t>as well</w:t>
      </w:r>
      <w:r w:rsidR="00120D7B" w:rsidRPr="006E4AC9">
        <w:rPr>
          <w:szCs w:val="24"/>
        </w:rPr>
        <w:t xml:space="preserve"> </w:t>
      </w:r>
      <w:r w:rsidR="0086404F" w:rsidRPr="006E4AC9">
        <w:rPr>
          <w:szCs w:val="24"/>
        </w:rPr>
        <w:t>assessed in</w:t>
      </w:r>
      <w:r w:rsidRPr="006E4AC9">
        <w:rPr>
          <w:szCs w:val="24"/>
        </w:rPr>
        <w:t xml:space="preserve"> a</w:t>
      </w:r>
      <w:r w:rsidR="00B24008" w:rsidRPr="006E4AC9">
        <w:rPr>
          <w:szCs w:val="24"/>
        </w:rPr>
        <w:t xml:space="preserve"> control group of liver transplant donors and patients with primary</w:t>
      </w:r>
      <w:r w:rsidR="006A5076" w:rsidRPr="006E4AC9">
        <w:rPr>
          <w:szCs w:val="24"/>
        </w:rPr>
        <w:t xml:space="preserve"> sclerosing cholangitis</w:t>
      </w:r>
      <w:r w:rsidR="00B24008" w:rsidRPr="006E4AC9">
        <w:rPr>
          <w:szCs w:val="24"/>
        </w:rPr>
        <w:t>.</w:t>
      </w:r>
      <w:r w:rsidRPr="006E4AC9">
        <w:rPr>
          <w:szCs w:val="24"/>
        </w:rPr>
        <w:t xml:space="preserve"> </w:t>
      </w:r>
      <w:r w:rsidR="003F79E9" w:rsidRPr="006E4AC9">
        <w:rPr>
          <w:szCs w:val="24"/>
        </w:rPr>
        <w:t xml:space="preserve"> </w:t>
      </w:r>
    </w:p>
    <w:p w14:paraId="6B6EFEB3" w14:textId="77777777" w:rsidR="008C2014" w:rsidRPr="006E4AC9" w:rsidRDefault="008C2014" w:rsidP="00610593">
      <w:pPr>
        <w:widowControl w:val="0"/>
        <w:snapToGrid w:val="0"/>
        <w:spacing w:after="0"/>
        <w:jc w:val="both"/>
        <w:rPr>
          <w:rFonts w:eastAsia="SimSun"/>
          <w:szCs w:val="24"/>
          <w:lang w:eastAsia="zh-CN"/>
        </w:rPr>
      </w:pPr>
    </w:p>
    <w:p w14:paraId="7F07F181" w14:textId="2D48F81A" w:rsidR="005C7BD3" w:rsidRPr="006E4AC9" w:rsidRDefault="008C2014" w:rsidP="00610593">
      <w:pPr>
        <w:widowControl w:val="0"/>
        <w:snapToGrid w:val="0"/>
        <w:spacing w:after="0"/>
        <w:jc w:val="both"/>
        <w:rPr>
          <w:rFonts w:eastAsia="SimSun"/>
          <w:b/>
          <w:i/>
          <w:caps/>
          <w:szCs w:val="24"/>
          <w:lang w:eastAsia="zh-CN"/>
        </w:rPr>
      </w:pPr>
      <w:r w:rsidRPr="006E4AC9">
        <w:rPr>
          <w:b/>
          <w:i/>
          <w:caps/>
          <w:szCs w:val="24"/>
        </w:rPr>
        <w:t>Results</w:t>
      </w:r>
    </w:p>
    <w:p w14:paraId="6EC8D9AC" w14:textId="022A322A" w:rsidR="00B24008" w:rsidRPr="006E4AC9" w:rsidRDefault="00E839F2" w:rsidP="000F3C7D">
      <w:pPr>
        <w:jc w:val="both"/>
        <w:rPr>
          <w:szCs w:val="24"/>
        </w:rPr>
      </w:pPr>
      <w:r w:rsidRPr="00E839F2">
        <w:rPr>
          <w:caps/>
          <w:szCs w:val="24"/>
        </w:rPr>
        <w:t>o</w:t>
      </w:r>
      <w:r>
        <w:rPr>
          <w:szCs w:val="24"/>
        </w:rPr>
        <w:t>ne hundred and thirty-five</w:t>
      </w:r>
      <w:r>
        <w:rPr>
          <w:rFonts w:eastAsia="SimSun" w:hint="eastAsia"/>
          <w:szCs w:val="24"/>
          <w:lang w:eastAsia="zh-CN"/>
        </w:rPr>
        <w:t xml:space="preserve"> </w:t>
      </w:r>
      <w:r w:rsidR="00447FA8" w:rsidRPr="006E4AC9">
        <w:rPr>
          <w:szCs w:val="24"/>
        </w:rPr>
        <w:t xml:space="preserve">patients with </w:t>
      </w:r>
      <w:r w:rsidR="006F06A1" w:rsidRPr="006E4AC9">
        <w:rPr>
          <w:szCs w:val="24"/>
        </w:rPr>
        <w:t>SC</w:t>
      </w:r>
      <w:r w:rsidR="00447FA8" w:rsidRPr="006E4AC9">
        <w:rPr>
          <w:szCs w:val="24"/>
        </w:rPr>
        <w:t xml:space="preserve"> were included. </w:t>
      </w:r>
      <w:r w:rsidR="006E4F47" w:rsidRPr="006E4AC9">
        <w:rPr>
          <w:szCs w:val="24"/>
        </w:rPr>
        <w:t xml:space="preserve">In </w:t>
      </w:r>
      <w:r w:rsidR="00447FA8" w:rsidRPr="006E4AC9">
        <w:rPr>
          <w:szCs w:val="24"/>
        </w:rPr>
        <w:t xml:space="preserve">10/135 </w:t>
      </w:r>
      <w:r w:rsidR="006E4F47" w:rsidRPr="006E4AC9">
        <w:rPr>
          <w:szCs w:val="24"/>
        </w:rPr>
        <w:t xml:space="preserve">(13.5%) </w:t>
      </w:r>
      <w:r w:rsidR="00BB68F6" w:rsidRPr="006E4AC9">
        <w:rPr>
          <w:szCs w:val="24"/>
        </w:rPr>
        <w:t xml:space="preserve">patients, </w:t>
      </w:r>
      <w:r w:rsidR="004D4B53" w:rsidRPr="006E4AC9">
        <w:rPr>
          <w:szCs w:val="24"/>
        </w:rPr>
        <w:t xml:space="preserve">no </w:t>
      </w:r>
      <w:r w:rsidR="00730FE6" w:rsidRPr="006E4AC9">
        <w:rPr>
          <w:szCs w:val="24"/>
        </w:rPr>
        <w:t>potential cause</w:t>
      </w:r>
      <w:r w:rsidR="004D4B53" w:rsidRPr="006E4AC9">
        <w:rPr>
          <w:szCs w:val="24"/>
        </w:rPr>
        <w:t xml:space="preserve"> of IBS could be identified after </w:t>
      </w:r>
      <w:r w:rsidR="006D37FC" w:rsidRPr="006E4AC9">
        <w:rPr>
          <w:szCs w:val="24"/>
        </w:rPr>
        <w:t>complete diagnostic</w:t>
      </w:r>
      <w:r w:rsidR="00447FA8" w:rsidRPr="006E4AC9">
        <w:rPr>
          <w:szCs w:val="24"/>
        </w:rPr>
        <w:t xml:space="preserve"> work-up</w:t>
      </w:r>
      <w:r w:rsidR="0014789F" w:rsidRPr="006E4AC9">
        <w:rPr>
          <w:szCs w:val="24"/>
        </w:rPr>
        <w:t xml:space="preserve"> and further clinical course</w:t>
      </w:r>
      <w:r w:rsidR="0094659B" w:rsidRPr="006E4AC9">
        <w:rPr>
          <w:szCs w:val="24"/>
        </w:rPr>
        <w:t xml:space="preserve">. </w:t>
      </w:r>
      <w:r w:rsidR="006E4F47" w:rsidRPr="006E4AC9">
        <w:rPr>
          <w:szCs w:val="24"/>
        </w:rPr>
        <w:t>After histopathological review</w:t>
      </w:r>
      <w:r w:rsidR="006F06A1" w:rsidRPr="006E4AC9">
        <w:rPr>
          <w:szCs w:val="24"/>
        </w:rPr>
        <w:t>, a</w:t>
      </w:r>
      <w:r w:rsidR="009000A5" w:rsidRPr="006E4AC9">
        <w:rPr>
          <w:szCs w:val="24"/>
        </w:rPr>
        <w:t xml:space="preserve"> post-hoc diagnosis of</w:t>
      </w:r>
      <w:r w:rsidR="008C2014" w:rsidRPr="006E4AC9">
        <w:rPr>
          <w:rFonts w:eastAsia="SimSun" w:hint="eastAsia"/>
          <w:szCs w:val="24"/>
          <w:lang w:eastAsia="zh-CN"/>
        </w:rPr>
        <w:t xml:space="preserve"> </w:t>
      </w:r>
      <w:r w:rsidR="007D5070" w:rsidRPr="006E4AC9">
        <w:rPr>
          <w:szCs w:val="24"/>
        </w:rPr>
        <w:t>EC</w:t>
      </w:r>
      <w:r w:rsidR="008C2014" w:rsidRPr="006E4AC9">
        <w:rPr>
          <w:rFonts w:eastAsia="SimSun" w:hint="eastAsia"/>
          <w:szCs w:val="24"/>
          <w:lang w:eastAsia="zh-CN"/>
        </w:rPr>
        <w:t xml:space="preserve"> </w:t>
      </w:r>
      <w:r w:rsidR="007D5070" w:rsidRPr="006E4AC9">
        <w:rPr>
          <w:szCs w:val="24"/>
        </w:rPr>
        <w:t>was</w:t>
      </w:r>
      <w:r w:rsidR="009000A5" w:rsidRPr="006E4AC9">
        <w:rPr>
          <w:szCs w:val="24"/>
        </w:rPr>
        <w:t xml:space="preserve"> established</w:t>
      </w:r>
      <w:r w:rsidR="00A32E96" w:rsidRPr="006E4AC9">
        <w:rPr>
          <w:szCs w:val="24"/>
        </w:rPr>
        <w:t xml:space="preserve"> in </w:t>
      </w:r>
      <w:r w:rsidR="0094659B" w:rsidRPr="006E4AC9">
        <w:rPr>
          <w:szCs w:val="24"/>
        </w:rPr>
        <w:t>three</w:t>
      </w:r>
      <w:r w:rsidR="00A32E96" w:rsidRPr="006E4AC9">
        <w:rPr>
          <w:szCs w:val="24"/>
        </w:rPr>
        <w:t xml:space="preserve"> patients resulting in a prevalence of</w:t>
      </w:r>
      <w:r w:rsidR="00B24008" w:rsidRPr="006E4AC9">
        <w:rPr>
          <w:szCs w:val="24"/>
        </w:rPr>
        <w:t xml:space="preserve"> 2.2</w:t>
      </w:r>
      <w:r w:rsidR="00A32E96" w:rsidRPr="006E4AC9">
        <w:rPr>
          <w:szCs w:val="24"/>
        </w:rPr>
        <w:t xml:space="preserve">% </w:t>
      </w:r>
      <w:r w:rsidR="0094659B" w:rsidRPr="006E4AC9">
        <w:rPr>
          <w:szCs w:val="24"/>
        </w:rPr>
        <w:t>(</w:t>
      </w:r>
      <w:r w:rsidR="006A5076" w:rsidRPr="006E4AC9">
        <w:rPr>
          <w:szCs w:val="24"/>
        </w:rPr>
        <w:t>3</w:t>
      </w:r>
      <w:r w:rsidR="0094659B" w:rsidRPr="006E4AC9">
        <w:rPr>
          <w:szCs w:val="24"/>
        </w:rPr>
        <w:t>/135) of</w:t>
      </w:r>
      <w:r w:rsidR="006F06A1" w:rsidRPr="006E4AC9">
        <w:rPr>
          <w:szCs w:val="24"/>
        </w:rPr>
        <w:t xml:space="preserve"> all patients with SC</w:t>
      </w:r>
      <w:r w:rsidR="0094659B" w:rsidRPr="006E4AC9">
        <w:rPr>
          <w:szCs w:val="24"/>
        </w:rPr>
        <w:t xml:space="preserve"> as well as</w:t>
      </w:r>
      <w:r w:rsidR="00A32E96" w:rsidRPr="006E4AC9">
        <w:rPr>
          <w:szCs w:val="24"/>
        </w:rPr>
        <w:t xml:space="preserve"> 30</w:t>
      </w:r>
      <w:r w:rsidR="0014789F" w:rsidRPr="006E4AC9">
        <w:rPr>
          <w:szCs w:val="24"/>
        </w:rPr>
        <w:t xml:space="preserve">% (3/10) of patients, where no cause of </w:t>
      </w:r>
      <w:r w:rsidR="0094659B" w:rsidRPr="006E4AC9">
        <w:rPr>
          <w:szCs w:val="24"/>
        </w:rPr>
        <w:t>IBS</w:t>
      </w:r>
      <w:r w:rsidR="0014789F" w:rsidRPr="006E4AC9">
        <w:rPr>
          <w:szCs w:val="24"/>
        </w:rPr>
        <w:t xml:space="preserve"> was identified</w:t>
      </w:r>
      <w:r w:rsidR="00A32E96" w:rsidRPr="006E4AC9">
        <w:rPr>
          <w:szCs w:val="24"/>
        </w:rPr>
        <w:t>.</w:t>
      </w:r>
      <w:r w:rsidR="00B24008" w:rsidRPr="006E4AC9">
        <w:rPr>
          <w:szCs w:val="24"/>
        </w:rPr>
        <w:t xml:space="preserve"> </w:t>
      </w:r>
      <w:r w:rsidR="00C96CBC" w:rsidRPr="006E4AC9">
        <w:rPr>
          <w:szCs w:val="24"/>
        </w:rPr>
        <w:t>2/3</w:t>
      </w:r>
      <w:r w:rsidR="006A5076" w:rsidRPr="006E4AC9">
        <w:rPr>
          <w:szCs w:val="24"/>
        </w:rPr>
        <w:t xml:space="preserve"> patients </w:t>
      </w:r>
      <w:r w:rsidR="007D5070" w:rsidRPr="006E4AC9">
        <w:rPr>
          <w:szCs w:val="24"/>
        </w:rPr>
        <w:t>with</w:t>
      </w:r>
      <w:r w:rsidR="006E4F47" w:rsidRPr="006E4AC9">
        <w:rPr>
          <w:szCs w:val="24"/>
        </w:rPr>
        <w:t xml:space="preserve"> post-hoc diagnosis</w:t>
      </w:r>
      <w:r w:rsidR="007D5070" w:rsidRPr="006E4AC9">
        <w:rPr>
          <w:szCs w:val="24"/>
        </w:rPr>
        <w:t xml:space="preserve"> </w:t>
      </w:r>
      <w:r w:rsidR="004D4B53" w:rsidRPr="006E4AC9">
        <w:rPr>
          <w:szCs w:val="24"/>
        </w:rPr>
        <w:t xml:space="preserve">of </w:t>
      </w:r>
      <w:r w:rsidR="007D5070" w:rsidRPr="006E4AC9">
        <w:rPr>
          <w:szCs w:val="24"/>
        </w:rPr>
        <w:t xml:space="preserve">EC </w:t>
      </w:r>
      <w:r w:rsidR="00120D7B" w:rsidRPr="006E4AC9">
        <w:rPr>
          <w:szCs w:val="24"/>
        </w:rPr>
        <w:t xml:space="preserve">underwent </w:t>
      </w:r>
      <w:r w:rsidR="003F79E9" w:rsidRPr="006E4AC9">
        <w:rPr>
          <w:szCs w:val="24"/>
        </w:rPr>
        <w:t>surgical</w:t>
      </w:r>
      <w:r w:rsidR="001F227E" w:rsidRPr="006E4AC9">
        <w:rPr>
          <w:szCs w:val="24"/>
        </w:rPr>
        <w:t xml:space="preserve"> </w:t>
      </w:r>
      <w:r w:rsidR="00120D7B" w:rsidRPr="006E4AC9">
        <w:rPr>
          <w:szCs w:val="24"/>
        </w:rPr>
        <w:t>resection</w:t>
      </w:r>
      <w:r w:rsidR="006E4F47" w:rsidRPr="006E4AC9">
        <w:rPr>
          <w:szCs w:val="24"/>
        </w:rPr>
        <w:t xml:space="preserve"> with suspicion for malignancy</w:t>
      </w:r>
      <w:r w:rsidR="007D5070" w:rsidRPr="006E4AC9">
        <w:rPr>
          <w:szCs w:val="24"/>
        </w:rPr>
        <w:t xml:space="preserve">. </w:t>
      </w:r>
      <w:r w:rsidR="009A3D53" w:rsidRPr="006E4AC9">
        <w:rPr>
          <w:szCs w:val="24"/>
        </w:rPr>
        <w:t>D</w:t>
      </w:r>
      <w:r w:rsidR="003F79E9" w:rsidRPr="006E4AC9">
        <w:rPr>
          <w:szCs w:val="24"/>
        </w:rPr>
        <w:t>iagnosis</w:t>
      </w:r>
      <w:r w:rsidR="003F79E9" w:rsidRPr="006E4AC9" w:rsidDel="003F79E9">
        <w:rPr>
          <w:szCs w:val="24"/>
        </w:rPr>
        <w:t xml:space="preserve"> </w:t>
      </w:r>
      <w:r w:rsidR="00B24008" w:rsidRPr="006E4AC9">
        <w:rPr>
          <w:szCs w:val="24"/>
        </w:rPr>
        <w:t xml:space="preserve">of IgG4-related cholangitis was </w:t>
      </w:r>
      <w:r w:rsidR="003F79E9" w:rsidRPr="006E4AC9">
        <w:rPr>
          <w:szCs w:val="24"/>
        </w:rPr>
        <w:t xml:space="preserve">observed in </w:t>
      </w:r>
      <w:r w:rsidR="00B204DE" w:rsidRPr="006E4AC9">
        <w:rPr>
          <w:szCs w:val="24"/>
        </w:rPr>
        <w:t>7</w:t>
      </w:r>
      <w:r w:rsidR="0094659B" w:rsidRPr="006E4AC9">
        <w:rPr>
          <w:szCs w:val="24"/>
        </w:rPr>
        <w:t>/135</w:t>
      </w:r>
      <w:r w:rsidR="00B204DE" w:rsidRPr="006E4AC9">
        <w:rPr>
          <w:szCs w:val="24"/>
        </w:rPr>
        <w:t xml:space="preserve"> patients (5.1%)</w:t>
      </w:r>
      <w:r w:rsidR="00E03C1F" w:rsidRPr="006E4AC9">
        <w:rPr>
          <w:szCs w:val="24"/>
        </w:rPr>
        <w:t>,</w:t>
      </w:r>
      <w:r w:rsidR="001F227E" w:rsidRPr="006E4AC9">
        <w:rPr>
          <w:szCs w:val="24"/>
        </w:rPr>
        <w:t xml:space="preserve"> </w:t>
      </w:r>
      <w:r w:rsidR="00B24008" w:rsidRPr="006E4AC9">
        <w:rPr>
          <w:szCs w:val="24"/>
        </w:rPr>
        <w:t xml:space="preserve">whereas 3 cases were discovered </w:t>
      </w:r>
      <w:r w:rsidR="009A3D53" w:rsidRPr="006E4AC9">
        <w:rPr>
          <w:szCs w:val="24"/>
        </w:rPr>
        <w:t>in post-hoc analysis.</w:t>
      </w:r>
      <w:r w:rsidR="00B24008" w:rsidRPr="006E4AC9">
        <w:rPr>
          <w:szCs w:val="24"/>
        </w:rPr>
        <w:t xml:space="preserve"> </w:t>
      </w:r>
      <w:r w:rsidR="007D5070" w:rsidRPr="006E4AC9">
        <w:rPr>
          <w:szCs w:val="24"/>
        </w:rPr>
        <w:t xml:space="preserve">6/7 cases with IgG4-related cholangitis </w:t>
      </w:r>
      <w:r w:rsidR="00E03C1F" w:rsidRPr="006E4AC9">
        <w:rPr>
          <w:szCs w:val="24"/>
        </w:rPr>
        <w:t>(85</w:t>
      </w:r>
      <w:r w:rsidR="005E3192" w:rsidRPr="006E4AC9">
        <w:rPr>
          <w:szCs w:val="24"/>
        </w:rPr>
        <w:t>.</w:t>
      </w:r>
      <w:r w:rsidR="00E03C1F" w:rsidRPr="006E4AC9">
        <w:rPr>
          <w:szCs w:val="24"/>
        </w:rPr>
        <w:t xml:space="preserve">7%) </w:t>
      </w:r>
      <w:r w:rsidR="003F79E9" w:rsidRPr="006E4AC9">
        <w:rPr>
          <w:szCs w:val="24"/>
        </w:rPr>
        <w:t>presented with</w:t>
      </w:r>
      <w:r w:rsidR="007D5070" w:rsidRPr="006E4AC9">
        <w:rPr>
          <w:szCs w:val="24"/>
        </w:rPr>
        <w:t xml:space="preserve"> eosinophilic infiltration </w:t>
      </w:r>
      <w:r w:rsidR="003F79E9" w:rsidRPr="006E4AC9">
        <w:rPr>
          <w:szCs w:val="24"/>
        </w:rPr>
        <w:t>in addition to IgG4 positiv</w:t>
      </w:r>
      <w:r w:rsidR="00CD24C7" w:rsidRPr="006E4AC9">
        <w:rPr>
          <w:szCs w:val="24"/>
        </w:rPr>
        <w:t>e plasma cells</w:t>
      </w:r>
      <w:r w:rsidR="007D5070" w:rsidRPr="006E4AC9">
        <w:rPr>
          <w:szCs w:val="24"/>
        </w:rPr>
        <w:t xml:space="preserve">. </w:t>
      </w:r>
      <w:r w:rsidR="002F273E" w:rsidRPr="006E4AC9">
        <w:rPr>
          <w:szCs w:val="24"/>
        </w:rPr>
        <w:t xml:space="preserve">There was no </w:t>
      </w:r>
      <w:r w:rsidR="003F79E9" w:rsidRPr="006E4AC9">
        <w:rPr>
          <w:szCs w:val="24"/>
        </w:rPr>
        <w:t xml:space="preserve">patient with </w:t>
      </w:r>
      <w:r w:rsidR="002F273E" w:rsidRPr="006E4AC9">
        <w:rPr>
          <w:szCs w:val="24"/>
        </w:rPr>
        <w:t>eosinophilic in</w:t>
      </w:r>
      <w:r w:rsidR="006A5076" w:rsidRPr="006E4AC9">
        <w:rPr>
          <w:szCs w:val="24"/>
        </w:rPr>
        <w:t>filtration in the control group of liver transplant donors (</w:t>
      </w:r>
      <w:r w:rsidR="008C2014" w:rsidRPr="006E4AC9">
        <w:rPr>
          <w:i/>
          <w:szCs w:val="24"/>
        </w:rPr>
        <w:t>n</w:t>
      </w:r>
      <w:r w:rsidR="008C2014" w:rsidRPr="006E4AC9">
        <w:rPr>
          <w:rFonts w:eastAsia="SimSun" w:hint="eastAsia"/>
          <w:i/>
          <w:szCs w:val="24"/>
          <w:lang w:eastAsia="zh-CN"/>
        </w:rPr>
        <w:t xml:space="preserve"> </w:t>
      </w:r>
      <w:r w:rsidR="006A5076" w:rsidRPr="006E4AC9">
        <w:rPr>
          <w:szCs w:val="24"/>
        </w:rPr>
        <w:t>=</w:t>
      </w:r>
      <w:r w:rsidR="008C2014" w:rsidRPr="006E4AC9">
        <w:rPr>
          <w:rFonts w:eastAsia="SimSun" w:hint="eastAsia"/>
          <w:szCs w:val="24"/>
          <w:lang w:eastAsia="zh-CN"/>
        </w:rPr>
        <w:t xml:space="preserve"> </w:t>
      </w:r>
      <w:r w:rsidR="006A5076" w:rsidRPr="006E4AC9">
        <w:rPr>
          <w:szCs w:val="24"/>
        </w:rPr>
        <w:t>27) and patients with</w:t>
      </w:r>
      <w:r w:rsidR="0094659B" w:rsidRPr="006E4AC9">
        <w:rPr>
          <w:szCs w:val="24"/>
        </w:rPr>
        <w:t xml:space="preserve"> primary sclerosing cholangitis</w:t>
      </w:r>
      <w:r w:rsidR="006A5076" w:rsidRPr="006E4AC9">
        <w:rPr>
          <w:szCs w:val="24"/>
        </w:rPr>
        <w:t xml:space="preserve"> (</w:t>
      </w:r>
      <w:r w:rsidR="006A5076" w:rsidRPr="006E4AC9">
        <w:rPr>
          <w:i/>
          <w:szCs w:val="24"/>
        </w:rPr>
        <w:t>n</w:t>
      </w:r>
      <w:r w:rsidR="008C2014" w:rsidRPr="006E4AC9">
        <w:rPr>
          <w:rFonts w:eastAsia="SimSun" w:hint="eastAsia"/>
          <w:i/>
          <w:szCs w:val="24"/>
          <w:lang w:eastAsia="zh-CN"/>
        </w:rPr>
        <w:t xml:space="preserve"> </w:t>
      </w:r>
      <w:r w:rsidR="006A5076" w:rsidRPr="006E4AC9">
        <w:rPr>
          <w:szCs w:val="24"/>
        </w:rPr>
        <w:t>=</w:t>
      </w:r>
      <w:r w:rsidR="008C2014" w:rsidRPr="006E4AC9">
        <w:rPr>
          <w:rFonts w:eastAsia="SimSun" w:hint="eastAsia"/>
          <w:szCs w:val="24"/>
          <w:lang w:eastAsia="zh-CN"/>
        </w:rPr>
        <w:t xml:space="preserve"> </w:t>
      </w:r>
      <w:r w:rsidR="006A5076" w:rsidRPr="006E4AC9">
        <w:rPr>
          <w:szCs w:val="24"/>
        </w:rPr>
        <w:t>14).</w:t>
      </w:r>
    </w:p>
    <w:p w14:paraId="4CD122ED" w14:textId="77777777" w:rsidR="008C2014" w:rsidRPr="006E4AC9" w:rsidRDefault="008C2014" w:rsidP="00610593">
      <w:pPr>
        <w:widowControl w:val="0"/>
        <w:snapToGrid w:val="0"/>
        <w:spacing w:after="0"/>
        <w:jc w:val="both"/>
        <w:rPr>
          <w:rFonts w:eastAsia="SimSun"/>
          <w:szCs w:val="24"/>
          <w:lang w:eastAsia="zh-CN"/>
        </w:rPr>
      </w:pPr>
    </w:p>
    <w:p w14:paraId="2A538669" w14:textId="3F7F111C" w:rsidR="005C7BD3" w:rsidRPr="006E4AC9" w:rsidRDefault="008C2014" w:rsidP="00610593">
      <w:pPr>
        <w:widowControl w:val="0"/>
        <w:snapToGrid w:val="0"/>
        <w:spacing w:after="0"/>
        <w:jc w:val="both"/>
        <w:rPr>
          <w:rFonts w:eastAsia="SimSun"/>
          <w:b/>
          <w:i/>
          <w:caps/>
          <w:szCs w:val="24"/>
          <w:lang w:eastAsia="zh-CN"/>
        </w:rPr>
      </w:pPr>
      <w:r w:rsidRPr="006E4AC9">
        <w:rPr>
          <w:b/>
          <w:i/>
          <w:caps/>
          <w:szCs w:val="24"/>
        </w:rPr>
        <w:t>Conclusion</w:t>
      </w:r>
    </w:p>
    <w:p w14:paraId="75CDAE11" w14:textId="4F0D45D2" w:rsidR="00E30086" w:rsidRPr="006E4AC9" w:rsidRDefault="002F273E" w:rsidP="00610593">
      <w:pPr>
        <w:widowControl w:val="0"/>
        <w:snapToGrid w:val="0"/>
        <w:spacing w:after="0"/>
        <w:jc w:val="both"/>
        <w:rPr>
          <w:szCs w:val="24"/>
        </w:rPr>
      </w:pPr>
      <w:r w:rsidRPr="006E4AC9">
        <w:rPr>
          <w:szCs w:val="24"/>
        </w:rPr>
        <w:t>EC</w:t>
      </w:r>
      <w:r w:rsidR="003F79E9" w:rsidRPr="006E4AC9">
        <w:rPr>
          <w:szCs w:val="24"/>
        </w:rPr>
        <w:t xml:space="preserve"> </w:t>
      </w:r>
      <w:r w:rsidR="0086404F" w:rsidRPr="006E4AC9">
        <w:rPr>
          <w:szCs w:val="24"/>
        </w:rPr>
        <w:t>is</w:t>
      </w:r>
      <w:r w:rsidRPr="006E4AC9">
        <w:rPr>
          <w:szCs w:val="24"/>
        </w:rPr>
        <w:t xml:space="preserve"> </w:t>
      </w:r>
      <w:r w:rsidR="00C55D92" w:rsidRPr="006E4AC9">
        <w:rPr>
          <w:szCs w:val="24"/>
        </w:rPr>
        <w:t>a</w:t>
      </w:r>
      <w:r w:rsidR="003F79E9" w:rsidRPr="006E4AC9">
        <w:rPr>
          <w:szCs w:val="24"/>
        </w:rPr>
        <w:t>n</w:t>
      </w:r>
      <w:r w:rsidR="00C55D92" w:rsidRPr="006E4AC9">
        <w:rPr>
          <w:szCs w:val="24"/>
        </w:rPr>
        <w:t xml:space="preserve"> </w:t>
      </w:r>
      <w:r w:rsidR="003F79E9" w:rsidRPr="006E4AC9">
        <w:rPr>
          <w:szCs w:val="24"/>
        </w:rPr>
        <w:t>u</w:t>
      </w:r>
      <w:r w:rsidR="007D5070" w:rsidRPr="006E4AC9">
        <w:rPr>
          <w:szCs w:val="24"/>
        </w:rPr>
        <w:t xml:space="preserve">nderdiagnosed </w:t>
      </w:r>
      <w:r w:rsidRPr="006E4AC9">
        <w:rPr>
          <w:szCs w:val="24"/>
        </w:rPr>
        <w:t xml:space="preserve">benign etiology of </w:t>
      </w:r>
      <w:r w:rsidR="003F79E9" w:rsidRPr="006E4AC9">
        <w:rPr>
          <w:szCs w:val="24"/>
        </w:rPr>
        <w:t>SC and IBS</w:t>
      </w:r>
      <w:r w:rsidR="00E30086" w:rsidRPr="006E4AC9">
        <w:rPr>
          <w:szCs w:val="24"/>
        </w:rPr>
        <w:t xml:space="preserve">, which has to be considered </w:t>
      </w:r>
      <w:r w:rsidR="00E30086" w:rsidRPr="006E4AC9">
        <w:rPr>
          <w:szCs w:val="24"/>
        </w:rPr>
        <w:lastRenderedPageBreak/>
        <w:t>in differential diagnosis of IBS.</w:t>
      </w:r>
    </w:p>
    <w:p w14:paraId="3AF5D514" w14:textId="77777777" w:rsidR="008C2014" w:rsidRPr="006E4AC9" w:rsidRDefault="008C2014" w:rsidP="00610593">
      <w:pPr>
        <w:widowControl w:val="0"/>
        <w:snapToGrid w:val="0"/>
        <w:spacing w:after="0"/>
        <w:jc w:val="both"/>
        <w:rPr>
          <w:rFonts w:eastAsia="SimSun"/>
          <w:b/>
          <w:szCs w:val="24"/>
          <w:lang w:eastAsia="zh-CN"/>
        </w:rPr>
      </w:pPr>
    </w:p>
    <w:p w14:paraId="29E6F4E2" w14:textId="03A78420" w:rsidR="005C7BD3" w:rsidRPr="006E4AC9" w:rsidRDefault="005C7BD3" w:rsidP="00610593">
      <w:pPr>
        <w:widowControl w:val="0"/>
        <w:snapToGrid w:val="0"/>
        <w:spacing w:after="0"/>
        <w:jc w:val="both"/>
        <w:rPr>
          <w:rFonts w:eastAsia="SimSun"/>
          <w:b/>
          <w:szCs w:val="24"/>
          <w:lang w:eastAsia="zh-CN"/>
        </w:rPr>
      </w:pPr>
      <w:r w:rsidRPr="006E4AC9">
        <w:rPr>
          <w:b/>
          <w:szCs w:val="24"/>
        </w:rPr>
        <w:t>Key</w:t>
      </w:r>
      <w:r w:rsidR="008C2014" w:rsidRPr="006E4AC9">
        <w:rPr>
          <w:rFonts w:eastAsia="SimSun" w:hint="eastAsia"/>
          <w:b/>
          <w:szCs w:val="24"/>
          <w:lang w:eastAsia="zh-CN"/>
        </w:rPr>
        <w:t xml:space="preserve"> </w:t>
      </w:r>
      <w:r w:rsidRPr="006E4AC9">
        <w:rPr>
          <w:b/>
          <w:szCs w:val="24"/>
        </w:rPr>
        <w:t>words</w:t>
      </w:r>
      <w:r w:rsidR="008C2014" w:rsidRPr="006E4AC9">
        <w:rPr>
          <w:rFonts w:eastAsia="SimSun" w:hint="eastAsia"/>
          <w:b/>
          <w:szCs w:val="24"/>
          <w:lang w:eastAsia="zh-CN"/>
        </w:rPr>
        <w:t xml:space="preserve">: </w:t>
      </w:r>
      <w:r w:rsidRPr="006E4AC9">
        <w:rPr>
          <w:szCs w:val="24"/>
        </w:rPr>
        <w:t>Indeterminate b</w:t>
      </w:r>
      <w:r w:rsidR="00730FE6" w:rsidRPr="006E4AC9">
        <w:rPr>
          <w:szCs w:val="24"/>
        </w:rPr>
        <w:t>iliary stricture;</w:t>
      </w:r>
      <w:r w:rsidR="0022226D" w:rsidRPr="006E4AC9">
        <w:rPr>
          <w:szCs w:val="24"/>
        </w:rPr>
        <w:t xml:space="preserve"> </w:t>
      </w:r>
      <w:r w:rsidR="00730FE6" w:rsidRPr="006E4AC9">
        <w:rPr>
          <w:caps/>
          <w:szCs w:val="24"/>
        </w:rPr>
        <w:t>e</w:t>
      </w:r>
      <w:r w:rsidR="00730FE6" w:rsidRPr="006E4AC9">
        <w:rPr>
          <w:szCs w:val="24"/>
        </w:rPr>
        <w:t>ndoscopy;</w:t>
      </w:r>
      <w:r w:rsidR="0022226D" w:rsidRPr="006E4AC9">
        <w:rPr>
          <w:szCs w:val="24"/>
        </w:rPr>
        <w:t xml:space="preserve"> </w:t>
      </w:r>
      <w:r w:rsidR="0022226D" w:rsidRPr="006E4AC9">
        <w:rPr>
          <w:caps/>
          <w:szCs w:val="24"/>
        </w:rPr>
        <w:t>e</w:t>
      </w:r>
      <w:r w:rsidRPr="006E4AC9">
        <w:rPr>
          <w:szCs w:val="24"/>
        </w:rPr>
        <w:t xml:space="preserve">ndoscopic </w:t>
      </w:r>
      <w:r w:rsidR="0022226D" w:rsidRPr="006E4AC9">
        <w:rPr>
          <w:szCs w:val="24"/>
        </w:rPr>
        <w:t>retrograde c</w:t>
      </w:r>
      <w:r w:rsidR="00730FE6" w:rsidRPr="006E4AC9">
        <w:rPr>
          <w:szCs w:val="24"/>
        </w:rPr>
        <w:t>holangiopancreatography;</w:t>
      </w:r>
      <w:r w:rsidRPr="006E4AC9">
        <w:rPr>
          <w:szCs w:val="24"/>
        </w:rPr>
        <w:t xml:space="preserve"> </w:t>
      </w:r>
      <w:r w:rsidR="00916F1E" w:rsidRPr="006E4AC9">
        <w:rPr>
          <w:caps/>
          <w:szCs w:val="24"/>
        </w:rPr>
        <w:t>e</w:t>
      </w:r>
      <w:r w:rsidR="00916F1E" w:rsidRPr="006E4AC9">
        <w:rPr>
          <w:szCs w:val="24"/>
        </w:rPr>
        <w:t>osinophilic</w:t>
      </w:r>
      <w:r w:rsidRPr="006E4AC9">
        <w:rPr>
          <w:szCs w:val="24"/>
        </w:rPr>
        <w:t xml:space="preserve"> </w:t>
      </w:r>
      <w:r w:rsidR="00730FE6" w:rsidRPr="006E4AC9">
        <w:rPr>
          <w:szCs w:val="24"/>
        </w:rPr>
        <w:t xml:space="preserve">cholangitis; </w:t>
      </w:r>
      <w:r w:rsidR="00730FE6" w:rsidRPr="006E4AC9">
        <w:rPr>
          <w:caps/>
          <w:szCs w:val="24"/>
        </w:rPr>
        <w:t>b</w:t>
      </w:r>
      <w:r w:rsidR="00730FE6" w:rsidRPr="006E4AC9">
        <w:rPr>
          <w:szCs w:val="24"/>
        </w:rPr>
        <w:t>ile duct stenosis; IgG4</w:t>
      </w:r>
      <w:r w:rsidR="00DB26B8" w:rsidRPr="006E4AC9">
        <w:rPr>
          <w:rFonts w:eastAsia="SimSun" w:hint="eastAsia"/>
          <w:szCs w:val="24"/>
          <w:lang w:eastAsia="zh-CN"/>
        </w:rPr>
        <w:t>-</w:t>
      </w:r>
      <w:r w:rsidR="00730FE6" w:rsidRPr="006E4AC9">
        <w:rPr>
          <w:szCs w:val="24"/>
        </w:rPr>
        <w:t>related disease;</w:t>
      </w:r>
      <w:r w:rsidR="007C4D51" w:rsidRPr="006E4AC9">
        <w:rPr>
          <w:szCs w:val="24"/>
        </w:rPr>
        <w:t xml:space="preserve"> </w:t>
      </w:r>
      <w:r w:rsidR="007C4D51" w:rsidRPr="006E4AC9">
        <w:rPr>
          <w:caps/>
          <w:szCs w:val="24"/>
        </w:rPr>
        <w:t>p</w:t>
      </w:r>
      <w:r w:rsidR="007C4D51" w:rsidRPr="006E4AC9">
        <w:rPr>
          <w:szCs w:val="24"/>
        </w:rPr>
        <w:t>rimary sclerosing cholangitis</w:t>
      </w:r>
    </w:p>
    <w:p w14:paraId="1C4D537A" w14:textId="77777777" w:rsidR="005C7BD3" w:rsidRPr="006E4AC9" w:rsidRDefault="005C7BD3" w:rsidP="00610593">
      <w:pPr>
        <w:widowControl w:val="0"/>
        <w:snapToGrid w:val="0"/>
        <w:spacing w:after="0"/>
        <w:jc w:val="both"/>
        <w:rPr>
          <w:rFonts w:eastAsia="SimSun"/>
          <w:szCs w:val="24"/>
          <w:lang w:eastAsia="zh-CN"/>
        </w:rPr>
      </w:pPr>
    </w:p>
    <w:p w14:paraId="399D8091" w14:textId="75199815" w:rsidR="00DB26B8" w:rsidRPr="006E4AC9" w:rsidRDefault="00DB26B8" w:rsidP="00610593">
      <w:pPr>
        <w:widowControl w:val="0"/>
        <w:adjustRightInd w:val="0"/>
        <w:snapToGrid w:val="0"/>
        <w:spacing w:after="0"/>
        <w:jc w:val="both"/>
      </w:pPr>
      <w:bookmarkStart w:id="12" w:name="OLE_LINK363"/>
      <w:bookmarkStart w:id="13" w:name="OLE_LINK364"/>
      <w:bookmarkStart w:id="14" w:name="OLE_LINK359"/>
      <w:bookmarkStart w:id="15" w:name="OLE_LINK1037"/>
      <w:bookmarkStart w:id="16" w:name="OLE_LINK1195"/>
      <w:bookmarkStart w:id="17" w:name="OLE_LINK1140"/>
      <w:bookmarkStart w:id="18" w:name="OLE_LINK1062"/>
      <w:bookmarkStart w:id="19" w:name="OLE_LINK500"/>
      <w:bookmarkStart w:id="20" w:name="OLE_LINK916"/>
      <w:bookmarkStart w:id="21" w:name="OLE_LINK956"/>
      <w:r w:rsidRPr="006E4AC9">
        <w:rPr>
          <w:rFonts w:hint="eastAsia"/>
          <w:b/>
        </w:rPr>
        <w:t>©</w:t>
      </w:r>
      <w:r w:rsidRPr="006E4AC9">
        <w:rPr>
          <w:b/>
        </w:rPr>
        <w:t xml:space="preserve"> The Author(s) 201</w:t>
      </w:r>
      <w:r w:rsidR="006A1301">
        <w:rPr>
          <w:rFonts w:eastAsia="SimSun" w:hint="eastAsia"/>
          <w:b/>
          <w:lang w:eastAsia="zh-CN"/>
        </w:rPr>
        <w:t>7</w:t>
      </w:r>
      <w:r w:rsidRPr="006E4AC9">
        <w:rPr>
          <w:b/>
        </w:rPr>
        <w:t>.</w:t>
      </w:r>
      <w:r w:rsidRPr="006E4AC9">
        <w:t xml:space="preserve"> Published by Baishideng Publishing Group Inc. All rights reserved.</w:t>
      </w:r>
    </w:p>
    <w:bookmarkEnd w:id="12"/>
    <w:bookmarkEnd w:id="13"/>
    <w:bookmarkEnd w:id="14"/>
    <w:bookmarkEnd w:id="15"/>
    <w:bookmarkEnd w:id="16"/>
    <w:bookmarkEnd w:id="17"/>
    <w:bookmarkEnd w:id="18"/>
    <w:bookmarkEnd w:id="19"/>
    <w:bookmarkEnd w:id="20"/>
    <w:bookmarkEnd w:id="21"/>
    <w:p w14:paraId="4C846F34" w14:textId="77777777" w:rsidR="00DB26B8" w:rsidRPr="006E4AC9" w:rsidRDefault="00DB26B8" w:rsidP="00610593">
      <w:pPr>
        <w:widowControl w:val="0"/>
        <w:snapToGrid w:val="0"/>
        <w:spacing w:after="0"/>
        <w:jc w:val="both"/>
        <w:rPr>
          <w:rFonts w:eastAsia="SimSun"/>
          <w:szCs w:val="24"/>
          <w:lang w:eastAsia="zh-CN"/>
        </w:rPr>
      </w:pPr>
    </w:p>
    <w:p w14:paraId="4970628B" w14:textId="196804F1" w:rsidR="008C2014" w:rsidRPr="006E4AC9" w:rsidRDefault="008C2014" w:rsidP="00610593">
      <w:pPr>
        <w:widowControl w:val="0"/>
        <w:snapToGrid w:val="0"/>
        <w:spacing w:after="0"/>
        <w:jc w:val="both"/>
        <w:rPr>
          <w:szCs w:val="24"/>
        </w:rPr>
      </w:pPr>
      <w:r w:rsidRPr="006E4AC9">
        <w:rPr>
          <w:b/>
          <w:szCs w:val="24"/>
        </w:rPr>
        <w:t>Core tip</w:t>
      </w:r>
      <w:r w:rsidRPr="006E4AC9">
        <w:rPr>
          <w:szCs w:val="24"/>
        </w:rPr>
        <w:t>:</w:t>
      </w:r>
      <w:r w:rsidR="00DB26B8" w:rsidRPr="006E4AC9">
        <w:rPr>
          <w:rFonts w:eastAsia="SimSun" w:hint="eastAsia"/>
          <w:szCs w:val="24"/>
          <w:lang w:eastAsia="zh-CN"/>
        </w:rPr>
        <w:t xml:space="preserve"> </w:t>
      </w:r>
      <w:r w:rsidRPr="006E4AC9">
        <w:rPr>
          <w:szCs w:val="24"/>
        </w:rPr>
        <w:t>To differentiate benign from malignant disease in indeterminate biliary strictures (IBS) is crucial for clinical management. To date, data on eosinophilic cholangitis (EC) as a potential cause of IBS are lacking. In this retrospective study, we demonstrate that EC occurs in up to 30% of patients presenting with IBS and unclear clinical and histopathological findings at the end of diagnostic work-up. We thereby demonstrate that EC is a potentially underdiagnosed benign disease, which has to be considered in differential diagnoses of IBS to prevent these patients from surgery.</w:t>
      </w:r>
    </w:p>
    <w:p w14:paraId="62987E4A" w14:textId="77777777" w:rsidR="00DB26B8" w:rsidRPr="006E4AC9" w:rsidRDefault="00DB26B8" w:rsidP="00610593">
      <w:pPr>
        <w:widowControl w:val="0"/>
        <w:snapToGrid w:val="0"/>
        <w:spacing w:after="0"/>
        <w:jc w:val="both"/>
        <w:rPr>
          <w:rFonts w:eastAsia="SimSun"/>
          <w:b/>
          <w:szCs w:val="24"/>
          <w:lang w:eastAsia="zh-CN"/>
        </w:rPr>
      </w:pPr>
    </w:p>
    <w:p w14:paraId="174C2497" w14:textId="034AB415" w:rsidR="00DB26B8" w:rsidRPr="006E4AC9" w:rsidRDefault="00DB26B8" w:rsidP="00610593">
      <w:pPr>
        <w:widowControl w:val="0"/>
        <w:snapToGrid w:val="0"/>
        <w:spacing w:after="0"/>
        <w:jc w:val="both"/>
        <w:rPr>
          <w:rFonts w:eastAsia="SimSun"/>
          <w:szCs w:val="24"/>
          <w:lang w:eastAsia="zh-CN"/>
        </w:rPr>
      </w:pPr>
      <w:r w:rsidRPr="006E4AC9">
        <w:rPr>
          <w:szCs w:val="24"/>
          <w:lang w:val="de-DE"/>
        </w:rPr>
        <w:t>Walter D,</w:t>
      </w:r>
      <w:r w:rsidRPr="006E4AC9">
        <w:rPr>
          <w:rFonts w:hint="eastAsia"/>
          <w:szCs w:val="24"/>
          <w:lang w:val="de-DE"/>
        </w:rPr>
        <w:t xml:space="preserve"> </w:t>
      </w:r>
      <w:r w:rsidRPr="006E4AC9">
        <w:rPr>
          <w:szCs w:val="24"/>
          <w:lang w:val="de-DE"/>
        </w:rPr>
        <w:t>Hartmann S,</w:t>
      </w:r>
      <w:r w:rsidRPr="006E4AC9">
        <w:rPr>
          <w:rFonts w:hint="eastAsia"/>
          <w:szCs w:val="24"/>
          <w:lang w:val="de-DE"/>
        </w:rPr>
        <w:t xml:space="preserve"> </w:t>
      </w:r>
      <w:r w:rsidRPr="006E4AC9">
        <w:rPr>
          <w:szCs w:val="24"/>
          <w:lang w:val="de-DE"/>
        </w:rPr>
        <w:t>Herrmann E,</w:t>
      </w:r>
      <w:r w:rsidRPr="006E4AC9">
        <w:rPr>
          <w:rFonts w:hint="eastAsia"/>
          <w:szCs w:val="24"/>
          <w:lang w:val="de-DE"/>
        </w:rPr>
        <w:t xml:space="preserve"> </w:t>
      </w:r>
      <w:r w:rsidRPr="006E4AC9">
        <w:rPr>
          <w:szCs w:val="24"/>
          <w:lang w:val="de-DE"/>
        </w:rPr>
        <w:t>Peveling-Oberhag J,</w:t>
      </w:r>
      <w:r w:rsidRPr="006E4AC9">
        <w:rPr>
          <w:rFonts w:hint="eastAsia"/>
          <w:szCs w:val="24"/>
          <w:lang w:val="de-DE"/>
        </w:rPr>
        <w:t xml:space="preserve"> </w:t>
      </w:r>
      <w:r w:rsidRPr="006E4AC9">
        <w:rPr>
          <w:szCs w:val="24"/>
          <w:lang w:val="de-DE"/>
        </w:rPr>
        <w:t>Bechstein W,</w:t>
      </w:r>
      <w:r w:rsidRPr="006E4AC9">
        <w:rPr>
          <w:rFonts w:hint="eastAsia"/>
          <w:szCs w:val="24"/>
          <w:lang w:val="de-DE"/>
        </w:rPr>
        <w:t xml:space="preserve"> </w:t>
      </w:r>
      <w:r w:rsidRPr="006E4AC9">
        <w:rPr>
          <w:szCs w:val="24"/>
          <w:lang w:val="de-DE"/>
        </w:rPr>
        <w:t>Zeuzem S,</w:t>
      </w:r>
      <w:r w:rsidRPr="006E4AC9">
        <w:rPr>
          <w:rFonts w:hint="eastAsia"/>
          <w:szCs w:val="24"/>
          <w:lang w:val="de-DE"/>
        </w:rPr>
        <w:t xml:space="preserve"> </w:t>
      </w:r>
      <w:r w:rsidRPr="006E4AC9">
        <w:rPr>
          <w:szCs w:val="24"/>
          <w:lang w:val="de-DE"/>
        </w:rPr>
        <w:t>Hansmann ML,</w:t>
      </w:r>
      <w:r w:rsidRPr="006E4AC9">
        <w:rPr>
          <w:rFonts w:hint="eastAsia"/>
          <w:szCs w:val="24"/>
          <w:lang w:val="de-DE"/>
        </w:rPr>
        <w:t xml:space="preserve"> </w:t>
      </w:r>
      <w:r w:rsidRPr="006E4AC9">
        <w:rPr>
          <w:szCs w:val="24"/>
          <w:lang w:val="de-DE"/>
        </w:rPr>
        <w:t>Friedrich-Rust M,</w:t>
      </w:r>
      <w:r w:rsidRPr="006E4AC9">
        <w:rPr>
          <w:rFonts w:hint="eastAsia"/>
          <w:szCs w:val="24"/>
          <w:lang w:val="de-DE"/>
        </w:rPr>
        <w:t xml:space="preserve"> </w:t>
      </w:r>
      <w:r w:rsidRPr="006E4AC9">
        <w:rPr>
          <w:szCs w:val="24"/>
          <w:lang w:val="de-DE"/>
        </w:rPr>
        <w:t>Albert JG</w:t>
      </w:r>
      <w:r w:rsidRPr="006E4AC9">
        <w:rPr>
          <w:rFonts w:eastAsia="SimSun" w:hint="eastAsia"/>
          <w:szCs w:val="24"/>
          <w:lang w:val="de-DE" w:eastAsia="zh-CN"/>
        </w:rPr>
        <w:t xml:space="preserve">. </w:t>
      </w:r>
      <w:r w:rsidRPr="006E4AC9">
        <w:rPr>
          <w:szCs w:val="24"/>
        </w:rPr>
        <w:t>Eosinophilic cholangitis is a potentially underdiagnosed etiology in indeterminate biliary stricture</w:t>
      </w:r>
      <w:r w:rsidRPr="006E4AC9">
        <w:rPr>
          <w:rFonts w:eastAsia="SimSun" w:hint="eastAsia"/>
          <w:szCs w:val="24"/>
          <w:lang w:eastAsia="zh-CN"/>
        </w:rPr>
        <w:t xml:space="preserve">. </w:t>
      </w:r>
      <w:r w:rsidRPr="006E4AC9">
        <w:rPr>
          <w:rFonts w:eastAsia="SimSun"/>
          <w:i/>
          <w:szCs w:val="24"/>
          <w:lang w:eastAsia="zh-CN"/>
        </w:rPr>
        <w:t xml:space="preserve">World J Gastroenterol </w:t>
      </w:r>
      <w:r w:rsidRPr="006E4AC9">
        <w:rPr>
          <w:rFonts w:eastAsia="SimSun"/>
          <w:szCs w:val="24"/>
          <w:lang w:eastAsia="zh-CN"/>
        </w:rPr>
        <w:t>201</w:t>
      </w:r>
      <w:r w:rsidR="004A33EB">
        <w:rPr>
          <w:rFonts w:eastAsia="SimSun" w:hint="eastAsia"/>
          <w:szCs w:val="24"/>
          <w:lang w:eastAsia="zh-CN"/>
        </w:rPr>
        <w:t>7</w:t>
      </w:r>
      <w:r w:rsidRPr="006E4AC9">
        <w:rPr>
          <w:rFonts w:eastAsia="SimSun"/>
          <w:szCs w:val="24"/>
          <w:lang w:eastAsia="zh-CN"/>
        </w:rPr>
        <w:t>; In press</w:t>
      </w:r>
    </w:p>
    <w:p w14:paraId="46925DC1" w14:textId="77777777" w:rsidR="00DB26B8" w:rsidRPr="006E4AC9" w:rsidRDefault="00DB26B8" w:rsidP="00610593">
      <w:pPr>
        <w:widowControl w:val="0"/>
        <w:snapToGrid w:val="0"/>
        <w:spacing w:after="0"/>
        <w:jc w:val="both"/>
        <w:rPr>
          <w:rFonts w:eastAsia="SimSun"/>
          <w:b/>
          <w:szCs w:val="24"/>
          <w:lang w:eastAsia="zh-CN"/>
        </w:rPr>
      </w:pPr>
    </w:p>
    <w:p w14:paraId="05E6B1D5" w14:textId="77777777" w:rsidR="00A44D1A" w:rsidRPr="006E4AC9" w:rsidRDefault="00A44D1A" w:rsidP="00610593">
      <w:pPr>
        <w:snapToGrid w:val="0"/>
        <w:spacing w:after="0"/>
        <w:rPr>
          <w:rFonts w:eastAsiaTheme="majorEastAsia"/>
          <w:b/>
          <w:bCs/>
          <w:caps/>
          <w:szCs w:val="24"/>
        </w:rPr>
      </w:pPr>
      <w:r w:rsidRPr="006E4AC9">
        <w:rPr>
          <w:caps/>
          <w:szCs w:val="24"/>
        </w:rPr>
        <w:br w:type="page"/>
      </w:r>
    </w:p>
    <w:p w14:paraId="30085418" w14:textId="60A71BE9" w:rsidR="00595EA9" w:rsidRPr="006E4AC9" w:rsidRDefault="00595EA9" w:rsidP="00610593">
      <w:pPr>
        <w:pStyle w:val="Heading1"/>
        <w:keepNext w:val="0"/>
        <w:keepLines w:val="0"/>
        <w:pageBreakBefore w:val="0"/>
        <w:widowControl w:val="0"/>
        <w:snapToGrid w:val="0"/>
        <w:spacing w:before="0" w:after="0"/>
        <w:jc w:val="both"/>
        <w:rPr>
          <w:rFonts w:ascii="Book Antiqua" w:hAnsi="Book Antiqua"/>
          <w:caps/>
          <w:sz w:val="24"/>
          <w:szCs w:val="24"/>
        </w:rPr>
      </w:pPr>
      <w:r w:rsidRPr="006E4AC9">
        <w:rPr>
          <w:rFonts w:ascii="Book Antiqua" w:hAnsi="Book Antiqua"/>
          <w:caps/>
          <w:sz w:val="24"/>
          <w:szCs w:val="24"/>
        </w:rPr>
        <w:lastRenderedPageBreak/>
        <w:t xml:space="preserve">Introduction </w:t>
      </w:r>
    </w:p>
    <w:p w14:paraId="4A8EDEE1" w14:textId="77777777" w:rsidR="00595EA9" w:rsidRPr="006E4AC9" w:rsidRDefault="00595EA9" w:rsidP="00610593">
      <w:pPr>
        <w:widowControl w:val="0"/>
        <w:snapToGrid w:val="0"/>
        <w:spacing w:after="0"/>
        <w:jc w:val="both"/>
        <w:rPr>
          <w:szCs w:val="24"/>
        </w:rPr>
      </w:pPr>
      <w:r w:rsidRPr="006E4AC9">
        <w:rPr>
          <w:szCs w:val="24"/>
        </w:rPr>
        <w:t>Sclerosing cholangitis (SC) can arise from various underlying diseases, such as infectious, immunological, toxic or ischemic etiology as well as due to mechanical obstruction. Different types of SC may look alike at cross sectional imaging and radiography of the bile ducts, unified by a characteristic narrowing of intrahepatic and/or extrahepatic bile duct system. For clinical management, especially differentiation of benign from malignant strictures is fundamental. However, a definite diagnosis can solely be established by histopathological analysis of the bile duct alterations. Clinical data together with percutaneous ultrasound, computed tomography (CT), magnetic resonance imaging (MRI) and endoscopic retrograde cholangiopancreatography (ERCP) contribute to a probable diagnosis, not equaling the security of histopathology. Differentiating indeterminate biliary strictures (IBS) and establishing the diagnosis of SC vs. cholangiocarcinoma (CCA) is challenging in many patients. This is represented by studies reporting a benign diagnosis in patients with IBS after surgery in up to 17%</w:t>
      </w:r>
      <w:r w:rsidRPr="006E4AC9">
        <w:rPr>
          <w:szCs w:val="24"/>
          <w:vertAlign w:val="superscript"/>
        </w:rPr>
        <w:t>[1–3]</w:t>
      </w:r>
      <w:r w:rsidRPr="006E4AC9">
        <w:rPr>
          <w:szCs w:val="24"/>
        </w:rPr>
        <w:t>.</w:t>
      </w:r>
    </w:p>
    <w:p w14:paraId="6609467C" w14:textId="138A6C69" w:rsidR="00595EA9" w:rsidRPr="006E4AC9" w:rsidRDefault="00595EA9" w:rsidP="00610593">
      <w:pPr>
        <w:widowControl w:val="0"/>
        <w:snapToGrid w:val="0"/>
        <w:spacing w:after="0"/>
        <w:ind w:firstLineChars="100" w:firstLine="240"/>
        <w:jc w:val="both"/>
        <w:rPr>
          <w:szCs w:val="24"/>
        </w:rPr>
      </w:pPr>
      <w:r w:rsidRPr="006E4AC9">
        <w:rPr>
          <w:szCs w:val="24"/>
        </w:rPr>
        <w:t>In recent years, an increasing number of cases were reported with SC caused by eosinophilic cholangitis (EC): a</w:t>
      </w:r>
      <w:r w:rsidR="00DB26B8" w:rsidRPr="006E4AC9">
        <w:rPr>
          <w:rFonts w:eastAsia="SimSun" w:hint="eastAsia"/>
          <w:szCs w:val="24"/>
          <w:lang w:eastAsia="zh-CN"/>
        </w:rPr>
        <w:t xml:space="preserve"> </w:t>
      </w:r>
      <w:r w:rsidRPr="006E4AC9">
        <w:rPr>
          <w:szCs w:val="24"/>
        </w:rPr>
        <w:t>benign condition first described by Leegaard in 1980</w:t>
      </w:r>
      <w:r w:rsidRPr="006E4AC9">
        <w:rPr>
          <w:szCs w:val="24"/>
          <w:vertAlign w:val="superscript"/>
        </w:rPr>
        <w:t>[4]</w:t>
      </w:r>
      <w:r w:rsidRPr="006E4AC9">
        <w:rPr>
          <w:szCs w:val="24"/>
        </w:rPr>
        <w:t>. EC is characterized by (1) a wall thickening or stenosis of the biliary system, (2) histopathological findings of eosinophilic infiltration</w:t>
      </w:r>
      <w:r w:rsidR="00DB26B8" w:rsidRPr="006E4AC9">
        <w:rPr>
          <w:rFonts w:eastAsia="SimSun" w:hint="eastAsia"/>
          <w:szCs w:val="24"/>
          <w:lang w:eastAsia="zh-CN"/>
        </w:rPr>
        <w:t>,</w:t>
      </w:r>
      <w:r w:rsidRPr="006E4AC9">
        <w:rPr>
          <w:szCs w:val="24"/>
        </w:rPr>
        <w:t xml:space="preserve"> and (3) reversibility of biliary abnormalities without treatment or following steroid treatment</w:t>
      </w:r>
      <w:r w:rsidRPr="006E4AC9">
        <w:rPr>
          <w:szCs w:val="24"/>
          <w:vertAlign w:val="superscript"/>
        </w:rPr>
        <w:t>[5]</w:t>
      </w:r>
      <w:r w:rsidRPr="006E4AC9">
        <w:rPr>
          <w:szCs w:val="24"/>
        </w:rPr>
        <w:t>. Peripheral eosinophilia was observed often but not necessarily in case reports (65%</w:t>
      </w:r>
      <w:r w:rsidRPr="006E4AC9">
        <w:rPr>
          <w:szCs w:val="24"/>
          <w:vertAlign w:val="superscript"/>
        </w:rPr>
        <w:t>[6]</w:t>
      </w:r>
      <w:r w:rsidRPr="006E4AC9">
        <w:rPr>
          <w:szCs w:val="24"/>
        </w:rPr>
        <w:t>). EC as cause of SC is of special interest, since it can appear as Klatskin-mimicking lesion and is often only diagnosed after bile duct resection, although conservative treatment leads to resolution of the stricture. However, an underlying cause of EC could not be identified to date and data on prevalence of EC are lacking.</w:t>
      </w:r>
    </w:p>
    <w:p w14:paraId="0CE200B4" w14:textId="77777777" w:rsidR="00595EA9" w:rsidRPr="006E4AC9" w:rsidRDefault="00595EA9" w:rsidP="00610593">
      <w:pPr>
        <w:widowControl w:val="0"/>
        <w:snapToGrid w:val="0"/>
        <w:spacing w:after="0"/>
        <w:ind w:firstLineChars="100" w:firstLine="240"/>
        <w:jc w:val="both"/>
        <w:rPr>
          <w:szCs w:val="24"/>
        </w:rPr>
      </w:pPr>
      <w:r w:rsidRPr="006E4AC9">
        <w:rPr>
          <w:szCs w:val="24"/>
        </w:rPr>
        <w:t>In the present study, we performed a retrospective analysis to evaluate prevalence of EC and IgG4-RD in patients with IBS and inconclusive histopathological findings.</w:t>
      </w:r>
    </w:p>
    <w:p w14:paraId="12CFDC45" w14:textId="77777777" w:rsidR="00DB26B8" w:rsidRPr="006E4AC9" w:rsidRDefault="00DB26B8" w:rsidP="00610593">
      <w:pPr>
        <w:widowControl w:val="0"/>
        <w:snapToGrid w:val="0"/>
        <w:spacing w:after="0"/>
        <w:ind w:left="120" w:hangingChars="50" w:hanging="120"/>
        <w:jc w:val="both"/>
        <w:rPr>
          <w:rFonts w:eastAsia="SimSun" w:cs="Times New Roman"/>
          <w:b/>
          <w:caps/>
          <w:lang w:eastAsia="zh-CN"/>
        </w:rPr>
      </w:pPr>
      <w:bookmarkStart w:id="22" w:name="OLE_LINK478"/>
      <w:bookmarkStart w:id="23" w:name="OLE_LINK481"/>
      <w:bookmarkStart w:id="24" w:name="OLE_LINK483"/>
      <w:bookmarkStart w:id="25" w:name="OLE_LINK674"/>
    </w:p>
    <w:p w14:paraId="7E9E1D1D" w14:textId="77777777" w:rsidR="00DB26B8" w:rsidRPr="006E4AC9" w:rsidRDefault="00DB26B8" w:rsidP="00610593">
      <w:pPr>
        <w:widowControl w:val="0"/>
        <w:snapToGrid w:val="0"/>
        <w:spacing w:after="0"/>
        <w:ind w:left="120" w:hangingChars="50" w:hanging="120"/>
        <w:jc w:val="both"/>
        <w:rPr>
          <w:rFonts w:cs="Times New Roman"/>
          <w:b/>
          <w:caps/>
        </w:rPr>
      </w:pPr>
      <w:r w:rsidRPr="006E4AC9">
        <w:rPr>
          <w:rFonts w:cs="Times New Roman"/>
          <w:b/>
          <w:caps/>
        </w:rPr>
        <w:t>Materials and methods</w:t>
      </w:r>
    </w:p>
    <w:bookmarkEnd w:id="22"/>
    <w:bookmarkEnd w:id="23"/>
    <w:bookmarkEnd w:id="24"/>
    <w:bookmarkEnd w:id="25"/>
    <w:p w14:paraId="571549D7" w14:textId="77777777" w:rsidR="00595EA9" w:rsidRPr="006E4AC9" w:rsidRDefault="00595EA9" w:rsidP="00610593">
      <w:pPr>
        <w:pStyle w:val="Heading2"/>
        <w:keepNext w:val="0"/>
        <w:keepLines w:val="0"/>
        <w:widowControl w:val="0"/>
        <w:snapToGrid w:val="0"/>
        <w:spacing w:before="0" w:after="0"/>
        <w:jc w:val="both"/>
        <w:rPr>
          <w:rFonts w:ascii="Book Antiqua" w:hAnsi="Book Antiqua"/>
          <w:i/>
          <w:szCs w:val="24"/>
        </w:rPr>
      </w:pPr>
      <w:r w:rsidRPr="006E4AC9">
        <w:rPr>
          <w:rFonts w:ascii="Book Antiqua" w:hAnsi="Book Antiqua"/>
          <w:i/>
          <w:szCs w:val="24"/>
        </w:rPr>
        <w:t>Patients</w:t>
      </w:r>
    </w:p>
    <w:p w14:paraId="66BEA4F4" w14:textId="77777777" w:rsidR="00595EA9" w:rsidRPr="006E4AC9" w:rsidRDefault="00595EA9" w:rsidP="00610593">
      <w:pPr>
        <w:widowControl w:val="0"/>
        <w:snapToGrid w:val="0"/>
        <w:spacing w:after="0"/>
        <w:jc w:val="both"/>
        <w:rPr>
          <w:szCs w:val="24"/>
        </w:rPr>
      </w:pPr>
      <w:r w:rsidRPr="006E4AC9">
        <w:rPr>
          <w:szCs w:val="24"/>
        </w:rPr>
        <w:t xml:space="preserve">Patients with diagnosis of SC (according to ICD-10 Code) between 2005 and 2015 at University Hospital Frankfurt were screened and all patients with histopathological </w:t>
      </w:r>
      <w:r w:rsidRPr="006E4AC9">
        <w:rPr>
          <w:szCs w:val="24"/>
        </w:rPr>
        <w:lastRenderedPageBreak/>
        <w:t>specimen available from biopsies or surgical resections were included. Thereby, patients with IBS that were surgically treated for suspicion of malignancy were included as well as inconclusive findings at biopsies. To evaluate the subsequent clinical course of the patients with inconclusive histopathological findings, electronic medical records were investigated and standardized. Extracted data were: age, gender and final diagnosis from clinical documents.</w:t>
      </w:r>
    </w:p>
    <w:p w14:paraId="4B420AC6" w14:textId="77777777" w:rsidR="00DB26B8" w:rsidRPr="006E4AC9" w:rsidRDefault="00DB26B8" w:rsidP="00610593">
      <w:pPr>
        <w:pStyle w:val="Heading2"/>
        <w:keepNext w:val="0"/>
        <w:keepLines w:val="0"/>
        <w:widowControl w:val="0"/>
        <w:snapToGrid w:val="0"/>
        <w:spacing w:before="0" w:after="0"/>
        <w:jc w:val="both"/>
        <w:rPr>
          <w:rFonts w:ascii="Book Antiqua" w:eastAsia="SimSun" w:hAnsi="Book Antiqua"/>
          <w:szCs w:val="24"/>
          <w:lang w:eastAsia="zh-CN"/>
        </w:rPr>
      </w:pPr>
    </w:p>
    <w:p w14:paraId="3ACB1B67" w14:textId="77777777" w:rsidR="00595EA9" w:rsidRPr="006E4AC9" w:rsidRDefault="00595EA9" w:rsidP="00610593">
      <w:pPr>
        <w:pStyle w:val="Heading2"/>
        <w:keepNext w:val="0"/>
        <w:keepLines w:val="0"/>
        <w:widowControl w:val="0"/>
        <w:snapToGrid w:val="0"/>
        <w:spacing w:before="0" w:after="0"/>
        <w:jc w:val="both"/>
        <w:rPr>
          <w:rFonts w:ascii="Book Antiqua" w:hAnsi="Book Antiqua"/>
          <w:i/>
          <w:szCs w:val="24"/>
        </w:rPr>
      </w:pPr>
      <w:r w:rsidRPr="006E4AC9">
        <w:rPr>
          <w:rFonts w:ascii="Book Antiqua" w:hAnsi="Book Antiqua"/>
          <w:i/>
          <w:szCs w:val="24"/>
        </w:rPr>
        <w:t>Histopathological and clinical review</w:t>
      </w:r>
    </w:p>
    <w:p w14:paraId="1CE71470" w14:textId="15446933" w:rsidR="00595EA9" w:rsidRPr="006E4AC9" w:rsidRDefault="00595EA9" w:rsidP="00610593">
      <w:pPr>
        <w:widowControl w:val="0"/>
        <w:snapToGrid w:val="0"/>
        <w:spacing w:after="0"/>
        <w:jc w:val="both"/>
        <w:rPr>
          <w:szCs w:val="24"/>
        </w:rPr>
      </w:pPr>
      <w:r w:rsidRPr="006E4AC9">
        <w:rPr>
          <w:szCs w:val="24"/>
        </w:rPr>
        <w:t xml:space="preserve">In all patients with inconclusive </w:t>
      </w:r>
      <w:r w:rsidR="000422F6" w:rsidRPr="006E4AC9">
        <w:rPr>
          <w:szCs w:val="24"/>
        </w:rPr>
        <w:t xml:space="preserve">histological and clinical </w:t>
      </w:r>
      <w:r w:rsidRPr="006E4AC9">
        <w:rPr>
          <w:szCs w:val="24"/>
        </w:rPr>
        <w:t>findings after full diagnostic work-up, hematoxylin-eosin stained slides of surgical or bioptical specimens were reevaluated by an expert pathologist. Eosinophilic granulocytes were counted per high power field (HPF) in areas of cholangitis with the highest density up to an eosinophilic count of 30/HPF. All cases with ≥</w:t>
      </w:r>
      <w:r w:rsidR="00DB26B8" w:rsidRPr="006E4AC9">
        <w:rPr>
          <w:rFonts w:eastAsia="SimSun" w:hint="eastAsia"/>
          <w:szCs w:val="24"/>
          <w:lang w:eastAsia="zh-CN"/>
        </w:rPr>
        <w:t xml:space="preserve"> </w:t>
      </w:r>
      <w:r w:rsidRPr="006E4AC9">
        <w:rPr>
          <w:szCs w:val="24"/>
        </w:rPr>
        <w:t>15 eosinophilic granulocytes/HPF were assessed as positive according to the threshold for eosinophilic esophagitis</w:t>
      </w:r>
      <w:r w:rsidRPr="006E4AC9">
        <w:rPr>
          <w:szCs w:val="24"/>
          <w:vertAlign w:val="superscript"/>
        </w:rPr>
        <w:t>[7]</w:t>
      </w:r>
      <w:r w:rsidRPr="006E4AC9">
        <w:rPr>
          <w:szCs w:val="24"/>
        </w:rPr>
        <w:t>. In addition, a representative block was chosen and staining with an IgG4-antibody (Mouse anti-IgG4, Zytomed Systems, Berlin, Germany) was performed. Cases were considered as IgG4-positive, when &gt;</w:t>
      </w:r>
      <w:r w:rsidR="005E3192" w:rsidRPr="006E4AC9">
        <w:rPr>
          <w:szCs w:val="24"/>
        </w:rPr>
        <w:t xml:space="preserve"> </w:t>
      </w:r>
      <w:r w:rsidRPr="006E4AC9">
        <w:rPr>
          <w:szCs w:val="24"/>
        </w:rPr>
        <w:t>30% of plasma cells stained positive for IgG4.</w:t>
      </w:r>
    </w:p>
    <w:p w14:paraId="6807D43E" w14:textId="77777777" w:rsidR="00595EA9" w:rsidRPr="006E4AC9" w:rsidRDefault="00595EA9" w:rsidP="00610593">
      <w:pPr>
        <w:widowControl w:val="0"/>
        <w:snapToGrid w:val="0"/>
        <w:spacing w:after="0"/>
        <w:ind w:firstLineChars="100" w:firstLine="240"/>
        <w:jc w:val="both"/>
        <w:rPr>
          <w:szCs w:val="24"/>
        </w:rPr>
      </w:pPr>
      <w:r w:rsidRPr="006E4AC9">
        <w:rPr>
          <w:szCs w:val="24"/>
        </w:rPr>
        <w:t xml:space="preserve">Furthermore, all patients with inconclusive findings after full diagnostic work-up were reviewed for presence and appearance of biliary stricture in cross sectional imaging (CT, MRI) and ERCP. </w:t>
      </w:r>
    </w:p>
    <w:p w14:paraId="0F663A46" w14:textId="77777777" w:rsidR="00595EA9" w:rsidRPr="006E4AC9" w:rsidRDefault="00595EA9" w:rsidP="00610593">
      <w:pPr>
        <w:widowControl w:val="0"/>
        <w:snapToGrid w:val="0"/>
        <w:spacing w:after="0"/>
        <w:ind w:firstLineChars="100" w:firstLine="240"/>
        <w:jc w:val="both"/>
        <w:rPr>
          <w:szCs w:val="24"/>
        </w:rPr>
      </w:pPr>
      <w:r w:rsidRPr="006E4AC9">
        <w:rPr>
          <w:szCs w:val="24"/>
        </w:rPr>
        <w:t>After the review of histopathological and clinical data, patients were classified into consistent with EC, consistent with IgG4-RD or not consistent with either EC or IgG4-RD.</w:t>
      </w:r>
    </w:p>
    <w:p w14:paraId="5FD64A8C" w14:textId="77777777" w:rsidR="00595EA9" w:rsidRPr="006E4AC9" w:rsidRDefault="00595EA9" w:rsidP="00610593">
      <w:pPr>
        <w:widowControl w:val="0"/>
        <w:snapToGrid w:val="0"/>
        <w:spacing w:after="0"/>
        <w:ind w:firstLineChars="100" w:firstLine="240"/>
        <w:jc w:val="both"/>
        <w:rPr>
          <w:szCs w:val="24"/>
        </w:rPr>
      </w:pPr>
      <w:r w:rsidRPr="006E4AC9">
        <w:rPr>
          <w:szCs w:val="24"/>
        </w:rPr>
        <w:t xml:space="preserve">To evaluate eosinophilic infiltration in PSC and non-inflammatory bile ducts, samples with histopathological reports of biopsies or surgical specimens including the diagnosis PSC and liver transplant-donors were investigated as well. </w:t>
      </w:r>
    </w:p>
    <w:p w14:paraId="7F0BB9C7" w14:textId="451F37C1" w:rsidR="00543B4D" w:rsidRPr="006E4AC9" w:rsidRDefault="00543B4D" w:rsidP="00610593">
      <w:pPr>
        <w:widowControl w:val="0"/>
        <w:snapToGrid w:val="0"/>
        <w:spacing w:after="0"/>
        <w:ind w:firstLineChars="100" w:firstLine="240"/>
        <w:jc w:val="both"/>
        <w:rPr>
          <w:szCs w:val="24"/>
        </w:rPr>
      </w:pPr>
      <w:r w:rsidRPr="006E4AC9">
        <w:rPr>
          <w:szCs w:val="24"/>
        </w:rPr>
        <w:t>For ERCP, standard duodenoscopes (Olympus V-Scopes, TJF 160VF, TJF-Q180 V; Olympus Eur</w:t>
      </w:r>
      <w:r w:rsidR="00982630" w:rsidRPr="006E4AC9">
        <w:rPr>
          <w:szCs w:val="24"/>
        </w:rPr>
        <w:t>ope, Hamburg, Germany) were used</w:t>
      </w:r>
      <w:r w:rsidR="00E476B3" w:rsidRPr="006E4AC9">
        <w:rPr>
          <w:szCs w:val="24"/>
        </w:rPr>
        <w:t xml:space="preserve"> and the short-wire technique with locking the wire at the distal end of the duodenoscope was applied</w:t>
      </w:r>
      <w:r w:rsidRPr="006E4AC9">
        <w:rPr>
          <w:szCs w:val="24"/>
        </w:rPr>
        <w:t xml:space="preserve">. </w:t>
      </w:r>
      <w:r w:rsidR="00982630" w:rsidRPr="006E4AC9">
        <w:rPr>
          <w:szCs w:val="24"/>
        </w:rPr>
        <w:t xml:space="preserve">In patient 4, </w:t>
      </w:r>
      <w:r w:rsidRPr="006E4AC9">
        <w:rPr>
          <w:szCs w:val="24"/>
        </w:rPr>
        <w:t>cholangioscop</w:t>
      </w:r>
      <w:r w:rsidR="00C72476" w:rsidRPr="006E4AC9">
        <w:rPr>
          <w:szCs w:val="24"/>
        </w:rPr>
        <w:t>y</w:t>
      </w:r>
      <w:r w:rsidR="00982630" w:rsidRPr="006E4AC9">
        <w:rPr>
          <w:szCs w:val="24"/>
        </w:rPr>
        <w:t xml:space="preserve"> was used as well (</w:t>
      </w:r>
      <w:r w:rsidR="008C1638" w:rsidRPr="006E4AC9">
        <w:rPr>
          <w:szCs w:val="24"/>
        </w:rPr>
        <w:t>duodenoscope TJF - Q180V</w:t>
      </w:r>
      <w:r w:rsidR="00982630" w:rsidRPr="006E4AC9">
        <w:rPr>
          <w:szCs w:val="24"/>
        </w:rPr>
        <w:t xml:space="preserve">, </w:t>
      </w:r>
      <w:r w:rsidRPr="006E4AC9">
        <w:rPr>
          <w:szCs w:val="24"/>
        </w:rPr>
        <w:t xml:space="preserve">Olympus Medical, Tokyo, Japan). </w:t>
      </w:r>
    </w:p>
    <w:p w14:paraId="3AF6C2C3" w14:textId="77777777" w:rsidR="00595EA9" w:rsidRPr="006E4AC9" w:rsidRDefault="00595EA9" w:rsidP="00610593">
      <w:pPr>
        <w:widowControl w:val="0"/>
        <w:snapToGrid w:val="0"/>
        <w:spacing w:after="0"/>
        <w:ind w:firstLineChars="100" w:firstLine="240"/>
        <w:jc w:val="both"/>
        <w:rPr>
          <w:rFonts w:eastAsia="SimSun"/>
          <w:szCs w:val="24"/>
          <w:lang w:eastAsia="zh-CN"/>
        </w:rPr>
      </w:pPr>
      <w:r w:rsidRPr="006E4AC9">
        <w:rPr>
          <w:szCs w:val="24"/>
        </w:rPr>
        <w:t xml:space="preserve">Descriptive statistics were calculated using BiAS (version 11.01, BiAS for </w:t>
      </w:r>
      <w:r w:rsidRPr="006E4AC9">
        <w:rPr>
          <w:szCs w:val="24"/>
        </w:rPr>
        <w:lastRenderedPageBreak/>
        <w:t>Windows; Epsilon-Verlag, Frankfurt, Germany). The study protocol was approved by the institutional review board (No. 478/15) of the local ethics committee of the University Hospital Frankfurt.</w:t>
      </w:r>
    </w:p>
    <w:p w14:paraId="71E7FAD3" w14:textId="77777777" w:rsidR="00DB26B8" w:rsidRPr="006E4AC9" w:rsidRDefault="00DB26B8" w:rsidP="00610593">
      <w:pPr>
        <w:widowControl w:val="0"/>
        <w:snapToGrid w:val="0"/>
        <w:spacing w:after="0"/>
        <w:jc w:val="both"/>
        <w:rPr>
          <w:rFonts w:eastAsia="SimSun"/>
          <w:szCs w:val="24"/>
          <w:lang w:eastAsia="zh-CN"/>
        </w:rPr>
      </w:pPr>
    </w:p>
    <w:p w14:paraId="0A5153DB" w14:textId="77777777" w:rsidR="00DB26B8" w:rsidRPr="006E4AC9" w:rsidRDefault="00DB26B8" w:rsidP="00610593">
      <w:pPr>
        <w:pStyle w:val="Heading1"/>
        <w:keepNext w:val="0"/>
        <w:keepLines w:val="0"/>
        <w:pageBreakBefore w:val="0"/>
        <w:widowControl w:val="0"/>
        <w:snapToGrid w:val="0"/>
        <w:spacing w:before="0" w:after="0"/>
        <w:jc w:val="both"/>
        <w:rPr>
          <w:rFonts w:ascii="Book Antiqua" w:hAnsi="Book Antiqua"/>
          <w:caps/>
          <w:sz w:val="24"/>
          <w:szCs w:val="24"/>
        </w:rPr>
      </w:pPr>
      <w:r w:rsidRPr="006E4AC9">
        <w:rPr>
          <w:rFonts w:ascii="Book Antiqua" w:hAnsi="Book Antiqua"/>
          <w:caps/>
          <w:sz w:val="24"/>
          <w:szCs w:val="24"/>
        </w:rPr>
        <w:t xml:space="preserve">Results </w:t>
      </w:r>
    </w:p>
    <w:p w14:paraId="6D0ABFBD" w14:textId="77777777" w:rsidR="00DB26B8" w:rsidRPr="006E4AC9" w:rsidRDefault="00DB26B8" w:rsidP="00610593">
      <w:pPr>
        <w:pStyle w:val="Heading2"/>
        <w:keepNext w:val="0"/>
        <w:keepLines w:val="0"/>
        <w:widowControl w:val="0"/>
        <w:snapToGrid w:val="0"/>
        <w:spacing w:before="0" w:after="0"/>
        <w:jc w:val="both"/>
        <w:rPr>
          <w:rFonts w:ascii="Book Antiqua" w:hAnsi="Book Antiqua"/>
          <w:i/>
          <w:szCs w:val="24"/>
        </w:rPr>
      </w:pPr>
      <w:r w:rsidRPr="006E4AC9">
        <w:rPr>
          <w:rFonts w:ascii="Book Antiqua" w:hAnsi="Book Antiqua"/>
          <w:i/>
          <w:szCs w:val="24"/>
        </w:rPr>
        <w:t>Patients</w:t>
      </w:r>
    </w:p>
    <w:p w14:paraId="506AA4EE" w14:textId="753CC12F" w:rsidR="00DB26B8" w:rsidRPr="006E4AC9" w:rsidRDefault="00DB26B8" w:rsidP="00610593">
      <w:pPr>
        <w:widowControl w:val="0"/>
        <w:snapToGrid w:val="0"/>
        <w:spacing w:after="0"/>
        <w:jc w:val="both"/>
        <w:rPr>
          <w:szCs w:val="24"/>
        </w:rPr>
      </w:pPr>
      <w:r w:rsidRPr="006E4AC9">
        <w:rPr>
          <w:szCs w:val="24"/>
        </w:rPr>
        <w:t>In total, 135 histopathological specimens were identified of patients treated for SC between 2005 and 2015. Mean age of the patients at the date of initial histopathological investigation was 54.0 (SD 15.2, range 22-86) and 87/135 (64%) of the patients were men. Histopathological reports were based on liver biopsies (n=64), intraductal bile duct biopsies (</w:t>
      </w:r>
      <w:r w:rsidRPr="006E4AC9">
        <w:rPr>
          <w:i/>
          <w:szCs w:val="24"/>
        </w:rPr>
        <w:t>n</w:t>
      </w:r>
      <w:r w:rsidRPr="006E4AC9">
        <w:rPr>
          <w:rFonts w:eastAsia="SimSun" w:hint="eastAsia"/>
          <w:szCs w:val="24"/>
          <w:lang w:eastAsia="zh-CN"/>
        </w:rPr>
        <w:t xml:space="preserve"> </w:t>
      </w:r>
      <w:r w:rsidRPr="006E4AC9">
        <w:rPr>
          <w:szCs w:val="24"/>
        </w:rPr>
        <w:t>=</w:t>
      </w:r>
      <w:r w:rsidRPr="006E4AC9">
        <w:rPr>
          <w:rFonts w:eastAsia="SimSun" w:hint="eastAsia"/>
          <w:szCs w:val="24"/>
          <w:lang w:eastAsia="zh-CN"/>
        </w:rPr>
        <w:t xml:space="preserve"> </w:t>
      </w:r>
      <w:r w:rsidRPr="006E4AC9">
        <w:rPr>
          <w:szCs w:val="24"/>
        </w:rPr>
        <w:t>33), biliary brush cytology (</w:t>
      </w:r>
      <w:r w:rsidRPr="006E4AC9">
        <w:rPr>
          <w:i/>
          <w:szCs w:val="24"/>
        </w:rPr>
        <w:t>n</w:t>
      </w:r>
      <w:r w:rsidRPr="006E4AC9">
        <w:rPr>
          <w:szCs w:val="24"/>
        </w:rPr>
        <w:t xml:space="preserve"> =</w:t>
      </w:r>
      <w:r w:rsidRPr="006E4AC9">
        <w:rPr>
          <w:rFonts w:eastAsia="SimSun" w:hint="eastAsia"/>
          <w:szCs w:val="24"/>
          <w:lang w:eastAsia="zh-CN"/>
        </w:rPr>
        <w:t xml:space="preserve"> </w:t>
      </w:r>
      <w:r w:rsidRPr="006E4AC9">
        <w:rPr>
          <w:szCs w:val="24"/>
        </w:rPr>
        <w:t>16), surgical specimen from liver or bile duct resection (</w:t>
      </w:r>
      <w:r w:rsidRPr="006E4AC9">
        <w:rPr>
          <w:i/>
          <w:szCs w:val="24"/>
        </w:rPr>
        <w:t>n</w:t>
      </w:r>
      <w:r w:rsidRPr="006E4AC9">
        <w:rPr>
          <w:szCs w:val="24"/>
        </w:rPr>
        <w:t xml:space="preserve"> =</w:t>
      </w:r>
      <w:r w:rsidRPr="006E4AC9">
        <w:rPr>
          <w:rFonts w:eastAsia="SimSun" w:hint="eastAsia"/>
          <w:szCs w:val="24"/>
          <w:lang w:eastAsia="zh-CN"/>
        </w:rPr>
        <w:t xml:space="preserve"> </w:t>
      </w:r>
      <w:r w:rsidRPr="006E4AC9">
        <w:rPr>
          <w:szCs w:val="24"/>
        </w:rPr>
        <w:t>15), liver transplant (</w:t>
      </w:r>
      <w:r w:rsidRPr="006E4AC9">
        <w:rPr>
          <w:i/>
          <w:szCs w:val="24"/>
        </w:rPr>
        <w:t>n</w:t>
      </w:r>
      <w:r w:rsidRPr="006E4AC9">
        <w:rPr>
          <w:szCs w:val="24"/>
        </w:rPr>
        <w:t xml:space="preserve"> =</w:t>
      </w:r>
      <w:r w:rsidRPr="006E4AC9">
        <w:rPr>
          <w:rFonts w:eastAsia="SimSun" w:hint="eastAsia"/>
          <w:szCs w:val="24"/>
          <w:lang w:eastAsia="zh-CN"/>
        </w:rPr>
        <w:t xml:space="preserve"> </w:t>
      </w:r>
      <w:r w:rsidRPr="006E4AC9">
        <w:rPr>
          <w:szCs w:val="24"/>
        </w:rPr>
        <w:t>6) or autopsy (</w:t>
      </w:r>
      <w:r w:rsidRPr="006E4AC9">
        <w:rPr>
          <w:i/>
          <w:szCs w:val="24"/>
        </w:rPr>
        <w:t>n</w:t>
      </w:r>
      <w:r w:rsidRPr="006E4AC9">
        <w:rPr>
          <w:szCs w:val="24"/>
        </w:rPr>
        <w:t xml:space="preserve"> =</w:t>
      </w:r>
      <w:r w:rsidRPr="006E4AC9">
        <w:rPr>
          <w:rFonts w:eastAsia="SimSun" w:hint="eastAsia"/>
          <w:szCs w:val="24"/>
          <w:lang w:eastAsia="zh-CN"/>
        </w:rPr>
        <w:t xml:space="preserve"> </w:t>
      </w:r>
      <w:r w:rsidRPr="006E4AC9">
        <w:rPr>
          <w:szCs w:val="24"/>
        </w:rPr>
        <w:t xml:space="preserve">1). </w:t>
      </w:r>
    </w:p>
    <w:p w14:paraId="26460E43" w14:textId="77777777" w:rsidR="00DB26B8" w:rsidRPr="006E4AC9" w:rsidRDefault="00DB26B8" w:rsidP="00610593">
      <w:pPr>
        <w:widowControl w:val="0"/>
        <w:snapToGrid w:val="0"/>
        <w:spacing w:after="0"/>
        <w:ind w:firstLineChars="100" w:firstLine="240"/>
        <w:jc w:val="both"/>
        <w:rPr>
          <w:szCs w:val="24"/>
        </w:rPr>
      </w:pPr>
      <w:r w:rsidRPr="006E4AC9">
        <w:rPr>
          <w:szCs w:val="24"/>
        </w:rPr>
        <w:t xml:space="preserve">In 69 of 135 patients (51%), the histopathological investigation reported a strong suspicion of a specific disease or a definite diagnosis (all diagnoses are shown in Figure 1). In 7 patients, no relevant pathological findings were reported. 6/7 of these patients were clinically diagnosed with PSC and one patient with CCA in further clinical course. </w:t>
      </w:r>
    </w:p>
    <w:p w14:paraId="689DE4F9" w14:textId="6463AD13" w:rsidR="00DB26B8" w:rsidRPr="006E4AC9" w:rsidRDefault="00DB26B8" w:rsidP="00610593">
      <w:pPr>
        <w:widowControl w:val="0"/>
        <w:snapToGrid w:val="0"/>
        <w:spacing w:after="0"/>
        <w:ind w:firstLineChars="100" w:firstLine="240"/>
        <w:jc w:val="both"/>
        <w:rPr>
          <w:szCs w:val="24"/>
        </w:rPr>
      </w:pPr>
      <w:r w:rsidRPr="006E4AC9">
        <w:rPr>
          <w:szCs w:val="24"/>
        </w:rPr>
        <w:t>In the group of patients with inconclusive histopathological diagnosis, investigation of clinical reports revealed a specific diagnosis in 56/66 patients (85%). In the remaining ten patients (15%), clinical diagnosis was either unclear cholangitis (</w:t>
      </w:r>
      <w:r w:rsidRPr="006E4AC9">
        <w:rPr>
          <w:i/>
          <w:szCs w:val="24"/>
        </w:rPr>
        <w:t>n</w:t>
      </w:r>
      <w:r w:rsidRPr="006E4AC9">
        <w:rPr>
          <w:szCs w:val="24"/>
        </w:rPr>
        <w:t xml:space="preserve"> =</w:t>
      </w:r>
      <w:r w:rsidRPr="006E4AC9">
        <w:rPr>
          <w:rFonts w:eastAsia="SimSun" w:hint="eastAsia"/>
          <w:szCs w:val="24"/>
          <w:lang w:eastAsia="zh-CN"/>
        </w:rPr>
        <w:t xml:space="preserve"> </w:t>
      </w:r>
      <w:r w:rsidRPr="006E4AC9">
        <w:rPr>
          <w:szCs w:val="24"/>
        </w:rPr>
        <w:t>4) or patients had surgery with suspicion for malignancy but inconclusive findings in histopathological examination (</w:t>
      </w:r>
      <w:r w:rsidRPr="006E4AC9">
        <w:rPr>
          <w:i/>
          <w:szCs w:val="24"/>
        </w:rPr>
        <w:t>n</w:t>
      </w:r>
      <w:r w:rsidRPr="006E4AC9">
        <w:rPr>
          <w:szCs w:val="24"/>
        </w:rPr>
        <w:t xml:space="preserve"> =</w:t>
      </w:r>
      <w:r w:rsidRPr="006E4AC9">
        <w:rPr>
          <w:rFonts w:eastAsia="SimSun" w:hint="eastAsia"/>
          <w:szCs w:val="24"/>
          <w:lang w:eastAsia="zh-CN"/>
        </w:rPr>
        <w:t xml:space="preserve"> </w:t>
      </w:r>
      <w:r w:rsidRPr="006E4AC9">
        <w:rPr>
          <w:szCs w:val="24"/>
        </w:rPr>
        <w:t>6). The study design, including final diagnoses, is documented in Figure 2.</w:t>
      </w:r>
    </w:p>
    <w:p w14:paraId="5EF39122" w14:textId="77777777" w:rsidR="00DB26B8" w:rsidRPr="006E4AC9" w:rsidRDefault="00DB26B8" w:rsidP="00610593">
      <w:pPr>
        <w:pStyle w:val="Heading2"/>
        <w:keepNext w:val="0"/>
        <w:keepLines w:val="0"/>
        <w:widowControl w:val="0"/>
        <w:snapToGrid w:val="0"/>
        <w:spacing w:before="0" w:after="0"/>
        <w:jc w:val="both"/>
        <w:rPr>
          <w:rFonts w:ascii="Book Antiqua" w:eastAsia="SimSun" w:hAnsi="Book Antiqua"/>
          <w:i/>
          <w:szCs w:val="24"/>
          <w:lang w:eastAsia="zh-CN"/>
        </w:rPr>
      </w:pPr>
    </w:p>
    <w:p w14:paraId="0C660CFC" w14:textId="77777777" w:rsidR="00DB26B8" w:rsidRPr="006E4AC9" w:rsidRDefault="00DB26B8" w:rsidP="00610593">
      <w:pPr>
        <w:pStyle w:val="Heading2"/>
        <w:keepNext w:val="0"/>
        <w:keepLines w:val="0"/>
        <w:widowControl w:val="0"/>
        <w:snapToGrid w:val="0"/>
        <w:spacing w:before="0" w:after="0"/>
        <w:jc w:val="both"/>
        <w:rPr>
          <w:rFonts w:ascii="Book Antiqua" w:hAnsi="Book Antiqua"/>
          <w:i/>
          <w:szCs w:val="24"/>
        </w:rPr>
      </w:pPr>
      <w:r w:rsidRPr="006E4AC9">
        <w:rPr>
          <w:rFonts w:ascii="Book Antiqua" w:hAnsi="Book Antiqua"/>
          <w:i/>
          <w:szCs w:val="24"/>
        </w:rPr>
        <w:t>Histopathological review</w:t>
      </w:r>
    </w:p>
    <w:p w14:paraId="68727722" w14:textId="792BF4E8" w:rsidR="00DB26B8" w:rsidRPr="006E4AC9" w:rsidRDefault="00DB26B8" w:rsidP="00610593">
      <w:pPr>
        <w:widowControl w:val="0"/>
        <w:snapToGrid w:val="0"/>
        <w:spacing w:after="0"/>
        <w:jc w:val="both"/>
        <w:rPr>
          <w:rFonts w:eastAsia="SimSun"/>
          <w:szCs w:val="24"/>
          <w:lang w:eastAsia="zh-CN"/>
        </w:rPr>
      </w:pPr>
      <w:r w:rsidRPr="006E4AC9">
        <w:rPr>
          <w:szCs w:val="24"/>
        </w:rPr>
        <w:t>To further characterize these ten patients with unclear clinical as well as histopathological diagnosis and to exclude EC and IgG4-RD as possible underlying etiology, we performed a histological review quantifying eosinophilic infiltration and determining IgG4-status. Thereby, we identified 3/10 (30%) patients with dense eosinophilic infiltrate (≥</w:t>
      </w:r>
      <w:r w:rsidRPr="006E4AC9">
        <w:rPr>
          <w:rFonts w:eastAsia="SimSun" w:hint="eastAsia"/>
          <w:szCs w:val="24"/>
          <w:lang w:eastAsia="zh-CN"/>
        </w:rPr>
        <w:t xml:space="preserve"> </w:t>
      </w:r>
      <w:r w:rsidRPr="006E4AC9">
        <w:rPr>
          <w:szCs w:val="24"/>
        </w:rPr>
        <w:t xml:space="preserve">30 eosinophilic granulocytes/HPF) but without IgG4-positive plasma cells. We also found 3/10 patients (30%) to have a distinct infiltration </w:t>
      </w:r>
      <w:r w:rsidRPr="006E4AC9">
        <w:rPr>
          <w:szCs w:val="24"/>
        </w:rPr>
        <w:lastRenderedPageBreak/>
        <w:t>of plasma cells with positive IgG4 staining. Notably, 2 of these 3 patients additionally showed as well a dense eosinophilic infiltrate (&gt;</w:t>
      </w:r>
      <w:r w:rsidRPr="006E4AC9">
        <w:rPr>
          <w:rFonts w:eastAsia="SimSun" w:hint="eastAsia"/>
          <w:szCs w:val="24"/>
          <w:lang w:eastAsia="zh-CN"/>
        </w:rPr>
        <w:t xml:space="preserve"> </w:t>
      </w:r>
      <w:r w:rsidRPr="006E4AC9">
        <w:rPr>
          <w:szCs w:val="24"/>
        </w:rPr>
        <w:t>30/HPF, Figure 3). Of the remaining 4 patients, 3 did neither have an elevated eosinophilic count nor a positive staining for IgG4 and 1 patient had insufficient material for a reliable histopathological review.</w:t>
      </w:r>
    </w:p>
    <w:p w14:paraId="05A2AD88" w14:textId="265F6962" w:rsidR="00595EA9" w:rsidRPr="006E4AC9" w:rsidRDefault="00595EA9" w:rsidP="00610593">
      <w:pPr>
        <w:widowControl w:val="0"/>
        <w:snapToGrid w:val="0"/>
        <w:spacing w:after="0"/>
        <w:ind w:firstLineChars="100" w:firstLine="240"/>
        <w:jc w:val="both"/>
        <w:rPr>
          <w:szCs w:val="24"/>
        </w:rPr>
      </w:pPr>
      <w:r w:rsidRPr="006E4AC9">
        <w:rPr>
          <w:szCs w:val="24"/>
        </w:rPr>
        <w:t>Since 2/3 newly diagnosed IgG4-positive samples had a marked eosinophilic infiltrate, a review of the 4 routinely diagnosed IgG4-RD cases was performed. Notably, 3/4 of these patients had &gt;</w:t>
      </w:r>
      <w:r w:rsidR="00DB26B8" w:rsidRPr="006E4AC9">
        <w:rPr>
          <w:rFonts w:eastAsia="SimSun" w:hint="eastAsia"/>
          <w:szCs w:val="24"/>
          <w:lang w:eastAsia="zh-CN"/>
        </w:rPr>
        <w:t xml:space="preserve"> </w:t>
      </w:r>
      <w:r w:rsidRPr="006E4AC9">
        <w:rPr>
          <w:szCs w:val="24"/>
        </w:rPr>
        <w:t>30 eosinophilic granulocytes/HPF, whereas one patient had 25 eosinophilic granulocytes/HPF. Thus, of all cases with IgG4-RD, 6/7 (85.7%) showed a marked infiltration with eosinophilic granulocytes.</w:t>
      </w:r>
    </w:p>
    <w:p w14:paraId="355AAD3E" w14:textId="77777777" w:rsidR="00DB26B8" w:rsidRPr="006E4AC9" w:rsidRDefault="00DB26B8" w:rsidP="00610593">
      <w:pPr>
        <w:pStyle w:val="Heading2"/>
        <w:keepNext w:val="0"/>
        <w:keepLines w:val="0"/>
        <w:widowControl w:val="0"/>
        <w:snapToGrid w:val="0"/>
        <w:spacing w:before="0" w:after="0"/>
        <w:jc w:val="both"/>
        <w:rPr>
          <w:rFonts w:ascii="Book Antiqua" w:eastAsia="SimSun" w:hAnsi="Book Antiqua"/>
          <w:szCs w:val="24"/>
          <w:lang w:eastAsia="zh-CN"/>
        </w:rPr>
      </w:pPr>
    </w:p>
    <w:p w14:paraId="4CE7DD66" w14:textId="77777777" w:rsidR="00595EA9" w:rsidRPr="006E4AC9" w:rsidRDefault="00595EA9" w:rsidP="00610593">
      <w:pPr>
        <w:pStyle w:val="Heading2"/>
        <w:keepNext w:val="0"/>
        <w:keepLines w:val="0"/>
        <w:widowControl w:val="0"/>
        <w:snapToGrid w:val="0"/>
        <w:spacing w:before="0" w:after="0"/>
        <w:jc w:val="both"/>
        <w:rPr>
          <w:rFonts w:ascii="Book Antiqua" w:hAnsi="Book Antiqua"/>
          <w:i/>
          <w:szCs w:val="24"/>
        </w:rPr>
      </w:pPr>
      <w:r w:rsidRPr="006E4AC9">
        <w:rPr>
          <w:rFonts w:ascii="Book Antiqua" w:hAnsi="Book Antiqua"/>
          <w:i/>
          <w:szCs w:val="24"/>
        </w:rPr>
        <w:t>Clinical review</w:t>
      </w:r>
    </w:p>
    <w:p w14:paraId="76256539" w14:textId="089E196E" w:rsidR="00595EA9" w:rsidRPr="006E4AC9" w:rsidRDefault="00595EA9" w:rsidP="00610593">
      <w:pPr>
        <w:widowControl w:val="0"/>
        <w:snapToGrid w:val="0"/>
        <w:spacing w:after="0"/>
        <w:jc w:val="both"/>
        <w:rPr>
          <w:szCs w:val="24"/>
        </w:rPr>
      </w:pPr>
      <w:r w:rsidRPr="006E4AC9">
        <w:rPr>
          <w:szCs w:val="24"/>
        </w:rPr>
        <w:t xml:space="preserve">All six patients with suspicion of EC or IgG4-RD were investigated for alterations in the biliary tract. Patients with </w:t>
      </w:r>
      <w:r w:rsidR="004061E7" w:rsidRPr="006E4AC9">
        <w:rPr>
          <w:szCs w:val="24"/>
        </w:rPr>
        <w:t>suspicion of EC had strictures in both</w:t>
      </w:r>
      <w:r w:rsidRPr="006E4AC9">
        <w:rPr>
          <w:szCs w:val="24"/>
        </w:rPr>
        <w:t xml:space="preserve"> </w:t>
      </w:r>
      <w:r w:rsidR="004061E7" w:rsidRPr="006E4AC9">
        <w:rPr>
          <w:szCs w:val="24"/>
        </w:rPr>
        <w:t xml:space="preserve">the </w:t>
      </w:r>
      <w:r w:rsidRPr="006E4AC9">
        <w:rPr>
          <w:szCs w:val="24"/>
        </w:rPr>
        <w:t xml:space="preserve">extrahepatic </w:t>
      </w:r>
      <w:r w:rsidR="004061E7" w:rsidRPr="006E4AC9">
        <w:rPr>
          <w:szCs w:val="24"/>
        </w:rPr>
        <w:t xml:space="preserve">and </w:t>
      </w:r>
      <w:r w:rsidRPr="006E4AC9">
        <w:rPr>
          <w:szCs w:val="24"/>
        </w:rPr>
        <w:t>intrahepatic biliary tree, whereas all strictures of patients with suspicion of IgG4-RD were located in the perihilar region. Besides anatomical location of the stricture, further clinical course of these patients was investigated. 5/6 of these patients underwent surgical resection, whereas one patient with EC was treated conservatively with oral steroids. Clinical data of the 6 patients consistent with diagnoses of EC or IgG4-RD are shown in Table 1.</w:t>
      </w:r>
    </w:p>
    <w:p w14:paraId="13A92D60" w14:textId="07CEC5CE" w:rsidR="00595EA9" w:rsidRPr="006E4AC9" w:rsidRDefault="00595EA9" w:rsidP="00610593">
      <w:pPr>
        <w:widowControl w:val="0"/>
        <w:snapToGrid w:val="0"/>
        <w:spacing w:after="0"/>
        <w:ind w:firstLineChars="100" w:firstLine="240"/>
        <w:jc w:val="both"/>
        <w:rPr>
          <w:szCs w:val="24"/>
        </w:rPr>
      </w:pPr>
      <w:r w:rsidRPr="006E4AC9">
        <w:rPr>
          <w:szCs w:val="24"/>
        </w:rPr>
        <w:t>Thereby, after histological and clinical review, prevalence of cases consistent with EC was 3/135 (2%) in all patients with cholangitis and biopsy or surgical specimen, 3/66 (5%) in cases with inconclusive histological findings and 3/10 (30%) in patients with no clear clinical diagnosis in further course after full diagnostic work-up.</w:t>
      </w:r>
      <w:r w:rsidR="00390051" w:rsidRPr="006E4AC9">
        <w:rPr>
          <w:szCs w:val="24"/>
        </w:rPr>
        <w:t xml:space="preserve"> Further clinical course of these patients was investigated as well: </w:t>
      </w:r>
      <w:r w:rsidR="00416E8C" w:rsidRPr="006E4AC9">
        <w:rPr>
          <w:rFonts w:eastAsia="Times New Roman" w:cs="Times New Roman"/>
          <w:szCs w:val="24"/>
        </w:rPr>
        <w:t xml:space="preserve">the two patients with EC </w:t>
      </w:r>
      <w:r w:rsidR="00390051" w:rsidRPr="006E4AC9">
        <w:rPr>
          <w:rFonts w:eastAsia="Times New Roman" w:cs="Times New Roman"/>
          <w:szCs w:val="24"/>
        </w:rPr>
        <w:t>treated with bile duct resection had several episodes of transient cholestasis or cholangitis after surgery</w:t>
      </w:r>
      <w:r w:rsidR="00C72476" w:rsidRPr="006E4AC9">
        <w:rPr>
          <w:rFonts w:eastAsia="Times New Roman" w:cs="Times New Roman"/>
          <w:szCs w:val="24"/>
        </w:rPr>
        <w:t>, which were managed with temporary stent placement if necessary</w:t>
      </w:r>
      <w:r w:rsidR="00390051" w:rsidRPr="006E4AC9">
        <w:rPr>
          <w:rFonts w:eastAsia="Times New Roman" w:cs="Times New Roman"/>
          <w:szCs w:val="24"/>
        </w:rPr>
        <w:t>. The patient treated with oral steroids is currently off treatment since 12 mo</w:t>
      </w:r>
      <w:r w:rsidR="00610593" w:rsidRPr="006E4AC9">
        <w:rPr>
          <w:rFonts w:eastAsia="SimSun" w:cs="Times New Roman" w:hint="eastAsia"/>
          <w:szCs w:val="24"/>
          <w:lang w:eastAsia="zh-CN"/>
        </w:rPr>
        <w:t xml:space="preserve"> </w:t>
      </w:r>
      <w:r w:rsidR="00390051" w:rsidRPr="006E4AC9">
        <w:rPr>
          <w:rFonts w:eastAsia="Times New Roman" w:cs="Times New Roman"/>
          <w:szCs w:val="24"/>
        </w:rPr>
        <w:t>and has not experienced a relapse so far.</w:t>
      </w:r>
    </w:p>
    <w:p w14:paraId="5C3E847B" w14:textId="77777777" w:rsidR="00595EA9" w:rsidRPr="006E4AC9" w:rsidRDefault="00595EA9" w:rsidP="00610593">
      <w:pPr>
        <w:widowControl w:val="0"/>
        <w:snapToGrid w:val="0"/>
        <w:spacing w:after="0"/>
        <w:ind w:firstLineChars="100" w:firstLine="240"/>
        <w:jc w:val="both"/>
        <w:rPr>
          <w:szCs w:val="24"/>
        </w:rPr>
      </w:pPr>
      <w:r w:rsidRPr="006E4AC9">
        <w:rPr>
          <w:szCs w:val="24"/>
        </w:rPr>
        <w:t xml:space="preserve">Taking into account the growing knowledge about IgG4-RD during the period of this study, the date of histological examination of this entity was investigated as well: Samples with IgG4-RD being diagnosed only within the retrospective </w:t>
      </w:r>
      <w:r w:rsidRPr="006E4AC9">
        <w:rPr>
          <w:szCs w:val="24"/>
        </w:rPr>
        <w:lastRenderedPageBreak/>
        <w:t>histopathological review in this study were taken from 2005-2011, whereas patients with diagnosis of IgG4-RD in initial histopathological examination were taken between 2012 and 2014.</w:t>
      </w:r>
    </w:p>
    <w:p w14:paraId="041AAB02" w14:textId="77777777" w:rsidR="00DB26B8" w:rsidRPr="006E4AC9" w:rsidRDefault="00DB26B8" w:rsidP="00610593">
      <w:pPr>
        <w:pStyle w:val="Heading2"/>
        <w:keepNext w:val="0"/>
        <w:keepLines w:val="0"/>
        <w:widowControl w:val="0"/>
        <w:snapToGrid w:val="0"/>
        <w:spacing w:before="0" w:after="0"/>
        <w:jc w:val="both"/>
        <w:rPr>
          <w:rFonts w:ascii="Book Antiqua" w:eastAsia="SimSun" w:hAnsi="Book Antiqua"/>
          <w:szCs w:val="24"/>
          <w:lang w:eastAsia="zh-CN"/>
        </w:rPr>
      </w:pPr>
    </w:p>
    <w:p w14:paraId="656D3CE5" w14:textId="77777777" w:rsidR="00595EA9" w:rsidRPr="006E4AC9" w:rsidRDefault="00595EA9" w:rsidP="00610593">
      <w:pPr>
        <w:pStyle w:val="Heading2"/>
        <w:keepNext w:val="0"/>
        <w:keepLines w:val="0"/>
        <w:widowControl w:val="0"/>
        <w:snapToGrid w:val="0"/>
        <w:spacing w:before="0" w:after="0"/>
        <w:jc w:val="both"/>
        <w:rPr>
          <w:rFonts w:ascii="Book Antiqua" w:hAnsi="Book Antiqua"/>
          <w:i/>
          <w:szCs w:val="24"/>
        </w:rPr>
      </w:pPr>
      <w:r w:rsidRPr="006E4AC9">
        <w:rPr>
          <w:rFonts w:ascii="Book Antiqua" w:hAnsi="Book Antiqua"/>
          <w:i/>
          <w:szCs w:val="24"/>
        </w:rPr>
        <w:t>Eosinophilic infiltration in primary sclerosing cholangitis and non-inflammatory bile duct tissue</w:t>
      </w:r>
    </w:p>
    <w:p w14:paraId="2AC611B5" w14:textId="6B6AEAF0" w:rsidR="00595EA9" w:rsidRPr="006E4AC9" w:rsidRDefault="00595EA9" w:rsidP="00610593">
      <w:pPr>
        <w:widowControl w:val="0"/>
        <w:snapToGrid w:val="0"/>
        <w:spacing w:after="0"/>
        <w:jc w:val="both"/>
        <w:rPr>
          <w:szCs w:val="24"/>
        </w:rPr>
      </w:pPr>
      <w:r w:rsidRPr="006E4AC9">
        <w:rPr>
          <w:szCs w:val="24"/>
        </w:rPr>
        <w:t>To further characterize EC in comparison to other potential differential diagnoses, eosinophilic infiltration was analyzed in 14 patients with PSC (mean histological stage was 2.0, range 1-3). Mean eosinophilic count/HPF was 1.8 (range 0-6, SD 2.0). In addition, non-inflammatory biliary tissue from liver transplant donors was investigated for degree of eosinophilic infiltration: 27 samples were examined and mean eosinophilic count was 0.1/HPF (range 0-3, SD 0.6,</w:t>
      </w:r>
      <w:r w:rsidR="00725862" w:rsidRPr="006E4AC9">
        <w:rPr>
          <w:rFonts w:eastAsia="SimSun" w:hint="eastAsia"/>
          <w:szCs w:val="24"/>
          <w:lang w:eastAsia="zh-CN"/>
        </w:rPr>
        <w:t xml:space="preserve"> </w:t>
      </w:r>
      <w:r w:rsidR="00725862" w:rsidRPr="006E4AC9">
        <w:rPr>
          <w:szCs w:val="24"/>
        </w:rPr>
        <w:t>Supplementary Figure 1</w:t>
      </w:r>
      <w:r w:rsidRPr="006E4AC9">
        <w:rPr>
          <w:szCs w:val="24"/>
        </w:rPr>
        <w:t>).</w:t>
      </w:r>
    </w:p>
    <w:p w14:paraId="0E1F2F04" w14:textId="77777777" w:rsidR="00DB26B8" w:rsidRPr="006E4AC9" w:rsidRDefault="00DB26B8" w:rsidP="00610593">
      <w:pPr>
        <w:pStyle w:val="Heading1"/>
        <w:keepNext w:val="0"/>
        <w:keepLines w:val="0"/>
        <w:pageBreakBefore w:val="0"/>
        <w:widowControl w:val="0"/>
        <w:snapToGrid w:val="0"/>
        <w:spacing w:before="0" w:after="0"/>
        <w:jc w:val="both"/>
        <w:rPr>
          <w:rFonts w:ascii="Book Antiqua" w:eastAsia="SimSun" w:hAnsi="Book Antiqua"/>
          <w:sz w:val="24"/>
          <w:szCs w:val="24"/>
          <w:lang w:eastAsia="zh-CN"/>
        </w:rPr>
      </w:pPr>
    </w:p>
    <w:p w14:paraId="0BA2118B" w14:textId="77777777" w:rsidR="00595EA9" w:rsidRPr="006E4AC9" w:rsidRDefault="00595EA9" w:rsidP="00610593">
      <w:pPr>
        <w:pStyle w:val="Heading1"/>
        <w:keepNext w:val="0"/>
        <w:keepLines w:val="0"/>
        <w:pageBreakBefore w:val="0"/>
        <w:widowControl w:val="0"/>
        <w:snapToGrid w:val="0"/>
        <w:spacing w:before="0" w:after="0"/>
        <w:jc w:val="both"/>
        <w:rPr>
          <w:rFonts w:ascii="Book Antiqua" w:hAnsi="Book Antiqua"/>
          <w:caps/>
          <w:sz w:val="24"/>
          <w:szCs w:val="24"/>
        </w:rPr>
      </w:pPr>
      <w:r w:rsidRPr="006E4AC9">
        <w:rPr>
          <w:rFonts w:ascii="Book Antiqua" w:hAnsi="Book Antiqua"/>
          <w:caps/>
          <w:sz w:val="24"/>
          <w:szCs w:val="24"/>
        </w:rPr>
        <w:t>Discussion</w:t>
      </w:r>
    </w:p>
    <w:p w14:paraId="6387AB3B" w14:textId="77777777" w:rsidR="00595EA9" w:rsidRPr="006E4AC9" w:rsidRDefault="00595EA9" w:rsidP="00610593">
      <w:pPr>
        <w:widowControl w:val="0"/>
        <w:snapToGrid w:val="0"/>
        <w:spacing w:after="0"/>
        <w:jc w:val="both"/>
        <w:rPr>
          <w:szCs w:val="24"/>
        </w:rPr>
      </w:pPr>
      <w:r w:rsidRPr="006E4AC9">
        <w:rPr>
          <w:szCs w:val="24"/>
        </w:rPr>
        <w:t>Management of patients presenting with IBS is a frequent challenge for the clinician and the strategic choice of whether and when to perform surgery might have an important effect on these patients’ quality of live. In the present study we report results from a retrospective prevalence study on EC, a benign and conservatively treatable differential diagnosis of IBS, which so far has only been described in case reports.</w:t>
      </w:r>
    </w:p>
    <w:p w14:paraId="66C0D6F0" w14:textId="18375F2E" w:rsidR="00595EA9" w:rsidRPr="006E4AC9" w:rsidRDefault="00595EA9" w:rsidP="00610593">
      <w:pPr>
        <w:widowControl w:val="0"/>
        <w:snapToGrid w:val="0"/>
        <w:spacing w:after="0"/>
        <w:ind w:firstLineChars="100" w:firstLine="240"/>
        <w:jc w:val="both"/>
        <w:rPr>
          <w:szCs w:val="24"/>
        </w:rPr>
      </w:pPr>
      <w:r w:rsidRPr="006E4AC9">
        <w:rPr>
          <w:szCs w:val="24"/>
        </w:rPr>
        <w:t xml:space="preserve">We evaluated all patients with diagnosis of sclerosing cholangitis and available histopathological specimen and found a prevalence of EC of 3/135 (2.2%) as well as 3/10 (30%) in the group of patients without clear clinical diagnosis in further course. 2/3 patients with EC were treated surgically. Of note, also in case reports of EC, 14/35 (40%) patients had cholecystectomy and 10/35 (28.6%) patients were treated with major bile duct resections </w:t>
      </w:r>
      <w:r w:rsidR="003E3EFD" w:rsidRPr="006E4AC9">
        <w:rPr>
          <w:szCs w:val="24"/>
        </w:rPr>
        <w:t xml:space="preserve">due to suspicion for malignancy </w:t>
      </w:r>
      <w:r w:rsidRPr="006E4AC9">
        <w:rPr>
          <w:szCs w:val="24"/>
        </w:rPr>
        <w:t>(</w:t>
      </w:r>
      <w:r w:rsidR="00A9754B" w:rsidRPr="006E4AC9">
        <w:rPr>
          <w:szCs w:val="24"/>
        </w:rPr>
        <w:t>Supplementary Table 1</w:t>
      </w:r>
      <w:r w:rsidRPr="006E4AC9">
        <w:rPr>
          <w:szCs w:val="24"/>
        </w:rPr>
        <w:t xml:space="preserve">). The considerable part of patients being retrospectively diagnosed with EC in our study combined with the high rate of surgeries in literature indicates that EC is most likely an underdiagnosed disease, which is often only identified after possibly avoidable bile duct resection. These data stress the important role EC plays as potential underlying disease of SC and point out that surgeons, interventional endoscopists and gastrointestinal pathologists should be aware of this conservatively </w:t>
      </w:r>
      <w:r w:rsidRPr="006E4AC9">
        <w:rPr>
          <w:szCs w:val="24"/>
        </w:rPr>
        <w:lastRenderedPageBreak/>
        <w:t>treatable condition in cases with IBS.</w:t>
      </w:r>
    </w:p>
    <w:p w14:paraId="0F02B398" w14:textId="6A9DFEAF" w:rsidR="00595EA9" w:rsidRPr="006E4AC9" w:rsidRDefault="00595EA9" w:rsidP="00610593">
      <w:pPr>
        <w:widowControl w:val="0"/>
        <w:snapToGrid w:val="0"/>
        <w:spacing w:after="0"/>
        <w:ind w:firstLineChars="100" w:firstLine="240"/>
        <w:jc w:val="both"/>
        <w:rPr>
          <w:szCs w:val="24"/>
        </w:rPr>
      </w:pPr>
      <w:r w:rsidRPr="006E4AC9">
        <w:rPr>
          <w:szCs w:val="24"/>
        </w:rPr>
        <w:t>All cases consistent with EC in this study had a dense infiltrate of eosinophilic granulocytes with ≥</w:t>
      </w:r>
      <w:r w:rsidR="00DB26B8" w:rsidRPr="006E4AC9">
        <w:rPr>
          <w:rFonts w:eastAsia="SimSun" w:hint="eastAsia"/>
          <w:szCs w:val="24"/>
          <w:lang w:eastAsia="zh-CN"/>
        </w:rPr>
        <w:t xml:space="preserve"> </w:t>
      </w:r>
      <w:r w:rsidRPr="006E4AC9">
        <w:rPr>
          <w:szCs w:val="24"/>
        </w:rPr>
        <w:t>30 per HPF which was considerably higher than the threshold of ≥</w:t>
      </w:r>
      <w:r w:rsidR="00DB26B8" w:rsidRPr="006E4AC9">
        <w:rPr>
          <w:rFonts w:eastAsia="SimSun" w:hint="eastAsia"/>
          <w:szCs w:val="24"/>
          <w:lang w:eastAsia="zh-CN"/>
        </w:rPr>
        <w:t xml:space="preserve"> </w:t>
      </w:r>
      <w:r w:rsidRPr="006E4AC9">
        <w:rPr>
          <w:szCs w:val="24"/>
        </w:rPr>
        <w:t>15 eosinophilic granulocytes/HPF we defined according to diagnostic criteria for eosinophilic esophagitis</w:t>
      </w:r>
      <w:r w:rsidRPr="006E4AC9">
        <w:rPr>
          <w:szCs w:val="24"/>
          <w:vertAlign w:val="superscript"/>
        </w:rPr>
        <w:t>[7]</w:t>
      </w:r>
      <w:r w:rsidRPr="006E4AC9">
        <w:rPr>
          <w:szCs w:val="24"/>
        </w:rPr>
        <w:t>. In view of the frequent submucosal infiltration with eosinophilic granulocytes, we recommend taking preferably intraductal biopsies instead of biliary brushings in case of suspicion for EC. Moreover, as recommended in IBS and eosinophilic esophagitis, we suggest to take multiple biopsies to reduce risk of false negative results</w:t>
      </w:r>
      <w:r w:rsidR="00A44D1A" w:rsidRPr="006E4AC9">
        <w:rPr>
          <w:szCs w:val="24"/>
          <w:vertAlign w:val="superscript"/>
        </w:rPr>
        <w:t>[8,</w:t>
      </w:r>
      <w:r w:rsidRPr="006E4AC9">
        <w:rPr>
          <w:szCs w:val="24"/>
          <w:vertAlign w:val="superscript"/>
        </w:rPr>
        <w:t>9]</w:t>
      </w:r>
      <w:r w:rsidRPr="006E4AC9">
        <w:rPr>
          <w:szCs w:val="24"/>
        </w:rPr>
        <w:t>. Since some cases with EC were reported to be associated with eosinophilic infiltration in other parts of the gastrointestinal tract, taking additional biopsies in the stomach or colon should be considered as well</w:t>
      </w:r>
      <w:r w:rsidRPr="006E4AC9">
        <w:rPr>
          <w:szCs w:val="24"/>
          <w:vertAlign w:val="superscript"/>
        </w:rPr>
        <w:t>[10</w:t>
      </w:r>
      <w:r w:rsidR="00A44D1A" w:rsidRPr="006E4AC9">
        <w:rPr>
          <w:rFonts w:eastAsia="SimSun" w:hint="eastAsia"/>
          <w:szCs w:val="24"/>
          <w:vertAlign w:val="superscript"/>
          <w:lang w:eastAsia="zh-CN"/>
        </w:rPr>
        <w:t>-</w:t>
      </w:r>
      <w:r w:rsidRPr="006E4AC9">
        <w:rPr>
          <w:szCs w:val="24"/>
          <w:vertAlign w:val="superscript"/>
        </w:rPr>
        <w:t>12]</w:t>
      </w:r>
      <w:r w:rsidRPr="006E4AC9">
        <w:rPr>
          <w:szCs w:val="24"/>
        </w:rPr>
        <w:t xml:space="preserve">. </w:t>
      </w:r>
      <w:r w:rsidR="00080357" w:rsidRPr="006E4AC9">
        <w:rPr>
          <w:szCs w:val="24"/>
        </w:rPr>
        <w:t xml:space="preserve">In addition, cholangioscopy </w:t>
      </w:r>
      <w:r w:rsidR="00982630" w:rsidRPr="006E4AC9">
        <w:rPr>
          <w:szCs w:val="24"/>
        </w:rPr>
        <w:t>can be</w:t>
      </w:r>
      <w:r w:rsidR="00080357" w:rsidRPr="006E4AC9">
        <w:rPr>
          <w:szCs w:val="24"/>
        </w:rPr>
        <w:t xml:space="preserve"> another helpful tool to diagnose EC</w:t>
      </w:r>
      <w:r w:rsidR="00982630" w:rsidRPr="006E4AC9">
        <w:rPr>
          <w:szCs w:val="24"/>
          <w:vertAlign w:val="superscript"/>
        </w:rPr>
        <w:t>[13]</w:t>
      </w:r>
      <w:r w:rsidR="00080357" w:rsidRPr="006E4AC9">
        <w:rPr>
          <w:szCs w:val="24"/>
        </w:rPr>
        <w:t>.</w:t>
      </w:r>
    </w:p>
    <w:p w14:paraId="75B0921A" w14:textId="0A1B018C" w:rsidR="00595EA9" w:rsidRPr="006E4AC9" w:rsidRDefault="00595EA9" w:rsidP="00610593">
      <w:pPr>
        <w:widowControl w:val="0"/>
        <w:snapToGrid w:val="0"/>
        <w:spacing w:after="0"/>
        <w:ind w:firstLineChars="100" w:firstLine="240"/>
        <w:jc w:val="both"/>
        <w:rPr>
          <w:szCs w:val="24"/>
        </w:rPr>
      </w:pPr>
      <w:r w:rsidRPr="006E4AC9">
        <w:rPr>
          <w:szCs w:val="24"/>
        </w:rPr>
        <w:t xml:space="preserve">IgG4-RD was identified to be the underlying disease </w:t>
      </w:r>
      <w:r w:rsidR="00EC78F5" w:rsidRPr="006E4AC9">
        <w:rPr>
          <w:szCs w:val="24"/>
        </w:rPr>
        <w:t>of SC in 7/135 (5.2%) cases. Three of these case</w:t>
      </w:r>
      <w:r w:rsidR="00D76DAA" w:rsidRPr="006E4AC9">
        <w:rPr>
          <w:szCs w:val="24"/>
        </w:rPr>
        <w:t>s</w:t>
      </w:r>
      <w:r w:rsidR="00EC78F5" w:rsidRPr="006E4AC9">
        <w:rPr>
          <w:szCs w:val="24"/>
        </w:rPr>
        <w:t xml:space="preserve"> were diagnosed only after retrospective histopathological review within this study. Of note</w:t>
      </w:r>
      <w:r w:rsidRPr="006E4AC9">
        <w:rPr>
          <w:szCs w:val="24"/>
        </w:rPr>
        <w:t xml:space="preserve">, </w:t>
      </w:r>
      <w:r w:rsidR="00EC78F5" w:rsidRPr="006E4AC9">
        <w:rPr>
          <w:szCs w:val="24"/>
        </w:rPr>
        <w:t xml:space="preserve">these three </w:t>
      </w:r>
      <w:r w:rsidRPr="006E4AC9">
        <w:rPr>
          <w:szCs w:val="24"/>
        </w:rPr>
        <w:t>cases were originally diagnosed 2011 and earlier whereas the</w:t>
      </w:r>
      <w:r w:rsidR="00EC78F5" w:rsidRPr="006E4AC9">
        <w:rPr>
          <w:szCs w:val="24"/>
        </w:rPr>
        <w:t xml:space="preserve"> four</w:t>
      </w:r>
      <w:r w:rsidRPr="006E4AC9">
        <w:rPr>
          <w:szCs w:val="24"/>
        </w:rPr>
        <w:t xml:space="preserve"> routinely diagnosed cases of IgG4-RD were between 2012 and 2014, pointing out the growing knowledge about this disease during the period of our study. Of note, since prevalence data about IgG4-related cholangitis in western countries is very limited, a comparison of our data with other studies is hindered</w:t>
      </w:r>
      <w:r w:rsidR="00A44D1A" w:rsidRPr="006E4AC9">
        <w:rPr>
          <w:szCs w:val="24"/>
          <w:vertAlign w:val="superscript"/>
        </w:rPr>
        <w:t>[14,</w:t>
      </w:r>
      <w:r w:rsidR="00A93735" w:rsidRPr="006E4AC9">
        <w:rPr>
          <w:szCs w:val="24"/>
          <w:vertAlign w:val="superscript"/>
        </w:rPr>
        <w:t>15</w:t>
      </w:r>
      <w:r w:rsidRPr="006E4AC9">
        <w:rPr>
          <w:szCs w:val="24"/>
          <w:vertAlign w:val="superscript"/>
        </w:rPr>
        <w:t>]</w:t>
      </w:r>
      <w:r w:rsidRPr="006E4AC9">
        <w:rPr>
          <w:szCs w:val="24"/>
        </w:rPr>
        <w:t>.</w:t>
      </w:r>
    </w:p>
    <w:p w14:paraId="11E1DF04" w14:textId="2A2E3EC8" w:rsidR="00595EA9" w:rsidRPr="006E4AC9" w:rsidRDefault="00595EA9" w:rsidP="00610593">
      <w:pPr>
        <w:widowControl w:val="0"/>
        <w:snapToGrid w:val="0"/>
        <w:spacing w:after="0"/>
        <w:ind w:firstLineChars="100" w:firstLine="240"/>
        <w:jc w:val="both"/>
        <w:rPr>
          <w:szCs w:val="24"/>
        </w:rPr>
      </w:pPr>
      <w:r w:rsidRPr="006E4AC9">
        <w:rPr>
          <w:szCs w:val="24"/>
        </w:rPr>
        <w:t>Notably, 6/7 (85.7%) cases with IgG4-RD additionally showed a marked eosinophilic infiltration suggesting a potential overlap in pathogenesis of these two conditions. This finding correlates to a prospective study from 2014, where a cohort of patients with eosinophilic esophagitis was shown to have significantly elevated IgG4-positive plasma cells compared to a control group</w:t>
      </w:r>
      <w:r w:rsidR="00A93735" w:rsidRPr="006E4AC9">
        <w:rPr>
          <w:szCs w:val="24"/>
          <w:vertAlign w:val="superscript"/>
        </w:rPr>
        <w:t>[16</w:t>
      </w:r>
      <w:r w:rsidRPr="006E4AC9">
        <w:rPr>
          <w:szCs w:val="24"/>
          <w:vertAlign w:val="superscript"/>
        </w:rPr>
        <w:t>]</w:t>
      </w:r>
      <w:r w:rsidRPr="006E4AC9">
        <w:rPr>
          <w:szCs w:val="24"/>
        </w:rPr>
        <w:t xml:space="preserve">. Furthermore, IgG4-positive plasma cells and serum levels reacted to specific foods suggesting an IgG4-associated pathogenesis of eosinophilic esophagitis. However, </w:t>
      </w:r>
      <w:r w:rsidR="00EC78F5" w:rsidRPr="006E4AC9">
        <w:rPr>
          <w:szCs w:val="24"/>
        </w:rPr>
        <w:t>three</w:t>
      </w:r>
      <w:r w:rsidRPr="006E4AC9">
        <w:rPr>
          <w:szCs w:val="24"/>
        </w:rPr>
        <w:t xml:space="preserve"> patients with diagnosis of EC in our study did not show IgG4-positive plasma cells indicating that common features in pathogenesis of EC and IgG4-RD need further characterization.</w:t>
      </w:r>
    </w:p>
    <w:p w14:paraId="213561C4" w14:textId="5D23CC54" w:rsidR="00595EA9" w:rsidRPr="006E4AC9" w:rsidRDefault="00595EA9" w:rsidP="00610593">
      <w:pPr>
        <w:widowControl w:val="0"/>
        <w:snapToGrid w:val="0"/>
        <w:spacing w:after="0"/>
        <w:jc w:val="both"/>
        <w:rPr>
          <w:szCs w:val="24"/>
        </w:rPr>
      </w:pPr>
      <w:r w:rsidRPr="006E4AC9">
        <w:rPr>
          <w:szCs w:val="24"/>
        </w:rPr>
        <w:t xml:space="preserve">Another entity important to differentiate from EC is PSC. For instance, in a Japanese study, 27% of PSC patients were reported to have peripheral eosinophilia and hepatic infiltration with eosinophilic granulocytes was described in a patient with </w:t>
      </w:r>
      <w:r w:rsidRPr="006E4AC9">
        <w:rPr>
          <w:szCs w:val="24"/>
        </w:rPr>
        <w:lastRenderedPageBreak/>
        <w:t>PSC</w:t>
      </w:r>
      <w:r w:rsidR="00A93735" w:rsidRPr="006E4AC9">
        <w:rPr>
          <w:szCs w:val="24"/>
          <w:vertAlign w:val="superscript"/>
        </w:rPr>
        <w:t>[17</w:t>
      </w:r>
      <w:r w:rsidR="00A44D1A" w:rsidRPr="006E4AC9">
        <w:rPr>
          <w:szCs w:val="24"/>
          <w:vertAlign w:val="superscript"/>
        </w:rPr>
        <w:t>,</w:t>
      </w:r>
      <w:r w:rsidRPr="006E4AC9">
        <w:rPr>
          <w:szCs w:val="24"/>
          <w:vertAlign w:val="superscript"/>
        </w:rPr>
        <w:t>1</w:t>
      </w:r>
      <w:r w:rsidR="00A93735" w:rsidRPr="006E4AC9">
        <w:rPr>
          <w:szCs w:val="24"/>
          <w:vertAlign w:val="superscript"/>
        </w:rPr>
        <w:t>8</w:t>
      </w:r>
      <w:r w:rsidRPr="006E4AC9">
        <w:rPr>
          <w:szCs w:val="24"/>
          <w:vertAlign w:val="superscript"/>
        </w:rPr>
        <w:t>]</w:t>
      </w:r>
      <w:r w:rsidRPr="006E4AC9">
        <w:rPr>
          <w:szCs w:val="24"/>
        </w:rPr>
        <w:t>. Even so, in the present study we performed a histological investigation of 27 cases of PSC and</w:t>
      </w:r>
      <w:r w:rsidR="00EE429F" w:rsidRPr="006E4AC9">
        <w:rPr>
          <w:szCs w:val="24"/>
        </w:rPr>
        <w:t xml:space="preserve"> </w:t>
      </w:r>
      <w:r w:rsidRPr="006E4AC9">
        <w:rPr>
          <w:szCs w:val="24"/>
        </w:rPr>
        <w:t>did not find evidence for eosinophilic infiltration in this cohort suggesting a rather easy differentiation of these entities in western patients by histopathological investigation.</w:t>
      </w:r>
    </w:p>
    <w:p w14:paraId="17F4505B" w14:textId="78963C09" w:rsidR="00595EA9" w:rsidRPr="006E4AC9" w:rsidRDefault="00A1500F" w:rsidP="00610593">
      <w:pPr>
        <w:widowControl w:val="0"/>
        <w:snapToGrid w:val="0"/>
        <w:spacing w:after="0"/>
        <w:ind w:firstLineChars="100" w:firstLine="240"/>
        <w:jc w:val="both"/>
        <w:rPr>
          <w:szCs w:val="24"/>
        </w:rPr>
      </w:pPr>
      <w:r w:rsidRPr="006E4AC9">
        <w:rPr>
          <w:szCs w:val="24"/>
        </w:rPr>
        <w:t>To</w:t>
      </w:r>
      <w:r w:rsidR="00595EA9" w:rsidRPr="006E4AC9">
        <w:rPr>
          <w:szCs w:val="24"/>
        </w:rPr>
        <w:t xml:space="preserve"> i</w:t>
      </w:r>
      <w:r w:rsidRPr="006E4AC9">
        <w:rPr>
          <w:szCs w:val="24"/>
        </w:rPr>
        <w:t>nterpret the data of this study it has to be considered that</w:t>
      </w:r>
      <w:r w:rsidR="00595EA9" w:rsidRPr="006E4AC9">
        <w:rPr>
          <w:szCs w:val="24"/>
        </w:rPr>
        <w:t xml:space="preserve"> our study was designed retrospectively and monocentric including mostly Caucasian patients. Moreover, Frankfurt University Hospital is a tertiary referral center, which might have raised the number of patients with inconclusive findings.</w:t>
      </w:r>
    </w:p>
    <w:p w14:paraId="7186CF73" w14:textId="4A74D2B1" w:rsidR="005C7BD3" w:rsidRPr="006E4AC9" w:rsidRDefault="00595EA9" w:rsidP="00610593">
      <w:pPr>
        <w:widowControl w:val="0"/>
        <w:snapToGrid w:val="0"/>
        <w:spacing w:after="0"/>
        <w:ind w:firstLineChars="100" w:firstLine="240"/>
        <w:jc w:val="both"/>
        <w:rPr>
          <w:szCs w:val="24"/>
        </w:rPr>
      </w:pPr>
      <w:r w:rsidRPr="006E4AC9">
        <w:rPr>
          <w:szCs w:val="24"/>
        </w:rPr>
        <w:t xml:space="preserve">In conclusion, the findings of this study suggest that to date, EC is most likely an underdiagnosed etiology of SC, which is important to have in mind </w:t>
      </w:r>
      <w:r w:rsidR="00A1500F" w:rsidRPr="006E4AC9">
        <w:rPr>
          <w:szCs w:val="24"/>
        </w:rPr>
        <w:t>in patients presenting with IBS</w:t>
      </w:r>
      <w:r w:rsidRPr="006E4AC9">
        <w:rPr>
          <w:szCs w:val="24"/>
        </w:rPr>
        <w:t>.</w:t>
      </w:r>
    </w:p>
    <w:p w14:paraId="690A4F72" w14:textId="77777777" w:rsidR="00DB26B8" w:rsidRPr="006E4AC9" w:rsidRDefault="00DB26B8" w:rsidP="00610593">
      <w:pPr>
        <w:pStyle w:val="Heading1"/>
        <w:keepNext w:val="0"/>
        <w:keepLines w:val="0"/>
        <w:pageBreakBefore w:val="0"/>
        <w:widowControl w:val="0"/>
        <w:snapToGrid w:val="0"/>
        <w:spacing w:before="0" w:after="0"/>
        <w:jc w:val="both"/>
        <w:rPr>
          <w:rFonts w:ascii="Book Antiqua" w:eastAsia="SimSun" w:hAnsi="Book Antiqua"/>
          <w:sz w:val="24"/>
          <w:szCs w:val="24"/>
          <w:lang w:eastAsia="zh-CN"/>
        </w:rPr>
      </w:pPr>
    </w:p>
    <w:p w14:paraId="353CA672" w14:textId="77777777" w:rsidR="004012F6" w:rsidRPr="006E4AC9" w:rsidRDefault="004012F6" w:rsidP="00610593">
      <w:pPr>
        <w:pStyle w:val="Heading1"/>
        <w:keepNext w:val="0"/>
        <w:keepLines w:val="0"/>
        <w:pageBreakBefore w:val="0"/>
        <w:widowControl w:val="0"/>
        <w:snapToGrid w:val="0"/>
        <w:spacing w:before="0" w:after="0"/>
        <w:jc w:val="both"/>
        <w:rPr>
          <w:rFonts w:ascii="Book Antiqua" w:hAnsi="Book Antiqua"/>
          <w:caps/>
          <w:sz w:val="24"/>
          <w:szCs w:val="24"/>
        </w:rPr>
      </w:pPr>
      <w:r w:rsidRPr="006E4AC9">
        <w:rPr>
          <w:rFonts w:ascii="Book Antiqua" w:hAnsi="Book Antiqua"/>
          <w:caps/>
          <w:sz w:val="24"/>
          <w:szCs w:val="24"/>
        </w:rPr>
        <w:t>Acknowledgments</w:t>
      </w:r>
    </w:p>
    <w:p w14:paraId="72CA34EF" w14:textId="77777777" w:rsidR="004012F6" w:rsidRPr="006E4AC9" w:rsidRDefault="004012F6" w:rsidP="00610593">
      <w:pPr>
        <w:widowControl w:val="0"/>
        <w:snapToGrid w:val="0"/>
        <w:spacing w:after="0"/>
        <w:jc w:val="both"/>
        <w:outlineLvl w:val="2"/>
        <w:rPr>
          <w:szCs w:val="24"/>
        </w:rPr>
      </w:pPr>
      <w:r w:rsidRPr="006E4AC9">
        <w:rPr>
          <w:szCs w:val="24"/>
        </w:rPr>
        <w:t xml:space="preserve">The excellent technical assistance of Yvonne Michel, Katharina Sandkühler and Damaris Zaubzer is greatly acknowledged. </w:t>
      </w:r>
    </w:p>
    <w:p w14:paraId="2792CB5D" w14:textId="77777777" w:rsidR="0071745B" w:rsidRPr="006E4AC9" w:rsidRDefault="0071745B" w:rsidP="00610593">
      <w:pPr>
        <w:widowControl w:val="0"/>
        <w:snapToGrid w:val="0"/>
        <w:spacing w:after="0"/>
        <w:jc w:val="both"/>
        <w:outlineLvl w:val="2"/>
        <w:rPr>
          <w:szCs w:val="24"/>
        </w:rPr>
      </w:pPr>
    </w:p>
    <w:p w14:paraId="01DB9B35" w14:textId="77777777" w:rsidR="00982D6B" w:rsidRPr="006E4AC9" w:rsidRDefault="00982D6B" w:rsidP="00610593">
      <w:pPr>
        <w:snapToGrid w:val="0"/>
        <w:spacing w:after="0"/>
        <w:jc w:val="both"/>
        <w:rPr>
          <w:b/>
        </w:rPr>
      </w:pPr>
      <w:bookmarkStart w:id="26" w:name="OLE_LINK677"/>
      <w:bookmarkStart w:id="27" w:name="OLE_LINK678"/>
      <w:bookmarkStart w:id="28" w:name="OLE_LINK733"/>
      <w:bookmarkStart w:id="29" w:name="OLE_LINK861"/>
      <w:bookmarkStart w:id="30" w:name="OLE_LINK937"/>
      <w:bookmarkStart w:id="31" w:name="OLE_LINK961"/>
      <w:bookmarkStart w:id="32" w:name="OLE_LINK990"/>
      <w:r w:rsidRPr="006E4AC9">
        <w:rPr>
          <w:rFonts w:hint="eastAsia"/>
          <w:b/>
        </w:rPr>
        <w:t>COMMENTS</w:t>
      </w:r>
    </w:p>
    <w:p w14:paraId="60DDE557" w14:textId="77777777" w:rsidR="00982D6B" w:rsidRPr="006E4AC9" w:rsidRDefault="00982D6B" w:rsidP="00610593">
      <w:pPr>
        <w:snapToGrid w:val="0"/>
        <w:spacing w:after="0"/>
        <w:jc w:val="both"/>
        <w:rPr>
          <w:rFonts w:cs="Book Antiqua"/>
          <w:b/>
          <w:i/>
          <w:iCs/>
          <w:sz w:val="23"/>
          <w:szCs w:val="23"/>
        </w:rPr>
      </w:pPr>
      <w:bookmarkStart w:id="33" w:name="OLE_LINK729"/>
      <w:bookmarkStart w:id="34" w:name="OLE_LINK730"/>
      <w:r w:rsidRPr="006E4AC9">
        <w:rPr>
          <w:rFonts w:cs="Book Antiqua"/>
          <w:b/>
          <w:i/>
          <w:iCs/>
          <w:sz w:val="23"/>
          <w:szCs w:val="23"/>
        </w:rPr>
        <w:t>Background</w:t>
      </w:r>
    </w:p>
    <w:p w14:paraId="0D56895B" w14:textId="6548740E" w:rsidR="00BB7094" w:rsidRPr="006E4AC9" w:rsidRDefault="00BB7094" w:rsidP="00610593">
      <w:pPr>
        <w:snapToGrid w:val="0"/>
        <w:spacing w:after="0"/>
        <w:jc w:val="both"/>
        <w:rPr>
          <w:rFonts w:cs="Book Antiqua"/>
          <w:i/>
          <w:iCs/>
          <w:szCs w:val="24"/>
        </w:rPr>
      </w:pPr>
      <w:r w:rsidRPr="006E4AC9">
        <w:rPr>
          <w:rFonts w:cs="Book Antiqua"/>
          <w:iCs/>
          <w:szCs w:val="24"/>
        </w:rPr>
        <w:t xml:space="preserve">Differentiation of benign and malignant biliary stenosis in indeterminate biliary stricture (IBS) is a common </w:t>
      </w:r>
      <w:r w:rsidR="00A1500F" w:rsidRPr="006E4AC9">
        <w:rPr>
          <w:rFonts w:cs="Book Antiqua"/>
          <w:iCs/>
          <w:szCs w:val="24"/>
        </w:rPr>
        <w:t xml:space="preserve">interdisciplinary </w:t>
      </w:r>
      <w:r w:rsidRPr="006E4AC9">
        <w:rPr>
          <w:rFonts w:cs="Book Antiqua"/>
          <w:iCs/>
          <w:szCs w:val="24"/>
        </w:rPr>
        <w:t xml:space="preserve">challenge. </w:t>
      </w:r>
      <w:r w:rsidR="00EE429F" w:rsidRPr="006E4AC9">
        <w:rPr>
          <w:rFonts w:cs="Book Antiqua"/>
          <w:iCs/>
          <w:szCs w:val="24"/>
        </w:rPr>
        <w:t>D</w:t>
      </w:r>
      <w:r w:rsidRPr="006E4AC9">
        <w:rPr>
          <w:rFonts w:cs="Book Antiqua"/>
          <w:iCs/>
          <w:szCs w:val="24"/>
        </w:rPr>
        <w:t>ata o</w:t>
      </w:r>
      <w:r w:rsidR="00A1500F" w:rsidRPr="006E4AC9">
        <w:rPr>
          <w:rFonts w:cs="Book Antiqua"/>
          <w:iCs/>
          <w:szCs w:val="24"/>
        </w:rPr>
        <w:t>n</w:t>
      </w:r>
      <w:r w:rsidRPr="006E4AC9">
        <w:rPr>
          <w:szCs w:val="24"/>
        </w:rPr>
        <w:t xml:space="preserve"> eosinophilic cholangitis as a potential cause of IBS are lacking.</w:t>
      </w:r>
    </w:p>
    <w:p w14:paraId="744ECE77" w14:textId="77777777" w:rsidR="00610593" w:rsidRPr="006E4AC9" w:rsidRDefault="00610593" w:rsidP="00610593">
      <w:pPr>
        <w:snapToGrid w:val="0"/>
        <w:spacing w:after="0"/>
        <w:jc w:val="both"/>
        <w:rPr>
          <w:rFonts w:eastAsia="SimSun" w:cs="Book Antiqua"/>
          <w:i/>
          <w:iCs/>
          <w:szCs w:val="24"/>
          <w:lang w:eastAsia="zh-CN"/>
        </w:rPr>
      </w:pPr>
    </w:p>
    <w:p w14:paraId="0BBFA5B2" w14:textId="77777777" w:rsidR="00982D6B" w:rsidRPr="006E4AC9" w:rsidRDefault="00982D6B" w:rsidP="00610593">
      <w:pPr>
        <w:snapToGrid w:val="0"/>
        <w:spacing w:after="0"/>
        <w:jc w:val="both"/>
        <w:rPr>
          <w:rFonts w:cs="Book Antiqua"/>
          <w:b/>
          <w:i/>
          <w:iCs/>
          <w:szCs w:val="24"/>
        </w:rPr>
      </w:pPr>
      <w:r w:rsidRPr="006E4AC9">
        <w:rPr>
          <w:rFonts w:cs="Book Antiqua"/>
          <w:b/>
          <w:i/>
          <w:iCs/>
          <w:szCs w:val="24"/>
        </w:rPr>
        <w:t>Research frontiers</w:t>
      </w:r>
    </w:p>
    <w:p w14:paraId="54F511F2" w14:textId="0FFB658E" w:rsidR="00BB7094" w:rsidRPr="006E4AC9" w:rsidRDefault="00BB7094" w:rsidP="00610593">
      <w:pPr>
        <w:snapToGrid w:val="0"/>
        <w:spacing w:after="0"/>
        <w:jc w:val="both"/>
        <w:rPr>
          <w:szCs w:val="24"/>
        </w:rPr>
      </w:pPr>
      <w:r w:rsidRPr="006E4AC9">
        <w:rPr>
          <w:szCs w:val="24"/>
        </w:rPr>
        <w:t>This study represents the</w:t>
      </w:r>
      <w:r w:rsidR="00C0289B" w:rsidRPr="006E4AC9">
        <w:rPr>
          <w:szCs w:val="24"/>
        </w:rPr>
        <w:t xml:space="preserve"> first retrospective analysis on prevalence of</w:t>
      </w:r>
      <w:r w:rsidRPr="006E4AC9">
        <w:rPr>
          <w:szCs w:val="24"/>
        </w:rPr>
        <w:t xml:space="preserve"> eosinophilic cholangitis.</w:t>
      </w:r>
    </w:p>
    <w:p w14:paraId="0E538E5D" w14:textId="77777777" w:rsidR="00610593" w:rsidRPr="006E4AC9" w:rsidRDefault="00610593" w:rsidP="00610593">
      <w:pPr>
        <w:snapToGrid w:val="0"/>
        <w:spacing w:after="0"/>
        <w:jc w:val="both"/>
        <w:rPr>
          <w:rFonts w:eastAsia="SimSun" w:cs="Book Antiqua"/>
          <w:i/>
          <w:iCs/>
          <w:szCs w:val="24"/>
          <w:lang w:eastAsia="zh-CN"/>
        </w:rPr>
      </w:pPr>
    </w:p>
    <w:p w14:paraId="055B74F6" w14:textId="20A2B273" w:rsidR="00BB7094" w:rsidRPr="006E4AC9" w:rsidRDefault="00982D6B" w:rsidP="00610593">
      <w:pPr>
        <w:snapToGrid w:val="0"/>
        <w:spacing w:after="0"/>
        <w:jc w:val="both"/>
        <w:rPr>
          <w:rFonts w:cs="Book Antiqua"/>
          <w:b/>
          <w:i/>
          <w:iCs/>
          <w:szCs w:val="24"/>
        </w:rPr>
      </w:pPr>
      <w:r w:rsidRPr="006E4AC9">
        <w:rPr>
          <w:rFonts w:cs="Book Antiqua"/>
          <w:b/>
          <w:i/>
          <w:iCs/>
          <w:szCs w:val="24"/>
        </w:rPr>
        <w:t>Innovations and breakthrough</w:t>
      </w:r>
    </w:p>
    <w:p w14:paraId="55BFED56" w14:textId="3A73B9D9" w:rsidR="00982D6B" w:rsidRPr="006E4AC9" w:rsidRDefault="00BB7094" w:rsidP="00610593">
      <w:pPr>
        <w:snapToGrid w:val="0"/>
        <w:spacing w:after="0"/>
        <w:jc w:val="both"/>
        <w:rPr>
          <w:szCs w:val="24"/>
        </w:rPr>
      </w:pPr>
      <w:r w:rsidRPr="006E4AC9">
        <w:rPr>
          <w:rFonts w:cs="Book Antiqua"/>
          <w:iCs/>
          <w:szCs w:val="24"/>
        </w:rPr>
        <w:t>This study revealed</w:t>
      </w:r>
      <w:r w:rsidRPr="006E4AC9">
        <w:rPr>
          <w:rFonts w:cs="Book Antiqua"/>
          <w:i/>
          <w:iCs/>
          <w:szCs w:val="24"/>
        </w:rPr>
        <w:t xml:space="preserve"> </w:t>
      </w:r>
      <w:r w:rsidRPr="006E4AC9">
        <w:rPr>
          <w:szCs w:val="24"/>
        </w:rPr>
        <w:t>eosinophilic cholangitis as a most likely underdiagnosed differential diagnosis</w:t>
      </w:r>
      <w:r w:rsidR="00C0289B" w:rsidRPr="006E4AC9">
        <w:rPr>
          <w:szCs w:val="24"/>
        </w:rPr>
        <w:t xml:space="preserve"> of sclerosing cholangitis</w:t>
      </w:r>
      <w:r w:rsidRPr="006E4AC9">
        <w:rPr>
          <w:szCs w:val="24"/>
        </w:rPr>
        <w:t>.</w:t>
      </w:r>
    </w:p>
    <w:p w14:paraId="36894540" w14:textId="77777777" w:rsidR="00610593" w:rsidRPr="006E4AC9" w:rsidRDefault="00610593" w:rsidP="00610593">
      <w:pPr>
        <w:snapToGrid w:val="0"/>
        <w:spacing w:after="0"/>
        <w:jc w:val="both"/>
        <w:rPr>
          <w:rFonts w:eastAsia="SimSun" w:cs="Book Antiqua"/>
          <w:i/>
          <w:iCs/>
          <w:szCs w:val="24"/>
          <w:lang w:eastAsia="zh-CN"/>
        </w:rPr>
      </w:pPr>
    </w:p>
    <w:p w14:paraId="3F00EE22" w14:textId="77777777" w:rsidR="00982D6B" w:rsidRPr="006E4AC9" w:rsidRDefault="00982D6B" w:rsidP="00610593">
      <w:pPr>
        <w:snapToGrid w:val="0"/>
        <w:spacing w:after="0"/>
        <w:jc w:val="both"/>
        <w:rPr>
          <w:rFonts w:cs="Book Antiqua"/>
          <w:b/>
          <w:i/>
          <w:iCs/>
          <w:szCs w:val="24"/>
        </w:rPr>
      </w:pPr>
      <w:r w:rsidRPr="006E4AC9">
        <w:rPr>
          <w:rFonts w:cs="Book Antiqua"/>
          <w:b/>
          <w:i/>
          <w:iCs/>
          <w:szCs w:val="24"/>
        </w:rPr>
        <w:t>Applications</w:t>
      </w:r>
    </w:p>
    <w:p w14:paraId="41355FDF" w14:textId="1BB719BA" w:rsidR="00BB7094" w:rsidRPr="006E4AC9" w:rsidRDefault="000229D3" w:rsidP="00610593">
      <w:pPr>
        <w:snapToGrid w:val="0"/>
        <w:spacing w:after="0"/>
        <w:jc w:val="both"/>
        <w:rPr>
          <w:rFonts w:cs="Book Antiqua"/>
          <w:i/>
          <w:iCs/>
          <w:szCs w:val="24"/>
        </w:rPr>
      </w:pPr>
      <w:r w:rsidRPr="006E4AC9">
        <w:rPr>
          <w:szCs w:val="24"/>
        </w:rPr>
        <w:lastRenderedPageBreak/>
        <w:t>This study suggests that e</w:t>
      </w:r>
      <w:r w:rsidR="00BB7094" w:rsidRPr="006E4AC9">
        <w:rPr>
          <w:szCs w:val="24"/>
        </w:rPr>
        <w:t xml:space="preserve">osinophilic cholangitis has to be kept in mind </w:t>
      </w:r>
      <w:r w:rsidR="00C0289B" w:rsidRPr="006E4AC9">
        <w:rPr>
          <w:szCs w:val="24"/>
        </w:rPr>
        <w:t>in patients presenting with IBS. In suspicious cases, multiple biopsies should be obtained and cholangioscopy should be considered.</w:t>
      </w:r>
    </w:p>
    <w:p w14:paraId="4B327C52" w14:textId="77777777" w:rsidR="00610593" w:rsidRPr="006E4AC9" w:rsidRDefault="00610593" w:rsidP="00610593">
      <w:pPr>
        <w:snapToGrid w:val="0"/>
        <w:spacing w:after="0"/>
        <w:jc w:val="both"/>
        <w:rPr>
          <w:rFonts w:eastAsia="SimSun" w:cs="Book Antiqua"/>
          <w:i/>
          <w:iCs/>
          <w:szCs w:val="24"/>
          <w:lang w:eastAsia="zh-CN"/>
        </w:rPr>
      </w:pPr>
    </w:p>
    <w:p w14:paraId="4410C72D" w14:textId="77777777" w:rsidR="00DD2829" w:rsidRPr="006E4AC9" w:rsidRDefault="00982D6B" w:rsidP="00610593">
      <w:pPr>
        <w:snapToGrid w:val="0"/>
        <w:spacing w:after="0"/>
        <w:jc w:val="both"/>
        <w:rPr>
          <w:rFonts w:cs="Book Antiqua"/>
          <w:b/>
          <w:i/>
          <w:iCs/>
          <w:szCs w:val="24"/>
        </w:rPr>
      </w:pPr>
      <w:r w:rsidRPr="006E4AC9">
        <w:rPr>
          <w:rFonts w:cs="Book Antiqua"/>
          <w:b/>
          <w:i/>
          <w:iCs/>
          <w:szCs w:val="24"/>
        </w:rPr>
        <w:t>Terminology</w:t>
      </w:r>
    </w:p>
    <w:p w14:paraId="4A716319" w14:textId="3BF79640" w:rsidR="00982D6B" w:rsidRPr="006E4AC9" w:rsidRDefault="000229D3" w:rsidP="00610593">
      <w:pPr>
        <w:snapToGrid w:val="0"/>
        <w:spacing w:after="0"/>
        <w:jc w:val="both"/>
        <w:rPr>
          <w:rFonts w:cs="Book Antiqua"/>
          <w:i/>
          <w:iCs/>
          <w:szCs w:val="24"/>
        </w:rPr>
      </w:pPr>
      <w:r w:rsidRPr="006E4AC9">
        <w:rPr>
          <w:rFonts w:cs="Book Antiqua"/>
          <w:iCs/>
          <w:szCs w:val="24"/>
        </w:rPr>
        <w:t>Eosinophil gra</w:t>
      </w:r>
      <w:r w:rsidR="00C0289B" w:rsidRPr="006E4AC9">
        <w:rPr>
          <w:rFonts w:cs="Book Antiqua"/>
          <w:iCs/>
          <w:szCs w:val="24"/>
        </w:rPr>
        <w:t>nulocytes are a subgroup of leuk</w:t>
      </w:r>
      <w:r w:rsidRPr="006E4AC9">
        <w:rPr>
          <w:rFonts w:cs="Book Antiqua"/>
          <w:iCs/>
          <w:szCs w:val="24"/>
        </w:rPr>
        <w:t>ocytes.</w:t>
      </w:r>
      <w:r w:rsidRPr="006E4AC9">
        <w:rPr>
          <w:rFonts w:cs="Book Antiqua"/>
          <w:i/>
          <w:iCs/>
          <w:szCs w:val="24"/>
        </w:rPr>
        <w:t xml:space="preserve"> </w:t>
      </w:r>
      <w:r w:rsidR="00DD2829" w:rsidRPr="006E4AC9">
        <w:rPr>
          <w:szCs w:val="24"/>
        </w:rPr>
        <w:t xml:space="preserve">IgG4 is a subgroup of immunoglobulin G which represents the majority of serum antibodies. Infiltration of the bile duct with eosinophilic </w:t>
      </w:r>
      <w:r w:rsidR="00DD2829" w:rsidRPr="006E4AC9">
        <w:rPr>
          <w:rFonts w:cs="Book Antiqua"/>
          <w:iCs/>
          <w:szCs w:val="24"/>
        </w:rPr>
        <w:t>granulocytes or IgG4-positive plasma cells</w:t>
      </w:r>
      <w:r w:rsidRPr="006E4AC9">
        <w:rPr>
          <w:rFonts w:cs="Book Antiqua"/>
          <w:iCs/>
          <w:szCs w:val="24"/>
        </w:rPr>
        <w:t xml:space="preserve"> can lead to s</w:t>
      </w:r>
      <w:r w:rsidR="00DD2829" w:rsidRPr="006E4AC9">
        <w:rPr>
          <w:rFonts w:cs="Book Antiqua"/>
          <w:iCs/>
          <w:szCs w:val="24"/>
        </w:rPr>
        <w:t>clerosin</w:t>
      </w:r>
      <w:r w:rsidR="00EE429F" w:rsidRPr="006E4AC9">
        <w:rPr>
          <w:rFonts w:cs="Book Antiqua"/>
          <w:iCs/>
          <w:szCs w:val="24"/>
        </w:rPr>
        <w:t>g cholangitis and thereby mimic</w:t>
      </w:r>
      <w:r w:rsidR="00DD2829" w:rsidRPr="006E4AC9">
        <w:rPr>
          <w:rFonts w:cs="Book Antiqua"/>
          <w:iCs/>
          <w:szCs w:val="24"/>
        </w:rPr>
        <w:t xml:space="preserve"> biliary cancer.</w:t>
      </w:r>
    </w:p>
    <w:p w14:paraId="244BD757" w14:textId="77777777" w:rsidR="00EE429F" w:rsidRPr="006E4AC9" w:rsidRDefault="00EE429F" w:rsidP="00610593">
      <w:pPr>
        <w:snapToGrid w:val="0"/>
        <w:spacing w:after="0"/>
        <w:jc w:val="both"/>
        <w:rPr>
          <w:rFonts w:cs="Book Antiqua"/>
          <w:i/>
          <w:iCs/>
          <w:szCs w:val="24"/>
        </w:rPr>
      </w:pPr>
    </w:p>
    <w:p w14:paraId="5AD6804E" w14:textId="7AF39649" w:rsidR="00B16228" w:rsidRPr="006E4AC9" w:rsidRDefault="00982D6B" w:rsidP="00610593">
      <w:pPr>
        <w:widowControl w:val="0"/>
        <w:snapToGrid w:val="0"/>
        <w:spacing w:after="0"/>
        <w:jc w:val="both"/>
        <w:rPr>
          <w:rFonts w:eastAsia="SimSun" w:cs="Book Antiqua"/>
          <w:b/>
          <w:i/>
          <w:iCs/>
          <w:sz w:val="23"/>
          <w:szCs w:val="23"/>
          <w:lang w:eastAsia="zh-CN"/>
        </w:rPr>
      </w:pPr>
      <w:r w:rsidRPr="006E4AC9">
        <w:rPr>
          <w:rFonts w:cs="Book Antiqua" w:hint="eastAsia"/>
          <w:b/>
          <w:i/>
          <w:iCs/>
          <w:sz w:val="23"/>
          <w:szCs w:val="23"/>
        </w:rPr>
        <w:t>Peer-review</w:t>
      </w:r>
      <w:bookmarkEnd w:id="26"/>
      <w:bookmarkEnd w:id="27"/>
      <w:bookmarkEnd w:id="28"/>
      <w:bookmarkEnd w:id="29"/>
      <w:bookmarkEnd w:id="30"/>
      <w:bookmarkEnd w:id="31"/>
      <w:bookmarkEnd w:id="32"/>
      <w:bookmarkEnd w:id="33"/>
      <w:bookmarkEnd w:id="34"/>
    </w:p>
    <w:p w14:paraId="4D3CEC64" w14:textId="3A06B7B9" w:rsidR="00982D6B" w:rsidRPr="006E4AC9" w:rsidRDefault="00982D6B" w:rsidP="00610593">
      <w:pPr>
        <w:widowControl w:val="0"/>
        <w:snapToGrid w:val="0"/>
        <w:spacing w:after="0"/>
        <w:jc w:val="both"/>
        <w:rPr>
          <w:rFonts w:eastAsia="SimSun"/>
          <w:szCs w:val="24"/>
          <w:lang w:eastAsia="zh-CN"/>
        </w:rPr>
      </w:pPr>
      <w:r w:rsidRPr="006E4AC9">
        <w:rPr>
          <w:rFonts w:eastAsia="SimSun"/>
          <w:szCs w:val="24"/>
          <w:lang w:eastAsia="zh-CN"/>
        </w:rPr>
        <w:t>Excellent effort in contributing important information on the challenging problem of IBS.</w:t>
      </w:r>
      <w:r w:rsidRPr="006E4AC9">
        <w:rPr>
          <w:rFonts w:eastAsia="SimSun" w:hint="eastAsia"/>
          <w:szCs w:val="24"/>
          <w:lang w:eastAsia="zh-CN"/>
        </w:rPr>
        <w:t xml:space="preserve"> </w:t>
      </w:r>
      <w:r w:rsidRPr="006E4AC9">
        <w:rPr>
          <w:rFonts w:eastAsia="SimSun"/>
          <w:szCs w:val="24"/>
          <w:lang w:eastAsia="zh-CN"/>
        </w:rPr>
        <w:t>As we learn more about EC and similar entities from contributions such as this we will be able to offer more specific treatment and avoid surgery that is not needed.</w:t>
      </w:r>
    </w:p>
    <w:p w14:paraId="6E3FD93F" w14:textId="77777777" w:rsidR="00DB26B8" w:rsidRPr="006E4AC9" w:rsidRDefault="00DB26B8" w:rsidP="00610593">
      <w:pPr>
        <w:snapToGrid w:val="0"/>
        <w:spacing w:after="0"/>
        <w:jc w:val="both"/>
        <w:rPr>
          <w:rFonts w:eastAsiaTheme="majorEastAsia"/>
          <w:b/>
          <w:bCs/>
          <w:szCs w:val="24"/>
        </w:rPr>
      </w:pPr>
      <w:r w:rsidRPr="006E4AC9">
        <w:rPr>
          <w:szCs w:val="24"/>
        </w:rPr>
        <w:br w:type="page"/>
      </w:r>
    </w:p>
    <w:p w14:paraId="4AE626A5" w14:textId="4B96AB8B" w:rsidR="00AA5335" w:rsidRPr="006E4AC9" w:rsidRDefault="00AA5335" w:rsidP="00610593">
      <w:pPr>
        <w:pStyle w:val="Heading1"/>
        <w:keepNext w:val="0"/>
        <w:keepLines w:val="0"/>
        <w:pageBreakBefore w:val="0"/>
        <w:widowControl w:val="0"/>
        <w:snapToGrid w:val="0"/>
        <w:spacing w:before="0" w:after="0"/>
        <w:jc w:val="both"/>
        <w:rPr>
          <w:rFonts w:ascii="Book Antiqua" w:hAnsi="Book Antiqua"/>
          <w:caps/>
          <w:sz w:val="24"/>
          <w:szCs w:val="24"/>
        </w:rPr>
      </w:pPr>
      <w:r w:rsidRPr="006E4AC9">
        <w:rPr>
          <w:rFonts w:ascii="Book Antiqua" w:hAnsi="Book Antiqua"/>
          <w:caps/>
          <w:sz w:val="24"/>
          <w:szCs w:val="24"/>
        </w:rPr>
        <w:lastRenderedPageBreak/>
        <w:t>References</w:t>
      </w:r>
    </w:p>
    <w:p w14:paraId="749D9B08"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1 </w:t>
      </w:r>
      <w:r w:rsidRPr="006E4AC9">
        <w:rPr>
          <w:rFonts w:eastAsia="SimSun" w:cs="Times New Roman"/>
          <w:b/>
          <w:bCs/>
          <w:kern w:val="2"/>
          <w:szCs w:val="24"/>
          <w:lang w:eastAsia="zh-CN"/>
        </w:rPr>
        <w:t>Erdogan D</w:t>
      </w:r>
      <w:r w:rsidRPr="006E4AC9">
        <w:rPr>
          <w:rFonts w:eastAsia="SimSun" w:cs="Times New Roman"/>
          <w:kern w:val="2"/>
          <w:szCs w:val="24"/>
          <w:lang w:eastAsia="zh-CN"/>
        </w:rPr>
        <w:t>, Kloek JJ, ten Kate FJ, Rauws EA, Busch OR, Gouma DJ, van Gulik TM. Immunoglobulin G4-related sclerosing cholangitis in patients resected for presumed malignant bile duct strictures. </w:t>
      </w:r>
      <w:r w:rsidRPr="006E4AC9">
        <w:rPr>
          <w:rFonts w:eastAsia="SimSun" w:cs="Times New Roman"/>
          <w:i/>
          <w:iCs/>
          <w:kern w:val="2"/>
          <w:szCs w:val="24"/>
          <w:lang w:eastAsia="zh-CN"/>
        </w:rPr>
        <w:t>Br J Surg</w:t>
      </w:r>
      <w:r w:rsidRPr="006E4AC9">
        <w:rPr>
          <w:rFonts w:eastAsia="SimSun" w:cs="Times New Roman"/>
          <w:kern w:val="2"/>
          <w:szCs w:val="24"/>
          <w:lang w:eastAsia="zh-CN"/>
        </w:rPr>
        <w:t> 2008; </w:t>
      </w:r>
      <w:r w:rsidRPr="006E4AC9">
        <w:rPr>
          <w:rFonts w:eastAsia="SimSun" w:cs="Times New Roman"/>
          <w:b/>
          <w:bCs/>
          <w:kern w:val="2"/>
          <w:szCs w:val="24"/>
          <w:lang w:eastAsia="zh-CN"/>
        </w:rPr>
        <w:t>95</w:t>
      </w:r>
      <w:r w:rsidRPr="006E4AC9">
        <w:rPr>
          <w:rFonts w:eastAsia="SimSun" w:cs="Times New Roman"/>
          <w:kern w:val="2"/>
          <w:szCs w:val="24"/>
          <w:lang w:eastAsia="zh-CN"/>
        </w:rPr>
        <w:t>: 727-734 [PMID: 18418862 DOI: 10.1002/bjs.6057]</w:t>
      </w:r>
    </w:p>
    <w:p w14:paraId="5D5188DA"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2 </w:t>
      </w:r>
      <w:r w:rsidRPr="006E4AC9">
        <w:rPr>
          <w:rFonts w:eastAsia="SimSun" w:cs="Times New Roman"/>
          <w:b/>
          <w:bCs/>
          <w:kern w:val="2"/>
          <w:szCs w:val="24"/>
          <w:lang w:eastAsia="zh-CN"/>
        </w:rPr>
        <w:t>Domagk D</w:t>
      </w:r>
      <w:r w:rsidRPr="006E4AC9">
        <w:rPr>
          <w:rFonts w:eastAsia="SimSun" w:cs="Times New Roman"/>
          <w:kern w:val="2"/>
          <w:szCs w:val="24"/>
          <w:lang w:eastAsia="zh-CN"/>
        </w:rPr>
        <w:t>, Poremba C, Dietl KH, Senninger N, Heinecke A, Domschke W, Menzel J. Endoscopic transpapillary biopsies and intraductal ultrasonography in the diagnostics of bile duct strictures: a prospective study. </w:t>
      </w:r>
      <w:r w:rsidRPr="006E4AC9">
        <w:rPr>
          <w:rFonts w:eastAsia="SimSun" w:cs="Times New Roman"/>
          <w:i/>
          <w:iCs/>
          <w:kern w:val="2"/>
          <w:szCs w:val="24"/>
          <w:lang w:eastAsia="zh-CN"/>
        </w:rPr>
        <w:t>Gut</w:t>
      </w:r>
      <w:r w:rsidRPr="006E4AC9">
        <w:rPr>
          <w:rFonts w:eastAsia="SimSun" w:cs="Times New Roman"/>
          <w:kern w:val="2"/>
          <w:szCs w:val="24"/>
          <w:lang w:eastAsia="zh-CN"/>
        </w:rPr>
        <w:t> 2002; </w:t>
      </w:r>
      <w:r w:rsidRPr="006E4AC9">
        <w:rPr>
          <w:rFonts w:eastAsia="SimSun" w:cs="Times New Roman"/>
          <w:b/>
          <w:bCs/>
          <w:kern w:val="2"/>
          <w:szCs w:val="24"/>
          <w:lang w:eastAsia="zh-CN"/>
        </w:rPr>
        <w:t>51</w:t>
      </w:r>
      <w:r w:rsidRPr="006E4AC9">
        <w:rPr>
          <w:rFonts w:eastAsia="SimSun" w:cs="Times New Roman"/>
          <w:kern w:val="2"/>
          <w:szCs w:val="24"/>
          <w:lang w:eastAsia="zh-CN"/>
        </w:rPr>
        <w:t>: 240-244 [PMID: 12117887 DOI: 10.1136/gut.51.2.240]</w:t>
      </w:r>
    </w:p>
    <w:p w14:paraId="1BFBF248"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3 </w:t>
      </w:r>
      <w:r w:rsidRPr="006E4AC9">
        <w:rPr>
          <w:rFonts w:eastAsia="SimSun" w:cs="Times New Roman"/>
          <w:b/>
          <w:bCs/>
          <w:kern w:val="2"/>
          <w:szCs w:val="24"/>
          <w:lang w:eastAsia="zh-CN"/>
        </w:rPr>
        <w:t>Juntermanns B</w:t>
      </w:r>
      <w:r w:rsidRPr="006E4AC9">
        <w:rPr>
          <w:rFonts w:eastAsia="SimSun" w:cs="Times New Roman"/>
          <w:kern w:val="2"/>
          <w:szCs w:val="24"/>
          <w:lang w:eastAsia="zh-CN"/>
        </w:rPr>
        <w:t>, Kaiser GM, Reis H, Saner FH, Radunz S, Vernadakis S, Heuer M, Kuehl H, Paul A, Treckmann J. Klatskin-mimicking lesions: still a diagnostical and therapeutical dilemma? </w:t>
      </w:r>
      <w:r w:rsidRPr="006E4AC9">
        <w:rPr>
          <w:rFonts w:eastAsia="SimSun" w:cs="Times New Roman"/>
          <w:i/>
          <w:iCs/>
          <w:kern w:val="2"/>
          <w:szCs w:val="24"/>
          <w:lang w:eastAsia="zh-CN"/>
        </w:rPr>
        <w:t>Hepatogastroenterology</w:t>
      </w:r>
      <w:r w:rsidRPr="006E4AC9">
        <w:rPr>
          <w:rFonts w:eastAsia="SimSun" w:cs="Times New Roman"/>
          <w:kern w:val="2"/>
          <w:szCs w:val="24"/>
          <w:lang w:eastAsia="zh-CN"/>
        </w:rPr>
        <w:t> </w:t>
      </w:r>
      <w:r w:rsidRPr="006E4AC9">
        <w:rPr>
          <w:rFonts w:eastAsia="SimSun" w:cs="Times New Roman" w:hint="eastAsia"/>
          <w:kern w:val="2"/>
          <w:szCs w:val="24"/>
          <w:lang w:eastAsia="zh-CN"/>
        </w:rPr>
        <w:t>2011</w:t>
      </w:r>
      <w:r w:rsidRPr="006E4AC9">
        <w:rPr>
          <w:rFonts w:eastAsia="SimSun" w:cs="Times New Roman"/>
          <w:kern w:val="2"/>
          <w:szCs w:val="24"/>
          <w:lang w:eastAsia="zh-CN"/>
        </w:rPr>
        <w:t>; </w:t>
      </w:r>
      <w:r w:rsidRPr="006E4AC9">
        <w:rPr>
          <w:rFonts w:eastAsia="SimSun" w:cs="Times New Roman"/>
          <w:b/>
          <w:bCs/>
          <w:kern w:val="2"/>
          <w:szCs w:val="24"/>
          <w:lang w:eastAsia="zh-CN"/>
        </w:rPr>
        <w:t>58</w:t>
      </w:r>
      <w:r w:rsidRPr="006E4AC9">
        <w:rPr>
          <w:rFonts w:eastAsia="SimSun" w:cs="Times New Roman"/>
          <w:kern w:val="2"/>
          <w:szCs w:val="24"/>
          <w:lang w:eastAsia="zh-CN"/>
        </w:rPr>
        <w:t>: 265-269 [PMID: 21661379]</w:t>
      </w:r>
    </w:p>
    <w:p w14:paraId="2B8A7AE4"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4 </w:t>
      </w:r>
      <w:r w:rsidRPr="006E4AC9">
        <w:rPr>
          <w:rFonts w:eastAsia="SimSun" w:cs="Times New Roman"/>
          <w:b/>
          <w:bCs/>
          <w:kern w:val="2"/>
          <w:szCs w:val="24"/>
          <w:lang w:eastAsia="zh-CN"/>
        </w:rPr>
        <w:t>Leegaard M</w:t>
      </w:r>
      <w:r w:rsidRPr="006E4AC9">
        <w:rPr>
          <w:rFonts w:eastAsia="SimSun" w:cs="Times New Roman"/>
          <w:kern w:val="2"/>
          <w:szCs w:val="24"/>
          <w:lang w:eastAsia="zh-CN"/>
        </w:rPr>
        <w:t>. Eosinophilic cholecystitis. </w:t>
      </w:r>
      <w:r w:rsidRPr="006E4AC9">
        <w:rPr>
          <w:rFonts w:eastAsia="SimSun" w:cs="Times New Roman"/>
          <w:i/>
          <w:iCs/>
          <w:kern w:val="2"/>
          <w:szCs w:val="24"/>
          <w:lang w:eastAsia="zh-CN"/>
        </w:rPr>
        <w:t>Acta Chir Scand</w:t>
      </w:r>
      <w:r w:rsidRPr="006E4AC9">
        <w:rPr>
          <w:rFonts w:eastAsia="SimSun" w:cs="Times New Roman"/>
          <w:kern w:val="2"/>
          <w:szCs w:val="24"/>
          <w:lang w:eastAsia="zh-CN"/>
        </w:rPr>
        <w:t> 1980; </w:t>
      </w:r>
      <w:r w:rsidRPr="006E4AC9">
        <w:rPr>
          <w:rFonts w:eastAsia="SimSun" w:cs="Times New Roman"/>
          <w:b/>
          <w:bCs/>
          <w:kern w:val="2"/>
          <w:szCs w:val="24"/>
          <w:lang w:eastAsia="zh-CN"/>
        </w:rPr>
        <w:t>146</w:t>
      </w:r>
      <w:r w:rsidRPr="006E4AC9">
        <w:rPr>
          <w:rFonts w:eastAsia="SimSun" w:cs="Times New Roman"/>
          <w:kern w:val="2"/>
          <w:szCs w:val="24"/>
          <w:lang w:eastAsia="zh-CN"/>
        </w:rPr>
        <w:t>: 295-296 [PMID: 7468056]</w:t>
      </w:r>
    </w:p>
    <w:p w14:paraId="7A994249"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5 </w:t>
      </w:r>
      <w:r w:rsidRPr="006E4AC9">
        <w:rPr>
          <w:rFonts w:eastAsia="SimSun" w:cs="Times New Roman"/>
          <w:b/>
          <w:bCs/>
          <w:kern w:val="2"/>
          <w:szCs w:val="24"/>
          <w:lang w:eastAsia="zh-CN"/>
        </w:rPr>
        <w:t>Matsumoto N</w:t>
      </w:r>
      <w:r w:rsidRPr="006E4AC9">
        <w:rPr>
          <w:rFonts w:eastAsia="SimSun" w:cs="Times New Roman"/>
          <w:kern w:val="2"/>
          <w:szCs w:val="24"/>
          <w:lang w:eastAsia="zh-CN"/>
        </w:rPr>
        <w:t>, Yokoyama K, Nakai K, Yamamoto T, Otani T, Ogawa M, Tanaka N, Iwasaki A, Arakawa Y, Sugitani M. A case of eosinophilic cholangitis: imaging findings of contrast-enhanced ultrasonography, cholangioscopy, and intraductal ultrasonography. </w:t>
      </w:r>
      <w:r w:rsidRPr="006E4AC9">
        <w:rPr>
          <w:rFonts w:eastAsia="SimSun" w:cs="Times New Roman"/>
          <w:i/>
          <w:iCs/>
          <w:kern w:val="2"/>
          <w:szCs w:val="24"/>
          <w:lang w:eastAsia="zh-CN"/>
        </w:rPr>
        <w:t>World J Gastroenterol</w:t>
      </w:r>
      <w:r w:rsidRPr="006E4AC9">
        <w:rPr>
          <w:rFonts w:eastAsia="SimSun" w:cs="Times New Roman" w:hint="eastAsia"/>
          <w:kern w:val="2"/>
          <w:szCs w:val="24"/>
          <w:lang w:eastAsia="zh-CN"/>
        </w:rPr>
        <w:t xml:space="preserve"> </w:t>
      </w:r>
      <w:r w:rsidRPr="006E4AC9">
        <w:rPr>
          <w:rFonts w:eastAsia="SimSun" w:cs="Times New Roman"/>
          <w:kern w:val="2"/>
          <w:szCs w:val="24"/>
          <w:lang w:eastAsia="zh-CN"/>
        </w:rPr>
        <w:t>2007;</w:t>
      </w:r>
      <w:r w:rsidRPr="006E4AC9">
        <w:rPr>
          <w:rFonts w:eastAsia="SimSun" w:cs="Times New Roman" w:hint="eastAsia"/>
          <w:kern w:val="2"/>
          <w:szCs w:val="24"/>
          <w:lang w:eastAsia="zh-CN"/>
        </w:rPr>
        <w:t xml:space="preserve"> </w:t>
      </w:r>
      <w:r w:rsidRPr="006E4AC9">
        <w:rPr>
          <w:rFonts w:eastAsia="SimSun" w:cs="Times New Roman"/>
          <w:b/>
          <w:bCs/>
          <w:kern w:val="2"/>
          <w:szCs w:val="24"/>
          <w:lang w:eastAsia="zh-CN"/>
        </w:rPr>
        <w:t>13</w:t>
      </w:r>
      <w:r w:rsidRPr="006E4AC9">
        <w:rPr>
          <w:rFonts w:eastAsia="SimSun" w:cs="Times New Roman"/>
          <w:kern w:val="2"/>
          <w:szCs w:val="24"/>
          <w:lang w:eastAsia="zh-CN"/>
        </w:rPr>
        <w:t>: 1995-1997 [PMID: 17461504 DOI: 10.3748/wjg.v13.i13.1995]</w:t>
      </w:r>
    </w:p>
    <w:p w14:paraId="6490D2F8"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6 </w:t>
      </w:r>
      <w:r w:rsidRPr="006E4AC9">
        <w:rPr>
          <w:rFonts w:eastAsia="SimSun" w:cs="Times New Roman"/>
          <w:b/>
          <w:bCs/>
          <w:kern w:val="2"/>
          <w:szCs w:val="24"/>
          <w:lang w:eastAsia="zh-CN"/>
        </w:rPr>
        <w:t>Nashed C</w:t>
      </w:r>
      <w:r w:rsidRPr="006E4AC9">
        <w:rPr>
          <w:rFonts w:eastAsia="SimSun" w:cs="Times New Roman"/>
          <w:kern w:val="2"/>
          <w:szCs w:val="24"/>
          <w:lang w:eastAsia="zh-CN"/>
        </w:rPr>
        <w:t>, Sakpal SV, Shusharina V, Chamberlain RS. Eosinophilic cholangitis and cholangiopathy: a sheep in wolves clothing. </w:t>
      </w:r>
      <w:r w:rsidRPr="006E4AC9">
        <w:rPr>
          <w:rFonts w:eastAsia="SimSun" w:cs="Times New Roman"/>
          <w:i/>
          <w:iCs/>
          <w:kern w:val="2"/>
          <w:szCs w:val="24"/>
          <w:lang w:eastAsia="zh-CN"/>
        </w:rPr>
        <w:t>HPB Surg</w:t>
      </w:r>
      <w:r w:rsidRPr="006E4AC9">
        <w:rPr>
          <w:rFonts w:eastAsia="SimSun" w:cs="Times New Roman"/>
          <w:kern w:val="2"/>
          <w:szCs w:val="24"/>
          <w:lang w:eastAsia="zh-CN"/>
        </w:rPr>
        <w:t> 2010; </w:t>
      </w:r>
      <w:r w:rsidRPr="006E4AC9">
        <w:rPr>
          <w:rFonts w:eastAsia="SimSun" w:cs="Times New Roman"/>
          <w:b/>
          <w:bCs/>
          <w:kern w:val="2"/>
          <w:szCs w:val="24"/>
          <w:lang w:eastAsia="zh-CN"/>
        </w:rPr>
        <w:t>2010</w:t>
      </w:r>
      <w:r w:rsidRPr="006E4AC9">
        <w:rPr>
          <w:rFonts w:eastAsia="SimSun" w:cs="Times New Roman"/>
          <w:kern w:val="2"/>
          <w:szCs w:val="24"/>
          <w:lang w:eastAsia="zh-CN"/>
        </w:rPr>
        <w:t>: 906496 [PMID: 21076681 DOI: 10.1155/2010/906496]</w:t>
      </w:r>
    </w:p>
    <w:p w14:paraId="22FA55E1"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7 </w:t>
      </w:r>
      <w:r w:rsidRPr="006E4AC9">
        <w:rPr>
          <w:rFonts w:eastAsia="SimSun" w:cs="Times New Roman"/>
          <w:b/>
          <w:bCs/>
          <w:kern w:val="2"/>
          <w:szCs w:val="24"/>
          <w:lang w:eastAsia="zh-CN"/>
        </w:rPr>
        <w:t>Kavitt RT</w:t>
      </w:r>
      <w:r w:rsidRPr="006E4AC9">
        <w:rPr>
          <w:rFonts w:eastAsia="SimSun" w:cs="Times New Roman"/>
          <w:kern w:val="2"/>
          <w:szCs w:val="24"/>
          <w:lang w:eastAsia="zh-CN"/>
        </w:rPr>
        <w:t>, Hirano I, Vaezi MF. Diagnosis and Treatment of Eosinophilic Esophagitis in Adults. </w:t>
      </w:r>
      <w:r w:rsidRPr="006E4AC9">
        <w:rPr>
          <w:rFonts w:eastAsia="SimSun" w:cs="Times New Roman"/>
          <w:i/>
          <w:iCs/>
          <w:kern w:val="2"/>
          <w:szCs w:val="24"/>
          <w:lang w:eastAsia="zh-CN"/>
        </w:rPr>
        <w:t>Am J Med</w:t>
      </w:r>
      <w:r w:rsidRPr="006E4AC9">
        <w:rPr>
          <w:rFonts w:eastAsia="SimSun" w:cs="Times New Roman"/>
          <w:kern w:val="2"/>
          <w:szCs w:val="24"/>
          <w:lang w:eastAsia="zh-CN"/>
        </w:rPr>
        <w:t> 2016; </w:t>
      </w:r>
      <w:r w:rsidRPr="006E4AC9">
        <w:rPr>
          <w:rFonts w:eastAsia="SimSun" w:cs="Times New Roman"/>
          <w:b/>
          <w:bCs/>
          <w:kern w:val="2"/>
          <w:szCs w:val="24"/>
          <w:lang w:eastAsia="zh-CN"/>
        </w:rPr>
        <w:t>129</w:t>
      </w:r>
      <w:r w:rsidRPr="006E4AC9">
        <w:rPr>
          <w:rFonts w:eastAsia="SimSun" w:cs="Times New Roman"/>
          <w:kern w:val="2"/>
          <w:szCs w:val="24"/>
          <w:lang w:eastAsia="zh-CN"/>
        </w:rPr>
        <w:t>: 924-934 [PMID: 27155108 DOI: 10.1016/j.amjmed.2016.04.024]</w:t>
      </w:r>
    </w:p>
    <w:p w14:paraId="78BD4DC9"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8 </w:t>
      </w:r>
      <w:r w:rsidRPr="006E4AC9">
        <w:rPr>
          <w:rFonts w:eastAsia="SimSun" w:cs="Times New Roman"/>
          <w:b/>
          <w:bCs/>
          <w:kern w:val="2"/>
          <w:szCs w:val="24"/>
          <w:lang w:eastAsia="zh-CN"/>
        </w:rPr>
        <w:t>Walter D</w:t>
      </w:r>
      <w:r w:rsidRPr="006E4AC9">
        <w:rPr>
          <w:rFonts w:eastAsia="SimSun" w:cs="Times New Roman"/>
          <w:kern w:val="2"/>
          <w:szCs w:val="24"/>
          <w:lang w:eastAsia="zh-CN"/>
        </w:rPr>
        <w:t>, Peveling-Oberhag J, Schulze F, Bon D, Zeuzem S, Friedrich-Rust M, Albert JG. Intraductal biopsies in indeterminate biliary stricture: Evaluation of histopathological criteria in fluoroscopy- vs. cholangioscopy guided technique. </w:t>
      </w:r>
      <w:r w:rsidRPr="006E4AC9">
        <w:rPr>
          <w:rFonts w:eastAsia="SimSun" w:cs="Times New Roman"/>
          <w:i/>
          <w:iCs/>
          <w:kern w:val="2"/>
          <w:szCs w:val="24"/>
          <w:lang w:eastAsia="zh-CN"/>
        </w:rPr>
        <w:t>Dig Liver Dis</w:t>
      </w:r>
      <w:r w:rsidRPr="006E4AC9">
        <w:rPr>
          <w:rFonts w:eastAsia="SimSun" w:cs="Times New Roman"/>
          <w:kern w:val="2"/>
          <w:szCs w:val="24"/>
          <w:lang w:eastAsia="zh-CN"/>
        </w:rPr>
        <w:t> 2016; </w:t>
      </w:r>
      <w:r w:rsidRPr="006E4AC9">
        <w:rPr>
          <w:rFonts w:eastAsia="SimSun" w:cs="Times New Roman"/>
          <w:b/>
          <w:bCs/>
          <w:kern w:val="2"/>
          <w:szCs w:val="24"/>
          <w:lang w:eastAsia="zh-CN"/>
        </w:rPr>
        <w:t>48</w:t>
      </w:r>
      <w:r w:rsidRPr="006E4AC9">
        <w:rPr>
          <w:rFonts w:eastAsia="SimSun" w:cs="Times New Roman"/>
          <w:kern w:val="2"/>
          <w:szCs w:val="24"/>
          <w:lang w:eastAsia="zh-CN"/>
        </w:rPr>
        <w:t>: 765-770 [PMID: 27067926 DOI: 10.1016/j.dld.2016.03.013]</w:t>
      </w:r>
    </w:p>
    <w:p w14:paraId="115E08F1"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9 </w:t>
      </w:r>
      <w:r w:rsidRPr="006E4AC9">
        <w:rPr>
          <w:rFonts w:eastAsia="SimSun" w:cs="Times New Roman"/>
          <w:b/>
          <w:bCs/>
          <w:kern w:val="2"/>
          <w:szCs w:val="24"/>
          <w:lang w:eastAsia="zh-CN"/>
        </w:rPr>
        <w:t>Nielsen JA</w:t>
      </w:r>
      <w:r w:rsidRPr="006E4AC9">
        <w:rPr>
          <w:rFonts w:eastAsia="SimSun" w:cs="Times New Roman"/>
          <w:kern w:val="2"/>
          <w:szCs w:val="24"/>
          <w:lang w:eastAsia="zh-CN"/>
        </w:rPr>
        <w:t>, Lager DJ, Lewin M, Rendon G, Roberts CA. The optimal number of biopsy fragments to establish a morphologic diagnosis of eosinophilic esophagitis. </w:t>
      </w:r>
      <w:r w:rsidRPr="006E4AC9">
        <w:rPr>
          <w:rFonts w:eastAsia="SimSun" w:cs="Times New Roman"/>
          <w:i/>
          <w:iCs/>
          <w:kern w:val="2"/>
          <w:szCs w:val="24"/>
          <w:lang w:eastAsia="zh-CN"/>
        </w:rPr>
        <w:t>Am J Gastroenterol</w:t>
      </w:r>
      <w:r w:rsidRPr="006E4AC9">
        <w:rPr>
          <w:rFonts w:eastAsia="SimSun" w:cs="Times New Roman"/>
          <w:kern w:val="2"/>
          <w:szCs w:val="24"/>
          <w:lang w:eastAsia="zh-CN"/>
        </w:rPr>
        <w:t> 2014; </w:t>
      </w:r>
      <w:r w:rsidRPr="006E4AC9">
        <w:rPr>
          <w:rFonts w:eastAsia="SimSun" w:cs="Times New Roman"/>
          <w:b/>
          <w:bCs/>
          <w:kern w:val="2"/>
          <w:szCs w:val="24"/>
          <w:lang w:eastAsia="zh-CN"/>
        </w:rPr>
        <w:t>109</w:t>
      </w:r>
      <w:r w:rsidRPr="006E4AC9">
        <w:rPr>
          <w:rFonts w:eastAsia="SimSun" w:cs="Times New Roman"/>
          <w:kern w:val="2"/>
          <w:szCs w:val="24"/>
          <w:lang w:eastAsia="zh-CN"/>
        </w:rPr>
        <w:t xml:space="preserve">: 515-520 [PMID: 24445569 DOI: </w:t>
      </w:r>
      <w:r w:rsidRPr="006E4AC9">
        <w:rPr>
          <w:rFonts w:eastAsia="SimSun" w:cs="Times New Roman"/>
          <w:kern w:val="2"/>
          <w:szCs w:val="24"/>
          <w:lang w:eastAsia="zh-CN"/>
        </w:rPr>
        <w:lastRenderedPageBreak/>
        <w:t>10.1038/ajg.2013.463]</w:t>
      </w:r>
    </w:p>
    <w:p w14:paraId="5F89AED6"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10 </w:t>
      </w:r>
      <w:r w:rsidRPr="006E4AC9">
        <w:rPr>
          <w:rFonts w:eastAsia="SimSun" w:cs="Times New Roman"/>
          <w:b/>
          <w:bCs/>
          <w:kern w:val="2"/>
          <w:szCs w:val="24"/>
          <w:lang w:eastAsia="zh-CN"/>
        </w:rPr>
        <w:t>Schoonbroodt D</w:t>
      </w:r>
      <w:r w:rsidRPr="006E4AC9">
        <w:rPr>
          <w:rFonts w:eastAsia="SimSun" w:cs="Times New Roman"/>
          <w:kern w:val="2"/>
          <w:szCs w:val="24"/>
          <w:lang w:eastAsia="zh-CN"/>
        </w:rPr>
        <w:t>, Horsmans Y, Laka A, Geubel AP, Hoang P. Eosinophilic gastroenteritis presenting with colitis and cholangitis. </w:t>
      </w:r>
      <w:r w:rsidRPr="006E4AC9">
        <w:rPr>
          <w:rFonts w:eastAsia="SimSun" w:cs="Times New Roman"/>
          <w:i/>
          <w:iCs/>
          <w:kern w:val="2"/>
          <w:szCs w:val="24"/>
          <w:lang w:eastAsia="zh-CN"/>
        </w:rPr>
        <w:t>Dig Dis Sci</w:t>
      </w:r>
      <w:r w:rsidRPr="006E4AC9">
        <w:rPr>
          <w:rFonts w:eastAsia="SimSun" w:cs="Times New Roman"/>
          <w:kern w:val="2"/>
          <w:szCs w:val="24"/>
          <w:lang w:eastAsia="zh-CN"/>
        </w:rPr>
        <w:t> 1995; </w:t>
      </w:r>
      <w:r w:rsidRPr="006E4AC9">
        <w:rPr>
          <w:rFonts w:eastAsia="SimSun" w:cs="Times New Roman"/>
          <w:b/>
          <w:bCs/>
          <w:kern w:val="2"/>
          <w:szCs w:val="24"/>
          <w:lang w:eastAsia="zh-CN"/>
        </w:rPr>
        <w:t>40</w:t>
      </w:r>
      <w:r w:rsidRPr="006E4AC9">
        <w:rPr>
          <w:rFonts w:eastAsia="SimSun" w:cs="Times New Roman"/>
          <w:kern w:val="2"/>
          <w:szCs w:val="24"/>
          <w:lang w:eastAsia="zh-CN"/>
        </w:rPr>
        <w:t>: 308-314 [PMID: 7851195 DOI: 10.1007/BF02065415]</w:t>
      </w:r>
    </w:p>
    <w:p w14:paraId="400524CE"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11 </w:t>
      </w:r>
      <w:r w:rsidRPr="006E4AC9">
        <w:rPr>
          <w:rFonts w:eastAsia="SimSun" w:cs="Times New Roman"/>
          <w:b/>
          <w:bCs/>
          <w:kern w:val="2"/>
          <w:szCs w:val="24"/>
          <w:lang w:eastAsia="zh-CN"/>
        </w:rPr>
        <w:t>Jimenez-Saenz M</w:t>
      </w:r>
      <w:r w:rsidRPr="006E4AC9">
        <w:rPr>
          <w:rFonts w:eastAsia="SimSun" w:cs="Times New Roman"/>
          <w:kern w:val="2"/>
          <w:szCs w:val="24"/>
          <w:lang w:eastAsia="zh-CN"/>
        </w:rPr>
        <w:t>, Villar-Rodriguez JL, Torres Y, Carmona I, Salas-Herrero E, Gonzalez-Vilches J, Herrerias-Gutierrez JM. Biliary tract disease: a rare manifestation of eosinophilic gastroenteritis. </w:t>
      </w:r>
      <w:r w:rsidRPr="006E4AC9">
        <w:rPr>
          <w:rFonts w:eastAsia="SimSun" w:cs="Times New Roman"/>
          <w:i/>
          <w:iCs/>
          <w:kern w:val="2"/>
          <w:szCs w:val="24"/>
          <w:lang w:eastAsia="zh-CN"/>
        </w:rPr>
        <w:t>Dig Dis Sci</w:t>
      </w:r>
      <w:r w:rsidRPr="006E4AC9">
        <w:rPr>
          <w:rFonts w:eastAsia="SimSun" w:cs="Times New Roman"/>
          <w:kern w:val="2"/>
          <w:szCs w:val="24"/>
          <w:lang w:eastAsia="zh-CN"/>
        </w:rPr>
        <w:t> 2003; </w:t>
      </w:r>
      <w:r w:rsidRPr="006E4AC9">
        <w:rPr>
          <w:rFonts w:eastAsia="SimSun" w:cs="Times New Roman"/>
          <w:b/>
          <w:bCs/>
          <w:kern w:val="2"/>
          <w:szCs w:val="24"/>
          <w:lang w:eastAsia="zh-CN"/>
        </w:rPr>
        <w:t>48</w:t>
      </w:r>
      <w:r w:rsidRPr="006E4AC9">
        <w:rPr>
          <w:rFonts w:eastAsia="SimSun" w:cs="Times New Roman"/>
          <w:kern w:val="2"/>
          <w:szCs w:val="24"/>
          <w:lang w:eastAsia="zh-CN"/>
        </w:rPr>
        <w:t>: 624-627 [PMID: 12757181 DOI: 10.1023/A: 1022521707420]</w:t>
      </w:r>
    </w:p>
    <w:p w14:paraId="2061BD3E"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12 </w:t>
      </w:r>
      <w:r w:rsidRPr="006E4AC9">
        <w:rPr>
          <w:rFonts w:eastAsia="SimSun" w:cs="Times New Roman"/>
          <w:b/>
          <w:bCs/>
          <w:kern w:val="2"/>
          <w:szCs w:val="24"/>
          <w:lang w:eastAsia="zh-CN"/>
        </w:rPr>
        <w:t>Sussman DA</w:t>
      </w:r>
      <w:r w:rsidRPr="006E4AC9">
        <w:rPr>
          <w:rFonts w:eastAsia="SimSun" w:cs="Times New Roman"/>
          <w:kern w:val="2"/>
          <w:szCs w:val="24"/>
          <w:lang w:eastAsia="zh-CN"/>
        </w:rPr>
        <w:t>, Bejarano PA, Regev A. Eosinophilic cholangiopathy with concurrent eosinophilic colitis in a patient with idiopathic hypereosinophilic syndrome. </w:t>
      </w:r>
      <w:r w:rsidRPr="006E4AC9">
        <w:rPr>
          <w:rFonts w:eastAsia="SimSun" w:cs="Times New Roman"/>
          <w:i/>
          <w:iCs/>
          <w:kern w:val="2"/>
          <w:szCs w:val="24"/>
          <w:lang w:eastAsia="zh-CN"/>
        </w:rPr>
        <w:t>Eur J Gastroenterol Hepatol</w:t>
      </w:r>
      <w:r w:rsidRPr="006E4AC9">
        <w:rPr>
          <w:rFonts w:eastAsia="SimSun" w:cs="Times New Roman"/>
          <w:kern w:val="2"/>
          <w:szCs w:val="24"/>
          <w:lang w:eastAsia="zh-CN"/>
        </w:rPr>
        <w:t> 2008; </w:t>
      </w:r>
      <w:r w:rsidRPr="006E4AC9">
        <w:rPr>
          <w:rFonts w:eastAsia="SimSun" w:cs="Times New Roman"/>
          <w:b/>
          <w:bCs/>
          <w:kern w:val="2"/>
          <w:szCs w:val="24"/>
          <w:lang w:eastAsia="zh-CN"/>
        </w:rPr>
        <w:t>20</w:t>
      </w:r>
      <w:r w:rsidRPr="006E4AC9">
        <w:rPr>
          <w:rFonts w:eastAsia="SimSun" w:cs="Times New Roman"/>
          <w:kern w:val="2"/>
          <w:szCs w:val="24"/>
          <w:lang w:eastAsia="zh-CN"/>
        </w:rPr>
        <w:t>: 574-577 [PMID: 18467919 DOI: 10.1097/MEG.0b013e3282f1cc11]</w:t>
      </w:r>
    </w:p>
    <w:p w14:paraId="60A5B529"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13 </w:t>
      </w:r>
      <w:r w:rsidRPr="006E4AC9">
        <w:rPr>
          <w:rFonts w:eastAsia="SimSun" w:cs="Times New Roman"/>
          <w:b/>
          <w:bCs/>
          <w:kern w:val="2"/>
          <w:szCs w:val="24"/>
          <w:lang w:eastAsia="zh-CN"/>
        </w:rPr>
        <w:t>Walter D</w:t>
      </w:r>
      <w:r w:rsidRPr="006E4AC9">
        <w:rPr>
          <w:rFonts w:eastAsia="SimSun" w:cs="Times New Roman"/>
          <w:kern w:val="2"/>
          <w:szCs w:val="24"/>
          <w:lang w:eastAsia="zh-CN"/>
        </w:rPr>
        <w:t>, Hartmann S, Albert JG. Indeterminate biliary stricture with suspicion for malignancy unmasked as eosinophilic cholangitis by cholangioscopy.</w:t>
      </w:r>
      <w:r w:rsidRPr="006E4AC9">
        <w:rPr>
          <w:rFonts w:eastAsia="SimSun" w:cs="Times New Roman" w:hint="eastAsia"/>
          <w:kern w:val="2"/>
          <w:szCs w:val="24"/>
          <w:lang w:eastAsia="zh-CN"/>
        </w:rPr>
        <w:t xml:space="preserve"> </w:t>
      </w:r>
      <w:r w:rsidRPr="006E4AC9">
        <w:rPr>
          <w:rFonts w:eastAsia="SimSun" w:cs="Times New Roman"/>
          <w:i/>
          <w:iCs/>
          <w:kern w:val="2"/>
          <w:szCs w:val="24"/>
          <w:lang w:eastAsia="zh-CN"/>
        </w:rPr>
        <w:t>Gastrointest Endosc</w:t>
      </w:r>
      <w:r w:rsidRPr="006E4AC9">
        <w:rPr>
          <w:rFonts w:eastAsia="SimSun" w:cs="Times New Roman"/>
          <w:kern w:val="2"/>
          <w:szCs w:val="24"/>
          <w:lang w:eastAsia="zh-CN"/>
        </w:rPr>
        <w:t> 2017; </w:t>
      </w:r>
      <w:r w:rsidRPr="006E4AC9">
        <w:rPr>
          <w:rFonts w:eastAsia="SimSun" w:cs="Times New Roman"/>
          <w:b/>
          <w:bCs/>
          <w:kern w:val="2"/>
          <w:szCs w:val="24"/>
          <w:lang w:eastAsia="zh-CN"/>
        </w:rPr>
        <w:t>85</w:t>
      </w:r>
      <w:r w:rsidRPr="006E4AC9">
        <w:rPr>
          <w:rFonts w:eastAsia="SimSun" w:cs="Times New Roman"/>
          <w:kern w:val="2"/>
          <w:szCs w:val="24"/>
          <w:lang w:eastAsia="zh-CN"/>
        </w:rPr>
        <w:t>: 265-266 [PMID: 26902844 DOI: 10.1016/j.gie.2016.02.019]</w:t>
      </w:r>
    </w:p>
    <w:p w14:paraId="5023C43B"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14 </w:t>
      </w:r>
      <w:r w:rsidRPr="006E4AC9">
        <w:rPr>
          <w:rFonts w:eastAsia="SimSun" w:cs="Times New Roman"/>
          <w:b/>
          <w:bCs/>
          <w:kern w:val="2"/>
          <w:szCs w:val="24"/>
          <w:lang w:eastAsia="zh-CN"/>
        </w:rPr>
        <w:t>Hubers LM</w:t>
      </w:r>
      <w:r w:rsidRPr="006E4AC9">
        <w:rPr>
          <w:rFonts w:eastAsia="SimSun" w:cs="Times New Roman"/>
          <w:kern w:val="2"/>
          <w:szCs w:val="24"/>
          <w:lang w:eastAsia="zh-CN"/>
        </w:rPr>
        <w:t>, Maillette de Buy Wenniger LJ, Doorenspleet ME, Klarenbeek PL, Verheij J, Rauws EA, van Gulik TM, Oude Elferink RP, van de Graaf SF, de Vries N, Beuers U. IgG4-associated cholangitis: a comprehensive review.</w:t>
      </w:r>
      <w:r w:rsidRPr="006E4AC9">
        <w:rPr>
          <w:rFonts w:eastAsia="SimSun" w:cs="Times New Roman" w:hint="eastAsia"/>
          <w:kern w:val="2"/>
          <w:szCs w:val="24"/>
          <w:lang w:eastAsia="zh-CN"/>
        </w:rPr>
        <w:t xml:space="preserve"> </w:t>
      </w:r>
      <w:r w:rsidRPr="006E4AC9">
        <w:rPr>
          <w:rFonts w:eastAsia="SimSun" w:cs="Times New Roman"/>
          <w:i/>
          <w:iCs/>
          <w:kern w:val="2"/>
          <w:szCs w:val="24"/>
          <w:lang w:eastAsia="zh-CN"/>
        </w:rPr>
        <w:t>Clin Rev Allergy Immunol</w:t>
      </w:r>
      <w:r w:rsidRPr="006E4AC9">
        <w:rPr>
          <w:rFonts w:eastAsia="SimSun" w:cs="Times New Roman"/>
          <w:kern w:val="2"/>
          <w:szCs w:val="24"/>
          <w:lang w:eastAsia="zh-CN"/>
        </w:rPr>
        <w:t> 2015; </w:t>
      </w:r>
      <w:r w:rsidRPr="006E4AC9">
        <w:rPr>
          <w:rFonts w:eastAsia="SimSun" w:cs="Times New Roman"/>
          <w:b/>
          <w:bCs/>
          <w:kern w:val="2"/>
          <w:szCs w:val="24"/>
          <w:lang w:eastAsia="zh-CN"/>
        </w:rPr>
        <w:t>48</w:t>
      </w:r>
      <w:r w:rsidRPr="006E4AC9">
        <w:rPr>
          <w:rFonts w:eastAsia="SimSun" w:cs="Times New Roman"/>
          <w:kern w:val="2"/>
          <w:szCs w:val="24"/>
          <w:lang w:eastAsia="zh-CN"/>
        </w:rPr>
        <w:t>: 198-206 [PMID: 24958363 DOI: 10.1007/s12016-014-8430-2]</w:t>
      </w:r>
    </w:p>
    <w:p w14:paraId="072BD937"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15 </w:t>
      </w:r>
      <w:r w:rsidRPr="006E4AC9">
        <w:rPr>
          <w:rFonts w:eastAsia="SimSun" w:cs="Times New Roman"/>
          <w:b/>
          <w:bCs/>
          <w:kern w:val="2"/>
          <w:szCs w:val="24"/>
          <w:lang w:eastAsia="zh-CN"/>
        </w:rPr>
        <w:t>Joshi D</w:t>
      </w:r>
      <w:r w:rsidRPr="006E4AC9">
        <w:rPr>
          <w:rFonts w:eastAsia="SimSun" w:cs="Times New Roman"/>
          <w:kern w:val="2"/>
          <w:szCs w:val="24"/>
          <w:lang w:eastAsia="zh-CN"/>
        </w:rPr>
        <w:t>, Webster GJ. Biliary and hepatic involvement in IgG4-related disease. </w:t>
      </w:r>
      <w:r w:rsidRPr="006E4AC9">
        <w:rPr>
          <w:rFonts w:eastAsia="SimSun" w:cs="Times New Roman"/>
          <w:i/>
          <w:iCs/>
          <w:kern w:val="2"/>
          <w:szCs w:val="24"/>
          <w:lang w:eastAsia="zh-CN"/>
        </w:rPr>
        <w:t>Aliment Pharmacol Ther</w:t>
      </w:r>
      <w:r w:rsidRPr="006E4AC9">
        <w:rPr>
          <w:rFonts w:eastAsia="SimSun" w:cs="Times New Roman"/>
          <w:kern w:val="2"/>
          <w:szCs w:val="24"/>
          <w:lang w:eastAsia="zh-CN"/>
        </w:rPr>
        <w:t> 2014; </w:t>
      </w:r>
      <w:r w:rsidRPr="006E4AC9">
        <w:rPr>
          <w:rFonts w:eastAsia="SimSun" w:cs="Times New Roman"/>
          <w:b/>
          <w:bCs/>
          <w:kern w:val="2"/>
          <w:szCs w:val="24"/>
          <w:lang w:eastAsia="zh-CN"/>
        </w:rPr>
        <w:t>40</w:t>
      </w:r>
      <w:r w:rsidRPr="006E4AC9">
        <w:rPr>
          <w:rFonts w:eastAsia="SimSun" w:cs="Times New Roman"/>
          <w:kern w:val="2"/>
          <w:szCs w:val="24"/>
          <w:lang w:eastAsia="zh-CN"/>
        </w:rPr>
        <w:t>: 1251-1261 [PMID: 25312536 DOI: 10.1111/apt.12988]</w:t>
      </w:r>
    </w:p>
    <w:p w14:paraId="3838B4EC"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16 </w:t>
      </w:r>
      <w:r w:rsidRPr="006E4AC9">
        <w:rPr>
          <w:rFonts w:eastAsia="SimSun" w:cs="Times New Roman"/>
          <w:b/>
          <w:bCs/>
          <w:kern w:val="2"/>
          <w:szCs w:val="24"/>
          <w:lang w:eastAsia="zh-CN"/>
        </w:rPr>
        <w:t>Clayton F</w:t>
      </w:r>
      <w:r w:rsidRPr="006E4AC9">
        <w:rPr>
          <w:rFonts w:eastAsia="SimSun" w:cs="Times New Roman"/>
          <w:kern w:val="2"/>
          <w:szCs w:val="24"/>
          <w:lang w:eastAsia="zh-CN"/>
        </w:rPr>
        <w:t>, Fang JC, Gleich GJ, Lucendo AJ, Olalla JM, Vinson LA, Lowichik A, Chen X, Emerson L, Cox K, O'Gorman MA, Peterson KA. Eosinophilic esophagitis in adults is associated with IgG4 and not mediated by IgE. </w:t>
      </w:r>
      <w:r w:rsidRPr="006E4AC9">
        <w:rPr>
          <w:rFonts w:eastAsia="SimSun" w:cs="Times New Roman"/>
          <w:i/>
          <w:iCs/>
          <w:kern w:val="2"/>
          <w:szCs w:val="24"/>
          <w:lang w:eastAsia="zh-CN"/>
        </w:rPr>
        <w:t>Gastroenterology</w:t>
      </w:r>
      <w:r w:rsidRPr="006E4AC9">
        <w:rPr>
          <w:rFonts w:eastAsia="SimSun" w:cs="Times New Roman"/>
          <w:kern w:val="2"/>
          <w:szCs w:val="24"/>
          <w:lang w:eastAsia="zh-CN"/>
        </w:rPr>
        <w:t> 2014; </w:t>
      </w:r>
      <w:r w:rsidRPr="006E4AC9">
        <w:rPr>
          <w:rFonts w:eastAsia="SimSun" w:cs="Times New Roman"/>
          <w:b/>
          <w:bCs/>
          <w:kern w:val="2"/>
          <w:szCs w:val="24"/>
          <w:lang w:eastAsia="zh-CN"/>
        </w:rPr>
        <w:t>147</w:t>
      </w:r>
      <w:r w:rsidRPr="006E4AC9">
        <w:rPr>
          <w:rFonts w:eastAsia="SimSun" w:cs="Times New Roman"/>
          <w:kern w:val="2"/>
          <w:szCs w:val="24"/>
          <w:lang w:eastAsia="zh-CN"/>
        </w:rPr>
        <w:t>: 602-609 [PMID: 24907494 DOI: 10.1053/j.gastro.2014.05.036]</w:t>
      </w:r>
    </w:p>
    <w:p w14:paraId="7281A66F"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17 </w:t>
      </w:r>
      <w:r w:rsidRPr="006E4AC9">
        <w:rPr>
          <w:rFonts w:eastAsia="SimSun" w:cs="Times New Roman"/>
          <w:b/>
          <w:bCs/>
          <w:kern w:val="2"/>
          <w:szCs w:val="24"/>
          <w:lang w:eastAsia="zh-CN"/>
        </w:rPr>
        <w:t>Takikawa H</w:t>
      </w:r>
      <w:r w:rsidRPr="006E4AC9">
        <w:rPr>
          <w:rFonts w:eastAsia="SimSun" w:cs="Times New Roman"/>
          <w:kern w:val="2"/>
          <w:szCs w:val="24"/>
          <w:lang w:eastAsia="zh-CN"/>
        </w:rPr>
        <w:t>, Manabe T. Primary sclerosing cholangitis in Japan--analysis of 192 cases. </w:t>
      </w:r>
      <w:r w:rsidRPr="006E4AC9">
        <w:rPr>
          <w:rFonts w:eastAsia="SimSun" w:cs="Times New Roman"/>
          <w:i/>
          <w:iCs/>
          <w:kern w:val="2"/>
          <w:szCs w:val="24"/>
          <w:lang w:eastAsia="zh-CN"/>
        </w:rPr>
        <w:t>J Gastroenterol</w:t>
      </w:r>
      <w:r w:rsidRPr="006E4AC9">
        <w:rPr>
          <w:rFonts w:eastAsia="SimSun" w:cs="Times New Roman"/>
          <w:kern w:val="2"/>
          <w:szCs w:val="24"/>
          <w:lang w:eastAsia="zh-CN"/>
        </w:rPr>
        <w:t> 1997; </w:t>
      </w:r>
      <w:r w:rsidRPr="006E4AC9">
        <w:rPr>
          <w:rFonts w:eastAsia="SimSun" w:cs="Times New Roman"/>
          <w:b/>
          <w:bCs/>
          <w:kern w:val="2"/>
          <w:szCs w:val="24"/>
          <w:lang w:eastAsia="zh-CN"/>
        </w:rPr>
        <w:t>32</w:t>
      </w:r>
      <w:r w:rsidRPr="006E4AC9">
        <w:rPr>
          <w:rFonts w:eastAsia="SimSun" w:cs="Times New Roman"/>
          <w:kern w:val="2"/>
          <w:szCs w:val="24"/>
          <w:lang w:eastAsia="zh-CN"/>
        </w:rPr>
        <w:t>: 134-137 [PMID: 9058310 DOI: 10.1007/BF01213311]</w:t>
      </w:r>
    </w:p>
    <w:p w14:paraId="72DAF552" w14:textId="77777777" w:rsidR="0081211A" w:rsidRPr="006E4AC9" w:rsidRDefault="0081211A" w:rsidP="00610593">
      <w:pPr>
        <w:widowControl w:val="0"/>
        <w:snapToGrid w:val="0"/>
        <w:spacing w:after="0"/>
        <w:jc w:val="both"/>
        <w:rPr>
          <w:rFonts w:eastAsia="SimSun" w:cs="Times New Roman"/>
          <w:kern w:val="2"/>
          <w:szCs w:val="24"/>
          <w:lang w:eastAsia="zh-CN"/>
        </w:rPr>
      </w:pPr>
      <w:r w:rsidRPr="006E4AC9">
        <w:rPr>
          <w:rFonts w:eastAsia="SimSun" w:cs="Times New Roman"/>
          <w:kern w:val="2"/>
          <w:szCs w:val="24"/>
          <w:lang w:eastAsia="zh-CN"/>
        </w:rPr>
        <w:t>18 </w:t>
      </w:r>
      <w:r w:rsidRPr="006E4AC9">
        <w:rPr>
          <w:rFonts w:eastAsia="SimSun" w:cs="Times New Roman"/>
          <w:b/>
          <w:bCs/>
          <w:kern w:val="2"/>
          <w:szCs w:val="24"/>
          <w:lang w:eastAsia="zh-CN"/>
        </w:rPr>
        <w:t>Watanabe H</w:t>
      </w:r>
      <w:r w:rsidRPr="006E4AC9">
        <w:rPr>
          <w:rFonts w:eastAsia="SimSun" w:cs="Times New Roman"/>
          <w:kern w:val="2"/>
          <w:szCs w:val="24"/>
          <w:lang w:eastAsia="zh-CN"/>
        </w:rPr>
        <w:t>, Ohira H, Kuroda M, Takagi T, Ishikawa H, Nishimaki T, Kasukawa R, Takahashi K. Primary sclerosing cholangitis with marked eosinophilic infiltration in the liver. </w:t>
      </w:r>
      <w:r w:rsidRPr="006E4AC9">
        <w:rPr>
          <w:rFonts w:eastAsia="SimSun" w:cs="Times New Roman"/>
          <w:i/>
          <w:iCs/>
          <w:kern w:val="2"/>
          <w:szCs w:val="24"/>
          <w:lang w:eastAsia="zh-CN"/>
        </w:rPr>
        <w:t>J Gastroenterol</w:t>
      </w:r>
      <w:r w:rsidRPr="006E4AC9">
        <w:rPr>
          <w:rFonts w:eastAsia="SimSun" w:cs="Times New Roman"/>
          <w:kern w:val="2"/>
          <w:szCs w:val="24"/>
          <w:lang w:eastAsia="zh-CN"/>
        </w:rPr>
        <w:t> 1995; </w:t>
      </w:r>
      <w:r w:rsidRPr="006E4AC9">
        <w:rPr>
          <w:rFonts w:eastAsia="SimSun" w:cs="Times New Roman"/>
          <w:b/>
          <w:bCs/>
          <w:kern w:val="2"/>
          <w:szCs w:val="24"/>
          <w:lang w:eastAsia="zh-CN"/>
        </w:rPr>
        <w:t>30</w:t>
      </w:r>
      <w:r w:rsidRPr="006E4AC9">
        <w:rPr>
          <w:rFonts w:eastAsia="SimSun" w:cs="Times New Roman"/>
          <w:kern w:val="2"/>
          <w:szCs w:val="24"/>
          <w:lang w:eastAsia="zh-CN"/>
        </w:rPr>
        <w:t>: 524-528 [PMID: 7550866 DOI: 10.1007/BF02347572]</w:t>
      </w:r>
    </w:p>
    <w:p w14:paraId="55023483" w14:textId="324A1824" w:rsidR="0081211A" w:rsidRPr="006E4AC9" w:rsidRDefault="0081211A" w:rsidP="00610593">
      <w:pPr>
        <w:snapToGrid w:val="0"/>
        <w:spacing w:after="0"/>
        <w:jc w:val="right"/>
        <w:rPr>
          <w:rFonts w:eastAsia="SimSun" w:cs="Times New Roman"/>
          <w:szCs w:val="24"/>
          <w:lang w:eastAsia="zh-CN"/>
        </w:rPr>
      </w:pPr>
      <w:bookmarkStart w:id="35" w:name="OLE_LINK51"/>
      <w:bookmarkStart w:id="36" w:name="OLE_LINK52"/>
      <w:bookmarkStart w:id="37" w:name="OLE_LINK120"/>
      <w:bookmarkStart w:id="38" w:name="OLE_LINK148"/>
      <w:bookmarkStart w:id="39" w:name="OLE_LINK72"/>
      <w:bookmarkStart w:id="40" w:name="OLE_LINK112"/>
      <w:bookmarkStart w:id="41" w:name="OLE_LINK320"/>
      <w:bookmarkStart w:id="42" w:name="OLE_LINK387"/>
      <w:bookmarkStart w:id="43" w:name="OLE_LINK183"/>
      <w:bookmarkStart w:id="44" w:name="OLE_LINK254"/>
      <w:bookmarkStart w:id="45" w:name="OLE_LINK149"/>
      <w:bookmarkStart w:id="46" w:name="OLE_LINK225"/>
      <w:bookmarkStart w:id="47" w:name="OLE_LINK207"/>
      <w:bookmarkStart w:id="48" w:name="OLE_LINK226"/>
      <w:bookmarkStart w:id="49" w:name="OLE_LINK212"/>
      <w:bookmarkStart w:id="50" w:name="OLE_LINK250"/>
      <w:bookmarkStart w:id="51" w:name="OLE_LINK281"/>
      <w:bookmarkStart w:id="52" w:name="OLE_LINK282"/>
      <w:bookmarkStart w:id="53" w:name="OLE_LINK313"/>
      <w:bookmarkStart w:id="54" w:name="OLE_LINK304"/>
      <w:bookmarkStart w:id="55" w:name="OLE_LINK321"/>
      <w:bookmarkStart w:id="56" w:name="OLE_LINK385"/>
      <w:bookmarkStart w:id="57" w:name="OLE_LINK400"/>
      <w:bookmarkStart w:id="58" w:name="OLE_LINK346"/>
      <w:bookmarkStart w:id="59" w:name="OLE_LINK371"/>
      <w:bookmarkStart w:id="60" w:name="OLE_LINK334"/>
      <w:bookmarkStart w:id="61" w:name="OLE_LINK1830"/>
      <w:bookmarkStart w:id="62" w:name="OLE_LINK457"/>
      <w:bookmarkStart w:id="63" w:name="OLE_LINK288"/>
      <w:bookmarkStart w:id="64" w:name="OLE_LINK384"/>
      <w:bookmarkStart w:id="65" w:name="OLE_LINK379"/>
      <w:bookmarkStart w:id="66" w:name="OLE_LINK303"/>
      <w:bookmarkStart w:id="67" w:name="OLE_LINK450"/>
      <w:bookmarkStart w:id="68" w:name="OLE_LINK489"/>
      <w:bookmarkStart w:id="69" w:name="OLE_LINK535"/>
      <w:bookmarkStart w:id="70" w:name="OLE_LINK648"/>
      <w:bookmarkStart w:id="71" w:name="OLE_LINK686"/>
      <w:bookmarkStart w:id="72" w:name="OLE_LINK471"/>
      <w:bookmarkStart w:id="73" w:name="OLE_LINK462"/>
      <w:bookmarkStart w:id="74" w:name="OLE_LINK519"/>
      <w:bookmarkStart w:id="75" w:name="OLE_LINK575"/>
      <w:bookmarkStart w:id="76" w:name="OLE_LINK491"/>
      <w:bookmarkStart w:id="77" w:name="OLE_LINK532"/>
      <w:bookmarkStart w:id="78" w:name="OLE_LINK572"/>
      <w:bookmarkStart w:id="79" w:name="OLE_LINK574"/>
      <w:bookmarkStart w:id="80" w:name="OLE_LINK480"/>
      <w:bookmarkStart w:id="81" w:name="OLE_LINK567"/>
      <w:bookmarkStart w:id="82" w:name="OLE_LINK2700"/>
      <w:bookmarkStart w:id="83" w:name="OLE_LINK581"/>
      <w:bookmarkStart w:id="84" w:name="OLE_LINK639"/>
      <w:bookmarkStart w:id="85" w:name="OLE_LINK688"/>
      <w:bookmarkStart w:id="86" w:name="OLE_LINK722"/>
      <w:bookmarkStart w:id="87" w:name="OLE_LINK542"/>
      <w:bookmarkStart w:id="88" w:name="OLE_LINK589"/>
      <w:bookmarkStart w:id="89" w:name="OLE_LINK582"/>
      <w:bookmarkStart w:id="90" w:name="OLE_LINK640"/>
      <w:bookmarkStart w:id="91" w:name="OLE_LINK714"/>
      <w:bookmarkStart w:id="92" w:name="OLE_LINK593"/>
      <w:bookmarkStart w:id="93" w:name="OLE_LINK716"/>
      <w:bookmarkStart w:id="94" w:name="OLE_LINK770"/>
      <w:bookmarkStart w:id="95" w:name="OLE_LINK801"/>
      <w:bookmarkStart w:id="96" w:name="OLE_LINK660"/>
      <w:bookmarkStart w:id="97" w:name="OLE_LINK781"/>
      <w:bookmarkStart w:id="98" w:name="OLE_LINK833"/>
      <w:bookmarkStart w:id="99" w:name="OLE_LINK642"/>
      <w:bookmarkStart w:id="100" w:name="OLE_LINK700"/>
      <w:bookmarkStart w:id="101" w:name="OLE_LINK792"/>
      <w:bookmarkStart w:id="102" w:name="OLE_LINK2882"/>
      <w:bookmarkStart w:id="103" w:name="OLE_LINK836"/>
      <w:bookmarkStart w:id="104" w:name="OLE_LINK889"/>
      <w:bookmarkStart w:id="105" w:name="OLE_LINK782"/>
      <w:bookmarkStart w:id="106" w:name="OLE_LINK826"/>
      <w:bookmarkStart w:id="107" w:name="OLE_LINK865"/>
      <w:bookmarkStart w:id="108" w:name="OLE_LINK856"/>
      <w:bookmarkStart w:id="109" w:name="OLE_LINK908"/>
      <w:bookmarkStart w:id="110" w:name="OLE_LINK980"/>
      <w:bookmarkStart w:id="111" w:name="OLE_LINK1018"/>
      <w:bookmarkStart w:id="112" w:name="OLE_LINK1049"/>
      <w:bookmarkStart w:id="113" w:name="OLE_LINK1076"/>
      <w:bookmarkStart w:id="114" w:name="OLE_LINK1106"/>
      <w:bookmarkStart w:id="115" w:name="OLE_LINK891"/>
      <w:bookmarkStart w:id="116" w:name="OLE_LINK943"/>
      <w:bookmarkStart w:id="117" w:name="OLE_LINK981"/>
      <w:bookmarkStart w:id="118" w:name="OLE_LINK1030"/>
      <w:bookmarkStart w:id="119" w:name="OLE_LINK847"/>
      <w:bookmarkStart w:id="120" w:name="OLE_LINK909"/>
      <w:bookmarkStart w:id="121" w:name="OLE_LINK906"/>
      <w:bookmarkStart w:id="122" w:name="OLE_LINK992"/>
      <w:bookmarkStart w:id="123" w:name="OLE_LINK993"/>
      <w:bookmarkStart w:id="124" w:name="OLE_LINK1052"/>
      <w:bookmarkStart w:id="125" w:name="OLE_LINK946"/>
      <w:bookmarkStart w:id="126" w:name="OLE_LINK911"/>
      <w:bookmarkStart w:id="127" w:name="OLE_LINK930"/>
      <w:bookmarkStart w:id="128" w:name="OLE_LINK1059"/>
      <w:bookmarkStart w:id="129" w:name="OLE_LINK1174"/>
      <w:bookmarkStart w:id="130" w:name="OLE_LINK1137"/>
      <w:bookmarkStart w:id="131" w:name="OLE_LINK1167"/>
      <w:bookmarkStart w:id="132" w:name="OLE_LINK1200"/>
      <w:bookmarkStart w:id="133" w:name="OLE_LINK1241"/>
      <w:bookmarkStart w:id="134" w:name="OLE_LINK1288"/>
      <w:bookmarkStart w:id="135" w:name="OLE_LINK1056"/>
      <w:bookmarkStart w:id="136" w:name="OLE_LINK1158"/>
      <w:bookmarkStart w:id="137" w:name="OLE_LINK1175"/>
      <w:bookmarkStart w:id="138" w:name="OLE_LINK1074"/>
      <w:bookmarkStart w:id="139" w:name="OLE_LINK1169"/>
      <w:bookmarkStart w:id="140" w:name="OLE_LINK991"/>
      <w:r w:rsidRPr="006E4AC9">
        <w:rPr>
          <w:rFonts w:eastAsia="SimSun" w:cs="Times New Roman"/>
          <w:b/>
          <w:bCs/>
          <w:szCs w:val="24"/>
          <w:lang w:eastAsia="zh-CN"/>
        </w:rPr>
        <w:lastRenderedPageBreak/>
        <w:t>P-Reviewer:</w:t>
      </w:r>
      <w:r w:rsidRPr="006E4AC9">
        <w:rPr>
          <w:rFonts w:eastAsia="SimSun" w:cs="Times New Roman" w:hint="eastAsia"/>
          <w:b/>
          <w:bCs/>
          <w:szCs w:val="24"/>
          <w:lang w:eastAsia="zh-CN"/>
        </w:rPr>
        <w:t xml:space="preserve"> </w:t>
      </w:r>
      <w:r w:rsidRPr="006E4AC9">
        <w:rPr>
          <w:rFonts w:eastAsia="SimSun" w:cs="Times New Roman"/>
          <w:bCs/>
          <w:szCs w:val="24"/>
          <w:lang w:eastAsia="zh-CN"/>
        </w:rPr>
        <w:t>Hokuto</w:t>
      </w:r>
      <w:r w:rsidRPr="006E4AC9">
        <w:rPr>
          <w:rFonts w:eastAsia="SimSun" w:cs="Times New Roman" w:hint="eastAsia"/>
          <w:bCs/>
          <w:szCs w:val="24"/>
          <w:lang w:eastAsia="zh-CN"/>
        </w:rPr>
        <w:t xml:space="preserve"> </w:t>
      </w:r>
      <w:r w:rsidRPr="006E4AC9">
        <w:rPr>
          <w:rFonts w:eastAsia="SimSun" w:cs="Times New Roman"/>
          <w:bCs/>
          <w:szCs w:val="24"/>
          <w:lang w:eastAsia="zh-CN"/>
        </w:rPr>
        <w:t>D</w:t>
      </w:r>
      <w:r w:rsidRPr="006E4AC9">
        <w:rPr>
          <w:rFonts w:eastAsia="SimSun" w:cs="Times New Roman" w:hint="eastAsia"/>
          <w:bCs/>
          <w:szCs w:val="24"/>
          <w:lang w:eastAsia="zh-CN"/>
        </w:rPr>
        <w:t xml:space="preserve">, </w:t>
      </w:r>
      <w:r w:rsidRPr="006E4AC9">
        <w:rPr>
          <w:rFonts w:eastAsia="SimSun" w:cs="Times New Roman"/>
          <w:bCs/>
          <w:szCs w:val="24"/>
          <w:lang w:eastAsia="zh-CN"/>
        </w:rPr>
        <w:t>Jacob</w:t>
      </w:r>
      <w:r w:rsidRPr="006E4AC9">
        <w:rPr>
          <w:rFonts w:eastAsia="SimSun" w:cs="Times New Roman" w:hint="eastAsia"/>
          <w:bCs/>
          <w:szCs w:val="24"/>
          <w:lang w:eastAsia="zh-CN"/>
        </w:rPr>
        <w:t xml:space="preserve"> </w:t>
      </w:r>
      <w:r w:rsidRPr="006E4AC9">
        <w:rPr>
          <w:rFonts w:eastAsia="SimSun" w:cs="Times New Roman"/>
          <w:bCs/>
          <w:szCs w:val="24"/>
          <w:lang w:eastAsia="zh-CN"/>
        </w:rPr>
        <w:t>H</w:t>
      </w:r>
      <w:r w:rsidR="003674FA">
        <w:rPr>
          <w:rFonts w:eastAsia="SimSun" w:cs="Times New Roman" w:hint="eastAsia"/>
          <w:bCs/>
          <w:szCs w:val="24"/>
          <w:lang w:eastAsia="zh-CN"/>
        </w:rPr>
        <w:t xml:space="preserve">, </w:t>
      </w:r>
      <w:r w:rsidR="003674FA" w:rsidRPr="003674FA">
        <w:rPr>
          <w:rFonts w:eastAsia="SimSun" w:cs="Times New Roman"/>
          <w:bCs/>
          <w:szCs w:val="24"/>
          <w:lang w:eastAsia="zh-CN"/>
        </w:rPr>
        <w:t>Peng SY</w:t>
      </w:r>
      <w:r w:rsidR="003674FA">
        <w:rPr>
          <w:rFonts w:eastAsia="SimSun" w:cs="Times New Roman" w:hint="eastAsia"/>
          <w:bCs/>
          <w:szCs w:val="24"/>
          <w:lang w:eastAsia="zh-CN"/>
        </w:rPr>
        <w:t xml:space="preserve"> </w:t>
      </w:r>
      <w:r w:rsidRPr="006E4AC9">
        <w:rPr>
          <w:rFonts w:eastAsia="SimSun" w:cs="Times New Roman"/>
          <w:b/>
          <w:bCs/>
          <w:szCs w:val="24"/>
          <w:lang w:eastAsia="zh-CN"/>
        </w:rPr>
        <w:t>S-Editor:</w:t>
      </w:r>
      <w:r w:rsidRPr="006E4AC9">
        <w:rPr>
          <w:rFonts w:eastAsia="SimSun" w:cs="Times New Roman" w:hint="eastAsia"/>
          <w:szCs w:val="24"/>
          <w:lang w:eastAsia="zh-CN"/>
        </w:rPr>
        <w:t xml:space="preserve"> Gong ZM</w:t>
      </w:r>
    </w:p>
    <w:p w14:paraId="50A56AD1" w14:textId="77777777" w:rsidR="0081211A" w:rsidRPr="006E4AC9" w:rsidRDefault="0081211A" w:rsidP="00610593">
      <w:pPr>
        <w:snapToGrid w:val="0"/>
        <w:spacing w:after="0"/>
        <w:jc w:val="right"/>
        <w:rPr>
          <w:rFonts w:eastAsia="SimSun" w:cs="Times New Roman"/>
          <w:b/>
          <w:bCs/>
          <w:szCs w:val="24"/>
          <w:lang w:eastAsia="zh-CN"/>
        </w:rPr>
      </w:pPr>
      <w:r w:rsidRPr="006E4AC9">
        <w:rPr>
          <w:rFonts w:eastAsia="SimSun" w:cs="Times New Roman"/>
          <w:b/>
          <w:bCs/>
          <w:szCs w:val="24"/>
          <w:lang w:eastAsia="zh-CN"/>
        </w:rPr>
        <w:t>L-Editor:</w:t>
      </w:r>
      <w:r w:rsidRPr="006E4AC9">
        <w:rPr>
          <w:rFonts w:eastAsia="SimSun" w:cs="Times New Roman"/>
          <w:szCs w:val="24"/>
          <w:lang w:eastAsia="zh-CN"/>
        </w:rPr>
        <w:t xml:space="preserve"> </w:t>
      </w:r>
      <w:r w:rsidRPr="006E4AC9">
        <w:rPr>
          <w:rFonts w:eastAsia="SimSun" w:cs="Times New Roman"/>
          <w:b/>
          <w:bCs/>
          <w:szCs w:val="24"/>
          <w:lang w:eastAsia="zh-CN"/>
        </w:rPr>
        <w:t>E-Editor:</w:t>
      </w:r>
    </w:p>
    <w:p w14:paraId="74FFBCF9" w14:textId="77777777" w:rsidR="0081211A" w:rsidRPr="006E4AC9" w:rsidRDefault="0081211A" w:rsidP="00610593">
      <w:pPr>
        <w:shd w:val="clear" w:color="auto" w:fill="FFFFFF"/>
        <w:snapToGrid w:val="0"/>
        <w:spacing w:after="0"/>
        <w:jc w:val="both"/>
        <w:rPr>
          <w:rFonts w:eastAsia="SimSun" w:cs="Helvetica"/>
          <w:b/>
          <w:szCs w:val="24"/>
          <w:lang w:eastAsia="zh-CN"/>
        </w:rPr>
      </w:pPr>
      <w:bookmarkStart w:id="141" w:name="OLE_LINK880"/>
      <w:bookmarkStart w:id="142" w:name="OLE_LINK881"/>
      <w:bookmarkStart w:id="143" w:name="OLE_LINK497"/>
      <w:bookmarkStart w:id="144" w:name="OLE_LINK81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6E4AC9">
        <w:rPr>
          <w:rFonts w:eastAsia="SimSun" w:cs="Helvetica"/>
          <w:b/>
          <w:szCs w:val="24"/>
          <w:lang w:eastAsia="zh-CN"/>
        </w:rPr>
        <w:t xml:space="preserve">Specialty type: </w:t>
      </w:r>
      <w:r w:rsidRPr="006E4AC9">
        <w:rPr>
          <w:rFonts w:eastAsia="SimSun" w:cs="Helvetica"/>
          <w:szCs w:val="24"/>
          <w:lang w:eastAsia="zh-CN"/>
        </w:rPr>
        <w:t>Gastroenterology and</w:t>
      </w:r>
      <w:r w:rsidRPr="006E4AC9">
        <w:rPr>
          <w:rFonts w:eastAsia="SimSun" w:cs="Helvetica" w:hint="eastAsia"/>
          <w:szCs w:val="24"/>
          <w:lang w:eastAsia="zh-CN"/>
        </w:rPr>
        <w:t xml:space="preserve"> </w:t>
      </w:r>
      <w:r w:rsidRPr="006E4AC9">
        <w:rPr>
          <w:rFonts w:eastAsia="SimSun" w:cs="Helvetica"/>
          <w:szCs w:val="24"/>
          <w:lang w:eastAsia="zh-CN"/>
        </w:rPr>
        <w:t>hepatology</w:t>
      </w:r>
    </w:p>
    <w:p w14:paraId="12018FA0" w14:textId="77777777" w:rsidR="0081211A" w:rsidRPr="006E4AC9" w:rsidRDefault="0081211A" w:rsidP="00610593">
      <w:pPr>
        <w:shd w:val="clear" w:color="auto" w:fill="FFFFFF"/>
        <w:snapToGrid w:val="0"/>
        <w:spacing w:after="0"/>
        <w:jc w:val="both"/>
        <w:rPr>
          <w:rFonts w:eastAsia="SimSun" w:cs="Helvetica"/>
          <w:b/>
          <w:szCs w:val="24"/>
          <w:lang w:eastAsia="zh-CN"/>
        </w:rPr>
      </w:pPr>
      <w:r w:rsidRPr="006E4AC9">
        <w:rPr>
          <w:rFonts w:eastAsia="SimSun" w:cs="Helvetica"/>
          <w:b/>
          <w:szCs w:val="24"/>
          <w:lang w:eastAsia="zh-CN"/>
        </w:rPr>
        <w:t xml:space="preserve">Country of origin: </w:t>
      </w:r>
      <w:r w:rsidRPr="006E4AC9">
        <w:rPr>
          <w:rFonts w:eastAsia="SimSun" w:cs="Helvetica" w:hint="eastAsia"/>
          <w:szCs w:val="24"/>
          <w:lang w:val="en-CA" w:eastAsia="zh-CN"/>
        </w:rPr>
        <w:t>Germany</w:t>
      </w:r>
    </w:p>
    <w:p w14:paraId="60EFA7A4" w14:textId="77777777" w:rsidR="0081211A" w:rsidRPr="006E4AC9" w:rsidRDefault="0081211A" w:rsidP="00610593">
      <w:pPr>
        <w:shd w:val="clear" w:color="auto" w:fill="FFFFFF"/>
        <w:snapToGrid w:val="0"/>
        <w:spacing w:after="0"/>
        <w:jc w:val="both"/>
        <w:rPr>
          <w:rFonts w:eastAsia="SimSun" w:cs="Helvetica"/>
          <w:b/>
          <w:szCs w:val="24"/>
          <w:lang w:eastAsia="zh-CN"/>
        </w:rPr>
      </w:pPr>
      <w:r w:rsidRPr="006E4AC9">
        <w:rPr>
          <w:rFonts w:eastAsia="SimSun" w:cs="Helvetica"/>
          <w:b/>
          <w:szCs w:val="24"/>
          <w:lang w:eastAsia="zh-CN"/>
        </w:rPr>
        <w:t>Peer-review report classification</w:t>
      </w:r>
    </w:p>
    <w:p w14:paraId="64FF3975" w14:textId="77777777" w:rsidR="0081211A" w:rsidRPr="006E4AC9" w:rsidRDefault="0081211A" w:rsidP="00610593">
      <w:pPr>
        <w:shd w:val="clear" w:color="auto" w:fill="FFFFFF"/>
        <w:snapToGrid w:val="0"/>
        <w:spacing w:after="0"/>
        <w:jc w:val="both"/>
        <w:rPr>
          <w:rFonts w:eastAsia="SimSun" w:cs="Helvetica"/>
          <w:szCs w:val="24"/>
          <w:lang w:eastAsia="zh-CN"/>
        </w:rPr>
      </w:pPr>
      <w:r w:rsidRPr="006E4AC9">
        <w:rPr>
          <w:rFonts w:eastAsia="SimSun" w:cs="Helvetica"/>
          <w:szCs w:val="24"/>
          <w:lang w:eastAsia="zh-CN"/>
        </w:rPr>
        <w:t>Grade A (Excellent):</w:t>
      </w:r>
      <w:r w:rsidRPr="006E4AC9">
        <w:rPr>
          <w:rFonts w:eastAsia="SimSun" w:cs="Helvetica" w:hint="eastAsia"/>
          <w:szCs w:val="24"/>
          <w:lang w:eastAsia="zh-CN"/>
        </w:rPr>
        <w:t xml:space="preserve"> A</w:t>
      </w:r>
    </w:p>
    <w:p w14:paraId="2E4C3983" w14:textId="3951BBF0" w:rsidR="0081211A" w:rsidRPr="006E4AC9" w:rsidRDefault="0081211A" w:rsidP="00610593">
      <w:pPr>
        <w:shd w:val="clear" w:color="auto" w:fill="FFFFFF"/>
        <w:snapToGrid w:val="0"/>
        <w:spacing w:after="0"/>
        <w:jc w:val="both"/>
        <w:rPr>
          <w:rFonts w:eastAsia="SimSun" w:cs="Helvetica"/>
          <w:szCs w:val="24"/>
          <w:lang w:eastAsia="zh-CN"/>
        </w:rPr>
      </w:pPr>
      <w:r w:rsidRPr="006E4AC9">
        <w:rPr>
          <w:rFonts w:eastAsia="SimSun" w:cs="Helvetica"/>
          <w:szCs w:val="24"/>
          <w:lang w:eastAsia="zh-CN"/>
        </w:rPr>
        <w:t>Grade B (Very good):</w:t>
      </w:r>
      <w:r w:rsidRPr="006E4AC9">
        <w:rPr>
          <w:rFonts w:eastAsia="SimSun" w:cs="Helvetica" w:hint="eastAsia"/>
          <w:szCs w:val="24"/>
          <w:lang w:eastAsia="zh-CN"/>
        </w:rPr>
        <w:t xml:space="preserve"> </w:t>
      </w:r>
      <w:r w:rsidRPr="006E4AC9">
        <w:rPr>
          <w:rFonts w:eastAsia="SimSun" w:cs="Times New Roman" w:hint="eastAsia"/>
          <w:szCs w:val="24"/>
          <w:lang w:eastAsia="zh-CN"/>
        </w:rPr>
        <w:t>B</w:t>
      </w:r>
      <w:r w:rsidR="003674FA">
        <w:rPr>
          <w:rFonts w:eastAsia="SimSun" w:cs="Times New Roman" w:hint="eastAsia"/>
          <w:szCs w:val="24"/>
          <w:lang w:eastAsia="zh-CN"/>
        </w:rPr>
        <w:t>, B</w:t>
      </w:r>
    </w:p>
    <w:p w14:paraId="3D4721AB" w14:textId="77777777" w:rsidR="0081211A" w:rsidRPr="006E4AC9" w:rsidRDefault="0081211A" w:rsidP="00610593">
      <w:pPr>
        <w:shd w:val="clear" w:color="auto" w:fill="FFFFFF"/>
        <w:snapToGrid w:val="0"/>
        <w:spacing w:after="0"/>
        <w:jc w:val="both"/>
        <w:rPr>
          <w:rFonts w:eastAsia="SimSun" w:cs="Helvetica"/>
          <w:szCs w:val="24"/>
          <w:lang w:eastAsia="zh-CN"/>
        </w:rPr>
      </w:pPr>
      <w:r w:rsidRPr="006E4AC9">
        <w:rPr>
          <w:rFonts w:eastAsia="SimSun" w:cs="Helvetica"/>
          <w:szCs w:val="24"/>
          <w:lang w:eastAsia="zh-CN"/>
        </w:rPr>
        <w:t xml:space="preserve">Grade C (Good): </w:t>
      </w:r>
      <w:r w:rsidRPr="006E4AC9">
        <w:rPr>
          <w:rFonts w:eastAsia="SimSun" w:cs="Helvetica" w:hint="eastAsia"/>
          <w:szCs w:val="24"/>
          <w:lang w:eastAsia="zh-CN"/>
        </w:rPr>
        <w:t>0</w:t>
      </w:r>
    </w:p>
    <w:p w14:paraId="6CE3771C" w14:textId="77777777" w:rsidR="0081211A" w:rsidRPr="006E4AC9" w:rsidRDefault="0081211A" w:rsidP="00610593">
      <w:pPr>
        <w:shd w:val="clear" w:color="auto" w:fill="FFFFFF"/>
        <w:snapToGrid w:val="0"/>
        <w:spacing w:after="0"/>
        <w:jc w:val="both"/>
        <w:rPr>
          <w:rFonts w:eastAsia="SimSun" w:cs="Helvetica"/>
          <w:szCs w:val="24"/>
          <w:lang w:eastAsia="zh-CN"/>
        </w:rPr>
      </w:pPr>
      <w:r w:rsidRPr="006E4AC9">
        <w:rPr>
          <w:rFonts w:eastAsia="SimSun" w:cs="Helvetica"/>
          <w:szCs w:val="24"/>
          <w:lang w:eastAsia="zh-CN"/>
        </w:rPr>
        <w:t xml:space="preserve">Grade D (Fair): </w:t>
      </w:r>
      <w:r w:rsidRPr="006E4AC9">
        <w:rPr>
          <w:rFonts w:eastAsia="SimSun" w:cs="Helvetica" w:hint="eastAsia"/>
          <w:szCs w:val="24"/>
          <w:lang w:eastAsia="zh-CN"/>
        </w:rPr>
        <w:t>0</w:t>
      </w:r>
    </w:p>
    <w:p w14:paraId="5C95D36E" w14:textId="46E95EE3" w:rsidR="00982630" w:rsidRPr="006E4AC9" w:rsidRDefault="0081211A" w:rsidP="00610593">
      <w:pPr>
        <w:shd w:val="clear" w:color="auto" w:fill="FFFFFF"/>
        <w:snapToGrid w:val="0"/>
        <w:spacing w:after="0"/>
        <w:jc w:val="both"/>
        <w:rPr>
          <w:rFonts w:eastAsia="SimSun" w:cs="Helvetica"/>
          <w:szCs w:val="24"/>
          <w:lang w:eastAsia="zh-CN"/>
        </w:rPr>
      </w:pPr>
      <w:r w:rsidRPr="006E4AC9">
        <w:rPr>
          <w:rFonts w:eastAsia="SimSun" w:cs="Helvetica"/>
          <w:szCs w:val="24"/>
          <w:lang w:eastAsia="zh-CN"/>
        </w:rPr>
        <w:t xml:space="preserve">Grade E (Poor): </w:t>
      </w:r>
      <w:r w:rsidRPr="006E4AC9">
        <w:rPr>
          <w:rFonts w:eastAsia="SimSun" w:cs="Helvetica" w:hint="eastAsia"/>
          <w:szCs w:val="24"/>
          <w:lang w:eastAsia="zh-CN"/>
        </w:rPr>
        <w:t>0</w:t>
      </w:r>
      <w:bookmarkEnd w:id="140"/>
      <w:bookmarkEnd w:id="141"/>
      <w:bookmarkEnd w:id="142"/>
      <w:bookmarkEnd w:id="143"/>
      <w:bookmarkEnd w:id="144"/>
    </w:p>
    <w:p w14:paraId="4EF4E179" w14:textId="77777777" w:rsidR="00DB26B8" w:rsidRPr="006E4AC9" w:rsidRDefault="00DB26B8" w:rsidP="00610593">
      <w:pPr>
        <w:snapToGrid w:val="0"/>
        <w:spacing w:after="0"/>
        <w:rPr>
          <w:rFonts w:eastAsiaTheme="majorEastAsia"/>
          <w:b/>
          <w:bCs/>
          <w:szCs w:val="24"/>
        </w:rPr>
      </w:pPr>
      <w:r w:rsidRPr="006E4AC9">
        <w:rPr>
          <w:szCs w:val="24"/>
        </w:rPr>
        <w:br w:type="page"/>
      </w:r>
    </w:p>
    <w:p w14:paraId="2EE3C090" w14:textId="5E65214B" w:rsidR="00DB26B8" w:rsidRPr="006E4AC9" w:rsidRDefault="00DB26B8" w:rsidP="00610593">
      <w:pPr>
        <w:pStyle w:val="Heading2"/>
        <w:keepNext w:val="0"/>
        <w:keepLines w:val="0"/>
        <w:widowControl w:val="0"/>
        <w:snapToGrid w:val="0"/>
        <w:spacing w:before="0" w:after="0"/>
        <w:jc w:val="both"/>
        <w:rPr>
          <w:rFonts w:ascii="Book Antiqua" w:eastAsia="SimSun" w:hAnsi="Book Antiqua"/>
          <w:szCs w:val="24"/>
          <w:lang w:eastAsia="zh-CN"/>
        </w:rPr>
      </w:pPr>
      <w:r w:rsidRPr="006E4AC9">
        <w:rPr>
          <w:rFonts w:ascii="Book Antiqua" w:hAnsi="Book Antiqua"/>
          <w:szCs w:val="24"/>
        </w:rPr>
        <w:lastRenderedPageBreak/>
        <w:t>Table 1</w:t>
      </w:r>
      <w:r w:rsidRPr="006E4AC9">
        <w:rPr>
          <w:rFonts w:ascii="Book Antiqua" w:eastAsia="SimSun" w:hAnsi="Book Antiqua" w:hint="eastAsia"/>
          <w:szCs w:val="24"/>
          <w:lang w:eastAsia="zh-CN"/>
        </w:rPr>
        <w:t xml:space="preserve"> </w:t>
      </w:r>
      <w:r w:rsidR="005E169A" w:rsidRPr="006E4AC9">
        <w:rPr>
          <w:rFonts w:ascii="Book Antiqua" w:hAnsi="Book Antiqua"/>
          <w:szCs w:val="24"/>
        </w:rPr>
        <w:t>Clinical data of all patients with suspicion for IgG4-related disease (Pat1-Pat3) or eosinophilic cholangitis (Pat4-Pat6)</w:t>
      </w:r>
    </w:p>
    <w:tbl>
      <w:tblPr>
        <w:tblStyle w:val="EinfacheTabelle31"/>
        <w:tblW w:w="10945" w:type="dxa"/>
        <w:tblInd w:w="-743" w:type="dxa"/>
        <w:tblBorders>
          <w:top w:val="single" w:sz="4" w:space="0" w:color="auto"/>
          <w:bottom w:val="single" w:sz="4" w:space="0" w:color="auto"/>
        </w:tblBorders>
        <w:tblLayout w:type="fixed"/>
        <w:tblLook w:val="04A0" w:firstRow="1" w:lastRow="0" w:firstColumn="1" w:lastColumn="0" w:noHBand="0" w:noVBand="1"/>
      </w:tblPr>
      <w:tblGrid>
        <w:gridCol w:w="1135"/>
        <w:gridCol w:w="850"/>
        <w:gridCol w:w="623"/>
        <w:gridCol w:w="1076"/>
        <w:gridCol w:w="1784"/>
        <w:gridCol w:w="1155"/>
        <w:gridCol w:w="1533"/>
        <w:gridCol w:w="1312"/>
        <w:gridCol w:w="1477"/>
      </w:tblGrid>
      <w:tr w:rsidR="00DB26B8" w:rsidRPr="006E4AC9" w14:paraId="79D68BA8" w14:textId="77777777" w:rsidTr="00A44D1A">
        <w:trPr>
          <w:cnfStyle w:val="100000000000" w:firstRow="1" w:lastRow="0" w:firstColumn="0" w:lastColumn="0" w:oddVBand="0" w:evenVBand="0" w:oddHBand="0" w:evenHBand="0" w:firstRowFirstColumn="0" w:firstRowLastColumn="0" w:lastRowFirstColumn="0" w:lastRowLastColumn="0"/>
          <w:trHeight w:val="841"/>
        </w:trPr>
        <w:tc>
          <w:tcPr>
            <w:cnfStyle w:val="001000000100" w:firstRow="0" w:lastRow="0" w:firstColumn="1" w:lastColumn="0" w:oddVBand="0" w:evenVBand="0" w:oddHBand="0" w:evenHBand="0" w:firstRowFirstColumn="1" w:firstRowLastColumn="0" w:lastRowFirstColumn="0" w:lastRowLastColumn="0"/>
            <w:tcW w:w="1135" w:type="dxa"/>
            <w:tcBorders>
              <w:top w:val="single" w:sz="4" w:space="0" w:color="auto"/>
              <w:bottom w:val="single" w:sz="4" w:space="0" w:color="auto"/>
              <w:right w:val="none" w:sz="0" w:space="0" w:color="auto"/>
            </w:tcBorders>
          </w:tcPr>
          <w:p w14:paraId="37045ACC" w14:textId="57A16FEF" w:rsidR="00DB26B8" w:rsidRPr="006E4AC9" w:rsidRDefault="00DB26B8" w:rsidP="00610593">
            <w:pPr>
              <w:widowControl w:val="0"/>
              <w:snapToGrid w:val="0"/>
              <w:spacing w:after="0"/>
              <w:jc w:val="both"/>
              <w:rPr>
                <w:szCs w:val="24"/>
              </w:rPr>
            </w:pPr>
            <w:r w:rsidRPr="006E4AC9">
              <w:rPr>
                <w:szCs w:val="24"/>
              </w:rPr>
              <w:t>P</w:t>
            </w:r>
            <w:r w:rsidRPr="006E4AC9">
              <w:rPr>
                <w:caps w:val="0"/>
                <w:szCs w:val="24"/>
              </w:rPr>
              <w:t>atient</w:t>
            </w:r>
            <w:r w:rsidRPr="006E4AC9">
              <w:rPr>
                <w:szCs w:val="24"/>
              </w:rPr>
              <w:t xml:space="preserve"> ID</w:t>
            </w:r>
          </w:p>
        </w:tc>
        <w:tc>
          <w:tcPr>
            <w:tcW w:w="850" w:type="dxa"/>
            <w:tcBorders>
              <w:top w:val="single" w:sz="4" w:space="0" w:color="auto"/>
              <w:bottom w:val="single" w:sz="4" w:space="0" w:color="auto"/>
            </w:tcBorders>
          </w:tcPr>
          <w:p w14:paraId="3D1C03F3" w14:textId="0538C393" w:rsidR="00DB26B8" w:rsidRPr="006E4AC9" w:rsidRDefault="00DB26B8" w:rsidP="00610593">
            <w:pPr>
              <w:widowControl w:val="0"/>
              <w:snapToGrid w:val="0"/>
              <w:spacing w:after="0"/>
              <w:jc w:val="center"/>
              <w:cnfStyle w:val="100000000000" w:firstRow="1" w:lastRow="0" w:firstColumn="0" w:lastColumn="0" w:oddVBand="0" w:evenVBand="0" w:oddHBand="0" w:evenHBand="0" w:firstRowFirstColumn="0" w:firstRowLastColumn="0" w:lastRowFirstColumn="0" w:lastRowLastColumn="0"/>
              <w:rPr>
                <w:szCs w:val="24"/>
              </w:rPr>
            </w:pPr>
            <w:r w:rsidRPr="006E4AC9">
              <w:rPr>
                <w:szCs w:val="24"/>
              </w:rPr>
              <w:t>A</w:t>
            </w:r>
            <w:r w:rsidRPr="006E4AC9">
              <w:rPr>
                <w:caps w:val="0"/>
                <w:szCs w:val="24"/>
              </w:rPr>
              <w:t>ge</w:t>
            </w:r>
          </w:p>
        </w:tc>
        <w:tc>
          <w:tcPr>
            <w:tcW w:w="623" w:type="dxa"/>
            <w:tcBorders>
              <w:top w:val="single" w:sz="4" w:space="0" w:color="auto"/>
              <w:bottom w:val="single" w:sz="4" w:space="0" w:color="auto"/>
            </w:tcBorders>
          </w:tcPr>
          <w:p w14:paraId="76D051D2" w14:textId="1E65E59A" w:rsidR="00DB26B8" w:rsidRPr="006E4AC9" w:rsidRDefault="00DB26B8" w:rsidP="00610593">
            <w:pPr>
              <w:widowControl w:val="0"/>
              <w:snapToGrid w:val="0"/>
              <w:spacing w:after="0"/>
              <w:jc w:val="center"/>
              <w:cnfStyle w:val="100000000000" w:firstRow="1" w:lastRow="0" w:firstColumn="0" w:lastColumn="0" w:oddVBand="0" w:evenVBand="0" w:oddHBand="0" w:evenHBand="0" w:firstRowFirstColumn="0" w:firstRowLastColumn="0" w:lastRowFirstColumn="0" w:lastRowLastColumn="0"/>
              <w:rPr>
                <w:szCs w:val="24"/>
              </w:rPr>
            </w:pPr>
            <w:r w:rsidRPr="006E4AC9">
              <w:rPr>
                <w:szCs w:val="24"/>
              </w:rPr>
              <w:t>S</w:t>
            </w:r>
            <w:r w:rsidRPr="006E4AC9">
              <w:rPr>
                <w:caps w:val="0"/>
                <w:szCs w:val="24"/>
              </w:rPr>
              <w:t>ex</w:t>
            </w:r>
          </w:p>
        </w:tc>
        <w:tc>
          <w:tcPr>
            <w:tcW w:w="1076" w:type="dxa"/>
            <w:tcBorders>
              <w:top w:val="single" w:sz="4" w:space="0" w:color="auto"/>
              <w:bottom w:val="single" w:sz="4" w:space="0" w:color="auto"/>
            </w:tcBorders>
          </w:tcPr>
          <w:p w14:paraId="30DFEF9C" w14:textId="599029F4" w:rsidR="00DB26B8" w:rsidRPr="006E4AC9" w:rsidRDefault="00DB26B8" w:rsidP="00610593">
            <w:pPr>
              <w:widowControl w:val="0"/>
              <w:snapToGrid w:val="0"/>
              <w:spacing w:after="0"/>
              <w:jc w:val="center"/>
              <w:cnfStyle w:val="100000000000" w:firstRow="1" w:lastRow="0" w:firstColumn="0" w:lastColumn="0" w:oddVBand="0" w:evenVBand="0" w:oddHBand="0" w:evenHBand="0" w:firstRowFirstColumn="0" w:firstRowLastColumn="0" w:lastRowFirstColumn="0" w:lastRowLastColumn="0"/>
              <w:rPr>
                <w:szCs w:val="24"/>
              </w:rPr>
            </w:pPr>
            <w:r w:rsidRPr="006E4AC9">
              <w:rPr>
                <w:szCs w:val="24"/>
              </w:rPr>
              <w:t>Y</w:t>
            </w:r>
            <w:r w:rsidR="005E169A" w:rsidRPr="006E4AC9">
              <w:rPr>
                <w:caps w:val="0"/>
                <w:szCs w:val="24"/>
              </w:rPr>
              <w:t>ear</w:t>
            </w:r>
          </w:p>
        </w:tc>
        <w:tc>
          <w:tcPr>
            <w:tcW w:w="1784" w:type="dxa"/>
            <w:tcBorders>
              <w:top w:val="single" w:sz="4" w:space="0" w:color="auto"/>
              <w:bottom w:val="single" w:sz="4" w:space="0" w:color="auto"/>
            </w:tcBorders>
          </w:tcPr>
          <w:p w14:paraId="19F7F2FD" w14:textId="5AD3BF93" w:rsidR="00DB26B8" w:rsidRPr="006E4AC9" w:rsidRDefault="00DB26B8" w:rsidP="00610593">
            <w:pPr>
              <w:widowControl w:val="0"/>
              <w:snapToGrid w:val="0"/>
              <w:spacing w:after="0"/>
              <w:jc w:val="center"/>
              <w:cnfStyle w:val="100000000000" w:firstRow="1" w:lastRow="0" w:firstColumn="0" w:lastColumn="0" w:oddVBand="0" w:evenVBand="0" w:oddHBand="0" w:evenHBand="0" w:firstRowFirstColumn="0" w:firstRowLastColumn="0" w:lastRowFirstColumn="0" w:lastRowLastColumn="0"/>
              <w:rPr>
                <w:szCs w:val="24"/>
              </w:rPr>
            </w:pPr>
            <w:r w:rsidRPr="006E4AC9">
              <w:rPr>
                <w:szCs w:val="24"/>
              </w:rPr>
              <w:t>E</w:t>
            </w:r>
            <w:r w:rsidR="005E169A" w:rsidRPr="006E4AC9">
              <w:rPr>
                <w:caps w:val="0"/>
                <w:szCs w:val="24"/>
              </w:rPr>
              <w:t>os</w:t>
            </w:r>
            <w:r w:rsidR="005E169A" w:rsidRPr="006E4AC9">
              <w:rPr>
                <w:rFonts w:eastAsia="SimSun"/>
                <w:caps w:val="0"/>
                <w:szCs w:val="24"/>
                <w:lang w:eastAsia="zh-CN"/>
              </w:rPr>
              <w:t xml:space="preserve"> </w:t>
            </w:r>
            <w:r w:rsidRPr="006E4AC9">
              <w:rPr>
                <w:szCs w:val="24"/>
              </w:rPr>
              <w:t>(</w:t>
            </w:r>
            <w:r w:rsidRPr="006E4AC9">
              <w:rPr>
                <w:caps w:val="0"/>
                <w:szCs w:val="24"/>
              </w:rPr>
              <w:t>histology</w:t>
            </w:r>
            <w:r w:rsidRPr="006E4AC9">
              <w:rPr>
                <w:szCs w:val="24"/>
              </w:rPr>
              <w:t>)</w:t>
            </w:r>
          </w:p>
        </w:tc>
        <w:tc>
          <w:tcPr>
            <w:tcW w:w="1155" w:type="dxa"/>
            <w:tcBorders>
              <w:top w:val="single" w:sz="4" w:space="0" w:color="auto"/>
              <w:bottom w:val="single" w:sz="4" w:space="0" w:color="auto"/>
            </w:tcBorders>
          </w:tcPr>
          <w:p w14:paraId="58319A0B" w14:textId="4A7FC3C8" w:rsidR="00DB26B8" w:rsidRPr="006E4AC9" w:rsidRDefault="00DB26B8" w:rsidP="00610593">
            <w:pPr>
              <w:widowControl w:val="0"/>
              <w:snapToGrid w:val="0"/>
              <w:spacing w:after="0"/>
              <w:jc w:val="center"/>
              <w:cnfStyle w:val="100000000000" w:firstRow="1" w:lastRow="0" w:firstColumn="0" w:lastColumn="0" w:oddVBand="0" w:evenVBand="0" w:oddHBand="0" w:evenHBand="0" w:firstRowFirstColumn="0" w:firstRowLastColumn="0" w:lastRowFirstColumn="0" w:lastRowLastColumn="0"/>
              <w:rPr>
                <w:szCs w:val="24"/>
              </w:rPr>
            </w:pPr>
            <w:r w:rsidRPr="006E4AC9">
              <w:rPr>
                <w:szCs w:val="24"/>
              </w:rPr>
              <w:t>E</w:t>
            </w:r>
            <w:r w:rsidR="005E169A" w:rsidRPr="006E4AC9">
              <w:rPr>
                <w:caps w:val="0"/>
                <w:szCs w:val="24"/>
              </w:rPr>
              <w:t xml:space="preserve">os </w:t>
            </w:r>
            <w:r w:rsidRPr="006E4AC9">
              <w:rPr>
                <w:szCs w:val="24"/>
              </w:rPr>
              <w:t>(</w:t>
            </w:r>
            <w:r w:rsidRPr="006E4AC9">
              <w:rPr>
                <w:caps w:val="0"/>
                <w:szCs w:val="24"/>
              </w:rPr>
              <w:t>serum</w:t>
            </w:r>
            <w:r w:rsidRPr="006E4AC9">
              <w:rPr>
                <w:szCs w:val="24"/>
              </w:rPr>
              <w:t>)</w:t>
            </w:r>
          </w:p>
        </w:tc>
        <w:tc>
          <w:tcPr>
            <w:tcW w:w="1533" w:type="dxa"/>
            <w:tcBorders>
              <w:top w:val="single" w:sz="4" w:space="0" w:color="auto"/>
              <w:bottom w:val="single" w:sz="4" w:space="0" w:color="auto"/>
            </w:tcBorders>
          </w:tcPr>
          <w:p w14:paraId="01EF7270" w14:textId="1702824F" w:rsidR="00DB26B8" w:rsidRPr="006E4AC9" w:rsidRDefault="00DB26B8" w:rsidP="00610593">
            <w:pPr>
              <w:widowControl w:val="0"/>
              <w:snapToGrid w:val="0"/>
              <w:spacing w:after="0"/>
              <w:jc w:val="center"/>
              <w:cnfStyle w:val="100000000000" w:firstRow="1" w:lastRow="0" w:firstColumn="0" w:lastColumn="0" w:oddVBand="0" w:evenVBand="0" w:oddHBand="0" w:evenHBand="0" w:firstRowFirstColumn="0" w:firstRowLastColumn="0" w:lastRowFirstColumn="0" w:lastRowLastColumn="0"/>
              <w:rPr>
                <w:szCs w:val="24"/>
              </w:rPr>
            </w:pPr>
            <w:r w:rsidRPr="006E4AC9">
              <w:rPr>
                <w:szCs w:val="24"/>
              </w:rPr>
              <w:t>IgG4-</w:t>
            </w:r>
            <w:r w:rsidR="005E169A" w:rsidRPr="006E4AC9">
              <w:rPr>
                <w:caps w:val="0"/>
                <w:szCs w:val="24"/>
              </w:rPr>
              <w:t>staining</w:t>
            </w:r>
          </w:p>
        </w:tc>
        <w:tc>
          <w:tcPr>
            <w:tcW w:w="1312" w:type="dxa"/>
            <w:tcBorders>
              <w:top w:val="single" w:sz="4" w:space="0" w:color="auto"/>
              <w:bottom w:val="single" w:sz="4" w:space="0" w:color="auto"/>
            </w:tcBorders>
          </w:tcPr>
          <w:p w14:paraId="5A05EF61" w14:textId="04AD3302" w:rsidR="00DB26B8" w:rsidRPr="006E4AC9" w:rsidRDefault="00DB26B8" w:rsidP="00610593">
            <w:pPr>
              <w:widowControl w:val="0"/>
              <w:snapToGrid w:val="0"/>
              <w:spacing w:after="0"/>
              <w:jc w:val="center"/>
              <w:cnfStyle w:val="100000000000" w:firstRow="1" w:lastRow="0" w:firstColumn="0" w:lastColumn="0" w:oddVBand="0" w:evenVBand="0" w:oddHBand="0" w:evenHBand="0" w:firstRowFirstColumn="0" w:firstRowLastColumn="0" w:lastRowFirstColumn="0" w:lastRowLastColumn="0"/>
              <w:rPr>
                <w:szCs w:val="24"/>
              </w:rPr>
            </w:pPr>
            <w:r w:rsidRPr="006E4AC9">
              <w:rPr>
                <w:szCs w:val="24"/>
              </w:rPr>
              <w:t>B</w:t>
            </w:r>
            <w:r w:rsidR="005E169A" w:rsidRPr="006E4AC9">
              <w:rPr>
                <w:caps w:val="0"/>
                <w:szCs w:val="24"/>
              </w:rPr>
              <w:t>iliary stenosis</w:t>
            </w:r>
          </w:p>
        </w:tc>
        <w:tc>
          <w:tcPr>
            <w:tcW w:w="1477" w:type="dxa"/>
            <w:tcBorders>
              <w:top w:val="single" w:sz="4" w:space="0" w:color="auto"/>
              <w:bottom w:val="single" w:sz="4" w:space="0" w:color="auto"/>
            </w:tcBorders>
          </w:tcPr>
          <w:p w14:paraId="668E3D67" w14:textId="03FE6B4A" w:rsidR="00DB26B8" w:rsidRPr="006E4AC9" w:rsidRDefault="00DB26B8" w:rsidP="00610593">
            <w:pPr>
              <w:widowControl w:val="0"/>
              <w:snapToGrid w:val="0"/>
              <w:spacing w:after="0"/>
              <w:jc w:val="center"/>
              <w:cnfStyle w:val="100000000000" w:firstRow="1" w:lastRow="0" w:firstColumn="0" w:lastColumn="0" w:oddVBand="0" w:evenVBand="0" w:oddHBand="0" w:evenHBand="0" w:firstRowFirstColumn="0" w:firstRowLastColumn="0" w:lastRowFirstColumn="0" w:lastRowLastColumn="0"/>
              <w:rPr>
                <w:rFonts w:eastAsia="SimSun"/>
                <w:szCs w:val="24"/>
                <w:lang w:eastAsia="zh-CN"/>
              </w:rPr>
            </w:pPr>
            <w:r w:rsidRPr="006E4AC9">
              <w:rPr>
                <w:szCs w:val="24"/>
              </w:rPr>
              <w:t>C</w:t>
            </w:r>
            <w:r w:rsidR="005E169A" w:rsidRPr="006E4AC9">
              <w:rPr>
                <w:caps w:val="0"/>
                <w:szCs w:val="24"/>
              </w:rPr>
              <w:t>linical course</w:t>
            </w:r>
          </w:p>
        </w:tc>
      </w:tr>
      <w:tr w:rsidR="00DB26B8" w:rsidRPr="006E4AC9" w14:paraId="625AAD56" w14:textId="77777777" w:rsidTr="00A44D1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right w:val="none" w:sz="0" w:space="0" w:color="auto"/>
            </w:tcBorders>
          </w:tcPr>
          <w:p w14:paraId="4C1FF3BD" w14:textId="6D8DEFAF" w:rsidR="00C3526B" w:rsidRPr="006E4AC9" w:rsidRDefault="00C3526B" w:rsidP="00610593">
            <w:pPr>
              <w:widowControl w:val="0"/>
              <w:snapToGrid w:val="0"/>
              <w:spacing w:after="0"/>
              <w:jc w:val="both"/>
              <w:rPr>
                <w:b w:val="0"/>
                <w:color w:val="000000"/>
                <w:szCs w:val="24"/>
              </w:rPr>
            </w:pPr>
            <w:r w:rsidRPr="006E4AC9">
              <w:rPr>
                <w:b w:val="0"/>
                <w:color w:val="000000"/>
                <w:szCs w:val="24"/>
              </w:rPr>
              <w:t>P</w:t>
            </w:r>
            <w:r w:rsidR="005E169A" w:rsidRPr="006E4AC9">
              <w:rPr>
                <w:b w:val="0"/>
                <w:caps w:val="0"/>
                <w:color w:val="000000"/>
                <w:szCs w:val="24"/>
              </w:rPr>
              <w:t>at</w:t>
            </w:r>
            <w:r w:rsidRPr="006E4AC9">
              <w:rPr>
                <w:b w:val="0"/>
                <w:color w:val="000000"/>
                <w:szCs w:val="24"/>
              </w:rPr>
              <w:t>1</w:t>
            </w:r>
          </w:p>
        </w:tc>
        <w:tc>
          <w:tcPr>
            <w:tcW w:w="850" w:type="dxa"/>
            <w:tcBorders>
              <w:top w:val="single" w:sz="4" w:space="0" w:color="auto"/>
            </w:tcBorders>
          </w:tcPr>
          <w:p w14:paraId="00D67A8C"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40</w:t>
            </w:r>
          </w:p>
        </w:tc>
        <w:tc>
          <w:tcPr>
            <w:tcW w:w="623" w:type="dxa"/>
            <w:tcBorders>
              <w:top w:val="single" w:sz="4" w:space="0" w:color="auto"/>
            </w:tcBorders>
          </w:tcPr>
          <w:p w14:paraId="3F27FB04"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M</w:t>
            </w:r>
          </w:p>
        </w:tc>
        <w:tc>
          <w:tcPr>
            <w:tcW w:w="1076" w:type="dxa"/>
            <w:tcBorders>
              <w:top w:val="single" w:sz="4" w:space="0" w:color="auto"/>
            </w:tcBorders>
          </w:tcPr>
          <w:p w14:paraId="7BD59E18"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2008</w:t>
            </w:r>
          </w:p>
        </w:tc>
        <w:tc>
          <w:tcPr>
            <w:tcW w:w="1784" w:type="dxa"/>
            <w:tcBorders>
              <w:top w:val="single" w:sz="4" w:space="0" w:color="auto"/>
            </w:tcBorders>
          </w:tcPr>
          <w:p w14:paraId="4D1EFBA0"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w:t>
            </w:r>
          </w:p>
        </w:tc>
        <w:tc>
          <w:tcPr>
            <w:tcW w:w="1155" w:type="dxa"/>
            <w:tcBorders>
              <w:top w:val="single" w:sz="4" w:space="0" w:color="auto"/>
            </w:tcBorders>
          </w:tcPr>
          <w:p w14:paraId="080EA9FF" w14:textId="1A002DB4" w:rsidR="00C3526B" w:rsidRPr="006E4AC9" w:rsidRDefault="00863C3D"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w:t>
            </w:r>
          </w:p>
        </w:tc>
        <w:tc>
          <w:tcPr>
            <w:tcW w:w="1533" w:type="dxa"/>
            <w:tcBorders>
              <w:top w:val="single" w:sz="4" w:space="0" w:color="auto"/>
            </w:tcBorders>
          </w:tcPr>
          <w:p w14:paraId="38A7FB2C" w14:textId="614DFDCE"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w:t>
            </w:r>
          </w:p>
        </w:tc>
        <w:tc>
          <w:tcPr>
            <w:tcW w:w="1312" w:type="dxa"/>
            <w:tcBorders>
              <w:top w:val="single" w:sz="4" w:space="0" w:color="auto"/>
            </w:tcBorders>
          </w:tcPr>
          <w:p w14:paraId="1F5B9CDB"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Perihilar</w:t>
            </w:r>
          </w:p>
        </w:tc>
        <w:tc>
          <w:tcPr>
            <w:tcW w:w="1477" w:type="dxa"/>
            <w:tcBorders>
              <w:top w:val="single" w:sz="4" w:space="0" w:color="auto"/>
            </w:tcBorders>
          </w:tcPr>
          <w:p w14:paraId="189D372E"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Hemihepatectomy</w:t>
            </w:r>
          </w:p>
        </w:tc>
      </w:tr>
      <w:tr w:rsidR="005E169A" w:rsidRPr="006E4AC9" w14:paraId="45727508" w14:textId="77777777" w:rsidTr="00A44D1A">
        <w:trPr>
          <w:trHeight w:val="755"/>
        </w:trPr>
        <w:tc>
          <w:tcPr>
            <w:cnfStyle w:val="001000000000" w:firstRow="0" w:lastRow="0" w:firstColumn="1" w:lastColumn="0" w:oddVBand="0" w:evenVBand="0" w:oddHBand="0" w:evenHBand="0" w:firstRowFirstColumn="0" w:firstRowLastColumn="0" w:lastRowFirstColumn="0" w:lastRowLastColumn="0"/>
            <w:tcW w:w="1135" w:type="dxa"/>
            <w:tcBorders>
              <w:right w:val="none" w:sz="0" w:space="0" w:color="auto"/>
            </w:tcBorders>
          </w:tcPr>
          <w:p w14:paraId="4BB89CF9" w14:textId="6A175C36" w:rsidR="00C3526B" w:rsidRPr="006E4AC9" w:rsidRDefault="00C3526B" w:rsidP="00610593">
            <w:pPr>
              <w:widowControl w:val="0"/>
              <w:snapToGrid w:val="0"/>
              <w:spacing w:after="0"/>
              <w:jc w:val="both"/>
              <w:rPr>
                <w:b w:val="0"/>
                <w:color w:val="000000"/>
                <w:szCs w:val="24"/>
              </w:rPr>
            </w:pPr>
            <w:r w:rsidRPr="006E4AC9">
              <w:rPr>
                <w:b w:val="0"/>
                <w:color w:val="000000"/>
                <w:szCs w:val="24"/>
              </w:rPr>
              <w:t>P</w:t>
            </w:r>
            <w:r w:rsidR="005E169A" w:rsidRPr="006E4AC9">
              <w:rPr>
                <w:b w:val="0"/>
                <w:caps w:val="0"/>
                <w:color w:val="000000"/>
                <w:szCs w:val="24"/>
              </w:rPr>
              <w:t>at</w:t>
            </w:r>
            <w:r w:rsidRPr="006E4AC9">
              <w:rPr>
                <w:b w:val="0"/>
                <w:color w:val="000000"/>
                <w:szCs w:val="24"/>
              </w:rPr>
              <w:t>2</w:t>
            </w:r>
          </w:p>
        </w:tc>
        <w:tc>
          <w:tcPr>
            <w:tcW w:w="850" w:type="dxa"/>
          </w:tcPr>
          <w:p w14:paraId="046AE968"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52</w:t>
            </w:r>
          </w:p>
        </w:tc>
        <w:tc>
          <w:tcPr>
            <w:tcW w:w="623" w:type="dxa"/>
          </w:tcPr>
          <w:p w14:paraId="1488F24E"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M</w:t>
            </w:r>
          </w:p>
        </w:tc>
        <w:tc>
          <w:tcPr>
            <w:tcW w:w="1076" w:type="dxa"/>
          </w:tcPr>
          <w:p w14:paraId="64C464AA"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2011</w:t>
            </w:r>
          </w:p>
        </w:tc>
        <w:tc>
          <w:tcPr>
            <w:tcW w:w="1784" w:type="dxa"/>
          </w:tcPr>
          <w:p w14:paraId="5D56AECA"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w:t>
            </w:r>
          </w:p>
        </w:tc>
        <w:tc>
          <w:tcPr>
            <w:tcW w:w="1155" w:type="dxa"/>
          </w:tcPr>
          <w:p w14:paraId="48492092" w14:textId="13E619E0" w:rsidR="00C3526B" w:rsidRPr="006E4AC9" w:rsidRDefault="00863C3D"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w:t>
            </w:r>
          </w:p>
        </w:tc>
        <w:tc>
          <w:tcPr>
            <w:tcW w:w="1533" w:type="dxa"/>
          </w:tcPr>
          <w:p w14:paraId="617C5DD6" w14:textId="359C4D2A"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w:t>
            </w:r>
          </w:p>
        </w:tc>
        <w:tc>
          <w:tcPr>
            <w:tcW w:w="1312" w:type="dxa"/>
          </w:tcPr>
          <w:p w14:paraId="7B28CE81"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Perihilar</w:t>
            </w:r>
          </w:p>
        </w:tc>
        <w:tc>
          <w:tcPr>
            <w:tcW w:w="1477" w:type="dxa"/>
          </w:tcPr>
          <w:p w14:paraId="67871D0D"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Hemihepatectomy</w:t>
            </w:r>
          </w:p>
        </w:tc>
      </w:tr>
      <w:tr w:rsidR="00DB26B8" w:rsidRPr="006E4AC9" w14:paraId="378B13A9" w14:textId="77777777" w:rsidTr="00A44D1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35" w:type="dxa"/>
            <w:tcBorders>
              <w:right w:val="none" w:sz="0" w:space="0" w:color="auto"/>
            </w:tcBorders>
          </w:tcPr>
          <w:p w14:paraId="530090AB" w14:textId="41CAE93D" w:rsidR="00C3526B" w:rsidRPr="006E4AC9" w:rsidRDefault="00C3526B" w:rsidP="00610593">
            <w:pPr>
              <w:widowControl w:val="0"/>
              <w:snapToGrid w:val="0"/>
              <w:spacing w:after="0"/>
              <w:jc w:val="both"/>
              <w:rPr>
                <w:b w:val="0"/>
                <w:color w:val="000000"/>
                <w:szCs w:val="24"/>
              </w:rPr>
            </w:pPr>
            <w:r w:rsidRPr="006E4AC9">
              <w:rPr>
                <w:b w:val="0"/>
                <w:color w:val="000000"/>
                <w:szCs w:val="24"/>
              </w:rPr>
              <w:t>P</w:t>
            </w:r>
            <w:r w:rsidR="005E169A" w:rsidRPr="006E4AC9">
              <w:rPr>
                <w:b w:val="0"/>
                <w:caps w:val="0"/>
                <w:color w:val="000000"/>
                <w:szCs w:val="24"/>
              </w:rPr>
              <w:t>at</w:t>
            </w:r>
            <w:r w:rsidRPr="006E4AC9">
              <w:rPr>
                <w:b w:val="0"/>
                <w:color w:val="000000"/>
                <w:szCs w:val="24"/>
              </w:rPr>
              <w:t>3</w:t>
            </w:r>
          </w:p>
        </w:tc>
        <w:tc>
          <w:tcPr>
            <w:tcW w:w="850" w:type="dxa"/>
          </w:tcPr>
          <w:p w14:paraId="57BAC504"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73</w:t>
            </w:r>
          </w:p>
        </w:tc>
        <w:tc>
          <w:tcPr>
            <w:tcW w:w="623" w:type="dxa"/>
          </w:tcPr>
          <w:p w14:paraId="3324FC93"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M</w:t>
            </w:r>
          </w:p>
        </w:tc>
        <w:tc>
          <w:tcPr>
            <w:tcW w:w="1076" w:type="dxa"/>
          </w:tcPr>
          <w:p w14:paraId="2CFA703D"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2005</w:t>
            </w:r>
          </w:p>
        </w:tc>
        <w:tc>
          <w:tcPr>
            <w:tcW w:w="1784" w:type="dxa"/>
          </w:tcPr>
          <w:p w14:paraId="1EB0B006"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w:t>
            </w:r>
          </w:p>
        </w:tc>
        <w:tc>
          <w:tcPr>
            <w:tcW w:w="1155" w:type="dxa"/>
          </w:tcPr>
          <w:p w14:paraId="3B3049E5" w14:textId="3354D81A" w:rsidR="00C3526B" w:rsidRPr="006E4AC9" w:rsidRDefault="005E169A"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rFonts w:eastAsia="SimSun"/>
                <w:caps/>
                <w:szCs w:val="24"/>
                <w:lang w:eastAsia="zh-CN"/>
              </w:rPr>
            </w:pPr>
            <w:r w:rsidRPr="006E4AC9">
              <w:rPr>
                <w:caps/>
                <w:szCs w:val="24"/>
              </w:rPr>
              <w:t>na</w:t>
            </w:r>
          </w:p>
        </w:tc>
        <w:tc>
          <w:tcPr>
            <w:tcW w:w="1533" w:type="dxa"/>
          </w:tcPr>
          <w:p w14:paraId="7B5DA42D" w14:textId="3873527D"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w:t>
            </w:r>
          </w:p>
        </w:tc>
        <w:tc>
          <w:tcPr>
            <w:tcW w:w="1312" w:type="dxa"/>
          </w:tcPr>
          <w:p w14:paraId="527055EC"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Perihilar</w:t>
            </w:r>
          </w:p>
        </w:tc>
        <w:tc>
          <w:tcPr>
            <w:tcW w:w="1477" w:type="dxa"/>
          </w:tcPr>
          <w:p w14:paraId="3A9D1713"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CBD-resection</w:t>
            </w:r>
          </w:p>
        </w:tc>
      </w:tr>
      <w:tr w:rsidR="005E169A" w:rsidRPr="006E4AC9" w14:paraId="21AAF402" w14:textId="77777777" w:rsidTr="00A44D1A">
        <w:trPr>
          <w:trHeight w:val="240"/>
        </w:trPr>
        <w:tc>
          <w:tcPr>
            <w:cnfStyle w:val="001000000000" w:firstRow="0" w:lastRow="0" w:firstColumn="1" w:lastColumn="0" w:oddVBand="0" w:evenVBand="0" w:oddHBand="0" w:evenHBand="0" w:firstRowFirstColumn="0" w:firstRowLastColumn="0" w:lastRowFirstColumn="0" w:lastRowLastColumn="0"/>
            <w:tcW w:w="1135" w:type="dxa"/>
            <w:tcBorders>
              <w:right w:val="none" w:sz="0" w:space="0" w:color="auto"/>
            </w:tcBorders>
          </w:tcPr>
          <w:p w14:paraId="6D7E197A" w14:textId="024AD1BB" w:rsidR="00C3526B" w:rsidRPr="006E4AC9" w:rsidRDefault="00C3526B" w:rsidP="00610593">
            <w:pPr>
              <w:widowControl w:val="0"/>
              <w:snapToGrid w:val="0"/>
              <w:spacing w:after="0"/>
              <w:jc w:val="both"/>
              <w:rPr>
                <w:b w:val="0"/>
                <w:color w:val="000000"/>
                <w:szCs w:val="24"/>
              </w:rPr>
            </w:pPr>
            <w:r w:rsidRPr="006E4AC9">
              <w:rPr>
                <w:b w:val="0"/>
                <w:color w:val="000000"/>
                <w:szCs w:val="24"/>
              </w:rPr>
              <w:t>P</w:t>
            </w:r>
            <w:r w:rsidR="005E169A" w:rsidRPr="006E4AC9">
              <w:rPr>
                <w:b w:val="0"/>
                <w:caps w:val="0"/>
                <w:color w:val="000000"/>
                <w:szCs w:val="24"/>
              </w:rPr>
              <w:t>at</w:t>
            </w:r>
            <w:r w:rsidRPr="006E4AC9">
              <w:rPr>
                <w:b w:val="0"/>
                <w:color w:val="000000"/>
                <w:szCs w:val="24"/>
              </w:rPr>
              <w:t>4</w:t>
            </w:r>
          </w:p>
        </w:tc>
        <w:tc>
          <w:tcPr>
            <w:tcW w:w="850" w:type="dxa"/>
          </w:tcPr>
          <w:p w14:paraId="19A44A6B"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40</w:t>
            </w:r>
          </w:p>
        </w:tc>
        <w:tc>
          <w:tcPr>
            <w:tcW w:w="623" w:type="dxa"/>
          </w:tcPr>
          <w:p w14:paraId="4EC7B054"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F</w:t>
            </w:r>
          </w:p>
        </w:tc>
        <w:tc>
          <w:tcPr>
            <w:tcW w:w="1076" w:type="dxa"/>
          </w:tcPr>
          <w:p w14:paraId="5DC46EF7"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2015</w:t>
            </w:r>
          </w:p>
        </w:tc>
        <w:tc>
          <w:tcPr>
            <w:tcW w:w="1784" w:type="dxa"/>
          </w:tcPr>
          <w:p w14:paraId="53E1DB83"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w:t>
            </w:r>
          </w:p>
        </w:tc>
        <w:tc>
          <w:tcPr>
            <w:tcW w:w="1155" w:type="dxa"/>
          </w:tcPr>
          <w:p w14:paraId="117DB34A" w14:textId="1CD26F14" w:rsidR="00C3526B" w:rsidRPr="006E4AC9" w:rsidRDefault="00863C3D"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w:t>
            </w:r>
          </w:p>
        </w:tc>
        <w:tc>
          <w:tcPr>
            <w:tcW w:w="1533" w:type="dxa"/>
          </w:tcPr>
          <w:p w14:paraId="1AAF0C01" w14:textId="468FB0C8"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w:t>
            </w:r>
          </w:p>
        </w:tc>
        <w:tc>
          <w:tcPr>
            <w:tcW w:w="1312" w:type="dxa"/>
          </w:tcPr>
          <w:p w14:paraId="486C4CEB"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Distal</w:t>
            </w:r>
          </w:p>
        </w:tc>
        <w:tc>
          <w:tcPr>
            <w:tcW w:w="1477" w:type="dxa"/>
          </w:tcPr>
          <w:p w14:paraId="7DCFA2F1"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Steroids</w:t>
            </w:r>
          </w:p>
        </w:tc>
      </w:tr>
      <w:tr w:rsidR="00DB26B8" w:rsidRPr="006E4AC9" w14:paraId="282DDC18" w14:textId="77777777" w:rsidTr="00A44D1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35" w:type="dxa"/>
            <w:tcBorders>
              <w:right w:val="none" w:sz="0" w:space="0" w:color="auto"/>
            </w:tcBorders>
          </w:tcPr>
          <w:p w14:paraId="365FBF54" w14:textId="79947C68" w:rsidR="00C3526B" w:rsidRPr="006E4AC9" w:rsidRDefault="00C3526B" w:rsidP="00610593">
            <w:pPr>
              <w:widowControl w:val="0"/>
              <w:snapToGrid w:val="0"/>
              <w:spacing w:after="0"/>
              <w:jc w:val="both"/>
              <w:rPr>
                <w:b w:val="0"/>
                <w:color w:val="000000"/>
                <w:szCs w:val="24"/>
              </w:rPr>
            </w:pPr>
            <w:r w:rsidRPr="006E4AC9">
              <w:rPr>
                <w:b w:val="0"/>
                <w:color w:val="000000"/>
                <w:szCs w:val="24"/>
              </w:rPr>
              <w:t>P</w:t>
            </w:r>
            <w:r w:rsidR="005E169A" w:rsidRPr="006E4AC9">
              <w:rPr>
                <w:b w:val="0"/>
                <w:caps w:val="0"/>
                <w:color w:val="000000"/>
                <w:szCs w:val="24"/>
              </w:rPr>
              <w:t>at</w:t>
            </w:r>
            <w:r w:rsidRPr="006E4AC9">
              <w:rPr>
                <w:b w:val="0"/>
                <w:color w:val="000000"/>
                <w:szCs w:val="24"/>
              </w:rPr>
              <w:t>5</w:t>
            </w:r>
          </w:p>
        </w:tc>
        <w:tc>
          <w:tcPr>
            <w:tcW w:w="850" w:type="dxa"/>
          </w:tcPr>
          <w:p w14:paraId="123BC1C0"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63</w:t>
            </w:r>
          </w:p>
        </w:tc>
        <w:tc>
          <w:tcPr>
            <w:tcW w:w="623" w:type="dxa"/>
          </w:tcPr>
          <w:p w14:paraId="19849A20"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M</w:t>
            </w:r>
          </w:p>
        </w:tc>
        <w:tc>
          <w:tcPr>
            <w:tcW w:w="1076" w:type="dxa"/>
          </w:tcPr>
          <w:p w14:paraId="0F197A05"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2008</w:t>
            </w:r>
          </w:p>
        </w:tc>
        <w:tc>
          <w:tcPr>
            <w:tcW w:w="1784" w:type="dxa"/>
          </w:tcPr>
          <w:p w14:paraId="5F6AD4BA"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6E4AC9">
              <w:rPr>
                <w:color w:val="000000"/>
                <w:szCs w:val="24"/>
              </w:rPr>
              <w:t>+</w:t>
            </w:r>
          </w:p>
        </w:tc>
        <w:tc>
          <w:tcPr>
            <w:tcW w:w="1155" w:type="dxa"/>
          </w:tcPr>
          <w:p w14:paraId="10150DCA" w14:textId="7C688184" w:rsidR="00C3526B" w:rsidRPr="006E4AC9" w:rsidRDefault="00863C3D"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w:t>
            </w:r>
          </w:p>
        </w:tc>
        <w:tc>
          <w:tcPr>
            <w:tcW w:w="1533" w:type="dxa"/>
          </w:tcPr>
          <w:p w14:paraId="206FC547" w14:textId="1E53CE10"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w:t>
            </w:r>
          </w:p>
        </w:tc>
        <w:tc>
          <w:tcPr>
            <w:tcW w:w="1312" w:type="dxa"/>
          </w:tcPr>
          <w:p w14:paraId="7AF0093C"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Distal</w:t>
            </w:r>
          </w:p>
        </w:tc>
        <w:tc>
          <w:tcPr>
            <w:tcW w:w="1477" w:type="dxa"/>
          </w:tcPr>
          <w:p w14:paraId="659F37D5" w14:textId="77777777" w:rsidR="00C3526B" w:rsidRPr="006E4AC9" w:rsidRDefault="00C3526B" w:rsidP="00610593">
            <w:pPr>
              <w:widowControl w:val="0"/>
              <w:snapToGrid w:val="0"/>
              <w:spacing w:after="0"/>
              <w:jc w:val="center"/>
              <w:cnfStyle w:val="000000100000" w:firstRow="0" w:lastRow="0" w:firstColumn="0" w:lastColumn="0" w:oddVBand="0" w:evenVBand="0" w:oddHBand="1" w:evenHBand="0" w:firstRowFirstColumn="0" w:firstRowLastColumn="0" w:lastRowFirstColumn="0" w:lastRowLastColumn="0"/>
              <w:rPr>
                <w:szCs w:val="24"/>
              </w:rPr>
            </w:pPr>
            <w:r w:rsidRPr="006E4AC9">
              <w:rPr>
                <w:szCs w:val="24"/>
              </w:rPr>
              <w:t>PPPD</w:t>
            </w:r>
          </w:p>
        </w:tc>
      </w:tr>
      <w:tr w:rsidR="005E169A" w:rsidRPr="006E4AC9" w14:paraId="4905CD26" w14:textId="77777777" w:rsidTr="00A44D1A">
        <w:trPr>
          <w:trHeight w:val="240"/>
        </w:trPr>
        <w:tc>
          <w:tcPr>
            <w:cnfStyle w:val="001000000000" w:firstRow="0" w:lastRow="0" w:firstColumn="1" w:lastColumn="0" w:oddVBand="0" w:evenVBand="0" w:oddHBand="0" w:evenHBand="0" w:firstRowFirstColumn="0" w:firstRowLastColumn="0" w:lastRowFirstColumn="0" w:lastRowLastColumn="0"/>
            <w:tcW w:w="1135" w:type="dxa"/>
            <w:tcBorders>
              <w:right w:val="none" w:sz="0" w:space="0" w:color="auto"/>
            </w:tcBorders>
          </w:tcPr>
          <w:p w14:paraId="026145E9" w14:textId="49DCACD7" w:rsidR="00C3526B" w:rsidRPr="006E4AC9" w:rsidRDefault="00C3526B" w:rsidP="00610593">
            <w:pPr>
              <w:widowControl w:val="0"/>
              <w:snapToGrid w:val="0"/>
              <w:spacing w:after="0"/>
              <w:jc w:val="both"/>
              <w:rPr>
                <w:b w:val="0"/>
                <w:color w:val="000000"/>
                <w:szCs w:val="24"/>
              </w:rPr>
            </w:pPr>
            <w:r w:rsidRPr="006E4AC9">
              <w:rPr>
                <w:b w:val="0"/>
                <w:color w:val="000000"/>
                <w:szCs w:val="24"/>
              </w:rPr>
              <w:t>P</w:t>
            </w:r>
            <w:r w:rsidR="005E169A" w:rsidRPr="006E4AC9">
              <w:rPr>
                <w:b w:val="0"/>
                <w:caps w:val="0"/>
                <w:color w:val="000000"/>
                <w:szCs w:val="24"/>
              </w:rPr>
              <w:t>at</w:t>
            </w:r>
            <w:r w:rsidRPr="006E4AC9">
              <w:rPr>
                <w:b w:val="0"/>
                <w:color w:val="000000"/>
                <w:szCs w:val="24"/>
              </w:rPr>
              <w:t>6</w:t>
            </w:r>
          </w:p>
        </w:tc>
        <w:tc>
          <w:tcPr>
            <w:tcW w:w="850" w:type="dxa"/>
          </w:tcPr>
          <w:p w14:paraId="68C3B02B"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65</w:t>
            </w:r>
          </w:p>
        </w:tc>
        <w:tc>
          <w:tcPr>
            <w:tcW w:w="623" w:type="dxa"/>
          </w:tcPr>
          <w:p w14:paraId="364A4820"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F</w:t>
            </w:r>
          </w:p>
        </w:tc>
        <w:tc>
          <w:tcPr>
            <w:tcW w:w="1076" w:type="dxa"/>
          </w:tcPr>
          <w:p w14:paraId="5ABDD0AF"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2006</w:t>
            </w:r>
          </w:p>
        </w:tc>
        <w:tc>
          <w:tcPr>
            <w:tcW w:w="1784" w:type="dxa"/>
          </w:tcPr>
          <w:p w14:paraId="3EFBBA57"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6E4AC9">
              <w:rPr>
                <w:color w:val="000000"/>
                <w:szCs w:val="24"/>
              </w:rPr>
              <w:t>+</w:t>
            </w:r>
          </w:p>
        </w:tc>
        <w:tc>
          <w:tcPr>
            <w:tcW w:w="1155" w:type="dxa"/>
          </w:tcPr>
          <w:p w14:paraId="3716697A" w14:textId="67158B5D" w:rsidR="00C3526B" w:rsidRPr="006E4AC9" w:rsidRDefault="00863C3D"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w:t>
            </w:r>
          </w:p>
        </w:tc>
        <w:tc>
          <w:tcPr>
            <w:tcW w:w="1533" w:type="dxa"/>
          </w:tcPr>
          <w:p w14:paraId="5A28839B" w14:textId="12BEA6EC"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w:t>
            </w:r>
          </w:p>
        </w:tc>
        <w:tc>
          <w:tcPr>
            <w:tcW w:w="1312" w:type="dxa"/>
          </w:tcPr>
          <w:p w14:paraId="5F4DAFA4"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Perihilar</w:t>
            </w:r>
          </w:p>
        </w:tc>
        <w:tc>
          <w:tcPr>
            <w:tcW w:w="1477" w:type="dxa"/>
          </w:tcPr>
          <w:p w14:paraId="42581AB8" w14:textId="77777777" w:rsidR="00C3526B" w:rsidRPr="006E4AC9" w:rsidRDefault="00C3526B" w:rsidP="00610593">
            <w:pPr>
              <w:widowControl w:val="0"/>
              <w:snapToGrid w:val="0"/>
              <w:spacing w:after="0"/>
              <w:jc w:val="center"/>
              <w:cnfStyle w:val="000000000000" w:firstRow="0" w:lastRow="0" w:firstColumn="0" w:lastColumn="0" w:oddVBand="0" w:evenVBand="0" w:oddHBand="0" w:evenHBand="0" w:firstRowFirstColumn="0" w:firstRowLastColumn="0" w:lastRowFirstColumn="0" w:lastRowLastColumn="0"/>
              <w:rPr>
                <w:szCs w:val="24"/>
              </w:rPr>
            </w:pPr>
            <w:r w:rsidRPr="006E4AC9">
              <w:rPr>
                <w:szCs w:val="24"/>
              </w:rPr>
              <w:t>CBD-resection</w:t>
            </w:r>
          </w:p>
        </w:tc>
      </w:tr>
    </w:tbl>
    <w:p w14:paraId="7806883D" w14:textId="18585F97" w:rsidR="00E30B8C" w:rsidRPr="006E4AC9" w:rsidRDefault="00E30B8C" w:rsidP="00610593">
      <w:pPr>
        <w:pStyle w:val="Caption"/>
        <w:widowControl w:val="0"/>
        <w:snapToGrid w:val="0"/>
        <w:spacing w:after="0" w:line="360" w:lineRule="auto"/>
        <w:jc w:val="both"/>
        <w:rPr>
          <w:b w:val="0"/>
          <w:sz w:val="24"/>
          <w:szCs w:val="24"/>
        </w:rPr>
      </w:pPr>
      <w:r w:rsidRPr="006E4AC9">
        <w:rPr>
          <w:b w:val="0"/>
          <w:sz w:val="24"/>
          <w:szCs w:val="24"/>
        </w:rPr>
        <w:t>Eosinophilic infiltrate was assessed as positive, if ≥</w:t>
      </w:r>
      <w:r w:rsidR="005E169A" w:rsidRPr="006E4AC9">
        <w:rPr>
          <w:rFonts w:eastAsia="SimSun" w:hint="eastAsia"/>
          <w:b w:val="0"/>
          <w:sz w:val="24"/>
          <w:szCs w:val="24"/>
          <w:lang w:eastAsia="zh-CN"/>
        </w:rPr>
        <w:t xml:space="preserve"> </w:t>
      </w:r>
      <w:r w:rsidRPr="006E4AC9">
        <w:rPr>
          <w:b w:val="0"/>
          <w:sz w:val="24"/>
          <w:szCs w:val="24"/>
        </w:rPr>
        <w:t>15 eosinophilic granulocytes/high power field were present. Cut off for peripheral eosinophilia was ≥</w:t>
      </w:r>
      <w:r w:rsidR="005E169A" w:rsidRPr="006E4AC9">
        <w:rPr>
          <w:rFonts w:eastAsia="SimSun" w:hint="eastAsia"/>
          <w:b w:val="0"/>
          <w:sz w:val="24"/>
          <w:szCs w:val="24"/>
          <w:lang w:eastAsia="zh-CN"/>
        </w:rPr>
        <w:t xml:space="preserve"> </w:t>
      </w:r>
      <w:r w:rsidRPr="006E4AC9">
        <w:rPr>
          <w:b w:val="0"/>
          <w:sz w:val="24"/>
          <w:szCs w:val="24"/>
        </w:rPr>
        <w:t>4% of leukocytes. Plasma cells were assessed as positive, if &gt;</w:t>
      </w:r>
      <w:r w:rsidR="005E169A" w:rsidRPr="006E4AC9">
        <w:rPr>
          <w:rFonts w:eastAsia="SimSun" w:hint="eastAsia"/>
          <w:b w:val="0"/>
          <w:sz w:val="24"/>
          <w:szCs w:val="24"/>
          <w:lang w:eastAsia="zh-CN"/>
        </w:rPr>
        <w:t xml:space="preserve"> </w:t>
      </w:r>
      <w:r w:rsidRPr="006E4AC9">
        <w:rPr>
          <w:b w:val="0"/>
          <w:sz w:val="24"/>
          <w:szCs w:val="24"/>
        </w:rPr>
        <w:t>30% stained positive for IgG4. CBD: Common bile duct; PPPD: Pylorus preserving pancreaticoduodenectomy; Year: the year the histol</w:t>
      </w:r>
      <w:r w:rsidR="005E169A" w:rsidRPr="006E4AC9">
        <w:rPr>
          <w:b w:val="0"/>
          <w:sz w:val="24"/>
          <w:szCs w:val="24"/>
        </w:rPr>
        <w:t>ogical specimen was obtained; Eos: Eosinophilic granulocytes</w:t>
      </w:r>
      <w:r w:rsidR="005E169A" w:rsidRPr="006E4AC9">
        <w:rPr>
          <w:rFonts w:eastAsia="SimSun" w:hint="eastAsia"/>
          <w:b w:val="0"/>
          <w:sz w:val="24"/>
          <w:szCs w:val="24"/>
          <w:lang w:eastAsia="zh-CN"/>
        </w:rPr>
        <w:t xml:space="preserve">; </w:t>
      </w:r>
      <w:r w:rsidR="005E169A" w:rsidRPr="006E4AC9">
        <w:rPr>
          <w:b w:val="0"/>
          <w:caps/>
          <w:sz w:val="24"/>
          <w:szCs w:val="24"/>
        </w:rPr>
        <w:t>na</w:t>
      </w:r>
      <w:r w:rsidRPr="006E4AC9">
        <w:rPr>
          <w:b w:val="0"/>
          <w:caps/>
          <w:sz w:val="24"/>
          <w:szCs w:val="24"/>
        </w:rPr>
        <w:t>: n</w:t>
      </w:r>
      <w:r w:rsidRPr="006E4AC9">
        <w:rPr>
          <w:b w:val="0"/>
          <w:sz w:val="24"/>
          <w:szCs w:val="24"/>
        </w:rPr>
        <w:t>ot available.</w:t>
      </w:r>
    </w:p>
    <w:p w14:paraId="66CB804D" w14:textId="77777777" w:rsidR="005E169A" w:rsidRPr="006E4AC9" w:rsidRDefault="005E169A" w:rsidP="00610593">
      <w:pPr>
        <w:snapToGrid w:val="0"/>
        <w:spacing w:after="0"/>
        <w:rPr>
          <w:rFonts w:eastAsia="SimSun"/>
          <w:b/>
          <w:bCs/>
          <w:szCs w:val="24"/>
          <w:lang w:eastAsia="zh-CN"/>
        </w:rPr>
      </w:pPr>
      <w:r w:rsidRPr="006E4AC9">
        <w:rPr>
          <w:rFonts w:eastAsia="SimSun"/>
          <w:szCs w:val="24"/>
          <w:lang w:eastAsia="zh-CN"/>
        </w:rPr>
        <w:br w:type="page"/>
      </w:r>
    </w:p>
    <w:p w14:paraId="2805FEDD" w14:textId="25421861" w:rsidR="005E169A" w:rsidRPr="006E4AC9" w:rsidRDefault="005E169A" w:rsidP="00610593">
      <w:pPr>
        <w:pStyle w:val="Caption"/>
        <w:widowControl w:val="0"/>
        <w:snapToGrid w:val="0"/>
        <w:spacing w:after="0" w:line="360" w:lineRule="auto"/>
        <w:jc w:val="both"/>
        <w:rPr>
          <w:rFonts w:eastAsia="SimSun"/>
          <w:sz w:val="24"/>
          <w:szCs w:val="24"/>
          <w:lang w:eastAsia="zh-CN"/>
        </w:rPr>
      </w:pPr>
      <w:r w:rsidRPr="006E4AC9">
        <w:rPr>
          <w:noProof/>
          <w:lang w:eastAsia="zh-CN"/>
        </w:rPr>
        <w:lastRenderedPageBreak/>
        <w:drawing>
          <wp:inline distT="0" distB="0" distL="0" distR="0" wp14:anchorId="73ADF576" wp14:editId="6B7A02A9">
            <wp:extent cx="4520242" cy="3371347"/>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20242" cy="3371347"/>
                    </a:xfrm>
                    <a:prstGeom prst="rect">
                      <a:avLst/>
                    </a:prstGeom>
                  </pic:spPr>
                </pic:pic>
              </a:graphicData>
            </a:graphic>
          </wp:inline>
        </w:drawing>
      </w:r>
    </w:p>
    <w:p w14:paraId="3993A365" w14:textId="432661F5" w:rsidR="00D65C43" w:rsidRPr="006E4AC9" w:rsidRDefault="0052500A" w:rsidP="00610593">
      <w:pPr>
        <w:pStyle w:val="Caption"/>
        <w:widowControl w:val="0"/>
        <w:snapToGrid w:val="0"/>
        <w:spacing w:after="0" w:line="360" w:lineRule="auto"/>
        <w:jc w:val="both"/>
        <w:rPr>
          <w:rFonts w:eastAsia="SimSun"/>
          <w:b w:val="0"/>
          <w:sz w:val="24"/>
          <w:szCs w:val="24"/>
          <w:lang w:eastAsia="zh-CN"/>
        </w:rPr>
      </w:pPr>
      <w:r w:rsidRPr="006E4AC9">
        <w:rPr>
          <w:sz w:val="24"/>
          <w:szCs w:val="24"/>
        </w:rPr>
        <w:t xml:space="preserve">Figure </w:t>
      </w:r>
      <w:r w:rsidRPr="006E4AC9">
        <w:rPr>
          <w:sz w:val="24"/>
          <w:szCs w:val="24"/>
        </w:rPr>
        <w:fldChar w:fldCharType="begin"/>
      </w:r>
      <w:r w:rsidRPr="006E4AC9">
        <w:rPr>
          <w:sz w:val="24"/>
          <w:szCs w:val="24"/>
        </w:rPr>
        <w:instrText xml:space="preserve"> SEQ Figure \* ARABIC </w:instrText>
      </w:r>
      <w:r w:rsidRPr="006E4AC9">
        <w:rPr>
          <w:sz w:val="24"/>
          <w:szCs w:val="24"/>
        </w:rPr>
        <w:fldChar w:fldCharType="separate"/>
      </w:r>
      <w:r w:rsidR="000A3C30" w:rsidRPr="006E4AC9">
        <w:rPr>
          <w:noProof/>
          <w:sz w:val="24"/>
          <w:szCs w:val="24"/>
        </w:rPr>
        <w:t>1</w:t>
      </w:r>
      <w:r w:rsidRPr="006E4AC9">
        <w:rPr>
          <w:sz w:val="24"/>
          <w:szCs w:val="24"/>
        </w:rPr>
        <w:fldChar w:fldCharType="end"/>
      </w:r>
      <w:r w:rsidR="005E169A" w:rsidRPr="006E4AC9">
        <w:rPr>
          <w:rFonts w:eastAsia="SimSun" w:hint="eastAsia"/>
          <w:sz w:val="24"/>
          <w:szCs w:val="24"/>
          <w:lang w:eastAsia="zh-CN"/>
        </w:rPr>
        <w:t xml:space="preserve"> </w:t>
      </w:r>
      <w:r w:rsidR="00787FF9" w:rsidRPr="006E4AC9">
        <w:rPr>
          <w:sz w:val="24"/>
          <w:szCs w:val="24"/>
        </w:rPr>
        <w:t>Underlying etiologies of patients with clear diagnoses in h</w:t>
      </w:r>
      <w:r w:rsidR="000F3ECE" w:rsidRPr="006E4AC9">
        <w:rPr>
          <w:sz w:val="24"/>
          <w:szCs w:val="24"/>
        </w:rPr>
        <w:t>istopathological reports.</w:t>
      </w:r>
      <w:r w:rsidR="005E169A" w:rsidRPr="006E4AC9">
        <w:rPr>
          <w:rFonts w:eastAsia="SimSun" w:hint="eastAsia"/>
          <w:b w:val="0"/>
          <w:sz w:val="24"/>
          <w:szCs w:val="24"/>
          <w:lang w:eastAsia="zh-CN"/>
        </w:rPr>
        <w:t xml:space="preserve"> </w:t>
      </w:r>
      <w:r w:rsidR="000F3ECE" w:rsidRPr="006E4AC9">
        <w:rPr>
          <w:b w:val="0"/>
          <w:sz w:val="24"/>
          <w:szCs w:val="24"/>
        </w:rPr>
        <w:t>IgG4-RD: IgG4-related disease</w:t>
      </w:r>
      <w:r w:rsidR="00863C3D" w:rsidRPr="006E4AC9">
        <w:rPr>
          <w:b w:val="0"/>
          <w:sz w:val="24"/>
          <w:szCs w:val="24"/>
        </w:rPr>
        <w:t>;</w:t>
      </w:r>
      <w:r w:rsidR="000F3ECE" w:rsidRPr="006E4AC9">
        <w:rPr>
          <w:b w:val="0"/>
          <w:sz w:val="24"/>
          <w:szCs w:val="24"/>
        </w:rPr>
        <w:t xml:space="preserve"> </w:t>
      </w:r>
      <w:r w:rsidR="00D36880" w:rsidRPr="006E4AC9">
        <w:rPr>
          <w:b w:val="0"/>
          <w:sz w:val="24"/>
          <w:szCs w:val="24"/>
        </w:rPr>
        <w:t xml:space="preserve">PSC: </w:t>
      </w:r>
      <w:r w:rsidR="00D36880" w:rsidRPr="006E4AC9">
        <w:rPr>
          <w:b w:val="0"/>
          <w:caps/>
          <w:sz w:val="24"/>
          <w:szCs w:val="24"/>
        </w:rPr>
        <w:t>p</w:t>
      </w:r>
      <w:r w:rsidR="00787FF9" w:rsidRPr="006E4AC9">
        <w:rPr>
          <w:b w:val="0"/>
          <w:sz w:val="24"/>
          <w:szCs w:val="24"/>
        </w:rPr>
        <w:t>rimary sclerosing cholangitis</w:t>
      </w:r>
      <w:r w:rsidR="00863C3D" w:rsidRPr="006E4AC9">
        <w:rPr>
          <w:b w:val="0"/>
          <w:sz w:val="24"/>
          <w:szCs w:val="24"/>
        </w:rPr>
        <w:t>;</w:t>
      </w:r>
      <w:r w:rsidR="00787FF9" w:rsidRPr="006E4AC9">
        <w:rPr>
          <w:b w:val="0"/>
          <w:sz w:val="24"/>
          <w:szCs w:val="24"/>
        </w:rPr>
        <w:t xml:space="preserve"> </w:t>
      </w:r>
      <w:r w:rsidR="00D36880" w:rsidRPr="006E4AC9">
        <w:rPr>
          <w:b w:val="0"/>
          <w:sz w:val="24"/>
          <w:szCs w:val="24"/>
        </w:rPr>
        <w:t xml:space="preserve">PBC: </w:t>
      </w:r>
      <w:r w:rsidR="00D36880" w:rsidRPr="006E4AC9">
        <w:rPr>
          <w:b w:val="0"/>
          <w:caps/>
          <w:sz w:val="24"/>
          <w:szCs w:val="24"/>
        </w:rPr>
        <w:t>p</w:t>
      </w:r>
      <w:r w:rsidR="00D36880" w:rsidRPr="006E4AC9">
        <w:rPr>
          <w:b w:val="0"/>
          <w:sz w:val="24"/>
          <w:szCs w:val="24"/>
        </w:rPr>
        <w:t>rimary biliary cirrhosis</w:t>
      </w:r>
      <w:r w:rsidR="00787FF9" w:rsidRPr="006E4AC9">
        <w:rPr>
          <w:b w:val="0"/>
          <w:sz w:val="24"/>
          <w:szCs w:val="24"/>
        </w:rPr>
        <w:t xml:space="preserve">. </w:t>
      </w:r>
    </w:p>
    <w:p w14:paraId="65A05D3F" w14:textId="77777777" w:rsidR="005E169A" w:rsidRPr="006E4AC9" w:rsidRDefault="005E169A" w:rsidP="00610593">
      <w:pPr>
        <w:snapToGrid w:val="0"/>
        <w:spacing w:after="0"/>
        <w:rPr>
          <w:rFonts w:eastAsiaTheme="majorEastAsia"/>
          <w:b/>
          <w:bCs/>
          <w:szCs w:val="24"/>
        </w:rPr>
      </w:pPr>
      <w:r w:rsidRPr="006E4AC9">
        <w:rPr>
          <w:szCs w:val="24"/>
        </w:rPr>
        <w:br w:type="page"/>
      </w:r>
    </w:p>
    <w:p w14:paraId="6FF03A1F" w14:textId="079A1420" w:rsidR="00E0744A" w:rsidRPr="006E4AC9" w:rsidRDefault="00C4428D" w:rsidP="00610593">
      <w:pPr>
        <w:pStyle w:val="Caption"/>
        <w:widowControl w:val="0"/>
        <w:snapToGrid w:val="0"/>
        <w:spacing w:after="0" w:line="360" w:lineRule="auto"/>
        <w:jc w:val="both"/>
        <w:rPr>
          <w:rFonts w:eastAsia="SimSun"/>
          <w:b w:val="0"/>
          <w:sz w:val="24"/>
          <w:szCs w:val="24"/>
          <w:lang w:eastAsia="zh-CN"/>
        </w:rPr>
      </w:pPr>
      <w:r w:rsidRPr="006E4AC9">
        <w:rPr>
          <w:rFonts w:cs="Times New Roman"/>
          <w:b w:val="0"/>
          <w:bCs w:val="0"/>
          <w:noProof/>
          <w:sz w:val="16"/>
          <w:szCs w:val="16"/>
          <w:lang w:eastAsia="zh-CN"/>
        </w:rPr>
        <w:lastRenderedPageBreak/>
        <w:drawing>
          <wp:inline distT="0" distB="0" distL="0" distR="0" wp14:anchorId="3D02B47D" wp14:editId="5FD0FFF8">
            <wp:extent cx="5755640" cy="42957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oCFigure_2_300dpi.tif"/>
                    <pic:cNvPicPr/>
                  </pic:nvPicPr>
                  <pic:blipFill>
                    <a:blip r:embed="rId11">
                      <a:extLst>
                        <a:ext uri="{28A0092B-C50C-407E-A947-70E740481C1C}">
                          <a14:useLocalDpi xmlns:a14="http://schemas.microsoft.com/office/drawing/2010/main" val="0"/>
                        </a:ext>
                      </a:extLst>
                    </a:blip>
                    <a:stretch>
                      <a:fillRect/>
                    </a:stretch>
                  </pic:blipFill>
                  <pic:spPr>
                    <a:xfrm>
                      <a:off x="0" y="0"/>
                      <a:ext cx="5755640" cy="4295775"/>
                    </a:xfrm>
                    <a:prstGeom prst="rect">
                      <a:avLst/>
                    </a:prstGeom>
                  </pic:spPr>
                </pic:pic>
              </a:graphicData>
            </a:graphic>
          </wp:inline>
        </w:drawing>
      </w:r>
      <w:r w:rsidR="00D65C43" w:rsidRPr="006E4AC9">
        <w:rPr>
          <w:sz w:val="24"/>
          <w:szCs w:val="24"/>
        </w:rPr>
        <w:t xml:space="preserve">Figure </w:t>
      </w:r>
      <w:r w:rsidR="00D65C43" w:rsidRPr="006E4AC9">
        <w:rPr>
          <w:sz w:val="24"/>
          <w:szCs w:val="24"/>
        </w:rPr>
        <w:fldChar w:fldCharType="begin"/>
      </w:r>
      <w:r w:rsidR="00D65C43" w:rsidRPr="006E4AC9">
        <w:rPr>
          <w:sz w:val="24"/>
          <w:szCs w:val="24"/>
        </w:rPr>
        <w:instrText xml:space="preserve"> SEQ Figure \* ARABIC </w:instrText>
      </w:r>
      <w:r w:rsidR="00D65C43" w:rsidRPr="006E4AC9">
        <w:rPr>
          <w:sz w:val="24"/>
          <w:szCs w:val="24"/>
        </w:rPr>
        <w:fldChar w:fldCharType="separate"/>
      </w:r>
      <w:r w:rsidR="000A3C30" w:rsidRPr="006E4AC9">
        <w:rPr>
          <w:noProof/>
          <w:sz w:val="24"/>
          <w:szCs w:val="24"/>
        </w:rPr>
        <w:t>2</w:t>
      </w:r>
      <w:r w:rsidR="00D65C43" w:rsidRPr="006E4AC9">
        <w:rPr>
          <w:sz w:val="24"/>
          <w:szCs w:val="24"/>
        </w:rPr>
        <w:fldChar w:fldCharType="end"/>
      </w:r>
      <w:r w:rsidR="005E169A" w:rsidRPr="006E4AC9">
        <w:rPr>
          <w:rFonts w:eastAsia="SimSun" w:hint="eastAsia"/>
          <w:sz w:val="24"/>
          <w:szCs w:val="24"/>
          <w:lang w:eastAsia="zh-CN"/>
        </w:rPr>
        <w:t xml:space="preserve"> </w:t>
      </w:r>
      <w:r w:rsidR="009F09E9" w:rsidRPr="006E4AC9">
        <w:rPr>
          <w:sz w:val="24"/>
          <w:szCs w:val="24"/>
        </w:rPr>
        <w:t xml:space="preserve">Study </w:t>
      </w:r>
      <w:r w:rsidR="00F202D4" w:rsidRPr="006E4AC9">
        <w:rPr>
          <w:sz w:val="24"/>
          <w:szCs w:val="24"/>
        </w:rPr>
        <w:t>d</w:t>
      </w:r>
      <w:r w:rsidR="009F09E9" w:rsidRPr="006E4AC9">
        <w:rPr>
          <w:sz w:val="24"/>
          <w:szCs w:val="24"/>
        </w:rPr>
        <w:t>esign.</w:t>
      </w:r>
      <w:r w:rsidR="00F202D4" w:rsidRPr="006E4AC9">
        <w:rPr>
          <w:rFonts w:eastAsia="SimSun" w:hint="eastAsia"/>
          <w:sz w:val="24"/>
          <w:szCs w:val="24"/>
          <w:lang w:eastAsia="zh-CN"/>
        </w:rPr>
        <w:t xml:space="preserve"> </w:t>
      </w:r>
      <w:r w:rsidR="000F3ECE" w:rsidRPr="006E4AC9">
        <w:rPr>
          <w:b w:val="0"/>
          <w:sz w:val="24"/>
          <w:szCs w:val="24"/>
        </w:rPr>
        <w:t xml:space="preserve">AIH: </w:t>
      </w:r>
      <w:r w:rsidR="00863C3D" w:rsidRPr="006E4AC9">
        <w:rPr>
          <w:b w:val="0"/>
          <w:caps/>
          <w:sz w:val="24"/>
          <w:szCs w:val="24"/>
        </w:rPr>
        <w:t>a</w:t>
      </w:r>
      <w:r w:rsidR="000F3ECE" w:rsidRPr="006E4AC9">
        <w:rPr>
          <w:b w:val="0"/>
          <w:sz w:val="24"/>
          <w:szCs w:val="24"/>
        </w:rPr>
        <w:t xml:space="preserve">utoimmune hepatitis; </w:t>
      </w:r>
      <w:r w:rsidR="0077156B" w:rsidRPr="006E4AC9">
        <w:rPr>
          <w:b w:val="0"/>
          <w:sz w:val="24"/>
          <w:szCs w:val="24"/>
        </w:rPr>
        <w:t>Eos:</w:t>
      </w:r>
      <w:r w:rsidR="00F202D4" w:rsidRPr="006E4AC9">
        <w:rPr>
          <w:rFonts w:eastAsia="SimSun" w:hint="eastAsia"/>
          <w:b w:val="0"/>
          <w:sz w:val="24"/>
          <w:szCs w:val="24"/>
          <w:lang w:eastAsia="zh-CN"/>
        </w:rPr>
        <w:t xml:space="preserve"> </w:t>
      </w:r>
      <w:r w:rsidR="00863C3D" w:rsidRPr="006E4AC9">
        <w:rPr>
          <w:b w:val="0"/>
          <w:caps/>
          <w:sz w:val="24"/>
          <w:szCs w:val="24"/>
        </w:rPr>
        <w:t>e</w:t>
      </w:r>
      <w:r w:rsidR="009F09E9" w:rsidRPr="006E4AC9">
        <w:rPr>
          <w:b w:val="0"/>
          <w:sz w:val="24"/>
          <w:szCs w:val="24"/>
        </w:rPr>
        <w:t>osinophilic granulocytes</w:t>
      </w:r>
      <w:r w:rsidR="000F3ECE" w:rsidRPr="006E4AC9">
        <w:rPr>
          <w:b w:val="0"/>
          <w:sz w:val="24"/>
          <w:szCs w:val="24"/>
        </w:rPr>
        <w:t>;</w:t>
      </w:r>
      <w:r w:rsidR="009F09E9" w:rsidRPr="006E4AC9">
        <w:rPr>
          <w:b w:val="0"/>
          <w:sz w:val="24"/>
          <w:szCs w:val="24"/>
        </w:rPr>
        <w:t xml:space="preserve"> HPF:</w:t>
      </w:r>
      <w:r w:rsidR="00F202D4" w:rsidRPr="006E4AC9">
        <w:rPr>
          <w:rFonts w:eastAsia="SimSun" w:hint="eastAsia"/>
          <w:b w:val="0"/>
          <w:sz w:val="24"/>
          <w:szCs w:val="24"/>
          <w:lang w:eastAsia="zh-CN"/>
        </w:rPr>
        <w:t xml:space="preserve"> </w:t>
      </w:r>
      <w:r w:rsidR="00863C3D" w:rsidRPr="006E4AC9">
        <w:rPr>
          <w:b w:val="0"/>
          <w:caps/>
          <w:sz w:val="24"/>
          <w:szCs w:val="24"/>
        </w:rPr>
        <w:t>h</w:t>
      </w:r>
      <w:r w:rsidR="00863C3D" w:rsidRPr="006E4AC9">
        <w:rPr>
          <w:b w:val="0"/>
          <w:sz w:val="24"/>
          <w:szCs w:val="24"/>
        </w:rPr>
        <w:t xml:space="preserve">igh power field; PSC: </w:t>
      </w:r>
      <w:r w:rsidR="00863C3D" w:rsidRPr="006E4AC9">
        <w:rPr>
          <w:b w:val="0"/>
          <w:caps/>
          <w:sz w:val="24"/>
          <w:szCs w:val="24"/>
        </w:rPr>
        <w:t>p</w:t>
      </w:r>
      <w:r w:rsidR="000F3ECE" w:rsidRPr="006E4AC9">
        <w:rPr>
          <w:b w:val="0"/>
          <w:sz w:val="24"/>
          <w:szCs w:val="24"/>
        </w:rPr>
        <w:t>rimary sclerosing cholangitis; PBC:</w:t>
      </w:r>
      <w:r w:rsidR="00F202D4" w:rsidRPr="006E4AC9">
        <w:rPr>
          <w:rFonts w:eastAsia="SimSun" w:hint="eastAsia"/>
          <w:b w:val="0"/>
          <w:sz w:val="24"/>
          <w:szCs w:val="24"/>
          <w:lang w:eastAsia="zh-CN"/>
        </w:rPr>
        <w:t xml:space="preserve"> </w:t>
      </w:r>
      <w:r w:rsidR="00863C3D" w:rsidRPr="006E4AC9">
        <w:rPr>
          <w:b w:val="0"/>
          <w:caps/>
          <w:sz w:val="24"/>
          <w:szCs w:val="24"/>
        </w:rPr>
        <w:t>p</w:t>
      </w:r>
      <w:r w:rsidR="00B5422A" w:rsidRPr="006E4AC9">
        <w:rPr>
          <w:b w:val="0"/>
          <w:sz w:val="24"/>
          <w:szCs w:val="24"/>
        </w:rPr>
        <w:t>rimary biliary cirrhosis</w:t>
      </w:r>
      <w:r w:rsidR="005E169A" w:rsidRPr="006E4AC9">
        <w:rPr>
          <w:rFonts w:eastAsia="SimSun" w:hint="eastAsia"/>
          <w:b w:val="0"/>
          <w:sz w:val="24"/>
          <w:szCs w:val="24"/>
          <w:lang w:eastAsia="zh-CN"/>
        </w:rPr>
        <w:t>.</w:t>
      </w:r>
    </w:p>
    <w:p w14:paraId="1224D130" w14:textId="1A6818F2" w:rsidR="005E169A" w:rsidRPr="006E4AC9" w:rsidRDefault="005E169A" w:rsidP="00610593">
      <w:pPr>
        <w:snapToGrid w:val="0"/>
        <w:spacing w:after="0"/>
        <w:rPr>
          <w:szCs w:val="24"/>
        </w:rPr>
      </w:pPr>
      <w:r w:rsidRPr="006E4AC9">
        <w:rPr>
          <w:szCs w:val="24"/>
        </w:rPr>
        <w:br w:type="page"/>
      </w:r>
    </w:p>
    <w:p w14:paraId="2691AEA4" w14:textId="0F3EACCB" w:rsidR="00CC422D" w:rsidRPr="006E4AC9" w:rsidRDefault="005E169A" w:rsidP="00610593">
      <w:pPr>
        <w:widowControl w:val="0"/>
        <w:snapToGrid w:val="0"/>
        <w:spacing w:after="0"/>
        <w:jc w:val="both"/>
        <w:rPr>
          <w:szCs w:val="24"/>
        </w:rPr>
      </w:pPr>
      <w:r w:rsidRPr="006E4AC9">
        <w:rPr>
          <w:noProof/>
          <w:szCs w:val="24"/>
          <w:lang w:eastAsia="zh-CN"/>
        </w:rPr>
        <w:lastRenderedPageBreak/>
        <w:drawing>
          <wp:inline distT="0" distB="0" distL="0" distR="0" wp14:anchorId="770D51A5" wp14:editId="615DF2FE">
            <wp:extent cx="3857867" cy="4761781"/>
            <wp:effectExtent l="0" t="0" r="0" b="1270"/>
            <wp:docPr id="3" name="图片 3" descr="D:\WJG\编稿\WJG加工厂\2016-12-2\30525\EoC_Ms_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6-12-2\30525\EoC_Ms_Figure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9088" cy="4763288"/>
                    </a:xfrm>
                    <a:prstGeom prst="rect">
                      <a:avLst/>
                    </a:prstGeom>
                    <a:noFill/>
                    <a:ln>
                      <a:noFill/>
                    </a:ln>
                  </pic:spPr>
                </pic:pic>
              </a:graphicData>
            </a:graphic>
          </wp:inline>
        </w:drawing>
      </w:r>
    </w:p>
    <w:p w14:paraId="3BC3B449" w14:textId="0BBBA3DE" w:rsidR="00A44C0C" w:rsidRPr="00B22868" w:rsidRDefault="00CC422D" w:rsidP="00610593">
      <w:pPr>
        <w:pStyle w:val="Caption"/>
        <w:widowControl w:val="0"/>
        <w:snapToGrid w:val="0"/>
        <w:spacing w:after="0" w:line="360" w:lineRule="auto"/>
        <w:jc w:val="both"/>
        <w:rPr>
          <w:rFonts w:eastAsia="SimSun"/>
          <w:sz w:val="24"/>
          <w:szCs w:val="24"/>
          <w:lang w:eastAsia="zh-CN"/>
        </w:rPr>
      </w:pPr>
      <w:r w:rsidRPr="006E4AC9">
        <w:rPr>
          <w:sz w:val="24"/>
          <w:szCs w:val="24"/>
        </w:rPr>
        <w:t xml:space="preserve">Figure </w:t>
      </w:r>
      <w:r w:rsidRPr="006E4AC9">
        <w:rPr>
          <w:sz w:val="24"/>
          <w:szCs w:val="24"/>
        </w:rPr>
        <w:fldChar w:fldCharType="begin"/>
      </w:r>
      <w:r w:rsidRPr="006E4AC9">
        <w:rPr>
          <w:sz w:val="24"/>
          <w:szCs w:val="24"/>
        </w:rPr>
        <w:instrText xml:space="preserve"> SEQ Figure \* ARABIC </w:instrText>
      </w:r>
      <w:r w:rsidRPr="006E4AC9">
        <w:rPr>
          <w:sz w:val="24"/>
          <w:szCs w:val="24"/>
        </w:rPr>
        <w:fldChar w:fldCharType="separate"/>
      </w:r>
      <w:r w:rsidR="000A3C30" w:rsidRPr="006E4AC9">
        <w:rPr>
          <w:noProof/>
          <w:sz w:val="24"/>
          <w:szCs w:val="24"/>
        </w:rPr>
        <w:t>3</w:t>
      </w:r>
      <w:r w:rsidRPr="006E4AC9">
        <w:rPr>
          <w:sz w:val="24"/>
          <w:szCs w:val="24"/>
        </w:rPr>
        <w:fldChar w:fldCharType="end"/>
      </w:r>
      <w:r w:rsidR="005E169A" w:rsidRPr="006E4AC9">
        <w:rPr>
          <w:rFonts w:eastAsia="SimSun" w:hint="eastAsia"/>
          <w:sz w:val="24"/>
          <w:szCs w:val="24"/>
          <w:lang w:eastAsia="zh-CN"/>
        </w:rPr>
        <w:t xml:space="preserve"> </w:t>
      </w:r>
      <w:r w:rsidRPr="006E4AC9">
        <w:rPr>
          <w:sz w:val="24"/>
          <w:szCs w:val="24"/>
        </w:rPr>
        <w:t>Infiltration of eosinophilic granulocytes and IgG4 positive plasma cells of patients with eosinophilic cholangitis (A</w:t>
      </w:r>
      <w:r w:rsidR="00B22868" w:rsidRPr="006E4AC9">
        <w:rPr>
          <w:rFonts w:eastAsia="SimSun" w:hint="eastAsia"/>
          <w:sz w:val="24"/>
          <w:szCs w:val="24"/>
          <w:lang w:eastAsia="zh-CN"/>
        </w:rPr>
        <w:t xml:space="preserve"> and </w:t>
      </w:r>
      <w:r w:rsidRPr="006E4AC9">
        <w:rPr>
          <w:sz w:val="24"/>
          <w:szCs w:val="24"/>
        </w:rPr>
        <w:t>B)</w:t>
      </w:r>
      <w:r w:rsidR="005E169A" w:rsidRPr="006E4AC9">
        <w:rPr>
          <w:rFonts w:eastAsia="SimSun" w:hint="eastAsia"/>
          <w:sz w:val="24"/>
          <w:szCs w:val="24"/>
          <w:lang w:eastAsia="zh-CN"/>
        </w:rPr>
        <w:t>;</w:t>
      </w:r>
      <w:r w:rsidRPr="006E4AC9">
        <w:rPr>
          <w:sz w:val="24"/>
          <w:szCs w:val="24"/>
        </w:rPr>
        <w:t xml:space="preserve"> without IgG4 positive plasma cells as well as patients with IgG4-related cholangitis with eosinophilic infiltration (C</w:t>
      </w:r>
      <w:r w:rsidR="00B22868" w:rsidRPr="006E4AC9">
        <w:rPr>
          <w:rFonts w:eastAsia="SimSun" w:hint="eastAsia"/>
          <w:sz w:val="24"/>
          <w:szCs w:val="24"/>
          <w:lang w:eastAsia="zh-CN"/>
        </w:rPr>
        <w:t xml:space="preserve"> and </w:t>
      </w:r>
      <w:r w:rsidRPr="006E4AC9">
        <w:rPr>
          <w:sz w:val="24"/>
          <w:szCs w:val="24"/>
        </w:rPr>
        <w:t>D)</w:t>
      </w:r>
      <w:r w:rsidR="005E169A" w:rsidRPr="006E4AC9">
        <w:rPr>
          <w:rFonts w:eastAsia="SimSun" w:hint="eastAsia"/>
          <w:sz w:val="24"/>
          <w:szCs w:val="24"/>
          <w:lang w:eastAsia="zh-CN"/>
        </w:rPr>
        <w:t>;</w:t>
      </w:r>
      <w:r w:rsidRPr="006E4AC9">
        <w:rPr>
          <w:sz w:val="24"/>
          <w:szCs w:val="24"/>
        </w:rPr>
        <w:t xml:space="preserve"> and without eosinophilic infiltration (</w:t>
      </w:r>
      <w:r w:rsidR="00636028" w:rsidRPr="006E4AC9">
        <w:rPr>
          <w:sz w:val="24"/>
          <w:szCs w:val="24"/>
        </w:rPr>
        <w:t>E</w:t>
      </w:r>
      <w:r w:rsidR="00B22868" w:rsidRPr="006E4AC9">
        <w:rPr>
          <w:rFonts w:eastAsia="SimSun" w:hint="eastAsia"/>
          <w:sz w:val="24"/>
          <w:szCs w:val="24"/>
          <w:lang w:eastAsia="zh-CN"/>
        </w:rPr>
        <w:t xml:space="preserve"> and </w:t>
      </w:r>
      <w:r w:rsidR="00636028" w:rsidRPr="006E4AC9">
        <w:rPr>
          <w:sz w:val="24"/>
          <w:szCs w:val="24"/>
        </w:rPr>
        <w:t>F</w:t>
      </w:r>
      <w:r w:rsidR="005435B6" w:rsidRPr="006E4AC9">
        <w:rPr>
          <w:sz w:val="24"/>
          <w:szCs w:val="24"/>
        </w:rPr>
        <w:t>)</w:t>
      </w:r>
      <w:r w:rsidR="005E169A" w:rsidRPr="006E4AC9">
        <w:rPr>
          <w:rFonts w:eastAsia="SimSun" w:hint="eastAsia"/>
          <w:sz w:val="24"/>
          <w:szCs w:val="24"/>
          <w:lang w:eastAsia="zh-CN"/>
        </w:rPr>
        <w:t>.</w:t>
      </w:r>
      <w:r w:rsidR="00B22868" w:rsidRPr="006E4AC9">
        <w:rPr>
          <w:rFonts w:eastAsia="SimSun" w:hint="eastAsia"/>
          <w:b w:val="0"/>
          <w:sz w:val="24"/>
          <w:szCs w:val="24"/>
          <w:lang w:eastAsia="zh-CN"/>
        </w:rPr>
        <w:t xml:space="preserve"> A, C and E: </w:t>
      </w:r>
      <w:r w:rsidR="00B22868" w:rsidRPr="006E4AC9">
        <w:rPr>
          <w:b w:val="0"/>
          <w:sz w:val="24"/>
          <w:szCs w:val="24"/>
        </w:rPr>
        <w:t>200</w:t>
      </w:r>
      <w:r w:rsidR="00B22868" w:rsidRPr="006E4AC9">
        <w:rPr>
          <w:rFonts w:eastAsia="SimSun" w:hint="eastAsia"/>
          <w:b w:val="0"/>
          <w:sz w:val="24"/>
          <w:szCs w:val="24"/>
          <w:lang w:eastAsia="zh-CN"/>
        </w:rPr>
        <w:t xml:space="preserve"> </w:t>
      </w:r>
      <w:r w:rsidR="00B22868" w:rsidRPr="006E4AC9">
        <w:rPr>
          <w:rFonts w:cs="Times New Roman"/>
          <w:b w:val="0"/>
          <w:sz w:val="24"/>
          <w:szCs w:val="24"/>
        </w:rPr>
        <w:t>×</w:t>
      </w:r>
      <w:r w:rsidR="00B22868" w:rsidRPr="006E4AC9">
        <w:rPr>
          <w:b w:val="0"/>
          <w:sz w:val="24"/>
          <w:szCs w:val="24"/>
        </w:rPr>
        <w:t>, hematoxylin-eosin</w:t>
      </w:r>
      <w:r w:rsidR="00B22868" w:rsidRPr="006E4AC9">
        <w:rPr>
          <w:rFonts w:eastAsia="SimSun" w:hint="eastAsia"/>
          <w:b w:val="0"/>
          <w:sz w:val="24"/>
          <w:szCs w:val="24"/>
          <w:lang w:eastAsia="zh-CN"/>
        </w:rPr>
        <w:t>;</w:t>
      </w:r>
      <w:r w:rsidR="00B131D4" w:rsidRPr="006E4AC9">
        <w:rPr>
          <w:rFonts w:eastAsia="SimSun" w:hint="eastAsia"/>
          <w:b w:val="0"/>
          <w:sz w:val="24"/>
          <w:szCs w:val="24"/>
          <w:lang w:eastAsia="zh-CN"/>
        </w:rPr>
        <w:t xml:space="preserve"> </w:t>
      </w:r>
      <w:r w:rsidR="00B22868" w:rsidRPr="006E4AC9">
        <w:rPr>
          <w:rFonts w:eastAsia="SimSun" w:hint="eastAsia"/>
          <w:b w:val="0"/>
          <w:sz w:val="24"/>
          <w:szCs w:val="24"/>
          <w:lang w:eastAsia="zh-CN"/>
        </w:rPr>
        <w:t xml:space="preserve">B, D and F: </w:t>
      </w:r>
      <w:r w:rsidR="00B22868" w:rsidRPr="006E4AC9">
        <w:rPr>
          <w:b w:val="0"/>
          <w:sz w:val="24"/>
          <w:szCs w:val="24"/>
        </w:rPr>
        <w:t>200</w:t>
      </w:r>
      <w:r w:rsidR="00B22868" w:rsidRPr="006E4AC9">
        <w:rPr>
          <w:rFonts w:eastAsia="SimSun" w:hint="eastAsia"/>
          <w:b w:val="0"/>
          <w:sz w:val="24"/>
          <w:szCs w:val="24"/>
          <w:lang w:eastAsia="zh-CN"/>
        </w:rPr>
        <w:t xml:space="preserve"> </w:t>
      </w:r>
      <w:r w:rsidR="00B22868" w:rsidRPr="006E4AC9">
        <w:rPr>
          <w:rFonts w:cs="Times New Roman"/>
          <w:b w:val="0"/>
          <w:sz w:val="24"/>
          <w:szCs w:val="24"/>
        </w:rPr>
        <w:t>×</w:t>
      </w:r>
      <w:r w:rsidR="00B22868" w:rsidRPr="006E4AC9">
        <w:rPr>
          <w:b w:val="0"/>
          <w:sz w:val="24"/>
          <w:szCs w:val="24"/>
        </w:rPr>
        <w:t>, IgG4-Ab</w:t>
      </w:r>
      <w:r w:rsidR="00B22868" w:rsidRPr="006E4AC9">
        <w:rPr>
          <w:rFonts w:eastAsia="SimSun" w:hint="eastAsia"/>
          <w:b w:val="0"/>
          <w:sz w:val="24"/>
          <w:szCs w:val="24"/>
          <w:lang w:eastAsia="zh-CN"/>
        </w:rPr>
        <w:t>.</w:t>
      </w:r>
    </w:p>
    <w:sectPr w:rsidR="00A44C0C" w:rsidRPr="00B22868" w:rsidSect="004012F6">
      <w:footerReference w:type="default" r:id="rId13"/>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D22DC" w14:textId="77777777" w:rsidR="00583659" w:rsidRDefault="00583659" w:rsidP="000D63FD">
      <w:pPr>
        <w:spacing w:after="0" w:line="240" w:lineRule="auto"/>
      </w:pPr>
      <w:r>
        <w:separator/>
      </w:r>
    </w:p>
  </w:endnote>
  <w:endnote w:type="continuationSeparator" w:id="0">
    <w:p w14:paraId="475BA8AF" w14:textId="77777777" w:rsidR="00583659" w:rsidRDefault="00583659" w:rsidP="000D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334017"/>
      <w:docPartObj>
        <w:docPartGallery w:val="Page Numbers (Bottom of Page)"/>
        <w:docPartUnique/>
      </w:docPartObj>
    </w:sdtPr>
    <w:sdtEndPr/>
    <w:sdtContent>
      <w:p w14:paraId="5A8E5E88" w14:textId="401D9143" w:rsidR="00A1500F" w:rsidRDefault="00A1500F">
        <w:pPr>
          <w:pStyle w:val="Footer"/>
          <w:jc w:val="right"/>
        </w:pPr>
        <w:r>
          <w:fldChar w:fldCharType="begin"/>
        </w:r>
        <w:r>
          <w:instrText>PAGE   \* MERGEFORMAT</w:instrText>
        </w:r>
        <w:r>
          <w:fldChar w:fldCharType="separate"/>
        </w:r>
        <w:r w:rsidR="00491FDF" w:rsidRPr="00491FDF">
          <w:rPr>
            <w:noProof/>
            <w:lang w:val="de-DE"/>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B6E9F" w14:textId="77777777" w:rsidR="00583659" w:rsidRDefault="00583659" w:rsidP="000D63FD">
      <w:pPr>
        <w:spacing w:after="0" w:line="240" w:lineRule="auto"/>
      </w:pPr>
      <w:r>
        <w:separator/>
      </w:r>
    </w:p>
  </w:footnote>
  <w:footnote w:type="continuationSeparator" w:id="0">
    <w:p w14:paraId="5C4BC378" w14:textId="77777777" w:rsidR="00583659" w:rsidRDefault="00583659" w:rsidP="000D63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33901"/>
    <w:multiLevelType w:val="hybridMultilevel"/>
    <w:tmpl w:val="C65C4186"/>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2A466971"/>
    <w:multiLevelType w:val="hybridMultilevel"/>
    <w:tmpl w:val="2DB25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4827C0"/>
    <w:multiLevelType w:val="hybridMultilevel"/>
    <w:tmpl w:val="20B2C55C"/>
    <w:lvl w:ilvl="0" w:tplc="149A9F9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AE319D"/>
    <w:multiLevelType w:val="hybridMultilevel"/>
    <w:tmpl w:val="C65C4186"/>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53036E8F"/>
    <w:multiLevelType w:val="hybridMultilevel"/>
    <w:tmpl w:val="E00CE0F0"/>
    <w:lvl w:ilvl="0" w:tplc="5A7E2AAE">
      <w:start w:val="50"/>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4A2BBA"/>
    <w:multiLevelType w:val="hybridMultilevel"/>
    <w:tmpl w:val="35020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28420F"/>
    <w:multiLevelType w:val="hybridMultilevel"/>
    <w:tmpl w:val="6DDAACE4"/>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74E53E17"/>
    <w:multiLevelType w:val="hybridMultilevel"/>
    <w:tmpl w:val="8AB6D2DA"/>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 w:numId="2">
    <w:abstractNumId w:val="7"/>
  </w:num>
  <w:num w:numId="3">
    <w:abstractNumId w:val="6"/>
  </w:num>
  <w:num w:numId="4">
    <w:abstractNumId w:val="3"/>
  </w:num>
  <w:num w:numId="5">
    <w:abstractNumId w:val="4"/>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B"/>
    <w:rsid w:val="00000204"/>
    <w:rsid w:val="00000AC0"/>
    <w:rsid w:val="00000F02"/>
    <w:rsid w:val="000229D3"/>
    <w:rsid w:val="000252EC"/>
    <w:rsid w:val="00032B31"/>
    <w:rsid w:val="00032D29"/>
    <w:rsid w:val="000422F6"/>
    <w:rsid w:val="000547D8"/>
    <w:rsid w:val="0006601D"/>
    <w:rsid w:val="00070CBF"/>
    <w:rsid w:val="00076A95"/>
    <w:rsid w:val="00080357"/>
    <w:rsid w:val="0008323E"/>
    <w:rsid w:val="000836DF"/>
    <w:rsid w:val="000A3C30"/>
    <w:rsid w:val="000B30F6"/>
    <w:rsid w:val="000C05A9"/>
    <w:rsid w:val="000C140B"/>
    <w:rsid w:val="000C208A"/>
    <w:rsid w:val="000C7E41"/>
    <w:rsid w:val="000D41BA"/>
    <w:rsid w:val="000D48E3"/>
    <w:rsid w:val="000D63FD"/>
    <w:rsid w:val="000E59D7"/>
    <w:rsid w:val="000F3C7D"/>
    <w:rsid w:val="000F3ECE"/>
    <w:rsid w:val="00100F27"/>
    <w:rsid w:val="0010182B"/>
    <w:rsid w:val="00102A50"/>
    <w:rsid w:val="00102CED"/>
    <w:rsid w:val="00120D7B"/>
    <w:rsid w:val="001224A1"/>
    <w:rsid w:val="00135D23"/>
    <w:rsid w:val="00136C62"/>
    <w:rsid w:val="001430CC"/>
    <w:rsid w:val="0014789F"/>
    <w:rsid w:val="0015287B"/>
    <w:rsid w:val="00166091"/>
    <w:rsid w:val="0016755B"/>
    <w:rsid w:val="0017036E"/>
    <w:rsid w:val="00180B4D"/>
    <w:rsid w:val="0019794A"/>
    <w:rsid w:val="00197DB7"/>
    <w:rsid w:val="001A0A7C"/>
    <w:rsid w:val="001A452E"/>
    <w:rsid w:val="001B65FE"/>
    <w:rsid w:val="001C56C8"/>
    <w:rsid w:val="001D51FB"/>
    <w:rsid w:val="001D6FF5"/>
    <w:rsid w:val="001E272A"/>
    <w:rsid w:val="001F227E"/>
    <w:rsid w:val="0021155A"/>
    <w:rsid w:val="0022226D"/>
    <w:rsid w:val="00222896"/>
    <w:rsid w:val="00245725"/>
    <w:rsid w:val="00250D9D"/>
    <w:rsid w:val="0025189C"/>
    <w:rsid w:val="00256264"/>
    <w:rsid w:val="0026131D"/>
    <w:rsid w:val="002619A7"/>
    <w:rsid w:val="00262B53"/>
    <w:rsid w:val="00263A21"/>
    <w:rsid w:val="00283821"/>
    <w:rsid w:val="002B364D"/>
    <w:rsid w:val="002D74CE"/>
    <w:rsid w:val="002F273E"/>
    <w:rsid w:val="002F5DF8"/>
    <w:rsid w:val="0030050D"/>
    <w:rsid w:val="0030138D"/>
    <w:rsid w:val="00301737"/>
    <w:rsid w:val="00302443"/>
    <w:rsid w:val="00306056"/>
    <w:rsid w:val="003066AF"/>
    <w:rsid w:val="00310031"/>
    <w:rsid w:val="0031329E"/>
    <w:rsid w:val="0031697E"/>
    <w:rsid w:val="00320704"/>
    <w:rsid w:val="00326738"/>
    <w:rsid w:val="00327CC1"/>
    <w:rsid w:val="00330215"/>
    <w:rsid w:val="00332BE6"/>
    <w:rsid w:val="003439D9"/>
    <w:rsid w:val="00350FA4"/>
    <w:rsid w:val="00351310"/>
    <w:rsid w:val="003674FA"/>
    <w:rsid w:val="003703E3"/>
    <w:rsid w:val="00374F81"/>
    <w:rsid w:val="00376708"/>
    <w:rsid w:val="00377EFA"/>
    <w:rsid w:val="00390051"/>
    <w:rsid w:val="003A3C90"/>
    <w:rsid w:val="003A4B6A"/>
    <w:rsid w:val="003A52DD"/>
    <w:rsid w:val="003C549D"/>
    <w:rsid w:val="003D085B"/>
    <w:rsid w:val="003D0BC6"/>
    <w:rsid w:val="003E012A"/>
    <w:rsid w:val="003E0999"/>
    <w:rsid w:val="003E3EFD"/>
    <w:rsid w:val="003E4AF9"/>
    <w:rsid w:val="003F79E9"/>
    <w:rsid w:val="004012F6"/>
    <w:rsid w:val="004061E7"/>
    <w:rsid w:val="004117A2"/>
    <w:rsid w:val="00411D43"/>
    <w:rsid w:val="00416E8C"/>
    <w:rsid w:val="00422E0E"/>
    <w:rsid w:val="00423950"/>
    <w:rsid w:val="00425037"/>
    <w:rsid w:val="00426865"/>
    <w:rsid w:val="0043357E"/>
    <w:rsid w:val="00437BFA"/>
    <w:rsid w:val="00444660"/>
    <w:rsid w:val="00447FA8"/>
    <w:rsid w:val="00454B49"/>
    <w:rsid w:val="0046100B"/>
    <w:rsid w:val="004711E6"/>
    <w:rsid w:val="004738A6"/>
    <w:rsid w:val="00480E33"/>
    <w:rsid w:val="00491FDF"/>
    <w:rsid w:val="00497D93"/>
    <w:rsid w:val="004A0FE5"/>
    <w:rsid w:val="004A2F79"/>
    <w:rsid w:val="004A33EB"/>
    <w:rsid w:val="004B002C"/>
    <w:rsid w:val="004B451A"/>
    <w:rsid w:val="004B4A34"/>
    <w:rsid w:val="004C398D"/>
    <w:rsid w:val="004C4FD5"/>
    <w:rsid w:val="004C6F99"/>
    <w:rsid w:val="004D4679"/>
    <w:rsid w:val="004D4B53"/>
    <w:rsid w:val="004E192E"/>
    <w:rsid w:val="004E320A"/>
    <w:rsid w:val="004E3582"/>
    <w:rsid w:val="004F5DC9"/>
    <w:rsid w:val="00500F46"/>
    <w:rsid w:val="005127D7"/>
    <w:rsid w:val="0052500A"/>
    <w:rsid w:val="00527A91"/>
    <w:rsid w:val="00531320"/>
    <w:rsid w:val="00533D2E"/>
    <w:rsid w:val="00536FB8"/>
    <w:rsid w:val="005435B6"/>
    <w:rsid w:val="00543B4D"/>
    <w:rsid w:val="00557EC3"/>
    <w:rsid w:val="00583659"/>
    <w:rsid w:val="005916E1"/>
    <w:rsid w:val="00595EA9"/>
    <w:rsid w:val="005A0673"/>
    <w:rsid w:val="005A34EA"/>
    <w:rsid w:val="005A6BC2"/>
    <w:rsid w:val="005B4D2D"/>
    <w:rsid w:val="005C2AA0"/>
    <w:rsid w:val="005C5F6A"/>
    <w:rsid w:val="005C7BD3"/>
    <w:rsid w:val="005E169A"/>
    <w:rsid w:val="005E3192"/>
    <w:rsid w:val="00600172"/>
    <w:rsid w:val="0060249B"/>
    <w:rsid w:val="00610593"/>
    <w:rsid w:val="006115C4"/>
    <w:rsid w:val="00614A5F"/>
    <w:rsid w:val="00624CC4"/>
    <w:rsid w:val="00627882"/>
    <w:rsid w:val="00631883"/>
    <w:rsid w:val="006325F5"/>
    <w:rsid w:val="006343D8"/>
    <w:rsid w:val="00636028"/>
    <w:rsid w:val="00640FCF"/>
    <w:rsid w:val="00651574"/>
    <w:rsid w:val="00663DA1"/>
    <w:rsid w:val="00664C7D"/>
    <w:rsid w:val="00665018"/>
    <w:rsid w:val="00677285"/>
    <w:rsid w:val="00683F34"/>
    <w:rsid w:val="0069586E"/>
    <w:rsid w:val="006A1301"/>
    <w:rsid w:val="006A26B2"/>
    <w:rsid w:val="006A4690"/>
    <w:rsid w:val="006A5076"/>
    <w:rsid w:val="006B0964"/>
    <w:rsid w:val="006B5B8D"/>
    <w:rsid w:val="006B5EAB"/>
    <w:rsid w:val="006B7ADA"/>
    <w:rsid w:val="006C0A17"/>
    <w:rsid w:val="006C1A6E"/>
    <w:rsid w:val="006C4E43"/>
    <w:rsid w:val="006D37FC"/>
    <w:rsid w:val="006E4AC9"/>
    <w:rsid w:val="006E4F47"/>
    <w:rsid w:val="006E62C9"/>
    <w:rsid w:val="006F025A"/>
    <w:rsid w:val="006F06A1"/>
    <w:rsid w:val="0071745B"/>
    <w:rsid w:val="00720555"/>
    <w:rsid w:val="00721FDB"/>
    <w:rsid w:val="007234BD"/>
    <w:rsid w:val="00725862"/>
    <w:rsid w:val="00730FE6"/>
    <w:rsid w:val="007458E7"/>
    <w:rsid w:val="00754038"/>
    <w:rsid w:val="0077156B"/>
    <w:rsid w:val="007802E8"/>
    <w:rsid w:val="00786319"/>
    <w:rsid w:val="00787A29"/>
    <w:rsid w:val="00787FF9"/>
    <w:rsid w:val="007939EB"/>
    <w:rsid w:val="007A54F3"/>
    <w:rsid w:val="007B6822"/>
    <w:rsid w:val="007C4D51"/>
    <w:rsid w:val="007D5070"/>
    <w:rsid w:val="007D64F2"/>
    <w:rsid w:val="007D6EE2"/>
    <w:rsid w:val="007E2027"/>
    <w:rsid w:val="007E532B"/>
    <w:rsid w:val="007E714C"/>
    <w:rsid w:val="007F3F38"/>
    <w:rsid w:val="007F570C"/>
    <w:rsid w:val="0081211A"/>
    <w:rsid w:val="008142A7"/>
    <w:rsid w:val="008170AC"/>
    <w:rsid w:val="00822620"/>
    <w:rsid w:val="0082602D"/>
    <w:rsid w:val="0082624D"/>
    <w:rsid w:val="00826CBE"/>
    <w:rsid w:val="0083340D"/>
    <w:rsid w:val="00834229"/>
    <w:rsid w:val="008344C2"/>
    <w:rsid w:val="008373B3"/>
    <w:rsid w:val="008378BB"/>
    <w:rsid w:val="008404D4"/>
    <w:rsid w:val="00840EEB"/>
    <w:rsid w:val="008412AA"/>
    <w:rsid w:val="00853850"/>
    <w:rsid w:val="00861890"/>
    <w:rsid w:val="00863C3D"/>
    <w:rsid w:val="0086404F"/>
    <w:rsid w:val="00874E3F"/>
    <w:rsid w:val="008A1F90"/>
    <w:rsid w:val="008C1638"/>
    <w:rsid w:val="008C2014"/>
    <w:rsid w:val="008C32ED"/>
    <w:rsid w:val="008E09A1"/>
    <w:rsid w:val="008E6FBE"/>
    <w:rsid w:val="009000A5"/>
    <w:rsid w:val="00916F1E"/>
    <w:rsid w:val="00925F57"/>
    <w:rsid w:val="009269B0"/>
    <w:rsid w:val="00933281"/>
    <w:rsid w:val="00945C6D"/>
    <w:rsid w:val="0094659B"/>
    <w:rsid w:val="009475CC"/>
    <w:rsid w:val="00951902"/>
    <w:rsid w:val="00952604"/>
    <w:rsid w:val="00957A59"/>
    <w:rsid w:val="00961AD2"/>
    <w:rsid w:val="00964F86"/>
    <w:rsid w:val="00971ED8"/>
    <w:rsid w:val="00982630"/>
    <w:rsid w:val="00982D6B"/>
    <w:rsid w:val="00985AA7"/>
    <w:rsid w:val="00990AB8"/>
    <w:rsid w:val="009A12F3"/>
    <w:rsid w:val="009A3D53"/>
    <w:rsid w:val="009A5DCF"/>
    <w:rsid w:val="009A6B9B"/>
    <w:rsid w:val="009C0325"/>
    <w:rsid w:val="009C46A5"/>
    <w:rsid w:val="009C72C7"/>
    <w:rsid w:val="009C77BE"/>
    <w:rsid w:val="009D1631"/>
    <w:rsid w:val="009D1C7E"/>
    <w:rsid w:val="009D2944"/>
    <w:rsid w:val="009D48CD"/>
    <w:rsid w:val="009D4E78"/>
    <w:rsid w:val="009D6647"/>
    <w:rsid w:val="009E06BD"/>
    <w:rsid w:val="009E5740"/>
    <w:rsid w:val="009F09E9"/>
    <w:rsid w:val="009F4756"/>
    <w:rsid w:val="00A02EAD"/>
    <w:rsid w:val="00A02FAE"/>
    <w:rsid w:val="00A03F4B"/>
    <w:rsid w:val="00A14252"/>
    <w:rsid w:val="00A1500F"/>
    <w:rsid w:val="00A17F55"/>
    <w:rsid w:val="00A21C0F"/>
    <w:rsid w:val="00A32B7B"/>
    <w:rsid w:val="00A32E96"/>
    <w:rsid w:val="00A42BAD"/>
    <w:rsid w:val="00A44C0C"/>
    <w:rsid w:val="00A44C78"/>
    <w:rsid w:val="00A44D1A"/>
    <w:rsid w:val="00A50890"/>
    <w:rsid w:val="00A6329E"/>
    <w:rsid w:val="00A7079A"/>
    <w:rsid w:val="00A93239"/>
    <w:rsid w:val="00A93735"/>
    <w:rsid w:val="00A9754B"/>
    <w:rsid w:val="00AA038F"/>
    <w:rsid w:val="00AA34B5"/>
    <w:rsid w:val="00AA3AF0"/>
    <w:rsid w:val="00AA5335"/>
    <w:rsid w:val="00AA623A"/>
    <w:rsid w:val="00AA6B0C"/>
    <w:rsid w:val="00AA76B1"/>
    <w:rsid w:val="00AB0A69"/>
    <w:rsid w:val="00AC188D"/>
    <w:rsid w:val="00AC3154"/>
    <w:rsid w:val="00AD0A81"/>
    <w:rsid w:val="00AD115C"/>
    <w:rsid w:val="00AD41D9"/>
    <w:rsid w:val="00AE42B1"/>
    <w:rsid w:val="00AF5D80"/>
    <w:rsid w:val="00B0091B"/>
    <w:rsid w:val="00B049B1"/>
    <w:rsid w:val="00B131D4"/>
    <w:rsid w:val="00B16228"/>
    <w:rsid w:val="00B204DE"/>
    <w:rsid w:val="00B207F3"/>
    <w:rsid w:val="00B22868"/>
    <w:rsid w:val="00B23CFE"/>
    <w:rsid w:val="00B24008"/>
    <w:rsid w:val="00B364A5"/>
    <w:rsid w:val="00B40498"/>
    <w:rsid w:val="00B46D5A"/>
    <w:rsid w:val="00B5422A"/>
    <w:rsid w:val="00B723AC"/>
    <w:rsid w:val="00B75D6F"/>
    <w:rsid w:val="00B862E2"/>
    <w:rsid w:val="00B9605E"/>
    <w:rsid w:val="00BB68F6"/>
    <w:rsid w:val="00BB7094"/>
    <w:rsid w:val="00BC1E28"/>
    <w:rsid w:val="00BC26F7"/>
    <w:rsid w:val="00BD76DA"/>
    <w:rsid w:val="00BE1BD4"/>
    <w:rsid w:val="00BF2AE4"/>
    <w:rsid w:val="00BF2FBB"/>
    <w:rsid w:val="00BF5C83"/>
    <w:rsid w:val="00C0289B"/>
    <w:rsid w:val="00C03352"/>
    <w:rsid w:val="00C13CE7"/>
    <w:rsid w:val="00C17583"/>
    <w:rsid w:val="00C3526B"/>
    <w:rsid w:val="00C400A8"/>
    <w:rsid w:val="00C4428D"/>
    <w:rsid w:val="00C459F2"/>
    <w:rsid w:val="00C51DC6"/>
    <w:rsid w:val="00C55D92"/>
    <w:rsid w:val="00C71258"/>
    <w:rsid w:val="00C71EA4"/>
    <w:rsid w:val="00C72476"/>
    <w:rsid w:val="00C8116E"/>
    <w:rsid w:val="00C81988"/>
    <w:rsid w:val="00C96CBC"/>
    <w:rsid w:val="00C96CEB"/>
    <w:rsid w:val="00CA6E79"/>
    <w:rsid w:val="00CB1169"/>
    <w:rsid w:val="00CB4A07"/>
    <w:rsid w:val="00CC422D"/>
    <w:rsid w:val="00CD24C7"/>
    <w:rsid w:val="00CE0390"/>
    <w:rsid w:val="00CE0962"/>
    <w:rsid w:val="00CE1C80"/>
    <w:rsid w:val="00CE5EA9"/>
    <w:rsid w:val="00CE7176"/>
    <w:rsid w:val="00CF3C04"/>
    <w:rsid w:val="00CF5556"/>
    <w:rsid w:val="00CF720D"/>
    <w:rsid w:val="00CF7C18"/>
    <w:rsid w:val="00D0544F"/>
    <w:rsid w:val="00D070B9"/>
    <w:rsid w:val="00D21AC6"/>
    <w:rsid w:val="00D2525A"/>
    <w:rsid w:val="00D31030"/>
    <w:rsid w:val="00D36880"/>
    <w:rsid w:val="00D37E9A"/>
    <w:rsid w:val="00D43ADD"/>
    <w:rsid w:val="00D45BFD"/>
    <w:rsid w:val="00D5299C"/>
    <w:rsid w:val="00D53500"/>
    <w:rsid w:val="00D56697"/>
    <w:rsid w:val="00D6178A"/>
    <w:rsid w:val="00D65C43"/>
    <w:rsid w:val="00D740BB"/>
    <w:rsid w:val="00D76DAA"/>
    <w:rsid w:val="00D867AA"/>
    <w:rsid w:val="00D9783D"/>
    <w:rsid w:val="00D97B02"/>
    <w:rsid w:val="00DA01EA"/>
    <w:rsid w:val="00DB2516"/>
    <w:rsid w:val="00DB26B8"/>
    <w:rsid w:val="00DC069F"/>
    <w:rsid w:val="00DC0FB1"/>
    <w:rsid w:val="00DC13AF"/>
    <w:rsid w:val="00DC503E"/>
    <w:rsid w:val="00DD0966"/>
    <w:rsid w:val="00DD1A3F"/>
    <w:rsid w:val="00DD1EF7"/>
    <w:rsid w:val="00DD2829"/>
    <w:rsid w:val="00DE16AC"/>
    <w:rsid w:val="00DE46F5"/>
    <w:rsid w:val="00DE5CB3"/>
    <w:rsid w:val="00DE6C9E"/>
    <w:rsid w:val="00DF74D1"/>
    <w:rsid w:val="00DF7F5C"/>
    <w:rsid w:val="00E03C1F"/>
    <w:rsid w:val="00E03CBF"/>
    <w:rsid w:val="00E066A0"/>
    <w:rsid w:val="00E0744A"/>
    <w:rsid w:val="00E22ABF"/>
    <w:rsid w:val="00E23E9B"/>
    <w:rsid w:val="00E30086"/>
    <w:rsid w:val="00E30B8C"/>
    <w:rsid w:val="00E36C56"/>
    <w:rsid w:val="00E402D1"/>
    <w:rsid w:val="00E4286D"/>
    <w:rsid w:val="00E476B3"/>
    <w:rsid w:val="00E548B1"/>
    <w:rsid w:val="00E55438"/>
    <w:rsid w:val="00E609F4"/>
    <w:rsid w:val="00E663FB"/>
    <w:rsid w:val="00E75384"/>
    <w:rsid w:val="00E82A05"/>
    <w:rsid w:val="00E839F2"/>
    <w:rsid w:val="00E96723"/>
    <w:rsid w:val="00EA0612"/>
    <w:rsid w:val="00EA1BED"/>
    <w:rsid w:val="00EA3350"/>
    <w:rsid w:val="00EC42D0"/>
    <w:rsid w:val="00EC50B7"/>
    <w:rsid w:val="00EC6428"/>
    <w:rsid w:val="00EC78F5"/>
    <w:rsid w:val="00ED46B1"/>
    <w:rsid w:val="00ED672C"/>
    <w:rsid w:val="00EE429F"/>
    <w:rsid w:val="00EE4740"/>
    <w:rsid w:val="00EE7330"/>
    <w:rsid w:val="00F07DBB"/>
    <w:rsid w:val="00F07FAA"/>
    <w:rsid w:val="00F202D4"/>
    <w:rsid w:val="00F22AA9"/>
    <w:rsid w:val="00F25E59"/>
    <w:rsid w:val="00F3182F"/>
    <w:rsid w:val="00F47122"/>
    <w:rsid w:val="00F50C0C"/>
    <w:rsid w:val="00F745C4"/>
    <w:rsid w:val="00F771C6"/>
    <w:rsid w:val="00F837EC"/>
    <w:rsid w:val="00F86B05"/>
    <w:rsid w:val="00F91DEE"/>
    <w:rsid w:val="00FC01A2"/>
    <w:rsid w:val="00FC06D4"/>
    <w:rsid w:val="00FD247B"/>
    <w:rsid w:val="00FE53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E0C033"/>
  <w14:defaultImageDpi w14:val="300"/>
  <w15:docId w15:val="{94946CA8-6CD4-4927-8FC7-8124BBFD0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D43"/>
    <w:pPr>
      <w:spacing w:after="200" w:line="360" w:lineRule="auto"/>
    </w:pPr>
    <w:rPr>
      <w:rFonts w:ascii="Book Antiqua" w:hAnsi="Book Antiqua"/>
      <w:szCs w:val="22"/>
      <w:lang w:val="en-US"/>
    </w:rPr>
  </w:style>
  <w:style w:type="paragraph" w:styleId="Heading1">
    <w:name w:val="heading 1"/>
    <w:basedOn w:val="Normal"/>
    <w:next w:val="Normal"/>
    <w:link w:val="Heading1Char"/>
    <w:uiPriority w:val="9"/>
    <w:qFormat/>
    <w:rsid w:val="005C7BD3"/>
    <w:pPr>
      <w:keepNext/>
      <w:keepLines/>
      <w:pageBreakBefore/>
      <w:spacing w:before="480" w:after="120"/>
      <w:outlineLvl w:val="0"/>
    </w:pPr>
    <w:rPr>
      <w:rFonts w:ascii="Arial" w:eastAsiaTheme="majorEastAsia" w:hAnsi="Arial"/>
      <w:b/>
      <w:bCs/>
      <w:sz w:val="28"/>
      <w:szCs w:val="28"/>
    </w:rPr>
  </w:style>
  <w:style w:type="paragraph" w:styleId="Heading2">
    <w:name w:val="heading 2"/>
    <w:basedOn w:val="Normal"/>
    <w:next w:val="Normal"/>
    <w:link w:val="Heading2Char"/>
    <w:uiPriority w:val="9"/>
    <w:unhideWhenUsed/>
    <w:qFormat/>
    <w:rsid w:val="00595EA9"/>
    <w:pPr>
      <w:keepNext/>
      <w:keepLines/>
      <w:spacing w:before="240" w:after="120"/>
      <w:outlineLvl w:val="1"/>
    </w:pPr>
    <w:rPr>
      <w:rFonts w:ascii="Arial" w:eastAsiaTheme="majorEastAsia" w:hAnsi="Arial"/>
      <w:b/>
      <w:bCs/>
      <w:szCs w:val="26"/>
    </w:rPr>
  </w:style>
  <w:style w:type="paragraph" w:styleId="Heading3">
    <w:name w:val="heading 3"/>
    <w:basedOn w:val="Normal"/>
    <w:next w:val="Normal"/>
    <w:link w:val="Heading3Char"/>
    <w:uiPriority w:val="9"/>
    <w:semiHidden/>
    <w:unhideWhenUsed/>
    <w:qFormat/>
    <w:rsid w:val="005C7BD3"/>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5C7BD3"/>
    <w:pPr>
      <w:keepNext/>
      <w:keepLines/>
      <w:spacing w:before="200" w:after="0"/>
      <w:outlineLvl w:val="3"/>
    </w:pPr>
    <w:rPr>
      <w:rFonts w:eastAsiaTheme="majorEastAsia"/>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BD3"/>
    <w:rPr>
      <w:rFonts w:ascii="Arial" w:eastAsiaTheme="majorEastAsia" w:hAnsi="Arial"/>
      <w:b/>
      <w:bCs/>
      <w:sz w:val="28"/>
      <w:szCs w:val="28"/>
    </w:rPr>
  </w:style>
  <w:style w:type="character" w:customStyle="1" w:styleId="Heading2Char">
    <w:name w:val="Heading 2 Char"/>
    <w:basedOn w:val="DefaultParagraphFont"/>
    <w:link w:val="Heading2"/>
    <w:uiPriority w:val="9"/>
    <w:rsid w:val="00595EA9"/>
    <w:rPr>
      <w:rFonts w:ascii="Arial" w:eastAsiaTheme="majorEastAsia" w:hAnsi="Arial"/>
      <w:b/>
      <w:bCs/>
      <w:szCs w:val="26"/>
      <w:lang w:val="en-US"/>
    </w:rPr>
  </w:style>
  <w:style w:type="character" w:customStyle="1" w:styleId="Heading3Char">
    <w:name w:val="Heading 3 Char"/>
    <w:basedOn w:val="DefaultParagraphFont"/>
    <w:link w:val="Heading3"/>
    <w:uiPriority w:val="9"/>
    <w:semiHidden/>
    <w:rsid w:val="005C7BD3"/>
    <w:rPr>
      <w:rFonts w:asciiTheme="majorHAnsi" w:eastAsiaTheme="majorEastAsia" w:hAnsiTheme="majorHAnsi" w:cstheme="majorBidi"/>
      <w:b/>
      <w:bCs/>
      <w:color w:val="4F81BD" w:themeColor="accent1"/>
      <w:szCs w:val="22"/>
    </w:rPr>
  </w:style>
  <w:style w:type="character" w:customStyle="1" w:styleId="Heading4Char">
    <w:name w:val="Heading 4 Char"/>
    <w:basedOn w:val="DefaultParagraphFont"/>
    <w:link w:val="Heading4"/>
    <w:uiPriority w:val="9"/>
    <w:semiHidden/>
    <w:rsid w:val="005C7BD3"/>
    <w:rPr>
      <w:rFonts w:asciiTheme="majorHAnsi" w:eastAsiaTheme="majorEastAsia" w:hAnsiTheme="majorHAnsi"/>
      <w:b/>
      <w:bCs/>
      <w:i/>
      <w:iCs/>
      <w:color w:val="4F81BD" w:themeColor="accent1"/>
      <w:szCs w:val="22"/>
    </w:rPr>
  </w:style>
  <w:style w:type="paragraph" w:styleId="ListParagraph">
    <w:name w:val="List Paragraph"/>
    <w:basedOn w:val="Normal"/>
    <w:uiPriority w:val="34"/>
    <w:qFormat/>
    <w:rsid w:val="005C7BD3"/>
    <w:pPr>
      <w:ind w:left="720"/>
      <w:contextualSpacing/>
    </w:pPr>
  </w:style>
  <w:style w:type="paragraph" w:styleId="Title">
    <w:name w:val="Title"/>
    <w:basedOn w:val="Normal"/>
    <w:next w:val="Normal"/>
    <w:link w:val="TitleChar"/>
    <w:uiPriority w:val="10"/>
    <w:qFormat/>
    <w:rsid w:val="005C7BD3"/>
    <w:pPr>
      <w:pBdr>
        <w:bottom w:val="single" w:sz="8" w:space="4" w:color="4F81BD" w:themeColor="accent1"/>
      </w:pBdr>
      <w:spacing w:before="240" w:after="240" w:line="240" w:lineRule="auto"/>
      <w:contextualSpacing/>
    </w:pPr>
    <w:rPr>
      <w:rFonts w:ascii="Arial" w:eastAsiaTheme="majorEastAsia" w:hAnsi="Arial"/>
      <w:spacing w:val="5"/>
      <w:kern w:val="28"/>
      <w:sz w:val="40"/>
      <w:szCs w:val="52"/>
    </w:rPr>
  </w:style>
  <w:style w:type="character" w:customStyle="1" w:styleId="TitleChar">
    <w:name w:val="Title Char"/>
    <w:basedOn w:val="DefaultParagraphFont"/>
    <w:link w:val="Title"/>
    <w:uiPriority w:val="10"/>
    <w:rsid w:val="005C7BD3"/>
    <w:rPr>
      <w:rFonts w:ascii="Arial" w:eastAsiaTheme="majorEastAsia" w:hAnsi="Arial"/>
      <w:spacing w:val="5"/>
      <w:kern w:val="28"/>
      <w:sz w:val="40"/>
      <w:szCs w:val="52"/>
    </w:rPr>
  </w:style>
  <w:style w:type="paragraph" w:styleId="Header">
    <w:name w:val="header"/>
    <w:basedOn w:val="Normal"/>
    <w:link w:val="HeaderChar"/>
    <w:uiPriority w:val="99"/>
    <w:unhideWhenUsed/>
    <w:rsid w:val="005C7B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7BD3"/>
    <w:rPr>
      <w:szCs w:val="22"/>
    </w:rPr>
  </w:style>
  <w:style w:type="paragraph" w:styleId="Footer">
    <w:name w:val="footer"/>
    <w:basedOn w:val="Normal"/>
    <w:link w:val="FooterChar"/>
    <w:uiPriority w:val="99"/>
    <w:unhideWhenUsed/>
    <w:rsid w:val="005C7B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7BD3"/>
    <w:rPr>
      <w:szCs w:val="22"/>
    </w:rPr>
  </w:style>
  <w:style w:type="table" w:styleId="TableGrid">
    <w:name w:val="Table Grid"/>
    <w:basedOn w:val="TableNormal"/>
    <w:uiPriority w:val="39"/>
    <w:rsid w:val="005C7BD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C7BD3"/>
    <w:pPr>
      <w:spacing w:before="60" w:after="60"/>
    </w:pPr>
    <w:rPr>
      <w:rFonts w:cs="Times New Roman"/>
      <w:sz w:val="18"/>
      <w:szCs w:val="22"/>
    </w:rPr>
  </w:style>
  <w:style w:type="character" w:customStyle="1" w:styleId="NoSpacingChar">
    <w:name w:val="No Spacing Char"/>
    <w:basedOn w:val="DefaultParagraphFont"/>
    <w:link w:val="NoSpacing"/>
    <w:uiPriority w:val="1"/>
    <w:locked/>
    <w:rsid w:val="005C7BD3"/>
    <w:rPr>
      <w:rFonts w:cs="Times New Roman"/>
      <w:sz w:val="18"/>
      <w:szCs w:val="22"/>
    </w:rPr>
  </w:style>
  <w:style w:type="paragraph" w:styleId="BalloonText">
    <w:name w:val="Balloon Text"/>
    <w:basedOn w:val="Normal"/>
    <w:link w:val="BalloonTextChar"/>
    <w:uiPriority w:val="99"/>
    <w:semiHidden/>
    <w:unhideWhenUsed/>
    <w:rsid w:val="005C7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BD3"/>
    <w:rPr>
      <w:rFonts w:ascii="Tahoma" w:hAnsi="Tahoma" w:cs="Tahoma"/>
      <w:sz w:val="16"/>
      <w:szCs w:val="16"/>
    </w:rPr>
  </w:style>
  <w:style w:type="character" w:styleId="CommentReference">
    <w:name w:val="annotation reference"/>
    <w:basedOn w:val="DefaultParagraphFont"/>
    <w:uiPriority w:val="99"/>
    <w:semiHidden/>
    <w:unhideWhenUsed/>
    <w:rsid w:val="005C7BD3"/>
    <w:rPr>
      <w:rFonts w:cs="Times New Roman"/>
      <w:sz w:val="16"/>
      <w:szCs w:val="16"/>
    </w:rPr>
  </w:style>
  <w:style w:type="paragraph" w:styleId="CommentText">
    <w:name w:val="annotation text"/>
    <w:basedOn w:val="Normal"/>
    <w:link w:val="CommentTextChar"/>
    <w:uiPriority w:val="99"/>
    <w:unhideWhenUsed/>
    <w:rsid w:val="005C7BD3"/>
    <w:pPr>
      <w:spacing w:line="240" w:lineRule="auto"/>
    </w:pPr>
    <w:rPr>
      <w:sz w:val="20"/>
      <w:szCs w:val="20"/>
    </w:rPr>
  </w:style>
  <w:style w:type="character" w:customStyle="1" w:styleId="CommentTextChar">
    <w:name w:val="Comment Text Char"/>
    <w:basedOn w:val="DefaultParagraphFont"/>
    <w:link w:val="CommentText"/>
    <w:uiPriority w:val="99"/>
    <w:rsid w:val="005C7BD3"/>
    <w:rPr>
      <w:sz w:val="20"/>
      <w:szCs w:val="20"/>
    </w:rPr>
  </w:style>
  <w:style w:type="paragraph" w:styleId="CommentSubject">
    <w:name w:val="annotation subject"/>
    <w:basedOn w:val="CommentText"/>
    <w:next w:val="CommentText"/>
    <w:link w:val="CommentSubjectChar"/>
    <w:uiPriority w:val="99"/>
    <w:semiHidden/>
    <w:unhideWhenUsed/>
    <w:rsid w:val="005C7BD3"/>
    <w:rPr>
      <w:b/>
      <w:bCs/>
    </w:rPr>
  </w:style>
  <w:style w:type="character" w:customStyle="1" w:styleId="CommentSubjectChar">
    <w:name w:val="Comment Subject Char"/>
    <w:basedOn w:val="CommentTextChar"/>
    <w:link w:val="CommentSubject"/>
    <w:uiPriority w:val="99"/>
    <w:semiHidden/>
    <w:rsid w:val="005C7BD3"/>
    <w:rPr>
      <w:b/>
      <w:bCs/>
      <w:sz w:val="20"/>
      <w:szCs w:val="20"/>
    </w:rPr>
  </w:style>
  <w:style w:type="paragraph" w:styleId="Subtitle">
    <w:name w:val="Subtitle"/>
    <w:basedOn w:val="Normal"/>
    <w:next w:val="Normal"/>
    <w:link w:val="SubtitleChar"/>
    <w:uiPriority w:val="11"/>
    <w:qFormat/>
    <w:rsid w:val="005C7BD3"/>
    <w:pPr>
      <w:numPr>
        <w:ilvl w:val="1"/>
      </w:numPr>
      <w:spacing w:after="0"/>
      <w:ind w:left="708"/>
    </w:pPr>
    <w:rPr>
      <w:rFonts w:eastAsiaTheme="majorEastAsia"/>
      <w:i/>
      <w:iCs/>
      <w:spacing w:val="15"/>
      <w:szCs w:val="24"/>
    </w:rPr>
  </w:style>
  <w:style w:type="character" w:customStyle="1" w:styleId="SubtitleChar">
    <w:name w:val="Subtitle Char"/>
    <w:basedOn w:val="DefaultParagraphFont"/>
    <w:link w:val="Subtitle"/>
    <w:uiPriority w:val="11"/>
    <w:rsid w:val="005C7BD3"/>
    <w:rPr>
      <w:rFonts w:asciiTheme="majorHAnsi" w:eastAsiaTheme="majorEastAsia" w:hAnsiTheme="majorHAnsi"/>
      <w:i/>
      <w:iCs/>
      <w:spacing w:val="15"/>
      <w:lang w:val="en-US"/>
    </w:rPr>
  </w:style>
  <w:style w:type="paragraph" w:styleId="NormalWeb">
    <w:name w:val="Normal (Web)"/>
    <w:basedOn w:val="Normal"/>
    <w:uiPriority w:val="99"/>
    <w:unhideWhenUsed/>
    <w:rsid w:val="005C7BD3"/>
    <w:pPr>
      <w:spacing w:before="100" w:beforeAutospacing="1" w:after="100" w:afterAutospacing="1" w:line="240" w:lineRule="auto"/>
    </w:pPr>
    <w:rPr>
      <w:rFonts w:ascii="Times New Roman" w:hAnsi="Times New Roman"/>
      <w:szCs w:val="24"/>
    </w:rPr>
  </w:style>
  <w:style w:type="character" w:customStyle="1" w:styleId="highlight">
    <w:name w:val="highlight"/>
    <w:basedOn w:val="DefaultParagraphFont"/>
    <w:rsid w:val="005C7BD3"/>
    <w:rPr>
      <w:rFonts w:cs="Times New Roman"/>
    </w:rPr>
  </w:style>
  <w:style w:type="table" w:styleId="LightShading-Accent5">
    <w:name w:val="Light Shading Accent 5"/>
    <w:basedOn w:val="TableNormal"/>
    <w:uiPriority w:val="60"/>
    <w:rsid w:val="005C7BD3"/>
    <w:rPr>
      <w:rFonts w:cs="Times New Roman"/>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left w:val="nil"/>
          <w:right w:val="nil"/>
          <w:insideH w:val="nil"/>
          <w:insideV w:val="nil"/>
        </w:tcBorders>
        <w:shd w:val="clear" w:color="auto" w:fill="D2EAF1" w:themeFill="accent5" w:themeFillTint="3F"/>
      </w:tcPr>
    </w:tblStylePr>
  </w:style>
  <w:style w:type="paragraph" w:styleId="Revision">
    <w:name w:val="Revision"/>
    <w:hidden/>
    <w:uiPriority w:val="99"/>
    <w:semiHidden/>
    <w:rsid w:val="005C7BD3"/>
    <w:rPr>
      <w:rFonts w:cs="Times New Roman"/>
      <w:sz w:val="22"/>
      <w:szCs w:val="22"/>
    </w:rPr>
  </w:style>
  <w:style w:type="paragraph" w:styleId="Caption">
    <w:name w:val="caption"/>
    <w:basedOn w:val="Normal"/>
    <w:next w:val="Normal"/>
    <w:uiPriority w:val="35"/>
    <w:unhideWhenUsed/>
    <w:qFormat/>
    <w:rsid w:val="005C7BD3"/>
    <w:pPr>
      <w:spacing w:line="240" w:lineRule="auto"/>
    </w:pPr>
    <w:rPr>
      <w:b/>
      <w:bCs/>
      <w:sz w:val="18"/>
      <w:szCs w:val="18"/>
    </w:rPr>
  </w:style>
  <w:style w:type="character" w:styleId="Hyperlink">
    <w:name w:val="Hyperlink"/>
    <w:basedOn w:val="DefaultParagraphFont"/>
    <w:uiPriority w:val="99"/>
    <w:unhideWhenUsed/>
    <w:rsid w:val="005C7BD3"/>
    <w:rPr>
      <w:rFonts w:cs="Times New Roman"/>
      <w:color w:val="0000FF"/>
      <w:u w:val="single"/>
    </w:rPr>
  </w:style>
  <w:style w:type="character" w:styleId="Emphasis">
    <w:name w:val="Emphasis"/>
    <w:basedOn w:val="DefaultParagraphFont"/>
    <w:uiPriority w:val="99"/>
    <w:qFormat/>
    <w:rsid w:val="005C7BD3"/>
    <w:rPr>
      <w:rFonts w:cs="Times New Roman"/>
      <w:i/>
      <w:iCs/>
    </w:rPr>
  </w:style>
  <w:style w:type="character" w:styleId="FollowedHyperlink">
    <w:name w:val="FollowedHyperlink"/>
    <w:basedOn w:val="DefaultParagraphFont"/>
    <w:uiPriority w:val="99"/>
    <w:semiHidden/>
    <w:unhideWhenUsed/>
    <w:rsid w:val="005C7BD3"/>
    <w:rPr>
      <w:color w:val="800080" w:themeColor="followedHyperlink"/>
      <w:u w:val="single"/>
    </w:rPr>
  </w:style>
  <w:style w:type="character" w:styleId="LineNumber">
    <w:name w:val="line number"/>
    <w:basedOn w:val="DefaultParagraphFont"/>
    <w:uiPriority w:val="99"/>
    <w:semiHidden/>
    <w:unhideWhenUsed/>
    <w:rsid w:val="005C7BD3"/>
  </w:style>
  <w:style w:type="character" w:styleId="SubtleEmphasis">
    <w:name w:val="Subtle Emphasis"/>
    <w:basedOn w:val="DefaultParagraphFont"/>
    <w:uiPriority w:val="19"/>
    <w:qFormat/>
    <w:rsid w:val="007E2027"/>
    <w:rPr>
      <w:i/>
      <w:iCs/>
      <w:color w:val="404040" w:themeColor="text1" w:themeTint="BF"/>
    </w:rPr>
  </w:style>
  <w:style w:type="table" w:customStyle="1" w:styleId="EinfacheTabelle31">
    <w:name w:val="Einfache Tabelle 31"/>
    <w:basedOn w:val="TableNormal"/>
    <w:uiPriority w:val="99"/>
    <w:rsid w:val="0017036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51">
    <w:name w:val="Einfache Tabelle 51"/>
    <w:basedOn w:val="TableNormal"/>
    <w:uiPriority w:val="99"/>
    <w:rsid w:val="00DF74D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infacheTabelle11">
    <w:name w:val="Einfache Tabelle 11"/>
    <w:basedOn w:val="TableNormal"/>
    <w:uiPriority w:val="99"/>
    <w:rsid w:val="00CE717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
    <w:name w:val="正文1"/>
    <w:uiPriority w:val="99"/>
    <w:rsid w:val="008C2014"/>
    <w:pPr>
      <w:spacing w:line="276" w:lineRule="auto"/>
    </w:pPr>
    <w:rPr>
      <w:rFonts w:ascii="Arial" w:eastAsia="SimSun"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169089">
      <w:bodyDiv w:val="1"/>
      <w:marLeft w:val="0"/>
      <w:marRight w:val="0"/>
      <w:marTop w:val="0"/>
      <w:marBottom w:val="0"/>
      <w:divBdr>
        <w:top w:val="none" w:sz="0" w:space="0" w:color="auto"/>
        <w:left w:val="none" w:sz="0" w:space="0" w:color="auto"/>
        <w:bottom w:val="none" w:sz="0" w:space="0" w:color="auto"/>
        <w:right w:val="none" w:sz="0" w:space="0" w:color="auto"/>
      </w:divBdr>
    </w:div>
    <w:div w:id="1101683191">
      <w:bodyDiv w:val="1"/>
      <w:marLeft w:val="0"/>
      <w:marRight w:val="0"/>
      <w:marTop w:val="0"/>
      <w:marBottom w:val="0"/>
      <w:divBdr>
        <w:top w:val="none" w:sz="0" w:space="0" w:color="auto"/>
        <w:left w:val="none" w:sz="0" w:space="0" w:color="auto"/>
        <w:bottom w:val="none" w:sz="0" w:space="0" w:color="auto"/>
        <w:right w:val="none" w:sz="0" w:space="0" w:color="auto"/>
      </w:divBdr>
    </w:div>
    <w:div w:id="1246450014">
      <w:bodyDiv w:val="1"/>
      <w:marLeft w:val="0"/>
      <w:marRight w:val="0"/>
      <w:marTop w:val="0"/>
      <w:marBottom w:val="0"/>
      <w:divBdr>
        <w:top w:val="none" w:sz="0" w:space="0" w:color="auto"/>
        <w:left w:val="none" w:sz="0" w:space="0" w:color="auto"/>
        <w:bottom w:val="none" w:sz="0" w:space="0" w:color="auto"/>
        <w:right w:val="none" w:sz="0" w:space="0" w:color="auto"/>
      </w:divBdr>
    </w:div>
    <w:div w:id="1333526976">
      <w:bodyDiv w:val="1"/>
      <w:marLeft w:val="0"/>
      <w:marRight w:val="0"/>
      <w:marTop w:val="0"/>
      <w:marBottom w:val="0"/>
      <w:divBdr>
        <w:top w:val="none" w:sz="0" w:space="0" w:color="auto"/>
        <w:left w:val="none" w:sz="0" w:space="0" w:color="auto"/>
        <w:bottom w:val="none" w:sz="0" w:space="0" w:color="auto"/>
        <w:right w:val="none" w:sz="0" w:space="0" w:color="auto"/>
      </w:divBdr>
    </w:div>
    <w:div w:id="1434135128">
      <w:bodyDiv w:val="1"/>
      <w:marLeft w:val="0"/>
      <w:marRight w:val="0"/>
      <w:marTop w:val="0"/>
      <w:marBottom w:val="0"/>
      <w:divBdr>
        <w:top w:val="none" w:sz="0" w:space="0" w:color="auto"/>
        <w:left w:val="none" w:sz="0" w:space="0" w:color="auto"/>
        <w:bottom w:val="none" w:sz="0" w:space="0" w:color="auto"/>
        <w:right w:val="none" w:sz="0" w:space="0" w:color="auto"/>
      </w:divBdr>
    </w:div>
    <w:div w:id="1521507877">
      <w:bodyDiv w:val="1"/>
      <w:marLeft w:val="0"/>
      <w:marRight w:val="0"/>
      <w:marTop w:val="0"/>
      <w:marBottom w:val="0"/>
      <w:divBdr>
        <w:top w:val="none" w:sz="0" w:space="0" w:color="auto"/>
        <w:left w:val="none" w:sz="0" w:space="0" w:color="auto"/>
        <w:bottom w:val="none" w:sz="0" w:space="0" w:color="auto"/>
        <w:right w:val="none" w:sz="0" w:space="0" w:color="auto"/>
      </w:divBdr>
    </w:div>
    <w:div w:id="173207308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sChild>
        <w:div w:id="1854762858">
          <w:marLeft w:val="0"/>
          <w:marRight w:val="0"/>
          <w:marTop w:val="0"/>
          <w:marBottom w:val="0"/>
          <w:divBdr>
            <w:top w:val="none" w:sz="0" w:space="0" w:color="auto"/>
            <w:left w:val="none" w:sz="0" w:space="0" w:color="auto"/>
            <w:bottom w:val="none" w:sz="0" w:space="0" w:color="auto"/>
            <w:right w:val="none" w:sz="0" w:space="0" w:color="auto"/>
          </w:divBdr>
          <w:divsChild>
            <w:div w:id="653728783">
              <w:marLeft w:val="0"/>
              <w:marRight w:val="0"/>
              <w:marTop w:val="0"/>
              <w:marBottom w:val="0"/>
              <w:divBdr>
                <w:top w:val="none" w:sz="0" w:space="0" w:color="auto"/>
                <w:left w:val="none" w:sz="0" w:space="0" w:color="auto"/>
                <w:bottom w:val="none" w:sz="0" w:space="0" w:color="auto"/>
                <w:right w:val="none" w:sz="0" w:space="0" w:color="auto"/>
              </w:divBdr>
              <w:divsChild>
                <w:div w:id="1053625266">
                  <w:marLeft w:val="0"/>
                  <w:marRight w:val="0"/>
                  <w:marTop w:val="0"/>
                  <w:marBottom w:val="15"/>
                  <w:divBdr>
                    <w:top w:val="none" w:sz="0" w:space="0" w:color="auto"/>
                    <w:left w:val="none" w:sz="0" w:space="0" w:color="auto"/>
                    <w:bottom w:val="none" w:sz="0" w:space="0" w:color="auto"/>
                    <w:right w:val="none" w:sz="0" w:space="0" w:color="auto"/>
                  </w:divBdr>
                  <w:divsChild>
                    <w:div w:id="14377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974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irk.walter@kgu.de" TargetMode="External"/><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6F914-5E4F-4299-B6C1-524816BF2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4248</Words>
  <Characters>24214</Characters>
  <Application>Microsoft Office Word</Application>
  <DocSecurity>0</DocSecurity>
  <Lines>201</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Universitätsklinikum Frankfurt</Company>
  <LinksUpToDate>false</LinksUpToDate>
  <CharactersWithSpaces>28406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Walter</dc:creator>
  <cp:lastModifiedBy>LS Ma</cp:lastModifiedBy>
  <cp:revision>2</cp:revision>
  <cp:lastPrinted>2016-06-27T08:06:00Z</cp:lastPrinted>
  <dcterms:created xsi:type="dcterms:W3CDTF">2017-01-10T19:36:00Z</dcterms:created>
  <dcterms:modified xsi:type="dcterms:W3CDTF">2017-01-10T19:36:00Z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http://www.zotero.org/styles/modern-pathology</vt:lpwstr>
  </property>
  <property fmtid="{D5CDD505-2E9C-101B-9397-08002B2CF9AE}" pid="4" name="Mendeley Recent Style Name 0_1">
    <vt:lpwstr>Modern Pathology</vt:lpwstr>
  </property>
  <property fmtid="{D5CDD505-2E9C-101B-9397-08002B2CF9AE}" pid="5" name="Mendeley Recent Style Id 1_1">
    <vt:lpwstr>http://www.zotero.org/styles/oncotarget</vt:lpwstr>
  </property>
  <property fmtid="{D5CDD505-2E9C-101B-9397-08002B2CF9AE}" pid="6" name="Mendeley Recent Style Name 1_1">
    <vt:lpwstr>Oncotarget</vt:lpwstr>
  </property>
  <property fmtid="{D5CDD505-2E9C-101B-9397-08002B2CF9AE}" pid="7" name="Mendeley Recent Style Id 2_1">
    <vt:lpwstr>http://www.zotero.org/styles/surgical-endoscopy</vt:lpwstr>
  </property>
  <property fmtid="{D5CDD505-2E9C-101B-9397-08002B2CF9AE}" pid="8" name="Mendeley Recent Style Name 2_1">
    <vt:lpwstr>Surgical Endoscopy</vt:lpwstr>
  </property>
  <property fmtid="{D5CDD505-2E9C-101B-9397-08002B2CF9AE}" pid="9" name="Mendeley Recent Style Id 3_1">
    <vt:lpwstr>http://www.zotero.org/styles/the-journal-of-pathology</vt:lpwstr>
  </property>
  <property fmtid="{D5CDD505-2E9C-101B-9397-08002B2CF9AE}" pid="10" name="Mendeley Recent Style Name 3_1">
    <vt:lpwstr>The Journal of Pathology</vt:lpwstr>
  </property>
  <property fmtid="{D5CDD505-2E9C-101B-9397-08002B2CF9AE}" pid="11" name="Mendeley Recent Style Id 4_1">
    <vt:lpwstr>http://www.zotero.org/styles/vancouver</vt:lpwstr>
  </property>
  <property fmtid="{D5CDD505-2E9C-101B-9397-08002B2CF9AE}" pid="12" name="Mendeley Recent Style Name 4_1">
    <vt:lpwstr>Vancouver</vt:lpwstr>
  </property>
  <property fmtid="{D5CDD505-2E9C-101B-9397-08002B2CF9AE}" pid="13" name="Mendeley Recent Style Id 5_1">
    <vt:lpwstr>http://www.zotero.org/styles/vancouver-superscript</vt:lpwstr>
  </property>
  <property fmtid="{D5CDD505-2E9C-101B-9397-08002B2CF9AE}" pid="14" name="Mendeley Recent Style Name 5_1">
    <vt:lpwstr>Vancouver (superscript)</vt:lpwstr>
  </property>
  <property fmtid="{D5CDD505-2E9C-101B-9397-08002B2CF9AE}" pid="15" name="Mendeley Recent Style Id 6_1">
    <vt:lpwstr>http://www.zotero.org/styles/vancouver_dw</vt:lpwstr>
  </property>
  <property fmtid="{D5CDD505-2E9C-101B-9397-08002B2CF9AE}" pid="16" name="Mendeley Recent Style Name 6_1">
    <vt:lpwstr>Vancouver_DW</vt:lpwstr>
  </property>
  <property fmtid="{D5CDD505-2E9C-101B-9397-08002B2CF9AE}" pid="17" name="Mendeley Recent Style Id 7_1">
    <vt:lpwstr>http://www.zotero.org/styles/vancouver_dw_zfg</vt:lpwstr>
  </property>
  <property fmtid="{D5CDD505-2E9C-101B-9397-08002B2CF9AE}" pid="18" name="Mendeley Recent Style Name 7_1">
    <vt:lpwstr>Vancouver_DW_ZfG</vt:lpwstr>
  </property>
  <property fmtid="{D5CDD505-2E9C-101B-9397-08002B2CF9AE}" pid="19" name="Mendeley Recent Style Id 8_1">
    <vt:lpwstr>http://www.zotero.org/styles/world-journal-of-gastroenterology</vt:lpwstr>
  </property>
  <property fmtid="{D5CDD505-2E9C-101B-9397-08002B2CF9AE}" pid="20" name="Mendeley Recent Style Name 8_1">
    <vt:lpwstr>World Journal of Gastroenterology</vt:lpwstr>
  </property>
  <property fmtid="{D5CDD505-2E9C-101B-9397-08002B2CF9AE}" pid="21" name="Mendeley Recent Style Id 9_1">
    <vt:lpwstr>http://www.zotero.org/styles/world-journal-of-surgery</vt:lpwstr>
  </property>
  <property fmtid="{D5CDD505-2E9C-101B-9397-08002B2CF9AE}" pid="22" name="Mendeley Recent Style Name 9_1">
    <vt:lpwstr>World Journal of Surgery</vt:lpwstr>
  </property>
  <property fmtid="{D5CDD505-2E9C-101B-9397-08002B2CF9AE}" pid="23" name="Mendeley Citation Style_1">
    <vt:lpwstr>http://www.zotero.org/styles/world-journal-of-urology</vt:lpwstr>
  </property>
  <property fmtid="{D5CDD505-2E9C-101B-9397-08002B2CF9AE}" pid="24" name="Mendeley Unique User Id_1">
    <vt:lpwstr>5a0abad1-b997-3022-81ff-1ec32326e903</vt:lpwstr>
  </property>
</Properties>
</file>