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FF5F29">
        <w:rPr>
          <w:rFonts w:ascii="Book Antiqua" w:hAnsi="Book Antiqua"/>
          <w:noProof/>
          <w:color w:val="auto"/>
          <w:sz w:val="24"/>
          <w:szCs w:val="24"/>
          <w:lang w:eastAsia="zh-CN"/>
        </w:rPr>
        <w:drawing>
          <wp:inline distT="0" distB="0" distL="0" distR="0" wp14:anchorId="4086F08E" wp14:editId="13C74763">
            <wp:extent cx="5895975" cy="6353175"/>
            <wp:effectExtent l="0" t="0" r="9525" b="9525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eastAsiaTheme="minorEastAsia" w:hAnsi="Book Antiqua"/>
          <w:color w:val="auto"/>
          <w:sz w:val="24"/>
          <w:szCs w:val="24"/>
          <w:lang w:eastAsia="zh-CN"/>
        </w:rPr>
      </w:pPr>
      <w:r w:rsidRPr="00FF5F29">
        <w:rPr>
          <w:rFonts w:ascii="Book Antiqua" w:eastAsiaTheme="minorEastAsia" w:hAnsi="Book Antiqua"/>
          <w:color w:val="auto"/>
          <w:sz w:val="24"/>
          <w:szCs w:val="24"/>
          <w:lang w:eastAsia="zh-CN"/>
        </w:rPr>
        <w:t>Supplementary Figure 1. PRISMA flow diagram</w:t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C7578" w:rsidRDefault="00CC7578" w:rsidP="00CC7578">
      <w:pPr>
        <w:spacing w:after="0" w:line="360" w:lineRule="auto"/>
        <w:jc w:val="both"/>
        <w:rPr>
          <w:rFonts w:ascii="Book Antiqua" w:eastAsiaTheme="minorEastAsia" w:hAnsi="Book Antiqua" w:hint="eastAsia"/>
          <w:color w:val="auto"/>
          <w:sz w:val="24"/>
          <w:szCs w:val="24"/>
          <w:lang w:eastAsia="zh-CN"/>
        </w:rPr>
      </w:pPr>
      <w:r w:rsidRPr="00FF5F29">
        <w:rPr>
          <w:rFonts w:ascii="Book Antiqua" w:hAnsi="Book Antiqua"/>
          <w:noProof/>
          <w:color w:val="auto"/>
          <w:sz w:val="24"/>
          <w:szCs w:val="24"/>
          <w:lang w:eastAsia="zh-CN"/>
        </w:rPr>
        <w:lastRenderedPageBreak/>
        <w:drawing>
          <wp:inline distT="0" distB="0" distL="0" distR="0" wp14:anchorId="6CF490E6" wp14:editId="7D67A7E9">
            <wp:extent cx="5753100" cy="3267075"/>
            <wp:effectExtent l="0" t="0" r="0" b="9525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eastAsiaTheme="minorEastAsia" w:hAnsi="Book Antiqua"/>
          <w:color w:val="auto"/>
          <w:sz w:val="24"/>
          <w:szCs w:val="24"/>
          <w:lang w:eastAsia="zh-CN"/>
        </w:rPr>
      </w:pPr>
      <w:r w:rsidRPr="00FF5F29">
        <w:rPr>
          <w:rFonts w:ascii="Book Antiqua" w:eastAsiaTheme="minorEastAsia" w:hAnsi="Book Antiqua"/>
          <w:color w:val="auto"/>
          <w:sz w:val="24"/>
          <w:szCs w:val="24"/>
          <w:lang w:eastAsia="zh-CN"/>
        </w:rPr>
        <w:t xml:space="preserve">Supplementary Figure 2A. Funnel-plot of standard error by standard difference in means for heart rate. </w:t>
      </w:r>
    </w:p>
    <w:p w:rsidR="00CC7578" w:rsidRPr="00B17D02" w:rsidRDefault="00CC7578" w:rsidP="00CC7578">
      <w:pPr>
        <w:spacing w:after="0" w:line="360" w:lineRule="auto"/>
        <w:jc w:val="both"/>
        <w:rPr>
          <w:rFonts w:ascii="Book Antiqua" w:eastAsiaTheme="minorEastAsia" w:hAnsi="Book Antiqua" w:hint="eastAsia"/>
          <w:color w:val="auto"/>
          <w:sz w:val="24"/>
          <w:szCs w:val="24"/>
          <w:lang w:eastAsia="zh-CN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FF5F29">
        <w:rPr>
          <w:rFonts w:ascii="Book Antiqua" w:hAnsi="Book Antiqua"/>
          <w:noProof/>
          <w:color w:val="auto"/>
          <w:sz w:val="24"/>
          <w:szCs w:val="24"/>
          <w:lang w:eastAsia="zh-CN"/>
        </w:rPr>
        <w:drawing>
          <wp:inline distT="0" distB="0" distL="0" distR="0" wp14:anchorId="0CA18644" wp14:editId="2BA8927B">
            <wp:extent cx="5943600" cy="4023360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eastAsiaTheme="minorEastAsia" w:hAnsi="Book Antiqua"/>
          <w:color w:val="auto"/>
          <w:sz w:val="24"/>
          <w:szCs w:val="24"/>
          <w:lang w:eastAsia="zh-CN"/>
        </w:rPr>
      </w:pPr>
      <w:r w:rsidRPr="00FF5F29">
        <w:rPr>
          <w:rFonts w:ascii="Book Antiqua" w:eastAsiaTheme="minorEastAsia" w:hAnsi="Book Antiqua"/>
          <w:color w:val="auto"/>
          <w:sz w:val="24"/>
          <w:szCs w:val="24"/>
          <w:lang w:eastAsia="zh-CN"/>
        </w:rPr>
        <w:lastRenderedPageBreak/>
        <w:t xml:space="preserve">Supplementary Figure 2B. Regression of log risk ratio of all cause mortality on follow up time. </w:t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FF5F29">
        <w:rPr>
          <w:rFonts w:ascii="Book Antiqua" w:hAnsi="Book Antiqua" w:cs="Arial"/>
          <w:b/>
          <w:color w:val="auto"/>
          <w:sz w:val="24"/>
          <w:szCs w:val="24"/>
        </w:rPr>
        <w:t xml:space="preserve">Supplementary Table 1. PRISMA-P (Preferred Reporting Items for Systematic review and Meta analysis Protocols) 2015 checklist: recommended items to address in a systematic review protocol*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00" w:firstRow="0" w:lastRow="0" w:firstColumn="0" w:lastColumn="0" w:noHBand="0" w:noVBand="1"/>
      </w:tblPr>
      <w:tblGrid>
        <w:gridCol w:w="1732"/>
        <w:gridCol w:w="667"/>
        <w:gridCol w:w="5941"/>
      </w:tblGrid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pStyle w:val="TableHeader"/>
              <w:spacing w:before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FF5F29">
              <w:rPr>
                <w:rFonts w:ascii="Book Antiqua" w:hAnsi="Book Antiqua"/>
                <w:szCs w:val="24"/>
              </w:rPr>
              <w:t>Section and topic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pStyle w:val="TableHeader"/>
              <w:spacing w:before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FF5F29">
              <w:rPr>
                <w:rFonts w:ascii="Book Antiqua" w:hAnsi="Book Antiqua"/>
                <w:szCs w:val="24"/>
              </w:rPr>
              <w:t>Item No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pStyle w:val="TableHeader"/>
              <w:spacing w:before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FF5F29">
              <w:rPr>
                <w:rFonts w:ascii="Book Antiqua" w:hAnsi="Book Antiqua"/>
                <w:szCs w:val="24"/>
              </w:rPr>
              <w:t>Checklist item</w:t>
            </w:r>
          </w:p>
        </w:tc>
      </w:tr>
      <w:tr w:rsidR="00CC7578" w:rsidRPr="00FF5F29" w:rsidTr="00952A47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pStyle w:val="TableSubHead"/>
              <w:spacing w:before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FF5F29">
              <w:rPr>
                <w:rFonts w:ascii="Book Antiqua" w:hAnsi="Book Antiqua"/>
                <w:szCs w:val="24"/>
              </w:rPr>
              <w:t>ADMINISTRATIVE INFORMATION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12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Title:</w:t>
            </w:r>
          </w:p>
        </w:tc>
        <w:tc>
          <w:tcPr>
            <w:tcW w:w="400" w:type="pct"/>
            <w:tcBorders>
              <w:top w:val="single" w:sz="12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single" w:sz="12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CC7578" w:rsidRPr="00FF5F29" w:rsidTr="00952A47">
        <w:tc>
          <w:tcPr>
            <w:tcW w:w="1038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Identification</w:t>
            </w:r>
          </w:p>
        </w:tc>
        <w:tc>
          <w:tcPr>
            <w:tcW w:w="400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1a</w:t>
            </w:r>
          </w:p>
        </w:tc>
        <w:tc>
          <w:tcPr>
            <w:tcW w:w="3562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Identified as meta analysis in the title. </w:t>
            </w:r>
          </w:p>
        </w:tc>
      </w:tr>
      <w:tr w:rsidR="00CC7578" w:rsidRPr="00FF5F29" w:rsidTr="00952A47">
        <w:tc>
          <w:tcPr>
            <w:tcW w:w="1038" w:type="pct"/>
            <w:tcBorders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Update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1b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Not applicable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Registration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2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Not applicable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Authors: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CC7578" w:rsidRPr="00FF5F29" w:rsidTr="00952A47">
        <w:tc>
          <w:tcPr>
            <w:tcW w:w="1038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Contact</w:t>
            </w:r>
          </w:p>
        </w:tc>
        <w:tc>
          <w:tcPr>
            <w:tcW w:w="400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3a</w:t>
            </w:r>
          </w:p>
        </w:tc>
        <w:tc>
          <w:tcPr>
            <w:tcW w:w="3562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Provided in the title page (page 1)</w:t>
            </w:r>
          </w:p>
        </w:tc>
      </w:tr>
      <w:tr w:rsidR="00CC7578" w:rsidRPr="00FF5F29" w:rsidTr="00952A47">
        <w:tc>
          <w:tcPr>
            <w:tcW w:w="1038" w:type="pct"/>
            <w:tcBorders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Contributions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3b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Listed in the author contribution section. (page 14)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Amendments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4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Not applicable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Support: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CC7578" w:rsidRPr="00FF5F29" w:rsidTr="00952A47">
        <w:tc>
          <w:tcPr>
            <w:tcW w:w="1038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Sources</w:t>
            </w:r>
          </w:p>
        </w:tc>
        <w:tc>
          <w:tcPr>
            <w:tcW w:w="400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5a</w:t>
            </w:r>
          </w:p>
        </w:tc>
        <w:tc>
          <w:tcPr>
            <w:tcW w:w="3562" w:type="pct"/>
            <w:tcBorders>
              <w:top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Listed at the end of the manuscript (page 14)</w:t>
            </w:r>
          </w:p>
        </w:tc>
      </w:tr>
      <w:tr w:rsidR="00CC7578" w:rsidRPr="00FF5F29" w:rsidTr="00952A47">
        <w:tc>
          <w:tcPr>
            <w:tcW w:w="1038" w:type="pct"/>
            <w:tcBorders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Sponsor</w:t>
            </w:r>
          </w:p>
        </w:tc>
        <w:tc>
          <w:tcPr>
            <w:tcW w:w="400" w:type="pct"/>
            <w:tcBorders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5b</w:t>
            </w:r>
          </w:p>
        </w:tc>
        <w:tc>
          <w:tcPr>
            <w:tcW w:w="3562" w:type="pct"/>
            <w:tcBorders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Listed at the end of the manuscript (page 14)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nil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Role of sponsor or funder</w:t>
            </w:r>
          </w:p>
        </w:tc>
        <w:tc>
          <w:tcPr>
            <w:tcW w:w="400" w:type="pct"/>
            <w:tcBorders>
              <w:top w:val="nil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5c</w:t>
            </w:r>
          </w:p>
        </w:tc>
        <w:tc>
          <w:tcPr>
            <w:tcW w:w="3562" w:type="pct"/>
            <w:tcBorders>
              <w:top w:val="nil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No funding obtained for the study protocol.</w:t>
            </w:r>
          </w:p>
        </w:tc>
      </w:tr>
      <w:tr w:rsidR="00CC7578" w:rsidRPr="00FF5F29" w:rsidTr="00952A47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pStyle w:val="TableSubHead"/>
              <w:spacing w:before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FF5F29">
              <w:rPr>
                <w:rFonts w:ascii="Book Antiqua" w:hAnsi="Book Antiqua"/>
                <w:szCs w:val="24"/>
              </w:rPr>
              <w:t>INTRODUCTION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12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Rationale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6</w:t>
            </w:r>
          </w:p>
        </w:tc>
        <w:tc>
          <w:tcPr>
            <w:tcW w:w="3562" w:type="pct"/>
            <w:tcBorders>
              <w:top w:val="single" w:sz="12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 (page 4)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Objectives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7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We performed a meta analysis with available studies to date </w:t>
            </w:r>
            <w:r w:rsidRPr="00FF5F2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to compare outcomes of ivabradine combined with beta-blocker (BB) to BB therapy alone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 (page 5)</w:t>
            </w:r>
          </w:p>
        </w:tc>
      </w:tr>
      <w:tr w:rsidR="00CC7578" w:rsidRPr="00FF5F29" w:rsidTr="00952A47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pStyle w:val="TableSubHead"/>
              <w:spacing w:before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FF5F29">
              <w:rPr>
                <w:rFonts w:ascii="Book Antiqua" w:hAnsi="Book Antiqua"/>
                <w:szCs w:val="24"/>
              </w:rPr>
              <w:lastRenderedPageBreak/>
              <w:t>METHODS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12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Eligibility criteria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8</w:t>
            </w:r>
          </w:p>
        </w:tc>
        <w:tc>
          <w:tcPr>
            <w:tcW w:w="3562" w:type="pct"/>
            <w:tcBorders>
              <w:top w:val="single" w:sz="12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 w:cstheme="minorHAnsi"/>
                <w:color w:val="auto"/>
                <w:sz w:val="24"/>
                <w:szCs w:val="24"/>
              </w:rPr>
            </w:pPr>
            <w:r w:rsidRPr="00FF5F29">
              <w:rPr>
                <w:rFonts w:ascii="Book Antiqua" w:eastAsia="Times New Roman" w:hAnsi="Book Antiqua" w:cstheme="minorHAnsi"/>
                <w:color w:val="auto"/>
                <w:sz w:val="24"/>
                <w:szCs w:val="24"/>
              </w:rPr>
              <w:t>Randomized controlled trials, retrospective or prospective observational cohorts; all patients with heart failure with reduced ejection fraction of &lt; 40%; compared two groups, one with ivabradine and beta blockers and the other with beta blockers alone.</w:t>
            </w:r>
            <w:r w:rsidRPr="00FF5F29">
              <w:rPr>
                <w:rFonts w:ascii="Book Antiqua" w:hAnsi="Book Antiqua" w:cstheme="minorHAnsi"/>
                <w:color w:val="auto"/>
                <w:position w:val="1"/>
                <w:sz w:val="24"/>
                <w:szCs w:val="24"/>
              </w:rPr>
              <w:t xml:space="preserve"> We included all adult patients (&gt;16 years of age) of any gender and excluded non-English literature. (page 5)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Information sources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9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We searched </w:t>
            </w:r>
            <w:r w:rsidRPr="00FF5F2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searched PubMed, the Cochrane library, EMBASE, CINAHL and Google scholar databases from January 1960 to August 2016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.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We also performed hand-search by reviewing the reference sections of the included studies, review articles and editorials (page 5)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Search strategy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10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Presented Pubmed search strategy in the supplement. Initial search strategy from 5 databases yielded 392 studies. (page 5)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Study records: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</w:tr>
      <w:tr w:rsidR="00CC7578" w:rsidRPr="00FF5F29" w:rsidTr="00952A47">
        <w:tc>
          <w:tcPr>
            <w:tcW w:w="1038" w:type="pct"/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Data management</w:t>
            </w:r>
          </w:p>
        </w:tc>
        <w:tc>
          <w:tcPr>
            <w:tcW w:w="400" w:type="pct"/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11a</w:t>
            </w:r>
          </w:p>
        </w:tc>
        <w:tc>
          <w:tcPr>
            <w:tcW w:w="3562" w:type="pct"/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Described in detail in the Literature search section (page 5)</w:t>
            </w:r>
          </w:p>
        </w:tc>
      </w:tr>
      <w:tr w:rsidR="00CC7578" w:rsidRPr="00FF5F29" w:rsidTr="00952A47">
        <w:trPr>
          <w:trHeight w:val="613"/>
        </w:trPr>
        <w:tc>
          <w:tcPr>
            <w:tcW w:w="1038" w:type="pct"/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Selection process</w:t>
            </w:r>
          </w:p>
        </w:tc>
        <w:tc>
          <w:tcPr>
            <w:tcW w:w="400" w:type="pct"/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11b</w:t>
            </w:r>
          </w:p>
        </w:tc>
        <w:tc>
          <w:tcPr>
            <w:tcW w:w="3562" w:type="pct"/>
          </w:tcPr>
          <w:p w:rsidR="00CC7578" w:rsidRPr="00FF5F29" w:rsidRDefault="00CC7578" w:rsidP="00952A47">
            <w:pPr>
              <w:pStyle w:val="svarticle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Arial Unicode MS" w:hAnsi="Book Antiqua"/>
              </w:rPr>
            </w:pPr>
            <w:r w:rsidRPr="00FF5F29">
              <w:rPr>
                <w:rFonts w:ascii="Book Antiqua" w:hAnsi="Book Antiqua"/>
              </w:rPr>
              <w:t>Two independent reviewers collected</w:t>
            </w:r>
            <w:r w:rsidRPr="00FF5F29">
              <w:rPr>
                <w:rFonts w:ascii="Book Antiqua" w:eastAsia="Arial Unicode MS" w:hAnsi="Book Antiqua"/>
              </w:rPr>
              <w:t xml:space="preserve"> and abstracted the data after reviewing full text articles. Any disagreement was resolved by consensus (page 6)</w:t>
            </w:r>
          </w:p>
        </w:tc>
      </w:tr>
      <w:tr w:rsidR="00CC7578" w:rsidRPr="00FF5F29" w:rsidTr="00952A47">
        <w:tc>
          <w:tcPr>
            <w:tcW w:w="1038" w:type="pct"/>
            <w:tcBorders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 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Data collection process</w:t>
            </w:r>
          </w:p>
        </w:tc>
        <w:tc>
          <w:tcPr>
            <w:tcW w:w="400" w:type="pct"/>
            <w:tcBorders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11c</w:t>
            </w:r>
          </w:p>
        </w:tc>
        <w:tc>
          <w:tcPr>
            <w:tcW w:w="3562" w:type="pct"/>
            <w:tcBorders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We sought help from library to get full text articles in case if they were not available online (page 6) </w:t>
            </w:r>
          </w:p>
        </w:tc>
      </w:tr>
      <w:tr w:rsidR="00CC7578" w:rsidRPr="00FF5F29" w:rsidTr="00952A47">
        <w:tc>
          <w:tcPr>
            <w:tcW w:w="1038" w:type="pct"/>
            <w:tcBorders>
              <w:top w:val="nil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Data items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12</w:t>
            </w:r>
          </w:p>
        </w:tc>
        <w:tc>
          <w:tcPr>
            <w:tcW w:w="3562" w:type="pct"/>
            <w:tcBorders>
              <w:top w:val="nil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Listed in detail in the demographic table. (Table 1)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Outcomes and prioritization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13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 w:cstheme="minorHAnsi"/>
                <w:color w:val="auto"/>
                <w:sz w:val="24"/>
                <w:szCs w:val="24"/>
              </w:rPr>
            </w:pPr>
            <w:r w:rsidRPr="00FF5F29">
              <w:rPr>
                <w:rFonts w:ascii="Book Antiqua" w:eastAsia="Times New Roman" w:hAnsi="Book Antiqua" w:cstheme="minorHAnsi"/>
                <w:color w:val="auto"/>
                <w:sz w:val="24"/>
                <w:szCs w:val="24"/>
              </w:rPr>
              <w:t xml:space="preserve">The primary outcome was combined end point of heart failure and cardiovascular death. Secondary end points </w:t>
            </w:r>
            <w:r w:rsidRPr="00FF5F29">
              <w:rPr>
                <w:rFonts w:ascii="Book Antiqua" w:eastAsia="Times New Roman" w:hAnsi="Book Antiqua" w:cstheme="minorHAnsi"/>
                <w:color w:val="auto"/>
                <w:sz w:val="24"/>
                <w:szCs w:val="24"/>
              </w:rPr>
              <w:lastRenderedPageBreak/>
              <w:t>are mean reduction in heart rate at follow up compared to baseline, all cause mortality, cardiovascular mortality, six-minute walking distance (6MWD) and ejection fraction (EF) at follow up (Page 6)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lastRenderedPageBreak/>
              <w:t>Risk of bias in individual studies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14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Funnel-plot included with outcomes when necessary for evaluating publication bias. Sensitivity analysis was included for outcomes when necessary excluding the study with maximum strength (pages 6,7)</w:t>
            </w:r>
          </w:p>
        </w:tc>
      </w:tr>
      <w:tr w:rsidR="00CC7578" w:rsidRPr="00FF5F29" w:rsidTr="00952A47">
        <w:tc>
          <w:tcPr>
            <w:tcW w:w="1038" w:type="pct"/>
            <w:vMerge w:val="restar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Data synthesis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15a</w:t>
            </w:r>
          </w:p>
        </w:tc>
        <w:tc>
          <w:tcPr>
            <w:tcW w:w="3562" w:type="pct"/>
            <w:tcBorders>
              <w:top w:val="single" w:sz="4" w:space="0" w:color="auto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Described in detail in the methods section (pages 5,6) </w:t>
            </w:r>
          </w:p>
        </w:tc>
      </w:tr>
      <w:tr w:rsidR="00CC7578" w:rsidRPr="00FF5F29" w:rsidTr="00952A47">
        <w:tc>
          <w:tcPr>
            <w:tcW w:w="1038" w:type="pct"/>
            <w:vMerge/>
            <w:tcBorders>
              <w:top w:val="nil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15b</w:t>
            </w:r>
          </w:p>
        </w:tc>
        <w:tc>
          <w:tcPr>
            <w:tcW w:w="3562" w:type="pct"/>
            <w:tcBorders>
              <w:top w:val="nil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T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h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h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>t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er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o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g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n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ei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>t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y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w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a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s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v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a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l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u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 xml:space="preserve">ated 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b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y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t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h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u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se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o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f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I-s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q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u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ar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 xml:space="preserve">d. 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I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  <w:vertAlign w:val="superscript"/>
              </w:rPr>
              <w:t>2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 values of 25%, 50%, and 75% were considered as low, moderate, and high heterogeneity, respectively (page 6)</w:t>
            </w:r>
          </w:p>
        </w:tc>
      </w:tr>
      <w:tr w:rsidR="00CC7578" w:rsidRPr="00FF5F29" w:rsidTr="00952A47">
        <w:tc>
          <w:tcPr>
            <w:tcW w:w="1038" w:type="pct"/>
            <w:vMerge/>
            <w:tcBorders>
              <w:top w:val="nil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15c</w:t>
            </w:r>
          </w:p>
        </w:tc>
        <w:tc>
          <w:tcPr>
            <w:tcW w:w="3562" w:type="pct"/>
            <w:tcBorders>
              <w:top w:val="nil"/>
              <w:bottom w:val="nil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An exclusion sensitivity analysis was included when necessary (page 7) </w:t>
            </w:r>
          </w:p>
        </w:tc>
      </w:tr>
      <w:tr w:rsidR="00CC7578" w:rsidRPr="00FF5F29" w:rsidTr="00952A47">
        <w:tc>
          <w:tcPr>
            <w:tcW w:w="1038" w:type="pct"/>
            <w:vMerge/>
            <w:tcBorders>
              <w:top w:val="nil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15d</w:t>
            </w:r>
          </w:p>
        </w:tc>
        <w:tc>
          <w:tcPr>
            <w:tcW w:w="3562" w:type="pct"/>
            <w:tcBorders>
              <w:top w:val="nil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Quantitative synthesis was completed with meta analysis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Meta-bias(es)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16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He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>t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er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o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g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n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ei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>t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y between studies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w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a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s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v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a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l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u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 xml:space="preserve">ated 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b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y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t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h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u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se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o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f</w:t>
            </w:r>
            <w:r w:rsidRPr="00FF5F29">
              <w:rPr>
                <w:rFonts w:ascii="Book Antiqua" w:hAnsi="Book Antiqua"/>
                <w:color w:val="auto"/>
                <w:spacing w:val="-2"/>
                <w:position w:val="1"/>
                <w:sz w:val="24"/>
                <w:szCs w:val="24"/>
              </w:rPr>
              <w:t xml:space="preserve"> 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I-s</w:t>
            </w:r>
            <w:r w:rsidRPr="00FF5F29">
              <w:rPr>
                <w:rFonts w:ascii="Book Antiqua" w:hAnsi="Book Antiqua"/>
                <w:color w:val="auto"/>
                <w:spacing w:val="-3"/>
                <w:position w:val="1"/>
                <w:sz w:val="24"/>
                <w:szCs w:val="24"/>
              </w:rPr>
              <w:t>q</w:t>
            </w:r>
            <w:r w:rsidRPr="00FF5F29">
              <w:rPr>
                <w:rFonts w:ascii="Book Antiqua" w:hAnsi="Book Antiqua"/>
                <w:color w:val="auto"/>
                <w:spacing w:val="-1"/>
                <w:position w:val="1"/>
                <w:sz w:val="24"/>
                <w:szCs w:val="24"/>
              </w:rPr>
              <w:t>u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>ar</w:t>
            </w:r>
            <w:r w:rsidRPr="00FF5F29">
              <w:rPr>
                <w:rFonts w:ascii="Book Antiqua" w:hAnsi="Book Antiqua"/>
                <w:color w:val="auto"/>
                <w:spacing w:val="1"/>
                <w:position w:val="1"/>
                <w:sz w:val="24"/>
                <w:szCs w:val="24"/>
              </w:rPr>
              <w:t>e</w:t>
            </w:r>
            <w:r w:rsidRPr="00FF5F29">
              <w:rPr>
                <w:rFonts w:ascii="Book Antiqua" w:hAnsi="Book Antiqua"/>
                <w:color w:val="auto"/>
                <w:position w:val="1"/>
                <w:sz w:val="24"/>
                <w:szCs w:val="24"/>
              </w:rPr>
              <w:t xml:space="preserve">d. 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I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  <w:vertAlign w:val="superscript"/>
              </w:rPr>
              <w:t>2</w:t>
            </w: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 xml:space="preserve"> values of 25%, 50%, and 75% were considered as low, moderate, and high heterogeneity, respectively (page 6) and meta-regression (page 7)</w:t>
            </w:r>
          </w:p>
        </w:tc>
      </w:tr>
      <w:tr w:rsidR="00CC7578" w:rsidRPr="00FF5F29" w:rsidTr="00952A47">
        <w:tc>
          <w:tcPr>
            <w:tcW w:w="1038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Confidence cumulative evidence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17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12" w:space="0" w:color="auto"/>
            </w:tcBorders>
          </w:tcPr>
          <w:p w:rsidR="00CC7578" w:rsidRPr="00FF5F29" w:rsidRDefault="00CC7578" w:rsidP="00952A47">
            <w:pPr>
              <w:spacing w:after="0"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FF5F29">
              <w:rPr>
                <w:rFonts w:ascii="Book Antiqua" w:hAnsi="Book Antiqua"/>
                <w:color w:val="auto"/>
                <w:sz w:val="24"/>
                <w:szCs w:val="24"/>
              </w:rPr>
              <w:t>95% CI was used throughout the analysis.</w:t>
            </w:r>
          </w:p>
        </w:tc>
      </w:tr>
    </w:tbl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FF5F29">
        <w:rPr>
          <w:rFonts w:ascii="Book Antiqua" w:hAnsi="Book Antiqua"/>
          <w:color w:val="auto"/>
          <w:sz w:val="24"/>
          <w:szCs w:val="24"/>
        </w:rPr>
        <w:t>Reference:</w:t>
      </w:r>
      <w:r>
        <w:rPr>
          <w:rFonts w:ascii="Book Antiqua" w:hAnsi="Book Antiqua"/>
          <w:color w:val="auto"/>
          <w:sz w:val="24"/>
          <w:szCs w:val="24"/>
        </w:rPr>
        <w:t xml:space="preserve"> </w:t>
      </w:r>
      <w:r w:rsidRPr="00FF5F29">
        <w:rPr>
          <w:rFonts w:ascii="Book Antiqua" w:hAnsi="Book Antiqua"/>
          <w:color w:val="auto"/>
          <w:sz w:val="24"/>
          <w:szCs w:val="24"/>
        </w:rPr>
        <w:t>Shamseer L, Moher D, Clarke M, Ghersi D, Liberati A, Petticrew M, Shekelle P, Stewart L, PRISMA-P Group. Preferred reporting items for systematic review and meta analysis protocols (PRISMA-P) 2015: elaboration and explanation. BMJ. 2015 Jan 2;349(jan02 1):g7647.</w:t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FF5F29">
        <w:rPr>
          <w:rFonts w:ascii="Book Antiqua" w:hAnsi="Book Antiqua"/>
          <w:color w:val="auto"/>
          <w:sz w:val="24"/>
          <w:szCs w:val="24"/>
        </w:rPr>
        <w:lastRenderedPageBreak/>
        <w:t>Supplementary Appendix 1:</w:t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FF5F29">
        <w:rPr>
          <w:rFonts w:ascii="Book Antiqua" w:hAnsi="Book Antiqua"/>
          <w:color w:val="auto"/>
          <w:sz w:val="24"/>
          <w:szCs w:val="24"/>
        </w:rPr>
        <w:t>Medline search:</w:t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FF5F29">
        <w:rPr>
          <w:rFonts w:ascii="Book Antiqua" w:hAnsi="Book Antiqua"/>
          <w:color w:val="auto"/>
          <w:sz w:val="24"/>
          <w:szCs w:val="24"/>
        </w:rPr>
        <w:t>(("ivabradine"[Supplementary Concept] OR "ivabradine"[All Fields]) AND ("heart failure"[MeSH Terms] OR ("heart"[All Fields] AND "failure"[All Fields]) OR "heart failure"[All Fields])) AND (("1960/01/01"[PDAT]: "2016/08/31"[PDAT]) AND "humans"[MeSH Terms])</w:t>
      </w: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C7578" w:rsidRPr="00FF5F29" w:rsidRDefault="00CC7578" w:rsidP="00CC7578">
      <w:pP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A21A0D" w:rsidRDefault="00CC7578">
      <w:bookmarkStart w:id="0" w:name="_GoBack"/>
      <w:bookmarkEnd w:id="0"/>
    </w:p>
    <w:sectPr w:rsidR="00A2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D8"/>
    <w:rsid w:val="003B28A5"/>
    <w:rsid w:val="00580AD8"/>
    <w:rsid w:val="006A0F16"/>
    <w:rsid w:val="009E3F09"/>
    <w:rsid w:val="00B1351D"/>
    <w:rsid w:val="00BC49EB"/>
    <w:rsid w:val="00CC7578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57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Header"/>
    <w:basedOn w:val="a"/>
    <w:rsid w:val="00CC7578"/>
    <w:pPr>
      <w:spacing w:before="120" w:after="0" w:line="240" w:lineRule="auto"/>
    </w:pPr>
    <w:rPr>
      <w:rFonts w:ascii="Times New Roman" w:eastAsia="Times New Roman" w:hAnsi="Times New Roman" w:cs="Times New Roman"/>
      <w:b/>
      <w:color w:val="auto"/>
      <w:sz w:val="24"/>
      <w:lang w:val="en-GB"/>
    </w:rPr>
  </w:style>
  <w:style w:type="paragraph" w:customStyle="1" w:styleId="TableSubHead">
    <w:name w:val="TableSubHead"/>
    <w:basedOn w:val="TableHeader"/>
    <w:rsid w:val="00CC7578"/>
  </w:style>
  <w:style w:type="paragraph" w:customStyle="1" w:styleId="svarticle">
    <w:name w:val="svarticle"/>
    <w:basedOn w:val="a"/>
    <w:rsid w:val="00CC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C757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7578"/>
    <w:rPr>
      <w:rFonts w:ascii="Calibri" w:eastAsia="Calibri" w:hAnsi="Calibri" w:cs="Calibri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578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Header"/>
    <w:basedOn w:val="a"/>
    <w:rsid w:val="00CC7578"/>
    <w:pPr>
      <w:spacing w:before="120" w:after="0" w:line="240" w:lineRule="auto"/>
    </w:pPr>
    <w:rPr>
      <w:rFonts w:ascii="Times New Roman" w:eastAsia="Times New Roman" w:hAnsi="Times New Roman" w:cs="Times New Roman"/>
      <w:b/>
      <w:color w:val="auto"/>
      <w:sz w:val="24"/>
      <w:lang w:val="en-GB"/>
    </w:rPr>
  </w:style>
  <w:style w:type="paragraph" w:customStyle="1" w:styleId="TableSubHead">
    <w:name w:val="TableSubHead"/>
    <w:basedOn w:val="TableHeader"/>
    <w:rsid w:val="00CC7578"/>
  </w:style>
  <w:style w:type="paragraph" w:customStyle="1" w:styleId="svarticle">
    <w:name w:val="svarticle"/>
    <w:basedOn w:val="a"/>
    <w:rsid w:val="00CC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C757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7578"/>
    <w:rPr>
      <w:rFonts w:ascii="Calibri" w:eastAsia="Calibri" w:hAnsi="Calibri" w:cs="Calibri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651</Words>
  <Characters>3717</Characters>
  <Application>Microsoft Office Word</Application>
  <DocSecurity>0</DocSecurity>
  <Lines>30</Lines>
  <Paragraphs>8</Paragraphs>
  <ScaleCrop>false</ScaleCrop>
  <Company>微软中国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2017-01-09T01:20:00Z</dcterms:created>
  <dcterms:modified xsi:type="dcterms:W3CDTF">2017-01-09T01:20:00Z</dcterms:modified>
</cp:coreProperties>
</file>