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9A1" w:rsidRPr="003A2CF7" w:rsidRDefault="008949A1" w:rsidP="003A2CF7">
      <w:pPr>
        <w:spacing w:line="360" w:lineRule="auto"/>
        <w:jc w:val="both"/>
        <w:rPr>
          <w:rFonts w:ascii="Book Antiqua" w:hAnsi="Book Antiqua" w:cs="Arial"/>
          <w:b/>
          <w:color w:val="222222"/>
          <w:sz w:val="24"/>
          <w:szCs w:val="24"/>
          <w:shd w:val="clear" w:color="auto" w:fill="FFFFFF"/>
        </w:rPr>
      </w:pPr>
      <w:r w:rsidRPr="003A2CF7">
        <w:rPr>
          <w:rFonts w:ascii="Book Antiqua" w:hAnsi="Book Antiqua" w:cs="Arial"/>
          <w:b/>
          <w:color w:val="222222"/>
          <w:sz w:val="24"/>
          <w:szCs w:val="24"/>
          <w:shd w:val="clear" w:color="auto" w:fill="FFFFFF"/>
        </w:rPr>
        <w:t>Name of Journal: World Journal of Gastroenterology</w:t>
      </w:r>
    </w:p>
    <w:p w:rsidR="008949A1" w:rsidRPr="003A2CF7" w:rsidRDefault="008949A1" w:rsidP="003A2CF7">
      <w:pPr>
        <w:spacing w:line="360" w:lineRule="auto"/>
        <w:jc w:val="both"/>
        <w:rPr>
          <w:rFonts w:ascii="Book Antiqua" w:hAnsi="Book Antiqua" w:cs="Arial"/>
          <w:b/>
          <w:color w:val="222222"/>
          <w:sz w:val="24"/>
          <w:szCs w:val="24"/>
          <w:shd w:val="clear" w:color="auto" w:fill="FFFFFF"/>
          <w:lang w:eastAsia="zh-CN"/>
        </w:rPr>
      </w:pPr>
      <w:r w:rsidRPr="003A2CF7">
        <w:rPr>
          <w:rFonts w:ascii="Book Antiqua" w:hAnsi="Book Antiqua" w:cs="Arial"/>
          <w:b/>
          <w:color w:val="222222"/>
          <w:sz w:val="24"/>
          <w:szCs w:val="24"/>
          <w:shd w:val="clear" w:color="auto" w:fill="FFFFFF"/>
        </w:rPr>
        <w:t xml:space="preserve">ESPS Manuscript NO: </w:t>
      </w:r>
      <w:r w:rsidRPr="003A2CF7">
        <w:rPr>
          <w:rFonts w:ascii="Book Antiqua" w:hAnsi="Book Antiqua" w:cs="Arial"/>
          <w:b/>
          <w:color w:val="222222"/>
          <w:sz w:val="24"/>
          <w:szCs w:val="24"/>
          <w:shd w:val="clear" w:color="auto" w:fill="FFFFFF"/>
          <w:lang w:eastAsia="zh-CN"/>
        </w:rPr>
        <w:t>31367</w:t>
      </w: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b/>
          <w:color w:val="222222"/>
          <w:sz w:val="24"/>
          <w:szCs w:val="24"/>
          <w:shd w:val="clear" w:color="auto" w:fill="FFFFFF"/>
        </w:rPr>
        <w:t xml:space="preserve">Manuscript Type: </w:t>
      </w:r>
      <w:r w:rsidRPr="003A2CF7">
        <w:rPr>
          <w:rFonts w:ascii="Book Antiqua" w:hAnsi="Book Antiqua" w:cs="Arial"/>
          <w:b/>
          <w:sz w:val="24"/>
          <w:szCs w:val="24"/>
        </w:rPr>
        <w:t>REVIEW</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b/>
          <w:sz w:val="24"/>
          <w:szCs w:val="24"/>
          <w:lang w:eastAsia="zh-CN"/>
        </w:rPr>
      </w:pPr>
      <w:r w:rsidRPr="003A2CF7">
        <w:rPr>
          <w:rFonts w:ascii="Book Antiqua" w:hAnsi="Book Antiqua" w:cs="Arial"/>
          <w:b/>
          <w:sz w:val="24"/>
          <w:szCs w:val="24"/>
        </w:rPr>
        <w:t>Pseudopolyps in inflammatory bowel di</w:t>
      </w:r>
      <w:r w:rsidR="00DA37A2" w:rsidRPr="003A2CF7">
        <w:rPr>
          <w:rFonts w:ascii="Book Antiqua" w:hAnsi="Book Antiqua" w:cs="Arial"/>
          <w:b/>
          <w:sz w:val="24"/>
          <w:szCs w:val="24"/>
        </w:rPr>
        <w:t>seases: Have we learned enough?</w:t>
      </w:r>
    </w:p>
    <w:p w:rsidR="008949A1" w:rsidRPr="003A2CF7" w:rsidRDefault="008949A1" w:rsidP="003A2CF7">
      <w:pPr>
        <w:spacing w:line="360" w:lineRule="auto"/>
        <w:jc w:val="both"/>
        <w:rPr>
          <w:rFonts w:ascii="Book Antiqua" w:hAnsi="Book Antiqua" w:cs="Arial"/>
          <w:b/>
          <w:sz w:val="24"/>
          <w:szCs w:val="24"/>
          <w:lang w:eastAsia="zh-CN"/>
        </w:rPr>
      </w:pP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sz w:val="24"/>
          <w:szCs w:val="24"/>
        </w:rPr>
        <w:t xml:space="preserve">Politis DS </w:t>
      </w:r>
      <w:r w:rsidRPr="003A2CF7">
        <w:rPr>
          <w:rFonts w:ascii="Book Antiqua" w:hAnsi="Book Antiqua" w:cs="Arial"/>
          <w:i/>
          <w:sz w:val="24"/>
          <w:szCs w:val="24"/>
        </w:rPr>
        <w:t>et al</w:t>
      </w:r>
      <w:r w:rsidRPr="003A2CF7">
        <w:rPr>
          <w:rFonts w:ascii="Book Antiqua" w:hAnsi="Book Antiqua" w:cs="Arial"/>
          <w:sz w:val="24"/>
          <w:szCs w:val="24"/>
        </w:rPr>
        <w:t>. Pseudopolyps in IBD</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sz w:val="24"/>
          <w:szCs w:val="24"/>
        </w:rPr>
        <w:t>Dimitrios S Politis, Konstantinos H Katsanos, Epameinondas V Tsianos, Dimitrios K Christodoulou</w:t>
      </w:r>
    </w:p>
    <w:p w:rsidR="008949A1" w:rsidRPr="003A2CF7" w:rsidRDefault="008949A1" w:rsidP="003A2CF7">
      <w:pPr>
        <w:spacing w:line="360" w:lineRule="auto"/>
        <w:jc w:val="both"/>
        <w:rPr>
          <w:rFonts w:ascii="Book Antiqua" w:hAnsi="Book Antiqua" w:cs="Arial"/>
          <w:sz w:val="24"/>
          <w:szCs w:val="24"/>
        </w:rPr>
      </w:pPr>
    </w:p>
    <w:p w:rsidR="008949A1" w:rsidRPr="003A2CF7" w:rsidRDefault="00343BEF" w:rsidP="003A2CF7">
      <w:pPr>
        <w:spacing w:line="360" w:lineRule="auto"/>
        <w:jc w:val="both"/>
        <w:rPr>
          <w:rFonts w:ascii="Book Antiqua" w:hAnsi="Book Antiqua" w:cs="Arial"/>
          <w:sz w:val="24"/>
          <w:szCs w:val="24"/>
        </w:rPr>
      </w:pPr>
      <w:r w:rsidRPr="00343BEF">
        <w:rPr>
          <w:rFonts w:ascii="Book Antiqua" w:hAnsi="Book Antiqua" w:cs="Arial"/>
          <w:b/>
          <w:sz w:val="24"/>
          <w:szCs w:val="24"/>
        </w:rPr>
        <w:t>Dimitrios S Politis, Konstantinos H Katsanos, Epameinondas V Tsianos, Dimitrios K Christodoulou</w:t>
      </w:r>
      <w:r w:rsidRPr="00343BEF">
        <w:rPr>
          <w:rFonts w:ascii="Book Antiqua" w:hAnsi="Book Antiqua" w:cs="Arial" w:hint="eastAsia"/>
          <w:b/>
          <w:sz w:val="24"/>
          <w:szCs w:val="24"/>
          <w:lang w:eastAsia="zh-CN"/>
        </w:rPr>
        <w:t>,</w:t>
      </w:r>
      <w:r w:rsidR="008949A1" w:rsidRPr="003A2CF7">
        <w:rPr>
          <w:rFonts w:ascii="Book Antiqua" w:hAnsi="Book Antiqua" w:cs="Arial"/>
          <w:sz w:val="24"/>
          <w:szCs w:val="24"/>
        </w:rPr>
        <w:t xml:space="preserve"> Department of Gastroenterology, University Hospital of Ioannina, Faculty of Medicine, School of Health Sciences, University of Ioannina, 45110 Ioannina, Greece</w:t>
      </w:r>
    </w:p>
    <w:p w:rsidR="008949A1" w:rsidRPr="003A2CF7" w:rsidRDefault="008949A1" w:rsidP="003A2CF7">
      <w:pPr>
        <w:spacing w:line="360" w:lineRule="auto"/>
        <w:jc w:val="both"/>
        <w:rPr>
          <w:rFonts w:ascii="Book Antiqua" w:hAnsi="Book Antiqua" w:cs="Arial"/>
          <w:b/>
          <w:sz w:val="24"/>
          <w:szCs w:val="24"/>
          <w:lang w:eastAsia="zh-CN"/>
        </w:rPr>
      </w:pP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b/>
          <w:sz w:val="24"/>
          <w:szCs w:val="24"/>
        </w:rPr>
        <w:t xml:space="preserve">Author contributions: </w:t>
      </w:r>
      <w:r w:rsidRPr="003A2CF7">
        <w:rPr>
          <w:rFonts w:ascii="Book Antiqua" w:hAnsi="Book Antiqua" w:cs="Arial"/>
          <w:sz w:val="24"/>
          <w:szCs w:val="24"/>
        </w:rPr>
        <w:t>All authors have made equally substantial contributions to the conception and design of the review, drafting of the article or revising it critically for important intellectual content, and providing final approval of the version to be submitted.</w:t>
      </w:r>
    </w:p>
    <w:p w:rsidR="008949A1" w:rsidRPr="003A2CF7" w:rsidRDefault="008949A1" w:rsidP="003A2CF7">
      <w:pPr>
        <w:spacing w:line="360" w:lineRule="auto"/>
        <w:jc w:val="both"/>
        <w:rPr>
          <w:rFonts w:ascii="Book Antiqua" w:hAnsi="Book Antiqua" w:cs="Arial"/>
          <w:sz w:val="24"/>
          <w:szCs w:val="24"/>
          <w:lang w:eastAsia="zh-CN"/>
        </w:rPr>
      </w:pPr>
    </w:p>
    <w:p w:rsidR="008949A1" w:rsidRPr="003A2CF7" w:rsidRDefault="00DA37A2" w:rsidP="003A2CF7">
      <w:pPr>
        <w:spacing w:line="360" w:lineRule="auto"/>
        <w:jc w:val="both"/>
        <w:rPr>
          <w:rFonts w:ascii="Book Antiqua" w:hAnsi="Book Antiqua" w:cs="Arial"/>
          <w:sz w:val="24"/>
          <w:szCs w:val="24"/>
        </w:rPr>
      </w:pPr>
      <w:r w:rsidRPr="003A2CF7">
        <w:rPr>
          <w:rFonts w:ascii="Book Antiqua" w:hAnsi="Book Antiqua"/>
          <w:b/>
          <w:sz w:val="24"/>
          <w:szCs w:val="24"/>
        </w:rPr>
        <w:t>Conflict-of-interest statement</w:t>
      </w:r>
      <w:r w:rsidR="008949A1" w:rsidRPr="003A2CF7">
        <w:rPr>
          <w:rFonts w:ascii="Book Antiqua" w:hAnsi="Book Antiqua" w:cs="Arial"/>
          <w:b/>
          <w:sz w:val="24"/>
          <w:szCs w:val="24"/>
        </w:rPr>
        <w:t xml:space="preserve">: </w:t>
      </w:r>
      <w:r w:rsidR="008949A1" w:rsidRPr="003A2CF7">
        <w:rPr>
          <w:rFonts w:ascii="Book Antiqua" w:hAnsi="Book Antiqua" w:cs="Arial"/>
          <w:sz w:val="24"/>
          <w:szCs w:val="24"/>
        </w:rPr>
        <w:t xml:space="preserve">All authors declare no potential conflicts of interest. </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b/>
          <w:sz w:val="24"/>
          <w:szCs w:val="24"/>
        </w:rPr>
        <w:t xml:space="preserve">Open-Access: </w:t>
      </w:r>
      <w:r w:rsidRPr="003A2CF7">
        <w:rPr>
          <w:rFonts w:ascii="Book Antiqua" w:hAnsi="Book Antiqua" w:cs="Arial"/>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w:t>
      </w:r>
      <w:r w:rsidRPr="003A2CF7">
        <w:rPr>
          <w:rFonts w:ascii="Book Antiqua" w:hAnsi="Book Antiqua" w:cs="Arial"/>
          <w:sz w:val="24"/>
          <w:szCs w:val="24"/>
        </w:rPr>
        <w:lastRenderedPageBreak/>
        <w:t>terms, provided the original work is properly cited and the use is non-commercial. See: http://creativecommons.org/licenses/by-nc/4.0/</w:t>
      </w:r>
    </w:p>
    <w:p w:rsidR="008949A1" w:rsidRDefault="008949A1" w:rsidP="003A2CF7">
      <w:pPr>
        <w:spacing w:line="360" w:lineRule="auto"/>
        <w:jc w:val="both"/>
        <w:rPr>
          <w:rFonts w:ascii="Book Antiqua" w:hAnsi="Book Antiqua" w:cs="Arial"/>
          <w:b/>
          <w:sz w:val="24"/>
          <w:szCs w:val="24"/>
          <w:lang w:eastAsia="zh-CN"/>
        </w:rPr>
      </w:pPr>
    </w:p>
    <w:p w:rsidR="00312688" w:rsidRDefault="00312688" w:rsidP="003A2CF7">
      <w:pPr>
        <w:spacing w:line="360" w:lineRule="auto"/>
        <w:jc w:val="both"/>
        <w:rPr>
          <w:rFonts w:ascii="Book Antiqua" w:hAnsi="Book Antiqua"/>
          <w:sz w:val="24"/>
          <w:lang w:eastAsia="zh-CN"/>
        </w:rPr>
      </w:pPr>
      <w:r w:rsidRPr="00B757B8">
        <w:rPr>
          <w:rFonts w:ascii="Book Antiqua" w:hAnsi="Book Antiqua"/>
          <w:b/>
          <w:sz w:val="24"/>
        </w:rPr>
        <w:t xml:space="preserve">Manuscript source: </w:t>
      </w:r>
      <w:r w:rsidRPr="00B757B8">
        <w:rPr>
          <w:rFonts w:ascii="Book Antiqua" w:hAnsi="Book Antiqua"/>
          <w:sz w:val="24"/>
        </w:rPr>
        <w:t>Invited manuscript</w:t>
      </w:r>
    </w:p>
    <w:p w:rsidR="00312688" w:rsidRPr="00312688" w:rsidRDefault="00312688" w:rsidP="003A2CF7">
      <w:pPr>
        <w:spacing w:line="360" w:lineRule="auto"/>
        <w:jc w:val="both"/>
        <w:rPr>
          <w:rFonts w:ascii="Book Antiqua" w:hAnsi="Book Antiqua" w:cs="Arial"/>
          <w:b/>
          <w:sz w:val="24"/>
          <w:szCs w:val="24"/>
          <w:lang w:eastAsia="zh-CN"/>
        </w:rPr>
      </w:pPr>
    </w:p>
    <w:p w:rsidR="008949A1" w:rsidRPr="003A2CF7" w:rsidRDefault="008949A1" w:rsidP="003A2CF7">
      <w:pPr>
        <w:spacing w:line="360" w:lineRule="auto"/>
        <w:jc w:val="both"/>
        <w:rPr>
          <w:rFonts w:ascii="Book Antiqua" w:hAnsi="Book Antiqua" w:cs="Arial"/>
          <w:sz w:val="24"/>
          <w:szCs w:val="24"/>
          <w:lang w:eastAsia="zh-CN"/>
        </w:rPr>
      </w:pPr>
      <w:r w:rsidRPr="003A2CF7">
        <w:rPr>
          <w:rFonts w:ascii="Book Antiqua" w:hAnsi="Book Antiqua" w:cs="Arial"/>
          <w:b/>
          <w:sz w:val="24"/>
          <w:szCs w:val="24"/>
        </w:rPr>
        <w:t>Correspondence to</w:t>
      </w:r>
      <w:r w:rsidRPr="003A2CF7">
        <w:rPr>
          <w:rFonts w:ascii="Book Antiqua" w:hAnsi="Book Antiqua" w:cs="Arial"/>
          <w:sz w:val="24"/>
          <w:szCs w:val="24"/>
        </w:rPr>
        <w:t xml:space="preserve">: </w:t>
      </w:r>
      <w:r w:rsidRPr="0089162B">
        <w:rPr>
          <w:rFonts w:ascii="Book Antiqua" w:hAnsi="Book Antiqua" w:cs="Arial"/>
          <w:b/>
          <w:sz w:val="24"/>
          <w:szCs w:val="24"/>
        </w:rPr>
        <w:t>Dimitrios K Christodoulou</w:t>
      </w:r>
      <w:r w:rsidRPr="0089162B">
        <w:rPr>
          <w:rFonts w:ascii="Book Antiqua" w:hAnsi="Book Antiqua" w:cs="Arial"/>
          <w:b/>
          <w:color w:val="000000"/>
          <w:sz w:val="24"/>
          <w:szCs w:val="24"/>
          <w:shd w:val="clear" w:color="auto" w:fill="FFFFFF"/>
        </w:rPr>
        <w:t>,</w:t>
      </w:r>
      <w:r w:rsidRPr="0089162B">
        <w:rPr>
          <w:rFonts w:ascii="Book Antiqua" w:hAnsi="Book Antiqua" w:cs="Arial"/>
          <w:b/>
          <w:sz w:val="24"/>
          <w:szCs w:val="24"/>
        </w:rPr>
        <w:t xml:space="preserve"> MD, PhD, Associate Professor, </w:t>
      </w:r>
      <w:r w:rsidRPr="003A2CF7">
        <w:rPr>
          <w:rFonts w:ascii="Book Antiqua" w:hAnsi="Book Antiqua" w:cs="Arial"/>
          <w:color w:val="000000"/>
          <w:sz w:val="24"/>
          <w:szCs w:val="24"/>
          <w:shd w:val="clear" w:color="auto" w:fill="FFFFFF"/>
        </w:rPr>
        <w:t>Department of Gastroenterology, University Hospital of Ioannina, Faculty of Medicine, School of Health Sciences, University of Ioannina, 45110 Ioannina, Greece.</w:t>
      </w:r>
      <w:r w:rsidRPr="003A2CF7">
        <w:rPr>
          <w:rFonts w:ascii="Book Antiqua" w:hAnsi="Book Antiqua"/>
          <w:sz w:val="24"/>
          <w:szCs w:val="24"/>
        </w:rPr>
        <w:t xml:space="preserve"> </w:t>
      </w:r>
      <w:hyperlink r:id="rId7" w:history="1">
        <w:r w:rsidRPr="003A2CF7">
          <w:rPr>
            <w:rStyle w:val="a3"/>
            <w:rFonts w:ascii="Book Antiqua" w:hAnsi="Book Antiqua" w:cs="Arial"/>
            <w:color w:val="auto"/>
            <w:sz w:val="24"/>
            <w:szCs w:val="24"/>
            <w:u w:val="none"/>
          </w:rPr>
          <w:t>dchristo@uoi.gr</w:t>
        </w:r>
      </w:hyperlink>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b/>
          <w:sz w:val="24"/>
          <w:szCs w:val="24"/>
        </w:rPr>
        <w:t>Telephone:</w:t>
      </w:r>
      <w:r w:rsidR="00DA37A2" w:rsidRPr="003A2CF7">
        <w:rPr>
          <w:rFonts w:ascii="Book Antiqua" w:hAnsi="Book Antiqua" w:cs="Arial"/>
          <w:sz w:val="24"/>
          <w:szCs w:val="24"/>
        </w:rPr>
        <w:t xml:space="preserve"> +</w:t>
      </w:r>
      <w:r w:rsidRPr="003A2CF7">
        <w:rPr>
          <w:rFonts w:ascii="Book Antiqua" w:hAnsi="Book Antiqua" w:cs="Arial"/>
          <w:sz w:val="24"/>
          <w:szCs w:val="24"/>
        </w:rPr>
        <w:t>30</w:t>
      </w:r>
      <w:r w:rsidR="00DA37A2" w:rsidRPr="003A2CF7">
        <w:rPr>
          <w:rFonts w:ascii="Book Antiqua" w:hAnsi="Book Antiqua" w:cs="Arial"/>
          <w:sz w:val="24"/>
          <w:szCs w:val="24"/>
          <w:lang w:eastAsia="zh-CN"/>
        </w:rPr>
        <w:t>-</w:t>
      </w:r>
      <w:r w:rsidRPr="003A2CF7">
        <w:rPr>
          <w:rFonts w:ascii="Book Antiqua" w:hAnsi="Book Antiqua" w:cs="Arial"/>
          <w:sz w:val="24"/>
          <w:szCs w:val="24"/>
        </w:rPr>
        <w:t>2</w:t>
      </w:r>
      <w:r w:rsidR="00DA37A2" w:rsidRPr="003A2CF7">
        <w:rPr>
          <w:rFonts w:ascii="Book Antiqua" w:hAnsi="Book Antiqua" w:cs="Arial"/>
          <w:sz w:val="24"/>
          <w:szCs w:val="24"/>
        </w:rPr>
        <w:t>651</w:t>
      </w:r>
      <w:r w:rsidR="000655A2">
        <w:rPr>
          <w:rFonts w:ascii="Book Antiqua" w:hAnsi="Book Antiqua" w:cs="Arial" w:hint="eastAsia"/>
          <w:sz w:val="24"/>
          <w:szCs w:val="24"/>
          <w:lang w:eastAsia="zh-CN"/>
        </w:rPr>
        <w:t>-</w:t>
      </w:r>
      <w:r w:rsidR="00DA37A2" w:rsidRPr="003A2CF7">
        <w:rPr>
          <w:rFonts w:ascii="Book Antiqua" w:hAnsi="Book Antiqua" w:cs="Arial"/>
          <w:sz w:val="24"/>
          <w:szCs w:val="24"/>
        </w:rPr>
        <w:t>0</w:t>
      </w:r>
      <w:r w:rsidRPr="003A2CF7">
        <w:rPr>
          <w:rFonts w:ascii="Book Antiqua" w:hAnsi="Book Antiqua" w:cs="Arial"/>
          <w:sz w:val="24"/>
          <w:szCs w:val="24"/>
        </w:rPr>
        <w:t>07501</w:t>
      </w:r>
    </w:p>
    <w:p w:rsidR="008949A1" w:rsidRPr="003A2CF7" w:rsidRDefault="008949A1" w:rsidP="003A2CF7">
      <w:pPr>
        <w:spacing w:line="360" w:lineRule="auto"/>
        <w:jc w:val="both"/>
        <w:rPr>
          <w:rFonts w:ascii="Book Antiqua" w:hAnsi="Book Antiqua" w:cs="Arial"/>
          <w:sz w:val="24"/>
          <w:szCs w:val="24"/>
          <w:lang w:eastAsia="zh-CN"/>
        </w:rPr>
      </w:pPr>
      <w:r w:rsidRPr="003A2CF7">
        <w:rPr>
          <w:rFonts w:ascii="Book Antiqua" w:hAnsi="Book Antiqua" w:cs="Arial"/>
          <w:b/>
          <w:sz w:val="24"/>
          <w:szCs w:val="24"/>
        </w:rPr>
        <w:t>Fax:</w:t>
      </w:r>
      <w:r w:rsidR="00DA37A2" w:rsidRPr="003A2CF7">
        <w:rPr>
          <w:rFonts w:ascii="Book Antiqua" w:hAnsi="Book Antiqua" w:cs="Arial"/>
          <w:sz w:val="24"/>
          <w:szCs w:val="24"/>
        </w:rPr>
        <w:t xml:space="preserve"> +</w:t>
      </w:r>
      <w:r w:rsidRPr="003A2CF7">
        <w:rPr>
          <w:rFonts w:ascii="Book Antiqua" w:hAnsi="Book Antiqua" w:cs="Arial"/>
          <w:sz w:val="24"/>
          <w:szCs w:val="24"/>
        </w:rPr>
        <w:t>30</w:t>
      </w:r>
      <w:r w:rsidR="00DA37A2" w:rsidRPr="003A2CF7">
        <w:rPr>
          <w:rFonts w:ascii="Book Antiqua" w:hAnsi="Book Antiqua" w:cs="Arial"/>
          <w:sz w:val="24"/>
          <w:szCs w:val="24"/>
          <w:lang w:eastAsia="zh-CN"/>
        </w:rPr>
        <w:t>-</w:t>
      </w:r>
      <w:r w:rsidRPr="003A2CF7">
        <w:rPr>
          <w:rFonts w:ascii="Book Antiqua" w:hAnsi="Book Antiqua" w:cs="Arial"/>
          <w:sz w:val="24"/>
          <w:szCs w:val="24"/>
        </w:rPr>
        <w:t>2</w:t>
      </w:r>
      <w:r w:rsidR="00DA37A2" w:rsidRPr="003A2CF7">
        <w:rPr>
          <w:rFonts w:ascii="Book Antiqua" w:hAnsi="Book Antiqua" w:cs="Arial"/>
          <w:sz w:val="24"/>
          <w:szCs w:val="24"/>
        </w:rPr>
        <w:t>651</w:t>
      </w:r>
      <w:r w:rsidR="000655A2">
        <w:rPr>
          <w:rFonts w:ascii="Book Antiqua" w:hAnsi="Book Antiqua" w:cs="Arial" w:hint="eastAsia"/>
          <w:sz w:val="24"/>
          <w:szCs w:val="24"/>
          <w:lang w:eastAsia="zh-CN"/>
        </w:rPr>
        <w:t>-</w:t>
      </w:r>
      <w:r w:rsidR="00DA37A2" w:rsidRPr="003A2CF7">
        <w:rPr>
          <w:rFonts w:ascii="Book Antiqua" w:hAnsi="Book Antiqua" w:cs="Arial"/>
          <w:sz w:val="24"/>
          <w:szCs w:val="24"/>
        </w:rPr>
        <w:t>0</w:t>
      </w:r>
      <w:r w:rsidRPr="003A2CF7">
        <w:rPr>
          <w:rFonts w:ascii="Book Antiqua" w:hAnsi="Book Antiqua" w:cs="Arial"/>
          <w:sz w:val="24"/>
          <w:szCs w:val="24"/>
        </w:rPr>
        <w:t>07016</w:t>
      </w:r>
    </w:p>
    <w:p w:rsidR="008949A1" w:rsidRPr="003A2CF7" w:rsidRDefault="008949A1" w:rsidP="003A2CF7">
      <w:pPr>
        <w:spacing w:line="360" w:lineRule="auto"/>
        <w:jc w:val="both"/>
        <w:rPr>
          <w:rFonts w:ascii="Book Antiqua" w:hAnsi="Book Antiqua"/>
          <w:b/>
          <w:sz w:val="24"/>
          <w:szCs w:val="24"/>
        </w:rPr>
      </w:pPr>
    </w:p>
    <w:p w:rsidR="008949A1" w:rsidRPr="003A2CF7" w:rsidRDefault="008949A1" w:rsidP="003A2CF7">
      <w:pPr>
        <w:spacing w:line="360" w:lineRule="auto"/>
        <w:jc w:val="both"/>
        <w:rPr>
          <w:rFonts w:ascii="Book Antiqua" w:hAnsi="Book Antiqua"/>
          <w:b/>
          <w:sz w:val="24"/>
          <w:szCs w:val="24"/>
        </w:rPr>
      </w:pPr>
      <w:r w:rsidRPr="003A2CF7">
        <w:rPr>
          <w:rFonts w:ascii="Book Antiqua" w:hAnsi="Book Antiqua"/>
          <w:b/>
          <w:sz w:val="24"/>
          <w:szCs w:val="24"/>
        </w:rPr>
        <w:t xml:space="preserve">Received: </w:t>
      </w:r>
      <w:bookmarkStart w:id="0" w:name="OLE_LINK28"/>
      <w:r w:rsidR="001D56C1" w:rsidRPr="003A2CF7">
        <w:rPr>
          <w:rFonts w:ascii="Book Antiqua" w:hAnsi="Book Antiqua"/>
          <w:sz w:val="24"/>
          <w:szCs w:val="24"/>
        </w:rPr>
        <w:t>November</w:t>
      </w:r>
      <w:bookmarkEnd w:id="0"/>
      <w:r w:rsidR="001D56C1" w:rsidRPr="003A2CF7">
        <w:rPr>
          <w:rFonts w:ascii="Book Antiqua" w:hAnsi="Book Antiqua"/>
          <w:sz w:val="24"/>
          <w:szCs w:val="24"/>
          <w:lang w:eastAsia="zh-CN"/>
        </w:rPr>
        <w:t xml:space="preserve"> 12, 2016</w:t>
      </w:r>
      <w:r w:rsidRPr="003A2CF7">
        <w:rPr>
          <w:rFonts w:ascii="Book Antiqua" w:hAnsi="Book Antiqua"/>
          <w:b/>
          <w:sz w:val="24"/>
          <w:szCs w:val="24"/>
        </w:rPr>
        <w:t xml:space="preserve">  </w:t>
      </w:r>
    </w:p>
    <w:p w:rsidR="008949A1" w:rsidRPr="003A2CF7" w:rsidRDefault="008949A1" w:rsidP="003A2CF7">
      <w:pPr>
        <w:spacing w:line="360" w:lineRule="auto"/>
        <w:jc w:val="both"/>
        <w:rPr>
          <w:rFonts w:ascii="Book Antiqua" w:hAnsi="Book Antiqua"/>
          <w:b/>
          <w:sz w:val="24"/>
          <w:szCs w:val="24"/>
          <w:lang w:eastAsia="zh-CN"/>
        </w:rPr>
      </w:pPr>
      <w:r w:rsidRPr="003A2CF7">
        <w:rPr>
          <w:rFonts w:ascii="Book Antiqua" w:hAnsi="Book Antiqua"/>
          <w:b/>
          <w:sz w:val="24"/>
          <w:szCs w:val="24"/>
        </w:rPr>
        <w:t>Peer-review started:</w:t>
      </w:r>
      <w:r w:rsidR="001D56C1" w:rsidRPr="003A2CF7">
        <w:rPr>
          <w:rFonts w:ascii="Book Antiqua" w:hAnsi="Book Antiqua"/>
          <w:b/>
          <w:sz w:val="24"/>
          <w:szCs w:val="24"/>
          <w:lang w:eastAsia="zh-CN"/>
        </w:rPr>
        <w:t xml:space="preserve"> </w:t>
      </w:r>
      <w:r w:rsidR="001D56C1" w:rsidRPr="003A2CF7">
        <w:rPr>
          <w:rFonts w:ascii="Book Antiqua" w:hAnsi="Book Antiqua"/>
          <w:sz w:val="24"/>
          <w:szCs w:val="24"/>
        </w:rPr>
        <w:t>November</w:t>
      </w:r>
      <w:r w:rsidR="001D56C1" w:rsidRPr="003A2CF7">
        <w:rPr>
          <w:rFonts w:ascii="Book Antiqua" w:hAnsi="Book Antiqua"/>
          <w:sz w:val="24"/>
          <w:szCs w:val="24"/>
          <w:lang w:eastAsia="zh-CN"/>
        </w:rPr>
        <w:t xml:space="preserve"> 13, 2016</w:t>
      </w:r>
    </w:p>
    <w:p w:rsidR="008949A1" w:rsidRPr="003A2CF7" w:rsidRDefault="008949A1" w:rsidP="003A2CF7">
      <w:pPr>
        <w:spacing w:line="360" w:lineRule="auto"/>
        <w:jc w:val="both"/>
        <w:rPr>
          <w:rFonts w:ascii="Book Antiqua" w:hAnsi="Book Antiqua"/>
          <w:b/>
          <w:sz w:val="24"/>
          <w:szCs w:val="24"/>
          <w:lang w:eastAsia="zh-CN"/>
        </w:rPr>
      </w:pPr>
      <w:r w:rsidRPr="003A2CF7">
        <w:rPr>
          <w:rFonts w:ascii="Book Antiqua" w:hAnsi="Book Antiqua"/>
          <w:b/>
          <w:sz w:val="24"/>
          <w:szCs w:val="24"/>
        </w:rPr>
        <w:t>First decision:</w:t>
      </w:r>
      <w:r w:rsidR="001D56C1" w:rsidRPr="003A2CF7">
        <w:rPr>
          <w:rFonts w:ascii="Book Antiqua" w:hAnsi="Book Antiqua"/>
          <w:b/>
          <w:sz w:val="24"/>
          <w:szCs w:val="24"/>
          <w:lang w:eastAsia="zh-CN"/>
        </w:rPr>
        <w:t xml:space="preserve"> </w:t>
      </w:r>
      <w:r w:rsidR="001D56C1" w:rsidRPr="003A2CF7">
        <w:rPr>
          <w:rFonts w:ascii="Book Antiqua" w:hAnsi="Book Antiqua"/>
          <w:sz w:val="24"/>
          <w:szCs w:val="24"/>
        </w:rPr>
        <w:t>December</w:t>
      </w:r>
      <w:r w:rsidR="001D56C1" w:rsidRPr="003A2CF7">
        <w:rPr>
          <w:rFonts w:ascii="Book Antiqua" w:hAnsi="Book Antiqua"/>
          <w:sz w:val="24"/>
          <w:szCs w:val="24"/>
          <w:lang w:eastAsia="zh-CN"/>
        </w:rPr>
        <w:t xml:space="preserve"> 19, 2016</w:t>
      </w:r>
    </w:p>
    <w:p w:rsidR="008949A1" w:rsidRPr="003A2CF7" w:rsidRDefault="008949A1" w:rsidP="003A2CF7">
      <w:pPr>
        <w:spacing w:line="360" w:lineRule="auto"/>
        <w:jc w:val="both"/>
        <w:rPr>
          <w:rFonts w:ascii="Book Antiqua" w:hAnsi="Book Antiqua"/>
          <w:b/>
          <w:sz w:val="24"/>
          <w:szCs w:val="24"/>
        </w:rPr>
      </w:pPr>
      <w:r w:rsidRPr="003A2CF7">
        <w:rPr>
          <w:rFonts w:ascii="Book Antiqua" w:hAnsi="Book Antiqua"/>
          <w:b/>
          <w:sz w:val="24"/>
          <w:szCs w:val="24"/>
        </w:rPr>
        <w:t xml:space="preserve">Revised: </w:t>
      </w:r>
      <w:r w:rsidR="001D56C1" w:rsidRPr="003A2CF7">
        <w:rPr>
          <w:rFonts w:ascii="Book Antiqua" w:hAnsi="Book Antiqua"/>
          <w:sz w:val="24"/>
          <w:szCs w:val="24"/>
        </w:rPr>
        <w:t>January</w:t>
      </w:r>
      <w:r w:rsidR="001D56C1" w:rsidRPr="003A2CF7">
        <w:rPr>
          <w:rFonts w:ascii="Book Antiqua" w:hAnsi="Book Antiqua"/>
          <w:sz w:val="24"/>
          <w:szCs w:val="24"/>
          <w:lang w:eastAsia="zh-CN"/>
        </w:rPr>
        <w:t xml:space="preserve"> 20, 2017</w:t>
      </w:r>
      <w:r w:rsidRPr="003A2CF7">
        <w:rPr>
          <w:rFonts w:ascii="Book Antiqua" w:hAnsi="Book Antiqua"/>
          <w:b/>
          <w:sz w:val="24"/>
          <w:szCs w:val="24"/>
        </w:rPr>
        <w:t xml:space="preserve"> </w:t>
      </w:r>
    </w:p>
    <w:p w:rsidR="008949A1" w:rsidRPr="00B173CB" w:rsidRDefault="008949A1" w:rsidP="00B173CB">
      <w:pPr>
        <w:spacing w:line="360" w:lineRule="auto"/>
        <w:rPr>
          <w:rFonts w:ascii="Book Antiqua" w:hAnsi="Book Antiqua"/>
          <w:color w:val="000000"/>
          <w:sz w:val="24"/>
        </w:rPr>
      </w:pPr>
      <w:r w:rsidRPr="003A2CF7">
        <w:rPr>
          <w:rFonts w:ascii="Book Antiqua" w:hAnsi="Book Antiqua"/>
          <w:b/>
          <w:sz w:val="24"/>
          <w:szCs w:val="24"/>
        </w:rPr>
        <w:t>Accepted:</w:t>
      </w:r>
      <w:r w:rsidR="00B173CB" w:rsidRPr="00B173CB">
        <w:rPr>
          <w:rFonts w:ascii="Book Antiqua" w:hAnsi="Book Antiqua"/>
          <w:color w:val="000000"/>
          <w:sz w:val="24"/>
        </w:rPr>
        <w:t xml:space="preserve"> </w:t>
      </w:r>
      <w:r w:rsidR="00B173CB">
        <w:rPr>
          <w:rFonts w:ascii="Book Antiqua" w:hAnsi="Book Antiqua"/>
          <w:color w:val="000000"/>
          <w:sz w:val="24"/>
        </w:rPr>
        <w:t>February 16, 2017</w:t>
      </w:r>
      <w:r w:rsidRPr="003A2CF7">
        <w:rPr>
          <w:rFonts w:ascii="Book Antiqua" w:hAnsi="Book Antiqua"/>
          <w:b/>
          <w:sz w:val="24"/>
          <w:szCs w:val="24"/>
        </w:rPr>
        <w:t xml:space="preserve">  </w:t>
      </w:r>
    </w:p>
    <w:p w:rsidR="008949A1" w:rsidRPr="003A2CF7" w:rsidRDefault="008949A1" w:rsidP="003A2CF7">
      <w:pPr>
        <w:spacing w:line="360" w:lineRule="auto"/>
        <w:jc w:val="both"/>
        <w:rPr>
          <w:rFonts w:ascii="Book Antiqua" w:hAnsi="Book Antiqua"/>
          <w:b/>
          <w:sz w:val="24"/>
          <w:szCs w:val="24"/>
        </w:rPr>
      </w:pPr>
      <w:r w:rsidRPr="003A2CF7">
        <w:rPr>
          <w:rFonts w:ascii="Book Antiqua" w:hAnsi="Book Antiqua"/>
          <w:b/>
          <w:sz w:val="24"/>
          <w:szCs w:val="24"/>
        </w:rPr>
        <w:t>Article in press:</w:t>
      </w:r>
    </w:p>
    <w:p w:rsidR="001D56C1" w:rsidRPr="003A2CF7" w:rsidRDefault="008949A1" w:rsidP="003A2CF7">
      <w:pPr>
        <w:spacing w:line="360" w:lineRule="auto"/>
        <w:jc w:val="both"/>
        <w:rPr>
          <w:rFonts w:ascii="Book Antiqua" w:hAnsi="Book Antiqua"/>
          <w:b/>
          <w:sz w:val="24"/>
          <w:szCs w:val="24"/>
        </w:rPr>
      </w:pPr>
      <w:r w:rsidRPr="003A2CF7">
        <w:rPr>
          <w:rFonts w:ascii="Book Antiqua" w:hAnsi="Book Antiqua"/>
          <w:b/>
          <w:sz w:val="24"/>
          <w:szCs w:val="24"/>
        </w:rPr>
        <w:t>Published online:</w:t>
      </w:r>
      <w:r w:rsidR="001D56C1" w:rsidRPr="003A2CF7">
        <w:rPr>
          <w:rFonts w:ascii="Book Antiqua" w:hAnsi="Book Antiqua"/>
          <w:b/>
          <w:sz w:val="24"/>
          <w:szCs w:val="24"/>
        </w:rPr>
        <w:br w:type="page"/>
      </w:r>
    </w:p>
    <w:p w:rsidR="008949A1" w:rsidRPr="003A2CF7" w:rsidRDefault="008949A1" w:rsidP="003A2CF7">
      <w:pPr>
        <w:spacing w:line="360" w:lineRule="auto"/>
        <w:jc w:val="both"/>
        <w:rPr>
          <w:rFonts w:ascii="Book Antiqua" w:hAnsi="Book Antiqua"/>
          <w:sz w:val="24"/>
          <w:szCs w:val="24"/>
        </w:rPr>
      </w:pPr>
    </w:p>
    <w:p w:rsidR="008949A1" w:rsidRPr="003A2CF7" w:rsidRDefault="008949A1" w:rsidP="003A2CF7">
      <w:pPr>
        <w:spacing w:line="360" w:lineRule="auto"/>
        <w:jc w:val="both"/>
        <w:rPr>
          <w:rFonts w:ascii="Book Antiqua" w:hAnsi="Book Antiqua" w:cs="Arial"/>
          <w:sz w:val="24"/>
          <w:szCs w:val="24"/>
          <w:lang w:eastAsia="zh-CN"/>
        </w:rPr>
      </w:pPr>
      <w:r w:rsidRPr="003A2CF7">
        <w:rPr>
          <w:rFonts w:ascii="Book Antiqua" w:hAnsi="Book Antiqua" w:cs="Arial"/>
          <w:b/>
          <w:sz w:val="24"/>
          <w:szCs w:val="24"/>
        </w:rPr>
        <w:t>Abstract</w:t>
      </w: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sz w:val="24"/>
          <w:szCs w:val="24"/>
        </w:rPr>
        <w:t>Pseudopolyps are a well described entity in the literature and even though the exact pathogenesis of their formation is not completely understood, they are considered non-neoplastic lesions originating from the mucosa after repeated periods of inflammation and ulceration associated with excessive healing processes. Their occurrence is less common in Crohn’s disease than in ulcerative colitis, and their overall prevalence ranges from 4% to 74%; moreover, they are found more often in colon but have been detected in other parts of the gastrointestinal tract as well. When their size exceeds the arbitrary point of 1.5 cm, they are classified as giant pseudopolyps. Clinical evaluation should differentiate the pseudopolyps from other polypoid lesions, such as the dysplasia-associated mass or lesion, but this situation represents an ongoing clinical challenge. Pseudopolyps can provoke complications such as bleeding or obstruction, and their management includes medical therapy, endoscopy and surgery; however, no consensus exists about the optimal treatment approach. Patients with pseudopolyps are considered at intermediate risk for colorectal cancer and regular endoscopic monitoring is recommended. Through a review of the literature, we provide here a proposed classification of the characteristics of pseudopolyps.</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b/>
          <w:sz w:val="24"/>
          <w:szCs w:val="24"/>
        </w:rPr>
        <w:t>Key</w:t>
      </w:r>
      <w:r w:rsidRPr="003A2CF7">
        <w:rPr>
          <w:rFonts w:ascii="Book Antiqua" w:hAnsi="Book Antiqua" w:cs="Arial"/>
          <w:b/>
          <w:sz w:val="24"/>
          <w:szCs w:val="24"/>
          <w:lang w:eastAsia="zh-CN"/>
        </w:rPr>
        <w:t xml:space="preserve"> </w:t>
      </w:r>
      <w:r w:rsidRPr="003A2CF7">
        <w:rPr>
          <w:rFonts w:ascii="Book Antiqua" w:hAnsi="Book Antiqua" w:cs="Arial"/>
          <w:b/>
          <w:sz w:val="24"/>
          <w:szCs w:val="24"/>
        </w:rPr>
        <w:t>words:</w:t>
      </w:r>
      <w:r w:rsidRPr="003A2CF7">
        <w:rPr>
          <w:rFonts w:ascii="Book Antiqua" w:hAnsi="Book Antiqua" w:cs="Arial"/>
          <w:sz w:val="24"/>
          <w:szCs w:val="24"/>
        </w:rPr>
        <w:t xml:space="preserve"> Pseudopolyps; Inflammatory polyps; Post-inflammatory polyps; Giant pseudopolyps; Ulcerative colitis; Inflammatory bowel disease; Crohn’s disease; Classification; Dysplasia-associated mass or lesion </w:t>
      </w:r>
    </w:p>
    <w:p w:rsidR="008949A1" w:rsidRPr="003A2CF7" w:rsidRDefault="008949A1" w:rsidP="003A2CF7">
      <w:pPr>
        <w:spacing w:line="360" w:lineRule="auto"/>
        <w:jc w:val="both"/>
        <w:rPr>
          <w:rFonts w:ascii="Book Antiqua" w:hAnsi="Book Antiqua" w:cs="Arial"/>
          <w:b/>
          <w:sz w:val="24"/>
          <w:szCs w:val="24"/>
          <w:lang w:eastAsia="zh-CN"/>
        </w:rPr>
      </w:pPr>
    </w:p>
    <w:p w:rsidR="008949A1" w:rsidRPr="003A2CF7" w:rsidRDefault="008949A1" w:rsidP="003A2CF7">
      <w:pPr>
        <w:spacing w:line="360" w:lineRule="auto"/>
        <w:jc w:val="both"/>
        <w:rPr>
          <w:rFonts w:ascii="Book Antiqua" w:hAnsi="Book Antiqua" w:cs="Arial"/>
          <w:sz w:val="24"/>
          <w:szCs w:val="24"/>
          <w:lang w:eastAsia="zh-CN"/>
        </w:rPr>
      </w:pPr>
      <w:r w:rsidRPr="003A2CF7">
        <w:rPr>
          <w:rFonts w:ascii="Book Antiqua" w:hAnsi="Book Antiqua" w:cs="Arial"/>
          <w:b/>
          <w:sz w:val="24"/>
          <w:szCs w:val="24"/>
          <w:lang w:eastAsia="zh-CN"/>
        </w:rPr>
        <w:t>© The Author(s) 2017.</w:t>
      </w:r>
      <w:r w:rsidRPr="003A2CF7">
        <w:rPr>
          <w:rFonts w:ascii="Book Antiqua" w:hAnsi="Book Antiqua" w:cs="Arial"/>
          <w:sz w:val="24"/>
          <w:szCs w:val="24"/>
          <w:lang w:eastAsia="zh-CN"/>
        </w:rPr>
        <w:t xml:space="preserve"> Published by Baishideng Publishing Group Inc. All rights</w:t>
      </w:r>
      <w:r w:rsidR="00AB2311">
        <w:rPr>
          <w:rFonts w:ascii="Book Antiqua" w:hAnsi="Book Antiqua" w:cs="Arial" w:hint="eastAsia"/>
          <w:sz w:val="24"/>
          <w:szCs w:val="24"/>
          <w:lang w:eastAsia="zh-CN"/>
        </w:rPr>
        <w:t xml:space="preserve"> </w:t>
      </w:r>
      <w:r w:rsidRPr="003A2CF7">
        <w:rPr>
          <w:rFonts w:ascii="Book Antiqua" w:hAnsi="Book Antiqua" w:cs="Arial"/>
          <w:sz w:val="24"/>
          <w:szCs w:val="24"/>
          <w:lang w:eastAsia="zh-CN"/>
        </w:rPr>
        <w:t>reserved.</w:t>
      </w:r>
      <w:bookmarkStart w:id="1" w:name="_GoBack"/>
      <w:bookmarkEnd w:id="1"/>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b/>
          <w:sz w:val="24"/>
          <w:szCs w:val="24"/>
        </w:rPr>
        <w:lastRenderedPageBreak/>
        <w:t xml:space="preserve">Core tip: </w:t>
      </w:r>
      <w:r w:rsidRPr="003A2CF7">
        <w:rPr>
          <w:rFonts w:ascii="Book Antiqua" w:hAnsi="Book Antiqua" w:cs="Arial"/>
          <w:sz w:val="24"/>
          <w:szCs w:val="24"/>
        </w:rPr>
        <w:t xml:space="preserve">In inflammatory bowel disease patients, pseudopolyps are formed at the bowel wall during the inflammatory process. Published reports have begun to elucidate the mechanism of pseudopolyp formation and prevalence; however, the clinical challenge in distinguishing these entities from other dysplastic lesions remains and there is scarce data about their complications and management. In this review, we aimed to condense the published reports about their prevalence and to present a classification of their distinct characteristics based on endoscoping and histologic criteria, in order to facilitate their recognition. Moreover, available methods for confronting their complications and long-term management are presented. </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b/>
          <w:color w:val="000000"/>
          <w:sz w:val="24"/>
          <w:szCs w:val="24"/>
        </w:rPr>
      </w:pPr>
      <w:r w:rsidRPr="003A2CF7">
        <w:rPr>
          <w:rFonts w:ascii="Book Antiqua" w:hAnsi="Book Antiqua" w:cs="Arial"/>
          <w:sz w:val="24"/>
          <w:szCs w:val="24"/>
        </w:rPr>
        <w:t>Politis DS, Katsanos KH, Tsianos EV,</w:t>
      </w:r>
      <w:r w:rsidRPr="003A2CF7">
        <w:rPr>
          <w:rFonts w:ascii="Book Antiqua" w:hAnsi="Book Antiqua"/>
          <w:sz w:val="24"/>
          <w:szCs w:val="24"/>
        </w:rPr>
        <w:t xml:space="preserve"> </w:t>
      </w:r>
      <w:r w:rsidRPr="003A2CF7">
        <w:rPr>
          <w:rFonts w:ascii="Book Antiqua" w:hAnsi="Book Antiqua" w:cs="Arial"/>
          <w:sz w:val="24"/>
          <w:szCs w:val="24"/>
        </w:rPr>
        <w:t>Christodoulou DK.</w:t>
      </w:r>
      <w:r w:rsidRPr="003A2CF7">
        <w:rPr>
          <w:rFonts w:ascii="Book Antiqua" w:hAnsi="Book Antiqua"/>
          <w:sz w:val="24"/>
          <w:szCs w:val="24"/>
        </w:rPr>
        <w:t xml:space="preserve"> </w:t>
      </w:r>
      <w:r w:rsidRPr="003A2CF7">
        <w:rPr>
          <w:rFonts w:ascii="Book Antiqua" w:hAnsi="Book Antiqua" w:cs="Arial"/>
          <w:sz w:val="24"/>
          <w:szCs w:val="24"/>
        </w:rPr>
        <w:t xml:space="preserve">Pseudopolyps in inflammatory bowel diseases: Have we learned enough? </w:t>
      </w:r>
      <w:r w:rsidR="00DB4D17" w:rsidRPr="003A2CF7">
        <w:rPr>
          <w:rFonts w:ascii="Book Antiqua" w:hAnsi="Book Antiqua"/>
          <w:i/>
          <w:sz w:val="24"/>
          <w:szCs w:val="24"/>
        </w:rPr>
        <w:t>World J Gastroenterol</w:t>
      </w:r>
      <w:r w:rsidR="00DB4D17" w:rsidRPr="003A2CF7">
        <w:rPr>
          <w:rFonts w:ascii="Book Antiqua" w:hAnsi="Book Antiqua"/>
          <w:sz w:val="24"/>
          <w:szCs w:val="24"/>
        </w:rPr>
        <w:t xml:space="preserve"> 2017; In press</w:t>
      </w:r>
    </w:p>
    <w:p w:rsidR="00DB4D17" w:rsidRPr="003A2CF7" w:rsidRDefault="00DB4D17" w:rsidP="003A2CF7">
      <w:pPr>
        <w:spacing w:line="360" w:lineRule="auto"/>
        <w:jc w:val="both"/>
        <w:rPr>
          <w:rFonts w:ascii="Book Antiqua" w:hAnsi="Book Antiqua" w:cs="Arial"/>
          <w:b/>
          <w:caps/>
          <w:sz w:val="24"/>
          <w:szCs w:val="24"/>
        </w:rPr>
      </w:pPr>
      <w:r w:rsidRPr="003A2CF7">
        <w:rPr>
          <w:rFonts w:ascii="Book Antiqua" w:hAnsi="Book Antiqua" w:cs="Arial"/>
          <w:b/>
          <w:caps/>
          <w:sz w:val="24"/>
          <w:szCs w:val="24"/>
        </w:rPr>
        <w:br w:type="page"/>
      </w:r>
    </w:p>
    <w:p w:rsidR="008949A1" w:rsidRPr="003A2CF7" w:rsidRDefault="008949A1" w:rsidP="003A2CF7">
      <w:pPr>
        <w:spacing w:line="360" w:lineRule="auto"/>
        <w:jc w:val="both"/>
        <w:rPr>
          <w:rFonts w:ascii="Book Antiqua" w:hAnsi="Book Antiqua" w:cs="Arial"/>
          <w:b/>
          <w:caps/>
          <w:sz w:val="24"/>
          <w:szCs w:val="24"/>
          <w:lang w:eastAsia="zh-CN"/>
        </w:rPr>
      </w:pPr>
    </w:p>
    <w:p w:rsidR="008949A1" w:rsidRPr="003A2CF7" w:rsidRDefault="008949A1" w:rsidP="003A2CF7">
      <w:pPr>
        <w:spacing w:line="360" w:lineRule="auto"/>
        <w:jc w:val="both"/>
        <w:rPr>
          <w:rFonts w:ascii="Book Antiqua" w:hAnsi="Book Antiqua" w:cs="Arial"/>
          <w:b/>
          <w:caps/>
          <w:sz w:val="24"/>
          <w:szCs w:val="24"/>
        </w:rPr>
      </w:pPr>
      <w:r w:rsidRPr="003A2CF7">
        <w:rPr>
          <w:rFonts w:ascii="Book Antiqua" w:hAnsi="Book Antiqua" w:cs="Arial"/>
          <w:b/>
          <w:caps/>
          <w:sz w:val="24"/>
          <w:szCs w:val="24"/>
        </w:rPr>
        <w:t>Introduction</w:t>
      </w: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sz w:val="24"/>
          <w:szCs w:val="24"/>
        </w:rPr>
        <w:t xml:space="preserve">The word </w:t>
      </w:r>
      <w:r w:rsidRPr="003A2CF7">
        <w:rPr>
          <w:rFonts w:ascii="Book Antiqua" w:hAnsi="Book Antiqua" w:cs="Arial"/>
          <w:i/>
          <w:sz w:val="24"/>
          <w:szCs w:val="24"/>
        </w:rPr>
        <w:t>pseudopolyp</w:t>
      </w:r>
      <w:r w:rsidRPr="003A2CF7">
        <w:rPr>
          <w:rFonts w:ascii="Book Antiqua" w:hAnsi="Book Antiqua" w:cs="Arial"/>
          <w:sz w:val="24"/>
          <w:szCs w:val="24"/>
        </w:rPr>
        <w:t xml:space="preserve"> (PP) derives from the compound pseudo, a prefix with Greek origin meaning “fake”, and a second compound, polyp, which means “any projection into the intestinal lumen above the layer of mucosa”</w:t>
      </w:r>
      <w:r w:rsidRPr="003A2CF7">
        <w:rPr>
          <w:rFonts w:ascii="Book Antiqua" w:hAnsi="Book Antiqua" w:cs="Arial"/>
          <w:noProof/>
          <w:sz w:val="24"/>
          <w:szCs w:val="24"/>
          <w:vertAlign w:val="superscript"/>
        </w:rPr>
        <w:t>[1]</w:t>
      </w:r>
      <w:r w:rsidRPr="003A2CF7">
        <w:rPr>
          <w:rFonts w:ascii="Book Antiqua" w:hAnsi="Book Antiqua" w:cs="Arial"/>
          <w:sz w:val="24"/>
          <w:szCs w:val="24"/>
        </w:rPr>
        <w:t>. The precise pathogenesis of these “fake” polyps is not entirely understood, even though a respectable number of reports exist in the current medical literature. PPs have been described in association with ulcerative colitis (UC) as far back as 1926, although the modern identifier terminology was not used at that time</w:t>
      </w:r>
      <w:r w:rsidRPr="003A2CF7">
        <w:rPr>
          <w:rFonts w:ascii="Book Antiqua" w:hAnsi="Book Antiqua" w:cs="Arial"/>
          <w:noProof/>
          <w:sz w:val="24"/>
          <w:szCs w:val="24"/>
          <w:vertAlign w:val="superscript"/>
        </w:rPr>
        <w:t>[2]</w:t>
      </w:r>
      <w:r w:rsidRPr="003A2CF7">
        <w:rPr>
          <w:rFonts w:ascii="Book Antiqua" w:hAnsi="Book Antiqua" w:cs="Arial"/>
          <w:sz w:val="24"/>
          <w:szCs w:val="24"/>
        </w:rPr>
        <w:t>. Their name originated as an effort to separate them from the true neoplastic polyps, namely adenomas</w:t>
      </w:r>
      <w:r w:rsidRPr="003A2CF7">
        <w:rPr>
          <w:rFonts w:ascii="Book Antiqua" w:hAnsi="Book Antiqua" w:cs="Arial"/>
          <w:noProof/>
          <w:sz w:val="24"/>
          <w:szCs w:val="24"/>
          <w:vertAlign w:val="superscript"/>
        </w:rPr>
        <w:t>[3]</w:t>
      </w:r>
      <w:r w:rsidRPr="003A2CF7">
        <w:rPr>
          <w:rFonts w:ascii="Book Antiqua" w:hAnsi="Book Antiqua" w:cs="Arial"/>
          <w:sz w:val="24"/>
          <w:szCs w:val="24"/>
        </w:rPr>
        <w:t>.</w:t>
      </w: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sz w:val="24"/>
          <w:szCs w:val="24"/>
        </w:rPr>
        <w:tab/>
        <w:t>This review focuses on the description of the distinct characteristics of PPs, emphasizing their management and differentiation from dysplasia-associated lesion or mass (DALM) encountered in inflammatory bowel disease (IBD) patients.</w:t>
      </w:r>
    </w:p>
    <w:p w:rsidR="008949A1" w:rsidRPr="003A2CF7" w:rsidRDefault="008949A1" w:rsidP="003A2CF7">
      <w:pPr>
        <w:spacing w:line="360" w:lineRule="auto"/>
        <w:jc w:val="both"/>
        <w:rPr>
          <w:rFonts w:ascii="Book Antiqua" w:hAnsi="Book Antiqua" w:cs="Arial"/>
          <w:b/>
          <w:caps/>
          <w:sz w:val="24"/>
          <w:szCs w:val="24"/>
        </w:rPr>
      </w:pPr>
    </w:p>
    <w:p w:rsidR="008949A1" w:rsidRPr="003A2CF7" w:rsidRDefault="00934C1F" w:rsidP="003A2CF7">
      <w:pPr>
        <w:spacing w:line="360" w:lineRule="auto"/>
        <w:jc w:val="both"/>
        <w:rPr>
          <w:rFonts w:ascii="Book Antiqua" w:hAnsi="Book Antiqua" w:cs="Arial"/>
          <w:b/>
          <w:sz w:val="24"/>
          <w:szCs w:val="24"/>
          <w:lang w:eastAsia="zh-CN"/>
        </w:rPr>
      </w:pPr>
      <w:r w:rsidRPr="003A2CF7">
        <w:rPr>
          <w:rFonts w:ascii="Book Antiqua" w:hAnsi="Book Antiqua" w:cs="Arial"/>
          <w:b/>
          <w:caps/>
          <w:sz w:val="24"/>
          <w:szCs w:val="24"/>
          <w:lang w:eastAsia="zh-CN"/>
        </w:rPr>
        <w:t xml:space="preserve">literature </w:t>
      </w:r>
      <w:r w:rsidR="0068062B">
        <w:rPr>
          <w:rFonts w:ascii="Book Antiqua" w:hAnsi="Book Antiqua" w:cs="Arial" w:hint="eastAsia"/>
          <w:b/>
          <w:caps/>
          <w:sz w:val="24"/>
          <w:szCs w:val="24"/>
          <w:lang w:eastAsia="zh-CN"/>
        </w:rPr>
        <w:t>RE</w:t>
      </w:r>
      <w:r w:rsidR="008949A1" w:rsidRPr="003A2CF7">
        <w:rPr>
          <w:rFonts w:ascii="Book Antiqua" w:hAnsi="Book Antiqua" w:cs="Arial"/>
          <w:b/>
          <w:caps/>
          <w:sz w:val="24"/>
          <w:szCs w:val="24"/>
          <w:lang w:eastAsia="zh-CN"/>
        </w:rPr>
        <w:t>SEARCH</w:t>
      </w: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sz w:val="24"/>
          <w:szCs w:val="24"/>
        </w:rPr>
        <w:t>To conduct this review, a search of the medical literature of the PubMed database was carried out to identify articles published up to January of 2016. Topically relevant articles were identified using the terms “pseudopolyps", "inflammatory polyps", "inflammatory pseudopolyps", "giant pseudopolyps"," post inflammatory pseudopolyps", "inflammatory bowel disease", "ulcerative colitis", "Crohn’s disease", and "colonic polyps”. Bibliographies of the relevant articles were manually searched to identify potentially topical supplementary references, which were retrieved and reviewed. The images provided in this review represent cases managed in our clinical division</w:t>
      </w:r>
      <w:r w:rsidRPr="003A2CF7">
        <w:rPr>
          <w:rFonts w:ascii="Book Antiqua" w:hAnsi="Book Antiqua" w:cs="Arial"/>
          <w:b/>
          <w:sz w:val="24"/>
          <w:szCs w:val="24"/>
        </w:rPr>
        <w:t>.</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sz w:val="24"/>
          <w:szCs w:val="24"/>
        </w:rPr>
        <w:fldChar w:fldCharType="begin"/>
      </w:r>
      <w:r w:rsidRPr="003A2CF7">
        <w:rPr>
          <w:rFonts w:ascii="Book Antiqua" w:hAnsi="Book Antiqua" w:cs="Arial"/>
          <w:sz w:val="24"/>
          <w:szCs w:val="24"/>
        </w:rPr>
        <w:fldChar w:fldCharType="separate"/>
      </w:r>
      <w:r w:rsidRPr="003A2CF7">
        <w:rPr>
          <w:rFonts w:ascii="Book Antiqua" w:hAnsi="Book Antiqua" w:cs="Arial"/>
          <w:b/>
          <w:sz w:val="24"/>
          <w:szCs w:val="24"/>
        </w:rPr>
        <w:t>{Atten, 1998 #27}</w:t>
      </w:r>
      <w:r w:rsidRPr="003A2CF7">
        <w:rPr>
          <w:rFonts w:ascii="Book Antiqua" w:hAnsi="Book Antiqua" w:cs="Arial"/>
          <w:sz w:val="24"/>
          <w:szCs w:val="24"/>
        </w:rPr>
        <w:fldChar w:fldCharType="end"/>
      </w:r>
      <w:r w:rsidRPr="003A2CF7">
        <w:rPr>
          <w:rFonts w:ascii="Book Antiqua" w:hAnsi="Book Antiqua" w:cs="Arial"/>
          <w:b/>
          <w:sz w:val="24"/>
          <w:szCs w:val="24"/>
        </w:rPr>
        <w:t xml:space="preserve">DEFINITIONS AND MECHANISMS OF FORMATION </w:t>
      </w: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sz w:val="24"/>
          <w:szCs w:val="24"/>
        </w:rPr>
        <w:lastRenderedPageBreak/>
        <w:t>PPs are formed as a consequence of alternating cycles of inflammation and regeneration of the ulcerated epithelium</w:t>
      </w:r>
      <w:r w:rsidRPr="003A2CF7">
        <w:rPr>
          <w:rFonts w:ascii="Book Antiqua" w:hAnsi="Book Antiqua" w:cs="Arial"/>
          <w:noProof/>
          <w:sz w:val="24"/>
          <w:szCs w:val="24"/>
          <w:vertAlign w:val="superscript"/>
        </w:rPr>
        <w:t>[4]</w:t>
      </w:r>
      <w:r w:rsidRPr="003A2CF7">
        <w:rPr>
          <w:rFonts w:ascii="Book Antiqua" w:hAnsi="Book Antiqua" w:cs="Arial"/>
          <w:sz w:val="24"/>
          <w:szCs w:val="24"/>
        </w:rPr>
        <w:t xml:space="preserve">. The terms </w:t>
      </w:r>
      <w:r w:rsidRPr="003A2CF7">
        <w:rPr>
          <w:rFonts w:ascii="Book Antiqua" w:hAnsi="Book Antiqua" w:cs="Arial"/>
          <w:i/>
          <w:sz w:val="24"/>
          <w:szCs w:val="24"/>
        </w:rPr>
        <w:t>pseudopolyps</w:t>
      </w:r>
      <w:r w:rsidRPr="003A2CF7">
        <w:rPr>
          <w:rFonts w:ascii="Book Antiqua" w:hAnsi="Book Antiqua" w:cs="Arial"/>
          <w:noProof/>
          <w:sz w:val="24"/>
          <w:szCs w:val="24"/>
          <w:vertAlign w:val="superscript"/>
        </w:rPr>
        <w:t>[5]</w:t>
      </w:r>
      <w:r w:rsidRPr="003A2CF7">
        <w:rPr>
          <w:rFonts w:ascii="Book Antiqua" w:hAnsi="Book Antiqua" w:cs="Arial"/>
          <w:sz w:val="24"/>
          <w:szCs w:val="24"/>
        </w:rPr>
        <w:t xml:space="preserve">, </w:t>
      </w:r>
      <w:r w:rsidRPr="003A2CF7">
        <w:rPr>
          <w:rFonts w:ascii="Book Antiqua" w:hAnsi="Book Antiqua" w:cs="Arial"/>
          <w:i/>
          <w:sz w:val="24"/>
          <w:szCs w:val="24"/>
        </w:rPr>
        <w:t>inflammatory polyps</w:t>
      </w:r>
      <w:r w:rsidRPr="003A2CF7">
        <w:rPr>
          <w:rFonts w:ascii="Book Antiqua" w:hAnsi="Book Antiqua" w:cs="Arial"/>
          <w:noProof/>
          <w:sz w:val="24"/>
          <w:szCs w:val="24"/>
          <w:vertAlign w:val="superscript"/>
        </w:rPr>
        <w:t>[6]</w:t>
      </w:r>
      <w:r w:rsidRPr="003A2CF7">
        <w:rPr>
          <w:rFonts w:ascii="Book Antiqua" w:hAnsi="Book Antiqua" w:cs="Arial"/>
          <w:sz w:val="24"/>
          <w:szCs w:val="24"/>
        </w:rPr>
        <w:t xml:space="preserve">, </w:t>
      </w:r>
      <w:r w:rsidRPr="003A2CF7">
        <w:rPr>
          <w:rFonts w:ascii="Book Antiqua" w:hAnsi="Book Antiqua" w:cs="Arial"/>
          <w:i/>
          <w:sz w:val="24"/>
          <w:szCs w:val="24"/>
        </w:rPr>
        <w:t>post-inflammatory polyps</w:t>
      </w:r>
      <w:r w:rsidRPr="003A2CF7">
        <w:rPr>
          <w:rFonts w:ascii="Book Antiqua" w:hAnsi="Book Antiqua" w:cs="Arial"/>
          <w:noProof/>
          <w:sz w:val="24"/>
          <w:szCs w:val="24"/>
          <w:vertAlign w:val="superscript"/>
        </w:rPr>
        <w:t>[7]</w:t>
      </w:r>
      <w:r w:rsidRPr="003A2CF7">
        <w:rPr>
          <w:rFonts w:ascii="Book Antiqua" w:hAnsi="Book Antiqua" w:cs="Arial"/>
          <w:sz w:val="24"/>
          <w:szCs w:val="24"/>
        </w:rPr>
        <w:t xml:space="preserve"> or </w:t>
      </w:r>
      <w:r w:rsidRPr="003A2CF7">
        <w:rPr>
          <w:rFonts w:ascii="Book Antiqua" w:hAnsi="Book Antiqua" w:cs="Arial"/>
          <w:i/>
          <w:sz w:val="24"/>
          <w:szCs w:val="24"/>
        </w:rPr>
        <w:t>inflammatory pseudopolyps</w:t>
      </w:r>
      <w:r w:rsidRPr="003A2CF7">
        <w:rPr>
          <w:rFonts w:ascii="Book Antiqua" w:hAnsi="Book Antiqua" w:cs="Arial"/>
          <w:noProof/>
          <w:sz w:val="24"/>
          <w:szCs w:val="24"/>
          <w:vertAlign w:val="superscript"/>
        </w:rPr>
        <w:t>[8]</w:t>
      </w:r>
      <w:r w:rsidRPr="003A2CF7">
        <w:rPr>
          <w:rFonts w:ascii="Book Antiqua" w:hAnsi="Book Antiqua" w:cs="Arial"/>
          <w:sz w:val="24"/>
          <w:szCs w:val="24"/>
        </w:rPr>
        <w:t xml:space="preserve"> are often applied interchangeably in the literature, creating confusion. The term </w:t>
      </w:r>
      <w:r w:rsidRPr="003A2CF7">
        <w:rPr>
          <w:rFonts w:ascii="Book Antiqua" w:hAnsi="Book Antiqua" w:cs="Arial"/>
          <w:i/>
          <w:sz w:val="24"/>
          <w:szCs w:val="24"/>
        </w:rPr>
        <w:t>pseudopolyps</w:t>
      </w:r>
      <w:r w:rsidRPr="003A2CF7">
        <w:rPr>
          <w:rFonts w:ascii="Book Antiqua" w:hAnsi="Book Antiqua" w:cs="Arial"/>
          <w:sz w:val="24"/>
          <w:szCs w:val="24"/>
        </w:rPr>
        <w:t>, however, has been applied to the characterization of surviving islets of mucosa between ulcers during a severe attack, which create the impression of a polyp</w:t>
      </w:r>
      <w:r w:rsidRPr="003A2CF7">
        <w:rPr>
          <w:rFonts w:ascii="Book Antiqua" w:hAnsi="Book Antiqua" w:cs="Arial"/>
          <w:noProof/>
          <w:sz w:val="24"/>
          <w:szCs w:val="24"/>
          <w:vertAlign w:val="superscript"/>
        </w:rPr>
        <w:t>[9]</w:t>
      </w:r>
      <w:r w:rsidRPr="003A2CF7">
        <w:rPr>
          <w:rFonts w:ascii="Book Antiqua" w:hAnsi="Book Antiqua" w:cs="Arial"/>
          <w:sz w:val="24"/>
          <w:szCs w:val="24"/>
        </w:rPr>
        <w:t>, and of loose mucosal tags, which are formed because of severe ulceration undermining the integrity of the muscularis mucosa. In conjunction with the inflammation process and cellular infiltration of the submucosa, granulation tissue is formed, which is more intense in some focal areas, thereby producing inflammatory polyps</w:t>
      </w:r>
      <w:r w:rsidRPr="003A2CF7">
        <w:rPr>
          <w:rFonts w:ascii="Book Antiqua" w:hAnsi="Book Antiqua" w:cs="Arial"/>
          <w:noProof/>
          <w:sz w:val="24"/>
          <w:szCs w:val="24"/>
          <w:vertAlign w:val="superscript"/>
        </w:rPr>
        <w:t>[10]</w:t>
      </w:r>
      <w:r w:rsidRPr="003A2CF7">
        <w:rPr>
          <w:rFonts w:ascii="Book Antiqua" w:hAnsi="Book Antiqua" w:cs="Arial"/>
          <w:sz w:val="24"/>
          <w:szCs w:val="24"/>
        </w:rPr>
        <w:t>. During the healing process, which features re-epithelization and excessive regeneration, post-inflammatory polyps are formed</w:t>
      </w:r>
      <w:r w:rsidRPr="003A2CF7">
        <w:rPr>
          <w:rFonts w:ascii="Book Antiqua" w:hAnsi="Book Antiqua" w:cs="Arial"/>
          <w:noProof/>
          <w:sz w:val="24"/>
          <w:szCs w:val="24"/>
          <w:vertAlign w:val="superscript"/>
        </w:rPr>
        <w:t xml:space="preserve"> [11]</w:t>
      </w:r>
      <w:r w:rsidRPr="003A2CF7">
        <w:rPr>
          <w:rFonts w:ascii="Book Antiqua" w:hAnsi="Book Antiqua" w:cs="Arial"/>
          <w:sz w:val="24"/>
          <w:szCs w:val="24"/>
        </w:rPr>
        <w:t>, taking their shape from the elongation of mucosal tags related to the bowel’s peristaltic contractions and the stream of feces</w:t>
      </w:r>
      <w:r w:rsidRPr="003A2CF7">
        <w:rPr>
          <w:rFonts w:ascii="Book Antiqua" w:hAnsi="Book Antiqua" w:cs="Arial"/>
          <w:noProof/>
          <w:sz w:val="24"/>
          <w:szCs w:val="24"/>
          <w:vertAlign w:val="superscript"/>
        </w:rPr>
        <w:t>[12]</w:t>
      </w:r>
      <w:r w:rsidRPr="003A2CF7">
        <w:rPr>
          <w:rFonts w:ascii="Book Antiqua" w:hAnsi="Book Antiqua" w:cs="Arial"/>
          <w:sz w:val="24"/>
          <w:szCs w:val="24"/>
        </w:rPr>
        <w:t xml:space="preserve">. From this perspective, the post-inflammatory polyps can be separated into the following categories: </w:t>
      </w:r>
      <w:r w:rsidR="00DB4D17" w:rsidRPr="003A2CF7">
        <w:rPr>
          <w:rFonts w:ascii="Book Antiqua" w:hAnsi="Book Antiqua" w:cs="Arial"/>
          <w:sz w:val="24"/>
          <w:szCs w:val="24"/>
          <w:lang w:eastAsia="zh-CN"/>
        </w:rPr>
        <w:t>(</w:t>
      </w:r>
      <w:r w:rsidRPr="003A2CF7">
        <w:rPr>
          <w:rFonts w:ascii="Book Antiqua" w:hAnsi="Book Antiqua" w:cs="Arial"/>
          <w:sz w:val="24"/>
          <w:szCs w:val="24"/>
        </w:rPr>
        <w:t xml:space="preserve">1) Pseudopolyps; </w:t>
      </w:r>
      <w:r w:rsidR="00DB4D17" w:rsidRPr="003A2CF7">
        <w:rPr>
          <w:rFonts w:ascii="Book Antiqua" w:hAnsi="Book Antiqua" w:cs="Arial"/>
          <w:sz w:val="24"/>
          <w:szCs w:val="24"/>
          <w:lang w:eastAsia="zh-CN"/>
        </w:rPr>
        <w:t>(</w:t>
      </w:r>
      <w:r w:rsidRPr="003A2CF7">
        <w:rPr>
          <w:rFonts w:ascii="Book Antiqua" w:hAnsi="Book Antiqua" w:cs="Arial"/>
          <w:sz w:val="24"/>
          <w:szCs w:val="24"/>
        </w:rPr>
        <w:t xml:space="preserve">2) Inflammatory polyps; and </w:t>
      </w:r>
      <w:r w:rsidR="00DB4D17" w:rsidRPr="003A2CF7">
        <w:rPr>
          <w:rFonts w:ascii="Book Antiqua" w:hAnsi="Book Antiqua" w:cs="Arial"/>
          <w:sz w:val="24"/>
          <w:szCs w:val="24"/>
          <w:lang w:eastAsia="zh-CN"/>
        </w:rPr>
        <w:t>(</w:t>
      </w:r>
      <w:r w:rsidRPr="003A2CF7">
        <w:rPr>
          <w:rFonts w:ascii="Book Antiqua" w:hAnsi="Book Antiqua" w:cs="Arial"/>
          <w:sz w:val="24"/>
          <w:szCs w:val="24"/>
        </w:rPr>
        <w:t>3) Post-inflammatory polyps.</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b/>
          <w:sz w:val="24"/>
          <w:szCs w:val="24"/>
        </w:rPr>
        <w:t>HISTOLOGY</w:t>
      </w: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sz w:val="24"/>
          <w:szCs w:val="24"/>
        </w:rPr>
        <w:t>Histology reveals the various aspects of inflammation—acute and chronic—that occur in bowel wall, often simultaneously and parallel in neighboring areas of the colon. The first type is composed only from mucosa, which can be relatively intact or edematous, representing mucosal remnants between zones of ulceration and which, for most authors, are considered the ‘’true’’ PPs</w:t>
      </w:r>
      <w:r w:rsidRPr="003A2CF7">
        <w:rPr>
          <w:rFonts w:ascii="Book Antiqua" w:hAnsi="Book Antiqua" w:cs="Arial"/>
          <w:noProof/>
          <w:sz w:val="24"/>
          <w:szCs w:val="24"/>
          <w:vertAlign w:val="superscript"/>
        </w:rPr>
        <w:t xml:space="preserve">[10] </w:t>
      </w:r>
      <w:r w:rsidRPr="003A2CF7">
        <w:rPr>
          <w:rFonts w:ascii="Book Antiqua" w:hAnsi="Book Antiqua" w:cs="Arial"/>
          <w:noProof/>
          <w:sz w:val="24"/>
          <w:szCs w:val="24"/>
        </w:rPr>
        <w:t>(Figure 1A).</w:t>
      </w: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sz w:val="24"/>
          <w:szCs w:val="24"/>
        </w:rPr>
        <w:t xml:space="preserve"> </w:t>
      </w:r>
      <w:r w:rsidRPr="003A2CF7">
        <w:rPr>
          <w:rFonts w:ascii="Book Antiqua" w:hAnsi="Book Antiqua" w:cs="Arial"/>
          <w:sz w:val="24"/>
          <w:szCs w:val="24"/>
        </w:rPr>
        <w:tab/>
        <w:t xml:space="preserve">Inflammatory polyps consist of compact, non-epithelialized granulation tissue, representing a dense mixture of lymphocytes, plasma cells and mast cells predominantly but also includes neutrophils and eosinophils, all of which are detected as infiltrating the proper lamina of ulcerated epithelium. Post-inflammatory pseudopolyps (PIPs) are composed of a layer of normal or slightly-hyperplastic glandular epithelium, mucosa muscularis and a submucosa </w:t>
      </w:r>
      <w:r w:rsidRPr="003A2CF7">
        <w:rPr>
          <w:rFonts w:ascii="Book Antiqua" w:hAnsi="Book Antiqua" w:cs="Arial"/>
          <w:sz w:val="24"/>
          <w:szCs w:val="24"/>
        </w:rPr>
        <w:lastRenderedPageBreak/>
        <w:t>core of fibrovascular tissue. However, at the bowel wall, mixed forms of these types are frequently found; for example, remnant mucosa infiltrating granulation tissue or granulation tissue at the free ends of post-inflammatory polyps have been detected. The latter is due to secondary ulceration or inflammatory infiltration at the base of PPs</w:t>
      </w:r>
      <w:r w:rsidRPr="003A2CF7">
        <w:rPr>
          <w:rFonts w:ascii="Book Antiqua" w:hAnsi="Book Antiqua" w:cs="Arial"/>
          <w:sz w:val="24"/>
          <w:szCs w:val="24"/>
          <w:vertAlign w:val="superscript"/>
        </w:rPr>
        <w:t>[13]</w:t>
      </w:r>
      <w:r w:rsidRPr="003A2CF7">
        <w:rPr>
          <w:rFonts w:ascii="Book Antiqua" w:hAnsi="Book Antiqua" w:cs="Arial"/>
          <w:sz w:val="24"/>
          <w:szCs w:val="24"/>
        </w:rPr>
        <w:t xml:space="preserve">. </w:t>
      </w:r>
    </w:p>
    <w:p w:rsidR="008949A1" w:rsidRPr="003A2CF7" w:rsidRDefault="008949A1" w:rsidP="003A2CF7">
      <w:pPr>
        <w:spacing w:line="360" w:lineRule="auto"/>
        <w:ind w:firstLine="720"/>
        <w:jc w:val="both"/>
        <w:rPr>
          <w:rFonts w:ascii="Book Antiqua" w:hAnsi="Book Antiqua" w:cs="Arial"/>
          <w:b/>
          <w:sz w:val="24"/>
          <w:szCs w:val="24"/>
        </w:rPr>
      </w:pPr>
      <w:r w:rsidRPr="003A2CF7">
        <w:rPr>
          <w:rFonts w:ascii="Book Antiqua" w:hAnsi="Book Antiqua" w:cs="Arial"/>
          <w:sz w:val="24"/>
          <w:szCs w:val="24"/>
        </w:rPr>
        <w:t xml:space="preserve">Kelly </w:t>
      </w:r>
      <w:r w:rsidRPr="003A2CF7">
        <w:rPr>
          <w:rFonts w:ascii="Book Antiqua" w:hAnsi="Book Antiqua" w:cs="Arial"/>
          <w:i/>
          <w:sz w:val="24"/>
          <w:szCs w:val="24"/>
        </w:rPr>
        <w:t>et al</w:t>
      </w:r>
      <w:r w:rsidRPr="003A2CF7">
        <w:rPr>
          <w:rFonts w:ascii="Book Antiqua" w:hAnsi="Book Antiqua" w:cs="Arial"/>
          <w:sz w:val="24"/>
          <w:szCs w:val="24"/>
          <w:vertAlign w:val="superscript"/>
        </w:rPr>
        <w:t>[</w:t>
      </w:r>
      <w:r w:rsidRPr="003A2CF7">
        <w:rPr>
          <w:rFonts w:ascii="Book Antiqua" w:hAnsi="Book Antiqua" w:cs="Arial"/>
          <w:noProof/>
          <w:sz w:val="24"/>
          <w:szCs w:val="24"/>
          <w:vertAlign w:val="superscript"/>
        </w:rPr>
        <w:t>6]</w:t>
      </w:r>
      <w:r w:rsidRPr="003A2CF7">
        <w:rPr>
          <w:rFonts w:ascii="Book Antiqua" w:hAnsi="Book Antiqua" w:cs="Arial"/>
          <w:sz w:val="24"/>
          <w:szCs w:val="24"/>
        </w:rPr>
        <w:t xml:space="preserve"> divided PP types into polypoid mucosal tags and mature inflammatory polyps, encompassing essentially all the previous forms, and proposed the term </w:t>
      </w:r>
      <w:r w:rsidRPr="003A2CF7">
        <w:rPr>
          <w:rFonts w:ascii="Book Antiqua" w:hAnsi="Book Antiqua" w:cs="Arial"/>
          <w:i/>
          <w:sz w:val="24"/>
          <w:szCs w:val="24"/>
        </w:rPr>
        <w:t>inflammatory polyp</w:t>
      </w:r>
      <w:r w:rsidRPr="003A2CF7">
        <w:rPr>
          <w:rFonts w:ascii="Book Antiqua" w:hAnsi="Book Antiqua" w:cs="Arial"/>
          <w:sz w:val="24"/>
          <w:szCs w:val="24"/>
        </w:rPr>
        <w:t xml:space="preserve"> as the most appropriate for general use. Histology of the giant pseudopolyp (GPP) type of PIP is composed of multiple bands of the same elements</w:t>
      </w:r>
      <w:r w:rsidRPr="003A2CF7">
        <w:rPr>
          <w:rFonts w:ascii="Book Antiqua" w:hAnsi="Book Antiqua" w:cs="Arial"/>
          <w:noProof/>
          <w:sz w:val="24"/>
          <w:szCs w:val="24"/>
          <w:vertAlign w:val="superscript"/>
        </w:rPr>
        <w:t>[5]</w:t>
      </w:r>
      <w:r w:rsidRPr="003A2CF7">
        <w:rPr>
          <w:rFonts w:ascii="Book Antiqua" w:hAnsi="Book Antiqua" w:cs="Arial"/>
          <w:noProof/>
          <w:sz w:val="24"/>
          <w:szCs w:val="24"/>
        </w:rPr>
        <w:t>.</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b/>
          <w:sz w:val="24"/>
          <w:szCs w:val="24"/>
        </w:rPr>
        <w:t xml:space="preserve">MORPHOLOGY AND DISTINCT FORMS OF PP </w:t>
      </w:r>
    </w:p>
    <w:p w:rsidR="008949A1" w:rsidRPr="003A2CF7" w:rsidRDefault="008949A1" w:rsidP="003A2CF7">
      <w:pPr>
        <w:spacing w:line="360" w:lineRule="auto"/>
        <w:jc w:val="both"/>
        <w:rPr>
          <w:rFonts w:ascii="Book Antiqua" w:hAnsi="Book Antiqua" w:cs="Arial"/>
          <w:noProof/>
          <w:sz w:val="24"/>
          <w:szCs w:val="24"/>
        </w:rPr>
      </w:pPr>
      <w:r w:rsidRPr="003A2CF7">
        <w:rPr>
          <w:rFonts w:ascii="Book Antiqua" w:hAnsi="Book Antiqua" w:cs="Arial"/>
          <w:sz w:val="24"/>
          <w:szCs w:val="24"/>
        </w:rPr>
        <w:t>PPs exist in a variety of forms, including sessile, frond-like and pedunculated, and they can occur as solitary or multiple, or as diffuse or localized in distribution</w:t>
      </w:r>
      <w:r w:rsidRPr="003A2CF7">
        <w:rPr>
          <w:rFonts w:ascii="Book Antiqua" w:hAnsi="Book Antiqua" w:cs="Arial"/>
          <w:noProof/>
          <w:sz w:val="24"/>
          <w:szCs w:val="24"/>
          <w:vertAlign w:val="superscript"/>
        </w:rPr>
        <w:t>[9]</w:t>
      </w:r>
      <w:r w:rsidRPr="003A2CF7">
        <w:rPr>
          <w:rFonts w:ascii="Book Antiqua" w:hAnsi="Book Antiqua" w:cs="Arial"/>
          <w:sz w:val="24"/>
          <w:szCs w:val="24"/>
        </w:rPr>
        <w:t xml:space="preserve">. They also vary in size, but are usually short. When a PP exceeds 1.5 cm in size </w:t>
      </w:r>
      <w:r w:rsidRPr="003A2CF7">
        <w:rPr>
          <w:rFonts w:ascii="Book Antiqua" w:hAnsi="Book Antiqua" w:cs="Arial"/>
          <w:noProof/>
          <w:sz w:val="24"/>
          <w:szCs w:val="24"/>
        </w:rPr>
        <w:t>(Figure 1B)</w:t>
      </w:r>
      <w:r w:rsidRPr="003A2CF7">
        <w:rPr>
          <w:rFonts w:ascii="Book Antiqua" w:hAnsi="Book Antiqua" w:cs="Arial"/>
          <w:sz w:val="24"/>
          <w:szCs w:val="24"/>
        </w:rPr>
        <w:t xml:space="preserve">, the term </w:t>
      </w:r>
      <w:r w:rsidRPr="003A2CF7">
        <w:rPr>
          <w:rFonts w:ascii="Book Antiqua" w:hAnsi="Book Antiqua" w:cs="Arial"/>
          <w:i/>
          <w:sz w:val="24"/>
          <w:szCs w:val="24"/>
        </w:rPr>
        <w:t>giant pseudopolyp</w:t>
      </w:r>
      <w:r w:rsidRPr="003A2CF7">
        <w:rPr>
          <w:rFonts w:ascii="Book Antiqua" w:hAnsi="Book Antiqua" w:cs="Arial"/>
          <w:sz w:val="24"/>
          <w:szCs w:val="24"/>
        </w:rPr>
        <w:t xml:space="preserve"> has prevailed for their characterization</w:t>
      </w:r>
      <w:r w:rsidRPr="003A2CF7">
        <w:rPr>
          <w:rFonts w:ascii="Book Antiqua" w:hAnsi="Book Antiqua" w:cs="Arial"/>
          <w:noProof/>
          <w:sz w:val="24"/>
          <w:szCs w:val="24"/>
          <w:vertAlign w:val="superscript"/>
        </w:rPr>
        <w:t>[5]</w:t>
      </w:r>
      <w:r w:rsidRPr="003A2CF7">
        <w:rPr>
          <w:rFonts w:ascii="Book Antiqua" w:hAnsi="Book Antiqua" w:cs="Arial"/>
          <w:sz w:val="24"/>
          <w:szCs w:val="24"/>
        </w:rPr>
        <w:t>, with this description first appearing in the literature in 1965</w:t>
      </w:r>
      <w:r w:rsidRPr="003A2CF7">
        <w:rPr>
          <w:rFonts w:ascii="Book Antiqua" w:hAnsi="Book Antiqua" w:cs="Arial"/>
          <w:noProof/>
          <w:sz w:val="24"/>
          <w:szCs w:val="24"/>
          <w:vertAlign w:val="superscript"/>
        </w:rPr>
        <w:t>[9]</w:t>
      </w:r>
      <w:r w:rsidRPr="003A2CF7">
        <w:rPr>
          <w:rFonts w:ascii="Book Antiqua" w:hAnsi="Book Antiqua" w:cs="Arial"/>
          <w:noProof/>
          <w:sz w:val="24"/>
          <w:szCs w:val="24"/>
        </w:rPr>
        <w:t xml:space="preserve">. </w:t>
      </w:r>
    </w:p>
    <w:p w:rsidR="008949A1" w:rsidRPr="003A2CF7" w:rsidRDefault="008949A1" w:rsidP="003A2CF7">
      <w:pPr>
        <w:spacing w:line="360" w:lineRule="auto"/>
        <w:ind w:firstLine="720"/>
        <w:jc w:val="both"/>
        <w:rPr>
          <w:rFonts w:ascii="Book Antiqua" w:hAnsi="Book Antiqua" w:cs="Arial"/>
          <w:sz w:val="24"/>
          <w:szCs w:val="24"/>
        </w:rPr>
      </w:pPr>
      <w:r w:rsidRPr="003A2CF7">
        <w:rPr>
          <w:rFonts w:ascii="Book Antiqua" w:hAnsi="Book Antiqua" w:cs="Arial"/>
          <w:sz w:val="24"/>
          <w:szCs w:val="24"/>
        </w:rPr>
        <w:t>A distinct form of the post-inflammatory polyps is the filiform polyps. These appear as slender, finger-like or worm-like projections of the mucosa and sub-mucosa, and look like a polyp stalk without a head and often with branching</w:t>
      </w:r>
      <w:r w:rsidRPr="003A2CF7">
        <w:rPr>
          <w:rFonts w:ascii="Book Antiqua" w:hAnsi="Book Antiqua" w:cs="Arial"/>
          <w:noProof/>
          <w:sz w:val="24"/>
          <w:szCs w:val="24"/>
          <w:vertAlign w:val="superscript"/>
        </w:rPr>
        <w:t>[14]</w:t>
      </w:r>
      <w:r w:rsidRPr="003A2CF7">
        <w:rPr>
          <w:rFonts w:ascii="Book Antiqua" w:hAnsi="Book Antiqua" w:cs="Arial"/>
          <w:sz w:val="24"/>
          <w:szCs w:val="24"/>
        </w:rPr>
        <w:t xml:space="preserve"> (Figure 1C, D). They often create a cluster, and as such are termed as </w:t>
      </w:r>
      <w:r w:rsidRPr="003A2CF7">
        <w:rPr>
          <w:rFonts w:ascii="Book Antiqua" w:hAnsi="Book Antiqua" w:cs="Arial"/>
          <w:i/>
          <w:sz w:val="24"/>
          <w:szCs w:val="24"/>
        </w:rPr>
        <w:t>localized giant pseudopolyposis</w:t>
      </w:r>
      <w:r w:rsidRPr="003A2CF7">
        <w:rPr>
          <w:rFonts w:ascii="Book Antiqua" w:hAnsi="Book Antiqua" w:cs="Arial"/>
          <w:noProof/>
          <w:sz w:val="24"/>
          <w:szCs w:val="24"/>
          <w:vertAlign w:val="superscript"/>
        </w:rPr>
        <w:t>[15]</w:t>
      </w:r>
      <w:r w:rsidRPr="003A2CF7">
        <w:rPr>
          <w:rFonts w:ascii="Book Antiqua" w:hAnsi="Book Antiqua" w:cs="Arial"/>
          <w:noProof/>
          <w:sz w:val="24"/>
          <w:szCs w:val="24"/>
        </w:rPr>
        <w:t xml:space="preserve"> (Figure 1E, F).</w:t>
      </w:r>
      <w:r w:rsidRPr="003A2CF7">
        <w:rPr>
          <w:rFonts w:ascii="Book Antiqua" w:hAnsi="Book Antiqua" w:cs="Arial"/>
          <w:sz w:val="24"/>
          <w:szCs w:val="24"/>
        </w:rPr>
        <w:t xml:space="preserve"> In the literature, the term </w:t>
      </w:r>
      <w:r w:rsidRPr="003A2CF7">
        <w:rPr>
          <w:rFonts w:ascii="Book Antiqua" w:hAnsi="Book Antiqua" w:cs="Arial"/>
          <w:i/>
          <w:sz w:val="24"/>
          <w:szCs w:val="24"/>
        </w:rPr>
        <w:t>filiform polyposis</w:t>
      </w:r>
      <w:r w:rsidRPr="003A2CF7">
        <w:rPr>
          <w:rFonts w:ascii="Book Antiqua" w:hAnsi="Book Antiqua" w:cs="Arial"/>
          <w:sz w:val="24"/>
          <w:szCs w:val="24"/>
        </w:rPr>
        <w:t xml:space="preserve"> often accounts for GPPs</w:t>
      </w:r>
      <w:r w:rsidRPr="003A2CF7">
        <w:rPr>
          <w:rFonts w:ascii="Book Antiqua" w:hAnsi="Book Antiqua" w:cs="Arial"/>
          <w:noProof/>
          <w:sz w:val="24"/>
          <w:szCs w:val="24"/>
          <w:vertAlign w:val="superscript"/>
        </w:rPr>
        <w:t>[7]</w:t>
      </w:r>
      <w:r w:rsidRPr="003A2CF7">
        <w:rPr>
          <w:rFonts w:ascii="Book Antiqua" w:hAnsi="Book Antiqua" w:cs="Arial"/>
          <w:sz w:val="24"/>
          <w:szCs w:val="24"/>
        </w:rPr>
        <w:t>. Another distinct form of the post-inflammatory polyps is the bridged PP, representing a mucosal bridge that formed from a long filiform polyp connecting to the opposite end of the lumen</w:t>
      </w:r>
      <w:r w:rsidRPr="003A2CF7">
        <w:rPr>
          <w:rFonts w:ascii="Book Antiqua" w:hAnsi="Book Antiqua" w:cs="Arial"/>
          <w:noProof/>
          <w:sz w:val="24"/>
          <w:szCs w:val="24"/>
          <w:vertAlign w:val="superscript"/>
        </w:rPr>
        <w:t>[16]</w:t>
      </w:r>
      <w:r w:rsidRPr="003A2CF7">
        <w:rPr>
          <w:rFonts w:ascii="Book Antiqua" w:hAnsi="Book Antiqua" w:cs="Arial"/>
          <w:sz w:val="24"/>
          <w:szCs w:val="24"/>
        </w:rPr>
        <w:t>.</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b/>
          <w:sz w:val="24"/>
          <w:szCs w:val="24"/>
        </w:rPr>
        <w:t xml:space="preserve">LOCATION AND DISTRIBUTION OF PPs </w:t>
      </w: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sz w:val="24"/>
          <w:szCs w:val="24"/>
        </w:rPr>
        <w:lastRenderedPageBreak/>
        <w:t>PPs are more commonly encountered in large intestine, likely due to this tissue being affected in both UC and Crohn’s disease (CD). The most common site is transverse colon and, thereafter, descending and sigmoid colon, with rectum being the least common site; moreover, PP in the rectum are usually found at the upper third region</w:t>
      </w:r>
      <w:r w:rsidRPr="003A2CF7">
        <w:rPr>
          <w:rFonts w:ascii="Book Antiqua" w:hAnsi="Book Antiqua" w:cs="Arial"/>
          <w:sz w:val="24"/>
          <w:szCs w:val="24"/>
          <w:vertAlign w:val="superscript"/>
        </w:rPr>
        <w:t>[</w:t>
      </w:r>
      <w:r w:rsidRPr="003A2CF7">
        <w:rPr>
          <w:rFonts w:ascii="Book Antiqua" w:hAnsi="Book Antiqua" w:cs="Arial"/>
          <w:noProof/>
          <w:sz w:val="24"/>
          <w:szCs w:val="24"/>
          <w:vertAlign w:val="superscript"/>
        </w:rPr>
        <w:t>17]</w:t>
      </w:r>
      <w:r w:rsidRPr="003A2CF7">
        <w:rPr>
          <w:rFonts w:ascii="Book Antiqua" w:hAnsi="Book Antiqua" w:cs="Arial"/>
          <w:sz w:val="24"/>
          <w:szCs w:val="24"/>
        </w:rPr>
        <w:t>. The GPPs show similar topographic occurrence</w:t>
      </w:r>
      <w:r w:rsidRPr="003A2CF7">
        <w:rPr>
          <w:rFonts w:ascii="Book Antiqua" w:hAnsi="Book Antiqua" w:cs="Arial"/>
          <w:sz w:val="24"/>
          <w:szCs w:val="24"/>
          <w:vertAlign w:val="superscript"/>
        </w:rPr>
        <w:t>[7]</w:t>
      </w:r>
      <w:r w:rsidRPr="003A2CF7">
        <w:rPr>
          <w:rFonts w:ascii="Book Antiqua" w:hAnsi="Book Antiqua" w:cs="Arial"/>
          <w:sz w:val="24"/>
          <w:szCs w:val="24"/>
        </w:rPr>
        <w:t>. However, as CD can involve the entire gastrointestinal tract, the PPs can be present throughout but have been detected less often in extra-colonic regions. There is an exception to this distribution pattern for UC patients with backwash ileitis, wherein PPs have also been found at the terminal ileum</w:t>
      </w:r>
      <w:r w:rsidRPr="003A2CF7">
        <w:rPr>
          <w:rFonts w:ascii="Book Antiqua" w:hAnsi="Book Antiqua" w:cs="Arial"/>
          <w:noProof/>
          <w:sz w:val="24"/>
          <w:szCs w:val="24"/>
          <w:vertAlign w:val="superscript"/>
        </w:rPr>
        <w:t>[18]</w:t>
      </w:r>
      <w:r w:rsidRPr="003A2CF7">
        <w:rPr>
          <w:rFonts w:ascii="Book Antiqua" w:hAnsi="Book Antiqua" w:cs="Arial"/>
          <w:sz w:val="24"/>
          <w:szCs w:val="24"/>
        </w:rPr>
        <w:t>. There are also reports of PPs located at the esophagus</w:t>
      </w:r>
      <w:r w:rsidRPr="003A2CF7">
        <w:rPr>
          <w:rFonts w:ascii="Book Antiqua" w:hAnsi="Book Antiqua" w:cs="Arial"/>
          <w:noProof/>
          <w:sz w:val="24"/>
          <w:szCs w:val="24"/>
          <w:vertAlign w:val="superscript"/>
        </w:rPr>
        <w:t>[19]</w:t>
      </w:r>
      <w:r w:rsidRPr="003A2CF7">
        <w:rPr>
          <w:rFonts w:ascii="Book Antiqua" w:hAnsi="Book Antiqua" w:cs="Arial"/>
          <w:sz w:val="24"/>
          <w:szCs w:val="24"/>
        </w:rPr>
        <w:t>, stomach</w:t>
      </w:r>
      <w:r w:rsidRPr="003A2CF7">
        <w:rPr>
          <w:rFonts w:ascii="Book Antiqua" w:hAnsi="Book Antiqua" w:cs="Arial"/>
          <w:noProof/>
          <w:sz w:val="24"/>
          <w:szCs w:val="24"/>
          <w:vertAlign w:val="superscript"/>
        </w:rPr>
        <w:t>[20]</w:t>
      </w:r>
      <w:r w:rsidRPr="003A2CF7">
        <w:rPr>
          <w:rFonts w:ascii="Book Antiqua" w:hAnsi="Book Antiqua" w:cs="Arial"/>
          <w:sz w:val="24"/>
          <w:szCs w:val="24"/>
        </w:rPr>
        <w:t>, and different parts of the small bowel</w:t>
      </w:r>
      <w:r w:rsidRPr="003A2CF7">
        <w:rPr>
          <w:rFonts w:ascii="Book Antiqua" w:hAnsi="Book Antiqua" w:cs="Arial"/>
          <w:noProof/>
          <w:sz w:val="24"/>
          <w:szCs w:val="24"/>
          <w:vertAlign w:val="superscript"/>
        </w:rPr>
        <w:t>[21]</w:t>
      </w:r>
      <w:r w:rsidRPr="003A2CF7">
        <w:rPr>
          <w:rFonts w:ascii="Book Antiqua" w:hAnsi="Book Antiqua" w:cs="Arial"/>
          <w:sz w:val="24"/>
          <w:szCs w:val="24"/>
        </w:rPr>
        <w:t>, with ileum presentation predominating in the latter</w:t>
      </w:r>
      <w:r w:rsidRPr="003A2CF7">
        <w:rPr>
          <w:rFonts w:ascii="Book Antiqua" w:hAnsi="Book Antiqua" w:cs="Arial"/>
          <w:noProof/>
          <w:sz w:val="24"/>
          <w:szCs w:val="24"/>
          <w:vertAlign w:val="superscript"/>
        </w:rPr>
        <w:t>[22]</w:t>
      </w:r>
      <w:r w:rsidRPr="003A2CF7">
        <w:rPr>
          <w:rFonts w:ascii="Book Antiqua" w:hAnsi="Book Antiqua" w:cs="Arial"/>
          <w:sz w:val="24"/>
          <w:szCs w:val="24"/>
        </w:rPr>
        <w:t>. There is one case report of a CD patient with pansinusitis location of PP, which regressed with medical therapy</w:t>
      </w:r>
      <w:r w:rsidRPr="003A2CF7">
        <w:rPr>
          <w:rFonts w:ascii="Book Antiqua" w:hAnsi="Book Antiqua" w:cs="Arial"/>
          <w:noProof/>
          <w:sz w:val="24"/>
          <w:szCs w:val="24"/>
          <w:vertAlign w:val="superscript"/>
        </w:rPr>
        <w:t>[23]</w:t>
      </w:r>
      <w:r w:rsidRPr="003A2CF7">
        <w:rPr>
          <w:rFonts w:ascii="Book Antiqua" w:hAnsi="Book Antiqua" w:cs="Arial"/>
          <w:sz w:val="24"/>
          <w:szCs w:val="24"/>
        </w:rPr>
        <w:t>, and another case report of a patient with refractory pouchitis who presented with a large PP located in an affected pouch</w:t>
      </w:r>
      <w:r w:rsidRPr="003A2CF7">
        <w:rPr>
          <w:rFonts w:ascii="Book Antiqua" w:hAnsi="Book Antiqua" w:cs="Arial"/>
          <w:sz w:val="24"/>
          <w:szCs w:val="24"/>
          <w:vertAlign w:val="superscript"/>
        </w:rPr>
        <w:t>[</w:t>
      </w:r>
      <w:r w:rsidRPr="003A2CF7">
        <w:rPr>
          <w:rFonts w:ascii="Book Antiqua" w:hAnsi="Book Antiqua" w:cs="Arial"/>
          <w:noProof/>
          <w:sz w:val="24"/>
          <w:szCs w:val="24"/>
          <w:vertAlign w:val="superscript"/>
        </w:rPr>
        <w:t>24]</w:t>
      </w:r>
      <w:r w:rsidRPr="003A2CF7">
        <w:rPr>
          <w:rFonts w:ascii="Book Antiqua" w:hAnsi="Book Antiqua" w:cs="Arial"/>
          <w:sz w:val="24"/>
          <w:szCs w:val="24"/>
        </w:rPr>
        <w:t>.</w:t>
      </w:r>
      <w:r w:rsidRPr="003A2CF7">
        <w:rPr>
          <w:rFonts w:ascii="Book Antiqua" w:hAnsi="Book Antiqua" w:cs="Arial"/>
          <w:b/>
          <w:sz w:val="24"/>
          <w:szCs w:val="24"/>
        </w:rPr>
        <w:t xml:space="preserve"> </w:t>
      </w:r>
    </w:p>
    <w:p w:rsidR="008949A1" w:rsidRPr="003A2CF7" w:rsidRDefault="008949A1" w:rsidP="003A2CF7">
      <w:pPr>
        <w:spacing w:line="360" w:lineRule="auto"/>
        <w:jc w:val="both"/>
        <w:rPr>
          <w:rFonts w:ascii="Book Antiqua" w:hAnsi="Book Antiqua" w:cs="Arial"/>
          <w:b/>
          <w:sz w:val="24"/>
          <w:szCs w:val="24"/>
        </w:rPr>
      </w:pP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b/>
          <w:sz w:val="24"/>
          <w:szCs w:val="24"/>
        </w:rPr>
        <w:t xml:space="preserve">PREVALENCE OF PP IN IBD </w:t>
      </w: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sz w:val="24"/>
          <w:szCs w:val="24"/>
        </w:rPr>
        <w:t>PPs are a common finding in IBD</w:t>
      </w:r>
      <w:r w:rsidRPr="003A2CF7">
        <w:rPr>
          <w:rFonts w:ascii="Book Antiqua" w:hAnsi="Book Antiqua" w:cs="Arial"/>
          <w:noProof/>
          <w:sz w:val="24"/>
          <w:szCs w:val="24"/>
          <w:vertAlign w:val="superscript"/>
        </w:rPr>
        <w:t>[13]</w:t>
      </w:r>
      <w:r w:rsidRPr="003A2CF7">
        <w:rPr>
          <w:rFonts w:ascii="Book Antiqua" w:hAnsi="Book Antiqua" w:cs="Arial"/>
          <w:sz w:val="24"/>
          <w:szCs w:val="24"/>
        </w:rPr>
        <w:t>. They are found more often in UC than in CD, and some authors have reported a double prevalence in UC as compared with colonic CD</w:t>
      </w:r>
      <w:r w:rsidRPr="003A2CF7">
        <w:rPr>
          <w:rFonts w:ascii="Book Antiqua" w:hAnsi="Book Antiqua" w:cs="Arial"/>
          <w:noProof/>
          <w:sz w:val="24"/>
          <w:szCs w:val="24"/>
          <w:vertAlign w:val="superscript"/>
        </w:rPr>
        <w:t>[25]</w:t>
      </w:r>
      <w:r w:rsidRPr="003A2CF7">
        <w:rPr>
          <w:rFonts w:ascii="Book Antiqua" w:hAnsi="Book Antiqua" w:cs="Arial"/>
          <w:sz w:val="24"/>
          <w:szCs w:val="24"/>
        </w:rPr>
        <w:t>. The reported prevalence rates vary from 4% to 74%</w:t>
      </w:r>
      <w:r w:rsidRPr="003A2CF7">
        <w:rPr>
          <w:rFonts w:ascii="Book Antiqua" w:hAnsi="Book Antiqua" w:cs="Arial"/>
          <w:noProof/>
          <w:sz w:val="24"/>
          <w:szCs w:val="24"/>
          <w:vertAlign w:val="superscript"/>
        </w:rPr>
        <w:t>[26,27]</w:t>
      </w:r>
      <w:r w:rsidRPr="003A2CF7">
        <w:rPr>
          <w:rFonts w:ascii="Book Antiqua" w:hAnsi="Book Antiqua" w:cs="Arial"/>
          <w:sz w:val="24"/>
          <w:szCs w:val="24"/>
        </w:rPr>
        <w:t>, but most of the data supporting these findings was obtained from older studies that considered only UC. The most commonly reported incidence rates in UC fall within the range of 10%-20%</w:t>
      </w:r>
      <w:r w:rsidRPr="003A2CF7">
        <w:rPr>
          <w:rFonts w:ascii="Book Antiqua" w:hAnsi="Book Antiqua" w:cs="Arial"/>
          <w:noProof/>
          <w:sz w:val="24"/>
          <w:szCs w:val="24"/>
          <w:vertAlign w:val="superscript"/>
        </w:rPr>
        <w:t>[28]</w:t>
      </w:r>
      <w:r w:rsidRPr="003A2CF7">
        <w:rPr>
          <w:rFonts w:ascii="Book Antiqua" w:hAnsi="Book Antiqua" w:cs="Arial"/>
          <w:sz w:val="24"/>
          <w:szCs w:val="24"/>
        </w:rPr>
        <w:t>. This variation in reported prevalence can be ascribed to miscellaneous diagnostic criteria and different populations studied</w:t>
      </w:r>
      <w:r w:rsidRPr="003A2CF7">
        <w:rPr>
          <w:rFonts w:ascii="Book Antiqua" w:hAnsi="Book Antiqua" w:cs="Arial"/>
          <w:sz w:val="24"/>
          <w:szCs w:val="24"/>
          <w:vertAlign w:val="superscript"/>
        </w:rPr>
        <w:t>[</w:t>
      </w:r>
      <w:r w:rsidRPr="003A2CF7">
        <w:rPr>
          <w:rFonts w:ascii="Book Antiqua" w:hAnsi="Book Antiqua" w:cs="Arial"/>
          <w:noProof/>
          <w:sz w:val="24"/>
          <w:szCs w:val="24"/>
          <w:vertAlign w:val="superscript"/>
        </w:rPr>
        <w:t>6,9-11,17,19,21,26,29-50]</w:t>
      </w:r>
      <w:r w:rsidRPr="003A2CF7">
        <w:rPr>
          <w:rFonts w:ascii="Book Antiqua" w:hAnsi="Book Antiqua" w:cs="Arial"/>
          <w:sz w:val="24"/>
          <w:szCs w:val="24"/>
        </w:rPr>
        <w:t xml:space="preserve"> (Table 1). For the prevalence of GPP, in particular, a review of 53 colectomised patients with GPPs found that 66.6% had CD and 33.7% had UC</w:t>
      </w:r>
      <w:r w:rsidRPr="003A2CF7">
        <w:rPr>
          <w:rFonts w:ascii="Book Antiqua" w:hAnsi="Book Antiqua" w:cs="Arial"/>
          <w:noProof/>
          <w:sz w:val="24"/>
          <w:szCs w:val="24"/>
          <w:vertAlign w:val="superscript"/>
        </w:rPr>
        <w:t>[12]</w:t>
      </w:r>
      <w:r w:rsidRPr="003A2CF7">
        <w:rPr>
          <w:rFonts w:ascii="Book Antiqua" w:hAnsi="Book Antiqua" w:cs="Arial"/>
          <w:sz w:val="24"/>
          <w:szCs w:val="24"/>
        </w:rPr>
        <w:t>; however, a more recent review of 78 patients with IBDs and GPPs found a prevalence of 53.8% in UC patients, which was slightly higher than that found in CD patients (46.2%)</w:t>
      </w:r>
      <w:r w:rsidRPr="003A2CF7">
        <w:rPr>
          <w:rFonts w:ascii="Book Antiqua" w:hAnsi="Book Antiqua" w:cs="Arial"/>
          <w:sz w:val="24"/>
          <w:szCs w:val="24"/>
          <w:vertAlign w:val="superscript"/>
        </w:rPr>
        <w:t>[7]</w:t>
      </w:r>
      <w:r w:rsidRPr="003A2CF7">
        <w:rPr>
          <w:rFonts w:ascii="Book Antiqua" w:hAnsi="Book Antiqua" w:cs="Arial"/>
          <w:sz w:val="24"/>
          <w:szCs w:val="24"/>
        </w:rPr>
        <w:t xml:space="preserve">. </w:t>
      </w:r>
    </w:p>
    <w:p w:rsidR="008949A1" w:rsidRPr="003A2CF7" w:rsidRDefault="008949A1" w:rsidP="003A2CF7">
      <w:pPr>
        <w:spacing w:line="360" w:lineRule="auto"/>
        <w:ind w:firstLineChars="100" w:firstLine="240"/>
        <w:jc w:val="both"/>
        <w:rPr>
          <w:rFonts w:ascii="Book Antiqua" w:hAnsi="Book Antiqua" w:cs="Arial"/>
          <w:sz w:val="24"/>
          <w:szCs w:val="24"/>
        </w:rPr>
      </w:pPr>
      <w:r w:rsidRPr="003A2CF7">
        <w:rPr>
          <w:rFonts w:ascii="Book Antiqua" w:hAnsi="Book Antiqua" w:cs="Arial"/>
          <w:sz w:val="24"/>
          <w:szCs w:val="24"/>
        </w:rPr>
        <w:lastRenderedPageBreak/>
        <w:t xml:space="preserve">There is similar prevalence of PPs in both sexes, and the peak overall incidence is at the ages between 20-40 years. There is no trend in increasing prevalence with extended period of history of the IBD. Specifically, Jalan </w:t>
      </w:r>
      <w:r w:rsidRPr="003A2CF7">
        <w:rPr>
          <w:rFonts w:ascii="Book Antiqua" w:hAnsi="Book Antiqua" w:cs="Arial"/>
          <w:i/>
          <w:sz w:val="24"/>
          <w:szCs w:val="24"/>
        </w:rPr>
        <w:t>et al</w:t>
      </w:r>
      <w:r w:rsidRPr="003A2CF7">
        <w:rPr>
          <w:rFonts w:ascii="Book Antiqua" w:hAnsi="Book Antiqua" w:cs="Arial"/>
          <w:noProof/>
          <w:sz w:val="24"/>
          <w:szCs w:val="24"/>
          <w:vertAlign w:val="superscript"/>
        </w:rPr>
        <w:t>[10]</w:t>
      </w:r>
      <w:r w:rsidRPr="003A2CF7">
        <w:rPr>
          <w:rFonts w:ascii="Book Antiqua" w:hAnsi="Book Antiqua" w:cs="Arial"/>
          <w:sz w:val="24"/>
          <w:szCs w:val="24"/>
        </w:rPr>
        <w:t xml:space="preserve"> reported that 33% of patients with PP had a &lt; 5-mo history of UC and De Dombal </w:t>
      </w:r>
      <w:r w:rsidRPr="003A2CF7">
        <w:rPr>
          <w:rFonts w:ascii="Book Antiqua" w:hAnsi="Book Antiqua" w:cs="Arial"/>
          <w:i/>
          <w:sz w:val="24"/>
          <w:szCs w:val="24"/>
        </w:rPr>
        <w:t>et al</w:t>
      </w:r>
      <w:r w:rsidRPr="003A2CF7">
        <w:rPr>
          <w:rFonts w:ascii="Book Antiqua" w:hAnsi="Book Antiqua" w:cs="Arial"/>
          <w:noProof/>
          <w:sz w:val="24"/>
          <w:szCs w:val="24"/>
          <w:vertAlign w:val="superscript"/>
        </w:rPr>
        <w:t>[17]</w:t>
      </w:r>
      <w:r w:rsidRPr="003A2CF7">
        <w:rPr>
          <w:rFonts w:ascii="Book Antiqua" w:hAnsi="Book Antiqua" w:cs="Arial"/>
          <w:sz w:val="24"/>
          <w:szCs w:val="24"/>
        </w:rPr>
        <w:t xml:space="preserve"> reported that among 204 patients with UC, 8.8% had PP on the first flare. For cases of GPPs, Ooi </w:t>
      </w:r>
      <w:r w:rsidRPr="003A2CF7">
        <w:rPr>
          <w:rFonts w:ascii="Book Antiqua" w:hAnsi="Book Antiqua" w:cs="Arial"/>
          <w:i/>
          <w:sz w:val="24"/>
          <w:szCs w:val="24"/>
        </w:rPr>
        <w:t>et al</w:t>
      </w:r>
      <w:r w:rsidRPr="003A2CF7">
        <w:rPr>
          <w:rFonts w:ascii="Book Antiqua" w:hAnsi="Book Antiqua" w:cs="Arial"/>
          <w:noProof/>
          <w:sz w:val="24"/>
          <w:szCs w:val="24"/>
          <w:vertAlign w:val="superscript"/>
        </w:rPr>
        <w:t>[51]</w:t>
      </w:r>
      <w:r w:rsidRPr="003A2CF7">
        <w:rPr>
          <w:rFonts w:ascii="Book Antiqua" w:hAnsi="Book Antiqua" w:cs="Arial"/>
          <w:sz w:val="24"/>
          <w:szCs w:val="24"/>
        </w:rPr>
        <w:t xml:space="preserve"> reported appearance with a median disease history of 5 years after diagnosis for UC and 6 years after diagnosis for CD; however, there was a broad variation in the times of appearance, ranging from 1 mo to 20 years for UC and from 3 mo to 37 years for CD. </w:t>
      </w:r>
    </w:p>
    <w:p w:rsidR="008949A1" w:rsidRPr="003A2CF7" w:rsidRDefault="008949A1" w:rsidP="003A2CF7">
      <w:pPr>
        <w:spacing w:line="360" w:lineRule="auto"/>
        <w:ind w:firstLine="720"/>
        <w:jc w:val="both"/>
        <w:rPr>
          <w:rFonts w:ascii="Book Antiqua" w:hAnsi="Book Antiqua" w:cs="Arial"/>
          <w:sz w:val="24"/>
          <w:szCs w:val="24"/>
        </w:rPr>
      </w:pPr>
    </w:p>
    <w:p w:rsidR="008949A1" w:rsidRPr="003A2CF7" w:rsidRDefault="008949A1" w:rsidP="003A2CF7">
      <w:pPr>
        <w:spacing w:line="360" w:lineRule="auto"/>
        <w:jc w:val="both"/>
        <w:rPr>
          <w:rFonts w:ascii="Book Antiqua" w:hAnsi="Book Antiqua" w:cs="Arial"/>
          <w:b/>
          <w:sz w:val="24"/>
          <w:szCs w:val="24"/>
        </w:rPr>
      </w:pPr>
      <w:r w:rsidRPr="003A2CF7">
        <w:rPr>
          <w:rFonts w:ascii="Book Antiqua" w:hAnsi="Book Antiqua" w:cs="Arial"/>
          <w:b/>
          <w:sz w:val="24"/>
          <w:szCs w:val="24"/>
        </w:rPr>
        <w:t xml:space="preserve">CLINICAL SIGNIFICANCE </w:t>
      </w:r>
    </w:p>
    <w:p w:rsidR="008949A1" w:rsidRPr="003A2CF7" w:rsidRDefault="008949A1" w:rsidP="003A2CF7">
      <w:pPr>
        <w:spacing w:line="360" w:lineRule="auto"/>
        <w:jc w:val="both"/>
        <w:rPr>
          <w:rFonts w:ascii="Book Antiqua" w:hAnsi="Book Antiqua" w:cs="Arial"/>
          <w:color w:val="000000"/>
          <w:sz w:val="24"/>
          <w:szCs w:val="24"/>
        </w:rPr>
      </w:pPr>
      <w:r w:rsidRPr="003A2CF7">
        <w:rPr>
          <w:rFonts w:ascii="Book Antiqua" w:hAnsi="Book Antiqua" w:cs="Arial"/>
          <w:color w:val="000000"/>
          <w:sz w:val="24"/>
          <w:szCs w:val="24"/>
        </w:rPr>
        <w:t xml:space="preserve">The presence of PPs in a patient with IBD can be an indirect marker of previous episodes of severe inflammation, and their incidence rises with more extensive colitis. Although there are not any clear prognostic criteria predicting their formation, it is a common belief that intense flares and hyperplastic healing predispose to PP formation. A cornerstone study by De Dombal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[17]</w:t>
      </w:r>
      <w:r w:rsidRPr="003A2CF7">
        <w:rPr>
          <w:rFonts w:ascii="Book Antiqua" w:hAnsi="Book Antiqua" w:cs="Arial"/>
          <w:color w:val="000000"/>
          <w:sz w:val="24"/>
          <w:szCs w:val="24"/>
        </w:rPr>
        <w:t>, involving 465 patients with UC, has shown that 19.5% of patients with total colitis had PPs and 38% of the patients with PPs had suffered at least one episode of severe flare; in addition, 57.1% of the patients who underwent colectomy to address fulminant UC in 1956 had PP. This high prevalence can be attributable to severe active disease</w:t>
      </w:r>
      <w:r w:rsidRPr="003A2CF7">
        <w:rPr>
          <w:rFonts w:ascii="Book Antiqua" w:hAnsi="Book Antiqua" w:cs="Arial"/>
          <w:color w:val="000000"/>
          <w:sz w:val="24"/>
          <w:szCs w:val="24"/>
          <w:vertAlign w:val="superscript"/>
        </w:rPr>
        <w:t>[32]</w:t>
      </w:r>
      <w:r w:rsidRPr="003A2CF7">
        <w:rPr>
          <w:rFonts w:ascii="Book Antiqua" w:hAnsi="Book Antiqua" w:cs="Arial"/>
          <w:color w:val="000000"/>
          <w:sz w:val="24"/>
          <w:szCs w:val="24"/>
        </w:rPr>
        <w:t xml:space="preserve">. Teague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[41]</w:t>
      </w:r>
      <w:r w:rsidRPr="003A2CF7">
        <w:rPr>
          <w:rFonts w:ascii="Book Antiqua" w:hAnsi="Book Antiqua" w:cs="Arial"/>
          <w:color w:val="000000"/>
          <w:sz w:val="24"/>
          <w:szCs w:val="24"/>
        </w:rPr>
        <w:t xml:space="preserve"> expressed a similar opinion, citing a PP prevalence of 41% in 48 patients with total colitis, and Jalan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[10]</w:t>
      </w:r>
      <w:r w:rsidRPr="003A2CF7">
        <w:rPr>
          <w:rFonts w:ascii="Book Antiqua" w:hAnsi="Book Antiqua" w:cs="Arial"/>
          <w:color w:val="000000"/>
          <w:sz w:val="24"/>
          <w:szCs w:val="24"/>
        </w:rPr>
        <w:t xml:space="preserve"> reported that 31% of patients with severe UC had PP. </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color w:val="000000"/>
          <w:sz w:val="24"/>
          <w:szCs w:val="24"/>
        </w:rPr>
        <w:t xml:space="preserve">In regards to predicting PP formation, Babic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[52]</w:t>
      </w:r>
      <w:r w:rsidRPr="003A2CF7">
        <w:rPr>
          <w:rFonts w:ascii="Book Antiqua" w:hAnsi="Book Antiqua" w:cs="Arial"/>
          <w:color w:val="000000"/>
          <w:sz w:val="24"/>
          <w:szCs w:val="24"/>
        </w:rPr>
        <w:t xml:space="preserve"> proposed that elevation in two of the three following parameters—C-reactive protein, C4 and procollagen III peptide—accompany formation of PP in UC, calculating the positive predictive value and accuracy to be as high as 90% and 93%, respectively. The existence of PP has also been linked with the occurrence of extra-intestinal symptoms, specifically arthropathy</w:t>
      </w:r>
      <w:r w:rsidRPr="003A2CF7">
        <w:rPr>
          <w:rFonts w:ascii="Book Antiqua" w:hAnsi="Book Antiqua" w:cs="Arial"/>
          <w:color w:val="000000"/>
          <w:sz w:val="24"/>
          <w:szCs w:val="24"/>
          <w:vertAlign w:val="superscript"/>
        </w:rPr>
        <w:t>[10]</w:t>
      </w:r>
      <w:r w:rsidRPr="003A2CF7">
        <w:rPr>
          <w:rFonts w:ascii="Book Antiqua" w:hAnsi="Book Antiqua" w:cs="Arial"/>
          <w:color w:val="000000"/>
          <w:sz w:val="24"/>
          <w:szCs w:val="24"/>
        </w:rPr>
        <w:t>.</w:t>
      </w:r>
      <w:r w:rsidRPr="003A2CF7">
        <w:rPr>
          <w:rFonts w:ascii="Book Antiqua" w:hAnsi="Book Antiqua" w:cs="Arial"/>
          <w:sz w:val="24"/>
          <w:szCs w:val="24"/>
        </w:rPr>
        <w:t xml:space="preserve"> </w:t>
      </w:r>
      <w:r w:rsidRPr="003A2CF7">
        <w:rPr>
          <w:rFonts w:ascii="Book Antiqua" w:hAnsi="Book Antiqua" w:cs="Arial"/>
          <w:color w:val="000000"/>
          <w:sz w:val="24"/>
          <w:szCs w:val="24"/>
        </w:rPr>
        <w:t xml:space="preserve">Their presence in general, however, does </w:t>
      </w:r>
      <w:r w:rsidRPr="003A2CF7">
        <w:rPr>
          <w:rFonts w:ascii="Book Antiqua" w:hAnsi="Book Antiqua" w:cs="Arial"/>
          <w:color w:val="000000"/>
          <w:sz w:val="24"/>
          <w:szCs w:val="24"/>
        </w:rPr>
        <w:lastRenderedPageBreak/>
        <w:t>not characterize any specific phase of IBD, as they can be found in both active and quiescent disease states, with the exception of the first form (</w:t>
      </w:r>
      <w:r w:rsidRPr="003A2CF7">
        <w:rPr>
          <w:rFonts w:ascii="Book Antiqua" w:hAnsi="Book Antiqua" w:cs="Arial"/>
          <w:i/>
          <w:color w:val="000000"/>
          <w:sz w:val="24"/>
          <w:szCs w:val="24"/>
        </w:rPr>
        <w:t>i.e.</w:t>
      </w:r>
      <w:r w:rsidRPr="003A2CF7">
        <w:rPr>
          <w:rFonts w:ascii="Book Antiqua" w:hAnsi="Book Antiqua" w:cs="Arial"/>
          <w:color w:val="000000"/>
          <w:sz w:val="24"/>
          <w:szCs w:val="24"/>
        </w:rPr>
        <w:t xml:space="preserve"> the mucosal remnants) which are only found in active IBD</w:t>
      </w:r>
      <w:r w:rsidRPr="003A2CF7">
        <w:rPr>
          <w:rFonts w:ascii="Book Antiqua" w:hAnsi="Book Antiqua" w:cs="Arial"/>
          <w:noProof/>
          <w:color w:val="000000"/>
          <w:sz w:val="24"/>
          <w:szCs w:val="24"/>
          <w:vertAlign w:val="superscript"/>
        </w:rPr>
        <w:t>[53]</w:t>
      </w:r>
      <w:r w:rsidRPr="003A2CF7">
        <w:rPr>
          <w:rFonts w:ascii="Book Antiqua" w:hAnsi="Book Antiqua" w:cs="Arial"/>
          <w:color w:val="000000"/>
          <w:sz w:val="24"/>
          <w:szCs w:val="24"/>
        </w:rPr>
        <w:t>.</w:t>
      </w:r>
    </w:p>
    <w:p w:rsidR="008949A1" w:rsidRPr="003A2CF7" w:rsidRDefault="008949A1" w:rsidP="003A2CF7">
      <w:pPr>
        <w:spacing w:line="360" w:lineRule="auto"/>
        <w:jc w:val="both"/>
        <w:rPr>
          <w:rFonts w:ascii="Book Antiqua" w:hAnsi="Book Antiqua" w:cs="Arial"/>
          <w:b/>
          <w:color w:val="000000"/>
          <w:sz w:val="24"/>
          <w:szCs w:val="24"/>
        </w:rPr>
      </w:pPr>
    </w:p>
    <w:p w:rsidR="008949A1" w:rsidRPr="003A2CF7" w:rsidRDefault="008949A1" w:rsidP="003A2CF7">
      <w:pPr>
        <w:spacing w:line="360" w:lineRule="auto"/>
        <w:jc w:val="both"/>
        <w:rPr>
          <w:rFonts w:ascii="Book Antiqua" w:hAnsi="Book Antiqua" w:cs="Arial"/>
          <w:b/>
          <w:color w:val="000000"/>
          <w:sz w:val="24"/>
          <w:szCs w:val="24"/>
        </w:rPr>
      </w:pPr>
      <w:r w:rsidRPr="003A2CF7">
        <w:rPr>
          <w:rFonts w:ascii="Book Antiqua" w:hAnsi="Book Antiqua" w:cs="Arial"/>
          <w:b/>
          <w:color w:val="000000"/>
          <w:sz w:val="24"/>
          <w:szCs w:val="24"/>
        </w:rPr>
        <w:t>PP AND RISK FOR COLORECTAL CANCER (CRC)</w:t>
      </w:r>
    </w:p>
    <w:p w:rsidR="008949A1" w:rsidRPr="003A2CF7" w:rsidRDefault="008949A1" w:rsidP="003A2CF7">
      <w:pPr>
        <w:spacing w:line="360" w:lineRule="auto"/>
        <w:jc w:val="both"/>
        <w:rPr>
          <w:rFonts w:ascii="Book Antiqua" w:hAnsi="Book Antiqua" w:cs="Arial"/>
          <w:color w:val="000000"/>
          <w:sz w:val="24"/>
          <w:szCs w:val="24"/>
          <w:lang w:eastAsia="zh-CN"/>
        </w:rPr>
      </w:pPr>
      <w:r w:rsidRPr="003A2CF7">
        <w:rPr>
          <w:rFonts w:ascii="Book Antiqua" w:hAnsi="Book Antiqua" w:cs="Arial"/>
          <w:color w:val="000000"/>
          <w:sz w:val="24"/>
          <w:szCs w:val="24"/>
        </w:rPr>
        <w:t xml:space="preserve">Patients with PP are considered to be at intermediate risk for </w:t>
      </w:r>
      <w:r w:rsidR="00DB4D17" w:rsidRPr="003A2CF7">
        <w:rPr>
          <w:rFonts w:ascii="Book Antiqua" w:hAnsi="Book Antiqua" w:cs="Arial"/>
          <w:color w:val="000000"/>
          <w:sz w:val="24"/>
          <w:szCs w:val="24"/>
        </w:rPr>
        <w:t>colorectal cancer (CRC)</w:t>
      </w:r>
      <w:r w:rsidRPr="003A2CF7">
        <w:rPr>
          <w:rFonts w:ascii="Book Antiqua" w:hAnsi="Book Antiqua" w:cs="Arial"/>
          <w:color w:val="000000"/>
          <w:sz w:val="24"/>
          <w:szCs w:val="24"/>
        </w:rPr>
        <w:t>. United Kingdom guidelines suggest surveillance colonoscopy be performed at a 3-year interval</w:t>
      </w:r>
      <w:r w:rsidRPr="003A2CF7">
        <w:rPr>
          <w:rFonts w:ascii="Book Antiqua" w:hAnsi="Book Antiqua" w:cs="Arial"/>
          <w:color w:val="000000"/>
          <w:sz w:val="24"/>
          <w:szCs w:val="24"/>
          <w:vertAlign w:val="superscript"/>
        </w:rPr>
        <w:t>[54]</w:t>
      </w:r>
      <w:r w:rsidRPr="003A2CF7">
        <w:rPr>
          <w:rFonts w:ascii="Book Antiqua" w:hAnsi="Book Antiqua" w:cs="Arial"/>
          <w:color w:val="000000"/>
          <w:sz w:val="24"/>
          <w:szCs w:val="24"/>
        </w:rPr>
        <w:t>, European Crohn’s and Colitis Organization (ECCO) guidelines suggest colonoscopy at 2- or 3-year intervals</w:t>
      </w:r>
      <w:r w:rsidRPr="003A2CF7">
        <w:rPr>
          <w:rFonts w:ascii="Book Antiqua" w:hAnsi="Book Antiqua" w:cs="Arial"/>
          <w:color w:val="000000"/>
          <w:sz w:val="24"/>
          <w:szCs w:val="24"/>
          <w:vertAlign w:val="superscript"/>
        </w:rPr>
        <w:t>[55]</w:t>
      </w:r>
      <w:r w:rsidRPr="003A2CF7">
        <w:rPr>
          <w:rFonts w:ascii="Book Antiqua" w:hAnsi="Book Antiqua" w:cs="Arial"/>
          <w:color w:val="000000"/>
          <w:sz w:val="24"/>
          <w:szCs w:val="24"/>
        </w:rPr>
        <w:t xml:space="preserve"> and the American Society for Gastrointestinal Endoscopy (ASGE) suggests between 1- and 3-year intervals</w:t>
      </w:r>
      <w:r w:rsidRPr="003A2CF7">
        <w:rPr>
          <w:rFonts w:ascii="Book Antiqua" w:hAnsi="Book Antiqua" w:cs="Arial"/>
          <w:color w:val="000000"/>
          <w:sz w:val="24"/>
          <w:szCs w:val="24"/>
          <w:vertAlign w:val="superscript"/>
        </w:rPr>
        <w:t>[56]</w:t>
      </w:r>
      <w:r w:rsidRPr="003A2CF7">
        <w:rPr>
          <w:rFonts w:ascii="Book Antiqua" w:hAnsi="Book Antiqua" w:cs="Arial"/>
          <w:color w:val="000000"/>
          <w:sz w:val="24"/>
          <w:szCs w:val="24"/>
        </w:rPr>
        <w:t xml:space="preserve">. Three studies, performed by Rutter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[43]</w:t>
      </w:r>
      <w:r w:rsidRPr="003A2CF7">
        <w:rPr>
          <w:rFonts w:ascii="Book Antiqua" w:hAnsi="Book Antiqua" w:cs="Arial"/>
          <w:color w:val="000000"/>
          <w:sz w:val="24"/>
          <w:szCs w:val="24"/>
        </w:rPr>
        <w:t>, Velayos</w:t>
      </w:r>
      <w:r w:rsidRPr="003A2CF7">
        <w:rPr>
          <w:rFonts w:ascii="Book Antiqua" w:hAnsi="Book Antiqua" w:cs="Arial"/>
          <w:color w:val="000000"/>
          <w:sz w:val="24"/>
          <w:szCs w:val="24"/>
          <w:vertAlign w:val="superscript"/>
        </w:rPr>
        <w:t xml:space="preserve">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[44]</w:t>
      </w:r>
      <w:r w:rsidRPr="003A2CF7">
        <w:rPr>
          <w:rFonts w:ascii="Book Antiqua" w:hAnsi="Book Antiqua" w:cs="Arial"/>
          <w:color w:val="000000"/>
          <w:sz w:val="24"/>
          <w:szCs w:val="24"/>
        </w:rPr>
        <w:t xml:space="preserve"> and Baars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[57]</w:t>
      </w:r>
      <w:r w:rsidRPr="003A2CF7">
        <w:rPr>
          <w:rFonts w:ascii="Book Antiqua" w:hAnsi="Book Antiqua" w:cs="Arial"/>
          <w:color w:val="000000"/>
          <w:sz w:val="24"/>
          <w:szCs w:val="24"/>
        </w:rPr>
        <w:t xml:space="preserve">, have shown a near 2-fold increased risk of CRC in patients with previous or present PP in endoscopy (Table 2). In much older reports, there was a debate about the possibility of PP malignant transformation, with advocates representing both sides. Among these, Goldgraber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[9]</w:t>
      </w:r>
      <w:r w:rsidRPr="003A2CF7">
        <w:rPr>
          <w:rFonts w:ascii="Book Antiqua" w:hAnsi="Book Antiqua" w:cs="Arial"/>
          <w:color w:val="000000"/>
          <w:sz w:val="24"/>
          <w:szCs w:val="24"/>
        </w:rPr>
        <w:t xml:space="preserve"> reported a case series of several forms of PP with some showing premalignant changes, but later analysis proved these were benign lesions, regardless of size</w:t>
      </w:r>
      <w:r w:rsidRPr="003A2CF7">
        <w:rPr>
          <w:rFonts w:ascii="Book Antiqua" w:hAnsi="Book Antiqua" w:cs="Arial"/>
          <w:color w:val="000000"/>
          <w:sz w:val="24"/>
          <w:szCs w:val="24"/>
          <w:vertAlign w:val="superscript"/>
        </w:rPr>
        <w:t>[10,34]</w:t>
      </w:r>
      <w:r w:rsidR="00DB4D17" w:rsidRPr="003A2CF7">
        <w:rPr>
          <w:rFonts w:ascii="Book Antiqua" w:hAnsi="Book Antiqua" w:cs="Arial"/>
          <w:color w:val="000000"/>
          <w:sz w:val="24"/>
          <w:szCs w:val="24"/>
        </w:rPr>
        <w:t>.</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color w:val="000000"/>
          <w:sz w:val="24"/>
          <w:szCs w:val="24"/>
        </w:rPr>
        <w:t>Nowadays, malignant transformation of PP is considered an extremely rare event, with only two reports of GPP harboring carcinoma or dysplasia features</w:t>
      </w:r>
      <w:r w:rsidRPr="003A2CF7">
        <w:rPr>
          <w:rFonts w:ascii="Book Antiqua" w:hAnsi="Book Antiqua" w:cs="Arial"/>
          <w:color w:val="000000"/>
          <w:sz w:val="24"/>
          <w:szCs w:val="24"/>
          <w:vertAlign w:val="superscript"/>
        </w:rPr>
        <w:t>[11,58]</w:t>
      </w:r>
      <w:r w:rsidRPr="003A2CF7">
        <w:rPr>
          <w:rFonts w:ascii="Book Antiqua" w:hAnsi="Book Antiqua" w:cs="Arial"/>
          <w:color w:val="000000"/>
          <w:sz w:val="24"/>
          <w:szCs w:val="24"/>
        </w:rPr>
        <w:t xml:space="preserve">. Another case report from Klarskov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[59]</w:t>
      </w:r>
      <w:r w:rsidRPr="003A2CF7">
        <w:rPr>
          <w:rFonts w:ascii="Book Antiqua" w:hAnsi="Book Antiqua" w:cs="Arial"/>
          <w:color w:val="000000"/>
          <w:sz w:val="24"/>
          <w:szCs w:val="24"/>
        </w:rPr>
        <w:t xml:space="preserve"> presented a carcinoma in rectum stump that had arose from serrated adenoma with a filiform form. The authors speculated that the serrated adenoma had derived from transformation of preexisting PP. A possible mechanism has been implicated by Jawad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[60]</w:t>
      </w:r>
      <w:r w:rsidRPr="003A2CF7">
        <w:rPr>
          <w:rFonts w:ascii="Book Antiqua" w:hAnsi="Book Antiqua" w:cs="Arial"/>
          <w:color w:val="000000"/>
          <w:sz w:val="24"/>
          <w:szCs w:val="24"/>
        </w:rPr>
        <w:t>, who reported that PP can be the source of premalignant mutations, following their analysis of DNA taken from 30 PP samples and which showed four identifiable mutations. However, more studies are needed to confirm the doubt in their benign nature.</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sz w:val="24"/>
          <w:szCs w:val="24"/>
        </w:rPr>
        <w:t xml:space="preserve">A possible explanation about the relationship between PP and increased risk of CRC lies in the facts that they are considered markers of episodes of </w:t>
      </w:r>
      <w:r w:rsidRPr="003A2CF7">
        <w:rPr>
          <w:rFonts w:ascii="Book Antiqua" w:hAnsi="Book Antiqua" w:cs="Arial"/>
          <w:sz w:val="24"/>
          <w:szCs w:val="24"/>
        </w:rPr>
        <w:lastRenderedPageBreak/>
        <w:t>previous severe inflammation and that their incidence of appearance rises with the increased extent of colitis</w:t>
      </w:r>
      <w:r w:rsidRPr="003A2CF7">
        <w:rPr>
          <w:rFonts w:ascii="Book Antiqua" w:hAnsi="Book Antiqua" w:cs="Arial"/>
          <w:sz w:val="24"/>
          <w:szCs w:val="24"/>
          <w:vertAlign w:val="superscript"/>
        </w:rPr>
        <w:t>[17]</w:t>
      </w:r>
      <w:r w:rsidRPr="003A2CF7">
        <w:rPr>
          <w:rFonts w:ascii="Book Antiqua" w:hAnsi="Book Antiqua" w:cs="Arial"/>
          <w:sz w:val="24"/>
          <w:szCs w:val="24"/>
        </w:rPr>
        <w:t>, which is in turn linked to CRC. Another</w:t>
      </w:r>
      <w:r w:rsidRPr="003A2CF7">
        <w:rPr>
          <w:rFonts w:ascii="Book Antiqua" w:hAnsi="Book Antiqua" w:cs="Arial"/>
          <w:color w:val="000000"/>
          <w:sz w:val="24"/>
          <w:szCs w:val="24"/>
        </w:rPr>
        <w:t xml:space="preserve"> possible explanation is that their presence, especially if they are numerous, can obscure the capability of finding dysplastic lesions in endoscopic surveillance</w:t>
      </w:r>
      <w:r w:rsidRPr="003A2CF7">
        <w:rPr>
          <w:rFonts w:ascii="Book Antiqua" w:hAnsi="Book Antiqua" w:cs="Arial"/>
          <w:color w:val="000000"/>
          <w:sz w:val="24"/>
          <w:szCs w:val="24"/>
          <w:vertAlign w:val="superscript"/>
        </w:rPr>
        <w:t>[43]</w:t>
      </w:r>
      <w:r w:rsidRPr="003A2CF7">
        <w:rPr>
          <w:rFonts w:ascii="Book Antiqua" w:hAnsi="Book Antiqua" w:cs="Arial"/>
          <w:color w:val="000000"/>
          <w:sz w:val="24"/>
          <w:szCs w:val="24"/>
        </w:rPr>
        <w:t xml:space="preserve"> </w:t>
      </w:r>
      <w:r w:rsidRPr="003A2CF7">
        <w:rPr>
          <w:rFonts w:ascii="Book Antiqua" w:hAnsi="Book Antiqua" w:cs="Arial"/>
          <w:noProof/>
          <w:sz w:val="24"/>
          <w:szCs w:val="24"/>
        </w:rPr>
        <w:t>(Figure 1G).</w:t>
      </w:r>
    </w:p>
    <w:p w:rsidR="008949A1" w:rsidRPr="003A2CF7" w:rsidRDefault="008949A1" w:rsidP="003A2CF7">
      <w:pPr>
        <w:spacing w:line="360" w:lineRule="auto"/>
        <w:jc w:val="both"/>
        <w:rPr>
          <w:rFonts w:ascii="Book Antiqua" w:hAnsi="Book Antiqua" w:cs="Arial"/>
          <w:b/>
          <w:color w:val="000000"/>
          <w:sz w:val="24"/>
          <w:szCs w:val="24"/>
        </w:rPr>
      </w:pPr>
    </w:p>
    <w:p w:rsidR="008949A1" w:rsidRPr="003A2CF7" w:rsidRDefault="008949A1" w:rsidP="003A2CF7">
      <w:pPr>
        <w:spacing w:line="360" w:lineRule="auto"/>
        <w:jc w:val="both"/>
        <w:rPr>
          <w:rFonts w:ascii="Book Antiqua" w:hAnsi="Book Antiqua" w:cs="Arial"/>
          <w:b/>
          <w:color w:val="000000"/>
          <w:sz w:val="24"/>
          <w:szCs w:val="24"/>
        </w:rPr>
      </w:pPr>
      <w:r w:rsidRPr="003A2CF7">
        <w:rPr>
          <w:rFonts w:ascii="Book Antiqua" w:hAnsi="Book Antiqua" w:cs="Arial"/>
          <w:b/>
          <w:color w:val="000000"/>
          <w:sz w:val="24"/>
          <w:szCs w:val="24"/>
        </w:rPr>
        <w:t xml:space="preserve">LONG-TERM MANAGEMENT </w:t>
      </w:r>
    </w:p>
    <w:p w:rsidR="008949A1" w:rsidRPr="003A2CF7" w:rsidRDefault="008949A1" w:rsidP="003A2CF7">
      <w:pPr>
        <w:spacing w:line="360" w:lineRule="auto"/>
        <w:jc w:val="both"/>
        <w:rPr>
          <w:rFonts w:ascii="Book Antiqua" w:hAnsi="Book Antiqua" w:cs="Arial"/>
          <w:sz w:val="24"/>
          <w:szCs w:val="24"/>
        </w:rPr>
      </w:pPr>
      <w:r w:rsidRPr="003A2CF7">
        <w:rPr>
          <w:rFonts w:ascii="Book Antiqua" w:hAnsi="Book Antiqua" w:cs="Arial"/>
          <w:color w:val="000000"/>
          <w:sz w:val="24"/>
          <w:szCs w:val="24"/>
        </w:rPr>
        <w:t xml:space="preserve">Questions remain about the optimal management or follow-up strategies for PP, especially for cases with multiple PP, because no large trials have been published regarding these issues. A great matter of concern involves distinguishing them from </w:t>
      </w:r>
      <w:r w:rsidRPr="003A2CF7">
        <w:rPr>
          <w:rFonts w:ascii="Book Antiqua" w:hAnsi="Book Antiqua" w:cs="Arial"/>
          <w:sz w:val="24"/>
          <w:szCs w:val="24"/>
        </w:rPr>
        <w:t xml:space="preserve">adenoma-like DALM and non-adenoma-like DALM </w:t>
      </w:r>
      <w:r w:rsidRPr="003A2CF7">
        <w:rPr>
          <w:rFonts w:ascii="Book Antiqua" w:hAnsi="Book Antiqua" w:cs="Arial"/>
          <w:noProof/>
          <w:sz w:val="24"/>
          <w:szCs w:val="24"/>
        </w:rPr>
        <w:t xml:space="preserve">(Figure 1H). </w:t>
      </w:r>
      <w:r w:rsidRPr="003A2CF7">
        <w:rPr>
          <w:rFonts w:ascii="Book Antiqua" w:hAnsi="Book Antiqua" w:cs="Arial"/>
          <w:sz w:val="24"/>
          <w:szCs w:val="24"/>
        </w:rPr>
        <w:t>The main characteristics and differences between these entities are summarized in Table 3, and include features such as location and endoscopic appearance</w:t>
      </w:r>
      <w:r w:rsidRPr="003A2CF7">
        <w:rPr>
          <w:rFonts w:ascii="Book Antiqua" w:hAnsi="Book Antiqua" w:cs="Arial"/>
          <w:sz w:val="24"/>
          <w:szCs w:val="24"/>
          <w:vertAlign w:val="superscript"/>
        </w:rPr>
        <w:t>[61-64]</w:t>
      </w:r>
      <w:r w:rsidRPr="003A2CF7">
        <w:rPr>
          <w:rFonts w:ascii="Book Antiqua" w:hAnsi="Book Antiqua" w:cs="Arial"/>
          <w:sz w:val="24"/>
          <w:szCs w:val="24"/>
        </w:rPr>
        <w:t xml:space="preserve">. </w:t>
      </w:r>
      <w:r w:rsidRPr="003A2CF7">
        <w:rPr>
          <w:rFonts w:ascii="Book Antiqua" w:hAnsi="Book Antiqua" w:cs="Arial"/>
          <w:color w:val="000000"/>
          <w:sz w:val="24"/>
          <w:szCs w:val="24"/>
        </w:rPr>
        <w:t>Even though some diagnostic endoscopic criteria may be used for recognizing PP, they are not completely reliable</w:t>
      </w:r>
      <w:r w:rsidRPr="003A2CF7">
        <w:rPr>
          <w:rFonts w:ascii="Book Antiqua" w:hAnsi="Book Antiqua" w:cs="Arial"/>
          <w:color w:val="000000"/>
          <w:sz w:val="24"/>
          <w:szCs w:val="24"/>
          <w:vertAlign w:val="superscript"/>
        </w:rPr>
        <w:t>[65]</w:t>
      </w:r>
      <w:r w:rsidRPr="003A2CF7">
        <w:rPr>
          <w:rFonts w:ascii="Book Antiqua" w:hAnsi="Book Antiqua" w:cs="Arial"/>
          <w:color w:val="000000"/>
          <w:sz w:val="24"/>
          <w:szCs w:val="24"/>
        </w:rPr>
        <w:t>. There can be good inter-observer agreement for identifying PP during endoscopy in general</w:t>
      </w:r>
      <w:r w:rsidRPr="003A2CF7">
        <w:rPr>
          <w:rFonts w:ascii="Book Antiqua" w:hAnsi="Book Antiqua" w:cs="Arial"/>
          <w:color w:val="000000"/>
          <w:sz w:val="24"/>
          <w:szCs w:val="24"/>
          <w:vertAlign w:val="superscript"/>
        </w:rPr>
        <w:t>[66]</w:t>
      </w:r>
      <w:r w:rsidRPr="003A2CF7">
        <w:rPr>
          <w:rFonts w:ascii="Book Antiqua" w:hAnsi="Book Antiqua" w:cs="Arial"/>
          <w:color w:val="000000"/>
          <w:sz w:val="24"/>
          <w:szCs w:val="24"/>
        </w:rPr>
        <w:t xml:space="preserve">, but when it comes to distinguishing PP from other dysplastic lesions, the efficiency falls. Farraye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[63]</w:t>
      </w:r>
      <w:r w:rsidRPr="003A2CF7">
        <w:rPr>
          <w:rFonts w:ascii="Book Antiqua" w:hAnsi="Book Antiqua" w:cs="Arial"/>
          <w:color w:val="000000"/>
          <w:sz w:val="24"/>
          <w:szCs w:val="24"/>
        </w:rPr>
        <w:t xml:space="preserve"> performed an internet-based study and found that gastroenterologists with non-IBD-specialized expertise had lower capability of distinguishing different forms of lesions in IBD patients.</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color w:val="000000"/>
          <w:sz w:val="24"/>
          <w:szCs w:val="24"/>
        </w:rPr>
        <w:t xml:space="preserve"> There is a general acceptance that if PP are adequately recognized using endoscopic criteria and do not provoke any complications, no removal is considered obligatory</w:t>
      </w:r>
      <w:r w:rsidRPr="003A2CF7">
        <w:rPr>
          <w:rFonts w:ascii="Book Antiqua" w:hAnsi="Book Antiqua" w:cs="Arial"/>
          <w:color w:val="000000"/>
          <w:sz w:val="24"/>
          <w:szCs w:val="24"/>
          <w:vertAlign w:val="superscript"/>
        </w:rPr>
        <w:t>[63]</w:t>
      </w:r>
      <w:r w:rsidRPr="003A2CF7">
        <w:rPr>
          <w:rFonts w:ascii="Book Antiqua" w:hAnsi="Book Antiqua" w:cs="Arial"/>
          <w:color w:val="000000"/>
          <w:sz w:val="24"/>
          <w:szCs w:val="24"/>
        </w:rPr>
        <w:t xml:space="preserve"> </w:t>
      </w:r>
      <w:r w:rsidRPr="003A2CF7">
        <w:rPr>
          <w:rFonts w:ascii="Book Antiqua" w:hAnsi="Book Antiqua" w:cs="Arial"/>
          <w:noProof/>
          <w:sz w:val="24"/>
          <w:szCs w:val="24"/>
        </w:rPr>
        <w:t xml:space="preserve">(Figure 1I, J). </w:t>
      </w:r>
      <w:r w:rsidRPr="003A2CF7">
        <w:rPr>
          <w:rFonts w:ascii="Book Antiqua" w:hAnsi="Book Antiqua" w:cs="Arial"/>
          <w:color w:val="000000"/>
          <w:sz w:val="24"/>
          <w:szCs w:val="24"/>
        </w:rPr>
        <w:t>However, it is considered mandatory that the surface of any PP be surveyed adequately during endoscopy. In older reports, especially of cases with large PP, surgical intervention was frequently performed for the removal, due to confusion with CRC or villous adenoma and related to the more common use of radiological approaches, such as barium enema, for diagnosis and monitoring</w:t>
      </w:r>
      <w:r w:rsidRPr="003A2CF7">
        <w:rPr>
          <w:rFonts w:ascii="Book Antiqua" w:hAnsi="Book Antiqua" w:cs="Arial"/>
          <w:color w:val="000000"/>
          <w:sz w:val="24"/>
          <w:szCs w:val="24"/>
          <w:vertAlign w:val="superscript"/>
        </w:rPr>
        <w:t>[67]</w:t>
      </w:r>
      <w:r w:rsidRPr="003A2CF7">
        <w:rPr>
          <w:rFonts w:ascii="Book Antiqua" w:hAnsi="Book Antiqua" w:cs="Arial"/>
          <w:color w:val="000000"/>
          <w:sz w:val="24"/>
          <w:szCs w:val="24"/>
        </w:rPr>
        <w:t>. Nowadays, however, endoscopic surveillance is more effective than surgical intervention</w:t>
      </w:r>
      <w:r w:rsidRPr="003A2CF7">
        <w:rPr>
          <w:rFonts w:ascii="Book Antiqua" w:hAnsi="Book Antiqua" w:cs="Arial"/>
          <w:color w:val="000000"/>
          <w:sz w:val="24"/>
          <w:szCs w:val="24"/>
          <w:vertAlign w:val="superscript"/>
        </w:rPr>
        <w:t>[51]</w:t>
      </w:r>
      <w:r w:rsidRPr="003A2CF7">
        <w:rPr>
          <w:rFonts w:ascii="Book Antiqua" w:hAnsi="Book Antiqua" w:cs="Arial"/>
          <w:color w:val="000000"/>
          <w:sz w:val="24"/>
          <w:szCs w:val="24"/>
        </w:rPr>
        <w:t xml:space="preserve">. </w:t>
      </w:r>
    </w:p>
    <w:p w:rsidR="008949A1" w:rsidRPr="003A2CF7" w:rsidRDefault="008949A1" w:rsidP="003A2CF7">
      <w:pPr>
        <w:spacing w:line="360" w:lineRule="auto"/>
        <w:ind w:firstLine="720"/>
        <w:jc w:val="both"/>
        <w:rPr>
          <w:rFonts w:ascii="Book Antiqua" w:hAnsi="Book Antiqua" w:cs="Arial"/>
          <w:sz w:val="24"/>
          <w:szCs w:val="24"/>
        </w:rPr>
      </w:pPr>
      <w:r w:rsidRPr="003A2CF7">
        <w:rPr>
          <w:rFonts w:ascii="Book Antiqua" w:hAnsi="Book Antiqua" w:cs="Arial"/>
          <w:sz w:val="24"/>
          <w:szCs w:val="24"/>
        </w:rPr>
        <w:lastRenderedPageBreak/>
        <w:t>Chromo-endoscopy might aid in differential diagnosis, since PPs (as non-neoplastic polyps) show Kudo’s pattern classification of type II</w:t>
      </w:r>
      <w:r w:rsidRPr="003A2CF7">
        <w:rPr>
          <w:rFonts w:ascii="Book Antiqua" w:hAnsi="Book Antiqua" w:cs="Arial"/>
          <w:sz w:val="24"/>
          <w:szCs w:val="24"/>
          <w:vertAlign w:val="superscript"/>
        </w:rPr>
        <w:t>[68]</w:t>
      </w:r>
      <w:r w:rsidRPr="003A2CF7">
        <w:rPr>
          <w:rFonts w:ascii="Book Antiqua" w:hAnsi="Book Antiqua" w:cs="Arial"/>
          <w:sz w:val="24"/>
          <w:szCs w:val="24"/>
        </w:rPr>
        <w:t>.</w:t>
      </w:r>
      <w:r w:rsidRPr="003A2CF7">
        <w:rPr>
          <w:rFonts w:ascii="Book Antiqua" w:hAnsi="Book Antiqua" w:cs="Arial"/>
          <w:color w:val="000000"/>
          <w:sz w:val="24"/>
          <w:szCs w:val="24"/>
        </w:rPr>
        <w:t xml:space="preserve"> In another study by Koinuma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[69]</w:t>
      </w:r>
      <w:r w:rsidRPr="003A2CF7">
        <w:rPr>
          <w:rFonts w:ascii="Book Antiqua" w:hAnsi="Book Antiqua" w:cs="Arial"/>
          <w:color w:val="000000"/>
          <w:sz w:val="24"/>
          <w:szCs w:val="24"/>
        </w:rPr>
        <w:t>, magnifying endoscopy was demonstrated as a useful tool for distinguishing neoplastic from non-neoplastic lesions, reducing the amount of biopsies needed;</w:t>
      </w:r>
      <w:r w:rsidRPr="003A2CF7">
        <w:rPr>
          <w:rFonts w:ascii="Book Antiqua" w:hAnsi="Book Antiqua" w:cs="Arial"/>
          <w:sz w:val="24"/>
          <w:szCs w:val="24"/>
        </w:rPr>
        <w:t xml:space="preserve"> however, the efficacy of this technique for studying the underlying inflammatory process was shown to be limited by the presence of multiple PPs</w:t>
      </w:r>
      <w:r w:rsidRPr="003A2CF7">
        <w:rPr>
          <w:rFonts w:ascii="Book Antiqua" w:hAnsi="Book Antiqua" w:cs="Arial"/>
          <w:sz w:val="24"/>
          <w:szCs w:val="24"/>
          <w:vertAlign w:val="superscript"/>
        </w:rPr>
        <w:t>[65]</w:t>
      </w:r>
      <w:r w:rsidRPr="003A2CF7">
        <w:rPr>
          <w:rFonts w:ascii="Book Antiqua" w:hAnsi="Book Antiqua" w:cs="Arial"/>
          <w:sz w:val="24"/>
          <w:szCs w:val="24"/>
        </w:rPr>
        <w:t>. In another study, 165 patients with long-standing UC were divided and randomized for endoscopic surveillance by means of either conventional endoscopy (with biopsies every 10 cm) or chromo-endoscopy (with 0.1% methylene blue); there were two false-negative results that were not identified by the chromo-endoscopy procedure, for which non-targeted biopsies from colons with multiple PP proved to contain dysplasia</w:t>
      </w:r>
      <w:r w:rsidRPr="003A2CF7">
        <w:rPr>
          <w:rFonts w:ascii="Book Antiqua" w:hAnsi="Book Antiqua" w:cs="Arial"/>
          <w:sz w:val="24"/>
          <w:szCs w:val="24"/>
          <w:vertAlign w:val="superscript"/>
        </w:rPr>
        <w:t>[70]</w:t>
      </w:r>
      <w:r w:rsidRPr="003A2CF7">
        <w:rPr>
          <w:rFonts w:ascii="Book Antiqua" w:hAnsi="Book Antiqua" w:cs="Arial"/>
          <w:sz w:val="24"/>
          <w:szCs w:val="24"/>
        </w:rPr>
        <w:t>.</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color w:val="000000"/>
          <w:sz w:val="24"/>
          <w:szCs w:val="24"/>
        </w:rPr>
        <w:t>Nevertheless, in cases where there is either doubt about the diagnosis of PP, suspicion of DALM or large-size PP, or presence of multiple PP wherein endoscopic surveillance is compromised, multiple biopsies should be obtained in repeated examinations</w:t>
      </w:r>
      <w:r w:rsidRPr="003A2CF7">
        <w:rPr>
          <w:rFonts w:ascii="Book Antiqua" w:hAnsi="Book Antiqua" w:cs="Arial"/>
          <w:color w:val="000000"/>
          <w:sz w:val="24"/>
          <w:szCs w:val="24"/>
          <w:vertAlign w:val="superscript"/>
        </w:rPr>
        <w:t>[56,71]</w:t>
      </w:r>
      <w:r w:rsidRPr="003A2CF7">
        <w:rPr>
          <w:rFonts w:ascii="Book Antiqua" w:hAnsi="Book Antiqua" w:cs="Arial"/>
          <w:color w:val="000000"/>
          <w:sz w:val="24"/>
          <w:szCs w:val="24"/>
        </w:rPr>
        <w:t xml:space="preserve"> or proceeding the endoscopic or surgical removal, with surrounding tissue examination by biopsy as well</w:t>
      </w:r>
      <w:r w:rsidRPr="003A2CF7">
        <w:rPr>
          <w:rFonts w:ascii="Book Antiqua" w:hAnsi="Book Antiqua" w:cs="Arial"/>
          <w:color w:val="000000"/>
          <w:sz w:val="24"/>
          <w:szCs w:val="24"/>
          <w:vertAlign w:val="superscript"/>
        </w:rPr>
        <w:t>[72]</w:t>
      </w:r>
      <w:r w:rsidRPr="003A2CF7">
        <w:rPr>
          <w:rFonts w:ascii="Book Antiqua" w:hAnsi="Book Antiqua" w:cs="Arial"/>
          <w:color w:val="000000"/>
          <w:sz w:val="24"/>
          <w:szCs w:val="24"/>
        </w:rPr>
        <w:t xml:space="preserve">. </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color w:val="000000"/>
          <w:sz w:val="24"/>
          <w:szCs w:val="24"/>
        </w:rPr>
        <w:t>In the same context, the discovery of PP in a patient with IBD, without evidence of suspicious lesions in endoscopy and in which the presence of PP does not obstruct adequate endoscopic surveillance of the mucosa, should not urge gastroenterologists towards more intense endoscopic follow-up. Neither should it discourage them from the use of chromo-endoscopy for surveillance in any manner other than those proposed in the various guidelines (with an approximate 3-year interval), and certainly not in a different way than would be performed in patients without PPs</w:t>
      </w:r>
      <w:r w:rsidRPr="003A2CF7">
        <w:rPr>
          <w:rFonts w:ascii="Book Antiqua" w:hAnsi="Book Antiqua" w:cs="Arial"/>
          <w:color w:val="000000"/>
          <w:sz w:val="24"/>
          <w:szCs w:val="24"/>
          <w:vertAlign w:val="superscript"/>
        </w:rPr>
        <w:t>[54-56]</w:t>
      </w:r>
      <w:r w:rsidRPr="003A2CF7">
        <w:rPr>
          <w:rFonts w:ascii="Book Antiqua" w:hAnsi="Book Antiqua" w:cs="Arial"/>
          <w:color w:val="000000"/>
          <w:sz w:val="24"/>
          <w:szCs w:val="24"/>
        </w:rPr>
        <w:t>. As mentioned before, CRC derived from PP is a rare event and occurrence of PP has not been linked with early CRC</w:t>
      </w:r>
      <w:r w:rsidRPr="003A2CF7">
        <w:rPr>
          <w:rFonts w:ascii="Book Antiqua" w:hAnsi="Book Antiqua" w:cs="Arial"/>
          <w:color w:val="000000"/>
          <w:sz w:val="24"/>
          <w:szCs w:val="24"/>
          <w:vertAlign w:val="superscript"/>
        </w:rPr>
        <w:t>[30]</w:t>
      </w:r>
      <w:r w:rsidRPr="003A2CF7">
        <w:rPr>
          <w:rFonts w:ascii="Book Antiqua" w:hAnsi="Book Antiqua" w:cs="Arial"/>
          <w:color w:val="000000"/>
          <w:sz w:val="24"/>
          <w:szCs w:val="24"/>
        </w:rPr>
        <w:t>. Therefore, screening for CRC in all patients with PP is not recommended before 8-10 years after onset of symptoms</w:t>
      </w:r>
      <w:r w:rsidRPr="003A2CF7">
        <w:rPr>
          <w:rFonts w:ascii="Book Antiqua" w:hAnsi="Book Antiqua" w:cs="Arial"/>
          <w:color w:val="000000"/>
          <w:sz w:val="24"/>
          <w:szCs w:val="24"/>
          <w:vertAlign w:val="superscript"/>
        </w:rPr>
        <w:t>[54-56]</w:t>
      </w:r>
      <w:r w:rsidRPr="003A2CF7">
        <w:rPr>
          <w:rFonts w:ascii="Book Antiqua" w:hAnsi="Book Antiqua" w:cs="Arial"/>
          <w:color w:val="000000"/>
          <w:sz w:val="24"/>
          <w:szCs w:val="24"/>
        </w:rPr>
        <w:t>.</w:t>
      </w:r>
    </w:p>
    <w:p w:rsidR="008949A1" w:rsidRPr="003A2CF7" w:rsidRDefault="008949A1" w:rsidP="003A2CF7">
      <w:pPr>
        <w:spacing w:line="360" w:lineRule="auto"/>
        <w:ind w:firstLine="720"/>
        <w:jc w:val="both"/>
        <w:rPr>
          <w:rFonts w:ascii="Book Antiqua" w:hAnsi="Book Antiqua" w:cs="Arial"/>
          <w:color w:val="000000"/>
          <w:sz w:val="24"/>
          <w:szCs w:val="24"/>
        </w:rPr>
      </w:pPr>
    </w:p>
    <w:p w:rsidR="008949A1" w:rsidRPr="003A2CF7" w:rsidRDefault="008949A1" w:rsidP="003A2CF7">
      <w:pPr>
        <w:spacing w:line="360" w:lineRule="auto"/>
        <w:jc w:val="both"/>
        <w:rPr>
          <w:rFonts w:ascii="Book Antiqua" w:hAnsi="Book Antiqua" w:cs="Arial"/>
          <w:b/>
          <w:color w:val="000000"/>
          <w:sz w:val="24"/>
          <w:szCs w:val="24"/>
        </w:rPr>
      </w:pPr>
      <w:r w:rsidRPr="003A2CF7">
        <w:rPr>
          <w:rFonts w:ascii="Book Antiqua" w:hAnsi="Book Antiqua" w:cs="Arial"/>
          <w:b/>
          <w:color w:val="000000"/>
          <w:sz w:val="24"/>
          <w:szCs w:val="24"/>
        </w:rPr>
        <w:lastRenderedPageBreak/>
        <w:t xml:space="preserve">COMPLICATIONS </w:t>
      </w:r>
    </w:p>
    <w:p w:rsidR="008949A1" w:rsidRPr="003A2CF7" w:rsidRDefault="008949A1" w:rsidP="003A2CF7">
      <w:pPr>
        <w:spacing w:line="360" w:lineRule="auto"/>
        <w:jc w:val="both"/>
        <w:rPr>
          <w:rFonts w:ascii="Book Antiqua" w:hAnsi="Book Antiqua" w:cs="Arial"/>
          <w:color w:val="000000"/>
          <w:sz w:val="24"/>
          <w:szCs w:val="24"/>
        </w:rPr>
      </w:pPr>
      <w:r w:rsidRPr="003A2CF7">
        <w:rPr>
          <w:rFonts w:ascii="Book Antiqua" w:hAnsi="Book Antiqua" w:cs="Arial"/>
          <w:color w:val="000000"/>
          <w:sz w:val="24"/>
          <w:szCs w:val="24"/>
        </w:rPr>
        <w:t xml:space="preserve">In rare instances, PP can provoke serious complications, and physicians should be aware of these. Many reports have appeared regarding this issue for cases of GPP. Maags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[7]</w:t>
      </w:r>
      <w:r w:rsidRPr="003A2CF7">
        <w:rPr>
          <w:rFonts w:ascii="Book Antiqua" w:hAnsi="Book Antiqua" w:cs="Arial"/>
          <w:color w:val="000000"/>
          <w:sz w:val="24"/>
          <w:szCs w:val="24"/>
        </w:rPr>
        <w:t xml:space="preserve"> reviewed 78 patients with GPP, among which 15% were complicated with obstruction and sub-obstruction and 3% with intussusception of mechanical etiology due to the large size. In patients with CD, obstruction can occur in the small intestine with PP. In addition, GPPs can produce symptoms similar to IBD, such as bloating, diarrhea and abdominal pain. In that same review, from among the total of 25 patients with inactive disease, 11 had symptoms that regressed after removal of the GPP. Yet, it is important to emphasize that, even in cases of PP, the onset or persistence of symptoms cannot always be attributed to flare or activity of IBD.</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color w:val="000000"/>
          <w:sz w:val="24"/>
          <w:szCs w:val="24"/>
        </w:rPr>
        <w:t xml:space="preserve"> There are reports of patients with generalized PP suffering from protein-losing enteropathy and pulmonary embolism, with the possible mechanism being extreme gastrointestinal losses due to the extensive inflamed surface area</w:t>
      </w:r>
      <w:r w:rsidRPr="003A2CF7">
        <w:rPr>
          <w:rFonts w:ascii="Book Antiqua" w:hAnsi="Book Antiqua" w:cs="Arial"/>
          <w:color w:val="000000"/>
          <w:sz w:val="24"/>
          <w:szCs w:val="24"/>
          <w:vertAlign w:val="superscript"/>
        </w:rPr>
        <w:t>[73]</w:t>
      </w:r>
      <w:r w:rsidRPr="003A2CF7">
        <w:rPr>
          <w:rFonts w:ascii="Book Antiqua" w:hAnsi="Book Antiqua" w:cs="Arial"/>
          <w:color w:val="000000"/>
          <w:sz w:val="24"/>
          <w:szCs w:val="24"/>
        </w:rPr>
        <w:t>; other complications include bleeding</w:t>
      </w:r>
      <w:r w:rsidRPr="003A2CF7">
        <w:rPr>
          <w:rFonts w:ascii="Book Antiqua" w:hAnsi="Book Antiqua" w:cs="Arial"/>
          <w:color w:val="000000"/>
          <w:sz w:val="24"/>
          <w:szCs w:val="24"/>
          <w:vertAlign w:val="superscript"/>
        </w:rPr>
        <w:t>[74]</w:t>
      </w:r>
      <w:r w:rsidRPr="003A2CF7">
        <w:rPr>
          <w:rFonts w:ascii="Book Antiqua" w:hAnsi="Book Antiqua" w:cs="Arial"/>
          <w:color w:val="000000"/>
          <w:sz w:val="24"/>
          <w:szCs w:val="24"/>
        </w:rPr>
        <w:t>, iron deficiency anemia</w:t>
      </w:r>
      <w:r w:rsidRPr="003A2CF7">
        <w:rPr>
          <w:rFonts w:ascii="Book Antiqua" w:hAnsi="Book Antiqua" w:cs="Arial"/>
          <w:color w:val="000000"/>
          <w:sz w:val="24"/>
          <w:szCs w:val="24"/>
          <w:vertAlign w:val="superscript"/>
        </w:rPr>
        <w:t>[75]</w:t>
      </w:r>
      <w:r w:rsidRPr="003A2CF7">
        <w:rPr>
          <w:rFonts w:ascii="Book Antiqua" w:hAnsi="Book Antiqua" w:cs="Arial"/>
          <w:color w:val="000000"/>
          <w:sz w:val="24"/>
          <w:szCs w:val="24"/>
        </w:rPr>
        <w:t xml:space="preserve"> and dysphagia</w:t>
      </w:r>
      <w:r w:rsidRPr="003A2CF7">
        <w:rPr>
          <w:rFonts w:ascii="Book Antiqua" w:hAnsi="Book Antiqua" w:cs="Arial"/>
          <w:color w:val="000000"/>
          <w:sz w:val="24"/>
          <w:szCs w:val="24"/>
          <w:vertAlign w:val="superscript"/>
        </w:rPr>
        <w:t>[76]</w:t>
      </w:r>
      <w:r w:rsidRPr="003A2CF7">
        <w:rPr>
          <w:rFonts w:ascii="Book Antiqua" w:hAnsi="Book Antiqua" w:cs="Arial"/>
          <w:color w:val="000000"/>
          <w:sz w:val="24"/>
          <w:szCs w:val="24"/>
        </w:rPr>
        <w:t>.</w:t>
      </w:r>
      <w:r w:rsidRPr="003A2CF7">
        <w:rPr>
          <w:rFonts w:ascii="Book Antiqua" w:hAnsi="Book Antiqua" w:cs="Arial"/>
          <w:color w:val="000000"/>
          <w:sz w:val="24"/>
          <w:szCs w:val="24"/>
        </w:rPr>
        <w:tab/>
      </w:r>
    </w:p>
    <w:p w:rsidR="008949A1" w:rsidRPr="003A2CF7" w:rsidRDefault="008949A1" w:rsidP="003A2CF7">
      <w:pPr>
        <w:spacing w:line="360" w:lineRule="auto"/>
        <w:jc w:val="both"/>
        <w:rPr>
          <w:rFonts w:ascii="Book Antiqua" w:hAnsi="Book Antiqua" w:cs="Arial"/>
          <w:b/>
          <w:color w:val="000000"/>
          <w:sz w:val="24"/>
          <w:szCs w:val="24"/>
        </w:rPr>
      </w:pPr>
    </w:p>
    <w:p w:rsidR="008949A1" w:rsidRPr="003A2CF7" w:rsidRDefault="008949A1" w:rsidP="003A2CF7">
      <w:pPr>
        <w:spacing w:line="360" w:lineRule="auto"/>
        <w:jc w:val="both"/>
        <w:rPr>
          <w:rFonts w:ascii="Book Antiqua" w:hAnsi="Book Antiqua" w:cs="Arial"/>
          <w:b/>
          <w:color w:val="000000"/>
          <w:sz w:val="24"/>
          <w:szCs w:val="24"/>
        </w:rPr>
      </w:pPr>
      <w:r w:rsidRPr="003A2CF7">
        <w:rPr>
          <w:rFonts w:ascii="Book Antiqua" w:hAnsi="Book Antiqua" w:cs="Arial"/>
          <w:b/>
          <w:color w:val="000000"/>
          <w:sz w:val="24"/>
          <w:szCs w:val="24"/>
        </w:rPr>
        <w:t xml:space="preserve">TREATMENT </w:t>
      </w:r>
    </w:p>
    <w:p w:rsidR="008949A1" w:rsidRPr="003A2CF7" w:rsidRDefault="008949A1" w:rsidP="003A2CF7">
      <w:pPr>
        <w:spacing w:line="360" w:lineRule="auto"/>
        <w:jc w:val="both"/>
        <w:rPr>
          <w:rFonts w:ascii="Book Antiqua" w:hAnsi="Book Antiqua" w:cs="Arial"/>
          <w:color w:val="000000"/>
          <w:sz w:val="24"/>
          <w:szCs w:val="24"/>
        </w:rPr>
      </w:pPr>
      <w:r w:rsidRPr="003A2CF7">
        <w:rPr>
          <w:rFonts w:ascii="Book Antiqua" w:hAnsi="Book Antiqua" w:cs="Arial"/>
          <w:color w:val="000000"/>
          <w:sz w:val="24"/>
          <w:szCs w:val="24"/>
        </w:rPr>
        <w:t xml:space="preserve">Treatment can be categorized as medical, endoscopic and surgical. Most reports dealing with complications have presented the use of interventional methods, but the majority of these are case reports. Medical treatment has been used for PP and shown to induce regression. Choi </w:t>
      </w:r>
      <w:r w:rsidRPr="003A2CF7">
        <w:rPr>
          <w:rFonts w:ascii="Book Antiqua" w:hAnsi="Book Antiqua" w:cs="Arial"/>
          <w:i/>
          <w:color w:val="000000"/>
          <w:sz w:val="24"/>
          <w:szCs w:val="24"/>
        </w:rPr>
        <w:t>et al</w:t>
      </w:r>
      <w:r w:rsidRPr="003A2CF7">
        <w:rPr>
          <w:rFonts w:ascii="Book Antiqua" w:hAnsi="Book Antiqua" w:cs="Arial"/>
          <w:color w:val="000000"/>
          <w:sz w:val="24"/>
          <w:szCs w:val="24"/>
          <w:vertAlign w:val="superscript"/>
        </w:rPr>
        <w:t>[71]</w:t>
      </w:r>
      <w:r w:rsidRPr="003A2CF7">
        <w:rPr>
          <w:rFonts w:ascii="Book Antiqua" w:hAnsi="Book Antiqua" w:cs="Arial"/>
          <w:color w:val="000000"/>
          <w:sz w:val="24"/>
          <w:szCs w:val="24"/>
        </w:rPr>
        <w:t xml:space="preserve"> reported regression of GPP in patients with IBD upon administration of mesalazine and azathioprine. Infliximab has also been shown to induce regression of PP in CD</w:t>
      </w:r>
      <w:r w:rsidRPr="003A2CF7">
        <w:rPr>
          <w:rFonts w:ascii="Book Antiqua" w:hAnsi="Book Antiqua" w:cs="Arial"/>
          <w:color w:val="000000"/>
          <w:sz w:val="24"/>
          <w:szCs w:val="24"/>
          <w:vertAlign w:val="superscript"/>
        </w:rPr>
        <w:t>[77]</w:t>
      </w:r>
      <w:r w:rsidRPr="003A2CF7">
        <w:rPr>
          <w:rFonts w:ascii="Book Antiqua" w:hAnsi="Book Antiqua" w:cs="Arial"/>
          <w:color w:val="000000"/>
          <w:sz w:val="24"/>
          <w:szCs w:val="24"/>
        </w:rPr>
        <w:t>. Topical enema with budenoside use was also reported to induce remission and control of minor bleeding of PP in sigmoid colon</w:t>
      </w:r>
      <w:r w:rsidRPr="003A2CF7">
        <w:rPr>
          <w:rFonts w:ascii="Book Antiqua" w:hAnsi="Book Antiqua" w:cs="Arial"/>
          <w:color w:val="000000"/>
          <w:sz w:val="24"/>
          <w:szCs w:val="24"/>
          <w:vertAlign w:val="superscript"/>
        </w:rPr>
        <w:t>[78]</w:t>
      </w:r>
      <w:r w:rsidRPr="003A2CF7">
        <w:rPr>
          <w:rFonts w:ascii="Book Antiqua" w:hAnsi="Book Antiqua" w:cs="Arial"/>
          <w:color w:val="000000"/>
          <w:sz w:val="24"/>
          <w:szCs w:val="24"/>
        </w:rPr>
        <w:t>.</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color w:val="000000"/>
          <w:sz w:val="24"/>
          <w:szCs w:val="24"/>
        </w:rPr>
        <w:t>Endoscopic procedures such as argon plasma coagulation</w:t>
      </w:r>
      <w:r w:rsidRPr="003A2CF7">
        <w:rPr>
          <w:rFonts w:ascii="Book Antiqua" w:hAnsi="Book Antiqua" w:cs="Arial"/>
          <w:color w:val="000000"/>
          <w:sz w:val="24"/>
          <w:szCs w:val="24"/>
          <w:vertAlign w:val="superscript"/>
        </w:rPr>
        <w:t>[79]</w:t>
      </w:r>
      <w:r w:rsidRPr="003A2CF7">
        <w:rPr>
          <w:rFonts w:ascii="Book Antiqua" w:hAnsi="Book Antiqua" w:cs="Arial"/>
          <w:color w:val="000000"/>
          <w:sz w:val="24"/>
          <w:szCs w:val="24"/>
        </w:rPr>
        <w:t>, endoscopic loop polypectomy</w:t>
      </w:r>
      <w:r w:rsidRPr="003A2CF7">
        <w:rPr>
          <w:rFonts w:ascii="Book Antiqua" w:hAnsi="Book Antiqua" w:cs="Arial"/>
          <w:noProof/>
          <w:color w:val="000000"/>
          <w:sz w:val="24"/>
          <w:szCs w:val="24"/>
          <w:vertAlign w:val="superscript"/>
        </w:rPr>
        <w:t>[80]</w:t>
      </w:r>
      <w:r w:rsidRPr="003A2CF7">
        <w:rPr>
          <w:rFonts w:ascii="Book Antiqua" w:hAnsi="Book Antiqua" w:cs="Arial"/>
          <w:color w:val="000000"/>
          <w:sz w:val="24"/>
          <w:szCs w:val="24"/>
        </w:rPr>
        <w:t xml:space="preserve">, and ablation with </w:t>
      </w:r>
      <w:r w:rsidRPr="003A2CF7">
        <w:rPr>
          <w:rFonts w:ascii="Book Antiqua" w:eastAsia="Times New Roman" w:hAnsi="Book Antiqua"/>
          <w:bCs/>
          <w:color w:val="252525"/>
          <w:sz w:val="24"/>
          <w:szCs w:val="24"/>
          <w:shd w:val="clear" w:color="auto" w:fill="FFFFFF"/>
        </w:rPr>
        <w:t>yttrium aluminium garnet</w:t>
      </w:r>
      <w:r w:rsidRPr="003A2CF7">
        <w:rPr>
          <w:rFonts w:ascii="Book Antiqua" w:hAnsi="Book Antiqua" w:cs="Arial"/>
          <w:color w:val="000000"/>
          <w:sz w:val="24"/>
          <w:szCs w:val="24"/>
        </w:rPr>
        <w:t xml:space="preserve"> (commonly </w:t>
      </w:r>
      <w:r w:rsidRPr="003A2CF7">
        <w:rPr>
          <w:rFonts w:ascii="Book Antiqua" w:hAnsi="Book Antiqua" w:cs="Arial"/>
          <w:color w:val="000000"/>
          <w:sz w:val="24"/>
          <w:szCs w:val="24"/>
        </w:rPr>
        <w:lastRenderedPageBreak/>
        <w:t>referred to as YAG) laser have been reported for control of bleeding provoked by ulcerated PP</w:t>
      </w:r>
      <w:r w:rsidRPr="003A2CF7">
        <w:rPr>
          <w:rFonts w:ascii="Book Antiqua" w:hAnsi="Book Antiqua" w:cs="Arial"/>
          <w:color w:val="000000"/>
          <w:sz w:val="24"/>
          <w:szCs w:val="24"/>
          <w:vertAlign w:val="superscript"/>
        </w:rPr>
        <w:t>[81]</w:t>
      </w:r>
      <w:r w:rsidRPr="003A2CF7">
        <w:rPr>
          <w:rFonts w:ascii="Book Antiqua" w:hAnsi="Book Antiqua" w:cs="Arial"/>
          <w:color w:val="000000"/>
          <w:sz w:val="24"/>
          <w:szCs w:val="24"/>
        </w:rPr>
        <w:t>. Endoscopic resection with electrocautery is another effective means reported for removing either symptomatic PPs or PPs of which their benign nature was not able to be established only with endoscopic criteria and which need further histological evaluation</w:t>
      </w:r>
      <w:r w:rsidRPr="003A2CF7">
        <w:rPr>
          <w:rFonts w:ascii="Book Antiqua" w:hAnsi="Book Antiqua" w:cs="Arial"/>
          <w:color w:val="000000"/>
          <w:sz w:val="24"/>
          <w:szCs w:val="24"/>
          <w:vertAlign w:val="superscript"/>
        </w:rPr>
        <w:t>[82]</w:t>
      </w:r>
      <w:r w:rsidRPr="003A2CF7">
        <w:rPr>
          <w:rFonts w:ascii="Book Antiqua" w:hAnsi="Book Antiqua" w:cs="Arial"/>
          <w:color w:val="000000"/>
          <w:sz w:val="24"/>
          <w:szCs w:val="24"/>
        </w:rPr>
        <w:t>.</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color w:val="000000"/>
          <w:sz w:val="24"/>
          <w:szCs w:val="24"/>
        </w:rPr>
        <w:t>Surgical methods are used when endoscopic therapy fails to manage complicated PP, for example in lower gastrointestinal bleeding or when obstructing phenomena, such as luminal obliteration or intussusception, occur</w:t>
      </w:r>
      <w:r w:rsidRPr="003A2CF7">
        <w:rPr>
          <w:rFonts w:ascii="Book Antiqua" w:hAnsi="Book Antiqua" w:cs="Arial"/>
          <w:color w:val="000000"/>
          <w:sz w:val="24"/>
          <w:szCs w:val="24"/>
          <w:vertAlign w:val="superscript"/>
        </w:rPr>
        <w:t>[67]</w:t>
      </w:r>
      <w:r w:rsidRPr="003A2CF7">
        <w:rPr>
          <w:rFonts w:ascii="Book Antiqua" w:hAnsi="Book Antiqua" w:cs="Arial"/>
          <w:color w:val="000000"/>
          <w:sz w:val="24"/>
          <w:szCs w:val="24"/>
        </w:rPr>
        <w:t>. The various surgical procedures range from segmental dissection to hemicolectomy</w:t>
      </w:r>
      <w:r w:rsidRPr="003A2CF7">
        <w:rPr>
          <w:rFonts w:ascii="Book Antiqua" w:hAnsi="Book Antiqua" w:cs="Arial"/>
          <w:color w:val="000000"/>
          <w:sz w:val="24"/>
          <w:szCs w:val="24"/>
          <w:vertAlign w:val="superscript"/>
        </w:rPr>
        <w:t>[83]</w:t>
      </w:r>
      <w:r w:rsidRPr="003A2CF7">
        <w:rPr>
          <w:rFonts w:ascii="Book Antiqua" w:hAnsi="Book Antiqua" w:cs="Arial"/>
          <w:color w:val="000000"/>
          <w:sz w:val="24"/>
          <w:szCs w:val="24"/>
        </w:rPr>
        <w:t>, depending on the cause. However, with the recent advances in endoscopic treatment, the need for a surgical approach has lessened over time.</w:t>
      </w:r>
    </w:p>
    <w:p w:rsidR="007821EA" w:rsidRDefault="007821EA" w:rsidP="00AB2311">
      <w:pPr>
        <w:spacing w:line="360" w:lineRule="auto"/>
        <w:jc w:val="both"/>
        <w:rPr>
          <w:rFonts w:ascii="Book Antiqua" w:hAnsi="Book Antiqua" w:cs="Arial"/>
          <w:b/>
          <w:color w:val="000000"/>
          <w:sz w:val="24"/>
          <w:szCs w:val="24"/>
        </w:rPr>
      </w:pPr>
    </w:p>
    <w:p w:rsidR="008949A1" w:rsidRPr="00AB2311" w:rsidRDefault="00F91280" w:rsidP="00AB2311">
      <w:pPr>
        <w:spacing w:line="360" w:lineRule="auto"/>
        <w:jc w:val="both"/>
        <w:rPr>
          <w:rFonts w:ascii="Book Antiqua" w:hAnsi="Book Antiqua" w:cs="Arial"/>
          <w:b/>
          <w:color w:val="000000"/>
          <w:sz w:val="24"/>
          <w:szCs w:val="24"/>
        </w:rPr>
      </w:pPr>
      <w:r w:rsidRPr="00AB2311">
        <w:rPr>
          <w:rFonts w:ascii="Book Antiqua" w:hAnsi="Book Antiqua" w:cs="Arial"/>
          <w:b/>
          <w:color w:val="000000"/>
          <w:sz w:val="24"/>
          <w:szCs w:val="24"/>
        </w:rPr>
        <w:t>CONCLUSION</w:t>
      </w:r>
    </w:p>
    <w:p w:rsidR="008949A1" w:rsidRPr="003A2CF7" w:rsidRDefault="008949A1" w:rsidP="003A2CF7">
      <w:pPr>
        <w:spacing w:line="360" w:lineRule="auto"/>
        <w:jc w:val="both"/>
        <w:rPr>
          <w:rFonts w:ascii="Book Antiqua" w:hAnsi="Book Antiqua" w:cs="Arial"/>
          <w:color w:val="000000"/>
          <w:sz w:val="24"/>
          <w:szCs w:val="24"/>
        </w:rPr>
      </w:pPr>
      <w:r w:rsidRPr="003A2CF7">
        <w:rPr>
          <w:rFonts w:ascii="Book Antiqua" w:hAnsi="Book Antiqua" w:cs="Arial"/>
          <w:color w:val="000000"/>
          <w:sz w:val="24"/>
          <w:szCs w:val="24"/>
        </w:rPr>
        <w:t xml:space="preserve">We have reviewed the main aspects regarding PPs and their pathogenesis, management and differentiation from DALM in IBD. Further research can focus on prognostic factors related to their formation. Another interesting subject for clarification is the relationship and comparison between different medical treatments and the possibility of reducing PP prevalence with the additional aim of changing the natural history of IBD. </w:t>
      </w:r>
    </w:p>
    <w:p w:rsidR="008949A1" w:rsidRPr="003A2CF7" w:rsidRDefault="008949A1" w:rsidP="003A2CF7">
      <w:pPr>
        <w:spacing w:line="360" w:lineRule="auto"/>
        <w:ind w:firstLine="720"/>
        <w:jc w:val="both"/>
        <w:rPr>
          <w:rFonts w:ascii="Book Antiqua" w:hAnsi="Book Antiqua" w:cs="Arial"/>
          <w:color w:val="000000"/>
          <w:sz w:val="24"/>
          <w:szCs w:val="24"/>
        </w:rPr>
      </w:pPr>
      <w:r w:rsidRPr="003A2CF7">
        <w:rPr>
          <w:rFonts w:ascii="Book Antiqua" w:hAnsi="Book Antiqua" w:cs="Arial"/>
          <w:color w:val="000000"/>
          <w:sz w:val="24"/>
          <w:szCs w:val="24"/>
        </w:rPr>
        <w:t xml:space="preserve">A key question that remains is: Is the presence of PP a marker of more aggressive IBD with more flares? Theoretically, the answer is positive, accepting the fact that PPs are a result of severe attack. However, that answer leaves open the next question as to whether these patients are indeed suffering from more flares. In addition, it remains unknown whether the newer biological agents and intensified medical therapy, which potentially reduce PP formation, correspond to a decline in CRC risk. We believe that in order to facilitate the management of patients with PP and promote future research on this clinical topic, better documentation of characteristics of pseudopolyps in patients with PP is needed. To this end, Table 4 summarizes the information on descriptions of the </w:t>
      </w:r>
      <w:r w:rsidRPr="003A2CF7">
        <w:rPr>
          <w:rFonts w:ascii="Book Antiqua" w:hAnsi="Book Antiqua" w:cs="Arial"/>
          <w:color w:val="000000"/>
          <w:sz w:val="24"/>
          <w:szCs w:val="24"/>
        </w:rPr>
        <w:lastRenderedPageBreak/>
        <w:t xml:space="preserve">characteristics of PPs, which we recommend should be documented </w:t>
      </w:r>
      <w:r w:rsidRPr="003A2CF7">
        <w:rPr>
          <w:rFonts w:ascii="Book Antiqua" w:hAnsi="Book Antiqua"/>
          <w:sz w:val="24"/>
          <w:szCs w:val="24"/>
        </w:rPr>
        <w:t>when a patient with PPs is encountered.</w:t>
      </w:r>
    </w:p>
    <w:p w:rsidR="00BC4937" w:rsidRPr="003A2CF7" w:rsidRDefault="00BC4937" w:rsidP="003A2CF7">
      <w:pPr>
        <w:spacing w:line="360" w:lineRule="auto"/>
        <w:jc w:val="both"/>
        <w:rPr>
          <w:rFonts w:ascii="Book Antiqua" w:hAnsi="Book Antiqua" w:cs="Arial"/>
          <w:b/>
          <w:sz w:val="24"/>
          <w:szCs w:val="24"/>
          <w:lang w:eastAsia="zh-CN"/>
        </w:rPr>
      </w:pPr>
      <w:r w:rsidRPr="003A2CF7">
        <w:rPr>
          <w:rFonts w:ascii="Book Antiqua" w:hAnsi="Book Antiqua" w:cs="Arial"/>
          <w:b/>
          <w:sz w:val="24"/>
          <w:szCs w:val="24"/>
          <w:lang w:eastAsia="zh-CN"/>
        </w:rPr>
        <w:br w:type="page"/>
      </w:r>
    </w:p>
    <w:p w:rsidR="008949A1" w:rsidRPr="003A2CF7" w:rsidRDefault="008949A1" w:rsidP="003A2CF7">
      <w:pPr>
        <w:spacing w:line="360" w:lineRule="auto"/>
        <w:jc w:val="both"/>
        <w:rPr>
          <w:rFonts w:ascii="Book Antiqua" w:hAnsi="Book Antiqua"/>
          <w:b/>
          <w:sz w:val="24"/>
          <w:szCs w:val="24"/>
          <w:lang w:eastAsia="zh-CN"/>
        </w:rPr>
      </w:pPr>
      <w:r w:rsidRPr="003A2CF7">
        <w:rPr>
          <w:rFonts w:ascii="Book Antiqua" w:hAnsi="Book Antiqua"/>
          <w:b/>
          <w:sz w:val="24"/>
          <w:szCs w:val="24"/>
        </w:rPr>
        <w:lastRenderedPageBreak/>
        <w:t>REFERENCES</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 </w:t>
      </w:r>
      <w:r w:rsidRPr="00DD5BE0">
        <w:rPr>
          <w:rFonts w:ascii="Book Antiqua" w:hAnsi="Book Antiqua" w:cs="宋体"/>
          <w:b/>
          <w:sz w:val="24"/>
          <w:szCs w:val="24"/>
        </w:rPr>
        <w:t>Lawrence JC</w:t>
      </w:r>
      <w:r w:rsidRPr="00DD5BE0">
        <w:rPr>
          <w:rFonts w:ascii="Book Antiqua" w:hAnsi="Book Antiqua" w:cs="宋体"/>
          <w:sz w:val="24"/>
          <w:szCs w:val="24"/>
        </w:rPr>
        <w:t xml:space="preserve">. Gastrointestinal polyps: Statistical study of malignancy incidence. </w:t>
      </w:r>
      <w:r w:rsidRPr="003A2CF7">
        <w:rPr>
          <w:rFonts w:ascii="Book Antiqua" w:hAnsi="Book Antiqua" w:cs="宋体"/>
          <w:i/>
          <w:sz w:val="24"/>
          <w:szCs w:val="24"/>
        </w:rPr>
        <w:t>Am J Surg</w:t>
      </w:r>
      <w:r w:rsidRPr="003A2CF7">
        <w:rPr>
          <w:rFonts w:ascii="Book Antiqua" w:hAnsi="Book Antiqua" w:cs="宋体"/>
          <w:sz w:val="24"/>
          <w:szCs w:val="24"/>
        </w:rPr>
        <w:t xml:space="preserve"> </w:t>
      </w:r>
      <w:r w:rsidRPr="00DD5BE0">
        <w:rPr>
          <w:rFonts w:ascii="Book Antiqua" w:hAnsi="Book Antiqua" w:cs="宋体"/>
          <w:sz w:val="24"/>
          <w:szCs w:val="24"/>
        </w:rPr>
        <w:t xml:space="preserve">1936; </w:t>
      </w:r>
      <w:r w:rsidRPr="00DD5BE0">
        <w:rPr>
          <w:rFonts w:ascii="Book Antiqua" w:hAnsi="Book Antiqua" w:cs="宋体"/>
          <w:b/>
          <w:sz w:val="24"/>
          <w:szCs w:val="24"/>
        </w:rPr>
        <w:t>31</w:t>
      </w:r>
      <w:r w:rsidRPr="00DD5BE0">
        <w:rPr>
          <w:rFonts w:ascii="Book Antiqua" w:hAnsi="Book Antiqua" w:cs="宋体"/>
          <w:sz w:val="24"/>
          <w:szCs w:val="24"/>
        </w:rPr>
        <w:t>: 499-536</w:t>
      </w:r>
      <w:r w:rsidRPr="003A2CF7">
        <w:rPr>
          <w:rFonts w:ascii="Book Antiqua" w:hAnsi="Book Antiqua" w:cs="宋体"/>
          <w:sz w:val="24"/>
          <w:szCs w:val="24"/>
        </w:rPr>
        <w:t xml:space="preserve"> </w:t>
      </w:r>
      <w:r w:rsidRPr="00DD5BE0">
        <w:rPr>
          <w:rFonts w:ascii="Book Antiqua" w:hAnsi="Book Antiqua" w:cs="宋体"/>
          <w:sz w:val="24"/>
          <w:szCs w:val="24"/>
        </w:rPr>
        <w:t>[DOI: 10.1016/S0002-9610(36)80014-2]</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2 </w:t>
      </w:r>
      <w:r w:rsidRPr="00DD5BE0">
        <w:rPr>
          <w:rFonts w:ascii="Book Antiqua" w:hAnsi="Book Antiqua" w:cs="宋体"/>
          <w:b/>
          <w:sz w:val="24"/>
          <w:szCs w:val="24"/>
        </w:rPr>
        <w:t>De WI</w:t>
      </w:r>
      <w:r w:rsidRPr="00DD5BE0">
        <w:rPr>
          <w:rFonts w:ascii="Book Antiqua" w:hAnsi="Book Antiqua" w:cs="宋体"/>
          <w:sz w:val="24"/>
          <w:szCs w:val="24"/>
        </w:rPr>
        <w:t xml:space="preserve">, Wheeler C. Multiple polypi of the colon. </w:t>
      </w:r>
      <w:r w:rsidRPr="003A2CF7">
        <w:rPr>
          <w:rFonts w:ascii="Book Antiqua" w:hAnsi="Book Antiqua" w:cs="宋体"/>
          <w:i/>
          <w:sz w:val="24"/>
          <w:szCs w:val="24"/>
        </w:rPr>
        <w:t>Br J Surg</w:t>
      </w:r>
      <w:r w:rsidRPr="003A2CF7">
        <w:rPr>
          <w:rFonts w:ascii="Book Antiqua" w:hAnsi="Book Antiqua" w:cs="宋体"/>
          <w:sz w:val="24"/>
          <w:szCs w:val="24"/>
        </w:rPr>
        <w:t xml:space="preserve"> 1926; </w:t>
      </w:r>
      <w:r w:rsidRPr="003A2CF7">
        <w:rPr>
          <w:rFonts w:ascii="Book Antiqua" w:hAnsi="Book Antiqua" w:cs="宋体"/>
          <w:b/>
          <w:sz w:val="24"/>
          <w:szCs w:val="24"/>
        </w:rPr>
        <w:t>14</w:t>
      </w:r>
      <w:r w:rsidRPr="003A2CF7">
        <w:rPr>
          <w:rFonts w:ascii="Book Antiqua" w:hAnsi="Book Antiqua" w:cs="宋体"/>
          <w:sz w:val="24"/>
          <w:szCs w:val="24"/>
        </w:rPr>
        <w:t>: 58-66</w:t>
      </w:r>
      <w:r w:rsidRPr="00DD5BE0">
        <w:rPr>
          <w:rFonts w:ascii="Book Antiqua" w:hAnsi="Book Antiqua" w:cs="宋体"/>
          <w:sz w:val="24"/>
          <w:szCs w:val="24"/>
        </w:rPr>
        <w:t xml:space="preserve"> [DOI: 10.1002/bjs.1800145305]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3 </w:t>
      </w:r>
      <w:r w:rsidRPr="00DD5BE0">
        <w:rPr>
          <w:rFonts w:ascii="Book Antiqua" w:hAnsi="Book Antiqua" w:cs="宋体"/>
          <w:b/>
          <w:bCs/>
          <w:sz w:val="24"/>
          <w:szCs w:val="24"/>
        </w:rPr>
        <w:t>Kovalcik PJ</w:t>
      </w:r>
      <w:r w:rsidRPr="00DD5BE0">
        <w:rPr>
          <w:rFonts w:ascii="Book Antiqua" w:hAnsi="Book Antiqua" w:cs="宋体"/>
          <w:sz w:val="24"/>
          <w:szCs w:val="24"/>
        </w:rPr>
        <w:t xml:space="preserve">, Szydlowski TR. Localized giant pseudopolyposis of the colon in ulcerative colitis. </w:t>
      </w:r>
      <w:r w:rsidRPr="00DD5BE0">
        <w:rPr>
          <w:rFonts w:ascii="Book Antiqua" w:hAnsi="Book Antiqua" w:cs="宋体"/>
          <w:i/>
          <w:iCs/>
          <w:sz w:val="24"/>
          <w:szCs w:val="24"/>
        </w:rPr>
        <w:t>Dis Colon Rectum</w:t>
      </w:r>
      <w:r w:rsidRPr="00DD5BE0">
        <w:rPr>
          <w:rFonts w:ascii="Book Antiqua" w:hAnsi="Book Antiqua" w:cs="宋体"/>
          <w:sz w:val="24"/>
          <w:szCs w:val="24"/>
        </w:rPr>
        <w:t xml:space="preserve"> </w:t>
      </w:r>
      <w:r w:rsidRPr="003A2CF7">
        <w:rPr>
          <w:rFonts w:ascii="Book Antiqua" w:hAnsi="Book Antiqua" w:cs="宋体"/>
          <w:sz w:val="24"/>
          <w:szCs w:val="24"/>
        </w:rPr>
        <w:t>1980</w:t>
      </w:r>
      <w:r w:rsidRPr="00DD5BE0">
        <w:rPr>
          <w:rFonts w:ascii="Book Antiqua" w:hAnsi="Book Antiqua" w:cs="宋体"/>
          <w:sz w:val="24"/>
          <w:szCs w:val="24"/>
        </w:rPr>
        <w:t xml:space="preserve">; </w:t>
      </w:r>
      <w:r w:rsidRPr="00DD5BE0">
        <w:rPr>
          <w:rFonts w:ascii="Book Antiqua" w:hAnsi="Book Antiqua" w:cs="宋体"/>
          <w:b/>
          <w:bCs/>
          <w:sz w:val="24"/>
          <w:szCs w:val="24"/>
        </w:rPr>
        <w:t>23</w:t>
      </w:r>
      <w:r w:rsidRPr="00DD5BE0">
        <w:rPr>
          <w:rFonts w:ascii="Book Antiqua" w:hAnsi="Book Antiqua" w:cs="宋体"/>
          <w:sz w:val="24"/>
          <w:szCs w:val="24"/>
        </w:rPr>
        <w:t>: 268-270 [PMID: 7389523 DOI: 10.1007/BF02587098]</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4 </w:t>
      </w:r>
      <w:r w:rsidRPr="003A2CF7">
        <w:rPr>
          <w:rFonts w:ascii="Book Antiqua" w:hAnsi="Book Antiqua" w:cs="宋体"/>
          <w:b/>
          <w:bCs/>
          <w:sz w:val="24"/>
          <w:szCs w:val="24"/>
        </w:rPr>
        <w:t xml:space="preserve">Lumb </w:t>
      </w:r>
      <w:r w:rsidRPr="00DD5BE0">
        <w:rPr>
          <w:rFonts w:ascii="Book Antiqua" w:hAnsi="Book Antiqua" w:cs="宋体"/>
          <w:b/>
          <w:bCs/>
          <w:sz w:val="24"/>
          <w:szCs w:val="24"/>
        </w:rPr>
        <w:t>G</w:t>
      </w:r>
      <w:r w:rsidRPr="00DD5BE0">
        <w:rPr>
          <w:rFonts w:ascii="Book Antiqua" w:hAnsi="Book Antiqua" w:cs="宋体"/>
          <w:sz w:val="24"/>
          <w:szCs w:val="24"/>
        </w:rPr>
        <w:t xml:space="preserve">. Pathology of ulcerative colitis. </w:t>
      </w:r>
      <w:r w:rsidRPr="00DD5BE0">
        <w:rPr>
          <w:rFonts w:ascii="Book Antiqua" w:hAnsi="Book Antiqua" w:cs="宋体"/>
          <w:i/>
          <w:iCs/>
          <w:sz w:val="24"/>
          <w:szCs w:val="24"/>
        </w:rPr>
        <w:t>Gastroenterology</w:t>
      </w:r>
      <w:r w:rsidRPr="00DD5BE0">
        <w:rPr>
          <w:rFonts w:ascii="Book Antiqua" w:hAnsi="Book Antiqua" w:cs="宋体"/>
          <w:sz w:val="24"/>
          <w:szCs w:val="24"/>
        </w:rPr>
        <w:t xml:space="preserve"> 1961; </w:t>
      </w:r>
      <w:r w:rsidRPr="00DD5BE0">
        <w:rPr>
          <w:rFonts w:ascii="Book Antiqua" w:hAnsi="Book Antiqua" w:cs="宋体"/>
          <w:b/>
          <w:bCs/>
          <w:sz w:val="24"/>
          <w:szCs w:val="24"/>
        </w:rPr>
        <w:t>40</w:t>
      </w:r>
      <w:r w:rsidRPr="00DD5BE0">
        <w:rPr>
          <w:rFonts w:ascii="Book Antiqua" w:hAnsi="Book Antiqua" w:cs="宋体"/>
          <w:sz w:val="24"/>
          <w:szCs w:val="24"/>
        </w:rPr>
        <w:t>: 290-298 [PMID: 13764247]</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5 </w:t>
      </w:r>
      <w:r w:rsidRPr="00DD5BE0">
        <w:rPr>
          <w:rFonts w:ascii="Book Antiqua" w:hAnsi="Book Antiqua" w:cs="宋体"/>
          <w:b/>
          <w:bCs/>
          <w:sz w:val="24"/>
          <w:szCs w:val="24"/>
        </w:rPr>
        <w:t>Hinrichs HR</w:t>
      </w:r>
      <w:r w:rsidRPr="00DD5BE0">
        <w:rPr>
          <w:rFonts w:ascii="Book Antiqua" w:hAnsi="Book Antiqua" w:cs="宋体"/>
          <w:sz w:val="24"/>
          <w:szCs w:val="24"/>
        </w:rPr>
        <w:t xml:space="preserve">, Goldman H. Localized giant pseudopolyps of the colon. </w:t>
      </w:r>
      <w:r w:rsidRPr="00DD5BE0">
        <w:rPr>
          <w:rFonts w:ascii="Book Antiqua" w:hAnsi="Book Antiqua" w:cs="宋体"/>
          <w:i/>
          <w:iCs/>
          <w:sz w:val="24"/>
          <w:szCs w:val="24"/>
        </w:rPr>
        <w:t>JAMA</w:t>
      </w:r>
      <w:r w:rsidRPr="00DD5BE0">
        <w:rPr>
          <w:rFonts w:ascii="Book Antiqua" w:hAnsi="Book Antiqua" w:cs="宋体"/>
          <w:sz w:val="24"/>
          <w:szCs w:val="24"/>
        </w:rPr>
        <w:t xml:space="preserve"> 1968; </w:t>
      </w:r>
      <w:r w:rsidRPr="00DD5BE0">
        <w:rPr>
          <w:rFonts w:ascii="Book Antiqua" w:hAnsi="Book Antiqua" w:cs="宋体"/>
          <w:b/>
          <w:bCs/>
          <w:sz w:val="24"/>
          <w:szCs w:val="24"/>
        </w:rPr>
        <w:t>205</w:t>
      </w:r>
      <w:r w:rsidRPr="00DD5BE0">
        <w:rPr>
          <w:rFonts w:ascii="Book Antiqua" w:hAnsi="Book Antiqua" w:cs="宋体"/>
          <w:sz w:val="24"/>
          <w:szCs w:val="24"/>
        </w:rPr>
        <w:t>: 248-249 [PMID: 5694927 DOI: 10.1001/jama.1968.03140300066022]</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 </w:t>
      </w:r>
      <w:r w:rsidRPr="00DD5BE0">
        <w:rPr>
          <w:rFonts w:ascii="Book Antiqua" w:hAnsi="Book Antiqua" w:cs="宋体"/>
          <w:b/>
          <w:bCs/>
          <w:sz w:val="24"/>
          <w:szCs w:val="24"/>
        </w:rPr>
        <w:t>Kelly JK</w:t>
      </w:r>
      <w:r w:rsidRPr="00DD5BE0">
        <w:rPr>
          <w:rFonts w:ascii="Book Antiqua" w:hAnsi="Book Antiqua" w:cs="宋体"/>
          <w:sz w:val="24"/>
          <w:szCs w:val="24"/>
        </w:rPr>
        <w:t xml:space="preserve">, Gabos S. The pathogenesis of inflammatory polyps. </w:t>
      </w:r>
      <w:r w:rsidRPr="00DD5BE0">
        <w:rPr>
          <w:rFonts w:ascii="Book Antiqua" w:hAnsi="Book Antiqua" w:cs="宋体"/>
          <w:i/>
          <w:iCs/>
          <w:sz w:val="24"/>
          <w:szCs w:val="24"/>
        </w:rPr>
        <w:t>Dis Colon Rectum</w:t>
      </w:r>
      <w:r w:rsidRPr="00DD5BE0">
        <w:rPr>
          <w:rFonts w:ascii="Book Antiqua" w:hAnsi="Book Antiqua" w:cs="宋体"/>
          <w:sz w:val="24"/>
          <w:szCs w:val="24"/>
        </w:rPr>
        <w:t xml:space="preserve"> 1987; </w:t>
      </w:r>
      <w:r w:rsidRPr="00DD5BE0">
        <w:rPr>
          <w:rFonts w:ascii="Book Antiqua" w:hAnsi="Book Antiqua" w:cs="宋体"/>
          <w:b/>
          <w:bCs/>
          <w:sz w:val="24"/>
          <w:szCs w:val="24"/>
        </w:rPr>
        <w:t>30</w:t>
      </w:r>
      <w:r w:rsidRPr="00DD5BE0">
        <w:rPr>
          <w:rFonts w:ascii="Book Antiqua" w:hAnsi="Book Antiqua" w:cs="宋体"/>
          <w:sz w:val="24"/>
          <w:szCs w:val="24"/>
        </w:rPr>
        <w:t>: 251-254 [PMID: 3829873 DOI: 10.1007/BF02556166]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7 </w:t>
      </w:r>
      <w:r w:rsidRPr="00DD5BE0">
        <w:rPr>
          <w:rFonts w:ascii="Book Antiqua" w:hAnsi="Book Antiqua" w:cs="宋体"/>
          <w:b/>
          <w:bCs/>
          <w:sz w:val="24"/>
          <w:szCs w:val="24"/>
        </w:rPr>
        <w:t>Maggs JR</w:t>
      </w:r>
      <w:r w:rsidRPr="00DD5BE0">
        <w:rPr>
          <w:rFonts w:ascii="Book Antiqua" w:hAnsi="Book Antiqua" w:cs="宋体"/>
          <w:sz w:val="24"/>
          <w:szCs w:val="24"/>
        </w:rPr>
        <w:t xml:space="preserve">, Browning LC, Warren BF, Travis SP. Obstructing giant post-inflammatory polyposis in ulcerative colitis: Case report and review of the literature. </w:t>
      </w:r>
      <w:r w:rsidRPr="00DD5BE0">
        <w:rPr>
          <w:rFonts w:ascii="Book Antiqua" w:hAnsi="Book Antiqua" w:cs="宋体"/>
          <w:i/>
          <w:iCs/>
          <w:sz w:val="24"/>
          <w:szCs w:val="24"/>
        </w:rPr>
        <w:t>J Crohns Colitis</w:t>
      </w:r>
      <w:r w:rsidRPr="00DD5BE0">
        <w:rPr>
          <w:rFonts w:ascii="Book Antiqua" w:hAnsi="Book Antiqua" w:cs="宋体"/>
          <w:sz w:val="24"/>
          <w:szCs w:val="24"/>
        </w:rPr>
        <w:t xml:space="preserve"> 2008; </w:t>
      </w:r>
      <w:r w:rsidRPr="00DD5BE0">
        <w:rPr>
          <w:rFonts w:ascii="Book Antiqua" w:hAnsi="Book Antiqua" w:cs="宋体"/>
          <w:b/>
          <w:bCs/>
          <w:sz w:val="24"/>
          <w:szCs w:val="24"/>
        </w:rPr>
        <w:t>2</w:t>
      </w:r>
      <w:r w:rsidRPr="00DD5BE0">
        <w:rPr>
          <w:rFonts w:ascii="Book Antiqua" w:hAnsi="Book Antiqua" w:cs="宋体"/>
          <w:sz w:val="24"/>
          <w:szCs w:val="24"/>
        </w:rPr>
        <w:t>: 170-180 [PMID: 21172208 DOI: 10.1016/j.crohns.2007.10.007]</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8 </w:t>
      </w:r>
      <w:r w:rsidRPr="00DD5BE0">
        <w:rPr>
          <w:rFonts w:ascii="Book Antiqua" w:hAnsi="Book Antiqua" w:cs="宋体"/>
          <w:b/>
          <w:bCs/>
          <w:sz w:val="24"/>
          <w:szCs w:val="24"/>
        </w:rPr>
        <w:t>Riddell RH</w:t>
      </w:r>
      <w:r w:rsidRPr="00DD5BE0">
        <w:rPr>
          <w:rFonts w:ascii="Book Antiqua" w:hAnsi="Book Antiqua" w:cs="宋体"/>
          <w:sz w:val="24"/>
          <w:szCs w:val="24"/>
        </w:rPr>
        <w:t xml:space="preserve">, Goldman H, Ransohoff DF, Appelman HD, Fenoglio CM, Haggitt RC, Ahren C, Correa P, Hamilton SR, Morson BC. Dysplasia in inflammatory bowel disease: standardized classification with provisional clinical applications. </w:t>
      </w:r>
      <w:r w:rsidRPr="00DD5BE0">
        <w:rPr>
          <w:rFonts w:ascii="Book Antiqua" w:hAnsi="Book Antiqua" w:cs="宋体"/>
          <w:i/>
          <w:iCs/>
          <w:sz w:val="24"/>
          <w:szCs w:val="24"/>
        </w:rPr>
        <w:lastRenderedPageBreak/>
        <w:t>Hum Pathol</w:t>
      </w:r>
      <w:r w:rsidRPr="00DD5BE0">
        <w:rPr>
          <w:rFonts w:ascii="Book Antiqua" w:hAnsi="Book Antiqua" w:cs="宋体"/>
          <w:sz w:val="24"/>
          <w:szCs w:val="24"/>
        </w:rPr>
        <w:t xml:space="preserve"> 1983; </w:t>
      </w:r>
      <w:r w:rsidRPr="00DD5BE0">
        <w:rPr>
          <w:rFonts w:ascii="Book Antiqua" w:hAnsi="Book Antiqua" w:cs="宋体"/>
          <w:b/>
          <w:bCs/>
          <w:sz w:val="24"/>
          <w:szCs w:val="24"/>
        </w:rPr>
        <w:t>14</w:t>
      </w:r>
      <w:r w:rsidRPr="00DD5BE0">
        <w:rPr>
          <w:rFonts w:ascii="Book Antiqua" w:hAnsi="Book Antiqua" w:cs="宋体"/>
          <w:sz w:val="24"/>
          <w:szCs w:val="24"/>
        </w:rPr>
        <w:t>: 931-968 [PMID: 6629368 DOI: 10.1016/S0046-8177(83)80175-0]</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9 </w:t>
      </w:r>
      <w:r w:rsidRPr="00DD5BE0">
        <w:rPr>
          <w:rFonts w:ascii="Book Antiqua" w:hAnsi="Book Antiqua" w:cs="宋体"/>
          <w:b/>
          <w:bCs/>
          <w:sz w:val="24"/>
          <w:szCs w:val="24"/>
        </w:rPr>
        <w:t>Goldgraber MB</w:t>
      </w:r>
      <w:r w:rsidRPr="00DD5BE0">
        <w:rPr>
          <w:rFonts w:ascii="Book Antiqua" w:hAnsi="Book Antiqua" w:cs="宋体"/>
          <w:sz w:val="24"/>
          <w:szCs w:val="24"/>
        </w:rPr>
        <w:t xml:space="preserve">. Pseudopolyps in ulcerative colitis. </w:t>
      </w:r>
      <w:r w:rsidRPr="00DD5BE0">
        <w:rPr>
          <w:rFonts w:ascii="Book Antiqua" w:hAnsi="Book Antiqua" w:cs="宋体"/>
          <w:i/>
          <w:iCs/>
          <w:sz w:val="24"/>
          <w:szCs w:val="24"/>
        </w:rPr>
        <w:t>Dis Colon Rectum</w:t>
      </w:r>
      <w:r w:rsidRPr="00DD5BE0">
        <w:rPr>
          <w:rFonts w:ascii="Book Antiqua" w:hAnsi="Book Antiqua" w:cs="宋体"/>
          <w:sz w:val="24"/>
          <w:szCs w:val="24"/>
        </w:rPr>
        <w:t xml:space="preserve"> </w:t>
      </w:r>
      <w:r w:rsidRPr="003A2CF7">
        <w:rPr>
          <w:rFonts w:ascii="Book Antiqua" w:hAnsi="Book Antiqua" w:cs="宋体"/>
          <w:sz w:val="24"/>
          <w:szCs w:val="24"/>
        </w:rPr>
        <w:t>1965</w:t>
      </w:r>
      <w:r w:rsidRPr="00DD5BE0">
        <w:rPr>
          <w:rFonts w:ascii="Book Antiqua" w:hAnsi="Book Antiqua" w:cs="宋体"/>
          <w:sz w:val="24"/>
          <w:szCs w:val="24"/>
        </w:rPr>
        <w:t xml:space="preserve">; </w:t>
      </w:r>
      <w:r w:rsidRPr="00DD5BE0">
        <w:rPr>
          <w:rFonts w:ascii="Book Antiqua" w:hAnsi="Book Antiqua" w:cs="宋体"/>
          <w:b/>
          <w:bCs/>
          <w:sz w:val="24"/>
          <w:szCs w:val="24"/>
        </w:rPr>
        <w:t>8</w:t>
      </w:r>
      <w:r w:rsidRPr="00DD5BE0">
        <w:rPr>
          <w:rFonts w:ascii="Book Antiqua" w:hAnsi="Book Antiqua" w:cs="宋体"/>
          <w:sz w:val="24"/>
          <w:szCs w:val="24"/>
        </w:rPr>
        <w:t>: 355-363 [PMID: 5830658 DOI: 10.1007/BF02627260]</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10 </w:t>
      </w:r>
      <w:r w:rsidRPr="00DD5BE0">
        <w:rPr>
          <w:rFonts w:ascii="Book Antiqua" w:hAnsi="Book Antiqua" w:cs="宋体"/>
          <w:b/>
          <w:bCs/>
          <w:sz w:val="24"/>
          <w:szCs w:val="24"/>
        </w:rPr>
        <w:t>Jalan KN</w:t>
      </w:r>
      <w:r w:rsidRPr="00DD5BE0">
        <w:rPr>
          <w:rFonts w:ascii="Book Antiqua" w:hAnsi="Book Antiqua" w:cs="宋体"/>
          <w:sz w:val="24"/>
          <w:szCs w:val="24"/>
        </w:rPr>
        <w:t xml:space="preserve">, Walker RJ, Sircus W, McManus JP, Prescott RJ, Card WI. Pseudopolyposis in ulcerative colitis. </w:t>
      </w:r>
      <w:r w:rsidRPr="00DD5BE0">
        <w:rPr>
          <w:rFonts w:ascii="Book Antiqua" w:hAnsi="Book Antiqua" w:cs="宋体"/>
          <w:i/>
          <w:iCs/>
          <w:sz w:val="24"/>
          <w:szCs w:val="24"/>
        </w:rPr>
        <w:t>Lancet</w:t>
      </w:r>
      <w:r w:rsidRPr="00DD5BE0">
        <w:rPr>
          <w:rFonts w:ascii="Book Antiqua" w:hAnsi="Book Antiqua" w:cs="宋体"/>
          <w:sz w:val="24"/>
          <w:szCs w:val="24"/>
        </w:rPr>
        <w:t xml:space="preserve"> 1969; </w:t>
      </w:r>
      <w:r w:rsidRPr="00DD5BE0">
        <w:rPr>
          <w:rFonts w:ascii="Book Antiqua" w:hAnsi="Book Antiqua" w:cs="宋体"/>
          <w:b/>
          <w:bCs/>
          <w:sz w:val="24"/>
          <w:szCs w:val="24"/>
        </w:rPr>
        <w:t>2</w:t>
      </w:r>
      <w:r w:rsidRPr="00DD5BE0">
        <w:rPr>
          <w:rFonts w:ascii="Book Antiqua" w:hAnsi="Book Antiqua" w:cs="宋体"/>
          <w:sz w:val="24"/>
          <w:szCs w:val="24"/>
        </w:rPr>
        <w:t>: 555-559 [PMID: 4185531 DOI: 10.1016/S0140-6736(69)90260-8]</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11 </w:t>
      </w:r>
      <w:r w:rsidRPr="003A2CF7">
        <w:rPr>
          <w:rFonts w:ascii="Book Antiqua" w:hAnsi="Book Antiqua" w:cs="宋体"/>
          <w:b/>
          <w:bCs/>
          <w:sz w:val="24"/>
          <w:szCs w:val="24"/>
        </w:rPr>
        <w:t xml:space="preserve">Dukes </w:t>
      </w:r>
      <w:r w:rsidRPr="00DD5BE0">
        <w:rPr>
          <w:rFonts w:ascii="Book Antiqua" w:hAnsi="Book Antiqua" w:cs="宋体"/>
          <w:b/>
          <w:bCs/>
          <w:sz w:val="24"/>
          <w:szCs w:val="24"/>
        </w:rPr>
        <w:t>CE</w:t>
      </w:r>
      <w:r w:rsidRPr="00DD5BE0">
        <w:rPr>
          <w:rFonts w:ascii="Book Antiqua" w:hAnsi="Book Antiqua" w:cs="宋体"/>
          <w:sz w:val="24"/>
          <w:szCs w:val="24"/>
        </w:rPr>
        <w:t xml:space="preserve">. The surgical pathology of ulcerative colitis. </w:t>
      </w:r>
      <w:r w:rsidRPr="00DD5BE0">
        <w:rPr>
          <w:rFonts w:ascii="Book Antiqua" w:hAnsi="Book Antiqua" w:cs="宋体"/>
          <w:i/>
          <w:iCs/>
          <w:sz w:val="24"/>
          <w:szCs w:val="24"/>
        </w:rPr>
        <w:t>Ann R Coll Surg Engl</w:t>
      </w:r>
      <w:r w:rsidRPr="00DD5BE0">
        <w:rPr>
          <w:rFonts w:ascii="Book Antiqua" w:hAnsi="Book Antiqua" w:cs="宋体"/>
          <w:sz w:val="24"/>
          <w:szCs w:val="24"/>
        </w:rPr>
        <w:t xml:space="preserve"> 1954; </w:t>
      </w:r>
      <w:r w:rsidRPr="00DD5BE0">
        <w:rPr>
          <w:rFonts w:ascii="Book Antiqua" w:hAnsi="Book Antiqua" w:cs="宋体"/>
          <w:b/>
          <w:bCs/>
          <w:sz w:val="24"/>
          <w:szCs w:val="24"/>
        </w:rPr>
        <w:t>14</w:t>
      </w:r>
      <w:r w:rsidRPr="00DD5BE0">
        <w:rPr>
          <w:rFonts w:ascii="Book Antiqua" w:hAnsi="Book Antiqua" w:cs="宋体"/>
          <w:sz w:val="24"/>
          <w:szCs w:val="24"/>
        </w:rPr>
        <w:t>: 389-400 [PMID: 13159102]</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12 </w:t>
      </w:r>
      <w:r w:rsidRPr="00DD5BE0">
        <w:rPr>
          <w:rFonts w:ascii="Book Antiqua" w:hAnsi="Book Antiqua" w:cs="宋体"/>
          <w:b/>
          <w:bCs/>
          <w:sz w:val="24"/>
          <w:szCs w:val="24"/>
        </w:rPr>
        <w:t>Kelly JK</w:t>
      </w:r>
      <w:r w:rsidRPr="00DD5BE0">
        <w:rPr>
          <w:rFonts w:ascii="Book Antiqua" w:hAnsi="Book Antiqua" w:cs="宋体"/>
          <w:sz w:val="24"/>
          <w:szCs w:val="24"/>
        </w:rPr>
        <w:t xml:space="preserve">, Langevin JM, Price LM, Hershfield NB, Share S, Blustein P. Giant and symptomatic inflammatory polyps of the colon in idiopathic inflammatory bowel disease. </w:t>
      </w:r>
      <w:r w:rsidRPr="00DD5BE0">
        <w:rPr>
          <w:rFonts w:ascii="Book Antiqua" w:hAnsi="Book Antiqua" w:cs="宋体"/>
          <w:i/>
          <w:iCs/>
          <w:sz w:val="24"/>
          <w:szCs w:val="24"/>
        </w:rPr>
        <w:t>Am J Surg Pathol</w:t>
      </w:r>
      <w:r w:rsidRPr="00DD5BE0">
        <w:rPr>
          <w:rFonts w:ascii="Book Antiqua" w:hAnsi="Book Antiqua" w:cs="宋体"/>
          <w:sz w:val="24"/>
          <w:szCs w:val="24"/>
        </w:rPr>
        <w:t xml:space="preserve"> 1986; </w:t>
      </w:r>
      <w:r w:rsidRPr="00DD5BE0">
        <w:rPr>
          <w:rFonts w:ascii="Book Antiqua" w:hAnsi="Book Antiqua" w:cs="宋体"/>
          <w:b/>
          <w:bCs/>
          <w:sz w:val="24"/>
          <w:szCs w:val="24"/>
        </w:rPr>
        <w:t>10</w:t>
      </w:r>
      <w:r w:rsidRPr="00DD5BE0">
        <w:rPr>
          <w:rFonts w:ascii="Book Antiqua" w:hAnsi="Book Antiqua" w:cs="宋体"/>
          <w:sz w:val="24"/>
          <w:szCs w:val="24"/>
        </w:rPr>
        <w:t>: 420-428 [PMID: 3717497 DOI: 10.1097/00000478-198606000-00007]</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13 </w:t>
      </w:r>
      <w:r w:rsidRPr="00DD5BE0">
        <w:rPr>
          <w:rFonts w:ascii="Book Antiqua" w:hAnsi="Book Antiqua" w:cs="宋体"/>
          <w:b/>
          <w:bCs/>
          <w:sz w:val="24"/>
          <w:szCs w:val="24"/>
        </w:rPr>
        <w:t>Buck JL</w:t>
      </w:r>
      <w:r w:rsidRPr="00DD5BE0">
        <w:rPr>
          <w:rFonts w:ascii="Book Antiqua" w:hAnsi="Book Antiqua" w:cs="宋体"/>
          <w:sz w:val="24"/>
          <w:szCs w:val="24"/>
        </w:rPr>
        <w:t xml:space="preserve">, Dachman AH, Sobin LH. Polypoid and pseudopolypoid manifestations of inflammatory bowel disease. </w:t>
      </w:r>
      <w:r w:rsidRPr="00DD5BE0">
        <w:rPr>
          <w:rFonts w:ascii="Book Antiqua" w:hAnsi="Book Antiqua" w:cs="宋体"/>
          <w:i/>
          <w:iCs/>
          <w:sz w:val="24"/>
          <w:szCs w:val="24"/>
        </w:rPr>
        <w:t>Radiographics</w:t>
      </w:r>
      <w:r w:rsidRPr="00DD5BE0">
        <w:rPr>
          <w:rFonts w:ascii="Book Antiqua" w:hAnsi="Book Antiqua" w:cs="宋体"/>
          <w:sz w:val="24"/>
          <w:szCs w:val="24"/>
        </w:rPr>
        <w:t xml:space="preserve"> 1991; </w:t>
      </w:r>
      <w:r w:rsidRPr="00DD5BE0">
        <w:rPr>
          <w:rFonts w:ascii="Book Antiqua" w:hAnsi="Book Antiqua" w:cs="宋体"/>
          <w:b/>
          <w:bCs/>
          <w:sz w:val="24"/>
          <w:szCs w:val="24"/>
        </w:rPr>
        <w:t>11</w:t>
      </w:r>
      <w:r w:rsidRPr="00DD5BE0">
        <w:rPr>
          <w:rFonts w:ascii="Book Antiqua" w:hAnsi="Book Antiqua" w:cs="宋体"/>
          <w:sz w:val="24"/>
          <w:szCs w:val="24"/>
        </w:rPr>
        <w:t>: 293-304 [PMID: 2028064 DOI: 10.1148/radiographics.11.2.2028064]</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14 </w:t>
      </w:r>
      <w:r w:rsidRPr="00DD5BE0">
        <w:rPr>
          <w:rFonts w:ascii="Book Antiqua" w:hAnsi="Book Antiqua" w:cs="宋体"/>
          <w:b/>
          <w:bCs/>
          <w:sz w:val="24"/>
          <w:szCs w:val="24"/>
        </w:rPr>
        <w:t>Lim YJ</w:t>
      </w:r>
      <w:r w:rsidRPr="00DD5BE0">
        <w:rPr>
          <w:rFonts w:ascii="Book Antiqua" w:hAnsi="Book Antiqua" w:cs="宋体"/>
          <w:sz w:val="24"/>
          <w:szCs w:val="24"/>
        </w:rPr>
        <w:t xml:space="preserve">, Choi JH, Yang CH. What is the Clinical Relevance of Filiform Polyposis? </w:t>
      </w:r>
      <w:r w:rsidRPr="00DD5BE0">
        <w:rPr>
          <w:rFonts w:ascii="Book Antiqua" w:hAnsi="Book Antiqua" w:cs="宋体"/>
          <w:i/>
          <w:iCs/>
          <w:sz w:val="24"/>
          <w:szCs w:val="24"/>
        </w:rPr>
        <w:t>Gut Liver</w:t>
      </w:r>
      <w:r w:rsidRPr="00DD5BE0">
        <w:rPr>
          <w:rFonts w:ascii="Book Antiqua" w:hAnsi="Book Antiqua" w:cs="宋体"/>
          <w:sz w:val="24"/>
          <w:szCs w:val="24"/>
        </w:rPr>
        <w:t xml:space="preserve"> 2012; </w:t>
      </w:r>
      <w:r w:rsidRPr="00DD5BE0">
        <w:rPr>
          <w:rFonts w:ascii="Book Antiqua" w:hAnsi="Book Antiqua" w:cs="宋体"/>
          <w:b/>
          <w:bCs/>
          <w:sz w:val="24"/>
          <w:szCs w:val="24"/>
        </w:rPr>
        <w:t>6</w:t>
      </w:r>
      <w:r w:rsidRPr="00DD5BE0">
        <w:rPr>
          <w:rFonts w:ascii="Book Antiqua" w:hAnsi="Book Antiqua" w:cs="宋体"/>
          <w:sz w:val="24"/>
          <w:szCs w:val="24"/>
        </w:rPr>
        <w:t>: 524-526 [PMID: 23170162 DOI: 10.5009/gnl.2012.6.4.524]</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15 </w:t>
      </w:r>
      <w:r w:rsidRPr="00DD5BE0">
        <w:rPr>
          <w:rFonts w:ascii="Book Antiqua" w:hAnsi="Book Antiqua" w:cs="宋体"/>
          <w:b/>
          <w:bCs/>
          <w:sz w:val="24"/>
          <w:szCs w:val="24"/>
        </w:rPr>
        <w:t>Shah SM</w:t>
      </w:r>
      <w:r w:rsidRPr="00DD5BE0">
        <w:rPr>
          <w:rFonts w:ascii="Book Antiqua" w:hAnsi="Book Antiqua" w:cs="宋体"/>
          <w:sz w:val="24"/>
          <w:szCs w:val="24"/>
        </w:rPr>
        <w:t xml:space="preserve">, Rogers HL, Nagai N. Localized giant pseudopolyposis in Crohn's disease: colonoscopic findings. </w:t>
      </w:r>
      <w:r w:rsidRPr="00DD5BE0">
        <w:rPr>
          <w:rFonts w:ascii="Book Antiqua" w:hAnsi="Book Antiqua" w:cs="宋体"/>
          <w:i/>
          <w:iCs/>
          <w:sz w:val="24"/>
          <w:szCs w:val="24"/>
        </w:rPr>
        <w:t>Dis Colon Rectum</w:t>
      </w:r>
      <w:r w:rsidRPr="00DD5BE0">
        <w:rPr>
          <w:rFonts w:ascii="Book Antiqua" w:hAnsi="Book Antiqua" w:cs="宋体"/>
          <w:sz w:val="24"/>
          <w:szCs w:val="24"/>
        </w:rPr>
        <w:t xml:space="preserve"> 1978; </w:t>
      </w:r>
      <w:r w:rsidRPr="00DD5BE0">
        <w:rPr>
          <w:rFonts w:ascii="Book Antiqua" w:hAnsi="Book Antiqua" w:cs="宋体"/>
          <w:b/>
          <w:bCs/>
          <w:sz w:val="24"/>
          <w:szCs w:val="24"/>
        </w:rPr>
        <w:t>21</w:t>
      </w:r>
      <w:r w:rsidRPr="00DD5BE0">
        <w:rPr>
          <w:rFonts w:ascii="Book Antiqua" w:hAnsi="Book Antiqua" w:cs="宋体"/>
          <w:sz w:val="24"/>
          <w:szCs w:val="24"/>
        </w:rPr>
        <w:t>: 104-106 [PMID: 648283 DOI: 10.1007/BF02586449]</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lastRenderedPageBreak/>
        <w:t xml:space="preserve">16 </w:t>
      </w:r>
      <w:r w:rsidRPr="00DD5BE0">
        <w:rPr>
          <w:rFonts w:ascii="Book Antiqua" w:hAnsi="Book Antiqua" w:cs="宋体"/>
          <w:b/>
          <w:bCs/>
          <w:sz w:val="24"/>
          <w:szCs w:val="24"/>
        </w:rPr>
        <w:t>Van Moerkercke W</w:t>
      </w:r>
      <w:r w:rsidRPr="00DD5BE0">
        <w:rPr>
          <w:rFonts w:ascii="Book Antiqua" w:hAnsi="Book Antiqua" w:cs="宋体"/>
          <w:sz w:val="24"/>
          <w:szCs w:val="24"/>
        </w:rPr>
        <w:t xml:space="preserve">, Deboever G, Lambrecht G, Hertveldt K. Severe bridging fibrosis of the colon in a man with inflammatory bowel disease. </w:t>
      </w:r>
      <w:r w:rsidRPr="00DD5BE0">
        <w:rPr>
          <w:rFonts w:ascii="Book Antiqua" w:hAnsi="Book Antiqua" w:cs="宋体"/>
          <w:i/>
          <w:iCs/>
          <w:sz w:val="24"/>
          <w:szCs w:val="24"/>
        </w:rPr>
        <w:t>Endoscopy</w:t>
      </w:r>
      <w:r w:rsidRPr="00DD5BE0">
        <w:rPr>
          <w:rFonts w:ascii="Book Antiqua" w:hAnsi="Book Antiqua" w:cs="宋体"/>
          <w:sz w:val="24"/>
          <w:szCs w:val="24"/>
        </w:rPr>
        <w:t xml:space="preserve"> 2007; </w:t>
      </w:r>
      <w:r w:rsidRPr="00DD5BE0">
        <w:rPr>
          <w:rFonts w:ascii="Book Antiqua" w:hAnsi="Book Antiqua" w:cs="宋体"/>
          <w:b/>
          <w:bCs/>
          <w:sz w:val="24"/>
          <w:szCs w:val="24"/>
        </w:rPr>
        <w:t>39 Suppl 1</w:t>
      </w:r>
      <w:r w:rsidRPr="00DD5BE0">
        <w:rPr>
          <w:rFonts w:ascii="Book Antiqua" w:hAnsi="Book Antiqua" w:cs="宋体"/>
          <w:sz w:val="24"/>
          <w:szCs w:val="24"/>
        </w:rPr>
        <w:t>: E294 [PMID: 17957610 DOI: 10.1055/s-2007-966418]</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17 </w:t>
      </w:r>
      <w:r w:rsidRPr="00DD5BE0">
        <w:rPr>
          <w:rFonts w:ascii="Book Antiqua" w:hAnsi="Book Antiqua" w:cs="宋体"/>
          <w:b/>
          <w:bCs/>
          <w:sz w:val="24"/>
          <w:szCs w:val="24"/>
        </w:rPr>
        <w:t>De Dombal FT</w:t>
      </w:r>
      <w:r w:rsidRPr="00DD5BE0">
        <w:rPr>
          <w:rFonts w:ascii="Book Antiqua" w:hAnsi="Book Antiqua" w:cs="宋体"/>
          <w:sz w:val="24"/>
          <w:szCs w:val="24"/>
        </w:rPr>
        <w:t xml:space="preserve">, Watts JM, Watkinson G, Goligher JC. Local complications of ulcerative colitis: stricture, pseudopolyposis, and carcinoma of colon and rectum. </w:t>
      </w:r>
      <w:r w:rsidRPr="00DD5BE0">
        <w:rPr>
          <w:rFonts w:ascii="Book Antiqua" w:hAnsi="Book Antiqua" w:cs="宋体"/>
          <w:i/>
          <w:iCs/>
          <w:sz w:val="24"/>
          <w:szCs w:val="24"/>
        </w:rPr>
        <w:t>Br Med J</w:t>
      </w:r>
      <w:r w:rsidRPr="00DD5BE0">
        <w:rPr>
          <w:rFonts w:ascii="Book Antiqua" w:hAnsi="Book Antiqua" w:cs="宋体"/>
          <w:sz w:val="24"/>
          <w:szCs w:val="24"/>
        </w:rPr>
        <w:t xml:space="preserve"> 1966; </w:t>
      </w:r>
      <w:r w:rsidRPr="00DD5BE0">
        <w:rPr>
          <w:rFonts w:ascii="Book Antiqua" w:hAnsi="Book Antiqua" w:cs="宋体"/>
          <w:b/>
          <w:bCs/>
          <w:sz w:val="24"/>
          <w:szCs w:val="24"/>
        </w:rPr>
        <w:t>1</w:t>
      </w:r>
      <w:r w:rsidRPr="00DD5BE0">
        <w:rPr>
          <w:rFonts w:ascii="Book Antiqua" w:hAnsi="Book Antiqua" w:cs="宋体"/>
          <w:sz w:val="24"/>
          <w:szCs w:val="24"/>
        </w:rPr>
        <w:t>: 1442-1447 [PMID: 5933046 DOI: 10.1136/bmj.1.5501.1442]</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18 </w:t>
      </w:r>
      <w:r w:rsidRPr="00DD5BE0">
        <w:rPr>
          <w:rFonts w:ascii="Book Antiqua" w:hAnsi="Book Antiqua" w:cs="宋体"/>
          <w:b/>
          <w:bCs/>
          <w:sz w:val="24"/>
          <w:szCs w:val="24"/>
        </w:rPr>
        <w:t>Gardiner GA</w:t>
      </w:r>
      <w:r w:rsidRPr="00DD5BE0">
        <w:rPr>
          <w:rFonts w:ascii="Book Antiqua" w:hAnsi="Book Antiqua" w:cs="宋体"/>
          <w:sz w:val="24"/>
          <w:szCs w:val="24"/>
        </w:rPr>
        <w:t xml:space="preserve">. "Backwash ileitis" with pseudopolyposis. </w:t>
      </w:r>
      <w:r w:rsidRPr="00DD5BE0">
        <w:rPr>
          <w:rFonts w:ascii="Book Antiqua" w:hAnsi="Book Antiqua" w:cs="宋体"/>
          <w:i/>
          <w:iCs/>
          <w:sz w:val="24"/>
          <w:szCs w:val="24"/>
        </w:rPr>
        <w:t>AJR Am J Roentgenol</w:t>
      </w:r>
      <w:r w:rsidRPr="00DD5BE0">
        <w:rPr>
          <w:rFonts w:ascii="Book Antiqua" w:hAnsi="Book Antiqua" w:cs="宋体"/>
          <w:sz w:val="24"/>
          <w:szCs w:val="24"/>
        </w:rPr>
        <w:t xml:space="preserve"> 1977; </w:t>
      </w:r>
      <w:r w:rsidRPr="00DD5BE0">
        <w:rPr>
          <w:rFonts w:ascii="Book Antiqua" w:hAnsi="Book Antiqua" w:cs="宋体"/>
          <w:b/>
          <w:bCs/>
          <w:sz w:val="24"/>
          <w:szCs w:val="24"/>
        </w:rPr>
        <w:t>129</w:t>
      </w:r>
      <w:r w:rsidRPr="00DD5BE0">
        <w:rPr>
          <w:rFonts w:ascii="Book Antiqua" w:hAnsi="Book Antiqua" w:cs="宋体"/>
          <w:sz w:val="24"/>
          <w:szCs w:val="24"/>
        </w:rPr>
        <w:t>: 506-507 [PMID: 409208 DOI: 10.2214/ajr.129.3.506]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19 </w:t>
      </w:r>
      <w:r w:rsidRPr="00DD5BE0">
        <w:rPr>
          <w:rFonts w:ascii="Book Antiqua" w:hAnsi="Book Antiqua" w:cs="宋体"/>
          <w:b/>
          <w:bCs/>
          <w:sz w:val="24"/>
          <w:szCs w:val="24"/>
        </w:rPr>
        <w:t>De Felice KM</w:t>
      </w:r>
      <w:r w:rsidRPr="00DD5BE0">
        <w:rPr>
          <w:rFonts w:ascii="Book Antiqua" w:hAnsi="Book Antiqua" w:cs="宋体"/>
          <w:sz w:val="24"/>
          <w:szCs w:val="24"/>
        </w:rPr>
        <w:t xml:space="preserve">, Katzka DA, Raffals LE. Crohn's Disease of the Esophagus: Clinical Features and Treatment Outcomes in the Biologic Era. </w:t>
      </w:r>
      <w:r w:rsidRPr="00DD5BE0">
        <w:rPr>
          <w:rFonts w:ascii="Book Antiqua" w:hAnsi="Book Antiqua" w:cs="宋体"/>
          <w:i/>
          <w:iCs/>
          <w:sz w:val="24"/>
          <w:szCs w:val="24"/>
        </w:rPr>
        <w:t>Inflamm Bowel Dis</w:t>
      </w:r>
      <w:r w:rsidRPr="00DD5BE0">
        <w:rPr>
          <w:rFonts w:ascii="Book Antiqua" w:hAnsi="Book Antiqua" w:cs="宋体"/>
          <w:sz w:val="24"/>
          <w:szCs w:val="24"/>
        </w:rPr>
        <w:t xml:space="preserve"> 2015; </w:t>
      </w:r>
      <w:r w:rsidRPr="00DD5BE0">
        <w:rPr>
          <w:rFonts w:ascii="Book Antiqua" w:hAnsi="Book Antiqua" w:cs="宋体"/>
          <w:b/>
          <w:bCs/>
          <w:sz w:val="24"/>
          <w:szCs w:val="24"/>
        </w:rPr>
        <w:t>21</w:t>
      </w:r>
      <w:r w:rsidRPr="00DD5BE0">
        <w:rPr>
          <w:rFonts w:ascii="Book Antiqua" w:hAnsi="Book Antiqua" w:cs="宋体"/>
          <w:sz w:val="24"/>
          <w:szCs w:val="24"/>
        </w:rPr>
        <w:t>: 2106-2113 [PMID: 26083616 DOI: 10.1097/MIB.0000000000000469]</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20 </w:t>
      </w:r>
      <w:r w:rsidRPr="00DD5BE0">
        <w:rPr>
          <w:rFonts w:ascii="Book Antiqua" w:hAnsi="Book Antiqua" w:cs="宋体"/>
          <w:b/>
          <w:bCs/>
          <w:sz w:val="24"/>
          <w:szCs w:val="24"/>
        </w:rPr>
        <w:t>Zegel HG</w:t>
      </w:r>
      <w:r w:rsidRPr="00DD5BE0">
        <w:rPr>
          <w:rFonts w:ascii="Book Antiqua" w:hAnsi="Book Antiqua" w:cs="宋体"/>
          <w:sz w:val="24"/>
          <w:szCs w:val="24"/>
        </w:rPr>
        <w:t xml:space="preserve">, Laufer I. Filiform polyposis. </w:t>
      </w:r>
      <w:r w:rsidRPr="00DD5BE0">
        <w:rPr>
          <w:rFonts w:ascii="Book Antiqua" w:hAnsi="Book Antiqua" w:cs="宋体"/>
          <w:i/>
          <w:iCs/>
          <w:sz w:val="24"/>
          <w:szCs w:val="24"/>
        </w:rPr>
        <w:t>Radiology</w:t>
      </w:r>
      <w:r w:rsidRPr="00DD5BE0">
        <w:rPr>
          <w:rFonts w:ascii="Book Antiqua" w:hAnsi="Book Antiqua" w:cs="宋体"/>
          <w:sz w:val="24"/>
          <w:szCs w:val="24"/>
        </w:rPr>
        <w:t xml:space="preserve"> 1978; </w:t>
      </w:r>
      <w:r w:rsidRPr="00DD5BE0">
        <w:rPr>
          <w:rFonts w:ascii="Book Antiqua" w:hAnsi="Book Antiqua" w:cs="宋体"/>
          <w:b/>
          <w:bCs/>
          <w:sz w:val="24"/>
          <w:szCs w:val="24"/>
        </w:rPr>
        <w:t>127</w:t>
      </w:r>
      <w:r w:rsidRPr="00DD5BE0">
        <w:rPr>
          <w:rFonts w:ascii="Book Antiqua" w:hAnsi="Book Antiqua" w:cs="宋体"/>
          <w:sz w:val="24"/>
          <w:szCs w:val="24"/>
        </w:rPr>
        <w:t>: 615-619 [PMID: 663146 DOI: 10.1148/127.3.615]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21 </w:t>
      </w:r>
      <w:r w:rsidRPr="00DD5BE0">
        <w:rPr>
          <w:rFonts w:ascii="Book Antiqua" w:hAnsi="Book Antiqua" w:cs="宋体"/>
          <w:b/>
          <w:bCs/>
          <w:sz w:val="24"/>
          <w:szCs w:val="24"/>
        </w:rPr>
        <w:t>Chang DK</w:t>
      </w:r>
      <w:r w:rsidRPr="00DD5BE0">
        <w:rPr>
          <w:rFonts w:ascii="Book Antiqua" w:hAnsi="Book Antiqua" w:cs="宋体"/>
          <w:sz w:val="24"/>
          <w:szCs w:val="24"/>
        </w:rPr>
        <w:t xml:space="preserve">, Kim JJ, Choi H, Eun CS, Han DS, Byeon JS, Kim JO. Double balloon endoscopy in small intestinal Crohn's disease and other inflammatory diseases such as cryptogenic multifocal ulcerous stenosing enteritis (CMUSE). </w:t>
      </w:r>
      <w:r w:rsidRPr="00DD5BE0">
        <w:rPr>
          <w:rFonts w:ascii="Book Antiqua" w:hAnsi="Book Antiqua" w:cs="宋体"/>
          <w:i/>
          <w:iCs/>
          <w:sz w:val="24"/>
          <w:szCs w:val="24"/>
        </w:rPr>
        <w:t>Gastrointest Endosc</w:t>
      </w:r>
      <w:r w:rsidRPr="00DD5BE0">
        <w:rPr>
          <w:rFonts w:ascii="Book Antiqua" w:hAnsi="Book Antiqua" w:cs="宋体"/>
          <w:sz w:val="24"/>
          <w:szCs w:val="24"/>
        </w:rPr>
        <w:t xml:space="preserve"> 2007; </w:t>
      </w:r>
      <w:r w:rsidRPr="00DD5BE0">
        <w:rPr>
          <w:rFonts w:ascii="Book Antiqua" w:hAnsi="Book Antiqua" w:cs="宋体"/>
          <w:b/>
          <w:bCs/>
          <w:sz w:val="24"/>
          <w:szCs w:val="24"/>
        </w:rPr>
        <w:t>66</w:t>
      </w:r>
      <w:r w:rsidRPr="00DD5BE0">
        <w:rPr>
          <w:rFonts w:ascii="Book Antiqua" w:hAnsi="Book Antiqua" w:cs="宋体"/>
          <w:sz w:val="24"/>
          <w:szCs w:val="24"/>
        </w:rPr>
        <w:t>: S96-S98 [PMID: 17709044 DOI: 10.1016/j.gie.2007.01.016]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22 </w:t>
      </w:r>
      <w:r w:rsidRPr="00DD5BE0">
        <w:rPr>
          <w:rFonts w:ascii="Book Antiqua" w:hAnsi="Book Antiqua" w:cs="宋体"/>
          <w:b/>
          <w:bCs/>
          <w:sz w:val="24"/>
          <w:szCs w:val="24"/>
        </w:rPr>
        <w:t>Kahn E</w:t>
      </w:r>
      <w:r w:rsidRPr="00DD5BE0">
        <w:rPr>
          <w:rFonts w:ascii="Book Antiqua" w:hAnsi="Book Antiqua" w:cs="宋体"/>
          <w:sz w:val="24"/>
          <w:szCs w:val="24"/>
        </w:rPr>
        <w:t xml:space="preserve">, Daum F. Pseudopolyps of the small intestine in Crohn's disease. </w:t>
      </w:r>
      <w:r w:rsidRPr="00DD5BE0">
        <w:rPr>
          <w:rFonts w:ascii="Book Antiqua" w:hAnsi="Book Antiqua" w:cs="宋体"/>
          <w:i/>
          <w:iCs/>
          <w:sz w:val="24"/>
          <w:szCs w:val="24"/>
        </w:rPr>
        <w:t>Hum Pathol</w:t>
      </w:r>
      <w:r w:rsidRPr="00DD5BE0">
        <w:rPr>
          <w:rFonts w:ascii="Book Antiqua" w:hAnsi="Book Antiqua" w:cs="宋体"/>
          <w:sz w:val="24"/>
          <w:szCs w:val="24"/>
        </w:rPr>
        <w:t xml:space="preserve"> 1984; </w:t>
      </w:r>
      <w:r w:rsidRPr="00DD5BE0">
        <w:rPr>
          <w:rFonts w:ascii="Book Antiqua" w:hAnsi="Book Antiqua" w:cs="宋体"/>
          <w:b/>
          <w:bCs/>
          <w:sz w:val="24"/>
          <w:szCs w:val="24"/>
        </w:rPr>
        <w:t>15</w:t>
      </w:r>
      <w:r w:rsidRPr="00DD5BE0">
        <w:rPr>
          <w:rFonts w:ascii="Book Antiqua" w:hAnsi="Book Antiqua" w:cs="宋体"/>
          <w:sz w:val="24"/>
          <w:szCs w:val="24"/>
        </w:rPr>
        <w:t>: 84-86 [PMID: 6693114 DOI: 10.1016/S0046-8177(84)80335-4]</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lastRenderedPageBreak/>
        <w:t xml:space="preserve">23 </w:t>
      </w:r>
      <w:r w:rsidRPr="00DD5BE0">
        <w:rPr>
          <w:rFonts w:ascii="Book Antiqua" w:hAnsi="Book Antiqua" w:cs="宋体"/>
          <w:b/>
          <w:bCs/>
          <w:sz w:val="24"/>
          <w:szCs w:val="24"/>
        </w:rPr>
        <w:t>Ernst A</w:t>
      </w:r>
      <w:r w:rsidRPr="00DD5BE0">
        <w:rPr>
          <w:rFonts w:ascii="Book Antiqua" w:hAnsi="Book Antiqua" w:cs="宋体"/>
          <w:sz w:val="24"/>
          <w:szCs w:val="24"/>
        </w:rPr>
        <w:t xml:space="preserve">, Preyer S, Plauth M, Jenss H. [Polypoid pansinusitis in an unusual, extra-intestinal manifestation of Crohn disease]. </w:t>
      </w:r>
      <w:r w:rsidRPr="00DD5BE0">
        <w:rPr>
          <w:rFonts w:ascii="Book Antiqua" w:hAnsi="Book Antiqua" w:cs="宋体"/>
          <w:i/>
          <w:iCs/>
          <w:sz w:val="24"/>
          <w:szCs w:val="24"/>
        </w:rPr>
        <w:t>HNO</w:t>
      </w:r>
      <w:r w:rsidRPr="00DD5BE0">
        <w:rPr>
          <w:rFonts w:ascii="Book Antiqua" w:hAnsi="Book Antiqua" w:cs="宋体"/>
          <w:sz w:val="24"/>
          <w:szCs w:val="24"/>
        </w:rPr>
        <w:t xml:space="preserve"> 1993; </w:t>
      </w:r>
      <w:r w:rsidRPr="00DD5BE0">
        <w:rPr>
          <w:rFonts w:ascii="Book Antiqua" w:hAnsi="Book Antiqua" w:cs="宋体"/>
          <w:b/>
          <w:bCs/>
          <w:sz w:val="24"/>
          <w:szCs w:val="24"/>
        </w:rPr>
        <w:t>41</w:t>
      </w:r>
      <w:r w:rsidRPr="00DD5BE0">
        <w:rPr>
          <w:rFonts w:ascii="Book Antiqua" w:hAnsi="Book Antiqua" w:cs="宋体"/>
          <w:sz w:val="24"/>
          <w:szCs w:val="24"/>
        </w:rPr>
        <w:t>: 33-36 [PMID: 8449786]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24 </w:t>
      </w:r>
      <w:r w:rsidRPr="00DD5BE0">
        <w:rPr>
          <w:rFonts w:ascii="Book Antiqua" w:hAnsi="Book Antiqua" w:cs="宋体"/>
          <w:b/>
          <w:bCs/>
          <w:sz w:val="24"/>
          <w:szCs w:val="24"/>
        </w:rPr>
        <w:t>Shen B</w:t>
      </w:r>
      <w:r w:rsidRPr="00DD5BE0">
        <w:rPr>
          <w:rFonts w:ascii="Book Antiqua" w:hAnsi="Book Antiqua" w:cs="宋体"/>
          <w:sz w:val="24"/>
          <w:szCs w:val="24"/>
        </w:rPr>
        <w:t xml:space="preserve">, Fazio VW, Remzi FH, Delaney CP, Bennett AE, Achkar JP, Brzezinski A, Khandwala F, Liu W, Bambrick ML, Bast J, Lashner B. Comprehensive evaluation of inflammatory and noninflammatory sequelae of ileal pouch-anal anastomoses. </w:t>
      </w:r>
      <w:r w:rsidRPr="00DD5BE0">
        <w:rPr>
          <w:rFonts w:ascii="Book Antiqua" w:hAnsi="Book Antiqua" w:cs="宋体"/>
          <w:i/>
          <w:iCs/>
          <w:sz w:val="24"/>
          <w:szCs w:val="24"/>
        </w:rPr>
        <w:t>Am J Gastroenterol</w:t>
      </w:r>
      <w:r w:rsidRPr="00DD5BE0">
        <w:rPr>
          <w:rFonts w:ascii="Book Antiqua" w:hAnsi="Book Antiqua" w:cs="宋体"/>
          <w:sz w:val="24"/>
          <w:szCs w:val="24"/>
        </w:rPr>
        <w:t xml:space="preserve"> 2005; </w:t>
      </w:r>
      <w:r w:rsidRPr="00DD5BE0">
        <w:rPr>
          <w:rFonts w:ascii="Book Antiqua" w:hAnsi="Book Antiqua" w:cs="宋体"/>
          <w:b/>
          <w:bCs/>
          <w:sz w:val="24"/>
          <w:szCs w:val="24"/>
        </w:rPr>
        <w:t>100</w:t>
      </w:r>
      <w:r w:rsidRPr="00DD5BE0">
        <w:rPr>
          <w:rFonts w:ascii="Book Antiqua" w:hAnsi="Book Antiqua" w:cs="宋体"/>
          <w:sz w:val="24"/>
          <w:szCs w:val="24"/>
        </w:rPr>
        <w:t>: 93-101 [PMID: 15654787 DOI: 10.1111/j.1572-0241.2005.40778.x]</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25 </w:t>
      </w:r>
      <w:r w:rsidRPr="00DD5BE0">
        <w:rPr>
          <w:rFonts w:ascii="Book Antiqua" w:hAnsi="Book Antiqua" w:cs="宋体"/>
          <w:b/>
          <w:bCs/>
          <w:sz w:val="24"/>
          <w:szCs w:val="24"/>
        </w:rPr>
        <w:t>Margulis AR</w:t>
      </w:r>
      <w:r w:rsidRPr="00DD5BE0">
        <w:rPr>
          <w:rFonts w:ascii="Book Antiqua" w:hAnsi="Book Antiqua" w:cs="宋体"/>
          <w:sz w:val="24"/>
          <w:szCs w:val="24"/>
        </w:rPr>
        <w:t xml:space="preserve">, Goldberg HI, Lawson TL, Montgomery CK, Rambo ON, Noonan CD, Amberg JR. The overlapping spectrum of ulcerative and granulomatous colitis: a roentgenographic-pathologic study. </w:t>
      </w:r>
      <w:r w:rsidRPr="00DD5BE0">
        <w:rPr>
          <w:rFonts w:ascii="Book Antiqua" w:hAnsi="Book Antiqua" w:cs="宋体"/>
          <w:i/>
          <w:iCs/>
          <w:sz w:val="24"/>
          <w:szCs w:val="24"/>
        </w:rPr>
        <w:t>Am J Roentgenol Radium Ther Nucl Med</w:t>
      </w:r>
      <w:r w:rsidRPr="00DD5BE0">
        <w:rPr>
          <w:rFonts w:ascii="Book Antiqua" w:hAnsi="Book Antiqua" w:cs="宋体"/>
          <w:sz w:val="24"/>
          <w:szCs w:val="24"/>
        </w:rPr>
        <w:t xml:space="preserve"> 1971; </w:t>
      </w:r>
      <w:r w:rsidRPr="00DD5BE0">
        <w:rPr>
          <w:rFonts w:ascii="Book Antiqua" w:hAnsi="Book Antiqua" w:cs="宋体"/>
          <w:b/>
          <w:bCs/>
          <w:sz w:val="24"/>
          <w:szCs w:val="24"/>
        </w:rPr>
        <w:t>113</w:t>
      </w:r>
      <w:r w:rsidRPr="00DD5BE0">
        <w:rPr>
          <w:rFonts w:ascii="Book Antiqua" w:hAnsi="Book Antiqua" w:cs="宋体"/>
          <w:sz w:val="24"/>
          <w:szCs w:val="24"/>
        </w:rPr>
        <w:t>: 325-334 [PMID: 5098634 DOI: 10.2214/ajr.113.2.325]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26 </w:t>
      </w:r>
      <w:r w:rsidRPr="00DD5BE0">
        <w:rPr>
          <w:rFonts w:ascii="Book Antiqua" w:hAnsi="Book Antiqua" w:cs="宋体"/>
          <w:b/>
          <w:bCs/>
          <w:sz w:val="24"/>
          <w:szCs w:val="24"/>
        </w:rPr>
        <w:t>Chawla LS</w:t>
      </w:r>
      <w:r w:rsidRPr="00DD5BE0">
        <w:rPr>
          <w:rFonts w:ascii="Book Antiqua" w:hAnsi="Book Antiqua" w:cs="宋体"/>
          <w:sz w:val="24"/>
          <w:szCs w:val="24"/>
        </w:rPr>
        <w:t xml:space="preserve">, Chinna JS, Dilawari JB, Sood A. Course and prognosis of ulcerative colitis. </w:t>
      </w:r>
      <w:r w:rsidRPr="00DD5BE0">
        <w:rPr>
          <w:rFonts w:ascii="Book Antiqua" w:hAnsi="Book Antiqua" w:cs="宋体"/>
          <w:i/>
          <w:iCs/>
          <w:sz w:val="24"/>
          <w:szCs w:val="24"/>
        </w:rPr>
        <w:t>J Indian Med Assoc</w:t>
      </w:r>
      <w:r w:rsidRPr="00DD5BE0">
        <w:rPr>
          <w:rFonts w:ascii="Book Antiqua" w:hAnsi="Book Antiqua" w:cs="宋体"/>
          <w:sz w:val="24"/>
          <w:szCs w:val="24"/>
        </w:rPr>
        <w:t xml:space="preserve"> 1990; </w:t>
      </w:r>
      <w:r w:rsidRPr="00DD5BE0">
        <w:rPr>
          <w:rFonts w:ascii="Book Antiqua" w:hAnsi="Book Antiqua" w:cs="宋体"/>
          <w:b/>
          <w:bCs/>
          <w:sz w:val="24"/>
          <w:szCs w:val="24"/>
        </w:rPr>
        <w:t>88</w:t>
      </w:r>
      <w:r w:rsidRPr="00DD5BE0">
        <w:rPr>
          <w:rFonts w:ascii="Book Antiqua" w:hAnsi="Book Antiqua" w:cs="宋体"/>
          <w:sz w:val="24"/>
          <w:szCs w:val="24"/>
        </w:rPr>
        <w:t>: 159-160 [PMID: 2230159]</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27 </w:t>
      </w:r>
      <w:r w:rsidRPr="003A2CF7">
        <w:rPr>
          <w:rFonts w:ascii="Book Antiqua" w:hAnsi="Book Antiqua" w:cs="宋体"/>
          <w:b/>
          <w:bCs/>
          <w:sz w:val="24"/>
          <w:szCs w:val="24"/>
        </w:rPr>
        <w:t xml:space="preserve">Bockus </w:t>
      </w:r>
      <w:r w:rsidRPr="00DD5BE0">
        <w:rPr>
          <w:rFonts w:ascii="Book Antiqua" w:hAnsi="Book Antiqua" w:cs="宋体"/>
          <w:b/>
          <w:bCs/>
          <w:sz w:val="24"/>
          <w:szCs w:val="24"/>
        </w:rPr>
        <w:t>HL</w:t>
      </w:r>
      <w:r w:rsidRPr="00DD5BE0">
        <w:rPr>
          <w:rFonts w:ascii="Book Antiqua" w:hAnsi="Book Antiqua" w:cs="宋体"/>
          <w:sz w:val="24"/>
          <w:szCs w:val="24"/>
        </w:rPr>
        <w:t xml:space="preserve">, </w:t>
      </w:r>
      <w:r w:rsidRPr="003A2CF7">
        <w:rPr>
          <w:rFonts w:ascii="Book Antiqua" w:hAnsi="Book Antiqua" w:cs="宋体"/>
          <w:sz w:val="24"/>
          <w:szCs w:val="24"/>
        </w:rPr>
        <w:t xml:space="preserve">Roth </w:t>
      </w:r>
      <w:r w:rsidRPr="00DD5BE0">
        <w:rPr>
          <w:rFonts w:ascii="Book Antiqua" w:hAnsi="Book Antiqua" w:cs="宋体"/>
          <w:sz w:val="24"/>
          <w:szCs w:val="24"/>
        </w:rPr>
        <w:t xml:space="preserve">JL, </w:t>
      </w:r>
      <w:r w:rsidRPr="003A2CF7">
        <w:rPr>
          <w:rFonts w:ascii="Book Antiqua" w:hAnsi="Book Antiqua" w:cs="宋体"/>
          <w:sz w:val="24"/>
          <w:szCs w:val="24"/>
        </w:rPr>
        <w:t xml:space="preserve">Buchman </w:t>
      </w:r>
      <w:r w:rsidRPr="00DD5BE0">
        <w:rPr>
          <w:rFonts w:ascii="Book Antiqua" w:hAnsi="Book Antiqua" w:cs="宋体"/>
          <w:sz w:val="24"/>
          <w:szCs w:val="24"/>
        </w:rPr>
        <w:t xml:space="preserve">E, </w:t>
      </w:r>
      <w:r w:rsidRPr="003A2CF7">
        <w:rPr>
          <w:rFonts w:ascii="Book Antiqua" w:hAnsi="Book Antiqua" w:cs="宋体"/>
          <w:sz w:val="24"/>
          <w:szCs w:val="24"/>
        </w:rPr>
        <w:t xml:space="preserve">Kalser </w:t>
      </w:r>
      <w:r w:rsidRPr="00DD5BE0">
        <w:rPr>
          <w:rFonts w:ascii="Book Antiqua" w:hAnsi="Book Antiqua" w:cs="宋体"/>
          <w:sz w:val="24"/>
          <w:szCs w:val="24"/>
        </w:rPr>
        <w:t xml:space="preserve">M, </w:t>
      </w:r>
      <w:r w:rsidRPr="003A2CF7">
        <w:rPr>
          <w:rFonts w:ascii="Book Antiqua" w:hAnsi="Book Antiqua" w:cs="宋体"/>
          <w:sz w:val="24"/>
          <w:szCs w:val="24"/>
        </w:rPr>
        <w:t xml:space="preserve">Staub </w:t>
      </w:r>
      <w:r w:rsidRPr="00DD5BE0">
        <w:rPr>
          <w:rFonts w:ascii="Book Antiqua" w:hAnsi="Book Antiqua" w:cs="宋体"/>
          <w:sz w:val="24"/>
          <w:szCs w:val="24"/>
        </w:rPr>
        <w:t xml:space="preserve">WR, </w:t>
      </w:r>
      <w:r w:rsidRPr="003A2CF7">
        <w:rPr>
          <w:rFonts w:ascii="Book Antiqua" w:hAnsi="Book Antiqua" w:cs="宋体"/>
          <w:sz w:val="24"/>
          <w:szCs w:val="24"/>
        </w:rPr>
        <w:t xml:space="preserve">Finkelstein </w:t>
      </w:r>
      <w:r w:rsidRPr="00DD5BE0">
        <w:rPr>
          <w:rFonts w:ascii="Book Antiqua" w:hAnsi="Book Antiqua" w:cs="宋体"/>
          <w:sz w:val="24"/>
          <w:szCs w:val="24"/>
        </w:rPr>
        <w:t xml:space="preserve">A, </w:t>
      </w:r>
      <w:r w:rsidRPr="003A2CF7">
        <w:rPr>
          <w:rFonts w:ascii="Book Antiqua" w:hAnsi="Book Antiqua" w:cs="宋体"/>
          <w:sz w:val="24"/>
          <w:szCs w:val="24"/>
        </w:rPr>
        <w:t>Valdes-Dapena</w:t>
      </w:r>
      <w:r w:rsidRPr="00DD5BE0">
        <w:rPr>
          <w:rFonts w:ascii="Book Antiqua" w:hAnsi="Book Antiqua" w:cs="宋体"/>
          <w:sz w:val="24"/>
          <w:szCs w:val="24"/>
        </w:rPr>
        <w:t xml:space="preserve"> A. Life history of nonspecific ulcerative colitis: relation of prognosis to anatomical and clinical varieties. </w:t>
      </w:r>
      <w:r w:rsidRPr="00DD5BE0">
        <w:rPr>
          <w:rFonts w:ascii="Book Antiqua" w:hAnsi="Book Antiqua" w:cs="宋体"/>
          <w:i/>
          <w:iCs/>
          <w:sz w:val="24"/>
          <w:szCs w:val="24"/>
        </w:rPr>
        <w:t>Gastroenterologia</w:t>
      </w:r>
      <w:r w:rsidRPr="00DD5BE0">
        <w:rPr>
          <w:rFonts w:ascii="Book Antiqua" w:hAnsi="Book Antiqua" w:cs="宋体"/>
          <w:sz w:val="24"/>
          <w:szCs w:val="24"/>
        </w:rPr>
        <w:t xml:space="preserve"> 1956; </w:t>
      </w:r>
      <w:r w:rsidRPr="00DD5BE0">
        <w:rPr>
          <w:rFonts w:ascii="Book Antiqua" w:hAnsi="Book Antiqua" w:cs="宋体"/>
          <w:b/>
          <w:bCs/>
          <w:sz w:val="24"/>
          <w:szCs w:val="24"/>
        </w:rPr>
        <w:t>86</w:t>
      </w:r>
      <w:r w:rsidRPr="00DD5BE0">
        <w:rPr>
          <w:rFonts w:ascii="Book Antiqua" w:hAnsi="Book Antiqua" w:cs="宋体"/>
          <w:sz w:val="24"/>
          <w:szCs w:val="24"/>
        </w:rPr>
        <w:t>: 549-581 [PMID: 13405118 DOI: 10.1159/000200623]</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28 </w:t>
      </w:r>
      <w:r w:rsidRPr="00DD5BE0">
        <w:rPr>
          <w:rFonts w:ascii="Book Antiqua" w:hAnsi="Book Antiqua" w:cs="宋体"/>
          <w:b/>
          <w:bCs/>
          <w:sz w:val="24"/>
          <w:szCs w:val="24"/>
        </w:rPr>
        <w:t>Sheikholeslami MR</w:t>
      </w:r>
      <w:r w:rsidRPr="00DD5BE0">
        <w:rPr>
          <w:rFonts w:ascii="Book Antiqua" w:hAnsi="Book Antiqua" w:cs="宋体"/>
          <w:sz w:val="24"/>
          <w:szCs w:val="24"/>
        </w:rPr>
        <w:t xml:space="preserve">, Schaefer RF, Mukunyadzi P. Diffuse giant inflammatory polyposis: a challenging clinicopathologic diagnosis. </w:t>
      </w:r>
      <w:r w:rsidRPr="00DD5BE0">
        <w:rPr>
          <w:rFonts w:ascii="Book Antiqua" w:hAnsi="Book Antiqua" w:cs="宋体"/>
          <w:i/>
          <w:iCs/>
          <w:sz w:val="24"/>
          <w:szCs w:val="24"/>
        </w:rPr>
        <w:t>Arch Pathol Lab Med</w:t>
      </w:r>
      <w:r w:rsidRPr="00DD5BE0">
        <w:rPr>
          <w:rFonts w:ascii="Book Antiqua" w:hAnsi="Book Antiqua" w:cs="宋体"/>
          <w:sz w:val="24"/>
          <w:szCs w:val="24"/>
        </w:rPr>
        <w:t xml:space="preserve"> 2004; </w:t>
      </w:r>
      <w:r w:rsidRPr="00DD5BE0">
        <w:rPr>
          <w:rFonts w:ascii="Book Antiqua" w:hAnsi="Book Antiqua" w:cs="宋体"/>
          <w:b/>
          <w:bCs/>
          <w:sz w:val="24"/>
          <w:szCs w:val="24"/>
        </w:rPr>
        <w:t>128</w:t>
      </w:r>
      <w:r w:rsidRPr="00DD5BE0">
        <w:rPr>
          <w:rFonts w:ascii="Book Antiqua" w:hAnsi="Book Antiqua" w:cs="宋体"/>
          <w:sz w:val="24"/>
          <w:szCs w:val="24"/>
        </w:rPr>
        <w:t>: 1286-1288 [PMID: 15504066]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lastRenderedPageBreak/>
        <w:t xml:space="preserve">29 </w:t>
      </w:r>
      <w:r w:rsidRPr="00DD5BE0">
        <w:rPr>
          <w:rFonts w:ascii="Book Antiqua" w:hAnsi="Book Antiqua" w:cs="宋体"/>
          <w:b/>
          <w:sz w:val="24"/>
          <w:szCs w:val="24"/>
        </w:rPr>
        <w:t>Bargen JA</w:t>
      </w:r>
      <w:r w:rsidRPr="00DD5BE0">
        <w:rPr>
          <w:rFonts w:ascii="Book Antiqua" w:hAnsi="Book Antiqua" w:cs="宋体"/>
          <w:sz w:val="24"/>
          <w:szCs w:val="24"/>
        </w:rPr>
        <w:t>. Complications and Sequelae of Chronic Ulcerative Colit</w:t>
      </w:r>
      <w:r w:rsidRPr="003A2CF7">
        <w:rPr>
          <w:rFonts w:ascii="Book Antiqua" w:hAnsi="Book Antiqua" w:cs="宋体"/>
          <w:sz w:val="24"/>
          <w:szCs w:val="24"/>
        </w:rPr>
        <w:t xml:space="preserve">is. </w:t>
      </w:r>
      <w:r w:rsidRPr="003A2CF7">
        <w:rPr>
          <w:rFonts w:ascii="Book Antiqua" w:hAnsi="Book Antiqua" w:cs="宋体"/>
          <w:i/>
          <w:sz w:val="24"/>
          <w:szCs w:val="24"/>
        </w:rPr>
        <w:t>Ann Intern Med</w:t>
      </w:r>
      <w:r w:rsidRPr="00DD5BE0">
        <w:rPr>
          <w:rFonts w:ascii="Book Antiqua" w:hAnsi="Book Antiqua" w:cs="宋体"/>
          <w:i/>
          <w:sz w:val="24"/>
          <w:szCs w:val="24"/>
        </w:rPr>
        <w:t xml:space="preserve"> </w:t>
      </w:r>
      <w:r w:rsidRPr="00DD5BE0">
        <w:rPr>
          <w:rFonts w:ascii="Book Antiqua" w:hAnsi="Book Antiqua" w:cs="宋体"/>
          <w:sz w:val="24"/>
          <w:szCs w:val="24"/>
        </w:rPr>
        <w:t xml:space="preserve">1929; </w:t>
      </w:r>
      <w:r w:rsidRPr="00DD5BE0">
        <w:rPr>
          <w:rFonts w:ascii="Book Antiqua" w:hAnsi="Book Antiqua" w:cs="宋体"/>
          <w:b/>
          <w:sz w:val="24"/>
          <w:szCs w:val="24"/>
        </w:rPr>
        <w:t>3</w:t>
      </w:r>
      <w:r w:rsidRPr="00DD5BE0">
        <w:rPr>
          <w:rFonts w:ascii="Book Antiqua" w:hAnsi="Book Antiqua" w:cs="宋体"/>
          <w:sz w:val="24"/>
          <w:szCs w:val="24"/>
        </w:rPr>
        <w:t>: 335-</w:t>
      </w:r>
      <w:r w:rsidRPr="003A2CF7">
        <w:rPr>
          <w:rFonts w:ascii="Book Antiqua" w:hAnsi="Book Antiqua" w:cs="宋体"/>
          <w:sz w:val="24"/>
          <w:szCs w:val="24"/>
        </w:rPr>
        <w:t>352</w:t>
      </w:r>
      <w:r w:rsidRPr="00DD5BE0">
        <w:rPr>
          <w:rFonts w:ascii="Book Antiqua" w:hAnsi="Book Antiqua" w:cs="宋体"/>
          <w:sz w:val="24"/>
          <w:szCs w:val="24"/>
        </w:rPr>
        <w:t xml:space="preserve"> [</w:t>
      </w:r>
      <w:r w:rsidRPr="00DD5BE0">
        <w:rPr>
          <w:rFonts w:ascii="Book Antiqua" w:hAnsi="Book Antiqua" w:cs="宋体"/>
          <w:caps/>
          <w:sz w:val="24"/>
          <w:szCs w:val="24"/>
        </w:rPr>
        <w:t>doi</w:t>
      </w:r>
      <w:r w:rsidRPr="00DD5BE0">
        <w:rPr>
          <w:rFonts w:ascii="Book Antiqua" w:hAnsi="Book Antiqua" w:cs="宋体"/>
          <w:sz w:val="24"/>
          <w:szCs w:val="24"/>
        </w:rPr>
        <w:t>: 10.7326/0003-4819-3-4-335]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30 </w:t>
      </w:r>
      <w:r w:rsidRPr="00DD5BE0">
        <w:rPr>
          <w:rFonts w:ascii="Book Antiqua" w:hAnsi="Book Antiqua" w:cs="宋体"/>
          <w:b/>
          <w:bCs/>
          <w:sz w:val="24"/>
          <w:szCs w:val="24"/>
        </w:rPr>
        <w:t>Baars JE</w:t>
      </w:r>
      <w:r w:rsidRPr="00DD5BE0">
        <w:rPr>
          <w:rFonts w:ascii="Book Antiqua" w:hAnsi="Book Antiqua" w:cs="宋体"/>
          <w:sz w:val="24"/>
          <w:szCs w:val="24"/>
        </w:rPr>
        <w:t xml:space="preserve">, Kuipers EJ, van Haastert M, Nicolaï JJ, Poen AC, van der Woude CJ. Age at diagnosis of inflammatory bowel disease influences early development of colorectal cancer in inflammatory bowel disease patients: a nationwide, long-term survey. </w:t>
      </w:r>
      <w:r w:rsidRPr="00DD5BE0">
        <w:rPr>
          <w:rFonts w:ascii="Book Antiqua" w:hAnsi="Book Antiqua" w:cs="宋体"/>
          <w:i/>
          <w:iCs/>
          <w:sz w:val="24"/>
          <w:szCs w:val="24"/>
        </w:rPr>
        <w:t>J Gastroenterol</w:t>
      </w:r>
      <w:r w:rsidRPr="00DD5BE0">
        <w:rPr>
          <w:rFonts w:ascii="Book Antiqua" w:hAnsi="Book Antiqua" w:cs="宋体"/>
          <w:sz w:val="24"/>
          <w:szCs w:val="24"/>
        </w:rPr>
        <w:t xml:space="preserve"> 2012; </w:t>
      </w:r>
      <w:r w:rsidRPr="00DD5BE0">
        <w:rPr>
          <w:rFonts w:ascii="Book Antiqua" w:hAnsi="Book Antiqua" w:cs="宋体"/>
          <w:b/>
          <w:bCs/>
          <w:sz w:val="24"/>
          <w:szCs w:val="24"/>
        </w:rPr>
        <w:t>47</w:t>
      </w:r>
      <w:r w:rsidRPr="00DD5BE0">
        <w:rPr>
          <w:rFonts w:ascii="Book Antiqua" w:hAnsi="Book Antiqua" w:cs="宋体"/>
          <w:sz w:val="24"/>
          <w:szCs w:val="24"/>
        </w:rPr>
        <w:t>: 1308-1322 [PMID: 22627504 DOI: 10.1007/s00535-012-0603-2]</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31 </w:t>
      </w:r>
      <w:r w:rsidRPr="00DD5BE0">
        <w:rPr>
          <w:rFonts w:ascii="Book Antiqua" w:hAnsi="Book Antiqua" w:cs="宋体"/>
          <w:b/>
          <w:bCs/>
          <w:sz w:val="24"/>
          <w:szCs w:val="24"/>
        </w:rPr>
        <w:t>Baars JE</w:t>
      </w:r>
      <w:r w:rsidRPr="00DD5BE0">
        <w:rPr>
          <w:rFonts w:ascii="Book Antiqua" w:hAnsi="Book Antiqua" w:cs="宋体"/>
          <w:sz w:val="24"/>
          <w:szCs w:val="24"/>
        </w:rPr>
        <w:t xml:space="preserve">, Nuij VJ, Oldenburg B, Kuipers EJ, van der Woude CJ. Majority of patients with inflammatory bowel disease in clinical remission have mucosal inflammation. </w:t>
      </w:r>
      <w:r w:rsidRPr="00DD5BE0">
        <w:rPr>
          <w:rFonts w:ascii="Book Antiqua" w:hAnsi="Book Antiqua" w:cs="宋体"/>
          <w:i/>
          <w:iCs/>
          <w:sz w:val="24"/>
          <w:szCs w:val="24"/>
        </w:rPr>
        <w:t>Inflamm Bowel Dis</w:t>
      </w:r>
      <w:r w:rsidRPr="00DD5BE0">
        <w:rPr>
          <w:rFonts w:ascii="Book Antiqua" w:hAnsi="Book Antiqua" w:cs="宋体"/>
          <w:sz w:val="24"/>
          <w:szCs w:val="24"/>
        </w:rPr>
        <w:t xml:space="preserve"> 2012; </w:t>
      </w:r>
      <w:r w:rsidRPr="00DD5BE0">
        <w:rPr>
          <w:rFonts w:ascii="Book Antiqua" w:hAnsi="Book Antiqua" w:cs="宋体"/>
          <w:b/>
          <w:bCs/>
          <w:sz w:val="24"/>
          <w:szCs w:val="24"/>
        </w:rPr>
        <w:t>18</w:t>
      </w:r>
      <w:r w:rsidRPr="00DD5BE0">
        <w:rPr>
          <w:rFonts w:ascii="Book Antiqua" w:hAnsi="Book Antiqua" w:cs="宋体"/>
          <w:sz w:val="24"/>
          <w:szCs w:val="24"/>
        </w:rPr>
        <w:t>: 1634-1640 [PMID: 22069022 DOI: 10.1002/ibd.21925]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32 </w:t>
      </w:r>
      <w:r w:rsidRPr="003A2CF7">
        <w:rPr>
          <w:rFonts w:ascii="Book Antiqua" w:hAnsi="Book Antiqua" w:cs="宋体"/>
          <w:b/>
          <w:bCs/>
          <w:sz w:val="24"/>
          <w:szCs w:val="24"/>
        </w:rPr>
        <w:t xml:space="preserve">Bacon </w:t>
      </w:r>
      <w:r w:rsidRPr="00DD5BE0">
        <w:rPr>
          <w:rFonts w:ascii="Book Antiqua" w:hAnsi="Book Antiqua" w:cs="宋体"/>
          <w:b/>
          <w:bCs/>
          <w:sz w:val="24"/>
          <w:szCs w:val="24"/>
        </w:rPr>
        <w:t>HE</w:t>
      </w:r>
      <w:r w:rsidRPr="00DD5BE0">
        <w:rPr>
          <w:rFonts w:ascii="Book Antiqua" w:hAnsi="Book Antiqua" w:cs="宋体"/>
          <w:sz w:val="24"/>
          <w:szCs w:val="24"/>
        </w:rPr>
        <w:t xml:space="preserve">, </w:t>
      </w:r>
      <w:r w:rsidRPr="003A2CF7">
        <w:rPr>
          <w:rFonts w:ascii="Book Antiqua" w:hAnsi="Book Antiqua" w:cs="宋体"/>
          <w:sz w:val="24"/>
          <w:szCs w:val="24"/>
        </w:rPr>
        <w:t xml:space="preserve">Carroll </w:t>
      </w:r>
      <w:r w:rsidRPr="00DD5BE0">
        <w:rPr>
          <w:rFonts w:ascii="Book Antiqua" w:hAnsi="Book Antiqua" w:cs="宋体"/>
          <w:sz w:val="24"/>
          <w:szCs w:val="24"/>
        </w:rPr>
        <w:t xml:space="preserve">PT, </w:t>
      </w:r>
      <w:r w:rsidRPr="003A2CF7">
        <w:rPr>
          <w:rFonts w:ascii="Book Antiqua" w:hAnsi="Book Antiqua" w:cs="宋体"/>
          <w:sz w:val="24"/>
          <w:szCs w:val="24"/>
        </w:rPr>
        <w:t xml:space="preserve">Cates </w:t>
      </w:r>
      <w:r w:rsidRPr="00DD5BE0">
        <w:rPr>
          <w:rFonts w:ascii="Book Antiqua" w:hAnsi="Book Antiqua" w:cs="宋体"/>
          <w:sz w:val="24"/>
          <w:szCs w:val="24"/>
        </w:rPr>
        <w:t xml:space="preserve">BA, </w:t>
      </w:r>
      <w:r w:rsidRPr="003A2CF7">
        <w:rPr>
          <w:rFonts w:ascii="Book Antiqua" w:hAnsi="Book Antiqua" w:cs="宋体"/>
          <w:sz w:val="24"/>
          <w:szCs w:val="24"/>
        </w:rPr>
        <w:t xml:space="preserve">Mcgregor </w:t>
      </w:r>
      <w:r w:rsidRPr="00DD5BE0">
        <w:rPr>
          <w:rFonts w:ascii="Book Antiqua" w:hAnsi="Book Antiqua" w:cs="宋体"/>
          <w:sz w:val="24"/>
          <w:szCs w:val="24"/>
        </w:rPr>
        <w:t xml:space="preserve">RA, </w:t>
      </w:r>
      <w:r w:rsidRPr="003A2CF7">
        <w:rPr>
          <w:rFonts w:ascii="Book Antiqua" w:hAnsi="Book Antiqua" w:cs="宋体"/>
          <w:sz w:val="24"/>
          <w:szCs w:val="24"/>
        </w:rPr>
        <w:t xml:space="preserve">Ouyang </w:t>
      </w:r>
      <w:r w:rsidRPr="00DD5BE0">
        <w:rPr>
          <w:rFonts w:ascii="Book Antiqua" w:hAnsi="Book Antiqua" w:cs="宋体"/>
          <w:sz w:val="24"/>
          <w:szCs w:val="24"/>
        </w:rPr>
        <w:t xml:space="preserve">LM, </w:t>
      </w:r>
      <w:r w:rsidRPr="003A2CF7">
        <w:rPr>
          <w:rFonts w:ascii="Book Antiqua" w:hAnsi="Book Antiqua" w:cs="宋体"/>
          <w:sz w:val="24"/>
          <w:szCs w:val="24"/>
        </w:rPr>
        <w:t xml:space="preserve">Villalba </w:t>
      </w:r>
      <w:r w:rsidRPr="00DD5BE0">
        <w:rPr>
          <w:rFonts w:ascii="Book Antiqua" w:hAnsi="Book Antiqua" w:cs="宋体"/>
          <w:sz w:val="24"/>
          <w:szCs w:val="24"/>
        </w:rPr>
        <w:t xml:space="preserve">G. Non-specific ulcerative colitis, with reference to mortality, morbidity, complications and long-term survivals following colectomy. </w:t>
      </w:r>
      <w:r w:rsidRPr="00DD5BE0">
        <w:rPr>
          <w:rFonts w:ascii="Book Antiqua" w:hAnsi="Book Antiqua" w:cs="宋体"/>
          <w:i/>
          <w:iCs/>
          <w:sz w:val="24"/>
          <w:szCs w:val="24"/>
        </w:rPr>
        <w:t>Am J Surg</w:t>
      </w:r>
      <w:r w:rsidRPr="00DD5BE0">
        <w:rPr>
          <w:rFonts w:ascii="Book Antiqua" w:hAnsi="Book Antiqua" w:cs="宋体"/>
          <w:sz w:val="24"/>
          <w:szCs w:val="24"/>
        </w:rPr>
        <w:t xml:space="preserve"> 1956; </w:t>
      </w:r>
      <w:r w:rsidRPr="00DD5BE0">
        <w:rPr>
          <w:rFonts w:ascii="Book Antiqua" w:hAnsi="Book Antiqua" w:cs="宋体"/>
          <w:b/>
          <w:bCs/>
          <w:sz w:val="24"/>
          <w:szCs w:val="24"/>
        </w:rPr>
        <w:t>92</w:t>
      </w:r>
      <w:r w:rsidRPr="00DD5BE0">
        <w:rPr>
          <w:rFonts w:ascii="Book Antiqua" w:hAnsi="Book Antiqua" w:cs="宋体"/>
          <w:sz w:val="24"/>
          <w:szCs w:val="24"/>
        </w:rPr>
        <w:t>: 688-695 [PMID: 13372871 DOI: 10.1016/S0002-9610(56)80140-2]</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33 </w:t>
      </w:r>
      <w:r w:rsidRPr="00DD5BE0">
        <w:rPr>
          <w:rFonts w:ascii="Book Antiqua" w:hAnsi="Book Antiqua" w:cs="宋体"/>
          <w:b/>
          <w:bCs/>
          <w:sz w:val="24"/>
          <w:szCs w:val="24"/>
        </w:rPr>
        <w:t>Chuttani HK</w:t>
      </w:r>
      <w:r w:rsidRPr="00DD5BE0">
        <w:rPr>
          <w:rFonts w:ascii="Book Antiqua" w:hAnsi="Book Antiqua" w:cs="宋体"/>
          <w:sz w:val="24"/>
          <w:szCs w:val="24"/>
        </w:rPr>
        <w:t xml:space="preserve">, Nigam SP, Sama SK, Dhanda PC, Gupta PS. Ulcerative colitis in the tropics. </w:t>
      </w:r>
      <w:r w:rsidRPr="00DD5BE0">
        <w:rPr>
          <w:rFonts w:ascii="Book Antiqua" w:hAnsi="Book Antiqua" w:cs="宋体"/>
          <w:i/>
          <w:iCs/>
          <w:sz w:val="24"/>
          <w:szCs w:val="24"/>
        </w:rPr>
        <w:t>Br Med J</w:t>
      </w:r>
      <w:r w:rsidRPr="00DD5BE0">
        <w:rPr>
          <w:rFonts w:ascii="Book Antiqua" w:hAnsi="Book Antiqua" w:cs="宋体"/>
          <w:sz w:val="24"/>
          <w:szCs w:val="24"/>
        </w:rPr>
        <w:t xml:space="preserve"> 1967; </w:t>
      </w:r>
      <w:r w:rsidRPr="00DD5BE0">
        <w:rPr>
          <w:rFonts w:ascii="Book Antiqua" w:hAnsi="Book Antiqua" w:cs="宋体"/>
          <w:b/>
          <w:bCs/>
          <w:sz w:val="24"/>
          <w:szCs w:val="24"/>
        </w:rPr>
        <w:t>4</w:t>
      </w:r>
      <w:r w:rsidRPr="00DD5BE0">
        <w:rPr>
          <w:rFonts w:ascii="Book Antiqua" w:hAnsi="Book Antiqua" w:cs="宋体"/>
          <w:sz w:val="24"/>
          <w:szCs w:val="24"/>
        </w:rPr>
        <w:t>: 204-207 [PMID: 6053989 DOI: 10.1136/bmj.4.5573.204]</w:t>
      </w:r>
    </w:p>
    <w:p w:rsidR="00BC4937" w:rsidRPr="00DD5BE0" w:rsidRDefault="00BC4937" w:rsidP="003A2CF7">
      <w:pPr>
        <w:widowControl w:val="0"/>
        <w:jc w:val="both"/>
        <w:rPr>
          <w:rFonts w:ascii="Book Antiqua" w:hAnsi="Book Antiqua" w:cs="宋体"/>
          <w:sz w:val="24"/>
          <w:szCs w:val="24"/>
        </w:rPr>
      </w:pPr>
      <w:r w:rsidRPr="00DD5BE0">
        <w:rPr>
          <w:rFonts w:ascii="Book Antiqua" w:hAnsi="Book Antiqua" w:cs="宋体"/>
          <w:sz w:val="24"/>
          <w:szCs w:val="24"/>
        </w:rPr>
        <w:t xml:space="preserve">34 </w:t>
      </w:r>
      <w:r w:rsidRPr="003A2CF7">
        <w:rPr>
          <w:rFonts w:ascii="Book Antiqua" w:hAnsi="Book Antiqua" w:cs="宋体"/>
          <w:b/>
          <w:sz w:val="24"/>
          <w:szCs w:val="24"/>
        </w:rPr>
        <w:t>Edwards FC</w:t>
      </w:r>
      <w:r w:rsidRPr="003A2CF7">
        <w:rPr>
          <w:rFonts w:ascii="Book Antiqua" w:hAnsi="Book Antiqua" w:cs="宋体"/>
          <w:sz w:val="24"/>
          <w:szCs w:val="24"/>
        </w:rPr>
        <w:t xml:space="preserve">, Truelove SC. Course and prognosis of ulcerative colitis: Part IV Carcinoma of the colon. </w:t>
      </w:r>
      <w:r w:rsidRPr="003A2CF7">
        <w:rPr>
          <w:rFonts w:ascii="Book Antiqua" w:hAnsi="Book Antiqua" w:cs="宋体"/>
          <w:i/>
          <w:iCs/>
          <w:sz w:val="24"/>
          <w:szCs w:val="24"/>
        </w:rPr>
        <w:t>Gut</w:t>
      </w:r>
      <w:r w:rsidRPr="003A2CF7">
        <w:rPr>
          <w:rFonts w:ascii="Book Antiqua" w:hAnsi="Book Antiqua" w:cs="宋体"/>
          <w:sz w:val="24"/>
          <w:szCs w:val="24"/>
        </w:rPr>
        <w:t xml:space="preserve"> 1964; </w:t>
      </w:r>
      <w:r w:rsidRPr="003A2CF7">
        <w:rPr>
          <w:rFonts w:ascii="Book Antiqua" w:hAnsi="Book Antiqua" w:cs="宋体"/>
          <w:b/>
          <w:bCs/>
          <w:sz w:val="24"/>
          <w:szCs w:val="24"/>
        </w:rPr>
        <w:t>5</w:t>
      </w:r>
      <w:r w:rsidRPr="003A2CF7">
        <w:rPr>
          <w:rFonts w:ascii="Book Antiqua" w:hAnsi="Book Antiqua" w:cs="宋体"/>
          <w:sz w:val="24"/>
          <w:szCs w:val="24"/>
        </w:rPr>
        <w:t>: 15-22 [PMID: 18668763 DOI: 10.1136/gut.5.1.1]</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lastRenderedPageBreak/>
        <w:t xml:space="preserve">35 </w:t>
      </w:r>
      <w:r w:rsidRPr="00DD5BE0">
        <w:rPr>
          <w:rFonts w:ascii="Book Antiqua" w:hAnsi="Book Antiqua" w:cs="宋体"/>
          <w:b/>
          <w:bCs/>
          <w:sz w:val="24"/>
          <w:szCs w:val="24"/>
        </w:rPr>
        <w:t>Lescut D</w:t>
      </w:r>
      <w:r w:rsidRPr="00DD5BE0">
        <w:rPr>
          <w:rFonts w:ascii="Book Antiqua" w:hAnsi="Book Antiqua" w:cs="宋体"/>
          <w:sz w:val="24"/>
          <w:szCs w:val="24"/>
        </w:rPr>
        <w:t xml:space="preserve">, Vanco D, Bonnière P, Lecomte-Houcke M, Quandalle P, Wurtz A, Colombel JF, Delmotte JS, Paris JC, Cortot A. Perioperative endoscopy of the whole small bowel in Crohn's disease. </w:t>
      </w:r>
      <w:r w:rsidRPr="00DD5BE0">
        <w:rPr>
          <w:rFonts w:ascii="Book Antiqua" w:hAnsi="Book Antiqua" w:cs="宋体"/>
          <w:i/>
          <w:iCs/>
          <w:sz w:val="24"/>
          <w:szCs w:val="24"/>
        </w:rPr>
        <w:t>Gut</w:t>
      </w:r>
      <w:r w:rsidRPr="00DD5BE0">
        <w:rPr>
          <w:rFonts w:ascii="Book Antiqua" w:hAnsi="Book Antiqua" w:cs="宋体"/>
          <w:sz w:val="24"/>
          <w:szCs w:val="24"/>
        </w:rPr>
        <w:t xml:space="preserve"> 1993; </w:t>
      </w:r>
      <w:r w:rsidRPr="00DD5BE0">
        <w:rPr>
          <w:rFonts w:ascii="Book Antiqua" w:hAnsi="Book Antiqua" w:cs="宋体"/>
          <w:b/>
          <w:bCs/>
          <w:sz w:val="24"/>
          <w:szCs w:val="24"/>
        </w:rPr>
        <w:t>34</w:t>
      </w:r>
      <w:r w:rsidRPr="00DD5BE0">
        <w:rPr>
          <w:rFonts w:ascii="Book Antiqua" w:hAnsi="Book Antiqua" w:cs="宋体"/>
          <w:sz w:val="24"/>
          <w:szCs w:val="24"/>
        </w:rPr>
        <w:t>: 647-649 [PMID: 8504965 DOI: 10.1136/gut.34.5.647]</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36 </w:t>
      </w:r>
      <w:r w:rsidRPr="00DD5BE0">
        <w:rPr>
          <w:rFonts w:ascii="Book Antiqua" w:hAnsi="Book Antiqua" w:cs="宋体"/>
          <w:b/>
          <w:bCs/>
          <w:sz w:val="24"/>
          <w:szCs w:val="24"/>
        </w:rPr>
        <w:t>Luo YY</w:t>
      </w:r>
      <w:r w:rsidRPr="00DD5BE0">
        <w:rPr>
          <w:rFonts w:ascii="Book Antiqua" w:hAnsi="Book Antiqua" w:cs="宋体"/>
          <w:sz w:val="24"/>
          <w:szCs w:val="24"/>
        </w:rPr>
        <w:t xml:space="preserve">, Chen J. [Clinical and colonoscopic characteristics of pediatric inflammatory bowel disease]. </w:t>
      </w:r>
      <w:r w:rsidRPr="00DD5BE0">
        <w:rPr>
          <w:rFonts w:ascii="Book Antiqua" w:hAnsi="Book Antiqua" w:cs="宋体"/>
          <w:i/>
          <w:iCs/>
          <w:sz w:val="24"/>
          <w:szCs w:val="24"/>
        </w:rPr>
        <w:t>Zhonghua Er Ke Za Zhi</w:t>
      </w:r>
      <w:r w:rsidRPr="00DD5BE0">
        <w:rPr>
          <w:rFonts w:ascii="Book Antiqua" w:hAnsi="Book Antiqua" w:cs="宋体"/>
          <w:sz w:val="24"/>
          <w:szCs w:val="24"/>
        </w:rPr>
        <w:t xml:space="preserve"> 2009; </w:t>
      </w:r>
      <w:r w:rsidRPr="00DD5BE0">
        <w:rPr>
          <w:rFonts w:ascii="Book Antiqua" w:hAnsi="Book Antiqua" w:cs="宋体"/>
          <w:b/>
          <w:bCs/>
          <w:sz w:val="24"/>
          <w:szCs w:val="24"/>
        </w:rPr>
        <w:t>47</w:t>
      </w:r>
      <w:r w:rsidRPr="00DD5BE0">
        <w:rPr>
          <w:rFonts w:ascii="Book Antiqua" w:hAnsi="Book Antiqua" w:cs="宋体"/>
          <w:sz w:val="24"/>
          <w:szCs w:val="24"/>
        </w:rPr>
        <w:t>: 129-133 [PMID: 19573460]</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37 </w:t>
      </w:r>
      <w:r w:rsidRPr="00DD5BE0">
        <w:rPr>
          <w:rFonts w:ascii="Book Antiqua" w:hAnsi="Book Antiqua" w:cs="宋体"/>
          <w:b/>
          <w:bCs/>
          <w:sz w:val="24"/>
          <w:szCs w:val="24"/>
        </w:rPr>
        <w:t>Maroo MK</w:t>
      </w:r>
      <w:r w:rsidRPr="00DD5BE0">
        <w:rPr>
          <w:rFonts w:ascii="Book Antiqua" w:hAnsi="Book Antiqua" w:cs="宋体"/>
          <w:sz w:val="24"/>
          <w:szCs w:val="24"/>
        </w:rPr>
        <w:t xml:space="preserve">, Nag NK, Sortur SV, Patil RS. Ulcerative colitis in Southern Maharashtra. </w:t>
      </w:r>
      <w:r w:rsidRPr="00DD5BE0">
        <w:rPr>
          <w:rFonts w:ascii="Book Antiqua" w:hAnsi="Book Antiqua" w:cs="宋体"/>
          <w:i/>
          <w:iCs/>
          <w:sz w:val="24"/>
          <w:szCs w:val="24"/>
        </w:rPr>
        <w:t>J Indian Med Assoc</w:t>
      </w:r>
      <w:r w:rsidRPr="00DD5BE0">
        <w:rPr>
          <w:rFonts w:ascii="Book Antiqua" w:hAnsi="Book Antiqua" w:cs="宋体"/>
          <w:sz w:val="24"/>
          <w:szCs w:val="24"/>
        </w:rPr>
        <w:t xml:space="preserve"> 1974; </w:t>
      </w:r>
      <w:r w:rsidRPr="00DD5BE0">
        <w:rPr>
          <w:rFonts w:ascii="Book Antiqua" w:hAnsi="Book Antiqua" w:cs="宋体"/>
          <w:b/>
          <w:bCs/>
          <w:sz w:val="24"/>
          <w:szCs w:val="24"/>
        </w:rPr>
        <w:t>63</w:t>
      </w:r>
      <w:r w:rsidRPr="00DD5BE0">
        <w:rPr>
          <w:rFonts w:ascii="Book Antiqua" w:hAnsi="Book Antiqua" w:cs="宋体"/>
          <w:sz w:val="24"/>
          <w:szCs w:val="24"/>
        </w:rPr>
        <w:t>: 350-354 [PMID: 4477574]</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38 </w:t>
      </w:r>
      <w:r w:rsidRPr="00DD5BE0">
        <w:rPr>
          <w:rFonts w:ascii="Book Antiqua" w:hAnsi="Book Antiqua" w:cs="宋体"/>
          <w:b/>
          <w:bCs/>
          <w:sz w:val="24"/>
          <w:szCs w:val="24"/>
        </w:rPr>
        <w:t>Ray G</w:t>
      </w:r>
      <w:r w:rsidRPr="00DD5BE0">
        <w:rPr>
          <w:rFonts w:ascii="Book Antiqua" w:hAnsi="Book Antiqua" w:cs="宋体"/>
          <w:sz w:val="24"/>
          <w:szCs w:val="24"/>
        </w:rPr>
        <w:t xml:space="preserve">. Inflammatory bowel disease in India--changing paradigms. </w:t>
      </w:r>
      <w:r w:rsidRPr="00DD5BE0">
        <w:rPr>
          <w:rFonts w:ascii="Book Antiqua" w:hAnsi="Book Antiqua" w:cs="宋体"/>
          <w:i/>
          <w:iCs/>
          <w:sz w:val="24"/>
          <w:szCs w:val="24"/>
        </w:rPr>
        <w:t>Int J Colorectal Dis</w:t>
      </w:r>
      <w:r w:rsidRPr="00DD5BE0">
        <w:rPr>
          <w:rFonts w:ascii="Book Antiqua" w:hAnsi="Book Antiqua" w:cs="宋体"/>
          <w:sz w:val="24"/>
          <w:szCs w:val="24"/>
        </w:rPr>
        <w:t xml:space="preserve"> 2011; </w:t>
      </w:r>
      <w:r w:rsidRPr="00DD5BE0">
        <w:rPr>
          <w:rFonts w:ascii="Book Antiqua" w:hAnsi="Book Antiqua" w:cs="宋体"/>
          <w:b/>
          <w:bCs/>
          <w:sz w:val="24"/>
          <w:szCs w:val="24"/>
        </w:rPr>
        <w:t>26</w:t>
      </w:r>
      <w:r w:rsidRPr="00DD5BE0">
        <w:rPr>
          <w:rFonts w:ascii="Book Antiqua" w:hAnsi="Book Antiqua" w:cs="宋体"/>
          <w:sz w:val="24"/>
          <w:szCs w:val="24"/>
        </w:rPr>
        <w:t>: 635-644 [PMID: 21063715 DOI: 10.1007/s00384-010-1084-5]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39 </w:t>
      </w:r>
      <w:r w:rsidRPr="00DD5BE0">
        <w:rPr>
          <w:rFonts w:ascii="Book Antiqua" w:hAnsi="Book Antiqua" w:cs="宋体"/>
          <w:b/>
          <w:bCs/>
          <w:sz w:val="24"/>
          <w:szCs w:val="24"/>
        </w:rPr>
        <w:t>Geboes K</w:t>
      </w:r>
      <w:r w:rsidRPr="00DD5BE0">
        <w:rPr>
          <w:rFonts w:ascii="Book Antiqua" w:hAnsi="Book Antiqua" w:cs="宋体"/>
          <w:sz w:val="24"/>
          <w:szCs w:val="24"/>
        </w:rPr>
        <w:t xml:space="preserve">, Vantrappen G. The value of colonoscopy in the diagnosis of Crohn's disease. </w:t>
      </w:r>
      <w:r w:rsidRPr="00DD5BE0">
        <w:rPr>
          <w:rFonts w:ascii="Book Antiqua" w:hAnsi="Book Antiqua" w:cs="宋体"/>
          <w:i/>
          <w:iCs/>
          <w:sz w:val="24"/>
          <w:szCs w:val="24"/>
        </w:rPr>
        <w:t>Gastrointest Endosc</w:t>
      </w:r>
      <w:r w:rsidRPr="00DD5BE0">
        <w:rPr>
          <w:rFonts w:ascii="Book Antiqua" w:hAnsi="Book Antiqua" w:cs="宋体"/>
          <w:sz w:val="24"/>
          <w:szCs w:val="24"/>
        </w:rPr>
        <w:t xml:space="preserve"> 1975; </w:t>
      </w:r>
      <w:r w:rsidRPr="00DD5BE0">
        <w:rPr>
          <w:rFonts w:ascii="Book Antiqua" w:hAnsi="Book Antiqua" w:cs="宋体"/>
          <w:b/>
          <w:bCs/>
          <w:sz w:val="24"/>
          <w:szCs w:val="24"/>
        </w:rPr>
        <w:t>22</w:t>
      </w:r>
      <w:r w:rsidRPr="00DD5BE0">
        <w:rPr>
          <w:rFonts w:ascii="Book Antiqua" w:hAnsi="Book Antiqua" w:cs="宋体"/>
          <w:sz w:val="24"/>
          <w:szCs w:val="24"/>
        </w:rPr>
        <w:t>: 18-23 [PMID: 1205096 DOI: 10.1016/S0016-5107(75)73675-1]</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40 </w:t>
      </w:r>
      <w:r w:rsidRPr="00DD5BE0">
        <w:rPr>
          <w:rFonts w:ascii="Book Antiqua" w:hAnsi="Book Antiqua" w:cs="宋体"/>
          <w:b/>
          <w:bCs/>
          <w:sz w:val="24"/>
          <w:szCs w:val="24"/>
        </w:rPr>
        <w:t>Tandon BN</w:t>
      </w:r>
      <w:r w:rsidRPr="00DD5BE0">
        <w:rPr>
          <w:rFonts w:ascii="Book Antiqua" w:hAnsi="Book Antiqua" w:cs="宋体"/>
          <w:sz w:val="24"/>
          <w:szCs w:val="24"/>
        </w:rPr>
        <w:t xml:space="preserve">, Mathur AK, Mohapatra LN, Tandon HD, Wig KL. A study of the prevalence and clinical pattern of non-specific ulcerative colitis in northern India. </w:t>
      </w:r>
      <w:r w:rsidRPr="00DD5BE0">
        <w:rPr>
          <w:rFonts w:ascii="Book Antiqua" w:hAnsi="Book Antiqua" w:cs="宋体"/>
          <w:i/>
          <w:iCs/>
          <w:sz w:val="24"/>
          <w:szCs w:val="24"/>
        </w:rPr>
        <w:t>Gut</w:t>
      </w:r>
      <w:r w:rsidRPr="00DD5BE0">
        <w:rPr>
          <w:rFonts w:ascii="Book Antiqua" w:hAnsi="Book Antiqua" w:cs="宋体"/>
          <w:sz w:val="24"/>
          <w:szCs w:val="24"/>
        </w:rPr>
        <w:t xml:space="preserve"> 1965; </w:t>
      </w:r>
      <w:r w:rsidRPr="00DD5BE0">
        <w:rPr>
          <w:rFonts w:ascii="Book Antiqua" w:hAnsi="Book Antiqua" w:cs="宋体"/>
          <w:b/>
          <w:bCs/>
          <w:sz w:val="24"/>
          <w:szCs w:val="24"/>
        </w:rPr>
        <w:t>6</w:t>
      </w:r>
      <w:r w:rsidRPr="00DD5BE0">
        <w:rPr>
          <w:rFonts w:ascii="Book Antiqua" w:hAnsi="Book Antiqua" w:cs="宋体"/>
          <w:sz w:val="24"/>
          <w:szCs w:val="24"/>
        </w:rPr>
        <w:t>: 448-453 [PMID: 5294834 DOI: 10.1136/gut.6.5.448]</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41 </w:t>
      </w:r>
      <w:r w:rsidRPr="00DD5BE0">
        <w:rPr>
          <w:rFonts w:ascii="Book Antiqua" w:hAnsi="Book Antiqua" w:cs="宋体"/>
          <w:b/>
          <w:bCs/>
          <w:sz w:val="24"/>
          <w:szCs w:val="24"/>
        </w:rPr>
        <w:t>Teague RH</w:t>
      </w:r>
      <w:r w:rsidRPr="00DD5BE0">
        <w:rPr>
          <w:rFonts w:ascii="Book Antiqua" w:hAnsi="Book Antiqua" w:cs="宋体"/>
          <w:sz w:val="24"/>
          <w:szCs w:val="24"/>
        </w:rPr>
        <w:t xml:space="preserve">, Read AE. Polyposis in ulcerative colitis. </w:t>
      </w:r>
      <w:r w:rsidRPr="00DD5BE0">
        <w:rPr>
          <w:rFonts w:ascii="Book Antiqua" w:hAnsi="Book Antiqua" w:cs="宋体"/>
          <w:i/>
          <w:iCs/>
          <w:sz w:val="24"/>
          <w:szCs w:val="24"/>
        </w:rPr>
        <w:t>Gut</w:t>
      </w:r>
      <w:r w:rsidRPr="00DD5BE0">
        <w:rPr>
          <w:rFonts w:ascii="Book Antiqua" w:hAnsi="Book Antiqua" w:cs="宋体"/>
          <w:sz w:val="24"/>
          <w:szCs w:val="24"/>
        </w:rPr>
        <w:t xml:space="preserve"> 1975; </w:t>
      </w:r>
      <w:r w:rsidRPr="00DD5BE0">
        <w:rPr>
          <w:rFonts w:ascii="Book Antiqua" w:hAnsi="Book Antiqua" w:cs="宋体"/>
          <w:b/>
          <w:bCs/>
          <w:sz w:val="24"/>
          <w:szCs w:val="24"/>
        </w:rPr>
        <w:t>16</w:t>
      </w:r>
      <w:r w:rsidRPr="00DD5BE0">
        <w:rPr>
          <w:rFonts w:ascii="Book Antiqua" w:hAnsi="Book Antiqua" w:cs="宋体"/>
          <w:sz w:val="24"/>
          <w:szCs w:val="24"/>
        </w:rPr>
        <w:t>: 792-795 [PMID: 1205273 DOI: 10.1136/gut.16.10.792]</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42 </w:t>
      </w:r>
      <w:r w:rsidRPr="00DD5BE0">
        <w:rPr>
          <w:rFonts w:ascii="Book Antiqua" w:hAnsi="Book Antiqua" w:cs="宋体"/>
          <w:b/>
          <w:bCs/>
          <w:sz w:val="24"/>
          <w:szCs w:val="24"/>
        </w:rPr>
        <w:t>Teh LB</w:t>
      </w:r>
      <w:r w:rsidRPr="00DD5BE0">
        <w:rPr>
          <w:rFonts w:ascii="Book Antiqua" w:hAnsi="Book Antiqua" w:cs="宋体"/>
          <w:sz w:val="24"/>
          <w:szCs w:val="24"/>
        </w:rPr>
        <w:t xml:space="preserve">, Koh D, Ng HS, Kwok KC, Lim TC, Ho MS, Seah CS. Ulcerative colitis in Singapore: a clinical study of sixty-one patients. </w:t>
      </w:r>
      <w:r w:rsidRPr="00DD5BE0">
        <w:rPr>
          <w:rFonts w:ascii="Book Antiqua" w:hAnsi="Book Antiqua" w:cs="宋体"/>
          <w:i/>
          <w:iCs/>
          <w:sz w:val="24"/>
          <w:szCs w:val="24"/>
        </w:rPr>
        <w:t>Ann Acad Med Singapore</w:t>
      </w:r>
      <w:r w:rsidRPr="00DD5BE0">
        <w:rPr>
          <w:rFonts w:ascii="Book Antiqua" w:hAnsi="Book Antiqua" w:cs="宋体"/>
          <w:sz w:val="24"/>
          <w:szCs w:val="24"/>
        </w:rPr>
        <w:t xml:space="preserve"> 1987; </w:t>
      </w:r>
      <w:r w:rsidRPr="00DD5BE0">
        <w:rPr>
          <w:rFonts w:ascii="Book Antiqua" w:hAnsi="Book Antiqua" w:cs="宋体"/>
          <w:b/>
          <w:bCs/>
          <w:sz w:val="24"/>
          <w:szCs w:val="24"/>
        </w:rPr>
        <w:t>16</w:t>
      </w:r>
      <w:r w:rsidRPr="00DD5BE0">
        <w:rPr>
          <w:rFonts w:ascii="Book Antiqua" w:hAnsi="Book Antiqua" w:cs="宋体"/>
          <w:sz w:val="24"/>
          <w:szCs w:val="24"/>
        </w:rPr>
        <w:t>: 474-479 [PMID: 2893576]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lastRenderedPageBreak/>
        <w:t xml:space="preserve">43 </w:t>
      </w:r>
      <w:r w:rsidRPr="00DD5BE0">
        <w:rPr>
          <w:rFonts w:ascii="Book Antiqua" w:hAnsi="Book Antiqua" w:cs="宋体"/>
          <w:b/>
          <w:bCs/>
          <w:sz w:val="24"/>
          <w:szCs w:val="24"/>
        </w:rPr>
        <w:t>Velayos FS</w:t>
      </w:r>
      <w:r w:rsidRPr="00DD5BE0">
        <w:rPr>
          <w:rFonts w:ascii="Book Antiqua" w:hAnsi="Book Antiqua" w:cs="宋体"/>
          <w:sz w:val="24"/>
          <w:szCs w:val="24"/>
        </w:rPr>
        <w:t xml:space="preserve">, Loftus EV, Jess T, Harmsen WS, Bida J, Zinsmeister AR, Tremaine WJ, Sandborn WJ. Predictive and protective factors associated with colorectal cancer in ulcerative colitis: A case-control study. </w:t>
      </w:r>
      <w:r w:rsidRPr="00DD5BE0">
        <w:rPr>
          <w:rFonts w:ascii="Book Antiqua" w:hAnsi="Book Antiqua" w:cs="宋体"/>
          <w:i/>
          <w:iCs/>
          <w:sz w:val="24"/>
          <w:szCs w:val="24"/>
        </w:rPr>
        <w:t>Gastroenterology</w:t>
      </w:r>
      <w:r w:rsidRPr="00DD5BE0">
        <w:rPr>
          <w:rFonts w:ascii="Book Antiqua" w:hAnsi="Book Antiqua" w:cs="宋体"/>
          <w:sz w:val="24"/>
          <w:szCs w:val="24"/>
        </w:rPr>
        <w:t xml:space="preserve"> 2006; </w:t>
      </w:r>
      <w:r w:rsidRPr="00DD5BE0">
        <w:rPr>
          <w:rFonts w:ascii="Book Antiqua" w:hAnsi="Book Antiqua" w:cs="宋体"/>
          <w:b/>
          <w:bCs/>
          <w:sz w:val="24"/>
          <w:szCs w:val="24"/>
        </w:rPr>
        <w:t>130</w:t>
      </w:r>
      <w:r w:rsidRPr="00DD5BE0">
        <w:rPr>
          <w:rFonts w:ascii="Book Antiqua" w:hAnsi="Book Antiqua" w:cs="宋体"/>
          <w:sz w:val="24"/>
          <w:szCs w:val="24"/>
        </w:rPr>
        <w:t>: 1941-1949 [PMID: 16762617 DOI: 10.1053/j.gastro.2006.03.028]</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44 </w:t>
      </w:r>
      <w:r w:rsidRPr="00DD5BE0">
        <w:rPr>
          <w:rFonts w:ascii="Book Antiqua" w:hAnsi="Book Antiqua" w:cs="宋体"/>
          <w:b/>
          <w:bCs/>
          <w:sz w:val="24"/>
          <w:szCs w:val="24"/>
        </w:rPr>
        <w:t>Rutter MD</w:t>
      </w:r>
      <w:r w:rsidRPr="00DD5BE0">
        <w:rPr>
          <w:rFonts w:ascii="Book Antiqua" w:hAnsi="Book Antiqua" w:cs="宋体"/>
          <w:sz w:val="24"/>
          <w:szCs w:val="24"/>
        </w:rPr>
        <w:t xml:space="preserve">, Saunders BP, Wilkinson KH, Rumbles S, Schofield G, Kamm MA, Williams CB, Price AB, Talbot IC, Forbes A. Cancer surveillance in longstanding ulcerative colitis: endoscopic appearances help predict cancer risk. </w:t>
      </w:r>
      <w:r w:rsidRPr="00DD5BE0">
        <w:rPr>
          <w:rFonts w:ascii="Book Antiqua" w:hAnsi="Book Antiqua" w:cs="宋体"/>
          <w:i/>
          <w:iCs/>
          <w:sz w:val="24"/>
          <w:szCs w:val="24"/>
        </w:rPr>
        <w:t>Gut</w:t>
      </w:r>
      <w:r w:rsidRPr="00DD5BE0">
        <w:rPr>
          <w:rFonts w:ascii="Book Antiqua" w:hAnsi="Book Antiqua" w:cs="宋体"/>
          <w:sz w:val="24"/>
          <w:szCs w:val="24"/>
        </w:rPr>
        <w:t xml:space="preserve"> 2004; </w:t>
      </w:r>
      <w:r w:rsidRPr="00DD5BE0">
        <w:rPr>
          <w:rFonts w:ascii="Book Antiqua" w:hAnsi="Book Antiqua" w:cs="宋体"/>
          <w:b/>
          <w:bCs/>
          <w:sz w:val="24"/>
          <w:szCs w:val="24"/>
        </w:rPr>
        <w:t>53</w:t>
      </w:r>
      <w:r w:rsidRPr="00DD5BE0">
        <w:rPr>
          <w:rFonts w:ascii="Book Antiqua" w:hAnsi="Book Antiqua" w:cs="宋体"/>
          <w:sz w:val="24"/>
          <w:szCs w:val="24"/>
        </w:rPr>
        <w:t>: 1813-1816 [PMID: 15542520 DOI: 10.1136/gut.2003.038505]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45 </w:t>
      </w:r>
      <w:r w:rsidRPr="00DD5BE0">
        <w:rPr>
          <w:rFonts w:ascii="Book Antiqua" w:hAnsi="Book Antiqua" w:cs="宋体"/>
          <w:b/>
          <w:bCs/>
          <w:sz w:val="24"/>
          <w:szCs w:val="24"/>
        </w:rPr>
        <w:t>Wang Y</w:t>
      </w:r>
      <w:r w:rsidRPr="00DD5BE0">
        <w:rPr>
          <w:rFonts w:ascii="Book Antiqua" w:hAnsi="Book Antiqua" w:cs="宋体"/>
          <w:sz w:val="24"/>
          <w:szCs w:val="24"/>
        </w:rPr>
        <w:t xml:space="preserve">, Ouyang Q. Ulcerative colitis in China: retrospective analysis of 3100 hospitalized patients. </w:t>
      </w:r>
      <w:r w:rsidRPr="00DD5BE0">
        <w:rPr>
          <w:rFonts w:ascii="Book Antiqua" w:hAnsi="Book Antiqua" w:cs="宋体"/>
          <w:i/>
          <w:iCs/>
          <w:sz w:val="24"/>
          <w:szCs w:val="24"/>
        </w:rPr>
        <w:t>J Gastroenterol Hepatol</w:t>
      </w:r>
      <w:r w:rsidRPr="00DD5BE0">
        <w:rPr>
          <w:rFonts w:ascii="Book Antiqua" w:hAnsi="Book Antiqua" w:cs="宋体"/>
          <w:sz w:val="24"/>
          <w:szCs w:val="24"/>
        </w:rPr>
        <w:t xml:space="preserve"> 2007; </w:t>
      </w:r>
      <w:r w:rsidRPr="00DD5BE0">
        <w:rPr>
          <w:rFonts w:ascii="Book Antiqua" w:hAnsi="Book Antiqua" w:cs="宋体"/>
          <w:b/>
          <w:bCs/>
          <w:sz w:val="24"/>
          <w:szCs w:val="24"/>
        </w:rPr>
        <w:t>22</w:t>
      </w:r>
      <w:r w:rsidRPr="00DD5BE0">
        <w:rPr>
          <w:rFonts w:ascii="Book Antiqua" w:hAnsi="Book Antiqua" w:cs="宋体"/>
          <w:sz w:val="24"/>
          <w:szCs w:val="24"/>
        </w:rPr>
        <w:t>: 1450-1455 [PMID: 17716349 DOI: 10.1111/j.1440-1746.2007.04873.x]</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46 </w:t>
      </w:r>
      <w:r w:rsidRPr="00DD5BE0">
        <w:rPr>
          <w:rFonts w:ascii="Book Antiqua" w:hAnsi="Book Antiqua" w:cs="宋体"/>
          <w:b/>
          <w:bCs/>
          <w:sz w:val="24"/>
          <w:szCs w:val="24"/>
        </w:rPr>
        <w:t>Watts JM</w:t>
      </w:r>
      <w:r w:rsidRPr="00DD5BE0">
        <w:rPr>
          <w:rFonts w:ascii="Book Antiqua" w:hAnsi="Book Antiqua" w:cs="宋体"/>
          <w:sz w:val="24"/>
          <w:szCs w:val="24"/>
        </w:rPr>
        <w:t xml:space="preserve">, de Dombal FT, Goligher JC. Early results of surgery for ulcerative colitis. </w:t>
      </w:r>
      <w:r w:rsidRPr="00DD5BE0">
        <w:rPr>
          <w:rFonts w:ascii="Book Antiqua" w:hAnsi="Book Antiqua" w:cs="宋体"/>
          <w:i/>
          <w:iCs/>
          <w:sz w:val="24"/>
          <w:szCs w:val="24"/>
        </w:rPr>
        <w:t>Br J Surg</w:t>
      </w:r>
      <w:r w:rsidRPr="00DD5BE0">
        <w:rPr>
          <w:rFonts w:ascii="Book Antiqua" w:hAnsi="Book Antiqua" w:cs="宋体"/>
          <w:sz w:val="24"/>
          <w:szCs w:val="24"/>
        </w:rPr>
        <w:t xml:space="preserve"> 1966; </w:t>
      </w:r>
      <w:r w:rsidRPr="00DD5BE0">
        <w:rPr>
          <w:rFonts w:ascii="Book Antiqua" w:hAnsi="Book Antiqua" w:cs="宋体"/>
          <w:b/>
          <w:bCs/>
          <w:sz w:val="24"/>
          <w:szCs w:val="24"/>
        </w:rPr>
        <w:t>53</w:t>
      </w:r>
      <w:r w:rsidRPr="00DD5BE0">
        <w:rPr>
          <w:rFonts w:ascii="Book Antiqua" w:hAnsi="Book Antiqua" w:cs="宋体"/>
          <w:sz w:val="24"/>
          <w:szCs w:val="24"/>
        </w:rPr>
        <w:t>: 1005-1014 [PMID: 5927651 DOI: 10.1002/bjs.1800531202]</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47 </w:t>
      </w:r>
      <w:r w:rsidRPr="003A2CF7">
        <w:rPr>
          <w:rFonts w:ascii="Book Antiqua" w:hAnsi="Book Antiqua" w:cs="宋体"/>
          <w:b/>
          <w:bCs/>
          <w:sz w:val="24"/>
          <w:szCs w:val="24"/>
        </w:rPr>
        <w:t xml:space="preserve">Waugh </w:t>
      </w:r>
      <w:r w:rsidRPr="00DD5BE0">
        <w:rPr>
          <w:rFonts w:ascii="Book Antiqua" w:hAnsi="Book Antiqua" w:cs="宋体"/>
          <w:b/>
          <w:bCs/>
          <w:sz w:val="24"/>
          <w:szCs w:val="24"/>
        </w:rPr>
        <w:t>JM</w:t>
      </w:r>
      <w:r w:rsidRPr="00DD5BE0">
        <w:rPr>
          <w:rFonts w:ascii="Book Antiqua" w:hAnsi="Book Antiqua" w:cs="宋体"/>
          <w:sz w:val="24"/>
          <w:szCs w:val="24"/>
        </w:rPr>
        <w:t xml:space="preserve">, </w:t>
      </w:r>
      <w:r w:rsidRPr="003A2CF7">
        <w:rPr>
          <w:rFonts w:ascii="Book Antiqua" w:hAnsi="Book Antiqua" w:cs="宋体"/>
          <w:sz w:val="24"/>
          <w:szCs w:val="24"/>
        </w:rPr>
        <w:t xml:space="preserve">Peck </w:t>
      </w:r>
      <w:r w:rsidRPr="00DD5BE0">
        <w:rPr>
          <w:rFonts w:ascii="Book Antiqua" w:hAnsi="Book Antiqua" w:cs="宋体"/>
          <w:sz w:val="24"/>
          <w:szCs w:val="24"/>
        </w:rPr>
        <w:t xml:space="preserve">DA, </w:t>
      </w:r>
      <w:r w:rsidRPr="003A2CF7">
        <w:rPr>
          <w:rFonts w:ascii="Book Antiqua" w:hAnsi="Book Antiqua" w:cs="宋体"/>
          <w:sz w:val="24"/>
          <w:szCs w:val="24"/>
        </w:rPr>
        <w:t xml:space="preserve">Beahrs </w:t>
      </w:r>
      <w:r w:rsidRPr="00DD5BE0">
        <w:rPr>
          <w:rFonts w:ascii="Book Antiqua" w:hAnsi="Book Antiqua" w:cs="宋体"/>
          <w:sz w:val="24"/>
          <w:szCs w:val="24"/>
        </w:rPr>
        <w:t xml:space="preserve">OH, </w:t>
      </w:r>
      <w:r w:rsidRPr="003A2CF7">
        <w:rPr>
          <w:rFonts w:ascii="Book Antiqua" w:hAnsi="Book Antiqua" w:cs="宋体"/>
          <w:sz w:val="24"/>
          <w:szCs w:val="24"/>
        </w:rPr>
        <w:t xml:space="preserve">Sauer </w:t>
      </w:r>
      <w:r w:rsidRPr="00DD5BE0">
        <w:rPr>
          <w:rFonts w:ascii="Book Antiqua" w:hAnsi="Book Antiqua" w:cs="宋体"/>
          <w:sz w:val="24"/>
          <w:szCs w:val="24"/>
        </w:rPr>
        <w:t xml:space="preserve">WG. </w:t>
      </w:r>
      <w:r w:rsidRPr="003A2CF7">
        <w:rPr>
          <w:rFonts w:ascii="Book Antiqua" w:hAnsi="Book Antiqua" w:cs="宋体"/>
          <w:sz w:val="24"/>
          <w:szCs w:val="24"/>
        </w:rPr>
        <w:t>Surgical Management of Chronic Ulcerative Colitis</w:t>
      </w:r>
      <w:r w:rsidRPr="00DD5BE0">
        <w:rPr>
          <w:rFonts w:ascii="Book Antiqua" w:hAnsi="Book Antiqua" w:cs="宋体"/>
          <w:sz w:val="24"/>
          <w:szCs w:val="24"/>
        </w:rPr>
        <w:t xml:space="preserve">. </w:t>
      </w:r>
      <w:r w:rsidRPr="00DD5BE0">
        <w:rPr>
          <w:rFonts w:ascii="Book Antiqua" w:hAnsi="Book Antiqua" w:cs="宋体"/>
          <w:i/>
          <w:iCs/>
          <w:sz w:val="24"/>
          <w:szCs w:val="24"/>
        </w:rPr>
        <w:t>Arch Surg</w:t>
      </w:r>
      <w:r w:rsidRPr="00DD5BE0">
        <w:rPr>
          <w:rFonts w:ascii="Book Antiqua" w:hAnsi="Book Antiqua" w:cs="宋体"/>
          <w:sz w:val="24"/>
          <w:szCs w:val="24"/>
        </w:rPr>
        <w:t xml:space="preserve"> 1964; </w:t>
      </w:r>
      <w:r w:rsidRPr="00DD5BE0">
        <w:rPr>
          <w:rFonts w:ascii="Book Antiqua" w:hAnsi="Book Antiqua" w:cs="宋体"/>
          <w:b/>
          <w:bCs/>
          <w:sz w:val="24"/>
          <w:szCs w:val="24"/>
        </w:rPr>
        <w:t>88</w:t>
      </w:r>
      <w:r w:rsidRPr="00DD5BE0">
        <w:rPr>
          <w:rFonts w:ascii="Book Antiqua" w:hAnsi="Book Antiqua" w:cs="宋体"/>
          <w:sz w:val="24"/>
          <w:szCs w:val="24"/>
        </w:rPr>
        <w:t>: 556-569 [PMID: 14107005 DOI: 10.1001/archsurg.1964.01310220046009]</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48</w:t>
      </w:r>
      <w:r w:rsidRPr="003A2CF7">
        <w:rPr>
          <w:rFonts w:ascii="Book Antiqua" w:hAnsi="Book Antiqua" w:cs="宋体"/>
          <w:sz w:val="24"/>
          <w:szCs w:val="24"/>
        </w:rPr>
        <w:t xml:space="preserve"> </w:t>
      </w:r>
      <w:r w:rsidRPr="003A2CF7">
        <w:rPr>
          <w:rFonts w:ascii="Book Antiqua" w:hAnsi="Book Antiqua" w:cs="宋体"/>
          <w:b/>
          <w:bCs/>
          <w:sz w:val="24"/>
          <w:szCs w:val="24"/>
        </w:rPr>
        <w:t>Wright</w:t>
      </w:r>
      <w:r w:rsidRPr="00DD5BE0">
        <w:rPr>
          <w:rFonts w:ascii="Book Antiqua" w:hAnsi="Book Antiqua" w:cs="宋体"/>
          <w:b/>
          <w:bCs/>
          <w:sz w:val="24"/>
          <w:szCs w:val="24"/>
        </w:rPr>
        <w:t xml:space="preserve"> V</w:t>
      </w:r>
      <w:r w:rsidRPr="00DD5BE0">
        <w:rPr>
          <w:rFonts w:ascii="Book Antiqua" w:hAnsi="Book Antiqua" w:cs="宋体"/>
          <w:sz w:val="24"/>
          <w:szCs w:val="24"/>
        </w:rPr>
        <w:t xml:space="preserve">, </w:t>
      </w:r>
      <w:r w:rsidRPr="003A2CF7">
        <w:rPr>
          <w:rFonts w:ascii="Book Antiqua" w:hAnsi="Book Antiqua" w:cs="宋体"/>
          <w:sz w:val="24"/>
          <w:szCs w:val="24"/>
        </w:rPr>
        <w:t xml:space="preserve">Watkinson </w:t>
      </w:r>
      <w:r w:rsidRPr="00DD5BE0">
        <w:rPr>
          <w:rFonts w:ascii="Book Antiqua" w:hAnsi="Book Antiqua" w:cs="宋体"/>
          <w:sz w:val="24"/>
          <w:szCs w:val="24"/>
        </w:rPr>
        <w:t xml:space="preserve">G. </w:t>
      </w:r>
      <w:r w:rsidRPr="003A2CF7">
        <w:rPr>
          <w:rFonts w:ascii="Book Antiqua" w:hAnsi="Book Antiqua" w:cs="宋体"/>
          <w:sz w:val="24"/>
          <w:szCs w:val="24"/>
        </w:rPr>
        <w:t>The Arthritis of Ulcerative Colitis</w:t>
      </w:r>
      <w:r w:rsidRPr="00DD5BE0">
        <w:rPr>
          <w:rFonts w:ascii="Book Antiqua" w:hAnsi="Book Antiqua" w:cs="宋体"/>
          <w:sz w:val="24"/>
          <w:szCs w:val="24"/>
        </w:rPr>
        <w:t xml:space="preserve">. </w:t>
      </w:r>
      <w:r w:rsidRPr="00DD5BE0">
        <w:rPr>
          <w:rFonts w:ascii="Book Antiqua" w:hAnsi="Book Antiqua" w:cs="宋体"/>
          <w:i/>
          <w:iCs/>
          <w:sz w:val="24"/>
          <w:szCs w:val="24"/>
        </w:rPr>
        <w:t>Br Med J</w:t>
      </w:r>
      <w:r w:rsidRPr="00DD5BE0">
        <w:rPr>
          <w:rFonts w:ascii="Book Antiqua" w:hAnsi="Book Antiqua" w:cs="宋体"/>
          <w:sz w:val="24"/>
          <w:szCs w:val="24"/>
        </w:rPr>
        <w:t xml:space="preserve"> 1965; </w:t>
      </w:r>
      <w:r w:rsidRPr="00DD5BE0">
        <w:rPr>
          <w:rFonts w:ascii="Book Antiqua" w:hAnsi="Book Antiqua" w:cs="宋体"/>
          <w:b/>
          <w:bCs/>
          <w:sz w:val="24"/>
          <w:szCs w:val="24"/>
        </w:rPr>
        <w:t>2</w:t>
      </w:r>
      <w:r w:rsidRPr="00DD5BE0">
        <w:rPr>
          <w:rFonts w:ascii="Book Antiqua" w:hAnsi="Book Antiqua" w:cs="宋体"/>
          <w:sz w:val="24"/>
          <w:szCs w:val="24"/>
        </w:rPr>
        <w:t>: 670-675 [PMID: 14337733 DOI: 10.1136/bmj.2.5463.670]</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49 </w:t>
      </w:r>
      <w:r w:rsidRPr="00DD5BE0">
        <w:rPr>
          <w:rFonts w:ascii="Book Antiqua" w:hAnsi="Book Antiqua" w:cs="宋体"/>
          <w:b/>
          <w:bCs/>
          <w:sz w:val="24"/>
          <w:szCs w:val="24"/>
        </w:rPr>
        <w:t>Zheng JJ</w:t>
      </w:r>
      <w:r w:rsidRPr="00DD5BE0">
        <w:rPr>
          <w:rFonts w:ascii="Book Antiqua" w:hAnsi="Book Antiqua" w:cs="宋体"/>
          <w:sz w:val="24"/>
          <w:szCs w:val="24"/>
        </w:rPr>
        <w:t xml:space="preserve">, Cu XQ, Shi XH, Wang YM, Jia LM, Zhou XL, Wang FM. Colonoscopic and histologic features of colonic Crohn's disease in Chinese </w:t>
      </w:r>
      <w:r w:rsidRPr="00DD5BE0">
        <w:rPr>
          <w:rFonts w:ascii="Book Antiqua" w:hAnsi="Book Antiqua" w:cs="宋体"/>
          <w:sz w:val="24"/>
          <w:szCs w:val="24"/>
        </w:rPr>
        <w:lastRenderedPageBreak/>
        <w:t xml:space="preserve">patients. </w:t>
      </w:r>
      <w:r w:rsidRPr="00DD5BE0">
        <w:rPr>
          <w:rFonts w:ascii="Book Antiqua" w:hAnsi="Book Antiqua" w:cs="宋体"/>
          <w:i/>
          <w:iCs/>
          <w:sz w:val="24"/>
          <w:szCs w:val="24"/>
        </w:rPr>
        <w:t>J Dig Dis</w:t>
      </w:r>
      <w:r w:rsidRPr="00DD5BE0">
        <w:rPr>
          <w:rFonts w:ascii="Book Antiqua" w:hAnsi="Book Antiqua" w:cs="宋体"/>
          <w:sz w:val="24"/>
          <w:szCs w:val="24"/>
        </w:rPr>
        <w:t xml:space="preserve"> 2007; </w:t>
      </w:r>
      <w:r w:rsidRPr="00DD5BE0">
        <w:rPr>
          <w:rFonts w:ascii="Book Antiqua" w:hAnsi="Book Antiqua" w:cs="宋体"/>
          <w:b/>
          <w:bCs/>
          <w:sz w:val="24"/>
          <w:szCs w:val="24"/>
        </w:rPr>
        <w:t>8</w:t>
      </w:r>
      <w:r w:rsidRPr="00DD5BE0">
        <w:rPr>
          <w:rFonts w:ascii="Book Antiqua" w:hAnsi="Book Antiqua" w:cs="宋体"/>
          <w:sz w:val="24"/>
          <w:szCs w:val="24"/>
        </w:rPr>
        <w:t>: 35-41 [PMID: 17261133 DOI: 10.1111/j.1443-9573.2007.00281.x]</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50 </w:t>
      </w:r>
      <w:r w:rsidRPr="00DD5BE0">
        <w:rPr>
          <w:rFonts w:ascii="Book Antiqua" w:hAnsi="Book Antiqua" w:cs="宋体"/>
          <w:b/>
          <w:bCs/>
          <w:sz w:val="24"/>
          <w:szCs w:val="24"/>
        </w:rPr>
        <w:t>Modigliani R</w:t>
      </w:r>
      <w:r w:rsidRPr="00DD5BE0">
        <w:rPr>
          <w:rFonts w:ascii="Book Antiqua" w:hAnsi="Book Antiqua" w:cs="宋体"/>
          <w:sz w:val="24"/>
          <w:szCs w:val="24"/>
        </w:rPr>
        <w:t xml:space="preserve">, Mary JY, Simon JF, Cortot A, Soule JC, Gendre JP, Rene E. Clinical, biological, and endoscopic picture of attacks of Crohn's disease. Evolution on prednisolone. Groupe d'Etude Thérapeutique des Affections Inflammatoires Digestives. </w:t>
      </w:r>
      <w:r w:rsidRPr="00DD5BE0">
        <w:rPr>
          <w:rFonts w:ascii="Book Antiqua" w:hAnsi="Book Antiqua" w:cs="宋体"/>
          <w:i/>
          <w:iCs/>
          <w:sz w:val="24"/>
          <w:szCs w:val="24"/>
        </w:rPr>
        <w:t>Gastroenterology</w:t>
      </w:r>
      <w:r w:rsidRPr="00DD5BE0">
        <w:rPr>
          <w:rFonts w:ascii="Book Antiqua" w:hAnsi="Book Antiqua" w:cs="宋体"/>
          <w:sz w:val="24"/>
          <w:szCs w:val="24"/>
        </w:rPr>
        <w:t xml:space="preserve"> 1990; </w:t>
      </w:r>
      <w:r w:rsidRPr="00DD5BE0">
        <w:rPr>
          <w:rFonts w:ascii="Book Antiqua" w:hAnsi="Book Antiqua" w:cs="宋体"/>
          <w:b/>
          <w:bCs/>
          <w:sz w:val="24"/>
          <w:szCs w:val="24"/>
        </w:rPr>
        <w:t>98</w:t>
      </w:r>
      <w:r w:rsidRPr="00DD5BE0">
        <w:rPr>
          <w:rFonts w:ascii="Book Antiqua" w:hAnsi="Book Antiqua" w:cs="宋体"/>
          <w:sz w:val="24"/>
          <w:szCs w:val="24"/>
        </w:rPr>
        <w:t>: 811-818 [PMID: 2179031 DOI: 10.1016/0016-5085(90)90002-I]</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51 </w:t>
      </w:r>
      <w:r w:rsidRPr="00DD5BE0">
        <w:rPr>
          <w:rFonts w:ascii="Book Antiqua" w:hAnsi="Book Antiqua" w:cs="宋体"/>
          <w:b/>
          <w:bCs/>
          <w:sz w:val="24"/>
          <w:szCs w:val="24"/>
        </w:rPr>
        <w:t>Ooi BS</w:t>
      </w:r>
      <w:r w:rsidRPr="00DD5BE0">
        <w:rPr>
          <w:rFonts w:ascii="Book Antiqua" w:hAnsi="Book Antiqua" w:cs="宋体"/>
          <w:sz w:val="24"/>
          <w:szCs w:val="24"/>
        </w:rPr>
        <w:t xml:space="preserve">, Tjandra JJ, Pedersen JS, Bhathal PS. Giant pseudopolyposis in inflammatory bowel disease. </w:t>
      </w:r>
      <w:r w:rsidRPr="00DD5BE0">
        <w:rPr>
          <w:rFonts w:ascii="Book Antiqua" w:hAnsi="Book Antiqua" w:cs="宋体"/>
          <w:i/>
          <w:iCs/>
          <w:sz w:val="24"/>
          <w:szCs w:val="24"/>
        </w:rPr>
        <w:t>Aust N Z J Surg</w:t>
      </w:r>
      <w:r w:rsidRPr="00DD5BE0">
        <w:rPr>
          <w:rFonts w:ascii="Book Antiqua" w:hAnsi="Book Antiqua" w:cs="宋体"/>
          <w:sz w:val="24"/>
          <w:szCs w:val="24"/>
        </w:rPr>
        <w:t xml:space="preserve"> 2000; </w:t>
      </w:r>
      <w:r w:rsidRPr="00DD5BE0">
        <w:rPr>
          <w:rFonts w:ascii="Book Antiqua" w:hAnsi="Book Antiqua" w:cs="宋体"/>
          <w:b/>
          <w:bCs/>
          <w:sz w:val="24"/>
          <w:szCs w:val="24"/>
        </w:rPr>
        <w:t>70</w:t>
      </w:r>
      <w:r w:rsidRPr="00DD5BE0">
        <w:rPr>
          <w:rFonts w:ascii="Book Antiqua" w:hAnsi="Book Antiqua" w:cs="宋体"/>
          <w:sz w:val="24"/>
          <w:szCs w:val="24"/>
        </w:rPr>
        <w:t>: 389-393 [PMID: 10830609 DOI: 10.1046/j.1440-1622.2000.01826.x]</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52 </w:t>
      </w:r>
      <w:r w:rsidRPr="00DD5BE0">
        <w:rPr>
          <w:rFonts w:ascii="Book Antiqua" w:hAnsi="Book Antiqua" w:cs="宋体"/>
          <w:b/>
          <w:bCs/>
          <w:sz w:val="24"/>
          <w:szCs w:val="24"/>
        </w:rPr>
        <w:t>Babic Z</w:t>
      </w:r>
      <w:r w:rsidRPr="00DD5BE0">
        <w:rPr>
          <w:rFonts w:ascii="Book Antiqua" w:hAnsi="Book Antiqua" w:cs="宋体"/>
          <w:sz w:val="24"/>
          <w:szCs w:val="24"/>
        </w:rPr>
        <w:t>, Jagi</w:t>
      </w:r>
      <w:r w:rsidRPr="00DD5BE0">
        <w:rPr>
          <w:rFonts w:ascii="Book Antiqua" w:eastAsia="MS Mincho" w:hAnsi="Book Antiqua" w:cs="MS Mincho"/>
          <w:sz w:val="24"/>
          <w:szCs w:val="24"/>
        </w:rPr>
        <w:t>ć</w:t>
      </w:r>
      <w:r w:rsidRPr="00DD5BE0">
        <w:rPr>
          <w:rFonts w:ascii="Book Antiqua" w:hAnsi="Book Antiqua" w:cs="宋体"/>
          <w:sz w:val="24"/>
          <w:szCs w:val="24"/>
        </w:rPr>
        <w:t xml:space="preserve"> V, Petrovi</w:t>
      </w:r>
      <w:r w:rsidRPr="00DD5BE0">
        <w:rPr>
          <w:rFonts w:ascii="Book Antiqua" w:eastAsia="MS Mincho" w:hAnsi="Book Antiqua" w:cs="MS Mincho"/>
          <w:sz w:val="24"/>
          <w:szCs w:val="24"/>
        </w:rPr>
        <w:t>ć</w:t>
      </w:r>
      <w:r w:rsidRPr="00DD5BE0">
        <w:rPr>
          <w:rFonts w:ascii="Book Antiqua" w:hAnsi="Book Antiqua" w:cs="宋体"/>
          <w:sz w:val="24"/>
          <w:szCs w:val="24"/>
        </w:rPr>
        <w:t xml:space="preserve"> Z, Bili</w:t>
      </w:r>
      <w:r w:rsidRPr="00DD5BE0">
        <w:rPr>
          <w:rFonts w:ascii="Book Antiqua" w:eastAsia="MS Mincho" w:hAnsi="Book Antiqua" w:cs="MS Mincho"/>
          <w:sz w:val="24"/>
          <w:szCs w:val="24"/>
        </w:rPr>
        <w:t>ć</w:t>
      </w:r>
      <w:r w:rsidRPr="00DD5BE0">
        <w:rPr>
          <w:rFonts w:ascii="Book Antiqua" w:hAnsi="Book Antiqua" w:cs="宋体"/>
          <w:sz w:val="24"/>
          <w:szCs w:val="24"/>
        </w:rPr>
        <w:t xml:space="preserve"> A, Dinko K, Kubat G, Troskot R, Vukeli</w:t>
      </w:r>
      <w:r w:rsidRPr="00DD5BE0">
        <w:rPr>
          <w:rFonts w:ascii="Book Antiqua" w:eastAsia="MS Mincho" w:hAnsi="Book Antiqua" w:cs="MS Mincho"/>
          <w:sz w:val="24"/>
          <w:szCs w:val="24"/>
        </w:rPr>
        <w:t>ć</w:t>
      </w:r>
      <w:r w:rsidRPr="00DD5BE0">
        <w:rPr>
          <w:rFonts w:ascii="Book Antiqua" w:hAnsi="Book Antiqua" w:cs="宋体"/>
          <w:sz w:val="24"/>
          <w:szCs w:val="24"/>
        </w:rPr>
        <w:t xml:space="preserve"> M. Elevated serum values of procollagen III peptide (PIIIP) in patients with ulcerative colitis who will develop pseudopolyps. </w:t>
      </w:r>
      <w:r w:rsidRPr="00DD5BE0">
        <w:rPr>
          <w:rFonts w:ascii="Book Antiqua" w:hAnsi="Book Antiqua" w:cs="宋体"/>
          <w:i/>
          <w:iCs/>
          <w:sz w:val="24"/>
          <w:szCs w:val="24"/>
        </w:rPr>
        <w:t>World J Gastroenterol</w:t>
      </w:r>
      <w:r w:rsidRPr="00DD5BE0">
        <w:rPr>
          <w:rFonts w:ascii="Book Antiqua" w:hAnsi="Book Antiqua" w:cs="宋体"/>
          <w:sz w:val="24"/>
          <w:szCs w:val="24"/>
        </w:rPr>
        <w:t xml:space="preserve"> 2003; </w:t>
      </w:r>
      <w:r w:rsidRPr="00DD5BE0">
        <w:rPr>
          <w:rFonts w:ascii="Book Antiqua" w:hAnsi="Book Antiqua" w:cs="宋体"/>
          <w:b/>
          <w:bCs/>
          <w:sz w:val="24"/>
          <w:szCs w:val="24"/>
        </w:rPr>
        <w:t>9</w:t>
      </w:r>
      <w:r w:rsidRPr="00DD5BE0">
        <w:rPr>
          <w:rFonts w:ascii="Book Antiqua" w:hAnsi="Book Antiqua" w:cs="宋体"/>
          <w:sz w:val="24"/>
          <w:szCs w:val="24"/>
        </w:rPr>
        <w:t>: 619-621 [PMID: 12632532 DOI: 10.3748/wjg.v9.i3.619]</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53 </w:t>
      </w:r>
      <w:r w:rsidRPr="00DD5BE0">
        <w:rPr>
          <w:rFonts w:ascii="Book Antiqua" w:hAnsi="Book Antiqua" w:cs="宋体"/>
          <w:b/>
          <w:bCs/>
          <w:sz w:val="24"/>
          <w:szCs w:val="24"/>
        </w:rPr>
        <w:t>Keating JW</w:t>
      </w:r>
      <w:r w:rsidRPr="00DD5BE0">
        <w:rPr>
          <w:rFonts w:ascii="Book Antiqua" w:hAnsi="Book Antiqua" w:cs="宋体"/>
          <w:sz w:val="24"/>
          <w:szCs w:val="24"/>
        </w:rPr>
        <w:t xml:space="preserve">, Mindell HJ. Localized giant pseudopolyposis in ulcerative colitis. </w:t>
      </w:r>
      <w:r w:rsidRPr="00DD5BE0">
        <w:rPr>
          <w:rFonts w:ascii="Book Antiqua" w:hAnsi="Book Antiqua" w:cs="宋体"/>
          <w:i/>
          <w:iCs/>
          <w:sz w:val="24"/>
          <w:szCs w:val="24"/>
        </w:rPr>
        <w:t>AJR Am J Roentgenol</w:t>
      </w:r>
      <w:r w:rsidRPr="00DD5BE0">
        <w:rPr>
          <w:rFonts w:ascii="Book Antiqua" w:hAnsi="Book Antiqua" w:cs="宋体"/>
          <w:sz w:val="24"/>
          <w:szCs w:val="24"/>
        </w:rPr>
        <w:t xml:space="preserve"> 1976; </w:t>
      </w:r>
      <w:r w:rsidRPr="00DD5BE0">
        <w:rPr>
          <w:rFonts w:ascii="Book Antiqua" w:hAnsi="Book Antiqua" w:cs="宋体"/>
          <w:b/>
          <w:bCs/>
          <w:sz w:val="24"/>
          <w:szCs w:val="24"/>
        </w:rPr>
        <w:t>126</w:t>
      </w:r>
      <w:r w:rsidRPr="00DD5BE0">
        <w:rPr>
          <w:rFonts w:ascii="Book Antiqua" w:hAnsi="Book Antiqua" w:cs="宋体"/>
          <w:sz w:val="24"/>
          <w:szCs w:val="24"/>
        </w:rPr>
        <w:t>: 1178-1180 [PMID: 179377 DOI: 10.2214/ajr.126.6.1178]</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54 </w:t>
      </w:r>
      <w:r w:rsidRPr="00DD5BE0">
        <w:rPr>
          <w:rFonts w:ascii="Book Antiqua" w:hAnsi="Book Antiqua" w:cs="宋体"/>
          <w:b/>
          <w:bCs/>
          <w:sz w:val="24"/>
          <w:szCs w:val="24"/>
        </w:rPr>
        <w:t>Cairns SR</w:t>
      </w:r>
      <w:r w:rsidRPr="00DD5BE0">
        <w:rPr>
          <w:rFonts w:ascii="Book Antiqua" w:hAnsi="Book Antiqua" w:cs="宋体"/>
          <w:sz w:val="24"/>
          <w:szCs w:val="24"/>
        </w:rPr>
        <w:t>, Scholefield JH, Steele RJ, Dunlop MG, Thomas HJ, Evans GD, Eaden JA, Rutter MD, Atkin WP, Saunders BP, Lucassen A, Jenkins P, Fairclough PD, Woodhouse CR</w:t>
      </w:r>
      <w:r w:rsidRPr="003A2CF7">
        <w:rPr>
          <w:rFonts w:ascii="Book Antiqua" w:hAnsi="Book Antiqua" w:cs="宋体"/>
          <w:sz w:val="24"/>
          <w:szCs w:val="24"/>
        </w:rPr>
        <w:t>; British Society of Gastroenterology; Association of Coloproctology for Great Britain and Ireland.</w:t>
      </w:r>
      <w:r w:rsidRPr="00DD5BE0">
        <w:rPr>
          <w:rFonts w:ascii="Book Antiqua" w:hAnsi="Book Antiqua" w:cs="宋体"/>
          <w:sz w:val="24"/>
          <w:szCs w:val="24"/>
        </w:rPr>
        <w:t xml:space="preserve"> Guidelines for colorectal cancer </w:t>
      </w:r>
      <w:r w:rsidRPr="00DD5BE0">
        <w:rPr>
          <w:rFonts w:ascii="Book Antiqua" w:hAnsi="Book Antiqua" w:cs="宋体"/>
          <w:sz w:val="24"/>
          <w:szCs w:val="24"/>
        </w:rPr>
        <w:lastRenderedPageBreak/>
        <w:t xml:space="preserve">screening and surveillance in moderate and high risk groups (update from 2002). </w:t>
      </w:r>
      <w:r w:rsidRPr="00DD5BE0">
        <w:rPr>
          <w:rFonts w:ascii="Book Antiqua" w:hAnsi="Book Antiqua" w:cs="宋体"/>
          <w:i/>
          <w:iCs/>
          <w:sz w:val="24"/>
          <w:szCs w:val="24"/>
        </w:rPr>
        <w:t>Gut</w:t>
      </w:r>
      <w:r w:rsidRPr="00DD5BE0">
        <w:rPr>
          <w:rFonts w:ascii="Book Antiqua" w:hAnsi="Book Antiqua" w:cs="宋体"/>
          <w:sz w:val="24"/>
          <w:szCs w:val="24"/>
        </w:rPr>
        <w:t xml:space="preserve"> 2010; </w:t>
      </w:r>
      <w:r w:rsidRPr="00DD5BE0">
        <w:rPr>
          <w:rFonts w:ascii="Book Antiqua" w:hAnsi="Book Antiqua" w:cs="宋体"/>
          <w:b/>
          <w:bCs/>
          <w:sz w:val="24"/>
          <w:szCs w:val="24"/>
        </w:rPr>
        <w:t>59</w:t>
      </w:r>
      <w:r w:rsidRPr="00DD5BE0">
        <w:rPr>
          <w:rFonts w:ascii="Book Antiqua" w:hAnsi="Book Antiqua" w:cs="宋体"/>
          <w:sz w:val="24"/>
          <w:szCs w:val="24"/>
        </w:rPr>
        <w:t>: 666-689 [PMID: 20427401 DOI: 10.1136/gut.2009.179804]</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55 </w:t>
      </w:r>
      <w:r w:rsidRPr="00DD5BE0">
        <w:rPr>
          <w:rFonts w:ascii="Book Antiqua" w:hAnsi="Book Antiqua" w:cs="宋体"/>
          <w:b/>
          <w:bCs/>
          <w:sz w:val="24"/>
          <w:szCs w:val="24"/>
        </w:rPr>
        <w:t>Annese V</w:t>
      </w:r>
      <w:r w:rsidRPr="00DD5BE0">
        <w:rPr>
          <w:rFonts w:ascii="Book Antiqua" w:hAnsi="Book Antiqua" w:cs="宋体"/>
          <w:sz w:val="24"/>
          <w:szCs w:val="24"/>
        </w:rPr>
        <w:t>, Daperno M, Rutter MD, Amiot A, Bossuyt P, East J, Ferrante M, Götz M, Katsanos KH, Kießlich R, Ordás I, Repici A, Rosa B, Sebastian S, Kucharzik T, Eliakim R</w:t>
      </w:r>
      <w:r w:rsidRPr="003A2CF7">
        <w:rPr>
          <w:rFonts w:ascii="Book Antiqua" w:hAnsi="Book Antiqua" w:cs="宋体"/>
          <w:sz w:val="24"/>
          <w:szCs w:val="24"/>
        </w:rPr>
        <w:t xml:space="preserve">; European Crohn's and Colitis Organisation. </w:t>
      </w:r>
      <w:r w:rsidRPr="00DD5BE0">
        <w:rPr>
          <w:rFonts w:ascii="Book Antiqua" w:hAnsi="Book Antiqua" w:cs="宋体"/>
          <w:sz w:val="24"/>
          <w:szCs w:val="24"/>
        </w:rPr>
        <w:t xml:space="preserve">European evidence based consensus for endoscopy in inflammatory bowel disease. </w:t>
      </w:r>
      <w:r w:rsidRPr="00DD5BE0">
        <w:rPr>
          <w:rFonts w:ascii="Book Antiqua" w:hAnsi="Book Antiqua" w:cs="宋体"/>
          <w:i/>
          <w:iCs/>
          <w:sz w:val="24"/>
          <w:szCs w:val="24"/>
        </w:rPr>
        <w:t>J Crohns Colitis</w:t>
      </w:r>
      <w:r w:rsidRPr="00DD5BE0">
        <w:rPr>
          <w:rFonts w:ascii="Book Antiqua" w:hAnsi="Book Antiqua" w:cs="宋体"/>
          <w:sz w:val="24"/>
          <w:szCs w:val="24"/>
        </w:rPr>
        <w:t xml:space="preserve"> 2013; </w:t>
      </w:r>
      <w:r w:rsidRPr="00DD5BE0">
        <w:rPr>
          <w:rFonts w:ascii="Book Antiqua" w:hAnsi="Book Antiqua" w:cs="宋体"/>
          <w:b/>
          <w:bCs/>
          <w:sz w:val="24"/>
          <w:szCs w:val="24"/>
        </w:rPr>
        <w:t>7</w:t>
      </w:r>
      <w:r w:rsidRPr="00DD5BE0">
        <w:rPr>
          <w:rFonts w:ascii="Book Antiqua" w:hAnsi="Book Antiqua" w:cs="宋体"/>
          <w:sz w:val="24"/>
          <w:szCs w:val="24"/>
        </w:rPr>
        <w:t>: 982-1018 [PMID: 24184171 DOI: 10.1016/j.crohns.2013.09.016]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56</w:t>
      </w:r>
      <w:r w:rsidRPr="00DD5BE0">
        <w:rPr>
          <w:rFonts w:ascii="Book Antiqua" w:hAnsi="Book Antiqua" w:cs="宋体"/>
          <w:b/>
          <w:sz w:val="24"/>
          <w:szCs w:val="24"/>
        </w:rPr>
        <w:t xml:space="preserve"> </w:t>
      </w:r>
      <w:r w:rsidRPr="003A2CF7">
        <w:rPr>
          <w:rFonts w:ascii="Book Antiqua" w:hAnsi="Book Antiqua" w:cs="宋体"/>
          <w:b/>
          <w:sz w:val="24"/>
          <w:szCs w:val="24"/>
        </w:rPr>
        <w:t>American Society for Gastrointestinal Endoscopy Standards of Practice Committee</w:t>
      </w:r>
      <w:r w:rsidRPr="003A2CF7">
        <w:rPr>
          <w:rFonts w:ascii="Book Antiqua" w:hAnsi="Book Antiqua" w:cs="宋体"/>
          <w:sz w:val="24"/>
          <w:szCs w:val="24"/>
        </w:rPr>
        <w:t xml:space="preserve">; </w:t>
      </w:r>
      <w:r w:rsidRPr="00DD5BE0">
        <w:rPr>
          <w:rFonts w:ascii="Book Antiqua" w:hAnsi="Book Antiqua" w:cs="宋体"/>
          <w:bCs/>
          <w:sz w:val="24"/>
          <w:szCs w:val="24"/>
        </w:rPr>
        <w:t>Shergill AK</w:t>
      </w:r>
      <w:r w:rsidRPr="00DD5BE0">
        <w:rPr>
          <w:rFonts w:ascii="Book Antiqua" w:hAnsi="Book Antiqua" w:cs="宋体"/>
          <w:sz w:val="24"/>
          <w:szCs w:val="24"/>
        </w:rPr>
        <w:t xml:space="preserve">, Lightdale JR, Bruining DH, Acosta RD, Chandrasekhara V, Chathadi KV, Decker GA, Early DS, Evans JA, Fanelli RD, Fisher DA, Fonkalsrud L, Foley K, Hwang JH, Jue TL, Khashab MA, Muthusamy VR, Pasha SF, Saltzman JR, Sharaf R, Cash BD, DeWitt JM. The role of endoscopy in inflammatory bowel disease. </w:t>
      </w:r>
      <w:r w:rsidRPr="00DD5BE0">
        <w:rPr>
          <w:rFonts w:ascii="Book Antiqua" w:hAnsi="Book Antiqua" w:cs="宋体"/>
          <w:i/>
          <w:iCs/>
          <w:sz w:val="24"/>
          <w:szCs w:val="24"/>
        </w:rPr>
        <w:t>Gastrointest Endosc</w:t>
      </w:r>
      <w:r w:rsidRPr="00DD5BE0">
        <w:rPr>
          <w:rFonts w:ascii="Book Antiqua" w:hAnsi="Book Antiqua" w:cs="宋体"/>
          <w:sz w:val="24"/>
          <w:szCs w:val="24"/>
        </w:rPr>
        <w:t xml:space="preserve"> 2015; </w:t>
      </w:r>
      <w:r w:rsidRPr="00DD5BE0">
        <w:rPr>
          <w:rFonts w:ascii="Book Antiqua" w:hAnsi="Book Antiqua" w:cs="宋体"/>
          <w:b/>
          <w:bCs/>
          <w:sz w:val="24"/>
          <w:szCs w:val="24"/>
        </w:rPr>
        <w:t>81</w:t>
      </w:r>
      <w:r w:rsidRPr="00DD5BE0">
        <w:rPr>
          <w:rFonts w:ascii="Book Antiqua" w:hAnsi="Book Antiqua" w:cs="宋体"/>
          <w:sz w:val="24"/>
          <w:szCs w:val="24"/>
        </w:rPr>
        <w:t>: 1101-21.e1-13 [PMID: 25800660 DOI: 10.1016/j.gie.2014.10.030]</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57 </w:t>
      </w:r>
      <w:r w:rsidRPr="00DD5BE0">
        <w:rPr>
          <w:rFonts w:ascii="Book Antiqua" w:hAnsi="Book Antiqua" w:cs="宋体"/>
          <w:b/>
          <w:bCs/>
          <w:sz w:val="24"/>
          <w:szCs w:val="24"/>
        </w:rPr>
        <w:t>Baars JE</w:t>
      </w:r>
      <w:r w:rsidRPr="00DD5BE0">
        <w:rPr>
          <w:rFonts w:ascii="Book Antiqua" w:hAnsi="Book Antiqua" w:cs="宋体"/>
          <w:sz w:val="24"/>
          <w:szCs w:val="24"/>
        </w:rPr>
        <w:t xml:space="preserve">, Looman CW, Steyerberg EW, Beukers R, Tan AC, Weusten BL, Kuipers EJ, van der Woude CJ. The risk of inflammatory bowel disease-related colorectal carcinoma is limited: results from a nationwide nested case-control study. </w:t>
      </w:r>
      <w:r w:rsidRPr="00DD5BE0">
        <w:rPr>
          <w:rFonts w:ascii="Book Antiqua" w:hAnsi="Book Antiqua" w:cs="宋体"/>
          <w:i/>
          <w:iCs/>
          <w:sz w:val="24"/>
          <w:szCs w:val="24"/>
        </w:rPr>
        <w:t>Am J Gastroenterol</w:t>
      </w:r>
      <w:r w:rsidRPr="00DD5BE0">
        <w:rPr>
          <w:rFonts w:ascii="Book Antiqua" w:hAnsi="Book Antiqua" w:cs="宋体"/>
          <w:sz w:val="24"/>
          <w:szCs w:val="24"/>
        </w:rPr>
        <w:t xml:space="preserve"> 2011; </w:t>
      </w:r>
      <w:r w:rsidRPr="00DD5BE0">
        <w:rPr>
          <w:rFonts w:ascii="Book Antiqua" w:hAnsi="Book Antiqua" w:cs="宋体"/>
          <w:b/>
          <w:bCs/>
          <w:sz w:val="24"/>
          <w:szCs w:val="24"/>
        </w:rPr>
        <w:t>106</w:t>
      </w:r>
      <w:r w:rsidRPr="00DD5BE0">
        <w:rPr>
          <w:rFonts w:ascii="Book Antiqua" w:hAnsi="Book Antiqua" w:cs="宋体"/>
          <w:sz w:val="24"/>
          <w:szCs w:val="24"/>
        </w:rPr>
        <w:t>: 319-328 [PMID: 21045815 DOI: 10.1038/ajg.2010.428]</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58 </w:t>
      </w:r>
      <w:r w:rsidRPr="00DD5BE0">
        <w:rPr>
          <w:rFonts w:ascii="Book Antiqua" w:hAnsi="Book Antiqua" w:cs="宋体"/>
          <w:b/>
          <w:bCs/>
          <w:sz w:val="24"/>
          <w:szCs w:val="24"/>
        </w:rPr>
        <w:t>Kusunoki M</w:t>
      </w:r>
      <w:r w:rsidRPr="00DD5BE0">
        <w:rPr>
          <w:rFonts w:ascii="Book Antiqua" w:hAnsi="Book Antiqua" w:cs="宋体"/>
          <w:sz w:val="24"/>
          <w:szCs w:val="24"/>
        </w:rPr>
        <w:t xml:space="preserve">, Nishigami T, Yanagi H, Okamoto T, Shoji Y, Sakanoue Y, Yamamura T, Utsunomiya J. Occult cancer in localized giant pseudopolyposis. </w:t>
      </w:r>
      <w:r w:rsidRPr="00DD5BE0">
        <w:rPr>
          <w:rFonts w:ascii="Book Antiqua" w:hAnsi="Book Antiqua" w:cs="宋体"/>
          <w:i/>
          <w:iCs/>
          <w:sz w:val="24"/>
          <w:szCs w:val="24"/>
        </w:rPr>
        <w:t>Am J Gastroenterol</w:t>
      </w:r>
      <w:r w:rsidRPr="00DD5BE0">
        <w:rPr>
          <w:rFonts w:ascii="Book Antiqua" w:hAnsi="Book Antiqua" w:cs="宋体"/>
          <w:sz w:val="24"/>
          <w:szCs w:val="24"/>
        </w:rPr>
        <w:t xml:space="preserve"> 1992; </w:t>
      </w:r>
      <w:r w:rsidRPr="00DD5BE0">
        <w:rPr>
          <w:rFonts w:ascii="Book Antiqua" w:hAnsi="Book Antiqua" w:cs="宋体"/>
          <w:b/>
          <w:bCs/>
          <w:sz w:val="24"/>
          <w:szCs w:val="24"/>
        </w:rPr>
        <w:t>87</w:t>
      </w:r>
      <w:r w:rsidRPr="00DD5BE0">
        <w:rPr>
          <w:rFonts w:ascii="Book Antiqua" w:hAnsi="Book Antiqua" w:cs="宋体"/>
          <w:sz w:val="24"/>
          <w:szCs w:val="24"/>
        </w:rPr>
        <w:t>: 379-381 [PMID: 1539578]</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lastRenderedPageBreak/>
        <w:t xml:space="preserve">59 </w:t>
      </w:r>
      <w:r w:rsidRPr="00DD5BE0">
        <w:rPr>
          <w:rFonts w:ascii="Book Antiqua" w:hAnsi="Book Antiqua" w:cs="宋体"/>
          <w:b/>
          <w:bCs/>
          <w:sz w:val="24"/>
          <w:szCs w:val="24"/>
        </w:rPr>
        <w:t>Klarskov L</w:t>
      </w:r>
      <w:r w:rsidRPr="00DD5BE0">
        <w:rPr>
          <w:rFonts w:ascii="Book Antiqua" w:hAnsi="Book Antiqua" w:cs="宋体"/>
          <w:sz w:val="24"/>
          <w:szCs w:val="24"/>
        </w:rPr>
        <w:t xml:space="preserve">, Mogensen AM, Jespersen N, Ingeholm P, Holck S. Filiform serrated adenomatous polyposis arising in a diverted rectum of an inflammatory bowel disease patient. </w:t>
      </w:r>
      <w:r w:rsidRPr="00DD5BE0">
        <w:rPr>
          <w:rFonts w:ascii="Book Antiqua" w:hAnsi="Book Antiqua" w:cs="宋体"/>
          <w:i/>
          <w:iCs/>
          <w:sz w:val="24"/>
          <w:szCs w:val="24"/>
        </w:rPr>
        <w:t>APMIS</w:t>
      </w:r>
      <w:r w:rsidRPr="00DD5BE0">
        <w:rPr>
          <w:rFonts w:ascii="Book Antiqua" w:hAnsi="Book Antiqua" w:cs="宋体"/>
          <w:sz w:val="24"/>
          <w:szCs w:val="24"/>
        </w:rPr>
        <w:t xml:space="preserve"> 2011; </w:t>
      </w:r>
      <w:r w:rsidRPr="00DD5BE0">
        <w:rPr>
          <w:rFonts w:ascii="Book Antiqua" w:hAnsi="Book Antiqua" w:cs="宋体"/>
          <w:b/>
          <w:bCs/>
          <w:sz w:val="24"/>
          <w:szCs w:val="24"/>
        </w:rPr>
        <w:t>119</w:t>
      </w:r>
      <w:r w:rsidRPr="00DD5BE0">
        <w:rPr>
          <w:rFonts w:ascii="Book Antiqua" w:hAnsi="Book Antiqua" w:cs="宋体"/>
          <w:sz w:val="24"/>
          <w:szCs w:val="24"/>
        </w:rPr>
        <w:t>: 393-398 [PMID: 21569098 DOI: 10.1111/j.1600-0463.2011.02717.x]</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60 </w:t>
      </w:r>
      <w:r w:rsidRPr="00DD5BE0">
        <w:rPr>
          <w:rFonts w:ascii="Book Antiqua" w:hAnsi="Book Antiqua" w:cs="宋体"/>
          <w:b/>
          <w:sz w:val="24"/>
          <w:szCs w:val="24"/>
        </w:rPr>
        <w:t>Jawad N</w:t>
      </w:r>
      <w:r w:rsidRPr="00DD5BE0">
        <w:rPr>
          <w:rFonts w:ascii="Book Antiqua" w:hAnsi="Book Antiqua" w:cs="宋体"/>
          <w:sz w:val="24"/>
          <w:szCs w:val="24"/>
        </w:rPr>
        <w:t xml:space="preserve">, Graham T, Novelli M,Rodriguez-Justo M,Feakins R,Silver A,Wright N,McDonald S. PTU-124 Are pseudopolyps the source of tumorigenic mutations in ulcerative colitis? </w:t>
      </w:r>
      <w:r w:rsidRPr="00DD5BE0">
        <w:rPr>
          <w:rFonts w:ascii="Book Antiqua" w:hAnsi="Book Antiqua" w:cs="宋体"/>
          <w:i/>
          <w:sz w:val="24"/>
          <w:szCs w:val="24"/>
        </w:rPr>
        <w:t>Gut</w:t>
      </w:r>
      <w:r w:rsidRPr="003A2CF7">
        <w:rPr>
          <w:rFonts w:ascii="Book Antiqua" w:hAnsi="Book Antiqua" w:cs="宋体"/>
          <w:sz w:val="24"/>
          <w:szCs w:val="24"/>
        </w:rPr>
        <w:t xml:space="preserve"> </w:t>
      </w:r>
      <w:r w:rsidRPr="00DD5BE0">
        <w:rPr>
          <w:rFonts w:ascii="Book Antiqua" w:hAnsi="Book Antiqua" w:cs="宋体"/>
          <w:sz w:val="24"/>
          <w:szCs w:val="24"/>
        </w:rPr>
        <w:t xml:space="preserve">2012; </w:t>
      </w:r>
      <w:r w:rsidRPr="00DD5BE0">
        <w:rPr>
          <w:rFonts w:ascii="Book Antiqua" w:hAnsi="Book Antiqua" w:cs="宋体"/>
          <w:b/>
          <w:sz w:val="24"/>
          <w:szCs w:val="24"/>
        </w:rPr>
        <w:t>61</w:t>
      </w:r>
      <w:r w:rsidRPr="003A2CF7">
        <w:rPr>
          <w:rFonts w:ascii="Book Antiqua" w:hAnsi="Book Antiqua" w:cs="宋体"/>
          <w:sz w:val="24"/>
          <w:szCs w:val="24"/>
        </w:rPr>
        <w:t>(Suppl 2): A236</w:t>
      </w:r>
      <w:r w:rsidRPr="00DD5BE0">
        <w:rPr>
          <w:rFonts w:ascii="Book Antiqua" w:hAnsi="Book Antiqua" w:cs="宋体"/>
          <w:sz w:val="24"/>
          <w:szCs w:val="24"/>
        </w:rPr>
        <w:t xml:space="preserve"> [</w:t>
      </w:r>
      <w:r w:rsidRPr="00DD5BE0">
        <w:rPr>
          <w:rFonts w:ascii="Book Antiqua" w:hAnsi="Book Antiqua" w:cs="宋体"/>
          <w:caps/>
          <w:sz w:val="24"/>
          <w:szCs w:val="24"/>
        </w:rPr>
        <w:t>doi</w:t>
      </w:r>
      <w:r w:rsidRPr="00DD5BE0">
        <w:rPr>
          <w:rFonts w:ascii="Book Antiqua" w:hAnsi="Book Antiqua" w:cs="宋体"/>
          <w:sz w:val="24"/>
          <w:szCs w:val="24"/>
        </w:rPr>
        <w:t>: 10.1136/gutjnl-2012-302514c.124]</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61 </w:t>
      </w:r>
      <w:r w:rsidRPr="00DD5BE0">
        <w:rPr>
          <w:rFonts w:ascii="Book Antiqua" w:hAnsi="Book Antiqua" w:cs="宋体"/>
          <w:b/>
          <w:bCs/>
          <w:sz w:val="24"/>
          <w:szCs w:val="24"/>
        </w:rPr>
        <w:t>Rubin PH</w:t>
      </w:r>
      <w:r w:rsidRPr="00DD5BE0">
        <w:rPr>
          <w:rFonts w:ascii="Book Antiqua" w:hAnsi="Book Antiqua" w:cs="宋体"/>
          <w:sz w:val="24"/>
          <w:szCs w:val="24"/>
        </w:rPr>
        <w:t xml:space="preserve">, Friedman S, Harpaz N, Goldstein E, Weiser J, Schiller J, Waye JD, Present DH. Colonoscopic polypectomy in chronic colitis: conservative management after endoscopic resection of dysplastic polyps. </w:t>
      </w:r>
      <w:r w:rsidRPr="00DD5BE0">
        <w:rPr>
          <w:rFonts w:ascii="Book Antiqua" w:hAnsi="Book Antiqua" w:cs="宋体"/>
          <w:i/>
          <w:iCs/>
          <w:sz w:val="24"/>
          <w:szCs w:val="24"/>
        </w:rPr>
        <w:t>Gastroenterology</w:t>
      </w:r>
      <w:r w:rsidRPr="00DD5BE0">
        <w:rPr>
          <w:rFonts w:ascii="Book Antiqua" w:hAnsi="Book Antiqua" w:cs="宋体"/>
          <w:sz w:val="24"/>
          <w:szCs w:val="24"/>
        </w:rPr>
        <w:t xml:space="preserve"> 1999; </w:t>
      </w:r>
      <w:r w:rsidRPr="00DD5BE0">
        <w:rPr>
          <w:rFonts w:ascii="Book Antiqua" w:hAnsi="Book Antiqua" w:cs="宋体"/>
          <w:b/>
          <w:bCs/>
          <w:sz w:val="24"/>
          <w:szCs w:val="24"/>
        </w:rPr>
        <w:t>117</w:t>
      </w:r>
      <w:r w:rsidRPr="00DD5BE0">
        <w:rPr>
          <w:rFonts w:ascii="Book Antiqua" w:hAnsi="Book Antiqua" w:cs="宋体"/>
          <w:sz w:val="24"/>
          <w:szCs w:val="24"/>
        </w:rPr>
        <w:t>: 1295-1300 [PMID: 10579970]</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62 </w:t>
      </w:r>
      <w:r w:rsidRPr="00DD5BE0">
        <w:rPr>
          <w:rFonts w:ascii="Book Antiqua" w:hAnsi="Book Antiqua" w:cs="宋体"/>
          <w:b/>
          <w:bCs/>
          <w:sz w:val="24"/>
          <w:szCs w:val="24"/>
        </w:rPr>
        <w:t>Farraye FA</w:t>
      </w:r>
      <w:r w:rsidRPr="00DD5BE0">
        <w:rPr>
          <w:rFonts w:ascii="Book Antiqua" w:hAnsi="Book Antiqua" w:cs="宋体"/>
          <w:sz w:val="24"/>
          <w:szCs w:val="24"/>
        </w:rPr>
        <w:t>, Odze RD, Eaden J, Itzkowitz SH, McCabe RP, Dassopoulos T, Lewis JD, Ullman TA, James T, McLeod R, Burgart LJ, Allen J, Brill JV</w:t>
      </w:r>
      <w:r w:rsidRPr="003A2CF7">
        <w:rPr>
          <w:rFonts w:ascii="Book Antiqua" w:hAnsi="Book Antiqua" w:cs="宋体"/>
          <w:sz w:val="24"/>
          <w:szCs w:val="24"/>
        </w:rPr>
        <w:t>; AGA Institute Medical Position Panel on Diagnosis and Management of Colorectal Neoplasia in Inflammatory Bowel Disease.</w:t>
      </w:r>
      <w:r w:rsidRPr="00DD5BE0">
        <w:rPr>
          <w:rFonts w:ascii="Book Antiqua" w:hAnsi="Book Antiqua" w:cs="宋体"/>
          <w:sz w:val="24"/>
          <w:szCs w:val="24"/>
        </w:rPr>
        <w:t xml:space="preserve"> AGA medical position statement on the diagnosis and management of colorectal neoplasia in inflammatory bowel disease. </w:t>
      </w:r>
      <w:r w:rsidRPr="00DD5BE0">
        <w:rPr>
          <w:rFonts w:ascii="Book Antiqua" w:hAnsi="Book Antiqua" w:cs="宋体"/>
          <w:i/>
          <w:iCs/>
          <w:sz w:val="24"/>
          <w:szCs w:val="24"/>
        </w:rPr>
        <w:t>Gastroenterology</w:t>
      </w:r>
      <w:r w:rsidRPr="00DD5BE0">
        <w:rPr>
          <w:rFonts w:ascii="Book Antiqua" w:hAnsi="Book Antiqua" w:cs="宋体"/>
          <w:sz w:val="24"/>
          <w:szCs w:val="24"/>
        </w:rPr>
        <w:t xml:space="preserve"> 2010; </w:t>
      </w:r>
      <w:r w:rsidRPr="00DD5BE0">
        <w:rPr>
          <w:rFonts w:ascii="Book Antiqua" w:hAnsi="Book Antiqua" w:cs="宋体"/>
          <w:b/>
          <w:bCs/>
          <w:sz w:val="24"/>
          <w:szCs w:val="24"/>
        </w:rPr>
        <w:t>138</w:t>
      </w:r>
      <w:r w:rsidRPr="00DD5BE0">
        <w:rPr>
          <w:rFonts w:ascii="Book Antiqua" w:hAnsi="Book Antiqua" w:cs="宋体"/>
          <w:sz w:val="24"/>
          <w:szCs w:val="24"/>
        </w:rPr>
        <w:t>: 738-745 [PMID: 20141808 DOI: 10.1053/j.gastro.2009.12.037]</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63 </w:t>
      </w:r>
      <w:r w:rsidRPr="00DD5BE0">
        <w:rPr>
          <w:rFonts w:ascii="Book Antiqua" w:hAnsi="Book Antiqua" w:cs="宋体"/>
          <w:b/>
          <w:bCs/>
          <w:sz w:val="24"/>
          <w:szCs w:val="24"/>
        </w:rPr>
        <w:t>Farraye FA</w:t>
      </w:r>
      <w:r w:rsidRPr="00DD5BE0">
        <w:rPr>
          <w:rFonts w:ascii="Book Antiqua" w:hAnsi="Book Antiqua" w:cs="宋体"/>
          <w:sz w:val="24"/>
          <w:szCs w:val="24"/>
        </w:rPr>
        <w:t xml:space="preserve">, Waye JD, Moscandrew M, Heeren TC, Odze RD. Variability in the diagnosis and management of adenoma-like and non-adenoma-like dysplasia-associated lesions or masses in inflammatory bowel disease: an </w:t>
      </w:r>
      <w:r w:rsidRPr="00DD5BE0">
        <w:rPr>
          <w:rFonts w:ascii="Book Antiqua" w:hAnsi="Book Antiqua" w:cs="宋体"/>
          <w:sz w:val="24"/>
          <w:szCs w:val="24"/>
        </w:rPr>
        <w:lastRenderedPageBreak/>
        <w:t xml:space="preserve">Internet-based study. </w:t>
      </w:r>
      <w:r w:rsidRPr="00DD5BE0">
        <w:rPr>
          <w:rFonts w:ascii="Book Antiqua" w:hAnsi="Book Antiqua" w:cs="宋体"/>
          <w:i/>
          <w:iCs/>
          <w:sz w:val="24"/>
          <w:szCs w:val="24"/>
        </w:rPr>
        <w:t>Gastrointest Endosc</w:t>
      </w:r>
      <w:r w:rsidRPr="00DD5BE0">
        <w:rPr>
          <w:rFonts w:ascii="Book Antiqua" w:hAnsi="Book Antiqua" w:cs="宋体"/>
          <w:sz w:val="24"/>
          <w:szCs w:val="24"/>
        </w:rPr>
        <w:t xml:space="preserve"> 2007; </w:t>
      </w:r>
      <w:r w:rsidRPr="00DD5BE0">
        <w:rPr>
          <w:rFonts w:ascii="Book Antiqua" w:hAnsi="Book Antiqua" w:cs="宋体"/>
          <w:b/>
          <w:bCs/>
          <w:sz w:val="24"/>
          <w:szCs w:val="24"/>
        </w:rPr>
        <w:t>66</w:t>
      </w:r>
      <w:r w:rsidRPr="00DD5BE0">
        <w:rPr>
          <w:rFonts w:ascii="Book Antiqua" w:hAnsi="Book Antiqua" w:cs="宋体"/>
          <w:sz w:val="24"/>
          <w:szCs w:val="24"/>
        </w:rPr>
        <w:t>: 519-529 [PMID: 17640638 DOI: 10.1016/j.gie.2006.12.016]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64 </w:t>
      </w:r>
      <w:r w:rsidRPr="00DD5BE0">
        <w:rPr>
          <w:rFonts w:ascii="Book Antiqua" w:hAnsi="Book Antiqua" w:cs="宋体"/>
          <w:b/>
          <w:sz w:val="24"/>
          <w:szCs w:val="24"/>
        </w:rPr>
        <w:t>Friedman S</w:t>
      </w:r>
      <w:r w:rsidRPr="00DD5BE0">
        <w:rPr>
          <w:rFonts w:ascii="Book Antiqua" w:hAnsi="Book Antiqua" w:cs="宋体"/>
          <w:sz w:val="24"/>
          <w:szCs w:val="24"/>
        </w:rPr>
        <w:t xml:space="preserve">. Endoscopic evaluation of polypoid lesions in patients with inflammatory bowel disease. </w:t>
      </w:r>
      <w:r w:rsidRPr="003A2CF7">
        <w:rPr>
          <w:rFonts w:ascii="Book Antiqua" w:hAnsi="Book Antiqua" w:cs="宋体"/>
          <w:i/>
          <w:sz w:val="24"/>
          <w:szCs w:val="24"/>
        </w:rPr>
        <w:t>Tech Gastrointest Endosc</w:t>
      </w:r>
      <w:r w:rsidRPr="00DD5BE0">
        <w:rPr>
          <w:rFonts w:ascii="Book Antiqua" w:hAnsi="Book Antiqua" w:cs="宋体"/>
          <w:sz w:val="24"/>
          <w:szCs w:val="24"/>
        </w:rPr>
        <w:t xml:space="preserve"> 2004; </w:t>
      </w:r>
      <w:r w:rsidRPr="00DD5BE0">
        <w:rPr>
          <w:rFonts w:ascii="Book Antiqua" w:hAnsi="Book Antiqua" w:cs="宋体"/>
          <w:b/>
          <w:sz w:val="24"/>
          <w:szCs w:val="24"/>
        </w:rPr>
        <w:t>6</w:t>
      </w:r>
      <w:r w:rsidRPr="00DD5BE0">
        <w:rPr>
          <w:rFonts w:ascii="Book Antiqua" w:hAnsi="Book Antiqua" w:cs="宋体"/>
          <w:sz w:val="24"/>
          <w:szCs w:val="24"/>
        </w:rPr>
        <w:t>: 175-</w:t>
      </w:r>
      <w:r w:rsidRPr="003A2CF7">
        <w:rPr>
          <w:rFonts w:ascii="Book Antiqua" w:hAnsi="Book Antiqua" w:cs="宋体"/>
          <w:sz w:val="24"/>
          <w:szCs w:val="24"/>
        </w:rPr>
        <w:t>1</w:t>
      </w:r>
      <w:r w:rsidRPr="00DD5BE0">
        <w:rPr>
          <w:rFonts w:ascii="Book Antiqua" w:hAnsi="Book Antiqua" w:cs="宋体"/>
          <w:sz w:val="24"/>
          <w:szCs w:val="24"/>
        </w:rPr>
        <w:t>81</w:t>
      </w:r>
      <w:r w:rsidRPr="003A2CF7">
        <w:rPr>
          <w:rFonts w:ascii="Book Antiqua" w:hAnsi="Book Antiqua" w:cs="宋体"/>
          <w:sz w:val="24"/>
          <w:szCs w:val="24"/>
        </w:rPr>
        <w:t xml:space="preserve"> </w:t>
      </w:r>
      <w:r w:rsidRPr="00DD5BE0">
        <w:rPr>
          <w:rFonts w:ascii="Book Antiqua" w:hAnsi="Book Antiqua" w:cs="宋体"/>
          <w:sz w:val="24"/>
          <w:szCs w:val="24"/>
        </w:rPr>
        <w:t>[DOI: 10.1016/j.tgie.2004.09.005]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65 </w:t>
      </w:r>
      <w:r w:rsidRPr="00DD5BE0">
        <w:rPr>
          <w:rFonts w:ascii="Book Antiqua" w:hAnsi="Book Antiqua" w:cs="宋体"/>
          <w:b/>
          <w:bCs/>
          <w:sz w:val="24"/>
          <w:szCs w:val="24"/>
        </w:rPr>
        <w:t>Bernstein CN</w:t>
      </w:r>
      <w:r w:rsidRPr="00DD5BE0">
        <w:rPr>
          <w:rFonts w:ascii="Book Antiqua" w:hAnsi="Book Antiqua" w:cs="宋体"/>
          <w:sz w:val="24"/>
          <w:szCs w:val="24"/>
        </w:rPr>
        <w:t xml:space="preserve">. The color of dysplasia in ulcerative colitis. </w:t>
      </w:r>
      <w:r w:rsidRPr="00DD5BE0">
        <w:rPr>
          <w:rFonts w:ascii="Book Antiqua" w:hAnsi="Book Antiqua" w:cs="宋体"/>
          <w:i/>
          <w:iCs/>
          <w:sz w:val="24"/>
          <w:szCs w:val="24"/>
        </w:rPr>
        <w:t>Gastroenterology</w:t>
      </w:r>
      <w:r w:rsidRPr="00DD5BE0">
        <w:rPr>
          <w:rFonts w:ascii="Book Antiqua" w:hAnsi="Book Antiqua" w:cs="宋体"/>
          <w:sz w:val="24"/>
          <w:szCs w:val="24"/>
        </w:rPr>
        <w:t xml:space="preserve"> 2003; </w:t>
      </w:r>
      <w:r w:rsidRPr="00DD5BE0">
        <w:rPr>
          <w:rFonts w:ascii="Book Antiqua" w:hAnsi="Book Antiqua" w:cs="宋体"/>
          <w:b/>
          <w:bCs/>
          <w:sz w:val="24"/>
          <w:szCs w:val="24"/>
        </w:rPr>
        <w:t>124</w:t>
      </w:r>
      <w:r w:rsidRPr="00DD5BE0">
        <w:rPr>
          <w:rFonts w:ascii="Book Antiqua" w:hAnsi="Book Antiqua" w:cs="宋体"/>
          <w:sz w:val="24"/>
          <w:szCs w:val="24"/>
        </w:rPr>
        <w:t>: 1135-1138 [PMID: 12671905 DOI: 10.1053/gast.2003.50180]</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66 </w:t>
      </w:r>
      <w:r w:rsidRPr="00DD5BE0">
        <w:rPr>
          <w:rFonts w:ascii="Book Antiqua" w:hAnsi="Book Antiqua" w:cs="宋体"/>
          <w:b/>
          <w:bCs/>
          <w:sz w:val="24"/>
          <w:szCs w:val="24"/>
        </w:rPr>
        <w:t>Thia KT</w:t>
      </w:r>
      <w:r w:rsidRPr="00DD5BE0">
        <w:rPr>
          <w:rFonts w:ascii="Book Antiqua" w:hAnsi="Book Antiqua" w:cs="宋体"/>
          <w:sz w:val="24"/>
          <w:szCs w:val="24"/>
        </w:rPr>
        <w:t xml:space="preserve">, Loftus EV, Pardi DS, Kane SV, Faubion WA, Tremaine WJ, Schroeder KW, Harmsen SW, Zinsmeister AR, Sandborn WJ. Measurement of disease activity in ulcerative colitis: interobserver agreement and predictors of severity. </w:t>
      </w:r>
      <w:r w:rsidRPr="00DD5BE0">
        <w:rPr>
          <w:rFonts w:ascii="Book Antiqua" w:hAnsi="Book Antiqua" w:cs="宋体"/>
          <w:i/>
          <w:iCs/>
          <w:sz w:val="24"/>
          <w:szCs w:val="24"/>
        </w:rPr>
        <w:t>Inflamm Bowel Dis</w:t>
      </w:r>
      <w:r w:rsidRPr="00DD5BE0">
        <w:rPr>
          <w:rFonts w:ascii="Book Antiqua" w:hAnsi="Book Antiqua" w:cs="宋体"/>
          <w:sz w:val="24"/>
          <w:szCs w:val="24"/>
        </w:rPr>
        <w:t xml:space="preserve"> 2011; </w:t>
      </w:r>
      <w:r w:rsidRPr="00DD5BE0">
        <w:rPr>
          <w:rFonts w:ascii="Book Antiqua" w:hAnsi="Book Antiqua" w:cs="宋体"/>
          <w:b/>
          <w:bCs/>
          <w:sz w:val="24"/>
          <w:szCs w:val="24"/>
        </w:rPr>
        <w:t>17</w:t>
      </w:r>
      <w:r w:rsidRPr="00DD5BE0">
        <w:rPr>
          <w:rFonts w:ascii="Book Antiqua" w:hAnsi="Book Antiqua" w:cs="宋体"/>
          <w:sz w:val="24"/>
          <w:szCs w:val="24"/>
        </w:rPr>
        <w:t>: 1257-1264 [PMID: 20878712 DOI: 10.1002/ibd.21480]</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67 </w:t>
      </w:r>
      <w:r w:rsidRPr="00DD5BE0">
        <w:rPr>
          <w:rFonts w:ascii="Book Antiqua" w:hAnsi="Book Antiqua" w:cs="宋体"/>
          <w:b/>
          <w:bCs/>
          <w:sz w:val="24"/>
          <w:szCs w:val="24"/>
        </w:rPr>
        <w:t>Biondi A</w:t>
      </w:r>
      <w:r w:rsidRPr="00DD5BE0">
        <w:rPr>
          <w:rFonts w:ascii="Book Antiqua" w:hAnsi="Book Antiqua" w:cs="宋体"/>
          <w:sz w:val="24"/>
          <w:szCs w:val="24"/>
        </w:rPr>
        <w:t xml:space="preserve">, Persiani R, Paliani G, Mattana C, Vecchio FM, D'Ugo D. Giant inflammatory polyposis as the first manifestation of inflammatory bowel disease. </w:t>
      </w:r>
      <w:r w:rsidRPr="00DD5BE0">
        <w:rPr>
          <w:rFonts w:ascii="Book Antiqua" w:hAnsi="Book Antiqua" w:cs="宋体"/>
          <w:i/>
          <w:iCs/>
          <w:sz w:val="24"/>
          <w:szCs w:val="24"/>
        </w:rPr>
        <w:t>Am J Gastroenterol</w:t>
      </w:r>
      <w:r w:rsidRPr="00DD5BE0">
        <w:rPr>
          <w:rFonts w:ascii="Book Antiqua" w:hAnsi="Book Antiqua" w:cs="宋体"/>
          <w:sz w:val="24"/>
          <w:szCs w:val="24"/>
        </w:rPr>
        <w:t xml:space="preserve"> 2009; </w:t>
      </w:r>
      <w:r w:rsidRPr="00DD5BE0">
        <w:rPr>
          <w:rFonts w:ascii="Book Antiqua" w:hAnsi="Book Antiqua" w:cs="宋体"/>
          <w:b/>
          <w:bCs/>
          <w:sz w:val="24"/>
          <w:szCs w:val="24"/>
        </w:rPr>
        <w:t>104</w:t>
      </w:r>
      <w:r w:rsidRPr="00DD5BE0">
        <w:rPr>
          <w:rFonts w:ascii="Book Antiqua" w:hAnsi="Book Antiqua" w:cs="宋体"/>
          <w:sz w:val="24"/>
          <w:szCs w:val="24"/>
        </w:rPr>
        <w:t>: 2359-2360 [PMID: 19727099 DOI: 10.1038/ajg.2009.245]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68 </w:t>
      </w:r>
      <w:r w:rsidRPr="00DD5BE0">
        <w:rPr>
          <w:rFonts w:ascii="Book Antiqua" w:hAnsi="Book Antiqua" w:cs="宋体"/>
          <w:b/>
          <w:bCs/>
          <w:sz w:val="24"/>
          <w:szCs w:val="24"/>
        </w:rPr>
        <w:t>Kudo S</w:t>
      </w:r>
      <w:r w:rsidRPr="00DD5BE0">
        <w:rPr>
          <w:rFonts w:ascii="Book Antiqua" w:hAnsi="Book Antiqua" w:cs="宋体"/>
          <w:sz w:val="24"/>
          <w:szCs w:val="24"/>
        </w:rPr>
        <w:t xml:space="preserve">, Tamura S, Nakajima T, Yamano H, Kusaka H, Watanabe H. Diagnosis of colorectal tumorous lesions by magnifying endoscopy. </w:t>
      </w:r>
      <w:r w:rsidRPr="00DD5BE0">
        <w:rPr>
          <w:rFonts w:ascii="Book Antiqua" w:hAnsi="Book Antiqua" w:cs="宋体"/>
          <w:i/>
          <w:iCs/>
          <w:sz w:val="24"/>
          <w:szCs w:val="24"/>
        </w:rPr>
        <w:t>Gastrointest Endosc</w:t>
      </w:r>
      <w:r w:rsidRPr="00DD5BE0">
        <w:rPr>
          <w:rFonts w:ascii="Book Antiqua" w:hAnsi="Book Antiqua" w:cs="宋体"/>
          <w:sz w:val="24"/>
          <w:szCs w:val="24"/>
        </w:rPr>
        <w:t xml:space="preserve"> 1996; </w:t>
      </w:r>
      <w:r w:rsidRPr="00DD5BE0">
        <w:rPr>
          <w:rFonts w:ascii="Book Antiqua" w:hAnsi="Book Antiqua" w:cs="宋体"/>
          <w:b/>
          <w:bCs/>
          <w:sz w:val="24"/>
          <w:szCs w:val="24"/>
        </w:rPr>
        <w:t>44</w:t>
      </w:r>
      <w:r w:rsidRPr="00DD5BE0">
        <w:rPr>
          <w:rFonts w:ascii="Book Antiqua" w:hAnsi="Book Antiqua" w:cs="宋体"/>
          <w:sz w:val="24"/>
          <w:szCs w:val="24"/>
        </w:rPr>
        <w:t>: 8-14 [PMID: 8836710 DOI: 10.1016/S0016-5107(96)70222-5]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69 </w:t>
      </w:r>
      <w:r w:rsidRPr="00DD5BE0">
        <w:rPr>
          <w:rFonts w:ascii="Book Antiqua" w:hAnsi="Book Antiqua" w:cs="宋体"/>
          <w:b/>
          <w:bCs/>
          <w:sz w:val="24"/>
          <w:szCs w:val="24"/>
        </w:rPr>
        <w:t>Koinuma K</w:t>
      </w:r>
      <w:r w:rsidRPr="00DD5BE0">
        <w:rPr>
          <w:rFonts w:ascii="Book Antiqua" w:hAnsi="Book Antiqua" w:cs="宋体"/>
          <w:sz w:val="24"/>
          <w:szCs w:val="24"/>
        </w:rPr>
        <w:t xml:space="preserve">, Togashi K, Konishi F, Kirii Y, Horie H, Okada M, Nagai H. Localized giant inflammatory polyposis of the cecum associated with distal ulcerative colitis. </w:t>
      </w:r>
      <w:r w:rsidRPr="00DD5BE0">
        <w:rPr>
          <w:rFonts w:ascii="Book Antiqua" w:hAnsi="Book Antiqua" w:cs="宋体"/>
          <w:i/>
          <w:iCs/>
          <w:sz w:val="24"/>
          <w:szCs w:val="24"/>
        </w:rPr>
        <w:t>J Gastroenterol</w:t>
      </w:r>
      <w:r w:rsidRPr="00DD5BE0">
        <w:rPr>
          <w:rFonts w:ascii="Book Antiqua" w:hAnsi="Book Antiqua" w:cs="宋体"/>
          <w:sz w:val="24"/>
          <w:szCs w:val="24"/>
        </w:rPr>
        <w:t xml:space="preserve"> 2003; </w:t>
      </w:r>
      <w:r w:rsidRPr="00DD5BE0">
        <w:rPr>
          <w:rFonts w:ascii="Book Antiqua" w:hAnsi="Book Antiqua" w:cs="宋体"/>
          <w:b/>
          <w:bCs/>
          <w:sz w:val="24"/>
          <w:szCs w:val="24"/>
        </w:rPr>
        <w:t>38</w:t>
      </w:r>
      <w:r w:rsidRPr="00DD5BE0">
        <w:rPr>
          <w:rFonts w:ascii="Book Antiqua" w:hAnsi="Book Antiqua" w:cs="宋体"/>
          <w:sz w:val="24"/>
          <w:szCs w:val="24"/>
        </w:rPr>
        <w:t>: 880-883 [PMID: 14564633]</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lastRenderedPageBreak/>
        <w:t xml:space="preserve">70 </w:t>
      </w:r>
      <w:r w:rsidRPr="00DD5BE0">
        <w:rPr>
          <w:rFonts w:ascii="Book Antiqua" w:hAnsi="Book Antiqua" w:cs="宋体"/>
          <w:b/>
          <w:bCs/>
          <w:sz w:val="24"/>
          <w:szCs w:val="24"/>
        </w:rPr>
        <w:t>Kiesslich R</w:t>
      </w:r>
      <w:r w:rsidRPr="00DD5BE0">
        <w:rPr>
          <w:rFonts w:ascii="Book Antiqua" w:hAnsi="Book Antiqua" w:cs="宋体"/>
          <w:sz w:val="24"/>
          <w:szCs w:val="24"/>
        </w:rPr>
        <w:t xml:space="preserve">, Fritsch J, Holtmann M, Koehler HH, Stolte M, Kanzler S, Nafe B, Jung M, Galle PR, Neurath MF. Methylene blue-aided chromoendoscopy for the detection of intraepithelial neoplasia and colon cancer in ulcerative colitis. </w:t>
      </w:r>
      <w:r w:rsidRPr="00DD5BE0">
        <w:rPr>
          <w:rFonts w:ascii="Book Antiqua" w:hAnsi="Book Antiqua" w:cs="宋体"/>
          <w:i/>
          <w:iCs/>
          <w:sz w:val="24"/>
          <w:szCs w:val="24"/>
        </w:rPr>
        <w:t>Gastroenterology</w:t>
      </w:r>
      <w:r w:rsidRPr="00DD5BE0">
        <w:rPr>
          <w:rFonts w:ascii="Book Antiqua" w:hAnsi="Book Antiqua" w:cs="宋体"/>
          <w:sz w:val="24"/>
          <w:szCs w:val="24"/>
        </w:rPr>
        <w:t xml:space="preserve"> 2003; </w:t>
      </w:r>
      <w:r w:rsidRPr="00DD5BE0">
        <w:rPr>
          <w:rFonts w:ascii="Book Antiqua" w:hAnsi="Book Antiqua" w:cs="宋体"/>
          <w:b/>
          <w:bCs/>
          <w:sz w:val="24"/>
          <w:szCs w:val="24"/>
        </w:rPr>
        <w:t>124</w:t>
      </w:r>
      <w:r w:rsidRPr="00DD5BE0">
        <w:rPr>
          <w:rFonts w:ascii="Book Antiqua" w:hAnsi="Book Antiqua" w:cs="宋体"/>
          <w:sz w:val="24"/>
          <w:szCs w:val="24"/>
        </w:rPr>
        <w:t>: 880-888 [PMID: 12671882 DOI: 10.1053/gast.2003.50146]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71 </w:t>
      </w:r>
      <w:r w:rsidRPr="00DD5BE0">
        <w:rPr>
          <w:rFonts w:ascii="Book Antiqua" w:hAnsi="Book Antiqua" w:cs="宋体"/>
          <w:b/>
          <w:bCs/>
          <w:sz w:val="24"/>
          <w:szCs w:val="24"/>
        </w:rPr>
        <w:t>Choi YS</w:t>
      </w:r>
      <w:r w:rsidRPr="00DD5BE0">
        <w:rPr>
          <w:rFonts w:ascii="Book Antiqua" w:hAnsi="Book Antiqua" w:cs="宋体"/>
          <w:sz w:val="24"/>
          <w:szCs w:val="24"/>
        </w:rPr>
        <w:t xml:space="preserve">, Suh JP, Lee IT, Kim JK, Lee SH, Cho KR, Park HJ, Kim DS, Lee DH. Regression of giant pseudopolyps in inflammatory bowel disease. </w:t>
      </w:r>
      <w:r w:rsidRPr="00DD5BE0">
        <w:rPr>
          <w:rFonts w:ascii="Book Antiqua" w:hAnsi="Book Antiqua" w:cs="宋体"/>
          <w:i/>
          <w:iCs/>
          <w:sz w:val="24"/>
          <w:szCs w:val="24"/>
        </w:rPr>
        <w:t>J Crohns Colitis</w:t>
      </w:r>
      <w:r w:rsidRPr="00DD5BE0">
        <w:rPr>
          <w:rFonts w:ascii="Book Antiqua" w:hAnsi="Book Antiqua" w:cs="宋体"/>
          <w:sz w:val="24"/>
          <w:szCs w:val="24"/>
        </w:rPr>
        <w:t xml:space="preserve"> 2012; </w:t>
      </w:r>
      <w:r w:rsidRPr="00DD5BE0">
        <w:rPr>
          <w:rFonts w:ascii="Book Antiqua" w:hAnsi="Book Antiqua" w:cs="宋体"/>
          <w:b/>
          <w:bCs/>
          <w:sz w:val="24"/>
          <w:szCs w:val="24"/>
        </w:rPr>
        <w:t>6</w:t>
      </w:r>
      <w:r w:rsidRPr="00DD5BE0">
        <w:rPr>
          <w:rFonts w:ascii="Book Antiqua" w:hAnsi="Book Antiqua" w:cs="宋体"/>
          <w:sz w:val="24"/>
          <w:szCs w:val="24"/>
        </w:rPr>
        <w:t>: 240-243 [PMID: 22325179 DOI: 10.1016/j.crohns.2011.08.007]</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72 </w:t>
      </w:r>
      <w:r w:rsidRPr="00DD5BE0">
        <w:rPr>
          <w:rFonts w:ascii="Book Antiqua" w:hAnsi="Book Antiqua" w:cs="宋体"/>
          <w:b/>
          <w:bCs/>
          <w:sz w:val="24"/>
          <w:szCs w:val="24"/>
        </w:rPr>
        <w:t>Itzkowitz SH</w:t>
      </w:r>
      <w:r w:rsidRPr="00DD5BE0">
        <w:rPr>
          <w:rFonts w:ascii="Book Antiqua" w:hAnsi="Book Antiqua" w:cs="宋体"/>
          <w:sz w:val="24"/>
          <w:szCs w:val="24"/>
        </w:rPr>
        <w:t xml:space="preserve">, Harpaz N. Diagnosis and management of dysplasia in patients with inflammatory bowel diseases. </w:t>
      </w:r>
      <w:r w:rsidRPr="00DD5BE0">
        <w:rPr>
          <w:rFonts w:ascii="Book Antiqua" w:hAnsi="Book Antiqua" w:cs="宋体"/>
          <w:i/>
          <w:iCs/>
          <w:sz w:val="24"/>
          <w:szCs w:val="24"/>
        </w:rPr>
        <w:t>Gastroenterology</w:t>
      </w:r>
      <w:r w:rsidRPr="00DD5BE0">
        <w:rPr>
          <w:rFonts w:ascii="Book Antiqua" w:hAnsi="Book Antiqua" w:cs="宋体"/>
          <w:sz w:val="24"/>
          <w:szCs w:val="24"/>
        </w:rPr>
        <w:t xml:space="preserve"> 2004; </w:t>
      </w:r>
      <w:r w:rsidRPr="00DD5BE0">
        <w:rPr>
          <w:rFonts w:ascii="Book Antiqua" w:hAnsi="Book Antiqua" w:cs="宋体"/>
          <w:b/>
          <w:bCs/>
          <w:sz w:val="24"/>
          <w:szCs w:val="24"/>
        </w:rPr>
        <w:t>126</w:t>
      </w:r>
      <w:r w:rsidRPr="00DD5BE0">
        <w:rPr>
          <w:rFonts w:ascii="Book Antiqua" w:hAnsi="Book Antiqua" w:cs="宋体"/>
          <w:sz w:val="24"/>
          <w:szCs w:val="24"/>
        </w:rPr>
        <w:t>: 1634-1648 [PMID: 15168373 DOI: 10.1053/j.gastro.2004.03.025]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73 </w:t>
      </w:r>
      <w:r w:rsidRPr="00DD5BE0">
        <w:rPr>
          <w:rFonts w:ascii="Book Antiqua" w:hAnsi="Book Antiqua" w:cs="宋体"/>
          <w:b/>
          <w:bCs/>
          <w:sz w:val="24"/>
          <w:szCs w:val="24"/>
        </w:rPr>
        <w:t>Anderson R</w:t>
      </w:r>
      <w:r w:rsidRPr="00DD5BE0">
        <w:rPr>
          <w:rFonts w:ascii="Book Antiqua" w:hAnsi="Book Antiqua" w:cs="宋体"/>
          <w:sz w:val="24"/>
          <w:szCs w:val="24"/>
        </w:rPr>
        <w:t xml:space="preserve">, Kaariainen IT, Hanauer SB. Protein-losing enteropathy and massive pulmonary embolism in a patient with giant inflammatory polyposis and quiescent ulcerative colitis. </w:t>
      </w:r>
      <w:r w:rsidRPr="00DD5BE0">
        <w:rPr>
          <w:rFonts w:ascii="Book Antiqua" w:hAnsi="Book Antiqua" w:cs="宋体"/>
          <w:i/>
          <w:iCs/>
          <w:sz w:val="24"/>
          <w:szCs w:val="24"/>
        </w:rPr>
        <w:t>Am J Med</w:t>
      </w:r>
      <w:r w:rsidRPr="00DD5BE0">
        <w:rPr>
          <w:rFonts w:ascii="Book Antiqua" w:hAnsi="Book Antiqua" w:cs="宋体"/>
          <w:sz w:val="24"/>
          <w:szCs w:val="24"/>
        </w:rPr>
        <w:t xml:space="preserve"> 1996; </w:t>
      </w:r>
      <w:r w:rsidRPr="00DD5BE0">
        <w:rPr>
          <w:rFonts w:ascii="Book Antiqua" w:hAnsi="Book Antiqua" w:cs="宋体"/>
          <w:b/>
          <w:bCs/>
          <w:sz w:val="24"/>
          <w:szCs w:val="24"/>
        </w:rPr>
        <w:t>101</w:t>
      </w:r>
      <w:r w:rsidRPr="00DD5BE0">
        <w:rPr>
          <w:rFonts w:ascii="Book Antiqua" w:hAnsi="Book Antiqua" w:cs="宋体"/>
          <w:sz w:val="24"/>
          <w:szCs w:val="24"/>
        </w:rPr>
        <w:t>: 323-325 [PMID: 8873495 DOI: 10.1016/S0002-9343(96)00201-X]</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74 </w:t>
      </w:r>
      <w:r w:rsidRPr="00DD5BE0">
        <w:rPr>
          <w:rFonts w:ascii="Book Antiqua" w:hAnsi="Book Antiqua" w:cs="宋体"/>
          <w:b/>
          <w:bCs/>
          <w:sz w:val="24"/>
          <w:szCs w:val="24"/>
        </w:rPr>
        <w:t>Marks RD</w:t>
      </w:r>
      <w:r w:rsidRPr="00DD5BE0">
        <w:rPr>
          <w:rFonts w:ascii="Book Antiqua" w:hAnsi="Book Antiqua" w:cs="宋体"/>
          <w:sz w:val="24"/>
          <w:szCs w:val="24"/>
        </w:rPr>
        <w:t xml:space="preserve">, Roberts-Thomson IC. Gastrointestinal: colonic pseudopolyposis. </w:t>
      </w:r>
      <w:r w:rsidRPr="00DD5BE0">
        <w:rPr>
          <w:rFonts w:ascii="Book Antiqua" w:hAnsi="Book Antiqua" w:cs="宋体"/>
          <w:i/>
          <w:iCs/>
          <w:sz w:val="24"/>
          <w:szCs w:val="24"/>
        </w:rPr>
        <w:t>J Gastroenterol Hepatol</w:t>
      </w:r>
      <w:r w:rsidRPr="00DD5BE0">
        <w:rPr>
          <w:rFonts w:ascii="Book Antiqua" w:hAnsi="Book Antiqua" w:cs="宋体"/>
          <w:sz w:val="24"/>
          <w:szCs w:val="24"/>
        </w:rPr>
        <w:t xml:space="preserve"> 2000; </w:t>
      </w:r>
      <w:r w:rsidRPr="00DD5BE0">
        <w:rPr>
          <w:rFonts w:ascii="Book Antiqua" w:hAnsi="Book Antiqua" w:cs="宋体"/>
          <w:b/>
          <w:bCs/>
          <w:sz w:val="24"/>
          <w:szCs w:val="24"/>
        </w:rPr>
        <w:t>15</w:t>
      </w:r>
      <w:r w:rsidRPr="00DD5BE0">
        <w:rPr>
          <w:rFonts w:ascii="Book Antiqua" w:hAnsi="Book Antiqua" w:cs="宋体"/>
          <w:sz w:val="24"/>
          <w:szCs w:val="24"/>
        </w:rPr>
        <w:t>: 213 [PMID: 10735547 DOI: 10.1046/j.1440-1746.2000.2085j.x]</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75 </w:t>
      </w:r>
      <w:r w:rsidRPr="00DD5BE0">
        <w:rPr>
          <w:rFonts w:ascii="Book Antiqua" w:hAnsi="Book Antiqua" w:cs="宋体"/>
          <w:b/>
          <w:bCs/>
          <w:sz w:val="24"/>
          <w:szCs w:val="24"/>
        </w:rPr>
        <w:t>Manning RJ</w:t>
      </w:r>
      <w:r w:rsidRPr="00DD5BE0">
        <w:rPr>
          <w:rFonts w:ascii="Book Antiqua" w:hAnsi="Book Antiqua" w:cs="宋体"/>
          <w:sz w:val="24"/>
          <w:szCs w:val="24"/>
        </w:rPr>
        <w:t xml:space="preserve">, Lewis C. Inflammatory ileal polyps in Crohn's disease presenting as refractory iron deficiency anemia. </w:t>
      </w:r>
      <w:r w:rsidRPr="00DD5BE0">
        <w:rPr>
          <w:rFonts w:ascii="Book Antiqua" w:hAnsi="Book Antiqua" w:cs="宋体"/>
          <w:i/>
          <w:iCs/>
          <w:sz w:val="24"/>
          <w:szCs w:val="24"/>
        </w:rPr>
        <w:t>Gastrointest Endosc</w:t>
      </w:r>
      <w:r w:rsidRPr="00DD5BE0">
        <w:rPr>
          <w:rFonts w:ascii="Book Antiqua" w:hAnsi="Book Antiqua" w:cs="宋体"/>
          <w:sz w:val="24"/>
          <w:szCs w:val="24"/>
        </w:rPr>
        <w:t xml:space="preserve"> 1986; </w:t>
      </w:r>
      <w:r w:rsidRPr="00DD5BE0">
        <w:rPr>
          <w:rFonts w:ascii="Book Antiqua" w:hAnsi="Book Antiqua" w:cs="宋体"/>
          <w:b/>
          <w:bCs/>
          <w:sz w:val="24"/>
          <w:szCs w:val="24"/>
        </w:rPr>
        <w:t>32</w:t>
      </w:r>
      <w:r w:rsidRPr="00DD5BE0">
        <w:rPr>
          <w:rFonts w:ascii="Book Antiqua" w:hAnsi="Book Antiqua" w:cs="宋体"/>
          <w:sz w:val="24"/>
          <w:szCs w:val="24"/>
        </w:rPr>
        <w:t>: 122 [PMID: 3486795 DOI: 10.1016/S0016-5107(86)71780-X]</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lastRenderedPageBreak/>
        <w:t xml:space="preserve">76 </w:t>
      </w:r>
      <w:r w:rsidRPr="00DD5BE0">
        <w:rPr>
          <w:rFonts w:ascii="Book Antiqua" w:hAnsi="Book Antiqua" w:cs="宋体"/>
          <w:b/>
          <w:bCs/>
          <w:sz w:val="24"/>
          <w:szCs w:val="24"/>
        </w:rPr>
        <w:t>Gheorghe C</w:t>
      </w:r>
      <w:r w:rsidRPr="00DD5BE0">
        <w:rPr>
          <w:rFonts w:ascii="Book Antiqua" w:hAnsi="Book Antiqua" w:cs="宋体"/>
          <w:sz w:val="24"/>
          <w:szCs w:val="24"/>
        </w:rPr>
        <w:t xml:space="preserve">, Aposteanu G, Popescu C, Gheorghe L, Oproiu A, Popescu I. Long esophageal stricture in Crohn's disease: a case report. </w:t>
      </w:r>
      <w:r w:rsidRPr="00DD5BE0">
        <w:rPr>
          <w:rFonts w:ascii="Book Antiqua" w:hAnsi="Book Antiqua" w:cs="宋体"/>
          <w:i/>
          <w:iCs/>
          <w:sz w:val="24"/>
          <w:szCs w:val="24"/>
        </w:rPr>
        <w:t>Hepatogastroenterology</w:t>
      </w:r>
      <w:r w:rsidRPr="00DD5BE0">
        <w:rPr>
          <w:rFonts w:ascii="Book Antiqua" w:hAnsi="Book Antiqua" w:cs="宋体"/>
          <w:sz w:val="24"/>
          <w:szCs w:val="24"/>
        </w:rPr>
        <w:t xml:space="preserve"> </w:t>
      </w:r>
      <w:r w:rsidRPr="003A2CF7">
        <w:rPr>
          <w:rFonts w:ascii="Book Antiqua" w:hAnsi="Book Antiqua" w:cs="宋体"/>
          <w:sz w:val="24"/>
          <w:szCs w:val="24"/>
        </w:rPr>
        <w:t>1998</w:t>
      </w:r>
      <w:r w:rsidRPr="00DD5BE0">
        <w:rPr>
          <w:rFonts w:ascii="Book Antiqua" w:hAnsi="Book Antiqua" w:cs="宋体"/>
          <w:sz w:val="24"/>
          <w:szCs w:val="24"/>
        </w:rPr>
        <w:t xml:space="preserve">; </w:t>
      </w:r>
      <w:r w:rsidRPr="00DD5BE0">
        <w:rPr>
          <w:rFonts w:ascii="Book Antiqua" w:hAnsi="Book Antiqua" w:cs="宋体"/>
          <w:b/>
          <w:bCs/>
          <w:sz w:val="24"/>
          <w:szCs w:val="24"/>
        </w:rPr>
        <w:t>45</w:t>
      </w:r>
      <w:r w:rsidRPr="00DD5BE0">
        <w:rPr>
          <w:rFonts w:ascii="Book Antiqua" w:hAnsi="Book Antiqua" w:cs="宋体"/>
          <w:sz w:val="24"/>
          <w:szCs w:val="24"/>
        </w:rPr>
        <w:t>: 738-741 [PMID: 9684125]</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77 </w:t>
      </w:r>
      <w:r w:rsidRPr="00DD5BE0">
        <w:rPr>
          <w:rFonts w:ascii="Book Antiqua" w:hAnsi="Book Antiqua" w:cs="宋体"/>
          <w:b/>
          <w:bCs/>
          <w:sz w:val="24"/>
          <w:szCs w:val="24"/>
        </w:rPr>
        <w:t>Liatsos C</w:t>
      </w:r>
      <w:r w:rsidRPr="00DD5BE0">
        <w:rPr>
          <w:rFonts w:ascii="Book Antiqua" w:hAnsi="Book Antiqua" w:cs="宋体"/>
          <w:sz w:val="24"/>
          <w:szCs w:val="24"/>
        </w:rPr>
        <w:t xml:space="preserve">, Kyriakos N, Panagou E, Karagiannis S, Salemis N, Mavrogiannis C. Inflammatory polypoid mass treated with Infliximab in a Crohn's disease patient. </w:t>
      </w:r>
      <w:r w:rsidRPr="00DD5BE0">
        <w:rPr>
          <w:rFonts w:ascii="Book Antiqua" w:hAnsi="Book Antiqua" w:cs="宋体"/>
          <w:i/>
          <w:iCs/>
          <w:sz w:val="24"/>
          <w:szCs w:val="24"/>
        </w:rPr>
        <w:t>J Crohns Colitis</w:t>
      </w:r>
      <w:r w:rsidRPr="00DD5BE0">
        <w:rPr>
          <w:rFonts w:ascii="Book Antiqua" w:hAnsi="Book Antiqua" w:cs="宋体"/>
          <w:sz w:val="24"/>
          <w:szCs w:val="24"/>
        </w:rPr>
        <w:t xml:space="preserve"> 2010; </w:t>
      </w:r>
      <w:r w:rsidRPr="00DD5BE0">
        <w:rPr>
          <w:rFonts w:ascii="Book Antiqua" w:hAnsi="Book Antiqua" w:cs="宋体"/>
          <w:b/>
          <w:bCs/>
          <w:sz w:val="24"/>
          <w:szCs w:val="24"/>
        </w:rPr>
        <w:t>4</w:t>
      </w:r>
      <w:r w:rsidRPr="00DD5BE0">
        <w:rPr>
          <w:rFonts w:ascii="Book Antiqua" w:hAnsi="Book Antiqua" w:cs="宋体"/>
          <w:sz w:val="24"/>
          <w:szCs w:val="24"/>
        </w:rPr>
        <w:t>: 707-708 [PMID: 21122587 DOI: 10.1016/j.crohns.2010.09.006]</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78 </w:t>
      </w:r>
      <w:r w:rsidRPr="00DD5BE0">
        <w:rPr>
          <w:rFonts w:ascii="Book Antiqua" w:hAnsi="Book Antiqua" w:cs="宋体"/>
          <w:b/>
          <w:bCs/>
          <w:sz w:val="24"/>
          <w:szCs w:val="24"/>
        </w:rPr>
        <w:t>Pilichos C</w:t>
      </w:r>
      <w:r w:rsidRPr="00DD5BE0">
        <w:rPr>
          <w:rFonts w:ascii="Book Antiqua" w:hAnsi="Book Antiqua" w:cs="宋体"/>
          <w:sz w:val="24"/>
          <w:szCs w:val="24"/>
        </w:rPr>
        <w:t xml:space="preserve">, Preza A, Demonakou M, Kapatsoris D, Bouras C. Topical budesonide for treating giant rectal pseudopolyposis. </w:t>
      </w:r>
      <w:r w:rsidRPr="00DD5BE0">
        <w:rPr>
          <w:rFonts w:ascii="Book Antiqua" w:hAnsi="Book Antiqua" w:cs="宋体"/>
          <w:i/>
          <w:iCs/>
          <w:sz w:val="24"/>
          <w:szCs w:val="24"/>
        </w:rPr>
        <w:t>Anticancer Res</w:t>
      </w:r>
      <w:r w:rsidRPr="00DD5BE0">
        <w:rPr>
          <w:rFonts w:ascii="Book Antiqua" w:hAnsi="Book Antiqua" w:cs="宋体"/>
          <w:sz w:val="24"/>
          <w:szCs w:val="24"/>
        </w:rPr>
        <w:t xml:space="preserve"> </w:t>
      </w:r>
      <w:r w:rsidRPr="003A2CF7">
        <w:rPr>
          <w:rFonts w:ascii="Book Antiqua" w:hAnsi="Book Antiqua" w:cs="宋体"/>
          <w:sz w:val="24"/>
          <w:szCs w:val="24"/>
        </w:rPr>
        <w:t>2005</w:t>
      </w:r>
      <w:r w:rsidRPr="00DD5BE0">
        <w:rPr>
          <w:rFonts w:ascii="Book Antiqua" w:hAnsi="Book Antiqua" w:cs="宋体"/>
          <w:sz w:val="24"/>
          <w:szCs w:val="24"/>
        </w:rPr>
        <w:t xml:space="preserve">; </w:t>
      </w:r>
      <w:r w:rsidRPr="00DD5BE0">
        <w:rPr>
          <w:rFonts w:ascii="Book Antiqua" w:hAnsi="Book Antiqua" w:cs="宋体"/>
          <w:b/>
          <w:bCs/>
          <w:sz w:val="24"/>
          <w:szCs w:val="24"/>
        </w:rPr>
        <w:t>25</w:t>
      </w:r>
      <w:r w:rsidRPr="00DD5BE0">
        <w:rPr>
          <w:rFonts w:ascii="Book Antiqua" w:hAnsi="Book Antiqua" w:cs="宋体"/>
          <w:sz w:val="24"/>
          <w:szCs w:val="24"/>
        </w:rPr>
        <w:t>: 2961-2964 [PMID: 16080551]</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79 </w:t>
      </w:r>
      <w:r w:rsidRPr="00DD5BE0">
        <w:rPr>
          <w:rFonts w:ascii="Book Antiqua" w:hAnsi="Book Antiqua" w:cs="宋体"/>
          <w:b/>
          <w:bCs/>
          <w:sz w:val="24"/>
          <w:szCs w:val="24"/>
        </w:rPr>
        <w:t>Attar A</w:t>
      </w:r>
      <w:r w:rsidRPr="00DD5BE0">
        <w:rPr>
          <w:rFonts w:ascii="Book Antiqua" w:hAnsi="Book Antiqua" w:cs="宋体"/>
          <w:sz w:val="24"/>
          <w:szCs w:val="24"/>
        </w:rPr>
        <w:t xml:space="preserve">, Bon C, Sebbagh V, Béjou B, Bénamouzig R. Endoscopic argon plasma coagulation for the treatment of hemorrhagic pseudopolyps in colonic Crohn's disease. </w:t>
      </w:r>
      <w:r w:rsidRPr="00DD5BE0">
        <w:rPr>
          <w:rFonts w:ascii="Book Antiqua" w:hAnsi="Book Antiqua" w:cs="宋体"/>
          <w:i/>
          <w:iCs/>
          <w:sz w:val="24"/>
          <w:szCs w:val="24"/>
        </w:rPr>
        <w:t>Endoscopy</w:t>
      </w:r>
      <w:r w:rsidRPr="00DD5BE0">
        <w:rPr>
          <w:rFonts w:ascii="Book Antiqua" w:hAnsi="Book Antiqua" w:cs="宋体"/>
          <w:sz w:val="24"/>
          <w:szCs w:val="24"/>
        </w:rPr>
        <w:t xml:space="preserve"> 2007; </w:t>
      </w:r>
      <w:r w:rsidRPr="00DD5BE0">
        <w:rPr>
          <w:rFonts w:ascii="Book Antiqua" w:hAnsi="Book Antiqua" w:cs="宋体"/>
          <w:b/>
          <w:bCs/>
          <w:sz w:val="24"/>
          <w:szCs w:val="24"/>
        </w:rPr>
        <w:t>39 Suppl 1</w:t>
      </w:r>
      <w:r w:rsidRPr="00DD5BE0">
        <w:rPr>
          <w:rFonts w:ascii="Book Antiqua" w:hAnsi="Book Antiqua" w:cs="宋体"/>
          <w:sz w:val="24"/>
          <w:szCs w:val="24"/>
        </w:rPr>
        <w:t>: E249 [PMID: 17957649 DOI: 10.1055/s-2007-967011]</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80 </w:t>
      </w:r>
      <w:r w:rsidRPr="00DD5BE0">
        <w:rPr>
          <w:rFonts w:ascii="Book Antiqua" w:hAnsi="Book Antiqua" w:cs="宋体"/>
          <w:b/>
          <w:bCs/>
          <w:sz w:val="24"/>
          <w:szCs w:val="24"/>
        </w:rPr>
        <w:t>Rutter M</w:t>
      </w:r>
      <w:r w:rsidRPr="00DD5BE0">
        <w:rPr>
          <w:rFonts w:ascii="Book Antiqua" w:hAnsi="Book Antiqua" w:cs="宋体"/>
          <w:sz w:val="24"/>
          <w:szCs w:val="24"/>
        </w:rPr>
        <w:t xml:space="preserve">, Saunders B, Emmanuel A, Price A. Endoscopic snare polypectomy for bleeding postinflammatory polyps. </w:t>
      </w:r>
      <w:r w:rsidRPr="00DD5BE0">
        <w:rPr>
          <w:rFonts w:ascii="Book Antiqua" w:hAnsi="Book Antiqua" w:cs="宋体"/>
          <w:i/>
          <w:iCs/>
          <w:sz w:val="24"/>
          <w:szCs w:val="24"/>
        </w:rPr>
        <w:t>Endoscopy</w:t>
      </w:r>
      <w:r w:rsidRPr="00DD5BE0">
        <w:rPr>
          <w:rFonts w:ascii="Book Antiqua" w:hAnsi="Book Antiqua" w:cs="宋体"/>
          <w:sz w:val="24"/>
          <w:szCs w:val="24"/>
        </w:rPr>
        <w:t xml:space="preserve"> 2003; </w:t>
      </w:r>
      <w:r w:rsidRPr="00DD5BE0">
        <w:rPr>
          <w:rFonts w:ascii="Book Antiqua" w:hAnsi="Book Antiqua" w:cs="宋体"/>
          <w:b/>
          <w:bCs/>
          <w:sz w:val="24"/>
          <w:szCs w:val="24"/>
        </w:rPr>
        <w:t>35</w:t>
      </w:r>
      <w:r w:rsidRPr="00DD5BE0">
        <w:rPr>
          <w:rFonts w:ascii="Book Antiqua" w:hAnsi="Book Antiqua" w:cs="宋体"/>
          <w:sz w:val="24"/>
          <w:szCs w:val="24"/>
        </w:rPr>
        <w:t>: 788-790 [PMID: 12929033 DOI: 10.1055/s-2003-41582]</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81 </w:t>
      </w:r>
      <w:r w:rsidRPr="00DD5BE0">
        <w:rPr>
          <w:rFonts w:ascii="Book Antiqua" w:hAnsi="Book Antiqua" w:cs="宋体"/>
          <w:b/>
          <w:bCs/>
          <w:sz w:val="24"/>
          <w:szCs w:val="24"/>
        </w:rPr>
        <w:t>Forde KA</w:t>
      </w:r>
      <w:r w:rsidRPr="00DD5BE0">
        <w:rPr>
          <w:rFonts w:ascii="Book Antiqua" w:hAnsi="Book Antiqua" w:cs="宋体"/>
          <w:sz w:val="24"/>
          <w:szCs w:val="24"/>
        </w:rPr>
        <w:t xml:space="preserve">, Green PH. Laser ablation of symptomatic rectal pseudopolyps. </w:t>
      </w:r>
      <w:r w:rsidRPr="00DD5BE0">
        <w:rPr>
          <w:rFonts w:ascii="Book Antiqua" w:hAnsi="Book Antiqua" w:cs="宋体"/>
          <w:i/>
          <w:iCs/>
          <w:sz w:val="24"/>
          <w:szCs w:val="24"/>
        </w:rPr>
        <w:t>Gastrointest Endosc</w:t>
      </w:r>
      <w:r w:rsidRPr="00DD5BE0">
        <w:rPr>
          <w:rFonts w:ascii="Book Antiqua" w:hAnsi="Book Antiqua" w:cs="宋体"/>
          <w:sz w:val="24"/>
          <w:szCs w:val="24"/>
        </w:rPr>
        <w:t xml:space="preserve"> </w:t>
      </w:r>
      <w:r w:rsidRPr="003A2CF7">
        <w:rPr>
          <w:rFonts w:ascii="Book Antiqua" w:hAnsi="Book Antiqua" w:cs="宋体"/>
          <w:sz w:val="24"/>
          <w:szCs w:val="24"/>
        </w:rPr>
        <w:t>1989</w:t>
      </w:r>
      <w:r w:rsidRPr="00DD5BE0">
        <w:rPr>
          <w:rFonts w:ascii="Book Antiqua" w:hAnsi="Book Antiqua" w:cs="宋体"/>
          <w:sz w:val="24"/>
          <w:szCs w:val="24"/>
        </w:rPr>
        <w:t xml:space="preserve">; </w:t>
      </w:r>
      <w:r w:rsidRPr="00DD5BE0">
        <w:rPr>
          <w:rFonts w:ascii="Book Antiqua" w:hAnsi="Book Antiqua" w:cs="宋体"/>
          <w:b/>
          <w:bCs/>
          <w:sz w:val="24"/>
          <w:szCs w:val="24"/>
        </w:rPr>
        <w:t>35</w:t>
      </w:r>
      <w:r w:rsidRPr="00DD5BE0">
        <w:rPr>
          <w:rFonts w:ascii="Book Antiqua" w:hAnsi="Book Antiqua" w:cs="宋体"/>
          <w:sz w:val="24"/>
          <w:szCs w:val="24"/>
        </w:rPr>
        <w:t>: 135 [PMID: 2714602 DOI: 10.1016/S0016-5107(89)72737-1]</w:t>
      </w:r>
    </w:p>
    <w:p w:rsidR="00BC4937" w:rsidRPr="00DD5BE0" w:rsidRDefault="00BC4937" w:rsidP="003A2CF7">
      <w:pPr>
        <w:widowControl w:val="0"/>
        <w:jc w:val="both"/>
        <w:rPr>
          <w:rFonts w:ascii="Book Antiqua" w:hAnsi="Book Antiqua" w:cs="宋体"/>
          <w:sz w:val="24"/>
          <w:szCs w:val="24"/>
        </w:rPr>
      </w:pPr>
      <w:r w:rsidRPr="00DD5BE0">
        <w:rPr>
          <w:rFonts w:ascii="Book Antiqua" w:hAnsi="Book Antiqua" w:cs="宋体"/>
          <w:sz w:val="24"/>
          <w:szCs w:val="24"/>
        </w:rPr>
        <w:t xml:space="preserve">82 </w:t>
      </w:r>
      <w:r w:rsidRPr="003A2CF7">
        <w:rPr>
          <w:rFonts w:ascii="Book Antiqua" w:hAnsi="Book Antiqua" w:cs="宋体"/>
          <w:b/>
          <w:bCs/>
          <w:sz w:val="24"/>
          <w:szCs w:val="24"/>
        </w:rPr>
        <w:t>Corless JK</w:t>
      </w:r>
      <w:r w:rsidRPr="003A2CF7">
        <w:rPr>
          <w:rFonts w:ascii="Book Antiqua" w:hAnsi="Book Antiqua" w:cs="宋体"/>
          <w:sz w:val="24"/>
          <w:szCs w:val="24"/>
        </w:rPr>
        <w:t xml:space="preserve">, Tedesco FJ, Griffin JW, Panish JK. Giant ileal inflammatory polyps in Crohn's disease. </w:t>
      </w:r>
      <w:r w:rsidRPr="003A2CF7">
        <w:rPr>
          <w:rFonts w:ascii="Book Antiqua" w:hAnsi="Book Antiqua" w:cs="宋体"/>
          <w:i/>
          <w:iCs/>
          <w:sz w:val="24"/>
          <w:szCs w:val="24"/>
        </w:rPr>
        <w:t>Gastrointest Endosc</w:t>
      </w:r>
      <w:r w:rsidRPr="003A2CF7">
        <w:rPr>
          <w:rFonts w:ascii="Book Antiqua" w:hAnsi="Book Antiqua" w:cs="宋体"/>
          <w:sz w:val="24"/>
          <w:szCs w:val="24"/>
        </w:rPr>
        <w:t xml:space="preserve"> 1984; </w:t>
      </w:r>
      <w:r w:rsidRPr="003A2CF7">
        <w:rPr>
          <w:rFonts w:ascii="Book Antiqua" w:hAnsi="Book Antiqua" w:cs="宋体"/>
          <w:b/>
          <w:bCs/>
          <w:sz w:val="24"/>
          <w:szCs w:val="24"/>
        </w:rPr>
        <w:t>30</w:t>
      </w:r>
      <w:r w:rsidRPr="003A2CF7">
        <w:rPr>
          <w:rFonts w:ascii="Book Antiqua" w:hAnsi="Book Antiqua" w:cs="宋体"/>
          <w:sz w:val="24"/>
          <w:szCs w:val="24"/>
        </w:rPr>
        <w:t xml:space="preserve">: 352-354 [PMID: 6510644 DOI: </w:t>
      </w:r>
      <w:r w:rsidRPr="003A2CF7">
        <w:rPr>
          <w:rFonts w:ascii="Book Antiqua" w:hAnsi="Book Antiqua" w:cs="宋体"/>
          <w:sz w:val="24"/>
          <w:szCs w:val="24"/>
        </w:rPr>
        <w:lastRenderedPageBreak/>
        <w:t>10.1016/S0016-5107(84)72453-9]</w:t>
      </w:r>
    </w:p>
    <w:p w:rsidR="00BC4937" w:rsidRPr="00DD5BE0" w:rsidRDefault="00BC4937" w:rsidP="003A2CF7">
      <w:pPr>
        <w:jc w:val="both"/>
        <w:rPr>
          <w:rFonts w:ascii="Book Antiqua" w:hAnsi="Book Antiqua" w:cs="宋体"/>
          <w:sz w:val="24"/>
          <w:szCs w:val="24"/>
        </w:rPr>
      </w:pPr>
      <w:r w:rsidRPr="00DD5BE0">
        <w:rPr>
          <w:rFonts w:ascii="Book Antiqua" w:hAnsi="Book Antiqua" w:cs="宋体"/>
          <w:sz w:val="24"/>
          <w:szCs w:val="24"/>
        </w:rPr>
        <w:t xml:space="preserve">83 </w:t>
      </w:r>
      <w:r w:rsidRPr="00DD5BE0">
        <w:rPr>
          <w:rFonts w:ascii="Book Antiqua" w:hAnsi="Book Antiqua" w:cs="宋体"/>
          <w:b/>
          <w:bCs/>
          <w:sz w:val="24"/>
          <w:szCs w:val="24"/>
        </w:rPr>
        <w:t>Atten MJ</w:t>
      </w:r>
      <w:r w:rsidRPr="00DD5BE0">
        <w:rPr>
          <w:rFonts w:ascii="Book Antiqua" w:hAnsi="Book Antiqua" w:cs="宋体"/>
          <w:sz w:val="24"/>
          <w:szCs w:val="24"/>
        </w:rPr>
        <w:t xml:space="preserve">, Attar BM, Mahkri MA, Del Pino A, Orsay CP. Giant pseudopolyps presenting as colocolic intussusception in Crohn's colitis. </w:t>
      </w:r>
      <w:r w:rsidRPr="00DD5BE0">
        <w:rPr>
          <w:rFonts w:ascii="Book Antiqua" w:hAnsi="Book Antiqua" w:cs="宋体"/>
          <w:i/>
          <w:iCs/>
          <w:sz w:val="24"/>
          <w:szCs w:val="24"/>
        </w:rPr>
        <w:t>Am J Gastroenterol</w:t>
      </w:r>
      <w:r w:rsidRPr="00DD5BE0">
        <w:rPr>
          <w:rFonts w:ascii="Book Antiqua" w:hAnsi="Book Antiqua" w:cs="宋体"/>
          <w:sz w:val="24"/>
          <w:szCs w:val="24"/>
        </w:rPr>
        <w:t xml:space="preserve"> 1998; </w:t>
      </w:r>
      <w:r w:rsidRPr="00DD5BE0">
        <w:rPr>
          <w:rFonts w:ascii="Book Antiqua" w:hAnsi="Book Antiqua" w:cs="宋体"/>
          <w:b/>
          <w:bCs/>
          <w:sz w:val="24"/>
          <w:szCs w:val="24"/>
        </w:rPr>
        <w:t>93</w:t>
      </w:r>
      <w:r w:rsidRPr="00DD5BE0">
        <w:rPr>
          <w:rFonts w:ascii="Book Antiqua" w:hAnsi="Book Antiqua" w:cs="宋体"/>
          <w:sz w:val="24"/>
          <w:szCs w:val="24"/>
        </w:rPr>
        <w:t>: 1591-1592 [PMID: 9732958 DOI: 10.1111/j.1572-0241.1998.00491.x]</w:t>
      </w:r>
    </w:p>
    <w:p w:rsidR="00BC4937" w:rsidRPr="003A2CF7" w:rsidRDefault="00BC4937" w:rsidP="003A2CF7">
      <w:pPr>
        <w:jc w:val="both"/>
        <w:rPr>
          <w:rFonts w:ascii="Book Antiqua" w:hAnsi="Book Antiqua"/>
          <w:sz w:val="24"/>
          <w:szCs w:val="24"/>
        </w:rPr>
      </w:pPr>
    </w:p>
    <w:p w:rsidR="00BC4937" w:rsidRPr="003A2CF7" w:rsidRDefault="00BC4937" w:rsidP="0062034F">
      <w:pPr>
        <w:spacing w:line="360" w:lineRule="auto"/>
        <w:jc w:val="right"/>
        <w:rPr>
          <w:rFonts w:ascii="Book Antiqua" w:hAnsi="Book Antiqua"/>
          <w:b/>
          <w:bCs/>
          <w:sz w:val="24"/>
          <w:szCs w:val="24"/>
        </w:rPr>
      </w:pPr>
      <w:r w:rsidRPr="003A2CF7">
        <w:rPr>
          <w:rFonts w:ascii="Book Antiqua" w:hAnsi="Book Antiqua"/>
          <w:b/>
          <w:bCs/>
          <w:sz w:val="24"/>
          <w:szCs w:val="24"/>
        </w:rPr>
        <w:t xml:space="preserve">P-Reviewer: </w:t>
      </w:r>
      <w:r w:rsidRPr="003A2CF7">
        <w:rPr>
          <w:rFonts w:ascii="Book Antiqua" w:hAnsi="Book Antiqua"/>
          <w:bCs/>
          <w:sz w:val="24"/>
          <w:szCs w:val="24"/>
        </w:rPr>
        <w:t>Owczarek</w:t>
      </w:r>
      <w:r w:rsidRPr="003A2CF7">
        <w:rPr>
          <w:rFonts w:ascii="Book Antiqua" w:hAnsi="Book Antiqua"/>
          <w:bCs/>
          <w:sz w:val="24"/>
          <w:szCs w:val="24"/>
          <w:lang w:eastAsia="zh-CN"/>
        </w:rPr>
        <w:t xml:space="preserve"> </w:t>
      </w:r>
      <w:r w:rsidRPr="003A2CF7">
        <w:rPr>
          <w:rFonts w:ascii="Book Antiqua" w:hAnsi="Book Antiqua"/>
          <w:bCs/>
          <w:caps/>
          <w:sz w:val="24"/>
          <w:szCs w:val="24"/>
          <w:lang w:eastAsia="zh-CN"/>
        </w:rPr>
        <w:t>d</w:t>
      </w:r>
      <w:r w:rsidRPr="003A2CF7">
        <w:rPr>
          <w:rFonts w:ascii="Book Antiqua" w:hAnsi="Book Antiqua"/>
          <w:bCs/>
          <w:sz w:val="24"/>
          <w:szCs w:val="24"/>
          <w:lang w:eastAsia="zh-CN"/>
        </w:rPr>
        <w:t>,</w:t>
      </w:r>
      <w:r w:rsidRPr="003A2CF7">
        <w:rPr>
          <w:rFonts w:ascii="Book Antiqua" w:hAnsi="Book Antiqua"/>
          <w:bCs/>
          <w:sz w:val="24"/>
          <w:szCs w:val="24"/>
        </w:rPr>
        <w:t xml:space="preserve"> Sperti</w:t>
      </w:r>
      <w:r w:rsidRPr="003A2CF7">
        <w:rPr>
          <w:rFonts w:ascii="Book Antiqua" w:hAnsi="Book Antiqua"/>
          <w:bCs/>
          <w:sz w:val="24"/>
          <w:szCs w:val="24"/>
          <w:lang w:eastAsia="zh-CN"/>
        </w:rPr>
        <w:t xml:space="preserve"> C</w:t>
      </w:r>
      <w:r w:rsidRPr="003A2CF7">
        <w:rPr>
          <w:rFonts w:ascii="Book Antiqua" w:hAnsi="Book Antiqua"/>
          <w:b/>
          <w:bCs/>
          <w:sz w:val="24"/>
          <w:szCs w:val="24"/>
        </w:rPr>
        <w:t xml:space="preserve"> S-Editor:</w:t>
      </w:r>
      <w:r w:rsidRPr="003A2CF7">
        <w:rPr>
          <w:rFonts w:ascii="Book Antiqua" w:hAnsi="Book Antiqua"/>
          <w:sz w:val="24"/>
          <w:szCs w:val="24"/>
        </w:rPr>
        <w:t xml:space="preserve"> Ma YJ </w:t>
      </w:r>
      <w:r w:rsidRPr="003A2CF7">
        <w:rPr>
          <w:rFonts w:ascii="Book Antiqua" w:hAnsi="Book Antiqua"/>
          <w:b/>
          <w:bCs/>
          <w:sz w:val="24"/>
          <w:szCs w:val="24"/>
        </w:rPr>
        <w:t>L-Editor:</w:t>
      </w:r>
      <w:r w:rsidRPr="003A2CF7">
        <w:rPr>
          <w:rFonts w:ascii="Book Antiqua" w:hAnsi="Book Antiqua"/>
          <w:sz w:val="24"/>
          <w:szCs w:val="24"/>
        </w:rPr>
        <w:t xml:space="preserve">   </w:t>
      </w:r>
      <w:r w:rsidRPr="003A2CF7">
        <w:rPr>
          <w:rFonts w:ascii="Book Antiqua" w:hAnsi="Book Antiqua"/>
          <w:b/>
          <w:bCs/>
          <w:sz w:val="24"/>
          <w:szCs w:val="24"/>
        </w:rPr>
        <w:t>E-Editor:</w:t>
      </w:r>
    </w:p>
    <w:p w:rsidR="00BC4937" w:rsidRPr="003A2CF7" w:rsidRDefault="00BC4937" w:rsidP="003A2CF7">
      <w:pPr>
        <w:spacing w:line="360" w:lineRule="auto"/>
        <w:jc w:val="both"/>
        <w:rPr>
          <w:rFonts w:ascii="Book Antiqua" w:hAnsi="Book Antiqua" w:cs="Arial"/>
          <w:b/>
          <w:bCs/>
          <w:color w:val="2B2B2B"/>
          <w:sz w:val="24"/>
          <w:szCs w:val="24"/>
          <w:shd w:val="clear" w:color="auto" w:fill="FAFAFA"/>
        </w:rPr>
      </w:pPr>
    </w:p>
    <w:p w:rsidR="00BC4937" w:rsidRPr="003A2CF7" w:rsidRDefault="00BC4937" w:rsidP="003A2CF7">
      <w:pPr>
        <w:shd w:val="clear" w:color="auto" w:fill="FFFFFF"/>
        <w:snapToGrid w:val="0"/>
        <w:spacing w:line="360" w:lineRule="auto"/>
        <w:jc w:val="both"/>
        <w:rPr>
          <w:rFonts w:ascii="Book Antiqua" w:hAnsi="Book Antiqua" w:cs="Helvetica"/>
          <w:b/>
          <w:sz w:val="24"/>
          <w:szCs w:val="24"/>
        </w:rPr>
      </w:pPr>
      <w:r w:rsidRPr="003A2CF7">
        <w:rPr>
          <w:rFonts w:ascii="Book Antiqua" w:hAnsi="Book Antiqua" w:cs="Helvetica"/>
          <w:b/>
          <w:sz w:val="24"/>
          <w:szCs w:val="24"/>
        </w:rPr>
        <w:t xml:space="preserve">Specialty type: </w:t>
      </w:r>
      <w:r w:rsidRPr="003A2CF7">
        <w:rPr>
          <w:rFonts w:ascii="Book Antiqua" w:hAnsi="Book Antiqua" w:cs="Helvetica"/>
          <w:sz w:val="24"/>
          <w:szCs w:val="24"/>
        </w:rPr>
        <w:t>Gastroenterology and hepatology</w:t>
      </w:r>
    </w:p>
    <w:p w:rsidR="00BC4937" w:rsidRPr="003A2CF7" w:rsidRDefault="00BC4937" w:rsidP="003A2CF7">
      <w:pPr>
        <w:shd w:val="clear" w:color="auto" w:fill="FFFFFF"/>
        <w:snapToGrid w:val="0"/>
        <w:spacing w:line="360" w:lineRule="auto"/>
        <w:jc w:val="both"/>
        <w:rPr>
          <w:rFonts w:ascii="Book Antiqua" w:hAnsi="Book Antiqua" w:cs="Helvetica"/>
          <w:sz w:val="24"/>
          <w:szCs w:val="24"/>
        </w:rPr>
      </w:pPr>
      <w:r w:rsidRPr="003A2CF7">
        <w:rPr>
          <w:rFonts w:ascii="Book Antiqua" w:hAnsi="Book Antiqua" w:cs="Helvetica"/>
          <w:b/>
          <w:sz w:val="24"/>
          <w:szCs w:val="24"/>
        </w:rPr>
        <w:t>Country of origin:</w:t>
      </w:r>
      <w:r w:rsidRPr="003A2CF7">
        <w:rPr>
          <w:rFonts w:ascii="Book Antiqua" w:hAnsi="Book Antiqua" w:cs="Helvetica"/>
          <w:sz w:val="24"/>
          <w:szCs w:val="24"/>
        </w:rPr>
        <w:t xml:space="preserve"> </w:t>
      </w:r>
      <w:r w:rsidR="009118A4" w:rsidRPr="003A2CF7">
        <w:rPr>
          <w:rFonts w:ascii="Book Antiqua" w:hAnsi="Book Antiqua" w:cs="Helvetica"/>
          <w:sz w:val="24"/>
          <w:szCs w:val="24"/>
        </w:rPr>
        <w:t>Greece</w:t>
      </w:r>
    </w:p>
    <w:p w:rsidR="00BC4937" w:rsidRPr="003A2CF7" w:rsidRDefault="00BC4937" w:rsidP="003A2CF7">
      <w:pPr>
        <w:shd w:val="clear" w:color="auto" w:fill="FFFFFF"/>
        <w:snapToGrid w:val="0"/>
        <w:spacing w:line="360" w:lineRule="auto"/>
        <w:jc w:val="both"/>
        <w:rPr>
          <w:rFonts w:ascii="Book Antiqua" w:hAnsi="Book Antiqua" w:cs="Helvetica"/>
          <w:b/>
          <w:sz w:val="24"/>
          <w:szCs w:val="24"/>
        </w:rPr>
      </w:pPr>
      <w:r w:rsidRPr="003A2CF7">
        <w:rPr>
          <w:rFonts w:ascii="Book Antiqua" w:hAnsi="Book Antiqua" w:cs="Helvetica"/>
          <w:b/>
          <w:sz w:val="24"/>
          <w:szCs w:val="24"/>
        </w:rPr>
        <w:t>Peer-review report classification</w:t>
      </w:r>
    </w:p>
    <w:p w:rsidR="00BC4937" w:rsidRPr="003A2CF7" w:rsidRDefault="00BC4937" w:rsidP="003A2CF7">
      <w:pPr>
        <w:shd w:val="clear" w:color="auto" w:fill="FFFFFF"/>
        <w:snapToGrid w:val="0"/>
        <w:spacing w:line="360" w:lineRule="auto"/>
        <w:jc w:val="both"/>
        <w:rPr>
          <w:rFonts w:ascii="Book Antiqua" w:hAnsi="Book Antiqua" w:cs="Helvetica"/>
          <w:sz w:val="24"/>
          <w:szCs w:val="24"/>
        </w:rPr>
      </w:pPr>
      <w:r w:rsidRPr="003A2CF7">
        <w:rPr>
          <w:rFonts w:ascii="Book Antiqua" w:hAnsi="Book Antiqua" w:cs="Helvetica"/>
          <w:sz w:val="24"/>
          <w:szCs w:val="24"/>
        </w:rPr>
        <w:t>Grade A (Excellent): 0</w:t>
      </w:r>
    </w:p>
    <w:p w:rsidR="00BC4937" w:rsidRPr="003A2CF7" w:rsidRDefault="00BC4937" w:rsidP="003A2CF7">
      <w:pPr>
        <w:shd w:val="clear" w:color="auto" w:fill="FFFFFF"/>
        <w:snapToGrid w:val="0"/>
        <w:spacing w:line="360" w:lineRule="auto"/>
        <w:jc w:val="both"/>
        <w:rPr>
          <w:rFonts w:ascii="Book Antiqua" w:hAnsi="Book Antiqua" w:cs="Helvetica"/>
          <w:sz w:val="24"/>
          <w:szCs w:val="24"/>
          <w:lang w:eastAsia="zh-CN"/>
        </w:rPr>
      </w:pPr>
      <w:r w:rsidRPr="003A2CF7">
        <w:rPr>
          <w:rFonts w:ascii="Book Antiqua" w:hAnsi="Book Antiqua" w:cs="Helvetica"/>
          <w:sz w:val="24"/>
          <w:szCs w:val="24"/>
        </w:rPr>
        <w:t xml:space="preserve">Grade B (Very good): </w:t>
      </w:r>
      <w:r w:rsidR="003A2CF7" w:rsidRPr="003A2CF7">
        <w:rPr>
          <w:rFonts w:ascii="Book Antiqua" w:hAnsi="Book Antiqua" w:cs="Helvetica"/>
          <w:sz w:val="24"/>
          <w:szCs w:val="24"/>
        </w:rPr>
        <w:t>0</w:t>
      </w:r>
    </w:p>
    <w:p w:rsidR="00BC4937" w:rsidRPr="003A2CF7" w:rsidRDefault="00BC4937" w:rsidP="003A2CF7">
      <w:pPr>
        <w:shd w:val="clear" w:color="auto" w:fill="FFFFFF"/>
        <w:snapToGrid w:val="0"/>
        <w:spacing w:line="360" w:lineRule="auto"/>
        <w:jc w:val="both"/>
        <w:rPr>
          <w:rFonts w:ascii="Book Antiqua" w:hAnsi="Book Antiqua" w:cs="Helvetica"/>
          <w:sz w:val="24"/>
          <w:szCs w:val="24"/>
        </w:rPr>
      </w:pPr>
      <w:r w:rsidRPr="003A2CF7">
        <w:rPr>
          <w:rFonts w:ascii="Book Antiqua" w:hAnsi="Book Antiqua" w:cs="Helvetica"/>
          <w:sz w:val="24"/>
          <w:szCs w:val="24"/>
        </w:rPr>
        <w:t xml:space="preserve">Grade C (Good): </w:t>
      </w:r>
      <w:r w:rsidR="003A2CF7" w:rsidRPr="003A2CF7">
        <w:rPr>
          <w:rFonts w:ascii="Book Antiqua" w:hAnsi="Book Antiqua" w:cs="Helvetica"/>
          <w:sz w:val="24"/>
          <w:szCs w:val="24"/>
        </w:rPr>
        <w:t>C</w:t>
      </w:r>
      <w:r w:rsidR="003A2CF7" w:rsidRPr="003A2CF7">
        <w:rPr>
          <w:rFonts w:ascii="Book Antiqua" w:hAnsi="Book Antiqua" w:cs="Helvetica"/>
          <w:sz w:val="24"/>
          <w:szCs w:val="24"/>
          <w:lang w:eastAsia="zh-CN"/>
        </w:rPr>
        <w:t>,</w:t>
      </w:r>
      <w:r w:rsidR="003A2CF7" w:rsidRPr="003A2CF7">
        <w:rPr>
          <w:rFonts w:ascii="Book Antiqua" w:hAnsi="Book Antiqua" w:cs="Helvetica"/>
          <w:sz w:val="24"/>
          <w:szCs w:val="24"/>
        </w:rPr>
        <w:t xml:space="preserve"> C</w:t>
      </w:r>
    </w:p>
    <w:p w:rsidR="00BC4937" w:rsidRPr="003A2CF7" w:rsidRDefault="00BC4937" w:rsidP="003A2CF7">
      <w:pPr>
        <w:shd w:val="clear" w:color="auto" w:fill="FFFFFF"/>
        <w:snapToGrid w:val="0"/>
        <w:spacing w:line="360" w:lineRule="auto"/>
        <w:jc w:val="both"/>
        <w:rPr>
          <w:rFonts w:ascii="Book Antiqua" w:hAnsi="Book Antiqua" w:cs="Helvetica"/>
          <w:sz w:val="24"/>
          <w:szCs w:val="24"/>
        </w:rPr>
      </w:pPr>
      <w:r w:rsidRPr="003A2CF7">
        <w:rPr>
          <w:rFonts w:ascii="Book Antiqua" w:hAnsi="Book Antiqua" w:cs="Helvetica"/>
          <w:sz w:val="24"/>
          <w:szCs w:val="24"/>
        </w:rPr>
        <w:t>Grade D (Fair): 0</w:t>
      </w:r>
    </w:p>
    <w:p w:rsidR="00BC4937" w:rsidRPr="003A2CF7" w:rsidRDefault="00BC4937" w:rsidP="003A2CF7">
      <w:pPr>
        <w:spacing w:line="360" w:lineRule="auto"/>
        <w:jc w:val="both"/>
        <w:rPr>
          <w:rFonts w:ascii="Book Antiqua" w:hAnsi="Book Antiqua" w:cs="Helvetica"/>
          <w:sz w:val="24"/>
          <w:szCs w:val="24"/>
        </w:rPr>
      </w:pPr>
      <w:r w:rsidRPr="003A2CF7">
        <w:rPr>
          <w:rFonts w:ascii="Book Antiqua" w:hAnsi="Book Antiqua" w:cs="Helvetica"/>
          <w:sz w:val="24"/>
          <w:szCs w:val="24"/>
        </w:rPr>
        <w:t>Grade E (Poor): 0</w:t>
      </w:r>
    </w:p>
    <w:p w:rsidR="00BC4937" w:rsidRPr="003A2CF7" w:rsidRDefault="00BC4937" w:rsidP="003A2CF7">
      <w:pPr>
        <w:spacing w:line="360" w:lineRule="auto"/>
        <w:jc w:val="both"/>
        <w:rPr>
          <w:rFonts w:ascii="Book Antiqua" w:hAnsi="Book Antiqua" w:cs="Arial"/>
          <w:b/>
          <w:color w:val="000000"/>
          <w:sz w:val="24"/>
          <w:szCs w:val="24"/>
          <w:lang w:eastAsia="zh-CN"/>
        </w:rPr>
      </w:pPr>
    </w:p>
    <w:p w:rsidR="008949A1" w:rsidRPr="003A2CF7" w:rsidRDefault="008949A1" w:rsidP="003A2CF7">
      <w:pPr>
        <w:spacing w:line="360" w:lineRule="auto"/>
        <w:ind w:right="120"/>
        <w:jc w:val="both"/>
        <w:rPr>
          <w:rFonts w:ascii="Book Antiqua" w:hAnsi="Book Antiqua"/>
          <w:b/>
          <w:bCs/>
          <w:color w:val="000000"/>
          <w:sz w:val="24"/>
          <w:szCs w:val="24"/>
          <w:lang w:eastAsia="zh-CN"/>
        </w:rPr>
      </w:pPr>
    </w:p>
    <w:p w:rsidR="008949A1" w:rsidRPr="003A2CF7" w:rsidRDefault="008949A1" w:rsidP="003A2CF7">
      <w:pPr>
        <w:spacing w:line="360" w:lineRule="auto"/>
        <w:jc w:val="both"/>
        <w:rPr>
          <w:rFonts w:ascii="Book Antiqua" w:hAnsi="Book Antiqua" w:cs="Arial"/>
          <w:noProof/>
          <w:sz w:val="24"/>
          <w:szCs w:val="24"/>
        </w:rPr>
      </w:pPr>
    </w:p>
    <w:p w:rsidR="008949A1" w:rsidRPr="003A2CF7" w:rsidRDefault="008949A1" w:rsidP="003A2CF7">
      <w:pPr>
        <w:spacing w:line="360" w:lineRule="auto"/>
        <w:jc w:val="both"/>
        <w:rPr>
          <w:rFonts w:ascii="Book Antiqua" w:hAnsi="Book Antiqua" w:cs="Arial"/>
          <w:noProof/>
          <w:sz w:val="24"/>
          <w:szCs w:val="24"/>
        </w:rPr>
      </w:pPr>
    </w:p>
    <w:p w:rsidR="008949A1" w:rsidRPr="003A2CF7" w:rsidRDefault="008949A1" w:rsidP="003A2CF7">
      <w:pPr>
        <w:spacing w:line="360" w:lineRule="auto"/>
        <w:jc w:val="both"/>
        <w:rPr>
          <w:rFonts w:ascii="Book Antiqua" w:hAnsi="Book Antiqua" w:cs="Arial"/>
          <w:noProof/>
          <w:sz w:val="24"/>
          <w:szCs w:val="24"/>
        </w:rPr>
      </w:pPr>
    </w:p>
    <w:p w:rsidR="008949A1" w:rsidRPr="003A2CF7" w:rsidRDefault="008949A1" w:rsidP="003A2CF7">
      <w:pPr>
        <w:spacing w:line="360" w:lineRule="auto"/>
        <w:jc w:val="both"/>
        <w:rPr>
          <w:rFonts w:ascii="Book Antiqua" w:hAnsi="Book Antiqua" w:cs="Arial"/>
          <w:noProof/>
          <w:sz w:val="24"/>
          <w:szCs w:val="24"/>
        </w:rPr>
      </w:pPr>
      <w:r w:rsidRPr="003A2CF7">
        <w:rPr>
          <w:rFonts w:ascii="Book Antiqua" w:hAnsi="Book Antiqua" w:cs="Arial"/>
          <w:noProof/>
          <w:sz w:val="24"/>
          <w:szCs w:val="24"/>
        </w:rPr>
        <w:br w:type="page"/>
      </w:r>
    </w:p>
    <w:p w:rsidR="008949A1" w:rsidRPr="003A2CF7" w:rsidRDefault="003A2CF7" w:rsidP="003A2CF7">
      <w:pPr>
        <w:spacing w:line="276" w:lineRule="auto"/>
        <w:jc w:val="both"/>
        <w:rPr>
          <w:rFonts w:ascii="Book Antiqua" w:hAnsi="Book Antiqua"/>
          <w:sz w:val="24"/>
          <w:szCs w:val="24"/>
        </w:rPr>
      </w:pPr>
      <w:r w:rsidRPr="003A2CF7">
        <w:rPr>
          <w:rFonts w:ascii="Book Antiqua" w:hAnsi="Book Antiqua"/>
          <w:b/>
          <w:bCs/>
          <w:sz w:val="24"/>
          <w:szCs w:val="24"/>
        </w:rPr>
        <w:lastRenderedPageBreak/>
        <w:t xml:space="preserve">Table 1 Prevalence of pseudopolyps in </w:t>
      </w:r>
      <w:r w:rsidRPr="003A2CF7">
        <w:rPr>
          <w:rFonts w:ascii="Book Antiqua" w:hAnsi="Book Antiqua"/>
          <w:b/>
          <w:sz w:val="24"/>
          <w:szCs w:val="24"/>
        </w:rPr>
        <w:t>inflammatory bowel disease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1519"/>
        <w:gridCol w:w="1771"/>
        <w:gridCol w:w="2805"/>
      </w:tblGrid>
      <w:tr w:rsidR="003A2CF7" w:rsidRPr="003A2CF7" w:rsidTr="007754F0">
        <w:tc>
          <w:tcPr>
            <w:tcW w:w="2235" w:type="dxa"/>
            <w:tcBorders>
              <w:top w:val="single" w:sz="4" w:space="0" w:color="auto"/>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b/>
                <w:bCs/>
                <w:sz w:val="24"/>
                <w:szCs w:val="24"/>
                <w:lang w:eastAsia="zh-CN"/>
              </w:rPr>
              <w:t>Ref.</w:t>
            </w:r>
            <w:r w:rsidRPr="003A2CF7">
              <w:rPr>
                <w:rFonts w:ascii="Book Antiqua" w:hAnsi="Book Antiqua"/>
                <w:b/>
                <w:bCs/>
                <w:sz w:val="24"/>
                <w:szCs w:val="24"/>
              </w:rPr>
              <w:t xml:space="preserve">                    </w:t>
            </w:r>
          </w:p>
        </w:tc>
        <w:tc>
          <w:tcPr>
            <w:tcW w:w="1559" w:type="dxa"/>
            <w:tcBorders>
              <w:top w:val="single" w:sz="4" w:space="0" w:color="auto"/>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b/>
                <w:bCs/>
                <w:sz w:val="24"/>
                <w:szCs w:val="24"/>
              </w:rPr>
              <w:t>Year of publication</w:t>
            </w:r>
          </w:p>
        </w:tc>
        <w:tc>
          <w:tcPr>
            <w:tcW w:w="1519" w:type="dxa"/>
            <w:tcBorders>
              <w:top w:val="single" w:sz="4" w:space="0" w:color="auto"/>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b/>
                <w:bCs/>
                <w:sz w:val="24"/>
                <w:szCs w:val="24"/>
              </w:rPr>
              <w:t>IBD diagnosis</w:t>
            </w:r>
          </w:p>
        </w:tc>
        <w:tc>
          <w:tcPr>
            <w:tcW w:w="1771" w:type="dxa"/>
            <w:tcBorders>
              <w:top w:val="single" w:sz="4" w:space="0" w:color="auto"/>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b/>
                <w:bCs/>
                <w:sz w:val="24"/>
                <w:szCs w:val="24"/>
              </w:rPr>
              <w:t>Prevalence of pseudopolyps</w:t>
            </w:r>
            <w:r w:rsidRPr="003A2CF7">
              <w:rPr>
                <w:rFonts w:ascii="Book Antiqua" w:hAnsi="Book Antiqua"/>
                <w:b/>
                <w:bCs/>
                <w:sz w:val="24"/>
                <w:szCs w:val="24"/>
                <w:lang w:eastAsia="zh-CN"/>
              </w:rPr>
              <w:t xml:space="preserve"> (</w:t>
            </w:r>
            <w:r w:rsidRPr="003A2CF7">
              <w:rPr>
                <w:rFonts w:ascii="Book Antiqua" w:hAnsi="Book Antiqua"/>
                <w:b/>
                <w:bCs/>
                <w:sz w:val="24"/>
                <w:szCs w:val="24"/>
              </w:rPr>
              <w:t>%</w:t>
            </w:r>
            <w:r w:rsidRPr="003A2CF7">
              <w:rPr>
                <w:rFonts w:ascii="Book Antiqua" w:hAnsi="Book Antiqua"/>
                <w:b/>
                <w:bCs/>
                <w:sz w:val="24"/>
                <w:szCs w:val="24"/>
                <w:lang w:eastAsia="zh-CN"/>
              </w:rPr>
              <w:t>)</w:t>
            </w:r>
            <w:r w:rsidRPr="003A2CF7">
              <w:rPr>
                <w:rFonts w:ascii="Book Antiqua" w:hAnsi="Book Antiqua"/>
                <w:b/>
                <w:bCs/>
                <w:sz w:val="24"/>
                <w:szCs w:val="24"/>
              </w:rPr>
              <w:t xml:space="preserve"> </w:t>
            </w:r>
          </w:p>
        </w:tc>
        <w:tc>
          <w:tcPr>
            <w:tcW w:w="2805" w:type="dxa"/>
            <w:tcBorders>
              <w:top w:val="single" w:sz="4" w:space="0" w:color="auto"/>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b/>
                <w:bCs/>
                <w:sz w:val="24"/>
                <w:szCs w:val="24"/>
              </w:rPr>
              <w:t>Special characteristics</w:t>
            </w:r>
          </w:p>
        </w:tc>
      </w:tr>
      <w:tr w:rsidR="003A2CF7" w:rsidRPr="003A2CF7" w:rsidTr="007754F0">
        <w:tc>
          <w:tcPr>
            <w:tcW w:w="2235" w:type="dxa"/>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bCs/>
                <w:sz w:val="24"/>
                <w:szCs w:val="24"/>
              </w:rPr>
              <w:t xml:space="preserve">Bargen </w:t>
            </w:r>
            <w:r w:rsidRPr="003A2CF7">
              <w:rPr>
                <w:rFonts w:ascii="Book Antiqua" w:hAnsi="Book Antiqua"/>
                <w:bCs/>
                <w:i/>
                <w:sz w:val="24"/>
                <w:szCs w:val="24"/>
              </w:rPr>
              <w:t>et al</w:t>
            </w:r>
            <w:r w:rsidRPr="003A2CF7">
              <w:rPr>
                <w:rFonts w:ascii="Book Antiqua" w:hAnsi="Book Antiqua"/>
                <w:bCs/>
                <w:sz w:val="24"/>
                <w:szCs w:val="24"/>
                <w:vertAlign w:val="superscript"/>
              </w:rPr>
              <w:t>[29]</w:t>
            </w:r>
          </w:p>
        </w:tc>
        <w:tc>
          <w:tcPr>
            <w:tcW w:w="1559" w:type="dxa"/>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1929</w:t>
            </w:r>
          </w:p>
        </w:tc>
        <w:tc>
          <w:tcPr>
            <w:tcW w:w="1519" w:type="dxa"/>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bCs/>
                <w:iCs/>
                <w:sz w:val="24"/>
                <w:szCs w:val="24"/>
              </w:rPr>
              <w:t>693)</w:t>
            </w:r>
          </w:p>
        </w:tc>
        <w:tc>
          <w:tcPr>
            <w:tcW w:w="1771" w:type="dxa"/>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10</w:t>
            </w:r>
          </w:p>
        </w:tc>
        <w:tc>
          <w:tcPr>
            <w:tcW w:w="2805" w:type="dxa"/>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bCs/>
                <w:sz w:val="24"/>
                <w:szCs w:val="24"/>
              </w:rPr>
              <w:t xml:space="preserve">Baars </w:t>
            </w:r>
            <w:r w:rsidRPr="003A2CF7">
              <w:rPr>
                <w:rFonts w:ascii="Book Antiqua" w:hAnsi="Book Antiqua"/>
                <w:bCs/>
                <w:i/>
                <w:sz w:val="24"/>
                <w:szCs w:val="24"/>
              </w:rPr>
              <w:t>et al</w:t>
            </w:r>
            <w:r w:rsidRPr="003A2CF7">
              <w:rPr>
                <w:rFonts w:ascii="Book Antiqua" w:hAnsi="Book Antiqua"/>
                <w:bCs/>
                <w:sz w:val="24"/>
                <w:szCs w:val="24"/>
                <w:vertAlign w:val="superscript"/>
              </w:rPr>
              <w:t>[30]</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2012</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171) CD (</w:t>
            </w:r>
            <w:r w:rsidRPr="003A2CF7">
              <w:rPr>
                <w:rFonts w:ascii="Book Antiqua" w:hAnsi="Book Antiqua"/>
                <w:i/>
                <w:sz w:val="24"/>
                <w:szCs w:val="24"/>
              </w:rPr>
              <w:t xml:space="preserve">n = </w:t>
            </w:r>
            <w:r w:rsidRPr="003A2CF7">
              <w:rPr>
                <w:rFonts w:ascii="Book Antiqua" w:hAnsi="Book Antiqua"/>
                <w:sz w:val="24"/>
                <w:szCs w:val="24"/>
              </w:rPr>
              <w:t>77)</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30</w:t>
            </w:r>
          </w:p>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38</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44% of UC patients and 30% of CD patients with unknown status for PP</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Baars </w:t>
            </w:r>
            <w:r w:rsidRPr="003A2CF7">
              <w:rPr>
                <w:rFonts w:ascii="Book Antiqua" w:hAnsi="Book Antiqua"/>
                <w:i/>
                <w:sz w:val="24"/>
                <w:szCs w:val="24"/>
              </w:rPr>
              <w:t>et al</w:t>
            </w:r>
            <w:r w:rsidRPr="003A2CF7">
              <w:rPr>
                <w:rFonts w:ascii="Book Antiqua" w:hAnsi="Book Antiqua"/>
                <w:sz w:val="24"/>
                <w:szCs w:val="24"/>
                <w:vertAlign w:val="superscript"/>
              </w:rPr>
              <w:t>[31]</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2012</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CD (</w:t>
            </w:r>
            <w:r w:rsidRPr="003A2CF7">
              <w:rPr>
                <w:rFonts w:ascii="Book Antiqua" w:hAnsi="Book Antiqua"/>
                <w:i/>
                <w:sz w:val="24"/>
                <w:szCs w:val="24"/>
              </w:rPr>
              <w:t xml:space="preserve">n = </w:t>
            </w:r>
            <w:r w:rsidRPr="003A2CF7">
              <w:rPr>
                <w:rFonts w:ascii="Book Antiqua" w:hAnsi="Book Antiqua"/>
                <w:sz w:val="24"/>
                <w:szCs w:val="24"/>
              </w:rPr>
              <w:t>152)</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Bacon </w:t>
            </w:r>
            <w:r w:rsidRPr="003A2CF7">
              <w:rPr>
                <w:rFonts w:ascii="Book Antiqua" w:hAnsi="Book Antiqua"/>
                <w:i/>
                <w:sz w:val="24"/>
                <w:szCs w:val="24"/>
              </w:rPr>
              <w:t>et al</w:t>
            </w:r>
            <w:r w:rsidRPr="003A2CF7">
              <w:rPr>
                <w:rFonts w:ascii="Book Antiqua" w:hAnsi="Book Antiqua"/>
                <w:sz w:val="24"/>
                <w:szCs w:val="24"/>
                <w:vertAlign w:val="superscript"/>
              </w:rPr>
              <w:t>[32]</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1956</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84)</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57.1</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Colectomy specimens</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Bocus </w:t>
            </w:r>
            <w:r w:rsidRPr="003A2CF7">
              <w:rPr>
                <w:rFonts w:ascii="Book Antiqua" w:hAnsi="Book Antiqua"/>
                <w:i/>
                <w:sz w:val="24"/>
                <w:szCs w:val="24"/>
              </w:rPr>
              <w:t>et al</w:t>
            </w:r>
            <w:r w:rsidRPr="003A2CF7">
              <w:rPr>
                <w:rFonts w:ascii="Book Antiqua" w:hAnsi="Book Antiqua"/>
                <w:sz w:val="24"/>
                <w:szCs w:val="24"/>
                <w:vertAlign w:val="superscript"/>
              </w:rPr>
              <w:t>[27]</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1956</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125)</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74</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Hospitalized patients</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Chang </w:t>
            </w:r>
            <w:r w:rsidRPr="003A2CF7">
              <w:rPr>
                <w:rFonts w:ascii="Book Antiqua" w:hAnsi="Book Antiqua"/>
                <w:i/>
                <w:sz w:val="24"/>
                <w:szCs w:val="24"/>
              </w:rPr>
              <w:t>et al</w:t>
            </w:r>
            <w:r w:rsidRPr="003A2CF7">
              <w:rPr>
                <w:rFonts w:ascii="Book Antiqua" w:hAnsi="Book Antiqua"/>
                <w:sz w:val="24"/>
                <w:szCs w:val="24"/>
                <w:vertAlign w:val="superscript"/>
              </w:rPr>
              <w:t>[21]</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2007</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CD (</w:t>
            </w:r>
            <w:r w:rsidRPr="003A2CF7">
              <w:rPr>
                <w:rFonts w:ascii="Book Antiqua" w:hAnsi="Book Antiqua"/>
                <w:i/>
                <w:sz w:val="24"/>
                <w:szCs w:val="24"/>
              </w:rPr>
              <w:t xml:space="preserve">n = </w:t>
            </w:r>
            <w:r w:rsidRPr="003A2CF7">
              <w:rPr>
                <w:rFonts w:ascii="Book Antiqua" w:hAnsi="Book Antiqua"/>
                <w:sz w:val="24"/>
                <w:szCs w:val="24"/>
              </w:rPr>
              <w:t>23)</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22</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Examined only small intestine</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Chawla </w:t>
            </w:r>
            <w:r w:rsidRPr="003A2CF7">
              <w:rPr>
                <w:rFonts w:ascii="Book Antiqua" w:hAnsi="Book Antiqua"/>
                <w:i/>
                <w:sz w:val="24"/>
                <w:szCs w:val="24"/>
              </w:rPr>
              <w:t>et al</w:t>
            </w:r>
            <w:r w:rsidRPr="003A2CF7">
              <w:rPr>
                <w:rFonts w:ascii="Book Antiqua" w:hAnsi="Book Antiqua"/>
                <w:sz w:val="24"/>
                <w:szCs w:val="24"/>
                <w:vertAlign w:val="superscript"/>
              </w:rPr>
              <w:t>[26]</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1990</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50)</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4</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Chutani </w:t>
            </w:r>
            <w:r w:rsidRPr="003A2CF7">
              <w:rPr>
                <w:rFonts w:ascii="Book Antiqua" w:hAnsi="Book Antiqua"/>
                <w:i/>
                <w:sz w:val="24"/>
                <w:szCs w:val="24"/>
              </w:rPr>
              <w:t>et al</w:t>
            </w:r>
            <w:r w:rsidRPr="003A2CF7">
              <w:rPr>
                <w:rFonts w:ascii="Book Antiqua" w:hAnsi="Book Antiqua"/>
                <w:sz w:val="24"/>
                <w:szCs w:val="24"/>
                <w:vertAlign w:val="superscript"/>
              </w:rPr>
              <w:t>[33]</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1967</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46)</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15</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De Dombal </w:t>
            </w:r>
            <w:r w:rsidRPr="003A2CF7">
              <w:rPr>
                <w:rFonts w:ascii="Book Antiqua" w:hAnsi="Book Antiqua"/>
                <w:i/>
                <w:sz w:val="24"/>
                <w:szCs w:val="24"/>
              </w:rPr>
              <w:t>et al</w:t>
            </w:r>
            <w:r w:rsidRPr="003A2CF7">
              <w:rPr>
                <w:rFonts w:ascii="Book Antiqua" w:hAnsi="Book Antiqua"/>
                <w:sz w:val="24"/>
                <w:szCs w:val="24"/>
                <w:vertAlign w:val="superscript"/>
              </w:rPr>
              <w:t>[17]</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1966</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465)</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12.5</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De Felice </w:t>
            </w:r>
            <w:r w:rsidRPr="003A2CF7">
              <w:rPr>
                <w:rFonts w:ascii="Book Antiqua" w:hAnsi="Book Antiqua"/>
                <w:i/>
                <w:sz w:val="24"/>
                <w:szCs w:val="24"/>
              </w:rPr>
              <w:t>et al</w:t>
            </w:r>
            <w:r w:rsidRPr="003A2CF7">
              <w:rPr>
                <w:rFonts w:ascii="Book Antiqua" w:hAnsi="Book Antiqua"/>
                <w:sz w:val="24"/>
                <w:szCs w:val="24"/>
                <w:vertAlign w:val="superscript"/>
              </w:rPr>
              <w:t>[19]</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2015</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CD (</w:t>
            </w:r>
            <w:r w:rsidRPr="003A2CF7">
              <w:rPr>
                <w:rFonts w:ascii="Book Antiqua" w:hAnsi="Book Antiqua"/>
                <w:i/>
                <w:sz w:val="24"/>
                <w:szCs w:val="24"/>
              </w:rPr>
              <w:t xml:space="preserve">n = </w:t>
            </w:r>
            <w:r w:rsidRPr="003A2CF7">
              <w:rPr>
                <w:rFonts w:ascii="Book Antiqua" w:hAnsi="Book Antiqua"/>
                <w:sz w:val="24"/>
                <w:szCs w:val="24"/>
              </w:rPr>
              <w:t>24)</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4</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Location esophagus</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Dukes </w:t>
            </w:r>
            <w:r w:rsidRPr="003A2CF7">
              <w:rPr>
                <w:rFonts w:ascii="Book Antiqua" w:hAnsi="Book Antiqua"/>
                <w:i/>
                <w:sz w:val="24"/>
                <w:szCs w:val="24"/>
              </w:rPr>
              <w:t>et al</w:t>
            </w:r>
            <w:r w:rsidRPr="003A2CF7">
              <w:rPr>
                <w:rFonts w:ascii="Book Antiqua" w:hAnsi="Book Antiqua"/>
                <w:sz w:val="24"/>
                <w:szCs w:val="24"/>
                <w:vertAlign w:val="superscript"/>
              </w:rPr>
              <w:t>[11]</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1954</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120)</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10</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Colectomy specimens</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Edwards </w:t>
            </w:r>
            <w:r w:rsidRPr="003A2CF7">
              <w:rPr>
                <w:rFonts w:ascii="Book Antiqua" w:hAnsi="Book Antiqua"/>
                <w:i/>
                <w:sz w:val="24"/>
                <w:szCs w:val="24"/>
              </w:rPr>
              <w:t>et al</w:t>
            </w:r>
            <w:r w:rsidRPr="003A2CF7">
              <w:rPr>
                <w:rFonts w:ascii="Book Antiqua" w:hAnsi="Book Antiqua"/>
                <w:sz w:val="24"/>
                <w:szCs w:val="24"/>
                <w:vertAlign w:val="superscript"/>
              </w:rPr>
              <w:t>[34]</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1964</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624)</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14.9</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 xml:space="preserve">Geboes </w:t>
            </w:r>
            <w:r w:rsidRPr="003A2CF7">
              <w:rPr>
                <w:rFonts w:ascii="Book Antiqua" w:hAnsi="Book Antiqua"/>
                <w:i/>
                <w:sz w:val="24"/>
                <w:szCs w:val="24"/>
              </w:rPr>
              <w:t>et al</w:t>
            </w:r>
            <w:r w:rsidRPr="003A2CF7">
              <w:rPr>
                <w:rFonts w:ascii="Book Antiqua" w:hAnsi="Book Antiqua"/>
                <w:sz w:val="24"/>
                <w:szCs w:val="24"/>
                <w:vertAlign w:val="superscript"/>
              </w:rPr>
              <w:t>[39]</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1975</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CD (</w:t>
            </w:r>
            <w:r w:rsidRPr="003A2CF7">
              <w:rPr>
                <w:rFonts w:ascii="Book Antiqua" w:hAnsi="Book Antiqua"/>
                <w:i/>
                <w:sz w:val="24"/>
                <w:szCs w:val="24"/>
              </w:rPr>
              <w:t xml:space="preserve">n = </w:t>
            </w:r>
            <w:r w:rsidRPr="003A2CF7">
              <w:rPr>
                <w:rFonts w:ascii="Book Antiqua" w:hAnsi="Book Antiqua"/>
                <w:sz w:val="24"/>
                <w:szCs w:val="24"/>
              </w:rPr>
              <w:t>43)</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16</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Jalan </w:t>
            </w:r>
            <w:r w:rsidRPr="003A2CF7">
              <w:rPr>
                <w:rFonts w:ascii="Book Antiqua" w:hAnsi="Book Antiqua"/>
                <w:i/>
                <w:sz w:val="24"/>
                <w:szCs w:val="24"/>
              </w:rPr>
              <w:t>et al</w:t>
            </w:r>
            <w:r w:rsidRPr="003A2CF7">
              <w:rPr>
                <w:rFonts w:ascii="Book Antiqua" w:hAnsi="Book Antiqua"/>
                <w:sz w:val="24"/>
                <w:szCs w:val="24"/>
                <w:vertAlign w:val="superscript"/>
              </w:rPr>
              <w:t>[10]</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1969</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399)</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18.7</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 xml:space="preserve">Kelly </w:t>
            </w:r>
            <w:r w:rsidRPr="003A2CF7">
              <w:rPr>
                <w:rFonts w:ascii="Book Antiqua" w:hAnsi="Book Antiqua"/>
                <w:i/>
                <w:sz w:val="24"/>
                <w:szCs w:val="24"/>
              </w:rPr>
              <w:t>et al</w:t>
            </w:r>
            <w:r w:rsidRPr="003A2CF7">
              <w:rPr>
                <w:rFonts w:ascii="Book Antiqua" w:hAnsi="Book Antiqua"/>
                <w:sz w:val="24"/>
                <w:szCs w:val="24"/>
                <w:vertAlign w:val="superscript"/>
              </w:rPr>
              <w:t>[6]</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1987</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CD (</w:t>
            </w:r>
            <w:r w:rsidRPr="003A2CF7">
              <w:rPr>
                <w:rFonts w:ascii="Book Antiqua" w:hAnsi="Book Antiqua"/>
                <w:i/>
                <w:sz w:val="24"/>
                <w:szCs w:val="24"/>
              </w:rPr>
              <w:t xml:space="preserve">n </w:t>
            </w:r>
            <w:r w:rsidRPr="003A2CF7">
              <w:rPr>
                <w:rFonts w:ascii="Book Antiqua" w:hAnsi="Book Antiqua"/>
                <w:i/>
                <w:sz w:val="24"/>
                <w:szCs w:val="24"/>
              </w:rPr>
              <w:lastRenderedPageBreak/>
              <w:t xml:space="preserve">= </w:t>
            </w:r>
            <w:r w:rsidRPr="003A2CF7">
              <w:rPr>
                <w:rFonts w:ascii="Book Antiqua" w:hAnsi="Book Antiqua"/>
                <w:sz w:val="24"/>
                <w:szCs w:val="24"/>
              </w:rPr>
              <w:t>86)</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lastRenderedPageBreak/>
              <w:t xml:space="preserve">UC: 36       </w:t>
            </w:r>
          </w:p>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lastRenderedPageBreak/>
              <w:t>CD: 17</w:t>
            </w:r>
          </w:p>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 xml:space="preserve">GPP: 4.6 </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lastRenderedPageBreak/>
              <w:t>Colectomy specimens</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lastRenderedPageBreak/>
              <w:t xml:space="preserve">Lescut </w:t>
            </w:r>
            <w:r w:rsidRPr="003A2CF7">
              <w:rPr>
                <w:rFonts w:ascii="Book Antiqua" w:hAnsi="Book Antiqua"/>
                <w:i/>
                <w:sz w:val="24"/>
                <w:szCs w:val="24"/>
              </w:rPr>
              <w:t>et al</w:t>
            </w:r>
            <w:r w:rsidRPr="003A2CF7">
              <w:rPr>
                <w:rFonts w:ascii="Book Antiqua" w:hAnsi="Book Antiqua"/>
                <w:sz w:val="24"/>
                <w:szCs w:val="24"/>
                <w:vertAlign w:val="superscript"/>
              </w:rPr>
              <w:t>[35]</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1993</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CD (</w:t>
            </w:r>
            <w:r w:rsidRPr="003A2CF7">
              <w:rPr>
                <w:rFonts w:ascii="Book Antiqua" w:hAnsi="Book Antiqua"/>
                <w:i/>
                <w:sz w:val="24"/>
                <w:szCs w:val="24"/>
              </w:rPr>
              <w:t xml:space="preserve">n = </w:t>
            </w:r>
            <w:r w:rsidRPr="003A2CF7">
              <w:rPr>
                <w:rFonts w:ascii="Book Antiqua" w:hAnsi="Book Antiqua"/>
                <w:sz w:val="24"/>
                <w:szCs w:val="24"/>
              </w:rPr>
              <w:t>20)</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10</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Only small intestine examined as location</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Luo </w:t>
            </w:r>
            <w:r w:rsidRPr="003A2CF7">
              <w:rPr>
                <w:rFonts w:ascii="Book Antiqua" w:hAnsi="Book Antiqua"/>
                <w:i/>
                <w:sz w:val="24"/>
                <w:szCs w:val="24"/>
              </w:rPr>
              <w:t>et al</w:t>
            </w:r>
            <w:r w:rsidRPr="003A2CF7">
              <w:rPr>
                <w:rFonts w:ascii="Book Antiqua" w:hAnsi="Book Antiqua"/>
                <w:sz w:val="24"/>
                <w:szCs w:val="24"/>
                <w:vertAlign w:val="superscript"/>
              </w:rPr>
              <w:t>[36]</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2009</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CD (</w:t>
            </w:r>
            <w:r w:rsidRPr="003A2CF7">
              <w:rPr>
                <w:rFonts w:ascii="Book Antiqua" w:hAnsi="Book Antiqua"/>
                <w:i/>
                <w:sz w:val="24"/>
                <w:szCs w:val="24"/>
              </w:rPr>
              <w:t xml:space="preserve">n = </w:t>
            </w:r>
            <w:r w:rsidRPr="003A2CF7">
              <w:rPr>
                <w:rFonts w:ascii="Book Antiqua" w:hAnsi="Book Antiqua"/>
                <w:sz w:val="24"/>
                <w:szCs w:val="24"/>
              </w:rPr>
              <w:t>34)</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29</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Pediatric population</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Maroo </w:t>
            </w:r>
            <w:r w:rsidRPr="003A2CF7">
              <w:rPr>
                <w:rFonts w:ascii="Book Antiqua" w:hAnsi="Book Antiqua"/>
                <w:i/>
                <w:sz w:val="24"/>
                <w:szCs w:val="24"/>
              </w:rPr>
              <w:t>et al</w:t>
            </w:r>
            <w:r w:rsidRPr="003A2CF7">
              <w:rPr>
                <w:rFonts w:ascii="Book Antiqua" w:hAnsi="Book Antiqua"/>
                <w:sz w:val="24"/>
                <w:szCs w:val="24"/>
                <w:vertAlign w:val="superscript"/>
              </w:rPr>
              <w:t>[37]</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1974</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122)</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8</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Modigliani </w:t>
            </w:r>
            <w:r w:rsidRPr="003A2CF7">
              <w:rPr>
                <w:rFonts w:ascii="Book Antiqua" w:hAnsi="Book Antiqua"/>
                <w:i/>
                <w:sz w:val="24"/>
                <w:szCs w:val="24"/>
              </w:rPr>
              <w:t>et al</w:t>
            </w:r>
            <w:r w:rsidRPr="003A2CF7">
              <w:rPr>
                <w:rFonts w:ascii="Book Antiqua" w:hAnsi="Book Antiqua"/>
                <w:sz w:val="24"/>
                <w:szCs w:val="24"/>
                <w:vertAlign w:val="superscript"/>
              </w:rPr>
              <w:t>[50]</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1990</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CD (</w:t>
            </w:r>
            <w:r w:rsidRPr="003A2CF7">
              <w:rPr>
                <w:rFonts w:ascii="Book Antiqua" w:hAnsi="Book Antiqua"/>
                <w:i/>
                <w:sz w:val="24"/>
                <w:szCs w:val="24"/>
              </w:rPr>
              <w:t xml:space="preserve">n = </w:t>
            </w:r>
            <w:r w:rsidRPr="003A2CF7">
              <w:rPr>
                <w:rFonts w:ascii="Book Antiqua" w:hAnsi="Book Antiqua"/>
                <w:sz w:val="24"/>
                <w:szCs w:val="24"/>
              </w:rPr>
              <w:t>142)</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41</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Active colonic or ileocolonic CD</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 xml:space="preserve">Ray </w:t>
            </w:r>
            <w:r w:rsidRPr="003A2CF7">
              <w:rPr>
                <w:rFonts w:ascii="Book Antiqua" w:hAnsi="Book Antiqua"/>
                <w:i/>
                <w:sz w:val="24"/>
                <w:szCs w:val="24"/>
              </w:rPr>
              <w:t>et al</w:t>
            </w:r>
            <w:r w:rsidRPr="003A2CF7">
              <w:rPr>
                <w:rFonts w:ascii="Book Antiqua" w:hAnsi="Book Antiqua"/>
                <w:sz w:val="24"/>
                <w:szCs w:val="24"/>
                <w:vertAlign w:val="superscript"/>
              </w:rPr>
              <w:t>[38]</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2011</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40)</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27</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 xml:space="preserve">Rutter </w:t>
            </w:r>
            <w:r w:rsidRPr="003A2CF7">
              <w:rPr>
                <w:rFonts w:ascii="Book Antiqua" w:hAnsi="Book Antiqua"/>
                <w:i/>
                <w:sz w:val="24"/>
                <w:szCs w:val="24"/>
              </w:rPr>
              <w:t>et al</w:t>
            </w:r>
            <w:r w:rsidRPr="003A2CF7">
              <w:rPr>
                <w:rFonts w:ascii="Book Antiqua" w:hAnsi="Book Antiqua"/>
                <w:sz w:val="24"/>
                <w:szCs w:val="24"/>
                <w:vertAlign w:val="superscript"/>
              </w:rPr>
              <w:t>[44]</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2004</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136)</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39</w:t>
            </w:r>
          </w:p>
          <w:p w:rsidR="003A2CF7" w:rsidRPr="003A2CF7" w:rsidRDefault="003A2CF7" w:rsidP="003A2CF7">
            <w:pPr>
              <w:spacing w:line="360" w:lineRule="auto"/>
              <w:jc w:val="both"/>
              <w:rPr>
                <w:rFonts w:ascii="Book Antiqua" w:hAnsi="Book Antiqua"/>
                <w:sz w:val="24"/>
                <w:szCs w:val="24"/>
              </w:rPr>
            </w:pP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 xml:space="preserve">Control population without CRC </w:t>
            </w:r>
          </w:p>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 xml:space="preserve">Population with CRC  </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Tandon </w:t>
            </w:r>
            <w:r w:rsidRPr="003A2CF7">
              <w:rPr>
                <w:rFonts w:ascii="Book Antiqua" w:hAnsi="Book Antiqua"/>
                <w:i/>
                <w:sz w:val="24"/>
                <w:szCs w:val="24"/>
              </w:rPr>
              <w:t>et al</w:t>
            </w:r>
            <w:r w:rsidRPr="003A2CF7">
              <w:rPr>
                <w:rFonts w:ascii="Book Antiqua" w:hAnsi="Book Antiqua"/>
                <w:sz w:val="24"/>
                <w:szCs w:val="24"/>
                <w:vertAlign w:val="superscript"/>
              </w:rPr>
              <w:t>[40]</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1965</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69)</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17.6</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Teague </w:t>
            </w:r>
            <w:r w:rsidRPr="003A2CF7">
              <w:rPr>
                <w:rFonts w:ascii="Book Antiqua" w:hAnsi="Book Antiqua"/>
                <w:i/>
                <w:sz w:val="24"/>
                <w:szCs w:val="24"/>
              </w:rPr>
              <w:t>et al</w:t>
            </w:r>
            <w:r w:rsidRPr="003A2CF7">
              <w:rPr>
                <w:rFonts w:ascii="Book Antiqua" w:hAnsi="Book Antiqua"/>
                <w:sz w:val="24"/>
                <w:szCs w:val="24"/>
                <w:vertAlign w:val="superscript"/>
              </w:rPr>
              <w:t>[41]</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1975</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150)</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17</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Teh </w:t>
            </w:r>
            <w:r w:rsidRPr="003A2CF7">
              <w:rPr>
                <w:rFonts w:ascii="Book Antiqua" w:hAnsi="Book Antiqua"/>
                <w:i/>
                <w:sz w:val="24"/>
                <w:szCs w:val="24"/>
              </w:rPr>
              <w:t>et al</w:t>
            </w:r>
            <w:r w:rsidRPr="003A2CF7">
              <w:rPr>
                <w:rFonts w:ascii="Book Antiqua" w:hAnsi="Book Antiqua"/>
                <w:sz w:val="24"/>
                <w:szCs w:val="24"/>
                <w:vertAlign w:val="superscript"/>
              </w:rPr>
              <w:t>[42]</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1987</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61)</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21.3</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Velayos </w:t>
            </w:r>
            <w:r w:rsidRPr="003A2CF7">
              <w:rPr>
                <w:rFonts w:ascii="Book Antiqua" w:hAnsi="Book Antiqua"/>
                <w:i/>
                <w:sz w:val="24"/>
                <w:szCs w:val="24"/>
              </w:rPr>
              <w:t>et al</w:t>
            </w:r>
            <w:r w:rsidRPr="003A2CF7">
              <w:rPr>
                <w:rFonts w:ascii="Book Antiqua" w:hAnsi="Book Antiqua"/>
                <w:sz w:val="24"/>
                <w:szCs w:val="24"/>
                <w:vertAlign w:val="superscript"/>
              </w:rPr>
              <w:t>[43]</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2006</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 xml:space="preserve">188)  </w:t>
            </w:r>
          </w:p>
          <w:p w:rsidR="003A2CF7" w:rsidRPr="003A2CF7" w:rsidRDefault="003A2CF7" w:rsidP="003A2CF7">
            <w:pPr>
              <w:spacing w:line="360" w:lineRule="auto"/>
              <w:jc w:val="both"/>
              <w:rPr>
                <w:rFonts w:ascii="Book Antiqua" w:hAnsi="Book Antiqua"/>
                <w:sz w:val="24"/>
                <w:szCs w:val="24"/>
              </w:rPr>
            </w:pPr>
          </w:p>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188)</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42</w:t>
            </w:r>
          </w:p>
          <w:p w:rsidR="003A2CF7" w:rsidRPr="003A2CF7" w:rsidRDefault="003A2CF7" w:rsidP="003A2CF7">
            <w:pPr>
              <w:spacing w:line="360" w:lineRule="auto"/>
              <w:jc w:val="both"/>
              <w:rPr>
                <w:rFonts w:ascii="Book Antiqua" w:hAnsi="Book Antiqua"/>
                <w:sz w:val="24"/>
                <w:szCs w:val="24"/>
              </w:rPr>
            </w:pPr>
          </w:p>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56</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Control population without CRC</w:t>
            </w:r>
          </w:p>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Population with CRC</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Wang </w:t>
            </w:r>
            <w:r w:rsidRPr="003A2CF7">
              <w:rPr>
                <w:rFonts w:ascii="Book Antiqua" w:hAnsi="Book Antiqua"/>
                <w:i/>
                <w:sz w:val="24"/>
                <w:szCs w:val="24"/>
              </w:rPr>
              <w:t>et al</w:t>
            </w:r>
            <w:r w:rsidRPr="003A2CF7">
              <w:rPr>
                <w:rFonts w:ascii="Book Antiqua" w:hAnsi="Book Antiqua"/>
                <w:sz w:val="24"/>
                <w:szCs w:val="24"/>
                <w:vertAlign w:val="superscript"/>
              </w:rPr>
              <w:t>[45]</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2007</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2726)</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22</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Active UC</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Watts </w:t>
            </w:r>
            <w:r w:rsidRPr="003A2CF7">
              <w:rPr>
                <w:rFonts w:ascii="Book Antiqua" w:hAnsi="Book Antiqua"/>
                <w:i/>
                <w:sz w:val="24"/>
                <w:szCs w:val="24"/>
              </w:rPr>
              <w:t>et al</w:t>
            </w:r>
            <w:r w:rsidRPr="003A2CF7">
              <w:rPr>
                <w:rFonts w:ascii="Book Antiqua" w:hAnsi="Book Antiqua"/>
                <w:sz w:val="24"/>
                <w:szCs w:val="24"/>
                <w:vertAlign w:val="superscript"/>
              </w:rPr>
              <w:t>[46]</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1966</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169)</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47</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Surgical specimens</w:t>
            </w:r>
          </w:p>
        </w:tc>
      </w:tr>
      <w:tr w:rsidR="003A2CF7" w:rsidRPr="003A2CF7" w:rsidTr="007754F0">
        <w:trPr>
          <w:trHeight w:val="450"/>
        </w:trPr>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Waugh </w:t>
            </w:r>
            <w:r w:rsidRPr="003A2CF7">
              <w:rPr>
                <w:rFonts w:ascii="Book Antiqua" w:hAnsi="Book Antiqua"/>
                <w:i/>
                <w:sz w:val="24"/>
                <w:szCs w:val="24"/>
              </w:rPr>
              <w:t>et al</w:t>
            </w:r>
            <w:r w:rsidRPr="003A2CF7">
              <w:rPr>
                <w:rFonts w:ascii="Book Antiqua" w:hAnsi="Book Antiqua"/>
                <w:sz w:val="24"/>
                <w:szCs w:val="24"/>
                <w:vertAlign w:val="superscript"/>
              </w:rPr>
              <w:t>[47]</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1964</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lastRenderedPageBreak/>
              <w:t>205)</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lastRenderedPageBreak/>
              <w:t>5.9</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Surgical specimens</w:t>
            </w:r>
          </w:p>
        </w:tc>
      </w:tr>
      <w:tr w:rsidR="003A2CF7" w:rsidRPr="003A2CF7" w:rsidTr="007754F0">
        <w:tc>
          <w:tcPr>
            <w:tcW w:w="223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lastRenderedPageBreak/>
              <w:t xml:space="preserve">Wright </w:t>
            </w:r>
            <w:r w:rsidRPr="003A2CF7">
              <w:rPr>
                <w:rFonts w:ascii="Book Antiqua" w:hAnsi="Book Antiqua"/>
                <w:i/>
                <w:sz w:val="24"/>
                <w:szCs w:val="24"/>
              </w:rPr>
              <w:t>et al</w:t>
            </w:r>
            <w:r w:rsidRPr="003A2CF7">
              <w:rPr>
                <w:rFonts w:ascii="Book Antiqua" w:hAnsi="Book Antiqua"/>
                <w:sz w:val="24"/>
                <w:szCs w:val="24"/>
                <w:vertAlign w:val="superscript"/>
              </w:rPr>
              <w:t>[48]</w:t>
            </w:r>
          </w:p>
        </w:tc>
        <w:tc>
          <w:tcPr>
            <w:tcW w:w="155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1965</w:t>
            </w:r>
          </w:p>
        </w:tc>
        <w:tc>
          <w:tcPr>
            <w:tcW w:w="1519"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UC (</w:t>
            </w:r>
            <w:r w:rsidRPr="003A2CF7">
              <w:rPr>
                <w:rFonts w:ascii="Book Antiqua" w:hAnsi="Book Antiqua"/>
                <w:i/>
                <w:sz w:val="24"/>
                <w:szCs w:val="24"/>
              </w:rPr>
              <w:t xml:space="preserve">n = </w:t>
            </w:r>
            <w:r w:rsidRPr="003A2CF7">
              <w:rPr>
                <w:rFonts w:ascii="Book Antiqua" w:hAnsi="Book Antiqua"/>
                <w:sz w:val="24"/>
                <w:szCs w:val="24"/>
              </w:rPr>
              <w:t>269)</w:t>
            </w:r>
          </w:p>
        </w:tc>
        <w:tc>
          <w:tcPr>
            <w:tcW w:w="1771"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10</w:t>
            </w:r>
          </w:p>
        </w:tc>
        <w:tc>
          <w:tcPr>
            <w:tcW w:w="2805"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2235" w:type="dxa"/>
            <w:tcBorders>
              <w:top w:val="nil"/>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vertAlign w:val="superscript"/>
              </w:rPr>
            </w:pPr>
            <w:r w:rsidRPr="003A2CF7">
              <w:rPr>
                <w:rFonts w:ascii="Book Antiqua" w:hAnsi="Book Antiqua"/>
                <w:sz w:val="24"/>
                <w:szCs w:val="24"/>
              </w:rPr>
              <w:t xml:space="preserve">Zheng </w:t>
            </w:r>
            <w:r w:rsidRPr="003A2CF7">
              <w:rPr>
                <w:rFonts w:ascii="Book Antiqua" w:hAnsi="Book Antiqua"/>
                <w:i/>
                <w:sz w:val="24"/>
                <w:szCs w:val="24"/>
              </w:rPr>
              <w:t>et al</w:t>
            </w:r>
            <w:r w:rsidRPr="003A2CF7">
              <w:rPr>
                <w:rFonts w:ascii="Book Antiqua" w:hAnsi="Book Antiqua"/>
                <w:sz w:val="24"/>
                <w:szCs w:val="24"/>
                <w:vertAlign w:val="superscript"/>
              </w:rPr>
              <w:t>[49]</w:t>
            </w:r>
          </w:p>
        </w:tc>
        <w:tc>
          <w:tcPr>
            <w:tcW w:w="1559" w:type="dxa"/>
            <w:tcBorders>
              <w:top w:val="nil"/>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2007</w:t>
            </w:r>
          </w:p>
        </w:tc>
        <w:tc>
          <w:tcPr>
            <w:tcW w:w="1519" w:type="dxa"/>
            <w:tcBorders>
              <w:top w:val="nil"/>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CD (</w:t>
            </w:r>
            <w:r w:rsidRPr="003A2CF7">
              <w:rPr>
                <w:rFonts w:ascii="Book Antiqua" w:hAnsi="Book Antiqua"/>
                <w:i/>
                <w:sz w:val="24"/>
                <w:szCs w:val="24"/>
              </w:rPr>
              <w:t xml:space="preserve">n = </w:t>
            </w:r>
            <w:r w:rsidRPr="003A2CF7">
              <w:rPr>
                <w:rFonts w:ascii="Book Antiqua" w:hAnsi="Book Antiqua"/>
                <w:sz w:val="24"/>
                <w:szCs w:val="24"/>
              </w:rPr>
              <w:t>27)</w:t>
            </w:r>
          </w:p>
        </w:tc>
        <w:tc>
          <w:tcPr>
            <w:tcW w:w="1771" w:type="dxa"/>
            <w:tcBorders>
              <w:top w:val="nil"/>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48</w:t>
            </w:r>
          </w:p>
        </w:tc>
        <w:tc>
          <w:tcPr>
            <w:tcW w:w="2805" w:type="dxa"/>
            <w:tcBorders>
              <w:top w:val="nil"/>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sz w:val="24"/>
                <w:szCs w:val="24"/>
              </w:rPr>
            </w:pPr>
          </w:p>
        </w:tc>
      </w:tr>
      <w:tr w:rsidR="003A2CF7" w:rsidRPr="003A2CF7" w:rsidTr="007754F0">
        <w:tc>
          <w:tcPr>
            <w:tcW w:w="9889" w:type="dxa"/>
            <w:gridSpan w:val="5"/>
            <w:tcBorders>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CD: Crohn’s disease; CRC: Colorectal cancer; IBD: Inflammatory bowel disease; UC: Ulcerative colitis.</w:t>
            </w:r>
          </w:p>
        </w:tc>
      </w:tr>
    </w:tbl>
    <w:p w:rsidR="008949A1" w:rsidRPr="003A2CF7" w:rsidRDefault="008949A1" w:rsidP="003A2CF7">
      <w:pPr>
        <w:spacing w:line="276" w:lineRule="auto"/>
        <w:jc w:val="both"/>
        <w:rPr>
          <w:rFonts w:ascii="Book Antiqua" w:hAnsi="Book Antiqua"/>
          <w:sz w:val="24"/>
          <w:szCs w:val="24"/>
        </w:rPr>
      </w:pPr>
    </w:p>
    <w:p w:rsidR="008949A1" w:rsidRPr="003A2CF7" w:rsidRDefault="008949A1" w:rsidP="003A2CF7">
      <w:pPr>
        <w:spacing w:line="276" w:lineRule="auto"/>
        <w:jc w:val="both"/>
        <w:rPr>
          <w:rFonts w:ascii="Book Antiqua" w:hAnsi="Book Antiqua"/>
          <w:sz w:val="24"/>
          <w:szCs w:val="24"/>
        </w:rPr>
      </w:pPr>
    </w:p>
    <w:p w:rsidR="008949A1" w:rsidRPr="003A2CF7" w:rsidRDefault="008949A1" w:rsidP="003A2CF7">
      <w:pPr>
        <w:spacing w:line="276" w:lineRule="auto"/>
        <w:jc w:val="both"/>
        <w:rPr>
          <w:rFonts w:ascii="Book Antiqua" w:hAnsi="Book Antiqua"/>
          <w:sz w:val="24"/>
          <w:szCs w:val="24"/>
        </w:rPr>
      </w:pPr>
    </w:p>
    <w:p w:rsidR="008949A1" w:rsidRPr="003A2CF7" w:rsidRDefault="008949A1" w:rsidP="003A2CF7">
      <w:pPr>
        <w:spacing w:line="276" w:lineRule="auto"/>
        <w:jc w:val="both"/>
        <w:rPr>
          <w:rFonts w:ascii="Book Antiqua" w:hAnsi="Book Antiqua"/>
          <w:sz w:val="24"/>
          <w:szCs w:val="24"/>
        </w:rPr>
      </w:pPr>
    </w:p>
    <w:p w:rsidR="008949A1" w:rsidRPr="003A2CF7" w:rsidRDefault="008949A1" w:rsidP="003A2CF7">
      <w:pPr>
        <w:spacing w:line="276" w:lineRule="auto"/>
        <w:jc w:val="both"/>
        <w:rPr>
          <w:rFonts w:ascii="Book Antiqua" w:hAnsi="Book Antiqua"/>
          <w:sz w:val="24"/>
          <w:szCs w:val="24"/>
        </w:rPr>
      </w:pPr>
      <w:r w:rsidRPr="003A2CF7">
        <w:rPr>
          <w:rFonts w:ascii="Book Antiqua" w:hAnsi="Book Antiqua"/>
          <w:sz w:val="24"/>
          <w:szCs w:val="24"/>
        </w:rPr>
        <w:br w:type="page"/>
      </w:r>
    </w:p>
    <w:p w:rsidR="008949A1" w:rsidRPr="003A2CF7" w:rsidRDefault="008949A1" w:rsidP="003A2CF7">
      <w:pPr>
        <w:spacing w:line="276" w:lineRule="auto"/>
        <w:jc w:val="both"/>
        <w:rPr>
          <w:rFonts w:ascii="Book Antiqua" w:hAnsi="Book Antiqua"/>
          <w:sz w:val="24"/>
          <w:szCs w:val="24"/>
        </w:rPr>
      </w:pPr>
      <w:r w:rsidRPr="003A2CF7">
        <w:rPr>
          <w:rFonts w:ascii="Book Antiqua" w:hAnsi="Book Antiqua"/>
          <w:b/>
          <w:color w:val="000000"/>
          <w:sz w:val="24"/>
          <w:szCs w:val="24"/>
        </w:rPr>
        <w:lastRenderedPageBreak/>
        <w:t>Table 2 Pseudopolyps and increased incidence of colorectal cancer</w:t>
      </w:r>
    </w:p>
    <w:tbl>
      <w:tblPr>
        <w:tblpPr w:leftFromText="180" w:rightFromText="180" w:vertAnchor="text" w:horzAnchor="margin" w:tblpY="9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559"/>
        <w:gridCol w:w="2126"/>
        <w:gridCol w:w="2410"/>
        <w:gridCol w:w="1701"/>
      </w:tblGrid>
      <w:tr w:rsidR="008949A1" w:rsidRPr="003A2CF7" w:rsidTr="00D623E1">
        <w:trPr>
          <w:trHeight w:val="673"/>
        </w:trPr>
        <w:tc>
          <w:tcPr>
            <w:tcW w:w="1668" w:type="dxa"/>
            <w:tcBorders>
              <w:left w:val="nil"/>
              <w:bottom w:val="single" w:sz="4" w:space="0" w:color="auto"/>
              <w:right w:val="nil"/>
            </w:tcBorders>
          </w:tcPr>
          <w:p w:rsidR="008949A1" w:rsidRPr="003A2CF7" w:rsidRDefault="003A2CF7" w:rsidP="003A2CF7">
            <w:pPr>
              <w:spacing w:line="360" w:lineRule="auto"/>
              <w:jc w:val="both"/>
              <w:rPr>
                <w:rFonts w:ascii="Book Antiqua" w:hAnsi="Book Antiqua"/>
                <w:b/>
                <w:sz w:val="24"/>
                <w:szCs w:val="24"/>
                <w:lang w:eastAsia="zh-CN"/>
              </w:rPr>
            </w:pPr>
            <w:r w:rsidRPr="003A2CF7">
              <w:rPr>
                <w:rFonts w:ascii="Book Antiqua" w:hAnsi="Book Antiqua"/>
                <w:b/>
                <w:color w:val="000000"/>
                <w:sz w:val="24"/>
                <w:szCs w:val="24"/>
                <w:lang w:eastAsia="zh-CN"/>
              </w:rPr>
              <w:t>Ref.</w:t>
            </w:r>
          </w:p>
        </w:tc>
        <w:tc>
          <w:tcPr>
            <w:tcW w:w="1559" w:type="dxa"/>
            <w:tcBorders>
              <w:left w:val="nil"/>
              <w:bottom w:val="single" w:sz="4" w:space="0" w:color="auto"/>
              <w:right w:val="nil"/>
            </w:tcBorders>
          </w:tcPr>
          <w:p w:rsidR="008949A1" w:rsidRPr="003A2CF7" w:rsidRDefault="008949A1" w:rsidP="003A2CF7">
            <w:pPr>
              <w:spacing w:line="360" w:lineRule="auto"/>
              <w:jc w:val="both"/>
              <w:rPr>
                <w:rFonts w:ascii="Book Antiqua" w:hAnsi="Book Antiqua"/>
                <w:b/>
                <w:sz w:val="24"/>
                <w:szCs w:val="24"/>
              </w:rPr>
            </w:pPr>
            <w:r w:rsidRPr="003A2CF7">
              <w:rPr>
                <w:rFonts w:ascii="Book Antiqua" w:hAnsi="Book Antiqua"/>
                <w:b/>
                <w:sz w:val="24"/>
                <w:szCs w:val="24"/>
              </w:rPr>
              <w:t>Year of publication</w:t>
            </w:r>
          </w:p>
        </w:tc>
        <w:tc>
          <w:tcPr>
            <w:tcW w:w="2126" w:type="dxa"/>
            <w:tcBorders>
              <w:left w:val="nil"/>
              <w:bottom w:val="single" w:sz="4" w:space="0" w:color="auto"/>
              <w:right w:val="nil"/>
            </w:tcBorders>
          </w:tcPr>
          <w:p w:rsidR="008949A1" w:rsidRPr="003A2CF7" w:rsidRDefault="008949A1" w:rsidP="003A2CF7">
            <w:pPr>
              <w:spacing w:line="360" w:lineRule="auto"/>
              <w:jc w:val="both"/>
              <w:rPr>
                <w:rFonts w:ascii="Book Antiqua" w:hAnsi="Book Antiqua"/>
                <w:b/>
                <w:sz w:val="24"/>
                <w:szCs w:val="24"/>
              </w:rPr>
            </w:pPr>
            <w:r w:rsidRPr="003A2CF7">
              <w:rPr>
                <w:rFonts w:ascii="Book Antiqua" w:hAnsi="Book Antiqua"/>
                <w:b/>
                <w:sz w:val="24"/>
                <w:szCs w:val="24"/>
              </w:rPr>
              <w:t xml:space="preserve">IBD diagnosis </w:t>
            </w:r>
          </w:p>
        </w:tc>
        <w:tc>
          <w:tcPr>
            <w:tcW w:w="2410" w:type="dxa"/>
            <w:tcBorders>
              <w:left w:val="nil"/>
              <w:bottom w:val="single" w:sz="4" w:space="0" w:color="auto"/>
              <w:right w:val="nil"/>
            </w:tcBorders>
          </w:tcPr>
          <w:p w:rsidR="008949A1" w:rsidRPr="003A2CF7" w:rsidRDefault="008949A1" w:rsidP="003A2CF7">
            <w:pPr>
              <w:spacing w:line="360" w:lineRule="auto"/>
              <w:jc w:val="both"/>
              <w:rPr>
                <w:rFonts w:ascii="Book Antiqua" w:hAnsi="Book Antiqua"/>
                <w:b/>
                <w:sz w:val="24"/>
                <w:szCs w:val="24"/>
              </w:rPr>
            </w:pPr>
            <w:r w:rsidRPr="003A2CF7">
              <w:rPr>
                <w:rFonts w:ascii="Book Antiqua" w:hAnsi="Book Antiqua"/>
                <w:b/>
                <w:color w:val="000000"/>
                <w:sz w:val="24"/>
                <w:szCs w:val="24"/>
              </w:rPr>
              <w:t>Format of study</w:t>
            </w:r>
          </w:p>
        </w:tc>
        <w:tc>
          <w:tcPr>
            <w:tcW w:w="1701" w:type="dxa"/>
            <w:tcBorders>
              <w:left w:val="nil"/>
              <w:bottom w:val="single" w:sz="4" w:space="0" w:color="auto"/>
              <w:right w:val="nil"/>
            </w:tcBorders>
          </w:tcPr>
          <w:p w:rsidR="008949A1" w:rsidRPr="003A2CF7" w:rsidRDefault="008949A1" w:rsidP="003A2CF7">
            <w:pPr>
              <w:spacing w:line="360" w:lineRule="auto"/>
              <w:jc w:val="both"/>
              <w:rPr>
                <w:rFonts w:ascii="Book Antiqua" w:hAnsi="Book Antiqua"/>
                <w:b/>
                <w:color w:val="000000"/>
                <w:sz w:val="24"/>
                <w:szCs w:val="24"/>
              </w:rPr>
            </w:pPr>
            <w:r w:rsidRPr="003A2CF7">
              <w:rPr>
                <w:rFonts w:ascii="Book Antiqua" w:hAnsi="Book Antiqua"/>
                <w:b/>
                <w:color w:val="000000"/>
                <w:sz w:val="24"/>
                <w:szCs w:val="24"/>
              </w:rPr>
              <w:t>Cancer risk</w:t>
            </w:r>
          </w:p>
        </w:tc>
      </w:tr>
      <w:tr w:rsidR="008949A1" w:rsidRPr="003A2CF7" w:rsidTr="00D623E1">
        <w:tc>
          <w:tcPr>
            <w:tcW w:w="1668" w:type="dxa"/>
            <w:tcBorders>
              <w:top w:val="single" w:sz="4" w:space="0" w:color="auto"/>
              <w:left w:val="nil"/>
              <w:bottom w:val="nil"/>
              <w:right w:val="nil"/>
            </w:tcBorders>
          </w:tcPr>
          <w:p w:rsidR="008949A1" w:rsidRPr="003A2CF7" w:rsidRDefault="008949A1" w:rsidP="003A2CF7">
            <w:pPr>
              <w:jc w:val="both"/>
              <w:rPr>
                <w:rFonts w:ascii="Book Antiqua" w:hAnsi="Book Antiqua"/>
                <w:sz w:val="24"/>
                <w:szCs w:val="24"/>
                <w:vertAlign w:val="superscript"/>
              </w:rPr>
            </w:pPr>
            <w:r w:rsidRPr="003A2CF7">
              <w:rPr>
                <w:rFonts w:ascii="Book Antiqua" w:hAnsi="Book Antiqua"/>
                <w:color w:val="000000"/>
                <w:sz w:val="24"/>
                <w:szCs w:val="24"/>
              </w:rPr>
              <w:t xml:space="preserve">Rutter </w:t>
            </w:r>
            <w:r w:rsidRPr="003A2CF7">
              <w:rPr>
                <w:rFonts w:ascii="Book Antiqua" w:hAnsi="Book Antiqua"/>
                <w:i/>
                <w:color w:val="000000"/>
                <w:sz w:val="24"/>
                <w:szCs w:val="24"/>
              </w:rPr>
              <w:t>et al</w:t>
            </w:r>
            <w:r w:rsidRPr="003A2CF7">
              <w:rPr>
                <w:rFonts w:ascii="Book Antiqua" w:hAnsi="Book Antiqua"/>
                <w:color w:val="000000"/>
                <w:sz w:val="24"/>
                <w:szCs w:val="24"/>
                <w:vertAlign w:val="superscript"/>
              </w:rPr>
              <w:t>[44]</w:t>
            </w:r>
          </w:p>
        </w:tc>
        <w:tc>
          <w:tcPr>
            <w:tcW w:w="1559" w:type="dxa"/>
            <w:tcBorders>
              <w:top w:val="single" w:sz="4" w:space="0" w:color="auto"/>
              <w:left w:val="nil"/>
              <w:bottom w:val="nil"/>
              <w:right w:val="nil"/>
            </w:tcBorders>
          </w:tcPr>
          <w:p w:rsidR="008949A1" w:rsidRPr="003A2CF7" w:rsidRDefault="008949A1" w:rsidP="003A2CF7">
            <w:pPr>
              <w:jc w:val="both"/>
              <w:rPr>
                <w:rFonts w:ascii="Book Antiqua" w:hAnsi="Book Antiqua"/>
                <w:sz w:val="24"/>
                <w:szCs w:val="24"/>
              </w:rPr>
            </w:pPr>
            <w:r w:rsidRPr="003A2CF7">
              <w:rPr>
                <w:rFonts w:ascii="Book Antiqua" w:hAnsi="Book Antiqua"/>
                <w:color w:val="000000"/>
                <w:sz w:val="24"/>
                <w:szCs w:val="24"/>
              </w:rPr>
              <w:t>2004</w:t>
            </w:r>
          </w:p>
        </w:tc>
        <w:tc>
          <w:tcPr>
            <w:tcW w:w="2126" w:type="dxa"/>
            <w:tcBorders>
              <w:top w:val="single" w:sz="4" w:space="0" w:color="auto"/>
              <w:left w:val="nil"/>
              <w:bottom w:val="nil"/>
              <w:right w:val="nil"/>
            </w:tcBorders>
          </w:tcPr>
          <w:p w:rsidR="008949A1" w:rsidRPr="003A2CF7" w:rsidRDefault="008949A1" w:rsidP="003A2CF7">
            <w:pPr>
              <w:spacing w:line="360" w:lineRule="auto"/>
              <w:jc w:val="both"/>
              <w:rPr>
                <w:rFonts w:ascii="Book Antiqua" w:hAnsi="Book Antiqua"/>
                <w:sz w:val="24"/>
                <w:szCs w:val="24"/>
              </w:rPr>
            </w:pPr>
            <w:r w:rsidRPr="003A2CF7">
              <w:rPr>
                <w:rFonts w:ascii="Book Antiqua" w:hAnsi="Book Antiqua"/>
                <w:color w:val="000000"/>
                <w:sz w:val="24"/>
                <w:szCs w:val="24"/>
              </w:rPr>
              <w:t>UC with CRC (</w:t>
            </w:r>
            <w:r w:rsidR="003A2CF7" w:rsidRPr="003A2CF7">
              <w:rPr>
                <w:rFonts w:ascii="Book Antiqua" w:hAnsi="Book Antiqua"/>
                <w:i/>
                <w:color w:val="000000"/>
                <w:sz w:val="24"/>
                <w:szCs w:val="24"/>
              </w:rPr>
              <w:t xml:space="preserve">n = </w:t>
            </w:r>
            <w:r w:rsidRPr="003A2CF7">
              <w:rPr>
                <w:rFonts w:ascii="Book Antiqua" w:hAnsi="Book Antiqua"/>
                <w:color w:val="000000"/>
                <w:sz w:val="24"/>
                <w:szCs w:val="24"/>
              </w:rPr>
              <w:t>68)</w:t>
            </w:r>
          </w:p>
        </w:tc>
        <w:tc>
          <w:tcPr>
            <w:tcW w:w="2410" w:type="dxa"/>
            <w:tcBorders>
              <w:top w:val="single" w:sz="4" w:space="0" w:color="auto"/>
              <w:left w:val="nil"/>
              <w:bottom w:val="nil"/>
              <w:right w:val="nil"/>
            </w:tcBorders>
          </w:tcPr>
          <w:p w:rsidR="008949A1" w:rsidRPr="003A2CF7" w:rsidRDefault="008949A1" w:rsidP="003A2CF7">
            <w:pPr>
              <w:spacing w:line="360" w:lineRule="auto"/>
              <w:jc w:val="both"/>
              <w:rPr>
                <w:rFonts w:ascii="Book Antiqua" w:hAnsi="Book Antiqua"/>
                <w:sz w:val="24"/>
                <w:szCs w:val="24"/>
              </w:rPr>
            </w:pPr>
            <w:r w:rsidRPr="003A2CF7">
              <w:rPr>
                <w:rFonts w:ascii="Book Antiqua" w:hAnsi="Book Antiqua"/>
                <w:color w:val="000000"/>
                <w:sz w:val="24"/>
                <w:szCs w:val="24"/>
              </w:rPr>
              <w:t>Case-control study 1:2, documentation of PP</w:t>
            </w:r>
          </w:p>
        </w:tc>
        <w:tc>
          <w:tcPr>
            <w:tcW w:w="1701" w:type="dxa"/>
            <w:tcBorders>
              <w:top w:val="single" w:sz="4" w:space="0" w:color="auto"/>
              <w:left w:val="nil"/>
              <w:bottom w:val="nil"/>
              <w:right w:val="nil"/>
            </w:tcBorders>
          </w:tcPr>
          <w:p w:rsidR="008949A1" w:rsidRPr="003A2CF7" w:rsidRDefault="008949A1" w:rsidP="003A2CF7">
            <w:pPr>
              <w:spacing w:line="360" w:lineRule="auto"/>
              <w:jc w:val="both"/>
              <w:rPr>
                <w:rFonts w:ascii="Book Antiqua" w:hAnsi="Book Antiqua"/>
                <w:sz w:val="24"/>
                <w:szCs w:val="24"/>
              </w:rPr>
            </w:pPr>
            <w:r w:rsidRPr="003A2CF7">
              <w:rPr>
                <w:rFonts w:ascii="Book Antiqua" w:hAnsi="Book Antiqua"/>
                <w:color w:val="000000"/>
                <w:sz w:val="24"/>
                <w:szCs w:val="24"/>
              </w:rPr>
              <w:t>OR</w:t>
            </w:r>
            <w:r w:rsidR="003A2CF7" w:rsidRPr="003A2CF7">
              <w:rPr>
                <w:rFonts w:ascii="Book Antiqua" w:hAnsi="Book Antiqua"/>
                <w:color w:val="000000"/>
                <w:sz w:val="24"/>
                <w:szCs w:val="24"/>
                <w:lang w:eastAsia="zh-CN"/>
              </w:rPr>
              <w:t xml:space="preserve"> </w:t>
            </w:r>
            <w:r w:rsidRPr="003A2CF7">
              <w:rPr>
                <w:rFonts w:ascii="Book Antiqua" w:hAnsi="Book Antiqua"/>
                <w:color w:val="000000"/>
                <w:sz w:val="24"/>
                <w:szCs w:val="24"/>
              </w:rPr>
              <w:t>=</w:t>
            </w:r>
            <w:r w:rsidR="003A2CF7" w:rsidRPr="003A2CF7">
              <w:rPr>
                <w:rFonts w:ascii="Book Antiqua" w:hAnsi="Book Antiqua"/>
                <w:color w:val="000000"/>
                <w:sz w:val="24"/>
                <w:szCs w:val="24"/>
                <w:lang w:eastAsia="zh-CN"/>
              </w:rPr>
              <w:t xml:space="preserve"> </w:t>
            </w:r>
            <w:r w:rsidRPr="003A2CF7">
              <w:rPr>
                <w:rFonts w:ascii="Book Antiqua" w:hAnsi="Book Antiqua"/>
                <w:color w:val="000000"/>
                <w:sz w:val="24"/>
                <w:szCs w:val="24"/>
              </w:rPr>
              <w:t>2.29; 95%CI: 1.28–4.11</w:t>
            </w:r>
          </w:p>
        </w:tc>
      </w:tr>
      <w:tr w:rsidR="008949A1" w:rsidRPr="003A2CF7" w:rsidTr="00D623E1">
        <w:tc>
          <w:tcPr>
            <w:tcW w:w="1668" w:type="dxa"/>
            <w:tcBorders>
              <w:top w:val="nil"/>
              <w:left w:val="nil"/>
              <w:bottom w:val="nil"/>
              <w:right w:val="nil"/>
            </w:tcBorders>
          </w:tcPr>
          <w:p w:rsidR="008949A1" w:rsidRPr="003A2CF7" w:rsidRDefault="008949A1" w:rsidP="003A2CF7">
            <w:pPr>
              <w:jc w:val="both"/>
              <w:rPr>
                <w:rFonts w:ascii="Book Antiqua" w:hAnsi="Book Antiqua"/>
                <w:sz w:val="24"/>
                <w:szCs w:val="24"/>
                <w:vertAlign w:val="superscript"/>
              </w:rPr>
            </w:pPr>
            <w:r w:rsidRPr="003A2CF7">
              <w:rPr>
                <w:rFonts w:ascii="Book Antiqua" w:hAnsi="Book Antiqua"/>
                <w:color w:val="000000"/>
                <w:sz w:val="24"/>
                <w:szCs w:val="24"/>
              </w:rPr>
              <w:t xml:space="preserve">Velayos </w:t>
            </w:r>
            <w:r w:rsidRPr="003A2CF7">
              <w:rPr>
                <w:rFonts w:ascii="Book Antiqua" w:hAnsi="Book Antiqua"/>
                <w:i/>
                <w:color w:val="000000"/>
                <w:sz w:val="24"/>
                <w:szCs w:val="24"/>
              </w:rPr>
              <w:t>et al</w:t>
            </w:r>
            <w:r w:rsidRPr="003A2CF7">
              <w:rPr>
                <w:rFonts w:ascii="Book Antiqua" w:hAnsi="Book Antiqua"/>
                <w:color w:val="000000"/>
                <w:sz w:val="24"/>
                <w:szCs w:val="24"/>
                <w:vertAlign w:val="superscript"/>
              </w:rPr>
              <w:t>[43]</w:t>
            </w:r>
          </w:p>
        </w:tc>
        <w:tc>
          <w:tcPr>
            <w:tcW w:w="1559" w:type="dxa"/>
            <w:tcBorders>
              <w:top w:val="nil"/>
              <w:left w:val="nil"/>
              <w:bottom w:val="nil"/>
              <w:right w:val="nil"/>
            </w:tcBorders>
          </w:tcPr>
          <w:p w:rsidR="008949A1" w:rsidRPr="003A2CF7" w:rsidRDefault="008949A1" w:rsidP="003A2CF7">
            <w:pPr>
              <w:jc w:val="both"/>
              <w:rPr>
                <w:rFonts w:ascii="Book Antiqua" w:hAnsi="Book Antiqua"/>
                <w:sz w:val="24"/>
                <w:szCs w:val="24"/>
              </w:rPr>
            </w:pPr>
            <w:r w:rsidRPr="003A2CF7">
              <w:rPr>
                <w:rFonts w:ascii="Book Antiqua" w:hAnsi="Book Antiqua"/>
                <w:color w:val="000000"/>
                <w:sz w:val="24"/>
                <w:szCs w:val="24"/>
              </w:rPr>
              <w:t>2006</w:t>
            </w:r>
          </w:p>
        </w:tc>
        <w:tc>
          <w:tcPr>
            <w:tcW w:w="2126" w:type="dxa"/>
            <w:tcBorders>
              <w:top w:val="nil"/>
              <w:left w:val="nil"/>
              <w:bottom w:val="nil"/>
              <w:right w:val="nil"/>
            </w:tcBorders>
          </w:tcPr>
          <w:p w:rsidR="008949A1" w:rsidRPr="003A2CF7" w:rsidRDefault="008949A1" w:rsidP="003A2CF7">
            <w:pPr>
              <w:spacing w:line="360" w:lineRule="auto"/>
              <w:jc w:val="both"/>
              <w:rPr>
                <w:rFonts w:ascii="Book Antiqua" w:hAnsi="Book Antiqua"/>
                <w:sz w:val="24"/>
                <w:szCs w:val="24"/>
              </w:rPr>
            </w:pPr>
            <w:r w:rsidRPr="003A2CF7">
              <w:rPr>
                <w:rFonts w:ascii="Book Antiqua" w:hAnsi="Book Antiqua"/>
                <w:color w:val="000000"/>
                <w:sz w:val="24"/>
                <w:szCs w:val="24"/>
              </w:rPr>
              <w:t>UC with CRC (</w:t>
            </w:r>
            <w:r w:rsidR="003A2CF7" w:rsidRPr="003A2CF7">
              <w:rPr>
                <w:rFonts w:ascii="Book Antiqua" w:hAnsi="Book Antiqua"/>
                <w:i/>
                <w:color w:val="000000"/>
                <w:sz w:val="24"/>
                <w:szCs w:val="24"/>
              </w:rPr>
              <w:t xml:space="preserve">n = </w:t>
            </w:r>
            <w:r w:rsidRPr="003A2CF7">
              <w:rPr>
                <w:rFonts w:ascii="Book Antiqua" w:hAnsi="Book Antiqua"/>
                <w:color w:val="000000"/>
                <w:sz w:val="24"/>
                <w:szCs w:val="24"/>
              </w:rPr>
              <w:t>188)</w:t>
            </w:r>
          </w:p>
        </w:tc>
        <w:tc>
          <w:tcPr>
            <w:tcW w:w="2410" w:type="dxa"/>
            <w:tcBorders>
              <w:top w:val="nil"/>
              <w:left w:val="nil"/>
              <w:bottom w:val="nil"/>
              <w:right w:val="nil"/>
            </w:tcBorders>
          </w:tcPr>
          <w:p w:rsidR="008949A1" w:rsidRPr="003A2CF7" w:rsidRDefault="008949A1" w:rsidP="003A2CF7">
            <w:pPr>
              <w:spacing w:line="360" w:lineRule="auto"/>
              <w:jc w:val="both"/>
              <w:rPr>
                <w:rFonts w:ascii="Book Antiqua" w:hAnsi="Book Antiqua"/>
                <w:sz w:val="24"/>
                <w:szCs w:val="24"/>
              </w:rPr>
            </w:pPr>
            <w:r w:rsidRPr="003A2CF7">
              <w:rPr>
                <w:rFonts w:ascii="Book Antiqua" w:hAnsi="Book Antiqua"/>
                <w:color w:val="000000"/>
                <w:sz w:val="24"/>
                <w:szCs w:val="24"/>
              </w:rPr>
              <w:t>Case-control study 1:1, history of PP</w:t>
            </w:r>
          </w:p>
        </w:tc>
        <w:tc>
          <w:tcPr>
            <w:tcW w:w="1701" w:type="dxa"/>
            <w:tcBorders>
              <w:top w:val="nil"/>
              <w:left w:val="nil"/>
              <w:bottom w:val="nil"/>
              <w:right w:val="nil"/>
            </w:tcBorders>
          </w:tcPr>
          <w:p w:rsidR="008949A1" w:rsidRPr="003A2CF7" w:rsidRDefault="008949A1" w:rsidP="003A2CF7">
            <w:pPr>
              <w:spacing w:line="360" w:lineRule="auto"/>
              <w:jc w:val="both"/>
              <w:rPr>
                <w:rFonts w:ascii="Book Antiqua" w:hAnsi="Book Antiqua"/>
                <w:sz w:val="24"/>
                <w:szCs w:val="24"/>
              </w:rPr>
            </w:pPr>
            <w:r w:rsidRPr="003A2CF7">
              <w:rPr>
                <w:rFonts w:ascii="Book Antiqua" w:hAnsi="Book Antiqua"/>
                <w:color w:val="000000"/>
                <w:sz w:val="24"/>
                <w:szCs w:val="24"/>
              </w:rPr>
              <w:t>OR</w:t>
            </w:r>
            <w:r w:rsidR="003A2CF7" w:rsidRPr="003A2CF7">
              <w:rPr>
                <w:rFonts w:ascii="Book Antiqua" w:hAnsi="Book Antiqua"/>
                <w:color w:val="000000"/>
                <w:sz w:val="24"/>
                <w:szCs w:val="24"/>
                <w:lang w:eastAsia="zh-CN"/>
              </w:rPr>
              <w:t xml:space="preserve"> </w:t>
            </w:r>
            <w:r w:rsidRPr="003A2CF7">
              <w:rPr>
                <w:rFonts w:ascii="Book Antiqua" w:hAnsi="Book Antiqua"/>
                <w:color w:val="000000"/>
                <w:sz w:val="24"/>
                <w:szCs w:val="24"/>
              </w:rPr>
              <w:t>=</w:t>
            </w:r>
            <w:r w:rsidR="003A2CF7" w:rsidRPr="003A2CF7">
              <w:rPr>
                <w:rFonts w:ascii="Book Antiqua" w:hAnsi="Book Antiqua"/>
                <w:color w:val="000000"/>
                <w:sz w:val="24"/>
                <w:szCs w:val="24"/>
                <w:lang w:eastAsia="zh-CN"/>
              </w:rPr>
              <w:t xml:space="preserve"> </w:t>
            </w:r>
            <w:r w:rsidRPr="003A2CF7">
              <w:rPr>
                <w:rFonts w:ascii="Book Antiqua" w:hAnsi="Book Antiqua"/>
                <w:color w:val="000000"/>
                <w:sz w:val="24"/>
                <w:szCs w:val="24"/>
              </w:rPr>
              <w:t>2.5; 95%CI: 1.4–4.6</w:t>
            </w:r>
          </w:p>
        </w:tc>
      </w:tr>
      <w:tr w:rsidR="008949A1" w:rsidRPr="003A2CF7" w:rsidTr="00D623E1">
        <w:tc>
          <w:tcPr>
            <w:tcW w:w="1668" w:type="dxa"/>
            <w:tcBorders>
              <w:top w:val="nil"/>
              <w:left w:val="nil"/>
              <w:bottom w:val="single" w:sz="4" w:space="0" w:color="auto"/>
              <w:right w:val="nil"/>
            </w:tcBorders>
          </w:tcPr>
          <w:p w:rsidR="008949A1" w:rsidRPr="003A2CF7" w:rsidRDefault="008949A1" w:rsidP="003A2CF7">
            <w:pPr>
              <w:jc w:val="both"/>
              <w:rPr>
                <w:rFonts w:ascii="Book Antiqua" w:hAnsi="Book Antiqua"/>
                <w:color w:val="000000"/>
                <w:sz w:val="24"/>
                <w:szCs w:val="24"/>
              </w:rPr>
            </w:pPr>
            <w:r w:rsidRPr="003A2CF7">
              <w:rPr>
                <w:rFonts w:ascii="Book Antiqua" w:hAnsi="Book Antiqua"/>
                <w:color w:val="000000"/>
                <w:sz w:val="24"/>
                <w:szCs w:val="24"/>
              </w:rPr>
              <w:t xml:space="preserve">Baars </w:t>
            </w:r>
            <w:r w:rsidRPr="003A2CF7">
              <w:rPr>
                <w:rFonts w:ascii="Book Antiqua" w:hAnsi="Book Antiqua"/>
                <w:i/>
                <w:color w:val="000000"/>
                <w:sz w:val="24"/>
                <w:szCs w:val="24"/>
              </w:rPr>
              <w:t>et al</w:t>
            </w:r>
            <w:r w:rsidRPr="003A2CF7">
              <w:rPr>
                <w:rFonts w:ascii="Book Antiqua" w:hAnsi="Book Antiqua"/>
                <w:color w:val="000000"/>
                <w:sz w:val="24"/>
                <w:szCs w:val="24"/>
                <w:vertAlign w:val="superscript"/>
              </w:rPr>
              <w:t>[57]</w:t>
            </w:r>
          </w:p>
        </w:tc>
        <w:tc>
          <w:tcPr>
            <w:tcW w:w="1559" w:type="dxa"/>
            <w:tcBorders>
              <w:top w:val="nil"/>
              <w:left w:val="nil"/>
              <w:bottom w:val="single" w:sz="4" w:space="0" w:color="auto"/>
              <w:right w:val="nil"/>
            </w:tcBorders>
          </w:tcPr>
          <w:p w:rsidR="008949A1" w:rsidRPr="003A2CF7" w:rsidRDefault="008949A1" w:rsidP="003A2CF7">
            <w:pPr>
              <w:jc w:val="both"/>
              <w:rPr>
                <w:rFonts w:ascii="Book Antiqua" w:hAnsi="Book Antiqua"/>
                <w:color w:val="000000"/>
                <w:sz w:val="24"/>
                <w:szCs w:val="24"/>
              </w:rPr>
            </w:pPr>
            <w:r w:rsidRPr="003A2CF7">
              <w:rPr>
                <w:rFonts w:ascii="Book Antiqua" w:hAnsi="Book Antiqua"/>
                <w:color w:val="000000"/>
                <w:sz w:val="24"/>
                <w:szCs w:val="24"/>
              </w:rPr>
              <w:t>2011</w:t>
            </w:r>
          </w:p>
        </w:tc>
        <w:tc>
          <w:tcPr>
            <w:tcW w:w="2126" w:type="dxa"/>
            <w:tcBorders>
              <w:top w:val="nil"/>
              <w:left w:val="nil"/>
              <w:bottom w:val="single" w:sz="4" w:space="0" w:color="auto"/>
              <w:right w:val="nil"/>
            </w:tcBorders>
          </w:tcPr>
          <w:p w:rsidR="008949A1" w:rsidRPr="003A2CF7" w:rsidRDefault="008949A1" w:rsidP="003A2CF7">
            <w:pPr>
              <w:spacing w:line="360" w:lineRule="auto"/>
              <w:jc w:val="both"/>
              <w:rPr>
                <w:rFonts w:ascii="Book Antiqua" w:hAnsi="Book Antiqua"/>
                <w:color w:val="000000"/>
                <w:sz w:val="24"/>
                <w:szCs w:val="24"/>
              </w:rPr>
            </w:pPr>
            <w:r w:rsidRPr="003A2CF7">
              <w:rPr>
                <w:rFonts w:ascii="Book Antiqua" w:hAnsi="Book Antiqua"/>
                <w:color w:val="000000"/>
                <w:sz w:val="24"/>
                <w:szCs w:val="24"/>
              </w:rPr>
              <w:t>UC (</w:t>
            </w:r>
            <w:r w:rsidR="003A2CF7" w:rsidRPr="003A2CF7">
              <w:rPr>
                <w:rFonts w:ascii="Book Antiqua" w:hAnsi="Book Antiqua"/>
                <w:i/>
                <w:color w:val="000000"/>
                <w:sz w:val="24"/>
                <w:szCs w:val="24"/>
              </w:rPr>
              <w:t xml:space="preserve">n = </w:t>
            </w:r>
            <w:r w:rsidRPr="003A2CF7">
              <w:rPr>
                <w:rFonts w:ascii="Book Antiqua" w:hAnsi="Book Antiqua"/>
                <w:color w:val="000000"/>
                <w:sz w:val="24"/>
                <w:szCs w:val="24"/>
              </w:rPr>
              <w:t xml:space="preserve">113) </w:t>
            </w:r>
          </w:p>
          <w:p w:rsidR="008949A1" w:rsidRPr="003A2CF7" w:rsidRDefault="008949A1" w:rsidP="003A2CF7">
            <w:pPr>
              <w:spacing w:line="360" w:lineRule="auto"/>
              <w:jc w:val="both"/>
              <w:rPr>
                <w:rFonts w:ascii="Book Antiqua" w:hAnsi="Book Antiqua"/>
                <w:color w:val="000000"/>
                <w:sz w:val="24"/>
                <w:szCs w:val="24"/>
              </w:rPr>
            </w:pPr>
            <w:r w:rsidRPr="003A2CF7">
              <w:rPr>
                <w:rFonts w:ascii="Book Antiqua" w:hAnsi="Book Antiqua"/>
                <w:color w:val="000000"/>
                <w:sz w:val="24"/>
                <w:szCs w:val="24"/>
              </w:rPr>
              <w:t>CD (</w:t>
            </w:r>
            <w:r w:rsidR="003A2CF7" w:rsidRPr="003A2CF7">
              <w:rPr>
                <w:rFonts w:ascii="Book Antiqua" w:hAnsi="Book Antiqua"/>
                <w:i/>
                <w:color w:val="000000"/>
                <w:sz w:val="24"/>
                <w:szCs w:val="24"/>
              </w:rPr>
              <w:t xml:space="preserve">n = </w:t>
            </w:r>
            <w:r w:rsidRPr="003A2CF7">
              <w:rPr>
                <w:rFonts w:ascii="Book Antiqua" w:hAnsi="Book Antiqua"/>
                <w:color w:val="000000"/>
                <w:sz w:val="24"/>
                <w:szCs w:val="24"/>
              </w:rPr>
              <w:t xml:space="preserve">58)  </w:t>
            </w:r>
          </w:p>
          <w:p w:rsidR="008949A1" w:rsidRPr="003A2CF7" w:rsidRDefault="008949A1" w:rsidP="003A2CF7">
            <w:pPr>
              <w:spacing w:line="360" w:lineRule="auto"/>
              <w:jc w:val="both"/>
              <w:rPr>
                <w:rFonts w:ascii="Book Antiqua" w:hAnsi="Book Antiqua"/>
                <w:color w:val="000000"/>
                <w:sz w:val="24"/>
                <w:szCs w:val="24"/>
              </w:rPr>
            </w:pPr>
            <w:r w:rsidRPr="003A2CF7">
              <w:rPr>
                <w:rFonts w:ascii="Book Antiqua" w:hAnsi="Book Antiqua"/>
                <w:color w:val="000000"/>
                <w:sz w:val="24"/>
                <w:szCs w:val="24"/>
              </w:rPr>
              <w:t>IC (</w:t>
            </w:r>
            <w:r w:rsidR="003A2CF7" w:rsidRPr="003A2CF7">
              <w:rPr>
                <w:rFonts w:ascii="Book Antiqua" w:hAnsi="Book Antiqua"/>
                <w:i/>
                <w:color w:val="000000"/>
                <w:sz w:val="24"/>
                <w:szCs w:val="24"/>
              </w:rPr>
              <w:t xml:space="preserve">n = </w:t>
            </w:r>
            <w:r w:rsidRPr="003A2CF7">
              <w:rPr>
                <w:rFonts w:ascii="Book Antiqua" w:hAnsi="Book Antiqua"/>
                <w:color w:val="000000"/>
                <w:sz w:val="24"/>
                <w:szCs w:val="24"/>
              </w:rPr>
              <w:t>2)</w:t>
            </w:r>
          </w:p>
        </w:tc>
        <w:tc>
          <w:tcPr>
            <w:tcW w:w="2410" w:type="dxa"/>
            <w:tcBorders>
              <w:top w:val="nil"/>
              <w:left w:val="nil"/>
              <w:bottom w:val="single" w:sz="4" w:space="0" w:color="auto"/>
              <w:right w:val="nil"/>
            </w:tcBorders>
          </w:tcPr>
          <w:p w:rsidR="008949A1" w:rsidRPr="003A2CF7" w:rsidRDefault="008949A1" w:rsidP="003A2CF7">
            <w:pPr>
              <w:spacing w:line="360" w:lineRule="auto"/>
              <w:jc w:val="both"/>
              <w:rPr>
                <w:rFonts w:ascii="Book Antiqua" w:hAnsi="Book Antiqua"/>
                <w:color w:val="000000"/>
                <w:sz w:val="24"/>
                <w:szCs w:val="24"/>
              </w:rPr>
            </w:pPr>
            <w:r w:rsidRPr="003A2CF7">
              <w:rPr>
                <w:rFonts w:ascii="Book Antiqua" w:hAnsi="Book Antiqua"/>
                <w:color w:val="000000"/>
                <w:sz w:val="24"/>
                <w:szCs w:val="24"/>
              </w:rPr>
              <w:t>Case-control study 1:2</w:t>
            </w:r>
          </w:p>
        </w:tc>
        <w:tc>
          <w:tcPr>
            <w:tcW w:w="1701" w:type="dxa"/>
            <w:tcBorders>
              <w:top w:val="nil"/>
              <w:left w:val="nil"/>
              <w:bottom w:val="single" w:sz="4" w:space="0" w:color="auto"/>
              <w:right w:val="nil"/>
            </w:tcBorders>
          </w:tcPr>
          <w:p w:rsidR="008949A1" w:rsidRPr="003A2CF7" w:rsidRDefault="008949A1" w:rsidP="003A2CF7">
            <w:pPr>
              <w:spacing w:line="360" w:lineRule="auto"/>
              <w:jc w:val="both"/>
              <w:rPr>
                <w:rFonts w:ascii="Book Antiqua" w:hAnsi="Book Antiqua"/>
                <w:color w:val="000000"/>
                <w:sz w:val="24"/>
                <w:szCs w:val="24"/>
              </w:rPr>
            </w:pPr>
            <w:r w:rsidRPr="003A2CF7">
              <w:rPr>
                <w:rFonts w:ascii="Book Antiqua" w:hAnsi="Book Antiqua"/>
                <w:color w:val="000000"/>
                <w:sz w:val="24"/>
                <w:szCs w:val="24"/>
              </w:rPr>
              <w:t>RR</w:t>
            </w:r>
            <w:r w:rsidR="003A2CF7" w:rsidRPr="003A2CF7">
              <w:rPr>
                <w:rFonts w:ascii="Book Antiqua" w:hAnsi="Book Antiqua"/>
                <w:color w:val="000000"/>
                <w:sz w:val="24"/>
                <w:szCs w:val="24"/>
                <w:lang w:eastAsia="zh-CN"/>
              </w:rPr>
              <w:t xml:space="preserve"> </w:t>
            </w:r>
            <w:r w:rsidRPr="003A2CF7">
              <w:rPr>
                <w:rFonts w:ascii="Book Antiqua" w:hAnsi="Book Antiqua"/>
                <w:color w:val="000000"/>
                <w:sz w:val="24"/>
                <w:szCs w:val="24"/>
              </w:rPr>
              <w:t>=</w:t>
            </w:r>
            <w:r w:rsidR="003A2CF7" w:rsidRPr="003A2CF7">
              <w:rPr>
                <w:rFonts w:ascii="Book Antiqua" w:hAnsi="Book Antiqua"/>
                <w:color w:val="000000"/>
                <w:sz w:val="24"/>
                <w:szCs w:val="24"/>
                <w:lang w:eastAsia="zh-CN"/>
              </w:rPr>
              <w:t xml:space="preserve"> </w:t>
            </w:r>
            <w:r w:rsidRPr="003A2CF7">
              <w:rPr>
                <w:rFonts w:ascii="Book Antiqua" w:hAnsi="Book Antiqua"/>
                <w:color w:val="000000"/>
                <w:sz w:val="24"/>
                <w:szCs w:val="24"/>
              </w:rPr>
              <w:t>1.92; 95%CI: 1.28 -2.88</w:t>
            </w:r>
          </w:p>
        </w:tc>
      </w:tr>
      <w:tr w:rsidR="008949A1" w:rsidRPr="003A2CF7" w:rsidTr="00D623E1">
        <w:tc>
          <w:tcPr>
            <w:tcW w:w="9464" w:type="dxa"/>
            <w:gridSpan w:val="5"/>
            <w:tcBorders>
              <w:top w:val="single" w:sz="4" w:space="0" w:color="auto"/>
              <w:left w:val="nil"/>
              <w:bottom w:val="nil"/>
              <w:right w:val="nil"/>
            </w:tcBorders>
          </w:tcPr>
          <w:p w:rsidR="008949A1" w:rsidRPr="003A2CF7" w:rsidRDefault="008949A1" w:rsidP="003A2CF7">
            <w:pPr>
              <w:jc w:val="both"/>
              <w:rPr>
                <w:rFonts w:ascii="Book Antiqua" w:hAnsi="Book Antiqua"/>
                <w:color w:val="000000"/>
                <w:sz w:val="24"/>
                <w:szCs w:val="24"/>
              </w:rPr>
            </w:pPr>
            <w:r w:rsidRPr="003A2CF7">
              <w:rPr>
                <w:rFonts w:ascii="Book Antiqua" w:hAnsi="Book Antiqua"/>
                <w:color w:val="000000"/>
                <w:sz w:val="24"/>
                <w:szCs w:val="24"/>
              </w:rPr>
              <w:t xml:space="preserve">CD: Crohn’s disease; CRC: Colorectal cancer; IBD: Inflammatory bowel disease; IC: Intermediate colitis; OR: Odds ratio; PP: pseudopolyp; RR: Relative risk; UC: Ulcerative colitis.  </w:t>
            </w:r>
          </w:p>
        </w:tc>
      </w:tr>
    </w:tbl>
    <w:p w:rsidR="008949A1" w:rsidRPr="003A2CF7" w:rsidRDefault="008949A1" w:rsidP="003A2CF7">
      <w:pPr>
        <w:spacing w:line="276" w:lineRule="auto"/>
        <w:jc w:val="both"/>
        <w:rPr>
          <w:rFonts w:ascii="Book Antiqua" w:hAnsi="Book Antiqua"/>
          <w:sz w:val="24"/>
          <w:szCs w:val="24"/>
        </w:rPr>
      </w:pPr>
    </w:p>
    <w:p w:rsidR="008949A1" w:rsidRPr="003A2CF7" w:rsidRDefault="008949A1" w:rsidP="003A2CF7">
      <w:pPr>
        <w:spacing w:line="276" w:lineRule="auto"/>
        <w:jc w:val="both"/>
        <w:rPr>
          <w:rFonts w:ascii="Book Antiqua" w:hAnsi="Book Antiqua"/>
          <w:sz w:val="24"/>
          <w:szCs w:val="24"/>
        </w:rPr>
      </w:pPr>
      <w:r w:rsidRPr="003A2CF7">
        <w:rPr>
          <w:rFonts w:ascii="Book Antiqua" w:hAnsi="Book Antiqua"/>
          <w:sz w:val="24"/>
          <w:szCs w:val="24"/>
        </w:rPr>
        <w:br w:type="page"/>
      </w:r>
    </w:p>
    <w:p w:rsidR="008949A1" w:rsidRPr="003A2CF7" w:rsidRDefault="003A2CF7" w:rsidP="003A2CF7">
      <w:pPr>
        <w:jc w:val="both"/>
        <w:rPr>
          <w:rFonts w:ascii="Book Antiqua" w:hAnsi="Book Antiqua"/>
          <w:sz w:val="24"/>
          <w:szCs w:val="24"/>
          <w:lang w:eastAsia="zh-CN"/>
        </w:rPr>
      </w:pPr>
      <w:r w:rsidRPr="003A2CF7">
        <w:rPr>
          <w:rFonts w:ascii="Book Antiqua" w:hAnsi="Book Antiqua"/>
          <w:b/>
          <w:sz w:val="24"/>
          <w:szCs w:val="24"/>
        </w:rPr>
        <w:lastRenderedPageBreak/>
        <w:t>Table 3 Characteristics for differential diagnosis between pseudopolyps, adenoma-like DALM and non-adenoma-like DALM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768"/>
        <w:gridCol w:w="2693"/>
      </w:tblGrid>
      <w:tr w:rsidR="003A2CF7" w:rsidRPr="003A2CF7" w:rsidTr="007754F0">
        <w:tc>
          <w:tcPr>
            <w:tcW w:w="2214" w:type="dxa"/>
            <w:tcBorders>
              <w:top w:val="single" w:sz="4" w:space="0" w:color="auto"/>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b/>
                <w:sz w:val="24"/>
                <w:szCs w:val="24"/>
              </w:rPr>
            </w:pPr>
          </w:p>
        </w:tc>
        <w:tc>
          <w:tcPr>
            <w:tcW w:w="2214" w:type="dxa"/>
            <w:tcBorders>
              <w:top w:val="single" w:sz="4" w:space="0" w:color="auto"/>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b/>
                <w:sz w:val="24"/>
                <w:szCs w:val="24"/>
              </w:rPr>
            </w:pPr>
            <w:r w:rsidRPr="003A2CF7">
              <w:rPr>
                <w:rFonts w:ascii="Book Antiqua" w:hAnsi="Book Antiqua"/>
                <w:b/>
                <w:sz w:val="24"/>
                <w:szCs w:val="24"/>
              </w:rPr>
              <w:t>Pseudopolyps</w:t>
            </w:r>
          </w:p>
        </w:tc>
        <w:tc>
          <w:tcPr>
            <w:tcW w:w="2768" w:type="dxa"/>
            <w:tcBorders>
              <w:top w:val="single" w:sz="4" w:space="0" w:color="auto"/>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b/>
                <w:sz w:val="24"/>
                <w:szCs w:val="24"/>
              </w:rPr>
            </w:pPr>
            <w:r w:rsidRPr="003A2CF7">
              <w:rPr>
                <w:rFonts w:ascii="Book Antiqua" w:hAnsi="Book Antiqua"/>
                <w:b/>
                <w:sz w:val="24"/>
                <w:szCs w:val="24"/>
              </w:rPr>
              <w:t>Adenoma-like DALM</w:t>
            </w:r>
          </w:p>
        </w:tc>
        <w:tc>
          <w:tcPr>
            <w:tcW w:w="2693" w:type="dxa"/>
            <w:tcBorders>
              <w:top w:val="single" w:sz="4" w:space="0" w:color="auto"/>
              <w:left w:val="nil"/>
              <w:bottom w:val="single" w:sz="4" w:space="0" w:color="auto"/>
              <w:right w:val="nil"/>
            </w:tcBorders>
            <w:shd w:val="clear" w:color="auto" w:fill="auto"/>
          </w:tcPr>
          <w:p w:rsidR="003A2CF7" w:rsidRPr="003A2CF7" w:rsidRDefault="003A2CF7" w:rsidP="003A2CF7">
            <w:pPr>
              <w:spacing w:line="360" w:lineRule="auto"/>
              <w:jc w:val="both"/>
              <w:rPr>
                <w:rFonts w:ascii="Book Antiqua" w:hAnsi="Book Antiqua"/>
                <w:b/>
                <w:sz w:val="24"/>
                <w:szCs w:val="24"/>
              </w:rPr>
            </w:pPr>
            <w:r w:rsidRPr="003A2CF7">
              <w:rPr>
                <w:rFonts w:ascii="Book Antiqua" w:hAnsi="Book Antiqua"/>
                <w:b/>
                <w:sz w:val="24"/>
                <w:szCs w:val="24"/>
              </w:rPr>
              <w:t>Non-adenoma-like DALM</w:t>
            </w:r>
          </w:p>
        </w:tc>
      </w:tr>
      <w:tr w:rsidR="003A2CF7" w:rsidRPr="003A2CF7" w:rsidTr="007754F0">
        <w:trPr>
          <w:trHeight w:val="881"/>
        </w:trPr>
        <w:tc>
          <w:tcPr>
            <w:tcW w:w="2214" w:type="dxa"/>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Number</w:t>
            </w:r>
          </w:p>
        </w:tc>
        <w:tc>
          <w:tcPr>
            <w:tcW w:w="2214" w:type="dxa"/>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Often multiple</w:t>
            </w:r>
          </w:p>
        </w:tc>
        <w:tc>
          <w:tcPr>
            <w:tcW w:w="2768" w:type="dxa"/>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Can be multiple, usually solitary</w:t>
            </w:r>
          </w:p>
        </w:tc>
        <w:tc>
          <w:tcPr>
            <w:tcW w:w="2693" w:type="dxa"/>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Usually solitary</w:t>
            </w:r>
          </w:p>
        </w:tc>
      </w:tr>
      <w:tr w:rsidR="003A2CF7" w:rsidRPr="003A2CF7" w:rsidTr="007754F0">
        <w:tc>
          <w:tcPr>
            <w:tcW w:w="2214"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Location</w:t>
            </w:r>
          </w:p>
        </w:tc>
        <w:tc>
          <w:tcPr>
            <w:tcW w:w="2214"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Located in area inside colitis</w:t>
            </w:r>
          </w:p>
        </w:tc>
        <w:tc>
          <w:tcPr>
            <w:tcW w:w="2768"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Located in area inside and outside colitis</w:t>
            </w:r>
          </w:p>
        </w:tc>
        <w:tc>
          <w:tcPr>
            <w:tcW w:w="2693"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Located in area inside colitis</w:t>
            </w:r>
          </w:p>
        </w:tc>
      </w:tr>
      <w:tr w:rsidR="003A2CF7" w:rsidRPr="003A2CF7" w:rsidTr="007754F0">
        <w:tc>
          <w:tcPr>
            <w:tcW w:w="2214"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Endoscopic appearance</w:t>
            </w:r>
          </w:p>
        </w:tc>
        <w:tc>
          <w:tcPr>
            <w:tcW w:w="2214"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Smooth surface, can have exudate, definite borders, pale surface</w:t>
            </w:r>
          </w:p>
        </w:tc>
        <w:tc>
          <w:tcPr>
            <w:tcW w:w="2768"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Well circumscribed, definite borders, smooth surface sessile or pedunculated</w:t>
            </w:r>
          </w:p>
        </w:tc>
        <w:tc>
          <w:tcPr>
            <w:tcW w:w="2693"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Not amenable to endoscopic removal, irregular borders, often ulcerated or necrotic material</w:t>
            </w:r>
          </w:p>
        </w:tc>
      </w:tr>
      <w:tr w:rsidR="003A2CF7" w:rsidRPr="003A2CF7" w:rsidTr="007754F0">
        <w:tc>
          <w:tcPr>
            <w:tcW w:w="2214"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Management</w:t>
            </w:r>
          </w:p>
        </w:tc>
        <w:tc>
          <w:tcPr>
            <w:tcW w:w="2214"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No necessity for removal or biopsies except doubt</w:t>
            </w:r>
          </w:p>
        </w:tc>
        <w:tc>
          <w:tcPr>
            <w:tcW w:w="2768"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Endoscopic removal and endoscopic surveillance if dysplasia not recognized in adjacent mucosa or in other area of colitis</w:t>
            </w:r>
          </w:p>
        </w:tc>
        <w:tc>
          <w:tcPr>
            <w:tcW w:w="2693" w:type="dxa"/>
            <w:tcBorders>
              <w:top w:val="nil"/>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Proctocolectomy when HDG in lesion or multifocal LGD in area of colitis</w:t>
            </w:r>
          </w:p>
        </w:tc>
      </w:tr>
      <w:tr w:rsidR="003A2CF7" w:rsidRPr="003A2CF7" w:rsidTr="007754F0">
        <w:tc>
          <w:tcPr>
            <w:tcW w:w="9889" w:type="dxa"/>
            <w:gridSpan w:val="4"/>
            <w:tcBorders>
              <w:top w:val="single" w:sz="4" w:space="0" w:color="auto"/>
              <w:left w:val="nil"/>
              <w:bottom w:val="nil"/>
              <w:right w:val="nil"/>
            </w:tcBorders>
            <w:shd w:val="clear" w:color="auto" w:fill="auto"/>
          </w:tcPr>
          <w:p w:rsidR="003A2CF7" w:rsidRPr="003A2CF7" w:rsidRDefault="003A2CF7" w:rsidP="003A2CF7">
            <w:pPr>
              <w:spacing w:line="360" w:lineRule="auto"/>
              <w:jc w:val="both"/>
              <w:rPr>
                <w:rFonts w:ascii="Book Antiqua" w:hAnsi="Book Antiqua"/>
                <w:sz w:val="24"/>
                <w:szCs w:val="24"/>
              </w:rPr>
            </w:pPr>
            <w:r w:rsidRPr="003A2CF7">
              <w:rPr>
                <w:rFonts w:ascii="Book Antiqua" w:hAnsi="Book Antiqua"/>
                <w:sz w:val="24"/>
                <w:szCs w:val="24"/>
              </w:rPr>
              <w:t xml:space="preserve">DALM: Dysplasia-associated lesion or mass; HGD: High-grade dysplasia; LGD: Low-grade dysplasia. </w:t>
            </w:r>
          </w:p>
        </w:tc>
      </w:tr>
    </w:tbl>
    <w:p w:rsidR="003A2CF7" w:rsidRPr="003A2CF7" w:rsidRDefault="003A2CF7" w:rsidP="003A2CF7">
      <w:pPr>
        <w:jc w:val="both"/>
        <w:rPr>
          <w:rFonts w:ascii="Book Antiqua" w:hAnsi="Book Antiqua"/>
          <w:sz w:val="24"/>
          <w:szCs w:val="24"/>
          <w:lang w:eastAsia="zh-CN"/>
        </w:rPr>
      </w:pPr>
    </w:p>
    <w:p w:rsidR="008949A1" w:rsidRPr="003A2CF7" w:rsidRDefault="008949A1" w:rsidP="003A2CF7">
      <w:pPr>
        <w:jc w:val="both"/>
        <w:rPr>
          <w:rFonts w:ascii="Book Antiqua" w:hAnsi="Book Antiqua"/>
          <w:sz w:val="24"/>
          <w:szCs w:val="24"/>
        </w:rPr>
      </w:pPr>
      <w:r w:rsidRPr="003A2CF7">
        <w:rPr>
          <w:rFonts w:ascii="Book Antiqua" w:hAnsi="Book Antiqua"/>
          <w:sz w:val="24"/>
          <w:szCs w:val="24"/>
        </w:rPr>
        <w:br w:type="page"/>
      </w:r>
    </w:p>
    <w:p w:rsidR="008949A1" w:rsidRPr="003A2CF7" w:rsidRDefault="003A2CF7" w:rsidP="003A2CF7">
      <w:pPr>
        <w:jc w:val="both"/>
        <w:rPr>
          <w:rFonts w:ascii="Book Antiqua" w:hAnsi="Book Antiqua"/>
          <w:vanish/>
          <w:sz w:val="24"/>
          <w:szCs w:val="24"/>
        </w:rPr>
      </w:pPr>
      <w:r w:rsidRPr="003A2CF7">
        <w:rPr>
          <w:rFonts w:ascii="Book Antiqua" w:hAnsi="Book Antiqua"/>
          <w:b/>
          <w:sz w:val="24"/>
          <w:szCs w:val="24"/>
        </w:rPr>
        <w:lastRenderedPageBreak/>
        <w:t>Table 4 Summary of characteristics of pseudopolyps and other polypoid lesions in inflammatory bowel disease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303"/>
      </w:tblGrid>
      <w:tr w:rsidR="008949A1" w:rsidRPr="003A2CF7" w:rsidTr="00D623E1">
        <w:tc>
          <w:tcPr>
            <w:tcW w:w="4219" w:type="dxa"/>
            <w:tcBorders>
              <w:top w:val="single" w:sz="4" w:space="0" w:color="auto"/>
              <w:left w:val="nil"/>
              <w:bottom w:val="single" w:sz="4" w:space="0" w:color="000000"/>
              <w:right w:val="nil"/>
            </w:tcBorders>
          </w:tcPr>
          <w:p w:rsidR="008949A1" w:rsidRPr="003A2CF7" w:rsidRDefault="008949A1" w:rsidP="003A2CF7">
            <w:pPr>
              <w:spacing w:line="360" w:lineRule="auto"/>
              <w:jc w:val="both"/>
              <w:rPr>
                <w:rFonts w:ascii="Book Antiqua" w:hAnsi="Book Antiqua"/>
                <w:b/>
                <w:sz w:val="24"/>
                <w:szCs w:val="24"/>
              </w:rPr>
            </w:pPr>
            <w:r w:rsidRPr="003A2CF7">
              <w:rPr>
                <w:rFonts w:ascii="Book Antiqua" w:hAnsi="Book Antiqua"/>
                <w:b/>
                <w:sz w:val="24"/>
                <w:szCs w:val="24"/>
              </w:rPr>
              <w:t>Pseudopolyps and polypoid manifestation</w:t>
            </w:r>
          </w:p>
        </w:tc>
        <w:tc>
          <w:tcPr>
            <w:tcW w:w="4303" w:type="dxa"/>
            <w:tcBorders>
              <w:top w:val="single" w:sz="4" w:space="0" w:color="auto"/>
              <w:left w:val="nil"/>
              <w:bottom w:val="single" w:sz="4" w:space="0" w:color="000000"/>
              <w:right w:val="nil"/>
            </w:tcBorders>
          </w:tcPr>
          <w:p w:rsidR="008949A1" w:rsidRPr="003A2CF7" w:rsidRDefault="008949A1" w:rsidP="003A2CF7">
            <w:pPr>
              <w:spacing w:line="240" w:lineRule="auto"/>
              <w:jc w:val="both"/>
              <w:rPr>
                <w:rFonts w:ascii="Book Antiqua" w:hAnsi="Book Antiqua"/>
                <w:b/>
                <w:sz w:val="24"/>
                <w:szCs w:val="24"/>
              </w:rPr>
            </w:pPr>
            <w:r w:rsidRPr="003A2CF7">
              <w:rPr>
                <w:rFonts w:ascii="Book Antiqua" w:hAnsi="Book Antiqua"/>
                <w:b/>
                <w:sz w:val="24"/>
                <w:szCs w:val="24"/>
              </w:rPr>
              <w:t>Characterization</w:t>
            </w:r>
          </w:p>
          <w:p w:rsidR="008949A1" w:rsidRPr="003A2CF7" w:rsidRDefault="008949A1" w:rsidP="003A2CF7">
            <w:pPr>
              <w:spacing w:line="240" w:lineRule="auto"/>
              <w:jc w:val="both"/>
              <w:rPr>
                <w:rFonts w:ascii="Book Antiqua" w:hAnsi="Book Antiqua"/>
                <w:sz w:val="24"/>
                <w:szCs w:val="24"/>
              </w:rPr>
            </w:pPr>
          </w:p>
        </w:tc>
      </w:tr>
      <w:tr w:rsidR="008949A1" w:rsidRPr="003A2CF7" w:rsidTr="00D623E1">
        <w:tc>
          <w:tcPr>
            <w:tcW w:w="4219" w:type="dxa"/>
            <w:tcBorders>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Location</w:t>
            </w:r>
          </w:p>
        </w:tc>
        <w:tc>
          <w:tcPr>
            <w:tcW w:w="4303" w:type="dxa"/>
            <w:tcBorders>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Upper gastrointestinal tract</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Small bowel</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Large bowel</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Both small and large intestine</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Special location (pouch)</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Size</w:t>
            </w: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&lt; 1.5 cm</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&gt; 1.5 (giant)</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Number</w:t>
            </w: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&lt; 10</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&gt; 10 multiple</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Pattern of distribution</w:t>
            </w: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Congested</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Scarce</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Years since disease onset</w:t>
            </w:r>
          </w:p>
        </w:tc>
        <w:tc>
          <w:tcPr>
            <w:tcW w:w="4303" w:type="dxa"/>
            <w:tcBorders>
              <w:top w:val="nil"/>
              <w:left w:val="nil"/>
              <w:bottom w:val="nil"/>
              <w:right w:val="nil"/>
            </w:tcBorders>
          </w:tcPr>
          <w:p w:rsidR="008949A1" w:rsidRPr="003A2CF7" w:rsidRDefault="003A2CF7" w:rsidP="003A2CF7">
            <w:pPr>
              <w:spacing w:line="240" w:lineRule="auto"/>
              <w:jc w:val="both"/>
              <w:rPr>
                <w:rFonts w:ascii="Book Antiqua" w:hAnsi="Book Antiqua"/>
                <w:sz w:val="24"/>
                <w:szCs w:val="24"/>
              </w:rPr>
            </w:pPr>
            <w:r w:rsidRPr="003A2CF7">
              <w:rPr>
                <w:rFonts w:ascii="Book Antiqua" w:hAnsi="Book Antiqua"/>
                <w:sz w:val="24"/>
                <w:szCs w:val="24"/>
              </w:rPr>
              <w:t>&lt; 1 y</w:t>
            </w:r>
            <w:r w:rsidR="008949A1" w:rsidRPr="003A2CF7">
              <w:rPr>
                <w:rFonts w:ascii="Book Antiqua" w:hAnsi="Book Antiqua"/>
                <w:sz w:val="24"/>
                <w:szCs w:val="24"/>
              </w:rPr>
              <w:t>r</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3A2CF7" w:rsidP="003A2CF7">
            <w:pPr>
              <w:spacing w:line="240" w:lineRule="auto"/>
              <w:jc w:val="both"/>
              <w:rPr>
                <w:rFonts w:ascii="Book Antiqua" w:hAnsi="Book Antiqua"/>
                <w:sz w:val="24"/>
                <w:szCs w:val="24"/>
                <w:lang w:eastAsia="zh-CN"/>
              </w:rPr>
            </w:pPr>
            <w:r w:rsidRPr="003A2CF7">
              <w:rPr>
                <w:rFonts w:ascii="Book Antiqua" w:hAnsi="Book Antiqua"/>
                <w:sz w:val="24"/>
                <w:szCs w:val="24"/>
              </w:rPr>
              <w:t>1-5 yr</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3A2CF7" w:rsidP="003A2CF7">
            <w:pPr>
              <w:spacing w:line="240" w:lineRule="auto"/>
              <w:jc w:val="both"/>
              <w:rPr>
                <w:rFonts w:ascii="Book Antiqua" w:hAnsi="Book Antiqua"/>
                <w:sz w:val="24"/>
                <w:szCs w:val="24"/>
                <w:lang w:eastAsia="zh-CN"/>
              </w:rPr>
            </w:pPr>
            <w:r w:rsidRPr="003A2CF7">
              <w:rPr>
                <w:rFonts w:ascii="Book Antiqua" w:hAnsi="Book Antiqua"/>
                <w:sz w:val="24"/>
                <w:szCs w:val="24"/>
              </w:rPr>
              <w:t>&gt; 5 yr</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Bowel background mucosa</w:t>
            </w: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Relapsed</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Remission</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Endoscopic appearance</w:t>
            </w: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Obstructing</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Bridging (mural bridging lesions)</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Penduculated</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Filiform (digitiform or fingerlike)</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Flat</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Mixed type (&gt;</w:t>
            </w:r>
            <w:r w:rsidR="003A2CF7" w:rsidRPr="003A2CF7">
              <w:rPr>
                <w:rFonts w:ascii="Book Antiqua" w:hAnsi="Book Antiqua"/>
                <w:sz w:val="24"/>
                <w:szCs w:val="24"/>
                <w:lang w:eastAsia="zh-CN"/>
              </w:rPr>
              <w:t xml:space="preserve"> </w:t>
            </w:r>
            <w:r w:rsidRPr="003A2CF7">
              <w:rPr>
                <w:rFonts w:ascii="Book Antiqua" w:hAnsi="Book Antiqua"/>
                <w:sz w:val="24"/>
                <w:szCs w:val="24"/>
              </w:rPr>
              <w:t>2 types of previous categories)</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 xml:space="preserve">Long, glistering, with or without exudate </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Resectable or not</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Definite borders, not stricturing</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Histology</w:t>
            </w: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Inflammatory</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Adenomatous</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Dysplastic low-grade (DALM)</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Dysplastic high-grade (DALM)</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Serrated</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IBD type</w:t>
            </w: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Ulcerative colitis</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Crohn’s disease</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Indeterminate colitis</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Follow-up</w:t>
            </w: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Reduction in number</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Reduction in size</w:t>
            </w:r>
          </w:p>
        </w:tc>
      </w:tr>
      <w:tr w:rsidR="008949A1" w:rsidRPr="003A2CF7" w:rsidTr="00D623E1">
        <w:tc>
          <w:tcPr>
            <w:tcW w:w="4219"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Increase in number</w:t>
            </w:r>
          </w:p>
        </w:tc>
      </w:tr>
      <w:tr w:rsidR="008949A1" w:rsidRPr="003A2CF7" w:rsidTr="00D623E1">
        <w:tc>
          <w:tcPr>
            <w:tcW w:w="4219" w:type="dxa"/>
            <w:tcBorders>
              <w:top w:val="nil"/>
              <w:left w:val="nil"/>
              <w:bottom w:val="single" w:sz="4" w:space="0" w:color="000000"/>
              <w:right w:val="nil"/>
            </w:tcBorders>
          </w:tcPr>
          <w:p w:rsidR="008949A1" w:rsidRPr="003A2CF7" w:rsidRDefault="008949A1" w:rsidP="003A2CF7">
            <w:pPr>
              <w:spacing w:line="240" w:lineRule="auto"/>
              <w:jc w:val="both"/>
              <w:rPr>
                <w:rFonts w:ascii="Book Antiqua" w:hAnsi="Book Antiqua"/>
                <w:sz w:val="24"/>
                <w:szCs w:val="24"/>
              </w:rPr>
            </w:pPr>
          </w:p>
        </w:tc>
        <w:tc>
          <w:tcPr>
            <w:tcW w:w="4303" w:type="dxa"/>
            <w:tcBorders>
              <w:top w:val="nil"/>
              <w:left w:val="nil"/>
              <w:bottom w:val="single" w:sz="4" w:space="0" w:color="000000"/>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Increase in size</w:t>
            </w:r>
          </w:p>
        </w:tc>
      </w:tr>
      <w:tr w:rsidR="008949A1" w:rsidRPr="003A2CF7" w:rsidTr="00D623E1">
        <w:trPr>
          <w:trHeight w:val="602"/>
        </w:trPr>
        <w:tc>
          <w:tcPr>
            <w:tcW w:w="8522" w:type="dxa"/>
            <w:gridSpan w:val="2"/>
            <w:tcBorders>
              <w:left w:val="nil"/>
              <w:bottom w:val="nil"/>
              <w:right w:val="nil"/>
            </w:tcBorders>
          </w:tcPr>
          <w:p w:rsidR="008949A1" w:rsidRPr="003A2CF7" w:rsidRDefault="008949A1" w:rsidP="003A2CF7">
            <w:pPr>
              <w:spacing w:line="240" w:lineRule="auto"/>
              <w:jc w:val="both"/>
              <w:rPr>
                <w:rFonts w:ascii="Book Antiqua" w:hAnsi="Book Antiqua"/>
                <w:sz w:val="24"/>
                <w:szCs w:val="24"/>
              </w:rPr>
            </w:pPr>
            <w:r w:rsidRPr="003A2CF7">
              <w:rPr>
                <w:rFonts w:ascii="Book Antiqua" w:hAnsi="Book Antiqua"/>
                <w:sz w:val="24"/>
                <w:szCs w:val="24"/>
              </w:rPr>
              <w:t>DALM: Dysplasia-associated lesion or mass; IBD: Inflammatory bowel disease.</w:t>
            </w:r>
          </w:p>
        </w:tc>
      </w:tr>
    </w:tbl>
    <w:p w:rsidR="003A2CF7" w:rsidRPr="003A2CF7" w:rsidRDefault="003A2CF7" w:rsidP="003A2CF7">
      <w:pPr>
        <w:spacing w:line="360" w:lineRule="auto"/>
        <w:jc w:val="both"/>
        <w:rPr>
          <w:rFonts w:ascii="Book Antiqua" w:hAnsi="Book Antiqua"/>
          <w:noProof/>
          <w:sz w:val="24"/>
          <w:szCs w:val="24"/>
          <w:lang w:eastAsia="el-GR"/>
        </w:rPr>
      </w:pPr>
      <w:r w:rsidRPr="003A2CF7">
        <w:rPr>
          <w:rFonts w:ascii="Book Antiqua" w:hAnsi="Book Antiqua"/>
          <w:noProof/>
          <w:sz w:val="24"/>
          <w:szCs w:val="24"/>
          <w:lang w:eastAsia="el-GR"/>
        </w:rPr>
        <w:br w:type="page"/>
      </w:r>
    </w:p>
    <w:p w:rsidR="008949A1" w:rsidRPr="003A2CF7" w:rsidRDefault="003A2CF7" w:rsidP="003A2CF7">
      <w:pPr>
        <w:spacing w:line="360" w:lineRule="auto"/>
        <w:jc w:val="both"/>
        <w:rPr>
          <w:rFonts w:ascii="Book Antiqua" w:hAnsi="Book Antiqua"/>
          <w:noProof/>
          <w:sz w:val="24"/>
          <w:szCs w:val="24"/>
          <w:lang w:eastAsia="el-GR"/>
        </w:rPr>
      </w:pPr>
      <w:r w:rsidRPr="003A2CF7">
        <w:rPr>
          <w:rFonts w:ascii="Book Antiqua" w:hAnsi="Book Antiqua"/>
          <w:noProof/>
          <w:sz w:val="24"/>
          <w:szCs w:val="24"/>
          <w:lang w:eastAsia="el-GR"/>
        </w:rPr>
        <w:lastRenderedPageBreak/>
        <w:t>A</w:t>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t xml:space="preserve">    </w:t>
      </w:r>
      <w:r w:rsidRPr="003A2CF7">
        <w:rPr>
          <w:rFonts w:ascii="Book Antiqua" w:hAnsi="Book Antiqua"/>
          <w:noProof/>
          <w:sz w:val="24"/>
          <w:szCs w:val="24"/>
          <w:lang w:eastAsia="zh-CN"/>
        </w:rPr>
        <w:t xml:space="preserve">          </w:t>
      </w:r>
      <w:r w:rsidR="008949A1" w:rsidRPr="003A2CF7">
        <w:rPr>
          <w:rFonts w:ascii="Book Antiqua" w:hAnsi="Book Antiqua"/>
          <w:noProof/>
          <w:sz w:val="24"/>
          <w:szCs w:val="24"/>
          <w:lang w:eastAsia="el-GR"/>
        </w:rPr>
        <w:t>B</w:t>
      </w:r>
    </w:p>
    <w:p w:rsidR="008949A1" w:rsidRPr="003A2CF7" w:rsidRDefault="003A2CF7" w:rsidP="003A2CF7">
      <w:pPr>
        <w:spacing w:line="360" w:lineRule="auto"/>
        <w:jc w:val="both"/>
        <w:rPr>
          <w:rFonts w:ascii="Book Antiqua" w:hAnsi="Book Antiqua"/>
          <w:sz w:val="24"/>
          <w:szCs w:val="24"/>
        </w:rPr>
      </w:pPr>
      <w:r w:rsidRPr="003A2CF7">
        <w:rPr>
          <w:rFonts w:ascii="Book Antiqua" w:hAnsi="Book Antiqua"/>
          <w:noProof/>
          <w:sz w:val="24"/>
          <w:szCs w:val="24"/>
          <w:lang w:eastAsia="zh-CN"/>
        </w:rPr>
        <w:drawing>
          <wp:inline distT="0" distB="0" distL="0" distR="0" wp14:anchorId="120884BF" wp14:editId="6BD944B0">
            <wp:extent cx="2360930" cy="1869440"/>
            <wp:effectExtent l="0" t="0" r="1270" b="0"/>
            <wp:docPr id="9" name="图片 9" descr="G:\POLITIS Gastr\DSC0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G:\POLITIS Gastr\DSC075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0930" cy="1869440"/>
                    </a:xfrm>
                    <a:prstGeom prst="rect">
                      <a:avLst/>
                    </a:prstGeom>
                    <a:noFill/>
                    <a:ln>
                      <a:noFill/>
                    </a:ln>
                  </pic:spPr>
                </pic:pic>
              </a:graphicData>
            </a:graphic>
          </wp:inline>
        </w:drawing>
      </w:r>
      <w:r w:rsidR="008949A1" w:rsidRPr="003A2CF7">
        <w:rPr>
          <w:rFonts w:ascii="Book Antiqua" w:hAnsi="Book Antiqua"/>
          <w:noProof/>
          <w:sz w:val="24"/>
          <w:szCs w:val="24"/>
          <w:lang w:eastAsia="zh-CN"/>
        </w:rPr>
        <w:drawing>
          <wp:inline distT="0" distB="0" distL="0" distR="0" wp14:anchorId="092D01B6" wp14:editId="1EA75AA4">
            <wp:extent cx="2517775" cy="1863090"/>
            <wp:effectExtent l="0" t="0" r="0" b="3810"/>
            <wp:docPr id="10" name="图片 10" descr="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copy"/>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t="2226" r="3796"/>
                    <a:stretch>
                      <a:fillRect/>
                    </a:stretch>
                  </pic:blipFill>
                  <pic:spPr bwMode="auto">
                    <a:xfrm>
                      <a:off x="0" y="0"/>
                      <a:ext cx="2517775" cy="1863090"/>
                    </a:xfrm>
                    <a:prstGeom prst="rect">
                      <a:avLst/>
                    </a:prstGeom>
                    <a:noFill/>
                    <a:ln>
                      <a:noFill/>
                    </a:ln>
                  </pic:spPr>
                </pic:pic>
              </a:graphicData>
            </a:graphic>
          </wp:inline>
        </w:drawing>
      </w:r>
      <w:r w:rsidR="008949A1" w:rsidRPr="003A2CF7">
        <w:rPr>
          <w:rFonts w:ascii="Book Antiqua" w:hAnsi="Book Antiqua"/>
          <w:noProof/>
          <w:sz w:val="24"/>
          <w:szCs w:val="24"/>
          <w:lang w:eastAsia="el-GR"/>
        </w:rPr>
        <w:t xml:space="preserve">         </w:t>
      </w:r>
    </w:p>
    <w:p w:rsidR="008949A1" w:rsidRPr="003A2CF7" w:rsidRDefault="003A2CF7" w:rsidP="003A2CF7">
      <w:pPr>
        <w:spacing w:line="360" w:lineRule="auto"/>
        <w:jc w:val="both"/>
        <w:rPr>
          <w:rFonts w:ascii="Book Antiqua" w:hAnsi="Book Antiqua"/>
          <w:noProof/>
          <w:sz w:val="24"/>
          <w:szCs w:val="24"/>
          <w:lang w:eastAsia="el-GR"/>
        </w:rPr>
      </w:pPr>
      <w:r w:rsidRPr="003A2CF7">
        <w:rPr>
          <w:rFonts w:ascii="Book Antiqua" w:hAnsi="Book Antiqua"/>
          <w:noProof/>
          <w:sz w:val="24"/>
          <w:szCs w:val="24"/>
          <w:lang w:eastAsia="el-GR"/>
        </w:rPr>
        <w:t>C</w:t>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t xml:space="preserve"> </w:t>
      </w:r>
      <w:r w:rsidRPr="003A2CF7">
        <w:rPr>
          <w:rFonts w:ascii="Book Antiqua" w:hAnsi="Book Antiqua"/>
          <w:noProof/>
          <w:sz w:val="24"/>
          <w:szCs w:val="24"/>
          <w:lang w:eastAsia="zh-CN"/>
        </w:rPr>
        <w:t xml:space="preserve">          </w:t>
      </w:r>
      <w:r w:rsidR="008949A1" w:rsidRPr="003A2CF7">
        <w:rPr>
          <w:rFonts w:ascii="Book Antiqua" w:hAnsi="Book Antiqua"/>
          <w:noProof/>
          <w:sz w:val="24"/>
          <w:szCs w:val="24"/>
          <w:lang w:eastAsia="el-GR"/>
        </w:rPr>
        <w:t>D</w:t>
      </w:r>
    </w:p>
    <w:p w:rsidR="008949A1" w:rsidRPr="003A2CF7" w:rsidRDefault="003A2CF7" w:rsidP="003A2CF7">
      <w:pPr>
        <w:spacing w:line="360" w:lineRule="auto"/>
        <w:jc w:val="both"/>
        <w:rPr>
          <w:rFonts w:ascii="Book Antiqua" w:hAnsi="Book Antiqua"/>
          <w:sz w:val="24"/>
          <w:szCs w:val="24"/>
        </w:rPr>
      </w:pPr>
      <w:r w:rsidRPr="003A2CF7">
        <w:rPr>
          <w:rFonts w:ascii="Book Antiqua" w:hAnsi="Book Antiqua"/>
          <w:noProof/>
          <w:sz w:val="24"/>
          <w:szCs w:val="24"/>
          <w:lang w:eastAsia="zh-CN"/>
        </w:rPr>
        <w:drawing>
          <wp:inline distT="0" distB="0" distL="0" distR="0" wp14:anchorId="154D0FE9" wp14:editId="48681850">
            <wp:extent cx="2477135" cy="2115185"/>
            <wp:effectExtent l="0" t="0" r="0" b="0"/>
            <wp:docPr id="7" name="图片 7" descr="G:\POLITIS Gastr\Εικόν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G:\POLITIS Gastr\Εικόνα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7135" cy="2115185"/>
                    </a:xfrm>
                    <a:prstGeom prst="rect">
                      <a:avLst/>
                    </a:prstGeom>
                    <a:noFill/>
                    <a:ln>
                      <a:noFill/>
                    </a:ln>
                  </pic:spPr>
                </pic:pic>
              </a:graphicData>
            </a:graphic>
          </wp:inline>
        </w:drawing>
      </w:r>
      <w:r w:rsidR="008949A1" w:rsidRPr="003A2CF7">
        <w:rPr>
          <w:rFonts w:ascii="Book Antiqua" w:hAnsi="Book Antiqua"/>
          <w:noProof/>
          <w:sz w:val="24"/>
          <w:szCs w:val="24"/>
          <w:lang w:eastAsia="zh-CN"/>
        </w:rPr>
        <w:drawing>
          <wp:inline distT="0" distB="0" distL="0" distR="0" wp14:anchorId="5C799784" wp14:editId="3FB696B8">
            <wp:extent cx="2504440" cy="2136140"/>
            <wp:effectExtent l="0" t="0" r="0" b="0"/>
            <wp:docPr id="8" name="图片 8" descr="G:\POLITIS Gastr\Εικόν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G:\POLITIS Gastr\Εικόνα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2136140"/>
                    </a:xfrm>
                    <a:prstGeom prst="rect">
                      <a:avLst/>
                    </a:prstGeom>
                    <a:noFill/>
                    <a:ln>
                      <a:noFill/>
                    </a:ln>
                  </pic:spPr>
                </pic:pic>
              </a:graphicData>
            </a:graphic>
          </wp:inline>
        </w:drawing>
      </w:r>
      <w:r w:rsidR="008949A1" w:rsidRPr="003A2CF7">
        <w:rPr>
          <w:rFonts w:ascii="Book Antiqua" w:hAnsi="Book Antiqua"/>
          <w:noProof/>
          <w:sz w:val="24"/>
          <w:szCs w:val="24"/>
          <w:lang w:eastAsia="el-GR"/>
        </w:rPr>
        <w:t xml:space="preserve">        </w:t>
      </w:r>
    </w:p>
    <w:p w:rsidR="008949A1" w:rsidRPr="003A2CF7" w:rsidRDefault="008949A1" w:rsidP="003A2CF7">
      <w:pPr>
        <w:spacing w:line="360" w:lineRule="auto"/>
        <w:jc w:val="both"/>
        <w:rPr>
          <w:rFonts w:ascii="Book Antiqua" w:hAnsi="Book Antiqua"/>
          <w:sz w:val="24"/>
          <w:szCs w:val="24"/>
        </w:rPr>
      </w:pPr>
      <w:r w:rsidRPr="003A2CF7">
        <w:rPr>
          <w:rFonts w:ascii="Book Antiqua" w:hAnsi="Book Antiqua"/>
          <w:sz w:val="24"/>
          <w:szCs w:val="24"/>
        </w:rPr>
        <w:t xml:space="preserve">  E</w:t>
      </w:r>
      <w:r w:rsidRPr="003A2CF7">
        <w:rPr>
          <w:rFonts w:ascii="Book Antiqua" w:hAnsi="Book Antiqua"/>
          <w:sz w:val="24"/>
          <w:szCs w:val="24"/>
        </w:rPr>
        <w:tab/>
      </w:r>
      <w:r w:rsidRPr="003A2CF7">
        <w:rPr>
          <w:rFonts w:ascii="Book Antiqua" w:hAnsi="Book Antiqua"/>
          <w:sz w:val="24"/>
          <w:szCs w:val="24"/>
        </w:rPr>
        <w:tab/>
      </w:r>
      <w:r w:rsidRPr="003A2CF7">
        <w:rPr>
          <w:rFonts w:ascii="Book Antiqua" w:hAnsi="Book Antiqua"/>
          <w:sz w:val="24"/>
          <w:szCs w:val="24"/>
        </w:rPr>
        <w:tab/>
      </w:r>
      <w:r w:rsidRPr="003A2CF7">
        <w:rPr>
          <w:rFonts w:ascii="Book Antiqua" w:hAnsi="Book Antiqua"/>
          <w:sz w:val="24"/>
          <w:szCs w:val="24"/>
        </w:rPr>
        <w:tab/>
      </w:r>
      <w:r w:rsidRPr="003A2CF7">
        <w:rPr>
          <w:rFonts w:ascii="Book Antiqua" w:hAnsi="Book Antiqua"/>
          <w:sz w:val="24"/>
          <w:szCs w:val="24"/>
        </w:rPr>
        <w:tab/>
      </w:r>
      <w:r w:rsidRPr="003A2CF7">
        <w:rPr>
          <w:rFonts w:ascii="Book Antiqua" w:hAnsi="Book Antiqua"/>
          <w:sz w:val="24"/>
          <w:szCs w:val="24"/>
        </w:rPr>
        <w:tab/>
      </w:r>
      <w:r w:rsidRPr="003A2CF7">
        <w:rPr>
          <w:rFonts w:ascii="Book Antiqua" w:hAnsi="Book Antiqua"/>
          <w:sz w:val="24"/>
          <w:szCs w:val="24"/>
        </w:rPr>
        <w:tab/>
      </w:r>
      <w:r w:rsidR="003A2CF7" w:rsidRPr="003A2CF7">
        <w:rPr>
          <w:rFonts w:ascii="Book Antiqua" w:hAnsi="Book Antiqua"/>
          <w:sz w:val="24"/>
          <w:szCs w:val="24"/>
          <w:lang w:eastAsia="zh-CN"/>
        </w:rPr>
        <w:t xml:space="preserve">         </w:t>
      </w:r>
      <w:r w:rsidRPr="003A2CF7">
        <w:rPr>
          <w:rFonts w:ascii="Book Antiqua" w:hAnsi="Book Antiqua"/>
          <w:sz w:val="24"/>
          <w:szCs w:val="24"/>
        </w:rPr>
        <w:t>F</w:t>
      </w:r>
    </w:p>
    <w:p w:rsidR="008949A1" w:rsidRPr="003A2CF7" w:rsidRDefault="003A2CF7" w:rsidP="003A2CF7">
      <w:pPr>
        <w:spacing w:line="360" w:lineRule="auto"/>
        <w:jc w:val="both"/>
        <w:rPr>
          <w:rFonts w:ascii="Book Antiqua" w:hAnsi="Book Antiqua"/>
          <w:sz w:val="24"/>
          <w:szCs w:val="24"/>
        </w:rPr>
      </w:pPr>
      <w:r w:rsidRPr="003A2CF7">
        <w:rPr>
          <w:rFonts w:ascii="Book Antiqua" w:hAnsi="Book Antiqua"/>
          <w:noProof/>
          <w:sz w:val="24"/>
          <w:szCs w:val="24"/>
          <w:lang w:eastAsia="zh-CN"/>
        </w:rPr>
        <w:drawing>
          <wp:inline distT="0" distB="0" distL="0" distR="0" wp14:anchorId="5AC0DCAB" wp14:editId="33DE856E">
            <wp:extent cx="2688590" cy="2019935"/>
            <wp:effectExtent l="0" t="0" r="0" b="0"/>
            <wp:docPr id="5" name="图片 5" descr="G:\POLITIS Gastr\Εικόν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G:\POLITIS Gastr\Εικόνα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8590" cy="2019935"/>
                    </a:xfrm>
                    <a:prstGeom prst="rect">
                      <a:avLst/>
                    </a:prstGeom>
                    <a:noFill/>
                    <a:ln>
                      <a:noFill/>
                    </a:ln>
                  </pic:spPr>
                </pic:pic>
              </a:graphicData>
            </a:graphic>
          </wp:inline>
        </w:drawing>
      </w:r>
      <w:r w:rsidR="008949A1" w:rsidRPr="003A2CF7">
        <w:rPr>
          <w:rFonts w:ascii="Book Antiqua" w:hAnsi="Book Antiqua"/>
          <w:noProof/>
          <w:sz w:val="24"/>
          <w:szCs w:val="24"/>
          <w:lang w:eastAsia="zh-CN"/>
        </w:rPr>
        <w:drawing>
          <wp:inline distT="0" distB="0" distL="0" distR="0" wp14:anchorId="7AB1A9B8" wp14:editId="0CC8F31B">
            <wp:extent cx="2640965" cy="2033270"/>
            <wp:effectExtent l="0" t="0" r="6985" b="5080"/>
            <wp:docPr id="6" name="图片 6" descr="G:\POLITIS Gastr\Εικόν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G:\POLITIS Gastr\Εικόνα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965" cy="2033270"/>
                    </a:xfrm>
                    <a:prstGeom prst="rect">
                      <a:avLst/>
                    </a:prstGeom>
                    <a:noFill/>
                    <a:ln>
                      <a:noFill/>
                    </a:ln>
                  </pic:spPr>
                </pic:pic>
              </a:graphicData>
            </a:graphic>
          </wp:inline>
        </w:drawing>
      </w:r>
      <w:r w:rsidR="008949A1" w:rsidRPr="003A2CF7">
        <w:rPr>
          <w:rFonts w:ascii="Book Antiqua" w:hAnsi="Book Antiqua"/>
          <w:sz w:val="24"/>
          <w:szCs w:val="24"/>
        </w:rPr>
        <w:t xml:space="preserve">    </w:t>
      </w:r>
    </w:p>
    <w:p w:rsidR="008949A1" w:rsidRPr="003A2CF7" w:rsidRDefault="008949A1" w:rsidP="003A2CF7">
      <w:pPr>
        <w:spacing w:line="360" w:lineRule="auto"/>
        <w:ind w:firstLineChars="50" w:firstLine="120"/>
        <w:jc w:val="both"/>
        <w:rPr>
          <w:rFonts w:ascii="Book Antiqua" w:hAnsi="Book Antiqua"/>
          <w:noProof/>
          <w:sz w:val="24"/>
          <w:szCs w:val="24"/>
          <w:lang w:eastAsia="el-GR"/>
        </w:rPr>
      </w:pPr>
      <w:r w:rsidRPr="003A2CF7">
        <w:rPr>
          <w:rFonts w:ascii="Book Antiqua" w:hAnsi="Book Antiqua"/>
          <w:noProof/>
          <w:sz w:val="24"/>
          <w:szCs w:val="24"/>
          <w:lang w:eastAsia="el-GR"/>
        </w:rPr>
        <w:t xml:space="preserve"> G</w:t>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003A2CF7" w:rsidRPr="003A2CF7">
        <w:rPr>
          <w:rFonts w:ascii="Book Antiqua" w:hAnsi="Book Antiqua"/>
          <w:noProof/>
          <w:sz w:val="24"/>
          <w:szCs w:val="24"/>
          <w:lang w:eastAsia="zh-CN"/>
        </w:rPr>
        <w:t xml:space="preserve">        </w:t>
      </w:r>
      <w:r w:rsidRPr="003A2CF7">
        <w:rPr>
          <w:rFonts w:ascii="Book Antiqua" w:hAnsi="Book Antiqua"/>
          <w:noProof/>
          <w:sz w:val="24"/>
          <w:szCs w:val="24"/>
          <w:lang w:eastAsia="el-GR"/>
        </w:rPr>
        <w:t>H</w:t>
      </w:r>
    </w:p>
    <w:p w:rsidR="008949A1" w:rsidRPr="003A2CF7" w:rsidRDefault="003A2CF7" w:rsidP="003A2CF7">
      <w:pPr>
        <w:spacing w:line="360" w:lineRule="auto"/>
        <w:jc w:val="both"/>
        <w:rPr>
          <w:rFonts w:ascii="Book Antiqua" w:hAnsi="Book Antiqua"/>
          <w:b/>
          <w:noProof/>
          <w:sz w:val="24"/>
          <w:szCs w:val="24"/>
          <w:lang w:eastAsia="el-GR"/>
        </w:rPr>
      </w:pPr>
      <w:r w:rsidRPr="003A2CF7">
        <w:rPr>
          <w:rFonts w:ascii="Book Antiqua" w:hAnsi="Book Antiqua"/>
          <w:b/>
          <w:noProof/>
          <w:sz w:val="24"/>
          <w:szCs w:val="24"/>
          <w:lang w:eastAsia="zh-CN"/>
        </w:rPr>
        <w:lastRenderedPageBreak/>
        <w:drawing>
          <wp:inline distT="0" distB="0" distL="0" distR="0" wp14:anchorId="1422FEA5" wp14:editId="1D8FBD63">
            <wp:extent cx="2572385" cy="20745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2385" cy="2074545"/>
                    </a:xfrm>
                    <a:prstGeom prst="rect">
                      <a:avLst/>
                    </a:prstGeom>
                    <a:noFill/>
                    <a:ln>
                      <a:noFill/>
                    </a:ln>
                  </pic:spPr>
                </pic:pic>
              </a:graphicData>
            </a:graphic>
          </wp:inline>
        </w:drawing>
      </w:r>
      <w:r w:rsidR="008949A1" w:rsidRPr="003A2CF7">
        <w:rPr>
          <w:rFonts w:ascii="Book Antiqua" w:hAnsi="Book Antiqua"/>
          <w:noProof/>
          <w:sz w:val="24"/>
          <w:szCs w:val="24"/>
          <w:lang w:eastAsia="zh-CN"/>
        </w:rPr>
        <w:drawing>
          <wp:inline distT="0" distB="0" distL="0" distR="0" wp14:anchorId="2E613058" wp14:editId="61886E58">
            <wp:extent cx="2517775" cy="2074545"/>
            <wp:effectExtent l="0" t="0" r="0" b="1905"/>
            <wp:docPr id="4" name="图片 4" descr="G:\POLITIS Gastr\DSC0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G:\POLITIS Gastr\DSC075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775" cy="2074545"/>
                    </a:xfrm>
                    <a:prstGeom prst="rect">
                      <a:avLst/>
                    </a:prstGeom>
                    <a:noFill/>
                    <a:ln>
                      <a:noFill/>
                    </a:ln>
                  </pic:spPr>
                </pic:pic>
              </a:graphicData>
            </a:graphic>
          </wp:inline>
        </w:drawing>
      </w:r>
      <w:r w:rsidR="008949A1" w:rsidRPr="003A2CF7">
        <w:rPr>
          <w:rFonts w:ascii="Book Antiqua" w:hAnsi="Book Antiqua"/>
          <w:noProof/>
          <w:sz w:val="24"/>
          <w:szCs w:val="24"/>
          <w:lang w:eastAsia="el-GR"/>
        </w:rPr>
        <w:t xml:space="preserve">       </w:t>
      </w:r>
    </w:p>
    <w:p w:rsidR="008949A1" w:rsidRPr="003A2CF7" w:rsidRDefault="008949A1" w:rsidP="003A2CF7">
      <w:pPr>
        <w:spacing w:line="360" w:lineRule="auto"/>
        <w:ind w:firstLineChars="50" w:firstLine="120"/>
        <w:jc w:val="both"/>
        <w:rPr>
          <w:rFonts w:ascii="Book Antiqua" w:hAnsi="Book Antiqua"/>
          <w:noProof/>
          <w:sz w:val="24"/>
          <w:szCs w:val="24"/>
          <w:lang w:eastAsia="el-GR"/>
        </w:rPr>
      </w:pPr>
      <w:r w:rsidRPr="003A2CF7">
        <w:rPr>
          <w:rFonts w:ascii="Book Antiqua" w:hAnsi="Book Antiqua"/>
          <w:noProof/>
          <w:sz w:val="24"/>
          <w:szCs w:val="24"/>
          <w:lang w:eastAsia="el-GR"/>
        </w:rPr>
        <w:t>I</w:t>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Pr="003A2CF7">
        <w:rPr>
          <w:rFonts w:ascii="Book Antiqua" w:hAnsi="Book Antiqua"/>
          <w:noProof/>
          <w:sz w:val="24"/>
          <w:szCs w:val="24"/>
          <w:lang w:eastAsia="el-GR"/>
        </w:rPr>
        <w:tab/>
      </w:r>
      <w:r w:rsidR="003A2CF7" w:rsidRPr="003A2CF7">
        <w:rPr>
          <w:rFonts w:ascii="Book Antiqua" w:hAnsi="Book Antiqua"/>
          <w:noProof/>
          <w:sz w:val="24"/>
          <w:szCs w:val="24"/>
          <w:lang w:eastAsia="zh-CN"/>
        </w:rPr>
        <w:t xml:space="preserve">          </w:t>
      </w:r>
      <w:r w:rsidRPr="003A2CF7">
        <w:rPr>
          <w:rFonts w:ascii="Book Antiqua" w:hAnsi="Book Antiqua"/>
          <w:noProof/>
          <w:sz w:val="24"/>
          <w:szCs w:val="24"/>
          <w:lang w:eastAsia="el-GR"/>
        </w:rPr>
        <w:t>J</w:t>
      </w:r>
    </w:p>
    <w:p w:rsidR="008949A1" w:rsidRPr="003A2CF7" w:rsidRDefault="003A2CF7" w:rsidP="003A2CF7">
      <w:pPr>
        <w:spacing w:line="360" w:lineRule="auto"/>
        <w:jc w:val="both"/>
        <w:rPr>
          <w:rFonts w:ascii="Book Antiqua" w:hAnsi="Book Antiqua"/>
          <w:b/>
          <w:sz w:val="24"/>
          <w:szCs w:val="24"/>
        </w:rPr>
      </w:pPr>
      <w:r w:rsidRPr="003A2CF7">
        <w:rPr>
          <w:rFonts w:ascii="Book Antiqua" w:hAnsi="Book Antiqua"/>
          <w:noProof/>
          <w:sz w:val="24"/>
          <w:szCs w:val="24"/>
          <w:lang w:eastAsia="zh-CN"/>
        </w:rPr>
        <w:drawing>
          <wp:inline distT="0" distB="0" distL="0" distR="0" wp14:anchorId="49FDFFA8" wp14:editId="3045BA22">
            <wp:extent cx="2566035" cy="2019935"/>
            <wp:effectExtent l="0" t="0" r="5715" b="0"/>
            <wp:docPr id="1" name="图片 1" descr="G:\POLITIS Gastr\Εικόν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G:\POLITIS Gastr\Εικόνα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035" cy="2019935"/>
                    </a:xfrm>
                    <a:prstGeom prst="rect">
                      <a:avLst/>
                    </a:prstGeom>
                    <a:noFill/>
                    <a:ln>
                      <a:noFill/>
                    </a:ln>
                  </pic:spPr>
                </pic:pic>
              </a:graphicData>
            </a:graphic>
          </wp:inline>
        </w:drawing>
      </w:r>
      <w:r w:rsidR="008949A1" w:rsidRPr="003A2CF7">
        <w:rPr>
          <w:rFonts w:ascii="Book Antiqua" w:hAnsi="Book Antiqua"/>
          <w:noProof/>
          <w:sz w:val="24"/>
          <w:szCs w:val="24"/>
          <w:lang w:eastAsia="zh-CN"/>
        </w:rPr>
        <w:drawing>
          <wp:inline distT="0" distB="0" distL="0" distR="0" wp14:anchorId="7E02659E" wp14:editId="3D01523D">
            <wp:extent cx="2593340" cy="2040255"/>
            <wp:effectExtent l="0" t="0" r="0" b="0"/>
            <wp:docPr id="2" name="图片 2" descr="G:\POLITIS Gastr\DSC0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G:\POLITIS Gastr\DSC075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340" cy="2040255"/>
                    </a:xfrm>
                    <a:prstGeom prst="rect">
                      <a:avLst/>
                    </a:prstGeom>
                    <a:noFill/>
                    <a:ln>
                      <a:noFill/>
                    </a:ln>
                  </pic:spPr>
                </pic:pic>
              </a:graphicData>
            </a:graphic>
          </wp:inline>
        </w:drawing>
      </w:r>
      <w:r w:rsidR="008949A1" w:rsidRPr="003A2CF7">
        <w:rPr>
          <w:rFonts w:ascii="Book Antiqua" w:hAnsi="Book Antiqua"/>
          <w:noProof/>
          <w:sz w:val="24"/>
          <w:szCs w:val="24"/>
          <w:lang w:eastAsia="el-GR"/>
        </w:rPr>
        <w:t xml:space="preserve">      </w:t>
      </w:r>
    </w:p>
    <w:p w:rsidR="008949A1" w:rsidRPr="003A2CF7" w:rsidRDefault="008949A1" w:rsidP="003A2CF7">
      <w:pPr>
        <w:spacing w:line="360" w:lineRule="auto"/>
        <w:jc w:val="both"/>
        <w:rPr>
          <w:rFonts w:ascii="Book Antiqua" w:hAnsi="Book Antiqua"/>
          <w:sz w:val="24"/>
          <w:szCs w:val="24"/>
        </w:rPr>
      </w:pPr>
      <w:r w:rsidRPr="003A2CF7">
        <w:rPr>
          <w:rFonts w:ascii="Book Antiqua" w:hAnsi="Book Antiqua"/>
          <w:noProof/>
          <w:sz w:val="24"/>
          <w:szCs w:val="24"/>
          <w:lang w:eastAsia="el-GR"/>
        </w:rPr>
        <w:t xml:space="preserve">            </w:t>
      </w:r>
    </w:p>
    <w:p w:rsidR="00B579E4" w:rsidRPr="003A2CF7" w:rsidRDefault="008949A1" w:rsidP="003A2CF7">
      <w:pPr>
        <w:spacing w:line="360" w:lineRule="auto"/>
        <w:jc w:val="both"/>
        <w:rPr>
          <w:rFonts w:ascii="Book Antiqua" w:hAnsi="Book Antiqua"/>
          <w:b/>
          <w:sz w:val="24"/>
          <w:szCs w:val="24"/>
          <w:lang w:eastAsia="zh-CN"/>
        </w:rPr>
      </w:pPr>
      <w:r w:rsidRPr="003A2CF7">
        <w:rPr>
          <w:rFonts w:ascii="Book Antiqua" w:hAnsi="Book Antiqua"/>
          <w:b/>
          <w:sz w:val="24"/>
          <w:szCs w:val="24"/>
        </w:rPr>
        <w:t xml:space="preserve">Figure 1 Examples of various types of pseudopolyps in different patients with inflammatory bowel disease. </w:t>
      </w:r>
      <w:r w:rsidRPr="003A2CF7">
        <w:rPr>
          <w:rFonts w:ascii="Book Antiqua" w:hAnsi="Book Antiqua"/>
          <w:sz w:val="24"/>
          <w:szCs w:val="24"/>
        </w:rPr>
        <w:t>A:</w:t>
      </w:r>
      <w:r w:rsidRPr="003A2CF7">
        <w:rPr>
          <w:rFonts w:ascii="Book Antiqua" w:hAnsi="Book Antiqua"/>
          <w:b/>
          <w:sz w:val="24"/>
          <w:szCs w:val="24"/>
        </w:rPr>
        <w:t xml:space="preserve"> </w:t>
      </w:r>
      <w:r w:rsidRPr="003A2CF7">
        <w:rPr>
          <w:rFonts w:ascii="Book Antiqua" w:hAnsi="Book Antiqua"/>
          <w:sz w:val="24"/>
          <w:szCs w:val="24"/>
        </w:rPr>
        <w:t xml:space="preserve">Endoscopic picture of deep ulcers and residual islets of surviving mucosa, the “true” pseudopolyps; B: Localized pseudopolyps of varying size up to 1.6 cm with discrete borders, pale surface, exudates on surface and varying forms. Biopsy of the polyps revealed inflammatory infiltration of lymphocytes, distortion and branching of the crypts compatible with post inflammatory pseudopolyps; C: Long filiform pseudopolyp located in the transverse colon captured with biopsy forceps; D: Localized filiform pseudopolyposis located in sigmoid colon; E: Post-inflammatory generalized pseudopolyposis; F: Cluster of pseudopolyps in sigmoid colon with 2.5 cm size, creating a giant localized pseudopolyp. Multiple biopsies of the polyp showed lined epithelium with a core of connective tissue and vessels with inflammatory </w:t>
      </w:r>
      <w:r w:rsidRPr="003A2CF7">
        <w:rPr>
          <w:rFonts w:ascii="Book Antiqua" w:hAnsi="Book Antiqua"/>
          <w:sz w:val="24"/>
          <w:szCs w:val="24"/>
        </w:rPr>
        <w:lastRenderedPageBreak/>
        <w:t>infiltration which confirmed the diagnosis of pseudopolyp; G: Multiple pseudopolyps stubble the sigmoid colon. In this case, surveillance for dysplasia-associated lesion or mass can be challenging because of the intense inflammation and the multiple pseudopolyps; H: Pseudopolyp or adenoma-like mass? Solitary polyp with 1.5 cm size and broad-based with discrete borders but without exudates, amenable to endoscopic removal and having a pale surface. Histology after removal of the polyp with electrocautery showed villous adenoma with mild dysplasia, and without dysplasia in the surrounding mucosa or elsewhere in the colon, compatible with adenoma-like mass; I: Localized post-inflammatory pseudopolyps; J: Localized pseudopolyps of 0.3 cm maximum size, located in sigmoid colon with discrete borders and pale, glistering surface. Endoscopic characteristics were adequate for recognition of pseudopolyps without the need for biopsies or further intervention.</w:t>
      </w:r>
    </w:p>
    <w:sectPr w:rsidR="00B579E4" w:rsidRPr="003A2CF7" w:rsidSect="00475B7D">
      <w:footerReference w:type="even" r:id="rId18"/>
      <w:footerReference w:type="defaul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242" w:rsidRDefault="00BB4242">
      <w:pPr>
        <w:spacing w:line="240" w:lineRule="auto"/>
      </w:pPr>
      <w:r>
        <w:separator/>
      </w:r>
    </w:p>
  </w:endnote>
  <w:endnote w:type="continuationSeparator" w:id="0">
    <w:p w:rsidR="00BB4242" w:rsidRDefault="00BB4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B2" w:rsidRDefault="00800E62" w:rsidP="00021B6D">
    <w:pPr>
      <w:pStyle w:val="aa"/>
      <w:framePr w:wrap="none"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246B2" w:rsidRDefault="00BB424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25" w:rsidRPr="005E6A9E" w:rsidRDefault="00800E62" w:rsidP="00021B6D">
    <w:pPr>
      <w:pStyle w:val="aa"/>
      <w:framePr w:wrap="none" w:vAnchor="text" w:hAnchor="margin" w:xAlign="center" w:y="1"/>
      <w:rPr>
        <w:rStyle w:val="af0"/>
        <w:rFonts w:ascii="Book Antiqua" w:hAnsi="Book Antiqua"/>
        <w:sz w:val="24"/>
        <w:szCs w:val="24"/>
      </w:rPr>
    </w:pPr>
    <w:r w:rsidRPr="005E6A9E">
      <w:rPr>
        <w:rStyle w:val="af0"/>
        <w:rFonts w:ascii="Book Antiqua" w:hAnsi="Book Antiqua"/>
        <w:sz w:val="24"/>
        <w:szCs w:val="24"/>
      </w:rPr>
      <w:fldChar w:fldCharType="begin"/>
    </w:r>
    <w:r w:rsidRPr="005E6A9E">
      <w:rPr>
        <w:rStyle w:val="af0"/>
        <w:rFonts w:ascii="Book Antiqua" w:hAnsi="Book Antiqua"/>
        <w:sz w:val="24"/>
        <w:szCs w:val="24"/>
      </w:rPr>
      <w:instrText xml:space="preserve">PAGE  </w:instrText>
    </w:r>
    <w:r w:rsidRPr="005E6A9E">
      <w:rPr>
        <w:rStyle w:val="af0"/>
        <w:rFonts w:ascii="Book Antiqua" w:hAnsi="Book Antiqua"/>
        <w:sz w:val="24"/>
        <w:szCs w:val="24"/>
      </w:rPr>
      <w:fldChar w:fldCharType="separate"/>
    </w:r>
    <w:r w:rsidR="00AB2311">
      <w:rPr>
        <w:rStyle w:val="af0"/>
        <w:rFonts w:ascii="Book Antiqua" w:hAnsi="Book Antiqua"/>
        <w:noProof/>
        <w:sz w:val="24"/>
        <w:szCs w:val="24"/>
      </w:rPr>
      <w:t>3</w:t>
    </w:r>
    <w:r w:rsidRPr="005E6A9E">
      <w:rPr>
        <w:rStyle w:val="af0"/>
        <w:rFonts w:ascii="Book Antiqua" w:hAnsi="Book Antiqua"/>
        <w:sz w:val="24"/>
        <w:szCs w:val="24"/>
      </w:rPr>
      <w:fldChar w:fldCharType="end"/>
    </w:r>
  </w:p>
  <w:p w:rsidR="00657E25" w:rsidRDefault="00BB424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242" w:rsidRDefault="00BB4242">
      <w:pPr>
        <w:spacing w:line="240" w:lineRule="auto"/>
      </w:pPr>
      <w:r>
        <w:separator/>
      </w:r>
    </w:p>
  </w:footnote>
  <w:footnote w:type="continuationSeparator" w:id="0">
    <w:p w:rsidR="00BB4242" w:rsidRDefault="00BB4242">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9A1"/>
    <w:rsid w:val="000655A2"/>
    <w:rsid w:val="001D56C1"/>
    <w:rsid w:val="0025183C"/>
    <w:rsid w:val="00312688"/>
    <w:rsid w:val="00343BEF"/>
    <w:rsid w:val="003A2CF7"/>
    <w:rsid w:val="003D3279"/>
    <w:rsid w:val="0049086F"/>
    <w:rsid w:val="00531011"/>
    <w:rsid w:val="0062034F"/>
    <w:rsid w:val="0068062B"/>
    <w:rsid w:val="007821EA"/>
    <w:rsid w:val="00800E62"/>
    <w:rsid w:val="0089162B"/>
    <w:rsid w:val="008949A1"/>
    <w:rsid w:val="008D36C9"/>
    <w:rsid w:val="009118A4"/>
    <w:rsid w:val="00934C1F"/>
    <w:rsid w:val="00A21D91"/>
    <w:rsid w:val="00A63388"/>
    <w:rsid w:val="00AB2311"/>
    <w:rsid w:val="00B173CB"/>
    <w:rsid w:val="00B579E4"/>
    <w:rsid w:val="00BB4242"/>
    <w:rsid w:val="00BC4937"/>
    <w:rsid w:val="00D90657"/>
    <w:rsid w:val="00DA37A2"/>
    <w:rsid w:val="00DB4D17"/>
    <w:rsid w:val="00EC5D19"/>
    <w:rsid w:val="00F91280"/>
    <w:rsid w:val="00FC0FF5"/>
    <w:rsid w:val="00FD52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9A1"/>
    <w:pPr>
      <w:spacing w:line="480" w:lineRule="auto"/>
    </w:pPr>
    <w:rPr>
      <w:rFonts w:ascii="Calibri" w:eastAsia="宋体" w:hAnsi="Calibri" w:cs="Times New Roman"/>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949A1"/>
    <w:rPr>
      <w:color w:val="0000FF"/>
      <w:u w:val="single"/>
    </w:rPr>
  </w:style>
  <w:style w:type="table" w:styleId="a4">
    <w:name w:val="Table Grid"/>
    <w:basedOn w:val="a1"/>
    <w:uiPriority w:val="59"/>
    <w:rsid w:val="008949A1"/>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
    <w:uiPriority w:val="99"/>
    <w:semiHidden/>
    <w:unhideWhenUsed/>
    <w:rsid w:val="008949A1"/>
    <w:rPr>
      <w:rFonts w:eastAsia="Calibri"/>
      <w:sz w:val="20"/>
      <w:szCs w:val="20"/>
      <w:lang w:val="x-none" w:eastAsia="x-none"/>
    </w:rPr>
  </w:style>
  <w:style w:type="character" w:customStyle="1" w:styleId="Char">
    <w:name w:val="脚注文本 Char"/>
    <w:basedOn w:val="a0"/>
    <w:link w:val="a5"/>
    <w:uiPriority w:val="99"/>
    <w:semiHidden/>
    <w:rsid w:val="008949A1"/>
    <w:rPr>
      <w:rFonts w:ascii="Calibri" w:eastAsia="Calibri" w:hAnsi="Calibri" w:cs="Times New Roman"/>
      <w:kern w:val="0"/>
      <w:sz w:val="20"/>
      <w:szCs w:val="20"/>
      <w:lang w:val="x-none" w:eastAsia="x-none"/>
    </w:rPr>
  </w:style>
  <w:style w:type="character" w:styleId="a6">
    <w:name w:val="footnote reference"/>
    <w:uiPriority w:val="99"/>
    <w:semiHidden/>
    <w:unhideWhenUsed/>
    <w:rsid w:val="008949A1"/>
    <w:rPr>
      <w:vertAlign w:val="superscript"/>
    </w:rPr>
  </w:style>
  <w:style w:type="paragraph" w:styleId="a7">
    <w:name w:val="endnote text"/>
    <w:basedOn w:val="a"/>
    <w:link w:val="Char0"/>
    <w:uiPriority w:val="99"/>
    <w:semiHidden/>
    <w:unhideWhenUsed/>
    <w:rsid w:val="008949A1"/>
    <w:rPr>
      <w:rFonts w:eastAsia="Calibri"/>
      <w:sz w:val="20"/>
      <w:szCs w:val="20"/>
      <w:lang w:val="x-none" w:eastAsia="x-none"/>
    </w:rPr>
  </w:style>
  <w:style w:type="character" w:customStyle="1" w:styleId="Char0">
    <w:name w:val="尾注文本 Char"/>
    <w:basedOn w:val="a0"/>
    <w:link w:val="a7"/>
    <w:uiPriority w:val="99"/>
    <w:semiHidden/>
    <w:rsid w:val="008949A1"/>
    <w:rPr>
      <w:rFonts w:ascii="Calibri" w:eastAsia="Calibri" w:hAnsi="Calibri" w:cs="Times New Roman"/>
      <w:kern w:val="0"/>
      <w:sz w:val="20"/>
      <w:szCs w:val="20"/>
      <w:lang w:val="x-none" w:eastAsia="x-none"/>
    </w:rPr>
  </w:style>
  <w:style w:type="character" w:styleId="a8">
    <w:name w:val="endnote reference"/>
    <w:uiPriority w:val="99"/>
    <w:semiHidden/>
    <w:unhideWhenUsed/>
    <w:rsid w:val="008949A1"/>
    <w:rPr>
      <w:vertAlign w:val="superscript"/>
    </w:rPr>
  </w:style>
  <w:style w:type="table" w:customStyle="1" w:styleId="LightShading1">
    <w:name w:val="Light Shading1"/>
    <w:basedOn w:val="a1"/>
    <w:uiPriority w:val="60"/>
    <w:rsid w:val="008949A1"/>
    <w:rPr>
      <w:rFonts w:ascii="Calibri" w:eastAsia="Calibri" w:hAnsi="Calibri"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1">
    <w:name w:val="Colorful List1"/>
    <w:basedOn w:val="a1"/>
    <w:uiPriority w:val="72"/>
    <w:rsid w:val="008949A1"/>
    <w:rPr>
      <w:rFonts w:ascii="Calibri" w:eastAsia="Calibri" w:hAnsi="Calibri" w:cs="Times New Roman"/>
      <w:color w:val="000000"/>
      <w:kern w:val="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List11">
    <w:name w:val="Medium List 11"/>
    <w:basedOn w:val="a1"/>
    <w:uiPriority w:val="65"/>
    <w:rsid w:val="008949A1"/>
    <w:rPr>
      <w:rFonts w:ascii="Calibri" w:eastAsia="Calibri" w:hAnsi="Calibri"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rPr>
        <w:rFonts w:ascii="Tms Rmn" w:eastAsia="Times New Roman" w:hAnsi="Tms Rm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
    <w:name w:val="Light Grid1"/>
    <w:basedOn w:val="a1"/>
    <w:uiPriority w:val="62"/>
    <w:rsid w:val="008949A1"/>
    <w:rPr>
      <w:rFonts w:ascii="Calibri" w:eastAsia="Calibri" w:hAnsi="Calibri" w:cs="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ms Rmn" w:eastAsia="Times New Roman" w:hAnsi="Tms Rm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ms Rmn" w:eastAsia="Times New Roman" w:hAnsi="Tms Rm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Accent61">
    <w:name w:val="Medium Shading 2 - Accent 61"/>
    <w:basedOn w:val="a1"/>
    <w:uiPriority w:val="64"/>
    <w:rsid w:val="008949A1"/>
    <w:rPr>
      <w:rFonts w:ascii="Calibri" w:eastAsia="Calibri" w:hAnsi="Calibri" w:cs="Times New Roman"/>
      <w:kern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a1"/>
    <w:uiPriority w:val="66"/>
    <w:rsid w:val="008949A1"/>
    <w:rPr>
      <w:rFonts w:ascii="Cambria" w:eastAsia="Times New Roman" w:hAnsi="Cambria" w:cs="Times New Roman"/>
      <w:color w:val="000000"/>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a1"/>
    <w:uiPriority w:val="67"/>
    <w:rsid w:val="008949A1"/>
    <w:rPr>
      <w:rFonts w:ascii="Calibri" w:eastAsia="Calibri" w:hAnsi="Calibri" w:cs="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a9">
    <w:name w:val="header"/>
    <w:basedOn w:val="a"/>
    <w:link w:val="Char1"/>
    <w:uiPriority w:val="99"/>
    <w:unhideWhenUsed/>
    <w:rsid w:val="008949A1"/>
    <w:pPr>
      <w:tabs>
        <w:tab w:val="center" w:pos="4320"/>
        <w:tab w:val="right" w:pos="8640"/>
      </w:tabs>
    </w:pPr>
    <w:rPr>
      <w:rFonts w:eastAsia="Calibri"/>
      <w:sz w:val="20"/>
      <w:szCs w:val="20"/>
      <w:lang w:val="x-none" w:eastAsia="x-none"/>
    </w:rPr>
  </w:style>
  <w:style w:type="character" w:customStyle="1" w:styleId="Char1">
    <w:name w:val="页眉 Char"/>
    <w:basedOn w:val="a0"/>
    <w:link w:val="a9"/>
    <w:uiPriority w:val="99"/>
    <w:rsid w:val="008949A1"/>
    <w:rPr>
      <w:rFonts w:ascii="Calibri" w:eastAsia="Calibri" w:hAnsi="Calibri" w:cs="Times New Roman"/>
      <w:kern w:val="0"/>
      <w:sz w:val="20"/>
      <w:szCs w:val="20"/>
      <w:lang w:val="x-none" w:eastAsia="x-none"/>
    </w:rPr>
  </w:style>
  <w:style w:type="paragraph" w:styleId="aa">
    <w:name w:val="footer"/>
    <w:basedOn w:val="a"/>
    <w:link w:val="Char2"/>
    <w:uiPriority w:val="99"/>
    <w:unhideWhenUsed/>
    <w:rsid w:val="008949A1"/>
    <w:pPr>
      <w:tabs>
        <w:tab w:val="center" w:pos="4320"/>
        <w:tab w:val="right" w:pos="8640"/>
      </w:tabs>
    </w:pPr>
    <w:rPr>
      <w:rFonts w:eastAsia="Calibri"/>
      <w:sz w:val="20"/>
      <w:szCs w:val="20"/>
      <w:lang w:val="x-none" w:eastAsia="x-none"/>
    </w:rPr>
  </w:style>
  <w:style w:type="character" w:customStyle="1" w:styleId="Char2">
    <w:name w:val="页脚 Char"/>
    <w:basedOn w:val="a0"/>
    <w:link w:val="aa"/>
    <w:uiPriority w:val="99"/>
    <w:rsid w:val="008949A1"/>
    <w:rPr>
      <w:rFonts w:ascii="Calibri" w:eastAsia="Calibri" w:hAnsi="Calibri" w:cs="Times New Roman"/>
      <w:kern w:val="0"/>
      <w:sz w:val="20"/>
      <w:szCs w:val="20"/>
      <w:lang w:val="x-none" w:eastAsia="x-none"/>
    </w:rPr>
  </w:style>
  <w:style w:type="paragraph" w:styleId="ab">
    <w:name w:val="Balloon Text"/>
    <w:basedOn w:val="a"/>
    <w:link w:val="Char3"/>
    <w:uiPriority w:val="99"/>
    <w:semiHidden/>
    <w:unhideWhenUsed/>
    <w:rsid w:val="008949A1"/>
    <w:pPr>
      <w:spacing w:line="240" w:lineRule="auto"/>
    </w:pPr>
    <w:rPr>
      <w:rFonts w:ascii="Tahoma" w:eastAsia="Calibri" w:hAnsi="Tahoma"/>
      <w:sz w:val="16"/>
      <w:szCs w:val="16"/>
      <w:lang w:val="x-none" w:eastAsia="x-none"/>
    </w:rPr>
  </w:style>
  <w:style w:type="character" w:customStyle="1" w:styleId="Char3">
    <w:name w:val="批注框文本 Char"/>
    <w:basedOn w:val="a0"/>
    <w:link w:val="ab"/>
    <w:uiPriority w:val="99"/>
    <w:semiHidden/>
    <w:rsid w:val="008949A1"/>
    <w:rPr>
      <w:rFonts w:ascii="Tahoma" w:eastAsia="Calibri" w:hAnsi="Tahoma" w:cs="Times New Roman"/>
      <w:kern w:val="0"/>
      <w:sz w:val="16"/>
      <w:szCs w:val="16"/>
      <w:lang w:val="x-none" w:eastAsia="x-none"/>
    </w:rPr>
  </w:style>
  <w:style w:type="character" w:styleId="ac">
    <w:name w:val="line number"/>
    <w:uiPriority w:val="99"/>
    <w:semiHidden/>
    <w:unhideWhenUsed/>
    <w:rsid w:val="008949A1"/>
  </w:style>
  <w:style w:type="paragraph" w:customStyle="1" w:styleId="Revision1">
    <w:name w:val="Revision1"/>
    <w:hidden/>
    <w:uiPriority w:val="99"/>
    <w:semiHidden/>
    <w:rsid w:val="008949A1"/>
    <w:rPr>
      <w:rFonts w:ascii="Calibri" w:eastAsia="宋体" w:hAnsi="Calibri" w:cs="Times New Roman"/>
      <w:kern w:val="0"/>
      <w:sz w:val="22"/>
      <w:lang w:eastAsia="en-US"/>
    </w:rPr>
  </w:style>
  <w:style w:type="character" w:customStyle="1" w:styleId="apple-converted-space">
    <w:name w:val="apple-converted-space"/>
    <w:basedOn w:val="a0"/>
    <w:rsid w:val="008949A1"/>
  </w:style>
  <w:style w:type="character" w:styleId="ad">
    <w:name w:val="annotation reference"/>
    <w:uiPriority w:val="99"/>
    <w:unhideWhenUsed/>
    <w:rsid w:val="008949A1"/>
    <w:rPr>
      <w:sz w:val="16"/>
      <w:szCs w:val="16"/>
    </w:rPr>
  </w:style>
  <w:style w:type="paragraph" w:styleId="ae">
    <w:name w:val="annotation text"/>
    <w:basedOn w:val="a"/>
    <w:link w:val="Char4"/>
    <w:uiPriority w:val="99"/>
    <w:unhideWhenUsed/>
    <w:rsid w:val="008949A1"/>
    <w:rPr>
      <w:sz w:val="20"/>
      <w:szCs w:val="20"/>
    </w:rPr>
  </w:style>
  <w:style w:type="character" w:customStyle="1" w:styleId="Char4">
    <w:name w:val="批注文字 Char"/>
    <w:basedOn w:val="a0"/>
    <w:link w:val="ae"/>
    <w:uiPriority w:val="99"/>
    <w:rsid w:val="008949A1"/>
    <w:rPr>
      <w:rFonts w:ascii="Calibri" w:eastAsia="宋体" w:hAnsi="Calibri" w:cs="Times New Roman"/>
      <w:kern w:val="0"/>
      <w:sz w:val="20"/>
      <w:szCs w:val="20"/>
      <w:lang w:eastAsia="en-US"/>
    </w:rPr>
  </w:style>
  <w:style w:type="paragraph" w:styleId="af">
    <w:name w:val="annotation subject"/>
    <w:basedOn w:val="ae"/>
    <w:next w:val="ae"/>
    <w:link w:val="Char5"/>
    <w:uiPriority w:val="99"/>
    <w:semiHidden/>
    <w:unhideWhenUsed/>
    <w:rsid w:val="008949A1"/>
    <w:rPr>
      <w:b/>
      <w:bCs/>
      <w:lang w:val="x-none" w:eastAsia="x-none"/>
    </w:rPr>
  </w:style>
  <w:style w:type="character" w:customStyle="1" w:styleId="Char5">
    <w:name w:val="批注主题 Char"/>
    <w:basedOn w:val="Char4"/>
    <w:link w:val="af"/>
    <w:uiPriority w:val="99"/>
    <w:semiHidden/>
    <w:rsid w:val="008949A1"/>
    <w:rPr>
      <w:rFonts w:ascii="Calibri" w:eastAsia="宋体" w:hAnsi="Calibri" w:cs="Times New Roman"/>
      <w:b/>
      <w:bCs/>
      <w:kern w:val="0"/>
      <w:sz w:val="20"/>
      <w:szCs w:val="20"/>
      <w:lang w:val="x-none" w:eastAsia="x-none"/>
    </w:rPr>
  </w:style>
  <w:style w:type="character" w:styleId="af0">
    <w:name w:val="page number"/>
    <w:uiPriority w:val="99"/>
    <w:semiHidden/>
    <w:unhideWhenUsed/>
    <w:rsid w:val="008949A1"/>
  </w:style>
  <w:style w:type="character" w:styleId="af1">
    <w:name w:val="Strong"/>
    <w:uiPriority w:val="22"/>
    <w:qFormat/>
    <w:rsid w:val="008949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9A1"/>
    <w:pPr>
      <w:spacing w:line="480" w:lineRule="auto"/>
    </w:pPr>
    <w:rPr>
      <w:rFonts w:ascii="Calibri" w:eastAsia="宋体" w:hAnsi="Calibri" w:cs="Times New Roman"/>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949A1"/>
    <w:rPr>
      <w:color w:val="0000FF"/>
      <w:u w:val="single"/>
    </w:rPr>
  </w:style>
  <w:style w:type="table" w:styleId="a4">
    <w:name w:val="Table Grid"/>
    <w:basedOn w:val="a1"/>
    <w:uiPriority w:val="59"/>
    <w:rsid w:val="008949A1"/>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
    <w:uiPriority w:val="99"/>
    <w:semiHidden/>
    <w:unhideWhenUsed/>
    <w:rsid w:val="008949A1"/>
    <w:rPr>
      <w:rFonts w:eastAsia="Calibri"/>
      <w:sz w:val="20"/>
      <w:szCs w:val="20"/>
      <w:lang w:val="x-none" w:eastAsia="x-none"/>
    </w:rPr>
  </w:style>
  <w:style w:type="character" w:customStyle="1" w:styleId="Char">
    <w:name w:val="脚注文本 Char"/>
    <w:basedOn w:val="a0"/>
    <w:link w:val="a5"/>
    <w:uiPriority w:val="99"/>
    <w:semiHidden/>
    <w:rsid w:val="008949A1"/>
    <w:rPr>
      <w:rFonts w:ascii="Calibri" w:eastAsia="Calibri" w:hAnsi="Calibri" w:cs="Times New Roman"/>
      <w:kern w:val="0"/>
      <w:sz w:val="20"/>
      <w:szCs w:val="20"/>
      <w:lang w:val="x-none" w:eastAsia="x-none"/>
    </w:rPr>
  </w:style>
  <w:style w:type="character" w:styleId="a6">
    <w:name w:val="footnote reference"/>
    <w:uiPriority w:val="99"/>
    <w:semiHidden/>
    <w:unhideWhenUsed/>
    <w:rsid w:val="008949A1"/>
    <w:rPr>
      <w:vertAlign w:val="superscript"/>
    </w:rPr>
  </w:style>
  <w:style w:type="paragraph" w:styleId="a7">
    <w:name w:val="endnote text"/>
    <w:basedOn w:val="a"/>
    <w:link w:val="Char0"/>
    <w:uiPriority w:val="99"/>
    <w:semiHidden/>
    <w:unhideWhenUsed/>
    <w:rsid w:val="008949A1"/>
    <w:rPr>
      <w:rFonts w:eastAsia="Calibri"/>
      <w:sz w:val="20"/>
      <w:szCs w:val="20"/>
      <w:lang w:val="x-none" w:eastAsia="x-none"/>
    </w:rPr>
  </w:style>
  <w:style w:type="character" w:customStyle="1" w:styleId="Char0">
    <w:name w:val="尾注文本 Char"/>
    <w:basedOn w:val="a0"/>
    <w:link w:val="a7"/>
    <w:uiPriority w:val="99"/>
    <w:semiHidden/>
    <w:rsid w:val="008949A1"/>
    <w:rPr>
      <w:rFonts w:ascii="Calibri" w:eastAsia="Calibri" w:hAnsi="Calibri" w:cs="Times New Roman"/>
      <w:kern w:val="0"/>
      <w:sz w:val="20"/>
      <w:szCs w:val="20"/>
      <w:lang w:val="x-none" w:eastAsia="x-none"/>
    </w:rPr>
  </w:style>
  <w:style w:type="character" w:styleId="a8">
    <w:name w:val="endnote reference"/>
    <w:uiPriority w:val="99"/>
    <w:semiHidden/>
    <w:unhideWhenUsed/>
    <w:rsid w:val="008949A1"/>
    <w:rPr>
      <w:vertAlign w:val="superscript"/>
    </w:rPr>
  </w:style>
  <w:style w:type="table" w:customStyle="1" w:styleId="LightShading1">
    <w:name w:val="Light Shading1"/>
    <w:basedOn w:val="a1"/>
    <w:uiPriority w:val="60"/>
    <w:rsid w:val="008949A1"/>
    <w:rPr>
      <w:rFonts w:ascii="Calibri" w:eastAsia="Calibri" w:hAnsi="Calibri"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1">
    <w:name w:val="Colorful List1"/>
    <w:basedOn w:val="a1"/>
    <w:uiPriority w:val="72"/>
    <w:rsid w:val="008949A1"/>
    <w:rPr>
      <w:rFonts w:ascii="Calibri" w:eastAsia="Calibri" w:hAnsi="Calibri" w:cs="Times New Roman"/>
      <w:color w:val="000000"/>
      <w:kern w:val="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List11">
    <w:name w:val="Medium List 11"/>
    <w:basedOn w:val="a1"/>
    <w:uiPriority w:val="65"/>
    <w:rsid w:val="008949A1"/>
    <w:rPr>
      <w:rFonts w:ascii="Calibri" w:eastAsia="Calibri" w:hAnsi="Calibri"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rPr>
        <w:rFonts w:ascii="Tms Rmn" w:eastAsia="Times New Roman" w:hAnsi="Tms Rm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
    <w:name w:val="Light Grid1"/>
    <w:basedOn w:val="a1"/>
    <w:uiPriority w:val="62"/>
    <w:rsid w:val="008949A1"/>
    <w:rPr>
      <w:rFonts w:ascii="Calibri" w:eastAsia="Calibri" w:hAnsi="Calibri" w:cs="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ms Rmn" w:eastAsia="Times New Roman" w:hAnsi="Tms Rm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ms Rmn" w:eastAsia="Times New Roman" w:hAnsi="Tms Rm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Accent61">
    <w:name w:val="Medium Shading 2 - Accent 61"/>
    <w:basedOn w:val="a1"/>
    <w:uiPriority w:val="64"/>
    <w:rsid w:val="008949A1"/>
    <w:rPr>
      <w:rFonts w:ascii="Calibri" w:eastAsia="Calibri" w:hAnsi="Calibri" w:cs="Times New Roman"/>
      <w:kern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a1"/>
    <w:uiPriority w:val="66"/>
    <w:rsid w:val="008949A1"/>
    <w:rPr>
      <w:rFonts w:ascii="Cambria" w:eastAsia="Times New Roman" w:hAnsi="Cambria" w:cs="Times New Roman"/>
      <w:color w:val="000000"/>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a1"/>
    <w:uiPriority w:val="67"/>
    <w:rsid w:val="008949A1"/>
    <w:rPr>
      <w:rFonts w:ascii="Calibri" w:eastAsia="Calibri" w:hAnsi="Calibri" w:cs="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a9">
    <w:name w:val="header"/>
    <w:basedOn w:val="a"/>
    <w:link w:val="Char1"/>
    <w:uiPriority w:val="99"/>
    <w:unhideWhenUsed/>
    <w:rsid w:val="008949A1"/>
    <w:pPr>
      <w:tabs>
        <w:tab w:val="center" w:pos="4320"/>
        <w:tab w:val="right" w:pos="8640"/>
      </w:tabs>
    </w:pPr>
    <w:rPr>
      <w:rFonts w:eastAsia="Calibri"/>
      <w:sz w:val="20"/>
      <w:szCs w:val="20"/>
      <w:lang w:val="x-none" w:eastAsia="x-none"/>
    </w:rPr>
  </w:style>
  <w:style w:type="character" w:customStyle="1" w:styleId="Char1">
    <w:name w:val="页眉 Char"/>
    <w:basedOn w:val="a0"/>
    <w:link w:val="a9"/>
    <w:uiPriority w:val="99"/>
    <w:rsid w:val="008949A1"/>
    <w:rPr>
      <w:rFonts w:ascii="Calibri" w:eastAsia="Calibri" w:hAnsi="Calibri" w:cs="Times New Roman"/>
      <w:kern w:val="0"/>
      <w:sz w:val="20"/>
      <w:szCs w:val="20"/>
      <w:lang w:val="x-none" w:eastAsia="x-none"/>
    </w:rPr>
  </w:style>
  <w:style w:type="paragraph" w:styleId="aa">
    <w:name w:val="footer"/>
    <w:basedOn w:val="a"/>
    <w:link w:val="Char2"/>
    <w:uiPriority w:val="99"/>
    <w:unhideWhenUsed/>
    <w:rsid w:val="008949A1"/>
    <w:pPr>
      <w:tabs>
        <w:tab w:val="center" w:pos="4320"/>
        <w:tab w:val="right" w:pos="8640"/>
      </w:tabs>
    </w:pPr>
    <w:rPr>
      <w:rFonts w:eastAsia="Calibri"/>
      <w:sz w:val="20"/>
      <w:szCs w:val="20"/>
      <w:lang w:val="x-none" w:eastAsia="x-none"/>
    </w:rPr>
  </w:style>
  <w:style w:type="character" w:customStyle="1" w:styleId="Char2">
    <w:name w:val="页脚 Char"/>
    <w:basedOn w:val="a0"/>
    <w:link w:val="aa"/>
    <w:uiPriority w:val="99"/>
    <w:rsid w:val="008949A1"/>
    <w:rPr>
      <w:rFonts w:ascii="Calibri" w:eastAsia="Calibri" w:hAnsi="Calibri" w:cs="Times New Roman"/>
      <w:kern w:val="0"/>
      <w:sz w:val="20"/>
      <w:szCs w:val="20"/>
      <w:lang w:val="x-none" w:eastAsia="x-none"/>
    </w:rPr>
  </w:style>
  <w:style w:type="paragraph" w:styleId="ab">
    <w:name w:val="Balloon Text"/>
    <w:basedOn w:val="a"/>
    <w:link w:val="Char3"/>
    <w:uiPriority w:val="99"/>
    <w:semiHidden/>
    <w:unhideWhenUsed/>
    <w:rsid w:val="008949A1"/>
    <w:pPr>
      <w:spacing w:line="240" w:lineRule="auto"/>
    </w:pPr>
    <w:rPr>
      <w:rFonts w:ascii="Tahoma" w:eastAsia="Calibri" w:hAnsi="Tahoma"/>
      <w:sz w:val="16"/>
      <w:szCs w:val="16"/>
      <w:lang w:val="x-none" w:eastAsia="x-none"/>
    </w:rPr>
  </w:style>
  <w:style w:type="character" w:customStyle="1" w:styleId="Char3">
    <w:name w:val="批注框文本 Char"/>
    <w:basedOn w:val="a0"/>
    <w:link w:val="ab"/>
    <w:uiPriority w:val="99"/>
    <w:semiHidden/>
    <w:rsid w:val="008949A1"/>
    <w:rPr>
      <w:rFonts w:ascii="Tahoma" w:eastAsia="Calibri" w:hAnsi="Tahoma" w:cs="Times New Roman"/>
      <w:kern w:val="0"/>
      <w:sz w:val="16"/>
      <w:szCs w:val="16"/>
      <w:lang w:val="x-none" w:eastAsia="x-none"/>
    </w:rPr>
  </w:style>
  <w:style w:type="character" w:styleId="ac">
    <w:name w:val="line number"/>
    <w:uiPriority w:val="99"/>
    <w:semiHidden/>
    <w:unhideWhenUsed/>
    <w:rsid w:val="008949A1"/>
  </w:style>
  <w:style w:type="paragraph" w:customStyle="1" w:styleId="Revision1">
    <w:name w:val="Revision1"/>
    <w:hidden/>
    <w:uiPriority w:val="99"/>
    <w:semiHidden/>
    <w:rsid w:val="008949A1"/>
    <w:rPr>
      <w:rFonts w:ascii="Calibri" w:eastAsia="宋体" w:hAnsi="Calibri" w:cs="Times New Roman"/>
      <w:kern w:val="0"/>
      <w:sz w:val="22"/>
      <w:lang w:eastAsia="en-US"/>
    </w:rPr>
  </w:style>
  <w:style w:type="character" w:customStyle="1" w:styleId="apple-converted-space">
    <w:name w:val="apple-converted-space"/>
    <w:basedOn w:val="a0"/>
    <w:rsid w:val="008949A1"/>
  </w:style>
  <w:style w:type="character" w:styleId="ad">
    <w:name w:val="annotation reference"/>
    <w:uiPriority w:val="99"/>
    <w:unhideWhenUsed/>
    <w:rsid w:val="008949A1"/>
    <w:rPr>
      <w:sz w:val="16"/>
      <w:szCs w:val="16"/>
    </w:rPr>
  </w:style>
  <w:style w:type="paragraph" w:styleId="ae">
    <w:name w:val="annotation text"/>
    <w:basedOn w:val="a"/>
    <w:link w:val="Char4"/>
    <w:uiPriority w:val="99"/>
    <w:unhideWhenUsed/>
    <w:rsid w:val="008949A1"/>
    <w:rPr>
      <w:sz w:val="20"/>
      <w:szCs w:val="20"/>
    </w:rPr>
  </w:style>
  <w:style w:type="character" w:customStyle="1" w:styleId="Char4">
    <w:name w:val="批注文字 Char"/>
    <w:basedOn w:val="a0"/>
    <w:link w:val="ae"/>
    <w:uiPriority w:val="99"/>
    <w:rsid w:val="008949A1"/>
    <w:rPr>
      <w:rFonts w:ascii="Calibri" w:eastAsia="宋体" w:hAnsi="Calibri" w:cs="Times New Roman"/>
      <w:kern w:val="0"/>
      <w:sz w:val="20"/>
      <w:szCs w:val="20"/>
      <w:lang w:eastAsia="en-US"/>
    </w:rPr>
  </w:style>
  <w:style w:type="paragraph" w:styleId="af">
    <w:name w:val="annotation subject"/>
    <w:basedOn w:val="ae"/>
    <w:next w:val="ae"/>
    <w:link w:val="Char5"/>
    <w:uiPriority w:val="99"/>
    <w:semiHidden/>
    <w:unhideWhenUsed/>
    <w:rsid w:val="008949A1"/>
    <w:rPr>
      <w:b/>
      <w:bCs/>
      <w:lang w:val="x-none" w:eastAsia="x-none"/>
    </w:rPr>
  </w:style>
  <w:style w:type="character" w:customStyle="1" w:styleId="Char5">
    <w:name w:val="批注主题 Char"/>
    <w:basedOn w:val="Char4"/>
    <w:link w:val="af"/>
    <w:uiPriority w:val="99"/>
    <w:semiHidden/>
    <w:rsid w:val="008949A1"/>
    <w:rPr>
      <w:rFonts w:ascii="Calibri" w:eastAsia="宋体" w:hAnsi="Calibri" w:cs="Times New Roman"/>
      <w:b/>
      <w:bCs/>
      <w:kern w:val="0"/>
      <w:sz w:val="20"/>
      <w:szCs w:val="20"/>
      <w:lang w:val="x-none" w:eastAsia="x-none"/>
    </w:rPr>
  </w:style>
  <w:style w:type="character" w:styleId="af0">
    <w:name w:val="page number"/>
    <w:uiPriority w:val="99"/>
    <w:semiHidden/>
    <w:unhideWhenUsed/>
    <w:rsid w:val="008949A1"/>
  </w:style>
  <w:style w:type="character" w:styleId="af1">
    <w:name w:val="Strong"/>
    <w:uiPriority w:val="22"/>
    <w:qFormat/>
    <w:rsid w:val="008949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christo@uoi.gr" TargetMode="Externa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7421</Words>
  <Characters>42305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Ya-Juan (BPG)</dc:creator>
  <cp:lastModifiedBy>Ma, Ya-Juan (BPG)</cp:lastModifiedBy>
  <cp:revision>3</cp:revision>
  <dcterms:created xsi:type="dcterms:W3CDTF">2017-02-16T08:31:00Z</dcterms:created>
  <dcterms:modified xsi:type="dcterms:W3CDTF">2017-02-17T01:51:00Z</dcterms:modified>
</cp:coreProperties>
</file>