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78A243" w14:textId="7079A1C2" w:rsidR="002772BC" w:rsidRPr="00787839" w:rsidRDefault="002772BC" w:rsidP="007F096F">
      <w:pPr>
        <w:pStyle w:val="Body1"/>
        <w:adjustRightInd w:val="0"/>
        <w:snapToGrid w:val="0"/>
        <w:spacing w:after="0" w:line="360" w:lineRule="auto"/>
        <w:rPr>
          <w:rFonts w:ascii="Book Antiqua" w:hAnsi="Book Antiqua"/>
          <w:sz w:val="24"/>
          <w:szCs w:val="24"/>
        </w:rPr>
      </w:pPr>
      <w:r w:rsidRPr="00787839">
        <w:rPr>
          <w:rFonts w:ascii="Book Antiqua" w:hAnsi="Book Antiqua"/>
          <w:b/>
          <w:sz w:val="24"/>
          <w:szCs w:val="24"/>
        </w:rPr>
        <w:t>Name of Journal:</w:t>
      </w:r>
      <w:r w:rsidRPr="00787839">
        <w:rPr>
          <w:rFonts w:ascii="Book Antiqua" w:hAnsi="Book Antiqua"/>
          <w:sz w:val="24"/>
          <w:szCs w:val="24"/>
        </w:rPr>
        <w:t xml:space="preserve"> World Journal of Gastroenterology</w:t>
      </w:r>
    </w:p>
    <w:p w14:paraId="2DDB5C0F" w14:textId="443E71F0" w:rsidR="00051DB4" w:rsidRPr="00787839" w:rsidRDefault="00051DB4" w:rsidP="007F096F">
      <w:pPr>
        <w:pStyle w:val="Body1"/>
        <w:adjustRightInd w:val="0"/>
        <w:snapToGrid w:val="0"/>
        <w:spacing w:after="0" w:line="360" w:lineRule="auto"/>
        <w:rPr>
          <w:rFonts w:ascii="Book Antiqua" w:hAnsi="Book Antiqua"/>
          <w:sz w:val="24"/>
          <w:szCs w:val="24"/>
        </w:rPr>
      </w:pPr>
      <w:r w:rsidRPr="00787839">
        <w:rPr>
          <w:rFonts w:ascii="Book Antiqua" w:hAnsi="Book Antiqua"/>
          <w:b/>
          <w:sz w:val="24"/>
          <w:szCs w:val="24"/>
        </w:rPr>
        <w:t>ESPS Manuscript NO:</w:t>
      </w:r>
      <w:r w:rsidRPr="00787839">
        <w:rPr>
          <w:rFonts w:ascii="Book Antiqua" w:hAnsi="Book Antiqua"/>
          <w:sz w:val="24"/>
          <w:szCs w:val="24"/>
        </w:rPr>
        <w:t xml:space="preserve"> </w:t>
      </w:r>
      <w:r w:rsidRPr="00787839">
        <w:rPr>
          <w:rFonts w:ascii="Book Antiqua" w:eastAsia="Times New Roman" w:hAnsi="Book Antiqua"/>
          <w:sz w:val="24"/>
          <w:szCs w:val="24"/>
        </w:rPr>
        <w:t>31393</w:t>
      </w:r>
      <w:r w:rsidRPr="00787839">
        <w:rPr>
          <w:rFonts w:ascii="Book Antiqua" w:hAnsi="Book Antiqua"/>
          <w:sz w:val="24"/>
          <w:szCs w:val="24"/>
        </w:rPr>
        <w:t xml:space="preserve"> </w:t>
      </w:r>
    </w:p>
    <w:p w14:paraId="5051E2E1" w14:textId="3ABA9EC1" w:rsidR="002772BC" w:rsidRPr="00787839" w:rsidRDefault="002772BC" w:rsidP="007F096F">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b/>
          <w:sz w:val="24"/>
          <w:szCs w:val="24"/>
        </w:rPr>
        <w:t>Manuscript Type:</w:t>
      </w:r>
      <w:r w:rsidR="00BD06D3" w:rsidRPr="00787839">
        <w:rPr>
          <w:rFonts w:ascii="Book Antiqua" w:hAnsi="Book Antiqua"/>
          <w:sz w:val="24"/>
          <w:szCs w:val="24"/>
        </w:rPr>
        <w:t xml:space="preserve"> </w:t>
      </w:r>
      <w:r w:rsidR="00BD06D3" w:rsidRPr="003F1983">
        <w:rPr>
          <w:rFonts w:ascii="Book Antiqua" w:hAnsi="Book Antiqua"/>
          <w:b/>
          <w:sz w:val="24"/>
          <w:szCs w:val="24"/>
        </w:rPr>
        <w:t>REVIEW</w:t>
      </w:r>
    </w:p>
    <w:p w14:paraId="383FD444" w14:textId="77777777" w:rsidR="007F096F" w:rsidRPr="00787839" w:rsidRDefault="007F096F" w:rsidP="007F096F">
      <w:pPr>
        <w:pStyle w:val="Body1"/>
        <w:adjustRightInd w:val="0"/>
        <w:snapToGrid w:val="0"/>
        <w:spacing w:after="0" w:line="360" w:lineRule="auto"/>
        <w:rPr>
          <w:rFonts w:ascii="Book Antiqua" w:hAnsi="Book Antiqua"/>
          <w:sz w:val="24"/>
          <w:szCs w:val="24"/>
          <w:lang w:eastAsia="zh-CN"/>
        </w:rPr>
      </w:pPr>
    </w:p>
    <w:p w14:paraId="600D7F9B" w14:textId="27322EDE" w:rsidR="00BD06D3" w:rsidRPr="00787839" w:rsidRDefault="003378A5" w:rsidP="007F096F">
      <w:pPr>
        <w:pStyle w:val="Body1"/>
        <w:adjustRightInd w:val="0"/>
        <w:snapToGrid w:val="0"/>
        <w:spacing w:after="0" w:line="360" w:lineRule="auto"/>
        <w:rPr>
          <w:rFonts w:ascii="Book Antiqua" w:hAnsi="Book Antiqua"/>
          <w:b/>
          <w:sz w:val="24"/>
          <w:szCs w:val="24"/>
          <w:lang w:eastAsia="zh-CN"/>
        </w:rPr>
      </w:pPr>
      <w:bookmarkStart w:id="0" w:name="OLE_LINK199"/>
      <w:bookmarkStart w:id="1" w:name="OLE_LINK200"/>
      <w:bookmarkStart w:id="2" w:name="OLE_LINK201"/>
      <w:bookmarkStart w:id="3" w:name="OLE_LINK204"/>
      <w:r w:rsidRPr="00787839">
        <w:rPr>
          <w:rFonts w:ascii="Book Antiqua" w:hAnsi="Book Antiqua"/>
          <w:b/>
          <w:sz w:val="24"/>
          <w:szCs w:val="24"/>
        </w:rPr>
        <w:t xml:space="preserve">Portal </w:t>
      </w:r>
      <w:r w:rsidR="007F096F" w:rsidRPr="00787839">
        <w:rPr>
          <w:rFonts w:ascii="Book Antiqua" w:hAnsi="Book Antiqua"/>
          <w:b/>
          <w:sz w:val="24"/>
          <w:szCs w:val="24"/>
        </w:rPr>
        <w:t>hypertension</w:t>
      </w:r>
      <w:r w:rsidR="00E76E07" w:rsidRPr="00787839">
        <w:rPr>
          <w:rFonts w:ascii="Book Antiqua" w:hAnsi="Book Antiqua"/>
          <w:b/>
          <w:sz w:val="24"/>
          <w:szCs w:val="24"/>
        </w:rPr>
        <w:t>: I</w:t>
      </w:r>
      <w:r w:rsidR="00D34185" w:rsidRPr="00787839">
        <w:rPr>
          <w:rFonts w:ascii="Book Antiqua" w:hAnsi="Book Antiqua"/>
          <w:b/>
          <w:sz w:val="24"/>
          <w:szCs w:val="24"/>
        </w:rPr>
        <w:t>maging of</w:t>
      </w:r>
      <w:r w:rsidR="007F096F" w:rsidRPr="00787839">
        <w:rPr>
          <w:rFonts w:ascii="Book Antiqua" w:hAnsi="Book Antiqua"/>
          <w:b/>
          <w:sz w:val="24"/>
          <w:szCs w:val="24"/>
        </w:rPr>
        <w:t xml:space="preserve"> portosystemic collateral pathways and associated image-guided therapy</w:t>
      </w:r>
    </w:p>
    <w:bookmarkEnd w:id="0"/>
    <w:bookmarkEnd w:id="1"/>
    <w:bookmarkEnd w:id="2"/>
    <w:bookmarkEnd w:id="3"/>
    <w:p w14:paraId="4B3CCFFE" w14:textId="77777777" w:rsidR="007F096F" w:rsidRPr="00787839" w:rsidRDefault="007F096F" w:rsidP="007F096F">
      <w:pPr>
        <w:pStyle w:val="Body1"/>
        <w:adjustRightInd w:val="0"/>
        <w:snapToGrid w:val="0"/>
        <w:spacing w:after="0" w:line="360" w:lineRule="auto"/>
        <w:rPr>
          <w:rFonts w:ascii="Book Antiqua" w:hAnsi="Book Antiqua"/>
          <w:b/>
          <w:sz w:val="24"/>
          <w:szCs w:val="24"/>
          <w:lang w:eastAsia="zh-CN"/>
        </w:rPr>
      </w:pPr>
    </w:p>
    <w:p w14:paraId="6E5A6464" w14:textId="5100141A" w:rsidR="00872B7A" w:rsidRPr="00787839" w:rsidRDefault="00677F13" w:rsidP="007F096F">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sz w:val="24"/>
          <w:szCs w:val="24"/>
        </w:rPr>
        <w:t xml:space="preserve">Bandali MF </w:t>
      </w:r>
      <w:r w:rsidR="007F096F" w:rsidRPr="00787839">
        <w:rPr>
          <w:rFonts w:ascii="Book Antiqua" w:hAnsi="Book Antiqua"/>
          <w:i/>
          <w:sz w:val="24"/>
          <w:szCs w:val="24"/>
        </w:rPr>
        <w:t>et al</w:t>
      </w:r>
      <w:r w:rsidRPr="00787839">
        <w:rPr>
          <w:rFonts w:ascii="Book Antiqua" w:hAnsi="Book Antiqua"/>
          <w:sz w:val="24"/>
          <w:szCs w:val="24"/>
        </w:rPr>
        <w:t>. Imaging of portosystemic colla</w:t>
      </w:r>
      <w:r w:rsidR="007F096F" w:rsidRPr="00787839">
        <w:rPr>
          <w:rFonts w:ascii="Book Antiqua" w:hAnsi="Book Antiqua"/>
          <w:sz w:val="24"/>
          <w:szCs w:val="24"/>
        </w:rPr>
        <w:t>terals and associated treatment</w:t>
      </w:r>
    </w:p>
    <w:p w14:paraId="0D833DF4" w14:textId="77777777" w:rsidR="007F096F" w:rsidRPr="00787839" w:rsidRDefault="007F096F" w:rsidP="007F096F">
      <w:pPr>
        <w:pStyle w:val="Body1"/>
        <w:adjustRightInd w:val="0"/>
        <w:snapToGrid w:val="0"/>
        <w:spacing w:after="0" w:line="360" w:lineRule="auto"/>
        <w:rPr>
          <w:rFonts w:ascii="Book Antiqua" w:hAnsi="Book Antiqua"/>
          <w:sz w:val="24"/>
          <w:szCs w:val="24"/>
          <w:lang w:eastAsia="zh-CN"/>
        </w:rPr>
      </w:pPr>
    </w:p>
    <w:p w14:paraId="5D8C02A0" w14:textId="6CDDF84D" w:rsidR="00677F13" w:rsidRPr="00787839" w:rsidRDefault="00677F13" w:rsidP="007F096F">
      <w:pPr>
        <w:pStyle w:val="Body1"/>
        <w:adjustRightInd w:val="0"/>
        <w:snapToGrid w:val="0"/>
        <w:spacing w:after="0" w:line="360" w:lineRule="auto"/>
        <w:rPr>
          <w:rFonts w:ascii="Book Antiqua" w:hAnsi="Book Antiqua"/>
          <w:sz w:val="24"/>
          <w:szCs w:val="24"/>
          <w:lang w:eastAsia="zh-CN"/>
        </w:rPr>
      </w:pPr>
      <w:bookmarkStart w:id="4" w:name="OLE_LINK197"/>
      <w:bookmarkStart w:id="5" w:name="OLE_LINK198"/>
      <w:bookmarkStart w:id="6" w:name="OLE_LINK202"/>
      <w:bookmarkStart w:id="7" w:name="OLE_LINK203"/>
      <w:r w:rsidRPr="00787839">
        <w:rPr>
          <w:rFonts w:ascii="Book Antiqua" w:hAnsi="Book Antiqua"/>
          <w:sz w:val="24"/>
          <w:szCs w:val="24"/>
        </w:rPr>
        <w:t>Murad Feroz Bandali</w:t>
      </w:r>
      <w:bookmarkEnd w:id="4"/>
      <w:bookmarkEnd w:id="5"/>
      <w:r w:rsidRPr="00787839">
        <w:rPr>
          <w:rFonts w:ascii="Book Antiqua" w:hAnsi="Book Antiqua"/>
          <w:sz w:val="24"/>
          <w:szCs w:val="24"/>
        </w:rPr>
        <w:t>, Anirudh Mirakhur, Edward Wolfgang Lee, Mollie Clarke Ferris, David James Sadler, Rob</w:t>
      </w:r>
      <w:r w:rsidR="007F096F" w:rsidRPr="00787839">
        <w:rPr>
          <w:rFonts w:ascii="Book Antiqua" w:hAnsi="Book Antiqua"/>
          <w:sz w:val="24"/>
          <w:szCs w:val="24"/>
        </w:rPr>
        <w:t>in Ritchie Gray, Jason Kam Wong</w:t>
      </w:r>
    </w:p>
    <w:bookmarkEnd w:id="6"/>
    <w:bookmarkEnd w:id="7"/>
    <w:p w14:paraId="39628867" w14:textId="77777777" w:rsidR="007F096F" w:rsidRPr="00787839" w:rsidRDefault="007F096F" w:rsidP="007F096F">
      <w:pPr>
        <w:pStyle w:val="Body1"/>
        <w:adjustRightInd w:val="0"/>
        <w:snapToGrid w:val="0"/>
        <w:spacing w:after="0" w:line="360" w:lineRule="auto"/>
        <w:rPr>
          <w:rFonts w:ascii="Book Antiqua" w:hAnsi="Book Antiqua"/>
          <w:sz w:val="24"/>
          <w:szCs w:val="24"/>
          <w:lang w:eastAsia="zh-CN"/>
        </w:rPr>
      </w:pPr>
    </w:p>
    <w:p w14:paraId="236203FA" w14:textId="05DF94F1" w:rsidR="00677F13" w:rsidRPr="00787839" w:rsidRDefault="00677F13" w:rsidP="007F096F">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b/>
          <w:sz w:val="24"/>
          <w:szCs w:val="24"/>
        </w:rPr>
        <w:t xml:space="preserve">Murad Feroz Bandali, </w:t>
      </w:r>
      <w:r w:rsidR="007375BF" w:rsidRPr="00787839">
        <w:rPr>
          <w:rFonts w:ascii="Book Antiqua" w:hAnsi="Book Antiqua"/>
          <w:b/>
          <w:sz w:val="24"/>
          <w:szCs w:val="24"/>
        </w:rPr>
        <w:t xml:space="preserve">Anirudh Mirakhur, </w:t>
      </w:r>
      <w:r w:rsidRPr="00787839">
        <w:rPr>
          <w:rFonts w:ascii="Book Antiqua" w:hAnsi="Book Antiqua"/>
          <w:b/>
          <w:sz w:val="24"/>
          <w:szCs w:val="24"/>
        </w:rPr>
        <w:t>Mollie Clarke Ferris, David James Sadler, Rob</w:t>
      </w:r>
      <w:r w:rsidR="00787839" w:rsidRPr="00787839">
        <w:rPr>
          <w:rFonts w:ascii="Book Antiqua" w:hAnsi="Book Antiqua"/>
          <w:b/>
          <w:sz w:val="24"/>
          <w:szCs w:val="24"/>
        </w:rPr>
        <w:t>in Ritchie Gray, Jason Kam Wong</w:t>
      </w:r>
      <w:r w:rsidR="00787839" w:rsidRPr="00787839">
        <w:rPr>
          <w:rFonts w:ascii="Book Antiqua" w:hAnsi="Book Antiqua" w:hint="eastAsia"/>
          <w:b/>
          <w:sz w:val="24"/>
          <w:szCs w:val="24"/>
          <w:lang w:eastAsia="zh-CN"/>
        </w:rPr>
        <w:t>,</w:t>
      </w:r>
      <w:r w:rsidRPr="00787839">
        <w:rPr>
          <w:rFonts w:ascii="Book Antiqua" w:hAnsi="Book Antiqua"/>
          <w:sz w:val="24"/>
          <w:szCs w:val="24"/>
        </w:rPr>
        <w:t xml:space="preserve"> Department of Radiology, Foothills Medical Centre, University of Calgary, Calgary, Alberta T2N 2T9, Canada</w:t>
      </w:r>
    </w:p>
    <w:p w14:paraId="1AC39C4A" w14:textId="77777777" w:rsidR="007F096F" w:rsidRPr="00787839" w:rsidRDefault="007F096F" w:rsidP="007F096F">
      <w:pPr>
        <w:pStyle w:val="Body1"/>
        <w:adjustRightInd w:val="0"/>
        <w:snapToGrid w:val="0"/>
        <w:spacing w:after="0" w:line="360" w:lineRule="auto"/>
        <w:rPr>
          <w:rFonts w:ascii="Book Antiqua" w:hAnsi="Book Antiqua"/>
          <w:sz w:val="24"/>
          <w:szCs w:val="24"/>
          <w:lang w:eastAsia="zh-CN"/>
        </w:rPr>
      </w:pPr>
    </w:p>
    <w:p w14:paraId="413AE90D" w14:textId="077C0716" w:rsidR="00D34185" w:rsidRPr="00787839" w:rsidRDefault="0065476C" w:rsidP="007F096F">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b/>
          <w:sz w:val="24"/>
          <w:szCs w:val="24"/>
        </w:rPr>
        <w:t>A</w:t>
      </w:r>
      <w:r w:rsidR="007F3393" w:rsidRPr="00787839">
        <w:rPr>
          <w:rFonts w:ascii="Book Antiqua" w:hAnsi="Book Antiqua"/>
          <w:b/>
          <w:sz w:val="24"/>
          <w:szCs w:val="24"/>
        </w:rPr>
        <w:t>nirudh</w:t>
      </w:r>
      <w:r w:rsidR="00677F13" w:rsidRPr="00787839">
        <w:rPr>
          <w:rFonts w:ascii="Book Antiqua" w:hAnsi="Book Antiqua"/>
          <w:b/>
          <w:sz w:val="24"/>
          <w:szCs w:val="24"/>
        </w:rPr>
        <w:t xml:space="preserve"> Mirakhur</w:t>
      </w:r>
      <w:r w:rsidRPr="00787839">
        <w:rPr>
          <w:rFonts w:ascii="Book Antiqua" w:hAnsi="Book Antiqua"/>
          <w:b/>
          <w:sz w:val="24"/>
          <w:szCs w:val="24"/>
        </w:rPr>
        <w:t xml:space="preserve">, </w:t>
      </w:r>
      <w:r w:rsidR="00DB745E" w:rsidRPr="00787839">
        <w:rPr>
          <w:rFonts w:ascii="Book Antiqua" w:hAnsi="Book Antiqua"/>
          <w:b/>
          <w:sz w:val="24"/>
          <w:szCs w:val="24"/>
        </w:rPr>
        <w:t>Edward Wolfgang Lee</w:t>
      </w:r>
      <w:r w:rsidR="00787839" w:rsidRPr="00787839">
        <w:rPr>
          <w:rFonts w:ascii="Book Antiqua" w:hAnsi="Book Antiqua" w:hint="eastAsia"/>
          <w:b/>
          <w:sz w:val="24"/>
          <w:szCs w:val="24"/>
          <w:lang w:eastAsia="zh-CN"/>
        </w:rPr>
        <w:t>,</w:t>
      </w:r>
      <w:r w:rsidR="00677F13" w:rsidRPr="00787839">
        <w:rPr>
          <w:rFonts w:ascii="Book Antiqua" w:hAnsi="Book Antiqua"/>
          <w:sz w:val="24"/>
          <w:szCs w:val="24"/>
        </w:rPr>
        <w:t xml:space="preserve"> </w:t>
      </w:r>
      <w:r w:rsidR="00DB745E" w:rsidRPr="00787839">
        <w:rPr>
          <w:rFonts w:ascii="Book Antiqua" w:hAnsi="Book Antiqua"/>
          <w:sz w:val="24"/>
          <w:szCs w:val="24"/>
        </w:rPr>
        <w:t>Division of Interventional Radiology, Department of Radiology, UCLA Medical Center, Los Angeles, CA</w:t>
      </w:r>
      <w:r w:rsidR="00677F13" w:rsidRPr="00787839">
        <w:rPr>
          <w:rFonts w:ascii="Book Antiqua" w:hAnsi="Book Antiqua"/>
          <w:sz w:val="24"/>
          <w:szCs w:val="24"/>
        </w:rPr>
        <w:t xml:space="preserve"> 90024</w:t>
      </w:r>
      <w:r w:rsidR="00DB745E" w:rsidRPr="00787839">
        <w:rPr>
          <w:rFonts w:ascii="Book Antiqua" w:hAnsi="Book Antiqua"/>
          <w:sz w:val="24"/>
          <w:szCs w:val="24"/>
        </w:rPr>
        <w:t xml:space="preserve">, </w:t>
      </w:r>
      <w:r w:rsidR="007F096F" w:rsidRPr="00787839">
        <w:rPr>
          <w:rFonts w:ascii="Book Antiqua" w:hAnsi="Book Antiqua" w:hint="eastAsia"/>
          <w:sz w:val="24"/>
          <w:szCs w:val="24"/>
          <w:lang w:eastAsia="zh-CN"/>
        </w:rPr>
        <w:t>United States</w:t>
      </w:r>
    </w:p>
    <w:p w14:paraId="4E486467" w14:textId="77777777" w:rsidR="007F096F" w:rsidRPr="00787839" w:rsidRDefault="007F096F" w:rsidP="007F096F">
      <w:pPr>
        <w:pStyle w:val="Body1"/>
        <w:adjustRightInd w:val="0"/>
        <w:snapToGrid w:val="0"/>
        <w:spacing w:after="0" w:line="360" w:lineRule="auto"/>
        <w:rPr>
          <w:rFonts w:ascii="Book Antiqua" w:hAnsi="Book Antiqua"/>
          <w:sz w:val="24"/>
          <w:szCs w:val="24"/>
          <w:lang w:eastAsia="zh-CN"/>
        </w:rPr>
      </w:pPr>
    </w:p>
    <w:p w14:paraId="575C0582" w14:textId="34F17B02" w:rsidR="00677F13" w:rsidRPr="00787839" w:rsidRDefault="00677F13" w:rsidP="007F096F">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b/>
          <w:sz w:val="24"/>
          <w:szCs w:val="24"/>
        </w:rPr>
        <w:t xml:space="preserve">Author </w:t>
      </w:r>
      <w:r w:rsidR="000D1A08" w:rsidRPr="00787839">
        <w:rPr>
          <w:rFonts w:ascii="Book Antiqua" w:hAnsi="Book Antiqua"/>
          <w:b/>
          <w:sz w:val="24"/>
          <w:szCs w:val="24"/>
        </w:rPr>
        <w:t>contributions</w:t>
      </w:r>
      <w:r w:rsidRPr="00787839">
        <w:rPr>
          <w:rFonts w:ascii="Book Antiqua" w:hAnsi="Book Antiqua"/>
          <w:b/>
          <w:sz w:val="24"/>
          <w:szCs w:val="24"/>
        </w:rPr>
        <w:t>:</w:t>
      </w:r>
      <w:r w:rsidRPr="00787839">
        <w:rPr>
          <w:rFonts w:ascii="Book Antiqua" w:hAnsi="Book Antiqua"/>
          <w:sz w:val="24"/>
          <w:szCs w:val="24"/>
        </w:rPr>
        <w:t xml:space="preserve"> All authors contributed to this review article with conception, literature review a</w:t>
      </w:r>
      <w:r w:rsidR="0064259E" w:rsidRPr="00787839">
        <w:rPr>
          <w:rFonts w:ascii="Book Antiqua" w:hAnsi="Book Antiqua"/>
          <w:sz w:val="24"/>
          <w:szCs w:val="24"/>
        </w:rPr>
        <w:t>nd analysis, image preparation and editing, manuscript drafting and critical revision and editing, and approval of the final version</w:t>
      </w:r>
      <w:r w:rsidR="007F096F" w:rsidRPr="00787839">
        <w:rPr>
          <w:rFonts w:ascii="Book Antiqua" w:hAnsi="Book Antiqua" w:hint="eastAsia"/>
          <w:sz w:val="24"/>
          <w:szCs w:val="24"/>
          <w:lang w:eastAsia="zh-CN"/>
        </w:rPr>
        <w:t>;</w:t>
      </w:r>
      <w:r w:rsidR="007F096F" w:rsidRPr="00787839">
        <w:rPr>
          <w:rFonts w:ascii="Book Antiqua" w:eastAsiaTheme="minorEastAsia" w:hAnsi="Book Antiqua"/>
          <w:color w:val="auto"/>
          <w:sz w:val="24"/>
          <w:szCs w:val="24"/>
        </w:rPr>
        <w:t xml:space="preserve"> </w:t>
      </w:r>
      <w:r w:rsidR="007F096F" w:rsidRPr="00787839">
        <w:rPr>
          <w:rFonts w:ascii="Book Antiqua" w:hAnsi="Book Antiqua"/>
          <w:sz w:val="24"/>
          <w:szCs w:val="24"/>
        </w:rPr>
        <w:t xml:space="preserve">Bandali </w:t>
      </w:r>
      <w:r w:rsidR="007F096F" w:rsidRPr="00787839">
        <w:rPr>
          <w:rFonts w:ascii="Book Antiqua" w:hAnsi="Book Antiqua" w:hint="eastAsia"/>
          <w:sz w:val="24"/>
          <w:szCs w:val="24"/>
          <w:lang w:eastAsia="zh-CN"/>
        </w:rPr>
        <w:t xml:space="preserve">MF </w:t>
      </w:r>
      <w:r w:rsidR="007F096F" w:rsidRPr="00787839">
        <w:rPr>
          <w:rFonts w:ascii="Book Antiqua" w:hAnsi="Book Antiqua"/>
          <w:sz w:val="24"/>
          <w:szCs w:val="24"/>
        </w:rPr>
        <w:t xml:space="preserve">and Mirakhur </w:t>
      </w:r>
      <w:r w:rsidR="007F096F" w:rsidRPr="00787839">
        <w:rPr>
          <w:rFonts w:ascii="Book Antiqua" w:hAnsi="Book Antiqua" w:hint="eastAsia"/>
          <w:sz w:val="24"/>
          <w:szCs w:val="24"/>
          <w:lang w:eastAsia="zh-CN"/>
        </w:rPr>
        <w:t xml:space="preserve">A </w:t>
      </w:r>
      <w:r w:rsidR="007F096F" w:rsidRPr="00787839">
        <w:rPr>
          <w:rFonts w:ascii="Book Antiqua" w:hAnsi="Book Antiqua"/>
          <w:sz w:val="24"/>
          <w:szCs w:val="24"/>
        </w:rPr>
        <w:t>contributed equally and are trainees of Edward W Lee</w:t>
      </w:r>
      <w:r w:rsidR="007F096F" w:rsidRPr="00787839">
        <w:rPr>
          <w:rFonts w:ascii="Book Antiqua" w:hAnsi="Book Antiqua" w:hint="eastAsia"/>
          <w:sz w:val="24"/>
          <w:szCs w:val="24"/>
          <w:lang w:eastAsia="zh-CN"/>
        </w:rPr>
        <w:t>.</w:t>
      </w:r>
    </w:p>
    <w:p w14:paraId="2949E935" w14:textId="77777777" w:rsidR="007F096F" w:rsidRPr="00787839" w:rsidRDefault="007F096F" w:rsidP="007F096F">
      <w:pPr>
        <w:pStyle w:val="Body1"/>
        <w:adjustRightInd w:val="0"/>
        <w:snapToGrid w:val="0"/>
        <w:spacing w:after="0" w:line="360" w:lineRule="auto"/>
        <w:rPr>
          <w:rFonts w:ascii="Book Antiqua" w:hAnsi="Book Antiqua"/>
          <w:sz w:val="24"/>
          <w:szCs w:val="24"/>
          <w:lang w:eastAsia="zh-CN"/>
        </w:rPr>
      </w:pPr>
    </w:p>
    <w:p w14:paraId="250B2ED8" w14:textId="2546A3A3" w:rsidR="0064259E" w:rsidRPr="00787839" w:rsidRDefault="0064259E" w:rsidP="007F096F">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b/>
          <w:sz w:val="24"/>
          <w:szCs w:val="24"/>
        </w:rPr>
        <w:t>Conflict-of-interest statement:</w:t>
      </w:r>
      <w:r w:rsidRPr="00787839">
        <w:rPr>
          <w:rFonts w:ascii="Book Antiqua" w:hAnsi="Book Antiqua"/>
          <w:sz w:val="24"/>
          <w:szCs w:val="24"/>
        </w:rPr>
        <w:t xml:space="preserve"> </w:t>
      </w:r>
      <w:r w:rsidR="00456AC3" w:rsidRPr="00787839">
        <w:rPr>
          <w:rFonts w:ascii="Book Antiqua" w:hAnsi="Book Antiqua"/>
          <w:sz w:val="24"/>
          <w:szCs w:val="24"/>
        </w:rPr>
        <w:t>Authors declare n</w:t>
      </w:r>
      <w:r w:rsidRPr="00787839">
        <w:rPr>
          <w:rFonts w:ascii="Book Antiqua" w:hAnsi="Book Antiqua"/>
          <w:sz w:val="24"/>
          <w:szCs w:val="24"/>
        </w:rPr>
        <w:t>o potential conflicts of interests. No financial support.</w:t>
      </w:r>
    </w:p>
    <w:p w14:paraId="15623AED" w14:textId="77777777" w:rsidR="000E7554" w:rsidRPr="00787839" w:rsidRDefault="000E7554" w:rsidP="007F096F">
      <w:pPr>
        <w:pStyle w:val="Body1"/>
        <w:adjustRightInd w:val="0"/>
        <w:snapToGrid w:val="0"/>
        <w:spacing w:after="0" w:line="360" w:lineRule="auto"/>
        <w:rPr>
          <w:rFonts w:ascii="Book Antiqua" w:hAnsi="Book Antiqua"/>
          <w:b/>
          <w:sz w:val="24"/>
          <w:szCs w:val="24"/>
        </w:rPr>
      </w:pPr>
    </w:p>
    <w:p w14:paraId="3595128F" w14:textId="77777777" w:rsidR="00E33D7F" w:rsidRPr="00E33D7F" w:rsidRDefault="00E33D7F" w:rsidP="00E33D7F">
      <w:pPr>
        <w:spacing w:after="0" w:line="360" w:lineRule="auto"/>
        <w:rPr>
          <w:rFonts w:ascii="Book Antiqua" w:eastAsia="SimSun" w:hAnsi="Book Antiqua" w:cs="SimSun"/>
          <w:sz w:val="24"/>
          <w:szCs w:val="24"/>
          <w:lang w:val="en-US" w:eastAsia="zh-CN"/>
        </w:rPr>
      </w:pPr>
      <w:bookmarkStart w:id="8" w:name="OLE_LINK441"/>
      <w:bookmarkStart w:id="9" w:name="OLE_LINK442"/>
      <w:bookmarkStart w:id="10" w:name="OLE_LINK1032"/>
      <w:bookmarkStart w:id="11" w:name="OLE_LINK1232"/>
      <w:bookmarkStart w:id="12" w:name="OLE_LINK1460"/>
      <w:bookmarkStart w:id="13" w:name="OLE_LINK1568"/>
      <w:bookmarkStart w:id="14" w:name="OLE_LINK1708"/>
      <w:bookmarkStart w:id="15" w:name="OLE_LINK1435"/>
      <w:bookmarkStart w:id="16" w:name="OLE_LINK1478"/>
      <w:bookmarkStart w:id="17" w:name="OLE_LINK1428"/>
      <w:bookmarkStart w:id="18" w:name="OLE_LINK1355"/>
      <w:bookmarkStart w:id="19" w:name="OLE_LINK1425"/>
      <w:bookmarkStart w:id="20" w:name="OLE_LINK1504"/>
      <w:bookmarkStart w:id="21" w:name="OLE_LINK1544"/>
      <w:bookmarkStart w:id="22" w:name="OLE_LINK1680"/>
      <w:bookmarkStart w:id="23" w:name="OLE_LINK1710"/>
      <w:bookmarkStart w:id="24" w:name="OLE_LINK3317"/>
      <w:bookmarkStart w:id="25" w:name="OLE_LINK22"/>
      <w:bookmarkStart w:id="26" w:name="OLE_LINK1818"/>
      <w:bookmarkStart w:id="27" w:name="OLE_LINK1684"/>
      <w:bookmarkStart w:id="28" w:name="OLE_LINK1885"/>
      <w:bookmarkStart w:id="29" w:name="OLE_LINK1799"/>
      <w:bookmarkStart w:id="30" w:name="OLE_LINK1894"/>
      <w:bookmarkStart w:id="31" w:name="OLE_LINK27"/>
      <w:bookmarkStart w:id="32" w:name="OLE_LINK732"/>
      <w:bookmarkStart w:id="33" w:name="OLE_LINK2053"/>
      <w:bookmarkStart w:id="34" w:name="OLE_LINK2096"/>
      <w:bookmarkStart w:id="35" w:name="OLE_LINK2174"/>
      <w:bookmarkStart w:id="36" w:name="OLE_LINK2108"/>
      <w:bookmarkStart w:id="37" w:name="OLE_LINK2183"/>
      <w:bookmarkStart w:id="38" w:name="OLE_LINK2328"/>
      <w:bookmarkStart w:id="39" w:name="OLE_LINK766"/>
      <w:bookmarkStart w:id="40" w:name="OLE_LINK2256"/>
      <w:bookmarkStart w:id="41" w:name="OLE_LINK38"/>
      <w:bookmarkStart w:id="42" w:name="OLE_LINK2368"/>
      <w:bookmarkStart w:id="43" w:name="OLE_LINK2351"/>
      <w:bookmarkStart w:id="44" w:name="OLE_LINK2446"/>
      <w:bookmarkStart w:id="45" w:name="OLE_LINK2509"/>
      <w:bookmarkStart w:id="46" w:name="OLE_LINK2651"/>
      <w:bookmarkStart w:id="47" w:name="OLE_LINK2842"/>
      <w:bookmarkStart w:id="48" w:name="OLE_LINK2909"/>
      <w:bookmarkStart w:id="49" w:name="OLE_LINK3004"/>
      <w:bookmarkStart w:id="50" w:name="OLE_LINK43"/>
      <w:bookmarkStart w:id="51" w:name="OLE_LINK3170"/>
      <w:bookmarkStart w:id="52" w:name="OLE_LINK3181"/>
      <w:bookmarkStart w:id="53" w:name="OLE_LINK3182"/>
      <w:bookmarkStart w:id="54" w:name="OLE_LINK3631"/>
      <w:bookmarkStart w:id="55" w:name="OLE_LINK3293"/>
      <w:bookmarkStart w:id="56" w:name="OLE_LINK71"/>
      <w:bookmarkStart w:id="57" w:name="OLE_LINK3789"/>
      <w:bookmarkStart w:id="58" w:name="OLE_LINK76"/>
      <w:bookmarkStart w:id="59" w:name="OLE_LINK102"/>
      <w:bookmarkStart w:id="60" w:name="OLE_LINK3695"/>
      <w:bookmarkStart w:id="61" w:name="OLE_LINK3733"/>
      <w:bookmarkStart w:id="62" w:name="OLE_LINK3858"/>
      <w:bookmarkStart w:id="63" w:name="OLE_LINK3870"/>
      <w:bookmarkStart w:id="64" w:name="OLE_LINK100"/>
      <w:bookmarkStart w:id="65" w:name="OLE_LINK158"/>
      <w:r w:rsidRPr="00E33D7F">
        <w:rPr>
          <w:rFonts w:ascii="Book Antiqua" w:eastAsia="SimSun" w:hAnsi="Book Antiqua" w:cs="Times New Roman"/>
          <w:b/>
          <w:color w:val="000000"/>
          <w:sz w:val="24"/>
          <w:szCs w:val="24"/>
          <w:lang w:val="en-US" w:eastAsia="zh-CN"/>
        </w:rPr>
        <w:t xml:space="preserve">Open-Access: </w:t>
      </w:r>
      <w:bookmarkStart w:id="66" w:name="OLE_LINK479"/>
      <w:bookmarkStart w:id="67" w:name="OLE_LINK496"/>
      <w:bookmarkStart w:id="68" w:name="OLE_LINK506"/>
      <w:bookmarkStart w:id="69" w:name="OLE_LINK507"/>
      <w:r w:rsidRPr="00E33D7F">
        <w:rPr>
          <w:rFonts w:ascii="Book Antiqua" w:eastAsia="SimSun" w:hAnsi="Book Antiqua" w:cs="Times New Roman"/>
          <w:color w:val="000000"/>
          <w:kern w:val="2"/>
          <w:sz w:val="24"/>
          <w:szCs w:val="24"/>
          <w:lang w:val="en-US" w:eastAsia="zh-CN"/>
        </w:rPr>
        <w:t xml:space="preserve">This article is an </w:t>
      </w:r>
      <w:r w:rsidRPr="00E33D7F">
        <w:rPr>
          <w:rFonts w:ascii="Book Antiqua" w:eastAsia="SimSun" w:hAnsi="Book Antiqua" w:cs="Times New Roman"/>
          <w:kern w:val="2"/>
          <w:sz w:val="24"/>
          <w:szCs w:val="24"/>
          <w:lang w:val="en-US" w:eastAsia="zh-CN"/>
        </w:rPr>
        <w:t xml:space="preserve">open-access article which </w:t>
      </w:r>
      <w:r w:rsidRPr="00E33D7F">
        <w:rPr>
          <w:rFonts w:ascii="Book Antiqua" w:eastAsia="SimSun" w:hAnsi="Book Antiqua" w:cs="Times New Roman"/>
          <w:color w:val="000000"/>
          <w:kern w:val="2"/>
          <w:sz w:val="24"/>
          <w:szCs w:val="24"/>
          <w:lang w:val="en-US" w:eastAsia="zh-CN"/>
        </w:rPr>
        <w:t xml:space="preserve">was selected by an in-house editor and fully peer-reviewed by external reviewers. It is </w:t>
      </w:r>
      <w:r w:rsidRPr="00E33D7F">
        <w:rPr>
          <w:rFonts w:ascii="Book Antiqua" w:eastAsia="SimSun" w:hAnsi="Book Antiqua" w:cs="Times New Roman"/>
          <w:color w:val="000000"/>
          <w:kern w:val="2"/>
          <w:sz w:val="24"/>
          <w:szCs w:val="24"/>
          <w:lang w:val="en-US" w:eastAsia="zh-CN"/>
        </w:rPr>
        <w:lastRenderedPageBreak/>
        <w:t>dis</w:t>
      </w:r>
      <w:r w:rsidRPr="00E33D7F">
        <w:rPr>
          <w:rFonts w:ascii="Book Antiqua" w:eastAsia="SimSun" w:hAnsi="Book Antiqua" w:cs="Times New Roman"/>
          <w:kern w:val="2"/>
          <w:sz w:val="24"/>
          <w:szCs w:val="24"/>
          <w:lang w:val="en-US" w:eastAsia="zh-CN"/>
        </w:rPr>
        <w:t xml:space="preserve">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787839">
          <w:rPr>
            <w:rFonts w:ascii="Book Antiqua" w:eastAsia="SimSun" w:hAnsi="Book Antiqua" w:cs="Times New Roman"/>
            <w:color w:val="0000FF"/>
            <w:kern w:val="2"/>
            <w:sz w:val="24"/>
            <w:szCs w:val="24"/>
            <w:lang w:val="en-US" w:eastAsia="zh-CN"/>
          </w:rPr>
          <w:t>http://creativecommons.org/licenses/by-nc/4.0/</w:t>
        </w:r>
      </w:hyperlink>
      <w:bookmarkEnd w:id="66"/>
      <w:bookmarkEnd w:id="67"/>
      <w:bookmarkEnd w:id="68"/>
      <w:bookmarkEnd w:id="69"/>
    </w:p>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14:paraId="32F5C9B2" w14:textId="77777777" w:rsidR="00E33D7F" w:rsidRPr="00E33D7F" w:rsidRDefault="00E33D7F" w:rsidP="00E33D7F">
      <w:pPr>
        <w:widowControl w:val="0"/>
        <w:adjustRightInd w:val="0"/>
        <w:snapToGrid w:val="0"/>
        <w:spacing w:after="0" w:line="360" w:lineRule="auto"/>
        <w:rPr>
          <w:rFonts w:ascii="Book Antiqua" w:eastAsia="SimSun" w:hAnsi="Book Antiqua" w:cs="Times New Roman"/>
          <w:b/>
          <w:color w:val="000000"/>
          <w:kern w:val="2"/>
          <w:sz w:val="24"/>
          <w:szCs w:val="24"/>
          <w:lang w:val="en-US" w:eastAsia="zh-CN"/>
        </w:rPr>
      </w:pPr>
    </w:p>
    <w:p w14:paraId="1A479206" w14:textId="77777777" w:rsidR="00E33D7F" w:rsidRPr="00E33D7F" w:rsidRDefault="00E33D7F" w:rsidP="00E33D7F">
      <w:pPr>
        <w:widowControl w:val="0"/>
        <w:adjustRightInd w:val="0"/>
        <w:snapToGrid w:val="0"/>
        <w:spacing w:after="0" w:line="360" w:lineRule="auto"/>
        <w:rPr>
          <w:rFonts w:ascii="Book Antiqua" w:eastAsia="SimSun" w:hAnsi="Book Antiqua" w:cs="Times New Roman"/>
          <w:color w:val="000000"/>
          <w:kern w:val="2"/>
          <w:sz w:val="24"/>
          <w:szCs w:val="24"/>
          <w:lang w:val="en-US" w:eastAsia="zh-CN"/>
        </w:rPr>
      </w:pPr>
      <w:bookmarkStart w:id="70" w:name="OLE_LINK3166"/>
      <w:bookmarkStart w:id="71" w:name="OLE_LINK3167"/>
      <w:bookmarkStart w:id="72" w:name="OLE_LINK3173"/>
      <w:bookmarkStart w:id="73" w:name="OLE_LINK3235"/>
      <w:r w:rsidRPr="00E33D7F">
        <w:rPr>
          <w:rFonts w:ascii="Book Antiqua" w:eastAsia="SimSun" w:hAnsi="Book Antiqua" w:cs="Times New Roman"/>
          <w:b/>
          <w:color w:val="000000"/>
          <w:kern w:val="2"/>
          <w:sz w:val="24"/>
          <w:szCs w:val="24"/>
          <w:lang w:val="en-US" w:eastAsia="zh-CN"/>
        </w:rPr>
        <w:t xml:space="preserve">Manuscript source: </w:t>
      </w:r>
      <w:r w:rsidRPr="00E33D7F">
        <w:rPr>
          <w:rFonts w:ascii="Book Antiqua" w:eastAsia="SimSun" w:hAnsi="Book Antiqua" w:cs="Times New Roman"/>
          <w:color w:val="000000"/>
          <w:kern w:val="2"/>
          <w:sz w:val="24"/>
          <w:szCs w:val="24"/>
          <w:lang w:val="en-US" w:eastAsia="zh-CN"/>
        </w:rPr>
        <w:t>Invited manuscript</w:t>
      </w:r>
    </w:p>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70"/>
    <w:bookmarkEnd w:id="71"/>
    <w:bookmarkEnd w:id="72"/>
    <w:bookmarkEnd w:id="73"/>
    <w:p w14:paraId="747B4107" w14:textId="77777777" w:rsidR="000E7554" w:rsidRPr="00787839" w:rsidRDefault="000E7554" w:rsidP="007F096F">
      <w:pPr>
        <w:pStyle w:val="Body1"/>
        <w:adjustRightInd w:val="0"/>
        <w:snapToGrid w:val="0"/>
        <w:spacing w:after="0" w:line="360" w:lineRule="auto"/>
        <w:rPr>
          <w:rFonts w:ascii="Book Antiqua" w:hAnsi="Book Antiqua"/>
          <w:b/>
          <w:sz w:val="24"/>
          <w:szCs w:val="24"/>
          <w:lang w:val="en-US"/>
        </w:rPr>
      </w:pPr>
    </w:p>
    <w:p w14:paraId="70F2EF31" w14:textId="5C414530" w:rsidR="0064259E" w:rsidRPr="00787839" w:rsidRDefault="0064259E" w:rsidP="007F096F">
      <w:pPr>
        <w:pStyle w:val="Body1"/>
        <w:adjustRightInd w:val="0"/>
        <w:snapToGrid w:val="0"/>
        <w:spacing w:after="0" w:line="360" w:lineRule="auto"/>
        <w:rPr>
          <w:rFonts w:ascii="Book Antiqua" w:hAnsi="Book Antiqua"/>
          <w:sz w:val="24"/>
          <w:szCs w:val="24"/>
        </w:rPr>
      </w:pPr>
      <w:r w:rsidRPr="00787839">
        <w:rPr>
          <w:rFonts w:ascii="Book Antiqua" w:hAnsi="Book Antiqua"/>
          <w:b/>
          <w:sz w:val="24"/>
          <w:szCs w:val="24"/>
        </w:rPr>
        <w:t>Correspondence to: Edward Wolfgang Lee, MD, PhD,</w:t>
      </w:r>
      <w:r w:rsidRPr="00787839">
        <w:rPr>
          <w:rFonts w:ascii="Book Antiqua" w:hAnsi="Book Antiqua"/>
          <w:sz w:val="24"/>
          <w:szCs w:val="24"/>
        </w:rPr>
        <w:t xml:space="preserve"> Department of Radiology, Division of Interventional Radiology, Ronald Reagan Medical Center at UCLA, David Geffen School of Medicine at UCLA, 757 Westwood Plaza, Suite 2125 Los Angeles, C</w:t>
      </w:r>
      <w:r w:rsidR="007375BF" w:rsidRPr="00787839">
        <w:rPr>
          <w:rFonts w:ascii="Book Antiqua" w:hAnsi="Book Antiqua"/>
          <w:sz w:val="24"/>
          <w:szCs w:val="24"/>
        </w:rPr>
        <w:t>A</w:t>
      </w:r>
      <w:r w:rsidRPr="00787839">
        <w:rPr>
          <w:rFonts w:ascii="Book Antiqua" w:hAnsi="Book Antiqua"/>
          <w:sz w:val="24"/>
          <w:szCs w:val="24"/>
        </w:rPr>
        <w:t xml:space="preserve"> 90095-743730, United States. </w:t>
      </w:r>
      <w:hyperlink r:id="rId9" w:history="1">
        <w:r w:rsidRPr="00787839">
          <w:rPr>
            <w:rStyle w:val="Hyperlink"/>
            <w:rFonts w:ascii="Book Antiqua" w:hAnsi="Book Antiqua"/>
            <w:sz w:val="24"/>
            <w:szCs w:val="24"/>
            <w:u w:val="none"/>
          </w:rPr>
          <w:t>edwardlee@mednet.ucla.edu</w:t>
        </w:r>
      </w:hyperlink>
    </w:p>
    <w:p w14:paraId="78D27222" w14:textId="3929710A" w:rsidR="007375BF" w:rsidRPr="00787839" w:rsidRDefault="0064259E" w:rsidP="007F096F">
      <w:pPr>
        <w:pStyle w:val="Body1"/>
        <w:adjustRightInd w:val="0"/>
        <w:snapToGrid w:val="0"/>
        <w:spacing w:after="0" w:line="360" w:lineRule="auto"/>
        <w:rPr>
          <w:rFonts w:ascii="Book Antiqua" w:hAnsi="Book Antiqua"/>
          <w:sz w:val="24"/>
          <w:szCs w:val="24"/>
        </w:rPr>
      </w:pPr>
      <w:r w:rsidRPr="00787839">
        <w:rPr>
          <w:rFonts w:ascii="Book Antiqua" w:hAnsi="Book Antiqua"/>
          <w:b/>
          <w:sz w:val="24"/>
          <w:szCs w:val="24"/>
        </w:rPr>
        <w:t>Telephone:</w:t>
      </w:r>
      <w:r w:rsidR="00787839" w:rsidRPr="00787839">
        <w:rPr>
          <w:rFonts w:ascii="Book Antiqua" w:hAnsi="Book Antiqua"/>
          <w:sz w:val="24"/>
          <w:szCs w:val="24"/>
        </w:rPr>
        <w:t xml:space="preserve"> +1-310-267</w:t>
      </w:r>
      <w:r w:rsidRPr="00787839">
        <w:rPr>
          <w:rFonts w:ascii="Book Antiqua" w:hAnsi="Book Antiqua"/>
          <w:sz w:val="24"/>
          <w:szCs w:val="24"/>
        </w:rPr>
        <w:t>8771</w:t>
      </w:r>
    </w:p>
    <w:p w14:paraId="3AD6CD88" w14:textId="59B8B62C" w:rsidR="00DC5A18" w:rsidRPr="00787839" w:rsidRDefault="0064259E" w:rsidP="007F096F">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b/>
          <w:sz w:val="24"/>
          <w:szCs w:val="24"/>
        </w:rPr>
        <w:t>Fax:</w:t>
      </w:r>
      <w:r w:rsidR="00787839" w:rsidRPr="00787839">
        <w:rPr>
          <w:rFonts w:ascii="Book Antiqua" w:hAnsi="Book Antiqua"/>
          <w:sz w:val="24"/>
          <w:szCs w:val="24"/>
        </w:rPr>
        <w:t xml:space="preserve"> +1-310-267</w:t>
      </w:r>
      <w:r w:rsidR="007375BF" w:rsidRPr="00787839">
        <w:rPr>
          <w:rFonts w:ascii="Book Antiqua" w:hAnsi="Book Antiqua"/>
          <w:sz w:val="24"/>
          <w:szCs w:val="24"/>
        </w:rPr>
        <w:t>3631</w:t>
      </w:r>
    </w:p>
    <w:p w14:paraId="1E31AB1A" w14:textId="77777777" w:rsidR="00787839" w:rsidRPr="00787839" w:rsidRDefault="00787839" w:rsidP="007F096F">
      <w:pPr>
        <w:pStyle w:val="Body1"/>
        <w:adjustRightInd w:val="0"/>
        <w:snapToGrid w:val="0"/>
        <w:spacing w:after="0" w:line="360" w:lineRule="auto"/>
        <w:rPr>
          <w:rFonts w:ascii="Book Antiqua" w:hAnsi="Book Antiqua"/>
          <w:sz w:val="24"/>
          <w:szCs w:val="24"/>
          <w:lang w:eastAsia="zh-CN"/>
        </w:rPr>
      </w:pPr>
    </w:p>
    <w:p w14:paraId="61777AAF" w14:textId="44F20C47" w:rsidR="00F44D1D" w:rsidRPr="00787839" w:rsidRDefault="00F44D1D" w:rsidP="007F096F">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b/>
          <w:sz w:val="24"/>
          <w:szCs w:val="24"/>
        </w:rPr>
        <w:t xml:space="preserve">Received: </w:t>
      </w:r>
      <w:r w:rsidRPr="00787839">
        <w:rPr>
          <w:rFonts w:ascii="Book Antiqua" w:hAnsi="Book Antiqua"/>
          <w:sz w:val="24"/>
          <w:szCs w:val="24"/>
        </w:rPr>
        <w:t>November 1</w:t>
      </w:r>
      <w:r w:rsidR="00787839" w:rsidRPr="00787839">
        <w:rPr>
          <w:rFonts w:ascii="Book Antiqua" w:hAnsi="Book Antiqua" w:hint="eastAsia"/>
          <w:sz w:val="24"/>
          <w:szCs w:val="24"/>
          <w:lang w:eastAsia="zh-CN"/>
        </w:rPr>
        <w:t>4</w:t>
      </w:r>
      <w:r w:rsidR="00787839" w:rsidRPr="00787839">
        <w:rPr>
          <w:rFonts w:ascii="Book Antiqua" w:hAnsi="Book Antiqua"/>
          <w:sz w:val="24"/>
          <w:szCs w:val="24"/>
        </w:rPr>
        <w:t>, 2016</w:t>
      </w:r>
    </w:p>
    <w:p w14:paraId="09238C9D" w14:textId="503DB925" w:rsidR="00F44D1D" w:rsidRPr="00787839" w:rsidRDefault="00F44D1D" w:rsidP="007F096F">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b/>
          <w:sz w:val="24"/>
          <w:szCs w:val="24"/>
        </w:rPr>
        <w:t xml:space="preserve">Peer-review started: </w:t>
      </w:r>
      <w:r w:rsidR="00787839" w:rsidRPr="00787839">
        <w:rPr>
          <w:rFonts w:ascii="Book Antiqua" w:hAnsi="Book Antiqua"/>
          <w:sz w:val="24"/>
          <w:szCs w:val="24"/>
        </w:rPr>
        <w:t>November 15, 2016</w:t>
      </w:r>
    </w:p>
    <w:p w14:paraId="0487585D" w14:textId="7DD300C0" w:rsidR="00F44D1D" w:rsidRPr="00787839" w:rsidRDefault="00F44D1D" w:rsidP="007F096F">
      <w:pPr>
        <w:pStyle w:val="Body1"/>
        <w:adjustRightInd w:val="0"/>
        <w:snapToGrid w:val="0"/>
        <w:spacing w:after="0" w:line="360" w:lineRule="auto"/>
        <w:rPr>
          <w:rFonts w:ascii="Book Antiqua" w:hAnsi="Book Antiqua"/>
          <w:sz w:val="24"/>
          <w:szCs w:val="24"/>
        </w:rPr>
      </w:pPr>
      <w:r w:rsidRPr="00787839">
        <w:rPr>
          <w:rFonts w:ascii="Book Antiqua" w:hAnsi="Book Antiqua"/>
          <w:b/>
          <w:sz w:val="24"/>
          <w:szCs w:val="24"/>
        </w:rPr>
        <w:t>First Decision:</w:t>
      </w:r>
      <w:r w:rsidRPr="00787839">
        <w:rPr>
          <w:rFonts w:ascii="Book Antiqua" w:hAnsi="Book Antiqua"/>
          <w:sz w:val="24"/>
          <w:szCs w:val="24"/>
        </w:rPr>
        <w:t xml:space="preserve"> </w:t>
      </w:r>
      <w:bookmarkStart w:id="74" w:name="OLE_LINK181"/>
      <w:bookmarkStart w:id="75" w:name="OLE_LINK182"/>
      <w:r w:rsidRPr="00787839">
        <w:rPr>
          <w:rFonts w:ascii="Book Antiqua" w:hAnsi="Book Antiqua"/>
          <w:sz w:val="24"/>
          <w:szCs w:val="24"/>
        </w:rPr>
        <w:t>January 11, 2017</w:t>
      </w:r>
      <w:bookmarkEnd w:id="74"/>
      <w:bookmarkEnd w:id="75"/>
    </w:p>
    <w:p w14:paraId="4645C63E" w14:textId="5A57255D" w:rsidR="00F44D1D" w:rsidRPr="00787839" w:rsidRDefault="00F44D1D" w:rsidP="007F096F">
      <w:pPr>
        <w:pStyle w:val="Body1"/>
        <w:adjustRightInd w:val="0"/>
        <w:snapToGrid w:val="0"/>
        <w:spacing w:after="0" w:line="360" w:lineRule="auto"/>
        <w:rPr>
          <w:rFonts w:ascii="Book Antiqua" w:hAnsi="Book Antiqua"/>
          <w:b/>
          <w:sz w:val="24"/>
          <w:szCs w:val="24"/>
          <w:lang w:eastAsia="zh-CN"/>
        </w:rPr>
      </w:pPr>
      <w:r w:rsidRPr="00787839">
        <w:rPr>
          <w:rFonts w:ascii="Book Antiqua" w:hAnsi="Book Antiqua"/>
          <w:b/>
          <w:sz w:val="24"/>
          <w:szCs w:val="24"/>
        </w:rPr>
        <w:t>Revised:</w:t>
      </w:r>
      <w:r w:rsidR="00787839" w:rsidRPr="00787839">
        <w:rPr>
          <w:rFonts w:ascii="Book Antiqua" w:hAnsi="Book Antiqua" w:hint="eastAsia"/>
          <w:b/>
          <w:sz w:val="24"/>
          <w:szCs w:val="24"/>
          <w:lang w:eastAsia="zh-CN"/>
        </w:rPr>
        <w:t xml:space="preserve"> </w:t>
      </w:r>
      <w:r w:rsidR="00787839" w:rsidRPr="00787839">
        <w:rPr>
          <w:rFonts w:ascii="Book Antiqua" w:hAnsi="Book Antiqua"/>
          <w:sz w:val="24"/>
          <w:szCs w:val="24"/>
        </w:rPr>
        <w:t xml:space="preserve">January </w:t>
      </w:r>
      <w:r w:rsidR="00787839" w:rsidRPr="00787839">
        <w:rPr>
          <w:rFonts w:ascii="Book Antiqua" w:hAnsi="Book Antiqua" w:hint="eastAsia"/>
          <w:sz w:val="24"/>
          <w:szCs w:val="24"/>
          <w:lang w:eastAsia="zh-CN"/>
        </w:rPr>
        <w:t>26</w:t>
      </w:r>
      <w:r w:rsidR="00787839" w:rsidRPr="00787839">
        <w:rPr>
          <w:rFonts w:ascii="Book Antiqua" w:hAnsi="Book Antiqua"/>
          <w:sz w:val="24"/>
          <w:szCs w:val="24"/>
        </w:rPr>
        <w:t>, 2017</w:t>
      </w:r>
    </w:p>
    <w:p w14:paraId="22D0C9DA" w14:textId="06C5A27C" w:rsidR="00F44D1D" w:rsidRPr="00D365A6" w:rsidRDefault="00F44D1D" w:rsidP="00D365A6">
      <w:pPr>
        <w:spacing w:line="360" w:lineRule="auto"/>
        <w:rPr>
          <w:rFonts w:ascii="Book Antiqua" w:hAnsi="Book Antiqua"/>
          <w:color w:val="000000"/>
          <w:sz w:val="24"/>
        </w:rPr>
      </w:pPr>
      <w:r w:rsidRPr="00787839">
        <w:rPr>
          <w:rFonts w:ascii="Book Antiqua" w:hAnsi="Book Antiqua"/>
          <w:b/>
          <w:sz w:val="24"/>
          <w:szCs w:val="24"/>
        </w:rPr>
        <w:t>Accepted:</w:t>
      </w:r>
      <w:r w:rsidR="00D365A6" w:rsidRPr="00D365A6">
        <w:rPr>
          <w:rFonts w:ascii="Book Antiqua" w:hAnsi="Book Antiqua"/>
          <w:color w:val="000000"/>
          <w:sz w:val="24"/>
        </w:rPr>
        <w:t xml:space="preserve"> </w:t>
      </w:r>
      <w:r w:rsidR="00D365A6">
        <w:rPr>
          <w:rFonts w:ascii="Book Antiqua" w:hAnsi="Book Antiqua"/>
          <w:color w:val="000000"/>
          <w:sz w:val="24"/>
        </w:rPr>
        <w:t>February 16</w:t>
      </w:r>
      <w:r w:rsidR="00D365A6">
        <w:rPr>
          <w:rFonts w:ascii="Book Antiqua" w:hAnsi="Book Antiqua"/>
          <w:color w:val="000000"/>
          <w:sz w:val="24"/>
        </w:rPr>
        <w:t>, 2017</w:t>
      </w:r>
      <w:bookmarkStart w:id="76" w:name="_GoBack"/>
      <w:bookmarkEnd w:id="76"/>
    </w:p>
    <w:p w14:paraId="29417FA4" w14:textId="2540D667" w:rsidR="00F44D1D" w:rsidRPr="00787839" w:rsidRDefault="00F44D1D"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Article in press:</w:t>
      </w:r>
    </w:p>
    <w:p w14:paraId="00E3264C" w14:textId="436DE803" w:rsidR="00F44D1D" w:rsidRPr="00787839" w:rsidRDefault="00F44D1D"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Published online:</w:t>
      </w:r>
    </w:p>
    <w:p w14:paraId="01559333" w14:textId="3FAA73A6" w:rsidR="00DC5A18" w:rsidRPr="00787839" w:rsidRDefault="00F44D1D"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 xml:space="preserve"> </w:t>
      </w:r>
    </w:p>
    <w:p w14:paraId="31282F80" w14:textId="77777777" w:rsidR="00DC5A18" w:rsidRPr="00787839" w:rsidRDefault="00DC5A18" w:rsidP="007F096F">
      <w:pPr>
        <w:pStyle w:val="Body1"/>
        <w:adjustRightInd w:val="0"/>
        <w:snapToGrid w:val="0"/>
        <w:spacing w:after="0" w:line="360" w:lineRule="auto"/>
        <w:rPr>
          <w:rFonts w:ascii="Book Antiqua" w:hAnsi="Book Antiqua"/>
          <w:sz w:val="24"/>
          <w:szCs w:val="24"/>
        </w:rPr>
      </w:pPr>
    </w:p>
    <w:p w14:paraId="6DB302C3" w14:textId="77777777" w:rsidR="00DC5A18" w:rsidRPr="00787839" w:rsidRDefault="00DC5A18" w:rsidP="007F096F">
      <w:pPr>
        <w:pStyle w:val="Body1"/>
        <w:adjustRightInd w:val="0"/>
        <w:snapToGrid w:val="0"/>
        <w:spacing w:after="0" w:line="360" w:lineRule="auto"/>
        <w:rPr>
          <w:rFonts w:ascii="Book Antiqua" w:hAnsi="Book Antiqua"/>
          <w:sz w:val="24"/>
          <w:szCs w:val="24"/>
        </w:rPr>
      </w:pPr>
    </w:p>
    <w:p w14:paraId="3B0CD5BF" w14:textId="5502E409" w:rsidR="00F14A23" w:rsidRPr="00787839" w:rsidRDefault="00DC5A18" w:rsidP="007F096F">
      <w:pPr>
        <w:adjustRightInd w:val="0"/>
        <w:snapToGrid w:val="0"/>
        <w:spacing w:after="0" w:line="360" w:lineRule="auto"/>
        <w:rPr>
          <w:rFonts w:ascii="Book Antiqua" w:eastAsia="Arial Unicode MS" w:hAnsi="Book Antiqua"/>
          <w:color w:val="000000"/>
          <w:sz w:val="24"/>
          <w:szCs w:val="24"/>
          <w:u w:color="000000"/>
        </w:rPr>
      </w:pPr>
      <w:r w:rsidRPr="00787839">
        <w:rPr>
          <w:rFonts w:ascii="Book Antiqua" w:hAnsi="Book Antiqua"/>
          <w:sz w:val="24"/>
          <w:szCs w:val="24"/>
        </w:rPr>
        <w:br w:type="page"/>
      </w:r>
      <w:r w:rsidR="00787839" w:rsidRPr="00787839">
        <w:rPr>
          <w:rFonts w:ascii="Book Antiqua" w:hAnsi="Book Antiqua"/>
          <w:b/>
          <w:sz w:val="24"/>
          <w:szCs w:val="24"/>
        </w:rPr>
        <w:lastRenderedPageBreak/>
        <w:t>Abstract</w:t>
      </w:r>
    </w:p>
    <w:p w14:paraId="7670C16C" w14:textId="528F7B85" w:rsidR="00F14A23" w:rsidRPr="00787839" w:rsidRDefault="0065476C" w:rsidP="007F096F">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sz w:val="24"/>
          <w:szCs w:val="24"/>
        </w:rPr>
        <w:t xml:space="preserve">Portal hypertension is a </w:t>
      </w:r>
      <w:r w:rsidR="00FD377A" w:rsidRPr="00787839">
        <w:rPr>
          <w:rFonts w:ascii="Book Antiqua" w:hAnsi="Book Antiqua"/>
          <w:sz w:val="24"/>
          <w:szCs w:val="24"/>
        </w:rPr>
        <w:t>common</w:t>
      </w:r>
      <w:r w:rsidRPr="00787839">
        <w:rPr>
          <w:rFonts w:ascii="Book Antiqua" w:hAnsi="Book Antiqua"/>
          <w:sz w:val="24"/>
          <w:szCs w:val="24"/>
        </w:rPr>
        <w:t xml:space="preserve"> clinical syn</w:t>
      </w:r>
      <w:r w:rsidR="00A94FFE" w:rsidRPr="00787839">
        <w:rPr>
          <w:rFonts w:ascii="Book Antiqua" w:hAnsi="Book Antiqua"/>
          <w:sz w:val="24"/>
          <w:szCs w:val="24"/>
        </w:rPr>
        <w:t>drome, defined by a pathologic</w:t>
      </w:r>
      <w:r w:rsidRPr="00787839">
        <w:rPr>
          <w:rFonts w:ascii="Book Antiqua" w:hAnsi="Book Antiqua"/>
          <w:sz w:val="24"/>
          <w:szCs w:val="24"/>
        </w:rPr>
        <w:t xml:space="preserve"> increase in the portal venous pressure. Increased resistance to portal blood flow, the primary factor in the pathophysiology of portal hypertension, is in part due to morphological changes occurring in chronic liver diseases. This results in rerouting of blood flow away from the liver through collateral pathways to low-pressure systemic </w:t>
      </w:r>
      <w:r w:rsidR="00E76E07" w:rsidRPr="00787839">
        <w:rPr>
          <w:rFonts w:ascii="Book Antiqua" w:hAnsi="Book Antiqua"/>
          <w:sz w:val="24"/>
          <w:szCs w:val="24"/>
        </w:rPr>
        <w:t>veins</w:t>
      </w:r>
      <w:r w:rsidRPr="00787839">
        <w:rPr>
          <w:rFonts w:ascii="Book Antiqua" w:hAnsi="Book Antiqua"/>
          <w:sz w:val="24"/>
          <w:szCs w:val="24"/>
        </w:rPr>
        <w:t>. Through a variety of computed tomograph</w:t>
      </w:r>
      <w:r w:rsidR="00B66FDB" w:rsidRPr="00787839">
        <w:rPr>
          <w:rFonts w:ascii="Book Antiqua" w:hAnsi="Book Antiqua"/>
          <w:sz w:val="24"/>
          <w:szCs w:val="24"/>
        </w:rPr>
        <w:t>ic</w:t>
      </w:r>
      <w:r w:rsidRPr="00787839">
        <w:rPr>
          <w:rFonts w:ascii="Book Antiqua" w:hAnsi="Book Antiqua"/>
          <w:sz w:val="24"/>
          <w:szCs w:val="24"/>
        </w:rPr>
        <w:t>, sonographic</w:t>
      </w:r>
      <w:r w:rsidR="00841F66" w:rsidRPr="00787839">
        <w:rPr>
          <w:rFonts w:ascii="Book Antiqua" w:hAnsi="Book Antiqua"/>
          <w:sz w:val="24"/>
          <w:szCs w:val="24"/>
        </w:rPr>
        <w:t>, magnetic resonance</w:t>
      </w:r>
      <w:r w:rsidR="00B66FDB" w:rsidRPr="00787839">
        <w:rPr>
          <w:rFonts w:ascii="Book Antiqua" w:hAnsi="Book Antiqua"/>
          <w:sz w:val="24"/>
          <w:szCs w:val="24"/>
        </w:rPr>
        <w:t xml:space="preserve"> </w:t>
      </w:r>
      <w:r w:rsidR="00FE038D" w:rsidRPr="00787839">
        <w:rPr>
          <w:rFonts w:ascii="Book Antiqua" w:hAnsi="Book Antiqua"/>
          <w:sz w:val="24"/>
          <w:szCs w:val="24"/>
        </w:rPr>
        <w:t>imaging</w:t>
      </w:r>
      <w:r w:rsidRPr="00787839">
        <w:rPr>
          <w:rFonts w:ascii="Book Antiqua" w:hAnsi="Book Antiqua"/>
          <w:sz w:val="24"/>
          <w:szCs w:val="24"/>
        </w:rPr>
        <w:t xml:space="preserve"> and angiographic examples, this article discusses the appearances and prevalence of both common and less common portosystemic collateral channels in the thorax and abdomen. A brief overview of established interventional</w:t>
      </w:r>
      <w:r w:rsidR="00A94FFE" w:rsidRPr="00787839">
        <w:rPr>
          <w:rFonts w:ascii="Book Antiqua" w:hAnsi="Book Antiqua"/>
          <w:sz w:val="24"/>
          <w:szCs w:val="24"/>
        </w:rPr>
        <w:t xml:space="preserve"> radiologic</w:t>
      </w:r>
      <w:r w:rsidRPr="00787839">
        <w:rPr>
          <w:rFonts w:ascii="Book Antiqua" w:hAnsi="Book Antiqua"/>
          <w:sz w:val="24"/>
          <w:szCs w:val="24"/>
        </w:rPr>
        <w:t xml:space="preserve"> techniques for treatment of portal hypertension will also be provided. Awareness of the various imaging manifestations of portal hypertension can be helpful for assessing overall prognosis and planning proper management.</w:t>
      </w:r>
    </w:p>
    <w:p w14:paraId="6AF313B2" w14:textId="77777777" w:rsidR="00787839" w:rsidRPr="00787839" w:rsidRDefault="00787839" w:rsidP="007F096F">
      <w:pPr>
        <w:pStyle w:val="Body1"/>
        <w:adjustRightInd w:val="0"/>
        <w:snapToGrid w:val="0"/>
        <w:spacing w:after="0" w:line="360" w:lineRule="auto"/>
        <w:rPr>
          <w:rFonts w:ascii="Book Antiqua" w:hAnsi="Book Antiqua"/>
          <w:sz w:val="24"/>
          <w:szCs w:val="24"/>
          <w:lang w:eastAsia="zh-CN"/>
        </w:rPr>
      </w:pPr>
    </w:p>
    <w:p w14:paraId="7E3DCC5A" w14:textId="18E3A270" w:rsidR="000E7554" w:rsidRPr="00787839" w:rsidRDefault="000E7554" w:rsidP="007F096F">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b/>
          <w:sz w:val="24"/>
          <w:szCs w:val="24"/>
        </w:rPr>
        <w:t>Key</w:t>
      </w:r>
      <w:r w:rsidR="00787839" w:rsidRPr="00787839">
        <w:rPr>
          <w:rFonts w:ascii="Book Antiqua" w:hAnsi="Book Antiqua" w:hint="eastAsia"/>
          <w:b/>
          <w:sz w:val="24"/>
          <w:szCs w:val="24"/>
          <w:lang w:eastAsia="zh-CN"/>
        </w:rPr>
        <w:t xml:space="preserve"> </w:t>
      </w:r>
      <w:r w:rsidRPr="00787839">
        <w:rPr>
          <w:rFonts w:ascii="Book Antiqua" w:hAnsi="Book Antiqua"/>
          <w:b/>
          <w:sz w:val="24"/>
          <w:szCs w:val="24"/>
        </w:rPr>
        <w:t>words:</w:t>
      </w:r>
      <w:r w:rsidRPr="00787839">
        <w:rPr>
          <w:rFonts w:ascii="Book Antiqua" w:hAnsi="Book Antiqua"/>
          <w:sz w:val="24"/>
          <w:szCs w:val="24"/>
        </w:rPr>
        <w:t xml:space="preserve"> Portal hypertension; </w:t>
      </w:r>
      <w:r w:rsidR="00787839" w:rsidRPr="00787839">
        <w:rPr>
          <w:rFonts w:ascii="Book Antiqua" w:hAnsi="Book Antiqua"/>
          <w:sz w:val="24"/>
          <w:szCs w:val="24"/>
        </w:rPr>
        <w:t xml:space="preserve">Portosystemic </w:t>
      </w:r>
      <w:r w:rsidRPr="00787839">
        <w:rPr>
          <w:rFonts w:ascii="Book Antiqua" w:hAnsi="Book Antiqua"/>
          <w:sz w:val="24"/>
          <w:szCs w:val="24"/>
        </w:rPr>
        <w:t xml:space="preserve">collaterals; </w:t>
      </w:r>
      <w:r w:rsidR="00787839" w:rsidRPr="00787839">
        <w:rPr>
          <w:rFonts w:ascii="Book Antiqua" w:hAnsi="Book Antiqua"/>
          <w:sz w:val="24"/>
          <w:szCs w:val="24"/>
        </w:rPr>
        <w:t>Diagnostic imaging; Image-guided therap</w:t>
      </w:r>
      <w:r w:rsidR="00787839" w:rsidRPr="00787839">
        <w:rPr>
          <w:rFonts w:ascii="Book Antiqua" w:hAnsi="Book Antiqua" w:hint="eastAsia"/>
          <w:sz w:val="24"/>
          <w:szCs w:val="24"/>
          <w:lang w:eastAsia="zh-CN"/>
        </w:rPr>
        <w:t>y</w:t>
      </w:r>
    </w:p>
    <w:p w14:paraId="5A7F93ED" w14:textId="77777777" w:rsidR="00787839" w:rsidRPr="00787839" w:rsidRDefault="00787839" w:rsidP="007F096F">
      <w:pPr>
        <w:pStyle w:val="Body1"/>
        <w:adjustRightInd w:val="0"/>
        <w:snapToGrid w:val="0"/>
        <w:spacing w:after="0" w:line="360" w:lineRule="auto"/>
        <w:rPr>
          <w:rFonts w:ascii="Book Antiqua" w:hAnsi="Book Antiqua"/>
          <w:b/>
          <w:sz w:val="24"/>
          <w:szCs w:val="24"/>
          <w:lang w:eastAsia="zh-CN"/>
        </w:rPr>
      </w:pPr>
    </w:p>
    <w:p w14:paraId="7844B0C1" w14:textId="3767492B" w:rsidR="000E7554" w:rsidRPr="00787839" w:rsidRDefault="00546238" w:rsidP="007F096F">
      <w:pPr>
        <w:pStyle w:val="Body1"/>
        <w:adjustRightInd w:val="0"/>
        <w:snapToGrid w:val="0"/>
        <w:spacing w:after="0" w:line="360" w:lineRule="auto"/>
        <w:rPr>
          <w:rFonts w:ascii="Book Antiqua" w:hAnsi="Book Antiqua"/>
          <w:sz w:val="24"/>
          <w:szCs w:val="24"/>
          <w:lang w:val="en-US" w:eastAsia="zh-CN"/>
        </w:rPr>
      </w:pPr>
      <w:r w:rsidRPr="00787839">
        <w:rPr>
          <w:rFonts w:ascii="Book Antiqua" w:hAnsi="Book Antiqua"/>
          <w:b/>
          <w:sz w:val="24"/>
          <w:szCs w:val="24"/>
          <w:lang w:val="en-US"/>
        </w:rPr>
        <w:t>© The Author(s) 2017.</w:t>
      </w:r>
      <w:r w:rsidRPr="00787839">
        <w:rPr>
          <w:rFonts w:ascii="Book Antiqua" w:hAnsi="Book Antiqua"/>
          <w:sz w:val="24"/>
          <w:szCs w:val="24"/>
          <w:lang w:val="en-US"/>
        </w:rPr>
        <w:t xml:space="preserve"> Published by Baishideng Publishing Group Inc. All rights reserved.</w:t>
      </w:r>
    </w:p>
    <w:p w14:paraId="6FDB71A9" w14:textId="77777777" w:rsidR="00787839" w:rsidRPr="00787839" w:rsidRDefault="00787839" w:rsidP="007F096F">
      <w:pPr>
        <w:pStyle w:val="Body1"/>
        <w:adjustRightInd w:val="0"/>
        <w:snapToGrid w:val="0"/>
        <w:spacing w:after="0" w:line="360" w:lineRule="auto"/>
        <w:rPr>
          <w:rFonts w:ascii="Book Antiqua" w:hAnsi="Book Antiqua"/>
          <w:sz w:val="24"/>
          <w:szCs w:val="24"/>
          <w:lang w:val="en-US" w:eastAsia="zh-CN"/>
        </w:rPr>
      </w:pPr>
    </w:p>
    <w:p w14:paraId="29CD2ADE" w14:textId="3B6F1662" w:rsidR="0064259E" w:rsidRPr="00787839" w:rsidRDefault="000C61CB" w:rsidP="007F096F">
      <w:pPr>
        <w:pStyle w:val="Body1"/>
        <w:adjustRightInd w:val="0"/>
        <w:snapToGrid w:val="0"/>
        <w:spacing w:after="0" w:line="360" w:lineRule="auto"/>
        <w:rPr>
          <w:rFonts w:ascii="Book Antiqua" w:hAnsi="Book Antiqua"/>
          <w:sz w:val="24"/>
          <w:szCs w:val="24"/>
        </w:rPr>
      </w:pPr>
      <w:r w:rsidRPr="00787839">
        <w:rPr>
          <w:rFonts w:ascii="Book Antiqua" w:hAnsi="Book Antiqua"/>
          <w:b/>
          <w:sz w:val="24"/>
          <w:szCs w:val="24"/>
        </w:rPr>
        <w:t>Core tip</w:t>
      </w:r>
      <w:r w:rsidR="0064259E" w:rsidRPr="00787839">
        <w:rPr>
          <w:rFonts w:ascii="Book Antiqua" w:hAnsi="Book Antiqua"/>
          <w:b/>
          <w:sz w:val="24"/>
          <w:szCs w:val="24"/>
        </w:rPr>
        <w:t xml:space="preserve">: </w:t>
      </w:r>
      <w:r w:rsidR="00A02CE8" w:rsidRPr="00787839">
        <w:rPr>
          <w:rFonts w:ascii="Book Antiqua" w:hAnsi="Book Antiqua"/>
          <w:sz w:val="24"/>
          <w:szCs w:val="24"/>
        </w:rPr>
        <w:t>Pathologic resistance</w:t>
      </w:r>
      <w:r w:rsidR="00AD60C9" w:rsidRPr="00787839">
        <w:rPr>
          <w:rFonts w:ascii="Book Antiqua" w:hAnsi="Book Antiqua"/>
          <w:sz w:val="24"/>
          <w:szCs w:val="24"/>
        </w:rPr>
        <w:t xml:space="preserve"> to portal venous blood flow results in elevated portal pressure, forcing blood to decompress </w:t>
      </w:r>
      <w:r w:rsidR="00E7473B" w:rsidRPr="00787839">
        <w:rPr>
          <w:rFonts w:ascii="Book Antiqua" w:hAnsi="Book Antiqua"/>
          <w:sz w:val="24"/>
          <w:szCs w:val="24"/>
        </w:rPr>
        <w:t>through</w:t>
      </w:r>
      <w:r w:rsidR="00AD60C9" w:rsidRPr="00787839">
        <w:rPr>
          <w:rFonts w:ascii="Book Antiqua" w:hAnsi="Book Antiqua"/>
          <w:sz w:val="24"/>
          <w:szCs w:val="24"/>
        </w:rPr>
        <w:t xml:space="preserve"> various portosystemic collateral</w:t>
      </w:r>
      <w:r w:rsidR="00E7473B" w:rsidRPr="00787839">
        <w:rPr>
          <w:rFonts w:ascii="Book Antiqua" w:hAnsi="Book Antiqua"/>
          <w:sz w:val="24"/>
          <w:szCs w:val="24"/>
        </w:rPr>
        <w:t>s</w:t>
      </w:r>
      <w:r w:rsidR="00AD60C9" w:rsidRPr="00787839">
        <w:rPr>
          <w:rFonts w:ascii="Book Antiqua" w:hAnsi="Book Antiqua"/>
          <w:sz w:val="24"/>
          <w:szCs w:val="24"/>
        </w:rPr>
        <w:t>.</w:t>
      </w:r>
      <w:r w:rsidR="004F57D7" w:rsidRPr="00787839">
        <w:rPr>
          <w:rFonts w:ascii="Book Antiqua" w:hAnsi="Book Antiqua"/>
          <w:sz w:val="24"/>
          <w:szCs w:val="24"/>
        </w:rPr>
        <w:t xml:space="preserve"> </w:t>
      </w:r>
      <w:r w:rsidR="00E7473B" w:rsidRPr="00787839">
        <w:rPr>
          <w:rFonts w:ascii="Book Antiqua" w:hAnsi="Book Antiqua"/>
          <w:sz w:val="24"/>
          <w:szCs w:val="24"/>
        </w:rPr>
        <w:t>B</w:t>
      </w:r>
      <w:r w:rsidR="004F57D7" w:rsidRPr="00787839">
        <w:rPr>
          <w:rFonts w:ascii="Book Antiqua" w:hAnsi="Book Antiqua"/>
          <w:sz w:val="24"/>
          <w:szCs w:val="24"/>
        </w:rPr>
        <w:t xml:space="preserve">lood may circumvent the liver </w:t>
      </w:r>
      <w:r w:rsidR="00787839" w:rsidRPr="00787839">
        <w:rPr>
          <w:rFonts w:ascii="Book Antiqua" w:hAnsi="Book Antiqua"/>
          <w:i/>
          <w:sz w:val="24"/>
          <w:szCs w:val="24"/>
        </w:rPr>
        <w:t>via</w:t>
      </w:r>
      <w:r w:rsidR="004F57D7" w:rsidRPr="00787839">
        <w:rPr>
          <w:rFonts w:ascii="Book Antiqua" w:hAnsi="Book Antiqua"/>
          <w:sz w:val="24"/>
          <w:szCs w:val="24"/>
        </w:rPr>
        <w:t xml:space="preserve"> intrathoracic, intraabdominal, abdominal wall and pelvic collateral pathways—</w:t>
      </w:r>
      <w:r w:rsidR="009F47C9" w:rsidRPr="00787839">
        <w:rPr>
          <w:rFonts w:ascii="Book Antiqua" w:hAnsi="Book Antiqua"/>
          <w:sz w:val="24"/>
          <w:szCs w:val="24"/>
        </w:rPr>
        <w:t>resulting in variceal bleeding, ascites and encephalopathy</w:t>
      </w:r>
      <w:r w:rsidR="008E4E57" w:rsidRPr="00787839">
        <w:rPr>
          <w:rFonts w:ascii="Book Antiqua" w:hAnsi="Book Antiqua"/>
          <w:sz w:val="24"/>
          <w:szCs w:val="24"/>
        </w:rPr>
        <w:t xml:space="preserve">. Our objective is to provide a comprehensive review of </w:t>
      </w:r>
      <w:r w:rsidR="00E7473B" w:rsidRPr="00787839">
        <w:rPr>
          <w:rFonts w:ascii="Book Antiqua" w:hAnsi="Book Antiqua"/>
          <w:sz w:val="24"/>
          <w:szCs w:val="24"/>
        </w:rPr>
        <w:t xml:space="preserve">the commonly recruited portosystemic collaterals </w:t>
      </w:r>
      <w:r w:rsidR="008E4E57" w:rsidRPr="00787839">
        <w:rPr>
          <w:rFonts w:ascii="Book Antiqua" w:hAnsi="Book Antiqua"/>
          <w:sz w:val="24"/>
          <w:szCs w:val="24"/>
        </w:rPr>
        <w:t xml:space="preserve">in portal hypertension and demonstrate its multimodality appearance on ultrasound, </w:t>
      </w:r>
      <w:r w:rsidR="00787839" w:rsidRPr="00787839">
        <w:rPr>
          <w:rFonts w:ascii="Book Antiqua" w:hAnsi="Book Antiqua"/>
          <w:sz w:val="24"/>
          <w:szCs w:val="24"/>
        </w:rPr>
        <w:t xml:space="preserve">computed tomography </w:t>
      </w:r>
      <w:r w:rsidR="00E7473B" w:rsidRPr="00787839">
        <w:rPr>
          <w:rFonts w:ascii="Book Antiqua" w:hAnsi="Book Antiqua"/>
          <w:sz w:val="24"/>
          <w:szCs w:val="24"/>
        </w:rPr>
        <w:t xml:space="preserve">and </w:t>
      </w:r>
      <w:r w:rsidR="00787839" w:rsidRPr="00787839">
        <w:rPr>
          <w:rFonts w:ascii="Book Antiqua" w:hAnsi="Book Antiqua"/>
          <w:sz w:val="24"/>
          <w:szCs w:val="24"/>
        </w:rPr>
        <w:t>magnetic resonance imaging</w:t>
      </w:r>
      <w:r w:rsidR="00E7473B" w:rsidRPr="00787839">
        <w:rPr>
          <w:rFonts w:ascii="Book Antiqua" w:hAnsi="Book Antiqua"/>
          <w:sz w:val="24"/>
          <w:szCs w:val="24"/>
        </w:rPr>
        <w:t>. Additionally, we will</w:t>
      </w:r>
      <w:r w:rsidR="008E4E57" w:rsidRPr="00787839">
        <w:rPr>
          <w:rFonts w:ascii="Book Antiqua" w:hAnsi="Book Antiqua"/>
          <w:sz w:val="24"/>
          <w:szCs w:val="24"/>
        </w:rPr>
        <w:t xml:space="preserve"> review </w:t>
      </w:r>
      <w:r w:rsidR="00E7473B" w:rsidRPr="00787839">
        <w:rPr>
          <w:rFonts w:ascii="Book Antiqua" w:hAnsi="Book Antiqua"/>
          <w:sz w:val="24"/>
          <w:szCs w:val="24"/>
        </w:rPr>
        <w:t>several</w:t>
      </w:r>
      <w:r w:rsidR="008E4E57" w:rsidRPr="00787839">
        <w:rPr>
          <w:rFonts w:ascii="Book Antiqua" w:hAnsi="Book Antiqua"/>
          <w:sz w:val="24"/>
          <w:szCs w:val="24"/>
        </w:rPr>
        <w:t xml:space="preserve"> image-guided ther</w:t>
      </w:r>
      <w:r w:rsidR="00E7473B" w:rsidRPr="00787839">
        <w:rPr>
          <w:rFonts w:ascii="Book Antiqua" w:hAnsi="Book Antiqua"/>
          <w:sz w:val="24"/>
          <w:szCs w:val="24"/>
        </w:rPr>
        <w:t>apies</w:t>
      </w:r>
      <w:r w:rsidR="008E4E57" w:rsidRPr="00787839">
        <w:rPr>
          <w:rFonts w:ascii="Book Antiqua" w:hAnsi="Book Antiqua"/>
          <w:sz w:val="24"/>
          <w:szCs w:val="24"/>
        </w:rPr>
        <w:t xml:space="preserve"> which </w:t>
      </w:r>
      <w:r w:rsidR="00E7473B" w:rsidRPr="00787839">
        <w:rPr>
          <w:rFonts w:ascii="Book Antiqua" w:hAnsi="Book Antiqua"/>
          <w:sz w:val="24"/>
          <w:szCs w:val="24"/>
        </w:rPr>
        <w:t xml:space="preserve">either </w:t>
      </w:r>
      <w:r w:rsidR="008E4E57" w:rsidRPr="00787839">
        <w:rPr>
          <w:rFonts w:ascii="Book Antiqua" w:hAnsi="Book Antiqua"/>
          <w:sz w:val="24"/>
          <w:szCs w:val="24"/>
        </w:rPr>
        <w:t xml:space="preserve">aim to decrease portal venous pressure or </w:t>
      </w:r>
      <w:r w:rsidR="009F47C9" w:rsidRPr="00787839">
        <w:rPr>
          <w:rFonts w:ascii="Book Antiqua" w:hAnsi="Book Antiqua"/>
          <w:sz w:val="24"/>
          <w:szCs w:val="24"/>
        </w:rPr>
        <w:t>mitigate</w:t>
      </w:r>
      <w:r w:rsidR="008E4E57" w:rsidRPr="00787839">
        <w:rPr>
          <w:rFonts w:ascii="Book Antiqua" w:hAnsi="Book Antiqua"/>
          <w:sz w:val="24"/>
          <w:szCs w:val="24"/>
        </w:rPr>
        <w:t xml:space="preserve"> the </w:t>
      </w:r>
      <w:r w:rsidR="009F47C9" w:rsidRPr="00787839">
        <w:rPr>
          <w:rFonts w:ascii="Book Antiqua" w:hAnsi="Book Antiqua"/>
          <w:sz w:val="24"/>
          <w:szCs w:val="24"/>
        </w:rPr>
        <w:t>sequelae</w:t>
      </w:r>
      <w:r w:rsidR="008E4E57" w:rsidRPr="00787839">
        <w:rPr>
          <w:rFonts w:ascii="Book Antiqua" w:hAnsi="Book Antiqua"/>
          <w:sz w:val="24"/>
          <w:szCs w:val="24"/>
        </w:rPr>
        <w:t xml:space="preserve"> of portal hypertension</w:t>
      </w:r>
      <w:r w:rsidR="009F47C9" w:rsidRPr="00787839">
        <w:rPr>
          <w:rFonts w:ascii="Book Antiqua" w:hAnsi="Book Antiqua"/>
          <w:sz w:val="24"/>
          <w:szCs w:val="24"/>
        </w:rPr>
        <w:t>.</w:t>
      </w:r>
      <w:r w:rsidR="008E4E57" w:rsidRPr="00787839">
        <w:rPr>
          <w:rFonts w:ascii="Book Antiqua" w:hAnsi="Book Antiqua"/>
          <w:sz w:val="24"/>
          <w:szCs w:val="24"/>
        </w:rPr>
        <w:t xml:space="preserve"> </w:t>
      </w:r>
    </w:p>
    <w:p w14:paraId="76B11069" w14:textId="77777777" w:rsidR="00787839" w:rsidRPr="00787839" w:rsidRDefault="00787839" w:rsidP="007F096F">
      <w:pPr>
        <w:pStyle w:val="Body1"/>
        <w:adjustRightInd w:val="0"/>
        <w:snapToGrid w:val="0"/>
        <w:spacing w:after="0" w:line="360" w:lineRule="auto"/>
        <w:rPr>
          <w:rFonts w:ascii="Book Antiqua" w:hAnsi="Book Antiqua"/>
          <w:b/>
          <w:sz w:val="24"/>
          <w:szCs w:val="24"/>
          <w:lang w:eastAsia="zh-CN"/>
        </w:rPr>
      </w:pPr>
    </w:p>
    <w:p w14:paraId="308B6941" w14:textId="2F9A3642" w:rsidR="008E4E57" w:rsidRPr="00787839" w:rsidRDefault="003F01BB" w:rsidP="007F096F">
      <w:pPr>
        <w:pStyle w:val="Body1"/>
        <w:adjustRightInd w:val="0"/>
        <w:snapToGrid w:val="0"/>
        <w:spacing w:after="0" w:line="360" w:lineRule="auto"/>
        <w:rPr>
          <w:rFonts w:ascii="Book Antiqua" w:hAnsi="Book Antiqua"/>
          <w:sz w:val="24"/>
          <w:szCs w:val="24"/>
        </w:rPr>
      </w:pPr>
      <w:r w:rsidRPr="00787839">
        <w:rPr>
          <w:rFonts w:ascii="Book Antiqua" w:hAnsi="Book Antiqua"/>
          <w:sz w:val="24"/>
          <w:szCs w:val="24"/>
        </w:rPr>
        <w:t xml:space="preserve">Bandali MF, Mirakhur A, Lee EW, </w:t>
      </w:r>
      <w:r w:rsidR="00E000FD" w:rsidRPr="00787839">
        <w:rPr>
          <w:rFonts w:ascii="Book Antiqua" w:hAnsi="Book Antiqua"/>
          <w:sz w:val="24"/>
          <w:szCs w:val="24"/>
        </w:rPr>
        <w:t>Ferris M</w:t>
      </w:r>
      <w:r w:rsidR="009644A8" w:rsidRPr="00787839">
        <w:rPr>
          <w:rFonts w:ascii="Book Antiqua" w:hAnsi="Book Antiqua"/>
          <w:sz w:val="24"/>
          <w:szCs w:val="24"/>
        </w:rPr>
        <w:t>C</w:t>
      </w:r>
      <w:r w:rsidR="00E000FD" w:rsidRPr="00787839">
        <w:rPr>
          <w:rFonts w:ascii="Book Antiqua" w:hAnsi="Book Antiqua"/>
          <w:sz w:val="24"/>
          <w:szCs w:val="24"/>
        </w:rPr>
        <w:t>, Sadler DJ, Gray RR, Wong JK</w:t>
      </w:r>
      <w:r w:rsidR="003378A5" w:rsidRPr="00787839">
        <w:rPr>
          <w:rFonts w:ascii="Book Antiqua" w:hAnsi="Book Antiqua"/>
          <w:sz w:val="24"/>
          <w:szCs w:val="24"/>
        </w:rPr>
        <w:t>.</w:t>
      </w:r>
      <w:r w:rsidR="0064259E" w:rsidRPr="00787839">
        <w:rPr>
          <w:rFonts w:ascii="Book Antiqua" w:hAnsi="Book Antiqua"/>
          <w:sz w:val="24"/>
          <w:szCs w:val="24"/>
        </w:rPr>
        <w:t xml:space="preserve"> Imaging of </w:t>
      </w:r>
      <w:r w:rsidR="00787839" w:rsidRPr="00787839">
        <w:rPr>
          <w:rFonts w:ascii="Book Antiqua" w:hAnsi="Book Antiqua"/>
          <w:sz w:val="24"/>
          <w:szCs w:val="24"/>
        </w:rPr>
        <w:t>portosystemic collateral pathways and associated image-guided therapy</w:t>
      </w:r>
      <w:r w:rsidR="0064259E" w:rsidRPr="00787839">
        <w:rPr>
          <w:rFonts w:ascii="Book Antiqua" w:hAnsi="Book Antiqua"/>
          <w:sz w:val="24"/>
          <w:szCs w:val="24"/>
        </w:rPr>
        <w:t>.</w:t>
      </w:r>
      <w:r w:rsidR="00546238" w:rsidRPr="00787839">
        <w:rPr>
          <w:rFonts w:ascii="Book Antiqua" w:hAnsi="Book Antiqua"/>
          <w:sz w:val="24"/>
          <w:szCs w:val="24"/>
        </w:rPr>
        <w:t xml:space="preserve"> </w:t>
      </w:r>
      <w:r w:rsidR="00546238" w:rsidRPr="00787839">
        <w:rPr>
          <w:rFonts w:ascii="Book Antiqua" w:hAnsi="Book Antiqua"/>
          <w:i/>
          <w:sz w:val="24"/>
          <w:szCs w:val="24"/>
          <w:lang w:val="en-US"/>
        </w:rPr>
        <w:t>World J Gastroenterol</w:t>
      </w:r>
      <w:r w:rsidR="00546238" w:rsidRPr="00787839">
        <w:rPr>
          <w:rFonts w:ascii="Book Antiqua" w:hAnsi="Book Antiqua"/>
          <w:sz w:val="24"/>
          <w:szCs w:val="24"/>
          <w:lang w:val="en-US"/>
        </w:rPr>
        <w:t xml:space="preserve"> 2017; In press.</w:t>
      </w:r>
    </w:p>
    <w:p w14:paraId="2354933D" w14:textId="2FB598E5" w:rsidR="00546238" w:rsidRPr="00787839" w:rsidRDefault="00546238" w:rsidP="007F096F">
      <w:pPr>
        <w:pStyle w:val="Body1"/>
        <w:adjustRightInd w:val="0"/>
        <w:snapToGrid w:val="0"/>
        <w:spacing w:after="0" w:line="360" w:lineRule="auto"/>
        <w:rPr>
          <w:rFonts w:ascii="Book Antiqua" w:hAnsi="Book Antiqua"/>
          <w:b/>
          <w:sz w:val="24"/>
          <w:szCs w:val="24"/>
        </w:rPr>
      </w:pPr>
    </w:p>
    <w:p w14:paraId="64B758C3" w14:textId="77777777" w:rsidR="00546238" w:rsidRPr="00787839" w:rsidRDefault="00546238" w:rsidP="007F096F">
      <w:pPr>
        <w:adjustRightInd w:val="0"/>
        <w:snapToGrid w:val="0"/>
        <w:spacing w:after="0" w:line="360" w:lineRule="auto"/>
        <w:rPr>
          <w:rFonts w:ascii="Book Antiqua" w:eastAsia="Arial Unicode MS" w:hAnsi="Book Antiqua"/>
          <w:b/>
          <w:color w:val="000000"/>
          <w:sz w:val="24"/>
          <w:szCs w:val="24"/>
          <w:u w:color="000000"/>
        </w:rPr>
      </w:pPr>
      <w:r w:rsidRPr="00787839">
        <w:rPr>
          <w:rFonts w:ascii="Book Antiqua" w:hAnsi="Book Antiqua"/>
          <w:b/>
          <w:sz w:val="24"/>
          <w:szCs w:val="24"/>
        </w:rPr>
        <w:br w:type="page"/>
      </w:r>
    </w:p>
    <w:p w14:paraId="0B0A6390" w14:textId="56D6ADF1" w:rsidR="00F14A23" w:rsidRPr="00787839" w:rsidRDefault="00787839" w:rsidP="007F096F">
      <w:pPr>
        <w:adjustRightInd w:val="0"/>
        <w:snapToGrid w:val="0"/>
        <w:spacing w:after="0" w:line="360" w:lineRule="auto"/>
        <w:rPr>
          <w:rFonts w:ascii="Book Antiqua" w:eastAsia="Arial Unicode MS" w:hAnsi="Book Antiqua"/>
          <w:b/>
          <w:color w:val="000000"/>
          <w:sz w:val="24"/>
          <w:szCs w:val="24"/>
          <w:u w:color="000000"/>
        </w:rPr>
      </w:pPr>
      <w:r w:rsidRPr="00787839">
        <w:rPr>
          <w:rFonts w:ascii="Book Antiqua" w:hAnsi="Book Antiqua"/>
          <w:b/>
          <w:sz w:val="24"/>
          <w:szCs w:val="24"/>
        </w:rPr>
        <w:lastRenderedPageBreak/>
        <w:t>INTRODUCTION</w:t>
      </w:r>
    </w:p>
    <w:p w14:paraId="289A4755" w14:textId="532D11F2" w:rsidR="00F14A23" w:rsidRPr="00787839" w:rsidRDefault="0065476C" w:rsidP="00787839">
      <w:pPr>
        <w:pStyle w:val="Body1"/>
        <w:adjustRightInd w:val="0"/>
        <w:snapToGrid w:val="0"/>
        <w:spacing w:after="0" w:line="360" w:lineRule="auto"/>
        <w:rPr>
          <w:rFonts w:ascii="Book Antiqua" w:hAnsi="Book Antiqua"/>
          <w:sz w:val="24"/>
          <w:szCs w:val="24"/>
        </w:rPr>
      </w:pPr>
      <w:r w:rsidRPr="00787839">
        <w:rPr>
          <w:rFonts w:ascii="Book Antiqua" w:hAnsi="Book Antiqua"/>
          <w:sz w:val="24"/>
          <w:szCs w:val="24"/>
        </w:rPr>
        <w:t>The portal venous system</w:t>
      </w:r>
      <w:r w:rsidR="00A3475D" w:rsidRPr="00787839">
        <w:rPr>
          <w:rFonts w:ascii="Book Antiqua" w:hAnsi="Book Antiqua"/>
          <w:sz w:val="24"/>
          <w:szCs w:val="24"/>
        </w:rPr>
        <w:t xml:space="preserve"> is a unique circulatory system</w:t>
      </w:r>
      <w:r w:rsidRPr="00787839">
        <w:rPr>
          <w:rFonts w:ascii="Book Antiqua" w:hAnsi="Book Antiqua"/>
          <w:sz w:val="24"/>
          <w:szCs w:val="24"/>
        </w:rPr>
        <w:t xml:space="preserve"> which connects two systems of capillary beds; one in the </w:t>
      </w:r>
      <w:r w:rsidR="009F1BE7" w:rsidRPr="00787839">
        <w:rPr>
          <w:rFonts w:ascii="Book Antiqua" w:hAnsi="Book Antiqua"/>
          <w:sz w:val="24"/>
          <w:szCs w:val="24"/>
        </w:rPr>
        <w:t>gastrointestinal tract</w:t>
      </w:r>
      <w:r w:rsidRPr="00787839">
        <w:rPr>
          <w:rFonts w:ascii="Book Antiqua" w:hAnsi="Book Antiqua"/>
          <w:sz w:val="24"/>
          <w:szCs w:val="24"/>
        </w:rPr>
        <w:t xml:space="preserve"> and </w:t>
      </w:r>
      <w:r w:rsidR="00BC589A" w:rsidRPr="00787839">
        <w:rPr>
          <w:rFonts w:ascii="Book Antiqua" w:hAnsi="Book Antiqua"/>
          <w:sz w:val="24"/>
          <w:szCs w:val="24"/>
        </w:rPr>
        <w:t>splenic parenchyma</w:t>
      </w:r>
      <w:r w:rsidRPr="00787839">
        <w:rPr>
          <w:rFonts w:ascii="Book Antiqua" w:hAnsi="Book Antiqua"/>
          <w:sz w:val="24"/>
          <w:szCs w:val="24"/>
        </w:rPr>
        <w:t xml:space="preserve">, and the second in the hepatic sinusoids. </w:t>
      </w:r>
      <w:r w:rsidR="00BC589A" w:rsidRPr="00787839">
        <w:rPr>
          <w:rFonts w:ascii="Book Antiqua" w:hAnsi="Book Antiqua"/>
          <w:sz w:val="24"/>
          <w:szCs w:val="24"/>
        </w:rPr>
        <w:t>The p</w:t>
      </w:r>
      <w:r w:rsidRPr="00787839">
        <w:rPr>
          <w:rFonts w:ascii="Book Antiqua" w:hAnsi="Book Antiqua"/>
          <w:sz w:val="24"/>
          <w:szCs w:val="24"/>
        </w:rPr>
        <w:t xml:space="preserve">ortal vein </w:t>
      </w:r>
      <w:r w:rsidR="00BC589A" w:rsidRPr="00787839">
        <w:rPr>
          <w:rFonts w:ascii="Book Antiqua" w:hAnsi="Book Antiqua"/>
          <w:sz w:val="24"/>
          <w:szCs w:val="24"/>
        </w:rPr>
        <w:t xml:space="preserve">transports blood from </w:t>
      </w:r>
      <w:r w:rsidR="002C03B4" w:rsidRPr="00787839">
        <w:rPr>
          <w:rFonts w:ascii="Book Antiqua" w:hAnsi="Book Antiqua"/>
          <w:sz w:val="24"/>
          <w:szCs w:val="24"/>
        </w:rPr>
        <w:t xml:space="preserve">abdominal </w:t>
      </w:r>
      <w:r w:rsidR="00BC589A" w:rsidRPr="00787839">
        <w:rPr>
          <w:rFonts w:ascii="Book Antiqua" w:hAnsi="Book Antiqua"/>
          <w:sz w:val="24"/>
          <w:szCs w:val="24"/>
        </w:rPr>
        <w:t xml:space="preserve">viscera </w:t>
      </w:r>
      <w:r w:rsidRPr="00787839">
        <w:rPr>
          <w:rFonts w:ascii="Book Antiqua" w:hAnsi="Book Antiqua"/>
          <w:sz w:val="24"/>
          <w:szCs w:val="24"/>
        </w:rPr>
        <w:t>and ramifies</w:t>
      </w:r>
      <w:r w:rsidR="00BC589A" w:rsidRPr="00787839">
        <w:rPr>
          <w:rFonts w:ascii="Book Antiqua" w:hAnsi="Book Antiqua"/>
          <w:sz w:val="24"/>
          <w:szCs w:val="24"/>
        </w:rPr>
        <w:t>—much like an artery—</w:t>
      </w:r>
      <w:r w:rsidRPr="00787839">
        <w:rPr>
          <w:rFonts w:ascii="Book Antiqua" w:hAnsi="Book Antiqua"/>
          <w:sz w:val="24"/>
          <w:szCs w:val="24"/>
        </w:rPr>
        <w:t>at</w:t>
      </w:r>
      <w:r w:rsidR="00BC589A" w:rsidRPr="00787839">
        <w:rPr>
          <w:rFonts w:ascii="Book Antiqua" w:hAnsi="Book Antiqua"/>
          <w:sz w:val="24"/>
          <w:szCs w:val="24"/>
        </w:rPr>
        <w:t xml:space="preserve"> </w:t>
      </w:r>
      <w:r w:rsidRPr="00787839">
        <w:rPr>
          <w:rFonts w:ascii="Book Antiqua" w:hAnsi="Book Antiqua"/>
          <w:sz w:val="24"/>
          <w:szCs w:val="24"/>
        </w:rPr>
        <w:t xml:space="preserve">the liver, ending </w:t>
      </w:r>
      <w:r w:rsidR="00BC589A" w:rsidRPr="00787839">
        <w:rPr>
          <w:rFonts w:ascii="Book Antiqua" w:hAnsi="Book Antiqua"/>
          <w:sz w:val="24"/>
          <w:szCs w:val="24"/>
        </w:rPr>
        <w:t>in</w:t>
      </w:r>
      <w:r w:rsidR="00A3475D" w:rsidRPr="00787839">
        <w:rPr>
          <w:rFonts w:ascii="Book Antiqua" w:hAnsi="Book Antiqua"/>
          <w:sz w:val="24"/>
          <w:szCs w:val="24"/>
        </w:rPr>
        <w:t>to</w:t>
      </w:r>
      <w:r w:rsidR="00BC589A" w:rsidRPr="00787839">
        <w:rPr>
          <w:rFonts w:ascii="Book Antiqua" w:hAnsi="Book Antiqua"/>
          <w:sz w:val="24"/>
          <w:szCs w:val="24"/>
        </w:rPr>
        <w:t xml:space="preserve"> the hepatic</w:t>
      </w:r>
      <w:r w:rsidRPr="00787839">
        <w:rPr>
          <w:rFonts w:ascii="Book Antiqua" w:hAnsi="Book Antiqua"/>
          <w:sz w:val="24"/>
          <w:szCs w:val="24"/>
        </w:rPr>
        <w:t xml:space="preserve"> sinusoids. The main portal vein is </w:t>
      </w:r>
      <w:r w:rsidR="005C4BE8" w:rsidRPr="00787839">
        <w:rPr>
          <w:rFonts w:ascii="Book Antiqua" w:hAnsi="Book Antiqua"/>
          <w:sz w:val="24"/>
          <w:szCs w:val="24"/>
        </w:rPr>
        <w:t>typically</w:t>
      </w:r>
      <w:r w:rsidRPr="00787839">
        <w:rPr>
          <w:rFonts w:ascii="Book Antiqua" w:hAnsi="Book Antiqua"/>
          <w:sz w:val="24"/>
          <w:szCs w:val="24"/>
        </w:rPr>
        <w:t xml:space="preserve"> formed by the </w:t>
      </w:r>
      <w:r w:rsidR="00094FE1" w:rsidRPr="00787839">
        <w:rPr>
          <w:rFonts w:ascii="Book Antiqua" w:hAnsi="Book Antiqua"/>
          <w:sz w:val="24"/>
          <w:szCs w:val="24"/>
        </w:rPr>
        <w:t xml:space="preserve">confluence of </w:t>
      </w:r>
      <w:r w:rsidRPr="00787839">
        <w:rPr>
          <w:rFonts w:ascii="Book Antiqua" w:hAnsi="Book Antiqua"/>
          <w:sz w:val="24"/>
          <w:szCs w:val="24"/>
        </w:rPr>
        <w:t>splenic vein and the superior mesenteric vein, posterior to the neck of the pancreas. The inferior mesenteric vein usually drains into the splenic vein and does not directly connect to the main portal vein</w:t>
      </w:r>
      <w:r w:rsidR="006D242D" w:rsidRPr="00787839">
        <w:rPr>
          <w:rFonts w:ascii="Book Antiqua" w:hAnsi="Book Antiqua"/>
          <w:sz w:val="24"/>
          <w:szCs w:val="24"/>
        </w:rPr>
        <w:t xml:space="preserve"> (Figure 1).</w:t>
      </w:r>
      <w:r w:rsidRPr="00787839">
        <w:rPr>
          <w:rFonts w:ascii="Book Antiqua" w:hAnsi="Book Antiqua"/>
          <w:sz w:val="24"/>
          <w:szCs w:val="24"/>
        </w:rPr>
        <w:t xml:space="preserve"> Other</w:t>
      </w:r>
      <w:r w:rsidR="00837693" w:rsidRPr="00787839">
        <w:rPr>
          <w:rFonts w:ascii="Book Antiqua" w:hAnsi="Book Antiqua"/>
          <w:sz w:val="24"/>
          <w:szCs w:val="24"/>
        </w:rPr>
        <w:t xml:space="preserve"> tributaries of the portal vein that</w:t>
      </w:r>
      <w:r w:rsidRPr="00787839">
        <w:rPr>
          <w:rFonts w:ascii="Book Antiqua" w:hAnsi="Book Antiqua"/>
          <w:sz w:val="24"/>
          <w:szCs w:val="24"/>
        </w:rPr>
        <w:t xml:space="preserve"> m</w:t>
      </w:r>
      <w:r w:rsidR="00837693" w:rsidRPr="00787839">
        <w:rPr>
          <w:rFonts w:ascii="Book Antiqua" w:hAnsi="Book Antiqua"/>
          <w:sz w:val="24"/>
          <w:szCs w:val="24"/>
        </w:rPr>
        <w:t>ake up the portal venous system</w:t>
      </w:r>
      <w:r w:rsidRPr="00787839">
        <w:rPr>
          <w:rFonts w:ascii="Book Antiqua" w:hAnsi="Book Antiqua"/>
          <w:sz w:val="24"/>
          <w:szCs w:val="24"/>
        </w:rPr>
        <w:t xml:space="preserve"> are the left gastric, right gastric, paraumbilical, and cystic veins.</w:t>
      </w:r>
    </w:p>
    <w:p w14:paraId="41AF4E50" w14:textId="04DBD50A" w:rsidR="00F14A23" w:rsidRPr="00787839" w:rsidRDefault="00A94FFE" w:rsidP="00787839">
      <w:pPr>
        <w:pStyle w:val="Body1"/>
        <w:adjustRightInd w:val="0"/>
        <w:snapToGrid w:val="0"/>
        <w:spacing w:after="0" w:line="360" w:lineRule="auto"/>
        <w:ind w:firstLineChars="100" w:firstLine="240"/>
        <w:rPr>
          <w:rFonts w:ascii="Book Antiqua" w:hAnsi="Book Antiqua"/>
          <w:sz w:val="24"/>
          <w:szCs w:val="24"/>
        </w:rPr>
      </w:pPr>
      <w:r w:rsidRPr="00787839">
        <w:rPr>
          <w:rFonts w:ascii="Book Antiqua" w:hAnsi="Book Antiqua"/>
          <w:sz w:val="24"/>
          <w:szCs w:val="24"/>
        </w:rPr>
        <w:t>Normal portal venous pressure is between 5 to 10 mmH</w:t>
      </w:r>
      <w:r w:rsidR="00907CA3" w:rsidRPr="00787839">
        <w:rPr>
          <w:rFonts w:ascii="Book Antiqua" w:hAnsi="Book Antiqua"/>
          <w:sz w:val="24"/>
          <w:szCs w:val="24"/>
        </w:rPr>
        <w:t>g</w:t>
      </w:r>
      <w:r w:rsidR="005C4BE8" w:rsidRPr="00787839">
        <w:rPr>
          <w:rFonts w:ascii="Book Antiqua" w:hAnsi="Book Antiqua"/>
          <w:sz w:val="24"/>
          <w:szCs w:val="24"/>
        </w:rPr>
        <w:t>, while t</w:t>
      </w:r>
      <w:r w:rsidR="00827640" w:rsidRPr="00787839">
        <w:rPr>
          <w:rFonts w:ascii="Book Antiqua" w:hAnsi="Book Antiqua"/>
          <w:sz w:val="24"/>
          <w:szCs w:val="24"/>
        </w:rPr>
        <w:t>he normal pressure gradient between the portal vein and the inferior vena cava, known as the hepatovenous pressure gradient (HVPG)</w:t>
      </w:r>
      <w:r w:rsidR="005C4BE8" w:rsidRPr="00787839">
        <w:rPr>
          <w:rFonts w:ascii="Book Antiqua" w:hAnsi="Book Antiqua"/>
          <w:sz w:val="24"/>
          <w:szCs w:val="24"/>
        </w:rPr>
        <w:t>,</w:t>
      </w:r>
      <w:r w:rsidR="00827640" w:rsidRPr="00787839">
        <w:rPr>
          <w:rFonts w:ascii="Book Antiqua" w:hAnsi="Book Antiqua"/>
          <w:sz w:val="24"/>
          <w:szCs w:val="24"/>
        </w:rPr>
        <w:t xml:space="preserve"> is typically 1 to 5 mmHg</w:t>
      </w:r>
      <w:r w:rsidR="00D573ED" w:rsidRPr="00787839">
        <w:rPr>
          <w:rFonts w:ascii="Book Antiqua" w:hAnsi="Book Antiqua"/>
          <w:sz w:val="24"/>
          <w:szCs w:val="24"/>
        </w:rPr>
        <w:fldChar w:fldCharType="begin" w:fldLock="1"/>
      </w:r>
      <w:r w:rsidR="00996921" w:rsidRPr="00787839">
        <w:rPr>
          <w:rFonts w:ascii="Book Antiqua" w:hAnsi="Book Antiqua"/>
          <w:sz w:val="24"/>
          <w:szCs w:val="24"/>
        </w:rPr>
        <w:instrText>ADDIN CSL_CITATION { "citationItems" : [ { "id" : "ITEM-1", "itemData" : { "DOI" : "10.1016/j.jhep.2015.01.003", "ISBN" : "1600-0641 (Electronic)\\r0168-8278 (Linking)", "ISSN" : "16000641", "PMID" : "25920081", "abstract" : "Among the common complication of cirrhosis portal hypertension witnessed a major improvement of prognosis during the past decades. Principally due to the introduction of rational treatments based on new pathophysiological paradigms (concepts of thought) developed in the 1980s. The best example being the use of non-selective beta-blockers and of vasopressin analogs, somatostatin, and its analogs. Further refinement in the knowledge of the molecular mechanisms involved in the regulation of both the splanchnic and hepatic circulation has led to the emergence of new treatments, which are based on evidence that show not only structural but also vasoactive components increase the hepatic vascular resistance, as well as of angiogenesis. This knowledge and future improvements will most likely result in more effective treatment of portal hypertension and effective prevention of its complications in early stages.", "author" : [ { "dropping-particle" : "", "family" : "Bosch", "given" : "Jaume", "non-dropping-particle" : "", "parse-names" : false, "suffix" : "" }, { "dropping-particle" : "", "family" : "Groszmann", "given" : "Roberto J.", "non-dropping-particle" : "", "parse-names" : false, "suffix" : "" }, { "dropping-particle" : "", "family" : "Shah", "given" : "Vijay H.", "non-dropping-particle" : "", "parse-names" : false, "suffix" : "" } ], "container-title" : "Journal of Hepatology", "id" : "ITEM-1", "issue" : "S1", "issued" : { "date-parts" : [ [ "2015" ] ] }, "page" : "S121-S130", "title" : "Evolution in the understanding of the pathophysiological basis of portal hypertension: How changes in paradigm are leading to successful new treatments", "type" : "article", "volume" : "62" }, "uris" : [ "http://www.mendeley.com/documents/?uuid=2c92350a-8e4a-4e65-a246-8d8d2c9cb818" ] } ], "mendeley" : { "formattedCitation" : "&lt;sup&gt;[1]&lt;/sup&gt;", "plainTextFormattedCitation" : "[1]", "previouslyFormattedCitation" : "&lt;sup&gt;[1]&lt;/sup&gt;" }, "properties" : { "noteIndex" : 0 }, "schema" : "https://github.com/citation-style-language/schema/raw/master/csl-citation.json" }</w:instrText>
      </w:r>
      <w:r w:rsidR="00D573ED" w:rsidRPr="00787839">
        <w:rPr>
          <w:rFonts w:ascii="Book Antiqua" w:hAnsi="Book Antiqua"/>
          <w:sz w:val="24"/>
          <w:szCs w:val="24"/>
        </w:rPr>
        <w:fldChar w:fldCharType="separate"/>
      </w:r>
      <w:r w:rsidR="00D573ED" w:rsidRPr="00787839">
        <w:rPr>
          <w:rFonts w:ascii="Book Antiqua" w:hAnsi="Book Antiqua"/>
          <w:noProof/>
          <w:sz w:val="24"/>
          <w:szCs w:val="24"/>
          <w:vertAlign w:val="superscript"/>
        </w:rPr>
        <w:t>[1]</w:t>
      </w:r>
      <w:r w:rsidR="00D573ED" w:rsidRPr="00787839">
        <w:rPr>
          <w:rFonts w:ascii="Book Antiqua" w:hAnsi="Book Antiqua"/>
          <w:sz w:val="24"/>
          <w:szCs w:val="24"/>
        </w:rPr>
        <w:fldChar w:fldCharType="end"/>
      </w:r>
      <w:r w:rsidR="00827640" w:rsidRPr="00787839">
        <w:rPr>
          <w:rFonts w:ascii="Book Antiqua" w:hAnsi="Book Antiqua"/>
          <w:sz w:val="24"/>
          <w:szCs w:val="24"/>
        </w:rPr>
        <w:t xml:space="preserve">. </w:t>
      </w:r>
      <w:r w:rsidRPr="00787839">
        <w:rPr>
          <w:rFonts w:ascii="Book Antiqua" w:hAnsi="Book Antiqua"/>
          <w:sz w:val="24"/>
          <w:szCs w:val="24"/>
        </w:rPr>
        <w:t xml:space="preserve">Pathologic increase in portal venous pressure is primarily caused by </w:t>
      </w:r>
      <w:r w:rsidR="005C4BE8" w:rsidRPr="00787839">
        <w:rPr>
          <w:rFonts w:ascii="Book Antiqua" w:hAnsi="Book Antiqua"/>
          <w:sz w:val="24"/>
          <w:szCs w:val="24"/>
        </w:rPr>
        <w:t>resistance</w:t>
      </w:r>
      <w:r w:rsidRPr="00787839">
        <w:rPr>
          <w:rFonts w:ascii="Book Antiqua" w:hAnsi="Book Antiqua"/>
          <w:sz w:val="24"/>
          <w:szCs w:val="24"/>
        </w:rPr>
        <w:t xml:space="preserve"> </w:t>
      </w:r>
      <w:r w:rsidR="005C4BE8" w:rsidRPr="00787839">
        <w:rPr>
          <w:rFonts w:ascii="Book Antiqua" w:hAnsi="Book Antiqua"/>
          <w:sz w:val="24"/>
          <w:szCs w:val="24"/>
        </w:rPr>
        <w:t>to</w:t>
      </w:r>
      <w:r w:rsidRPr="00787839">
        <w:rPr>
          <w:rFonts w:ascii="Book Antiqua" w:hAnsi="Book Antiqua"/>
          <w:sz w:val="24"/>
          <w:szCs w:val="24"/>
        </w:rPr>
        <w:t xml:space="preserve"> portal inflow, which can occur either at the level of the portal vein, hepatic sinusoids or hepatovenous outflow. </w:t>
      </w:r>
      <w:r w:rsidR="00312240" w:rsidRPr="00787839">
        <w:rPr>
          <w:rFonts w:ascii="Book Antiqua" w:hAnsi="Book Antiqua"/>
          <w:sz w:val="24"/>
          <w:szCs w:val="24"/>
        </w:rPr>
        <w:t xml:space="preserve">In addition to an increase in hepatic vascular resistance to portal blood flow, </w:t>
      </w:r>
      <w:r w:rsidR="0065476C" w:rsidRPr="00787839">
        <w:rPr>
          <w:rFonts w:ascii="Book Antiqua" w:hAnsi="Book Antiqua"/>
          <w:sz w:val="24"/>
          <w:szCs w:val="24"/>
        </w:rPr>
        <w:t>there is progressive splanchnic vasodilatation that aggravates the portal hypertension syndrome by augmenting portal blood flow</w:t>
      </w:r>
      <w:r w:rsidR="00C3203A" w:rsidRPr="00787839">
        <w:rPr>
          <w:rFonts w:ascii="Book Antiqua" w:hAnsi="Book Antiqua"/>
          <w:sz w:val="24"/>
          <w:szCs w:val="24"/>
          <w:vertAlign w:val="superscript"/>
        </w:rPr>
        <w:fldChar w:fldCharType="begin" w:fldLock="1"/>
      </w:r>
      <w:r w:rsidR="00BC40CC" w:rsidRPr="00787839">
        <w:rPr>
          <w:rFonts w:ascii="Book Antiqua" w:hAnsi="Book Antiqua"/>
          <w:sz w:val="24"/>
          <w:szCs w:val="24"/>
          <w:vertAlign w:val="superscript"/>
        </w:rPr>
        <w:instrText>ADDIN CSL_CITATION { "citationItems" : [ { "id" : "ITEM-1", "itemData" : { "DOI" : "10.1016/j.jhep.2010.03.021", "ISSN" : "01688278", "PMID" : "20561700", "author" : [ { "dropping-particle" : "", "family" : "Bosch", "given" : "Jaume", "non-dropping-particle" : "", "parse-names" : false, "suffix" : "" }, { "dropping-particle" : "", "family" : "Abraldes", "given" : "Juan G.", "non-dropping-particle" : "", "parse-names" : false, "suffix" : "" }, { "dropping-particle" : "", "family" : "Fern\u00e1ndez", "given" : "Mercedes", "non-dropping-particle" : "", "parse-names" : false, "suffix" : "" }, { "dropping-particle" : "", "family" : "Garc\u00eda-Pag\u00e1n", "given" : "Juan Carlos", "non-dropping-particle" : "", "parse-names" : false, "suffix" : "" } ], "container-title" : "Journal of Hepatology", "id" : "ITEM-1", "issue" : "3", "issued" : { "date-parts" : [ [ "2010" ] ] }, "page" : "558-567", "publisher" : "European Association for the Study of the Liver", "title" : "Hepatic endothelial dysfunction and abnormal angiogenesis: New targets in the treatment of portal hypertension", "type" : "article-journal", "volume" : "53" }, "uris" : [ "http://www.mendeley.com/documents/?uuid=94a9a8c7-2041-423c-af8a-67cf92b3f177" ] } ], "mendeley" : { "formattedCitation" : "&lt;sup&gt;[2]&lt;/sup&gt;", "plainTextFormattedCitation" : "[2]", "previouslyFormattedCitation" : "&lt;sup&gt;[2]&lt;/sup&gt;" }, "properties" : { "noteIndex" : 0 }, "schema" : "https://github.com/citation-style-language/schema/raw/master/csl-citation.json" }</w:instrText>
      </w:r>
      <w:r w:rsidR="00C3203A" w:rsidRPr="00787839">
        <w:rPr>
          <w:rFonts w:ascii="Book Antiqua" w:hAnsi="Book Antiqua"/>
          <w:sz w:val="24"/>
          <w:szCs w:val="24"/>
          <w:vertAlign w:val="superscript"/>
        </w:rPr>
        <w:fldChar w:fldCharType="separate"/>
      </w:r>
      <w:r w:rsidR="002E2EAB" w:rsidRPr="00787839">
        <w:rPr>
          <w:rFonts w:ascii="Book Antiqua" w:hAnsi="Book Antiqua"/>
          <w:noProof/>
          <w:sz w:val="24"/>
          <w:szCs w:val="24"/>
          <w:vertAlign w:val="superscript"/>
        </w:rPr>
        <w:t>[2]</w:t>
      </w:r>
      <w:r w:rsidR="00C3203A" w:rsidRPr="00787839">
        <w:rPr>
          <w:rFonts w:ascii="Book Antiqua" w:hAnsi="Book Antiqua"/>
          <w:sz w:val="24"/>
          <w:szCs w:val="24"/>
          <w:vertAlign w:val="superscript"/>
        </w:rPr>
        <w:fldChar w:fldCharType="end"/>
      </w:r>
      <w:r w:rsidR="00A46D7B" w:rsidRPr="00787839">
        <w:rPr>
          <w:rFonts w:ascii="Book Antiqua" w:hAnsi="Book Antiqua"/>
          <w:sz w:val="24"/>
          <w:szCs w:val="24"/>
        </w:rPr>
        <w:t xml:space="preserve">. </w:t>
      </w:r>
      <w:r w:rsidR="00D573ED" w:rsidRPr="00787839">
        <w:rPr>
          <w:rFonts w:ascii="Book Antiqua" w:hAnsi="Book Antiqua"/>
          <w:sz w:val="24"/>
          <w:szCs w:val="24"/>
        </w:rPr>
        <w:t xml:space="preserve">Recent updates in pathophysiologic understanding of portal hypertension have also </w:t>
      </w:r>
      <w:r w:rsidR="00D63B08" w:rsidRPr="00787839">
        <w:rPr>
          <w:rFonts w:ascii="Book Antiqua" w:hAnsi="Book Antiqua"/>
          <w:sz w:val="24"/>
          <w:szCs w:val="24"/>
        </w:rPr>
        <w:t>highlighted</w:t>
      </w:r>
      <w:r w:rsidR="00D573ED" w:rsidRPr="00787839">
        <w:rPr>
          <w:rFonts w:ascii="Book Antiqua" w:hAnsi="Book Antiqua"/>
          <w:sz w:val="24"/>
          <w:szCs w:val="24"/>
        </w:rPr>
        <w:t xml:space="preserve"> </w:t>
      </w:r>
      <w:r w:rsidR="00996921" w:rsidRPr="00787839">
        <w:rPr>
          <w:rFonts w:ascii="Book Antiqua" w:hAnsi="Book Antiqua"/>
          <w:sz w:val="24"/>
          <w:szCs w:val="24"/>
        </w:rPr>
        <w:t xml:space="preserve">the </w:t>
      </w:r>
      <w:r w:rsidR="00D573ED" w:rsidRPr="00787839">
        <w:rPr>
          <w:rFonts w:ascii="Book Antiqua" w:hAnsi="Book Antiqua"/>
          <w:sz w:val="24"/>
          <w:szCs w:val="24"/>
        </w:rPr>
        <w:t xml:space="preserve">contribution of hepatic sinusoidal endothelial dysfunction </w:t>
      </w:r>
      <w:r w:rsidR="00996921" w:rsidRPr="00787839">
        <w:rPr>
          <w:rFonts w:ascii="Book Antiqua" w:hAnsi="Book Antiqua"/>
          <w:sz w:val="24"/>
          <w:szCs w:val="24"/>
        </w:rPr>
        <w:t>elevating</w:t>
      </w:r>
      <w:r w:rsidR="00D573ED" w:rsidRPr="00787839">
        <w:rPr>
          <w:rFonts w:ascii="Book Antiqua" w:hAnsi="Book Antiqua"/>
          <w:sz w:val="24"/>
          <w:szCs w:val="24"/>
        </w:rPr>
        <w:t xml:space="preserve"> portal pressure</w:t>
      </w:r>
      <w:r w:rsidR="00996921" w:rsidRPr="00787839">
        <w:rPr>
          <w:rFonts w:ascii="Book Antiqua" w:hAnsi="Book Antiqua"/>
          <w:sz w:val="24"/>
          <w:szCs w:val="24"/>
        </w:rPr>
        <w:fldChar w:fldCharType="begin" w:fldLock="1"/>
      </w:r>
      <w:r w:rsidR="00996921" w:rsidRPr="00787839">
        <w:rPr>
          <w:rFonts w:ascii="Book Antiqua" w:hAnsi="Book Antiqua"/>
          <w:sz w:val="24"/>
          <w:szCs w:val="24"/>
        </w:rPr>
        <w:instrText>ADDIN CSL_CITATION { "citationItems" : [ { "id" : "ITEM-1", "itemData" : { "DOI" : "10.1016/j.jhep.2015.01.003", "ISBN" : "1600-0641 (Electronic)\\r0168-8278 (Linking)", "ISSN" : "16000641", "PMID" : "25920081", "abstract" : "Among the common complication of cirrhosis portal hypertension witnessed a major improvement of prognosis during the past decades. Principally due to the introduction of rational treatments based on new pathophysiological paradigms (concepts of thought) developed in the 1980s. The best example being the use of non-selective beta-blockers and of vasopressin analogs, somatostatin, and its analogs. Further refinement in the knowledge of the molecular mechanisms involved in the regulation of both the splanchnic and hepatic circulation has led to the emergence of new treatments, which are based on evidence that show not only structural but also vasoactive components increase the hepatic vascular resistance, as well as of angiogenesis. This knowledge and future improvements will most likely result in more effective treatment of portal hypertension and effective prevention of its complications in early stages.", "author" : [ { "dropping-particle" : "", "family" : "Bosch", "given" : "Jaume", "non-dropping-particle" : "", "parse-names" : false, "suffix" : "" }, { "dropping-particle" : "", "family" : "Groszmann", "given" : "Roberto J.", "non-dropping-particle" : "", "parse-names" : false, "suffix" : "" }, { "dropping-particle" : "", "family" : "Shah", "given" : "Vijay H.", "non-dropping-particle" : "", "parse-names" : false, "suffix" : "" } ], "container-title" : "Journal of Hepatology", "id" : "ITEM-1", "issue" : "S1", "issued" : { "date-parts" : [ [ "2015" ] ] }, "page" : "S121-S130", "title" : "Evolution in the understanding of the pathophysiological basis of portal hypertension: How changes in paradigm are leading to successful new treatments", "type" : "article", "volume" : "62" }, "uris" : [ "http://www.mendeley.com/documents/?uuid=a61b97c5-b579-4db4-adab-91ef29ee7b03" ] } ], "mendeley" : { "formattedCitation" : "&lt;sup&gt;[1]&lt;/sup&gt;", "plainTextFormattedCitation" : "[1]", "previouslyFormattedCitation" : "&lt;sup&gt;[1]&lt;/sup&gt;" }, "properties" : { "noteIndex" : 0 }, "schema" : "https://github.com/citation-style-language/schema/raw/master/csl-citation.json" }</w:instrText>
      </w:r>
      <w:r w:rsidR="00996921" w:rsidRPr="00787839">
        <w:rPr>
          <w:rFonts w:ascii="Book Antiqua" w:hAnsi="Book Antiqua"/>
          <w:sz w:val="24"/>
          <w:szCs w:val="24"/>
        </w:rPr>
        <w:fldChar w:fldCharType="separate"/>
      </w:r>
      <w:r w:rsidR="00996921" w:rsidRPr="00787839">
        <w:rPr>
          <w:rFonts w:ascii="Book Antiqua" w:hAnsi="Book Antiqua"/>
          <w:noProof/>
          <w:sz w:val="24"/>
          <w:szCs w:val="24"/>
          <w:vertAlign w:val="superscript"/>
        </w:rPr>
        <w:t>[1]</w:t>
      </w:r>
      <w:r w:rsidR="00996921" w:rsidRPr="00787839">
        <w:rPr>
          <w:rFonts w:ascii="Book Antiqua" w:hAnsi="Book Antiqua"/>
          <w:sz w:val="24"/>
          <w:szCs w:val="24"/>
        </w:rPr>
        <w:fldChar w:fldCharType="end"/>
      </w:r>
      <w:r w:rsidR="00996921" w:rsidRPr="00787839">
        <w:rPr>
          <w:rFonts w:ascii="Book Antiqua" w:hAnsi="Book Antiqua"/>
          <w:sz w:val="24"/>
          <w:szCs w:val="24"/>
        </w:rPr>
        <w:t xml:space="preserve">. </w:t>
      </w:r>
      <w:r w:rsidR="00312240" w:rsidRPr="00787839">
        <w:rPr>
          <w:rFonts w:ascii="Book Antiqua" w:hAnsi="Book Antiqua"/>
          <w:sz w:val="24"/>
          <w:szCs w:val="24"/>
        </w:rPr>
        <w:t>Ongoing portal hypertension eventually leads to formation of collateral circulation that directly connects the portal blood vessels to systemic c</w:t>
      </w:r>
      <w:r w:rsidR="00A46D7B" w:rsidRPr="00787839">
        <w:rPr>
          <w:rFonts w:ascii="Book Antiqua" w:hAnsi="Book Antiqua"/>
          <w:sz w:val="24"/>
          <w:szCs w:val="24"/>
        </w:rPr>
        <w:t>irculation, bypassing the liver and</w:t>
      </w:r>
      <w:r w:rsidR="00312240" w:rsidRPr="00787839">
        <w:rPr>
          <w:rFonts w:ascii="Book Antiqua" w:hAnsi="Book Antiqua"/>
          <w:sz w:val="24"/>
          <w:szCs w:val="24"/>
        </w:rPr>
        <w:t xml:space="preserve"> thus constituting the clinical syndrome of portal hypertension</w:t>
      </w:r>
      <w:r w:rsidR="00312240" w:rsidRPr="00787839">
        <w:rPr>
          <w:rFonts w:ascii="Book Antiqua" w:hAnsi="Book Antiqua"/>
          <w:sz w:val="24"/>
          <w:szCs w:val="24"/>
        </w:rPr>
        <w:fldChar w:fldCharType="begin" w:fldLock="1"/>
      </w:r>
      <w:r w:rsidR="009B3C21" w:rsidRPr="00787839">
        <w:rPr>
          <w:rFonts w:ascii="Book Antiqua" w:hAnsi="Book Antiqua"/>
          <w:sz w:val="24"/>
          <w:szCs w:val="24"/>
        </w:rPr>
        <w:instrText>ADDIN CSL_CITATION { "citationItems" : [ { "id" : "ITEM-1", "itemData" : { "DOI" : "10.1002/hep.23259", "ISBN" : "1527-3350 (Electronic)\\r0270-9139 (Linking)", "ISSN" : "02709139", "PMID" : "19821530", "abstract" : "Current recommendations for early anticoagulation in acute portal vein thrombosis unrelated to cirrhosis or malignancy are based on limited evidence. The aim of this study was to prospectively assess the risk factors, outcome, and prognosis in patients managed according to these recommendations. We enrolled 102 patients with acute thrombosis of the portal vein, or its left or right branch. Laboratory investigations for prothrombotic factors were centralized. Thrombus extension and recanalization were assessed by expert radiologists. A local risk factor was identified in 21% of patients, and one or several general prothrombotic conditions in 52%. Anticoagulation was given to 95 patients. After a median of 234 days, the portal vein and its left or right branch were patent in 39% of anticoagulated patients (versus 13% initially), the splenic vein in 80% (versus 57% initially), and the superior mesenteric vein in 73% (versus 42% initially). Failure to recanalize the portal vein was independently related to the presence of ascites (hazard ratio 3.8, 95% confidence interval 1.3-11.1) and an occluded splenic vein (hazard ratio 3.5, 95% confidence interval 1.4-8.9). Gastrointestinal bleeding and intestinal infarction occurred in nine and two patients, respectively. Two patients died from causes unrelated to thrombosis or anticoagulation therapy. CONCLUSION: Recanalization occurs in one-third of patients receiving early anticoagulation for acute portal vein thrombosis, whereas thrombus extension, intestinal infarction, severe bleeding, and death are rare. Alternative therapy should be considered when ascites and splenic vein obstruction are present.", "author" : [ { "dropping-particle" : "", "family" : "Plessier", "given" : "Aurelie", "non-dropping-particle" : "", "parse-names" : false, "suffix" : "" }, { "dropping-particle" : "", "family" : "Darwish-Murad", "given" : "Sarwa", "non-dropping-particle" : "", "parse-names" : false, "suffix" : "" }, { "dropping-particle" : "", "family" : "Hernandez-Guerra", "given" : "Manuel", "non-dropping-particle" : "", "parse-names" : false, "suffix" : "" }, { "dropping-particle" : "", "family" : "Consigny", "given" : "Yann", "non-dropping-particle" : "", "parse-names" : false, "suffix" : "" }, { "dropping-particle" : "", "family" : "Fabris", "given" : "Federica", "non-dropping-particle" : "", "parse-names" : false, "suffix" : "" }, { "dropping-particle" : "", "family" : "Trebicka", "given" : "Jonel", "non-dropping-particle" : "", "parse-names" : false, "suffix" : "" }, { "dropping-particle" : "", "family" : "Heller", "given" : "Jorg", "non-dropping-particle" : "", "parse-names" : false, "suffix" : "" }, { "dropping-particle" : "", "family" : "Morard", "given" : "Isabelle", "non-dropping-particle" : "", "parse-names" : false, "suffix" : "" }, { "dropping-particle" : "", "family" : "Lasser", "given" : "Luc", "non-dropping-particle" : "", "parse-names" : false, "suffix" : "" }, { "dropping-particle" : "", "family" : "Langlet", "given" : "Philippe", "non-dropping-particle" : "", "parse-names" : false, "suffix" : "" }, { "dropping-particle" : "", "family" : "Denninger", "given" : "Marie H\u00e9l\u00e8ne", "non-dropping-particle" : "", "parse-names" : false, "suffix" : "" }, { "dropping-particle" : "", "family" : "Vidaud", "given" : "Dominique", "non-dropping-particle" : "", "parse-names" : false, "suffix" : "" }, { "dropping-particle" : "", "family" : "Condat", "given" : "Bertrand", "non-dropping-particle" : "", "parse-names" : false, "suffix" : "" }, { "dropping-particle" : "", "family" : "Hadengue", "given" : "Antoine", "non-dropping-particle" : "", "parse-names" : false, "suffix" : "" }, { "dropping-particle" : "", "family" : "Primignani", "given" : "Massimo", "non-dropping-particle" : "", "parse-names" : false, "suffix" : "" }, { "dropping-particle" : "", "family" : "Garcia-Pagan", "given" : "Juan Carlos", "non-dropping-particle" : "", "parse-names" : false, "suffix" : "" }, { "dropping-particle" : "", "family" : "Janssen", "given" : "Harry L A", "non-dropping-particle" : "", "parse-names" : false, "suffix" : "" }, { "dropping-particle" : "", "family" : "Valla", "given" : "Dominique", "non-dropping-particle" : "", "parse-names" : false, "suffix" : "" } ], "container-title" : "Hepatology", "id" : "ITEM-1", "issue" : "1", "issued" : { "date-parts" : [ [ "2010" ] ] }, "page" : "210-218", "title" : "Acute portal vein thrombosis unrelated to cirrhosis: A prospective multicenter follow-up study", "type" : "article-journal", "volume" : "51" }, "uris" : [ "http://www.mendeley.com/documents/?uuid=6301a369-d06f-4d8d-b6eb-4937e306b3a5" ] }, { "id" : "ITEM-2", "itemData" : { "DOI" : "10.1016/S0140-6736(08)60383-9", "ISBN" : "1474-547X (Electronic)\\r0140-6736 (Linking)", "ISSN" : "1474-547X", "PMID" : "18328931", "abstract" : "Cirrhosis is defined as the histological development of regenerative nodules surrounded by fibrous bands in response to chronic liver injury, which leads to portal hypertension and end-stage liver disease. Recent advances in the understanding of the natural history and pathophysiology of cirrhosis, and in treatment of its complications, have resulted in improved management, quality of life, and life expectancy of patients. Liver transplantation remains the only curative option for a selected group of patients, but pharmacological treatments that can halt progression to decompensated cirrhosis or even reverse cirrhosis are currently being developed. This Seminar focuses on the diagnosis, complications, and management of cirrhosis, and new clinical and scientific developments.", "author" : [ { "dropping-particle" : "", "family" : "Schuppan", "given" : "D", "non-dropping-particle" : "", "parse-names" : false, "suffix" : "" }, { "dropping-particle" : "", "family" : "Afdhal", "given" : "NH", "non-dropping-particle" : "", "parse-names" : false, "suffix" : "" } ], "container-title" : "Lancet", "id" : "ITEM-2", "issued" : { "date-parts" : [ [ "2008" ] ] }, "page" : "838-851", "title" : "Liver cirrhosis", "type" : "article-journal", "volume" : "371" }, "uris" : [ "http://www.mendeley.com/documents/?uuid=b82ce561-9421-4182-ae29-32a4fcf06f20" ] }, { "id" : "ITEM-3", "itemData" : { "DOI" : "PubMed - indexed for MEDLINE", "PMID" : "2657268", "author" : [ { "dropping-particle" : "", "family" : "Bosch", "given" : "Jaime", "non-dropping-particle" : "", "parse-names" : false, "suffix" : "" }, { "dropping-particle" : "", "family" : "Navasa", "given" : "M", "non-dropping-particle" : "", "parse-names" : false, "suffix" : "" }, { "dropping-particle" : "", "family" : "Garcia-Pagan", "given" : "JC", "non-dropping-particle" : "", "parse-names" : false, "suffix" : "" }, { "dropping-particle" : "", "family" : "DeLacy", "given" : "AM", "non-dropping-particle" : "", "parse-names" : false, "suffix" : "" }, { "dropping-particle" : "", "family" : "Rodes", "given" : "J", "non-dropping-particle" : "", "parse-names" : false, "suffix" : "" } ], "container-title" : "Medical Clinics of North America", "id" : "ITEM-3", "issue" : "4", "issued" : { "date-parts" : [ [ "1989" ] ] }, "page" : "931-953", "title" : "Portal Hypertension.", "type" : "article-journal", "volume" : "73" }, "uris" : [ "http://www.mendeley.com/documents/?uuid=ea625a11-fe2b-4c4e-8a7c-1d0f52d04609" ] } ], "mendeley" : { "formattedCitation" : "&lt;sup&gt;[3\u20135]&lt;/sup&gt;", "plainTextFormattedCitation" : "[3\u20135]", "previouslyFormattedCitation" : "&lt;sup&gt;[3\u20135]&lt;/sup&gt;" }, "properties" : { "noteIndex" : 0 }, "schema" : "https://github.com/citation-style-language/schema/raw/master/csl-citation.json" }</w:instrText>
      </w:r>
      <w:r w:rsidR="00312240" w:rsidRPr="00787839">
        <w:rPr>
          <w:rFonts w:ascii="Book Antiqua" w:hAnsi="Book Antiqua"/>
          <w:sz w:val="24"/>
          <w:szCs w:val="24"/>
        </w:rPr>
        <w:fldChar w:fldCharType="separate"/>
      </w:r>
      <w:r w:rsidR="00E57CBC" w:rsidRPr="00787839">
        <w:rPr>
          <w:rFonts w:ascii="Book Antiqua" w:hAnsi="Book Antiqua"/>
          <w:noProof/>
          <w:sz w:val="24"/>
          <w:szCs w:val="24"/>
          <w:vertAlign w:val="superscript"/>
        </w:rPr>
        <w:t>[3–5]</w:t>
      </w:r>
      <w:r w:rsidR="00312240" w:rsidRPr="00787839">
        <w:rPr>
          <w:rFonts w:ascii="Book Antiqua" w:hAnsi="Book Antiqua"/>
          <w:sz w:val="24"/>
          <w:szCs w:val="24"/>
        </w:rPr>
        <w:fldChar w:fldCharType="end"/>
      </w:r>
      <w:r w:rsidR="00A46D7B" w:rsidRPr="00787839">
        <w:rPr>
          <w:rFonts w:ascii="Book Antiqua" w:hAnsi="Book Antiqua"/>
          <w:sz w:val="24"/>
          <w:szCs w:val="24"/>
        </w:rPr>
        <w:t xml:space="preserve">. </w:t>
      </w:r>
      <w:r w:rsidR="007E4975" w:rsidRPr="00787839">
        <w:rPr>
          <w:rFonts w:ascii="Book Antiqua" w:hAnsi="Book Antiqua"/>
          <w:sz w:val="24"/>
          <w:szCs w:val="24"/>
        </w:rPr>
        <w:t>Clinically significant portal hypertension is defined as an increase in HVPG to ≥</w:t>
      </w:r>
      <w:r w:rsidR="00787839">
        <w:rPr>
          <w:rFonts w:ascii="Book Antiqua" w:hAnsi="Book Antiqua" w:hint="eastAsia"/>
          <w:sz w:val="24"/>
          <w:szCs w:val="24"/>
          <w:lang w:eastAsia="zh-CN"/>
        </w:rPr>
        <w:t xml:space="preserve"> </w:t>
      </w:r>
      <w:r w:rsidR="007E4975" w:rsidRPr="00787839">
        <w:rPr>
          <w:rFonts w:ascii="Book Antiqua" w:hAnsi="Book Antiqua"/>
          <w:sz w:val="24"/>
          <w:szCs w:val="24"/>
        </w:rPr>
        <w:t xml:space="preserve">10 mmHg; above this threshold, the complications of portal hypertension </w:t>
      </w:r>
      <w:r w:rsidR="005C4BE8" w:rsidRPr="00787839">
        <w:rPr>
          <w:rFonts w:ascii="Book Antiqua" w:hAnsi="Book Antiqua"/>
          <w:sz w:val="24"/>
          <w:szCs w:val="24"/>
        </w:rPr>
        <w:t>may</w:t>
      </w:r>
      <w:r w:rsidR="007E4975" w:rsidRPr="00787839">
        <w:rPr>
          <w:rFonts w:ascii="Book Antiqua" w:hAnsi="Book Antiqua"/>
          <w:sz w:val="24"/>
          <w:szCs w:val="24"/>
        </w:rPr>
        <w:t xml:space="preserve"> begin to appear</w:t>
      </w:r>
      <w:r w:rsidR="001A3E46" w:rsidRPr="00787839">
        <w:rPr>
          <w:rFonts w:ascii="Book Antiqua" w:hAnsi="Book Antiqua"/>
          <w:sz w:val="24"/>
          <w:szCs w:val="24"/>
        </w:rPr>
        <w:fldChar w:fldCharType="begin" w:fldLock="1"/>
      </w:r>
      <w:r w:rsidR="00617169" w:rsidRPr="00787839">
        <w:rPr>
          <w:rFonts w:ascii="Book Antiqua" w:hAnsi="Book Antiqua"/>
          <w:sz w:val="24"/>
          <w:szCs w:val="24"/>
        </w:rPr>
        <w:instrText>ADDIN CSL_CITATION { "citationItems" : [ { "id" : "ITEM-1", "itemData" : { "DOI" : "10.1038/nrgastro.2009.149", "ISBN" : "1759-5053 (Electronic)", "ISSN" : "1759-5045", "PMID" : "19724251", "abstract" : "Portal hypertension is a severe, almost unavoidable complication of chronic liver diseases and is responsible for the main clinical consequences of cirrhosis. Measurement of the hepatic venous pressure gradient (HVPG) is currently the best available method to evaluate the presence and severity of portal hypertension. Clinically significant portal hypertension is defined as an increase in HVPG to \u226510 mmHg; above this threshold, the complications of portal hypertension might begin to appear. Measurement of HVPG is increasingly used in clinical hepatology, and numerous studies have demonstrated that the parameter is a robust surrogate marker for hard clinical end points. The main clinical applications for HVPG include diagnosis, risk stratification, identification of patients with hepatocellular carcinoma who are candidates for liver resection, monitoring of the efficacy of medical treatment, and assessment of progression of portal hypertension. Patients who experience a reduction in HVPG of \u226520% or to &lt;12 mmHg in response to drug therapy are defined as \u2018responders\u2019. Responders have a markedly decreased risk of bleeding (or rebleeding), ascites, and spontaneous bacterial peritonitis, which results in improved survival.", "author" : [ { "dropping-particle" : "", "family" : "Bosch", "given" : "Jaime", "non-dropping-particle" : "", "parse-names" : false, "suffix" : "" }, { "dropping-particle" : "", "family" : "Abraldes", "given" : "Juan G.", "non-dropping-particle" : "", "parse-names" : false, "suffix" : "" }, { "dropping-particle" : "", "family" : "Berzigotti", "given" : "Annalisa", "non-dropping-particle" : "", "parse-names" : false, "suffix" : "" }, { "dropping-particle" : "", "family" : "Garc\u00eda-Pagan", "given" : "Juan Carlos", "non-dropping-particle" : "", "parse-names" : false, "suffix" : "" } ], "container-title" : "Nature Reviews Gastroenterology &amp; Hepatology", "id" : "ITEM-1", "issue" : "10", "issued" : { "date-parts" : [ [ "2009" ] ] }, "page" : "573-582", "publisher" : "Nature Publishing Group", "title" : "The clinical use of HVPG measurements in chronic liver disease", "type" : "article-journal", "volume" : "6" }, "uris" : [ "http://www.mendeley.com/documents/?uuid=877d9432-83a9-49fe-b986-99b94ad3c3c1" ] } ], "mendeley" : { "formattedCitation" : "&lt;sup&gt;[6]&lt;/sup&gt;", "plainTextFormattedCitation" : "[6]", "previouslyFormattedCitation" : "&lt;sup&gt;[6]&lt;/sup&gt;" }, "properties" : { "noteIndex" : 0 }, "schema" : "https://github.com/citation-style-language/schema/raw/master/csl-citation.json" }</w:instrText>
      </w:r>
      <w:r w:rsidR="001A3E46" w:rsidRPr="00787839">
        <w:rPr>
          <w:rFonts w:ascii="Book Antiqua" w:hAnsi="Book Antiqua"/>
          <w:sz w:val="24"/>
          <w:szCs w:val="24"/>
        </w:rPr>
        <w:fldChar w:fldCharType="separate"/>
      </w:r>
      <w:r w:rsidR="001A3E46" w:rsidRPr="00787839">
        <w:rPr>
          <w:rFonts w:ascii="Book Antiqua" w:hAnsi="Book Antiqua"/>
          <w:noProof/>
          <w:sz w:val="24"/>
          <w:szCs w:val="24"/>
          <w:vertAlign w:val="superscript"/>
        </w:rPr>
        <w:t>[6]</w:t>
      </w:r>
      <w:r w:rsidR="001A3E46" w:rsidRPr="00787839">
        <w:rPr>
          <w:rFonts w:ascii="Book Antiqua" w:hAnsi="Book Antiqua"/>
          <w:sz w:val="24"/>
          <w:szCs w:val="24"/>
        </w:rPr>
        <w:fldChar w:fldCharType="end"/>
      </w:r>
      <w:r w:rsidR="007E4975" w:rsidRPr="00787839">
        <w:rPr>
          <w:rFonts w:ascii="Book Antiqua" w:hAnsi="Book Antiqua"/>
          <w:sz w:val="24"/>
          <w:szCs w:val="24"/>
        </w:rPr>
        <w:t xml:space="preserve">. </w:t>
      </w:r>
      <w:r w:rsidR="0065476C" w:rsidRPr="00787839">
        <w:rPr>
          <w:rFonts w:ascii="Book Antiqua" w:hAnsi="Book Antiqua"/>
          <w:sz w:val="24"/>
          <w:szCs w:val="24"/>
        </w:rPr>
        <w:t xml:space="preserve">Formation of </w:t>
      </w:r>
      <w:r w:rsidR="00312240" w:rsidRPr="00787839">
        <w:rPr>
          <w:rFonts w:ascii="Book Antiqua" w:hAnsi="Book Antiqua"/>
          <w:sz w:val="24"/>
          <w:szCs w:val="24"/>
        </w:rPr>
        <w:t xml:space="preserve">portosystemic </w:t>
      </w:r>
      <w:r w:rsidR="0065476C" w:rsidRPr="00787839">
        <w:rPr>
          <w:rFonts w:ascii="Book Antiqua" w:hAnsi="Book Antiqua"/>
          <w:sz w:val="24"/>
          <w:szCs w:val="24"/>
        </w:rPr>
        <w:t>collaterals is a complex process involving the opening, dilatation and hypertrophy of</w:t>
      </w:r>
      <w:r w:rsidR="00A46D7B" w:rsidRPr="00787839">
        <w:rPr>
          <w:rFonts w:ascii="Book Antiqua" w:hAnsi="Book Antiqua"/>
          <w:sz w:val="24"/>
          <w:szCs w:val="24"/>
        </w:rPr>
        <w:t xml:space="preserve"> pre-existing vascular channels</w:t>
      </w:r>
      <w:r w:rsidR="0065476C" w:rsidRPr="00787839">
        <w:rPr>
          <w:rFonts w:ascii="Book Antiqua" w:hAnsi="Book Antiqua"/>
          <w:sz w:val="24"/>
          <w:szCs w:val="24"/>
        </w:rPr>
        <w:t xml:space="preserve"> in order to decompress the portal system</w:t>
      </w:r>
      <w:r w:rsidR="008359E5" w:rsidRPr="00787839">
        <w:rPr>
          <w:rFonts w:ascii="Book Antiqua" w:hAnsi="Book Antiqua"/>
          <w:sz w:val="24"/>
          <w:szCs w:val="24"/>
        </w:rPr>
        <w:fldChar w:fldCharType="begin" w:fldLock="1"/>
      </w:r>
      <w:r w:rsidR="00617169" w:rsidRPr="00787839">
        <w:rPr>
          <w:rFonts w:ascii="Book Antiqua" w:hAnsi="Book Antiqua"/>
          <w:sz w:val="24"/>
          <w:szCs w:val="24"/>
        </w:rPr>
        <w:instrText>ADDIN CSL_CITATION { "citationItems" : [ { "id" : "ITEM-1", "itemData" : { "DOI" : "10.1016/j.jhep.2010.03.021", "ISSN" : "01688278", "PMID" : "20561700", "author" : [ { "dropping-particle" : "", "family" : "Bosch", "given" : "Jaume", "non-dropping-particle" : "", "parse-names" : false, "suffix" : "" }, { "dropping-particle" : "", "family" : "Abraldes", "given" : "Juan G.", "non-dropping-particle" : "", "parse-names" : false, "suffix" : "" }, { "dropping-particle" : "", "family" : "Fern\u00e1ndez", "given" : "Mercedes", "non-dropping-particle" : "", "parse-names" : false, "suffix" : "" }, { "dropping-particle" : "", "family" : "Garc\u00eda-Pag\u00e1n", "given" : "Juan Carlos", "non-dropping-particle" : "", "parse-names" : false, "suffix" : "" } ], "container-title" : "Journal of Hepatology", "id" : "ITEM-1", "issue" : "3", "issued" : { "date-parts" : [ [ "2010" ] ] }, "page" : "558-567", "publisher" : "European Association for the Study of the Liver", "title" : "Hepatic endothelial dysfunction and abnormal angiogenesis: New targets in the treatment of portal hypertension", "type" : "article-journal", "volume" : "53" }, "uris" : [ "http://www.mendeley.com/documents/?uuid=94a9a8c7-2041-423c-af8a-67cf92b3f177" ] }, { "id" : "ITEM-2", "itemData" : { "DOI" : "PubMed - indexed for MEDLINE", "ISSN" : "10079327", "PMID" : "17461489", "abstract" : "Idiopathic portal hypertension is one of the interesting causes of portal hypertension. Even in very developed medical centers, this disorder is still one of the most important misdiagnoses of clinical practice. To inexperienced physicians, presenting esophageal varices and upper gastrointestinal bleeding usually prompt an unfortunate diagnosis of cirrhosis. A heterogenous clinical presentation and progression of this disorder should be recognized by physicians, and management should be directed towards some specific problems confined to this disorder. Although a genetic basis and other factors are implicated in its pathogenesis, exact underlying mechanism(s) is (are) unknown. In this review, we discuss the heterogeneity of idiopathic portal hypertension, its etiopathogenesis, clinical presentation and management issues. With the expectation of an excellent prognosis, a practicing gastroenterologist should be aware that \"not all varices mean cirrhosis\".", "author" : [ { "dropping-particle" : "", "family" : "Harmanci", "given" : "Ozgur", "non-dropping-particle" : "", "parse-names" : false, "suffix" : "" }, { "dropping-particle" : "", "family" : "Bayraktar", "given" : "Yusuf", "non-dropping-particle" : "", "parse-names" : false, "suffix" : "" } ], "container-title" : "World Journal of Gastroenterology", "id" : "ITEM-2", "issue" : "13", "issued" : { "date-parts" : [ [ "2007" ] ] }, "page" : "1906-1911", "title" : "Clinical characteristics of idiopathic portal hypertension", "type" : "article-journal", "volume" : "13" }, "uris" : [ "http://www.mendeley.com/documents/?uuid=f5c79a39-1f49-4f89-a86a-0017ed27d05e" ] }, { "id" : "ITEM-3", "itemData" : { "DOI" : "10.1016/S0140-6736(08)60383-9", "ISBN" : "1474-547X (Electronic)\\r0140-6736 (Linking)", "ISSN" : "1474-547X", "PMID" : "18328931", "abstract" : "Cirrhosis is defined as the histological development of regenerative nodules surrounded by fibrous bands in response to chronic liver injury, which leads to portal hypertension and end-stage liver disease. Recent advances in the understanding of the natural history and pathophysiology of cirrhosis, and in treatment of its complications, have resulted in improved management, quality of life, and life expectancy of patients. Liver transplantation remains the only curative option for a selected group of patients, but pharmacological treatments that can halt progression to decompensated cirrhosis or even reverse cirrhosis are currently being developed. This Seminar focuses on the diagnosis, complications, and management of cirrhosis, and new clinical and scientific developments.", "author" : [ { "dropping-particle" : "", "family" : "Schuppan", "given" : "D", "non-dropping-particle" : "", "parse-names" : false, "suffix" : "" }, { "dropping-particle" : "", "family" : "Afdhal", "given" : "NH", "non-dropping-particle" : "", "parse-names" : false, "suffix" : "" } ], "container-title" : "Lancet", "id" : "ITEM-3", "issued" : { "date-parts" : [ [ "2008" ] ] }, "page" : "838-851", "title" : "Liver cirrhosis", "type" : "article-journal", "volume" : "371" }, "uris" : [ "http://www.mendeley.com/documents/?uuid=b82ce561-9421-4182-ae29-32a4fcf06f20" ] }, { "id" : "ITEM-4", "itemData" : { "DOI" : "10.1586/egh.12.83", "ISBN" : "1747-4132 (Electronic)\\r1747-4124 (Linking)", "ISSN" : "1747-4132", "PMID" : "23363263", "abstract" : "Portal hypertension is a common complication of chronic liver diseases and is responsible for most clinical consequences of cirrhosis, which represent the more frequent causes of death and liver transplantation in these patients. This review is aimed at clarifying the state-of-the art assessment of portal hypertension and at discussing recent developments in this field. Particular attention is paid to new noninvasive techniques that will be soon available for potential routine use.", "author" : [ { "dropping-particle" : "", "family" : "Berzigotti", "given" : "Annalisa", "non-dropping-particle" : "", "parse-names" : false, "suffix" : "" }, { "dropping-particle" : "", "family" : "Seijo", "given" : "Susana", "non-dropping-particle" : "", "parse-names" : false, "suffix" : "" }, { "dropping-particle" : "", "family" : "Reverter", "given" : "Enric", "non-dropping-particle" : "", "parse-names" : false, "suffix" : "" }, { "dropping-particle" : "", "family" : "Bosch", "given" : "Jaime", "non-dropping-particle" : "", "parse-names" : false, "suffix" : "" } ], "container-title" : "Expert review of gastroenterology &amp; hepatology", "id" : "ITEM-4", "issue" : "2", "issued" : { "date-parts" : [ [ "2013" ] ] }, "page" : "141-155", "title" : "Assessing portal hypertension in liver diseases.", "type" : "article-journal", "volume" : "7" }, "uris" : [ "http://www.mendeley.com/documents/?uuid=f1c3a4ff-60ac-485a-8bd1-966b2b80722c" ] }, { "id" : "ITEM-5", "itemData" : { "DOI" : "PubMed - indexed for MEDLINE", "PMID" : "2657268", "author" : [ { "dropping-particle" : "", "family" : "Bosch", "given" : "Jaime", "non-dropping-particle" : "", "parse-names" : false, "suffix" : "" }, { "dropping-particle" : "", "family" : "Navasa", "given" : "M", "non-dropping-particle" : "", "parse-names" : false, "suffix" : "" }, { "dropping-particle" : "", "family" : "Garcia-Pagan", "given" : "JC", "non-dropping-particle" : "", "parse-names" : false, "suffix" : "" }, { "dropping-particle" : "", "family" : "DeLacy", "given" : "AM", "non-dropping-particle" : "", "parse-names" : false, "suffix" : "" }, { "dropping-particle" : "", "family" : "Rodes", "given" : "J", "non-dropping-particle" : "", "parse-names" : false, "suffix" : "" } ], "container-title" : "Medical Clinics of North America", "id" : "ITEM-5", "issue" : "4", "issued" : { "date-parts" : [ [ "1989" ] ] }, "page" : "931-953", "title" : "Portal Hypertension.", "type" : "article-journal", "volume" : "73" }, "uris" : [ "http://www.mendeley.com/documents/?uuid=ea625a11-fe2b-4c4e-8a7c-1d0f52d04609" ] } ], "mendeley" : { "formattedCitation" : "&lt;sup&gt;[2,4,5,7,8]&lt;/sup&gt;", "plainTextFormattedCitation" : "[2,4,5,7,8]", "previouslyFormattedCitation" : "&lt;sup&gt;[2,4,5,7,8]&lt;/sup&gt;" }, "properties" : { "noteIndex" : 0 }, "schema" : "https://github.com/citation-style-language/schema/raw/master/csl-citation.json" }</w:instrText>
      </w:r>
      <w:r w:rsidR="008359E5" w:rsidRPr="00787839">
        <w:rPr>
          <w:rFonts w:ascii="Book Antiqua" w:hAnsi="Book Antiqua"/>
          <w:sz w:val="24"/>
          <w:szCs w:val="24"/>
        </w:rPr>
        <w:fldChar w:fldCharType="separate"/>
      </w:r>
      <w:r w:rsidR="001A3E46" w:rsidRPr="00787839">
        <w:rPr>
          <w:rFonts w:ascii="Book Antiqua" w:hAnsi="Book Antiqua"/>
          <w:noProof/>
          <w:sz w:val="24"/>
          <w:szCs w:val="24"/>
          <w:vertAlign w:val="superscript"/>
        </w:rPr>
        <w:t>[2,4,5,7,8]</w:t>
      </w:r>
      <w:r w:rsidR="008359E5" w:rsidRPr="00787839">
        <w:rPr>
          <w:rFonts w:ascii="Book Antiqua" w:hAnsi="Book Antiqua"/>
          <w:sz w:val="24"/>
          <w:szCs w:val="24"/>
        </w:rPr>
        <w:fldChar w:fldCharType="end"/>
      </w:r>
      <w:r w:rsidR="00A46D7B" w:rsidRPr="00787839">
        <w:rPr>
          <w:rFonts w:ascii="Book Antiqua" w:hAnsi="Book Antiqua"/>
          <w:sz w:val="24"/>
          <w:szCs w:val="24"/>
        </w:rPr>
        <w:t>.</w:t>
      </w:r>
      <w:r w:rsidR="008359E5" w:rsidRPr="00787839">
        <w:rPr>
          <w:rFonts w:ascii="Book Antiqua" w:hAnsi="Book Antiqua"/>
          <w:sz w:val="24"/>
          <w:szCs w:val="24"/>
        </w:rPr>
        <w:t xml:space="preserve"> Some have also postulated that a component of angiogenesis is</w:t>
      </w:r>
      <w:r w:rsidR="005C4BE8" w:rsidRPr="00787839">
        <w:rPr>
          <w:rFonts w:ascii="Book Antiqua" w:hAnsi="Book Antiqua"/>
          <w:sz w:val="24"/>
          <w:szCs w:val="24"/>
        </w:rPr>
        <w:t xml:space="preserve"> also</w:t>
      </w:r>
      <w:r w:rsidR="008359E5" w:rsidRPr="00787839">
        <w:rPr>
          <w:rFonts w:ascii="Book Antiqua" w:hAnsi="Book Antiqua"/>
          <w:sz w:val="24"/>
          <w:szCs w:val="24"/>
        </w:rPr>
        <w:t xml:space="preserve"> </w:t>
      </w:r>
      <w:r w:rsidR="00094FE1" w:rsidRPr="00787839">
        <w:rPr>
          <w:rFonts w:ascii="Book Antiqua" w:hAnsi="Book Antiqua"/>
          <w:sz w:val="24"/>
          <w:szCs w:val="24"/>
        </w:rPr>
        <w:t>involved</w:t>
      </w:r>
      <w:r w:rsidR="008359E5" w:rsidRPr="00787839">
        <w:rPr>
          <w:rFonts w:ascii="Book Antiqua" w:hAnsi="Book Antiqua"/>
          <w:sz w:val="24"/>
          <w:szCs w:val="24"/>
        </w:rPr>
        <w:t xml:space="preserve"> in collateral formation</w:t>
      </w:r>
      <w:r w:rsidR="008359E5" w:rsidRPr="00787839">
        <w:rPr>
          <w:rFonts w:ascii="Book Antiqua" w:hAnsi="Book Antiqua"/>
          <w:sz w:val="24"/>
          <w:szCs w:val="24"/>
        </w:rPr>
        <w:fldChar w:fldCharType="begin" w:fldLock="1"/>
      </w:r>
      <w:r w:rsidR="00617169" w:rsidRPr="00787839">
        <w:rPr>
          <w:rFonts w:ascii="Book Antiqua" w:hAnsi="Book Antiqua"/>
          <w:sz w:val="24"/>
          <w:szCs w:val="24"/>
        </w:rPr>
        <w:instrText>ADDIN CSL_CITATION { "citationItems" : [ { "id" : "ITEM-1", "itemData" : { "DOI" : "10.1016/j.jhep.2010.07.004", "ISBN" : "0168-8278", "ISSN" : "01688278", "PMID" : "20800926", "abstract" : "Portal hypertension accounts for the majority of morbidity and mortality that is encountered in patients with cirrhosis. Portal hypertension is initiated in large part through increases in intrahepatic vascular resistance. Fibrosis, regenerative nodule formation, and intrahepatic vasoconstriction are classical mechanisms that account for increased intrahepatic vascular resistance in cirrhosis. Recent data suggest that intrahepatic angiogenesis and sinusoidal remodeling could also be involved in sinusoidal resistance, fibrosis, and portal hypertension. While angiogenesis is defined as the formation of new vessels deriving from existing ones, sinusoidal remodeling in its pathological form associated with cirrhosis is characterized by increased mural coverage of vessels by contractile HSC. Most attention on the mechanisms of these processes has focused on the liver sinusoidal endothelial cell (SEC), the hepatic stellate cell (HSC), and the paracrine signaling pathways between these two cell types. Interventions that target these vascular structural changes have beneficial effects on portal hypertension and fibrosis in some animal studies which has stimulated interest for pursuing parallel studies in humans with portal hypertension. ?? 2010 Published by Elsevier B.V. on behalf of the European Association for the Study of the Liver.", "author" : [ { "dropping-particle" : "", "family" : "Thabut", "given" : "Dominique", "non-dropping-particle" : "", "parse-names" : false, "suffix" : "" }, { "dropping-particle" : "", "family" : "Shah", "given" : "Vijay", "non-dropping-particle" : "", "parse-names" : false, "suffix" : "" } ], "container-title" : "Journal of Hepatology", "id" : "ITEM-1", "issue" : "5", "issued" : { "date-parts" : [ [ "2010" ] ] }, "page" : "976-980", "publisher" : "European Association for the Study of the Liver", "title" : "Intrahepatic angiogenesis and sinusoidal remodeling in chronic liver disease: New targets for the treatment of portal hypertension?", "type" : "article-journal", "volume" : "53" }, "uris" : [ "http://www.mendeley.com/documents/?uuid=0e201b05-27b9-415a-ae98-41764993cebe" ] } ], "mendeley" : { "formattedCitation" : "&lt;sup&gt;[9]&lt;/sup&gt;", "plainTextFormattedCitation" : "[9]", "previouslyFormattedCitation" : "&lt;sup&gt;[9]&lt;/sup&gt;" }, "properties" : { "noteIndex" : 0 }, "schema" : "https://github.com/citation-style-language/schema/raw/master/csl-citation.json" }</w:instrText>
      </w:r>
      <w:r w:rsidR="008359E5" w:rsidRPr="00787839">
        <w:rPr>
          <w:rFonts w:ascii="Book Antiqua" w:hAnsi="Book Antiqua"/>
          <w:sz w:val="24"/>
          <w:szCs w:val="24"/>
        </w:rPr>
        <w:fldChar w:fldCharType="separate"/>
      </w:r>
      <w:r w:rsidR="001A3E46" w:rsidRPr="00787839">
        <w:rPr>
          <w:rFonts w:ascii="Book Antiqua" w:hAnsi="Book Antiqua"/>
          <w:noProof/>
          <w:sz w:val="24"/>
          <w:szCs w:val="24"/>
          <w:vertAlign w:val="superscript"/>
        </w:rPr>
        <w:t>[9]</w:t>
      </w:r>
      <w:r w:rsidR="008359E5" w:rsidRPr="00787839">
        <w:rPr>
          <w:rFonts w:ascii="Book Antiqua" w:hAnsi="Book Antiqua"/>
          <w:sz w:val="24"/>
          <w:szCs w:val="24"/>
        </w:rPr>
        <w:fldChar w:fldCharType="end"/>
      </w:r>
      <w:r w:rsidR="00A46D7B" w:rsidRPr="00787839">
        <w:rPr>
          <w:rFonts w:ascii="Book Antiqua" w:hAnsi="Book Antiqua"/>
          <w:sz w:val="24"/>
          <w:szCs w:val="24"/>
        </w:rPr>
        <w:t>.</w:t>
      </w:r>
    </w:p>
    <w:p w14:paraId="73148A03" w14:textId="657FF910" w:rsidR="00C83C51" w:rsidRDefault="0065476C" w:rsidP="00787839">
      <w:pPr>
        <w:pStyle w:val="Body1"/>
        <w:adjustRightInd w:val="0"/>
        <w:snapToGrid w:val="0"/>
        <w:spacing w:after="0" w:line="360" w:lineRule="auto"/>
        <w:ind w:firstLineChars="100" w:firstLine="240"/>
        <w:rPr>
          <w:rFonts w:ascii="Book Antiqua" w:hAnsi="Book Antiqua"/>
          <w:sz w:val="24"/>
          <w:szCs w:val="24"/>
          <w:lang w:eastAsia="zh-CN"/>
        </w:rPr>
      </w:pPr>
      <w:r w:rsidRPr="00787839">
        <w:rPr>
          <w:rFonts w:ascii="Book Antiqua" w:hAnsi="Book Antiqua"/>
          <w:sz w:val="24"/>
          <w:szCs w:val="24"/>
        </w:rPr>
        <w:lastRenderedPageBreak/>
        <w:t xml:space="preserve">In this review, we discuss the entire spectrum of portosystemic collateral pathways in the </w:t>
      </w:r>
      <w:r w:rsidR="00410D49" w:rsidRPr="00787839">
        <w:rPr>
          <w:rFonts w:ascii="Book Antiqua" w:hAnsi="Book Antiqua"/>
          <w:sz w:val="24"/>
          <w:szCs w:val="24"/>
        </w:rPr>
        <w:t>abdomen</w:t>
      </w:r>
      <w:r w:rsidRPr="00787839">
        <w:rPr>
          <w:rFonts w:ascii="Book Antiqua" w:hAnsi="Book Antiqua"/>
          <w:sz w:val="24"/>
          <w:szCs w:val="24"/>
        </w:rPr>
        <w:t xml:space="preserve"> and </w:t>
      </w:r>
      <w:r w:rsidR="00410D49" w:rsidRPr="00787839">
        <w:rPr>
          <w:rFonts w:ascii="Book Antiqua" w:hAnsi="Book Antiqua"/>
          <w:sz w:val="24"/>
          <w:szCs w:val="24"/>
        </w:rPr>
        <w:t>thorax</w:t>
      </w:r>
      <w:r w:rsidRPr="00787839">
        <w:rPr>
          <w:rFonts w:ascii="Book Antiqua" w:hAnsi="Book Antiqua"/>
          <w:sz w:val="24"/>
          <w:szCs w:val="24"/>
        </w:rPr>
        <w:t xml:space="preserve">, through </w:t>
      </w:r>
      <w:r w:rsidR="00F24709" w:rsidRPr="00787839">
        <w:rPr>
          <w:rFonts w:ascii="Book Antiqua" w:hAnsi="Book Antiqua"/>
          <w:sz w:val="24"/>
          <w:szCs w:val="24"/>
        </w:rPr>
        <w:t>examples of</w:t>
      </w:r>
      <w:r w:rsidRPr="00787839">
        <w:rPr>
          <w:rFonts w:ascii="Book Antiqua" w:hAnsi="Book Antiqua"/>
          <w:sz w:val="24"/>
          <w:szCs w:val="24"/>
        </w:rPr>
        <w:t xml:space="preserve"> comput</w:t>
      </w:r>
      <w:r w:rsidR="00F24709" w:rsidRPr="00787839">
        <w:rPr>
          <w:rFonts w:ascii="Book Antiqua" w:hAnsi="Book Antiqua"/>
          <w:sz w:val="24"/>
          <w:szCs w:val="24"/>
        </w:rPr>
        <w:t xml:space="preserve">ed tomography (CT), ultrasonography (US), magnetic resonance imaging (MRI) </w:t>
      </w:r>
      <w:r w:rsidRPr="00787839">
        <w:rPr>
          <w:rFonts w:ascii="Book Antiqua" w:hAnsi="Book Antiqua"/>
          <w:sz w:val="24"/>
          <w:szCs w:val="24"/>
        </w:rPr>
        <w:t>and angiographic examples. A brief overview of established interventional techniques for treatment of portal hypertension and related complications will also be provided.</w:t>
      </w:r>
    </w:p>
    <w:p w14:paraId="008895FC" w14:textId="77777777" w:rsidR="00787839" w:rsidRPr="00787839" w:rsidRDefault="00787839" w:rsidP="00787839">
      <w:pPr>
        <w:pStyle w:val="Body1"/>
        <w:adjustRightInd w:val="0"/>
        <w:snapToGrid w:val="0"/>
        <w:spacing w:after="0" w:line="360" w:lineRule="auto"/>
        <w:ind w:firstLineChars="100" w:firstLine="240"/>
        <w:rPr>
          <w:rFonts w:ascii="Book Antiqua" w:hAnsi="Book Antiqua"/>
          <w:sz w:val="24"/>
          <w:szCs w:val="24"/>
          <w:lang w:eastAsia="zh-CN"/>
        </w:rPr>
      </w:pPr>
    </w:p>
    <w:p w14:paraId="404FB5A2" w14:textId="5C5AC1F7" w:rsidR="00FD377A" w:rsidRPr="00787839" w:rsidRDefault="00787839"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IMAGING MODALITIES FOR THE ASSESSMENT OF PORTAL HYPERTENSION AND COLLATERAL PATHWAYS</w:t>
      </w:r>
    </w:p>
    <w:p w14:paraId="66214881" w14:textId="581155E8" w:rsidR="00FD377A" w:rsidRPr="00787839" w:rsidRDefault="00FD377A" w:rsidP="00787839">
      <w:pPr>
        <w:adjustRightInd w:val="0"/>
        <w:snapToGrid w:val="0"/>
        <w:spacing w:after="0" w:line="360" w:lineRule="auto"/>
        <w:rPr>
          <w:rFonts w:ascii="Book Antiqua" w:hAnsi="Book Antiqua" w:cs="Times New Roman"/>
          <w:sz w:val="24"/>
          <w:szCs w:val="24"/>
          <w:u w:color="000000"/>
        </w:rPr>
      </w:pPr>
      <w:r w:rsidRPr="00787839">
        <w:rPr>
          <w:rFonts w:ascii="Book Antiqua" w:hAnsi="Book Antiqua" w:cs="Times New Roman"/>
          <w:sz w:val="24"/>
          <w:szCs w:val="24"/>
          <w:u w:color="000000"/>
        </w:rPr>
        <w:t xml:space="preserve">A variety of imaging modalities are available to provide early diagnosis, prognostication and treatment planning for patients with advanced liver cirrhosis and portal hypertension. </w:t>
      </w:r>
      <w:r w:rsidR="00497B25" w:rsidRPr="00787839">
        <w:rPr>
          <w:rFonts w:ascii="Book Antiqua" w:hAnsi="Book Antiqua" w:cs="Times New Roman"/>
          <w:sz w:val="24"/>
          <w:szCs w:val="24"/>
          <w:u w:color="000000"/>
        </w:rPr>
        <w:t>Catheter-based hepatic venography allows for measurement of HVPG</w:t>
      </w:r>
      <w:r w:rsidR="00497B25" w:rsidRPr="00787839">
        <w:rPr>
          <w:rFonts w:ascii="Book Antiqua" w:hAnsi="Book Antiqua" w:cs="Times New Roman"/>
          <w:sz w:val="24"/>
          <w:szCs w:val="24"/>
          <w:u w:color="000000"/>
          <w:lang w:val="en-US"/>
        </w:rPr>
        <w:t xml:space="preserve"> which is the difference between the wedge and the free hepatic venous pressures. </w:t>
      </w:r>
      <w:r w:rsidR="00497B25" w:rsidRPr="00787839">
        <w:rPr>
          <w:rFonts w:ascii="Book Antiqua" w:hAnsi="Book Antiqua" w:cs="Times New Roman"/>
          <w:sz w:val="24"/>
          <w:szCs w:val="24"/>
          <w:u w:color="000000"/>
        </w:rPr>
        <w:t>Measurement of HVPG is currently the best available method to evaluate the presence and severity of portal hypertension, however, this minimally invasive technique is not without risks—including bleeding, infection, possible contrast reaction, arrhythmias and need for intravenous sedation</w:t>
      </w:r>
      <w:r w:rsidR="00C3203A" w:rsidRPr="00787839">
        <w:rPr>
          <w:rFonts w:ascii="Book Antiqua" w:hAnsi="Book Antiqua" w:cs="Times New Roman"/>
          <w:sz w:val="24"/>
          <w:szCs w:val="24"/>
          <w:u w:color="000000"/>
          <w:vertAlign w:val="superscript"/>
        </w:rPr>
        <w:fldChar w:fldCharType="begin" w:fldLock="1"/>
      </w:r>
      <w:r w:rsidR="00617169" w:rsidRPr="00787839">
        <w:rPr>
          <w:rFonts w:ascii="Book Antiqua" w:hAnsi="Book Antiqua" w:cs="Times New Roman"/>
          <w:sz w:val="24"/>
          <w:szCs w:val="24"/>
          <w:u w:color="000000"/>
          <w:vertAlign w:val="superscript"/>
        </w:rPr>
        <w:instrText>ADDIN CSL_CITATION { "citationItems" : [ { "id" : "ITEM-1", "itemData" : { "DOI" : "10.1148/radiology.195.2.7724782", "PMID" : "7724782", "author" : [ { "dropping-particle" : "", "family" : "Wachsberg", "given" : "H", "non-dropping-particle" : "", "parse-names" : false, "suffix" : "" }, { "dropping-particle" : "", "family" : "Yaghmai", "given" : "Vahid", "non-dropping-particle" : "", "parse-names" : false, "suffix" : "" }, { "dropping-particle" : "", "family" : "Javors", "given" : "BR", "non-dropping-particle" : "", "parse-names" : false, "suffix" : "" }, { "dropping-particle" : "", "family" : "Levine", "given" : "Charles D", "non-dropping-particle" : "", "parse-names" : false, "suffix" : "" }, { "dropping-particle" : "", "family" : "Simmons", "given" : "Marc Z", "non-dropping-particle" : "", "parse-names" : false, "suffix" : "" }, { "dropping-particle" : "", "family" : "Maidjian", "given" : "Pierre D", "non-dropping-particle" : "", "parse-names" : false, "suffix" : "" } ], "container-title" : "Radiology", "id" : "ITEM-1", "issued" : { "date-parts" : [ [ "1995" ] ] }, "page" : "553-556", "title" : "Cardiophrenic Varices in Portal Hypertension: Evaluation with CT", "type" : "article-journal", "volume" : "195" }, "uris" : [ "http://www.mendeley.com/documents/?uuid=6b0aca15-0271-4c58-84bf-1e28120eb163" ] }, { "id" : "ITEM-2", "itemData" : { "DOI" : "10.1586/egh.12.83", "ISBN" : "1747-4132 (Electronic)\\r1747-4124 (Linking)", "ISSN" : "1747-4132", "PMID" : "23363263", "abstract" : "Portal hypertension is a common complication of chronic liver diseases and is responsible for most clinical consequences of cirrhosis, which represent the more frequent causes of death and liver transplantation in these patients. This review is aimed at clarifying the state-of-the art assessment of portal hypertension and at discussing recent developments in this field. Particular attention is paid to new noninvasive techniques that will be soon available for potential routine use.", "author" : [ { "dropping-particle" : "", "family" : "Berzigotti", "given" : "Annalisa", "non-dropping-particle" : "", "parse-names" : false, "suffix" : "" }, { "dropping-particle" : "", "family" : "Seijo", "given" : "Susana", "non-dropping-particle" : "", "parse-names" : false, "suffix" : "" }, { "dropping-particle" : "", "family" : "Reverter", "given" : "Enric", "non-dropping-particle" : "", "parse-names" : false, "suffix" : "" }, { "dropping-particle" : "", "family" : "Bosch", "given" : "Jaime", "non-dropping-particle" : "", "parse-names" : false, "suffix" : "" } ], "container-title" : "Expert review of gastroenterology &amp; hepatology", "id" : "ITEM-2", "issue" : "2", "issued" : { "date-parts" : [ [ "2013" ] ] }, "page" : "141-155", "title" : "Assessing portal hypertension in liver diseases.", "type" : "article-journal", "volume" : "7" }, "uris" : [ "http://www.mendeley.com/documents/?uuid=f1c3a4ff-60ac-485a-8bd1-966b2b80722c" ] } ], "mendeley" : { "formattedCitation" : "&lt;sup&gt;[8,10]&lt;/sup&gt;", "plainTextFormattedCitation" : "[8,10]", "previouslyFormattedCitation" : "&lt;sup&gt;[8,10]&lt;/sup&gt;" }, "properties" : { "noteIndex" : 0 }, "schema" : "https://github.com/citation-style-language/schema/raw/master/csl-citation.json" }</w:instrText>
      </w:r>
      <w:r w:rsidR="00C3203A" w:rsidRPr="00787839">
        <w:rPr>
          <w:rFonts w:ascii="Book Antiqua" w:hAnsi="Book Antiqua" w:cs="Times New Roman"/>
          <w:sz w:val="24"/>
          <w:szCs w:val="24"/>
          <w:u w:color="000000"/>
          <w:vertAlign w:val="superscript"/>
        </w:rPr>
        <w:fldChar w:fldCharType="separate"/>
      </w:r>
      <w:r w:rsidR="001A3E46" w:rsidRPr="00787839">
        <w:rPr>
          <w:rFonts w:ascii="Book Antiqua" w:hAnsi="Book Antiqua" w:cs="Times New Roman"/>
          <w:noProof/>
          <w:sz w:val="24"/>
          <w:szCs w:val="24"/>
          <w:u w:color="000000"/>
          <w:vertAlign w:val="superscript"/>
        </w:rPr>
        <w:t>[8,10]</w:t>
      </w:r>
      <w:r w:rsidR="00C3203A" w:rsidRPr="00787839">
        <w:rPr>
          <w:rFonts w:ascii="Book Antiqua" w:hAnsi="Book Antiqua" w:cs="Times New Roman"/>
          <w:sz w:val="24"/>
          <w:szCs w:val="24"/>
          <w:u w:color="000000"/>
          <w:vertAlign w:val="superscript"/>
        </w:rPr>
        <w:fldChar w:fldCharType="end"/>
      </w:r>
      <w:r w:rsidR="00BD1F59" w:rsidRPr="00787839">
        <w:rPr>
          <w:rFonts w:ascii="Book Antiqua" w:hAnsi="Book Antiqua" w:cs="Times New Roman"/>
          <w:sz w:val="24"/>
          <w:szCs w:val="24"/>
          <w:u w:color="000000"/>
        </w:rPr>
        <w:t xml:space="preserve">. </w:t>
      </w:r>
      <w:r w:rsidR="00F24709" w:rsidRPr="00787839">
        <w:rPr>
          <w:rFonts w:ascii="Book Antiqua" w:hAnsi="Book Antiqua" w:cs="Times New Roman"/>
          <w:sz w:val="24"/>
          <w:szCs w:val="24"/>
          <w:u w:color="000000"/>
        </w:rPr>
        <w:t>US</w:t>
      </w:r>
      <w:r w:rsidRPr="00787839">
        <w:rPr>
          <w:rFonts w:ascii="Book Antiqua" w:hAnsi="Book Antiqua" w:cs="Times New Roman"/>
          <w:sz w:val="24"/>
          <w:szCs w:val="24"/>
          <w:u w:color="000000"/>
        </w:rPr>
        <w:t xml:space="preserve">, </w:t>
      </w:r>
      <w:r w:rsidR="00F24709" w:rsidRPr="00787839">
        <w:rPr>
          <w:rFonts w:ascii="Book Antiqua" w:hAnsi="Book Antiqua" w:cs="Times New Roman"/>
          <w:sz w:val="24"/>
          <w:szCs w:val="24"/>
          <w:u w:color="000000"/>
        </w:rPr>
        <w:t>CT, and MRI</w:t>
      </w:r>
      <w:r w:rsidR="00942B5E" w:rsidRPr="00787839">
        <w:rPr>
          <w:rFonts w:ascii="Book Antiqua" w:hAnsi="Book Antiqua" w:cs="Times New Roman"/>
          <w:sz w:val="24"/>
          <w:szCs w:val="24"/>
          <w:u w:color="000000"/>
        </w:rPr>
        <w:t xml:space="preserve"> </w:t>
      </w:r>
      <w:r w:rsidR="00102766" w:rsidRPr="00787839">
        <w:rPr>
          <w:rFonts w:ascii="Book Antiqua" w:hAnsi="Book Antiqua" w:cs="Times New Roman"/>
          <w:sz w:val="24"/>
          <w:szCs w:val="24"/>
          <w:u w:color="000000"/>
        </w:rPr>
        <w:t>offer diagnostic information complementary to catheter-based techniques.</w:t>
      </w:r>
    </w:p>
    <w:p w14:paraId="7563D887" w14:textId="13A79F49" w:rsidR="00813D29" w:rsidRPr="00787839" w:rsidRDefault="005C4BE8" w:rsidP="00787839">
      <w:pPr>
        <w:adjustRightInd w:val="0"/>
        <w:snapToGrid w:val="0"/>
        <w:spacing w:after="0" w:line="360" w:lineRule="auto"/>
        <w:ind w:firstLineChars="100" w:firstLine="240"/>
        <w:rPr>
          <w:rFonts w:ascii="Book Antiqua" w:hAnsi="Book Antiqua" w:cs="Times New Roman"/>
          <w:sz w:val="24"/>
          <w:szCs w:val="24"/>
          <w:u w:color="000000"/>
        </w:rPr>
      </w:pPr>
      <w:r w:rsidRPr="00787839">
        <w:rPr>
          <w:rFonts w:ascii="Book Antiqua" w:hAnsi="Book Antiqua" w:cs="Times New Roman"/>
          <w:sz w:val="24"/>
          <w:szCs w:val="24"/>
          <w:u w:color="000000"/>
        </w:rPr>
        <w:t>US</w:t>
      </w:r>
      <w:r w:rsidR="00FD377A" w:rsidRPr="00787839">
        <w:rPr>
          <w:rFonts w:ascii="Book Antiqua" w:hAnsi="Book Antiqua" w:cs="Times New Roman"/>
          <w:sz w:val="24"/>
          <w:szCs w:val="24"/>
          <w:u w:color="000000"/>
        </w:rPr>
        <w:t xml:space="preserve"> is typically the initial, first-line modality choice for the diagnosis and follow-up of portal hypertension</w:t>
      </w:r>
      <w:r w:rsidR="00C3203A" w:rsidRPr="00787839">
        <w:rPr>
          <w:rFonts w:ascii="Book Antiqua" w:hAnsi="Book Antiqua" w:cs="Times New Roman"/>
          <w:sz w:val="24"/>
          <w:szCs w:val="24"/>
          <w:u w:color="000000"/>
          <w:vertAlign w:val="superscript"/>
        </w:rPr>
        <w:fldChar w:fldCharType="begin" w:fldLock="1"/>
      </w:r>
      <w:r w:rsidR="00617169" w:rsidRPr="00787839">
        <w:rPr>
          <w:rFonts w:ascii="Book Antiqua" w:hAnsi="Book Antiqua" w:cs="Times New Roman"/>
          <w:sz w:val="24"/>
          <w:szCs w:val="24"/>
          <w:u w:color="000000"/>
          <w:vertAlign w:val="superscript"/>
        </w:rPr>
        <w:instrText>ADDIN CSL_CITATION { "citationItems" : [ { "id" : "ITEM-1", "itemData" : { "DOI" : "10.1586/egh.12.83", "ISBN" : "1747-4132 (Electronic)\\r1747-4124 (Linking)", "ISSN" : "1747-4132", "PMID" : "23363263", "abstract" : "Portal hypertension is a common complication of chronic liver diseases and is responsible for most clinical consequences of cirrhosis, which represent the more frequent causes of death and liver transplantation in these patients. This review is aimed at clarifying the state-of-the art assessment of portal hypertension and at discussing recent developments in this field. Particular attention is paid to new noninvasive techniques that will be soon available for potential routine use.", "author" : [ { "dropping-particle" : "", "family" : "Berzigotti", "given" : "Annalisa", "non-dropping-particle" : "", "parse-names" : false, "suffix" : "" }, { "dropping-particle" : "", "family" : "Seijo", "given" : "Susana", "non-dropping-particle" : "", "parse-names" : false, "suffix" : "" }, { "dropping-particle" : "", "family" : "Reverter", "given" : "Enric", "non-dropping-particle" : "", "parse-names" : false, "suffix" : "" }, { "dropping-particle" : "", "family" : "Bosch", "given" : "Jaime", "non-dropping-particle" : "", "parse-names" : false, "suffix" : "" } ], "container-title" : "Expert review of gastroenterology &amp; hepatology", "id" : "ITEM-1", "issue" : "2", "issued" : { "date-parts" : [ [ "2013" ] ] }, "page" : "141-155", "title" : "Assessing portal hypertension in liver diseases.", "type" : "article-journal", "volume" : "7" }, "uris" : [ "http://www.mendeley.com/documents/?uuid=f1c3a4ff-60ac-485a-8bd1-966b2b80722c" ] }, { "id" : "ITEM-2", "itemData" : { "DOI" : "10.1055/s-0031-1299145", "PMID" : "22322479", "author" : [ { "dropping-particle" : "", "family" : "Berzigotti", "given" : "Analisa", "non-dropping-particle" : "", "parse-names" : false, "suffix" : "" }, { "dropping-particle" : "", "family" : "Piscaglia", "given" : "Fabio", "non-dropping-particle" : "", "parse-names" : false, "suffix" : "" } ], "container-title" : "Ultraschall in der Medizin", "id" : "ITEM-2", "issue" : "11", "issued" : { "date-parts" : [ [ "2012" ] ] }, "page" : "8-32", "title" : "Ultrasound in portal hypertension--part 2--and EFSUMB recommendations for the performance and reporting of ultrasound examinations in portal hypertension", "type" : "article-journal", "volume" : "3" }, "uris" : [ "http://www.mendeley.com/documents/?uuid=931a8d9c-c20d-4996-be28-cde126fdbad9" ] } ], "mendeley" : { "formattedCitation" : "&lt;sup&gt;[8,11]&lt;/sup&gt;", "plainTextFormattedCitation" : "[8,11]", "previouslyFormattedCitation" : "&lt;sup&gt;[8,11]&lt;/sup&gt;" }, "properties" : { "noteIndex" : 0 }, "schema" : "https://github.com/citation-style-language/schema/raw/master/csl-citation.json" }</w:instrText>
      </w:r>
      <w:r w:rsidR="00C3203A" w:rsidRPr="00787839">
        <w:rPr>
          <w:rFonts w:ascii="Book Antiqua" w:hAnsi="Book Antiqua" w:cs="Times New Roman"/>
          <w:sz w:val="24"/>
          <w:szCs w:val="24"/>
          <w:u w:color="000000"/>
          <w:vertAlign w:val="superscript"/>
        </w:rPr>
        <w:fldChar w:fldCharType="separate"/>
      </w:r>
      <w:r w:rsidR="001A3E46" w:rsidRPr="00787839">
        <w:rPr>
          <w:rFonts w:ascii="Book Antiqua" w:hAnsi="Book Antiqua" w:cs="Times New Roman"/>
          <w:noProof/>
          <w:sz w:val="24"/>
          <w:szCs w:val="24"/>
          <w:u w:color="000000"/>
          <w:vertAlign w:val="superscript"/>
        </w:rPr>
        <w:t>[8,11]</w:t>
      </w:r>
      <w:r w:rsidR="00C3203A" w:rsidRPr="00787839">
        <w:rPr>
          <w:rFonts w:ascii="Book Antiqua" w:hAnsi="Book Antiqua" w:cs="Times New Roman"/>
          <w:sz w:val="24"/>
          <w:szCs w:val="24"/>
          <w:u w:color="000000"/>
          <w:vertAlign w:val="superscript"/>
        </w:rPr>
        <w:fldChar w:fldCharType="end"/>
      </w:r>
      <w:r w:rsidR="000E3579" w:rsidRPr="00787839">
        <w:rPr>
          <w:rFonts w:ascii="Book Antiqua" w:hAnsi="Book Antiqua" w:cs="Times New Roman"/>
          <w:sz w:val="24"/>
          <w:szCs w:val="24"/>
          <w:u w:color="000000"/>
        </w:rPr>
        <w:t xml:space="preserve">. </w:t>
      </w:r>
      <w:r w:rsidR="00FD377A" w:rsidRPr="00787839">
        <w:rPr>
          <w:rFonts w:ascii="Book Antiqua" w:hAnsi="Book Antiqua" w:cs="Times New Roman"/>
          <w:sz w:val="24"/>
          <w:szCs w:val="24"/>
          <w:u w:color="000000"/>
        </w:rPr>
        <w:t>Spectral and colour Doppler US can provide accurate and specific det</w:t>
      </w:r>
      <w:r w:rsidR="00500E47" w:rsidRPr="00787839">
        <w:rPr>
          <w:rFonts w:ascii="Book Antiqua" w:hAnsi="Book Antiqua" w:cs="Times New Roman"/>
          <w:sz w:val="24"/>
          <w:szCs w:val="24"/>
          <w:u w:color="000000"/>
        </w:rPr>
        <w:t>ection of certain porto</w:t>
      </w:r>
      <w:r w:rsidR="00FD377A" w:rsidRPr="00787839">
        <w:rPr>
          <w:rFonts w:ascii="Book Antiqua" w:hAnsi="Book Antiqua" w:cs="Times New Roman"/>
          <w:sz w:val="24"/>
          <w:szCs w:val="24"/>
          <w:u w:color="000000"/>
        </w:rPr>
        <w:t>systemic collaterals (</w:t>
      </w:r>
      <w:r w:rsidR="00B66FDB" w:rsidRPr="00787839">
        <w:rPr>
          <w:rFonts w:ascii="Book Antiqua" w:hAnsi="Book Antiqua" w:cs="Times New Roman"/>
          <w:sz w:val="24"/>
          <w:szCs w:val="24"/>
          <w:u w:color="000000"/>
        </w:rPr>
        <w:t>recan</w:t>
      </w:r>
      <w:r w:rsidR="004376DA" w:rsidRPr="00787839">
        <w:rPr>
          <w:rFonts w:ascii="Book Antiqua" w:hAnsi="Book Antiqua" w:cs="Times New Roman"/>
          <w:sz w:val="24"/>
          <w:szCs w:val="24"/>
          <w:u w:color="000000"/>
        </w:rPr>
        <w:t>a</w:t>
      </w:r>
      <w:r w:rsidR="00B66FDB" w:rsidRPr="00787839">
        <w:rPr>
          <w:rFonts w:ascii="Book Antiqua" w:hAnsi="Book Antiqua" w:cs="Times New Roman"/>
          <w:sz w:val="24"/>
          <w:szCs w:val="24"/>
          <w:u w:color="000000"/>
        </w:rPr>
        <w:t>lized</w:t>
      </w:r>
      <w:r w:rsidR="00AC4AF2" w:rsidRPr="00787839">
        <w:rPr>
          <w:rFonts w:ascii="Book Antiqua" w:hAnsi="Book Antiqua" w:cs="Times New Roman"/>
          <w:sz w:val="24"/>
          <w:szCs w:val="24"/>
          <w:u w:color="000000"/>
        </w:rPr>
        <w:t xml:space="preserve"> paraumbilical vein, spleno</w:t>
      </w:r>
      <w:r w:rsidR="00FD377A" w:rsidRPr="00787839">
        <w:rPr>
          <w:rFonts w:ascii="Book Antiqua" w:hAnsi="Book Antiqua" w:cs="Times New Roman"/>
          <w:sz w:val="24"/>
          <w:szCs w:val="24"/>
          <w:u w:color="000000"/>
        </w:rPr>
        <w:t>renal collaterals, dilate</w:t>
      </w:r>
      <w:r w:rsidR="00B66FDB" w:rsidRPr="00787839">
        <w:rPr>
          <w:rFonts w:ascii="Book Antiqua" w:hAnsi="Book Antiqua" w:cs="Times New Roman"/>
          <w:sz w:val="24"/>
          <w:szCs w:val="24"/>
          <w:u w:color="000000"/>
        </w:rPr>
        <w:t xml:space="preserve">d left and short gastric veins), as well as, </w:t>
      </w:r>
      <w:r w:rsidR="00FD377A" w:rsidRPr="00787839">
        <w:rPr>
          <w:rFonts w:ascii="Book Antiqua" w:hAnsi="Book Antiqua" w:cs="Times New Roman"/>
          <w:sz w:val="24"/>
          <w:szCs w:val="24"/>
          <w:u w:color="000000"/>
        </w:rPr>
        <w:t>directionality of flow within the portal vein</w:t>
      </w:r>
      <w:r w:rsidR="003931C2" w:rsidRPr="00787839">
        <w:rPr>
          <w:rFonts w:ascii="Book Antiqua" w:hAnsi="Book Antiqua" w:cs="Times New Roman"/>
          <w:sz w:val="24"/>
          <w:szCs w:val="24"/>
          <w:u w:color="000000"/>
          <w:vertAlign w:val="superscript"/>
        </w:rPr>
        <w:fldChar w:fldCharType="begin" w:fldLock="1"/>
      </w:r>
      <w:r w:rsidR="00617169" w:rsidRPr="00787839">
        <w:rPr>
          <w:rFonts w:ascii="Book Antiqua" w:hAnsi="Book Antiqua" w:cs="Times New Roman"/>
          <w:sz w:val="24"/>
          <w:szCs w:val="24"/>
          <w:u w:color="000000"/>
          <w:vertAlign w:val="superscript"/>
        </w:rPr>
        <w:instrText>ADDIN CSL_CITATION { "citationItems" : [ { "id" : "ITEM-1", "itemData" : { "DOI" : "10.1586/egh.12.83", "ISBN" : "1747-4132 (Electronic)\\r1747-4124 (Linking)", "ISSN" : "1747-4132", "PMID" : "23363263", "abstract" : "Portal hypertension is a common complication of chronic liver diseases and is responsible for most clinical consequences of cirrhosis, which represent the more frequent causes of death and liver transplantation in these patients. This review is aimed at clarifying the state-of-the art assessment of portal hypertension and at discussing recent developments in this field. Particular attention is paid to new noninvasive techniques that will be soon available for potential routine use.", "author" : [ { "dropping-particle" : "", "family" : "Berzigotti", "given" : "Annalisa", "non-dropping-particle" : "", "parse-names" : false, "suffix" : "" }, { "dropping-particle" : "", "family" : "Seijo", "given" : "Susana", "non-dropping-particle" : "", "parse-names" : false, "suffix" : "" }, { "dropping-particle" : "", "family" : "Reverter", "given" : "Enric", "non-dropping-particle" : "", "parse-names" : false, "suffix" : "" }, { "dropping-particle" : "", "family" : "Bosch", "given" : "Jaime", "non-dropping-particle" : "", "parse-names" : false, "suffix" : "" } ], "container-title" : "Expert review of gastroenterology &amp; hepatology", "id" : "ITEM-1", "issue" : "2", "issued" : { "date-parts" : [ [ "2013" ] ] }, "page" : "141-155", "title" : "Assessing portal hypertension in liver diseases.", "type" : "article-journal", "volume" : "7" }, "uris" : [ "http://www.mendeley.com/documents/?uuid=f1c3a4ff-60ac-485a-8bd1-966b2b80722c" ] }, { "id" : "ITEM-2", "itemData" : { "DOI" : "10.1055/s-0031-1299145", "PMID" : "22322479", "author" : [ { "dropping-particle" : "", "family" : "Berzigotti", "given" : "Analisa", "non-dropping-particle" : "", "parse-names" : false, "suffix" : "" }, { "dropping-particle" : "", "family" : "Piscaglia", "given" : "Fabio", "non-dropping-particle" : "", "parse-names" : false, "suffix" : "" } ], "container-title" : "Ultraschall in der Medizin", "id" : "ITEM-2", "issue" : "11", "issued" : { "date-parts" : [ [ "2012" ] ] }, "page" : "8-32", "title" : "Ultrasound in portal hypertension--part 2--and EFSUMB recommendations for the performance and reporting of ultrasound examinations in portal hypertension", "type" : "article-journal", "volume" : "3" }, "uris" : [ "http://www.mendeley.com/documents/?uuid=931a8d9c-c20d-4996-be28-cde126fdbad9" ] } ], "mendeley" : { "formattedCitation" : "&lt;sup&gt;[8,11]&lt;/sup&gt;", "plainTextFormattedCitation" : "[8,11]", "previouslyFormattedCitation" : "&lt;sup&gt;[8,11]&lt;/sup&gt;" }, "properties" : { "noteIndex" : 0 }, "schema" : "https://github.com/citation-style-language/schema/raw/master/csl-citation.json" }</w:instrText>
      </w:r>
      <w:r w:rsidR="003931C2" w:rsidRPr="00787839">
        <w:rPr>
          <w:rFonts w:ascii="Book Antiqua" w:hAnsi="Book Antiqua" w:cs="Times New Roman"/>
          <w:sz w:val="24"/>
          <w:szCs w:val="24"/>
          <w:u w:color="000000"/>
          <w:vertAlign w:val="superscript"/>
        </w:rPr>
        <w:fldChar w:fldCharType="separate"/>
      </w:r>
      <w:r w:rsidR="001A3E46" w:rsidRPr="00787839">
        <w:rPr>
          <w:rFonts w:ascii="Book Antiqua" w:hAnsi="Book Antiqua" w:cs="Times New Roman"/>
          <w:noProof/>
          <w:sz w:val="24"/>
          <w:szCs w:val="24"/>
          <w:u w:color="000000"/>
          <w:vertAlign w:val="superscript"/>
        </w:rPr>
        <w:t>[8,11]</w:t>
      </w:r>
      <w:r w:rsidR="003931C2" w:rsidRPr="00787839">
        <w:rPr>
          <w:rFonts w:ascii="Book Antiqua" w:hAnsi="Book Antiqua" w:cs="Times New Roman"/>
          <w:sz w:val="24"/>
          <w:szCs w:val="24"/>
          <w:u w:color="000000"/>
          <w:vertAlign w:val="superscript"/>
        </w:rPr>
        <w:fldChar w:fldCharType="end"/>
      </w:r>
      <w:r w:rsidR="00BD1F59" w:rsidRPr="00787839">
        <w:rPr>
          <w:rFonts w:ascii="Book Antiqua" w:hAnsi="Book Antiqua" w:cs="Times New Roman"/>
          <w:sz w:val="24"/>
          <w:szCs w:val="24"/>
          <w:u w:color="000000"/>
        </w:rPr>
        <w:t xml:space="preserve">. </w:t>
      </w:r>
      <w:r w:rsidR="00FD377A" w:rsidRPr="00787839">
        <w:rPr>
          <w:rFonts w:ascii="Book Antiqua" w:hAnsi="Book Antiqua" w:cs="Times New Roman"/>
          <w:sz w:val="24"/>
          <w:szCs w:val="24"/>
          <w:u w:color="000000"/>
        </w:rPr>
        <w:t>US is also very accurate in the detection of portal</w:t>
      </w:r>
      <w:r w:rsidR="00B66FDB" w:rsidRPr="00787839">
        <w:rPr>
          <w:rFonts w:ascii="Book Antiqua" w:hAnsi="Book Antiqua" w:cs="Times New Roman"/>
          <w:sz w:val="24"/>
          <w:szCs w:val="24"/>
          <w:u w:color="000000"/>
        </w:rPr>
        <w:t xml:space="preserve"> and hepatic venous thr</w:t>
      </w:r>
      <w:r w:rsidR="00302364" w:rsidRPr="00787839">
        <w:rPr>
          <w:rFonts w:ascii="Book Antiqua" w:hAnsi="Book Antiqua" w:cs="Times New Roman"/>
          <w:sz w:val="24"/>
          <w:szCs w:val="24"/>
          <w:u w:color="000000"/>
        </w:rPr>
        <w:t xml:space="preserve">ombosis and can be used for the </w:t>
      </w:r>
      <w:r w:rsidR="00FD377A" w:rsidRPr="00787839">
        <w:rPr>
          <w:rFonts w:ascii="Book Antiqua" w:hAnsi="Book Antiqua" w:cs="Times New Roman"/>
          <w:sz w:val="24"/>
          <w:szCs w:val="24"/>
          <w:u w:color="000000"/>
        </w:rPr>
        <w:t>surveillance of transjugular intrahepatic port</w:t>
      </w:r>
      <w:r w:rsidR="00B66FDB" w:rsidRPr="00787839">
        <w:rPr>
          <w:rFonts w:ascii="Book Antiqua" w:hAnsi="Book Antiqua" w:cs="Times New Roman"/>
          <w:sz w:val="24"/>
          <w:szCs w:val="24"/>
          <w:u w:color="000000"/>
        </w:rPr>
        <w:t>osystemic shunt (TIPS) patency. In addition, US can provide cheap and readily accessible</w:t>
      </w:r>
      <w:r w:rsidR="00FD377A" w:rsidRPr="00787839">
        <w:rPr>
          <w:rFonts w:ascii="Book Antiqua" w:hAnsi="Book Antiqua" w:cs="Times New Roman"/>
          <w:sz w:val="24"/>
          <w:szCs w:val="24"/>
          <w:u w:color="000000"/>
        </w:rPr>
        <w:t xml:space="preserve"> assessment of hepatic parenchymal nodularity, splenomegaly, provide screening for </w:t>
      </w:r>
      <w:r w:rsidR="00B53FE9" w:rsidRPr="00787839">
        <w:rPr>
          <w:rFonts w:ascii="Book Antiqua" w:hAnsi="Book Antiqua" w:cs="Times New Roman"/>
          <w:sz w:val="24"/>
          <w:szCs w:val="24"/>
          <w:u w:color="000000"/>
        </w:rPr>
        <w:t xml:space="preserve">liver tumors including metastasis and </w:t>
      </w:r>
      <w:r w:rsidR="007B0EF8" w:rsidRPr="00787839">
        <w:rPr>
          <w:rFonts w:ascii="Book Antiqua" w:hAnsi="Book Antiqua" w:cs="Times New Roman"/>
          <w:sz w:val="24"/>
          <w:szCs w:val="24"/>
          <w:u w:color="000000"/>
        </w:rPr>
        <w:t xml:space="preserve">hepatocellular carcinoma (HCC), as well as, </w:t>
      </w:r>
      <w:r w:rsidR="00FD377A" w:rsidRPr="00787839">
        <w:rPr>
          <w:rFonts w:ascii="Book Antiqua" w:hAnsi="Book Antiqua" w:cs="Times New Roman"/>
          <w:sz w:val="24"/>
          <w:szCs w:val="24"/>
          <w:u w:color="000000"/>
        </w:rPr>
        <w:t>detect the presence of abdominal ascites</w:t>
      </w:r>
      <w:r w:rsidR="002F471A" w:rsidRPr="00787839">
        <w:rPr>
          <w:rFonts w:ascii="Book Antiqua" w:hAnsi="Book Antiqua" w:cs="Times New Roman"/>
          <w:sz w:val="24"/>
          <w:szCs w:val="24"/>
          <w:u w:color="000000"/>
          <w:vertAlign w:val="superscript"/>
        </w:rPr>
        <w:fldChar w:fldCharType="begin" w:fldLock="1"/>
      </w:r>
      <w:r w:rsidR="00617169" w:rsidRPr="00787839">
        <w:rPr>
          <w:rFonts w:ascii="Book Antiqua" w:hAnsi="Book Antiqua" w:cs="Times New Roman"/>
          <w:sz w:val="24"/>
          <w:szCs w:val="24"/>
          <w:u w:color="000000"/>
          <w:vertAlign w:val="superscript"/>
        </w:rPr>
        <w:instrText>ADDIN CSL_CITATION { "citationItems" : [ { "id" : "ITEM-1", "itemData" : { "DOI" : "10.1586/egh.12.83", "ISBN" : "1747-4132 (Electronic)\\r1747-4124 (Linking)", "ISSN" : "1747-4132", "PMID" : "23363263", "abstract" : "Portal hypertension is a common complication of chronic liver diseases and is responsible for most clinical consequences of cirrhosis, which represent the more frequent causes of death and liver transplantation in these patients. This review is aimed at clarifying the state-of-the art assessment of portal hypertension and at discussing recent developments in this field. Particular attention is paid to new noninvasive techniques that will be soon available for potential routine use.", "author" : [ { "dropping-particle" : "", "family" : "Berzigotti", "given" : "Annalisa", "non-dropping-particle" : "", "parse-names" : false, "suffix" : "" }, { "dropping-particle" : "", "family" : "Seijo", "given" : "Susana", "non-dropping-particle" : "", "parse-names" : false, "suffix" : "" }, { "dropping-particle" : "", "family" : "Reverter", "given" : "Enric", "non-dropping-particle" : "", "parse-names" : false, "suffix" : "" }, { "dropping-particle" : "", "family" : "Bosch", "given" : "Jaime", "non-dropping-particle" : "", "parse-names" : false, "suffix" : "" } ], "container-title" : "Expert review of gastroenterology &amp; hepatology", "id" : "ITEM-1", "issue" : "2", "issued" : { "date-parts" : [ [ "2013" ] ] }, "page" : "141-155", "title" : "Assessing portal hypertension in liver diseases.", "type" : "article-journal", "volume" : "7" }, "uris" : [ "http://www.mendeley.com/documents/?uuid=f1c3a4ff-60ac-485a-8bd1-966b2b80722c" ] } ], "mendeley" : { "formattedCitation" : "&lt;sup&gt;[8]&lt;/sup&gt;", "plainTextFormattedCitation" : "[8]", "previouslyFormattedCitation" : "&lt;sup&gt;[8]&lt;/sup&gt;" }, "properties" : { "noteIndex" : 0 }, "schema" : "https://github.com/citation-style-language/schema/raw/master/csl-citation.json" }</w:instrText>
      </w:r>
      <w:r w:rsidR="002F471A" w:rsidRPr="00787839">
        <w:rPr>
          <w:rFonts w:ascii="Book Antiqua" w:hAnsi="Book Antiqua" w:cs="Times New Roman"/>
          <w:sz w:val="24"/>
          <w:szCs w:val="24"/>
          <w:u w:color="000000"/>
          <w:vertAlign w:val="superscript"/>
        </w:rPr>
        <w:fldChar w:fldCharType="separate"/>
      </w:r>
      <w:r w:rsidR="001A3E46" w:rsidRPr="00787839">
        <w:rPr>
          <w:rFonts w:ascii="Book Antiqua" w:hAnsi="Book Antiqua" w:cs="Times New Roman"/>
          <w:noProof/>
          <w:sz w:val="24"/>
          <w:szCs w:val="24"/>
          <w:u w:color="000000"/>
          <w:vertAlign w:val="superscript"/>
        </w:rPr>
        <w:t>[8]</w:t>
      </w:r>
      <w:r w:rsidR="002F471A" w:rsidRPr="00787839">
        <w:rPr>
          <w:rFonts w:ascii="Book Antiqua" w:hAnsi="Book Antiqua" w:cs="Times New Roman"/>
          <w:sz w:val="24"/>
          <w:szCs w:val="24"/>
          <w:u w:color="000000"/>
          <w:vertAlign w:val="superscript"/>
        </w:rPr>
        <w:fldChar w:fldCharType="end"/>
      </w:r>
      <w:r w:rsidR="007B0EF8" w:rsidRPr="00787839">
        <w:rPr>
          <w:rFonts w:ascii="Book Antiqua" w:hAnsi="Book Antiqua" w:cs="Times New Roman"/>
          <w:sz w:val="24"/>
          <w:szCs w:val="24"/>
          <w:u w:color="000000"/>
        </w:rPr>
        <w:t xml:space="preserve">. </w:t>
      </w:r>
      <w:r w:rsidR="00573DDC" w:rsidRPr="00787839">
        <w:rPr>
          <w:rFonts w:ascii="Book Antiqua" w:hAnsi="Book Antiqua" w:cs="Times New Roman"/>
          <w:sz w:val="24"/>
          <w:szCs w:val="24"/>
          <w:u w:color="000000"/>
        </w:rPr>
        <w:t xml:space="preserve">Unfortunately, the clinical usefulness of US in portal hypertension remains unsettled as it is plagued by </w:t>
      </w:r>
      <w:r w:rsidR="00903B4F" w:rsidRPr="00787839">
        <w:rPr>
          <w:rFonts w:ascii="Book Antiqua" w:hAnsi="Book Antiqua" w:cs="Times New Roman"/>
          <w:sz w:val="24"/>
          <w:szCs w:val="24"/>
          <w:u w:color="000000"/>
        </w:rPr>
        <w:t xml:space="preserve">the </w:t>
      </w:r>
      <w:r w:rsidR="00573DDC" w:rsidRPr="00787839">
        <w:rPr>
          <w:rFonts w:ascii="Book Antiqua" w:hAnsi="Book Antiqua" w:cs="Times New Roman"/>
          <w:sz w:val="24"/>
          <w:szCs w:val="24"/>
          <w:u w:color="000000"/>
        </w:rPr>
        <w:t xml:space="preserve">lack of reproducibility and accuracy secondary </w:t>
      </w:r>
      <w:r w:rsidR="00572C4D" w:rsidRPr="00787839">
        <w:rPr>
          <w:rFonts w:ascii="Book Antiqua" w:hAnsi="Book Antiqua" w:cs="Times New Roman"/>
          <w:sz w:val="24"/>
          <w:szCs w:val="24"/>
          <w:u w:color="000000"/>
        </w:rPr>
        <w:t>to</w:t>
      </w:r>
      <w:r w:rsidR="00573DDC" w:rsidRPr="00787839">
        <w:rPr>
          <w:rFonts w:ascii="Book Antiqua" w:hAnsi="Book Antiqua" w:cs="Times New Roman"/>
          <w:sz w:val="24"/>
          <w:szCs w:val="24"/>
          <w:u w:color="000000"/>
        </w:rPr>
        <w:t xml:space="preserve"> intra- and interobserver variation and patient </w:t>
      </w:r>
      <w:r w:rsidR="00573DDC" w:rsidRPr="00787839">
        <w:rPr>
          <w:rFonts w:ascii="Book Antiqua" w:hAnsi="Book Antiqua" w:cs="Times New Roman"/>
          <w:sz w:val="24"/>
          <w:szCs w:val="24"/>
          <w:u w:color="000000"/>
        </w:rPr>
        <w:lastRenderedPageBreak/>
        <w:t xml:space="preserve">related factors (body habitus, respiratory motion, </w:t>
      </w:r>
      <w:r w:rsidR="00787839" w:rsidRPr="00787839">
        <w:rPr>
          <w:rFonts w:ascii="Book Antiqua" w:hAnsi="Book Antiqua" w:cs="Times New Roman"/>
          <w:i/>
          <w:sz w:val="24"/>
          <w:szCs w:val="24"/>
          <w:u w:color="000000"/>
        </w:rPr>
        <w:t>etc</w:t>
      </w:r>
      <w:r w:rsidR="00573DDC" w:rsidRPr="00787839">
        <w:rPr>
          <w:rFonts w:ascii="Book Antiqua" w:hAnsi="Book Antiqua" w:cs="Times New Roman"/>
          <w:sz w:val="24"/>
          <w:szCs w:val="24"/>
          <w:u w:color="000000"/>
        </w:rPr>
        <w:t xml:space="preserve">.). </w:t>
      </w:r>
      <w:r w:rsidR="00813D29" w:rsidRPr="00787839">
        <w:rPr>
          <w:rFonts w:ascii="Book Antiqua" w:hAnsi="Book Antiqua" w:cs="Times New Roman"/>
          <w:sz w:val="24"/>
          <w:szCs w:val="24"/>
          <w:u w:color="000000"/>
        </w:rPr>
        <w:t>T</w:t>
      </w:r>
      <w:r w:rsidR="00FD377A" w:rsidRPr="00787839">
        <w:rPr>
          <w:rFonts w:ascii="Book Antiqua" w:hAnsi="Book Antiqua" w:cs="Times New Roman"/>
          <w:sz w:val="24"/>
          <w:szCs w:val="24"/>
          <w:u w:color="000000"/>
        </w:rPr>
        <w:t xml:space="preserve">ransient </w:t>
      </w:r>
      <w:r w:rsidR="00D232D3" w:rsidRPr="00787839">
        <w:rPr>
          <w:rFonts w:ascii="Book Antiqua" w:hAnsi="Book Antiqua" w:cs="Times New Roman"/>
          <w:sz w:val="24"/>
          <w:szCs w:val="24"/>
          <w:u w:color="000000"/>
        </w:rPr>
        <w:t>e</w:t>
      </w:r>
      <w:r w:rsidR="00FD377A" w:rsidRPr="00787839">
        <w:rPr>
          <w:rFonts w:ascii="Book Antiqua" w:hAnsi="Book Antiqua" w:cs="Times New Roman"/>
          <w:sz w:val="24"/>
          <w:szCs w:val="24"/>
          <w:u w:color="000000"/>
        </w:rPr>
        <w:t>lastography is a</w:t>
      </w:r>
      <w:r w:rsidR="00B66FDB" w:rsidRPr="00787839">
        <w:rPr>
          <w:rFonts w:ascii="Book Antiqua" w:hAnsi="Book Antiqua" w:cs="Times New Roman"/>
          <w:sz w:val="24"/>
          <w:szCs w:val="24"/>
          <w:u w:color="000000"/>
        </w:rPr>
        <w:t xml:space="preserve"> </w:t>
      </w:r>
      <w:r w:rsidR="00FD377A" w:rsidRPr="00787839">
        <w:rPr>
          <w:rFonts w:ascii="Book Antiqua" w:hAnsi="Book Antiqua" w:cs="Times New Roman"/>
          <w:sz w:val="24"/>
          <w:szCs w:val="24"/>
          <w:u w:color="000000"/>
        </w:rPr>
        <w:t>novel but well-validated</w:t>
      </w:r>
      <w:r w:rsidR="00813D29" w:rsidRPr="00787839">
        <w:rPr>
          <w:rFonts w:ascii="Book Antiqua" w:hAnsi="Book Antiqua" w:cs="Times New Roman"/>
          <w:sz w:val="24"/>
          <w:szCs w:val="24"/>
          <w:u w:color="000000"/>
        </w:rPr>
        <w:t xml:space="preserve"> sonographic</w:t>
      </w:r>
      <w:r w:rsidR="00FD377A" w:rsidRPr="00787839">
        <w:rPr>
          <w:rFonts w:ascii="Book Antiqua" w:hAnsi="Book Antiqua" w:cs="Times New Roman"/>
          <w:sz w:val="24"/>
          <w:szCs w:val="24"/>
          <w:u w:color="000000"/>
        </w:rPr>
        <w:t xml:space="preserve"> technique </w:t>
      </w:r>
      <w:r w:rsidR="00B66FDB" w:rsidRPr="00787839">
        <w:rPr>
          <w:rFonts w:ascii="Book Antiqua" w:hAnsi="Book Antiqua" w:cs="Times New Roman"/>
          <w:sz w:val="24"/>
          <w:szCs w:val="24"/>
          <w:u w:color="000000"/>
        </w:rPr>
        <w:t xml:space="preserve">that </w:t>
      </w:r>
      <w:r w:rsidR="00094FE1" w:rsidRPr="00787839">
        <w:rPr>
          <w:rFonts w:ascii="Book Antiqua" w:hAnsi="Book Antiqua" w:cs="Times New Roman"/>
          <w:sz w:val="24"/>
          <w:szCs w:val="24"/>
          <w:u w:color="000000"/>
        </w:rPr>
        <w:t xml:space="preserve">has emerged </w:t>
      </w:r>
      <w:r w:rsidR="00813D29" w:rsidRPr="00787839">
        <w:rPr>
          <w:rFonts w:ascii="Book Antiqua" w:hAnsi="Book Antiqua" w:cs="Times New Roman"/>
          <w:sz w:val="24"/>
          <w:szCs w:val="24"/>
          <w:u w:color="000000"/>
        </w:rPr>
        <w:t>in the evaluation of hepatic fibrosis. The</w:t>
      </w:r>
      <w:r w:rsidR="00094FE1" w:rsidRPr="00787839">
        <w:rPr>
          <w:rFonts w:ascii="Book Antiqua" w:hAnsi="Book Antiqua" w:cs="Times New Roman"/>
          <w:sz w:val="24"/>
          <w:szCs w:val="24"/>
          <w:u w:color="000000"/>
        </w:rPr>
        <w:t xml:space="preserve"> reported</w:t>
      </w:r>
      <w:r w:rsidR="00813D29" w:rsidRPr="00787839">
        <w:rPr>
          <w:rFonts w:ascii="Book Antiqua" w:hAnsi="Book Antiqua" w:cs="Times New Roman"/>
          <w:sz w:val="24"/>
          <w:szCs w:val="24"/>
          <w:u w:color="000000"/>
        </w:rPr>
        <w:t xml:space="preserve"> correlation between liver stiffness and HWVP </w:t>
      </w:r>
      <w:r w:rsidR="00094FE1" w:rsidRPr="00787839">
        <w:rPr>
          <w:rFonts w:ascii="Book Antiqua" w:hAnsi="Book Antiqua" w:cs="Times New Roman"/>
          <w:sz w:val="24"/>
          <w:szCs w:val="24"/>
          <w:u w:color="000000"/>
        </w:rPr>
        <w:t>makes elastography a potential</w:t>
      </w:r>
      <w:r w:rsidR="00813D29" w:rsidRPr="00787839">
        <w:rPr>
          <w:rFonts w:ascii="Book Antiqua" w:hAnsi="Book Antiqua" w:cs="Times New Roman"/>
          <w:sz w:val="24"/>
          <w:szCs w:val="24"/>
          <w:u w:color="000000"/>
        </w:rPr>
        <w:t xml:space="preserve"> helpful tool for the non-invasive evaluation of portal hypertension</w:t>
      </w:r>
      <w:r w:rsidR="00813D29" w:rsidRPr="00787839">
        <w:rPr>
          <w:rFonts w:ascii="Book Antiqua" w:hAnsi="Book Antiqua" w:cs="Times New Roman"/>
          <w:sz w:val="24"/>
          <w:szCs w:val="24"/>
          <w:u w:color="000000"/>
        </w:rPr>
        <w:fldChar w:fldCharType="begin" w:fldLock="1"/>
      </w:r>
      <w:r w:rsidR="00617169" w:rsidRPr="00787839">
        <w:rPr>
          <w:rFonts w:ascii="Book Antiqua" w:hAnsi="Book Antiqua" w:cs="Times New Roman"/>
          <w:sz w:val="24"/>
          <w:szCs w:val="24"/>
          <w:u w:color="000000"/>
        </w:rPr>
        <w:instrText>ADDIN CSL_CITATION { "citationItems" : [ { "id" : "ITEM-1", "itemData" : { "DOI" : "10.1016/j.jhep.2011.07.005", "ISBN" : "0168-8278", "ISSN" : "01688278", "PMID" : "21767510", "abstract" : "The development of portal hypertension is a common consequence of chronic liver diseases leading to the formation of esophageal and gastric varices responsible for variceal bleeding, associated with a high mortality rate, as well as other severe complications such as portosystemic encephalopathy and sepsis. Measurement of hepatic venous pressure gradient (HVPG) and upper GI endoscopy are considered the gold standards for portal hypertension assessment in patients with cirrhosis. However, both types of investigation are invasive and HVPG measurement is routinely available and/or performed with adequate standards only in expert centres. There is thus a need for non invasive methods able to predict, with acceptable diagnostic accuracy, the progression of portal hypertension toward the levels of clinically significant (i.e. HVPG \u226510 mmHg) and severe (HVPG \u226512 mmHg) as well as the presence and the size of oesophageal varices. Transient elastography (TE) is a novel non invasive technology that allows measuring liver stiffness and that has gained popularity over the past few years. Although TE has been initially proposed to assess liver fibrosis, a good correlation has been reported between liver stiffness values and HVPG as well as the presence of oesophageal varices, suggesting that it could be an interesting tool for the non invasive evaluation of portal hypertension. This review is aimed at discussing the advantages and limits of TE and the perspectives for its rationale use in clinical practice for the management of patients with portal hypertension. \u00a9 2011 European Association for the Study of the Liver. Published by Elsevier B.V. All rights reserved.", "author" : [ { "dropping-particle" : "", "family" : "Castera", "given" : "Laurent", "non-dropping-particle" : "", "parse-names" : false, "suffix" : "" }, { "dropping-particle" : "", "family" : "Pinzani", "given" : "Massimo", "non-dropping-particle" : "", "parse-names" : false, "suffix" : "" }, { "dropping-particle" : "", "family" : "Bosch", "given" : "Jaime", "non-dropping-particle" : "", "parse-names" : false, "suffix" : "" } ], "container-title" : "Journal of Hepatology", "id" : "ITEM-1", "issue" : "3", "issued" : { "date-parts" : [ [ "2012" ] ] }, "page" : "696-703", "publisher" : "European Association for the Study of the Liver", "title" : "Non invasive evaluation of portal hypertension using transient elastography", "type" : "article-journal", "volume" : "56" }, "uris" : [ "http://www.mendeley.com/documents/?uuid=8a904598-2b84-4cea-a6e6-c00bb6782f78" ] } ], "mendeley" : { "formattedCitation" : "&lt;sup&gt;[12]&lt;/sup&gt;", "plainTextFormattedCitation" : "[12]", "previouslyFormattedCitation" : "&lt;sup&gt;[12]&lt;/sup&gt;" }, "properties" : { "noteIndex" : 0 }, "schema" : "https://github.com/citation-style-language/schema/raw/master/csl-citation.json" }</w:instrText>
      </w:r>
      <w:r w:rsidR="00813D29" w:rsidRPr="00787839">
        <w:rPr>
          <w:rFonts w:ascii="Book Antiqua" w:hAnsi="Book Antiqua" w:cs="Times New Roman"/>
          <w:sz w:val="24"/>
          <w:szCs w:val="24"/>
          <w:u w:color="000000"/>
        </w:rPr>
        <w:fldChar w:fldCharType="separate"/>
      </w:r>
      <w:r w:rsidR="001A3E46" w:rsidRPr="00787839">
        <w:rPr>
          <w:rFonts w:ascii="Book Antiqua" w:hAnsi="Book Antiqua" w:cs="Times New Roman"/>
          <w:noProof/>
          <w:sz w:val="24"/>
          <w:szCs w:val="24"/>
          <w:u w:color="000000"/>
          <w:vertAlign w:val="superscript"/>
        </w:rPr>
        <w:t>[12]</w:t>
      </w:r>
      <w:r w:rsidR="00813D29" w:rsidRPr="00787839">
        <w:rPr>
          <w:rFonts w:ascii="Book Antiqua" w:hAnsi="Book Antiqua" w:cs="Times New Roman"/>
          <w:sz w:val="24"/>
          <w:szCs w:val="24"/>
          <w:u w:color="000000"/>
        </w:rPr>
        <w:fldChar w:fldCharType="end"/>
      </w:r>
      <w:r w:rsidR="007B0EF8" w:rsidRPr="00787839">
        <w:rPr>
          <w:rFonts w:ascii="Book Antiqua" w:hAnsi="Book Antiqua" w:cs="Times New Roman"/>
          <w:sz w:val="24"/>
          <w:szCs w:val="24"/>
          <w:u w:color="000000"/>
        </w:rPr>
        <w:t>.</w:t>
      </w:r>
    </w:p>
    <w:p w14:paraId="376EC3A2" w14:textId="29320FB6" w:rsidR="00FD377A" w:rsidRPr="00787839" w:rsidRDefault="00FD377A" w:rsidP="00787839">
      <w:pPr>
        <w:adjustRightInd w:val="0"/>
        <w:snapToGrid w:val="0"/>
        <w:spacing w:after="0" w:line="360" w:lineRule="auto"/>
        <w:ind w:firstLineChars="100" w:firstLine="240"/>
        <w:rPr>
          <w:rFonts w:ascii="Book Antiqua" w:hAnsi="Book Antiqua" w:cs="Times New Roman"/>
          <w:sz w:val="24"/>
          <w:szCs w:val="24"/>
          <w:u w:color="000000"/>
        </w:rPr>
      </w:pPr>
      <w:r w:rsidRPr="00787839">
        <w:rPr>
          <w:rFonts w:ascii="Book Antiqua" w:hAnsi="Book Antiqua" w:cs="Times New Roman"/>
          <w:sz w:val="24"/>
          <w:szCs w:val="24"/>
          <w:u w:color="000000"/>
        </w:rPr>
        <w:t>Both CT and MR</w:t>
      </w:r>
      <w:r w:rsidR="005C4BE8" w:rsidRPr="00787839">
        <w:rPr>
          <w:rFonts w:ascii="Book Antiqua" w:hAnsi="Book Antiqua" w:cs="Times New Roman"/>
          <w:sz w:val="24"/>
          <w:szCs w:val="24"/>
          <w:u w:color="000000"/>
        </w:rPr>
        <w:t>I</w:t>
      </w:r>
      <w:r w:rsidRPr="00787839">
        <w:rPr>
          <w:rFonts w:ascii="Book Antiqua" w:hAnsi="Book Antiqua" w:cs="Times New Roman"/>
          <w:sz w:val="24"/>
          <w:szCs w:val="24"/>
          <w:u w:color="000000"/>
        </w:rPr>
        <w:t xml:space="preserve"> provide excellent cross-sectional visualization of the portal venous system with superior spatial and contrast resolution when combined with intravenous contrast agents (non-iodinated contrast and gadolinium chelate agents, respectively)</w:t>
      </w:r>
      <w:r w:rsidR="003F2E20" w:rsidRPr="00787839">
        <w:rPr>
          <w:rFonts w:ascii="Book Antiqua" w:hAnsi="Book Antiqua" w:cs="Times New Roman"/>
          <w:sz w:val="24"/>
          <w:szCs w:val="24"/>
          <w:u w:color="000000"/>
          <w:vertAlign w:val="superscript"/>
        </w:rPr>
        <w:fldChar w:fldCharType="begin" w:fldLock="1"/>
      </w:r>
      <w:r w:rsidR="00617169" w:rsidRPr="00787839">
        <w:rPr>
          <w:rFonts w:ascii="Book Antiqua" w:hAnsi="Book Antiqua" w:cs="Times New Roman"/>
          <w:sz w:val="24"/>
          <w:szCs w:val="24"/>
          <w:u w:color="000000"/>
          <w:vertAlign w:val="superscript"/>
        </w:rPr>
        <w:instrText>ADDIN CSL_CITATION { "citationItems" : [ { "id" : "ITEM-1", "itemData" : { "DOI" : "10.1586/egh.12.83", "ISBN" : "1747-4132 (Electronic)\\r1747-4124 (Linking)", "ISSN" : "1747-4132", "PMID" : "23363263", "abstract" : "Portal hypertension is a common complication of chronic liver diseases and is responsible for most clinical consequences of cirrhosis, which represent the more frequent causes of death and liver transplantation in these patients. This review is aimed at clarifying the state-of-the art assessment of portal hypertension and at discussing recent developments in this field. Particular attention is paid to new noninvasive techniques that will be soon available for potential routine use.", "author" : [ { "dropping-particle" : "", "family" : "Berzigotti", "given" : "Annalisa", "non-dropping-particle" : "", "parse-names" : false, "suffix" : "" }, { "dropping-particle" : "", "family" : "Seijo", "given" : "Susana", "non-dropping-particle" : "", "parse-names" : false, "suffix" : "" }, { "dropping-particle" : "", "family" : "Reverter", "given" : "Enric", "non-dropping-particle" : "", "parse-names" : false, "suffix" : "" }, { "dropping-particle" : "", "family" : "Bosch", "given" : "Jaime", "non-dropping-particle" : "", "parse-names" : false, "suffix" : "" } ], "container-title" : "Expert review of gastroenterology &amp; hepatology", "id" : "ITEM-1", "issue" : "2", "issued" : { "date-parts" : [ [ "2013" ] ] }, "page" : "141-155", "title" : "Assessing portal hypertension in liver diseases.", "type" : "article-journal", "volume" : "7" }, "uris" : [ "http://www.mendeley.com/documents/?uuid=f1c3a4ff-60ac-485a-8bd1-966b2b80722c" ] } ], "mendeley" : { "formattedCitation" : "&lt;sup&gt;[8]&lt;/sup&gt;", "plainTextFormattedCitation" : "[8]", "previouslyFormattedCitation" : "&lt;sup&gt;[8]&lt;/sup&gt;" }, "properties" : { "noteIndex" : 0 }, "schema" : "https://github.com/citation-style-language/schema/raw/master/csl-citation.json" }</w:instrText>
      </w:r>
      <w:r w:rsidR="003F2E20" w:rsidRPr="00787839">
        <w:rPr>
          <w:rFonts w:ascii="Book Antiqua" w:hAnsi="Book Antiqua" w:cs="Times New Roman"/>
          <w:sz w:val="24"/>
          <w:szCs w:val="24"/>
          <w:u w:color="000000"/>
          <w:vertAlign w:val="superscript"/>
        </w:rPr>
        <w:fldChar w:fldCharType="separate"/>
      </w:r>
      <w:r w:rsidR="001A3E46" w:rsidRPr="00787839">
        <w:rPr>
          <w:rFonts w:ascii="Book Antiqua" w:hAnsi="Book Antiqua" w:cs="Times New Roman"/>
          <w:noProof/>
          <w:sz w:val="24"/>
          <w:szCs w:val="24"/>
          <w:u w:color="000000"/>
          <w:vertAlign w:val="superscript"/>
        </w:rPr>
        <w:t>[8]</w:t>
      </w:r>
      <w:r w:rsidR="003F2E20" w:rsidRPr="00787839">
        <w:rPr>
          <w:rFonts w:ascii="Book Antiqua" w:hAnsi="Book Antiqua" w:cs="Times New Roman"/>
          <w:sz w:val="24"/>
          <w:szCs w:val="24"/>
          <w:u w:color="000000"/>
          <w:vertAlign w:val="superscript"/>
        </w:rPr>
        <w:fldChar w:fldCharType="end"/>
      </w:r>
      <w:r w:rsidR="007B0EF8" w:rsidRPr="00787839">
        <w:rPr>
          <w:rFonts w:ascii="Book Antiqua" w:hAnsi="Book Antiqua" w:cs="Times New Roman"/>
          <w:sz w:val="24"/>
          <w:szCs w:val="24"/>
          <w:u w:color="000000"/>
        </w:rPr>
        <w:t xml:space="preserve">. </w:t>
      </w:r>
      <w:r w:rsidRPr="00787839">
        <w:rPr>
          <w:rFonts w:ascii="Book Antiqua" w:hAnsi="Book Antiqua" w:cs="Times New Roman"/>
          <w:sz w:val="24"/>
          <w:szCs w:val="24"/>
          <w:u w:color="000000"/>
        </w:rPr>
        <w:t>CT and MR</w:t>
      </w:r>
      <w:r w:rsidR="005C4BE8" w:rsidRPr="00787839">
        <w:rPr>
          <w:rFonts w:ascii="Book Antiqua" w:hAnsi="Book Antiqua" w:cs="Times New Roman"/>
          <w:sz w:val="24"/>
          <w:szCs w:val="24"/>
          <w:u w:color="000000"/>
        </w:rPr>
        <w:t>I</w:t>
      </w:r>
      <w:r w:rsidRPr="00787839">
        <w:rPr>
          <w:rFonts w:ascii="Book Antiqua" w:hAnsi="Book Antiqua" w:cs="Times New Roman"/>
          <w:sz w:val="24"/>
          <w:szCs w:val="24"/>
          <w:u w:color="000000"/>
        </w:rPr>
        <w:t xml:space="preserve"> can outline the full extent of portal vein thrombosis, portosystemic collateral mapping, and treatment planning in cases of complex anatomy. </w:t>
      </w:r>
      <w:r w:rsidR="00400C68" w:rsidRPr="00787839">
        <w:rPr>
          <w:rFonts w:ascii="Book Antiqua" w:hAnsi="Book Antiqua" w:cs="Times New Roman"/>
          <w:sz w:val="24"/>
          <w:szCs w:val="24"/>
          <w:u w:color="000000"/>
        </w:rPr>
        <w:t>Although endoscopy is the gold standard, CT can also be useful in</w:t>
      </w:r>
      <w:r w:rsidR="005C4BE8" w:rsidRPr="00787839">
        <w:rPr>
          <w:rFonts w:ascii="Book Antiqua" w:hAnsi="Book Antiqua" w:cs="Times New Roman"/>
          <w:sz w:val="24"/>
          <w:szCs w:val="24"/>
          <w:u w:color="000000"/>
        </w:rPr>
        <w:t xml:space="preserve"> the</w:t>
      </w:r>
      <w:r w:rsidR="00400C68" w:rsidRPr="00787839">
        <w:rPr>
          <w:rFonts w:ascii="Book Antiqua" w:hAnsi="Book Antiqua" w:cs="Times New Roman"/>
          <w:sz w:val="24"/>
          <w:szCs w:val="24"/>
          <w:u w:color="000000"/>
        </w:rPr>
        <w:t xml:space="preserve"> detection of</w:t>
      </w:r>
      <w:r w:rsidR="005C4BE8" w:rsidRPr="00787839">
        <w:rPr>
          <w:rFonts w:ascii="Book Antiqua" w:hAnsi="Book Antiqua" w:cs="Times New Roman"/>
          <w:sz w:val="24"/>
          <w:szCs w:val="24"/>
          <w:u w:color="000000"/>
        </w:rPr>
        <w:t xml:space="preserve"> esophageal/</w:t>
      </w:r>
      <w:r w:rsidR="00400C68" w:rsidRPr="00787839">
        <w:rPr>
          <w:rFonts w:ascii="Book Antiqua" w:hAnsi="Book Antiqua" w:cs="Times New Roman"/>
          <w:sz w:val="24"/>
          <w:szCs w:val="24"/>
          <w:u w:color="000000"/>
        </w:rPr>
        <w:t xml:space="preserve">gastric varices. In a prospective evaluation, Perri </w:t>
      </w:r>
      <w:r w:rsidR="007F096F" w:rsidRPr="00787839">
        <w:rPr>
          <w:rFonts w:ascii="Book Antiqua" w:hAnsi="Book Antiqua" w:cs="Times New Roman"/>
          <w:i/>
          <w:sz w:val="24"/>
          <w:szCs w:val="24"/>
          <w:u w:color="000000"/>
        </w:rPr>
        <w:t>et al</w:t>
      </w:r>
      <w:r w:rsidR="00787839" w:rsidRPr="00787839">
        <w:rPr>
          <w:rFonts w:ascii="Book Antiqua" w:hAnsi="Book Antiqua" w:cs="Times New Roman"/>
          <w:sz w:val="24"/>
          <w:szCs w:val="24"/>
          <w:u w:color="000000"/>
        </w:rPr>
        <w:fldChar w:fldCharType="begin" w:fldLock="1"/>
      </w:r>
      <w:r w:rsidR="00787839" w:rsidRPr="00787839">
        <w:rPr>
          <w:rFonts w:ascii="Book Antiqua" w:hAnsi="Book Antiqua" w:cs="Times New Roman"/>
          <w:sz w:val="24"/>
          <w:szCs w:val="24"/>
          <w:u w:color="000000"/>
        </w:rPr>
        <w:instrText>ADDIN CSL_CITATION { "citationItems" : [ { "id" : "ITEM-1", "itemData" : { "DOI" : "10.1002/hep.22219", "ISBN" : "1527-3350 (Electronic)\\r0270-9139 (Linking)", "ISSN" : "02709139", "PMID" : "18393388", "abstract" : "Patients with cirrhosis require endoscopic screening for large esophageal varices. The aims of this study were to determine the cost-effectiveness and patient preferences of a strategy employing abdominal computerized tomography (CT) as the initial screening test for identifying large esophageal varices. In a prospective evaluation,102 patients underwent both CT and endoscopic screening for gastroesophageal varices. Two radiologists read each CT independently; standard upper gastrointestinal endoscopy was the reference standard. Agreement between radiologists, and between endoscopists regarding size of varices was determined using kappa statistic. Cost-effectiveness analysis was performed to determine the optimal screening strategy for varices. Patient preference was assessed by questionnaire. CT was found to have approximately 90% sensitivity in the identification of esophageal varices determined to be large on endoscopy, but only about 50% specificity. The sensitivity of CT in detecting gastric varices was 87%. In addition, a significant number of gastric varices, peri-esophageal varices, and extraluminal pathology were identified by CT that were not identified by endoscopy. Patients overwhelmingly preferred CT over endoscopy. Agreement between radiologists was good regarding the size of varices (Kappa = 0.56), and exceeded agreement between endoscopists (Kappa = 0.36). Use of CT as the initial screening modality for the detection of varices was significantly more cost-effective compared to endoscopy irrespective of the prevalence of large varices. CONCLUSION: Abdominal CT as the initial screening test for varices could be cost-effective. CT also permits evaluation of extra-luminal pathology that impacts management.", "author" : [ { "dropping-particle" : "", "family" : "Perri", "given" : "Roman E.", "non-dropping-particle" : "", "parse-names" : false, "suffix" : "" }, { "dropping-particle" : "V.", "family" : "Chiorean", "given" : "Michael", "non-dropping-particle" : "", "parse-names" : false, "suffix" : "" }, { "dropping-particle" : "", "family" : "Fidler", "given" : "Jeff L.", "non-dropping-particle" : "", "parse-names" : false, "suffix" : "" }, { "dropping-particle" : "", "family" : "Fletcher", "given" : "Joel G.", "non-dropping-particle" : "", "parse-names" : false, "suffix" : "" }, { "dropping-particle" : "", "family" : "Talwalkar", "given" : "Jayant A.", "non-dropping-particle" : "", "parse-names" : false, "suffix" : "" }, { "dropping-particle" : "", "family" : "Stadheim", "given" : "Linda", "non-dropping-particle" : "", "parse-names" : false, "suffix" : "" }, { "dropping-particle" : "", "family" : "Shah", "given" : "Nilay D.", "non-dropping-particle" : "", "parse-names" : false, "suffix" : "" }, { "dropping-particle" : "", "family" : "Kamath", "given" : "Patrick S.", "non-dropping-particle" : "", "parse-names" : false, "suffix" : "" } ], "container-title" : "Hepatology", "id" : "ITEM-1", "issue" : "5", "issued" : { "date-parts" : [ [ "2008" ] ] }, "page" : "1587-1594", "title" : "A prospective evaluation of computerized tomographic (CT) scanning as a screening modality for esophageal varices", "type" : "article-journal", "volume" : "47" }, "uris" : [ "http://www.mendeley.com/documents/?uuid=57665251-d684-47cb-941d-f2961480bcd2" ] } ], "mendeley" : { "formattedCitation" : "&lt;sup&gt;[13]&lt;/sup&gt;", "plainTextFormattedCitation" : "[13]", "previouslyFormattedCitation" : "&lt;sup&gt;[13]&lt;/sup&gt;" }, "properties" : { "noteIndex" : 0 }, "schema" : "https://github.com/citation-style-language/schema/raw/master/csl-citation.json" }</w:instrText>
      </w:r>
      <w:r w:rsidR="00787839" w:rsidRPr="00787839">
        <w:rPr>
          <w:rFonts w:ascii="Book Antiqua" w:hAnsi="Book Antiqua" w:cs="Times New Roman"/>
          <w:sz w:val="24"/>
          <w:szCs w:val="24"/>
          <w:u w:color="000000"/>
        </w:rPr>
        <w:fldChar w:fldCharType="separate"/>
      </w:r>
      <w:r w:rsidR="00787839" w:rsidRPr="00787839">
        <w:rPr>
          <w:rFonts w:ascii="Book Antiqua" w:hAnsi="Book Antiqua" w:cs="Times New Roman"/>
          <w:sz w:val="24"/>
          <w:szCs w:val="24"/>
          <w:u w:color="000000"/>
          <w:vertAlign w:val="superscript"/>
        </w:rPr>
        <w:t>[13]</w:t>
      </w:r>
      <w:r w:rsidR="00787839" w:rsidRPr="00787839">
        <w:rPr>
          <w:rFonts w:ascii="Book Antiqua" w:hAnsi="Book Antiqua" w:cs="Times New Roman"/>
          <w:sz w:val="24"/>
          <w:szCs w:val="24"/>
          <w:u w:color="000000"/>
        </w:rPr>
        <w:fldChar w:fldCharType="end"/>
      </w:r>
      <w:r w:rsidR="00400C68" w:rsidRPr="00787839">
        <w:rPr>
          <w:rFonts w:ascii="Book Antiqua" w:hAnsi="Book Antiqua" w:cs="Times New Roman"/>
          <w:sz w:val="24"/>
          <w:szCs w:val="24"/>
          <w:u w:color="000000"/>
        </w:rPr>
        <w:t xml:space="preserve"> demonstrated that CT had a 90% sensitivity in the identification of esophageal varices determined to be large on endoscopy</w:t>
      </w:r>
      <w:r w:rsidR="001A6EC7" w:rsidRPr="00787839">
        <w:rPr>
          <w:rFonts w:ascii="Book Antiqua" w:hAnsi="Book Antiqua" w:cs="Times New Roman"/>
          <w:sz w:val="24"/>
          <w:szCs w:val="24"/>
          <w:u w:color="000000"/>
        </w:rPr>
        <w:t>, but only about 50% specific</w:t>
      </w:r>
      <w:r w:rsidR="00400C68" w:rsidRPr="00787839">
        <w:rPr>
          <w:rFonts w:ascii="Book Antiqua" w:hAnsi="Book Antiqua" w:cs="Times New Roman"/>
          <w:sz w:val="24"/>
          <w:szCs w:val="24"/>
          <w:u w:color="000000"/>
        </w:rPr>
        <w:t>. The sensitivity of CT in detecting gastric varices was 87%</w:t>
      </w:r>
      <w:r w:rsidR="00617169" w:rsidRPr="00787839">
        <w:rPr>
          <w:rFonts w:ascii="Book Antiqua" w:hAnsi="Book Antiqua" w:cs="Times New Roman"/>
          <w:sz w:val="24"/>
          <w:szCs w:val="24"/>
          <w:u w:color="000000"/>
        </w:rPr>
        <w:t xml:space="preserve">. </w:t>
      </w:r>
      <w:r w:rsidRPr="00787839">
        <w:rPr>
          <w:rFonts w:ascii="Book Antiqua" w:hAnsi="Book Antiqua" w:cs="Times New Roman"/>
          <w:sz w:val="24"/>
          <w:szCs w:val="24"/>
          <w:u w:color="000000"/>
        </w:rPr>
        <w:t xml:space="preserve">CT however </w:t>
      </w:r>
      <w:r w:rsidR="00731147" w:rsidRPr="00787839">
        <w:rPr>
          <w:rFonts w:ascii="Book Antiqua" w:hAnsi="Book Antiqua" w:cs="Times New Roman"/>
          <w:sz w:val="24"/>
          <w:szCs w:val="24"/>
          <w:u w:color="000000"/>
        </w:rPr>
        <w:t xml:space="preserve">carries with it the burden of ionizing </w:t>
      </w:r>
      <w:r w:rsidRPr="00787839">
        <w:rPr>
          <w:rFonts w:ascii="Book Antiqua" w:hAnsi="Book Antiqua" w:cs="Times New Roman"/>
          <w:sz w:val="24"/>
          <w:szCs w:val="24"/>
          <w:u w:color="000000"/>
        </w:rPr>
        <w:t>radiation and there is a small risk of both allergic reaction and nephrotoxicity with both CT and MR contrast agents</w:t>
      </w:r>
      <w:r w:rsidR="003F2E20" w:rsidRPr="00787839">
        <w:rPr>
          <w:rFonts w:ascii="Book Antiqua" w:hAnsi="Book Antiqua" w:cs="Times New Roman"/>
          <w:sz w:val="24"/>
          <w:szCs w:val="24"/>
          <w:u w:color="000000"/>
          <w:vertAlign w:val="superscript"/>
        </w:rPr>
        <w:fldChar w:fldCharType="begin" w:fldLock="1"/>
      </w:r>
      <w:r w:rsidR="00F65CE7" w:rsidRPr="00787839">
        <w:rPr>
          <w:rFonts w:ascii="Book Antiqua" w:hAnsi="Book Antiqua" w:cs="Times New Roman"/>
          <w:sz w:val="24"/>
          <w:szCs w:val="24"/>
          <w:u w:color="000000"/>
          <w:vertAlign w:val="superscript"/>
        </w:rPr>
        <w:instrText>ADDIN CSL_CITATION { "citationItems" : [ { "id" : "ITEM-1", "itemData" : { "DOI" : "10.1586/egh.12.83", "ISBN" : "1747-4132 (Electronic)\\r1747-4124 (Linking)", "ISSN" : "1747-4132", "PMID" : "23363263", "abstract" : "Portal hypertension is a common complication of chronic liver diseases and is responsible for most clinical consequences of cirrhosis, which represent the more frequent causes of death and liver transplantation in these patients. This review is aimed at clarifying the state-of-the art assessment of portal hypertension and at discussing recent developments in this field. Particular attention is paid to new noninvasive techniques that will be soon available for potential routine use.", "author" : [ { "dropping-particle" : "", "family" : "Berzigotti", "given" : "Annalisa", "non-dropping-particle" : "", "parse-names" : false, "suffix" : "" }, { "dropping-particle" : "", "family" : "Seijo", "given" : "Susana", "non-dropping-particle" : "", "parse-names" : false, "suffix" : "" }, { "dropping-particle" : "", "family" : "Reverter", "given" : "Enric", "non-dropping-particle" : "", "parse-names" : false, "suffix" : "" }, { "dropping-particle" : "", "family" : "Bosch", "given" : "Jaime", "non-dropping-particle" : "", "parse-names" : false, "suffix" : "" } ], "container-title" : "Expert review of gastroenterology &amp; hepatology", "id" : "ITEM-1", "issue" : "2", "issued" : { "date-parts" : [ [ "2013" ] ] }, "page" : "141-155", "title" : "Assessing portal hypertension in liver diseases.", "type" : "article-journal", "volume" : "7" }, "uris" : [ "http://www.mendeley.com/documents/?uuid=f1c3a4ff-60ac-485a-8bd1-966b2b80722c" ] }, { "id" : "ITEM-2", "itemData" : { "DOI" : "10.1016/j.jhep.2008.01.021", "ISSN" : "01688278", "PMID" : "18304681", "author" : [ { "dropping-particle" : "", "family" : "Bosch", "given" : "Jaime", "non-dropping-particle" : "", "parse-names" : false, "suffix" : "" }, { "dropping-particle" : "", "family" : "Berzigotti", "given" : "Annalisa", "non-dropping-particle" : "", "parse-names" : false, "suffix" : "" }, { "dropping-particle" : "", "family" : "Garcia-Pagan", "given" : "Juan Carlos", "non-dropping-particle" : "", "parse-names" : false, "suffix" : "" }, { "dropping-particle" : "", "family" : "Abraldes", "given" : "Juan G.", "non-dropping-particle" : "", "parse-names" : false, "suffix" : "" } ], "container-title" : "Journal of Hepatology", "id" : "ITEM-2", "issued" : { "date-parts" : [ [ "2008" ] ] }, "page" : "S68-S92", "title" : "The management of portal hypertension: Rational basis, available treatments and future options", "type" : "article-journal", "volume" : "48" }, "uris" : [ "http://www.mendeley.com/documents/?uuid=0790c096-9c13-418e-b412-32832a2183f4" ] } ], "mendeley" : { "formattedCitation" : "&lt;sup&gt;[8,14]&lt;/sup&gt;", "plainTextFormattedCitation" : "[8,14]", "previouslyFormattedCitation" : "&lt;sup&gt;[8,14]&lt;/sup&gt;" }, "properties" : { "noteIndex" : 0 }, "schema" : "https://github.com/citation-style-language/schema/raw/master/csl-citation.json" }</w:instrText>
      </w:r>
      <w:r w:rsidR="003F2E20" w:rsidRPr="00787839">
        <w:rPr>
          <w:rFonts w:ascii="Book Antiqua" w:hAnsi="Book Antiqua" w:cs="Times New Roman"/>
          <w:sz w:val="24"/>
          <w:szCs w:val="24"/>
          <w:u w:color="000000"/>
          <w:vertAlign w:val="superscript"/>
        </w:rPr>
        <w:fldChar w:fldCharType="separate"/>
      </w:r>
      <w:r w:rsidR="00617169" w:rsidRPr="00787839">
        <w:rPr>
          <w:rFonts w:ascii="Book Antiqua" w:hAnsi="Book Antiqua" w:cs="Times New Roman"/>
          <w:noProof/>
          <w:sz w:val="24"/>
          <w:szCs w:val="24"/>
          <w:u w:color="000000"/>
          <w:vertAlign w:val="superscript"/>
        </w:rPr>
        <w:t>[8,14]</w:t>
      </w:r>
      <w:r w:rsidR="003F2E20" w:rsidRPr="00787839">
        <w:rPr>
          <w:rFonts w:ascii="Book Antiqua" w:hAnsi="Book Antiqua" w:cs="Times New Roman"/>
          <w:sz w:val="24"/>
          <w:szCs w:val="24"/>
          <w:u w:color="000000"/>
          <w:vertAlign w:val="superscript"/>
        </w:rPr>
        <w:fldChar w:fldCharType="end"/>
      </w:r>
      <w:r w:rsidR="007B0EF8" w:rsidRPr="00787839">
        <w:rPr>
          <w:rFonts w:ascii="Book Antiqua" w:hAnsi="Book Antiqua" w:cs="Times New Roman"/>
          <w:sz w:val="24"/>
          <w:szCs w:val="24"/>
          <w:u w:color="000000"/>
        </w:rPr>
        <w:t>.</w:t>
      </w:r>
    </w:p>
    <w:p w14:paraId="2E6FD9C8" w14:textId="76BB4C31" w:rsidR="00FD377A" w:rsidRDefault="00731147" w:rsidP="00787839">
      <w:pPr>
        <w:adjustRightInd w:val="0"/>
        <w:snapToGrid w:val="0"/>
        <w:spacing w:after="0" w:line="360" w:lineRule="auto"/>
        <w:ind w:firstLineChars="100" w:firstLine="240"/>
        <w:rPr>
          <w:rFonts w:ascii="Book Antiqua" w:eastAsia="SimSun" w:hAnsi="Book Antiqua" w:cs="Times New Roman"/>
          <w:sz w:val="24"/>
          <w:szCs w:val="24"/>
          <w:u w:color="000000"/>
          <w:lang w:eastAsia="zh-CN"/>
        </w:rPr>
      </w:pPr>
      <w:r w:rsidRPr="00787839">
        <w:rPr>
          <w:rFonts w:ascii="Book Antiqua" w:hAnsi="Book Antiqua" w:cs="Times New Roman"/>
          <w:sz w:val="24"/>
          <w:szCs w:val="24"/>
          <w:u w:color="000000"/>
        </w:rPr>
        <w:t xml:space="preserve">Four-dimensional flow MRI (4-D flow MR) with complete volumetric acquisition of the hepatic arterial and portal venous system also offers a promising non-invasive approach for characterization and follow-up of portal hypertension. Studies have demonstrated the utility of 4-D flow MR for the evaluation of the entire splanchnic system with high spatial resolution, as well as, validated the technique for quantification of flow velocities and </w:t>
      </w:r>
      <w:r w:rsidR="000D7AB0" w:rsidRPr="00787839">
        <w:rPr>
          <w:rFonts w:ascii="Book Antiqua" w:hAnsi="Book Antiqua" w:cs="Times New Roman"/>
          <w:sz w:val="24"/>
          <w:szCs w:val="24"/>
          <w:u w:color="000000"/>
        </w:rPr>
        <w:t>volume</w:t>
      </w:r>
      <w:r w:rsidRPr="00787839">
        <w:rPr>
          <w:rFonts w:ascii="Book Antiqua" w:hAnsi="Book Antiqua" w:cs="Times New Roman"/>
          <w:sz w:val="24"/>
          <w:szCs w:val="24"/>
          <w:u w:color="000000"/>
        </w:rPr>
        <w:t xml:space="preserve"> using Doppler US data as reference </w:t>
      </w:r>
      <w:r w:rsidR="00FD377A" w:rsidRPr="00787839">
        <w:rPr>
          <w:rFonts w:ascii="Book Antiqua" w:hAnsi="Book Antiqua" w:cs="Times New Roman"/>
          <w:sz w:val="24"/>
          <w:szCs w:val="24"/>
          <w:u w:color="000000"/>
        </w:rPr>
        <w:t>standards</w:t>
      </w:r>
      <w:r w:rsidR="003F2E20" w:rsidRPr="00787839">
        <w:rPr>
          <w:rFonts w:ascii="Book Antiqua" w:hAnsi="Book Antiqua" w:cs="Times New Roman"/>
          <w:sz w:val="24"/>
          <w:szCs w:val="24"/>
          <w:u w:color="000000"/>
          <w:vertAlign w:val="superscript"/>
        </w:rPr>
        <w:fldChar w:fldCharType="begin" w:fldLock="1"/>
      </w:r>
      <w:r w:rsidR="00F65CE7" w:rsidRPr="00787839">
        <w:rPr>
          <w:rFonts w:ascii="Book Antiqua" w:hAnsi="Book Antiqua" w:cs="Times New Roman"/>
          <w:sz w:val="24"/>
          <w:szCs w:val="24"/>
          <w:u w:color="000000"/>
          <w:vertAlign w:val="superscript"/>
        </w:rPr>
        <w:instrText>ADDIN CSL_CITATION { "citationItems" : [ { "id" : "ITEM-1", "itemData" : { "DOI" : "10.3978/j.issn.2223-3652.2014.01.02", "ISBN" : "2223-3652 (Print)\\r2223-3652 (Linking)", "ISSN" : "2223-3652", "PMID" : "24834414", "abstract" : "Magnetic resonance imaging (MRI) has become an important tool for the clinical evaluation of patients with cardiovascular disease. Since its introduction in the late 1980s, 2-dimensional phase contrast MRI (2D PC-MRI) has become a routine part of standard-of-care cardiac MRI for the assessment of regional blood flow in the heart and great vessels. More recently, time-resolved PC-MRI with velocity encoding along all three flow directions and three-dimensional (3D) anatomic coverage (also termed '4D flow MRI') has been developed and applied for the evaluation of cardiovascular hemodynamics in multiple regions of the human body. 4D flow MRI allows for the comprehensive evaluation of complex blood flow patterns by 3D blood flow visualization and flexible retrospective quantification of flow parameters. Recent technical developments, including the utilization of advanced parallel imaging techniques such as k-t GRAPPA, have resulted in reasonable overall scan times, e.g., 8-12 minutes for 4D flow MRI of the aorta and 10-20 minutes for whole heart coverage. As a result, the application of 4D flow MRI in a clinical setting has become more feasible, as documented by an increased number of recent reports on the utility of the technique for the assessment of cardiac and vascular hemodynamics in patient studies. A number of studies have demonstrated the potential of 4D flow MRI to provide an improved assessment of hemodynamics which might aid in the diagnosis and therapeutic management of cardiovascular diseases. The purpose of this review is to describe the methods used for 4D flow MRI acquisition, post-processing and data analysis. In addition, the article provides an overview of the clinical applications of 4D flow MRI and includes a review of applications in the heart, thoracic aorta and hepatic system.", "author" : [ { "dropping-particle" : "", "family" : "Stankovic", "given" : "Zoran", "non-dropping-particle" : "", "parse-names" : false, "suffix" : "" }, { "dropping-particle" : "", "family" : "Allen", "given" : "Bradley D", "non-dropping-particle" : "", "parse-names" : false, "suffix" : "" }, { "dropping-particle" : "", "family" : "Garcia", "given" : "Julio", "non-dropping-particle" : "", "parse-names" : false, "suffix" : "" }, { "dropping-particle" : "", "family" : "Jarvis", "given" : "Kelly B", "non-dropping-particle" : "", "parse-names" : false, "suffix" : "" }, { "dropping-particle" : "", "family" : "Markl", "given" : "Michael", "non-dropping-particle" : "", "parse-names" : false, "suffix" : "" } ], "container-title" : "Cardiovascular diagnosis and therapy", "id" : "ITEM-1", "issue" : "2", "issued" : { "date-parts" : [ [ "2014" ] ] }, "page" : "173-192", "title" : "4D flow imaging with MRI.", "type" : "article-journal", "volume" : "4" }, "uris" : [ "http://www.mendeley.com/documents/?uuid=a64e587a-6a56-472a-b2ca-c0cd61c8afa4" ] }, { "id" : "ITEM-2", "itemData" : { "DOI" : "10.1148/radiol.11110127", "ISBN" : "1527-1315 (Electronic) 0033-8419 (Linking)", "ISSN" : "0033-8419", "PMID" : "22357888", "abstract" : "PURPOSE: To compare time-resolved three-dimensional (3D) phase-contrast magnetic resonance (MR) imaging with three-directional velocity encoding (flow-sensitive four-dimensional [4D] MR imaging), with Doppler ultrasonography (US) as standard of reference, for investigating alterations in 3D portal venous hemodynamics in patients with liver cirrhosis compared with healthy age-matched control subjects and healthy young volunteers.\\n\\nMATERIAL &amp; METHODS: This prospective study was approved by the local ethics committee, and written informed consent was obtained from all participants. Three-dimensional portal venous hemodynamics was assessed, employing flow-sensitive 4D MR imaging with a 3-T MR system (spatial resolution, approximately 2 mm(3); temporal resolution, approximately 45 msec) in 20 patients with hepatic cirrhosis, 20 healthy age-matched control subjects, and 21 healthy young volunteers. Flow characteristics were analyzed by using 3D streamlines and time-resolved particle traces. Quantitative analyses were performed by retrospectively evaluating regional peak and mean velocities, flow volume, and vessel area. Doppler US was used as standard of reference. Independent-sample t tests or Wilcoxon-Mann-Whitney tests were applied for comparing each subject group. Paired-sample t tests or Wilcoxon tests were applied when comparing MR imaging and US.\\n\\nRESULTS: Three-dimensional visualization of portal venous hemodynamics was successful, with complete visualization of the vessels in 18 patients and 35 volunteers, with limitations in the left intrahepatic branches (87%, reader A; 89%, reader B). A moderate but significant correlation was observed between 4D MR imaging and Doppler US in nearly all maximum and mean velocities, flow volumes, and vessel areas (r = 0.24-0.64, P = .001-.044). With MR imaging, significant underestimation was observed of intrahepatic flow velocities and flow volumes, except vessel area, which Doppler US represented as even lower (P &lt; .001 to P = .045). Six patients had collateralization with reopened umbilical vein, while one had flow reversal in the superior mesenteric vein visible at MR imaging only.\\n\\nCONCLUSION: Flow-sensitive 4D MR imaging may constitute a promising, alternative technique to Doppler US for evaluating hemodynamics in the portal venous system of patients with liver cirrhosis and may be a means of assessing pathologic changes in flow characteristics.", "author" : [ { "dropping-particle" : "", "family" : "Stankovic", "given" : "Z.", "non-dropping-particle" : "", "parse-names" : false, "suffix" : "" }, { "dropping-particle" : "", "family" : "Csatari", "given" : "Z.", "non-dropping-particle" : "", "parse-names" : false, "suffix" : "" }, { "dropping-particle" : "", "family" : "Deibert", "given" : "P.", "non-dropping-particle" : "", "parse-names" : false, "suffix" : "" }, { "dropping-particle" : "", "family" : "Euringer", "given" : "W.", "non-dropping-particle" : "", "parse-names" : false, "suffix" : "" }, { "dropping-particle" : "", "family" : "Blanke", "given" : "P.", "non-dropping-particle" : "", "parse-names" : false, "suffix" : "" }, { "dropping-particle" : "", "family" : "Kreisel", "given" : "W.", "non-dropping-particle" : "", "parse-names" : false, "suffix" : "" }, { "dropping-particle" : "", "family" : "Abdullah Zadeh", "given" : "Z.", "non-dropping-particle" : "", "parse-names" : false, "suffix" : "" }, { "dropping-particle" : "", "family" : "Kallfass", "given" : "F.", "non-dropping-particle" : "", "parse-names" : false, "suffix" : "" }, { "dropping-particle" : "", "family" : "Langer", "given" : "M.", "non-dropping-particle" : "", "parse-names" : false, "suffix" : "" }, { "dropping-particle" : "", "family" : "Markl", "given" : "M.", "non-dropping-particle" : "", "parse-names" : false, "suffix" : "" } ], "container-title" : "Radiology", "id" : "ITEM-2", "issue" : "3", "issued" : { "date-parts" : [ [ "2012" ] ] }, "page" : "862-873", "title" : "Normal and Altered Three-dimensional Portal Venous Hemodynamics in Patients with Liver Cirrhosis", "type" : "article-journal", "volume" : "262" }, "uris" : [ "http://www.mendeley.com/documents/?uuid=87bb7f0f-95d7-45ab-ae07-be2cdf2b5696" ] }, { "id" : "ITEM-3", "itemData" : { "DOI" : "10.1002/jmri.23906", "ISBN" : "10531807 (ISSN)", "ISSN" : "1522-2586", "PMID" : "23148034", "abstract" : "PURPOSE: To implement and validate in vivo radial 4D flow MRI for quantification of blood flow in the hepatic arterial, portal venous, and splanchnic vasculature of healthy volunteers and patients with portal hypertension.\\n\\nMATERIALS AND METHODS: Seventeen patients with portal hypertension and seven subjects with no liver disease were included in this Health Insurance Portability and Accountability Act (HIPAA)-compliant and Institutional Review Board (IRB)-approved study. Exams were conducted at 3T using a 32-channel body coil with large volumetric coverage and 1.4 mm isotropic true spatial resolution. Using postprocessing software, cut-planes orthogonal to vessels were used to quantify flow (L/min) in the hepatic and splanchnic vasculature.\\n\\nRESULTS: Flow quantification was successful in all cases. Portal vein and supraceliac aorta flow demonstrated high variability among patients. Measurements were validated indirectly using internal consistency at three different locations within the portal vein (error = 4.2 \u00b1 3.9%) and conservation of mass at the portal confluence (error = 5.9 \u00b1 2.5%) and portal bifurcation (error = 5.8 \u00b1 3.1%).\\n\\nCONCLUSION: This work demonstrates the feasibility of radial 4D flow MRI to quantify flow in the hepatic and splanchnic vasculature. Flow results agreed well with data reported in the literature, and conservation of mass provided indirect validation of flow quantification. Flow in patients with portal hypertensions demonstrated high variability, with patterns and magnitude consistent with the hyperdynamic state that commonly occurs in portal hypertension.", "author" : [ { "dropping-particle" : "", "family" : "Rold\u00e1n-Alzate", "given" : "Alejandro", "non-dropping-particle" : "", "parse-names" : false, "suffix" : "" }, { "dropping-particle" : "", "family" : "Frydrychowicz", "given" : "Alex", "non-dropping-particle" : "", "parse-names" : false, "suffix" : "" }, { "dropping-particle" : "", "family" : "Niespodzany", "given" : "Eric", "non-dropping-particle" : "", "parse-names" : false, "suffix" : "" }, { "dropping-particle" : "", "family" : "Landgraf", "given" : "Ben R", "non-dropping-particle" : "", "parse-names" : false, "suffix" : "" }, { "dropping-particle" : "", "family" : "Johnson", "given" : "Kevin M", "non-dropping-particle" : "", "parse-names" : false, "suffix" : "" }, { "dropping-particle" : "", "family" : "Wieben", "given" : "Oliver", "non-dropping-particle" : "", "parse-names" : false, "suffix" : "" }, { "dropping-particle" : "", "family" : "Reeder", "given" : "Scott B", "non-dropping-particle" : "", "parse-names" : false, "suffix" : "" } ], "container-title" : "Journal of magnetic resonance imaging : JMRI", "id" : "ITEM-3", "issue" : "5", "issued" : { "date-parts" : [ [ "2013" ] ] }, "page" : "1100-1108", "title" : "In vivo validation of 4D flow MRI for assessing the hemodynamics of portal hypertension.", "type" : "article-journal", "volume" : "37" }, "uris" : [ "http://www.mendeley.com/documents/?uuid=e49cd0ec-da17-4303-916b-30a1960d469b" ] } ], "mendeley" : { "formattedCitation" : "&lt;sup&gt;[15\u201317]&lt;/sup&gt;", "plainTextFormattedCitation" : "[15\u201317]", "previouslyFormattedCitation" : "&lt;sup&gt;[15\u201317]&lt;/sup&gt;" }, "properties" : { "noteIndex" : 0 }, "schema" : "https://github.com/citation-style-language/schema/raw/master/csl-citation.json" }</w:instrText>
      </w:r>
      <w:r w:rsidR="003F2E20" w:rsidRPr="00787839">
        <w:rPr>
          <w:rFonts w:ascii="Book Antiqua" w:hAnsi="Book Antiqua" w:cs="Times New Roman"/>
          <w:sz w:val="24"/>
          <w:szCs w:val="24"/>
          <w:u w:color="000000"/>
          <w:vertAlign w:val="superscript"/>
        </w:rPr>
        <w:fldChar w:fldCharType="separate"/>
      </w:r>
      <w:r w:rsidR="00617169" w:rsidRPr="00787839">
        <w:rPr>
          <w:rFonts w:ascii="Book Antiqua" w:hAnsi="Book Antiqua" w:cs="Times New Roman"/>
          <w:noProof/>
          <w:sz w:val="24"/>
          <w:szCs w:val="24"/>
          <w:u w:color="000000"/>
          <w:vertAlign w:val="superscript"/>
        </w:rPr>
        <w:t>[15–17]</w:t>
      </w:r>
      <w:r w:rsidR="003F2E20" w:rsidRPr="00787839">
        <w:rPr>
          <w:rFonts w:ascii="Book Antiqua" w:hAnsi="Book Antiqua" w:cs="Times New Roman"/>
          <w:sz w:val="24"/>
          <w:szCs w:val="24"/>
          <w:u w:color="000000"/>
          <w:vertAlign w:val="superscript"/>
        </w:rPr>
        <w:fldChar w:fldCharType="end"/>
      </w:r>
      <w:r w:rsidR="00750B25" w:rsidRPr="00787839">
        <w:rPr>
          <w:rFonts w:ascii="Book Antiqua" w:hAnsi="Book Antiqua" w:cs="Times New Roman"/>
          <w:sz w:val="24"/>
          <w:szCs w:val="24"/>
          <w:u w:color="000000"/>
        </w:rPr>
        <w:t xml:space="preserve">. </w:t>
      </w:r>
      <w:r w:rsidR="00FD377A" w:rsidRPr="00787839">
        <w:rPr>
          <w:rFonts w:ascii="Book Antiqua" w:hAnsi="Book Antiqua" w:cs="Times New Roman"/>
          <w:sz w:val="24"/>
          <w:szCs w:val="24"/>
          <w:u w:color="000000"/>
        </w:rPr>
        <w:t>Future clinical applications may include the evaluation of patients with portal hypertension for the purpose of interventional treatment planning, as well as, post-procedural TIPS assessment and follow-up</w:t>
      </w:r>
      <w:r w:rsidRPr="00787839">
        <w:rPr>
          <w:rFonts w:ascii="Book Antiqua" w:hAnsi="Book Antiqua" w:cs="Times New Roman"/>
          <w:sz w:val="24"/>
          <w:szCs w:val="24"/>
          <w:u w:color="000000"/>
        </w:rPr>
        <w:fldChar w:fldCharType="begin" w:fldLock="1"/>
      </w:r>
      <w:r w:rsidR="00F65CE7" w:rsidRPr="00787839">
        <w:rPr>
          <w:rFonts w:ascii="Book Antiqua" w:hAnsi="Book Antiqua" w:cs="Times New Roman"/>
          <w:sz w:val="24"/>
          <w:szCs w:val="24"/>
          <w:u w:color="000000"/>
        </w:rPr>
        <w:instrText>ADDIN CSL_CITATION { "citationItems" : [ { "id" : "ITEM-1", "itemData" : { "DOI" : "10.3978/j.issn.2223-3652.2014.01.02", "ISBN" : "2223-3652 (Print)\\r2223-3652 (Linking)", "ISSN" : "2223-3652", "PMID" : "24834414", "abstract" : "Magnetic resonance imaging (MRI) has become an important tool for the clinical evaluation of patients with cardiovascular disease. Since its introduction in the late 1980s, 2-dimensional phase contrast MRI (2D PC-MRI) has become a routine part of standard-of-care cardiac MRI for the assessment of regional blood flow in the heart and great vessels. More recently, time-resolved PC-MRI with velocity encoding along all three flow directions and three-dimensional (3D) anatomic coverage (also termed '4D flow MRI') has been developed and applied for the evaluation of cardiovascular hemodynamics in multiple regions of the human body. 4D flow MRI allows for the comprehensive evaluation of complex blood flow patterns by 3D blood flow visualization and flexible retrospective quantification of flow parameters. Recent technical developments, including the utilization of advanced parallel imaging techniques such as k-t GRAPPA, have resulted in reasonable overall scan times, e.g., 8-12 minutes for 4D flow MRI of the aorta and 10-20 minutes for whole heart coverage. As a result, the application of 4D flow MRI in a clinical setting has become more feasible, as documented by an increased number of recent reports on the utility of the technique for the assessment of cardiac and vascular hemodynamics in patient studies. A number of studies have demonstrated the potential of 4D flow MRI to provide an improved assessment of hemodynamics which might aid in the diagnosis and therapeutic management of cardiovascular diseases. The purpose of this review is to describe the methods used for 4D flow MRI acquisition, post-processing and data analysis. In addition, the article provides an overview of the clinical applications of 4D flow MRI and includes a review of applications in the heart, thoracic aorta and hepatic system.", "author" : [ { "dropping-particle" : "", "family" : "Stankovic", "given" : "Zoran", "non-dropping-particle" : "", "parse-names" : false, "suffix" : "" }, { "dropping-particle" : "", "family" : "Allen", "given" : "Bradley D", "non-dropping-particle" : "", "parse-names" : false, "suffix" : "" }, { "dropping-particle" : "", "family" : "Garcia", "given" : "Julio", "non-dropping-particle" : "", "parse-names" : false, "suffix" : "" }, { "dropping-particle" : "", "family" : "Jarvis", "given" : "Kelly B", "non-dropping-particle" : "", "parse-names" : false, "suffix" : "" }, { "dropping-particle" : "", "family" : "Markl", "given" : "Michael", "non-dropping-particle" : "", "parse-names" : false, "suffix" : "" } ], "container-title" : "Cardiovascular diagnosis and therapy", "id" : "ITEM-1", "issue" : "2", "issued" : { "date-parts" : [ [ "2014" ] ] }, "page" : "173-192", "title" : "4D flow imaging with MRI.", "type" : "article-journal", "volume" : "4" }, "uris" : [ "http://www.mendeley.com/documents/?uuid=a64e587a-6a56-472a-b2ca-c0cd61c8afa4" ] } ], "mendeley" : { "formattedCitation" : "&lt;sup&gt;[15]&lt;/sup&gt;", "plainTextFormattedCitation" : "[15]", "previouslyFormattedCitation" : "&lt;sup&gt;[15]&lt;/sup&gt;" }, "properties" : { "noteIndex" : 0 }, "schema" : "https://github.com/citation-style-language/schema/raw/master/csl-citation.json" }</w:instrText>
      </w:r>
      <w:r w:rsidRPr="00787839">
        <w:rPr>
          <w:rFonts w:ascii="Book Antiqua" w:hAnsi="Book Antiqua" w:cs="Times New Roman"/>
          <w:sz w:val="24"/>
          <w:szCs w:val="24"/>
          <w:u w:color="000000"/>
        </w:rPr>
        <w:fldChar w:fldCharType="separate"/>
      </w:r>
      <w:r w:rsidR="00617169" w:rsidRPr="00787839">
        <w:rPr>
          <w:rFonts w:ascii="Book Antiqua" w:hAnsi="Book Antiqua" w:cs="Times New Roman"/>
          <w:noProof/>
          <w:sz w:val="24"/>
          <w:szCs w:val="24"/>
          <w:u w:color="000000"/>
          <w:vertAlign w:val="superscript"/>
        </w:rPr>
        <w:t>[15]</w:t>
      </w:r>
      <w:r w:rsidRPr="00787839">
        <w:rPr>
          <w:rFonts w:ascii="Book Antiqua" w:hAnsi="Book Antiqua" w:cs="Times New Roman"/>
          <w:sz w:val="24"/>
          <w:szCs w:val="24"/>
          <w:u w:color="000000"/>
        </w:rPr>
        <w:fldChar w:fldCharType="end"/>
      </w:r>
      <w:r w:rsidR="00BE3E11" w:rsidRPr="00787839">
        <w:rPr>
          <w:rFonts w:ascii="Book Antiqua" w:hAnsi="Book Antiqua" w:cs="Times New Roman"/>
          <w:sz w:val="24"/>
          <w:szCs w:val="24"/>
          <w:u w:color="000000"/>
        </w:rPr>
        <w:t>.</w:t>
      </w:r>
    </w:p>
    <w:p w14:paraId="6B1E99EA" w14:textId="77777777" w:rsidR="00787839" w:rsidRPr="00787839" w:rsidRDefault="00787839" w:rsidP="00787839">
      <w:pPr>
        <w:adjustRightInd w:val="0"/>
        <w:snapToGrid w:val="0"/>
        <w:spacing w:after="0" w:line="360" w:lineRule="auto"/>
        <w:ind w:firstLineChars="100" w:firstLine="240"/>
        <w:rPr>
          <w:rFonts w:ascii="Book Antiqua" w:eastAsia="SimSun" w:hAnsi="Book Antiqua" w:cs="Times New Roman"/>
          <w:sz w:val="24"/>
          <w:szCs w:val="24"/>
          <w:u w:color="000000"/>
          <w:lang w:eastAsia="zh-CN"/>
        </w:rPr>
      </w:pPr>
    </w:p>
    <w:p w14:paraId="52B7FCA9" w14:textId="7712027E" w:rsidR="00F14A23" w:rsidRPr="00787839" w:rsidRDefault="00787839"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ANATOMIC SITES OF PORTOSYSTEMIC CONFLUENCE</w:t>
      </w:r>
    </w:p>
    <w:p w14:paraId="7764BFD3" w14:textId="75499454" w:rsidR="00F14A23" w:rsidRDefault="00237F66" w:rsidP="00787839">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color w:val="000000" w:themeColor="text1"/>
          <w:sz w:val="24"/>
          <w:szCs w:val="24"/>
        </w:rPr>
        <w:lastRenderedPageBreak/>
        <w:t xml:space="preserve">To ensure consistency in terminology, it should be noted that varices are dilated end-organ veins that have the propensity to bleed whereas shunts are dilated collateral channels that simply connect the portal and systemic vascular beds. </w:t>
      </w:r>
      <w:r w:rsidR="0065476C" w:rsidRPr="00787839">
        <w:rPr>
          <w:rFonts w:ascii="Book Antiqua" w:hAnsi="Book Antiqua"/>
          <w:sz w:val="24"/>
          <w:szCs w:val="24"/>
        </w:rPr>
        <w:t>The portosystemic collateral channels that can develop in portal hypertension are numerous, widespread and varied in appearance. Intrathoracic manifestations of portosystemic collateral vessels characteristically develop by way of the coronary vein into esophageal or paraesophageal (22</w:t>
      </w:r>
      <w:r w:rsidR="00787839">
        <w:rPr>
          <w:rFonts w:ascii="Book Antiqua" w:hAnsi="Book Antiqua" w:hint="eastAsia"/>
          <w:sz w:val="24"/>
          <w:szCs w:val="24"/>
          <w:lang w:eastAsia="zh-CN"/>
        </w:rPr>
        <w:t>%</w:t>
      </w:r>
      <w:r w:rsidR="0065476C" w:rsidRPr="00787839">
        <w:rPr>
          <w:rFonts w:ascii="Book Antiqua" w:hAnsi="Book Antiqua"/>
          <w:sz w:val="24"/>
          <w:szCs w:val="24"/>
        </w:rPr>
        <w:t>-38%) varices and cardiophrenic varices (18%)</w:t>
      </w:r>
      <w:r w:rsidR="003F2E20" w:rsidRPr="00787839">
        <w:rPr>
          <w:rFonts w:ascii="Book Antiqua" w:hAnsi="Book Antiqua"/>
          <w:sz w:val="24"/>
          <w:szCs w:val="24"/>
          <w:vertAlign w:val="superscript"/>
        </w:rPr>
        <w:fldChar w:fldCharType="begin" w:fldLock="1"/>
      </w:r>
      <w:r w:rsidR="00F65CE7" w:rsidRPr="00787839">
        <w:rPr>
          <w:rFonts w:ascii="Book Antiqua" w:hAnsi="Book Antiqua"/>
          <w:sz w:val="24"/>
          <w:szCs w:val="24"/>
          <w:vertAlign w:val="superscript"/>
        </w:rPr>
        <w:instrText>ADDIN CSL_CITATION { "citationItems" : [ { "id" : "ITEM-1", "itemData" : { "DOI" : "10.1148/radiology.195.2.7724782", "PMID" : "7724782", "author" : [ { "dropping-particle" : "", "family" : "Wachsberg", "given" : "H", "non-dropping-particle" : "", "parse-names" : false, "suffix" : "" }, { "dropping-particle" : "", "family" : "Yaghmai", "given" : "Vahid", "non-dropping-particle" : "", "parse-names" : false, "suffix" : "" }, { "dropping-particle" : "", "family" : "Javors", "given" : "BR", "non-dropping-particle" : "", "parse-names" : false, "suffix" : "" }, { "dropping-particle" : "", "family" : "Levine", "given" : "Charles D", "non-dropping-particle" : "", "parse-names" : false, "suffix" : "" }, { "dropping-particle" : "", "family" : "Simmons", "given" : "Marc Z", "non-dropping-particle" : "", "parse-names" : false, "suffix" : "" }, { "dropping-particle" : "", "family" : "Maidjian", "given" : "Pierre D", "non-dropping-particle" : "", "parse-names" : false, "suffix" : "" } ], "container-title" : "Radiology", "id" : "ITEM-1", "issued" : { "date-parts" : [ [ "1995" ] ] }, "page" : "553-556", "title" : "Cardiophrenic Varices in Portal Hypertension: Evaluation with CT", "type" : "article-journal", "volume" : "195" }, "uris" : [ "http://www.mendeley.com/documents/?uuid=6b0aca15-0271-4c58-84bf-1e28120eb163" ] }, { "id" : "ITEM-2", "itemData" : { "DOI" : "10.2214/AJR.05.1737", "ISSN" : "1546-3141", "PMID" : "17179356", "abstract" : "The objective of this study was to evaluate the performance of routine helical liver CT in the detection and grading of esophageal varices in cirrhotic patients.", "author" : [ { "dropping-particle" : "", "family" : "Kim", "given" : "Young Jun", "non-dropping-particle" : "", "parse-names" : false, "suffix" : "" }, { "dropping-particle" : "", "family" : "Raman", "given" : "Steven S", "non-dropping-particle" : "", "parse-names" : false, "suffix" : "" }, { "dropping-particle" : "", "family" : "Yu", "given" : "Nam C", "non-dropping-particle" : "", "parse-names" : false, "suffix" : "" }, { "dropping-particle" : "", "family" : "To'o", "given" : "Katherine J", "non-dropping-particle" : "", "parse-names" : false, "suffix" : "" }, { "dropping-particle" : "", "family" : "Jutabha", "given" : "Rome", "non-dropping-particle" : "", "parse-names" : false, "suffix" : "" }, { "dropping-particle" : "", "family" : "Lu", "given" : "David S K", "non-dropping-particle" : "", "parse-names" : false, "suffix" : "" } ], "container-title" : "AJR. American journal of roentgenology", "id" : "ITEM-2", "issue" : "1", "issued" : { "date-parts" : [ [ "2007" ] ] }, "page" : "139-44", "title" : "Esophageal varices in cirrhotic patients: evaluation with liver CT.", "type" : "article-journal", "volume" : "188" }, "uris" : [ "http://www.mendeley.com/documents/?uuid=250569db-5e0f-4619-a58f-8009e1180762" ] }, { "id" : "ITEM-3", "itemData" : { "DOI" : "10.2214/ajr.170.6.9609167", "PMID" : "9609167", "author" : [ { "dropping-particle" : "", "family" : "Lee", "given" : "Soon Jin", "non-dropping-particle" : "", "parse-names" : false, "suffix" : "" }, { "dropping-particle" : "", "family" : "Lee", "given" : "Kying Soo", "non-dropping-particle" : "", "parse-names" : false, "suffix" : "" }, { "dropping-particle" : "", "family" : "Kim", "given" : "Soo Ah", "non-dropping-particle" : "", "parse-names" : false, "suffix" : "" }, { "dropping-particle" : "", "family" : "Kim", "given" : "Tae Sung", "non-dropping-particle" : "", "parse-names" : false, "suffix" : "" }, { "dropping-particle" : "", "family" : "Hwang", "given" : "Jung Hwa", "non-dropping-particle" : "", "parse-names" : false, "suffix" : "" }, { "dropping-particle" : "", "family" : "Lim", "given" : "Jae Hoon", "non-dropping-particle" : "", "parse-names" : false, "suffix" : "" } ], "container-title" : "Chest", "id" : "ITEM-3", "issued" : { "date-parts" : [ [ "1998" ] ] }, "page" : "1527-1531", "title" : "Computed Radiography of the Chest in Patients with Paraesophageal Varices: Diagnostic Accuracy and Characteristic Findings", "type" : "article-journal", "volume" : "170" }, "uris" : [ "http://www.mendeley.com/documents/?uuid=bdeb1d4c-4da6-4309-8241-ada4f7d07740" ] } ], "mendeley" : { "formattedCitation" : "&lt;sup&gt;[10,18,19]&lt;/sup&gt;", "plainTextFormattedCitation" : "[10,18,19]", "previouslyFormattedCitation" : "&lt;sup&gt;[10,18,19]&lt;/sup&gt;" }, "properties" : { "noteIndex" : 0 }, "schema" : "https://github.com/citation-style-language/schema/raw/master/csl-citation.json" }</w:instrText>
      </w:r>
      <w:r w:rsidR="003F2E20" w:rsidRPr="00787839">
        <w:rPr>
          <w:rFonts w:ascii="Book Antiqua" w:hAnsi="Book Antiqua"/>
          <w:sz w:val="24"/>
          <w:szCs w:val="24"/>
          <w:vertAlign w:val="superscript"/>
        </w:rPr>
        <w:fldChar w:fldCharType="separate"/>
      </w:r>
      <w:r w:rsidR="00617169" w:rsidRPr="00787839">
        <w:rPr>
          <w:rFonts w:ascii="Book Antiqua" w:hAnsi="Book Antiqua"/>
          <w:noProof/>
          <w:sz w:val="24"/>
          <w:szCs w:val="24"/>
          <w:vertAlign w:val="superscript"/>
        </w:rPr>
        <w:t>[10,18,19]</w:t>
      </w:r>
      <w:r w:rsidR="003F2E20" w:rsidRPr="00787839">
        <w:rPr>
          <w:rFonts w:ascii="Book Antiqua" w:hAnsi="Book Antiqua"/>
          <w:sz w:val="24"/>
          <w:szCs w:val="24"/>
          <w:vertAlign w:val="superscript"/>
        </w:rPr>
        <w:fldChar w:fldCharType="end"/>
      </w:r>
      <w:r w:rsidR="00BE3E11" w:rsidRPr="00787839">
        <w:rPr>
          <w:rFonts w:ascii="Book Antiqua" w:hAnsi="Book Antiqua"/>
          <w:sz w:val="24"/>
          <w:szCs w:val="24"/>
        </w:rPr>
        <w:t xml:space="preserve">. </w:t>
      </w:r>
      <w:r w:rsidR="0065476C" w:rsidRPr="00787839">
        <w:rPr>
          <w:rFonts w:ascii="Book Antiqua" w:hAnsi="Book Antiqua"/>
          <w:sz w:val="24"/>
          <w:szCs w:val="24"/>
        </w:rPr>
        <w:t xml:space="preserve">Other common pathways of portosystemic shunting involve gastroesophageal, paraumbilical, splenorenal, and inferior mesenteric collateral vessels. Pleuro-pericardial-peritoneal, pancreaticoduodenal, splenoazygos and mesocaval collaterals are </w:t>
      </w:r>
      <w:r w:rsidR="006D008F" w:rsidRPr="00787839">
        <w:rPr>
          <w:rFonts w:ascii="Book Antiqua" w:hAnsi="Book Antiqua"/>
          <w:sz w:val="24"/>
          <w:szCs w:val="24"/>
        </w:rPr>
        <w:t>less common</w:t>
      </w:r>
      <w:r w:rsidR="0065476C" w:rsidRPr="00787839">
        <w:rPr>
          <w:rFonts w:ascii="Book Antiqua" w:hAnsi="Book Antiqua"/>
          <w:sz w:val="24"/>
          <w:szCs w:val="24"/>
        </w:rPr>
        <w:t xml:space="preserve"> pathways for decompression of portal vein</w:t>
      </w:r>
      <w:r w:rsidR="006D242D" w:rsidRPr="00787839">
        <w:rPr>
          <w:rFonts w:ascii="Book Antiqua" w:hAnsi="Book Antiqua"/>
          <w:sz w:val="24"/>
          <w:szCs w:val="24"/>
        </w:rPr>
        <w:t xml:space="preserve"> (Figure 2).</w:t>
      </w:r>
      <w:r w:rsidRPr="00787839">
        <w:rPr>
          <w:rFonts w:ascii="Book Antiqua" w:hAnsi="Book Antiqua"/>
          <w:sz w:val="24"/>
          <w:szCs w:val="24"/>
        </w:rPr>
        <w:t xml:space="preserve"> </w:t>
      </w:r>
    </w:p>
    <w:p w14:paraId="08F68B45" w14:textId="77777777" w:rsidR="00787839" w:rsidRPr="00787839" w:rsidRDefault="00787839" w:rsidP="00787839">
      <w:pPr>
        <w:pStyle w:val="Body1"/>
        <w:adjustRightInd w:val="0"/>
        <w:snapToGrid w:val="0"/>
        <w:spacing w:after="0" w:line="360" w:lineRule="auto"/>
        <w:rPr>
          <w:rFonts w:ascii="Book Antiqua" w:hAnsi="Book Antiqua"/>
          <w:sz w:val="24"/>
          <w:szCs w:val="24"/>
          <w:lang w:eastAsia="zh-CN"/>
        </w:rPr>
      </w:pPr>
    </w:p>
    <w:p w14:paraId="6F1FF916" w14:textId="146DBA45" w:rsidR="00F14A23" w:rsidRPr="00787839" w:rsidRDefault="00787839"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CORONARY, ESOPHAGEAL, PARAESOPHAGEAL AND CARDIOPHRENIC VARICES</w:t>
      </w:r>
    </w:p>
    <w:p w14:paraId="57E0B483" w14:textId="014809C4" w:rsidR="00BE3E11" w:rsidRPr="00787839" w:rsidRDefault="0065476C" w:rsidP="00787839">
      <w:pPr>
        <w:pStyle w:val="Body1"/>
        <w:adjustRightInd w:val="0"/>
        <w:snapToGrid w:val="0"/>
        <w:spacing w:after="0" w:line="360" w:lineRule="auto"/>
        <w:rPr>
          <w:rFonts w:ascii="Book Antiqua" w:hAnsi="Book Antiqua"/>
          <w:sz w:val="24"/>
          <w:szCs w:val="24"/>
        </w:rPr>
      </w:pPr>
      <w:r w:rsidRPr="00787839">
        <w:rPr>
          <w:rFonts w:ascii="Book Antiqua" w:hAnsi="Book Antiqua"/>
          <w:sz w:val="24"/>
          <w:szCs w:val="24"/>
        </w:rPr>
        <w:t xml:space="preserve">Coronary (or left gastric) veins </w:t>
      </w:r>
      <w:r w:rsidR="00586A10" w:rsidRPr="00787839">
        <w:rPr>
          <w:rFonts w:ascii="Book Antiqua" w:hAnsi="Book Antiqua"/>
          <w:sz w:val="24"/>
          <w:szCs w:val="24"/>
        </w:rPr>
        <w:t xml:space="preserve">within the </w:t>
      </w:r>
      <w:r w:rsidRPr="00787839">
        <w:rPr>
          <w:rFonts w:ascii="Book Antiqua" w:hAnsi="Book Antiqua"/>
          <w:sz w:val="24"/>
          <w:szCs w:val="24"/>
        </w:rPr>
        <w:t xml:space="preserve">lesser omentum are the most frequently depicted varices, seen in 80% of cross-sectional </w:t>
      </w:r>
      <w:r w:rsidR="002102B1" w:rsidRPr="00787839">
        <w:rPr>
          <w:rFonts w:ascii="Book Antiqua" w:hAnsi="Book Antiqua"/>
          <w:sz w:val="24"/>
          <w:szCs w:val="24"/>
        </w:rPr>
        <w:t>and 86% of angiographic studies</w:t>
      </w:r>
      <w:r w:rsidRPr="00787839">
        <w:rPr>
          <w:rFonts w:ascii="Book Antiqua" w:hAnsi="Book Antiqua"/>
          <w:sz w:val="24"/>
          <w:szCs w:val="24"/>
        </w:rPr>
        <w:t xml:space="preserve"> in patients with portal hypertensio</w:t>
      </w:r>
      <w:r w:rsidR="00C445A0" w:rsidRPr="00787839">
        <w:rPr>
          <w:rFonts w:ascii="Book Antiqua" w:hAnsi="Book Antiqua"/>
          <w:sz w:val="24"/>
          <w:szCs w:val="24"/>
        </w:rPr>
        <w:t>n</w:t>
      </w:r>
      <w:r w:rsidR="00C445A0" w:rsidRPr="00787839">
        <w:rPr>
          <w:rFonts w:ascii="Book Antiqua" w:hAnsi="Book Antiqua"/>
          <w:sz w:val="24"/>
          <w:szCs w:val="24"/>
        </w:rPr>
        <w:fldChar w:fldCharType="begin" w:fldLock="1"/>
      </w:r>
      <w:r w:rsidR="00F65CE7" w:rsidRPr="00787839">
        <w:rPr>
          <w:rFonts w:ascii="Book Antiqua" w:hAnsi="Book Antiqua"/>
          <w:sz w:val="24"/>
          <w:szCs w:val="24"/>
        </w:rPr>
        <w:instrText>ADDIN CSL_CITATION { "citationItems" : [ { "id" : "ITEM-1", "itemData" : { "DOI" : "10.1148/radiographics.15.3.7624566", "ISSN" : "0271-5333", "PMID" : "7724782", "abstract" : "PURPOSE: To determine the prevalence and appearance of cardiophrenic angle (CPA) varices at computed tomography (CT) in patients with portal hypertension (PHT). MATERIALS AND METHODS: A retrospective review was performed of 148 consecutive contrast material--enhanced abdominal CT scans of patients with PHT. The paracardiac region was assessed for tubular structures suggestive of varices. Variceal diameter and CT attenuation relative to adjacent liver were noted. RESULTS: Tubular structures consistent with CPA varices were noted in 29 cases and were more common on the right side than on the left. Mean CPA variceal diameter was 2.6 mm. In three cases, right CPA varices measured 10-13 mm in diameter, but no variceal enhancement was noted on initial dynamic CT images. Delayed CT demonstrated contrast enhancement that reflected delayed enhancement of the portal venous system. CONCLUSION: CPA varices, particularly on the right side, are not uncommon in patients with PHT. Varices should be considered and excluded as a cause of CPA masses, particularly before percutaneous biopsy. Delayed CT may be necessary to correctly delineate CPA varices.", "author" : [ { "dropping-particle" : "", "family" : "Cho", "given" : "KC", "non-dropping-particle" : "", "parse-names" : false, "suffix" : "" }, { "dropping-particle" : "", "family" : "Patel", "given" : "Yashwant D", "non-dropping-particle" : "", "parse-names" : false, "suffix" : "" }, { "dropping-particle" : "", "family" : "Wachsberg", "given" : "R H", "non-dropping-particle" : "", "parse-names" : false, "suffix" : "" }, { "dropping-particle" : "", "family" : "Seef", "given" : "Jonathan", "non-dropping-particle" : "", "parse-names" : false, "suffix" : "" } ], "container-title" : "Radiology", "id" : "ITEM-1", "issued" : { "date-parts" : [ [ "1995" ] ] }, "page" : "553-556", "title" : "Varices in Portal Hypertension: Evaluation with CT", "type" : "article-journal", "volume" : "195" }, "uris" : [ "http://www.mendeley.com/documents/?uuid=230c674d-cf61-4785-a61a-8883d0dd96ea" ] }, { "id" : "ITEM-2", "itemData" : { "DOI" : "PubMed - indexed for MEDLINE", "PMID" : "546069", "author" : [ { "dropping-particle" : "", "family" : "Hoevels", "given" : "J", "non-dropping-particle" : "", "parse-names" : false, "suffix" : "" }, { "dropping-particle" : "", "family" : "Lunderquist", "given" : "A", "non-dropping-particle" : "", "parse-names" : false, "suffix" : "" }, { "dropping-particle" : "", "family" : "Ihse", "given" : "I", "non-dropping-particle" : "", "parse-names" : false, "suffix" : "" } ], "container-title" : "Acta Radiol Diagn (Stockh)", "id" : "ITEM-2", "issued" : { "date-parts" : [ [ "1979" ] ] }, "page" : "865-866", "title" : "Portosystemic collaterals in cirrhosis of the liver: selective percutaneous transhepatic catheterization of the portal venous system and portal hypertension", "type" : "article-journal", "volume" : "20" }, "uris" : [ "http://www.mendeley.com/documents/?uuid=0689c210-925e-4084-9955-0e74cb8c6019" ] } ], "mendeley" : { "formattedCitation" : "&lt;sup&gt;[20,21]&lt;/sup&gt;", "plainTextFormattedCitation" : "[20,21]", "previouslyFormattedCitation" : "&lt;sup&gt;[20,21]&lt;/sup&gt;" }, "properties" : { "noteIndex" : 0 }, "schema" : "https://github.com/citation-style-language/schema/raw/master/csl-citation.json" }</w:instrText>
      </w:r>
      <w:r w:rsidR="00C445A0" w:rsidRPr="00787839">
        <w:rPr>
          <w:rFonts w:ascii="Book Antiqua" w:hAnsi="Book Antiqua"/>
          <w:sz w:val="24"/>
          <w:szCs w:val="24"/>
        </w:rPr>
        <w:fldChar w:fldCharType="separate"/>
      </w:r>
      <w:r w:rsidR="00617169" w:rsidRPr="00787839">
        <w:rPr>
          <w:rFonts w:ascii="Book Antiqua" w:hAnsi="Book Antiqua"/>
          <w:noProof/>
          <w:sz w:val="24"/>
          <w:szCs w:val="24"/>
          <w:vertAlign w:val="superscript"/>
        </w:rPr>
        <w:t>[20,21]</w:t>
      </w:r>
      <w:r w:rsidR="00C445A0" w:rsidRPr="00787839">
        <w:rPr>
          <w:rFonts w:ascii="Book Antiqua" w:hAnsi="Book Antiqua"/>
          <w:sz w:val="24"/>
          <w:szCs w:val="24"/>
        </w:rPr>
        <w:fldChar w:fldCharType="end"/>
      </w:r>
      <w:r w:rsidR="00C445A0" w:rsidRPr="00787839">
        <w:rPr>
          <w:rFonts w:ascii="Book Antiqua" w:hAnsi="Book Antiqua"/>
          <w:sz w:val="24"/>
          <w:szCs w:val="24"/>
        </w:rPr>
        <w:fldChar w:fldCharType="begin" w:fldLock="1"/>
      </w:r>
      <w:r w:rsidR="00C445A0" w:rsidRPr="00787839">
        <w:rPr>
          <w:rFonts w:ascii="Book Antiqua" w:hAnsi="Book Antiqua"/>
          <w:sz w:val="24"/>
          <w:szCs w:val="24"/>
        </w:rPr>
        <w:instrText>murad.bandali@gmail.com@www.mendeley.com</w:instrText>
      </w:r>
      <w:r w:rsidR="00C445A0" w:rsidRPr="00787839">
        <w:rPr>
          <w:rFonts w:ascii="Book Antiqua" w:hAnsi="Book Antiqua"/>
          <w:sz w:val="24"/>
          <w:szCs w:val="24"/>
        </w:rPr>
        <w:fldChar w:fldCharType="separate"/>
      </w:r>
      <w:r w:rsidR="00C445A0" w:rsidRPr="00787839">
        <w:rPr>
          <w:rFonts w:ascii="Book Antiqua" w:hAnsi="Book Antiqua"/>
          <w:noProof/>
          <w:sz w:val="24"/>
          <w:szCs w:val="24"/>
          <w:vertAlign w:val="superscript"/>
        </w:rPr>
        <w:t>16</w:t>
      </w:r>
      <w:r w:rsidR="00C445A0" w:rsidRPr="00787839">
        <w:rPr>
          <w:rFonts w:ascii="Book Antiqua" w:hAnsi="Book Antiqua"/>
          <w:sz w:val="24"/>
          <w:szCs w:val="24"/>
        </w:rPr>
        <w:fldChar w:fldCharType="end"/>
      </w:r>
      <w:r w:rsidR="00BE3E11" w:rsidRPr="00787839">
        <w:rPr>
          <w:rFonts w:ascii="Book Antiqua" w:hAnsi="Book Antiqua"/>
          <w:sz w:val="24"/>
          <w:szCs w:val="24"/>
        </w:rPr>
        <w:t xml:space="preserve">. </w:t>
      </w:r>
      <w:r w:rsidRPr="00787839">
        <w:rPr>
          <w:rFonts w:ascii="Book Antiqua" w:hAnsi="Book Antiqua"/>
          <w:sz w:val="24"/>
          <w:szCs w:val="24"/>
        </w:rPr>
        <w:t>With CT, the cephalic portion of the coronary vein is clearly delineated, often as multiple channels near the gastroesophageal junction. A coronary vein larger than 5-6 mm in diameter on Doppler sonograms or CT is considered abnormal and is an indicator of portal hypertension</w:t>
      </w:r>
      <w:r w:rsidR="00C445A0" w:rsidRPr="00787839">
        <w:rPr>
          <w:rFonts w:ascii="Book Antiqua" w:hAnsi="Book Antiqua"/>
          <w:sz w:val="24"/>
          <w:szCs w:val="24"/>
        </w:rPr>
        <w:fldChar w:fldCharType="begin" w:fldLock="1"/>
      </w:r>
      <w:r w:rsidR="00F65CE7" w:rsidRPr="00787839">
        <w:rPr>
          <w:rFonts w:ascii="Book Antiqua" w:hAnsi="Book Antiqua"/>
          <w:sz w:val="24"/>
          <w:szCs w:val="24"/>
        </w:rPr>
        <w:instrText>ADDIN CSL_CITATION { "citationItems" : [ { "id" : "ITEM-1", "itemData" : { "DOI" : "10.1148/radiographics.15.3.7624566", "ISSN" : "0271-5333", "PMID" : "7724782", "abstract" : "PURPOSE: To determine the prevalence and appearance of cardiophrenic angle (CPA) varices at computed tomography (CT) in patients with portal hypertension (PHT). MATERIALS AND METHODS: A retrospective review was performed of 148 consecutive contrast material--enhanced abdominal CT scans of patients with PHT. The paracardiac region was assessed for tubular structures suggestive of varices. Variceal diameter and CT attenuation relative to adjacent liver were noted. RESULTS: Tubular structures consistent with CPA varices were noted in 29 cases and were more common on the right side than on the left. Mean CPA variceal diameter was 2.6 mm. In three cases, right CPA varices measured 10-13 mm in diameter, but no variceal enhancement was noted on initial dynamic CT images. Delayed CT demonstrated contrast enhancement that reflected delayed enhancement of the portal venous system. CONCLUSION: CPA varices, particularly on the right side, are not uncommon in patients with PHT. Varices should be considered and excluded as a cause of CPA masses, particularly before percutaneous biopsy. Delayed CT may be necessary to correctly delineate CPA varices.", "author" : [ { "dropping-particle" : "", "family" : "Cho", "given" : "KC", "non-dropping-particle" : "", "parse-names" : false, "suffix" : "" }, { "dropping-particle" : "", "family" : "Patel", "given" : "Yashwant D", "non-dropping-particle" : "", "parse-names" : false, "suffix" : "" }, { "dropping-particle" : "", "family" : "Wachsberg", "given" : "R H", "non-dropping-particle" : "", "parse-names" : false, "suffix" : "" }, { "dropping-particle" : "", "family" : "Seef", "given" : "Jonathan", "non-dropping-particle" : "", "parse-names" : false, "suffix" : "" } ], "container-title" : "Radiology", "id" : "ITEM-1", "issued" : { "date-parts" : [ [ "1995" ] ] }, "page" : "553-556", "title" : "Varices in Portal Hypertension: Evaluation with CT", "type" : "article-journal", "volume" : "195" }, "uris" : [ "http://www.mendeley.com/documents/?uuid=230c674d-cf61-4785-a61a-8883d0dd96ea" ] }, { "id" : "ITEM-2", "itemData" : { "DOI" : "10.1148/radiology.146.1.6849040", "PMID" : "6849040", "abstract" : "Portosystemic venous collaterals were studied with sonography in 40 patients with known portal hypertension. Eight patients had technically inadequate scans, while 32 had optimal scans. Sixty groups of venous collaterals were identified. At least one collateral pathway was seen in 28 patients, for a sensitivity of 88% for the 32 patients with optimal scans and 70% for the total group. The overall sensitivity for detection of coronary-gastroesophageal collaterals was 80% and 64%, respectively. The small size of the coronary-gastroesophageal varices in early portal hypertension seems to be the most important factor limiting detection in patients suitable for sonography", "author" : [ { "dropping-particle" : "", "family" : "Subramanyam", "given" : "B R", "non-dropping-particle" : "", "parse-names" : false, "suffix" : "" }, { "dropping-particle" : "", "family" : "Balthazar", "given" : "E J", "non-dropping-particle" : "", "parse-names" : false, "suffix" : "" }, { "dropping-particle" : "", "family" : "Madamba", "given" : "M R", "non-dropping-particle" : "", "parse-names" : false, "suffix" : "" }, { "dropping-particle" : "", "family" : "Raghavendra", "given" : "B N", "non-dropping-particle" : "", "parse-names" : false, "suffix" : "" }, { "dropping-particle" : "", "family" : "Horii", "given" : "S C", "non-dropping-particle" : "", "parse-names" : false, "suffix" : "" }, { "dropping-particle" : "", "family" : "Lefleur", "given" : "R S", "non-dropping-particle" : "", "parse-names" : false, "suffix" : "" } ], "container-title" : "Radiology", "id" : "ITEM-2", "issued" : { "date-parts" : [ [ "1983" ] ] }, "page" : "161-166", "title" : "Sonography of Portosystemic Venous Collaterals in Portal Hypertension", "type" : "article-journal", "volume" : "146" }, "uris" : [ "http://www.mendeley.com/documents/?uuid=7f23a9a1-1773-4b26-844f-19d127fd99cd" ] }, { "id" : "ITEM-3", "itemData" : { "DOI" : "10.2214/ajr.162.3.8109512", "ISSN" : "0361-803X", "PMID" : "8109512", "abstract" : "OBJECTIVE: The purpose of this study was to compare the diameter of the coronary vein and the direction of flow within it between patients with portal hypertension and control subjects.\\n\\nSUBJECTS AND METHODS: We used pulsed Doppler sonography to measure the diameter of the coronary vein and to determine the direction of flow within it in 50 control subjects and 50 patients with portal hypertension. The sonographic findings were correlated with the presence of esophageal varices seen at endoscopy and with history of variceal hemorrhage.\\n\\nRESULTS: In control subjects, the diameter of the coronary vein measured up to 6 mm. In patients with portal hypertension, dilatation of the coronary vein (diameter &gt; 6 mm) was seen in only 13 (26%). Hepatofugal flow in the coronary vein was seen in 39 patients (78%) with portal hypertension, 29 (74%) of whom did not have hepatofugal flow in other major veins of the portal system. None of the patients with portal hypertension and hepatopetal flow in the coronary vein had a history of variceal hemorrhage, whereas 40% of those with hepatofugal flow had had variceal hemorrhage.\\n\\nCONCLUSION: The diameter of the coronary vein may measure up to 6 mm on sonograms of normal subjects. Dilatation of the coronary vein (diameter &gt; 6 mm) does not occur in most patients with portal hypertension, and need not be present for variceal hemorrhage to occur. Hepatofugal flow in the coronary vein is a common and useful Doppler sonographic sign of portal hypertension. Preservation of hepatopetal flow in the coronary vein in patients with portal hypertension may be associated with a low risk of variceal hemorrhage.", "author" : [ { "dropping-particle" : "", "family" : "Wachsberg", "given" : "R H", "non-dropping-particle" : "", "parse-names" : false, "suffix" : "" }, { "dropping-particle" : "", "family" : "Simmons", "given" : "M Z", "non-dropping-particle" : "", "parse-names" : false, "suffix" : "" } ], "container-title" : "AJR. American journal of roentgenology", "id" : "ITEM-3", "issue" : "3", "issued" : { "date-parts" : [ [ "1994" ] ] }, "page" : "637-41", "title" : "Coronary vein diameter and flow direction in patients with portal hypertension: evaluation with duplex sonography and correlation with variceal bleeding.", "type" : "article-journal", "volume" : "162" }, "uris" : [ "http://www.mendeley.com/documents/?uuid=4608ff3c-62ec-4606-a160-3fa671a13208" ] }, { "id" : "ITEM-4", "itemData" : { "DOI" : "10.1148/radiology.151.1.6701328", "PMID" : "6701328", "author" : [ { "dropping-particle" : "", "family" : "Lafortune", "given" : "M", "non-dropping-particle" : "", "parse-names" : false, "suffix" : "" }, { "dropping-particle" : "", "family" : "Marleau", "given" : "D", "non-dropping-particle" : "", "parse-names" : false, "suffix" : "" }, { "dropping-particle" : "", "family" : "Breton", "given" : "Guy", "non-dropping-particle" : "", "parse-names" : false, "suffix" : "" }, { "dropping-particle" : "", "family" : "Viallet", "given" : "A", "non-dropping-particle" : "", "parse-names" : false, "suffix" : "" }, { "dropping-particle" : "", "family" : "Lavoie", "given" : "Pierre", "non-dropping-particle" : "", "parse-names" : false, "suffix" : "" }, { "dropping-particle" : "", "family" : "Huet", "given" : "Pierre-Michel", "non-dropping-particle" : "", "parse-names" : false, "suffix" : "" } ], "container-title" : "Radiology", "id" : "ITEM-4", "issued" : { "date-parts" : [ [ "1984" ] ] }, "page" : "27-30", "title" : "Portal Venous System Measurements in Portal Hypertension.", "type" : "article-journal", "volume" : "151" }, "uris" : [ "http://www.mendeley.com/documents/?uuid=8a4d00f3-2c19-4d89-8a3b-d0ccfb1bc5f7" ] } ], "mendeley" : { "formattedCitation" : "&lt;sup&gt;[20,22\u201324]&lt;/sup&gt;", "plainTextFormattedCitation" : "[20,22\u201324]", "previouslyFormattedCitation" : "&lt;sup&gt;[20,22\u201324]&lt;/sup&gt;" }, "properties" : { "noteIndex" : 0 }, "schema" : "https://github.com/citation-style-language/schema/raw/master/csl-citation.json" }</w:instrText>
      </w:r>
      <w:r w:rsidR="00C445A0" w:rsidRPr="00787839">
        <w:rPr>
          <w:rFonts w:ascii="Book Antiqua" w:hAnsi="Book Antiqua"/>
          <w:sz w:val="24"/>
          <w:szCs w:val="24"/>
        </w:rPr>
        <w:fldChar w:fldCharType="separate"/>
      </w:r>
      <w:r w:rsidR="00617169" w:rsidRPr="00787839">
        <w:rPr>
          <w:rFonts w:ascii="Book Antiqua" w:hAnsi="Book Antiqua"/>
          <w:noProof/>
          <w:sz w:val="24"/>
          <w:szCs w:val="24"/>
          <w:vertAlign w:val="superscript"/>
        </w:rPr>
        <w:t>[20,22–24]</w:t>
      </w:r>
      <w:r w:rsidR="00C445A0" w:rsidRPr="00787839">
        <w:rPr>
          <w:rFonts w:ascii="Book Antiqua" w:hAnsi="Book Antiqua"/>
          <w:sz w:val="24"/>
          <w:szCs w:val="24"/>
        </w:rPr>
        <w:fldChar w:fldCharType="end"/>
      </w:r>
      <w:r w:rsidR="00BE3E11" w:rsidRPr="00787839">
        <w:rPr>
          <w:rFonts w:ascii="Book Antiqua" w:hAnsi="Book Antiqua"/>
          <w:sz w:val="24"/>
          <w:szCs w:val="24"/>
        </w:rPr>
        <w:t>.</w:t>
      </w:r>
      <w:r w:rsidRPr="00787839">
        <w:rPr>
          <w:rFonts w:ascii="Book Antiqua" w:hAnsi="Book Antiqua"/>
          <w:sz w:val="24"/>
          <w:szCs w:val="24"/>
        </w:rPr>
        <w:t xml:space="preserve"> </w:t>
      </w:r>
    </w:p>
    <w:p w14:paraId="38A3AF83" w14:textId="2A285D37" w:rsidR="00F14A23" w:rsidRPr="00787839" w:rsidRDefault="0065476C" w:rsidP="00787839">
      <w:pPr>
        <w:pStyle w:val="Body1"/>
        <w:adjustRightInd w:val="0"/>
        <w:snapToGrid w:val="0"/>
        <w:spacing w:after="0" w:line="360" w:lineRule="auto"/>
        <w:ind w:firstLineChars="100" w:firstLine="240"/>
        <w:rPr>
          <w:rFonts w:ascii="Book Antiqua" w:hAnsi="Book Antiqua"/>
          <w:sz w:val="24"/>
          <w:szCs w:val="24"/>
        </w:rPr>
      </w:pPr>
      <w:r w:rsidRPr="00787839">
        <w:rPr>
          <w:rFonts w:ascii="Book Antiqua" w:hAnsi="Book Antiqua"/>
          <w:sz w:val="24"/>
          <w:szCs w:val="24"/>
        </w:rPr>
        <w:t xml:space="preserve">Coronary venous collaterals are usually accompanied by esophageal or paraesophageal varices. Esophageal varices are usually supplied by the anterior branch of the left gastric vein, whereas the posterior branch of this vein supplies paraesophageal </w:t>
      </w:r>
      <w:r w:rsidR="00F76EE5" w:rsidRPr="00787839">
        <w:rPr>
          <w:rFonts w:ascii="Book Antiqua" w:eastAsia="Batang" w:hAnsi="Book Antiqua" w:cs="Batang"/>
          <w:sz w:val="24"/>
          <w:szCs w:val="24"/>
          <w:lang w:val="en-US" w:eastAsia="ko-KR"/>
        </w:rPr>
        <w:t>varices</w:t>
      </w:r>
      <w:r w:rsidR="00C445A0" w:rsidRPr="00787839">
        <w:rPr>
          <w:rFonts w:ascii="Book Antiqua" w:hAnsi="Book Antiqua"/>
          <w:sz w:val="24"/>
          <w:szCs w:val="24"/>
        </w:rPr>
        <w:fldChar w:fldCharType="begin" w:fldLock="1"/>
      </w:r>
      <w:r w:rsidR="00F65CE7" w:rsidRPr="00787839">
        <w:rPr>
          <w:rFonts w:ascii="Book Antiqua" w:hAnsi="Book Antiqua"/>
          <w:sz w:val="24"/>
          <w:szCs w:val="24"/>
        </w:rPr>
        <w:instrText>ADDIN CSL_CITATION { "citationItems" : [ { "id" : "ITEM-1", "itemData" : { "author" : [ { "dropping-particle" : "", "family" : "Takahashi", "given" : "Naoto", "non-dropping-particle" : "", "parse-names" : false, "suffix" : "" }, { "dropping-particle" : "", "family" : "Kuroki", "given" : "Kazunori", "non-dropping-particle" : "", "parse-names" : false, "suffix" : "" }, { "dropping-particle" : "", "family" : "Yanaga", "given" : "Katsuhiko", "non-dropping-particle" : "", "parse-names" : false, "suffix" : "" } ], "container-title" : "Journal of Endovascular Therapy", "id" : "ITEM-1", "issued" : { "date-parts" : [ [ "2005" ] ] }, "page" : "508-511", "title" : "Percutaneous Transhepatic Mechanical Thrombectomy for Acute Mesenteric Venous Thrombosis", "type" : "article-journal", "volume" : "12" }, "uris" : [ "http://www.mendeley.com/documents/?uuid=5f847c44-4d5e-4438-9dca-c0bdd8eedeaa" ] } ], "mendeley" : { "formattedCitation" : "&lt;sup&gt;[25]&lt;/sup&gt;", "plainTextFormattedCitation" : "[25]", "previouslyFormattedCitation" : "&lt;sup&gt;[25]&lt;/sup&gt;" }, "properties" : { "noteIndex" : 0 }, "schema" : "https://github.com/citation-style-language/schema/raw/master/csl-citation.json" }</w:instrText>
      </w:r>
      <w:r w:rsidR="00C445A0" w:rsidRPr="00787839">
        <w:rPr>
          <w:rFonts w:ascii="Book Antiqua" w:hAnsi="Book Antiqua"/>
          <w:sz w:val="24"/>
          <w:szCs w:val="24"/>
        </w:rPr>
        <w:fldChar w:fldCharType="separate"/>
      </w:r>
      <w:r w:rsidR="00617169" w:rsidRPr="00787839">
        <w:rPr>
          <w:rFonts w:ascii="Book Antiqua" w:hAnsi="Book Antiqua"/>
          <w:noProof/>
          <w:sz w:val="24"/>
          <w:szCs w:val="24"/>
          <w:vertAlign w:val="superscript"/>
        </w:rPr>
        <w:t>[25]</w:t>
      </w:r>
      <w:r w:rsidR="00C445A0" w:rsidRPr="00787839">
        <w:rPr>
          <w:rFonts w:ascii="Book Antiqua" w:hAnsi="Book Antiqua"/>
          <w:sz w:val="24"/>
          <w:szCs w:val="24"/>
        </w:rPr>
        <w:fldChar w:fldCharType="end"/>
      </w:r>
      <w:r w:rsidR="00BE3E11" w:rsidRPr="00787839">
        <w:rPr>
          <w:rFonts w:ascii="Book Antiqua" w:hAnsi="Book Antiqua"/>
          <w:sz w:val="24"/>
          <w:szCs w:val="24"/>
        </w:rPr>
        <w:t xml:space="preserve">. </w:t>
      </w:r>
      <w:r w:rsidRPr="00787839">
        <w:rPr>
          <w:rFonts w:ascii="Book Antiqua" w:hAnsi="Book Antiqua"/>
          <w:sz w:val="24"/>
          <w:szCs w:val="24"/>
        </w:rPr>
        <w:t>On CT, varices appear as well-defined round, tubular, or serpentine structures that are smooth, have homogeneous attenuation, and enhance with contrast material to the</w:t>
      </w:r>
      <w:r w:rsidR="005568A5" w:rsidRPr="00787839">
        <w:rPr>
          <w:rFonts w:ascii="Book Antiqua" w:hAnsi="Book Antiqua"/>
          <w:sz w:val="24"/>
          <w:szCs w:val="24"/>
        </w:rPr>
        <w:t xml:space="preserve"> same degree as adjacent portal and mesenteric </w:t>
      </w:r>
      <w:r w:rsidR="008E2573" w:rsidRPr="00787839">
        <w:rPr>
          <w:rFonts w:ascii="Book Antiqua" w:hAnsi="Book Antiqua"/>
          <w:sz w:val="24"/>
          <w:szCs w:val="24"/>
        </w:rPr>
        <w:t>veins</w:t>
      </w:r>
      <w:r w:rsidR="00341CC3" w:rsidRPr="00787839">
        <w:rPr>
          <w:rFonts w:ascii="Book Antiqua" w:hAnsi="Book Antiqua"/>
          <w:sz w:val="24"/>
          <w:szCs w:val="24"/>
        </w:rPr>
        <w:t xml:space="preserve"> (Figure 3</w:t>
      </w:r>
      <w:r w:rsidR="00373356" w:rsidRPr="00787839">
        <w:rPr>
          <w:rFonts w:ascii="Book Antiqua" w:hAnsi="Book Antiqua"/>
          <w:sz w:val="24"/>
          <w:szCs w:val="24"/>
        </w:rPr>
        <w:t>)</w:t>
      </w:r>
      <w:r w:rsidRPr="00787839">
        <w:rPr>
          <w:rFonts w:ascii="Book Antiqua" w:hAnsi="Book Antiqua"/>
          <w:sz w:val="24"/>
          <w:szCs w:val="24"/>
        </w:rPr>
        <w:t>.</w:t>
      </w:r>
    </w:p>
    <w:p w14:paraId="7A910B6E" w14:textId="508FA083" w:rsidR="00F14A23" w:rsidRPr="00787839" w:rsidRDefault="0065476C" w:rsidP="00787839">
      <w:pPr>
        <w:pStyle w:val="Body1"/>
        <w:adjustRightInd w:val="0"/>
        <w:snapToGrid w:val="0"/>
        <w:spacing w:after="0" w:line="360" w:lineRule="auto"/>
        <w:ind w:firstLineChars="100" w:firstLine="240"/>
        <w:rPr>
          <w:rFonts w:ascii="Book Antiqua" w:hAnsi="Book Antiqua"/>
          <w:sz w:val="24"/>
          <w:szCs w:val="24"/>
        </w:rPr>
      </w:pPr>
      <w:r w:rsidRPr="00787839">
        <w:rPr>
          <w:rFonts w:ascii="Book Antiqua" w:hAnsi="Book Antiqua"/>
          <w:sz w:val="24"/>
          <w:szCs w:val="24"/>
        </w:rPr>
        <w:t>Esophageal varices, the most common and clinically important collateral vessels, consist of dilated subepithelial and submucosal veins in the wall of the lower esophagus</w:t>
      </w:r>
      <w:r w:rsidR="00341CC3" w:rsidRPr="00787839">
        <w:rPr>
          <w:rFonts w:ascii="Book Antiqua" w:hAnsi="Book Antiqua"/>
          <w:sz w:val="24"/>
          <w:szCs w:val="24"/>
        </w:rPr>
        <w:t xml:space="preserve"> </w:t>
      </w:r>
      <w:r w:rsidR="00341CC3" w:rsidRPr="00787839">
        <w:rPr>
          <w:rFonts w:ascii="Book Antiqua" w:hAnsi="Book Antiqua"/>
          <w:sz w:val="24"/>
          <w:szCs w:val="24"/>
        </w:rPr>
        <w:lastRenderedPageBreak/>
        <w:t>(Figure 4)</w:t>
      </w:r>
      <w:r w:rsidRPr="00787839">
        <w:rPr>
          <w:rFonts w:ascii="Book Antiqua" w:hAnsi="Book Antiqua"/>
          <w:sz w:val="24"/>
          <w:szCs w:val="24"/>
        </w:rPr>
        <w:t>. They usually drain into the azygos or the hemiazygos system</w:t>
      </w:r>
      <w:r w:rsidR="00C445A0" w:rsidRPr="00787839">
        <w:rPr>
          <w:rFonts w:ascii="Book Antiqua" w:hAnsi="Book Antiqua"/>
          <w:sz w:val="24"/>
          <w:szCs w:val="24"/>
          <w:vertAlign w:val="superscript"/>
        </w:rPr>
        <w:fldChar w:fldCharType="begin" w:fldLock="1"/>
      </w:r>
      <w:r w:rsidR="00F65CE7" w:rsidRPr="00787839">
        <w:rPr>
          <w:rFonts w:ascii="Book Antiqua" w:hAnsi="Book Antiqua"/>
          <w:sz w:val="24"/>
          <w:szCs w:val="24"/>
          <w:vertAlign w:val="superscript"/>
        </w:rPr>
        <w:instrText>ADDIN CSL_CITATION { "citationItems" : [ { "id" : "ITEM-1", "itemData" : { "DOI" : "10.1148/radiographics.15.3.7624566", "ISSN" : "0271-5333", "PMID" : "7724782", "abstract" : "PURPOSE: To determine the prevalence and appearance of cardiophrenic angle (CPA) varices at computed tomography (CT) in patients with portal hypertension (PHT). MATERIALS AND METHODS: A retrospective review was performed of 148 consecutive contrast material--enhanced abdominal CT scans of patients with PHT. The paracardiac region was assessed for tubular structures suggestive of varices. Variceal diameter and CT attenuation relative to adjacent liver were noted. RESULTS: Tubular structures consistent with CPA varices were noted in 29 cases and were more common on the right side than on the left. Mean CPA variceal diameter was 2.6 mm. In three cases, right CPA varices measured 10-13 mm in diameter, but no variceal enhancement was noted on initial dynamic CT images. Delayed CT demonstrated contrast enhancement that reflected delayed enhancement of the portal venous system. CONCLUSION: CPA varices, particularly on the right side, are not uncommon in patients with PHT. Varices should be considered and excluded as a cause of CPA masses, particularly before percutaneous biopsy. Delayed CT may be necessary to correctly delineate CPA varices.", "author" : [ { "dropping-particle" : "", "family" : "Cho", "given" : "KC", "non-dropping-particle" : "", "parse-names" : false, "suffix" : "" }, { "dropping-particle" : "", "family" : "Patel", "given" : "Yashwant D", "non-dropping-particle" : "", "parse-names" : false, "suffix" : "" }, { "dropping-particle" : "", "family" : "Wachsberg", "given" : "R H", "non-dropping-particle" : "", "parse-names" : false, "suffix" : "" }, { "dropping-particle" : "", "family" : "Seef", "given" : "Jonathan", "non-dropping-particle" : "", "parse-names" : false, "suffix" : "" } ], "container-title" : "Radiology", "id" : "ITEM-1", "issued" : { "date-parts" : [ [ "1995" ] ] }, "page" : "553-556", "title" : "Varices in Portal Hypertension: Evaluation with CT", "type" : "article-journal", "volume" : "195" }, "uris" : [ "http://www.mendeley.com/documents/?uuid=230c674d-cf61-4785-a61a-8883d0dd96ea" ] } ], "mendeley" : { "formattedCitation" : "&lt;sup&gt;[20]&lt;/sup&gt;", "plainTextFormattedCitation" : "[20]", "previouslyFormattedCitation" : "&lt;sup&gt;[20]&lt;/sup&gt;" }, "properties" : { "noteIndex" : 0 }, "schema" : "https://github.com/citation-style-language/schema/raw/master/csl-citation.json" }</w:instrText>
      </w:r>
      <w:r w:rsidR="00C445A0" w:rsidRPr="00787839">
        <w:rPr>
          <w:rFonts w:ascii="Book Antiqua" w:hAnsi="Book Antiqua"/>
          <w:sz w:val="24"/>
          <w:szCs w:val="24"/>
          <w:vertAlign w:val="superscript"/>
        </w:rPr>
        <w:fldChar w:fldCharType="separate"/>
      </w:r>
      <w:r w:rsidR="00617169" w:rsidRPr="00787839">
        <w:rPr>
          <w:rFonts w:ascii="Book Antiqua" w:hAnsi="Book Antiqua"/>
          <w:noProof/>
          <w:sz w:val="24"/>
          <w:szCs w:val="24"/>
          <w:vertAlign w:val="superscript"/>
        </w:rPr>
        <w:t>[20]</w:t>
      </w:r>
      <w:r w:rsidR="00C445A0" w:rsidRPr="00787839">
        <w:rPr>
          <w:rFonts w:ascii="Book Antiqua" w:hAnsi="Book Antiqua"/>
          <w:sz w:val="24"/>
          <w:szCs w:val="24"/>
          <w:vertAlign w:val="superscript"/>
        </w:rPr>
        <w:fldChar w:fldCharType="end"/>
      </w:r>
      <w:r w:rsidR="0023162F" w:rsidRPr="00787839">
        <w:rPr>
          <w:rFonts w:ascii="Book Antiqua" w:hAnsi="Book Antiqua"/>
          <w:sz w:val="24"/>
          <w:szCs w:val="24"/>
        </w:rPr>
        <w:t xml:space="preserve">. </w:t>
      </w:r>
      <w:r w:rsidRPr="00787839">
        <w:rPr>
          <w:rFonts w:ascii="Book Antiqua" w:hAnsi="Book Antiqua"/>
          <w:sz w:val="24"/>
          <w:szCs w:val="24"/>
        </w:rPr>
        <w:t>The reported rate of variceal hemorrhage in patients with esophageal varices is estimated at 10-30% per year, with the mortality from variceal hemorrhage high at 20</w:t>
      </w:r>
      <w:r w:rsidR="00787839">
        <w:rPr>
          <w:rFonts w:ascii="Book Antiqua" w:hAnsi="Book Antiqua" w:hint="eastAsia"/>
          <w:sz w:val="24"/>
          <w:szCs w:val="24"/>
          <w:lang w:eastAsia="zh-CN"/>
        </w:rPr>
        <w:t>%</w:t>
      </w:r>
      <w:r w:rsidRPr="00787839">
        <w:rPr>
          <w:rFonts w:ascii="Book Antiqua" w:hAnsi="Book Antiqua"/>
          <w:sz w:val="24"/>
          <w:szCs w:val="24"/>
        </w:rPr>
        <w:t>-35%</w:t>
      </w:r>
      <w:r w:rsidR="00070991" w:rsidRPr="00787839">
        <w:rPr>
          <w:rFonts w:ascii="Book Antiqua" w:hAnsi="Book Antiqua"/>
          <w:sz w:val="24"/>
          <w:szCs w:val="24"/>
        </w:rPr>
        <w:fldChar w:fldCharType="begin" w:fldLock="1"/>
      </w:r>
      <w:r w:rsidR="00F65CE7" w:rsidRPr="00787839">
        <w:rPr>
          <w:rFonts w:ascii="Book Antiqua" w:hAnsi="Book Antiqua"/>
          <w:sz w:val="24"/>
          <w:szCs w:val="24"/>
        </w:rPr>
        <w:instrText>ADDIN CSL_CITATION { "citationItems" : [ { "id" : "ITEM-1", "itemData" : { "DOI" : "10.1053/gast.2001.22580", "ISSN" : "00165085", "PMID" : "27170392", "abstract" : "GASTROENTROLOGY 2001;120:726-748", "author" : [ { "dropping-particle" : "", "family" : "Garcia\u2013Tsao", "given" : "Guadalupe", "non-dropping-particle" : "", "parse-names" : false, "suffix" : "" } ], "container-title" : "Gastroenterology", "id" : "ITEM-1", "issue" : "3", "issued" : { "date-parts" : [ [ "2001", "2" ] ] }, "page" : "726-748", "title" : "Current management of the complications of cirrhosis and portal hypertension: Variceal hemorrhage, ascites, and spontaneous bacterial peritonitis", "type" : "article-journal", "volume" : "120" }, "uris" : [ "http://www.mendeley.com/documents/?uuid=96c25c0d-8a04-4ffa-92e8-929711e35b1c" ] } ], "mendeley" : { "formattedCitation" : "&lt;sup&gt;[26]&lt;/sup&gt;", "plainTextFormattedCitation" : "[26]", "previouslyFormattedCitation" : "&lt;sup&gt;[26]&lt;/sup&gt;" }, "properties" : { "noteIndex" : 0 }, "schema" : "https://github.com/citation-style-language/schema/raw/master/csl-citation.json" }</w:instrText>
      </w:r>
      <w:r w:rsidR="00070991" w:rsidRPr="00787839">
        <w:rPr>
          <w:rFonts w:ascii="Book Antiqua" w:hAnsi="Book Antiqua"/>
          <w:sz w:val="24"/>
          <w:szCs w:val="24"/>
        </w:rPr>
        <w:fldChar w:fldCharType="separate"/>
      </w:r>
      <w:r w:rsidR="00617169" w:rsidRPr="00787839">
        <w:rPr>
          <w:rFonts w:ascii="Book Antiqua" w:hAnsi="Book Antiqua"/>
          <w:noProof/>
          <w:sz w:val="24"/>
          <w:szCs w:val="24"/>
          <w:vertAlign w:val="superscript"/>
        </w:rPr>
        <w:t>[26]</w:t>
      </w:r>
      <w:r w:rsidR="00070991" w:rsidRPr="00787839">
        <w:rPr>
          <w:rFonts w:ascii="Book Antiqua" w:hAnsi="Book Antiqua"/>
          <w:sz w:val="24"/>
          <w:szCs w:val="24"/>
        </w:rPr>
        <w:fldChar w:fldCharType="end"/>
      </w:r>
      <w:r w:rsidR="0023162F" w:rsidRPr="00787839">
        <w:rPr>
          <w:rFonts w:ascii="Book Antiqua" w:hAnsi="Book Antiqua"/>
          <w:sz w:val="24"/>
          <w:szCs w:val="24"/>
        </w:rPr>
        <w:t>.</w:t>
      </w:r>
      <w:r w:rsidRPr="00787839">
        <w:rPr>
          <w:rFonts w:ascii="Book Antiqua" w:hAnsi="Book Antiqua"/>
          <w:sz w:val="24"/>
          <w:szCs w:val="24"/>
        </w:rPr>
        <w:t xml:space="preserve"> CT is useful for detection and grading of esophageal varices</w:t>
      </w:r>
      <w:r w:rsidR="00283364" w:rsidRPr="00787839">
        <w:rPr>
          <w:rFonts w:ascii="Book Antiqua" w:hAnsi="Book Antiqua"/>
          <w:sz w:val="24"/>
          <w:szCs w:val="24"/>
        </w:rPr>
        <w:t xml:space="preserve">, </w:t>
      </w:r>
      <w:r w:rsidRPr="00787839">
        <w:rPr>
          <w:rFonts w:ascii="Book Antiqua" w:hAnsi="Book Antiqua"/>
          <w:sz w:val="24"/>
          <w:szCs w:val="24"/>
        </w:rPr>
        <w:t xml:space="preserve">with </w:t>
      </w:r>
      <w:r w:rsidR="00F7502C" w:rsidRPr="00787839">
        <w:rPr>
          <w:rFonts w:ascii="Book Antiqua" w:hAnsi="Book Antiqua"/>
          <w:sz w:val="24"/>
          <w:szCs w:val="24"/>
        </w:rPr>
        <w:t>a detection rate of more than 92</w:t>
      </w:r>
      <w:r w:rsidRPr="00787839">
        <w:rPr>
          <w:rFonts w:ascii="Book Antiqua" w:hAnsi="Book Antiqua"/>
          <w:sz w:val="24"/>
          <w:szCs w:val="24"/>
        </w:rPr>
        <w:t xml:space="preserve">% </w:t>
      </w:r>
      <w:r w:rsidR="00CA6870" w:rsidRPr="00787839">
        <w:rPr>
          <w:rFonts w:ascii="Book Antiqua" w:hAnsi="Book Antiqua"/>
          <w:sz w:val="24"/>
          <w:szCs w:val="24"/>
        </w:rPr>
        <w:t>of large varices which have a</w:t>
      </w:r>
      <w:r w:rsidR="00283364" w:rsidRPr="00787839">
        <w:rPr>
          <w:rFonts w:ascii="Book Antiqua" w:hAnsi="Book Antiqua"/>
          <w:sz w:val="24"/>
          <w:szCs w:val="24"/>
        </w:rPr>
        <w:t>n</w:t>
      </w:r>
      <w:r w:rsidR="00CA6870" w:rsidRPr="00787839">
        <w:rPr>
          <w:rFonts w:ascii="Book Antiqua" w:hAnsi="Book Antiqua"/>
          <w:sz w:val="24"/>
          <w:szCs w:val="24"/>
        </w:rPr>
        <w:t xml:space="preserve"> elevated risk of bleeding</w:t>
      </w:r>
      <w:r w:rsidR="00070991" w:rsidRPr="00787839">
        <w:rPr>
          <w:rFonts w:ascii="Book Antiqua" w:hAnsi="Book Antiqua"/>
          <w:sz w:val="24"/>
          <w:szCs w:val="24"/>
          <w:vertAlign w:val="superscript"/>
        </w:rPr>
        <w:fldChar w:fldCharType="begin" w:fldLock="1"/>
      </w:r>
      <w:r w:rsidR="00F65CE7" w:rsidRPr="00787839">
        <w:rPr>
          <w:rFonts w:ascii="Book Antiqua" w:hAnsi="Book Antiqua"/>
          <w:sz w:val="24"/>
          <w:szCs w:val="24"/>
          <w:vertAlign w:val="superscript"/>
        </w:rPr>
        <w:instrText>ADDIN CSL_CITATION { "citationItems" : [ { "id" : "ITEM-1", "itemData" : { "DOI" : "10.2214/AJR.05.1737", "ISSN" : "1546-3141", "PMID" : "17179356", "abstract" : "The objective of this study was to evaluate the performance of routine helical liver CT in the detection and grading of esophageal varices in cirrhotic patients.", "author" : [ { "dropping-particle" : "", "family" : "Kim", "given" : "Young Jun", "non-dropping-particle" : "", "parse-names" : false, "suffix" : "" }, { "dropping-particle" : "", "family" : "Raman", "given" : "Steven S", "non-dropping-particle" : "", "parse-names" : false, "suffix" : "" }, { "dropping-particle" : "", "family" : "Yu", "given" : "Nam C", "non-dropping-particle" : "", "parse-names" : false, "suffix" : "" }, { "dropping-particle" : "", "family" : "To'o", "given" : "Katherine J", "non-dropping-particle" : "", "parse-names" : false, "suffix" : "" }, { "dropping-particle" : "", "family" : "Jutabha", "given" : "Rome", "non-dropping-particle" : "", "parse-names" : false, "suffix" : "" }, { "dropping-particle" : "", "family" : "Lu", "given" : "David S K", "non-dropping-particle" : "", "parse-names" : false, "suffix" : "" } ], "container-title" : "AJR. American journal of roentgenology", "id" : "ITEM-1", "issue" : "1", "issued" : { "date-parts" : [ [ "2007" ] ] }, "page" : "139-44", "title" : "Esophageal varices in cirrhotic patients: evaluation with liver CT.", "type" : "article-journal", "volume" : "188" }, "uris" : [ "http://www.mendeley.com/documents/?uuid=250569db-5e0f-4619-a58f-8009e1180762" ] } ], "mendeley" : { "formattedCitation" : "&lt;sup&gt;[18]&lt;/sup&gt;", "plainTextFormattedCitation" : "[18]", "previouslyFormattedCitation" : "&lt;sup&gt;[18]&lt;/sup&gt;" }, "properties" : { "noteIndex" : 0 }, "schema" : "https://github.com/citation-style-language/schema/raw/master/csl-citation.json" }</w:instrText>
      </w:r>
      <w:r w:rsidR="00070991" w:rsidRPr="00787839">
        <w:rPr>
          <w:rFonts w:ascii="Book Antiqua" w:hAnsi="Book Antiqua"/>
          <w:sz w:val="24"/>
          <w:szCs w:val="24"/>
          <w:vertAlign w:val="superscript"/>
        </w:rPr>
        <w:fldChar w:fldCharType="separate"/>
      </w:r>
      <w:r w:rsidR="00617169" w:rsidRPr="00787839">
        <w:rPr>
          <w:rFonts w:ascii="Book Antiqua" w:hAnsi="Book Antiqua"/>
          <w:noProof/>
          <w:sz w:val="24"/>
          <w:szCs w:val="24"/>
          <w:vertAlign w:val="superscript"/>
        </w:rPr>
        <w:t>[18]</w:t>
      </w:r>
      <w:r w:rsidR="00070991" w:rsidRPr="00787839">
        <w:rPr>
          <w:rFonts w:ascii="Book Antiqua" w:hAnsi="Book Antiqua"/>
          <w:sz w:val="24"/>
          <w:szCs w:val="24"/>
          <w:vertAlign w:val="superscript"/>
        </w:rPr>
        <w:fldChar w:fldCharType="end"/>
      </w:r>
      <w:r w:rsidR="0023162F" w:rsidRPr="00787839">
        <w:rPr>
          <w:rFonts w:ascii="Book Antiqua" w:hAnsi="Book Antiqua"/>
          <w:sz w:val="24"/>
          <w:szCs w:val="24"/>
        </w:rPr>
        <w:t xml:space="preserve">. </w:t>
      </w:r>
      <w:r w:rsidRPr="00787839">
        <w:rPr>
          <w:rFonts w:ascii="Book Antiqua" w:hAnsi="Book Antiqua"/>
          <w:sz w:val="24"/>
          <w:szCs w:val="24"/>
        </w:rPr>
        <w:t>Typical CT appearance is nodular thickening of the esophageal wall and enhancing nodular intraluminal protrusions with scalloped borders</w:t>
      </w:r>
      <w:r w:rsidR="00070991" w:rsidRPr="00787839">
        <w:rPr>
          <w:rFonts w:ascii="Book Antiqua" w:hAnsi="Book Antiqua"/>
          <w:sz w:val="24"/>
          <w:szCs w:val="24"/>
          <w:vertAlign w:val="superscript"/>
        </w:rPr>
        <w:fldChar w:fldCharType="begin" w:fldLock="1"/>
      </w:r>
      <w:r w:rsidR="00F65CE7" w:rsidRPr="00787839">
        <w:rPr>
          <w:rFonts w:ascii="Book Antiqua" w:hAnsi="Book Antiqua"/>
          <w:sz w:val="24"/>
          <w:szCs w:val="24"/>
          <w:vertAlign w:val="superscript"/>
        </w:rPr>
        <w:instrText>ADDIN CSL_CITATION { "citationItems" : [ { "id" : "ITEM-1", "itemData" : { "DOI" : "10.2214/AJR.05.1737", "ISSN" : "1546-3141", "PMID" : "17179356", "abstract" : "The objective of this study was to evaluate the performance of routine helical liver CT in the detection and grading of esophageal varices in cirrhotic patients.", "author" : [ { "dropping-particle" : "", "family" : "Kim", "given" : "Young Jun", "non-dropping-particle" : "", "parse-names" : false, "suffix" : "" }, { "dropping-particle" : "", "family" : "Raman", "given" : "Steven S", "non-dropping-particle" : "", "parse-names" : false, "suffix" : "" }, { "dropping-particle" : "", "family" : "Yu", "given" : "Nam C", "non-dropping-particle" : "", "parse-names" : false, "suffix" : "" }, { "dropping-particle" : "", "family" : "To'o", "given" : "Katherine J", "non-dropping-particle" : "", "parse-names" : false, "suffix" : "" }, { "dropping-particle" : "", "family" : "Jutabha", "given" : "Rome", "non-dropping-particle" : "", "parse-names" : false, "suffix" : "" }, { "dropping-particle" : "", "family" : "Lu", "given" : "David S K", "non-dropping-particle" : "", "parse-names" : false, "suffix" : "" } ], "container-title" : "AJR. American journal of roentgenology", "id" : "ITEM-1", "issue" : "1", "issued" : { "date-parts" : [ [ "2007" ] ] }, "page" : "139-44", "title" : "Esophageal varices in cirrhotic patients: evaluation with liver CT.", "type" : "article-journal", "volume" : "188" }, "uris" : [ "http://www.mendeley.com/documents/?uuid=250569db-5e0f-4619-a58f-8009e1180762" ] } ], "mendeley" : { "formattedCitation" : "&lt;sup&gt;[18]&lt;/sup&gt;", "plainTextFormattedCitation" : "[18]", "previouslyFormattedCitation" : "&lt;sup&gt;[18]&lt;/sup&gt;" }, "properties" : { "noteIndex" : 0 }, "schema" : "https://github.com/citation-style-language/schema/raw/master/csl-citation.json" }</w:instrText>
      </w:r>
      <w:r w:rsidR="00070991" w:rsidRPr="00787839">
        <w:rPr>
          <w:rFonts w:ascii="Book Antiqua" w:hAnsi="Book Antiqua"/>
          <w:sz w:val="24"/>
          <w:szCs w:val="24"/>
          <w:vertAlign w:val="superscript"/>
        </w:rPr>
        <w:fldChar w:fldCharType="separate"/>
      </w:r>
      <w:r w:rsidR="00617169" w:rsidRPr="00787839">
        <w:rPr>
          <w:rFonts w:ascii="Book Antiqua" w:hAnsi="Book Antiqua"/>
          <w:noProof/>
          <w:sz w:val="24"/>
          <w:szCs w:val="24"/>
          <w:vertAlign w:val="superscript"/>
        </w:rPr>
        <w:t>[18]</w:t>
      </w:r>
      <w:r w:rsidR="00070991" w:rsidRPr="00787839">
        <w:rPr>
          <w:rFonts w:ascii="Book Antiqua" w:hAnsi="Book Antiqua"/>
          <w:sz w:val="24"/>
          <w:szCs w:val="24"/>
          <w:vertAlign w:val="superscript"/>
        </w:rPr>
        <w:fldChar w:fldCharType="end"/>
      </w:r>
      <w:r w:rsidR="000525D3" w:rsidRPr="00787839">
        <w:rPr>
          <w:rFonts w:ascii="Book Antiqua" w:hAnsi="Book Antiqua"/>
          <w:sz w:val="24"/>
          <w:szCs w:val="24"/>
        </w:rPr>
        <w:t>.</w:t>
      </w:r>
    </w:p>
    <w:p w14:paraId="297068CF" w14:textId="202EF59C" w:rsidR="00F14A23" w:rsidRPr="00787839" w:rsidRDefault="0065476C" w:rsidP="00787839">
      <w:pPr>
        <w:pStyle w:val="Body1"/>
        <w:adjustRightInd w:val="0"/>
        <w:snapToGrid w:val="0"/>
        <w:spacing w:after="0" w:line="360" w:lineRule="auto"/>
        <w:ind w:firstLineChars="100" w:firstLine="240"/>
        <w:rPr>
          <w:rFonts w:ascii="Book Antiqua" w:hAnsi="Book Antiqua"/>
          <w:sz w:val="24"/>
          <w:szCs w:val="24"/>
        </w:rPr>
      </w:pPr>
      <w:r w:rsidRPr="00787839">
        <w:rPr>
          <w:rFonts w:ascii="Book Antiqua" w:hAnsi="Book Antiqua"/>
          <w:sz w:val="24"/>
          <w:szCs w:val="24"/>
        </w:rPr>
        <w:t xml:space="preserve">Paraesophageal varices are venous collaterals surrounding the esophagus through </w:t>
      </w:r>
      <w:r w:rsidR="004C44EE" w:rsidRPr="00787839">
        <w:rPr>
          <w:rFonts w:ascii="Book Antiqua" w:hAnsi="Book Antiqua"/>
          <w:sz w:val="24"/>
          <w:szCs w:val="24"/>
        </w:rPr>
        <w:t xml:space="preserve">a network of </w:t>
      </w:r>
      <w:r w:rsidRPr="00787839">
        <w:rPr>
          <w:rFonts w:ascii="Book Antiqua" w:hAnsi="Book Antiqua"/>
          <w:sz w:val="24"/>
          <w:szCs w:val="24"/>
        </w:rPr>
        <w:t>multiple veins and connect the c</w:t>
      </w:r>
      <w:r w:rsidR="00395F28" w:rsidRPr="00787839">
        <w:rPr>
          <w:rFonts w:ascii="Book Antiqua" w:hAnsi="Book Antiqua"/>
          <w:sz w:val="24"/>
          <w:szCs w:val="24"/>
        </w:rPr>
        <w:t>oronary vein with the azygos,</w:t>
      </w:r>
      <w:r w:rsidRPr="00787839">
        <w:rPr>
          <w:rFonts w:ascii="Book Antiqua" w:hAnsi="Book Antiqua"/>
          <w:sz w:val="24"/>
          <w:szCs w:val="24"/>
        </w:rPr>
        <w:t xml:space="preserve"> hemiazygos veins </w:t>
      </w:r>
      <w:r w:rsidR="00395F28" w:rsidRPr="00787839">
        <w:rPr>
          <w:rFonts w:ascii="Book Antiqua" w:hAnsi="Book Antiqua"/>
          <w:sz w:val="24"/>
          <w:szCs w:val="24"/>
        </w:rPr>
        <w:t>and</w:t>
      </w:r>
      <w:r w:rsidRPr="00787839">
        <w:rPr>
          <w:rFonts w:ascii="Book Antiqua" w:hAnsi="Book Antiqua"/>
          <w:sz w:val="24"/>
          <w:szCs w:val="24"/>
        </w:rPr>
        <w:t xml:space="preserve"> the vertebral plexus. They are seen in 22</w:t>
      </w:r>
      <w:r w:rsidR="00787839">
        <w:rPr>
          <w:rFonts w:ascii="Book Antiqua" w:hAnsi="Book Antiqua" w:hint="eastAsia"/>
          <w:sz w:val="24"/>
          <w:szCs w:val="24"/>
          <w:lang w:eastAsia="zh-CN"/>
        </w:rPr>
        <w:t>%</w:t>
      </w:r>
      <w:r w:rsidRPr="00787839">
        <w:rPr>
          <w:rFonts w:ascii="Book Antiqua" w:hAnsi="Book Antiqua"/>
          <w:sz w:val="24"/>
          <w:szCs w:val="24"/>
        </w:rPr>
        <w:t>-38% of CT scans as dilated collateral vessels surrounding the esophagus and the descending thoracic aorta</w:t>
      </w:r>
      <w:r w:rsidR="00283364" w:rsidRPr="00787839">
        <w:rPr>
          <w:rFonts w:ascii="Book Antiqua" w:hAnsi="Book Antiqua"/>
          <w:sz w:val="24"/>
          <w:szCs w:val="24"/>
        </w:rPr>
        <w:t xml:space="preserve"> </w:t>
      </w:r>
      <w:r w:rsidR="002E2EAB" w:rsidRPr="00787839">
        <w:rPr>
          <w:rFonts w:ascii="Book Antiqua" w:hAnsi="Book Antiqua"/>
          <w:sz w:val="24"/>
          <w:szCs w:val="24"/>
        </w:rPr>
        <w:t>(Figure 5)</w:t>
      </w:r>
      <w:r w:rsidR="00070991" w:rsidRPr="00787839">
        <w:rPr>
          <w:rFonts w:ascii="Book Antiqua" w:hAnsi="Book Antiqua"/>
          <w:sz w:val="24"/>
          <w:szCs w:val="24"/>
          <w:vertAlign w:val="superscript"/>
        </w:rPr>
        <w:fldChar w:fldCharType="begin" w:fldLock="1"/>
      </w:r>
      <w:r w:rsidR="00F65CE7" w:rsidRPr="00787839">
        <w:rPr>
          <w:rFonts w:ascii="Book Antiqua" w:hAnsi="Book Antiqua"/>
          <w:sz w:val="24"/>
          <w:szCs w:val="24"/>
          <w:vertAlign w:val="superscript"/>
        </w:rPr>
        <w:instrText>ADDIN CSL_CITATION { "citationItems" : [ { "id" : "ITEM-1", "itemData" : { "DOI" : "10.1148/radiology.195.2.7724782", "PMID" : "7724782", "author" : [ { "dropping-particle" : "", "family" : "Wachsberg", "given" : "H", "non-dropping-particle" : "", "parse-names" : false, "suffix" : "" }, { "dropping-particle" : "", "family" : "Yaghmai", "given" : "Vahid", "non-dropping-particle" : "", "parse-names" : false, "suffix" : "" }, { "dropping-particle" : "", "family" : "Javors", "given" : "BR", "non-dropping-particle" : "", "parse-names" : false, "suffix" : "" }, { "dropping-particle" : "", "family" : "Levine", "given" : "Charles D", "non-dropping-particle" : "", "parse-names" : false, "suffix" : "" }, { "dropping-particle" : "", "family" : "Simmons", "given" : "Marc Z", "non-dropping-particle" : "", "parse-names" : false, "suffix" : "" }, { "dropping-particle" : "", "family" : "Maidjian", "given" : "Pierre D", "non-dropping-particle" : "", "parse-names" : false, "suffix" : "" } ], "container-title" : "Radiology", "id" : "ITEM-1", "issued" : { "date-parts" : [ [ "1995" ] ] }, "page" : "553-556", "title" : "Cardiophrenic Varices in Portal Hypertension: Evaluation with CT", "type" : "article-journal", "volume" : "195" }, "uris" : [ "http://www.mendeley.com/documents/?uuid=6b0aca15-0271-4c58-84bf-1e28120eb163" ] }, { "id" : "ITEM-2", "itemData" : { "DOI" : "10.2214/AJR.05.1737", "ISSN" : "1546-3141", "PMID" : "17179356", "abstract" : "The objective of this study was to evaluate the performance of routine helical liver CT in the detection and grading of esophageal varices in cirrhotic patients.", "author" : [ { "dropping-particle" : "", "family" : "Kim", "given" : "Young Jun", "non-dropping-particle" : "", "parse-names" : false, "suffix" : "" }, { "dropping-particle" : "", "family" : "Raman", "given" : "Steven S", "non-dropping-particle" : "", "parse-names" : false, "suffix" : "" }, { "dropping-particle" : "", "family" : "Yu", "given" : "Nam C", "non-dropping-particle" : "", "parse-names" : false, "suffix" : "" }, { "dropping-particle" : "", "family" : "To'o", "given" : "Katherine J", "non-dropping-particle" : "", "parse-names" : false, "suffix" : "" }, { "dropping-particle" : "", "family" : "Jutabha", "given" : "Rome", "non-dropping-particle" : "", "parse-names" : false, "suffix" : "" }, { "dropping-particle" : "", "family" : "Lu", "given" : "David S K", "non-dropping-particle" : "", "parse-names" : false, "suffix" : "" } ], "container-title" : "AJR. American journal of roentgenology", "id" : "ITEM-2", "issue" : "1", "issued" : { "date-parts" : [ [ "2007" ] ] }, "page" : "139-44", "title" : "Esophageal varices in cirrhotic patients: evaluation with liver CT.", "type" : "article-journal", "volume" : "188" }, "uris" : [ "http://www.mendeley.com/documents/?uuid=250569db-5e0f-4619-a58f-8009e1180762" ] }, { "id" : "ITEM-3", "itemData" : { "DOI" : "10.2214/ajr.170.6.9609167", "PMID" : "9609167", "author" : [ { "dropping-particle" : "", "family" : "Lee", "given" : "Soon Jin", "non-dropping-particle" : "", "parse-names" : false, "suffix" : "" }, { "dropping-particle" : "", "family" : "Lee", "given" : "Kying Soo", "non-dropping-particle" : "", "parse-names" : false, "suffix" : "" }, { "dropping-particle" : "", "family" : "Kim", "given" : "Soo Ah", "non-dropping-particle" : "", "parse-names" : false, "suffix" : "" }, { "dropping-particle" : "", "family" : "Kim", "given" : "Tae Sung", "non-dropping-particle" : "", "parse-names" : false, "suffix" : "" }, { "dropping-particle" : "", "family" : "Hwang", "given" : "Jung Hwa", "non-dropping-particle" : "", "parse-names" : false, "suffix" : "" }, { "dropping-particle" : "", "family" : "Lim", "given" : "Jae Hoon", "non-dropping-particle" : "", "parse-names" : false, "suffix" : "" } ], "container-title" : "Chest", "id" : "ITEM-3", "issued" : { "date-parts" : [ [ "1998" ] ] }, "page" : "1527-1531", "title" : "Computed Radiography of the Chest in Patients with Paraesophageal Varices: Diagnostic Accuracy and Characteristic Findings", "type" : "article-journal", "volume" : "170" }, "uris" : [ "http://www.mendeley.com/documents/?uuid=bdeb1d4c-4da6-4309-8241-ada4f7d07740" ] } ], "mendeley" : { "formattedCitation" : "&lt;sup&gt;[10,18,19]&lt;/sup&gt;", "plainTextFormattedCitation" : "[10,18,19]", "previouslyFormattedCitation" : "&lt;sup&gt;[10,18,19]&lt;/sup&gt;" }, "properties" : { "noteIndex" : 0 }, "schema" : "https://github.com/citation-style-language/schema/raw/master/csl-citation.json" }</w:instrText>
      </w:r>
      <w:r w:rsidR="00070991" w:rsidRPr="00787839">
        <w:rPr>
          <w:rFonts w:ascii="Book Antiqua" w:hAnsi="Book Antiqua"/>
          <w:sz w:val="24"/>
          <w:szCs w:val="24"/>
          <w:vertAlign w:val="superscript"/>
        </w:rPr>
        <w:fldChar w:fldCharType="separate"/>
      </w:r>
      <w:r w:rsidR="00617169" w:rsidRPr="00787839">
        <w:rPr>
          <w:rFonts w:ascii="Book Antiqua" w:hAnsi="Book Antiqua"/>
          <w:noProof/>
          <w:sz w:val="24"/>
          <w:szCs w:val="24"/>
          <w:vertAlign w:val="superscript"/>
        </w:rPr>
        <w:t>[10,18,19]</w:t>
      </w:r>
      <w:r w:rsidR="00070991" w:rsidRPr="00787839">
        <w:rPr>
          <w:rFonts w:ascii="Book Antiqua" w:hAnsi="Book Antiqua"/>
          <w:sz w:val="24"/>
          <w:szCs w:val="24"/>
          <w:vertAlign w:val="superscript"/>
        </w:rPr>
        <w:fldChar w:fldCharType="end"/>
      </w:r>
      <w:r w:rsidR="000525D3" w:rsidRPr="00787839">
        <w:rPr>
          <w:rFonts w:ascii="Book Antiqua" w:hAnsi="Book Antiqua"/>
          <w:sz w:val="24"/>
          <w:szCs w:val="24"/>
        </w:rPr>
        <w:t xml:space="preserve">. </w:t>
      </w:r>
      <w:r w:rsidRPr="00787839">
        <w:rPr>
          <w:rFonts w:ascii="Book Antiqua" w:hAnsi="Book Antiqua"/>
          <w:sz w:val="24"/>
          <w:szCs w:val="24"/>
        </w:rPr>
        <w:t xml:space="preserve">They are located outside the walls of the esophagus and thus </w:t>
      </w:r>
      <w:r w:rsidR="000525D3" w:rsidRPr="00787839">
        <w:rPr>
          <w:rFonts w:ascii="Book Antiqua" w:hAnsi="Book Antiqua"/>
          <w:sz w:val="24"/>
          <w:szCs w:val="24"/>
        </w:rPr>
        <w:t xml:space="preserve">cannot be seen with endoscopy. </w:t>
      </w:r>
      <w:r w:rsidRPr="00787839">
        <w:rPr>
          <w:rFonts w:ascii="Book Antiqua" w:hAnsi="Book Antiqua"/>
          <w:sz w:val="24"/>
          <w:szCs w:val="24"/>
        </w:rPr>
        <w:t xml:space="preserve">Their clinical significance is not entirely clear, however, Lin </w:t>
      </w:r>
      <w:r w:rsidR="007F096F" w:rsidRPr="00787839">
        <w:rPr>
          <w:rFonts w:ascii="Book Antiqua" w:hAnsi="Book Antiqua"/>
          <w:i/>
          <w:sz w:val="24"/>
          <w:szCs w:val="24"/>
        </w:rPr>
        <w:t>et al</w:t>
      </w:r>
      <w:r w:rsidR="00787839" w:rsidRPr="00787839">
        <w:rPr>
          <w:rFonts w:ascii="Book Antiqua" w:hAnsi="Book Antiqua"/>
          <w:sz w:val="24"/>
          <w:szCs w:val="24"/>
        </w:rPr>
        <w:fldChar w:fldCharType="begin" w:fldLock="1"/>
      </w:r>
      <w:r w:rsidR="00787839" w:rsidRPr="00787839">
        <w:rPr>
          <w:rFonts w:ascii="Book Antiqua" w:hAnsi="Book Antiqua"/>
          <w:sz w:val="24"/>
          <w:szCs w:val="24"/>
        </w:rPr>
        <w:instrText>ADDIN CSL_CITATION { "citationItems" : [ { "id" : "ITEM-1", "itemData" : { "DOI" : "10.1002/hep.1840190310", "ISSN" : "02709139", "PMID" : "8119684", "author" : [ { "dropping-particle" : "", "family" : "Lin", "given" : "Ching-Yih", "non-dropping-particle" : "", "parse-names" : false, "suffix" : "" }, { "dropping-particle" : "", "family" : "Lin", "given" : "Pin-Wen", "non-dropping-particle" : "", "parse-names" : false, "suffix" : "" }, { "dropping-particle" : "", "family" : "Tsai", "given" : "Hong-Ming", "non-dropping-particle" : "", "parse-names" : false, "suffix" : "" }, { "dropping-particle" : "", "family" : "Lin", "given" : "Xi-Zhang", "non-dropping-particle" : "", "parse-names" : false, "suffix" : "" }, { "dropping-particle" : "", "family" : "Chang", "given" : "Ting-Tsung", "non-dropping-particle" : "", "parse-names" : false, "suffix" : "" }, { "dropping-particle" : "", "family" : "Shin", "given" : "Jeng-Shiann", "non-dropping-particle" : "", "parse-names" : false, "suffix" : "" } ], "container-title" : "Hepatology", "id" : "ITEM-1", "issue" : "3", "issued" : { "date-parts" : [ [ "1994", "3" ] ] }, "page" : "602-608", "title" : "Influence of paraesophageal venous collaterals on efficacy of endoscopic sclerotherapy for esophageal varices", "type" : "article-journal", "volume" : "19" }, "uris" : [ "http://www.mendeley.com/documents/?uuid=cb5450f9-a406-4fa0-94d1-070012ce9d8e" ] } ], "mendeley" : { "formattedCitation" : "&lt;sup&gt;[27]&lt;/sup&gt;", "plainTextFormattedCitation" : "[27]", "previouslyFormattedCitation" : "&lt;sup&gt;[27]&lt;/sup&gt;" }, "properties" : { "noteIndex" : 0 }, "schema" : "https://github.com/citation-style-language/schema/raw/master/csl-citation.json" }</w:instrText>
      </w:r>
      <w:r w:rsidR="00787839" w:rsidRPr="00787839">
        <w:rPr>
          <w:rFonts w:ascii="Book Antiqua" w:hAnsi="Book Antiqua"/>
          <w:sz w:val="24"/>
          <w:szCs w:val="24"/>
        </w:rPr>
        <w:fldChar w:fldCharType="separate"/>
      </w:r>
      <w:r w:rsidR="00787839" w:rsidRPr="00787839">
        <w:rPr>
          <w:rFonts w:ascii="Book Antiqua" w:hAnsi="Book Antiqua"/>
          <w:sz w:val="24"/>
          <w:szCs w:val="24"/>
          <w:vertAlign w:val="superscript"/>
        </w:rPr>
        <w:t>[27]</w:t>
      </w:r>
      <w:r w:rsidR="00787839" w:rsidRPr="00787839">
        <w:rPr>
          <w:rFonts w:ascii="Book Antiqua" w:hAnsi="Book Antiqua"/>
          <w:sz w:val="24"/>
          <w:szCs w:val="24"/>
        </w:rPr>
        <w:fldChar w:fldCharType="end"/>
      </w:r>
      <w:r w:rsidRPr="00787839">
        <w:rPr>
          <w:rFonts w:ascii="Book Antiqua" w:hAnsi="Book Antiqua"/>
          <w:sz w:val="24"/>
          <w:szCs w:val="24"/>
        </w:rPr>
        <w:t xml:space="preserve"> </w:t>
      </w:r>
      <w:r w:rsidR="00395F28" w:rsidRPr="00787839">
        <w:rPr>
          <w:rFonts w:ascii="Book Antiqua" w:hAnsi="Book Antiqua"/>
          <w:sz w:val="24"/>
          <w:szCs w:val="24"/>
        </w:rPr>
        <w:t>demonstrated</w:t>
      </w:r>
      <w:r w:rsidRPr="00787839">
        <w:rPr>
          <w:rFonts w:ascii="Book Antiqua" w:hAnsi="Book Antiqua"/>
          <w:sz w:val="24"/>
          <w:szCs w:val="24"/>
        </w:rPr>
        <w:t xml:space="preserve"> that paraesophageal varices revealed on chest CT suggested a poor prognosis for patients with esophageal variceal hemorrhage who underwent sclerotherapy</w:t>
      </w:r>
      <w:r w:rsidR="000525D3" w:rsidRPr="00787839">
        <w:rPr>
          <w:rFonts w:ascii="Book Antiqua" w:hAnsi="Book Antiqua"/>
          <w:sz w:val="24"/>
          <w:szCs w:val="24"/>
        </w:rPr>
        <w:t>.</w:t>
      </w:r>
    </w:p>
    <w:p w14:paraId="58718BC3" w14:textId="0E930DE3" w:rsidR="00F14A23" w:rsidRDefault="0065476C" w:rsidP="00787839">
      <w:pPr>
        <w:pStyle w:val="Body1"/>
        <w:adjustRightInd w:val="0"/>
        <w:snapToGrid w:val="0"/>
        <w:spacing w:after="0" w:line="360" w:lineRule="auto"/>
        <w:ind w:firstLineChars="100" w:firstLine="240"/>
        <w:rPr>
          <w:rFonts w:ascii="Book Antiqua" w:hAnsi="Book Antiqua"/>
          <w:sz w:val="24"/>
          <w:szCs w:val="24"/>
          <w:lang w:eastAsia="zh-CN"/>
        </w:rPr>
      </w:pPr>
      <w:r w:rsidRPr="00787839">
        <w:rPr>
          <w:rFonts w:ascii="Book Antiqua" w:hAnsi="Book Antiqua"/>
          <w:sz w:val="24"/>
          <w:szCs w:val="24"/>
        </w:rPr>
        <w:t>Cardiophrenic angle varices consist of dilated pericardiacophrenic veins, which frequently occur in patients with cirrhosis caused by membranous obstruction of the inferior vena cava (IVC). Their reported prevalence is estimated at 18%</w:t>
      </w:r>
      <w:r w:rsidR="00070991" w:rsidRPr="00787839">
        <w:rPr>
          <w:rFonts w:ascii="Book Antiqua" w:hAnsi="Book Antiqua"/>
          <w:sz w:val="24"/>
          <w:szCs w:val="24"/>
          <w:vertAlign w:val="superscript"/>
        </w:rPr>
        <w:fldChar w:fldCharType="begin" w:fldLock="1"/>
      </w:r>
      <w:r w:rsidR="00617169" w:rsidRPr="00787839">
        <w:rPr>
          <w:rFonts w:ascii="Book Antiqua" w:hAnsi="Book Antiqua"/>
          <w:sz w:val="24"/>
          <w:szCs w:val="24"/>
          <w:vertAlign w:val="superscript"/>
        </w:rPr>
        <w:instrText>ADDIN CSL_CITATION { "citationItems" : [ { "id" : "ITEM-1", "itemData" : { "DOI" : "10.1148/radiology.195.2.7724782", "PMID" : "7724782", "author" : [ { "dropping-particle" : "", "family" : "Wachsberg", "given" : "H", "non-dropping-particle" : "", "parse-names" : false, "suffix" : "" }, { "dropping-particle" : "", "family" : "Yaghmai", "given" : "Vahid", "non-dropping-particle" : "", "parse-names" : false, "suffix" : "" }, { "dropping-particle" : "", "family" : "Javors", "given" : "BR", "non-dropping-particle" : "", "parse-names" : false, "suffix" : "" }, { "dropping-particle" : "", "family" : "Levine", "given" : "Charles D", "non-dropping-particle" : "", "parse-names" : false, "suffix" : "" }, { "dropping-particle" : "", "family" : "Simmons", "given" : "Marc Z", "non-dropping-particle" : "", "parse-names" : false, "suffix" : "" }, { "dropping-particle" : "", "family" : "Maidjian", "given" : "Pierre D", "non-dropping-particle" : "", "parse-names" : false, "suffix" : "" } ], "container-title" : "Radiology", "id" : "ITEM-1", "issued" : { "date-parts" : [ [ "1995" ] ] }, "page" : "553-556", "title" : "Cardiophrenic Varices in Portal Hypertension: Evaluation with CT", "type" : "article-journal", "volume" : "195" }, "uris" : [ "http://www.mendeley.com/documents/?uuid=6b0aca15-0271-4c58-84bf-1e28120eb163" ] } ], "mendeley" : { "formattedCitation" : "&lt;sup&gt;[10]&lt;/sup&gt;", "plainTextFormattedCitation" : "[10]", "previouslyFormattedCitation" : "&lt;sup&gt;[10]&lt;/sup&gt;" }, "properties" : { "noteIndex" : 0 }, "schema" : "https://github.com/citation-style-language/schema/raw/master/csl-citation.json" }</w:instrText>
      </w:r>
      <w:r w:rsidR="00070991" w:rsidRPr="00787839">
        <w:rPr>
          <w:rFonts w:ascii="Book Antiqua" w:hAnsi="Book Antiqua"/>
          <w:sz w:val="24"/>
          <w:szCs w:val="24"/>
          <w:vertAlign w:val="superscript"/>
        </w:rPr>
        <w:fldChar w:fldCharType="separate"/>
      </w:r>
      <w:r w:rsidR="001A3E46" w:rsidRPr="00787839">
        <w:rPr>
          <w:rFonts w:ascii="Book Antiqua" w:hAnsi="Book Antiqua"/>
          <w:noProof/>
          <w:sz w:val="24"/>
          <w:szCs w:val="24"/>
          <w:vertAlign w:val="superscript"/>
        </w:rPr>
        <w:t>[10]</w:t>
      </w:r>
      <w:r w:rsidR="00070991" w:rsidRPr="00787839">
        <w:rPr>
          <w:rFonts w:ascii="Book Antiqua" w:hAnsi="Book Antiqua"/>
          <w:sz w:val="24"/>
          <w:szCs w:val="24"/>
          <w:vertAlign w:val="superscript"/>
        </w:rPr>
        <w:fldChar w:fldCharType="end"/>
      </w:r>
      <w:r w:rsidR="000525D3" w:rsidRPr="00787839">
        <w:rPr>
          <w:rFonts w:ascii="Book Antiqua" w:hAnsi="Book Antiqua"/>
          <w:sz w:val="24"/>
          <w:szCs w:val="24"/>
        </w:rPr>
        <w:t xml:space="preserve">. </w:t>
      </w:r>
      <w:r w:rsidRPr="00787839">
        <w:rPr>
          <w:rFonts w:ascii="Book Antiqua" w:hAnsi="Book Antiqua"/>
          <w:sz w:val="24"/>
          <w:szCs w:val="24"/>
        </w:rPr>
        <w:t>At radiography, they may manifest as undulating masses along the cardiac borders, simulating a tumor</w:t>
      </w:r>
      <w:r w:rsidR="00341CC3" w:rsidRPr="00787839">
        <w:rPr>
          <w:rFonts w:ascii="Book Antiqua" w:hAnsi="Book Antiqua"/>
          <w:sz w:val="24"/>
          <w:szCs w:val="24"/>
        </w:rPr>
        <w:t xml:space="preserve"> (Figure 6)</w:t>
      </w:r>
      <w:r w:rsidRPr="00787839">
        <w:rPr>
          <w:rFonts w:ascii="Book Antiqua" w:hAnsi="Book Antiqua"/>
          <w:sz w:val="24"/>
          <w:szCs w:val="24"/>
        </w:rPr>
        <w:t>.</w:t>
      </w:r>
    </w:p>
    <w:p w14:paraId="107A1B3A" w14:textId="77777777" w:rsidR="00787839" w:rsidRPr="00787839" w:rsidRDefault="00787839" w:rsidP="00787839">
      <w:pPr>
        <w:pStyle w:val="Body1"/>
        <w:adjustRightInd w:val="0"/>
        <w:snapToGrid w:val="0"/>
        <w:spacing w:after="0" w:line="360" w:lineRule="auto"/>
        <w:ind w:firstLineChars="100" w:firstLine="240"/>
        <w:rPr>
          <w:rFonts w:ascii="Book Antiqua" w:hAnsi="Book Antiqua"/>
          <w:sz w:val="24"/>
          <w:szCs w:val="24"/>
          <w:lang w:eastAsia="zh-CN"/>
        </w:rPr>
      </w:pPr>
    </w:p>
    <w:p w14:paraId="170BAB62" w14:textId="2075D057" w:rsidR="00F14A23" w:rsidRPr="00787839" w:rsidRDefault="00787839"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GASTRIC VARICES AND GASTRORENAL SHUNTS</w:t>
      </w:r>
    </w:p>
    <w:p w14:paraId="35BA8586" w14:textId="362BE5D1" w:rsidR="00F14A23" w:rsidRPr="00787839" w:rsidRDefault="0065476C" w:rsidP="00787839">
      <w:pPr>
        <w:pStyle w:val="Body1"/>
        <w:adjustRightInd w:val="0"/>
        <w:snapToGrid w:val="0"/>
        <w:spacing w:after="0" w:line="360" w:lineRule="auto"/>
        <w:rPr>
          <w:rFonts w:ascii="Book Antiqua" w:hAnsi="Book Antiqua"/>
          <w:sz w:val="24"/>
          <w:szCs w:val="24"/>
        </w:rPr>
      </w:pPr>
      <w:r w:rsidRPr="00787839">
        <w:rPr>
          <w:rFonts w:ascii="Book Antiqua" w:hAnsi="Book Antiqua"/>
          <w:sz w:val="24"/>
          <w:szCs w:val="24"/>
        </w:rPr>
        <w:t xml:space="preserve">Gastric varices, along with esophageal varices, are by far the most </w:t>
      </w:r>
      <w:r w:rsidR="009F47C9" w:rsidRPr="00787839">
        <w:rPr>
          <w:rFonts w:ascii="Book Antiqua" w:hAnsi="Book Antiqua"/>
          <w:sz w:val="24"/>
          <w:szCs w:val="24"/>
        </w:rPr>
        <w:t>common portosystemic pathways seen in portal hypertension</w:t>
      </w:r>
      <w:r w:rsidR="00536858" w:rsidRPr="00787839">
        <w:rPr>
          <w:rFonts w:ascii="Book Antiqua" w:hAnsi="Book Antiqua"/>
          <w:sz w:val="24"/>
          <w:szCs w:val="24"/>
          <w:vertAlign w:val="superscript"/>
        </w:rPr>
        <w:fldChar w:fldCharType="begin" w:fldLock="1"/>
      </w:r>
      <w:r w:rsidR="00F65CE7" w:rsidRPr="00787839">
        <w:rPr>
          <w:rFonts w:ascii="Book Antiqua" w:hAnsi="Book Antiqua"/>
          <w:sz w:val="24"/>
          <w:szCs w:val="24"/>
          <w:vertAlign w:val="superscript"/>
        </w:rPr>
        <w:instrText>ADDIN CSL_CITATION { "citationItems" : [ { "id" : "ITEM-1", "itemData" : { "DOI" : "PubMed - indexed for MEDLINE", "PMID" : "546069", "author" : [ { "dropping-particle" : "", "family" : "Hoevels", "given" : "J", "non-dropping-particle" : "", "parse-names" : false, "suffix" : "" }, { "dropping-particle" : "", "family" : "Lunderquist", "given" : "A", "non-dropping-particle" : "", "parse-names" : false, "suffix" : "" }, { "dropping-particle" : "", "family" : "Ihse", "given" : "I", "non-dropping-particle" : "", "parse-names" : false, "suffix" : "" } ], "container-title" : "Acta Radiol Diagn (Stockh)", "id" : "ITEM-1", "issued" : { "date-parts" : [ [ "1979" ] ] }, "page" : "865-866", "title" : "Portosystemic collaterals in cirrhosis of the liver: selective percutaneous transhepatic catheterization of the portal venous system and portal hypertension", "type" : "article-journal", "volume" : "20" }, "uris" : [ "http://www.mendeley.com/documents/?uuid=0689c210-925e-4084-9955-0e74cb8c6019" ] } ], "mendeley" : { "formattedCitation" : "&lt;sup&gt;[21]&lt;/sup&gt;", "plainTextFormattedCitation" : "[21]", "previouslyFormattedCitation" : "&lt;sup&gt;[21]&lt;/sup&gt;" }, "properties" : { "noteIndex" : 0 }, "schema" : "https://github.com/citation-style-language/schema/raw/master/csl-citation.json" }</w:instrText>
      </w:r>
      <w:r w:rsidR="00536858" w:rsidRPr="00787839">
        <w:rPr>
          <w:rFonts w:ascii="Book Antiqua" w:hAnsi="Book Antiqua"/>
          <w:sz w:val="24"/>
          <w:szCs w:val="24"/>
          <w:vertAlign w:val="superscript"/>
        </w:rPr>
        <w:fldChar w:fldCharType="separate"/>
      </w:r>
      <w:r w:rsidR="00617169" w:rsidRPr="00787839">
        <w:rPr>
          <w:rFonts w:ascii="Book Antiqua" w:hAnsi="Book Antiqua"/>
          <w:noProof/>
          <w:sz w:val="24"/>
          <w:szCs w:val="24"/>
          <w:vertAlign w:val="superscript"/>
        </w:rPr>
        <w:t>[21]</w:t>
      </w:r>
      <w:r w:rsidR="00536858" w:rsidRPr="00787839">
        <w:rPr>
          <w:rFonts w:ascii="Book Antiqua" w:hAnsi="Book Antiqua"/>
          <w:sz w:val="24"/>
          <w:szCs w:val="24"/>
          <w:vertAlign w:val="superscript"/>
        </w:rPr>
        <w:fldChar w:fldCharType="end"/>
      </w:r>
      <w:r w:rsidR="000525D3" w:rsidRPr="00787839">
        <w:rPr>
          <w:rFonts w:ascii="Book Antiqua" w:hAnsi="Book Antiqua"/>
          <w:sz w:val="24"/>
          <w:szCs w:val="24"/>
        </w:rPr>
        <w:t xml:space="preserve">. </w:t>
      </w:r>
      <w:r w:rsidRPr="00787839">
        <w:rPr>
          <w:rFonts w:ascii="Book Antiqua" w:hAnsi="Book Antiqua"/>
          <w:sz w:val="24"/>
          <w:szCs w:val="24"/>
        </w:rPr>
        <w:t>The reported prevalence of gastric varices ranges from 2% to 70</w:t>
      </w:r>
      <w:r w:rsidR="00536858" w:rsidRPr="00787839">
        <w:rPr>
          <w:rFonts w:ascii="Book Antiqua" w:hAnsi="Book Antiqua"/>
          <w:sz w:val="24"/>
          <w:szCs w:val="24"/>
        </w:rPr>
        <w:t>%</w:t>
      </w:r>
      <w:r w:rsidRPr="00787839">
        <w:rPr>
          <w:rFonts w:ascii="Book Antiqua" w:hAnsi="Book Antiqua"/>
          <w:sz w:val="24"/>
          <w:szCs w:val="24"/>
        </w:rPr>
        <w:t xml:space="preserve">. </w:t>
      </w:r>
      <w:r w:rsidR="001F4BDD" w:rsidRPr="00787839">
        <w:rPr>
          <w:rFonts w:ascii="Book Antiqua" w:hAnsi="Book Antiqua"/>
          <w:sz w:val="24"/>
          <w:szCs w:val="24"/>
        </w:rPr>
        <w:t>Esophageal</w:t>
      </w:r>
      <w:r w:rsidRPr="00787839">
        <w:rPr>
          <w:rFonts w:ascii="Book Antiqua" w:hAnsi="Book Antiqua"/>
          <w:sz w:val="24"/>
          <w:szCs w:val="24"/>
        </w:rPr>
        <w:t xml:space="preserve"> and gastric varices frequent</w:t>
      </w:r>
      <w:r w:rsidR="001F4BDD" w:rsidRPr="00787839">
        <w:rPr>
          <w:rFonts w:ascii="Book Antiqua" w:hAnsi="Book Antiqua"/>
          <w:sz w:val="24"/>
          <w:szCs w:val="24"/>
        </w:rPr>
        <w:t>ly coexist</w:t>
      </w:r>
      <w:r w:rsidR="00194AAF" w:rsidRPr="00787839">
        <w:rPr>
          <w:rFonts w:ascii="Book Antiqua" w:hAnsi="Book Antiqua"/>
          <w:sz w:val="24"/>
          <w:szCs w:val="24"/>
        </w:rPr>
        <w:t xml:space="preserve">, as noted in the widely used </w:t>
      </w:r>
      <w:r w:rsidR="00980738" w:rsidRPr="00787839">
        <w:rPr>
          <w:rFonts w:ascii="Book Antiqua" w:hAnsi="Book Antiqua"/>
          <w:sz w:val="24"/>
          <w:szCs w:val="24"/>
        </w:rPr>
        <w:t>Sarin endoscopic grading classification for gastric varices</w:t>
      </w:r>
      <w:r w:rsidR="00194AAF" w:rsidRPr="00787839">
        <w:rPr>
          <w:rFonts w:ascii="Book Antiqua" w:hAnsi="Book Antiqua"/>
          <w:sz w:val="24"/>
          <w:szCs w:val="24"/>
        </w:rPr>
        <w:t xml:space="preserve"> (Table 1)</w:t>
      </w:r>
      <w:r w:rsidR="0030026A" w:rsidRPr="00787839">
        <w:rPr>
          <w:rFonts w:ascii="Book Antiqua" w:hAnsi="Book Antiqua"/>
          <w:sz w:val="24"/>
          <w:szCs w:val="24"/>
        </w:rPr>
        <w:fldChar w:fldCharType="begin" w:fldLock="1"/>
      </w:r>
      <w:r w:rsidR="0030026A" w:rsidRPr="00787839">
        <w:rPr>
          <w:rFonts w:ascii="Book Antiqua" w:hAnsi="Book Antiqua"/>
          <w:sz w:val="24"/>
          <w:szCs w:val="24"/>
        </w:rPr>
        <w:instrText>ADDIN CSL_CITATION { "citationItems" : [ { "id" : "ITEM-1", "itemData" : { "DOI" : "10.1002/hep.1840160607", "ISBN" : "Sarin, Shiv K. ; Lahoti, Deepak ; Saxena, Sanjay P. ; Murthy, Nandguri S. ; Makwana, Uday K. (1992) Prevalence, classification and natural history of gastric varices: a long-term follow-up study in 568 portal hypertension patients Hepatology, 16 (6). pp. 1343-1349. ISSN 0270-9139", "ISSN" : "15273350", "PMID" : "1446890", "abstract" : "To determine the prevalence and natural history of gastric varices, we prospectively studied 568 patients (393 bleeders and 175 nonbleeders) with portal hypertension (cirrhosis in 301 patients, noncirrhotic portal fibrosis in 115 patients, extrahepatic portal vein obstruction in 117 patients and hepatic venous outflow obstruction in 35 patients). Primary (present at initial examination) gastric varices were seen in 114 (20%) patients; more were present in bleeders than in nonbleeders (27% vs. 4%, respectively; p &lt; 0.001). Secondary (occurring after obliteration of esophageal varices) gastric varices developed in 33 (9%) patients during follow-up of 24.6 \u00b1 5.3 mo. Gastric varices (compared with esophageal varices) bled in significantly fewer patients (25% vs. 64%, respectively). Gastric varices had a lower bleeding risk factor than did esophageal varices (2.0 \u00b1 0.5 vs. 4.3 \u00b1 0.4, respectively) but bled more severely (4.8 \u00b1 0.6 vs. 2.9 \u00b1 0.3 transfusion units per patient, respectively). Once a varix bled, mortality was more likely (45%) in gastric varix patients. Gastric varices were classified as gastroesophageal or isolated gastric varices. Type 1 gastroesophageal varices (lesser curve varices) were the most common (75%). After obliteration of esophageal varices, type 1 gastroesophageal varices disappeared in 59% of patients and persisted in the remainder; bleeding from persistent gastroesophageal varices was more common than it was from gastroesophageal varices that were obliterated (28% vs. 2%, respectively; p &lt; 0.001). Type 2 gastroesophageal varices, which extend to greater curvature, bled often (55%) and were associated with high mortality. Type 1 isolated gastric varices patients had only fundal varices, with a high (78%) incidence of bleeding. Type 2 isolated gastric varices were mainly (86%) ectopic, secondary gastric varices that bled only rarely (9%). Sclerotherapy was more effective in controlling acute bleeding and obliterating varices in gastroesophageal varices than in isolated gastric varices; the latter often required surgery. In conclusion, gastric varices are a common and serious complication of portal hypertension. Our classification was helpful in understanding the natural history and management of gastric varices.", "author" : [ { "dropping-particle" : "", "family" : "Sarin", "given" : "Shiv K.", "non-dropping-particle" : "", "parse-names" : false, "suffix" : "" }, { "dropping-particle" : "", "family" : "Lahoti", "given" : "Deepak", "non-dropping-particle" : "", "parse-names" : false, "suffix" : "" }, { "dropping-particle" : "", "family" : "Saxena", "given" : "Sanjay P.", "non-dropping-particle" : "", "parse-names" : false, "suffix" : "" }, { "dropping-particle" : "", "family" : "Murthy", "given" : "Nandguri S.", "non-dropping-particle" : "", "parse-names" : false, "suffix" : "" }, { "dropping-particle" : "", "family" : "Makwana", "given" : "Uday K.", "non-dropping-particle" : "", "parse-names" : false, "suffix" : "" } ], "container-title" : "Hepatology", "id" : "ITEM-1", "issue" : "6", "issued" : { "date-parts" : [ [ "1992" ] ] }, "page" : "1343-1349", "title" : "Prevalence, Classification and Natural History of Gastric Varices: A Long-term Follow-up Study in 568 Portal Hypertension Patients", "type" : "article-journal", "volume" : "16" }, "uris" : [ "http://www.mendeley.com/documents/?uuid=ee1deade-96e1-419e-b6aa-db3349249420" ] } ], "mendeley" : { "formattedCitation" : "&lt;sup&gt;[28]&lt;/sup&gt;", "plainTextFormattedCitation" : "[28]", "previouslyFormattedCitation" : "&lt;sup&gt;[28]&lt;/sup&gt;" }, "properties" : { "noteIndex" : 0 }, "schema" : "https://github.com/citation-style-language/schema/raw/master/csl-citation.json" }</w:instrText>
      </w:r>
      <w:r w:rsidR="0030026A" w:rsidRPr="00787839">
        <w:rPr>
          <w:rFonts w:ascii="Book Antiqua" w:hAnsi="Book Antiqua"/>
          <w:sz w:val="24"/>
          <w:szCs w:val="24"/>
        </w:rPr>
        <w:fldChar w:fldCharType="separate"/>
      </w:r>
      <w:r w:rsidR="0030026A" w:rsidRPr="00787839">
        <w:rPr>
          <w:rFonts w:ascii="Book Antiqua" w:hAnsi="Book Antiqua"/>
          <w:noProof/>
          <w:sz w:val="24"/>
          <w:szCs w:val="24"/>
          <w:vertAlign w:val="superscript"/>
        </w:rPr>
        <w:t>[28]</w:t>
      </w:r>
      <w:r w:rsidR="0030026A" w:rsidRPr="00787839">
        <w:rPr>
          <w:rFonts w:ascii="Book Antiqua" w:hAnsi="Book Antiqua"/>
          <w:sz w:val="24"/>
          <w:szCs w:val="24"/>
        </w:rPr>
        <w:fldChar w:fldCharType="end"/>
      </w:r>
      <w:r w:rsidR="001F4BDD" w:rsidRPr="00787839">
        <w:rPr>
          <w:rFonts w:ascii="Book Antiqua" w:hAnsi="Book Antiqua"/>
          <w:sz w:val="24"/>
          <w:szCs w:val="24"/>
        </w:rPr>
        <w:t>. E</w:t>
      </w:r>
      <w:r w:rsidRPr="00787839">
        <w:rPr>
          <w:rFonts w:ascii="Book Antiqua" w:hAnsi="Book Antiqua"/>
          <w:sz w:val="24"/>
          <w:szCs w:val="24"/>
        </w:rPr>
        <w:t>sophageal varices are more likely to</w:t>
      </w:r>
      <w:r w:rsidR="00395F28" w:rsidRPr="00787839">
        <w:rPr>
          <w:rFonts w:ascii="Book Antiqua" w:hAnsi="Book Antiqua"/>
          <w:sz w:val="24"/>
          <w:szCs w:val="24"/>
        </w:rPr>
        <w:t xml:space="preserve"> be</w:t>
      </w:r>
      <w:r w:rsidRPr="00787839">
        <w:rPr>
          <w:rFonts w:ascii="Book Antiqua" w:hAnsi="Book Antiqua"/>
          <w:sz w:val="24"/>
          <w:szCs w:val="24"/>
        </w:rPr>
        <w:t xml:space="preserve"> supplied by the left gastric or the coronar</w:t>
      </w:r>
      <w:r w:rsidR="00395F28" w:rsidRPr="00787839">
        <w:rPr>
          <w:rFonts w:ascii="Book Antiqua" w:hAnsi="Book Antiqua"/>
          <w:sz w:val="24"/>
          <w:szCs w:val="24"/>
        </w:rPr>
        <w:t>y vein, whereas gastric varices</w:t>
      </w:r>
      <w:r w:rsidRPr="00787839">
        <w:rPr>
          <w:rFonts w:ascii="Book Antiqua" w:hAnsi="Book Antiqua"/>
          <w:sz w:val="24"/>
          <w:szCs w:val="24"/>
        </w:rPr>
        <w:t xml:space="preserve"> are more likely to be supplied by the short </w:t>
      </w:r>
      <w:r w:rsidRPr="00787839">
        <w:rPr>
          <w:rFonts w:ascii="Book Antiqua" w:hAnsi="Book Antiqua"/>
          <w:sz w:val="24"/>
          <w:szCs w:val="24"/>
        </w:rPr>
        <w:lastRenderedPageBreak/>
        <w:t>gastric and posterior gastric veins</w:t>
      </w:r>
      <w:r w:rsidR="00536858"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"[PubMed - indexed for MEDLINE]", "PMID" : "13294324", "author" : [ { "dropping-particle" : "", "family" : "Feldman", "given" : "M", "non-dropping-particle" : "", "parse-names" : false, "suffix" : "" }, { "dropping-particle" : "", "family" : "Feldman", "given" : "M Jr", "non-dropping-particle" : "", "parse-names" : false, "suffix" : "" } ], "container-title" : "Gastroenterology", "id" : "ITEM-1", "issued" : { "date-parts" : [ [ "1956" ] ] }, "page" : "318-321", "title" : "Gastric Varices", "type" : "article-journal", "volume" : "30" }, "uris" : [ "http://www.mendeley.com/documents/?uuid=99fb3687-4d30-44d7-8ca4-5e3a3e3b4dcc" ] } ], "mendeley" : { "formattedCitation" : "&lt;sup&gt;[29]&lt;/sup&gt;", "plainTextFormattedCitation" : "[29]", "previouslyFormattedCitation" : "&lt;sup&gt;[29]&lt;/sup&gt;" }, "properties" : { "noteIndex" : 0 }, "schema" : "https://github.com/citation-style-language/schema/raw/master/csl-citation.json" }</w:instrText>
      </w:r>
      <w:r w:rsidR="00536858"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[29]</w:t>
      </w:r>
      <w:r w:rsidR="00536858" w:rsidRPr="00787839">
        <w:rPr>
          <w:rFonts w:ascii="Book Antiqua" w:hAnsi="Book Antiqua"/>
          <w:sz w:val="24"/>
          <w:szCs w:val="24"/>
          <w:vertAlign w:val="superscript"/>
        </w:rPr>
        <w:fldChar w:fldCharType="end"/>
      </w:r>
      <w:r w:rsidR="00367FC8" w:rsidRPr="00787839">
        <w:rPr>
          <w:rFonts w:ascii="Book Antiqua" w:hAnsi="Book Antiqua"/>
          <w:sz w:val="24"/>
          <w:szCs w:val="24"/>
        </w:rPr>
        <w:t xml:space="preserve">. </w:t>
      </w:r>
      <w:r w:rsidRPr="00787839">
        <w:rPr>
          <w:rFonts w:ascii="Book Antiqua" w:hAnsi="Book Antiqua"/>
          <w:sz w:val="24"/>
          <w:szCs w:val="24"/>
        </w:rPr>
        <w:t>Dilated short gastric veins appear as a tangle of vessels along the medial aspect of the spleen near the hilum, making it often difficult to distinguish between the gastric fundus and individual vessels</w:t>
      </w:r>
      <w:r w:rsidR="00341CC3" w:rsidRPr="00787839">
        <w:rPr>
          <w:rFonts w:ascii="Book Antiqua" w:hAnsi="Book Antiqua"/>
          <w:sz w:val="24"/>
          <w:szCs w:val="24"/>
        </w:rPr>
        <w:t xml:space="preserve"> (Figure 7)</w:t>
      </w:r>
      <w:r w:rsidRPr="00787839">
        <w:rPr>
          <w:rFonts w:ascii="Book Antiqua" w:hAnsi="Book Antiqua"/>
          <w:sz w:val="24"/>
          <w:szCs w:val="24"/>
        </w:rPr>
        <w:t>. Gastric varices are known to simulate tumors or thickened rugae at endoscopy or barium radiography</w:t>
      </w:r>
      <w:r w:rsidR="00341CC3" w:rsidRPr="00787839">
        <w:rPr>
          <w:rFonts w:ascii="Book Antiqua" w:hAnsi="Book Antiqua"/>
          <w:sz w:val="24"/>
          <w:szCs w:val="24"/>
        </w:rPr>
        <w:t xml:space="preserve"> (Figure 8)</w:t>
      </w:r>
      <w:r w:rsidRPr="00787839">
        <w:rPr>
          <w:rFonts w:ascii="Book Antiqua" w:hAnsi="Book Antiqua"/>
          <w:sz w:val="24"/>
          <w:szCs w:val="24"/>
        </w:rPr>
        <w:t>.</w:t>
      </w:r>
    </w:p>
    <w:p w14:paraId="4FA144FD" w14:textId="6B0253AB" w:rsidR="00F14A23" w:rsidRDefault="0065476C" w:rsidP="00787839">
      <w:pPr>
        <w:pStyle w:val="Body1"/>
        <w:adjustRightInd w:val="0"/>
        <w:snapToGrid w:val="0"/>
        <w:spacing w:after="0" w:line="360" w:lineRule="auto"/>
        <w:ind w:firstLineChars="100" w:firstLine="240"/>
        <w:rPr>
          <w:rFonts w:ascii="Book Antiqua" w:hAnsi="Book Antiqua"/>
          <w:sz w:val="24"/>
          <w:szCs w:val="24"/>
          <w:lang w:eastAsia="zh-CN"/>
        </w:rPr>
      </w:pPr>
      <w:r w:rsidRPr="00787839">
        <w:rPr>
          <w:rFonts w:ascii="Book Antiqua" w:hAnsi="Book Antiqua"/>
          <w:sz w:val="24"/>
          <w:szCs w:val="24"/>
        </w:rPr>
        <w:t>Gastric varices that usually drain into the esophageal or paraesophageal veins</w:t>
      </w:r>
      <w:r w:rsidR="00395F28" w:rsidRPr="00787839">
        <w:rPr>
          <w:rFonts w:ascii="Book Antiqua" w:hAnsi="Book Antiqua"/>
          <w:sz w:val="24"/>
          <w:szCs w:val="24"/>
        </w:rPr>
        <w:t xml:space="preserve"> but</w:t>
      </w:r>
      <w:r w:rsidRPr="00787839">
        <w:rPr>
          <w:rFonts w:ascii="Book Antiqua" w:hAnsi="Book Antiqua"/>
          <w:sz w:val="24"/>
          <w:szCs w:val="24"/>
        </w:rPr>
        <w:t xml:space="preserve"> can occasionally drain into the left renal vein </w:t>
      </w:r>
      <w:r w:rsidR="00787839" w:rsidRPr="00787839">
        <w:rPr>
          <w:rFonts w:ascii="Book Antiqua" w:hAnsi="Book Antiqua"/>
          <w:i/>
          <w:sz w:val="24"/>
          <w:szCs w:val="24"/>
        </w:rPr>
        <w:t>via</w:t>
      </w:r>
      <w:r w:rsidRPr="00787839">
        <w:rPr>
          <w:rFonts w:ascii="Book Antiqua" w:hAnsi="Book Antiqua"/>
          <w:sz w:val="24"/>
          <w:szCs w:val="24"/>
        </w:rPr>
        <w:t xml:space="preserve"> a gastrorenal shunt</w:t>
      </w:r>
      <w:r w:rsidR="001B1B1E" w:rsidRPr="00787839">
        <w:rPr>
          <w:rFonts w:ascii="Book Antiqua" w:hAnsi="Book Antiqua"/>
          <w:sz w:val="24"/>
          <w:szCs w:val="24"/>
        </w:rPr>
        <w:t xml:space="preserve"> (Figure 9)</w:t>
      </w:r>
      <w:r w:rsidRPr="00787839">
        <w:rPr>
          <w:rFonts w:ascii="Book Antiqua" w:hAnsi="Book Antiqua"/>
          <w:sz w:val="24"/>
          <w:szCs w:val="24"/>
        </w:rPr>
        <w:t>. A gastrorenal shunt appears a</w:t>
      </w:r>
      <w:r w:rsidR="00395F28" w:rsidRPr="00787839">
        <w:rPr>
          <w:rFonts w:ascii="Book Antiqua" w:hAnsi="Book Antiqua"/>
          <w:sz w:val="24"/>
          <w:szCs w:val="24"/>
        </w:rPr>
        <w:t>s a</w:t>
      </w:r>
      <w:r w:rsidRPr="00787839">
        <w:rPr>
          <w:rFonts w:ascii="Book Antiqua" w:hAnsi="Book Antiqua"/>
          <w:sz w:val="24"/>
          <w:szCs w:val="24"/>
        </w:rPr>
        <w:t xml:space="preserve"> large left-sided retroperitoneal venous channel, associated with dilatation of the left renal vein</w:t>
      </w:r>
      <w:r w:rsidR="00536858"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"10.2214/ajr.141.4.727", "PMID" : "6604425", "author" : [ { "dropping-particle" : "", "family" : "Mitty", "given" : "Harold A", "non-dropping-particle" : "", "parse-names" : false, "suffix" : "" }, { "dropping-particle" : "", "family" : "Cohen", "given" : "Burton A", "non-dropping-particle" : "", "parse-names" : false, "suffix" : "" }, { "dropping-particle" : "", "family" : "Sprayregen", "given" : "Seymour", "non-dropping-particle" : "", "parse-names" : false, "suffix" : "" }, { "dropping-particle" : "", "family" : "Schwartz", "given" : "Kenneth", "non-dropping-particle" : "", "parse-names" : false, "suffix" : "" } ], "container-title" : "AJR. American journal of roentgenology", "id" : "ITEM-1", "issued" : { "date-parts" : [ [ "1983" ] ] }, "page" : "727-730", "title" : "Adrenal Pseudotumors on CT Due to Dilated Portosystem ic Veins", "type" : "article-journal", "volume" : "141" }, "uris" : [ "http://www.mendeley.com/documents/?uuid=0b137b0b-6170-424a-82db-6e5c09d0e94d" ] } ], "mendeley" : { "formattedCitation" : "&lt;sup&gt;[30]&lt;/sup&gt;", "plainTextFormattedCitation" : "[30]", "previouslyFormattedCitation" : "&lt;sup&gt;[30]&lt;/sup&gt;" }, "properties" : { "noteIndex" : 0 }, "schema" : "https://github.com/citation-style-language/schema/raw/master/csl-citation.json" }</w:instrText>
      </w:r>
      <w:r w:rsidR="00536858"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[30]</w:t>
      </w:r>
      <w:r w:rsidR="00536858" w:rsidRPr="00787839">
        <w:rPr>
          <w:rFonts w:ascii="Book Antiqua" w:hAnsi="Book Antiqua"/>
          <w:sz w:val="24"/>
          <w:szCs w:val="24"/>
          <w:vertAlign w:val="superscript"/>
        </w:rPr>
        <w:fldChar w:fldCharType="end"/>
      </w:r>
      <w:r w:rsidR="006235FC" w:rsidRPr="00787839">
        <w:rPr>
          <w:rFonts w:ascii="Book Antiqua" w:hAnsi="Book Antiqua"/>
          <w:sz w:val="24"/>
          <w:szCs w:val="24"/>
        </w:rPr>
        <w:t xml:space="preserve">. </w:t>
      </w:r>
      <w:r w:rsidRPr="00787839">
        <w:rPr>
          <w:rFonts w:ascii="Book Antiqua" w:hAnsi="Book Antiqua"/>
          <w:sz w:val="24"/>
          <w:szCs w:val="24"/>
        </w:rPr>
        <w:t>These shu</w:t>
      </w:r>
      <w:r w:rsidR="006235FC" w:rsidRPr="00787839">
        <w:rPr>
          <w:rFonts w:ascii="Book Antiqua" w:hAnsi="Book Antiqua"/>
          <w:sz w:val="24"/>
          <w:szCs w:val="24"/>
        </w:rPr>
        <w:t>nts may arise from pre-existing</w:t>
      </w:r>
      <w:r w:rsidRPr="00787839">
        <w:rPr>
          <w:rFonts w:ascii="Book Antiqua" w:hAnsi="Book Antiqua"/>
          <w:sz w:val="24"/>
          <w:szCs w:val="24"/>
        </w:rPr>
        <w:t xml:space="preserve"> </w:t>
      </w:r>
      <w:r w:rsidR="006235FC" w:rsidRPr="00787839">
        <w:rPr>
          <w:rFonts w:ascii="Book Antiqua" w:hAnsi="Book Antiqua"/>
          <w:sz w:val="24"/>
          <w:szCs w:val="24"/>
        </w:rPr>
        <w:t>tiny</w:t>
      </w:r>
      <w:r w:rsidRPr="00787839">
        <w:rPr>
          <w:rFonts w:ascii="Book Antiqua" w:hAnsi="Book Antiqua"/>
          <w:sz w:val="24"/>
          <w:szCs w:val="24"/>
        </w:rPr>
        <w:t xml:space="preserve"> portosystemic communications or from the adrenal and periadrenal venous system</w:t>
      </w:r>
      <w:r w:rsidR="00536858"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"10.2214/ajr.141.4.727", "PMID" : "6604425", "author" : [ { "dropping-particle" : "", "family" : "Mitty", "given" : "Harold A", "non-dropping-particle" : "", "parse-names" : false, "suffix" : "" }, { "dropping-particle" : "", "family" : "Cohen", "given" : "Burton A", "non-dropping-particle" : "", "parse-names" : false, "suffix" : "" }, { "dropping-particle" : "", "family" : "Sprayregen", "given" : "Seymour", "non-dropping-particle" : "", "parse-names" : false, "suffix" : "" }, { "dropping-particle" : "", "family" : "Schwartz", "given" : "Kenneth", "non-dropping-particle" : "", "parse-names" : false, "suffix" : "" } ], "container-title" : "AJR. American journal of roentgenology", "id" : "ITEM-1", "issued" : { "date-parts" : [ [ "1983" ] ] }, "page" : "727-730", "title" : "Adrenal Pseudotumors on CT Due to Dilated Portosystem ic Veins", "type" : "article-journal", "volume" : "141" }, "uris" : [ "http://www.mendeley.com/documents/?uuid=0b137b0b-6170-424a-82db-6e5c09d0e94d" ] } ], "mendeley" : { "formattedCitation" : "&lt;sup&gt;[30]&lt;/sup&gt;", "plainTextFormattedCitation" : "[30]", "previouslyFormattedCitation" : "&lt;sup&gt;[30]&lt;/sup&gt;" }, "properties" : { "noteIndex" : 0 }, "schema" : "https://github.com/citation-style-language/schema/raw/master/csl-citation.json" }</w:instrText>
      </w:r>
      <w:r w:rsidR="00536858"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[30]</w:t>
      </w:r>
      <w:r w:rsidR="00536858" w:rsidRPr="00787839">
        <w:rPr>
          <w:rFonts w:ascii="Book Antiqua" w:hAnsi="Book Antiqua"/>
          <w:sz w:val="24"/>
          <w:szCs w:val="24"/>
          <w:vertAlign w:val="superscript"/>
        </w:rPr>
        <w:fldChar w:fldCharType="end"/>
      </w:r>
      <w:r w:rsidR="001612B3" w:rsidRPr="00787839">
        <w:rPr>
          <w:rFonts w:ascii="Book Antiqua" w:hAnsi="Book Antiqua"/>
          <w:sz w:val="24"/>
          <w:szCs w:val="24"/>
        </w:rPr>
        <w:t xml:space="preserve">. </w:t>
      </w:r>
      <w:r w:rsidRPr="00787839">
        <w:rPr>
          <w:rFonts w:ascii="Book Antiqua" w:hAnsi="Book Antiqua"/>
          <w:sz w:val="24"/>
          <w:szCs w:val="24"/>
        </w:rPr>
        <w:t>In pa</w:t>
      </w:r>
      <w:r w:rsidR="006E22B2" w:rsidRPr="00787839">
        <w:rPr>
          <w:rFonts w:ascii="Book Antiqua" w:hAnsi="Book Antiqua"/>
          <w:sz w:val="24"/>
          <w:szCs w:val="24"/>
        </w:rPr>
        <w:t xml:space="preserve">tients with gastrorenal shunts, </w:t>
      </w:r>
      <w:r w:rsidRPr="00787839">
        <w:rPr>
          <w:rFonts w:ascii="Book Antiqua" w:hAnsi="Book Antiqua"/>
          <w:sz w:val="24"/>
          <w:szCs w:val="24"/>
        </w:rPr>
        <w:t>large gastric varices may be encountered in the absence of esophageal varices.</w:t>
      </w:r>
    </w:p>
    <w:p w14:paraId="62C66A3A" w14:textId="77777777" w:rsidR="00787839" w:rsidRPr="00787839" w:rsidRDefault="00787839" w:rsidP="00787839">
      <w:pPr>
        <w:pStyle w:val="Body1"/>
        <w:adjustRightInd w:val="0"/>
        <w:snapToGrid w:val="0"/>
        <w:spacing w:after="0" w:line="360" w:lineRule="auto"/>
        <w:ind w:firstLineChars="100" w:firstLine="240"/>
        <w:rPr>
          <w:rFonts w:ascii="Book Antiqua" w:hAnsi="Book Antiqua"/>
          <w:sz w:val="24"/>
          <w:szCs w:val="24"/>
          <w:lang w:eastAsia="zh-CN"/>
        </w:rPr>
      </w:pPr>
    </w:p>
    <w:p w14:paraId="78E0798B" w14:textId="47197AD4" w:rsidR="00F14A23" w:rsidRPr="00787839" w:rsidRDefault="00787839"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PERISPLENIC VARICES AND SPLENORENAL AND SPLENOCAVAL/SPLENOAZYGOS SHUNTS</w:t>
      </w:r>
    </w:p>
    <w:p w14:paraId="56A3CF51" w14:textId="3386EAD4" w:rsidR="00F14A23" w:rsidRPr="00787839" w:rsidRDefault="0065476C" w:rsidP="00787839">
      <w:pPr>
        <w:pStyle w:val="Body1"/>
        <w:adjustRightInd w:val="0"/>
        <w:snapToGrid w:val="0"/>
        <w:spacing w:after="0" w:line="360" w:lineRule="auto"/>
        <w:rPr>
          <w:rFonts w:ascii="Book Antiqua" w:hAnsi="Book Antiqua"/>
          <w:sz w:val="24"/>
          <w:szCs w:val="24"/>
        </w:rPr>
      </w:pPr>
      <w:r w:rsidRPr="00787839">
        <w:rPr>
          <w:rFonts w:ascii="Book Antiqua" w:hAnsi="Book Antiqua"/>
          <w:sz w:val="24"/>
          <w:szCs w:val="24"/>
        </w:rPr>
        <w:t>Splenic varices usually traverse the splenocolic ligament and are seen as dilated veins in the anteroinferior aspect of the spleen</w:t>
      </w:r>
      <w:r w:rsidR="002E2EAB" w:rsidRPr="00787839">
        <w:rPr>
          <w:rFonts w:ascii="Book Antiqua" w:hAnsi="Book Antiqua"/>
          <w:sz w:val="24"/>
          <w:szCs w:val="24"/>
        </w:rPr>
        <w:fldChar w:fldCharType="begin" w:fldLock="1"/>
      </w:r>
      <w:r w:rsidR="00F65CE7" w:rsidRPr="00787839">
        <w:rPr>
          <w:rFonts w:ascii="Book Antiqua" w:hAnsi="Book Antiqua"/>
          <w:sz w:val="24"/>
          <w:szCs w:val="24"/>
        </w:rPr>
        <w:instrText>ADDIN CSL_CITATION { "citationItems" : [ { "id" : "ITEM-1", "itemData" : { "DOI" : "10.1148/radiographics.15.3.7624566", "ISSN" : "0271-5333", "PMID" : "7724782", "abstract" : "PURPOSE: To determine the prevalence and appearance of cardiophrenic angle (CPA) varices at computed tomography (CT) in patients with portal hypertension (PHT). MATERIALS AND METHODS: A retrospective review was performed of 148 consecutive contrast material--enhanced abdominal CT scans of patients with PHT. The paracardiac region was assessed for tubular structures suggestive of varices. Variceal diameter and CT attenuation relative to adjacent liver were noted. RESULTS: Tubular structures consistent with CPA varices were noted in 29 cases and were more common on the right side than on the left. Mean CPA variceal diameter was 2.6 mm. In three cases, right CPA varices measured 10-13 mm in diameter, but no variceal enhancement was noted on initial dynamic CT images. Delayed CT demonstrated contrast enhancement that reflected delayed enhancement of the portal venous system. CONCLUSION: CPA varices, particularly on the right side, are not uncommon in patients with PHT. Varices should be considered and excluded as a cause of CPA masses, particularly before percutaneous biopsy. Delayed CT may be necessary to correctly delineate CPA varices.", "author" : [ { "dropping-particle" : "", "family" : "Cho", "given" : "KC", "non-dropping-particle" : "", "parse-names" : false, "suffix" : "" }, { "dropping-particle" : "", "family" : "Patel", "given" : "Yashwant D", "non-dropping-particle" : "", "parse-names" : false, "suffix" : "" }, { "dropping-particle" : "", "family" : "Wachsberg", "given" : "R H", "non-dropping-particle" : "", "parse-names" : false, "suffix" : "" }, { "dropping-particle" : "", "family" : "Seef", "given" : "Jonathan", "non-dropping-particle" : "", "parse-names" : false, "suffix" : "" } ], "container-title" : "Radiology", "id" : "ITEM-1", "issued" : { "date-parts" : [ [ "1995" ] ] }, "page" : "553-556", "title" : "Varices in Portal Hypertension: Evaluation with CT", "type" : "article-journal", "volume" : "195" }, "uris" : [ "http://www.mendeley.com/documents/?uuid=230c674d-cf61-4785-a61a-8883d0dd96ea" ] } ], "mendeley" : { "formattedCitation" : "&lt;sup&gt;[20]&lt;/sup&gt;", "plainTextFormattedCitation" : "[20]", "previouslyFormattedCitation" : "&lt;sup&gt;[20]&lt;/sup&gt;" }, "properties" : { "noteIndex" : 0 }, "schema" : "https://github.com/citation-style-language/schema/raw/master/csl-citation.json" }</w:instrText>
      </w:r>
      <w:r w:rsidR="002E2EAB" w:rsidRPr="00787839">
        <w:rPr>
          <w:rFonts w:ascii="Book Antiqua" w:hAnsi="Book Antiqua"/>
          <w:sz w:val="24"/>
          <w:szCs w:val="24"/>
        </w:rPr>
        <w:fldChar w:fldCharType="separate"/>
      </w:r>
      <w:r w:rsidR="00617169" w:rsidRPr="00787839">
        <w:rPr>
          <w:rFonts w:ascii="Book Antiqua" w:hAnsi="Book Antiqua"/>
          <w:noProof/>
          <w:sz w:val="24"/>
          <w:szCs w:val="24"/>
          <w:vertAlign w:val="superscript"/>
        </w:rPr>
        <w:t>[20]</w:t>
      </w:r>
      <w:r w:rsidR="002E2EAB" w:rsidRPr="00787839">
        <w:rPr>
          <w:rFonts w:ascii="Book Antiqua" w:hAnsi="Book Antiqua"/>
          <w:sz w:val="24"/>
          <w:szCs w:val="24"/>
        </w:rPr>
        <w:fldChar w:fldCharType="end"/>
      </w:r>
      <w:r w:rsidR="000E5D3D" w:rsidRPr="00787839">
        <w:rPr>
          <w:rFonts w:ascii="Book Antiqua" w:hAnsi="Book Antiqua"/>
          <w:sz w:val="24"/>
          <w:szCs w:val="24"/>
        </w:rPr>
        <w:t xml:space="preserve">. </w:t>
      </w:r>
      <w:r w:rsidRPr="00787839">
        <w:rPr>
          <w:rFonts w:ascii="Book Antiqua" w:hAnsi="Book Antiqua"/>
          <w:sz w:val="24"/>
          <w:szCs w:val="24"/>
        </w:rPr>
        <w:t>Perisplenic collaterals can communicate with the gastric veins. It should be noted that the tortuous splenic veins frequently seen at the hilum of the enlarged spleen should not be called perisplenic varices.</w:t>
      </w:r>
    </w:p>
    <w:p w14:paraId="65554026" w14:textId="4C4A8BD2" w:rsidR="00F14A23" w:rsidRPr="00787839" w:rsidRDefault="0065476C" w:rsidP="00787839">
      <w:pPr>
        <w:pStyle w:val="Body1"/>
        <w:adjustRightInd w:val="0"/>
        <w:snapToGrid w:val="0"/>
        <w:spacing w:after="0" w:line="360" w:lineRule="auto"/>
        <w:ind w:firstLineChars="100" w:firstLine="240"/>
        <w:rPr>
          <w:rFonts w:ascii="Book Antiqua" w:hAnsi="Book Antiqua"/>
          <w:sz w:val="24"/>
          <w:szCs w:val="24"/>
        </w:rPr>
      </w:pPr>
      <w:r w:rsidRPr="00787839">
        <w:rPr>
          <w:rFonts w:ascii="Book Antiqua" w:hAnsi="Book Antiqua"/>
          <w:sz w:val="24"/>
          <w:szCs w:val="24"/>
        </w:rPr>
        <w:t>A spontaneous splenorena</w:t>
      </w:r>
      <w:r w:rsidR="00742FED" w:rsidRPr="00787839">
        <w:rPr>
          <w:rFonts w:ascii="Book Antiqua" w:hAnsi="Book Antiqua"/>
          <w:sz w:val="24"/>
          <w:szCs w:val="24"/>
        </w:rPr>
        <w:t>l shunt can also develop, which</w:t>
      </w:r>
      <w:r w:rsidRPr="00787839">
        <w:rPr>
          <w:rFonts w:ascii="Book Antiqua" w:hAnsi="Book Antiqua"/>
          <w:sz w:val="24"/>
          <w:szCs w:val="24"/>
        </w:rPr>
        <w:t xml:space="preserve"> on CT, </w:t>
      </w:r>
      <w:r w:rsidR="00742FED" w:rsidRPr="00787839">
        <w:rPr>
          <w:rFonts w:ascii="Book Antiqua" w:hAnsi="Book Antiqua"/>
          <w:sz w:val="24"/>
          <w:szCs w:val="24"/>
        </w:rPr>
        <w:t>is</w:t>
      </w:r>
      <w:r w:rsidRPr="00787839">
        <w:rPr>
          <w:rFonts w:ascii="Book Antiqua" w:hAnsi="Book Antiqua"/>
          <w:sz w:val="24"/>
          <w:szCs w:val="24"/>
        </w:rPr>
        <w:t xml:space="preserve"> seen as large, tortuous veins in the region of</w:t>
      </w:r>
      <w:r w:rsidR="000479A2" w:rsidRPr="00787839">
        <w:rPr>
          <w:rFonts w:ascii="Book Antiqua" w:hAnsi="Book Antiqua"/>
          <w:sz w:val="24"/>
          <w:szCs w:val="24"/>
        </w:rPr>
        <w:t xml:space="preserve"> the splenic and left renal hilum</w:t>
      </w:r>
      <w:r w:rsidRPr="00787839">
        <w:rPr>
          <w:rFonts w:ascii="Book Antiqua" w:hAnsi="Book Antiqua"/>
          <w:sz w:val="24"/>
          <w:szCs w:val="24"/>
        </w:rPr>
        <w:t xml:space="preserve"> that drain into an enlarged left renal vein</w:t>
      </w:r>
      <w:r w:rsidR="001B1B1E" w:rsidRPr="00787839">
        <w:rPr>
          <w:rFonts w:ascii="Book Antiqua" w:hAnsi="Book Antiqua"/>
          <w:sz w:val="24"/>
          <w:szCs w:val="24"/>
        </w:rPr>
        <w:t xml:space="preserve"> (Figure 10)</w:t>
      </w:r>
      <w:r w:rsidR="002E2EA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"10.2214/ajr.141.4.727", "PMID" : "6604425", "author" : [ { "dropping-particle" : "", "family" : "Mitty", "given" : "Harold A", "non-dropping-particle" : "", "parse-names" : false, "suffix" : "" }, { "dropping-particle" : "", "family" : "Cohen", "given" : "Burton A", "non-dropping-particle" : "", "parse-names" : false, "suffix" : "" }, { "dropping-particle" : "", "family" : "Sprayregen", "given" : "Seymour", "non-dropping-particle" : "", "parse-names" : false, "suffix" : "" }, { "dropping-particle" : "", "family" : "Schwartz", "given" : "Kenneth", "non-dropping-particle" : "", "parse-names" : false, "suffix" : "" } ], "container-title" : "AJR. American journal of roentgenology", "id" : "ITEM-1", "issued" : { "date-parts" : [ [ "1983" ] ] }, "page" : "727-730", "title" : "Adrenal Pseudotumors on CT Due to Dilated Portosystem ic Veins", "type" : "article-journal", "volume" : "141" }, "uris" : [ "http://www.mendeley.com/documents/?uuid=0b137b0b-6170-424a-82db-6e5c09d0e94d" ] } ], "mendeley" : { "formattedCitation" : "&lt;sup&gt;[30]&lt;/sup&gt;", "plainTextFormattedCitation" : "[30]", "previouslyFormattedCitation" : "&lt;sup&gt;[30]&lt;/sup&gt;" }, "properties" : { "noteIndex" : 0 }, "schema" : "https://github.com/citation-style-language/schema/raw/master/csl-citation.json" }</w:instrText>
      </w:r>
      <w:r w:rsidR="002E2EA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[30]</w:t>
      </w:r>
      <w:r w:rsidR="002E2EAB" w:rsidRPr="00787839">
        <w:rPr>
          <w:rFonts w:ascii="Book Antiqua" w:hAnsi="Book Antiqua"/>
          <w:sz w:val="24"/>
          <w:szCs w:val="24"/>
          <w:vertAlign w:val="superscript"/>
        </w:rPr>
        <w:fldChar w:fldCharType="end"/>
      </w:r>
      <w:r w:rsidR="00163C89" w:rsidRPr="00787839">
        <w:rPr>
          <w:rFonts w:ascii="Book Antiqua" w:hAnsi="Book Antiqua"/>
          <w:sz w:val="24"/>
          <w:szCs w:val="24"/>
        </w:rPr>
        <w:t xml:space="preserve">. </w:t>
      </w:r>
      <w:r w:rsidRPr="00787839">
        <w:rPr>
          <w:rFonts w:ascii="Book Antiqua" w:hAnsi="Book Antiqua"/>
          <w:sz w:val="24"/>
          <w:szCs w:val="24"/>
        </w:rPr>
        <w:t>These shunts can be so tortuous that the exact origin of the connection along the splenic vein is sometimes difficult to discern.</w:t>
      </w:r>
    </w:p>
    <w:p w14:paraId="73655715" w14:textId="214E92A1" w:rsidR="00F14A23" w:rsidRDefault="0065476C" w:rsidP="00787839">
      <w:pPr>
        <w:pStyle w:val="Body1"/>
        <w:adjustRightInd w:val="0"/>
        <w:snapToGrid w:val="0"/>
        <w:spacing w:after="0" w:line="360" w:lineRule="auto"/>
        <w:ind w:firstLineChars="100" w:firstLine="240"/>
        <w:rPr>
          <w:rFonts w:ascii="Book Antiqua" w:hAnsi="Book Antiqua"/>
          <w:sz w:val="24"/>
          <w:szCs w:val="24"/>
          <w:lang w:eastAsia="zh-CN"/>
        </w:rPr>
      </w:pPr>
      <w:r w:rsidRPr="00787839">
        <w:rPr>
          <w:rFonts w:ascii="Book Antiqua" w:hAnsi="Book Antiqua"/>
          <w:sz w:val="24"/>
          <w:szCs w:val="24"/>
        </w:rPr>
        <w:t xml:space="preserve">In the rare case of a splenocaval shunt, large veins may be seen extending from the inferior aspect of the spleen to the pelvis and draining </w:t>
      </w:r>
      <w:r w:rsidR="00A461CC" w:rsidRPr="00787839">
        <w:rPr>
          <w:rFonts w:ascii="Book Antiqua" w:hAnsi="Book Antiqua"/>
          <w:sz w:val="24"/>
          <w:szCs w:val="24"/>
        </w:rPr>
        <w:t xml:space="preserve">into </w:t>
      </w:r>
      <w:r w:rsidRPr="00787839">
        <w:rPr>
          <w:rFonts w:ascii="Book Antiqua" w:hAnsi="Book Antiqua"/>
          <w:sz w:val="24"/>
          <w:szCs w:val="24"/>
        </w:rPr>
        <w:t xml:space="preserve">the inferior vena cava </w:t>
      </w:r>
      <w:r w:rsidR="00787839" w:rsidRPr="00787839">
        <w:rPr>
          <w:rFonts w:ascii="Book Antiqua" w:hAnsi="Book Antiqua"/>
          <w:i/>
          <w:sz w:val="24"/>
          <w:szCs w:val="24"/>
        </w:rPr>
        <w:t>via</w:t>
      </w:r>
      <w:r w:rsidRPr="00787839">
        <w:rPr>
          <w:rFonts w:ascii="Book Antiqua" w:hAnsi="Book Antiqua"/>
          <w:sz w:val="24"/>
          <w:szCs w:val="24"/>
        </w:rPr>
        <w:t xml:space="preserve"> the left internal iliac vein or gonadal vein</w:t>
      </w:r>
      <w:r w:rsidR="002E2EAB" w:rsidRPr="00787839">
        <w:rPr>
          <w:rFonts w:ascii="Book Antiqua" w:hAnsi="Book Antiqua"/>
          <w:sz w:val="24"/>
          <w:szCs w:val="24"/>
          <w:vertAlign w:val="superscript"/>
        </w:rPr>
        <w:fldChar w:fldCharType="begin" w:fldLock="1"/>
      </w:r>
      <w:r w:rsidR="00F65CE7" w:rsidRPr="00787839">
        <w:rPr>
          <w:rFonts w:ascii="Book Antiqua" w:hAnsi="Book Antiqua"/>
          <w:sz w:val="24"/>
          <w:szCs w:val="24"/>
          <w:vertAlign w:val="superscript"/>
        </w:rPr>
        <w:instrText>ADDIN CSL_CITATION { "citationItems" : [ { "id" : "ITEM-1", "itemData" : { "DOI" : "10.1148/radiographics.15.3.7624566", "ISSN" : "0271-5333", "PMID" : "7724782", "abstract" : "PURPOSE: To determine the prevalence and appearance of cardiophrenic angle (CPA) varices at computed tomography (CT) in patients with portal hypertension (PHT). MATERIALS AND METHODS: A retrospective review was performed of 148 consecutive contrast material--enhanced abdominal CT scans of patients with PHT. The paracardiac region was assessed for tubular structures suggestive of varices. Variceal diameter and CT attenuation relative to adjacent liver were noted. RESULTS: Tubular structures consistent with CPA varices were noted in 29 cases and were more common on the right side than on the left. Mean CPA variceal diameter was 2.6 mm. In three cases, right CPA varices measured 10-13 mm in diameter, but no variceal enhancement was noted on initial dynamic CT images. Delayed CT demonstrated contrast enhancement that reflected delayed enhancement of the portal venous system. CONCLUSION: CPA varices, particularly on the right side, are not uncommon in patients with PHT. Varices should be considered and excluded as a cause of CPA masses, particularly before percutaneous biopsy. Delayed CT may be necessary to correctly delineate CPA varices.", "author" : [ { "dropping-particle" : "", "family" : "Cho", "given" : "KC", "non-dropping-particle" : "", "parse-names" : false, "suffix" : "" }, { "dropping-particle" : "", "family" : "Patel", "given" : "Yashwant D", "non-dropping-particle" : "", "parse-names" : false, "suffix" : "" }, { "dropping-particle" : "", "family" : "Wachsberg", "given" : "R H", "non-dropping-particle" : "", "parse-names" : false, "suffix" : "" }, { "dropping-particle" : "", "family" : "Seef", "given" : "Jonathan", "non-dropping-particle" : "", "parse-names" : false, "suffix" : "" } ], "container-title" : "Radiology", "id" : "ITEM-1", "issued" : { "date-parts" : [ [ "1995" ] ] }, "page" : "553-556", "title" : "Varices in Portal Hypertension: Evaluation with CT", "type" : "article-journal", "volume" : "195" }, "uris" : [ "http://www.mendeley.com/documents/?uuid=230c674d-cf61-4785-a61a-8883d0dd96ea" ] } ], "mendeley" : { "formattedCitation" : "&lt;sup&gt;[20]&lt;/sup&gt;", "plainTextFormattedCitation" : "[20]", "previouslyFormattedCitation" : "&lt;sup&gt;[20]&lt;/sup&gt;" }, "properties" : { "noteIndex" : 0 }, "schema" : "https://github.com/citation-style-language/schema/raw/master/csl-citation.json" }</w:instrText>
      </w:r>
      <w:r w:rsidR="002E2EAB" w:rsidRPr="00787839">
        <w:rPr>
          <w:rFonts w:ascii="Book Antiqua" w:hAnsi="Book Antiqua"/>
          <w:sz w:val="24"/>
          <w:szCs w:val="24"/>
          <w:vertAlign w:val="superscript"/>
        </w:rPr>
        <w:fldChar w:fldCharType="separate"/>
      </w:r>
      <w:r w:rsidR="00617169" w:rsidRPr="00787839">
        <w:rPr>
          <w:rFonts w:ascii="Book Antiqua" w:hAnsi="Book Antiqua"/>
          <w:noProof/>
          <w:sz w:val="24"/>
          <w:szCs w:val="24"/>
          <w:vertAlign w:val="superscript"/>
        </w:rPr>
        <w:t>[20]</w:t>
      </w:r>
      <w:r w:rsidR="002E2EAB" w:rsidRPr="00787839">
        <w:rPr>
          <w:rFonts w:ascii="Book Antiqua" w:hAnsi="Book Antiqua"/>
          <w:sz w:val="24"/>
          <w:szCs w:val="24"/>
          <w:vertAlign w:val="superscript"/>
        </w:rPr>
        <w:fldChar w:fldCharType="end"/>
      </w:r>
      <w:r w:rsidR="00163C89" w:rsidRPr="00787839">
        <w:rPr>
          <w:rFonts w:ascii="Book Antiqua" w:hAnsi="Book Antiqua"/>
          <w:sz w:val="24"/>
          <w:szCs w:val="24"/>
        </w:rPr>
        <w:t xml:space="preserve">. </w:t>
      </w:r>
      <w:r w:rsidRPr="00787839">
        <w:rPr>
          <w:rFonts w:ascii="Book Antiqua" w:hAnsi="Book Antiqua"/>
          <w:sz w:val="24"/>
          <w:szCs w:val="24"/>
        </w:rPr>
        <w:t xml:space="preserve">Splenoazygos shunts involve portal decompression </w:t>
      </w:r>
      <w:r w:rsidR="00787839" w:rsidRPr="00787839">
        <w:rPr>
          <w:rFonts w:ascii="Book Antiqua" w:hAnsi="Book Antiqua"/>
          <w:i/>
          <w:sz w:val="24"/>
          <w:szCs w:val="24"/>
        </w:rPr>
        <w:t>via</w:t>
      </w:r>
      <w:r w:rsidRPr="00787839">
        <w:rPr>
          <w:rFonts w:ascii="Book Antiqua" w:hAnsi="Book Antiqua"/>
          <w:sz w:val="24"/>
          <w:szCs w:val="24"/>
        </w:rPr>
        <w:t xml:space="preserve"> splenic vein to hemiazygos vein or posterior abdominal wall veins</w:t>
      </w:r>
      <w:r w:rsidR="002E2EAB" w:rsidRPr="00787839">
        <w:rPr>
          <w:rFonts w:ascii="Book Antiqua" w:hAnsi="Book Antiqua"/>
          <w:sz w:val="24"/>
          <w:szCs w:val="24"/>
          <w:vertAlign w:val="superscript"/>
        </w:rPr>
        <w:fldChar w:fldCharType="begin" w:fldLock="1"/>
      </w:r>
      <w:r w:rsidR="00F65CE7" w:rsidRPr="00787839">
        <w:rPr>
          <w:rFonts w:ascii="Book Antiqua" w:hAnsi="Book Antiqua"/>
          <w:sz w:val="24"/>
          <w:szCs w:val="24"/>
          <w:vertAlign w:val="superscript"/>
        </w:rPr>
        <w:instrText>ADDIN CSL_CITATION { "citationItems" : [ { "id" : "ITEM-1", "itemData" : { "DOI" : "10.1148/radiographics.15.3.7624566", "ISSN" : "0271-5333", "PMID" : "7724782", "abstract" : "PURPOSE: To determine the prevalence and appearance of cardiophrenic angle (CPA) varices at computed tomography (CT) in patients with portal hypertension (PHT). MATERIALS AND METHODS: A retrospective review was performed of 148 consecutive contrast material--enhanced abdominal CT scans of patients with PHT. The paracardiac region was assessed for tubular structures suggestive of varices. Variceal diameter and CT attenuation relative to adjacent liver were noted. RESULTS: Tubular structures consistent with CPA varices were noted in 29 cases and were more common on the right side than on the left. Mean CPA variceal diameter was 2.6 mm. In three cases, right CPA varices measured 10-13 mm in diameter, but no variceal enhancement was noted on initial dynamic CT images. Delayed CT demonstrated contrast enhancement that reflected delayed enhancement of the portal venous system. CONCLUSION: CPA varices, particularly on the right side, are not uncommon in patients with PHT. Varices should be considered and excluded as a cause of CPA masses, particularly before percutaneous biopsy. Delayed CT may be necessary to correctly delineate CPA varices.", "author" : [ { "dropping-particle" : "", "family" : "Cho", "given" : "KC", "non-dropping-particle" : "", "parse-names" : false, "suffix" : "" }, { "dropping-particle" : "", "family" : "Patel", "given" : "Yashwant D", "non-dropping-particle" : "", "parse-names" : false, "suffix" : "" }, { "dropping-particle" : "", "family" : "Wachsberg", "given" : "R H", "non-dropping-particle" : "", "parse-names" : false, "suffix" : "" }, { "dropping-particle" : "", "family" : "Seef", "given" : "Jonathan", "non-dropping-particle" : "", "parse-names" : false, "suffix" : "" } ], "container-title" : "Radiology", "id" : "ITEM-1", "issued" : { "date-parts" : [ [ "1995" ] ] }, "page" : "553-556", "title" : "Varices in Portal Hypertension: Evaluation with CT", "type" : "article-journal", "volume" : "195" }, "uris" : [ "http://www.mendeley.com/documents/?uuid=230c674d-cf61-4785-a61a-8883d0dd96ea" ] } ], "mendeley" : { "formattedCitation" : "&lt;sup&gt;[20]&lt;/sup&gt;", "plainTextFormattedCitation" : "[20]", "previouslyFormattedCitation" : "&lt;sup&gt;[20]&lt;/sup&gt;" }, "properties" : { "noteIndex" : 0 }, "schema" : "https://github.com/citation-style-language/schema/raw/master/csl-citation.json" }</w:instrText>
      </w:r>
      <w:r w:rsidR="002E2EAB" w:rsidRPr="00787839">
        <w:rPr>
          <w:rFonts w:ascii="Book Antiqua" w:hAnsi="Book Antiqua"/>
          <w:sz w:val="24"/>
          <w:szCs w:val="24"/>
          <w:vertAlign w:val="superscript"/>
        </w:rPr>
        <w:fldChar w:fldCharType="separate"/>
      </w:r>
      <w:r w:rsidR="00617169" w:rsidRPr="00787839">
        <w:rPr>
          <w:rFonts w:ascii="Book Antiqua" w:hAnsi="Book Antiqua"/>
          <w:noProof/>
          <w:sz w:val="24"/>
          <w:szCs w:val="24"/>
          <w:vertAlign w:val="superscript"/>
        </w:rPr>
        <w:t>[20]</w:t>
      </w:r>
      <w:r w:rsidR="002E2EAB" w:rsidRPr="00787839">
        <w:rPr>
          <w:rFonts w:ascii="Book Antiqua" w:hAnsi="Book Antiqua"/>
          <w:sz w:val="24"/>
          <w:szCs w:val="24"/>
          <w:vertAlign w:val="superscript"/>
        </w:rPr>
        <w:fldChar w:fldCharType="end"/>
      </w:r>
      <w:r w:rsidR="00163C89" w:rsidRPr="00787839">
        <w:rPr>
          <w:rFonts w:ascii="Book Antiqua" w:hAnsi="Book Antiqua"/>
          <w:sz w:val="24"/>
          <w:szCs w:val="24"/>
        </w:rPr>
        <w:t xml:space="preserve">. </w:t>
      </w:r>
      <w:r w:rsidRPr="00787839">
        <w:rPr>
          <w:rFonts w:ascii="Book Antiqua" w:hAnsi="Book Antiqua"/>
          <w:sz w:val="24"/>
          <w:szCs w:val="24"/>
        </w:rPr>
        <w:t>CT is the best modality for demonstrating these deep portosystemic collateral shunts</w:t>
      </w:r>
      <w:r w:rsidR="002E2EAB" w:rsidRPr="00787839">
        <w:rPr>
          <w:rFonts w:ascii="Book Antiqua" w:hAnsi="Book Antiqua"/>
          <w:sz w:val="24"/>
          <w:szCs w:val="24"/>
          <w:vertAlign w:val="superscript"/>
        </w:rPr>
        <w:fldChar w:fldCharType="begin" w:fldLock="1"/>
      </w:r>
      <w:r w:rsidR="00F65CE7" w:rsidRPr="00787839">
        <w:rPr>
          <w:rFonts w:ascii="Book Antiqua" w:hAnsi="Book Antiqua"/>
          <w:sz w:val="24"/>
          <w:szCs w:val="24"/>
          <w:vertAlign w:val="superscript"/>
        </w:rPr>
        <w:instrText>ADDIN CSL_CITATION { "citationItems" : [ { "id" : "ITEM-1", "itemData" : { "DOI" : "10.1148/radiographics.15.3.7624566", "ISSN" : "0271-5333", "PMID" : "7724782", "abstract" : "PURPOSE: To determine the prevalence and appearance of cardiophrenic angle (CPA) varices at computed tomography (CT) in patients with portal hypertension (PHT). MATERIALS AND METHODS: A retrospective review was performed of 148 consecutive contrast material--enhanced abdominal CT scans of patients with PHT. The paracardiac region was assessed for tubular structures suggestive of varices. Variceal diameter and CT attenuation relative to adjacent liver were noted. RESULTS: Tubular structures consistent with CPA varices were noted in 29 cases and were more common on the right side than on the left. Mean CPA variceal diameter was 2.6 mm. In three cases, right CPA varices measured 10-13 mm in diameter, but no variceal enhancement was noted on initial dynamic CT images. Delayed CT demonstrated contrast enhancement that reflected delayed enhancement of the portal venous system. CONCLUSION: CPA varices, particularly on the right side, are not uncommon in patients with PHT. Varices should be considered and excluded as a cause of CPA masses, particularly before percutaneous biopsy. Delayed CT may be necessary to correctly delineate CPA varices.", "author" : [ { "dropping-particle" : "", "family" : "Cho", "given" : "KC", "non-dropping-particle" : "", "parse-names" : false, "suffix" : "" }, { "dropping-particle" : "", "family" : "Patel", "given" : "Yashwant D", "non-dropping-particle" : "", "parse-names" : false, "suffix" : "" }, { "dropping-particle" : "", "family" : "Wachsberg", "given" : "R H", "non-dropping-particle" : "", "parse-names" : false, "suffix" : "" }, { "dropping-particle" : "", "family" : "Seef", "given" : "Jonathan", "non-dropping-particle" : "", "parse-names" : false, "suffix" : "" } ], "container-title" : "Radiology", "id" : "ITEM-1", "issued" : { "date-parts" : [ [ "1995" ] ] }, "page" : "553-556", "title" : "Varices in Portal Hypertension: Evaluation with CT", "type" : "article-journal", "volume" : "195" }, "uris" : [ "http://www.mendeley.com/documents/?uuid=230c674d-cf61-4785-a61a-8883d0dd96ea" ] } ], "mendeley" : { "formattedCitation" : "&lt;sup&gt;[20]&lt;/sup&gt;", "plainTextFormattedCitation" : "[20]", "previouslyFormattedCitation" : "&lt;sup&gt;[20]&lt;/sup&gt;" }, "properties" : { "noteIndex" : 0 }, "schema" : "https://github.com/citation-style-language/schema/raw/master/csl-citation.json" }</w:instrText>
      </w:r>
      <w:r w:rsidR="002E2EAB" w:rsidRPr="00787839">
        <w:rPr>
          <w:rFonts w:ascii="Book Antiqua" w:hAnsi="Book Antiqua"/>
          <w:sz w:val="24"/>
          <w:szCs w:val="24"/>
          <w:vertAlign w:val="superscript"/>
        </w:rPr>
        <w:fldChar w:fldCharType="separate"/>
      </w:r>
      <w:r w:rsidR="00617169" w:rsidRPr="00787839">
        <w:rPr>
          <w:rFonts w:ascii="Book Antiqua" w:hAnsi="Book Antiqua"/>
          <w:noProof/>
          <w:sz w:val="24"/>
          <w:szCs w:val="24"/>
          <w:vertAlign w:val="superscript"/>
        </w:rPr>
        <w:t>[20]</w:t>
      </w:r>
      <w:r w:rsidR="002E2EAB" w:rsidRPr="00787839">
        <w:rPr>
          <w:rFonts w:ascii="Book Antiqua" w:hAnsi="Book Antiqua"/>
          <w:sz w:val="24"/>
          <w:szCs w:val="24"/>
          <w:vertAlign w:val="superscript"/>
        </w:rPr>
        <w:fldChar w:fldCharType="end"/>
      </w:r>
      <w:r w:rsidR="00163C89" w:rsidRPr="00787839">
        <w:rPr>
          <w:rFonts w:ascii="Book Antiqua" w:hAnsi="Book Antiqua"/>
          <w:sz w:val="24"/>
          <w:szCs w:val="24"/>
        </w:rPr>
        <w:t>.</w:t>
      </w:r>
    </w:p>
    <w:p w14:paraId="378A03E3" w14:textId="77777777" w:rsidR="00787839" w:rsidRPr="00787839" w:rsidRDefault="00787839" w:rsidP="00787839">
      <w:pPr>
        <w:pStyle w:val="Body1"/>
        <w:adjustRightInd w:val="0"/>
        <w:snapToGrid w:val="0"/>
        <w:spacing w:after="0" w:line="360" w:lineRule="auto"/>
        <w:ind w:firstLineChars="100" w:firstLine="240"/>
        <w:rPr>
          <w:rFonts w:ascii="Book Antiqua" w:hAnsi="Book Antiqua"/>
          <w:sz w:val="24"/>
          <w:szCs w:val="24"/>
          <w:lang w:eastAsia="zh-CN"/>
        </w:rPr>
      </w:pPr>
    </w:p>
    <w:p w14:paraId="11CAB7EB" w14:textId="2C36680E" w:rsidR="00F14A23" w:rsidRPr="00787839" w:rsidRDefault="00787839"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PARAUMBILICAL AND ABDOMINAL WALL COLLATERALS</w:t>
      </w:r>
    </w:p>
    <w:p w14:paraId="28FE6C71" w14:textId="1C4FBE38" w:rsidR="00F14A23" w:rsidRDefault="0065476C" w:rsidP="00787839">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sz w:val="24"/>
          <w:szCs w:val="24"/>
        </w:rPr>
        <w:t>The paraumbilical vein arises from the left portal vein and usually courses between the lateral and medial segments of the left hepatic lobe</w:t>
      </w:r>
      <w:r w:rsidR="000271D5" w:rsidRPr="00787839">
        <w:rPr>
          <w:rFonts w:ascii="Book Antiqua" w:hAnsi="Book Antiqua"/>
          <w:sz w:val="24"/>
          <w:szCs w:val="24"/>
        </w:rPr>
        <w:t>,</w:t>
      </w:r>
      <w:r w:rsidRPr="00787839">
        <w:rPr>
          <w:rFonts w:ascii="Book Antiqua" w:hAnsi="Book Antiqua"/>
          <w:sz w:val="24"/>
          <w:szCs w:val="24"/>
        </w:rPr>
        <w:t xml:space="preserve"> </w:t>
      </w:r>
      <w:r w:rsidR="000271D5" w:rsidRPr="00787839">
        <w:rPr>
          <w:rFonts w:ascii="Book Antiqua" w:hAnsi="Book Antiqua"/>
          <w:sz w:val="24"/>
          <w:szCs w:val="24"/>
        </w:rPr>
        <w:t>along</w:t>
      </w:r>
      <w:r w:rsidRPr="00787839">
        <w:rPr>
          <w:rFonts w:ascii="Book Antiqua" w:hAnsi="Book Antiqua"/>
          <w:sz w:val="24"/>
          <w:szCs w:val="24"/>
        </w:rPr>
        <w:t xml:space="preserve"> the anterior edge of the falciform ligament. The course and number of t</w:t>
      </w:r>
      <w:r w:rsidR="003F4BCC" w:rsidRPr="00787839">
        <w:rPr>
          <w:rFonts w:ascii="Book Antiqua" w:hAnsi="Book Antiqua"/>
          <w:sz w:val="24"/>
          <w:szCs w:val="24"/>
        </w:rPr>
        <w:t>he paraumbilical collaterals is variable</w:t>
      </w:r>
      <w:r w:rsidR="002E2EA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"10.1148/radiology.185.1.1523319", "PMID" : "1523319", "author" : [ { "dropping-particle" : "", "family" : "Morin", "given" : "Christian", "non-dropping-particle" : "", "parse-names" : false, "suffix" : "" }, { "dropping-particle" : "", "family" : "Lafortune", "given" : "Michel", "non-dropping-particle" : "", "parse-names" : false, "suffix" : "" }, { "dropping-particle" : "", "family" : "Pomier", "given" : "Gilles", "non-dropping-particle" : "", "parse-names" : false, "suffix" : "" }, { "dropping-particle" : "", "family" : "Robin", "given" : "Marc", "non-dropping-particle" : "", "parse-names" : false, "suffix" : "" }, { "dropping-particle" : "", "family" : "Breton", "given" : "Guy", "non-dropping-particle" : "", "parse-names" : false, "suffix" : "" } ], "container-title" : "Radiology", "id" : "ITEM-1", "issued" : { "date-parts" : [ [ "1992" ] ] }, "page" : "253-256", "title" : "Patent Paraumbilical Vein: Anatomic and Hemodynamic Variants and Their Clinical Importance.", "type" : "article-journal", "volume" : "185" }, "uris" : [ "http://www.mendeley.com/documents/?uuid=bcdca355-6aab-46bf-af08-7e8470bddc0b" ] }, { "id" : "ITEM-2", "itemData" : { "author" : [ { "dropping-particle" : "", "family" : "Okuda", "given" : "K", "non-dropping-particle" : "", "parse-names" : false, "suffix" : "" }, { "dropping-particle" : "", "family" : "Matsutani", "given" : "S", "non-dropping-particle" : "", "parse-names" : false, "suffix" : "" } ], "chapter-number" : "Clinical a", "edition" : "1", "id" : "ITEM-2", "issued" : { "date-parts" : [ [ "1991" ] ] }, "number-of-pages" : "51-56", "publisher" : "Springer Japan", "publisher-place" : "Tokyo, Japan", "title" : "Portal-systemic collaterals: anatomy and clinical implications", "type" : "book" }, "uris" : [ "http://www.mendeley.com/documents/?uuid=e9d56683-431d-4d34-9d76-770c42f52cc9" ] } ], "mendeley" : { "formattedCitation" : "&lt;sup&gt;[31,32]&lt;/sup&gt;", "plainTextFormattedCitation" : "[31,32]", "previouslyFormattedCitation" : "&lt;sup&gt;[31,32]&lt;/sup&gt;" }, "properties" : { "noteIndex" : 0 }, "schema" : "https://github.com/citation-style-language/schema/raw/master/csl-citation.json" }</w:instrText>
      </w:r>
      <w:r w:rsidR="002E2EA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[31,32]</w:t>
      </w:r>
      <w:r w:rsidR="002E2EAB" w:rsidRPr="00787839">
        <w:rPr>
          <w:rFonts w:ascii="Book Antiqua" w:hAnsi="Book Antiqua"/>
          <w:sz w:val="24"/>
          <w:szCs w:val="24"/>
          <w:vertAlign w:val="superscript"/>
        </w:rPr>
        <w:fldChar w:fldCharType="end"/>
      </w:r>
      <w:r w:rsidR="00163C89" w:rsidRPr="00787839">
        <w:rPr>
          <w:rFonts w:ascii="Book Antiqua" w:hAnsi="Book Antiqua"/>
          <w:sz w:val="24"/>
          <w:szCs w:val="24"/>
        </w:rPr>
        <w:t xml:space="preserve">. </w:t>
      </w:r>
      <w:r w:rsidRPr="00787839">
        <w:rPr>
          <w:rFonts w:ascii="Book Antiqua" w:hAnsi="Book Antiqua"/>
          <w:sz w:val="24"/>
          <w:szCs w:val="24"/>
        </w:rPr>
        <w:t>On cross-sectional imaging, paraumbi</w:t>
      </w:r>
      <w:r w:rsidR="00163C89" w:rsidRPr="00787839">
        <w:rPr>
          <w:rFonts w:ascii="Book Antiqua" w:hAnsi="Book Antiqua"/>
          <w:sz w:val="24"/>
          <w:szCs w:val="24"/>
        </w:rPr>
        <w:t xml:space="preserve">lical varices appear as tubular </w:t>
      </w:r>
      <w:r w:rsidRPr="00787839">
        <w:rPr>
          <w:rFonts w:ascii="Book Antiqua" w:hAnsi="Book Antiqua"/>
          <w:sz w:val="24"/>
          <w:szCs w:val="24"/>
        </w:rPr>
        <w:t>structures more than 2-3 mm in diameter</w:t>
      </w:r>
      <w:r w:rsidR="001B1B1E" w:rsidRPr="00787839">
        <w:rPr>
          <w:rFonts w:ascii="Book Antiqua" w:hAnsi="Book Antiqua"/>
          <w:sz w:val="24"/>
          <w:szCs w:val="24"/>
        </w:rPr>
        <w:t xml:space="preserve"> (</w:t>
      </w:r>
      <w:r w:rsidR="00B8637C" w:rsidRPr="00787839">
        <w:rPr>
          <w:rFonts w:ascii="Book Antiqua" w:hAnsi="Book Antiqua"/>
          <w:sz w:val="24"/>
          <w:szCs w:val="24"/>
        </w:rPr>
        <w:t>Figure 11</w:t>
      </w:r>
      <w:r w:rsidR="001B1B1E" w:rsidRPr="00787839">
        <w:rPr>
          <w:rFonts w:ascii="Book Antiqua" w:hAnsi="Book Antiqua"/>
          <w:sz w:val="24"/>
          <w:szCs w:val="24"/>
        </w:rPr>
        <w:t>)</w:t>
      </w:r>
      <w:r w:rsidRPr="00787839">
        <w:rPr>
          <w:rFonts w:ascii="Book Antiqua" w:hAnsi="Book Antiqua"/>
          <w:sz w:val="24"/>
          <w:szCs w:val="24"/>
        </w:rPr>
        <w:t xml:space="preserve"> and usually anastomose with the superior epigas</w:t>
      </w:r>
      <w:r w:rsidR="003F4BCC" w:rsidRPr="00787839">
        <w:rPr>
          <w:rFonts w:ascii="Book Antiqua" w:hAnsi="Book Antiqua"/>
          <w:sz w:val="24"/>
          <w:szCs w:val="24"/>
        </w:rPr>
        <w:t xml:space="preserve">tric or internal thoracic veins. From there, </w:t>
      </w:r>
      <w:r w:rsidRPr="00787839">
        <w:rPr>
          <w:rFonts w:ascii="Book Antiqua" w:hAnsi="Book Antiqua"/>
          <w:sz w:val="24"/>
          <w:szCs w:val="24"/>
        </w:rPr>
        <w:t>drain</w:t>
      </w:r>
      <w:r w:rsidR="003F4BCC" w:rsidRPr="00787839">
        <w:rPr>
          <w:rFonts w:ascii="Book Antiqua" w:hAnsi="Book Antiqua"/>
          <w:sz w:val="24"/>
          <w:szCs w:val="24"/>
        </w:rPr>
        <w:t>age is typically either</w:t>
      </w:r>
      <w:r w:rsidRPr="00787839">
        <w:rPr>
          <w:rFonts w:ascii="Book Antiqua" w:hAnsi="Book Antiqua"/>
          <w:sz w:val="24"/>
          <w:szCs w:val="24"/>
        </w:rPr>
        <w:t xml:space="preserve"> into the superior vena cava or anastomose with inferior epigastric vein and then drain into the inferior vena cava through the external iliac vein</w:t>
      </w:r>
      <w:r w:rsidR="00536858"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"10.1148/radiology.185.1.1523319", "PMID" : "1523319", "author" : [ { "dropping-particle" : "", "family" : "Morin", "given" : "Christian", "non-dropping-particle" : "", "parse-names" : false, "suffix" : "" }, { "dropping-particle" : "", "family" : "Lafortune", "given" : "Michel", "non-dropping-particle" : "", "parse-names" : false, "suffix" : "" }, { "dropping-particle" : "", "family" : "Pomier", "given" : "Gilles", "non-dropping-particle" : "", "parse-names" : false, "suffix" : "" }, { "dropping-particle" : "", "family" : "Robin", "given" : "Marc", "non-dropping-particle" : "", "parse-names" : false, "suffix" : "" }, { "dropping-particle" : "", "family" : "Breton", "given" : "Guy", "non-dropping-particle" : "", "parse-names" : false, "suffix" : "" } ], "container-title" : "Radiology", "id" : "ITEM-1", "issued" : { "date-parts" : [ [ "1992" ] ] }, "page" : "253-256", "title" : "Patent Paraumbilical Vein: Anatomic and Hemodynamic Variants and Their Clinical Importance.", "type" : "article-journal", "volume" : "185" }, "uris" : [ "http://www.mendeley.com/documents/?uuid=bcdca355-6aab-46bf-af08-7e8470bddc0b" ] } ], "mendeley" : { "formattedCitation" : "&lt;sup&gt;[31]&lt;/sup&gt;", "plainTextFormattedCitation" : "[31]", "previouslyFormattedCitation" : "&lt;sup&gt;[31]&lt;/sup&gt;" }, "properties" : { "noteIndex" : 0 }, "schema" : "https://github.com/citation-style-language/schema/raw/master/csl-citation.json" }</w:instrText>
      </w:r>
      <w:r w:rsidR="00536858"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[31]</w:t>
      </w:r>
      <w:r w:rsidR="00536858" w:rsidRPr="00787839">
        <w:rPr>
          <w:rFonts w:ascii="Book Antiqua" w:hAnsi="Book Antiqua"/>
          <w:sz w:val="24"/>
          <w:szCs w:val="24"/>
          <w:vertAlign w:val="superscript"/>
        </w:rPr>
        <w:fldChar w:fldCharType="end"/>
      </w:r>
      <w:r w:rsidR="00163C89" w:rsidRPr="00787839">
        <w:rPr>
          <w:rFonts w:ascii="Book Antiqua" w:hAnsi="Book Antiqua"/>
          <w:sz w:val="24"/>
          <w:szCs w:val="24"/>
        </w:rPr>
        <w:t xml:space="preserve">. </w:t>
      </w:r>
      <w:r w:rsidRPr="00787839">
        <w:rPr>
          <w:rFonts w:ascii="Book Antiqua" w:hAnsi="Book Antiqua"/>
          <w:sz w:val="24"/>
          <w:szCs w:val="24"/>
        </w:rPr>
        <w:t>Occasionally,</w:t>
      </w:r>
      <w:r w:rsidR="00617169" w:rsidRPr="00787839">
        <w:rPr>
          <w:rFonts w:ascii="Book Antiqua" w:hAnsi="Book Antiqua"/>
          <w:sz w:val="24"/>
          <w:szCs w:val="24"/>
        </w:rPr>
        <w:t xml:space="preserve"> the paraumbilical vein drains</w:t>
      </w:r>
      <w:r w:rsidRPr="00787839">
        <w:rPr>
          <w:rFonts w:ascii="Book Antiqua" w:hAnsi="Book Antiqua"/>
          <w:sz w:val="24"/>
          <w:szCs w:val="24"/>
        </w:rPr>
        <w:t xml:space="preserve"> into the abdominal veins, </w:t>
      </w:r>
      <w:r w:rsidR="000271D5" w:rsidRPr="00787839">
        <w:rPr>
          <w:rFonts w:ascii="Book Antiqua" w:hAnsi="Book Antiqua"/>
          <w:sz w:val="24"/>
          <w:szCs w:val="24"/>
        </w:rPr>
        <w:t>creating</w:t>
      </w:r>
      <w:r w:rsidRPr="00787839">
        <w:rPr>
          <w:rFonts w:ascii="Book Antiqua" w:hAnsi="Book Antiqua"/>
          <w:sz w:val="24"/>
          <w:szCs w:val="24"/>
        </w:rPr>
        <w:t xml:space="preserve"> a “Medusa’s head” appearance</w:t>
      </w:r>
      <w:r w:rsidR="00017FCA" w:rsidRPr="00787839">
        <w:rPr>
          <w:rFonts w:ascii="Book Antiqua" w:hAnsi="Book Antiqua"/>
          <w:sz w:val="24"/>
          <w:szCs w:val="24"/>
        </w:rPr>
        <w:t xml:space="preserve"> (Figure 12</w:t>
      </w:r>
      <w:r w:rsidR="001B1B1E" w:rsidRPr="00787839">
        <w:rPr>
          <w:rFonts w:ascii="Book Antiqua" w:hAnsi="Book Antiqua"/>
          <w:sz w:val="24"/>
          <w:szCs w:val="24"/>
        </w:rPr>
        <w:t>)</w:t>
      </w:r>
      <w:r w:rsidRPr="00787839">
        <w:rPr>
          <w:rFonts w:ascii="Book Antiqua" w:hAnsi="Book Antiqua"/>
          <w:sz w:val="24"/>
          <w:szCs w:val="24"/>
        </w:rPr>
        <w:t>. The paraumbilical system is considered a frequent abdominal portosystemic pathway, with reported prevalence of 30</w:t>
      </w:r>
      <w:r w:rsidR="00787839">
        <w:rPr>
          <w:rFonts w:ascii="Book Antiqua" w:hAnsi="Book Antiqua" w:hint="eastAsia"/>
          <w:sz w:val="24"/>
          <w:szCs w:val="24"/>
          <w:lang w:eastAsia="zh-CN"/>
        </w:rPr>
        <w:t>%</w:t>
      </w:r>
      <w:r w:rsidRPr="00787839">
        <w:rPr>
          <w:rFonts w:ascii="Book Antiqua" w:hAnsi="Book Antiqua"/>
          <w:sz w:val="24"/>
          <w:szCs w:val="24"/>
        </w:rPr>
        <w:t>-35%</w:t>
      </w:r>
      <w:r w:rsidR="00536858" w:rsidRPr="00787839">
        <w:rPr>
          <w:rFonts w:ascii="Book Antiqua" w:hAnsi="Book Antiqua"/>
          <w:sz w:val="24"/>
          <w:szCs w:val="24"/>
          <w:vertAlign w:val="superscript"/>
        </w:rPr>
        <w:fldChar w:fldCharType="begin" w:fldLock="1"/>
      </w:r>
      <w:r w:rsidR="00F65CE7" w:rsidRPr="00787839">
        <w:rPr>
          <w:rFonts w:ascii="Book Antiqua" w:hAnsi="Book Antiqua"/>
          <w:sz w:val="24"/>
          <w:szCs w:val="24"/>
          <w:vertAlign w:val="superscript"/>
        </w:rPr>
        <w:instrText>ADDIN CSL_CITATION { "citationItems" : [ { "id" : "ITEM-1", "itemData" : { "DOI" : "10.1148/radiographics.15.3.7624566", "ISSN" : "0271-5333", "PMID" : "7724782", "abstract" : "PURPOSE: To determine the prevalence and appearance of cardiophrenic angle (CPA) varices at computed tomography (CT) in patients with portal hypertension (PHT). MATERIALS AND METHODS: A retrospective review was performed of 148 consecutive contrast material--enhanced abdominal CT scans of patients with PHT. The paracardiac region was assessed for tubular structures suggestive of varices. Variceal diameter and CT attenuation relative to adjacent liver were noted. RESULTS: Tubular structures consistent with CPA varices were noted in 29 cases and were more common on the right side than on the left. Mean CPA variceal diameter was 2.6 mm. In three cases, right CPA varices measured 10-13 mm in diameter, but no variceal enhancement was noted on initial dynamic CT images. Delayed CT demonstrated contrast enhancement that reflected delayed enhancement of the portal venous system. CONCLUSION: CPA varices, particularly on the right side, are not uncommon in patients with PHT. Varices should be considered and excluded as a cause of CPA masses, particularly before percutaneous biopsy. Delayed CT may be necessary to correctly delineate CPA varices.", "author" : [ { "dropping-particle" : "", "family" : "Cho", "given" : "KC", "non-dropping-particle" : "", "parse-names" : false, "suffix" : "" }, { "dropping-particle" : "", "family" : "Patel", "given" : "Yashwant D", "non-dropping-particle" : "", "parse-names" : false, "suffix" : "" }, { "dropping-particle" : "", "family" : "Wachsberg", "given" : "R H", "non-dropping-particle" : "", "parse-names" : false, "suffix" : "" }, { "dropping-particle" : "", "family" : "Seef", "given" : "Jonathan", "non-dropping-particle" : "", "parse-names" : false, "suffix" : "" } ], "container-title" : "Radiology", "id" : "ITEM-1", "issued" : { "date-parts" : [ [ "1995" ] ] }, "page" : "553-556", "title" : "Varices in Portal Hypertension: Evaluation with CT", "type" : "article-journal", "volume" : "195" }, "uris" : [ "http://www.mendeley.com/documents/?uuid=230c674d-cf61-4785-a61a-8883d0dd96ea" ] }, { "id" : "ITEM-2", "itemData" : { "DOI" : "10.1148/radiology.146.1.6849040", "PMID" : "6849040", "abstract" : "Portosystemic venous collaterals were studied with sonography in 40 patients with known portal hypertension. Eight patients had technically inadequate scans, while 32 had optimal scans. Sixty groups of venous collaterals were identified. At least one collateral pathway was seen in 28 patients, for a sensitivity of 88% for the 32 patients with optimal scans and 70% for the total group. The overall sensitivity for detection of coronary-gastroesophageal collaterals was 80% and 64%, respectively. The small size of the coronary-gastroesophageal varices in early portal hypertension seems to be the most important factor limiting detection in patients suitable for sonography", "author" : [ { "dropping-particle" : "", "family" : "Subramanyam", "given" : "B R", "non-dropping-particle" : "", "parse-names" : false, "suffix" : "" }, { "dropping-particle" : "", "family" : "Balthazar", "given" : "E J", "non-dropping-particle" : "", "parse-names" : false, "suffix" : "" }, { "dropping-particle" : "", "family" : "Madamba", "given" : "M R", "non-dropping-particle" : "", "parse-names" : false, "suffix" : "" }, { "dropping-particle" : "", "family" : "Raghavendra", "given" : "B N", "non-dropping-particle" : "", "parse-names" : false, "suffix" : "" }, { "dropping-particle" : "", "family" : "Horii", "given" : "S C", "non-dropping-particle" : "", "parse-names" : false, "suffix" : "" }, { "dropping-particle" : "", "family" : "Lefleur", "given" : "R S", "non-dropping-particle" : "", "parse-names" : false, "suffix" : "" } ], "container-title" : "Radiology", "id" : "ITEM-2", "issued" : { "date-parts" : [ [ "1983" ] ] }, "page" : "161-166", "title" : "Sonography of Portosystemic Venous Collaterals in Portal Hypertension", "type" : "article-journal", "volume" : "146" }, "uris" : [ "http://www.mendeley.com/documents/?uuid=7f23a9a1-1773-4b26-844f-19d127fd99cd" ] } ], "mendeley" : { "formattedCitation" : "&lt;sup&gt;[20,22]&lt;/sup&gt;", "plainTextFormattedCitation" : "[20,22]", "previouslyFormattedCitation" : "&lt;sup&gt;[20,22]&lt;/sup&gt;" }, "properties" : { "noteIndex" : 0 }, "schema" : "https://github.com/citation-style-language/schema/raw/master/csl-citation.json" }</w:instrText>
      </w:r>
      <w:r w:rsidR="00536858" w:rsidRPr="00787839">
        <w:rPr>
          <w:rFonts w:ascii="Book Antiqua" w:hAnsi="Book Antiqua"/>
          <w:sz w:val="24"/>
          <w:szCs w:val="24"/>
          <w:vertAlign w:val="superscript"/>
        </w:rPr>
        <w:fldChar w:fldCharType="separate"/>
      </w:r>
      <w:r w:rsidR="00617169" w:rsidRPr="00787839">
        <w:rPr>
          <w:rFonts w:ascii="Book Antiqua" w:hAnsi="Book Antiqua"/>
          <w:noProof/>
          <w:sz w:val="24"/>
          <w:szCs w:val="24"/>
          <w:vertAlign w:val="superscript"/>
        </w:rPr>
        <w:t>[20,22]</w:t>
      </w:r>
      <w:r w:rsidR="00536858" w:rsidRPr="00787839">
        <w:rPr>
          <w:rFonts w:ascii="Book Antiqua" w:hAnsi="Book Antiqua"/>
          <w:sz w:val="24"/>
          <w:szCs w:val="24"/>
          <w:vertAlign w:val="superscript"/>
        </w:rPr>
        <w:fldChar w:fldCharType="end"/>
      </w:r>
      <w:r w:rsidR="00163C89" w:rsidRPr="00787839">
        <w:rPr>
          <w:rFonts w:ascii="Book Antiqua" w:hAnsi="Book Antiqua"/>
          <w:sz w:val="24"/>
          <w:szCs w:val="24"/>
        </w:rPr>
        <w:t>.</w:t>
      </w:r>
      <w:r w:rsidRPr="00787839">
        <w:rPr>
          <w:rFonts w:ascii="Book Antiqua" w:hAnsi="Book Antiqua"/>
          <w:sz w:val="24"/>
          <w:szCs w:val="24"/>
        </w:rPr>
        <w:t xml:space="preserve"> </w:t>
      </w:r>
    </w:p>
    <w:p w14:paraId="3E429B61" w14:textId="77777777" w:rsidR="00787839" w:rsidRPr="00787839" w:rsidRDefault="00787839" w:rsidP="00787839">
      <w:pPr>
        <w:pStyle w:val="Body1"/>
        <w:adjustRightInd w:val="0"/>
        <w:snapToGrid w:val="0"/>
        <w:spacing w:after="0" w:line="360" w:lineRule="auto"/>
        <w:rPr>
          <w:rFonts w:ascii="Book Antiqua" w:hAnsi="Book Antiqua"/>
          <w:sz w:val="24"/>
          <w:szCs w:val="24"/>
          <w:lang w:eastAsia="zh-CN"/>
        </w:rPr>
      </w:pPr>
    </w:p>
    <w:p w14:paraId="4392FC20" w14:textId="705B24DD" w:rsidR="00F14A23" w:rsidRPr="00787839" w:rsidRDefault="00787839"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OMENTAL AND MESENTERIC COLLATERALS</w:t>
      </w:r>
    </w:p>
    <w:p w14:paraId="78DF1FA1" w14:textId="1C4161C8" w:rsidR="00F14A23" w:rsidRPr="00787839" w:rsidRDefault="0065476C" w:rsidP="00787839">
      <w:pPr>
        <w:pStyle w:val="Body1"/>
        <w:adjustRightInd w:val="0"/>
        <w:snapToGrid w:val="0"/>
        <w:spacing w:after="0" w:line="360" w:lineRule="auto"/>
        <w:rPr>
          <w:rFonts w:ascii="Book Antiqua" w:hAnsi="Book Antiqua"/>
          <w:sz w:val="24"/>
          <w:szCs w:val="24"/>
        </w:rPr>
      </w:pPr>
      <w:r w:rsidRPr="00787839">
        <w:rPr>
          <w:rFonts w:ascii="Book Antiqua" w:hAnsi="Book Antiqua"/>
          <w:sz w:val="24"/>
          <w:szCs w:val="24"/>
        </w:rPr>
        <w:t>Omental collateral vessels are infrequently included in list o</w:t>
      </w:r>
      <w:r w:rsidR="00163C89" w:rsidRPr="00787839">
        <w:rPr>
          <w:rFonts w:ascii="Book Antiqua" w:hAnsi="Book Antiqua"/>
          <w:sz w:val="24"/>
          <w:szCs w:val="24"/>
        </w:rPr>
        <w:t>f common portosystemic pathways</w:t>
      </w:r>
      <w:r w:rsidRPr="00787839">
        <w:rPr>
          <w:rFonts w:ascii="Book Antiqua" w:hAnsi="Book Antiqua"/>
          <w:sz w:val="24"/>
          <w:szCs w:val="24"/>
        </w:rPr>
        <w:t xml:space="preserve"> because they are not well visualized with angiography or other modalities. However, Cho </w:t>
      </w:r>
      <w:r w:rsidR="007F096F" w:rsidRPr="00787839">
        <w:rPr>
          <w:rFonts w:ascii="Book Antiqua" w:hAnsi="Book Antiqua"/>
          <w:i/>
          <w:sz w:val="24"/>
          <w:szCs w:val="24"/>
        </w:rPr>
        <w:t>et al</w:t>
      </w:r>
      <w:r w:rsidR="00787839" w:rsidRPr="00787839">
        <w:rPr>
          <w:rFonts w:ascii="Book Antiqua" w:hAnsi="Book Antiqua"/>
          <w:sz w:val="24"/>
          <w:szCs w:val="24"/>
        </w:rPr>
        <w:fldChar w:fldCharType="begin" w:fldLock="1"/>
      </w:r>
      <w:r w:rsidR="00787839" w:rsidRPr="00787839">
        <w:rPr>
          <w:rFonts w:ascii="Book Antiqua" w:hAnsi="Book Antiqua"/>
          <w:sz w:val="24"/>
          <w:szCs w:val="24"/>
        </w:rPr>
        <w:instrText>ADDIN CSL_CITATION { "citationItems" : [ { "id" : "ITEM-1", "itemData" : { "DOI" : "10.1148/radiographics.15.3.7624566", "ISSN" : "0271-5333", "PMID" : "7724782", "abstract" : "PURPOSE: To determine the prevalence and appearance of cardiophrenic angle (CPA) varices at computed tomography (CT) in patients with portal hypertension (PHT). MATERIALS AND METHODS: A retrospective review was performed of 148 consecutive contrast material--enhanced abdominal CT scans of patients with PHT. The paracardiac region was assessed for tubular structures suggestive of varices. Variceal diameter and CT attenuation relative to adjacent liver were noted. RESULTS: Tubular structures consistent with CPA varices were noted in 29 cases and were more common on the right side than on the left. Mean CPA variceal diameter was 2.6 mm. In three cases, right CPA varices measured 10-13 mm in diameter, but no variceal enhancement was noted on initial dynamic CT images. Delayed CT demonstrated contrast enhancement that reflected delayed enhancement of the portal venous system. CONCLUSION: CPA varices, particularly on the right side, are not uncommon in patients with PHT. Varices should be considered and excluded as a cause of CPA masses, particularly before percutaneous biopsy. Delayed CT may be necessary to correctly delineate CPA varices.", "author" : [ { "dropping-particle" : "", "family" : "Cho", "given" : "KC", "non-dropping-particle" : "", "parse-names" : false, "suffix" : "" }, { "dropping-particle" : "", "family" : "Patel", "given" : "Yashwant D", "non-dropping-particle" : "", "parse-names" : false, "suffix" : "" }, { "dropping-particle" : "", "family" : "Wachsberg", "given" : "R H", "non-dropping-particle" : "", "parse-names" : false, "suffix" : "" }, { "dropping-particle" : "", "family" : "Seef", "given" : "Jonathan", "non-dropping-particle" : "", "parse-names" : false, "suffix" : "" } ], "container-title" : "Radiology", "id" : "ITEM-1", "issued" : { "date-parts" : [ [ "1995" ] ] }, "page" : "553-556", "title" : "Varices in Portal Hypertension: Evaluation with CT", "type" : "article-journal", "volume" : "195" }, "uris" : [ "http://www.mendeley.com/documents/?uuid=230c674d-cf61-4785-a61a-8883d0dd96ea" ] } ], "mendeley" : { "formattedCitation" : "&lt;sup&gt;[20]&lt;/sup&gt;", "plainTextFormattedCitation" : "[20]", "previouslyFormattedCitation" : "&lt;sup&gt;[20]&lt;/sup&gt;" }, "properties" : { "noteIndex" : 0 }, "schema" : "https://github.com/citation-style-language/schema/raw/master/csl-citation.json" }</w:instrText>
      </w:r>
      <w:r w:rsidR="00787839" w:rsidRPr="00787839">
        <w:rPr>
          <w:rFonts w:ascii="Book Antiqua" w:hAnsi="Book Antiqua"/>
          <w:sz w:val="24"/>
          <w:szCs w:val="24"/>
        </w:rPr>
        <w:fldChar w:fldCharType="separate"/>
      </w:r>
      <w:r w:rsidR="00787839" w:rsidRPr="00787839">
        <w:rPr>
          <w:rFonts w:ascii="Book Antiqua" w:hAnsi="Book Antiqua"/>
          <w:sz w:val="24"/>
          <w:szCs w:val="24"/>
          <w:vertAlign w:val="superscript"/>
        </w:rPr>
        <w:t>[20]</w:t>
      </w:r>
      <w:r w:rsidR="00787839" w:rsidRPr="00787839">
        <w:rPr>
          <w:rFonts w:ascii="Book Antiqua" w:hAnsi="Book Antiqua"/>
          <w:sz w:val="24"/>
          <w:szCs w:val="24"/>
        </w:rPr>
        <w:fldChar w:fldCharType="end"/>
      </w:r>
      <w:r w:rsidRPr="00787839">
        <w:rPr>
          <w:rFonts w:ascii="Book Antiqua" w:hAnsi="Book Antiqua"/>
          <w:sz w:val="24"/>
          <w:szCs w:val="24"/>
        </w:rPr>
        <w:t xml:space="preserve"> demonstrated a 20% prevalence of omental varices in their series of 60 patients with cirrhosis</w:t>
      </w:r>
      <w:r w:rsidR="00163C89" w:rsidRPr="00787839">
        <w:rPr>
          <w:rFonts w:ascii="Book Antiqua" w:hAnsi="Book Antiqua"/>
          <w:sz w:val="24"/>
          <w:szCs w:val="24"/>
        </w:rPr>
        <w:t xml:space="preserve">. </w:t>
      </w:r>
      <w:r w:rsidRPr="00787839">
        <w:rPr>
          <w:rFonts w:ascii="Book Antiqua" w:hAnsi="Book Antiqua"/>
          <w:sz w:val="24"/>
          <w:szCs w:val="24"/>
        </w:rPr>
        <w:t>Omental varices tend to be small but are usually numerous throughout the greater omentum and should not be mistaken for metastases</w:t>
      </w:r>
      <w:r w:rsidR="00193F43" w:rsidRPr="00787839">
        <w:rPr>
          <w:rFonts w:ascii="Book Antiqua" w:hAnsi="Book Antiqua"/>
          <w:sz w:val="24"/>
          <w:szCs w:val="24"/>
        </w:rPr>
        <w:t xml:space="preserve"> on CT imaging</w:t>
      </w:r>
      <w:r w:rsidRPr="00787839">
        <w:rPr>
          <w:rFonts w:ascii="Book Antiqua" w:hAnsi="Book Antiqua"/>
          <w:sz w:val="24"/>
          <w:szCs w:val="24"/>
        </w:rPr>
        <w:t>.</w:t>
      </w:r>
    </w:p>
    <w:p w14:paraId="22CD52AF" w14:textId="1CA71A84" w:rsidR="00F14A23" w:rsidRDefault="0065476C" w:rsidP="00787839">
      <w:pPr>
        <w:pStyle w:val="Body1"/>
        <w:adjustRightInd w:val="0"/>
        <w:snapToGrid w:val="0"/>
        <w:spacing w:after="0" w:line="360" w:lineRule="auto"/>
        <w:ind w:firstLineChars="100" w:firstLine="240"/>
        <w:rPr>
          <w:rFonts w:ascii="Book Antiqua" w:hAnsi="Book Antiqua"/>
          <w:sz w:val="24"/>
          <w:szCs w:val="24"/>
          <w:lang w:eastAsia="zh-CN"/>
        </w:rPr>
      </w:pPr>
      <w:r w:rsidRPr="00787839">
        <w:rPr>
          <w:rFonts w:ascii="Book Antiqua" w:hAnsi="Book Antiqua"/>
          <w:sz w:val="24"/>
          <w:szCs w:val="24"/>
        </w:rPr>
        <w:t>Mesenteric collateral vessels usually appear as dilated and tortuous branches of the superior mesenteric vein within the mesenteric fat</w:t>
      </w:r>
      <w:r w:rsidR="00E76ECF" w:rsidRPr="00787839">
        <w:rPr>
          <w:rFonts w:ascii="Book Antiqua" w:hAnsi="Book Antiqua"/>
          <w:sz w:val="24"/>
          <w:szCs w:val="24"/>
          <w:vertAlign w:val="superscript"/>
        </w:rPr>
        <w:fldChar w:fldCharType="begin" w:fldLock="1"/>
      </w:r>
      <w:r w:rsidR="00F65CE7" w:rsidRPr="00787839">
        <w:rPr>
          <w:rFonts w:ascii="Book Antiqua" w:hAnsi="Book Antiqua"/>
          <w:sz w:val="24"/>
          <w:szCs w:val="24"/>
          <w:vertAlign w:val="superscript"/>
        </w:rPr>
        <w:instrText>ADDIN CSL_CITATION { "citationItems" : [ { "id" : "ITEM-1", "itemData" : { "DOI" : "10.1148/radiographics.15.3.7624566", "ISSN" : "0271-5333", "PMID" : "7724782", "abstract" : "PURPOSE: To determine the prevalence and appearance of cardiophrenic angle (CPA) varices at computed tomography (CT) in patients with portal hypertension (PHT). MATERIALS AND METHODS: A retrospective review was performed of 148 consecutive contrast material--enhanced abdominal CT scans of patients with PHT. The paracardiac region was assessed for tubular structures suggestive of varices. Variceal diameter and CT attenuation relative to adjacent liver were noted. RESULTS: Tubular structures consistent with CPA varices were noted in 29 cases and were more common on the right side than on the left. Mean CPA variceal diameter was 2.6 mm. In three cases, right CPA varices measured 10-13 mm in diameter, but no variceal enhancement was noted on initial dynamic CT images. Delayed CT demonstrated contrast enhancement that reflected delayed enhancement of the portal venous system. CONCLUSION: CPA varices, particularly on the right side, are not uncommon in patients with PHT. Varices should be considered and excluded as a cause of CPA masses, particularly before percutaneous biopsy. Delayed CT may be necessary to correctly delineate CPA varices.", "author" : [ { "dropping-particle" : "", "family" : "Cho", "given" : "KC", "non-dropping-particle" : "", "parse-names" : false, "suffix" : "" }, { "dropping-particle" : "", "family" : "Patel", "given" : "Yashwant D", "non-dropping-particle" : "", "parse-names" : false, "suffix" : "" }, { "dropping-particle" : "", "family" : "Wachsberg", "given" : "R H", "non-dropping-particle" : "", "parse-names" : false, "suffix" : "" }, { "dropping-particle" : "", "family" : "Seef", "given" : "Jonathan", "non-dropping-particle" : "", "parse-names" : false, "suffix" : "" } ], "container-title" : "Radiology", "id" : "ITEM-1", "issued" : { "date-parts" : [ [ "1995" ] ] }, "page" : "553-556", "title" : "Varices in Portal Hypertension: Evaluation with CT", "type" : "article-journal", "volume" : "195" }, "uris" : [ "http://www.mendeley.com/documents/?uuid=230c674d-cf61-4785-a61a-8883d0dd96ea" ] } ], "mendeley" : { "formattedCitation" : "&lt;sup&gt;[20]&lt;/sup&gt;", "plainTextFormattedCitation" : "[20]", "previouslyFormattedCitation" : "&lt;sup&gt;[20]&lt;/sup&gt;" }, "properties" : { "noteIndex" : 0 }, "schema" : "https://github.com/citation-style-language/schema/raw/master/csl-citation.json" }</w:instrText>
      </w:r>
      <w:r w:rsidR="00E76ECF" w:rsidRPr="00787839">
        <w:rPr>
          <w:rFonts w:ascii="Book Antiqua" w:hAnsi="Book Antiqua"/>
          <w:sz w:val="24"/>
          <w:szCs w:val="24"/>
          <w:vertAlign w:val="superscript"/>
        </w:rPr>
        <w:fldChar w:fldCharType="separate"/>
      </w:r>
      <w:r w:rsidR="00617169" w:rsidRPr="00787839">
        <w:rPr>
          <w:rFonts w:ascii="Book Antiqua" w:hAnsi="Book Antiqua"/>
          <w:noProof/>
          <w:sz w:val="24"/>
          <w:szCs w:val="24"/>
          <w:vertAlign w:val="superscript"/>
        </w:rPr>
        <w:t>[20]</w:t>
      </w:r>
      <w:r w:rsidR="00E76ECF" w:rsidRPr="00787839">
        <w:rPr>
          <w:rFonts w:ascii="Book Antiqua" w:hAnsi="Book Antiqua"/>
          <w:sz w:val="24"/>
          <w:szCs w:val="24"/>
          <w:vertAlign w:val="superscript"/>
        </w:rPr>
        <w:fldChar w:fldCharType="end"/>
      </w:r>
      <w:r w:rsidR="0052227E" w:rsidRPr="00787839">
        <w:rPr>
          <w:rFonts w:ascii="Book Antiqua" w:hAnsi="Book Antiqua"/>
          <w:sz w:val="24"/>
          <w:szCs w:val="24"/>
        </w:rPr>
        <w:t xml:space="preserve">. </w:t>
      </w:r>
      <w:r w:rsidRPr="00787839">
        <w:rPr>
          <w:rFonts w:ascii="Book Antiqua" w:hAnsi="Book Antiqua"/>
          <w:sz w:val="24"/>
          <w:szCs w:val="24"/>
        </w:rPr>
        <w:t xml:space="preserve">These collateral vessels ultimately drain into the systemic venous system </w:t>
      </w:r>
      <w:r w:rsidR="00787839" w:rsidRPr="00787839">
        <w:rPr>
          <w:rFonts w:ascii="Book Antiqua" w:hAnsi="Book Antiqua"/>
          <w:i/>
          <w:sz w:val="24"/>
          <w:szCs w:val="24"/>
        </w:rPr>
        <w:t>via</w:t>
      </w:r>
      <w:r w:rsidRPr="00787839">
        <w:rPr>
          <w:rFonts w:ascii="Book Antiqua" w:hAnsi="Book Antiqua"/>
          <w:sz w:val="24"/>
          <w:szCs w:val="24"/>
        </w:rPr>
        <w:t xml:space="preserve"> the retroperitoneal or pelvic veins</w:t>
      </w:r>
      <w:r w:rsidR="00F424D2"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"author" : [ { "dropping-particle" : "", "family" : "Okuda", "given" : "K", "non-dropping-particle" : "", "parse-names" : false, "suffix" : "" }, { "dropping-particle" : "", "family" : "Matsutani", "given" : "S", "non-dropping-particle" : "", "parse-names" : false, "suffix" : "" } ], "chapter-number" : "Clinical a", "edition" : "1", "id" : "ITEM-1", "issued" : { "date-parts" : [ [ "1991" ] ] }, "number-of-pages" : "51-56", "publisher" : "Springer Japan", "publisher-place" : "Tokyo, Japan", "title" : "Portal-systemic collaterals: anatomy and clinical implications", "type" : "book" }, "uris" : [ "http://www.mendeley.com/documents/?uuid=e9d56683-431d-4d34-9d76-770c42f52cc9" ] } ], "mendeley" : { "formattedCitation" : "&lt;sup&gt;[32]&lt;/sup&gt;", "plainTextFormattedCitation" : "[32]", "previouslyFormattedCitation" : "&lt;sup&gt;[32]&lt;/sup&gt;" }, "properties" : { "noteIndex" : 0 }, "schema" : "https://github.com/citation-style-language/schema/raw/master/csl-citation.json" }</w:instrText>
      </w:r>
      <w:r w:rsidR="00F424D2"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[32]</w:t>
      </w:r>
      <w:r w:rsidR="00F424D2" w:rsidRPr="00787839">
        <w:rPr>
          <w:rFonts w:ascii="Book Antiqua" w:hAnsi="Book Antiqua"/>
          <w:sz w:val="24"/>
          <w:szCs w:val="24"/>
          <w:vertAlign w:val="superscript"/>
        </w:rPr>
        <w:fldChar w:fldCharType="end"/>
      </w:r>
      <w:r w:rsidR="0052227E" w:rsidRPr="00787839">
        <w:rPr>
          <w:rFonts w:ascii="Book Antiqua" w:hAnsi="Book Antiqua"/>
          <w:sz w:val="24"/>
          <w:szCs w:val="24"/>
        </w:rPr>
        <w:t xml:space="preserve">. </w:t>
      </w:r>
      <w:r w:rsidRPr="00787839">
        <w:rPr>
          <w:rFonts w:ascii="Book Antiqua" w:hAnsi="Book Antiqua"/>
          <w:sz w:val="24"/>
          <w:szCs w:val="24"/>
        </w:rPr>
        <w:t>Mesenterorenal shunts also exist, although rare. They manifest as communication between superior mesenteric vein and the right renal vein</w:t>
      </w:r>
      <w:r w:rsidR="00D63D42"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"PubMed - indexed for MEDLINE", "PMID" : "7141186", "author" : [ { "dropping-particle" : "", "family" : "Gould", "given" : "HR", "non-dropping-particle" : "", "parse-names" : false, "suffix" : "" }, { "dropping-particle" : "", "family" : "Benjamin", "given" : "S", "non-dropping-particle" : "", "parse-names" : false, "suffix" : "" }, { "dropping-particle" : "", "family" : "Alter", "given" : "AJ", "non-dropping-particle" : "", "parse-names" : false, "suffix" : "" } ], "container-title" : "Gastrointestinal Radiology", "id" : "ITEM-1", "issued" : { "date-parts" : [ [ "1982" ] ] }, "page" : "335-339", "title" : "Retroperitoneal varices simulating masses", "type" : "article-journal", "volume" : "7" }, "uris" : [ "http://www.mendeley.com/documents/?uuid=0b7eb799-294e-4695-b78a-c7bd4005243b" ] } ], "mendeley" : { "formattedCitation" : "&lt;sup&gt;[33]&lt;/sup&gt;", "plainTextFormattedCitation" : "[33]", "previouslyFormattedCitation" : "&lt;sup&gt;[33]&lt;/sup&gt;" }, "properties" : { "noteIndex" : 0 }, "schema" : "https://github.com/citation-style-language/schema/raw/master/csl-citation.json" }</w:instrText>
      </w:r>
      <w:r w:rsidR="00D63D42"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[33]</w:t>
      </w:r>
      <w:r w:rsidR="00D63D42" w:rsidRPr="00787839">
        <w:rPr>
          <w:rFonts w:ascii="Book Antiqua" w:hAnsi="Book Antiqua"/>
          <w:sz w:val="24"/>
          <w:szCs w:val="24"/>
          <w:vertAlign w:val="superscript"/>
        </w:rPr>
        <w:fldChar w:fldCharType="end"/>
      </w:r>
      <w:r w:rsidR="00C85B39" w:rsidRPr="00787839">
        <w:rPr>
          <w:rFonts w:ascii="Book Antiqua" w:hAnsi="Book Antiqua"/>
          <w:sz w:val="24"/>
          <w:szCs w:val="24"/>
        </w:rPr>
        <w:t xml:space="preserve">. </w:t>
      </w:r>
      <w:r w:rsidRPr="00787839">
        <w:rPr>
          <w:rFonts w:ascii="Book Antiqua" w:hAnsi="Book Antiqua"/>
          <w:sz w:val="24"/>
          <w:szCs w:val="24"/>
        </w:rPr>
        <w:t>The presence of collateral vessels through the inferior mesenteric vein has also been documented</w:t>
      </w:r>
      <w:r w:rsidR="00C85B39" w:rsidRPr="00787839">
        <w:rPr>
          <w:rFonts w:ascii="Book Antiqua" w:hAnsi="Book Antiqua"/>
          <w:sz w:val="24"/>
          <w:szCs w:val="24"/>
        </w:rPr>
        <w:t>,</w:t>
      </w:r>
      <w:r w:rsidRPr="00787839">
        <w:rPr>
          <w:rFonts w:ascii="Book Antiqua" w:hAnsi="Book Antiqua"/>
          <w:sz w:val="24"/>
          <w:szCs w:val="24"/>
        </w:rPr>
        <w:t xml:space="preserve"> with authors theorizing that such vessels usually flow into systemic circulation </w:t>
      </w:r>
      <w:r w:rsidR="00787839" w:rsidRPr="00787839">
        <w:rPr>
          <w:rFonts w:ascii="Book Antiqua" w:hAnsi="Book Antiqua"/>
          <w:i/>
          <w:sz w:val="24"/>
          <w:szCs w:val="24"/>
        </w:rPr>
        <w:t>via</w:t>
      </w:r>
      <w:r w:rsidR="00C85B39" w:rsidRPr="00787839">
        <w:rPr>
          <w:rFonts w:ascii="Book Antiqua" w:hAnsi="Book Antiqua"/>
          <w:sz w:val="24"/>
          <w:szCs w:val="24"/>
        </w:rPr>
        <w:t xml:space="preserve"> middle and inferior rectal (</w:t>
      </w:r>
      <w:r w:rsidRPr="00787839">
        <w:rPr>
          <w:rFonts w:ascii="Book Antiqua" w:hAnsi="Book Antiqua"/>
          <w:sz w:val="24"/>
          <w:szCs w:val="24"/>
        </w:rPr>
        <w:t>or hemorrhoidal</w:t>
      </w:r>
      <w:r w:rsidR="00C85B39" w:rsidRPr="00787839">
        <w:rPr>
          <w:rFonts w:ascii="Book Antiqua" w:hAnsi="Book Antiqua"/>
          <w:sz w:val="24"/>
          <w:szCs w:val="24"/>
        </w:rPr>
        <w:t>)</w:t>
      </w:r>
      <w:r w:rsidRPr="00787839">
        <w:rPr>
          <w:rFonts w:ascii="Book Antiqua" w:hAnsi="Book Antiqua"/>
          <w:sz w:val="24"/>
          <w:szCs w:val="24"/>
        </w:rPr>
        <w:t xml:space="preserve"> varices</w:t>
      </w:r>
      <w:r w:rsidR="00D63D42"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"10.2214/ajr.161.2.8333372", "PMID" : "8333372", "author" : [ { "dropping-particle" : "", "family" : "Malde", "given" : "Hiten", "non-dropping-particle" : "", "parse-names" : false, "suffix" : "" }, { "dropping-particle" : "", "family" : "Nagral", "given" : "Aabha", "non-dropping-particle" : "", "parse-names" : false, "suffix" : "" }, { "dropping-particle" : "", "family" : "Shah", "given" : "Priti", "non-dropping-particle" : "", "parse-names" : false, "suffix" : "" }, { "dropping-particle" : "", "family" : "Joshi", "given" : "Medha S", "non-dropping-particle" : "", "parse-names" : false, "suffix" : "" }, { "dropping-particle" : "", "family" : "Bhatia", "given" : "Shobna J", "non-dropping-particle" : "", "parse-names" : false, "suffix" : "" }, { "dropping-particle" : "", "family" : "Abraham", "given" : "Philip", "non-dropping-particle" : "", "parse-names" : false, "suffix" : "" } ], "container-title" : "AJR. American journal of roentgenology", "id" : "ITEM-1", "issued" : { "date-parts" : [ [ "1993" ] ] }, "page" : "335-337", "title" : "Detection of Rectal and Pararectal Varices in Patients with Hypertension: Efficacy of Transvaginal Sonography", "type" : "article-journal", "volume" : "161" }, "uris" : [ "http://www.mendeley.com/documents/?uuid=4f8774c3-c2b0-492b-b475-473914556ae1" ] } ], "mendeley" : { "formattedCitation" : "&lt;sup&gt;[34]&lt;/sup&gt;", "plainTextFormattedCitation" : "[34]", "previouslyFormattedCitation" : "&lt;sup&gt;[34]&lt;/sup&gt;" }, "properties" : { "noteIndex" : 0 }, "schema" : "https://github.com/citation-style-language/schema/raw/master/csl-citation.json" }</w:instrText>
      </w:r>
      <w:r w:rsidR="00D63D42"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[34]</w:t>
      </w:r>
      <w:r w:rsidR="00D63D42" w:rsidRPr="00787839">
        <w:rPr>
          <w:rFonts w:ascii="Book Antiqua" w:hAnsi="Book Antiqua"/>
          <w:sz w:val="24"/>
          <w:szCs w:val="24"/>
          <w:vertAlign w:val="superscript"/>
        </w:rPr>
        <w:fldChar w:fldCharType="end"/>
      </w:r>
      <w:r w:rsidR="00C85B39" w:rsidRPr="00787839">
        <w:rPr>
          <w:rFonts w:ascii="Book Antiqua" w:hAnsi="Book Antiqua"/>
          <w:sz w:val="24"/>
          <w:szCs w:val="24"/>
        </w:rPr>
        <w:t xml:space="preserve">. </w:t>
      </w:r>
      <w:r w:rsidRPr="00787839">
        <w:rPr>
          <w:rFonts w:ascii="Book Antiqua" w:hAnsi="Book Antiqua"/>
          <w:sz w:val="24"/>
          <w:szCs w:val="24"/>
        </w:rPr>
        <w:t xml:space="preserve">Occasionally, blood shunts from the inferior </w:t>
      </w:r>
      <w:r w:rsidRPr="00787839">
        <w:rPr>
          <w:rFonts w:ascii="Book Antiqua" w:hAnsi="Book Antiqua"/>
          <w:sz w:val="24"/>
          <w:szCs w:val="24"/>
        </w:rPr>
        <w:lastRenderedPageBreak/>
        <w:t>mesenteric vein directly into the inferior vena cava, which is called an inferior mesenteric-caval shunt</w:t>
      </w:r>
      <w:r w:rsidR="00017FCA" w:rsidRPr="00787839">
        <w:rPr>
          <w:rFonts w:ascii="Book Antiqua" w:hAnsi="Book Antiqua"/>
          <w:sz w:val="24"/>
          <w:szCs w:val="24"/>
        </w:rPr>
        <w:t xml:space="preserve"> </w:t>
      </w:r>
      <w:r w:rsidR="00C85B39" w:rsidRPr="00787839">
        <w:rPr>
          <w:rFonts w:ascii="Book Antiqua" w:hAnsi="Book Antiqua"/>
          <w:sz w:val="24"/>
          <w:szCs w:val="24"/>
        </w:rPr>
        <w:t>(or meso</w:t>
      </w:r>
      <w:r w:rsidR="00157050" w:rsidRPr="00787839">
        <w:rPr>
          <w:rFonts w:ascii="Book Antiqua" w:hAnsi="Book Antiqua"/>
          <w:sz w:val="24"/>
          <w:szCs w:val="24"/>
        </w:rPr>
        <w:t xml:space="preserve">caval shunt) </w:t>
      </w:r>
      <w:r w:rsidR="00017FCA" w:rsidRPr="00787839">
        <w:rPr>
          <w:rFonts w:ascii="Book Antiqua" w:hAnsi="Book Antiqua"/>
          <w:sz w:val="24"/>
          <w:szCs w:val="24"/>
        </w:rPr>
        <w:t>(Figure 13</w:t>
      </w:r>
      <w:r w:rsidR="0019191C" w:rsidRPr="00787839">
        <w:rPr>
          <w:rFonts w:ascii="Book Antiqua" w:hAnsi="Book Antiqua"/>
          <w:sz w:val="24"/>
          <w:szCs w:val="24"/>
        </w:rPr>
        <w:t>)</w:t>
      </w:r>
      <w:r w:rsidRPr="00787839">
        <w:rPr>
          <w:rFonts w:ascii="Book Antiqua" w:hAnsi="Book Antiqua"/>
          <w:sz w:val="24"/>
          <w:szCs w:val="24"/>
        </w:rPr>
        <w:t xml:space="preserve">. This may cause encephalopathy, although there is less </w:t>
      </w:r>
      <w:r w:rsidR="00D63D42" w:rsidRPr="00787839">
        <w:rPr>
          <w:rFonts w:ascii="Book Antiqua" w:hAnsi="Book Antiqua"/>
          <w:sz w:val="24"/>
          <w:szCs w:val="24"/>
        </w:rPr>
        <w:t xml:space="preserve">of a </w:t>
      </w:r>
      <w:r w:rsidRPr="00787839">
        <w:rPr>
          <w:rFonts w:ascii="Book Antiqua" w:hAnsi="Book Antiqua"/>
          <w:sz w:val="24"/>
          <w:szCs w:val="24"/>
        </w:rPr>
        <w:t>risk of hemorrhage from rectal varices</w:t>
      </w:r>
      <w:r w:rsidR="00D63D42" w:rsidRPr="00787839">
        <w:rPr>
          <w:rFonts w:ascii="Book Antiqua" w:hAnsi="Book Antiqua"/>
          <w:sz w:val="24"/>
          <w:szCs w:val="24"/>
        </w:rPr>
        <w:fldChar w:fldCharType="begin" w:fldLock="1"/>
      </w:r>
      <w:r w:rsidR="0030026A" w:rsidRPr="00787839">
        <w:rPr>
          <w:rFonts w:ascii="Book Antiqua" w:hAnsi="Book Antiqua"/>
          <w:sz w:val="24"/>
          <w:szCs w:val="24"/>
        </w:rPr>
        <w:instrText>ADDIN CSL_CITATION { "citationItems" : [ { "id" : "ITEM-1", "itemData" : { "DOI" : "10.2214/ajr.161.2.8333372", "PMID" : "8333372", "author" : [ { "dropping-particle" : "", "family" : "Malde", "given" : "Hiten", "non-dropping-particle" : "", "parse-names" : false, "suffix" : "" }, { "dropping-particle" : "", "family" : "Nagral", "given" : "Aabha", "non-dropping-particle" : "", "parse-names" : false, "suffix" : "" }, { "dropping-particle" : "", "family" : "Shah", "given" : "Priti", "non-dropping-particle" : "", "parse-names" : false, "suffix" : "" }, { "dropping-particle" : "", "family" : "Joshi", "given" : "Medha S", "non-dropping-particle" : "", "parse-names" : false, "suffix" : "" }, { "dropping-particle" : "", "family" : "Bhatia", "given" : "Shobna J", "non-dropping-particle" : "", "parse-names" : false, "suffix" : "" }, { "dropping-particle" : "", "family" : "Abraham", "given" : "Philip", "non-dropping-particle" : "", "parse-names" : false, "suffix" : "" } ], "container-title" : "AJR. American journal of roentgenology", "id" : "ITEM-1", "issued" : { "date-parts" : [ [ "1993" ] ] }, "page" : "335-337", "title" : "Detection of Rectal and Pararectal Varices in Patients with Hypertension: Efficacy of Transvaginal Sonography", "type" : "article-journal", "volume" : "161" }, "uris" : [ "http://www.mendeley.com/documents/?uuid=4f8774c3-c2b0-492b-b475-473914556ae1" ] } ], "mendeley" : { "formattedCitation" : "&lt;sup&gt;[34]&lt;/sup&gt;", "plainTextFormattedCitation" : "[34]", "previouslyFormattedCitation" : "&lt;sup&gt;[34]&lt;/sup&gt;" }, "properties" : { "noteIndex" : 0 }, "schema" : "https://github.com/citation-style-language/schema/raw/master/csl-citation.json" }</w:instrText>
      </w:r>
      <w:r w:rsidR="00D63D42" w:rsidRPr="00787839">
        <w:rPr>
          <w:rFonts w:ascii="Book Antiqua" w:hAnsi="Book Antiqua"/>
          <w:sz w:val="24"/>
          <w:szCs w:val="24"/>
        </w:rPr>
        <w:fldChar w:fldCharType="separate"/>
      </w:r>
      <w:r w:rsidR="0030026A" w:rsidRPr="00787839">
        <w:rPr>
          <w:rFonts w:ascii="Book Antiqua" w:hAnsi="Book Antiqua"/>
          <w:noProof/>
          <w:sz w:val="24"/>
          <w:szCs w:val="24"/>
          <w:vertAlign w:val="superscript"/>
        </w:rPr>
        <w:t>[34]</w:t>
      </w:r>
      <w:r w:rsidR="00D63D42" w:rsidRPr="00787839">
        <w:rPr>
          <w:rFonts w:ascii="Book Antiqua" w:hAnsi="Book Antiqua"/>
          <w:sz w:val="24"/>
          <w:szCs w:val="24"/>
        </w:rPr>
        <w:fldChar w:fldCharType="end"/>
      </w:r>
      <w:r w:rsidR="00C85B39" w:rsidRPr="00787839">
        <w:rPr>
          <w:rFonts w:ascii="Book Antiqua" w:hAnsi="Book Antiqua"/>
          <w:sz w:val="24"/>
          <w:szCs w:val="24"/>
        </w:rPr>
        <w:t>.</w:t>
      </w:r>
    </w:p>
    <w:p w14:paraId="22294DBB" w14:textId="77777777" w:rsidR="00787839" w:rsidRPr="00787839" w:rsidRDefault="00787839" w:rsidP="00787839">
      <w:pPr>
        <w:pStyle w:val="Body1"/>
        <w:adjustRightInd w:val="0"/>
        <w:snapToGrid w:val="0"/>
        <w:spacing w:after="0" w:line="360" w:lineRule="auto"/>
        <w:ind w:firstLineChars="100" w:firstLine="240"/>
        <w:rPr>
          <w:rFonts w:ascii="Book Antiqua" w:hAnsi="Book Antiqua"/>
          <w:sz w:val="24"/>
          <w:szCs w:val="24"/>
          <w:lang w:eastAsia="zh-CN"/>
        </w:rPr>
      </w:pPr>
    </w:p>
    <w:p w14:paraId="39E9CC55" w14:textId="4CE57B4B" w:rsidR="00F14A23" w:rsidRPr="00787839" w:rsidRDefault="00787839"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OTHER COLLATERAL VESSELS</w:t>
      </w:r>
    </w:p>
    <w:p w14:paraId="59509AAA" w14:textId="151E6C82" w:rsidR="00F14A23" w:rsidRDefault="0065476C" w:rsidP="00787839">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sz w:val="24"/>
          <w:szCs w:val="24"/>
        </w:rPr>
        <w:t>Intrahepatic portal veins may form collateral pathways with hepatic venous branches or direct communication with the left gastric vein, usually in the left lobe</w:t>
      </w:r>
      <w:r w:rsidR="00D63D42"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"author" : [ { "dropping-particle" : "", "family" : "Okuda", "given" : "K", "non-dropping-particle" : "", "parse-names" : false, "suffix" : "" }, { "dropping-particle" : "", "family" : "Matsutani", "given" : "S", "non-dropping-particle" : "", "parse-names" : false, "suffix" : "" } ], "chapter-number" : "Clinical a", "edition" : "1", "id" : "ITEM-1", "issued" : { "date-parts" : [ [ "1991" ] ] }, "number-of-pages" : "51-56", "publisher" : "Springer Japan", "publisher-place" : "Tokyo, Japan", "title" : "Portal-systemic collaterals: anatomy and clinical implications", "type" : "book" }, "uris" : [ "http://www.mendeley.com/documents/?uuid=e9d56683-431d-4d34-9d76-770c42f52cc9" ] } ], "mendeley" : { "formattedCitation" : "&lt;sup&gt;[32]&lt;/sup&gt;", "plainTextFormattedCitation" : "[32]", "previouslyFormattedCitation" : "&lt;sup&gt;[32]&lt;/sup&gt;" }, "properties" : { "noteIndex" : 0 }, "schema" : "https://github.com/citation-style-language/schema/raw/master/csl-citation.json" }</w:instrText>
      </w:r>
      <w:r w:rsidR="00D63D42"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[32]</w:t>
      </w:r>
      <w:r w:rsidR="00D63D42" w:rsidRPr="00787839">
        <w:rPr>
          <w:rFonts w:ascii="Book Antiqua" w:hAnsi="Book Antiqua"/>
          <w:sz w:val="24"/>
          <w:szCs w:val="24"/>
          <w:vertAlign w:val="superscript"/>
        </w:rPr>
        <w:fldChar w:fldCharType="end"/>
      </w:r>
      <w:r w:rsidR="00C85B39" w:rsidRPr="00787839">
        <w:rPr>
          <w:rFonts w:ascii="Book Antiqua" w:hAnsi="Book Antiqua"/>
          <w:sz w:val="24"/>
          <w:szCs w:val="24"/>
        </w:rPr>
        <w:t xml:space="preserve">. </w:t>
      </w:r>
      <w:r w:rsidRPr="00787839">
        <w:rPr>
          <w:rFonts w:ascii="Book Antiqua" w:hAnsi="Book Antiqua"/>
          <w:sz w:val="24"/>
          <w:szCs w:val="24"/>
        </w:rPr>
        <w:t>A loose collateral plexus over the hepatic surfaces sometimes is widely distributed over the parietal peritoneum, with branches piercing the diaphragm to join pericardial, pleural, and pulmonary veins (pleuropericardial–peritoneal collaterals)</w:t>
      </w:r>
      <w:r w:rsidR="008E6217"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"10.1007/s002610000014", "PMID" : "10931979", "author" : [ { "dropping-particle" : "", "family" : "Kim", "given" : "M", "non-dropping-particle" : "", "parse-names" : false, "suffix" : "" }, { "dropping-particle" : "", "family" : "Mitchell", "given" : "D G", "non-dropping-particle" : "", "parse-names" : false, "suffix" : "" }, { "dropping-particle" : "", "family" : "Ito", "given" : "K", "non-dropping-particle" : "", "parse-names" : false, "suffix" : "" } ], "container-title" : "Abdominal Imaging", "id" : "ITEM-1", "issued" : { "date-parts" : [ [ "2000" ] ] }, "page" : "462-470", "title" : "Abdominal Imaging Portosystemic collaterals of the upper abdomen: review of anatomy and demonstration on MR imaging", "type" : "article-journal", "volume" : "470" }, "uris" : [ "http://www.mendeley.com/documents/?uuid=08556e11-9b85-4c70-9b4f-ba1f2ab70000" ] } ], "mendeley" : { "formattedCitation" : "&lt;sup&gt;[35]&lt;/sup&gt;", "plainTextFormattedCitation" : "[35]", "previouslyFormattedCitation" : "&lt;sup&gt;[35]&lt;/sup&gt;" }, "properties" : { "noteIndex" : 0 }, "schema" : "https://github.com/citation-style-language/schema/raw/master/csl-citation.json" }</w:instrText>
      </w:r>
      <w:r w:rsidR="008E6217"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[35]</w:t>
      </w:r>
      <w:r w:rsidR="008E6217" w:rsidRPr="00787839">
        <w:rPr>
          <w:rFonts w:ascii="Book Antiqua" w:hAnsi="Book Antiqua"/>
          <w:sz w:val="24"/>
          <w:szCs w:val="24"/>
          <w:vertAlign w:val="superscript"/>
        </w:rPr>
        <w:fldChar w:fldCharType="end"/>
      </w:r>
      <w:r w:rsidR="00030AB4" w:rsidRPr="00787839">
        <w:rPr>
          <w:rFonts w:ascii="Book Antiqua" w:hAnsi="Book Antiqua"/>
          <w:sz w:val="24"/>
          <w:szCs w:val="24"/>
        </w:rPr>
        <w:t xml:space="preserve">. </w:t>
      </w:r>
      <w:r w:rsidRPr="00787839">
        <w:rPr>
          <w:rFonts w:ascii="Book Antiqua" w:hAnsi="Book Antiqua"/>
          <w:sz w:val="24"/>
          <w:szCs w:val="24"/>
        </w:rPr>
        <w:t>The term vein of Sappey has been used in the past to indicate these small diaphragmatic collaterals, but is now regarded</w:t>
      </w:r>
      <w:r w:rsidR="00030AB4" w:rsidRPr="00787839">
        <w:rPr>
          <w:rFonts w:ascii="Book Antiqua" w:hAnsi="Book Antiqua"/>
          <w:sz w:val="24"/>
          <w:szCs w:val="24"/>
        </w:rPr>
        <w:t xml:space="preserve"> as</w:t>
      </w:r>
      <w:r w:rsidRPr="00787839">
        <w:rPr>
          <w:rFonts w:ascii="Book Antiqua" w:hAnsi="Book Antiqua"/>
          <w:sz w:val="24"/>
          <w:szCs w:val="24"/>
        </w:rPr>
        <w:t xml:space="preserve"> </w:t>
      </w:r>
      <w:r w:rsidR="00030AB4" w:rsidRPr="00787839">
        <w:rPr>
          <w:rFonts w:ascii="Book Antiqua" w:hAnsi="Book Antiqua"/>
          <w:sz w:val="24"/>
          <w:szCs w:val="24"/>
        </w:rPr>
        <w:t>synonymous</w:t>
      </w:r>
      <w:r w:rsidRPr="00787839">
        <w:rPr>
          <w:rFonts w:ascii="Book Antiqua" w:hAnsi="Book Antiqua"/>
          <w:sz w:val="24"/>
          <w:szCs w:val="24"/>
        </w:rPr>
        <w:t xml:space="preserve"> for the paraumbilical vein</w:t>
      </w:r>
      <w:r w:rsidR="008E33E6"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"author" : [ { "dropping-particle" : "", "family" : "William", "given" : "Peter", "non-dropping-particle" : "", "parse-names" : false, "suffix" : "" } ], "container-title" : "Grey's Anatomy", "edition" : "38", "id" : "ITEM-1", "issued" : { "date-parts" : [ [ "1999" ] ] }, "page" : "1602-1604", "publisher" : "Churchill Livingstone", "publisher-place" : "New York, NY", "title" : "Veins of the abdomen and pelvis: hepatic portal system", "type" : "chapter" }, "uris" : [ "http://www.mendeley.com/documents/?uuid=116e215f-64e2-49cb-887c-9dc2198c5df5" ] }, { "id" : "ITEM-2", "itemData" : { "author" : [ { "dropping-particle" : "", "family" : "Uflacker", "given" : "R", "non-dropping-particle" : "", "parse-names" : false, "suffix" : "" } ], "chapter-number" : "20", "container-title" : "Atlas of vascular anatomy", "edition" : "Second", "id" : "ITEM-2", "issued" : { "date-parts" : [ [ "1997" ] ] }, "page" : "699-803", "publisher" : "Lippincott Williams &amp; Wilson", "publisher-place" : "Baltimore, MA", "title" : "Veins of the abdomen and pelvis", "type" : "chapter" }, "uris" : [ "http://www.mendeley.com/documents/?uuid=bf7ea1cb-996e-4e84-85f7-b9756478d98d" ] } ], "mendeley" : { "formattedCitation" : "&lt;sup&gt;[36,37]&lt;/sup&gt;", "plainTextFormattedCitation" : "[36,37]", "previouslyFormattedCitation" : "&lt;sup&gt;[36,37]&lt;/sup&gt;" }, "properties" : { "noteIndex" : 0 }, "schema" : "https://github.com/citation-style-language/schema/raw/master/csl-citation.json" }</w:instrText>
      </w:r>
      <w:r w:rsidR="008E33E6"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[36,37]</w:t>
      </w:r>
      <w:r w:rsidR="008E33E6" w:rsidRPr="00787839">
        <w:rPr>
          <w:rFonts w:ascii="Book Antiqua" w:hAnsi="Book Antiqua"/>
          <w:sz w:val="24"/>
          <w:szCs w:val="24"/>
          <w:vertAlign w:val="superscript"/>
        </w:rPr>
        <w:fldChar w:fldCharType="end"/>
      </w:r>
      <w:r w:rsidR="00030AB4" w:rsidRPr="00787839">
        <w:rPr>
          <w:rFonts w:ascii="Book Antiqua" w:hAnsi="Book Antiqua"/>
          <w:sz w:val="24"/>
          <w:szCs w:val="24"/>
        </w:rPr>
        <w:t>.</w:t>
      </w:r>
    </w:p>
    <w:p w14:paraId="1AB7BB26" w14:textId="77777777" w:rsidR="00787839" w:rsidRPr="00787839" w:rsidRDefault="00787839" w:rsidP="00787839">
      <w:pPr>
        <w:pStyle w:val="Body1"/>
        <w:adjustRightInd w:val="0"/>
        <w:snapToGrid w:val="0"/>
        <w:spacing w:after="0" w:line="360" w:lineRule="auto"/>
        <w:rPr>
          <w:rFonts w:ascii="Book Antiqua" w:hAnsi="Book Antiqua"/>
          <w:sz w:val="24"/>
          <w:szCs w:val="24"/>
          <w:lang w:eastAsia="zh-CN"/>
        </w:rPr>
      </w:pPr>
    </w:p>
    <w:p w14:paraId="044A5808" w14:textId="519EEE1C" w:rsidR="00F14A23" w:rsidRPr="00787839" w:rsidRDefault="00787839"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RADIOLOGIC INTERVENTIONS IN PORTAL HYPERTENSION</w:t>
      </w:r>
    </w:p>
    <w:p w14:paraId="331FF071" w14:textId="2AAA8B4F" w:rsidR="00F14A23" w:rsidRDefault="0065476C" w:rsidP="00787839">
      <w:pPr>
        <w:pStyle w:val="Body1"/>
        <w:adjustRightInd w:val="0"/>
        <w:snapToGrid w:val="0"/>
        <w:spacing w:after="0" w:line="360" w:lineRule="auto"/>
        <w:rPr>
          <w:rFonts w:ascii="Book Antiqua" w:hAnsi="Book Antiqua"/>
          <w:sz w:val="24"/>
          <w:szCs w:val="24"/>
          <w:lang w:eastAsia="zh-CN"/>
        </w:rPr>
      </w:pPr>
      <w:r w:rsidRPr="00787839">
        <w:rPr>
          <w:rFonts w:ascii="Book Antiqua" w:hAnsi="Book Antiqua"/>
          <w:sz w:val="24"/>
          <w:szCs w:val="24"/>
        </w:rPr>
        <w:t>Interventions involving the portal venous system were conceived as early as 1969</w:t>
      </w:r>
      <w:r w:rsidR="000271D5" w:rsidRPr="00787839">
        <w:rPr>
          <w:rFonts w:ascii="Book Antiqua" w:hAnsi="Book Antiqua"/>
          <w:sz w:val="24"/>
          <w:szCs w:val="24"/>
        </w:rPr>
        <w:t>,</w:t>
      </w:r>
      <w:r w:rsidRPr="00787839">
        <w:rPr>
          <w:rFonts w:ascii="Book Antiqua" w:hAnsi="Book Antiqua"/>
          <w:sz w:val="24"/>
          <w:szCs w:val="24"/>
        </w:rPr>
        <w:t xml:space="preserve"> when Rosch and colleagues reported creating a portosystemic shunt within the liver parenchyma in a series of dog experiments using Teflon tubes as stents</w:t>
      </w:r>
      <w:r w:rsidR="008E33E6" w:rsidRPr="00787839">
        <w:rPr>
          <w:rFonts w:ascii="Book Antiqua" w:hAnsi="Book Antiqua"/>
          <w:b/>
          <w:sz w:val="24"/>
          <w:szCs w:val="24"/>
          <w:vertAlign w:val="superscript"/>
        </w:rPr>
        <w:fldChar w:fldCharType="begin" w:fldLock="1"/>
      </w:r>
      <w:r w:rsidR="0030026A" w:rsidRPr="00787839">
        <w:rPr>
          <w:rFonts w:ascii="Book Antiqua" w:hAnsi="Book Antiqua"/>
          <w:b/>
          <w:sz w:val="24"/>
          <w:szCs w:val="24"/>
          <w:vertAlign w:val="superscript"/>
        </w:rPr>
        <w:instrText>ADDIN CSL_CITATION { "citationItems" : [ { "id" : "ITEM-1", "itemData" : { "DOI" : "10.1148/92.5.1112", "ISSN" : "0033-8419", "PMID" : "5771827", "author" : [ { "dropping-particle" : "", "family" : "R\u00f6sch", "given" : "J", "non-dropping-particle" : "", "parse-names" : false, "suffix" : "" }, { "dropping-particle" : "", "family" : "Hanafee", "given" : "William N", "non-dropping-particle" : "", "parse-names" : false, "suffix" : "" }, { "dropping-particle" : "", "family" : "Snow", "given" : "Harold", "non-dropping-particle" : "", "parse-names" : false, "suffix" : "" } ], "container-title" : "Radiology", "id" : "ITEM-1", "issue" : "5", "issued" : { "date-parts" : [ [ "1969" ] ] }, "page" : "1112-1114", "title" : "Transjugular portal venography and radiologic portacaval shunt: an experimental study.", "type" : "article-journal", "volume" : "92" }, "uris" : [ "http://www.mendeley.com/documents/?uuid=e162092a-b96c-46aa-9c30-a48440b6a601" ] } ], "mendeley" : { "formattedCitation" : "&lt;sup&gt;[38]&lt;/sup&gt;", "plainTextFormattedCitation" : "[38]", "previouslyFormattedCitation" : "&lt;sup&gt;[38]&lt;/sup&gt;" }, "properties" : { "noteIndex" : 0 }, "schema" : "https://github.com/citation-style-language/schema/raw/master/csl-citation.json" }</w:instrText>
      </w:r>
      <w:r w:rsidR="008E33E6" w:rsidRPr="00787839">
        <w:rPr>
          <w:rFonts w:ascii="Book Antiqua" w:hAnsi="Book Antiqua"/>
          <w:b/>
          <w:sz w:val="24"/>
          <w:szCs w:val="24"/>
          <w:vertAlign w:val="superscript"/>
        </w:rPr>
        <w:fldChar w:fldCharType="separate"/>
      </w:r>
      <w:r w:rsidR="0030026A" w:rsidRPr="00787839">
        <w:rPr>
          <w:rFonts w:ascii="Book Antiqua" w:hAnsi="Book Antiqua"/>
          <w:noProof/>
          <w:sz w:val="24"/>
          <w:szCs w:val="24"/>
          <w:vertAlign w:val="superscript"/>
        </w:rPr>
        <w:t>[38]</w:t>
      </w:r>
      <w:r w:rsidR="008E33E6" w:rsidRPr="00787839">
        <w:rPr>
          <w:rFonts w:ascii="Book Antiqua" w:hAnsi="Book Antiqua"/>
          <w:b/>
          <w:sz w:val="24"/>
          <w:szCs w:val="24"/>
          <w:vertAlign w:val="superscript"/>
        </w:rPr>
        <w:fldChar w:fldCharType="end"/>
      </w:r>
      <w:r w:rsidR="00030AB4" w:rsidRPr="00787839">
        <w:rPr>
          <w:rFonts w:ascii="Book Antiqua" w:hAnsi="Book Antiqua"/>
          <w:sz w:val="24"/>
          <w:szCs w:val="24"/>
        </w:rPr>
        <w:t>.</w:t>
      </w:r>
      <w:r w:rsidR="00030AB4" w:rsidRPr="00787839">
        <w:rPr>
          <w:rFonts w:ascii="Book Antiqua" w:hAnsi="Book Antiqua"/>
          <w:b/>
          <w:sz w:val="24"/>
          <w:szCs w:val="24"/>
        </w:rPr>
        <w:t xml:space="preserve"> </w:t>
      </w:r>
      <w:r w:rsidRPr="00787839">
        <w:rPr>
          <w:rFonts w:ascii="Book Antiqua" w:hAnsi="Book Antiqua"/>
          <w:sz w:val="24"/>
          <w:szCs w:val="24"/>
        </w:rPr>
        <w:t>Subsequent decades</w:t>
      </w:r>
      <w:r w:rsidRPr="00787839">
        <w:rPr>
          <w:rFonts w:ascii="Book Antiqua" w:hAnsi="Book Antiqua"/>
          <w:b/>
          <w:sz w:val="24"/>
          <w:szCs w:val="24"/>
        </w:rPr>
        <w:t xml:space="preserve"> </w:t>
      </w:r>
      <w:r w:rsidRPr="00787839">
        <w:rPr>
          <w:rFonts w:ascii="Book Antiqua" w:hAnsi="Book Antiqua"/>
          <w:sz w:val="24"/>
          <w:szCs w:val="24"/>
        </w:rPr>
        <w:t>have seen an expansion in the variety of therapeutic interventions to treat portal hypertension. The primary goal in treating portal hypertension is reduction in the portal venous pressure itself, in order to mitigate complicati</w:t>
      </w:r>
      <w:r w:rsidR="008E33E6" w:rsidRPr="00787839">
        <w:rPr>
          <w:rFonts w:ascii="Book Antiqua" w:hAnsi="Book Antiqua"/>
          <w:sz w:val="24"/>
          <w:szCs w:val="24"/>
        </w:rPr>
        <w:t xml:space="preserve">ons such as variceal hemorrhage, </w:t>
      </w:r>
      <w:r w:rsidRPr="00787839">
        <w:rPr>
          <w:rFonts w:ascii="Book Antiqua" w:hAnsi="Book Antiqua"/>
          <w:sz w:val="24"/>
          <w:szCs w:val="24"/>
        </w:rPr>
        <w:t>congestive gastroenteropathy, refractory ascites, h</w:t>
      </w:r>
      <w:r w:rsidR="008E33E6" w:rsidRPr="00787839">
        <w:rPr>
          <w:rFonts w:ascii="Book Antiqua" w:hAnsi="Book Antiqua"/>
          <w:sz w:val="24"/>
          <w:szCs w:val="24"/>
        </w:rPr>
        <w:t xml:space="preserve">epatic hydrothorax, </w:t>
      </w:r>
      <w:r w:rsidR="0034143B" w:rsidRPr="00787839">
        <w:rPr>
          <w:rFonts w:ascii="Book Antiqua" w:hAnsi="Book Antiqua"/>
          <w:sz w:val="24"/>
          <w:szCs w:val="24"/>
        </w:rPr>
        <w:t>and hepatorenal syndrome</w:t>
      </w:r>
      <w:r w:rsidR="008E33E6" w:rsidRPr="00787839">
        <w:rPr>
          <w:rFonts w:ascii="Book Antiqua" w:hAnsi="Book Antiqua"/>
          <w:sz w:val="24"/>
          <w:szCs w:val="24"/>
        </w:rPr>
        <w:fldChar w:fldCharType="begin" w:fldLock="1"/>
      </w:r>
      <w:r w:rsidR="0030026A" w:rsidRPr="00787839">
        <w:rPr>
          <w:rFonts w:ascii="Book Antiqua" w:hAnsi="Book Antiqua"/>
          <w:sz w:val="24"/>
          <w:szCs w:val="24"/>
        </w:rPr>
        <w:instrText>ADDIN CSL_CITATION { "citationItems" : [ { "id" : "ITEM-1", "itemData" : { "DOI" : "10.1148/rg.335125166", "PMID" : "24025936", "abstract" : "Management of clinically important sequelae of portal hypertension, such as variceal bleeding and ascites, may involve a combination of medical, endoscopic, surgical, and interventional approaches and procedures. Although clinically significant esophageal and rectal varices are typically visible endoscopically, ectopic varices may require multiplanar portal venous phase computed tomography or magnetic resonance imaging for diagnosis. A detailed understanding of individual vascular anatomy, flow dynamics, and patient-related factors such as cardiac and hepatic status is necessary for appropriate treatment selection in patients with complicated portal hypertension. The hepatic venous pressure gradient is the key indirect measurement of portal venous pressure. Transjugular intrahepatic portosystemic shunt (TIPS) placement is regarded as the archetypal intervention for treating complicated portal hypertension by reducing portal pressure. Various modifications, such as direct portocaval shunt, may be used in patients with challenging vascular anatomy. A subset of patients with obstructed hepatic venous outflow or portal venous inflow should be considered for recanalization. Splenic artery embolization may be considered for reduction of portal pressure in selected patients, particularly when hypersplenism or splenic vein occlusion is a prominent feature. Gastric and ectopic varices may bleed even when the portal pressure is low, and balloon-occluded retrograde transvenous obliteration (BRTO) in such patients may lead to equal or improved outcome compared with TIPS placement. BRTO is not limited by poor hepatic reserve or encephalopathy; however, it does not reduce portal pressure and may aggravate esophageal varices. Interventional radiology plays an important role in maintaining the patency of surgically created portosystemic shunts, and it remains at the forefront of new approaches in shunt design and placement. Supplemental material available at http://radiographics.rsna.org/lookup/suppl/doi:10.1148/rg.335125166/-/DC1.", "author" : [ { "dropping-particle" : "", "family" : "Kirby", "given" : "John Martin", "non-dropping-particle" : "", "parse-names" : false, "suffix" : "" }, { "dropping-particle" : "", "family" : "Cho", "given" : "Kyung J", "non-dropping-particle" : "", "parse-names" : false, "suffix" : "" }, { "dropping-particle" : "", "family" : "Midia", "given" : "Mehran", "non-dropping-particle" : "", "parse-names" : false, "suffix" : "" } ], "container-title" : "Radiographics", "id" : "ITEM-1", "issue" : "5", "issued" : { "date-parts" : [ [ "2013" ] ] }, "page" : "1473-1496", "publisher-place" : "Department of Radiology, McMaster University Medical Center, Hamilton Health Sciences, Hamilton, Ontario, Canada.", "title" : "Image-guided intervention in management of complications of portal hypertension: more than TIPS for success.", "type" : "article-journal", "volume" : "33" }, "uris" : [ "http://www.mendeley.com/documents/?uuid=e300337b-d31c-4eaf-9544-bda0de1d636d" ] } ], "mendeley" : { "formattedCitation" : "&lt;sup&gt;[39]&lt;/sup&gt;", "plainTextFormattedCitation" : "[39]", "previouslyFormattedCitation" : "&lt;sup&gt;[39]&lt;/sup&gt;" }, "properties" : { "noteIndex" : 0 }, "schema" : "https://github.com/citation-style-language/schema/raw/master/csl-citation.json" }</w:instrText>
      </w:r>
      <w:r w:rsidR="008E33E6" w:rsidRPr="00787839">
        <w:rPr>
          <w:rFonts w:ascii="Book Antiqua" w:hAnsi="Book Antiqua"/>
          <w:sz w:val="24"/>
          <w:szCs w:val="24"/>
        </w:rPr>
        <w:fldChar w:fldCharType="separate"/>
      </w:r>
      <w:r w:rsidR="0030026A" w:rsidRPr="00787839">
        <w:rPr>
          <w:rFonts w:ascii="Book Antiqua" w:hAnsi="Book Antiqua"/>
          <w:noProof/>
          <w:sz w:val="24"/>
          <w:szCs w:val="24"/>
          <w:vertAlign w:val="superscript"/>
        </w:rPr>
        <w:t>[39]</w:t>
      </w:r>
      <w:r w:rsidR="008E33E6" w:rsidRPr="00787839">
        <w:rPr>
          <w:rFonts w:ascii="Book Antiqua" w:hAnsi="Book Antiqua"/>
          <w:sz w:val="24"/>
          <w:szCs w:val="24"/>
        </w:rPr>
        <w:fldChar w:fldCharType="end"/>
      </w:r>
      <w:r w:rsidR="00030AB4" w:rsidRPr="00787839">
        <w:rPr>
          <w:rFonts w:ascii="Book Antiqua" w:hAnsi="Book Antiqua"/>
          <w:sz w:val="24"/>
          <w:szCs w:val="24"/>
        </w:rPr>
        <w:t xml:space="preserve">. </w:t>
      </w:r>
      <w:r w:rsidRPr="00787839">
        <w:rPr>
          <w:rFonts w:ascii="Book Antiqua" w:hAnsi="Book Antiqua"/>
          <w:sz w:val="24"/>
          <w:szCs w:val="24"/>
        </w:rPr>
        <w:t xml:space="preserve">In cases where </w:t>
      </w:r>
      <w:r w:rsidR="000271D5" w:rsidRPr="00787839">
        <w:rPr>
          <w:rFonts w:ascii="Book Antiqua" w:hAnsi="Book Antiqua"/>
          <w:sz w:val="24"/>
          <w:szCs w:val="24"/>
        </w:rPr>
        <w:t>it</w:t>
      </w:r>
      <w:r w:rsidRPr="00787839">
        <w:rPr>
          <w:rFonts w:ascii="Book Antiqua" w:hAnsi="Book Antiqua"/>
          <w:sz w:val="24"/>
          <w:szCs w:val="24"/>
        </w:rPr>
        <w:t xml:space="preserve"> is not possible to achieve this primary goal, various procedures can be offered to palliate or control the symptoms related to portal hypertension. </w:t>
      </w:r>
    </w:p>
    <w:p w14:paraId="59218C6D" w14:textId="77777777" w:rsidR="00787839" w:rsidRPr="00787839" w:rsidRDefault="00787839" w:rsidP="00787839">
      <w:pPr>
        <w:pStyle w:val="Body1"/>
        <w:adjustRightInd w:val="0"/>
        <w:snapToGrid w:val="0"/>
        <w:spacing w:after="0" w:line="360" w:lineRule="auto"/>
        <w:rPr>
          <w:rFonts w:ascii="Book Antiqua" w:hAnsi="Book Antiqua"/>
          <w:sz w:val="24"/>
          <w:szCs w:val="24"/>
          <w:lang w:eastAsia="zh-CN"/>
        </w:rPr>
      </w:pPr>
    </w:p>
    <w:p w14:paraId="6B57E81B" w14:textId="515E3F21" w:rsidR="00F14A23" w:rsidRPr="00787839" w:rsidRDefault="00787839" w:rsidP="007F096F">
      <w:pPr>
        <w:pStyle w:val="Body1"/>
        <w:adjustRightInd w:val="0"/>
        <w:snapToGrid w:val="0"/>
        <w:spacing w:after="0" w:line="360" w:lineRule="auto"/>
        <w:rPr>
          <w:rFonts w:ascii="Book Antiqua" w:hAnsi="Book Antiqua"/>
          <w:b/>
          <w:sz w:val="24"/>
          <w:szCs w:val="24"/>
          <w:lang w:eastAsia="zh-CN"/>
        </w:rPr>
      </w:pPr>
      <w:r>
        <w:rPr>
          <w:rFonts w:ascii="Book Antiqua" w:hAnsi="Book Antiqua"/>
          <w:b/>
          <w:sz w:val="24"/>
          <w:szCs w:val="24"/>
        </w:rPr>
        <w:t>REDUCING PORTAL VENOUS PRESSURE</w:t>
      </w:r>
      <w:r>
        <w:rPr>
          <w:rFonts w:ascii="Book Antiqua" w:hAnsi="Book Antiqua" w:hint="eastAsia"/>
          <w:b/>
          <w:sz w:val="24"/>
          <w:szCs w:val="24"/>
          <w:lang w:eastAsia="zh-CN"/>
        </w:rPr>
        <w:t xml:space="preserve">: </w:t>
      </w:r>
      <w:r w:rsidRPr="00787839">
        <w:rPr>
          <w:rFonts w:ascii="Book Antiqua" w:hAnsi="Book Antiqua"/>
          <w:b/>
          <w:sz w:val="24"/>
          <w:szCs w:val="24"/>
        </w:rPr>
        <w:t>TRANSJUGULAR INTRAHEPATIC PORTOSYSTEMIC SHUNT</w:t>
      </w:r>
    </w:p>
    <w:p w14:paraId="0521A5F5" w14:textId="1B6D8E7F" w:rsidR="007347C6" w:rsidRPr="00787839" w:rsidRDefault="00787839" w:rsidP="00787839">
      <w:pPr>
        <w:pStyle w:val="Body1"/>
        <w:adjustRightInd w:val="0"/>
        <w:snapToGrid w:val="0"/>
        <w:spacing w:after="0" w:line="360" w:lineRule="auto"/>
        <w:rPr>
          <w:rFonts w:ascii="Book Antiqua" w:hAnsi="Book Antiqua"/>
          <w:sz w:val="24"/>
          <w:szCs w:val="24"/>
        </w:rPr>
      </w:pPr>
      <w:r w:rsidRPr="00787839">
        <w:rPr>
          <w:rFonts w:ascii="Book Antiqua" w:hAnsi="Book Antiqua"/>
          <w:sz w:val="24"/>
          <w:szCs w:val="24"/>
        </w:rPr>
        <w:t>Transjugular intrahepatic portosystemic shunt (TIPS)</w:t>
      </w:r>
      <w:r>
        <w:rPr>
          <w:rFonts w:ascii="Book Antiqua" w:hAnsi="Book Antiqua" w:hint="eastAsia"/>
          <w:sz w:val="24"/>
          <w:szCs w:val="24"/>
          <w:lang w:eastAsia="zh-CN"/>
        </w:rPr>
        <w:t xml:space="preserve"> </w:t>
      </w:r>
      <w:r w:rsidR="000271D5" w:rsidRPr="00787839">
        <w:rPr>
          <w:rFonts w:ascii="Book Antiqua" w:hAnsi="Book Antiqua"/>
          <w:sz w:val="24"/>
          <w:szCs w:val="24"/>
        </w:rPr>
        <w:t>is a</w:t>
      </w:r>
      <w:r w:rsidR="001E5252" w:rsidRPr="00787839">
        <w:rPr>
          <w:rFonts w:ascii="Book Antiqua" w:hAnsi="Book Antiqua"/>
          <w:sz w:val="24"/>
          <w:szCs w:val="24"/>
        </w:rPr>
        <w:t>n</w:t>
      </w:r>
      <w:r w:rsidR="000271D5" w:rsidRPr="00787839">
        <w:rPr>
          <w:rFonts w:ascii="Book Antiqua" w:hAnsi="Book Antiqua"/>
          <w:sz w:val="24"/>
          <w:szCs w:val="24"/>
        </w:rPr>
        <w:t xml:space="preserve"> image</w:t>
      </w:r>
      <w:r w:rsidR="0065476C" w:rsidRPr="00787839">
        <w:rPr>
          <w:rFonts w:ascii="Book Antiqua" w:hAnsi="Book Antiqua"/>
          <w:sz w:val="24"/>
          <w:szCs w:val="24"/>
        </w:rPr>
        <w:t>-guided</w:t>
      </w:r>
      <w:r w:rsidR="00636C3C" w:rsidRPr="00787839">
        <w:rPr>
          <w:rFonts w:ascii="Book Antiqua" w:hAnsi="Book Antiqua"/>
          <w:sz w:val="24"/>
          <w:szCs w:val="24"/>
        </w:rPr>
        <w:t>,</w:t>
      </w:r>
      <w:r w:rsidR="0065476C" w:rsidRPr="00787839">
        <w:rPr>
          <w:rFonts w:ascii="Book Antiqua" w:hAnsi="Book Antiqua"/>
          <w:sz w:val="24"/>
          <w:szCs w:val="24"/>
        </w:rPr>
        <w:t xml:space="preserve"> </w:t>
      </w:r>
      <w:r w:rsidR="00636C3C" w:rsidRPr="00787839">
        <w:rPr>
          <w:rFonts w:ascii="Book Antiqua" w:hAnsi="Book Antiqua"/>
          <w:sz w:val="24"/>
          <w:szCs w:val="24"/>
        </w:rPr>
        <w:t xml:space="preserve">minimally invasive </w:t>
      </w:r>
      <w:r w:rsidR="0065476C" w:rsidRPr="00787839">
        <w:rPr>
          <w:rFonts w:ascii="Book Antiqua" w:hAnsi="Book Antiqua"/>
          <w:sz w:val="24"/>
          <w:szCs w:val="24"/>
        </w:rPr>
        <w:t xml:space="preserve">procedure in which </w:t>
      </w:r>
      <w:bookmarkStart w:id="77" w:name="OLE_LINK195"/>
      <w:bookmarkStart w:id="78" w:name="OLE_LINK196"/>
      <w:r w:rsidR="0065476C" w:rsidRPr="00787839">
        <w:rPr>
          <w:rFonts w:ascii="Book Antiqua" w:hAnsi="Book Antiqua"/>
          <w:sz w:val="24"/>
          <w:szCs w:val="24"/>
        </w:rPr>
        <w:t>polytetrafluoroethylene (PTFE)</w:t>
      </w:r>
      <w:bookmarkEnd w:id="77"/>
      <w:bookmarkEnd w:id="78"/>
      <w:r w:rsidR="0065476C" w:rsidRPr="00787839">
        <w:rPr>
          <w:rFonts w:ascii="Book Antiqua" w:hAnsi="Book Antiqua"/>
          <w:sz w:val="24"/>
          <w:szCs w:val="24"/>
        </w:rPr>
        <w:t xml:space="preserve">–covered stents are </w:t>
      </w:r>
      <w:r w:rsidR="0065476C" w:rsidRPr="00787839">
        <w:rPr>
          <w:rFonts w:ascii="Book Antiqua" w:hAnsi="Book Antiqua"/>
          <w:sz w:val="24"/>
          <w:szCs w:val="24"/>
        </w:rPr>
        <w:lastRenderedPageBreak/>
        <w:t>deployed</w:t>
      </w:r>
      <w:r w:rsidR="001E5252" w:rsidRPr="00787839">
        <w:rPr>
          <w:rFonts w:ascii="Book Antiqua" w:hAnsi="Book Antiqua"/>
          <w:sz w:val="24"/>
          <w:szCs w:val="24"/>
        </w:rPr>
        <w:t xml:space="preserve"> through the hepatic parenchyma,</w:t>
      </w:r>
      <w:r w:rsidR="0065476C" w:rsidRPr="00787839">
        <w:rPr>
          <w:rFonts w:ascii="Book Antiqua" w:hAnsi="Book Antiqua"/>
          <w:sz w:val="24"/>
          <w:szCs w:val="24"/>
        </w:rPr>
        <w:t xml:space="preserve"> bridging the hepatic vein and portal vein</w:t>
      </w:r>
      <w:r w:rsidR="0034143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"10.2214/AJR.12.9101", "ISBN" : "1546-3141 (Electronic)\\r0361-803X (Linking)", "ISSN" : "1546-3141", "PMID" : "22997364", "abstract" : "OBJECTIVE: The purpose of this article is to review the indications, outcomes, complications, patient selection, and technical aspects of creating a transjugular intrahepatic portosystemic shunt (TIPS).\\n\\nCONCLUSION: The best available evidence supports the use of TIPS in secondary prevention of variceal bleeding and in refractory ascites, although TIPS is also commonly used for other indications such as Budd-Chiari syndrome, hepatic hydrothorax, and acute variceal hemorrhage. The TIPS procedure was revolutionized by the introduction of covered stents, which dramatically improved long-term shunt patency.", "author" : [ { "dropping-particle" : "", "family" : "Fidelman", "given" : "Nicholas", "non-dropping-particle" : "", "parse-names" : false, "suffix" : "" }, { "dropping-particle" : "", "family" : "Kwan", "given" : "Sharon W", "non-dropping-particle" : "", "parse-names" : false, "suffix" : "" }, { "dropping-particle" : "", "family" : "LaBerge", "given" : "Jeanne M", "non-dropping-particle" : "", "parse-names" : false, "suffix" : "" }, { "dropping-particle" : "", "family" : "Gordon", "given" : "Roy L", "non-dropping-particle" : "", "parse-names" : false, "suffix" : "" }, { "dropping-particle" : "", "family" : "Ring", "given" : "Ernest J", "non-dropping-particle" : "", "parse-names" : false, "suffix" : "" }, { "dropping-particle" : "", "family" : "Kerlan", "given" : "Robert K", "non-dropping-particle" : "", "parse-names" : false, "suffix" : "" } ], "container-title" : "AJR. American journal of roentgenology", "id" : "ITEM-1", "issue" : "4", "issued" : { "date-parts" : [ [ "2012" ] ] }, "page" : "746-755", "title" : "The Transjugular Intrahepatic Portosystemic Shunt: An Update.", "type" : "article-journal", "volume" : "199" }, "uris" : [ "http://www.mendeley.com/documents/?uuid=311db51c-29c6-4159-b6c8-3eafdd1754fa" ] } ], "mendeley" : { "formattedCitation" : "&lt;sup&gt;[40]&lt;/sup&gt;", "plainTextFormattedCitation" : "[40]", "previouslyFormattedCitation" : "&lt;sup&gt;[40]&lt;/sup&gt;" }, "properties" : { "noteIndex" : 0 }, "schema" : "https://github.com/citation-style-language/schema/raw/master/csl-citation.json" }</w:instrText>
      </w:r>
      <w:r w:rsidR="0034143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[40]</w:t>
      </w:r>
      <w:r w:rsidR="0034143B" w:rsidRPr="00787839">
        <w:rPr>
          <w:rFonts w:ascii="Book Antiqua" w:hAnsi="Book Antiqua"/>
          <w:sz w:val="24"/>
          <w:szCs w:val="24"/>
          <w:vertAlign w:val="superscript"/>
        </w:rPr>
        <w:fldChar w:fldCharType="end"/>
      </w:r>
      <w:r w:rsidR="00030AB4" w:rsidRPr="00787839">
        <w:rPr>
          <w:rFonts w:ascii="Book Antiqua" w:hAnsi="Book Antiqua"/>
          <w:sz w:val="24"/>
          <w:szCs w:val="24"/>
        </w:rPr>
        <w:t xml:space="preserve">. </w:t>
      </w:r>
      <w:r w:rsidR="007347C6" w:rsidRPr="00787839">
        <w:rPr>
          <w:rFonts w:ascii="Book Antiqua" w:hAnsi="Book Antiqua"/>
          <w:sz w:val="24"/>
          <w:szCs w:val="24"/>
        </w:rPr>
        <w:t xml:space="preserve">Briefly, </w:t>
      </w:r>
      <w:r w:rsidR="00636C3C" w:rsidRPr="00787839">
        <w:rPr>
          <w:rFonts w:ascii="Book Antiqua" w:hAnsi="Book Antiqua"/>
          <w:sz w:val="24"/>
          <w:szCs w:val="24"/>
        </w:rPr>
        <w:t xml:space="preserve">frequently </w:t>
      </w:r>
      <w:r w:rsidR="007347C6" w:rsidRPr="00787839">
        <w:rPr>
          <w:rFonts w:ascii="Book Antiqua" w:hAnsi="Book Antiqua"/>
          <w:sz w:val="24"/>
          <w:szCs w:val="24"/>
        </w:rPr>
        <w:t>under general anaesthesia,</w:t>
      </w:r>
      <w:r w:rsidR="001E5252" w:rsidRPr="00787839">
        <w:rPr>
          <w:rFonts w:ascii="Book Antiqua" w:hAnsi="Book Antiqua"/>
          <w:sz w:val="24"/>
          <w:szCs w:val="24"/>
        </w:rPr>
        <w:t xml:space="preserve"> the</w:t>
      </w:r>
      <w:r w:rsidR="00A9061B" w:rsidRPr="00787839">
        <w:rPr>
          <w:rFonts w:ascii="Book Antiqua" w:hAnsi="Book Antiqua"/>
          <w:sz w:val="24"/>
          <w:szCs w:val="24"/>
        </w:rPr>
        <w:t xml:space="preserve"> right</w:t>
      </w:r>
      <w:r w:rsidR="007347C6" w:rsidRPr="00787839">
        <w:rPr>
          <w:rFonts w:ascii="Book Antiqua" w:hAnsi="Book Antiqua"/>
          <w:sz w:val="24"/>
          <w:szCs w:val="24"/>
        </w:rPr>
        <w:t xml:space="preserve"> internal jugular vein </w:t>
      </w:r>
      <w:r w:rsidR="001E5252" w:rsidRPr="00787839">
        <w:rPr>
          <w:rFonts w:ascii="Book Antiqua" w:hAnsi="Book Antiqua"/>
          <w:sz w:val="24"/>
          <w:szCs w:val="24"/>
        </w:rPr>
        <w:t>is accessed</w:t>
      </w:r>
      <w:r w:rsidR="007347C6" w:rsidRPr="00787839">
        <w:rPr>
          <w:rFonts w:ascii="Book Antiqua" w:hAnsi="Book Antiqua"/>
          <w:sz w:val="24"/>
          <w:szCs w:val="24"/>
        </w:rPr>
        <w:t xml:space="preserve"> and under fluoroscopic guidance</w:t>
      </w:r>
      <w:r w:rsidR="00A9061B" w:rsidRPr="00787839">
        <w:rPr>
          <w:rFonts w:ascii="Book Antiqua" w:hAnsi="Book Antiqua"/>
          <w:sz w:val="24"/>
          <w:szCs w:val="24"/>
        </w:rPr>
        <w:t>,</w:t>
      </w:r>
      <w:r w:rsidR="007347C6" w:rsidRPr="00787839">
        <w:rPr>
          <w:rFonts w:ascii="Book Antiqua" w:hAnsi="Book Antiqua"/>
          <w:sz w:val="24"/>
          <w:szCs w:val="24"/>
        </w:rPr>
        <w:t xml:space="preserve"> a catheter-trocar set is </w:t>
      </w:r>
      <w:r w:rsidR="00636C3C" w:rsidRPr="00787839">
        <w:rPr>
          <w:rFonts w:ascii="Book Antiqua" w:hAnsi="Book Antiqua"/>
          <w:sz w:val="24"/>
          <w:szCs w:val="24"/>
        </w:rPr>
        <w:t xml:space="preserve">typically </w:t>
      </w:r>
      <w:r w:rsidR="007347C6" w:rsidRPr="00787839">
        <w:rPr>
          <w:rFonts w:ascii="Book Antiqua" w:hAnsi="Book Antiqua"/>
          <w:sz w:val="24"/>
          <w:szCs w:val="24"/>
        </w:rPr>
        <w:t xml:space="preserve">advanced from </w:t>
      </w:r>
      <w:r w:rsidR="00193F43" w:rsidRPr="00787839">
        <w:rPr>
          <w:rFonts w:ascii="Book Antiqua" w:hAnsi="Book Antiqua"/>
          <w:sz w:val="24"/>
          <w:szCs w:val="24"/>
        </w:rPr>
        <w:t>the right</w:t>
      </w:r>
      <w:r w:rsidR="007347C6" w:rsidRPr="00787839">
        <w:rPr>
          <w:rFonts w:ascii="Book Antiqua" w:hAnsi="Book Antiqua"/>
          <w:sz w:val="24"/>
          <w:szCs w:val="24"/>
        </w:rPr>
        <w:t xml:space="preserve"> hepatic vein </w:t>
      </w:r>
      <w:r w:rsidR="0034143B" w:rsidRPr="00787839">
        <w:rPr>
          <w:rFonts w:ascii="Book Antiqua" w:hAnsi="Book Antiqua"/>
          <w:sz w:val="24"/>
          <w:szCs w:val="24"/>
        </w:rPr>
        <w:t xml:space="preserve">to </w:t>
      </w:r>
      <w:r w:rsidR="007347C6" w:rsidRPr="00787839">
        <w:rPr>
          <w:rFonts w:ascii="Book Antiqua" w:hAnsi="Book Antiqua"/>
          <w:sz w:val="24"/>
          <w:szCs w:val="24"/>
        </w:rPr>
        <w:t>the right portal vein. Once appropriate position is confirmed, angioplasty and a PTFE-covered stent is deployed—bridging the portal venous system with the system venous system</w:t>
      </w:r>
      <w:r w:rsidR="00636C3C" w:rsidRPr="00787839">
        <w:rPr>
          <w:rFonts w:ascii="Book Antiqua" w:hAnsi="Book Antiqua"/>
          <w:sz w:val="24"/>
          <w:szCs w:val="24"/>
        </w:rPr>
        <w:t xml:space="preserve"> </w:t>
      </w:r>
      <w:r w:rsidR="000271D5" w:rsidRPr="00787839">
        <w:rPr>
          <w:rFonts w:ascii="Book Antiqua" w:hAnsi="Book Antiqua"/>
          <w:sz w:val="24"/>
          <w:szCs w:val="24"/>
        </w:rPr>
        <w:t>(Figure 14)</w:t>
      </w:r>
      <w:r w:rsidR="0034143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"10.1148/rg.335125166", "PMID" : "24025936", "abstract" : "Management of clinically important sequelae of portal hypertension, such as variceal bleeding and ascites, may involve a combination of medical, endoscopic, surgical, and interventional approaches and procedures. Although clinically significant esophageal and rectal varices are typically visible endoscopically, ectopic varices may require multiplanar portal venous phase computed tomography or magnetic resonance imaging for diagnosis. A detailed understanding of individual vascular anatomy, flow dynamics, and patient-related factors such as cardiac and hepatic status is necessary for appropriate treatment selection in patients with complicated portal hypertension. The hepatic venous pressure gradient is the key indirect measurement of portal venous pressure. Transjugular intrahepatic portosystemic shunt (TIPS) placement is regarded as the archetypal intervention for treating complicated portal hypertension by reducing portal pressure. Various modifications, such as direct portocaval shunt, may be used in patients with challenging vascular anatomy. A subset of patients with obstructed hepatic venous outflow or portal venous inflow should be considered for recanalization. Splenic artery embolization may be considered for reduction of portal pressure in selected patients, particularly when hypersplenism or splenic vein occlusion is a prominent feature. Gastric and ectopic varices may bleed even when the portal pressure is low, and balloon-occluded retrograde transvenous obliteration (BRTO) in such patients may lead to equal or improved outcome compared with TIPS placement. BRTO is not limited by poor hepatic reserve or encephalopathy; however, it does not reduce portal pressure and may aggravate esophageal varices. Interventional radiology plays an important role in maintaining the patency of surgically created portosystemic shunts, and it remains at the forefront of new approaches in shunt design and placement. Supplemental material available at http://radiographics.rsna.org/lookup/suppl/doi:10.1148/rg.335125166/-/DC1.", "author" : [ { "dropping-particle" : "", "family" : "Kirby", "given" : "John Martin", "non-dropping-particle" : "", "parse-names" : false, "suffix" : "" }, { "dropping-particle" : "", "family" : "Cho", "given" : "Kyung J", "non-dropping-particle" : "", "parse-names" : false, "suffix" : "" }, { "dropping-particle" : "", "family" : "Midia", "given" : "Mehran", "non-dropping-particle" : "", "parse-names" : false, "suffix" : "" } ], "container-title" : "Radiographics", "id" : "ITEM-1", "issue" : "5", "issued" : { "date-parts" : [ [ "2013" ] ] }, "page" : "1473-1496", "publisher-place" : "Department of Radiology, McMaster University Medical Center, Hamilton Health Sciences, Hamilton, Ontario, Canada.", "title" : "Image-guided intervention in management of complications of portal hypertension: more than TIPS for success.", "type" : "article-journal", "volume" : "33" }, "uris" : [ "http://www.mendeley.com/documents/?uuid=e300337b-d31c-4eaf-9544-bda0de1d636d" ] } ], "mendeley" : { "formattedCitation" : "&lt;sup&gt;[39]&lt;/sup&gt;", "plainTextFormattedCitation" : "[39]", "previouslyFormattedCitation" : "&lt;sup&gt;[39]&lt;/sup&gt;" }, "properties" : { "noteIndex" : 0 }, "schema" : "https://github.com/citation-style-language/schema/raw/master/csl-citation.json" }</w:instrText>
      </w:r>
      <w:r w:rsidR="0034143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[39]</w:t>
      </w:r>
      <w:r w:rsidR="0034143B" w:rsidRPr="00787839">
        <w:rPr>
          <w:rFonts w:ascii="Book Antiqua" w:hAnsi="Book Antiqua"/>
          <w:sz w:val="24"/>
          <w:szCs w:val="24"/>
          <w:vertAlign w:val="superscript"/>
        </w:rPr>
        <w:fldChar w:fldCharType="end"/>
      </w:r>
      <w:r w:rsidR="00A01764" w:rsidRPr="00787839">
        <w:rPr>
          <w:rFonts w:ascii="Book Antiqua" w:hAnsi="Book Antiqua"/>
          <w:sz w:val="24"/>
          <w:szCs w:val="24"/>
        </w:rPr>
        <w:t>.</w:t>
      </w:r>
    </w:p>
    <w:p w14:paraId="26703179" w14:textId="10AFF1ED" w:rsidR="00F14A23" w:rsidRPr="00787839" w:rsidRDefault="0065476C" w:rsidP="00787839">
      <w:pPr>
        <w:pStyle w:val="Body1"/>
        <w:adjustRightInd w:val="0"/>
        <w:snapToGrid w:val="0"/>
        <w:spacing w:after="0" w:line="360" w:lineRule="auto"/>
        <w:ind w:firstLineChars="100" w:firstLine="240"/>
        <w:rPr>
          <w:rFonts w:ascii="Book Antiqua" w:hAnsi="Book Antiqua"/>
          <w:sz w:val="24"/>
          <w:szCs w:val="24"/>
        </w:rPr>
      </w:pPr>
      <w:r w:rsidRPr="00787839">
        <w:rPr>
          <w:rFonts w:ascii="Book Antiqua" w:hAnsi="Book Antiqua"/>
          <w:sz w:val="24"/>
          <w:szCs w:val="24"/>
        </w:rPr>
        <w:t>TIPS reduces the portosystemic pressure gradient by functioning as a side-to-side port</w:t>
      </w:r>
      <w:r w:rsidR="00DC4E6C" w:rsidRPr="00787839">
        <w:rPr>
          <w:rFonts w:ascii="Book Antiqua" w:hAnsi="Book Antiqua"/>
          <w:sz w:val="24"/>
          <w:szCs w:val="24"/>
        </w:rPr>
        <w:t>o</w:t>
      </w:r>
      <w:r w:rsidRPr="00787839">
        <w:rPr>
          <w:rFonts w:ascii="Book Antiqua" w:hAnsi="Book Antiqua"/>
          <w:sz w:val="24"/>
          <w:szCs w:val="24"/>
        </w:rPr>
        <w:t xml:space="preserve">caval shunt. The strongest evidence in favor of performing a TIPS procedure exists for the secondary prevention </w:t>
      </w:r>
      <w:r w:rsidR="000A6FB6" w:rsidRPr="00787839">
        <w:rPr>
          <w:rFonts w:ascii="Book Antiqua" w:hAnsi="Book Antiqua"/>
          <w:sz w:val="24"/>
          <w:szCs w:val="24"/>
        </w:rPr>
        <w:t>of the onset or recurrence of variceal bleeding</w:t>
      </w:r>
      <w:r w:rsidR="00193F43" w:rsidRPr="00787839">
        <w:rPr>
          <w:rFonts w:ascii="Book Antiqua" w:hAnsi="Book Antiqua"/>
          <w:sz w:val="24"/>
          <w:szCs w:val="24"/>
        </w:rPr>
        <w:fldChar w:fldCharType="begin" w:fldLock="1"/>
      </w:r>
      <w:r w:rsidR="0030026A" w:rsidRPr="00787839">
        <w:rPr>
          <w:rFonts w:ascii="Book Antiqua" w:hAnsi="Book Antiqua"/>
          <w:sz w:val="24"/>
          <w:szCs w:val="24"/>
        </w:rPr>
        <w:instrText>ADDIN CSL_CITATION { "citationItems" : [ { "id" : "ITEM-1", "itemData" : { "DOI" : "10.1056/NEJM199401203300303", "ISBN" : "0028-4793 (Print)\\n0028-4793 (Linking)", "ISSN" : "0028-4793", "PMID" : "8264738", "abstract" : "BACKGROUND: Transjugular placement of an intrahepatic stent is a new technique to establish a portosystemic shunt for treatment of portal hypertension. A puncture needle is advanced in a catheter through the inferior vena cava into a hepatic vein; then an intrahepatic branch of the portal vein is punctured and an expandable stent of metallic mesh is implanted to establish the shunt.\\n\\nMETHODS: We attempted the stent-shunt procedure in 100 of 112 consecutive patients with variceal bleeding due to cirrhosis, who were then followed for a mean (+/- SD) of 12 +/- 6 months. Of the 100 patients, 22 had Child-Pugh class C cirrhosis, 10 were treated on an emergency basis, and 68 had alcoholic cirrhosis. The shunt was established with use of Palmaz stents expanded to 8 to 12 mm in diameter.\\n\\nRESULTS: Technical success was achieved in 93 percent of the patients. The mean (+/- SD) time for the procedure was 1.2 +/- 0.3 hours. The shunt reduced the portal venous pressure gradient by 57 percent. Major complications were hemorrhage (intraabdominal bleeding in six patients, biliary bleeding in four, and bleeding in the liver capsule in three) and migration of the stent into the pulmonary artery (in two patients). At follow-up, stenosis of the shunt was evident in 21 patients and occlusion in 10 patients; 10 of these 31 patients had variceal rebleeding. Stenoses and occlusions of the shunt were all treated successfully by redilation, thrombolysis, or implantation of an additional stent. Hepatic encephalopathy (stages I to III) developed in 25 percent of the patients. The proportion of patients with shunts who remained free of variceal rebleeding was 92 percent at six months and 82 percent at one year. The 30-day mortality was 3 percent. The cumulative one-year survival was 85 percent.\\n\\nCONCLUSIONS: These results suggest that the transjugular placement of an intrahepatic portosystemic stent is an effective and safe treatment for variceal hemorrhage in patients with portal hypertension due to cirrhosis.", "author" : [ { "dropping-particle" : "", "family" : "Rossle", "given" : "Martin", "non-dropping-particle" : "", "parse-names" : false, "suffix" : "" }, { "dropping-particle" : "", "family" : "Haag", "given" : "Klaus", "non-dropping-particle" : "", "parse-names" : false, "suffix" : "" }, { "dropping-particle" : "", "family" : "Ochs", "given" : "Andreas", "non-dropping-particle" : "", "parse-names" : false, "suffix" : "" }, { "dropping-particle" : "", "family" : "Sellinger", "given" : "Markus", "non-dropping-particle" : "", "parse-names" : false, "suffix" : "" }, { "dropping-particle" : "", "family" : "Noldge", "given" : "Gerd", "non-dropping-particle" : "", "parse-names" : false, "suffix" : "" }, { "dropping-particle" : "", "family" : "Perarnau", "given" : "Jean-Marc", "non-dropping-particle" : "", "parse-names" : false, "suffix" : "" }, { "dropping-particle" : "", "family" : "Berger", "given" : "Elisabeth", "non-dropping-particle" : "", "parse-names" : false, "suffix" : "" }, { "dropping-particle" : "", "family" : "Blum", "given" : "Uli", "non-dropping-particle" : "", "parse-names" : false, "suffix" : "" }, { "dropping-particle" : "", "family" : "Gabelmann", "given" : "Andreas", "non-dropping-particle" : "", "parse-names" : false, "suffix" : "" }, { "dropping-particle" : "", "family" : "Hauenstein", "given" : "Karlheinz", "non-dropping-particle" : "", "parse-names" : false, "suffix" : "" }, { "dropping-particle" : "", "family" : "Langer", "given" : "Michael", "non-dropping-particle" : "", "parse-names" : false, "suffix" : "" }, { "dropping-particle" : "", "family" : "Gerok", "given" : "Wolfgang", "non-dropping-particle" : "", "parse-names" : false, "suffix" : "" } ], "container-title" : "New England Journal of Medicine", "id" : "ITEM-1", "issue" : "3", "issued" : { "date-parts" : [ [ "1994" ] ] }, "page" : "165-171", "title" : "The Transjugular Intrahepatic Portosystemic Stent-Shunt Procedure for Variceal Bleeding", "type" : "article-journal", "volume" : "330" }, "uris" : [ "http://www.mendeley.com/documents/?uuid=9ee1dc92-3f51-4fb9-ae57-06d2337974bf" ] }, { "id" : "ITEM-2", "itemData" : { "DOI" : "10.1056/NEJMoa0910102", "PMID" : "20573925", "author" : [ { "dropping-particle" : "", "family" : "Garc\u00eda-Pag\u00e1n", "given" : "Juan Carlos", "non-dropping-particle" : "", "parse-names" : false, "suffix" : "" }, { "dropping-particle" : "", "family" : "Caca", "given" : "Karel", "non-dropping-particle" : "", "parse-names" : false, "suffix" : "" }, { "dropping-particle" : "", "family" : "Bureau", "given" : "Christophe", "non-dropping-particle" : "", "parse-names" : false, "suffix" : "" }, { "dropping-particle" : "", "family" : "Laleman", "given" : "Wim", "non-dropping-particle" : "", "parse-names" : false, "suffix" : "" }, { "dropping-particle" : "", "family" : "Appenrodt", "given" : "Beate", "non-dropping-particle" : "", "parse-names" : false, "suffix" : "" }, { "dropping-particle" : "", "family" : "Luca", "given" : "Angelo", "non-dropping-particle" : "", "parse-names" : false, "suffix" : "" }, { "dropping-particle" : "", "family" : "Abraldes", "given" : "Juan G", "non-dropping-particle" : "", "parse-names" : false, "suffix" : "" }, { "dropping-particle" : "", "family" : "Nevens", "given" : "Frederik", "non-dropping-particle" : "", "parse-names" : false, "suffix" : "" }, { "dropping-particle" : "", "family" : "Vinel", "given" : "Jean Pierre", "non-dropping-particle" : "", "parse-names" : false, "suffix" : "" }, { "dropping-particle" : "", "family" : "M\u00f6ssner", "given" : "Joachim", "non-dropping-particle" : "", "parse-names" : false, "suffix" : "" }, { "dropping-particle" : "", "family" : "Bosch", "given" : "Jaime", "non-dropping-particle" : "", "parse-names" : false, "suffix" : "" }, { "dropping-particle" : "", "family" : "Digestivas", "given" : "Hep\u00e1ticas Y", "non-dropping-particle" : "", "parse-names" : false, "suffix" : "" } ], "container-title" : "N Engl J Med", "id" : "ITEM-2", "issued" : { "date-parts" : [ [ "2010" ] ] }, "page" : "2370-9", "title" : "Early Use of TIPS in Patients with Cirrhosis and Variceal Bleeding for the Early TIPS (Transjugular Intrahepatic Portosystemic Shunt) Cooperative Study Group", "type" : "article-journal", "volume" : "362" }, "uris" : [ "http://www.mendeley.com/documents/?uuid=7952e96e-2498-4d57-85ce-859efa9f411d" ] } ], "mendeley" : { "formattedCitation" : "&lt;sup&gt;[41,42]&lt;/sup&gt;", "plainTextFormattedCitation" : "[41,42]", "previouslyFormattedCitation" : "&lt;sup&gt;[41,42]&lt;/sup&gt;" }, "properties" : { "noteIndex" : 0 }, "schema" : "https://github.com/citation-style-language/schema/raw/master/csl-citation.json" }</w:instrText>
      </w:r>
      <w:r w:rsidR="00193F43" w:rsidRPr="00787839">
        <w:rPr>
          <w:rFonts w:ascii="Book Antiqua" w:hAnsi="Book Antiqua"/>
          <w:sz w:val="24"/>
          <w:szCs w:val="24"/>
        </w:rPr>
        <w:fldChar w:fldCharType="separate"/>
      </w:r>
      <w:r w:rsidR="0030026A" w:rsidRPr="00787839">
        <w:rPr>
          <w:rFonts w:ascii="Book Antiqua" w:hAnsi="Book Antiqua"/>
          <w:noProof/>
          <w:sz w:val="24"/>
          <w:szCs w:val="24"/>
          <w:vertAlign w:val="superscript"/>
        </w:rPr>
        <w:t>[41,42]</w:t>
      </w:r>
      <w:r w:rsidR="00193F43" w:rsidRPr="00787839">
        <w:rPr>
          <w:rFonts w:ascii="Book Antiqua" w:hAnsi="Book Antiqua"/>
          <w:sz w:val="24"/>
          <w:szCs w:val="24"/>
        </w:rPr>
        <w:fldChar w:fldCharType="end"/>
      </w:r>
      <w:r w:rsidR="005B1D28" w:rsidRPr="00787839">
        <w:rPr>
          <w:rFonts w:ascii="Book Antiqua" w:hAnsi="Book Antiqua"/>
          <w:sz w:val="24"/>
          <w:szCs w:val="24"/>
        </w:rPr>
        <w:t xml:space="preserve">. </w:t>
      </w:r>
      <w:r w:rsidRPr="00787839">
        <w:rPr>
          <w:rFonts w:ascii="Book Antiqua" w:hAnsi="Book Antiqua"/>
          <w:sz w:val="24"/>
          <w:szCs w:val="24"/>
        </w:rPr>
        <w:t>A recent meta-an</w:t>
      </w:r>
      <w:r w:rsidR="001310B7" w:rsidRPr="00787839">
        <w:rPr>
          <w:rFonts w:ascii="Book Antiqua" w:hAnsi="Book Antiqua"/>
          <w:sz w:val="24"/>
          <w:szCs w:val="24"/>
        </w:rPr>
        <w:t>alysis published in 2008 found</w:t>
      </w:r>
      <w:r w:rsidRPr="00787839">
        <w:rPr>
          <w:rFonts w:ascii="Book Antiqua" w:hAnsi="Book Antiqua"/>
          <w:sz w:val="24"/>
          <w:szCs w:val="24"/>
        </w:rPr>
        <w:t xml:space="preserve"> more than threefold decrease in the risk of recurrent bleeding after insertion of a TIPS compared with various forms of endoscopic therapy</w:t>
      </w:r>
      <w:r w:rsidR="0034143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"10.1097/MCG.0b013e31815576e6", "ISBN" : "0192-0790", "ISSN" : "0192-0790", "PMID" : "18344888", "abstract" : "GOALS: The aim of this study was to determine through meta-analysis the effects of transjugular intrahepatic portosystemic shunt (TIPS) for the reduction of variceal rebleeding (VRB). BACKGROUND: Variceal bleeding is one of the most frequent and severe complications of chronic liver disease. Although prophylactic use of TIPS for the reduction of VRB has been evaluated, the discrepancy about TIPS's beneficial effect on cirrhotic patients still exists. STUDY: We employed the method recommended by the Cochrane Collaboration to perform a meta-analysis of randomized controlled trials (RCTs) of TIPS versus endoscopic therapy in the prevention of VRB including 12 RCTs conducted in 7 different countries. RESULTS: Most RCTs reviewed were of high quality. The updated meta-analysis showed that the decreased incidence of VRB [odds ratio (OR)=0.32, 95% confidence interval (CI) (0.24-0.43), P&lt;0.00001], deaths due to rebleeding [OR=0.35, 95% CI (0.18-0.67), P=0.002], the increased rate of posttreatment encephalopathy [OR=2.21, 95% CI (1.61-3.03), P&lt;0.00001] were correlated with TIPS, whereas the hospitalization days [weighted mean difference=-0.21, 95% CI (-3.50 to 3.08), P=0.90] and deaths due to all causes [OR=1.17, 95% CI (0.85-1.61), P=0.33] returned negative results in 2 groups. CONCLUSIONS: TIPS is currently the first choice to prevent rebleeding except that TIPS is worse than endoscopic therapy for encephalopathy. An exploration of new approaches out of above complications will be of considerable clinical significance and be a challenge to clinicians.", "author" : [ { "dropping-particle" : "", "family" : "Zheng", "given" : "Minghua", "non-dropping-particle" : "", "parse-names" : false, "suffix" : "" }, { "dropping-particle" : "", "family" : "Chen", "given" : "Yongping", "non-dropping-particle" : "", "parse-names" : false, "suffix" : "" }, { "dropping-particle" : "", "family" : "Bai", "given" : "Jianling", "non-dropping-particle" : "", "parse-names" : false, "suffix" : "" }, { "dropping-particle" : "", "family" : "Zeng", "given" : "Qiqiang", "non-dropping-particle" : "", "parse-names" : false, "suffix" : "" }, { "dropping-particle" : "", "family" : "You", "given" : "Jie", "non-dropping-particle" : "", "parse-names" : false, "suffix" : "" }, { "dropping-particle" : "", "family" : "Jin", "given" : "Rong", "non-dropping-particle" : "", "parse-names" : false, "suffix" : "" }, { "dropping-particle" : "", "family" : "Zhou", "given" : "Xiaosa", "non-dropping-particle" : "", "parse-names" : false, "suffix" : "" }, { "dropping-particle" : "", "family" : "Shen", "given" : "Hong", "non-dropping-particle" : "", "parse-names" : false, "suffix" : "" }, { "dropping-particle" : "", "family" : "Zheng", "given" : "Yi", "non-dropping-particle" : "", "parse-names" : false, "suffix" : "" }, { "dropping-particle" : "", "family" : "Du", "given" : "Zhou", "non-dropping-particle" : "", "parse-names" : false, "suffix" : "" } ], "container-title" : "Journal of clinical gastroenterology", "id" : "ITEM-1", "issue" : "5", "issued" : { "date-parts" : [ [ "2008" ] ] }, "page" : "507-516", "title" : "Transjugular intrahepatic portosystemic shunt versus endoscopic therapy in the secondary prophylaxis of variceal rebleeding in cirrhotic patients: meta-analysis update.", "type" : "article-journal", "volume" : "42" }, "uris" : [ "http://www.mendeley.com/documents/?uuid=714fa56c-3782-48ce-b7af-0d1000868265" ] } ], "mendeley" : { "formattedCitation" : "&lt;sup&gt;[43]&lt;/sup&gt;", "plainTextFormattedCitation" : "[43]", "previouslyFormattedCitation" : "&lt;sup&gt;[43]&lt;/sup&gt;" }, "properties" : { "noteIndex" : 0 }, "schema" : "https://github.com/citation-style-language/schema/raw/master/csl-citation.json" }</w:instrText>
      </w:r>
      <w:r w:rsidR="0034143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[43]</w:t>
      </w:r>
      <w:r w:rsidR="0034143B" w:rsidRPr="00787839">
        <w:rPr>
          <w:rFonts w:ascii="Book Antiqua" w:hAnsi="Book Antiqua"/>
          <w:sz w:val="24"/>
          <w:szCs w:val="24"/>
          <w:vertAlign w:val="superscript"/>
        </w:rPr>
        <w:fldChar w:fldCharType="end"/>
      </w:r>
      <w:r w:rsidR="005B1D28" w:rsidRPr="00787839">
        <w:rPr>
          <w:rFonts w:ascii="Book Antiqua" w:hAnsi="Book Antiqua"/>
          <w:sz w:val="24"/>
          <w:szCs w:val="24"/>
        </w:rPr>
        <w:t xml:space="preserve">. </w:t>
      </w:r>
      <w:r w:rsidRPr="00787839">
        <w:rPr>
          <w:rFonts w:ascii="Book Antiqua" w:hAnsi="Book Antiqua"/>
          <w:sz w:val="24"/>
          <w:szCs w:val="24"/>
        </w:rPr>
        <w:t>TIPS is also indicated for treatment of refractory ascites</w:t>
      </w:r>
      <w:r w:rsidR="002E2EA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"10.1056/NEJM200006083422303", "ISBN" : "0028-4793 (Print) 0028-4793 (Linking)", "ISSN" : "0028-4793 (Print)", "PMID" : "10841872", "abstract" : "BACKGROUND: In patients with cirrhosis and ascites, creation of a transjugular intrahepatic portosystemic shunt may reduce the ascites and improve renal function. However, the benefit of this procedure as compared with that of large-volume paracentesis is uncertain. METHODS: We randomly assigned 60 patients with cirrhosis and refractory or recurrent ascites (Child-Pugh class B in 42 patients and class C in 18 patients) to treatment with a transjugular shunt (29 patients) or large-volume paracentesis (31 patients). The mean (+/-SD) duration of follow-up was 45+/-16 months among those assigned to shunting and 44+/-18 months among those assigned to paracentesis. The primary outcome was survival without liver transplantation. RESULTS: Among the patients in the shunt group, 15 died and 1 underwent liver transplantation during the study period, as compared with 23 patients and 2 patients, respectively, in the paracentesis group. The probability of survival without liver transplantation was 69 percent at one year and 58 percent at two years in the shunt group, as compared with 52 percent and 32 percent in the paracentesis group (P=0.11 for the overall comparison, by the log-rank test). In a multivariate analysis, treatment with transjugular shunting was independently associated with survival without the need for transplantation (P=0.02). At three months, 61 percent of the patients in the shunt group and 18 percent of those in the paracentesis group had no ascites (P=0.006). The frequency of hepatic encephalopathy was similar in the two groups. Of the patients assigned to paracentesis in whom this procedure was unsuccessful, 10 received a transjugular shunt a mean of 5.5+/-4 months after randomization; 4 had a response to this rescue treatment. CONCLUSIONS: In comparison with large-volume paracentesis, the creation of a transjugular intrahepatic portosystemic shunt can improve the chance of survival without liver transplantation in patients with refractory or recurrent ascites.", "author" : [ { "dropping-particle" : "", "family" : "R\u00f6ssle", "given" : "M", "non-dropping-particle" : "", "parse-names" : false, "suffix" : "" }, { "dropping-particle" : "", "family" : "Ochs", "given" : "A", "non-dropping-particle" : "", "parse-names" : false, "suffix" : "" }, { "dropping-particle" : "", "family" : "G\u00fclberg", "given" : "V", "non-dropping-particle" : "", "parse-names" : false, "suffix" : "" }, { "dropping-particle" : "", "family" : "Siegerstetter", "given" : "V", "non-dropping-particle" : "", "parse-names" : false, "suffix" : "" }, { "dropping-particle" : "", "family" : "Holl", "given" : "J", "non-dropping-particle" : "", "parse-names" : false, "suffix" : "" }, { "dropping-particle" : "", "family" : "Deibert", "given" : "P", "non-dropping-particle" : "", "parse-names" : false, "suffix" : "" }, { "dropping-particle" : "", "family" : "Olschewski", "given" : "M", "non-dropping-particle" : "", "parse-names" : false, "suffix" : "" }, { "dropping-particle" : "", "family" : "Reiser", "given" : "M", "non-dropping-particle" : "", "parse-names" : false, "suffix" : "" }, { "dropping-particle" : "", "family" : "Gerbes", "given" : "A L", "non-dropping-particle" : "", "parse-names" : false, "suffix" : "" }, { "dropping-particle" : "", "family" : "Rossle", "given" : "M", "non-dropping-particle" : "", "parse-names" : false, "suffix" : "" }, { "dropping-particle" : "", "family" : "Ochs", "given" : "A", "non-dropping-particle" : "", "parse-names" : false, "suffix" : "" }, { "dropping-particle" : "", "family" : "Gulberg", "given" : "V", "non-dropping-particle" : "", "parse-names" : false, "suffix" : "" }, { "dropping-particle" : "", "family" : "Siegerstetter", "given" : "V", "non-dropping-particle" : "", "parse-names" : false, "suffix" : "" }, { "dropping-particle" : "", "family" : "Holl", "given" : "J", "non-dropping-particle" : "", "parse-names" : false, "suffix" : "" }, { "dropping-particle" : "", "family" : "Deibert", "given" : "P", "non-dropping-particle" : "", "parse-names" : false, "suffix" : "" }, { "dropping-particle" : "", "family" : "Olschewski", "given" : "M", "non-dropping-particle" : "", "parse-names" : false, "suffix" : "" }, { "dropping-particle" : "", "family" : "Reiser", "given" : "M", "non-dropping-particle" : "", "parse-names" : false, "suffix" : "" }, { "dropping-particle" : "", "family" : "Gerbes", "given" : "A L", "non-dropping-particle" : "", "parse-names" : false, "suffix" : "" } ], "container-title" : "New England Journal of Medicine", "id" : "ITEM-1", "issue" : "23", "issued" : { "date-parts" : [ [ "2000" ] ] }, "page" : "1701-1707", "title" : "A comparison of paracentesis and transjugular intrahepatic portosystemic shunting in patients with ascites", "type" : "article-journal", "volume" : "342" }, "uris" : [ "http://www.mendeley.com/documents/?uuid=bf667936-d90a-484c-b6ae-aa2143938792" ] } ], "mendeley" : { "formattedCitation" : "&lt;sup&gt;[44]&lt;/sup&gt;", "plainTextFormattedCitation" : "[44]", "previouslyFormattedCitation" : "&lt;sup&gt;[44]&lt;/sup&gt;" }, "properties" : { "noteIndex" : 0 }, "schema" : "https://github.com/citation-style-language/schema/raw/master/csl-citation.json" }</w:instrText>
      </w:r>
      <w:r w:rsidR="002E2EA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[44]</w:t>
      </w:r>
      <w:r w:rsidR="002E2EAB" w:rsidRPr="00787839">
        <w:rPr>
          <w:rFonts w:ascii="Book Antiqua" w:hAnsi="Book Antiqua"/>
          <w:sz w:val="24"/>
          <w:szCs w:val="24"/>
          <w:vertAlign w:val="superscript"/>
        </w:rPr>
        <w:fldChar w:fldCharType="end"/>
      </w:r>
      <w:r w:rsidR="005B1D28" w:rsidRPr="00787839">
        <w:rPr>
          <w:rFonts w:ascii="Book Antiqua" w:hAnsi="Book Antiqua"/>
          <w:sz w:val="24"/>
          <w:szCs w:val="24"/>
        </w:rPr>
        <w:t xml:space="preserve">. </w:t>
      </w:r>
      <w:r w:rsidRPr="00787839">
        <w:rPr>
          <w:rFonts w:ascii="Book Antiqua" w:hAnsi="Book Antiqua"/>
          <w:sz w:val="24"/>
          <w:szCs w:val="24"/>
        </w:rPr>
        <w:t xml:space="preserve">A recent trial also showed improved survival in </w:t>
      </w:r>
      <w:r w:rsidR="00456EDC" w:rsidRPr="00787839">
        <w:rPr>
          <w:rFonts w:ascii="Book Antiqua" w:hAnsi="Book Antiqua"/>
          <w:sz w:val="24"/>
          <w:szCs w:val="24"/>
        </w:rPr>
        <w:t>the</w:t>
      </w:r>
      <w:r w:rsidRPr="00787839">
        <w:rPr>
          <w:rFonts w:ascii="Book Antiqua" w:hAnsi="Book Antiqua"/>
          <w:sz w:val="24"/>
          <w:szCs w:val="24"/>
        </w:rPr>
        <w:t xml:space="preserve"> group of patients who received a TIPS, on top of reduced risk of recurrent ascites</w:t>
      </w:r>
      <w:r w:rsidR="00BD0228" w:rsidRPr="00787839">
        <w:rPr>
          <w:rFonts w:ascii="Book Antiqua" w:hAnsi="Book Antiqua"/>
          <w:sz w:val="24"/>
          <w:szCs w:val="24"/>
        </w:rPr>
        <w:t>.</w:t>
      </w:r>
      <w:r w:rsidR="002E2EAB" w:rsidRPr="00787839">
        <w:rPr>
          <w:rFonts w:ascii="Book Antiqua" w:hAnsi="Book Antiqua"/>
          <w:sz w:val="24"/>
          <w:szCs w:val="24"/>
        </w:rPr>
        <w:fldChar w:fldCharType="begin" w:fldLock="1"/>
      </w:r>
      <w:r w:rsidR="0030026A" w:rsidRPr="00787839">
        <w:rPr>
          <w:rFonts w:ascii="Book Antiqua" w:hAnsi="Book Antiqua"/>
          <w:sz w:val="24"/>
          <w:szCs w:val="24"/>
        </w:rPr>
        <w:instrText>ADDIN CSL_CITATION { "citationItems" : [ { "id" : "ITEM-1", "itemData" : { "DOI" : "10.1056/NEJM200006083422303", "ISBN" : "0028-4793 (Print) 0028-4793 (Linking)", "ISSN" : "0028-4793 (Print)", "PMID" : "10841872", "abstract" : "BACKGROUND: In patients with cirrhosis and ascites, creation of a transjugular intrahepatic portosystemic shunt may reduce the ascites and improve renal function. However, the benefit of this procedure as compared with that of large-volume paracentesis is uncertain. METHODS: We randomly assigned 60 patients with cirrhosis and refractory or recurrent ascites (Child-Pugh class B in 42 patients and class C in 18 patients) to treatment with a transjugular shunt (29 patients) or large-volume paracentesis (31 patients). The mean (+/-SD) duration of follow-up was 45+/-16 months among those assigned to shunting and 44+/-18 months among those assigned to paracentesis. The primary outcome was survival without liver transplantation. RESULTS: Among the patients in the shunt group, 15 died and 1 underwent liver transplantation during the study period, as compared with 23 patients and 2 patients, respectively, in the paracentesis group. The probability of survival without liver transplantation was 69 percent at one year and 58 percent at two years in the shunt group, as compared with 52 percent and 32 percent in the paracentesis group (P=0.11 for the overall comparison, by the log-rank test). In a multivariate analysis, treatment with transjugular shunting was independently associated with survival without the need for transplantation (P=0.02). At three months, 61 percent of the patients in the shunt group and 18 percent of those in the paracentesis group had no ascites (P=0.006). The frequency of hepatic encephalopathy was similar in the two groups. Of the patients assigned to paracentesis in whom this procedure was unsuccessful, 10 received a transjugular shunt a mean of 5.5+/-4 months after randomization; 4 had a response to this rescue treatment. CONCLUSIONS: In comparison with large-volume paracentesis, the creation of a transjugular intrahepatic portosystemic shunt can improve the chance of survival without liver transplantation in patients with refractory or recurrent ascites.", "author" : [ { "dropping-particle" : "", "family" : "R\u00f6ssle", "given" : "M", "non-dropping-particle" : "", "parse-names" : false, "suffix" : "" }, { "dropping-particle" : "", "family" : "Ochs", "given" : "A", "non-dropping-particle" : "", "parse-names" : false, "suffix" : "" }, { "dropping-particle" : "", "family" : "G\u00fclberg", "given" : "V", "non-dropping-particle" : "", "parse-names" : false, "suffix" : "" }, { "dropping-particle" : "", "family" : "Siegerstetter", "given" : "V", "non-dropping-particle" : "", "parse-names" : false, "suffix" : "" }, { "dropping-particle" : "", "family" : "Holl", "given" : "J", "non-dropping-particle" : "", "parse-names" : false, "suffix" : "" }, { "dropping-particle" : "", "family" : "Deibert", "given" : "P", "non-dropping-particle" : "", "parse-names" : false, "suffix" : "" }, { "dropping-particle" : "", "family" : "Olschewski", "given" : "M", "non-dropping-particle" : "", "parse-names" : false, "suffix" : "" }, { "dropping-particle" : "", "family" : "Reiser", "given" : "M", "non-dropping-particle" : "", "parse-names" : false, "suffix" : "" }, { "dropping-particle" : "", "family" : "Gerbes", "given" : "A L", "non-dropping-particle" : "", "parse-names" : false, "suffix" : "" }, { "dropping-particle" : "", "family" : "Rossle", "given" : "M", "non-dropping-particle" : "", "parse-names" : false, "suffix" : "" }, { "dropping-particle" : "", "family" : "Ochs", "given" : "A", "non-dropping-particle" : "", "parse-names" : false, "suffix" : "" }, { "dropping-particle" : "", "family" : "Gulberg", "given" : "V", "non-dropping-particle" : "", "parse-names" : false, "suffix" : "" }, { "dropping-particle" : "", "family" : "Siegerstetter", "given" : "V", "non-dropping-particle" : "", "parse-names" : false, "suffix" : "" }, { "dropping-particle" : "", "family" : "Holl", "given" : "J", "non-dropping-particle" : "", "parse-names" : false, "suffix" : "" }, { "dropping-particle" : "", "family" : "Deibert", "given" : "P", "non-dropping-particle" : "", "parse-names" : false, "suffix" : "" }, { "dropping-particle" : "", "family" : "Olschewski", "given" : "M", "non-dropping-particle" : "", "parse-names" : false, "suffix" : "" }, { "dropping-particle" : "", "family" : "Reiser", "given" : "M", "non-dropping-particle" : "", "parse-names" : false, "suffix" : "" }, { "dropping-particle" : "", "family" : "Gerbes", "given" : "A L", "non-dropping-particle" : "", "parse-names" : false, "suffix" : "" } ], "container-title" : "New England Journal of Medicine", "id" : "ITEM-1", "issue" : "23", "issued" : { "date-parts" : [ [ "2000" ] ] }, "page" : "1701-1707", "title" : "A comparison of paracentesis and transjugular intrahepatic portosystemic shunting in patients with ascites", "type" : "article-journal", "volume" : "342" }, "uris" : [ "http://www.mendeley.com/documents/?uuid=bf667936-d90a-484c-b6ae-aa2143938792" ] }, { "id" : "ITEM-2", "itemData" : { "DOI" : "10.1007/s00535-010-0282-9", "ISBN" : "1435-5922 (Electronic) 0944-1174 (Linking)", "ISSN" : "09441174", "PMID" : "20632194", "abstract" : "BACKGROUND: Transjugular intrahepatic portosystemic shunt (TIPS) has recently been reported to be effective in the treatment of cirrhotic patients with refractory ascites. However, the clinical utility of TIPS in the subset of refractory ascitic patients with good hepatic and renal function is uncertain. The aim of this study was to compare the efficacy of TIPS to that of large-volume paracentesis in cirrhotic patients with refractory ascites who have good hepatic and renal function. METHODS: Sixty cirrhotic patients with refractory ascites who presented with a Child-Pugh score of &lt;11, serum bilirubin of &lt;3 mg/dl and creatinine of &lt;1.9 mg/dl were assigned randomly to TIPS (n = 30) or large-volume paracentesis plus albumin (n = 30). The primary endpoint was survival. The secondary endpoints were response to treatment and development of hepatic encephalopathy. RESULTS: The baseline characteristics were similar in the two groups. Seventeen patients treated with TIPS and 21 treated with paracentesis died during the study period. The cumulative probabilities of survival at 1 and 2 years were 80 and 64% in the TIPS group and 49 and 35% in the paracentesis group (p &lt; 0.005). TIPS was significantly superior to paracentesis in the control of ascites (p &lt; 0.005). Treatment failure was more frequent in the paracentesis group, whereas the frequency of hepatic encephalopathy was greater in the TIPS group. CONCLUSIONS: In cirrhotic patients with refractory ascites who have good hepatic and renal function, TIPS improves survival and provides better control of ascites than large-volume paracentesis.", "author" : [ { "dropping-particle" : "", "family" : "Narahara", "given" : "Y", "non-dropping-particle" : "", "parse-names" : false, "suffix" : "" }, { "dropping-particle" : "", "family" : "Kanazawa", "given" : "H", "non-dropping-particle" : "", "parse-names" : false, "suffix" : "" }, { "dropping-particle" : "", "family" : "Fukuda", "given" : "T", "non-dropping-particle" : "", "parse-names" : false, "suffix" : "" }, { "dropping-particle" : "", "family" : "Matsushita", "given" : "Y", "non-dropping-particle" : "", "parse-names" : false, "suffix" : "" }, { "dropping-particle" : "", "family" : "Harimoto", "given" : "H", "non-dropping-particle" : "", "parse-names" : false, "suffix" : "" }, { "dropping-particle" : "", "family" : "Kidokoro", "given" : "H", "non-dropping-particle" : "", "parse-names" : false, "suffix" : "" }, { "dropping-particle" : "", "family" : "Katakura", "given" : "T", "non-dropping-particle" : "", "parse-names" : false, "suffix" : "" }, { "dropping-particle" : "", "family" : "Atsukawa", "given" : "M", "non-dropping-particle" : "", "parse-names" : false, "suffix" : "" }, { "dropping-particle" : "", "family" : "Taki", "given" : "Y", "non-dropping-particle" : "", "parse-names" : false, "suffix" : "" }, { "dropping-particle" : "", "family" : "Kimura", "given" : "Y", "non-dropping-particle" : "", "parse-names" : false, "suffix" : "" }, { "dropping-particle" : "", "family" : "Nakatsuka", "given" : "K", "non-dropping-particle" : "", "parse-names" : false, "suffix" : "" }, { "dropping-particle" : "", "family" : "Sakamoto", "given" : "C", "non-dropping-particle" : "", "parse-names" : false, "suffix" : "" } ], "container-title" : "J Gastroenterol", "id" : "ITEM-2", "issue" : "1", "issued" : { "date-parts" : [ [ "2011" ] ] }, "page" : "78-85", "title" : "Transjugular intrahepatic portosystemic shunt versus paracentesis plus albumin in patients with refractory ascites who have good hepatic and renal function: a prospective randomized trial", "type" : "article-journal", "volume" : "46" }, "uris" : [ "http://www.mendeley.com/documents/?uuid=511024f7-bea6-4347-99a8-60faf9ee11b6" ] } ], "mendeley" : { "formattedCitation" : "&lt;sup&gt;[44,45]&lt;/sup&gt;", "plainTextFormattedCitation" : "[44,45]", "previouslyFormattedCitation" : "&lt;sup&gt;[44,45]&lt;/sup&gt;" }, "properties" : { "noteIndex" : 0 }, "schema" : "https://github.com/citation-style-language/schema/raw/master/csl-citation.json" }</w:instrText>
      </w:r>
      <w:r w:rsidR="002E2EAB" w:rsidRPr="00787839">
        <w:rPr>
          <w:rFonts w:ascii="Book Antiqua" w:hAnsi="Book Antiqua"/>
          <w:sz w:val="24"/>
          <w:szCs w:val="24"/>
        </w:rPr>
        <w:fldChar w:fldCharType="separate"/>
      </w:r>
      <w:r w:rsidR="0030026A" w:rsidRPr="00787839">
        <w:rPr>
          <w:rFonts w:ascii="Book Antiqua" w:hAnsi="Book Antiqua"/>
          <w:noProof/>
          <w:sz w:val="24"/>
          <w:szCs w:val="24"/>
          <w:vertAlign w:val="superscript"/>
        </w:rPr>
        <w:t>[44,45]</w:t>
      </w:r>
      <w:r w:rsidR="002E2EAB" w:rsidRPr="00787839">
        <w:rPr>
          <w:rFonts w:ascii="Book Antiqua" w:hAnsi="Book Antiqua"/>
          <w:sz w:val="24"/>
          <w:szCs w:val="24"/>
        </w:rPr>
        <w:fldChar w:fldCharType="end"/>
      </w:r>
      <w:r w:rsidR="00403102" w:rsidRPr="00787839">
        <w:rPr>
          <w:rFonts w:ascii="Book Antiqua" w:hAnsi="Book Antiqua"/>
          <w:sz w:val="24"/>
          <w:szCs w:val="24"/>
        </w:rPr>
        <w:t xml:space="preserve"> </w:t>
      </w:r>
      <w:r w:rsidRPr="00787839">
        <w:rPr>
          <w:rFonts w:ascii="Book Antiqua" w:hAnsi="Book Antiqua"/>
          <w:sz w:val="24"/>
          <w:szCs w:val="24"/>
        </w:rPr>
        <w:t>Despite limited evidence, TIPS has</w:t>
      </w:r>
      <w:r w:rsidR="0034143B" w:rsidRPr="00787839">
        <w:rPr>
          <w:rFonts w:ascii="Book Antiqua" w:hAnsi="Book Antiqua"/>
          <w:sz w:val="24"/>
          <w:szCs w:val="24"/>
        </w:rPr>
        <w:t xml:space="preserve"> also</w:t>
      </w:r>
      <w:r w:rsidRPr="00787839">
        <w:rPr>
          <w:rFonts w:ascii="Book Antiqua" w:hAnsi="Book Antiqua"/>
          <w:sz w:val="24"/>
          <w:szCs w:val="24"/>
        </w:rPr>
        <w:t xml:space="preserve"> found a wider clinical use than just secondary prevention of variceal bleeding and treatment of refractory ascites. </w:t>
      </w:r>
      <w:r w:rsidR="00480724" w:rsidRPr="00787839">
        <w:rPr>
          <w:rFonts w:ascii="Book Antiqua" w:hAnsi="Book Antiqua"/>
          <w:sz w:val="24"/>
          <w:szCs w:val="24"/>
        </w:rPr>
        <w:t>Additional indications include:</w:t>
      </w:r>
      <w:r w:rsidR="00D909EF" w:rsidRPr="00787839">
        <w:rPr>
          <w:rFonts w:ascii="Book Antiqua" w:hAnsi="Book Antiqua"/>
          <w:sz w:val="24"/>
          <w:szCs w:val="24"/>
        </w:rPr>
        <w:t xml:space="preserve"> hydrothorax, acute gastropathy, hepatorenal syndrome, Budd-Chiari Syndrome and hepatorenal syndrome</w:t>
      </w:r>
      <w:r w:rsidR="0034143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"10.1148/rg.335125166", "PMID" : "24025936", "abstract" : "Management of clinically important sequelae of portal hypertension, such as variceal bleeding and ascites, may involve a combination of medical, endoscopic, surgical, and interventional approaches and procedures. Although clinically significant esophageal and rectal varices are typically visible endoscopically, ectopic varices may require multiplanar portal venous phase computed tomography or magnetic resonance imaging for diagnosis. A detailed understanding of individual vascular anatomy, flow dynamics, and patient-related factors such as cardiac and hepatic status is necessary for appropriate treatment selection in patients with complicated portal hypertension. The hepatic venous pressure gradient is the key indirect measurement of portal venous pressure. Transjugular intrahepatic portosystemic shunt (TIPS) placement is regarded as the archetypal intervention for treating complicated portal hypertension by reducing portal pressure. Various modifications, such as direct portocaval shunt, may be used in patients with challenging vascular anatomy. A subset of patients with obstructed hepatic venous outflow or portal venous inflow should be considered for recanalization. Splenic artery embolization may be considered for reduction of portal pressure in selected patients, particularly when hypersplenism or splenic vein occlusion is a prominent feature. Gastric and ectopic varices may bleed even when the portal pressure is low, and balloon-occluded retrograde transvenous obliteration (BRTO) in such patients may lead to equal or improved outcome compared with TIPS placement. BRTO is not limited by poor hepatic reserve or encephalopathy; however, it does not reduce portal pressure and may aggravate esophageal varices. Interventional radiology plays an important role in maintaining the patency of surgically created portosystemic shunts, and it remains at the forefront of new approaches in shunt design and placement. Supplemental material available at http://radiographics.rsna.org/lookup/suppl/doi:10.1148/rg.335125166/-/DC1.", "author" : [ { "dropping-particle" : "", "family" : "Kirby", "given" : "John Martin", "non-dropping-particle" : "", "parse-names" : false, "suffix" : "" }, { "dropping-particle" : "", "family" : "Cho", "given" : "Kyung J", "non-dropping-particle" : "", "parse-names" : false, "suffix" : "" }, { "dropping-particle" : "", "family" : "Midia", "given" : "Mehran", "non-dropping-particle" : "", "parse-names" : false, "suffix" : "" } ], "container-title" : "Radiographics", "id" : "ITEM-1", "issue" : "5", "issued" : { "date-parts" : [ [ "2013" ] ] }, "page" : "1473-1496", "publisher-place" : "Department of Radiology, McMaster University Medical Center, Hamilton Health Sciences, Hamilton, Ontario, Canada.", "title" : "Image-guided intervention in management of complications of portal hypertension: more than TIPS for success.", "type" : "article-journal", "volume" : "33" }, "uris" : [ "http://www.mendeley.com/documents/?uuid=e300337b-d31c-4eaf-9544-bda0de1d636d" ] } ], "mendeley" : { "formattedCitation" : "&lt;sup&gt;[39]&lt;/sup&gt;", "plainTextFormattedCitation" : "[39]", "previouslyFormattedCitation" : "&lt;sup&gt;[39]&lt;/sup&gt;" }, "properties" : { "noteIndex" : 0 }, "schema" : "https://github.com/citation-style-language/schema/raw/master/csl-citation.json" }</w:instrText>
      </w:r>
      <w:r w:rsidR="0034143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[39]</w:t>
      </w:r>
      <w:r w:rsidR="0034143B" w:rsidRPr="00787839">
        <w:rPr>
          <w:rFonts w:ascii="Book Antiqua" w:hAnsi="Book Antiqua"/>
          <w:sz w:val="24"/>
          <w:szCs w:val="24"/>
          <w:vertAlign w:val="superscript"/>
        </w:rPr>
        <w:fldChar w:fldCharType="end"/>
      </w:r>
      <w:r w:rsidR="00BD0228" w:rsidRPr="00787839">
        <w:rPr>
          <w:rFonts w:ascii="Book Antiqua" w:hAnsi="Book Antiqua"/>
          <w:sz w:val="24"/>
          <w:szCs w:val="24"/>
        </w:rPr>
        <w:t>.</w:t>
      </w:r>
    </w:p>
    <w:p w14:paraId="3926A488" w14:textId="6AA68030" w:rsidR="00F14A23" w:rsidRPr="00787839" w:rsidRDefault="00D6404A" w:rsidP="00787839">
      <w:pPr>
        <w:pStyle w:val="Body1"/>
        <w:adjustRightInd w:val="0"/>
        <w:snapToGrid w:val="0"/>
        <w:spacing w:after="0" w:line="360" w:lineRule="auto"/>
        <w:ind w:firstLineChars="100" w:firstLine="240"/>
        <w:rPr>
          <w:rFonts w:ascii="Book Antiqua" w:hAnsi="Book Antiqua"/>
          <w:sz w:val="24"/>
          <w:szCs w:val="24"/>
        </w:rPr>
      </w:pPr>
      <w:r w:rsidRPr="00787839">
        <w:rPr>
          <w:rFonts w:ascii="Book Antiqua" w:hAnsi="Book Antiqua"/>
          <w:sz w:val="24"/>
          <w:szCs w:val="24"/>
        </w:rPr>
        <w:t>Disadvantages of TIPS include:</w:t>
      </w:r>
      <w:r w:rsidR="0065476C" w:rsidRPr="00787839">
        <w:rPr>
          <w:rFonts w:ascii="Book Antiqua" w:hAnsi="Book Antiqua"/>
          <w:sz w:val="24"/>
          <w:szCs w:val="24"/>
        </w:rPr>
        <w:t xml:space="preserve"> deterioration of hepatic function caused by diversion of portal venous blood flow and shunt dysfunction, requiring routine imaging surveillance and shunt maintenance procedures. TIPS is contraindicated in patients with congestive heart failure, severe pulmonary hypertension, severe tricuspid regurgitation, </w:t>
      </w:r>
      <w:r w:rsidR="00E26174" w:rsidRPr="00787839">
        <w:rPr>
          <w:rFonts w:ascii="Book Antiqua" w:hAnsi="Book Antiqua"/>
          <w:sz w:val="24"/>
          <w:szCs w:val="24"/>
        </w:rPr>
        <w:t xml:space="preserve">and </w:t>
      </w:r>
      <w:r w:rsidR="0065476C" w:rsidRPr="00787839">
        <w:rPr>
          <w:rFonts w:ascii="Book Antiqua" w:hAnsi="Book Antiqua"/>
          <w:sz w:val="24"/>
          <w:szCs w:val="24"/>
        </w:rPr>
        <w:t>hepatic failure</w:t>
      </w:r>
      <w:r w:rsidR="0034143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"10.1148/rg.335125166", "PMID" : "24025936", "abstract" : "Management of clinically important sequelae of portal hypertension, such as variceal bleeding and ascites, may involve a combination of medical, endoscopic, surgical, and interventional approaches and procedures. Although clinically significant esophageal and rectal varices are typically visible endoscopically, ectopic varices may require multiplanar portal venous phase computed tomography or magnetic resonance imaging for diagnosis. A detailed understanding of individual vascular anatomy, flow dynamics, and patient-related factors such as cardiac and hepatic status is necessary for appropriate treatment selection in patients with complicated portal hypertension. The hepatic venous pressure gradient is the key indirect measurement of portal venous pressure. Transjugular intrahepatic portosystemic shunt (TIPS) placement is regarded as the archetypal intervention for treating complicated portal hypertension by reducing portal pressure. Various modifications, such as direct portocaval shunt, may be used in patients with challenging vascular anatomy. A subset of patients with obstructed hepatic venous outflow or portal venous inflow should be considered for recanalization. Splenic artery embolization may be considered for reduction of portal pressure in selected patients, particularly when hypersplenism or splenic vein occlusion is a prominent feature. Gastric and ectopic varices may bleed even when the portal pressure is low, and balloon-occluded retrograde transvenous obliteration (BRTO) in such patients may lead to equal or improved outcome compared with TIPS placement. BRTO is not limited by poor hepatic reserve or encephalopathy; however, it does not reduce portal pressure and may aggravate esophageal varices. Interventional radiology plays an important role in maintaining the patency of surgically created portosystemic shunts, and it remains at the forefront of new approaches in shunt design and placement. Supplemental material available at http://radiographics.rsna.org/lookup/suppl/doi:10.1148/rg.335125166/-/DC1.", "author" : [ { "dropping-particle" : "", "family" : "Kirby", "given" : "John Martin", "non-dropping-particle" : "", "parse-names" : false, "suffix" : "" }, { "dropping-particle" : "", "family" : "Cho", "given" : "Kyung J", "non-dropping-particle" : "", "parse-names" : false, "suffix" : "" }, { "dropping-particle" : "", "family" : "Midia", "given" : "Mehran", "non-dropping-particle" : "", "parse-names" : false, "suffix" : "" } ], "container-title" : "Radiographics", "id" : "ITEM-1", "issue" : "5", "issued" : { "date-parts" : [ [ "2013" ] ] }, "page" : "1473-1496", "publisher-place" : "Department of Radiology, McMaster University Medical Center, Hamilton Health Sciences, Hamilton, Ontario, Canada.", "title" : "Image-guided intervention in management of complications of portal hypertension: more than TIPS for success.", "type" : "article-journal", "volume" : "33" }, "uris" : [ "http://www.mendeley.com/documents/?uuid=e300337b-d31c-4eaf-9544-bda0de1d636d" ] } ], "mendeley" : { "formattedCitation" : "&lt;sup&gt;[39]&lt;/sup&gt;", "plainTextFormattedCitation" : "[39]", "previouslyFormattedCitation" : "&lt;sup&gt;[39]&lt;/sup&gt;" }, "properties" : { "noteIndex" : 0 }, "schema" : "https://github.com/citation-style-language/schema/raw/master/csl-citation.json" }</w:instrText>
      </w:r>
      <w:r w:rsidR="0034143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[39]</w:t>
      </w:r>
      <w:r w:rsidR="0034143B" w:rsidRPr="00787839">
        <w:rPr>
          <w:rFonts w:ascii="Book Antiqua" w:hAnsi="Book Antiqua"/>
          <w:sz w:val="24"/>
          <w:szCs w:val="24"/>
          <w:vertAlign w:val="superscript"/>
        </w:rPr>
        <w:fldChar w:fldCharType="end"/>
      </w:r>
      <w:r w:rsidR="00BD0228" w:rsidRPr="00787839">
        <w:rPr>
          <w:rFonts w:ascii="Book Antiqua" w:hAnsi="Book Antiqua"/>
          <w:sz w:val="24"/>
          <w:szCs w:val="24"/>
        </w:rPr>
        <w:t xml:space="preserve">. </w:t>
      </w:r>
      <w:r w:rsidR="00E26174" w:rsidRPr="00787839">
        <w:rPr>
          <w:rFonts w:ascii="Book Antiqua" w:hAnsi="Book Antiqua"/>
          <w:sz w:val="24"/>
          <w:szCs w:val="24"/>
        </w:rPr>
        <w:t>Moreover, creating an unimpeded shunt to carry un-detoxified blood to systemic circulation may result</w:t>
      </w:r>
      <w:r w:rsidR="000E41AF" w:rsidRPr="00787839">
        <w:rPr>
          <w:rFonts w:ascii="Book Antiqua" w:hAnsi="Book Antiqua"/>
          <w:sz w:val="24"/>
          <w:szCs w:val="24"/>
        </w:rPr>
        <w:t xml:space="preserve"> in</w:t>
      </w:r>
      <w:r w:rsidR="00E26174" w:rsidRPr="00787839">
        <w:rPr>
          <w:rFonts w:ascii="Book Antiqua" w:hAnsi="Book Antiqua"/>
          <w:sz w:val="24"/>
          <w:szCs w:val="24"/>
        </w:rPr>
        <w:t xml:space="preserve"> worsening of existing hepatic encephalopathy</w:t>
      </w:r>
      <w:r w:rsidR="00E26174" w:rsidRPr="00787839">
        <w:rPr>
          <w:rFonts w:ascii="Book Antiqua" w:hAnsi="Book Antiqua"/>
          <w:sz w:val="24"/>
          <w:szCs w:val="24"/>
        </w:rPr>
        <w:fldChar w:fldCharType="begin" w:fldLock="1"/>
      </w:r>
      <w:r w:rsidR="0030026A" w:rsidRPr="00787839">
        <w:rPr>
          <w:rFonts w:ascii="Book Antiqua" w:hAnsi="Book Antiqua"/>
          <w:sz w:val="24"/>
          <w:szCs w:val="24"/>
        </w:rPr>
        <w:instrText>ADDIN CSL_CITATION { "citationItems" : [ { "id" : "ITEM-1", "itemData" : { "DOI" : "10.1148/radiology.165.3.3685350", "ISSN" : "0033-8419", "PMID" : "3685350", "abstract" : "Operative ligation of portosystemic shunts is effective in controlling chronic portosystemic encephalopathy (CPSE) but is associated with significant mortality. Review of the records of five patients with CPSE treated with radiologic occlusion procedures showed that these are suitable alternatives to surgery. Three patients had alcoholic cirrhosis, one had hepatic fibrosis from schistosomiasis, and one had post-necrotic cirrhosis. All had CPSE with progressive, severe cerebral impairment refractory to clinical treatment. Four patients had a spontaneous splenorenal shunt, and one had a surgically created mesocaval shunt (MCS). Partial splenic embolization was performed in two patients, direct shunt embolization was performed via percutaneous transhepatic portography in two other patients, and an MCS embolization was performed in one patient through the inferior vena cava. In four patients embolization controlled the CPSE. In the remaining patient it could not be evaluated because of his premature death from intraabdominal bleeding, a late complication of the procedure. Interventional radiologic procedures are effective in the control of CPSE in selected patients.", "author" : [ { "dropping-particle" : "", "family" : "Uflacker", "given" : "R", "non-dropping-particle" : "", "parse-names" : false, "suffix" : "" }, { "dropping-particle" : "", "family" : "Silva", "given" : "A de O", "non-dropping-particle" : "", "parse-names" : false, "suffix" : "" }, { "dropping-particle" : "", "family" : "d'Albuquerque", "given" : "L A", "non-dropping-particle" : "", "parse-names" : false, "suffix" : "" }, { "dropping-particle" : "", "family" : "Piske", "given" : "R L", "non-dropping-particle" : "", "parse-names" : false, "suffix" : "" }, { "dropping-particle" : "", "family" : "Mour\u00e3o", "given" : "G S", "non-dropping-particle" : "", "parse-names" : false, "suffix" : "" } ], "container-title" : "Radiology", "id" : "ITEM-1", "issue" : "3", "issued" : { "date-parts" : [ [ "1987", "12", "1" ] ] }, "language" : "en", "page" : "721-5", "title" : "Chronic portosystemic encephalopathy: embolization of portosystemic shunts.", "type" : "article-journal", "volume" : "165" }, "uris" : [ "http://www.mendeley.com/documents/?uuid=e0bbf4d7-d503-414d-98d3-df507b1f613b" ] } ], "mendeley" : { "formattedCitation" : "&lt;sup&gt;[46]&lt;/sup&gt;", "plainTextFormattedCitation" : "[46]", "previouslyFormattedCitation" : "&lt;sup&gt;[46]&lt;/sup&gt;" }, "properties" : { "noteIndex" : 0 }, "schema" : "https://github.com/citation-style-language/schema/raw/master/csl-citation.json" }</w:instrText>
      </w:r>
      <w:r w:rsidR="00E26174" w:rsidRPr="00787839">
        <w:rPr>
          <w:rFonts w:ascii="Book Antiqua" w:hAnsi="Book Antiqua"/>
          <w:sz w:val="24"/>
          <w:szCs w:val="24"/>
        </w:rPr>
        <w:fldChar w:fldCharType="separate"/>
      </w:r>
      <w:r w:rsidR="0030026A" w:rsidRPr="00787839">
        <w:rPr>
          <w:rFonts w:ascii="Book Antiqua" w:hAnsi="Book Antiqua"/>
          <w:noProof/>
          <w:sz w:val="24"/>
          <w:szCs w:val="24"/>
          <w:vertAlign w:val="superscript"/>
        </w:rPr>
        <w:t>[46]</w:t>
      </w:r>
      <w:r w:rsidR="00E26174" w:rsidRPr="00787839">
        <w:rPr>
          <w:rFonts w:ascii="Book Antiqua" w:hAnsi="Book Antiqua"/>
          <w:sz w:val="24"/>
          <w:szCs w:val="24"/>
        </w:rPr>
        <w:fldChar w:fldCharType="end"/>
      </w:r>
      <w:r w:rsidR="00C341B1" w:rsidRPr="00787839">
        <w:rPr>
          <w:rFonts w:ascii="Book Antiqua" w:hAnsi="Book Antiqua"/>
          <w:sz w:val="24"/>
          <w:szCs w:val="24"/>
        </w:rPr>
        <w:t>.</w:t>
      </w:r>
      <w:r w:rsidR="00E26174" w:rsidRPr="00787839">
        <w:rPr>
          <w:rFonts w:ascii="Book Antiqua" w:hAnsi="Book Antiqua"/>
          <w:sz w:val="24"/>
          <w:szCs w:val="24"/>
        </w:rPr>
        <w:t xml:space="preserve"> </w:t>
      </w:r>
    </w:p>
    <w:p w14:paraId="21130A6A" w14:textId="375B8040" w:rsidR="000F3462" w:rsidRPr="00787839" w:rsidRDefault="00555094" w:rsidP="00787839">
      <w:pPr>
        <w:pStyle w:val="Body1"/>
        <w:adjustRightInd w:val="0"/>
        <w:snapToGrid w:val="0"/>
        <w:spacing w:after="0" w:line="360" w:lineRule="auto"/>
        <w:ind w:firstLineChars="100" w:firstLine="240"/>
        <w:rPr>
          <w:rFonts w:ascii="Book Antiqua" w:hAnsi="Book Antiqua"/>
          <w:sz w:val="24"/>
          <w:szCs w:val="24"/>
        </w:rPr>
      </w:pPr>
      <w:r w:rsidRPr="00787839">
        <w:rPr>
          <w:rFonts w:ascii="Book Antiqua" w:hAnsi="Book Antiqua"/>
          <w:sz w:val="24"/>
          <w:szCs w:val="24"/>
        </w:rPr>
        <w:t xml:space="preserve">Direct intrahepatic portocaval shunt (DIPS) is </w:t>
      </w:r>
      <w:r w:rsidR="00D232D3" w:rsidRPr="00787839">
        <w:rPr>
          <w:rFonts w:ascii="Book Antiqua" w:hAnsi="Book Antiqua"/>
          <w:sz w:val="24"/>
          <w:szCs w:val="24"/>
        </w:rPr>
        <w:t xml:space="preserve">a variation </w:t>
      </w:r>
      <w:r w:rsidRPr="00787839">
        <w:rPr>
          <w:rFonts w:ascii="Book Antiqua" w:hAnsi="Book Antiqua"/>
          <w:sz w:val="24"/>
          <w:szCs w:val="24"/>
        </w:rPr>
        <w:t xml:space="preserve">of the </w:t>
      </w:r>
      <w:r w:rsidR="0034143B" w:rsidRPr="00787839">
        <w:rPr>
          <w:rFonts w:ascii="Book Antiqua" w:hAnsi="Book Antiqua"/>
          <w:sz w:val="24"/>
          <w:szCs w:val="24"/>
        </w:rPr>
        <w:t xml:space="preserve">TIPS procedure, where </w:t>
      </w:r>
      <w:r w:rsidR="00A9061B" w:rsidRPr="00787839">
        <w:rPr>
          <w:rFonts w:ascii="Book Antiqua" w:hAnsi="Book Antiqua"/>
          <w:sz w:val="24"/>
          <w:szCs w:val="24"/>
        </w:rPr>
        <w:t xml:space="preserve">intravascular ultrasound (IVUS) is utilized to assist </w:t>
      </w:r>
      <w:r w:rsidR="00A81124" w:rsidRPr="00787839">
        <w:rPr>
          <w:rFonts w:ascii="Book Antiqua" w:hAnsi="Book Antiqua"/>
          <w:sz w:val="24"/>
          <w:szCs w:val="24"/>
        </w:rPr>
        <w:t xml:space="preserve">in the transhepatic puncture, passing </w:t>
      </w:r>
      <w:r w:rsidR="002F5290" w:rsidRPr="00787839">
        <w:rPr>
          <w:rFonts w:ascii="Book Antiqua" w:hAnsi="Book Antiqua"/>
          <w:sz w:val="24"/>
          <w:szCs w:val="24"/>
        </w:rPr>
        <w:t xml:space="preserve">directly </w:t>
      </w:r>
      <w:r w:rsidR="00A81124" w:rsidRPr="00787839">
        <w:rPr>
          <w:rFonts w:ascii="Book Antiqua" w:hAnsi="Book Antiqua"/>
          <w:sz w:val="24"/>
          <w:szCs w:val="24"/>
        </w:rPr>
        <w:t>from the IVC to the portal vein, through the caudate lobe</w:t>
      </w:r>
      <w:r w:rsidR="0034143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"10.1053/j.tvir.2009.04.006", "ISBN" : "10892516 (ISSN)", "ISSN" : "10892516", "PMID" : "19527850", "abstract" : "The direct intrahepatic portacaval shunt (DIPS) is a modification of the TIPS procedure, using intravascular ultrasound-guidance, combined with fluoroscopy. The DIPS procedure was initially conceived to increase the durability of shunt patency and extend the spectrum of patients with portal hypertension for whom endovascular portocaval shunting can be performed. The DIPS procedure involves intravascular ultrasound-guided puncture from the inferior vena cava to the portal vein through the caudate lobe of the liver. The shunt is completed with a polytetrafluoroethylene-covered stent graft. This article describes the indications, technique, and outcomes of the DIPS procedure to enable the interventional radiologist currently experienced with TIPS to incorporate this procedure into their practice. ?? 2008 Elsevier Inc. All rights reserved.", "author" : [ { "dropping-particle" : "", "family" : "Petersen", "given" : "Bryan D.", "non-dropping-particle" : "", "parse-names" : false, "suffix" : "" }, { "dropping-particle" : "", "family" : "Clark", "given" : "Timothy W I", "non-dropping-particle" : "", "parse-names" : false, "suffix" : "" } ], "container-title" : "Techniques in Vascular and Interventional Radiology", "id" : "ITEM-1", "issue" : "4", "issued" : { "date-parts" : [ [ "2008" ] ] }, "page" : "230-234", "publisher" : "Elsevier Inc.", "title" : "Direct Intrahepatic Portocaval Shunt", "type" : "article-journal", "volume" : "11" }, "uris" : [ "http://www.mendeley.com/documents/?uuid=6547efed-9d64-4b2b-bb53-5a7fd2e75773" ] } ], "mendeley" : { "formattedCitation" : "&lt;sup&gt;[47]&lt;/sup&gt;", "plainTextFormattedCitation" : "[47]", "previouslyFormattedCitation" : "&lt;sup&gt;[47]&lt;/sup&gt;" }, "properties" : { "noteIndex" : 0 }, "schema" : "https://github.com/citation-style-language/schema/raw/master/csl-citation.json" }</w:instrText>
      </w:r>
      <w:r w:rsidR="0034143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[47]</w:t>
      </w:r>
      <w:r w:rsidR="0034143B" w:rsidRPr="00787839">
        <w:rPr>
          <w:rFonts w:ascii="Book Antiqua" w:hAnsi="Book Antiqua"/>
          <w:sz w:val="24"/>
          <w:szCs w:val="24"/>
          <w:vertAlign w:val="superscript"/>
        </w:rPr>
        <w:fldChar w:fldCharType="end"/>
      </w:r>
      <w:r w:rsidR="00130CF5" w:rsidRPr="00787839">
        <w:rPr>
          <w:rFonts w:ascii="Book Antiqua" w:hAnsi="Book Antiqua"/>
          <w:sz w:val="24"/>
          <w:szCs w:val="24"/>
        </w:rPr>
        <w:t xml:space="preserve">. </w:t>
      </w:r>
      <w:r w:rsidR="000F3462" w:rsidRPr="00787839">
        <w:rPr>
          <w:rFonts w:ascii="Book Antiqua" w:hAnsi="Book Antiqua"/>
          <w:sz w:val="24"/>
          <w:szCs w:val="24"/>
        </w:rPr>
        <w:t xml:space="preserve">DIPS may be helpful in cases of </w:t>
      </w:r>
      <w:r w:rsidR="002F5290" w:rsidRPr="00787839">
        <w:rPr>
          <w:rFonts w:ascii="Book Antiqua" w:hAnsi="Book Antiqua"/>
          <w:sz w:val="24"/>
          <w:szCs w:val="24"/>
        </w:rPr>
        <w:t xml:space="preserve">hepatic </w:t>
      </w:r>
      <w:r w:rsidR="000F3462" w:rsidRPr="00787839">
        <w:rPr>
          <w:rFonts w:ascii="Book Antiqua" w:hAnsi="Book Antiqua"/>
          <w:sz w:val="24"/>
          <w:szCs w:val="24"/>
        </w:rPr>
        <w:t xml:space="preserve">vein thrombosis, challenging anatomy or in the presence </w:t>
      </w:r>
      <w:r w:rsidR="000F3462" w:rsidRPr="00787839">
        <w:rPr>
          <w:rFonts w:ascii="Book Antiqua" w:hAnsi="Book Antiqua"/>
          <w:sz w:val="24"/>
          <w:szCs w:val="24"/>
        </w:rPr>
        <w:lastRenderedPageBreak/>
        <w:t>of an ill-suited hepatic parenchymal tract (presence of hepatocellular carcinoma for example)</w:t>
      </w:r>
      <w:r w:rsidR="00787839" w:rsidRPr="00787839">
        <w:rPr>
          <w:rFonts w:ascii="Book Antiqua" w:eastAsiaTheme="minorEastAsia" w:hAnsi="Book Antiqua"/>
          <w:color w:val="auto"/>
          <w:sz w:val="24"/>
          <w:szCs w:val="24"/>
          <w:vertAlign w:val="superscript"/>
        </w:rPr>
        <w:t xml:space="preserve"> </w:t>
      </w:r>
      <w:r w:rsidR="00787839" w:rsidRPr="00787839">
        <w:rPr>
          <w:rFonts w:ascii="Book Antiqua" w:hAnsi="Book Antiqua"/>
          <w:sz w:val="24"/>
          <w:szCs w:val="24"/>
          <w:vertAlign w:val="superscript"/>
        </w:rPr>
        <w:fldChar w:fldCharType="begin" w:fldLock="1"/>
      </w:r>
      <w:r w:rsidR="00787839" w:rsidRPr="00787839">
        <w:rPr>
          <w:rFonts w:ascii="Book Antiqua" w:hAnsi="Book Antiqua"/>
          <w:sz w:val="24"/>
          <w:szCs w:val="24"/>
          <w:vertAlign w:val="superscript"/>
        </w:rPr>
        <w:instrText>ADDIN CSL_CITATION { "citationItems" : [ { "id" : "ITEM-1", "itemData" : { "DOI" : "10.1053/j.tvir.2009.04.006", "ISBN" : "10892516 (ISSN)", "ISSN" : "10892516", "PMID" : "19527850", "abstract" : "The direct intrahepatic portacaval shunt (DIPS) is a modification of the TIPS procedure, using intravascular ultrasound-guidance, combined with fluoroscopy. The DIPS procedure was initially conceived to increase the durability of shunt patency and extend the spectrum of patients with portal hypertension for whom endovascular portocaval shunting can be performed. The DIPS procedure involves intravascular ultrasound-guided puncture from the inferior vena cava to the portal vein through the caudate lobe of the liver. The shunt is completed with a polytetrafluoroethylene-covered stent graft. This article describes the indications, technique, and outcomes of the DIPS procedure to enable the interventional radiologist currently experienced with TIPS to incorporate this procedure into their practice. ?? 2008 Elsevier Inc. All rights reserved.", "author" : [ { "dropping-particle" : "", "family" : "Petersen", "given" : "Bryan D.", "non-dropping-particle" : "", "parse-names" : false, "suffix" : "" }, { "dropping-particle" : "", "family" : "Clark", "given" : "Timothy W I", "non-dropping-particle" : "", "parse-names" : false, "suffix" : "" } ], "container-title" : "Techniques in Vascular and Interventional Radiology", "id" : "ITEM-1", "issue" : "4", "issued" : { "date-parts" : [ [ "2008" ] ] }, "page" : "230-234", "publisher" : "Elsevier Inc.", "title" : "Direct Intrahepatic Portocaval Shunt", "type" : "article-journal", "volume" : "11" }, "uris" : [ "http://www.mendeley.com/documents/?uuid=6547efed-9d64-4b2b-bb53-5a7fd2e75773" ] } ], "mendeley" : { "formattedCitation" : "&lt;sup&gt;[47]&lt;/sup&gt;", "plainTextFormattedCitation" : "[47]", "previouslyFormattedCitation" : "&lt;sup&gt;[47]&lt;/sup&gt;" }, "properties" : { "noteIndex" : 0 }, "schema" : "https://github.com/citation-style-language/schema/raw/master/csl-citation.json" }</w:instrText>
      </w:r>
      <w:r w:rsidR="00787839" w:rsidRPr="00787839">
        <w:rPr>
          <w:rFonts w:ascii="Book Antiqua" w:hAnsi="Book Antiqua"/>
          <w:sz w:val="24"/>
          <w:szCs w:val="24"/>
          <w:vertAlign w:val="superscript"/>
        </w:rPr>
        <w:fldChar w:fldCharType="separate"/>
      </w:r>
      <w:r w:rsidR="00787839" w:rsidRPr="00787839">
        <w:rPr>
          <w:rFonts w:ascii="Book Antiqua" w:hAnsi="Book Antiqua"/>
          <w:sz w:val="24"/>
          <w:szCs w:val="24"/>
          <w:vertAlign w:val="superscript"/>
        </w:rPr>
        <w:t>[47]</w:t>
      </w:r>
      <w:r w:rsidR="00787839" w:rsidRPr="00787839">
        <w:rPr>
          <w:rFonts w:ascii="Book Antiqua" w:hAnsi="Book Antiqua"/>
          <w:sz w:val="24"/>
          <w:szCs w:val="24"/>
        </w:rPr>
        <w:fldChar w:fldCharType="end"/>
      </w:r>
      <w:r w:rsidR="002E2EAB" w:rsidRPr="00787839">
        <w:rPr>
          <w:rFonts w:ascii="Book Antiqua" w:hAnsi="Book Antiqua"/>
          <w:sz w:val="24"/>
          <w:szCs w:val="24"/>
        </w:rPr>
        <w:t>.</w:t>
      </w:r>
      <w:r w:rsidR="00787839" w:rsidRPr="00787839">
        <w:rPr>
          <w:rFonts w:ascii="Book Antiqua" w:hAnsi="Book Antiqua"/>
          <w:sz w:val="24"/>
          <w:szCs w:val="24"/>
        </w:rPr>
        <w:t xml:space="preserve"> </w:t>
      </w:r>
    </w:p>
    <w:p w14:paraId="1A82CA61" w14:textId="3F1D7CB0" w:rsidR="00F14A23" w:rsidRPr="00787839" w:rsidRDefault="00787839" w:rsidP="007F096F">
      <w:pPr>
        <w:pStyle w:val="Body1"/>
        <w:adjustRightInd w:val="0"/>
        <w:snapToGrid w:val="0"/>
        <w:spacing w:after="0" w:line="360" w:lineRule="auto"/>
        <w:rPr>
          <w:rFonts w:ascii="Book Antiqua" w:hAnsi="Book Antiqua"/>
          <w:b/>
          <w:sz w:val="24"/>
          <w:szCs w:val="24"/>
        </w:rPr>
      </w:pPr>
      <w:r w:rsidRPr="00787839">
        <w:rPr>
          <w:rFonts w:ascii="Book Antiqua" w:hAnsi="Book Antiqua"/>
          <w:b/>
          <w:sz w:val="24"/>
          <w:szCs w:val="24"/>
        </w:rPr>
        <w:t>PALLIATING SYMPTOMS OF PORTAL HYPERTENSION:</w:t>
      </w:r>
      <w:r>
        <w:rPr>
          <w:rFonts w:ascii="Book Antiqua" w:hAnsi="Book Antiqua"/>
          <w:b/>
          <w:sz w:val="24"/>
          <w:szCs w:val="24"/>
          <w:lang w:eastAsia="zh-CN"/>
        </w:rPr>
        <w:t xml:space="preserve"> </w:t>
      </w:r>
      <w:r>
        <w:rPr>
          <w:rFonts w:ascii="Book Antiqua" w:hAnsi="Book Antiqua"/>
          <w:b/>
          <w:sz w:val="24"/>
          <w:szCs w:val="24"/>
        </w:rPr>
        <w:t>BRTO</w:t>
      </w:r>
      <w:r w:rsidRPr="00787839">
        <w:rPr>
          <w:rFonts w:ascii="Book Antiqua" w:hAnsi="Book Antiqua"/>
          <w:b/>
          <w:sz w:val="24"/>
          <w:szCs w:val="24"/>
        </w:rPr>
        <w:t xml:space="preserve"> AND VARIANTS</w:t>
      </w:r>
    </w:p>
    <w:p w14:paraId="4B6B9CAE" w14:textId="48D3BAA9" w:rsidR="00F368C2" w:rsidRPr="00787839" w:rsidRDefault="00CB5574" w:rsidP="00787839">
      <w:pPr>
        <w:pStyle w:val="Body1"/>
        <w:adjustRightInd w:val="0"/>
        <w:snapToGrid w:val="0"/>
        <w:spacing w:after="0" w:line="360" w:lineRule="auto"/>
        <w:rPr>
          <w:rFonts w:ascii="Book Antiqua" w:hAnsi="Book Antiqua"/>
          <w:sz w:val="24"/>
          <w:szCs w:val="24"/>
        </w:rPr>
      </w:pPr>
      <w:r w:rsidRPr="00787839">
        <w:rPr>
          <w:rFonts w:ascii="Book Antiqua" w:hAnsi="Book Antiqua"/>
          <w:sz w:val="24"/>
          <w:szCs w:val="24"/>
        </w:rPr>
        <w:t>For the past two</w:t>
      </w:r>
      <w:r w:rsidR="0065476C" w:rsidRPr="00787839">
        <w:rPr>
          <w:rFonts w:ascii="Book Antiqua" w:hAnsi="Book Antiqua"/>
          <w:sz w:val="24"/>
          <w:szCs w:val="24"/>
        </w:rPr>
        <w:t xml:space="preserve"> decades, </w:t>
      </w:r>
      <w:r w:rsidR="00787839" w:rsidRPr="00787839">
        <w:rPr>
          <w:rFonts w:ascii="Book Antiqua" w:hAnsi="Book Antiqua"/>
          <w:sz w:val="24"/>
          <w:szCs w:val="24"/>
        </w:rPr>
        <w:t xml:space="preserve">balloon-occluded retrograde transvenous obliteration of varices (BRTO) </w:t>
      </w:r>
      <w:r w:rsidR="0065476C" w:rsidRPr="00787839">
        <w:rPr>
          <w:rFonts w:ascii="Book Antiqua" w:hAnsi="Book Antiqua"/>
          <w:sz w:val="24"/>
          <w:szCs w:val="24"/>
        </w:rPr>
        <w:t xml:space="preserve">has become common practice in Asia for the management of gastric varices. </w:t>
      </w:r>
      <w:r w:rsidR="009A7A87" w:rsidRPr="00787839">
        <w:rPr>
          <w:rFonts w:ascii="Book Antiqua" w:hAnsi="Book Antiqua"/>
          <w:sz w:val="24"/>
          <w:szCs w:val="24"/>
        </w:rPr>
        <w:t xml:space="preserve">Studies have </w:t>
      </w:r>
      <w:r w:rsidR="00A92365" w:rsidRPr="00787839">
        <w:rPr>
          <w:rFonts w:ascii="Book Antiqua" w:hAnsi="Book Antiqua"/>
          <w:sz w:val="24"/>
          <w:szCs w:val="24"/>
        </w:rPr>
        <w:t>shown</w:t>
      </w:r>
      <w:r w:rsidR="009A7A87" w:rsidRPr="00787839">
        <w:rPr>
          <w:rFonts w:ascii="Book Antiqua" w:hAnsi="Book Antiqua"/>
          <w:sz w:val="24"/>
          <w:szCs w:val="24"/>
        </w:rPr>
        <w:t xml:space="preserve"> that gastric varices may bleed despite </w:t>
      </w:r>
      <w:r w:rsidR="005C59A3" w:rsidRPr="00787839">
        <w:rPr>
          <w:rFonts w:ascii="Book Antiqua" w:hAnsi="Book Antiqua"/>
          <w:sz w:val="24"/>
          <w:szCs w:val="24"/>
        </w:rPr>
        <w:t>HVPG</w:t>
      </w:r>
      <w:r w:rsidR="009A7A87" w:rsidRPr="00787839">
        <w:rPr>
          <w:rFonts w:ascii="Book Antiqua" w:hAnsi="Book Antiqua"/>
          <w:sz w:val="24"/>
          <w:szCs w:val="24"/>
        </w:rPr>
        <w:t xml:space="preserve"> </w:t>
      </w:r>
      <w:r w:rsidR="00A92365" w:rsidRPr="00787839">
        <w:rPr>
          <w:rFonts w:ascii="Book Antiqua" w:hAnsi="Book Antiqua"/>
          <w:sz w:val="24"/>
          <w:szCs w:val="24"/>
        </w:rPr>
        <w:t>being less than</w:t>
      </w:r>
      <w:r w:rsidR="00D232D3" w:rsidRPr="00787839">
        <w:rPr>
          <w:rFonts w:ascii="Book Antiqua" w:hAnsi="Book Antiqua"/>
          <w:sz w:val="24"/>
          <w:szCs w:val="24"/>
        </w:rPr>
        <w:t xml:space="preserve"> </w:t>
      </w:r>
      <w:r w:rsidR="009A7A87" w:rsidRPr="00787839">
        <w:rPr>
          <w:rFonts w:ascii="Book Antiqua" w:hAnsi="Book Antiqua"/>
          <w:sz w:val="24"/>
          <w:szCs w:val="24"/>
        </w:rPr>
        <w:t xml:space="preserve">12 mmHg, below the </w:t>
      </w:r>
      <w:r w:rsidR="00347EAF" w:rsidRPr="00787839">
        <w:rPr>
          <w:rFonts w:ascii="Book Antiqua" w:hAnsi="Book Antiqua"/>
          <w:sz w:val="24"/>
          <w:szCs w:val="24"/>
        </w:rPr>
        <w:t xml:space="preserve">treatment </w:t>
      </w:r>
      <w:r w:rsidR="009A7A87" w:rsidRPr="00787839">
        <w:rPr>
          <w:rFonts w:ascii="Book Antiqua" w:hAnsi="Book Antiqua"/>
          <w:sz w:val="24"/>
          <w:szCs w:val="24"/>
        </w:rPr>
        <w:t xml:space="preserve">target </w:t>
      </w:r>
      <w:r w:rsidR="00347EAF" w:rsidRPr="00787839">
        <w:rPr>
          <w:rFonts w:ascii="Book Antiqua" w:hAnsi="Book Antiqua"/>
          <w:sz w:val="24"/>
          <w:szCs w:val="24"/>
        </w:rPr>
        <w:t>pressure</w:t>
      </w:r>
      <w:r w:rsidR="009A7A87" w:rsidRPr="00787839">
        <w:rPr>
          <w:rFonts w:ascii="Book Antiqua" w:hAnsi="Book Antiqua"/>
          <w:sz w:val="24"/>
          <w:szCs w:val="24"/>
        </w:rPr>
        <w:t xml:space="preserve"> for TIPS</w:t>
      </w:r>
      <w:r w:rsidR="0034143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"10.1053/j.tvir.2012.07.002", "ISSN" : "0174-1551", "PMID" : "23021830", "author" : [ { "dropping-particle" : "", "family" : "Saad", "given" : "Wael E.", "non-dropping-particle" : "", "parse-names" : false, "suffix" : "" }, { "dropping-particle" : "", "family" : "Khaja", "given" : "Minhaj S", "non-dropping-particle" : "", "parse-names" : false, "suffix" : "" }, { "dropping-particle" : "", "family" : "Hirota", "given" : "Shozo", "non-dropping-particle" : "", "parse-names" : false, "suffix" : "" } ], "container-title" : "Techniques in Vascular and Interventional Radiology", "id" : "ITEM-1", "issued" : { "date-parts" : [ [ "2012" ] ] }, "page" : "160-164", "publisher" : "Elsevier Inc.", "title" : "Balloon-Occluded Retrograde Transvenous Obliteration of Gastric Varices: Conception, Evolution, and History", "type" : "article-journal", "volume" : "15" }, "uris" : [ "http://www.mendeley.com/documents/?uuid=3fc60c8f-fcf1-459a-9bc1-d89cbc07cfc6" ] }, { "id" : "ITEM-2", "itemData" : { "DOI" : "10.2214/AJR.07.2266", "ISSN" : "1546-3141", "PMID" : "18029851", "abstract" : "OBJECTIVE: Our aim was to evaluate the clinical outcomes, techniques, and complications of balloon-occluded retrograde transvenous obliteration for treating gastric varices with spontaneous gastrosystemic shunts.\\n\\nMATERIALS AND METHODS: From November 2002 through October 2005, 49 consecutive patients with gastric varices were treated by balloon-occluded retrograde transvenous obliteration. The sclerosant was injected through the outflow veins during balloon occlusion. Immediate postprocedural CT scans were obtained to evaluate the procedural details. Recurrence and rebleeding of gastric varices and worsening of esophageal varices were evaluated by endoscopic examination and CT. The survival rates and prognostic factors after the procedure were also assessed.\\n\\nRESULTS: There were six procedural failures and two procedure-related deaths. Disappearance or marked shrinkage of the treated gastric varices with no recurrent gastric variceal bleeding was noted in 39 patients (79.6% clinical success rate). Approximately two thirds of our patients experienced worsening of esophageal varices during the median follow-up period of 457 days. The cumulative survival rates at 1 year and 3 years after balloon-occluded retrograde transvenous obliteration were 83.1% and 65.7%, respectively. The prognostic factors associated with survival were the preprocedural Child-Pugh classification and the total bilirubin level. The survival rates and procedural outcomes for the patients with severely compromised liver function were poor.\\n\\nCONCLUSION: Balloon-occluded retrograde transvenous obliteration is an effective treatment for the obliteration of gastric varices. However, application of this procedure to severely compromised patients should be considered carefully.", "author" : [ { "dropping-particle" : "", "family" : "Cho", "given" : "Sung Ki", "non-dropping-particle" : "", "parse-names" : false, "suffix" : "" }, { "dropping-particle" : "", "family" : "Shin", "given" : "Sung Wook", "non-dropping-particle" : "", "parse-names" : false, "suffix" : "" }, { "dropping-particle" : "", "family" : "Lee", "given" : "In Ho", "non-dropping-particle" : "", "parse-names" : false, "suffix" : "" }, { "dropping-particle" : "", "family" : "Do", "given" : "Young Soo", "non-dropping-particle" : "", "parse-names" : false, "suffix" : "" }, { "dropping-particle" : "", "family" : "Choo", "given" : "Sung Wook", "non-dropping-particle" : "", "parse-names" : false, "suffix" : "" }, { "dropping-particle" : "", "family" : "Park", "given" : "Kwang Bo", "non-dropping-particle" : "", "parse-names" : false, "suffix" : "" }, { "dropping-particle" : "", "family" : "Yoo", "given" : "Byung Chul", "non-dropping-particle" : "", "parse-names" : false, "suffix" : "" } ], "container-title" : "AJR. American journal of roentgenology", "id" : "ITEM-2", "issue" : "6", "issued" : { "date-parts" : [ [ "2007" ] ] }, "page" : "W365-72", "title" : "Balloon-occluded retrograde transvenous obliteration of gastric varices: outcomes and complications in 49 patients.", "type" : "article-journal", "volume" : "189" }, "uris" : [ "http://www.mendeley.com/documents/?uuid=2ab0db06-088e-4710-a5cf-638aff2a5a5e" ] } ], "mendeley" : { "formattedCitation" : "&lt;sup&gt;[48,49]&lt;/sup&gt;", "plainTextFormattedCitation" : "[48,49]", "previouslyFormattedCitation" : "&lt;sup&gt;[48,49]&lt;/sup&gt;" }, "properties" : { "noteIndex" : 0 }, "schema" : "https://github.com/citation-style-language/schema/raw/master/csl-citation.json" }</w:instrText>
      </w:r>
      <w:r w:rsidR="0034143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[48,49]</w:t>
      </w:r>
      <w:r w:rsidR="0034143B" w:rsidRPr="00787839">
        <w:rPr>
          <w:rFonts w:ascii="Book Antiqua" w:hAnsi="Book Antiqua"/>
          <w:sz w:val="24"/>
          <w:szCs w:val="24"/>
          <w:vertAlign w:val="superscript"/>
        </w:rPr>
        <w:fldChar w:fldCharType="end"/>
      </w:r>
      <w:r w:rsidR="00130CF5" w:rsidRPr="00787839">
        <w:rPr>
          <w:rFonts w:ascii="Book Antiqua" w:hAnsi="Book Antiqua"/>
          <w:sz w:val="24"/>
          <w:szCs w:val="24"/>
        </w:rPr>
        <w:t xml:space="preserve">. </w:t>
      </w:r>
      <w:r w:rsidR="00B57029" w:rsidRPr="00787839">
        <w:rPr>
          <w:rFonts w:ascii="Book Antiqua" w:hAnsi="Book Antiqua"/>
          <w:sz w:val="24"/>
          <w:szCs w:val="24"/>
        </w:rPr>
        <w:t>The conventional</w:t>
      </w:r>
      <w:r w:rsidR="0065476C" w:rsidRPr="00787839">
        <w:rPr>
          <w:rFonts w:ascii="Book Antiqua" w:hAnsi="Book Antiqua"/>
          <w:sz w:val="24"/>
          <w:szCs w:val="24"/>
        </w:rPr>
        <w:t xml:space="preserve"> technique involves advancing a catheter from the femoral vein into the outlet of the gastrorenal shunt</w:t>
      </w:r>
      <w:r w:rsidR="00F368C2" w:rsidRPr="00787839">
        <w:rPr>
          <w:rFonts w:ascii="Book Antiqua" w:hAnsi="Book Antiqua"/>
          <w:sz w:val="24"/>
          <w:szCs w:val="24"/>
        </w:rPr>
        <w:t>, typically in the region of the left renal vein</w:t>
      </w:r>
      <w:r w:rsidR="0065476C" w:rsidRPr="00787839">
        <w:rPr>
          <w:rFonts w:ascii="Book Antiqua" w:hAnsi="Book Antiqua"/>
          <w:sz w:val="24"/>
          <w:szCs w:val="24"/>
        </w:rPr>
        <w:t xml:space="preserve">. Following balloon occlusion of the shunt, </w:t>
      </w:r>
      <w:r w:rsidR="00F368C2" w:rsidRPr="00787839">
        <w:rPr>
          <w:rFonts w:ascii="Book Antiqua" w:hAnsi="Book Antiqua"/>
          <w:sz w:val="24"/>
          <w:szCs w:val="24"/>
        </w:rPr>
        <w:t xml:space="preserve">a </w:t>
      </w:r>
      <w:r w:rsidR="0065476C" w:rsidRPr="00787839">
        <w:rPr>
          <w:rFonts w:ascii="Book Antiqua" w:hAnsi="Book Antiqua"/>
          <w:sz w:val="24"/>
          <w:szCs w:val="24"/>
        </w:rPr>
        <w:t xml:space="preserve">sclerosant is injected </w:t>
      </w:r>
      <w:r w:rsidR="00A92365" w:rsidRPr="00787839">
        <w:rPr>
          <w:rFonts w:ascii="Book Antiqua" w:hAnsi="Book Antiqua"/>
          <w:sz w:val="24"/>
          <w:szCs w:val="24"/>
        </w:rPr>
        <w:t>retrograde</w:t>
      </w:r>
      <w:r w:rsidR="0065476C" w:rsidRPr="00787839">
        <w:rPr>
          <w:rFonts w:ascii="Book Antiqua" w:hAnsi="Book Antiqua"/>
          <w:sz w:val="24"/>
          <w:szCs w:val="24"/>
        </w:rPr>
        <w:t xml:space="preserve"> to fill the gastric varices </w:t>
      </w:r>
      <w:r w:rsidR="00017FCA" w:rsidRPr="00787839">
        <w:rPr>
          <w:rFonts w:ascii="Book Antiqua" w:hAnsi="Book Antiqua"/>
          <w:sz w:val="24"/>
          <w:szCs w:val="24"/>
        </w:rPr>
        <w:t>(Figure 15</w:t>
      </w:r>
      <w:r w:rsidR="002E1122" w:rsidRPr="00787839">
        <w:rPr>
          <w:rFonts w:ascii="Book Antiqua" w:hAnsi="Book Antiqua"/>
          <w:sz w:val="24"/>
          <w:szCs w:val="24"/>
        </w:rPr>
        <w:t>).</w:t>
      </w:r>
      <w:r w:rsidR="009A0414" w:rsidRPr="00787839">
        <w:rPr>
          <w:rFonts w:ascii="Book Antiqua" w:hAnsi="Book Antiqua"/>
          <w:sz w:val="24"/>
          <w:szCs w:val="24"/>
        </w:rPr>
        <w:t xml:space="preserve"> Balloon-catheter and sclerosing agent </w:t>
      </w:r>
      <w:r w:rsidR="00A20FA8" w:rsidRPr="00787839">
        <w:rPr>
          <w:rFonts w:ascii="Book Antiqua" w:hAnsi="Book Antiqua"/>
          <w:sz w:val="24"/>
          <w:szCs w:val="24"/>
        </w:rPr>
        <w:t xml:space="preserve">are typically left in place from 4-48 </w:t>
      </w:r>
      <w:r w:rsidR="009A0414" w:rsidRPr="00787839">
        <w:rPr>
          <w:rFonts w:ascii="Book Antiqua" w:hAnsi="Book Antiqua"/>
          <w:sz w:val="24"/>
          <w:szCs w:val="24"/>
        </w:rPr>
        <w:t xml:space="preserve">hours before </w:t>
      </w:r>
      <w:r w:rsidR="002F5290" w:rsidRPr="00787839">
        <w:rPr>
          <w:rFonts w:ascii="Book Antiqua" w:hAnsi="Book Antiqua"/>
          <w:sz w:val="24"/>
          <w:szCs w:val="24"/>
        </w:rPr>
        <w:t>completing the procedure</w:t>
      </w:r>
      <w:r w:rsidR="00AC10C1"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"10.1053/j.tvir.2012.07.002", "ISSN" : "0174-1551", "PMID" : "23021830", "author" : [ { "dropping-particle" : "", "family" : "Saad", "given" : "Wael E.", "non-dropping-particle" : "", "parse-names" : false, "suffix" : "" }, { "dropping-particle" : "", "family" : "Khaja", "given" : "Minhaj S", "non-dropping-particle" : "", "parse-names" : false, "suffix" : "" }, { "dropping-particle" : "", "family" : "Hirota", "given" : "Shozo", "non-dropping-particle" : "", "parse-names" : false, "suffix" : "" } ], "container-title" : "Techniques in Vascular and Interventional Radiology", "id" : "ITEM-1", "issued" : { "date-parts" : [ [ "2012" ] ] }, "page" : "160-164", "publisher" : "Elsevier Inc.", "title" : "Balloon-Occluded Retrograde Transvenous Obliteration of Gastric Varices: Conception, Evolution, and History", "type" : "article-journal", "volume" : "15" }, "uris" : [ "http://www.mendeley.com/documents/?uuid=3fc60c8f-fcf1-459a-9bc1-d89cbc07cfc6" ] }, { "id" : "ITEM-2", "itemData" : { "DOI" : "10.2214/AJR.07.2266", "ISSN" : "1546-3141", "PMID" : "18029851", "abstract" : "OBJECTIVE: Our aim was to evaluate the clinical outcomes, techniques, and complications of balloon-occluded retrograde transvenous obliteration for treating gastric varices with spontaneous gastrosystemic shunts.\\n\\nMATERIALS AND METHODS: From November 2002 through October 2005, 49 consecutive patients with gastric varices were treated by balloon-occluded retrograde transvenous obliteration. The sclerosant was injected through the outflow veins during balloon occlusion. Immediate postprocedural CT scans were obtained to evaluate the procedural details. Recurrence and rebleeding of gastric varices and worsening of esophageal varices were evaluated by endoscopic examination and CT. The survival rates and prognostic factors after the procedure were also assessed.\\n\\nRESULTS: There were six procedural failures and two procedure-related deaths. Disappearance or marked shrinkage of the treated gastric varices with no recurrent gastric variceal bleeding was noted in 39 patients (79.6% clinical success rate). Approximately two thirds of our patients experienced worsening of esophageal varices during the median follow-up period of 457 days. The cumulative survival rates at 1 year and 3 years after balloon-occluded retrograde transvenous obliteration were 83.1% and 65.7%, respectively. The prognostic factors associated with survival were the preprocedural Child-Pugh classification and the total bilirubin level. The survival rates and procedural outcomes for the patients with severely compromised liver function were poor.\\n\\nCONCLUSION: Balloon-occluded retrograde transvenous obliteration is an effective treatment for the obliteration of gastric varices. However, application of this procedure to severely compromised patients should be considered carefully.", "author" : [ { "dropping-particle" : "", "family" : "Cho", "given" : "Sung Ki", "non-dropping-particle" : "", "parse-names" : false, "suffix" : "" }, { "dropping-particle" : "", "family" : "Shin", "given" : "Sung Wook", "non-dropping-particle" : "", "parse-names" : false, "suffix" : "" }, { "dropping-particle" : "", "family" : "Lee", "given" : "In Ho", "non-dropping-particle" : "", "parse-names" : false, "suffix" : "" }, { "dropping-particle" : "", "family" : "Do", "given" : "Young Soo", "non-dropping-particle" : "", "parse-names" : false, "suffix" : "" }, { "dropping-particle" : "", "family" : "Choo", "given" : "Sung Wook", "non-dropping-particle" : "", "parse-names" : false, "suffix" : "" }, { "dropping-particle" : "", "family" : "Park", "given" : "Kwang Bo", "non-dropping-particle" : "", "parse-names" : false, "suffix" : "" }, { "dropping-particle" : "", "family" : "Yoo", "given" : "Byung Chul", "non-dropping-particle" : "", "parse-names" : false, "suffix" : "" } ], "container-title" : "AJR. American journal of roentgenology", "id" : "ITEM-2", "issue" : "6", "issued" : { "date-parts" : [ [ "2007" ] ] }, "page" : "W365-72", "title" : "Balloon-occluded retrograde transvenous obliteration of gastric varices: outcomes and complications in 49 patients.", "type" : "article-journal", "volume" : "189" }, "uris" : [ "http://www.mendeley.com/documents/?uuid=2ab0db06-088e-4710-a5cf-638aff2a5a5e" ] }, { "id" : "ITEM-3", "itemData" : { "DOI" : "10.1148/rg.335125166", "PMID" : "24025936", "abstract" : "Management of clinically important sequelae of portal hypertension, such as variceal bleeding and ascites, may involve a combination of medical, endoscopic, surgical, and interventional approaches and procedures. Although clinically significant esophageal and rectal varices are typically visible endoscopically, ectopic varices may require multiplanar portal venous phase computed tomography or magnetic resonance imaging for diagnosis. A detailed understanding of individual vascular anatomy, flow dynamics, and patient-related factors such as cardiac and hepatic status is necessary for appropriate treatment selection in patients with complicated portal hypertension. The hepatic venous pressure gradient is the key indirect measurement of portal venous pressure. Transjugular intrahepatic portosystemic shunt (TIPS) placement is regarded as the archetypal intervention for treating complicated portal hypertension by reducing portal pressure. Various modifications, such as direct portocaval shunt, may be used in patients with challenging vascular anatomy. A subset of patients with obstructed hepatic venous outflow or portal venous inflow should be considered for recanalization. Splenic artery embolization may be considered for reduction of portal pressure in selected patients, particularly when hypersplenism or splenic vein occlusion is a prominent feature. Gastric and ectopic varices may bleed even when the portal pressure is low, and balloon-occluded retrograde transvenous obliteration (BRTO) in such patients may lead to equal or improved outcome compared with TIPS placement. BRTO is not limited by poor hepatic reserve or encephalopathy; however, it does not reduce portal pressure and may aggravate esophageal varices. Interventional radiology plays an important role in maintaining the patency of surgically created portosystemic shunts, and it remains at the forefront of new approaches in shunt design and placement. Supplemental material available at http://radiographics.rsna.org/lookup/suppl/doi:10.1148/rg.335125166/-/DC1.", "author" : [ { "dropping-particle" : "", "family" : "Kirby", "given" : "John Martin", "non-dropping-particle" : "", "parse-names" : false, "suffix" : "" }, { "dropping-particle" : "", "family" : "Cho", "given" : "Kyung J", "non-dropping-particle" : "", "parse-names" : false, "suffix" : "" }, { "dropping-particle" : "", "family" : "Midia", "given" : "Mehran", "non-dropping-particle" : "", "parse-names" : false, "suffix" : "" } ], "container-title" : "Radiographics", "id" : "ITEM-3", "issue" : "5", "issued" : { "date-parts" : [ [ "2013" ] ] }, "page" : "1473-1496", "publisher-place" : "Department of Radiology, McMaster University Medical Center, Hamilton Health Sciences, Hamilton, Ontario, Canada.", "title" : "Image-guided intervention in management of complications of portal hypertension: more than TIPS for success.", "type" : "article-journal", "volume" : "33" }, "uris" : [ "http://www.mendeley.com/documents/?uuid=e300337b-d31c-4eaf-9544-bda0de1d636d" ] }, { "id" : "ITEM-4", "itemData" : { "DOI" : "10.2214/ajr.184.4.01841340", "ISSN" : "0361-803X", "PMID" : "15788621", "abstract" : "OBJECTIVE: Our aim was to evaluate the long-term clinical results after balloon-occluded retrograde transvenous obliteration (B-RTO) for gastric varices with spontaneous gastrorenal shunt.\n\nMATERIALS AND METHODS: A total of 78 patients with cirrhosis and with gastric varices, successfully treated by B-RTO, were enrolled in this study. Recurrence and bleeding of gastric varices and worsening of esophageal varices were endoscopically evaluated. Univariate and multivariate analyses were used to assess the prognostic factors for worsening of esophageal varices and survival.\n\nRESULTS: Recurrence of gastric varices was found in two patients; the 5-year recurrence rate was 2.7%. Bleeding of gastric varices occurred in only one patient after B-RTO; the 5-year bleeding rate was 1.5%. Worsening of esophageal varices was observed in 29 patients, and the worsening rates at 1, 3, and 5 years were 27%, 58%, and 66%, respectively. These esophageal varices were endoscopically treated to prevent rupture. Multivariate analysis showed the presence of esophageal varices before B-RTO was a prognostic factor for worsening (relative risk, 4.956). At a median follow-up of 700 days (range, 137-2,339 days), the survival rates at 1, 3, and 5 years were 93%, 76%, and 54%, respectively. The prognostic factors associated with survival were presence of hepatocellular carcinoma (relative risk, 24.342) and the Child-Pugh classification (relative risk, 5.780).\n\nCONCLUSION: B-RTO is an effective method for gastric varices with gastrorenal shunt and provides lower recurrence and bleeding rates. We believe that B-RTO can become a standard treatment for gastric varices with gastrorenal shunt, although treatment of worsened esophageal varices may be necessary after B-RTO.", "author" : [ { "dropping-particle" : "", "family" : "Ninoi", "given" : "Teruhisa", "non-dropping-particle" : "", "parse-names" : false, "suffix" : "" }, { "dropping-particle" : "", "family" : "Nishida", "given" : "Norifumi", "non-dropping-particle" : "", "parse-names" : false, "suffix" : "" }, { "dropping-particle" : "", "family" : "Kaminou", "given" : "Toshio", "non-dropping-particle" : "", "parse-names" : false, "suffix" : "" }, { "dropping-particle" : "", "family" : "Sakai", "given" : "Yukimasa", "non-dropping-particle" : "", "parse-names" : false, "suffix" : "" }, { "dropping-particle" : "", "family" : "Kitayama", "given" : "Toshiaki", "non-dropping-particle" : "", "parse-names" : false, "suffix" : "" }, { "dropping-particle" : "", "family" : "Hamuro", "given" : "Masao", "non-dropping-particle" : "", "parse-names" : false, "suffix" : "" }, { "dropping-particle" : "", "family" : "Yamada", "given" : "Ryusaku", "non-dropping-particle" : "", "parse-names" : false, "suffix" : "" }, { "dropping-particle" : "", "family" : "Nakamura", "given" : "Kenji", "non-dropping-particle" : "", "parse-names" : false, "suffix" : "" }, { "dropping-particle" : "", "family" : "Arakawa", "given" : "Tetsuo", "non-dropping-particle" : "", "parse-names" : false, "suffix" : "" }, { "dropping-particle" : "", "family" : "Inoue", "given" : "Yuichi", "non-dropping-particle" : "", "parse-names" : false, "suffix" : "" } ], "container-title" : "AJR. American journal of roentgenology", "id" : "ITEM-4", "issue" : "4", "issued" : { "date-parts" : [ [ "2005", "4", "23" ] ] }, "language" : "en", "page" : "1340-6", "publisher" : "American Roentgen Ray Society", "title" : "Balloon-occluded retrograde transvenous obliteration of gastric varices with gastrorenal shunt: long-term follow-up in 78 patients.", "type" : "article-journal", "volume" : "184" }, "uris" : [ "http://www.mendeley.com/documents/?uuid=6a897468-4744-46fd-b28c-380ec9416087" ] } ], "mendeley" : { "formattedCitation" : "&lt;sup&gt;[39,48\u201350]&lt;/sup&gt;", "plainTextFormattedCitation" : "[39,48\u201350]", "previouslyFormattedCitation" : "&lt;sup&gt;[39,48\u201350]&lt;/sup&gt;" }, "properties" : { "noteIndex" : 0 }, "schema" : "https://github.com/citation-style-language/schema/raw/master/csl-citation.json" }</w:instrText>
      </w:r>
      <w:r w:rsidR="00AC10C1"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[39,48–50]</w:t>
      </w:r>
      <w:r w:rsidR="00AC10C1" w:rsidRPr="00787839">
        <w:rPr>
          <w:rFonts w:ascii="Book Antiqua" w:hAnsi="Book Antiqua"/>
          <w:sz w:val="24"/>
          <w:szCs w:val="24"/>
          <w:vertAlign w:val="superscript"/>
        </w:rPr>
        <w:fldChar w:fldCharType="end"/>
      </w:r>
      <w:r w:rsidR="00130CF5" w:rsidRPr="00787839">
        <w:rPr>
          <w:rFonts w:ascii="Book Antiqua" w:hAnsi="Book Antiqua"/>
          <w:sz w:val="24"/>
          <w:szCs w:val="24"/>
        </w:rPr>
        <w:t>.</w:t>
      </w:r>
    </w:p>
    <w:p w14:paraId="269A9DF7" w14:textId="5AB00294" w:rsidR="00F14A23" w:rsidRPr="00787839" w:rsidRDefault="0065476C" w:rsidP="00787839">
      <w:pPr>
        <w:pStyle w:val="Body1"/>
        <w:adjustRightInd w:val="0"/>
        <w:snapToGrid w:val="0"/>
        <w:spacing w:after="0" w:line="360" w:lineRule="auto"/>
        <w:ind w:firstLineChars="100" w:firstLine="240"/>
        <w:rPr>
          <w:rFonts w:ascii="Book Antiqua" w:hAnsi="Book Antiqua"/>
          <w:sz w:val="24"/>
          <w:szCs w:val="24"/>
          <w:lang w:eastAsia="zh-CN"/>
        </w:rPr>
      </w:pPr>
      <w:r w:rsidRPr="00787839">
        <w:rPr>
          <w:rFonts w:ascii="Book Antiqua" w:hAnsi="Book Antiqua"/>
          <w:sz w:val="24"/>
          <w:szCs w:val="24"/>
        </w:rPr>
        <w:t>BRTO</w:t>
      </w:r>
      <w:r w:rsidR="00F368C2" w:rsidRPr="00787839">
        <w:rPr>
          <w:rFonts w:ascii="Book Antiqua" w:hAnsi="Book Antiqua"/>
          <w:sz w:val="24"/>
          <w:szCs w:val="24"/>
        </w:rPr>
        <w:t xml:space="preserve"> has</w:t>
      </w:r>
      <w:r w:rsidRPr="00787839">
        <w:rPr>
          <w:rFonts w:ascii="Book Antiqua" w:hAnsi="Book Antiqua"/>
          <w:sz w:val="24"/>
          <w:szCs w:val="24"/>
        </w:rPr>
        <w:t xml:space="preserve"> been shown to be effective in controlling gastric variceal bleeding with low re</w:t>
      </w:r>
      <w:r w:rsidR="00B9173B" w:rsidRPr="00787839">
        <w:rPr>
          <w:rFonts w:ascii="Book Antiqua" w:hAnsi="Book Antiqua"/>
          <w:sz w:val="24"/>
          <w:szCs w:val="24"/>
        </w:rPr>
        <w:t>-</w:t>
      </w:r>
      <w:r w:rsidRPr="00787839">
        <w:rPr>
          <w:rFonts w:ascii="Book Antiqua" w:hAnsi="Book Antiqua"/>
          <w:sz w:val="24"/>
          <w:szCs w:val="24"/>
        </w:rPr>
        <w:t>bleed rates</w:t>
      </w:r>
      <w:r w:rsidR="00AC10C1"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"10.1053/j.tvir.2012.07.002", "ISSN" : "0174-1551", "PMID" : "23021830", "author" : [ { "dropping-particle" : "", "family" : "Saad", "given" : "Wael E.", "non-dropping-particle" : "", "parse-names" : false, "suffix" : "" }, { "dropping-particle" : "", "family" : "Khaja", "given" : "Minhaj S", "non-dropping-particle" : "", "parse-names" : false, "suffix" : "" }, { "dropping-particle" : "", "family" : "Hirota", "given" : "Shozo", "non-dropping-particle" : "", "parse-names" : false, "suffix" : "" } ], "container-title" : "Techniques in Vascular and Interventional Radiology", "id" : "ITEM-1", "issued" : { "date-parts" : [ [ "2012" ] ] }, "page" : "160-164", "publisher" : "Elsevier Inc.", "title" : "Balloon-Occluded Retrograde Transvenous Obliteration of Gastric Varices: Conception, Evolution, and History", "type" : "article-journal", "volume" : "15" }, "uris" : [ "http://www.mendeley.com/documents/?uuid=3fc60c8f-fcf1-459a-9bc1-d89cbc07cfc6" ] }, { "id" : "ITEM-2", "itemData" : { "DOI" : "10.2214/ajr.184.4.01841340", "ISSN" : "0361-803X", "PMID" : "15788621", "abstract" : "OBJECTIVE: Our aim was to evaluate the long-term clinical results after balloon-occluded retrograde transvenous obliteration (B-RTO) for gastric varices with spontaneous gastrorenal shunt.\n\nMATERIALS AND METHODS: A total of 78 patients with cirrhosis and with gastric varices, successfully treated by B-RTO, were enrolled in this study. Recurrence and bleeding of gastric varices and worsening of esophageal varices were endoscopically evaluated. Univariate and multivariate analyses were used to assess the prognostic factors for worsening of esophageal varices and survival.\n\nRESULTS: Recurrence of gastric varices was found in two patients; the 5-year recurrence rate was 2.7%. Bleeding of gastric varices occurred in only one patient after B-RTO; the 5-year bleeding rate was 1.5%. Worsening of esophageal varices was observed in 29 patients, and the worsening rates at 1, 3, and 5 years were 27%, 58%, and 66%, respectively. These esophageal varices were endoscopically treated to prevent rupture. Multivariate analysis showed the presence of esophageal varices before B-RTO was a prognostic factor for worsening (relative risk, 4.956). At a median follow-up of 700 days (range, 137-2,339 days), the survival rates at 1, 3, and 5 years were 93%, 76%, and 54%, respectively. The prognostic factors associated with survival were presence of hepatocellular carcinoma (relative risk, 24.342) and the Child-Pugh classification (relative risk, 5.780).\n\nCONCLUSION: B-RTO is an effective method for gastric varices with gastrorenal shunt and provides lower recurrence and bleeding rates. We believe that B-RTO can become a standard treatment for gastric varices with gastrorenal shunt, although treatment of worsened esophageal varices may be necessary after B-RTO.", "author" : [ { "dropping-particle" : "", "family" : "Ninoi", "given" : "Teruhisa", "non-dropping-particle" : "", "parse-names" : false, "suffix" : "" }, { "dropping-particle" : "", "family" : "Nishida", "given" : "Norifumi", "non-dropping-particle" : "", "parse-names" : false, "suffix" : "" }, { "dropping-particle" : "", "family" : "Kaminou", "given" : "Toshio", "non-dropping-particle" : "", "parse-names" : false, "suffix" : "" }, { "dropping-particle" : "", "family" : "Sakai", "given" : "Yukimasa", "non-dropping-particle" : "", "parse-names" : false, "suffix" : "" }, { "dropping-particle" : "", "family" : "Kitayama", "given" : "Toshiaki", "non-dropping-particle" : "", "parse-names" : false, "suffix" : "" }, { "dropping-particle" : "", "family" : "Hamuro", "given" : "Masao", "non-dropping-particle" : "", "parse-names" : false, "suffix" : "" }, { "dropping-particle" : "", "family" : "Yamada", "given" : "Ryusaku", "non-dropping-particle" : "", "parse-names" : false, "suffix" : "" }, { "dropping-particle" : "", "family" : "Nakamura", "given" : "Kenji", "non-dropping-particle" : "", "parse-names" : false, "suffix" : "" }, { "dropping-particle" : "", "family" : "Arakawa", "given" : "Tetsuo", "non-dropping-particle" : "", "parse-names" : false, "suffix" : "" }, { "dropping-particle" : "", "family" : "Inoue", "given" : "Yuichi", "non-dropping-particle" : "", "parse-names" : false, "suffix" : "" } ], "container-title" : "AJR. American journal of roentgenology", "id" : "ITEM-2", "issue" : "4", "issued" : { "date-parts" : [ [ "2005", "4", "23" ] ] }, "language" : "en", "page" : "1340-6", "publisher" : "American Roentgen Ray Society", "title" : "Balloon-occluded retrograde transvenous obliteration of gastric varices with gastrorenal shunt: long-term follow-up in 78 patients.", "type" : "article-journal", "volume" : "184" }, "uris" : [ "http://www.mendeley.com/documents/?uuid=6a897468-4744-46fd-b28c-380ec9416087" ] } ], "mendeley" : { "formattedCitation" : "&lt;sup&gt;[48,50]&lt;/sup&gt;", "plainTextFormattedCitation" : "[48,50]", "previouslyFormattedCitation" : "&lt;sup&gt;[48,50]&lt;/sup&gt;" }, "properties" : { "noteIndex" : 0 }, "schema" : "https://github.com/citation-style-language/schema/raw/master/csl-citation.json" }</w:instrText>
      </w:r>
      <w:r w:rsidR="00AC10C1"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[48,50]</w:t>
      </w:r>
      <w:r w:rsidR="00AC10C1" w:rsidRPr="00787839">
        <w:rPr>
          <w:rFonts w:ascii="Book Antiqua" w:hAnsi="Book Antiqua"/>
          <w:sz w:val="24"/>
          <w:szCs w:val="24"/>
          <w:vertAlign w:val="superscript"/>
        </w:rPr>
        <w:fldChar w:fldCharType="end"/>
      </w:r>
      <w:r w:rsidR="00130CF5" w:rsidRPr="00787839">
        <w:rPr>
          <w:rFonts w:ascii="Book Antiqua" w:hAnsi="Book Antiqua"/>
          <w:sz w:val="24"/>
          <w:szCs w:val="24"/>
        </w:rPr>
        <w:t xml:space="preserve">. </w:t>
      </w:r>
      <w:r w:rsidRPr="00787839">
        <w:rPr>
          <w:rFonts w:ascii="Book Antiqua" w:hAnsi="Book Antiqua"/>
          <w:sz w:val="24"/>
          <w:szCs w:val="24"/>
        </w:rPr>
        <w:t xml:space="preserve">The efficacy of BRTO for treating gastric varices </w:t>
      </w:r>
      <w:r w:rsidR="0038080B" w:rsidRPr="00787839">
        <w:rPr>
          <w:rFonts w:ascii="Book Antiqua" w:hAnsi="Book Antiqua"/>
          <w:sz w:val="24"/>
          <w:szCs w:val="24"/>
        </w:rPr>
        <w:t>has been described as excellent</w:t>
      </w:r>
      <w:r w:rsidRPr="00787839">
        <w:rPr>
          <w:rFonts w:ascii="Book Antiqua" w:hAnsi="Book Antiqua"/>
          <w:sz w:val="24"/>
          <w:szCs w:val="24"/>
        </w:rPr>
        <w:t xml:space="preserve"> and some authors have insisted that the procedure could be used as a prophylactic treatment technique before the rupture of gastric varices</w:t>
      </w:r>
      <w:r w:rsidR="00AC10C1"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"10.2214/AJR.07.2266", "ISSN" : "1546-3141", "PMID" : "18029851", "abstract" : "OBJECTIVE: Our aim was to evaluate the clinical outcomes, techniques, and complications of balloon-occluded retrograde transvenous obliteration for treating gastric varices with spontaneous gastrosystemic shunts.\\n\\nMATERIALS AND METHODS: From November 2002 through October 2005, 49 consecutive patients with gastric varices were treated by balloon-occluded retrograde transvenous obliteration. The sclerosant was injected through the outflow veins during balloon occlusion. Immediate postprocedural CT scans were obtained to evaluate the procedural details. Recurrence and rebleeding of gastric varices and worsening of esophageal varices were evaluated by endoscopic examination and CT. The survival rates and prognostic factors after the procedure were also assessed.\\n\\nRESULTS: There were six procedural failures and two procedure-related deaths. Disappearance or marked shrinkage of the treated gastric varices with no recurrent gastric variceal bleeding was noted in 39 patients (79.6% clinical success rate). Approximately two thirds of our patients experienced worsening of esophageal varices during the median follow-up period of 457 days. The cumulative survival rates at 1 year and 3 years after balloon-occluded retrograde transvenous obliteration were 83.1% and 65.7%, respectively. The prognostic factors associated with survival were the preprocedural Child-Pugh classification and the total bilirubin level. The survival rates and procedural outcomes for the patients with severely compromised liver function were poor.\\n\\nCONCLUSION: Balloon-occluded retrograde transvenous obliteration is an effective treatment for the obliteration of gastric varices. However, application of this procedure to severely compromised patients should be considered carefully.", "author" : [ { "dropping-particle" : "", "family" : "Cho", "given" : "Sung Ki", "non-dropping-particle" : "", "parse-names" : false, "suffix" : "" }, { "dropping-particle" : "", "family" : "Shin", "given" : "Sung Wook", "non-dropping-particle" : "", "parse-names" : false, "suffix" : "" }, { "dropping-particle" : "", "family" : "Lee", "given" : "In Ho", "non-dropping-particle" : "", "parse-names" : false, "suffix" : "" }, { "dropping-particle" : "", "family" : "Do", "given" : "Young Soo", "non-dropping-particle" : "", "parse-names" : false, "suffix" : "" }, { "dropping-particle" : "", "family" : "Choo", "given" : "Sung Wook", "non-dropping-particle" : "", "parse-names" : false, "suffix" : "" }, { "dropping-particle" : "", "family" : "Park", "given" : "Kwang Bo", "non-dropping-particle" : "", "parse-names" : false, "suffix" : "" }, { "dropping-particle" : "", "family" : "Yoo", "given" : "Byung Chul", "non-dropping-particle" : "", "parse-names" : false, "suffix" : "" } ], "container-title" : "AJR. American journal of roentgenology", "id" : "ITEM-1", "issue" : "6", "issued" : { "date-parts" : [ [ "2007" ] ] }, "page" : "W365-72", "title" : "Balloon-occluded retrograde transvenous obliteration of gastric varices: outcomes and complications in 49 patients.", "type" : "article-journal", "volume" : "189" }, "uris" : [ "http://www.mendeley.com/documents/?uuid=2ab0db06-088e-4710-a5cf-638aff2a5a5e" ] } ], "mendeley" : { "formattedCitation" : "&lt;sup&gt;[49]&lt;/sup&gt;", "plainTextFormattedCitation" : "[49]", "previouslyFormattedCitation" : "&lt;sup&gt;[49]&lt;/sup&gt;" }, "properties" : { "noteIndex" : 0 }, "schema" : "https://github.com/citation-style-language/schema/raw/master/csl-citation.json" }</w:instrText>
      </w:r>
      <w:r w:rsidR="00AC10C1"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[49]</w:t>
      </w:r>
      <w:r w:rsidR="00AC10C1" w:rsidRPr="00787839">
        <w:rPr>
          <w:rFonts w:ascii="Book Antiqua" w:hAnsi="Book Antiqua"/>
          <w:sz w:val="24"/>
          <w:szCs w:val="24"/>
          <w:vertAlign w:val="superscript"/>
        </w:rPr>
        <w:fldChar w:fldCharType="end"/>
      </w:r>
      <w:r w:rsidR="0038080B" w:rsidRPr="00787839">
        <w:rPr>
          <w:rFonts w:ascii="Book Antiqua" w:hAnsi="Book Antiqua"/>
          <w:sz w:val="24"/>
          <w:szCs w:val="24"/>
        </w:rPr>
        <w:t xml:space="preserve">. </w:t>
      </w:r>
      <w:r w:rsidRPr="00787839">
        <w:rPr>
          <w:rFonts w:ascii="Book Antiqua" w:hAnsi="Book Antiqua"/>
          <w:sz w:val="24"/>
          <w:szCs w:val="24"/>
        </w:rPr>
        <w:t xml:space="preserve">BRTO </w:t>
      </w:r>
      <w:r w:rsidR="00AC10C1" w:rsidRPr="00787839">
        <w:rPr>
          <w:rFonts w:ascii="Book Antiqua" w:hAnsi="Book Antiqua"/>
          <w:sz w:val="24"/>
          <w:szCs w:val="24"/>
        </w:rPr>
        <w:t>is also</w:t>
      </w:r>
      <w:r w:rsidRPr="00787839">
        <w:rPr>
          <w:rFonts w:ascii="Book Antiqua" w:hAnsi="Book Antiqua"/>
          <w:sz w:val="24"/>
          <w:szCs w:val="24"/>
        </w:rPr>
        <w:t xml:space="preserve"> thought to improve p</w:t>
      </w:r>
      <w:r w:rsidR="00AC10C1" w:rsidRPr="00787839">
        <w:rPr>
          <w:rFonts w:ascii="Book Antiqua" w:hAnsi="Book Antiqua"/>
          <w:sz w:val="24"/>
          <w:szCs w:val="24"/>
        </w:rPr>
        <w:t xml:space="preserve">ortal venous flow </w:t>
      </w:r>
      <w:r w:rsidR="00877974" w:rsidRPr="00787839">
        <w:rPr>
          <w:rFonts w:ascii="Book Antiqua" w:hAnsi="Book Antiqua"/>
          <w:sz w:val="24"/>
          <w:szCs w:val="24"/>
        </w:rPr>
        <w:t xml:space="preserve">as it </w:t>
      </w:r>
      <w:r w:rsidRPr="00787839">
        <w:rPr>
          <w:rFonts w:ascii="Book Antiqua" w:hAnsi="Book Antiqua"/>
          <w:sz w:val="24"/>
          <w:szCs w:val="24"/>
        </w:rPr>
        <w:t xml:space="preserve">diverts the blood flow </w:t>
      </w:r>
      <w:r w:rsidR="00877974" w:rsidRPr="00787839">
        <w:rPr>
          <w:rFonts w:ascii="Book Antiqua" w:hAnsi="Book Antiqua"/>
          <w:sz w:val="24"/>
          <w:szCs w:val="24"/>
        </w:rPr>
        <w:t>from a collateral shunt pathway</w:t>
      </w:r>
      <w:r w:rsidR="00145046" w:rsidRPr="00787839">
        <w:rPr>
          <w:rFonts w:ascii="Book Antiqua" w:hAnsi="Book Antiqua"/>
          <w:sz w:val="24"/>
          <w:szCs w:val="24"/>
        </w:rPr>
        <w:t xml:space="preserve"> </w:t>
      </w:r>
      <w:r w:rsidRPr="00787839">
        <w:rPr>
          <w:rFonts w:ascii="Book Antiqua" w:hAnsi="Book Antiqua"/>
          <w:sz w:val="24"/>
          <w:szCs w:val="24"/>
        </w:rPr>
        <w:t>to the liver.</w:t>
      </w:r>
      <w:r w:rsidR="00E26174" w:rsidRPr="00787839">
        <w:rPr>
          <w:rFonts w:ascii="Book Antiqua" w:hAnsi="Book Antiqua"/>
          <w:sz w:val="24"/>
          <w:szCs w:val="24"/>
        </w:rPr>
        <w:t xml:space="preserve"> </w:t>
      </w:r>
      <w:r w:rsidR="00B75ADB" w:rsidRPr="00787839">
        <w:rPr>
          <w:rFonts w:ascii="Book Antiqua" w:hAnsi="Book Antiqua"/>
          <w:sz w:val="24"/>
          <w:szCs w:val="24"/>
        </w:rPr>
        <w:t>As such, BRTO is also an effective treatment for</w:t>
      </w:r>
      <w:r w:rsidR="00E26174" w:rsidRPr="00787839">
        <w:rPr>
          <w:rFonts w:ascii="Book Antiqua" w:hAnsi="Book Antiqua"/>
          <w:sz w:val="24"/>
          <w:szCs w:val="24"/>
        </w:rPr>
        <w:t xml:space="preserve"> those patients with ref</w:t>
      </w:r>
      <w:r w:rsidR="00B9173B" w:rsidRPr="00787839">
        <w:rPr>
          <w:rFonts w:ascii="Book Antiqua" w:hAnsi="Book Antiqua"/>
          <w:sz w:val="24"/>
          <w:szCs w:val="24"/>
        </w:rPr>
        <w:t>r</w:t>
      </w:r>
      <w:r w:rsidR="00E26174" w:rsidRPr="00787839">
        <w:rPr>
          <w:rFonts w:ascii="Book Antiqua" w:hAnsi="Book Antiqua"/>
          <w:sz w:val="24"/>
          <w:szCs w:val="24"/>
        </w:rPr>
        <w:t>actory hepatic encephalopathy</w:t>
      </w:r>
      <w:r w:rsidR="00130CF5" w:rsidRPr="00787839">
        <w:rPr>
          <w:rFonts w:ascii="Book Antiqua" w:hAnsi="Book Antiqua"/>
          <w:sz w:val="24"/>
          <w:szCs w:val="24"/>
        </w:rPr>
        <w:t xml:space="preserve"> </w:t>
      </w:r>
      <w:r w:rsidR="00E26174" w:rsidRPr="00787839">
        <w:rPr>
          <w:rFonts w:ascii="Book Antiqua" w:hAnsi="Book Antiqua"/>
          <w:sz w:val="24"/>
          <w:szCs w:val="24"/>
        </w:rPr>
        <w:fldChar w:fldCharType="begin" w:fldLock="1"/>
      </w:r>
      <w:r w:rsidR="0030026A" w:rsidRPr="00787839">
        <w:rPr>
          <w:rFonts w:ascii="Book Antiqua" w:hAnsi="Book Antiqua"/>
          <w:sz w:val="24"/>
          <w:szCs w:val="24"/>
        </w:rPr>
        <w:instrText>ADDIN CSL_CITATION { "citationItems" : [ { "id" : "ITEM-1", "itemData" : { "DOI" : "10.1148/radiology.165.3.3685350", "ISSN" : "0033-8419", "PMID" : "3685350", "abstract" : "Operative ligation of portosystemic shunts is effective in controlling chronic portosystemic encephalopathy (CPSE) but is associated with significant mortality. Review of the records of five patients with CPSE treated with radiologic occlusion procedures showed that these are suitable alternatives to surgery. Three patients had alcoholic cirrhosis, one had hepatic fibrosis from schistosomiasis, and one had post-necrotic cirrhosis. All had CPSE with progressive, severe cerebral impairment refractory to clinical treatment. Four patients had a spontaneous splenorenal shunt, and one had a surgically created mesocaval shunt (MCS). Partial splenic embolization was performed in two patients, direct shunt embolization was performed via percutaneous transhepatic portography in two other patients, and an MCS embolization was performed in one patient through the inferior vena cava. In four patients embolization controlled the CPSE. In the remaining patient it could not be evaluated because of his premature death from intraabdominal bleeding, a late complication of the procedure. Interventional radiologic procedures are effective in the control of CPSE in selected patients.", "author" : [ { "dropping-particle" : "", "family" : "Uflacker", "given" : "R", "non-dropping-particle" : "", "parse-names" : false, "suffix" : "" }, { "dropping-particle" : "", "family" : "Silva", "given" : "A de O", "non-dropping-particle" : "", "parse-names" : false, "suffix" : "" }, { "dropping-particle" : "", "family" : "d'Albuquerque", "given" : "L A", "non-dropping-particle" : "", "parse-names" : false, "suffix" : "" }, { "dropping-particle" : "", "family" : "Piske", "given" : "R L", "non-dropping-particle" : "", "parse-names" : false, "suffix" : "" }, { "dropping-particle" : "", "family" : "Mour\u00e3o", "given" : "G S", "non-dropping-particle" : "", "parse-names" : false, "suffix" : "" } ], "container-title" : "Radiology", "id" : "ITEM-1", "issue" : "3", "issued" : { "date-parts" : [ [ "1987", "12", "1" ] ] }, "language" : "en", "page" : "721-5", "title" : "Chronic portosystemic encephalopathy: embolization of portosystemic shunts.", "type" : "article-journal", "volume" : "165" }, "uris" : [ "http://www.mendeley.com/documents/?uuid=e0bbf4d7-d503-414d-98d3-df507b1f613b" ] }, { "id" : "ITEM-2", "itemData" : { "DOI" : "10.1053/j.tvir.2012.07.002", "ISSN" : "0174-1551", "PMID" : "23021830", "author" : [ { "dropping-particle" : "", "family" : "Saad", "given" : "Wael E.", "non-dropping-particle" : "", "parse-names" : false, "suffix" : "" }, { "dropping-particle" : "", "family" : "Khaja", "given" : "Minhaj S", "non-dropping-particle" : "", "parse-names" : false, "suffix" : "" }, { "dropping-particle" : "", "family" : "Hirota", "given" : "Shozo", "non-dropping-particle" : "", "parse-names" : false, "suffix" : "" } ], "container-title" : "Techniques in Vascular and Interventional Radiology", "id" : "ITEM-2", "issued" : { "date-parts" : [ [ "2012" ] ] }, "page" : "160-164", "publisher" : "Elsevier Inc.", "title" : "Balloon-Occluded Retrograde Transvenous Obliteration of Gastric Varices: Conception, Evolution, and History", "type" : "article-journal", "volume" : "15" }, "uris" : [ "http://www.mendeley.com/documents/?uuid=3fc60c8f-fcf1-459a-9bc1-d89cbc07cfc6" ] }, { "id" : "ITEM-3", "itemData" : { "DOI" : "10.2214/AJR.07.2266", "ISSN" : "1546-3141", "PMID" : "18029851", "abstract" : "OBJECTIVE: Our aim was to evaluate the clinical outcomes, techniques, and complications of balloon-occluded retrograde transvenous obliteration for treating gastric varices with spontaneous gastrosystemic shunts.\\n\\nMATERIALS AND METHODS: From November 2002 through October 2005, 49 consecutive patients with gastric varices were treated by balloon-occluded retrograde transvenous obliteration. The sclerosant was injected through the outflow veins during balloon occlusion. Immediate postprocedural CT scans were obtained to evaluate the procedural details. Recurrence and rebleeding of gastric varices and worsening of esophageal varices were evaluated by endoscopic examination and CT. The survival rates and prognostic factors after the procedure were also assessed.\\n\\nRESULTS: There were six procedural failures and two procedure-related deaths. Disappearance or marked shrinkage of the treated gastric varices with no recurrent gastric variceal bleeding was noted in 39 patients (79.6% clinical success rate). Approximately two thirds of our patients experienced worsening of esophageal varices during the median follow-up period of 457 days. The cumulative survival rates at 1 year and 3 years after balloon-occluded retrograde transvenous obliteration were 83.1% and 65.7%, respectively. The prognostic factors associated with survival were the preprocedural Child-Pugh classification and the total bilirubin level. The survival rates and procedural outcomes for the patients with severely compromised liver function were poor.\\n\\nCONCLUSION: Balloon-occluded retrograde transvenous obliteration is an effective treatment for the obliteration of gastric varices. However, application of this procedure to severely compromised patients should be considered carefully.", "author" : [ { "dropping-particle" : "", "family" : "Cho", "given" : "Sung Ki", "non-dropping-particle" : "", "parse-names" : false, "suffix" : "" }, { "dropping-particle" : "", "family" : "Shin", "given" : "Sung Wook", "non-dropping-particle" : "", "parse-names" : false, "suffix" : "" }, { "dropping-particle" : "", "family" : "Lee", "given" : "In Ho", "non-dropping-particle" : "", "parse-names" : false, "suffix" : "" }, { "dropping-particle" : "", "family" : "Do", "given" : "Young Soo", "non-dropping-particle" : "", "parse-names" : false, "suffix" : "" }, { "dropping-particle" : "", "family" : "Choo", "given" : "Sung Wook", "non-dropping-particle" : "", "parse-names" : false, "suffix" : "" }, { "dropping-particle" : "", "family" : "Park", "given" : "Kwang Bo", "non-dropping-particle" : "", "parse-names" : false, "suffix" : "" }, { "dropping-particle" : "", "family" : "Yoo", "given" : "Byung Chul", "non-dropping-particle" : "", "parse-names" : false, "suffix" : "" } ], "container-title" : "AJR. American journal of roentgenology", "id" : "ITEM-3", "issue" : "6", "issued" : { "date-parts" : [ [ "2007" ] ] }, "page" : "W365-72", "title" : "Balloon-occluded retrograde transvenous obliteration of gastric varices: outcomes and complications in 49 patients.", "type" : "article-journal", "volume" : "189" }, "uris" : [ "http://www.mendeley.com/documents/?uuid=2ab0db06-088e-4710-a5cf-638aff2a5a5e" ] }, { "id" : "ITEM-4", "itemData" : { "DOI" : "10.2214/ajr.184.4.01841340", "ISSN" : "0361-803X", "PMID" : "15788621", "abstract" : "OBJECTIVE: Our aim was to evaluate the long-term clinical results after balloon-occluded retrograde transvenous obliteration (B-RTO) for gastric varices with spontaneous gastrorenal shunt.\n\nMATERIALS AND METHODS: A total of 78 patients with cirrhosis and with gastric varices, successfully treated by B-RTO, were enrolled in this study. Recurrence and bleeding of gastric varices and worsening of esophageal varices were endoscopically evaluated. Univariate and multivariate analyses were used to assess the prognostic factors for worsening of esophageal varices and survival.\n\nRESULTS: Recurrence of gastric varices was found in two patients; the 5-year recurrence rate was 2.7%. Bleeding of gastric varices occurred in only one patient after B-RTO; the 5-year bleeding rate was 1.5%. Worsening of esophageal varices was observed in 29 patients, and the worsening rates at 1, 3, and 5 years were 27%, 58%, and 66%, respectively. These esophageal varices were endoscopically treated to prevent rupture. Multivariate analysis showed the presence of esophageal varices before B-RTO was a prognostic factor for worsening (relative risk, 4.956). At a median follow-up of 700 days (range, 137-2,339 days), the survival rates at 1, 3, and 5 years were 93%, 76%, and 54%, respectively. The prognostic factors associated with survival were presence of hepatocellular carcinoma (relative risk, 24.342) and the Child-Pugh classification (relative risk, 5.780).\n\nCONCLUSION: B-RTO is an effective method for gastric varices with gastrorenal shunt and provides lower recurrence and bleeding rates. We believe that B-RTO can become a standard treatment for gastric varices with gastrorenal shunt, although treatment of worsened esophageal varices may be necessary after B-RTO.", "author" : [ { "dropping-particle" : "", "family" : "Ninoi", "given" : "Teruhisa", "non-dropping-particle" : "", "parse-names" : false, "suffix" : "" }, { "dropping-particle" : "", "family" : "Nishida", "given" : "Norifumi", "non-dropping-particle" : "", "parse-names" : false, "suffix" : "" }, { "dropping-particle" : "", "family" : "Kaminou", "given" : "Toshio", "non-dropping-particle" : "", "parse-names" : false, "suffix" : "" }, { "dropping-particle" : "", "family" : "Sakai", "given" : "Yukimasa", "non-dropping-particle" : "", "parse-names" : false, "suffix" : "" }, { "dropping-particle" : "", "family" : "Kitayama", "given" : "Toshiaki", "non-dropping-particle" : "", "parse-names" : false, "suffix" : "" }, { "dropping-particle" : "", "family" : "Hamuro", "given" : "Masao", "non-dropping-particle" : "", "parse-names" : false, "suffix" : "" }, { "dropping-particle" : "", "family" : "Yamada", "given" : "Ryusaku", "non-dropping-particle" : "", "parse-names" : false, "suffix" : "" }, { "dropping-particle" : "", "family" : "Nakamura", "given" : "Kenji", "non-dropping-particle" : "", "parse-names" : false, "suffix" : "" }, { "dropping-particle" : "", "family" : "Arakawa", "given" : "Tetsuo", "non-dropping-particle" : "", "parse-names" : false, "suffix" : "" }, { "dropping-particle" : "", "family" : "Inoue", "given" : "Yuichi", "non-dropping-particle" : "", "parse-names" : false, "suffix" : "" } ], "container-title" : "AJR. American journal of roentgenology", "id" : "ITEM-4", "issue" : "4", "issued" : { "date-parts" : [ [ "2005", "4", "23" ] ] }, "language" : "en", "page" : "1340-6", "publisher" : "American Roentgen Ray Society", "title" : "Balloon-occluded retrograde transvenous obliteration of gastric varices with gastrorenal shunt: long-term follow-up in 78 patients.", "type" : "article-journal", "volume" : "184" }, "uris" : [ "http://www.mendeley.com/documents/?uuid=6a897468-4744-46fd-b28c-380ec9416087" ] }, { "id" : "ITEM-5", "itemData" : { "ISBN" : "10510443 (ISSN)", "ISSN" : "1051-0443", "PMID" : "11287510", "abstract" : "PURPOSE: To evaluate the long-term results of balloon-occluded retrograde transvenous obliteration (B-RTO) for the treatment of gastric varices (GV) and hepatic encephalopathy.\\n\\nMATERIALS AND METHODS: A total of 43 patients who had undergone B-RTO were evaluated, 32 with GV, two with hepatic encephalopathy, and nine with both. All but one had been consecutively followed up with gastrointestinal endoscopy for more than 1 year (3-60 months; mean, 30.44 months). Collateral veins of gastric varices were graded using balloon-occluded retrograde left adrenal venography. The relation of both worsening of esophageal varices (EV) and improved Child-Pugh score after B-RTO to the grades of collateral vein development was analyzed. The relapse-free survival and the prognostic factors for survival after B-RTO were also assessed.\\n\\nRESULTS: GV disappeared or decreased markedly in size, and hepatic encephalopathy was completely cured in all patients. Improvement in Child-Pugh score was observed in 21 patient (50.0%) 6 months after B-RTO, but in only 11 patients (25.6%) 1 year after B-RTO. Worsening of EV was seen in eight patients and was related to a worsened grade of collateral veins. Cumulative relapse-free survival rate was 90.8% at 1 year and 87.4% at 3 years after B-RTO. The most significant prognostic factor was Child-Pugh classification (relative risk: 4.16)\\n\\nCONCLUSION: B-RTO is a safe and effective treatment for patients with GV and hepatic encephalopathy. The most important prognostic factors are the extent of Child-Pugh classification.", "author" : [ { "dropping-particle" : "", "family" : "Fukuda", "given" : "T", "non-dropping-particle" : "", "parse-names" : false, "suffix" : "" }, { "dropping-particle" : "", "family" : "Hirota", "given" : "S", "non-dropping-particle" : "", "parse-names" : false, "suffix" : "" }, { "dropping-particle" : "", "family" : "Sugimura", "given" : "K", "non-dropping-particle" : "", "parse-names" : false, "suffix" : "" } ], "container-title" : "Journal of vascular and interventional radiology : JVIR", "id" : "ITEM-5", "issue" : "3", "issued" : { "date-parts" : [ [ "2001" ] ] }, "page" : "327-36", "title" : "Long-term results of balloon-occluded retrograde transvenous obliteration for the treatment of gastric varices and hepatic encephalopathy.", "type" : "article-journal", "volume" : "12" }, "uris" : [ "http://www.mendeley.com/documents/?uuid=0bfc533a-ffde-4b98-b4ae-0cda7dc6edbe" ] } ], "mendeley" : { "formattedCitation" : "&lt;sup&gt;[46,48\u201351]&lt;/sup&gt;", "plainTextFormattedCitation" : "[46,48\u201351]", "previouslyFormattedCitation" : "&lt;sup&gt;[46,48\u201351]&lt;/sup&gt;" }, "properties" : { "noteIndex" : 0 }, "schema" : "https://github.com/citation-style-language/schema/raw/master/csl-citation.json" }</w:instrText>
      </w:r>
      <w:r w:rsidR="00E26174" w:rsidRPr="00787839">
        <w:rPr>
          <w:rFonts w:ascii="Book Antiqua" w:hAnsi="Book Antiqua"/>
          <w:sz w:val="24"/>
          <w:szCs w:val="24"/>
        </w:rPr>
        <w:fldChar w:fldCharType="separate"/>
      </w:r>
      <w:r w:rsidR="0030026A" w:rsidRPr="00787839">
        <w:rPr>
          <w:rFonts w:ascii="Book Antiqua" w:hAnsi="Book Antiqua"/>
          <w:noProof/>
          <w:sz w:val="24"/>
          <w:szCs w:val="24"/>
          <w:vertAlign w:val="superscript"/>
        </w:rPr>
        <w:t>[46,48–51]</w:t>
      </w:r>
      <w:r w:rsidR="00E26174" w:rsidRPr="00787839">
        <w:rPr>
          <w:rFonts w:ascii="Book Antiqua" w:hAnsi="Book Antiqua"/>
          <w:sz w:val="24"/>
          <w:szCs w:val="24"/>
        </w:rPr>
        <w:fldChar w:fldCharType="end"/>
      </w:r>
      <w:r w:rsidR="00130CF5" w:rsidRPr="00787839">
        <w:rPr>
          <w:rFonts w:ascii="Book Antiqua" w:hAnsi="Book Antiqua"/>
          <w:sz w:val="24"/>
          <w:szCs w:val="24"/>
        </w:rPr>
        <w:t>.</w:t>
      </w:r>
      <w:r w:rsidR="00E26174" w:rsidRPr="00787839">
        <w:rPr>
          <w:rFonts w:ascii="Book Antiqua" w:hAnsi="Book Antiqua"/>
          <w:sz w:val="24"/>
          <w:szCs w:val="24"/>
        </w:rPr>
        <w:t xml:space="preserve"> </w:t>
      </w:r>
    </w:p>
    <w:p w14:paraId="14AAE573" w14:textId="77B06646" w:rsidR="00F14A23" w:rsidRPr="00787839" w:rsidRDefault="003B5A09" w:rsidP="00787839">
      <w:pPr>
        <w:pStyle w:val="Body1"/>
        <w:adjustRightInd w:val="0"/>
        <w:snapToGrid w:val="0"/>
        <w:spacing w:after="0" w:line="360" w:lineRule="auto"/>
        <w:ind w:firstLineChars="100" w:firstLine="240"/>
        <w:rPr>
          <w:rFonts w:ascii="Book Antiqua" w:hAnsi="Book Antiqua"/>
          <w:sz w:val="24"/>
          <w:szCs w:val="24"/>
        </w:rPr>
      </w:pPr>
      <w:r w:rsidRPr="00787839">
        <w:rPr>
          <w:rFonts w:ascii="Book Antiqua" w:hAnsi="Book Antiqua"/>
          <w:sz w:val="24"/>
          <w:szCs w:val="24"/>
        </w:rPr>
        <w:t>BRTO is advantageous to TIPS in that it does not require general anesthesia</w:t>
      </w:r>
      <w:r w:rsidR="0065476C" w:rsidRPr="00787839">
        <w:rPr>
          <w:rFonts w:ascii="Book Antiqua" w:hAnsi="Book Antiqua"/>
          <w:sz w:val="24"/>
          <w:szCs w:val="24"/>
        </w:rPr>
        <w:t xml:space="preserve"> and can be performed on patients with poor hepatic reserve </w:t>
      </w:r>
      <w:r w:rsidR="002F5290" w:rsidRPr="00787839">
        <w:rPr>
          <w:rFonts w:ascii="Book Antiqua" w:hAnsi="Book Antiqua"/>
          <w:sz w:val="24"/>
          <w:szCs w:val="24"/>
        </w:rPr>
        <w:t xml:space="preserve">or </w:t>
      </w:r>
      <w:r w:rsidR="0065476C" w:rsidRPr="00787839">
        <w:rPr>
          <w:rFonts w:ascii="Book Antiqua" w:hAnsi="Book Antiqua"/>
          <w:sz w:val="24"/>
          <w:szCs w:val="24"/>
        </w:rPr>
        <w:t>those with encephalopathy</w:t>
      </w:r>
      <w:r w:rsidR="00F1595B" w:rsidRPr="00787839">
        <w:rPr>
          <w:rFonts w:ascii="Book Antiqua" w:hAnsi="Book Antiqua"/>
          <w:sz w:val="24"/>
          <w:szCs w:val="24"/>
        </w:rPr>
        <w:fldChar w:fldCharType="begin" w:fldLock="1"/>
      </w:r>
      <w:r w:rsidR="0030026A" w:rsidRPr="00787839">
        <w:rPr>
          <w:rFonts w:ascii="Book Antiqua" w:hAnsi="Book Antiqua"/>
          <w:sz w:val="24"/>
          <w:szCs w:val="24"/>
        </w:rPr>
        <w:instrText>ADDIN CSL_CITATION { "citationItems" : [ { "id" : "ITEM-1", "itemData" : { "DOI" : "10.2214/AJR.07.2266", "ISSN" : "1546-3141", "PMID" : "18029851", "abstract" : "OBJECTIVE: Our aim was to evaluate the clinical outcomes, techniques, and complications of balloon-occluded retrograde transvenous obliteration for treating gastric varices with spontaneous gastrosystemic shunts.\\n\\nMATERIALS AND METHODS: From November 2002 through October 2005, 49 consecutive patients with gastric varices were treated by balloon-occluded retrograde transvenous obliteration. The sclerosant was injected through the outflow veins during balloon occlusion. Immediate postprocedural CT scans were obtained to evaluate the procedural details. Recurrence and rebleeding of gastric varices and worsening of esophageal varices were evaluated by endoscopic examination and CT. The survival rates and prognostic factors after the procedure were also assessed.\\n\\nRESULTS: There were six procedural failures and two procedure-related deaths. Disappearance or marked shrinkage of the treated gastric varices with no recurrent gastric variceal bleeding was noted in 39 patients (79.6% clinical success rate). Approximately two thirds of our patients experienced worsening of esophageal varices during the median follow-up period of 457 days. The cumulative survival rates at 1 year and 3 years after balloon-occluded retrograde transvenous obliteration were 83.1% and 65.7%, respectively. The prognostic factors associated with survival were the preprocedural Child-Pugh classification and the total bilirubin level. The survival rates and procedural outcomes for the patients with severely compromised liver function were poor.\\n\\nCONCLUSION: Balloon-occluded retrograde transvenous obliteration is an effective treatment for the obliteration of gastric varices. However, application of this procedure to severely compromised patients should be considered carefully.", "author" : [ { "dropping-particle" : "", "family" : "Cho", "given" : "Sung Ki", "non-dropping-particle" : "", "parse-names" : false, "suffix" : "" }, { "dropping-particle" : "", "family" : "Shin", "given" : "Sung Wook", "non-dropping-particle" : "", "parse-names" : false, "suffix" : "" }, { "dropping-particle" : "", "family" : "Lee", "given" : "In Ho", "non-dropping-particle" : "", "parse-names" : false, "suffix" : "" }, { "dropping-particle" : "", "family" : "Do", "given" : "Young Soo", "non-dropping-particle" : "", "parse-names" : false, "suffix" : "" }, { "dropping-particle" : "", "family" : "Choo", "given" : "Sung Wook", "non-dropping-particle" : "", "parse-names" : false, "suffix" : "" }, { "dropping-particle" : "", "family" : "Park", "given" : "Kwang Bo", "non-dropping-particle" : "", "parse-names" : false, "suffix" : "" }, { "dropping-particle" : "", "family" : "Yoo", "given" : "Byung Chul", "non-dropping-particle" : "", "parse-names" : false, "suffix" : "" } ], "container-title" : "AJR. American journal of roentgenology", "id" : "ITEM-1", "issue" : "6", "issued" : { "date-parts" : [ [ "2007" ] ] }, "page" : "W365-72", "title" : "Balloon-occluded retrograde transvenous obliteration of gastric varices: outcomes and complications in 49 patients.", "type" : "article-journal", "volume" : "189" }, "uris" : [ "http://www.mendeley.com/documents/?uuid=2ab0db06-088e-4710-a5cf-638aff2a5a5e" ] } ], "mendeley" : { "formattedCitation" : "&lt;sup&gt;[49]&lt;/sup&gt;", "plainTextFormattedCitation" : "[49]", "previouslyFormattedCitation" : "&lt;sup&gt;[49]&lt;/sup&gt;" }, "properties" : { "noteIndex" : 0 }, "schema" : "https://github.com/citation-style-language/schema/raw/master/csl-citation.json" }</w:instrText>
      </w:r>
      <w:r w:rsidR="00F1595B" w:rsidRPr="00787839">
        <w:rPr>
          <w:rFonts w:ascii="Book Antiqua" w:hAnsi="Book Antiqua"/>
          <w:sz w:val="24"/>
          <w:szCs w:val="24"/>
        </w:rPr>
        <w:fldChar w:fldCharType="separate"/>
      </w:r>
      <w:r w:rsidR="0030026A" w:rsidRPr="00787839">
        <w:rPr>
          <w:rFonts w:ascii="Book Antiqua" w:hAnsi="Book Antiqua"/>
          <w:noProof/>
          <w:sz w:val="24"/>
          <w:szCs w:val="24"/>
          <w:vertAlign w:val="superscript"/>
        </w:rPr>
        <w:t>[49]</w:t>
      </w:r>
      <w:r w:rsidR="00F1595B" w:rsidRPr="00787839">
        <w:rPr>
          <w:rFonts w:ascii="Book Antiqua" w:hAnsi="Book Antiqua"/>
          <w:sz w:val="24"/>
          <w:szCs w:val="24"/>
        </w:rPr>
        <w:fldChar w:fldCharType="end"/>
      </w:r>
      <w:r w:rsidR="0038080B" w:rsidRPr="00787839">
        <w:rPr>
          <w:rFonts w:ascii="Book Antiqua" w:hAnsi="Book Antiqua"/>
          <w:sz w:val="24"/>
          <w:szCs w:val="24"/>
        </w:rPr>
        <w:t xml:space="preserve">. </w:t>
      </w:r>
      <w:r w:rsidR="0065476C" w:rsidRPr="00787839">
        <w:rPr>
          <w:rFonts w:ascii="Book Antiqua" w:hAnsi="Book Antiqua"/>
          <w:sz w:val="24"/>
          <w:szCs w:val="24"/>
        </w:rPr>
        <w:t>However, occlusion of the natural shunt</w:t>
      </w:r>
      <w:r w:rsidR="009A7A87" w:rsidRPr="00787839">
        <w:rPr>
          <w:rFonts w:ascii="Book Antiqua" w:hAnsi="Book Antiqua"/>
          <w:sz w:val="24"/>
          <w:szCs w:val="24"/>
        </w:rPr>
        <w:t>s result</w:t>
      </w:r>
      <w:r w:rsidRPr="00787839">
        <w:rPr>
          <w:rFonts w:ascii="Book Antiqua" w:hAnsi="Book Antiqua"/>
          <w:sz w:val="24"/>
          <w:szCs w:val="24"/>
        </w:rPr>
        <w:t>s</w:t>
      </w:r>
      <w:r w:rsidR="008B0A67" w:rsidRPr="00787839">
        <w:rPr>
          <w:rFonts w:ascii="Book Antiqua" w:hAnsi="Book Antiqua"/>
          <w:sz w:val="24"/>
          <w:szCs w:val="24"/>
        </w:rPr>
        <w:t xml:space="preserve"> in increase hepatopet</w:t>
      </w:r>
      <w:r w:rsidR="009A7A87" w:rsidRPr="00787839">
        <w:rPr>
          <w:rFonts w:ascii="Book Antiqua" w:hAnsi="Book Antiqua"/>
          <w:sz w:val="24"/>
          <w:szCs w:val="24"/>
        </w:rPr>
        <w:t>al flow through the portal vein, increasing portal venous pressure.</w:t>
      </w:r>
      <w:r w:rsidR="0065476C" w:rsidRPr="00787839">
        <w:rPr>
          <w:rFonts w:ascii="Book Antiqua" w:hAnsi="Book Antiqua"/>
          <w:sz w:val="24"/>
          <w:szCs w:val="24"/>
        </w:rPr>
        <w:t xml:space="preserve"> </w:t>
      </w:r>
      <w:r w:rsidR="009A7A87" w:rsidRPr="00787839">
        <w:rPr>
          <w:rFonts w:ascii="Book Antiqua" w:hAnsi="Book Antiqua"/>
          <w:sz w:val="24"/>
          <w:szCs w:val="24"/>
        </w:rPr>
        <w:t>This may inadvertently</w:t>
      </w:r>
      <w:r w:rsidR="0065476C" w:rsidRPr="00787839">
        <w:rPr>
          <w:rFonts w:ascii="Book Antiqua" w:hAnsi="Book Antiqua"/>
          <w:sz w:val="24"/>
          <w:szCs w:val="24"/>
        </w:rPr>
        <w:t xml:space="preserve"> </w:t>
      </w:r>
      <w:r w:rsidR="006D3A59" w:rsidRPr="00787839">
        <w:rPr>
          <w:rFonts w:ascii="Book Antiqua" w:hAnsi="Book Antiqua"/>
          <w:sz w:val="24"/>
          <w:szCs w:val="24"/>
        </w:rPr>
        <w:t>aggravate</w:t>
      </w:r>
      <w:r w:rsidR="0065476C" w:rsidRPr="00787839">
        <w:rPr>
          <w:rFonts w:ascii="Book Antiqua" w:hAnsi="Book Antiqua"/>
          <w:sz w:val="24"/>
          <w:szCs w:val="24"/>
        </w:rPr>
        <w:t xml:space="preserve"> esophageal varices and ascites. </w:t>
      </w:r>
      <w:r w:rsidR="006D3A59" w:rsidRPr="00787839">
        <w:rPr>
          <w:rFonts w:ascii="Book Antiqua" w:hAnsi="Book Antiqua"/>
          <w:sz w:val="24"/>
          <w:szCs w:val="24"/>
        </w:rPr>
        <w:t>In patients with poor hepatic reserve, risks and benefits of BRTO should be weighted very carefully</w:t>
      </w:r>
      <w:r w:rsidR="00F1595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"10.2214/AJR.07.2266", "ISSN" : "1546-3141", "PMID" : "18029851", "abstract" : "OBJECTIVE: Our aim was to evaluate the clinical outcomes, techniques, and complications of balloon-occluded retrograde transvenous obliteration for treating gastric varices with spontaneous gastrosystemic shunts.\\n\\nMATERIALS AND METHODS: From November 2002 through October 2005, 49 consecutive patients with gastric varices were treated by balloon-occluded retrograde transvenous obliteration. The sclerosant was injected through the outflow veins during balloon occlusion. Immediate postprocedural CT scans were obtained to evaluate the procedural details. Recurrence and rebleeding of gastric varices and worsening of esophageal varices were evaluated by endoscopic examination and CT. The survival rates and prognostic factors after the procedure were also assessed.\\n\\nRESULTS: There were six procedural failures and two procedure-related deaths. Disappearance or marked shrinkage of the treated gastric varices with no recurrent gastric variceal bleeding was noted in 39 patients (79.6% clinical success rate). Approximately two thirds of our patients experienced worsening of esophageal varices during the median follow-up period of 457 days. The cumulative survival rates at 1 year and 3 years after balloon-occluded retrograde transvenous obliteration were 83.1% and 65.7%, respectively. The prognostic factors associated with survival were the preprocedural Child-Pugh classification and the total bilirubin level. The survival rates and procedural outcomes for the patients with severely compromised liver function were poor.\\n\\nCONCLUSION: Balloon-occluded retrograde transvenous obliteration is an effective treatment for the obliteration of gastric varices. However, application of this procedure to severely compromised patients should be considered carefully.", "author" : [ { "dropping-particle" : "", "family" : "Cho", "given" : "Sung Ki", "non-dropping-particle" : "", "parse-names" : false, "suffix" : "" }, { "dropping-particle" : "", "family" : "Shin", "given" : "Sung Wook", "non-dropping-particle" : "", "parse-names" : false, "suffix" : "" }, { "dropping-particle" : "", "family" : "Lee", "given" : "In Ho", "non-dropping-particle" : "", "parse-names" : false, "suffix" : "" }, { "dropping-particle" : "", "family" : "Do", "given" : "Young Soo", "non-dropping-particle" : "", "parse-names" : false, "suffix" : "" }, { "dropping-particle" : "", "family" : "Choo", "given" : "Sung Wook", "non-dropping-particle" : "", "parse-names" : false, "suffix" : "" }, { "dropping-particle" : "", "family" : "Park", "given" : "Kwang Bo", "non-dropping-particle" : "", "parse-names" : false, "suffix" : "" }, { "dropping-particle" : "", "family" : "Yoo", "given" : "Byung Chul", "non-dropping-particle" : "", "parse-names" : false, "suffix" : "" } ], "container-title" : "AJR. American journal of roentgenology", "id" : "ITEM-1", "issue" : "6", "issued" : { "date-parts" : [ [ "2007" ] ] }, "page" : "W365-72", "title" : "Balloon-occluded retrograde transvenous obliteration of gastric varices: outcomes and complications in 49 patients.", "type" : "article-journal", "volume" : "189" }, "uris" : [ "http://www.mendeley.com/documents/?uuid=2ab0db06-088e-4710-a5cf-638aff2a5a5e" ] }, { "id" : "ITEM-2", "itemData" : { "DOI" : "10.1148/rg.335125166", "PMID" : "24025936", "abstract" : "Management of clinically important sequelae of portal hypertension, such as variceal bleeding and ascites, may involve a combination of medical, endoscopic, surgical, and interventional approaches and procedures. Although clinically significant esophageal and rectal varices are typically visible endoscopically, ectopic varices may require multiplanar portal venous phase computed tomography or magnetic resonance imaging for diagnosis. A detailed understanding of individual vascular anatomy, flow dynamics, and patient-related factors such as cardiac and hepatic status is necessary for appropriate treatment selection in patients with complicated portal hypertension. The hepatic venous pressure gradient is the key indirect measurement of portal venous pressure. Transjugular intrahepatic portosystemic shunt (TIPS) placement is regarded as the archetypal intervention for treating complicated portal hypertension by reducing portal pressure. Various modifications, such as direct portocaval shunt, may be used in patients with challenging vascular anatomy. A subset of patients with obstructed hepatic venous outflow or portal venous inflow should be considered for recanalization. Splenic artery embolization may be considered for reduction of portal pressure in selected patients, particularly when hypersplenism or splenic vein occlusion is a prominent feature. Gastric and ectopic varices may bleed even when the portal pressure is low, and balloon-occluded retrograde transvenous obliteration (BRTO) in such patients may lead to equal or improved outcome compared with TIPS placement. BRTO is not limited by poor hepatic reserve or encephalopathy; however, it does not reduce portal pressure and may aggravate esophageal varices. Interventional radiology plays an important role in maintaining the patency of surgically created portosystemic shunts, and it remains at the forefront of new approaches in shunt design and placement. Supplemental material available at http://radiographics.rsna.org/lookup/suppl/doi:10.1148/rg.335125166/-/DC1.", "author" : [ { "dropping-particle" : "", "family" : "Kirby", "given" : "John Martin", "non-dropping-particle" : "", "parse-names" : false, "suffix" : "" }, { "dropping-particle" : "", "family" : "Cho", "given" : "Kyung J", "non-dropping-particle" : "", "parse-names" : false, "suffix" : "" }, { "dropping-particle" : "", "family" : "Midia", "given" : "Mehran", "non-dropping-particle" : "", "parse-names" : false, "suffix" : "" } ], "container-title" : "Radiographics", "id" : "ITEM-2", "issue" : "5", "issued" : { "date-parts" : [ [ "2013" ] ] }, "page" : "1473-1496", "publisher-place" : "Department of Radiology, McMaster University Medical Center, Hamilton Health Sciences, Hamilton, Ontario, Canada.", "title" : "Image-guided intervention in management of complications of portal hypertension: more than TIPS for success.", "type" : "article-journal", "volume" : "33" }, "uris" : [ "http://www.mendeley.com/documents/?uuid=e300337b-d31c-4eaf-9544-bda0de1d636d" ] } ], "mendeley" : { "formattedCitation" : "&lt;sup&gt;[39,49]&lt;/sup&gt;", "plainTextFormattedCitation" : "[39,49]", "previouslyFormattedCitation" : "&lt;sup&gt;[39,49]&lt;/sup&gt;" }, "properties" : { "noteIndex" : 0 }, "schema" : "https://github.com/citation-style-language/schema/raw/master/csl-citation.json" }</w:instrText>
      </w:r>
      <w:r w:rsidR="00F1595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[39,49]</w:t>
      </w:r>
      <w:r w:rsidR="00F1595B" w:rsidRPr="00787839">
        <w:rPr>
          <w:rFonts w:ascii="Book Antiqua" w:hAnsi="Book Antiqua"/>
          <w:sz w:val="24"/>
          <w:szCs w:val="24"/>
          <w:vertAlign w:val="superscript"/>
        </w:rPr>
        <w:fldChar w:fldCharType="end"/>
      </w:r>
      <w:r w:rsidR="00637817" w:rsidRPr="00787839">
        <w:rPr>
          <w:rFonts w:ascii="Book Antiqua" w:hAnsi="Book Antiqua"/>
          <w:sz w:val="24"/>
          <w:szCs w:val="24"/>
        </w:rPr>
        <w:t xml:space="preserve">. </w:t>
      </w:r>
      <w:r w:rsidR="008678BB" w:rsidRPr="00787839">
        <w:rPr>
          <w:rFonts w:ascii="Book Antiqua" w:hAnsi="Book Antiqua"/>
          <w:sz w:val="24"/>
          <w:szCs w:val="24"/>
        </w:rPr>
        <w:t xml:space="preserve">Additionally, </w:t>
      </w:r>
      <w:r w:rsidR="00877B30" w:rsidRPr="00787839">
        <w:rPr>
          <w:rFonts w:ascii="Book Antiqua" w:hAnsi="Book Antiqua"/>
          <w:sz w:val="24"/>
          <w:szCs w:val="24"/>
        </w:rPr>
        <w:t xml:space="preserve">the sclerosing agents themselves also have a potential serious side effects including, pulmonary edema, </w:t>
      </w:r>
      <w:r w:rsidR="001B2F47" w:rsidRPr="00787839">
        <w:rPr>
          <w:rFonts w:ascii="Book Antiqua" w:hAnsi="Book Antiqua"/>
          <w:sz w:val="24"/>
          <w:szCs w:val="24"/>
        </w:rPr>
        <w:t>disseminated</w:t>
      </w:r>
      <w:r w:rsidR="00877B30" w:rsidRPr="00787839">
        <w:rPr>
          <w:rFonts w:ascii="Book Antiqua" w:hAnsi="Book Antiqua"/>
          <w:sz w:val="24"/>
          <w:szCs w:val="24"/>
        </w:rPr>
        <w:t xml:space="preserve"> intravascular coagulopathy, </w:t>
      </w:r>
      <w:r w:rsidR="00647738" w:rsidRPr="00787839">
        <w:rPr>
          <w:rFonts w:ascii="Book Antiqua" w:hAnsi="Book Antiqua"/>
          <w:sz w:val="24"/>
          <w:szCs w:val="24"/>
        </w:rPr>
        <w:t xml:space="preserve">portal vein thrombosis, renal dysfunction </w:t>
      </w:r>
      <w:r w:rsidR="000D6064" w:rsidRPr="00787839">
        <w:rPr>
          <w:rFonts w:ascii="Book Antiqua" w:hAnsi="Book Antiqua"/>
          <w:sz w:val="24"/>
          <w:szCs w:val="24"/>
        </w:rPr>
        <w:t>and anaphylaxis</w:t>
      </w:r>
      <w:r w:rsidR="00F1595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"10.2214/AJR.07.2266", "ISSN" : "1546-3141", "PMID" : "18029851", "abstract" : "OBJECTIVE: Our aim was to evaluate the clinical outcomes, techniques, and complications of balloon-occluded retrograde transvenous obliteration for treating gastric varices with spontaneous gastrosystemic shunts.\\n\\nMATERIALS AND METHODS: From November 2002 through October 2005, 49 consecutive patients with gastric varices were treated by balloon-occluded retrograde transvenous obliteration. The sclerosant was injected through the outflow veins during balloon occlusion. Immediate postprocedural CT scans were obtained to evaluate the procedural details. Recurrence and rebleeding of gastric varices and worsening of esophageal varices were evaluated by endoscopic examination and CT. The survival rates and prognostic factors after the procedure were also assessed.\\n\\nRESULTS: There were six procedural failures and two procedure-related deaths. Disappearance or marked shrinkage of the treated gastric varices with no recurrent gastric variceal bleeding was noted in 39 patients (79.6% clinical success rate). Approximately two thirds of our patients experienced worsening of esophageal varices during the median follow-up period of 457 days. The cumulative survival rates at 1 year and 3 years after balloon-occluded retrograde transvenous obliteration were 83.1% and 65.7%, respectively. The prognostic factors associated with survival were the preprocedural Child-Pugh classification and the total bilirubin level. The survival rates and procedural outcomes for the patients with severely compromised liver function were poor.\\n\\nCONCLUSION: Balloon-occluded retrograde transvenous obliteration is an effective treatment for the obliteration of gastric varices. However, application of this procedure to severely compromised patients should be considered carefully.", "author" : [ { "dropping-particle" : "", "family" : "Cho", "given" : "Sung Ki", "non-dropping-particle" : "", "parse-names" : false, "suffix" : "" }, { "dropping-particle" : "", "family" : "Shin", "given" : "Sung Wook", "non-dropping-particle" : "", "parse-names" : false, "suffix" : "" }, { "dropping-particle" : "", "family" : "Lee", "given" : "In Ho", "non-dropping-particle" : "", "parse-names" : false, "suffix" : "" }, { "dropping-particle" : "", "family" : "Do", "given" : "Young Soo", "non-dropping-particle" : "", "parse-names" : false, "suffix" : "" }, { "dropping-particle" : "", "family" : "Choo", "given" : "Sung Wook", "non-dropping-particle" : "", "parse-names" : false, "suffix" : "" }, { "dropping-particle" : "", "family" : "Park", "given" : "Kwang Bo", "non-dropping-particle" : "", "parse-names" : false, "suffix" : "" }, { "dropping-particle" : "", "family" : "Yoo", "given" : "Byung Chul", "non-dropping-particle" : "", "parse-names" : false, "suffix" : "" } ], "container-title" : "AJR. American journal of roentgenology", "id" : "ITEM-1", "issue" : "6", "issued" : { "date-parts" : [ [ "2007" ] ] }, "page" : "W365-72", "title" : "Balloon-occluded retrograde transvenous obliteration of gastric varices: outcomes and complications in 49 patients.", "type" : "article-journal", "volume" : "189" }, "uris" : [ "http://www.mendeley.com/documents/?uuid=2ab0db06-088e-4710-a5cf-638aff2a5a5e" ] }, { "id" : "ITEM-2", "itemData" : { "DOI" : "10.2214/ajr.184.4.01841340", "ISSN" : "0361-803X", "PMID" : "15788621", "abstract" : "OBJECTIVE: Our aim was to evaluate the long-term clinical results after balloon-occluded retrograde transvenous obliteration (B-RTO) for gastric varices with spontaneous gastrorenal shunt.\n\nMATERIALS AND METHODS: A total of 78 patients with cirrhosis and with gastric varices, successfully treated by B-RTO, were enrolled in this study. Recurrence and bleeding of gastric varices and worsening of esophageal varices were endoscopically evaluated. Univariate and multivariate analyses were used to assess the prognostic factors for worsening of esophageal varices and survival.\n\nRESULTS: Recurrence of gastric varices was found in two patients; the 5-year recurrence rate was 2.7%. Bleeding of gastric varices occurred in only one patient after B-RTO; the 5-year bleeding rate was 1.5%. Worsening of esophageal varices was observed in 29 patients, and the worsening rates at 1, 3, and 5 years were 27%, 58%, and 66%, respectively. These esophageal varices were endoscopically treated to prevent rupture. Multivariate analysis showed the presence of esophageal varices before B-RTO was a prognostic factor for worsening (relative risk, 4.956). At a median follow-up of 700 days (range, 137-2,339 days), the survival rates at 1, 3, and 5 years were 93%, 76%, and 54%, respectively. The prognostic factors associated with survival were presence of hepatocellular carcinoma (relative risk, 24.342) and the Child-Pugh classification (relative risk, 5.780).\n\nCONCLUSION: B-RTO is an effective method for gastric varices with gastrorenal shunt and provides lower recurrence and bleeding rates. We believe that B-RTO can become a standard treatment for gastric varices with gastrorenal shunt, although treatment of worsened esophageal varices may be necessary after B-RTO.", "author" : [ { "dropping-particle" : "", "family" : "Ninoi", "given" : "Teruhisa", "non-dropping-particle" : "", "parse-names" : false, "suffix" : "" }, { "dropping-particle" : "", "family" : "Nishida", "given" : "Norifumi", "non-dropping-particle" : "", "parse-names" : false, "suffix" : "" }, { "dropping-particle" : "", "family" : "Kaminou", "given" : "Toshio", "non-dropping-particle" : "", "parse-names" : false, "suffix" : "" }, { "dropping-particle" : "", "family" : "Sakai", "given" : "Yukimasa", "non-dropping-particle" : "", "parse-names" : false, "suffix" : "" }, { "dropping-particle" : "", "family" : "Kitayama", "given" : "Toshiaki", "non-dropping-particle" : "", "parse-names" : false, "suffix" : "" }, { "dropping-particle" : "", "family" : "Hamuro", "given" : "Masao", "non-dropping-particle" : "", "parse-names" : false, "suffix" : "" }, { "dropping-particle" : "", "family" : "Yamada", "given" : "Ryusaku", "non-dropping-particle" : "", "parse-names" : false, "suffix" : "" }, { "dropping-particle" : "", "family" : "Nakamura", "given" : "Kenji", "non-dropping-particle" : "", "parse-names" : false, "suffix" : "" }, { "dropping-particle" : "", "family" : "Arakawa", "given" : "Tetsuo", "non-dropping-particle" : "", "parse-names" : false, "suffix" : "" }, { "dropping-particle" : "", "family" : "Inoue", "given" : "Yuichi", "non-dropping-particle" : "", "parse-names" : false, "suffix" : "" } ], "container-title" : "AJR. American journal of roentgenology", "id" : "ITEM-2", "issue" : "4", "issued" : { "date-parts" : [ [ "2005", "4", "23" ] ] }, "language" : "en", "page" : "1340-6", "publisher" : "American Roentgen Ray Society", "title" : "Balloon-occluded retrograde transvenous obliteration of gastric varices with gastrorenal shunt: long-term follow-up in 78 patients.", "type" : "article-journal", "volume" : "184" }, "uris" : [ "http://www.mendeley.com/documents/?uuid=6a897468-4744-46fd-b28c-380ec9416087" ] }, { "id" : "ITEM-3", "itemData" : { "DOI" : "10.1038/ctg.2014.12", "PMID" : "25273155", "abstract" : "OBJECTIVES:To describe the technical feasibility, safety, and clinical outcomes of coil-assisted retrograde transvenous obliteration (CARTO) in treating portal hypertensive non-esophageal variceal hemorrhage. METHODS:From October 2012 to December 2013, 20 patients who received CARTO for the treatment of portal hypertensive non-esophageal variceal bleeding were retrospectively evaluated. All 20 patients had at least 6-month follow-up. All patients had detachable coils placed to occlude the efferent shunt and retrograde gelfoam embolization to achieve complete thrombosis/obliteration of varices. Technical success, clinical success, rebleeding, and complications were evaluated at follow-up. RESULTS:A 100% technical success rate (defined as achieving complete occlusion of efferent shunt with complete thrombosis/obliteration of bleeding varices and/or stopping variceal bleeding) was demonstrated in all 20 patients. Clinical success rate (defined as no variceal rebleeding) was 100%. Follow-up computed tomography after CARTO demonstrated decrease in size with complete thrombosis and disappearance of the varices in all 20 patients. Thirteen out of the 20 had endoscopic confirmation of resolution of varices. Minor post-CARTO complications, including worsening of esophageal varices (not bleeding) and worsening of ascites/hydrothorax, were noted in 5 patients (25%). One patient passed away at 24 days after the CARTO due to systemic and portal venous thrombosis and multi-organ failure. Otherwise, no major complication was noted. No variceal rebleeding was noted in all 20 patients during mean follow-up of 384\u00b1154 days. CONCLUSIONS:CARTO appears to be a technically feasible and safe alternative to traditional balloon-occluded retrograde transvenous obliteration or transjugular intrahepatic portosystemic shunt, with excellent clinical outcomes in treating portal hypertensive non-esophageal variceal bleeding.", "author" : [ { "dropping-particle" : "", "family" : "Lee", "given" : "Edward W", "non-dropping-particle" : "", "parse-names" : false, "suffix" : "" }, { "dropping-particle" : "", "family" : "Saab", "given" : "Sammy", "non-dropping-particle" : "", "parse-names" : false, "suffix" : "" }, { "dropping-particle" : "", "family" : "Gomes", "given" : "Antoinette S", "non-dropping-particle" : "", "parse-names" : false, "suffix" : "" }, { "dropping-particle" : "", "family" : "Busuttil", "given" : "Ronald", "non-dropping-particle" : "", "parse-names" : false, "suffix" : "" }, { "dropping-particle" : "", "family" : "McWilliams", "given" : "Justin", "non-dropping-particle" : "", "parse-names" : false, "suffix" : "" }, { "dropping-particle" : "", "family" : "Durazo", "given" : "Francisco", "non-dropping-particle" : "", "parse-names" : false, "suffix" : "" }, { "dropping-particle" : "", "family" : "Han", "given" : "Steven-Huy", "non-dropping-particle" : "", "parse-names" : false, "suffix" : "" }, { "dropping-particle" : "", "family" : "Goldstein", "given" : "Leonard", "non-dropping-particle" : "", "parse-names" : false, "suffix" : "" }, { "dropping-particle" : "", "family" : "Tafti", "given" : "Bashir A", "non-dropping-particle" : "", "parse-names" : false, "suffix" : "" }, { "dropping-particle" : "", "family" : "Moriarty", "given" : "John", "non-dropping-particle" : "", "parse-names" : false, "suffix" : "" }, { "dropping-particle" : "", "family" : "Loh", "given" : "Christopher T", "non-dropping-particle" : "", "parse-names" : false, "suffix" : "" }, { "dropping-particle" : "", "family" : "Kee", "given" : "Stephen T", "non-dropping-particle" : "", "parse-names" : false, "suffix" : "" } ], "container-title" : "Clinical and translational gastroenterology", "id" : "ITEM-3", "issued" : { "date-parts" : [ [ "2014" ] ] }, "page" : "e61", "publisher-place" : "Division of Interventional Radiology, Department of Radiology, UCLA Medical Center, David Geffen School of Medicine at UCLA, Los Angeles, California, USA.", "title" : "Coil-Assisted Retrograde Transvenous Obliteration (CARTO) for the Treatment of Portal Hypertensive Variceal Bleeding: Preliminary Results.", "type" : "article-journal", "volume" : "5" }, "uris" : [ "http://www.mendeley.com/documents/?uuid=00b5c597-e877-4f29-b6fe-721a47f3b616" ] } ], "mendeley" : { "formattedCitation" : "&lt;sup&gt;[49,50,52]&lt;/sup&gt;", "plainTextFormattedCitation" : "[49,50,52]", "previouslyFormattedCitation" : "&lt;sup&gt;[49,50,52]&lt;/sup&gt;" }, "properties" : { "noteIndex" : 0 }, "schema" : "https://github.com/citation-style-language/schema/raw/master/csl-citation.json" }</w:instrText>
      </w:r>
      <w:r w:rsidR="00F1595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[49,50,52]</w:t>
      </w:r>
      <w:r w:rsidR="00F1595B" w:rsidRPr="00787839">
        <w:rPr>
          <w:rFonts w:ascii="Book Antiqua" w:hAnsi="Book Antiqua"/>
          <w:sz w:val="24"/>
          <w:szCs w:val="24"/>
          <w:vertAlign w:val="superscript"/>
        </w:rPr>
        <w:fldChar w:fldCharType="end"/>
      </w:r>
      <w:r w:rsidR="00637817" w:rsidRPr="00787839">
        <w:rPr>
          <w:rFonts w:ascii="Book Antiqua" w:hAnsi="Book Antiqua"/>
          <w:sz w:val="24"/>
          <w:szCs w:val="24"/>
        </w:rPr>
        <w:t>.</w:t>
      </w:r>
    </w:p>
    <w:p w14:paraId="1BBC793D" w14:textId="0DA305CC" w:rsidR="005E291A" w:rsidRDefault="00647738" w:rsidP="00787839">
      <w:pPr>
        <w:pStyle w:val="Body1"/>
        <w:adjustRightInd w:val="0"/>
        <w:snapToGrid w:val="0"/>
        <w:spacing w:after="0" w:line="360" w:lineRule="auto"/>
        <w:ind w:firstLineChars="100" w:firstLine="240"/>
        <w:rPr>
          <w:rFonts w:ascii="Book Antiqua" w:hAnsi="Book Antiqua"/>
          <w:sz w:val="24"/>
          <w:szCs w:val="24"/>
          <w:lang w:eastAsia="zh-CN"/>
        </w:rPr>
      </w:pPr>
      <w:r w:rsidRPr="00787839">
        <w:rPr>
          <w:rFonts w:ascii="Book Antiqua" w:hAnsi="Book Antiqua"/>
          <w:sz w:val="24"/>
          <w:szCs w:val="24"/>
        </w:rPr>
        <w:lastRenderedPageBreak/>
        <w:t xml:space="preserve">Coil-assisted retrograde transvenous obliteration (CARTO) of gastric varices is </w:t>
      </w:r>
      <w:r w:rsidR="00D232D3" w:rsidRPr="00787839">
        <w:rPr>
          <w:rFonts w:ascii="Book Antiqua" w:hAnsi="Book Antiqua"/>
          <w:sz w:val="24"/>
          <w:szCs w:val="24"/>
        </w:rPr>
        <w:t xml:space="preserve">a modified version of the original </w:t>
      </w:r>
      <w:r w:rsidRPr="00787839">
        <w:rPr>
          <w:rFonts w:ascii="Book Antiqua" w:hAnsi="Book Antiqua"/>
          <w:sz w:val="24"/>
          <w:szCs w:val="24"/>
        </w:rPr>
        <w:t>BRTO</w:t>
      </w:r>
      <w:r w:rsidR="00D232D3" w:rsidRPr="00787839">
        <w:rPr>
          <w:rFonts w:ascii="Book Antiqua" w:hAnsi="Book Antiqua"/>
          <w:sz w:val="24"/>
          <w:szCs w:val="24"/>
        </w:rPr>
        <w:t xml:space="preserve"> procedure</w:t>
      </w:r>
      <w:r w:rsidRPr="00787839">
        <w:rPr>
          <w:rFonts w:ascii="Book Antiqua" w:hAnsi="Book Antiqua"/>
          <w:sz w:val="24"/>
          <w:szCs w:val="24"/>
        </w:rPr>
        <w:t xml:space="preserve">. </w:t>
      </w:r>
      <w:r w:rsidR="00D232D3" w:rsidRPr="00787839">
        <w:rPr>
          <w:rFonts w:ascii="Book Antiqua" w:hAnsi="Book Antiqua"/>
          <w:sz w:val="24"/>
          <w:szCs w:val="24"/>
        </w:rPr>
        <w:t>Utilizing dual</w:t>
      </w:r>
      <w:r w:rsidR="005E5CC2" w:rsidRPr="00787839">
        <w:rPr>
          <w:rFonts w:ascii="Book Antiqua" w:hAnsi="Book Antiqua"/>
          <w:sz w:val="24"/>
          <w:szCs w:val="24"/>
        </w:rPr>
        <w:t xml:space="preserve"> micro</w:t>
      </w:r>
      <w:r w:rsidRPr="00787839">
        <w:rPr>
          <w:rFonts w:ascii="Book Antiqua" w:hAnsi="Book Antiqua"/>
          <w:sz w:val="24"/>
          <w:szCs w:val="24"/>
        </w:rPr>
        <w:t xml:space="preserve">catheter </w:t>
      </w:r>
      <w:r w:rsidR="00D232D3" w:rsidRPr="00787839">
        <w:rPr>
          <w:rFonts w:ascii="Book Antiqua" w:hAnsi="Book Antiqua"/>
          <w:sz w:val="24"/>
          <w:szCs w:val="24"/>
        </w:rPr>
        <w:t>technique</w:t>
      </w:r>
      <w:r w:rsidR="005E5CC2" w:rsidRPr="00787839">
        <w:rPr>
          <w:rFonts w:ascii="Book Antiqua" w:hAnsi="Book Antiqua"/>
          <w:sz w:val="24"/>
          <w:szCs w:val="24"/>
        </w:rPr>
        <w:t xml:space="preserve">, </w:t>
      </w:r>
      <w:r w:rsidR="00E535A1" w:rsidRPr="00787839">
        <w:rPr>
          <w:rFonts w:ascii="Book Antiqua" w:hAnsi="Book Antiqua"/>
          <w:sz w:val="24"/>
          <w:szCs w:val="24"/>
        </w:rPr>
        <w:t xml:space="preserve">one </w:t>
      </w:r>
      <w:r w:rsidR="00A20FA8" w:rsidRPr="00787839">
        <w:rPr>
          <w:rFonts w:ascii="Book Antiqua" w:hAnsi="Book Antiqua"/>
          <w:sz w:val="24"/>
          <w:szCs w:val="24"/>
        </w:rPr>
        <w:t xml:space="preserve">microcatheter </w:t>
      </w:r>
      <w:r w:rsidR="00D232D3" w:rsidRPr="00787839">
        <w:rPr>
          <w:rFonts w:ascii="Book Antiqua" w:hAnsi="Book Antiqua"/>
          <w:sz w:val="24"/>
          <w:szCs w:val="24"/>
        </w:rPr>
        <w:t xml:space="preserve">is placed </w:t>
      </w:r>
      <w:r w:rsidR="00E535A1" w:rsidRPr="00787839">
        <w:rPr>
          <w:rFonts w:ascii="Book Antiqua" w:hAnsi="Book Antiqua"/>
          <w:sz w:val="24"/>
          <w:szCs w:val="24"/>
        </w:rPr>
        <w:t xml:space="preserve">within the </w:t>
      </w:r>
      <w:r w:rsidR="002F5290" w:rsidRPr="00787839">
        <w:rPr>
          <w:rFonts w:ascii="Book Antiqua" w:hAnsi="Book Antiqua"/>
          <w:sz w:val="24"/>
          <w:szCs w:val="24"/>
        </w:rPr>
        <w:t xml:space="preserve">proximal </w:t>
      </w:r>
      <w:r w:rsidR="00E535A1" w:rsidRPr="00787839">
        <w:rPr>
          <w:rFonts w:ascii="Book Antiqua" w:hAnsi="Book Antiqua"/>
          <w:sz w:val="24"/>
          <w:szCs w:val="24"/>
        </w:rPr>
        <w:t xml:space="preserve">shunt while the second is advanced </w:t>
      </w:r>
      <w:r w:rsidR="002F5290" w:rsidRPr="00787839">
        <w:rPr>
          <w:rFonts w:ascii="Book Antiqua" w:hAnsi="Book Antiqua"/>
          <w:sz w:val="24"/>
          <w:szCs w:val="24"/>
        </w:rPr>
        <w:t>and placed distally closer to gastric varices</w:t>
      </w:r>
      <w:r w:rsidR="00E535A1" w:rsidRPr="00787839">
        <w:rPr>
          <w:rFonts w:ascii="Book Antiqua" w:hAnsi="Book Antiqua"/>
          <w:sz w:val="24"/>
          <w:szCs w:val="24"/>
        </w:rPr>
        <w:t xml:space="preserve">. Coil embolization is performed </w:t>
      </w:r>
      <w:r w:rsidR="00787839" w:rsidRPr="00787839">
        <w:rPr>
          <w:rFonts w:ascii="Book Antiqua" w:hAnsi="Book Antiqua"/>
          <w:i/>
          <w:sz w:val="24"/>
          <w:szCs w:val="24"/>
        </w:rPr>
        <w:t>via</w:t>
      </w:r>
      <w:r w:rsidR="00E535A1" w:rsidRPr="00787839">
        <w:rPr>
          <w:rFonts w:ascii="Book Antiqua" w:hAnsi="Book Antiqua"/>
          <w:sz w:val="24"/>
          <w:szCs w:val="24"/>
        </w:rPr>
        <w:t xml:space="preserve"> the proximally placed microcatheter, while gelfoam embolization of the gastric varice</w:t>
      </w:r>
      <w:r w:rsidR="00A20FA8" w:rsidRPr="00787839">
        <w:rPr>
          <w:rFonts w:ascii="Book Antiqua" w:hAnsi="Book Antiqua"/>
          <w:sz w:val="24"/>
          <w:szCs w:val="24"/>
        </w:rPr>
        <w:t xml:space="preserve">s is performed </w:t>
      </w:r>
      <w:r w:rsidR="00787839" w:rsidRPr="00787839">
        <w:rPr>
          <w:rFonts w:ascii="Book Antiqua" w:hAnsi="Book Antiqua"/>
          <w:i/>
          <w:sz w:val="24"/>
          <w:szCs w:val="24"/>
        </w:rPr>
        <w:t>via</w:t>
      </w:r>
      <w:r w:rsidR="00A20FA8" w:rsidRPr="00787839">
        <w:rPr>
          <w:rFonts w:ascii="Book Antiqua" w:hAnsi="Book Antiqua"/>
          <w:sz w:val="24"/>
          <w:szCs w:val="24"/>
        </w:rPr>
        <w:t xml:space="preserve"> the distal microcatheter. After variceal embolization is complete, the entire microcatheter system is removed</w:t>
      </w:r>
      <w:r w:rsidR="00F1595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"10.1038/ctg.2014.12", "PMID" : "25273155", "abstract" : "OBJECTIVES:To describe the technical feasibility, safety, and clinical outcomes of coil-assisted retrograde transvenous obliteration (CARTO) in treating portal hypertensive non-esophageal variceal hemorrhage. METHODS:From October 2012 to December 2013, 20 patients who received CARTO for the treatment of portal hypertensive non-esophageal variceal bleeding were retrospectively evaluated. All 20 patients had at least 6-month follow-up. All patients had detachable coils placed to occlude the efferent shunt and retrograde gelfoam embolization to achieve complete thrombosis/obliteration of varices. Technical success, clinical success, rebleeding, and complications were evaluated at follow-up. RESULTS:A 100% technical success rate (defined as achieving complete occlusion of efferent shunt with complete thrombosis/obliteration of bleeding varices and/or stopping variceal bleeding) was demonstrated in all 20 patients. Clinical success rate (defined as no variceal rebleeding) was 100%. Follow-up computed tomography after CARTO demonstrated decrease in size with complete thrombosis and disappearance of the varices in all 20 patients. Thirteen out of the 20 had endoscopic confirmation of resolution of varices. Minor post-CARTO complications, including worsening of esophageal varices (not bleeding) and worsening of ascites/hydrothorax, were noted in 5 patients (25%). One patient passed away at 24 days after the CARTO due to systemic and portal venous thrombosis and multi-organ failure. Otherwise, no major complication was noted. No variceal rebleeding was noted in all 20 patients during mean follow-up of 384\u00b1154 days. CONCLUSIONS:CARTO appears to be a technically feasible and safe alternative to traditional balloon-occluded retrograde transvenous obliteration or transjugular intrahepatic portosystemic shunt, with excellent clinical outcomes in treating portal hypertensive non-esophageal variceal bleeding.", "author" : [ { "dropping-particle" : "", "family" : "Lee", "given" : "Edward W", "non-dropping-particle" : "", "parse-names" : false, "suffix" : "" }, { "dropping-particle" : "", "family" : "Saab", "given" : "Sammy", "non-dropping-particle" : "", "parse-names" : false, "suffix" : "" }, { "dropping-particle" : "", "family" : "Gomes", "given" : "Antoinette S", "non-dropping-particle" : "", "parse-names" : false, "suffix" : "" }, { "dropping-particle" : "", "family" : "Busuttil", "given" : "Ronald", "non-dropping-particle" : "", "parse-names" : false, "suffix" : "" }, { "dropping-particle" : "", "family" : "McWilliams", "given" : "Justin", "non-dropping-particle" : "", "parse-names" : false, "suffix" : "" }, { "dropping-particle" : "", "family" : "Durazo", "given" : "Francisco", "non-dropping-particle" : "", "parse-names" : false, "suffix" : "" }, { "dropping-particle" : "", "family" : "Han", "given" : "Steven-Huy", "non-dropping-particle" : "", "parse-names" : false, "suffix" : "" }, { "dropping-particle" : "", "family" : "Goldstein", "given" : "Leonard", "non-dropping-particle" : "", "parse-names" : false, "suffix" : "" }, { "dropping-particle" : "", "family" : "Tafti", "given" : "Bashir A", "non-dropping-particle" : "", "parse-names" : false, "suffix" : "" }, { "dropping-particle" : "", "family" : "Moriarty", "given" : "John", "non-dropping-particle" : "", "parse-names" : false, "suffix" : "" }, { "dropping-particle" : "", "family" : "Loh", "given" : "Christopher T", "non-dropping-particle" : "", "parse-names" : false, "suffix" : "" }, { "dropping-particle" : "", "family" : "Kee", "given" : "Stephen T", "non-dropping-particle" : "", "parse-names" : false, "suffix" : "" } ], "container-title" : "Clinical and translational gastroenterology", "id" : "ITEM-1", "issued" : { "date-parts" : [ [ "2014" ] ] }, "page" : "e61", "publisher-place" : "Division of Interventional Radiology, Department of Radiology, UCLA Medical Center, David Geffen School of Medicine at UCLA, Los Angeles, California, USA.", "title" : "Coil-Assisted Retrograde Transvenous Obliteration (CARTO) for the Treatment of Portal Hypertensive Variceal Bleeding: Preliminary Results.", "type" : "article-journal", "volume" : "5" }, "uris" : [ "http://www.mendeley.com/documents/?uuid=00b5c597-e877-4f29-b6fe-721a47f3b616" ] } ], "mendeley" : { "formattedCitation" : "&lt;sup&gt;[52]&lt;/sup&gt;", "plainTextFormattedCitation" : "[52]", "previouslyFormattedCitation" : "&lt;sup&gt;[52]&lt;/sup&gt;" }, "properties" : { "noteIndex" : 0 }, "schema" : "https://github.com/citation-style-language/schema/raw/master/csl-citation.json" }</w:instrText>
      </w:r>
      <w:r w:rsidR="00F1595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[52]</w:t>
      </w:r>
      <w:r w:rsidR="00F1595B" w:rsidRPr="00787839">
        <w:rPr>
          <w:rFonts w:ascii="Book Antiqua" w:hAnsi="Book Antiqua"/>
          <w:sz w:val="24"/>
          <w:szCs w:val="24"/>
          <w:vertAlign w:val="superscript"/>
        </w:rPr>
        <w:fldChar w:fldCharType="end"/>
      </w:r>
      <w:r w:rsidR="00637817" w:rsidRPr="00787839">
        <w:rPr>
          <w:rFonts w:ascii="Book Antiqua" w:hAnsi="Book Antiqua"/>
          <w:sz w:val="24"/>
          <w:szCs w:val="24"/>
        </w:rPr>
        <w:t xml:space="preserve">. </w:t>
      </w:r>
      <w:r w:rsidR="00A20FA8" w:rsidRPr="00787839">
        <w:rPr>
          <w:rFonts w:ascii="Book Antiqua" w:hAnsi="Book Antiqua"/>
          <w:sz w:val="24"/>
          <w:szCs w:val="24"/>
        </w:rPr>
        <w:t>A recent</w:t>
      </w:r>
      <w:r w:rsidR="000D6064" w:rsidRPr="00787839">
        <w:rPr>
          <w:rFonts w:ascii="Book Antiqua" w:hAnsi="Book Antiqua"/>
          <w:sz w:val="24"/>
          <w:szCs w:val="24"/>
        </w:rPr>
        <w:t xml:space="preserve"> study</w:t>
      </w:r>
      <w:r w:rsidR="00A20FA8" w:rsidRPr="00787839">
        <w:rPr>
          <w:rFonts w:ascii="Book Antiqua" w:hAnsi="Book Antiqua"/>
          <w:sz w:val="24"/>
          <w:szCs w:val="24"/>
        </w:rPr>
        <w:t xml:space="preserve"> has demonstrated similar procedural efficacy to BRTO, while </w:t>
      </w:r>
      <w:r w:rsidR="00D232D3" w:rsidRPr="00787839">
        <w:rPr>
          <w:rFonts w:ascii="Book Antiqua" w:hAnsi="Book Antiqua"/>
          <w:sz w:val="24"/>
          <w:szCs w:val="24"/>
        </w:rPr>
        <w:t>alle</w:t>
      </w:r>
      <w:r w:rsidR="00787839" w:rsidRPr="00787839">
        <w:rPr>
          <w:rFonts w:ascii="Book Antiqua" w:hAnsi="Book Antiqua"/>
          <w:sz w:val="24"/>
          <w:szCs w:val="24"/>
        </w:rPr>
        <w:t>via</w:t>
      </w:r>
      <w:r w:rsidR="00D232D3" w:rsidRPr="00787839">
        <w:rPr>
          <w:rFonts w:ascii="Book Antiqua" w:hAnsi="Book Antiqua"/>
          <w:sz w:val="24"/>
          <w:szCs w:val="24"/>
        </w:rPr>
        <w:t xml:space="preserve">ting </w:t>
      </w:r>
      <w:r w:rsidR="00A20FA8" w:rsidRPr="00787839">
        <w:rPr>
          <w:rFonts w:ascii="Book Antiqua" w:hAnsi="Book Antiqua"/>
          <w:sz w:val="24"/>
          <w:szCs w:val="24"/>
        </w:rPr>
        <w:t xml:space="preserve">the complications </w:t>
      </w:r>
      <w:r w:rsidR="00D232D3" w:rsidRPr="00787839">
        <w:rPr>
          <w:rFonts w:ascii="Book Antiqua" w:hAnsi="Book Antiqua"/>
          <w:sz w:val="24"/>
          <w:szCs w:val="24"/>
        </w:rPr>
        <w:t xml:space="preserve">related to </w:t>
      </w:r>
      <w:r w:rsidR="00A20FA8" w:rsidRPr="00787839">
        <w:rPr>
          <w:rFonts w:ascii="Book Antiqua" w:hAnsi="Book Antiqua"/>
          <w:sz w:val="24"/>
          <w:szCs w:val="24"/>
        </w:rPr>
        <w:t xml:space="preserve">an indwelling balloon catheter (balloon-rupture, access site complication, intensive care admission and monitoring), as well as, </w:t>
      </w:r>
      <w:r w:rsidR="00D232D3" w:rsidRPr="00787839">
        <w:rPr>
          <w:rFonts w:ascii="Book Antiqua" w:hAnsi="Book Antiqua"/>
          <w:sz w:val="24"/>
          <w:szCs w:val="24"/>
        </w:rPr>
        <w:t xml:space="preserve">avoiding </w:t>
      </w:r>
      <w:r w:rsidR="00A20FA8" w:rsidRPr="00787839">
        <w:rPr>
          <w:rFonts w:ascii="Book Antiqua" w:hAnsi="Book Antiqua"/>
          <w:sz w:val="24"/>
          <w:szCs w:val="24"/>
        </w:rPr>
        <w:t xml:space="preserve">the potential systemic side-effects </w:t>
      </w:r>
      <w:r w:rsidR="000D6064" w:rsidRPr="00787839">
        <w:rPr>
          <w:rFonts w:ascii="Book Antiqua" w:hAnsi="Book Antiqua"/>
          <w:sz w:val="24"/>
          <w:szCs w:val="24"/>
        </w:rPr>
        <w:t>of the sclerosing agent</w:t>
      </w:r>
      <w:r w:rsidR="00F1595B" w:rsidRPr="00787839">
        <w:rPr>
          <w:rFonts w:ascii="Book Antiqua" w:hAnsi="Book Antiqua"/>
          <w:sz w:val="24"/>
          <w:szCs w:val="24"/>
          <w:vertAlign w:val="superscript"/>
        </w:rPr>
        <w:fldChar w:fldCharType="begin" w:fldLock="1"/>
      </w:r>
      <w:r w:rsidR="0030026A" w:rsidRPr="00787839">
        <w:rPr>
          <w:rFonts w:ascii="Book Antiqua" w:hAnsi="Book Antiqua"/>
          <w:sz w:val="24"/>
          <w:szCs w:val="24"/>
          <w:vertAlign w:val="superscript"/>
        </w:rPr>
        <w:instrText>ADDIN CSL_CITATION { "citationItems" : [ { "id" : "ITEM-1", "itemData" : { "DOI" : "10.1038/ctg.2014.12", "PMID" : "25273155", "abstract" : "OBJECTIVES:To describe the technical feasibility, safety, and clinical outcomes of coil-assisted retrograde transvenous obliteration (CARTO) in treating portal hypertensive non-esophageal variceal hemorrhage. METHODS:From October 2012 to December 2013, 20 patients who received CARTO for the treatment of portal hypertensive non-esophageal variceal bleeding were retrospectively evaluated. All 20 patients had at least 6-month follow-up. All patients had detachable coils placed to occlude the efferent shunt and retrograde gelfoam embolization to achieve complete thrombosis/obliteration of varices. Technical success, clinical success, rebleeding, and complications were evaluated at follow-up. RESULTS:A 100% technical success rate (defined as achieving complete occlusion of efferent shunt with complete thrombosis/obliteration of bleeding varices and/or stopping variceal bleeding) was demonstrated in all 20 patients. Clinical success rate (defined as no variceal rebleeding) was 100%. Follow-up computed tomography after CARTO demonstrated decrease in size with complete thrombosis and disappearance of the varices in all 20 patients. Thirteen out of the 20 had endoscopic confirmation of resolution of varices. Minor post-CARTO complications, including worsening of esophageal varices (not bleeding) and worsening of ascites/hydrothorax, were noted in 5 patients (25%). One patient passed away at 24 days after the CARTO due to systemic and portal venous thrombosis and multi-organ failure. Otherwise, no major complication was noted. No variceal rebleeding was noted in all 20 patients during mean follow-up of 384\u00b1154 days. CONCLUSIONS:CARTO appears to be a technically feasible and safe alternative to traditional balloon-occluded retrograde transvenous obliteration or transjugular intrahepatic portosystemic shunt, with excellent clinical outcomes in treating portal hypertensive non-esophageal variceal bleeding.", "author" : [ { "dropping-particle" : "", "family" : "Lee", "given" : "Edward W", "non-dropping-particle" : "", "parse-names" : false, "suffix" : "" }, { "dropping-particle" : "", "family" : "Saab", "given" : "Sammy", "non-dropping-particle" : "", "parse-names" : false, "suffix" : "" }, { "dropping-particle" : "", "family" : "Gomes", "given" : "Antoinette S", "non-dropping-particle" : "", "parse-names" : false, "suffix" : "" }, { "dropping-particle" : "", "family" : "Busuttil", "given" : "Ronald", "non-dropping-particle" : "", "parse-names" : false, "suffix" : "" }, { "dropping-particle" : "", "family" : "McWilliams", "given" : "Justin", "non-dropping-particle" : "", "parse-names" : false, "suffix" : "" }, { "dropping-particle" : "", "family" : "Durazo", "given" : "Francisco", "non-dropping-particle" : "", "parse-names" : false, "suffix" : "" }, { "dropping-particle" : "", "family" : "Han", "given" : "Steven-Huy", "non-dropping-particle" : "", "parse-names" : false, "suffix" : "" }, { "dropping-particle" : "", "family" : "Goldstein", "given" : "Leonard", "non-dropping-particle" : "", "parse-names" : false, "suffix" : "" }, { "dropping-particle" : "", "family" : "Tafti", "given" : "Bashir A", "non-dropping-particle" : "", "parse-names" : false, "suffix" : "" }, { "dropping-particle" : "", "family" : "Moriarty", "given" : "John", "non-dropping-particle" : "", "parse-names" : false, "suffix" : "" }, { "dropping-particle" : "", "family" : "Loh", "given" : "Christopher T", "non-dropping-particle" : "", "parse-names" : false, "suffix" : "" }, { "dropping-particle" : "", "family" : "Kee", "given" : "Stephen T", "non-dropping-particle" : "", "parse-names" : false, "suffix" : "" } ], "container-title" : "Clinical and translational gastroenterology", "id" : "ITEM-1", "issued" : { "date-parts" : [ [ "2014" ] ] }, "page" : "e61", "publisher-place" : "Division of Interventional Radiology, Department of Radiology, UCLA Medical Center, David Geffen School of Medicine at UCLA, Los Angeles, California, USA.", "title" : "Coil-Assisted Retrograde Transvenous Obliteration (CARTO) for the Treatment of Portal Hypertensive Variceal Bleeding: Preliminary Results.", "type" : "article-journal", "volume" : "5" }, "uris" : [ "http://www.mendeley.com/documents/?uuid=00b5c597-e877-4f29-b6fe-721a47f3b616" ] } ], "mendeley" : { "formattedCitation" : "&lt;sup&gt;[52]&lt;/sup&gt;", "plainTextFormattedCitation" : "[52]", "previouslyFormattedCitation" : "&lt;sup&gt;[52]&lt;/sup&gt;" }, "properties" : { "noteIndex" : 0 }, "schema" : "https://github.com/citation-style-language/schema/raw/master/csl-citation.json" }</w:instrText>
      </w:r>
      <w:r w:rsidR="00F1595B" w:rsidRPr="00787839">
        <w:rPr>
          <w:rFonts w:ascii="Book Antiqua" w:hAnsi="Book Antiqua"/>
          <w:sz w:val="24"/>
          <w:szCs w:val="24"/>
          <w:vertAlign w:val="superscript"/>
        </w:rPr>
        <w:fldChar w:fldCharType="separate"/>
      </w:r>
      <w:r w:rsidR="0030026A" w:rsidRPr="00787839">
        <w:rPr>
          <w:rFonts w:ascii="Book Antiqua" w:hAnsi="Book Antiqua"/>
          <w:noProof/>
          <w:sz w:val="24"/>
          <w:szCs w:val="24"/>
          <w:vertAlign w:val="superscript"/>
        </w:rPr>
        <w:t>[52]</w:t>
      </w:r>
      <w:r w:rsidR="00F1595B" w:rsidRPr="00787839">
        <w:rPr>
          <w:rFonts w:ascii="Book Antiqua" w:hAnsi="Book Antiqua"/>
          <w:sz w:val="24"/>
          <w:szCs w:val="24"/>
          <w:vertAlign w:val="superscript"/>
        </w:rPr>
        <w:fldChar w:fldCharType="end"/>
      </w:r>
      <w:r w:rsidR="00637817" w:rsidRPr="00787839">
        <w:rPr>
          <w:rFonts w:ascii="Book Antiqua" w:hAnsi="Book Antiqua"/>
          <w:sz w:val="24"/>
          <w:szCs w:val="24"/>
        </w:rPr>
        <w:t xml:space="preserve">. </w:t>
      </w:r>
      <w:r w:rsidR="004F0A65" w:rsidRPr="00787839">
        <w:rPr>
          <w:rFonts w:ascii="Book Antiqua" w:hAnsi="Book Antiqua"/>
          <w:sz w:val="24"/>
          <w:szCs w:val="24"/>
        </w:rPr>
        <w:t>A similar procedure, using a vascular plug instead of a coil pack</w:t>
      </w:r>
      <w:r w:rsidR="007E6AA3" w:rsidRPr="00787839">
        <w:rPr>
          <w:rFonts w:ascii="Book Antiqua" w:hAnsi="Book Antiqua"/>
          <w:sz w:val="24"/>
          <w:szCs w:val="24"/>
        </w:rPr>
        <w:t xml:space="preserve"> (v</w:t>
      </w:r>
      <w:r w:rsidR="00A92365" w:rsidRPr="00787839">
        <w:rPr>
          <w:rFonts w:ascii="Book Antiqua" w:hAnsi="Book Antiqua"/>
          <w:sz w:val="24"/>
          <w:szCs w:val="24"/>
        </w:rPr>
        <w:t xml:space="preserve">ascular plug-assisted transvenous obliteration of gastric varices or </w:t>
      </w:r>
      <w:r w:rsidR="007E6AA3" w:rsidRPr="00787839">
        <w:rPr>
          <w:rFonts w:ascii="Book Antiqua" w:hAnsi="Book Antiqua"/>
          <w:sz w:val="24"/>
          <w:szCs w:val="24"/>
        </w:rPr>
        <w:t>“</w:t>
      </w:r>
      <w:r w:rsidR="00A92365" w:rsidRPr="00787839">
        <w:rPr>
          <w:rFonts w:ascii="Book Antiqua" w:hAnsi="Book Antiqua"/>
          <w:sz w:val="24"/>
          <w:szCs w:val="24"/>
        </w:rPr>
        <w:t>PARTO</w:t>
      </w:r>
      <w:r w:rsidR="007E6AA3" w:rsidRPr="00787839">
        <w:rPr>
          <w:rFonts w:ascii="Book Antiqua" w:hAnsi="Book Antiqua"/>
          <w:sz w:val="24"/>
          <w:szCs w:val="24"/>
        </w:rPr>
        <w:t>”</w:t>
      </w:r>
      <w:r w:rsidR="00A92365" w:rsidRPr="00787839">
        <w:rPr>
          <w:rFonts w:ascii="Book Antiqua" w:hAnsi="Book Antiqua"/>
          <w:sz w:val="24"/>
          <w:szCs w:val="24"/>
        </w:rPr>
        <w:t>)</w:t>
      </w:r>
      <w:r w:rsidR="004F0A65" w:rsidRPr="00787839">
        <w:rPr>
          <w:rFonts w:ascii="Book Antiqua" w:hAnsi="Book Antiqua"/>
          <w:sz w:val="24"/>
          <w:szCs w:val="24"/>
        </w:rPr>
        <w:t xml:space="preserve">, has also been validated demonstrating high technical success and clinical </w:t>
      </w:r>
      <w:r w:rsidR="00B67D2B" w:rsidRPr="00787839">
        <w:rPr>
          <w:rFonts w:ascii="Book Antiqua" w:hAnsi="Book Antiqua"/>
          <w:sz w:val="24"/>
          <w:szCs w:val="24"/>
        </w:rPr>
        <w:t>efficacy</w:t>
      </w:r>
      <w:r w:rsidR="004F0A65" w:rsidRPr="00787839">
        <w:rPr>
          <w:rFonts w:ascii="Book Antiqua" w:hAnsi="Book Antiqua"/>
          <w:sz w:val="24"/>
          <w:szCs w:val="24"/>
        </w:rPr>
        <w:t xml:space="preserve"> for the treatment of gastric varices and hepatic encephalopathy</w:t>
      </w:r>
      <w:r w:rsidR="00B67D2B" w:rsidRPr="00787839">
        <w:rPr>
          <w:rFonts w:ascii="Book Antiqua" w:hAnsi="Book Antiqua"/>
          <w:sz w:val="24"/>
          <w:szCs w:val="24"/>
        </w:rPr>
        <w:fldChar w:fldCharType="begin" w:fldLock="1"/>
      </w:r>
      <w:r w:rsidR="0030026A" w:rsidRPr="00787839">
        <w:rPr>
          <w:rFonts w:ascii="Book Antiqua" w:hAnsi="Book Antiqua"/>
          <w:sz w:val="24"/>
          <w:szCs w:val="24"/>
        </w:rPr>
        <w:instrText>ADDIN CSL_CITATION { "citationItems" : [ { "id" : "ITEM-1", "itemData" : { "DOI" : "10.1016/j.jvir.2015.07.011", "ISSN" : "1535-7732", "PMID" : "26316136", "abstract" : "PURPOSE: To evaluate technical and clinical outcomes of vascular plug-assisted retrograde transvenous obliteration (PARTO) for the treatment of gastric varices (GVs) and hepatic encephalopathy (HE).\n\nMATERIALS AND METHODS: From March 2012 to June 2014, 73 consecutive patients (47 men, 26 women; mean age, 59 y; range, 28-79 y) who had undergone PARTO were evaluated in a prospective multicenter study. Among 57 patients with GVs, 28 had GVs in danger of rupture, 23 had experienced recent bleeding, and 6 had active variceal bleeding. The 16 patients with HE had been treated unsuccessfully with medical therapies.\n\nRESULTS: Placement of the vascular plug and subsequent gelatin sponge embolization were technically successful in all 73 patients. There were no procedure-related complications. Follow-up CT obtained within 1 wk after PARTO showed complete thrombosis of GVs and portosystemic shunts in 72 of 73 patients (98.6%). Sixty patients who underwent follow-up longer than 3 mo showed complete obliteration of GVs and portosystemic shunts. There were no cases of variceal bleeding or HE at the end of follow-up (mean, 544 d). Improvement in Child-Pugh score was observed in 24 patients (40%) at 1-mo follow-up. Worsening of ascites and esophageal varices was observed in 14 (23.3%) and 16 (26.7%) patients at 3-mo follow-up.\n\nCONCLUSIONS: The present results of PARTO indicate that it can be rapidly performed with high technical success and durable clinical efficacy for the treatment of GVs and HE in the presence of a portosystemic shunt. Therefore, PARTO might be considered a first-line treatment in appropriate patients.", "author" : [ { "dropping-particle" : "Il", "family" : "Gwon", "given" : "Dong", "non-dropping-particle" : "", "parse-names" : false, "suffix" : "" }, { "dropping-particle" : "", "family" : "Kim", "given" : "Young Hwan", "non-dropping-particle" : "", "parse-names" : false, "suffix" : "" }, { "dropping-particle" : "", "family" : "Ko", "given" : "Gi-Young", "non-dropping-particle" : "", "parse-names" : false, "suffix" : "" }, { "dropping-particle" : "", "family" : "Kim", "given" : "Jong Woo", "non-dropping-particle" : "", "parse-names" : false, "suffix" : "" }, { "dropping-particle" : "", "family" : "Ko", "given" : "Heung Kyu", "non-dropping-particle" : "", "parse-names" : false, "suffix" : "" }, { "dropping-particle" : "", "family" : "Kim", "given" : "Jin Hyoung", "non-dropping-particle" : "", "parse-names" : false, "suffix" : "" }, { "dropping-particle" : "", "family" : "Shin", "given" : "Ji Hoon", "non-dropping-particle" : "", "parse-names" : false, "suffix" : "" }, { "dropping-particle" : "", "family" : "Yoon", "given" : "Hyun-Ki", "non-dropping-particle" : "", "parse-names" : false, "suffix" : "" }, { "dropping-particle" : "", "family" : "Sung", "given" : "Kyu-Bo", "non-dropping-particle" : "", "parse-names" : false, "suffix" : "" } ], "container-title" : "Journal of vascular and interventional radiology : JVIR", "id" : "ITEM-1", "issue" : "11", "issued" : { "date-parts" : [ [ "2015", "11", "1" ] ] }, "language" : "English", "page" : "1589-95", "publisher" : "Elsevier", "title" : "Vascular Plug-Assisted Retrograde Transvenous Obliteration for the Treatment of Gastric Varices and Hepatic Encephalopathy: A Prospective Multicenter Study.", "type" : "article-journal", "volume" : "26" }, "uris" : [ "http://www.mendeley.com/documents/?uuid=f059b678-d219-49fa-bd30-c1987d2bd1fb" ] } ], "mendeley" : { "formattedCitation" : "&lt;sup&gt;[53]&lt;/sup&gt;", "plainTextFormattedCitation" : "[53]", "previouslyFormattedCitation" : "&lt;sup&gt;[53]&lt;/sup&gt;" }, "properties" : { "noteIndex" : 0 }, "schema" : "https://github.com/citation-style-language/schema/raw/master/csl-citation.json" }</w:instrText>
      </w:r>
      <w:r w:rsidR="00B67D2B" w:rsidRPr="00787839">
        <w:rPr>
          <w:rFonts w:ascii="Book Antiqua" w:hAnsi="Book Antiqua"/>
          <w:sz w:val="24"/>
          <w:szCs w:val="24"/>
        </w:rPr>
        <w:fldChar w:fldCharType="separate"/>
      </w:r>
      <w:r w:rsidR="0030026A" w:rsidRPr="00787839">
        <w:rPr>
          <w:rFonts w:ascii="Book Antiqua" w:hAnsi="Book Antiqua"/>
          <w:noProof/>
          <w:sz w:val="24"/>
          <w:szCs w:val="24"/>
          <w:vertAlign w:val="superscript"/>
        </w:rPr>
        <w:t>[53]</w:t>
      </w:r>
      <w:r w:rsidR="00B67D2B" w:rsidRPr="00787839">
        <w:rPr>
          <w:rFonts w:ascii="Book Antiqua" w:hAnsi="Book Antiqua"/>
          <w:sz w:val="24"/>
          <w:szCs w:val="24"/>
        </w:rPr>
        <w:fldChar w:fldCharType="end"/>
      </w:r>
      <w:r w:rsidR="00637817" w:rsidRPr="00787839">
        <w:rPr>
          <w:rFonts w:ascii="Book Antiqua" w:hAnsi="Book Antiqua"/>
          <w:sz w:val="24"/>
          <w:szCs w:val="24"/>
        </w:rPr>
        <w:t>.</w:t>
      </w:r>
    </w:p>
    <w:p w14:paraId="69454A58" w14:textId="77777777" w:rsidR="00787839" w:rsidRPr="00787839" w:rsidRDefault="00787839" w:rsidP="00787839">
      <w:pPr>
        <w:pStyle w:val="Body1"/>
        <w:adjustRightInd w:val="0"/>
        <w:snapToGrid w:val="0"/>
        <w:spacing w:after="0" w:line="360" w:lineRule="auto"/>
        <w:ind w:firstLineChars="100" w:firstLine="240"/>
        <w:rPr>
          <w:rFonts w:ascii="Book Antiqua" w:hAnsi="Book Antiqua"/>
          <w:sz w:val="24"/>
          <w:szCs w:val="24"/>
          <w:lang w:eastAsia="zh-CN"/>
        </w:rPr>
      </w:pPr>
    </w:p>
    <w:p w14:paraId="06AB86E4" w14:textId="5AFC7C73" w:rsidR="00647738" w:rsidRPr="00787839" w:rsidRDefault="00787839" w:rsidP="007F096F">
      <w:pPr>
        <w:pStyle w:val="Body1"/>
        <w:adjustRightInd w:val="0"/>
        <w:snapToGrid w:val="0"/>
        <w:spacing w:after="0" w:line="360" w:lineRule="auto"/>
        <w:rPr>
          <w:rFonts w:ascii="Book Antiqua" w:hAnsi="Book Antiqua"/>
          <w:b/>
          <w:sz w:val="24"/>
          <w:szCs w:val="24"/>
          <w:lang w:eastAsia="zh-CN"/>
        </w:rPr>
      </w:pPr>
      <w:r>
        <w:rPr>
          <w:rFonts w:ascii="Book Antiqua" w:hAnsi="Book Antiqua"/>
          <w:b/>
          <w:sz w:val="24"/>
          <w:szCs w:val="24"/>
        </w:rPr>
        <w:t>CONCLUSION</w:t>
      </w:r>
    </w:p>
    <w:p w14:paraId="4B00049A" w14:textId="6C7A6DCC" w:rsidR="007F701A" w:rsidRPr="00787839" w:rsidRDefault="00841F66" w:rsidP="00787839">
      <w:pPr>
        <w:pStyle w:val="Body1"/>
        <w:adjustRightInd w:val="0"/>
        <w:snapToGrid w:val="0"/>
        <w:spacing w:after="0" w:line="360" w:lineRule="auto"/>
        <w:rPr>
          <w:rFonts w:ascii="Book Antiqua" w:hAnsi="Book Antiqua"/>
          <w:sz w:val="24"/>
          <w:szCs w:val="24"/>
        </w:rPr>
      </w:pPr>
      <w:r w:rsidRPr="00787839">
        <w:rPr>
          <w:rFonts w:ascii="Book Antiqua" w:hAnsi="Book Antiqua"/>
          <w:sz w:val="24"/>
          <w:szCs w:val="24"/>
        </w:rPr>
        <w:t>Portal hypertension is a common clinical syndrome</w:t>
      </w:r>
      <w:r w:rsidR="00B57029" w:rsidRPr="00787839">
        <w:rPr>
          <w:rFonts w:ascii="Book Antiqua" w:hAnsi="Book Antiqua"/>
          <w:sz w:val="24"/>
          <w:szCs w:val="24"/>
        </w:rPr>
        <w:t xml:space="preserve"> characterized by pathologic increase in portal venous pressure and the formation of portosystemic collaterals that divert blood away from the liver. The imaging appearance can be quite variable and k</w:t>
      </w:r>
      <w:r w:rsidRPr="00787839">
        <w:rPr>
          <w:rFonts w:ascii="Book Antiqua" w:hAnsi="Book Antiqua"/>
          <w:sz w:val="24"/>
          <w:szCs w:val="24"/>
        </w:rPr>
        <w:t>nowledge of the various collateral pathways is essential for diagnosis</w:t>
      </w:r>
      <w:r w:rsidR="004A555F" w:rsidRPr="00787839">
        <w:rPr>
          <w:rFonts w:ascii="Book Antiqua" w:hAnsi="Book Antiqua"/>
          <w:sz w:val="24"/>
          <w:szCs w:val="24"/>
        </w:rPr>
        <w:t xml:space="preserve"> and treatment planning. </w:t>
      </w:r>
      <w:r w:rsidR="000E17F1" w:rsidRPr="00787839">
        <w:rPr>
          <w:rFonts w:ascii="Book Antiqua" w:hAnsi="Book Antiqua"/>
          <w:sz w:val="24"/>
          <w:szCs w:val="24"/>
        </w:rPr>
        <w:t xml:space="preserve">The role of radiology continues to evolve with increased utilization of advanced imaging techniques </w:t>
      </w:r>
      <w:r w:rsidR="002A7CD4" w:rsidRPr="00787839">
        <w:rPr>
          <w:rFonts w:ascii="Book Antiqua" w:hAnsi="Book Antiqua"/>
          <w:sz w:val="24"/>
          <w:szCs w:val="24"/>
        </w:rPr>
        <w:t xml:space="preserve">in </w:t>
      </w:r>
      <w:r w:rsidR="002F5290" w:rsidRPr="00787839">
        <w:rPr>
          <w:rFonts w:ascii="Book Antiqua" w:hAnsi="Book Antiqua"/>
          <w:sz w:val="24"/>
          <w:szCs w:val="24"/>
        </w:rPr>
        <w:t xml:space="preserve">detecting and diagnosing </w:t>
      </w:r>
      <w:r w:rsidR="002A7CD4" w:rsidRPr="00787839">
        <w:rPr>
          <w:rFonts w:ascii="Book Antiqua" w:hAnsi="Book Antiqua"/>
          <w:sz w:val="24"/>
          <w:szCs w:val="24"/>
        </w:rPr>
        <w:t xml:space="preserve">portal hypertension and liver disease, as well as, </w:t>
      </w:r>
      <w:r w:rsidR="000E17F1" w:rsidRPr="00787839">
        <w:rPr>
          <w:rFonts w:ascii="Book Antiqua" w:hAnsi="Book Antiqua"/>
          <w:sz w:val="24"/>
          <w:szCs w:val="24"/>
        </w:rPr>
        <w:t>image-guided interventions to treat complication</w:t>
      </w:r>
      <w:r w:rsidR="002F5290" w:rsidRPr="00787839">
        <w:rPr>
          <w:rFonts w:ascii="Book Antiqua" w:hAnsi="Book Antiqua"/>
          <w:sz w:val="24"/>
          <w:szCs w:val="24"/>
        </w:rPr>
        <w:t>s</w:t>
      </w:r>
      <w:r w:rsidR="000E17F1" w:rsidRPr="00787839">
        <w:rPr>
          <w:rFonts w:ascii="Book Antiqua" w:hAnsi="Book Antiqua"/>
          <w:sz w:val="24"/>
          <w:szCs w:val="24"/>
        </w:rPr>
        <w:t xml:space="preserve"> of portal hypertension. </w:t>
      </w:r>
    </w:p>
    <w:p w14:paraId="2FD320F9" w14:textId="77777777" w:rsidR="00637817" w:rsidRPr="00787839" w:rsidRDefault="00637817" w:rsidP="007F096F">
      <w:pPr>
        <w:pStyle w:val="Body1"/>
        <w:adjustRightInd w:val="0"/>
        <w:snapToGrid w:val="0"/>
        <w:spacing w:after="0" w:line="360" w:lineRule="auto"/>
        <w:ind w:firstLine="720"/>
        <w:rPr>
          <w:rFonts w:ascii="Book Antiqua" w:hAnsi="Book Antiqua"/>
          <w:sz w:val="24"/>
          <w:szCs w:val="24"/>
        </w:rPr>
      </w:pPr>
    </w:p>
    <w:p w14:paraId="4998F348" w14:textId="77777777" w:rsidR="00F65CE7" w:rsidRPr="00787839" w:rsidRDefault="00F65CE7" w:rsidP="007F096F">
      <w:pPr>
        <w:widowControl w:val="0"/>
        <w:autoSpaceDE w:val="0"/>
        <w:autoSpaceDN w:val="0"/>
        <w:adjustRightInd w:val="0"/>
        <w:snapToGrid w:val="0"/>
        <w:spacing w:after="0" w:line="360" w:lineRule="auto"/>
        <w:ind w:hanging="640"/>
        <w:rPr>
          <w:rFonts w:ascii="Book Antiqua" w:hAnsi="Book Antiqua"/>
          <w:sz w:val="24"/>
          <w:szCs w:val="24"/>
        </w:rPr>
      </w:pPr>
    </w:p>
    <w:p w14:paraId="49A8A8AC" w14:textId="77777777" w:rsidR="00787839" w:rsidRDefault="00787839">
      <w:pPr>
        <w:rPr>
          <w:rFonts w:ascii="Book Antiqua" w:hAnsi="Book Antiqua"/>
          <w:sz w:val="24"/>
          <w:szCs w:val="24"/>
        </w:rPr>
      </w:pPr>
      <w:r>
        <w:rPr>
          <w:rFonts w:ascii="Book Antiqua" w:hAnsi="Book Antiqua"/>
          <w:sz w:val="24"/>
          <w:szCs w:val="24"/>
        </w:rPr>
        <w:br w:type="page"/>
      </w:r>
    </w:p>
    <w:p w14:paraId="372D5356" w14:textId="6A6042CB" w:rsidR="00FE2FE2" w:rsidRDefault="00662160" w:rsidP="00787839">
      <w:pPr>
        <w:widowControl w:val="0"/>
        <w:autoSpaceDE w:val="0"/>
        <w:autoSpaceDN w:val="0"/>
        <w:adjustRightInd w:val="0"/>
        <w:snapToGrid w:val="0"/>
        <w:spacing w:after="0" w:line="360" w:lineRule="auto"/>
        <w:rPr>
          <w:rFonts w:ascii="Book Antiqua" w:eastAsia="SimSun" w:hAnsi="Book Antiqua"/>
          <w:b/>
          <w:sz w:val="24"/>
          <w:szCs w:val="24"/>
          <w:lang w:eastAsia="zh-CN"/>
        </w:rPr>
      </w:pPr>
      <w:r>
        <w:rPr>
          <w:rFonts w:ascii="Book Antiqua" w:hAnsi="Book Antiqua"/>
          <w:b/>
          <w:sz w:val="24"/>
          <w:szCs w:val="24"/>
        </w:rPr>
        <w:lastRenderedPageBreak/>
        <w:t>REFERENCES</w:t>
      </w:r>
    </w:p>
    <w:p w14:paraId="78750158"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1 </w:t>
      </w:r>
      <w:r w:rsidRPr="00662160">
        <w:rPr>
          <w:rFonts w:ascii="Book Antiqua" w:eastAsia="SimSun" w:hAnsi="Book Antiqua" w:cs="SimSun"/>
          <w:b/>
          <w:bCs/>
          <w:color w:val="000000"/>
          <w:sz w:val="24"/>
          <w:szCs w:val="24"/>
          <w:lang w:val="en-US" w:eastAsia="zh-CN"/>
        </w:rPr>
        <w:t>Bosch J</w:t>
      </w:r>
      <w:r w:rsidRPr="00662160">
        <w:rPr>
          <w:rFonts w:ascii="Book Antiqua" w:eastAsia="SimSun" w:hAnsi="Book Antiqua" w:cs="SimSun"/>
          <w:color w:val="000000"/>
          <w:sz w:val="24"/>
          <w:szCs w:val="24"/>
          <w:lang w:val="en-US" w:eastAsia="zh-CN"/>
        </w:rPr>
        <w:t>, Groszmann RJ, Shah VH. Evolution in the understanding of the pathophysiological basis of portal hypertension: How changes in paradigm are leading to successful new treatments. </w:t>
      </w:r>
      <w:r w:rsidRPr="00662160">
        <w:rPr>
          <w:rFonts w:ascii="Book Antiqua" w:eastAsia="SimSun" w:hAnsi="Book Antiqua" w:cs="SimSun"/>
          <w:i/>
          <w:iCs/>
          <w:color w:val="000000"/>
          <w:sz w:val="24"/>
          <w:szCs w:val="24"/>
          <w:lang w:val="en-US" w:eastAsia="zh-CN"/>
        </w:rPr>
        <w:t>J Hepatol</w:t>
      </w:r>
      <w:r w:rsidRPr="00662160">
        <w:rPr>
          <w:rFonts w:ascii="Book Antiqua" w:eastAsia="SimSun" w:hAnsi="Book Antiqua" w:cs="SimSun"/>
          <w:color w:val="000000"/>
          <w:sz w:val="24"/>
          <w:szCs w:val="24"/>
          <w:lang w:val="en-US" w:eastAsia="zh-CN"/>
        </w:rPr>
        <w:t> 2015; </w:t>
      </w:r>
      <w:r w:rsidRPr="00662160">
        <w:rPr>
          <w:rFonts w:ascii="Book Antiqua" w:eastAsia="SimSun" w:hAnsi="Book Antiqua" w:cs="SimSun"/>
          <w:b/>
          <w:bCs/>
          <w:color w:val="000000"/>
          <w:sz w:val="24"/>
          <w:szCs w:val="24"/>
          <w:lang w:val="en-US" w:eastAsia="zh-CN"/>
        </w:rPr>
        <w:t>62</w:t>
      </w:r>
      <w:r w:rsidRPr="00662160">
        <w:rPr>
          <w:rFonts w:ascii="Book Antiqua" w:eastAsia="SimSun" w:hAnsi="Book Antiqua" w:cs="SimSun"/>
          <w:color w:val="000000"/>
          <w:sz w:val="24"/>
          <w:szCs w:val="24"/>
          <w:lang w:val="en-US" w:eastAsia="zh-CN"/>
        </w:rPr>
        <w:t>: S121-S130 [PMID: 25920081 DOI: 10.1016/j.jhep.2015.01.003]</w:t>
      </w:r>
    </w:p>
    <w:p w14:paraId="3BC19749"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0D1A08">
        <w:rPr>
          <w:rFonts w:ascii="Book Antiqua" w:eastAsia="SimSun" w:hAnsi="Book Antiqua" w:cs="SimSun"/>
          <w:color w:val="000000"/>
          <w:sz w:val="24"/>
          <w:szCs w:val="24"/>
          <w:lang w:val="es-ES_tradnl" w:eastAsia="zh-CN"/>
        </w:rPr>
        <w:t>2 </w:t>
      </w:r>
      <w:r w:rsidRPr="000D1A08">
        <w:rPr>
          <w:rFonts w:ascii="Book Antiqua" w:eastAsia="SimSun" w:hAnsi="Book Antiqua" w:cs="SimSun"/>
          <w:b/>
          <w:bCs/>
          <w:color w:val="000000"/>
          <w:sz w:val="24"/>
          <w:szCs w:val="24"/>
          <w:lang w:val="es-ES_tradnl" w:eastAsia="zh-CN"/>
        </w:rPr>
        <w:t>Bosch J</w:t>
      </w:r>
      <w:r w:rsidRPr="000D1A08">
        <w:rPr>
          <w:rFonts w:ascii="Book Antiqua" w:eastAsia="SimSun" w:hAnsi="Book Antiqua" w:cs="SimSun"/>
          <w:color w:val="000000"/>
          <w:sz w:val="24"/>
          <w:szCs w:val="24"/>
          <w:lang w:val="es-ES_tradnl" w:eastAsia="zh-CN"/>
        </w:rPr>
        <w:t xml:space="preserve">, Abraldes JG, Fernández M, García-Pagán JC. </w:t>
      </w:r>
      <w:r w:rsidRPr="00662160">
        <w:rPr>
          <w:rFonts w:ascii="Book Antiqua" w:eastAsia="SimSun" w:hAnsi="Book Antiqua" w:cs="SimSun"/>
          <w:color w:val="000000"/>
          <w:sz w:val="24"/>
          <w:szCs w:val="24"/>
          <w:lang w:val="en-US" w:eastAsia="zh-CN"/>
        </w:rPr>
        <w:t>Hepatic endothelial dysfunction and abnormal angiogenesis: new targets in the treatment of portal hypertension. </w:t>
      </w:r>
      <w:r w:rsidRPr="00662160">
        <w:rPr>
          <w:rFonts w:ascii="Book Antiqua" w:eastAsia="SimSun" w:hAnsi="Book Antiqua" w:cs="SimSun"/>
          <w:i/>
          <w:iCs/>
          <w:color w:val="000000"/>
          <w:sz w:val="24"/>
          <w:szCs w:val="24"/>
          <w:lang w:val="en-US" w:eastAsia="zh-CN"/>
        </w:rPr>
        <w:t>J Hepatol</w:t>
      </w:r>
      <w:r w:rsidRPr="00662160">
        <w:rPr>
          <w:rFonts w:ascii="Book Antiqua" w:eastAsia="SimSun" w:hAnsi="Book Antiqua" w:cs="SimSun"/>
          <w:color w:val="000000"/>
          <w:sz w:val="24"/>
          <w:szCs w:val="24"/>
          <w:lang w:val="en-US" w:eastAsia="zh-CN"/>
        </w:rPr>
        <w:t> 2010; </w:t>
      </w:r>
      <w:r w:rsidRPr="00662160">
        <w:rPr>
          <w:rFonts w:ascii="Book Antiqua" w:eastAsia="SimSun" w:hAnsi="Book Antiqua" w:cs="SimSun"/>
          <w:b/>
          <w:bCs/>
          <w:color w:val="000000"/>
          <w:sz w:val="24"/>
          <w:szCs w:val="24"/>
          <w:lang w:val="en-US" w:eastAsia="zh-CN"/>
        </w:rPr>
        <w:t>53</w:t>
      </w:r>
      <w:r w:rsidRPr="00662160">
        <w:rPr>
          <w:rFonts w:ascii="Book Antiqua" w:eastAsia="SimSun" w:hAnsi="Book Antiqua" w:cs="SimSun"/>
          <w:color w:val="000000"/>
          <w:sz w:val="24"/>
          <w:szCs w:val="24"/>
          <w:lang w:val="en-US" w:eastAsia="zh-CN"/>
        </w:rPr>
        <w:t>: 558-567 [PMID: 20561700 DOI: 10.1016/j.jhep.2010.03.021]</w:t>
      </w:r>
    </w:p>
    <w:p w14:paraId="0CD5B133"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3 </w:t>
      </w:r>
      <w:r w:rsidRPr="00662160">
        <w:rPr>
          <w:rFonts w:ascii="Book Antiqua" w:eastAsia="SimSun" w:hAnsi="Book Antiqua" w:cs="SimSun"/>
          <w:b/>
          <w:bCs/>
          <w:color w:val="000000"/>
          <w:sz w:val="24"/>
          <w:szCs w:val="24"/>
          <w:lang w:val="en-US" w:eastAsia="zh-CN"/>
        </w:rPr>
        <w:t>Plessier A</w:t>
      </w:r>
      <w:r w:rsidRPr="00662160">
        <w:rPr>
          <w:rFonts w:ascii="Book Antiqua" w:eastAsia="SimSun" w:hAnsi="Book Antiqua" w:cs="SimSun"/>
          <w:color w:val="000000"/>
          <w:sz w:val="24"/>
          <w:szCs w:val="24"/>
          <w:lang w:val="en-US" w:eastAsia="zh-CN"/>
        </w:rPr>
        <w:t>, Darwish-Murad S, Hernandez-Guerra M, Consigny Y, Fabris F, Trebicka J, Heller J, Morard I, Lasser L, Langlet P, Denninger MH, Vidaud D, Condat B, Hadengue A, Primignani M, Garcia-Pagan JC, Janssen HL, Valla D. Acute portal vein thrombosis unrelated to cirrhosis: a prospective multicenter follow-up study. </w:t>
      </w:r>
      <w:r w:rsidRPr="00662160">
        <w:rPr>
          <w:rFonts w:ascii="Book Antiqua" w:eastAsia="SimSun" w:hAnsi="Book Antiqua" w:cs="SimSun"/>
          <w:i/>
          <w:iCs/>
          <w:color w:val="000000"/>
          <w:sz w:val="24"/>
          <w:szCs w:val="24"/>
          <w:lang w:val="en-US" w:eastAsia="zh-CN"/>
        </w:rPr>
        <w:t>Hepatology</w:t>
      </w:r>
      <w:r w:rsidRPr="00662160">
        <w:rPr>
          <w:rFonts w:ascii="Book Antiqua" w:eastAsia="SimSun" w:hAnsi="Book Antiqua" w:cs="SimSun"/>
          <w:color w:val="000000"/>
          <w:sz w:val="24"/>
          <w:szCs w:val="24"/>
          <w:lang w:val="en-US" w:eastAsia="zh-CN"/>
        </w:rPr>
        <w:t> 2010; </w:t>
      </w:r>
      <w:r w:rsidRPr="00662160">
        <w:rPr>
          <w:rFonts w:ascii="Book Antiqua" w:eastAsia="SimSun" w:hAnsi="Book Antiqua" w:cs="SimSun"/>
          <w:b/>
          <w:bCs/>
          <w:color w:val="000000"/>
          <w:sz w:val="24"/>
          <w:szCs w:val="24"/>
          <w:lang w:val="en-US" w:eastAsia="zh-CN"/>
        </w:rPr>
        <w:t>51</w:t>
      </w:r>
      <w:r w:rsidRPr="00662160">
        <w:rPr>
          <w:rFonts w:ascii="Book Antiqua" w:eastAsia="SimSun" w:hAnsi="Book Antiqua" w:cs="SimSun"/>
          <w:color w:val="000000"/>
          <w:sz w:val="24"/>
          <w:szCs w:val="24"/>
          <w:lang w:val="en-US" w:eastAsia="zh-CN"/>
        </w:rPr>
        <w:t>: 210-218 [PMID: 19821530 DOI: 10.1002/hep.23259]</w:t>
      </w:r>
    </w:p>
    <w:p w14:paraId="7CFBB7A8"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4 </w:t>
      </w:r>
      <w:r w:rsidRPr="00662160">
        <w:rPr>
          <w:rFonts w:ascii="Book Antiqua" w:eastAsia="SimSun" w:hAnsi="Book Antiqua" w:cs="SimSun"/>
          <w:b/>
          <w:bCs/>
          <w:color w:val="000000"/>
          <w:sz w:val="24"/>
          <w:szCs w:val="24"/>
          <w:lang w:val="en-US" w:eastAsia="zh-CN"/>
        </w:rPr>
        <w:t>Schuppan D</w:t>
      </w:r>
      <w:r w:rsidRPr="00662160">
        <w:rPr>
          <w:rFonts w:ascii="Book Antiqua" w:eastAsia="SimSun" w:hAnsi="Book Antiqua" w:cs="SimSun"/>
          <w:color w:val="000000"/>
          <w:sz w:val="24"/>
          <w:szCs w:val="24"/>
          <w:lang w:val="en-US" w:eastAsia="zh-CN"/>
        </w:rPr>
        <w:t>, Afdhal NH. Liver cirrhosis. </w:t>
      </w:r>
      <w:r w:rsidRPr="00662160">
        <w:rPr>
          <w:rFonts w:ascii="Book Antiqua" w:eastAsia="SimSun" w:hAnsi="Book Antiqua" w:cs="SimSun"/>
          <w:i/>
          <w:iCs/>
          <w:color w:val="000000"/>
          <w:sz w:val="24"/>
          <w:szCs w:val="24"/>
          <w:lang w:val="en-US" w:eastAsia="zh-CN"/>
        </w:rPr>
        <w:t>Lancet</w:t>
      </w:r>
      <w:r w:rsidRPr="00662160">
        <w:rPr>
          <w:rFonts w:ascii="Book Antiqua" w:eastAsia="SimSun" w:hAnsi="Book Antiqua" w:cs="SimSun"/>
          <w:color w:val="000000"/>
          <w:sz w:val="24"/>
          <w:szCs w:val="24"/>
          <w:lang w:val="en-US" w:eastAsia="zh-CN"/>
        </w:rPr>
        <w:t> 2008; </w:t>
      </w:r>
      <w:r w:rsidRPr="00662160">
        <w:rPr>
          <w:rFonts w:ascii="Book Antiqua" w:eastAsia="SimSun" w:hAnsi="Book Antiqua" w:cs="SimSun"/>
          <w:b/>
          <w:bCs/>
          <w:color w:val="000000"/>
          <w:sz w:val="24"/>
          <w:szCs w:val="24"/>
          <w:lang w:val="en-US" w:eastAsia="zh-CN"/>
        </w:rPr>
        <w:t>371</w:t>
      </w:r>
      <w:r w:rsidRPr="00662160">
        <w:rPr>
          <w:rFonts w:ascii="Book Antiqua" w:eastAsia="SimSun" w:hAnsi="Book Antiqua" w:cs="SimSun"/>
          <w:color w:val="000000"/>
          <w:sz w:val="24"/>
          <w:szCs w:val="24"/>
          <w:lang w:val="en-US" w:eastAsia="zh-CN"/>
        </w:rPr>
        <w:t>: 838-851 [PMID: 18328931 DOI: 10.1016/S0140-6736(08)60383-9]</w:t>
      </w:r>
    </w:p>
    <w:p w14:paraId="5FC1A8D5"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5 </w:t>
      </w:r>
      <w:r w:rsidRPr="00662160">
        <w:rPr>
          <w:rFonts w:ascii="Book Antiqua" w:eastAsia="SimSun" w:hAnsi="Book Antiqua" w:cs="SimSun"/>
          <w:b/>
          <w:bCs/>
          <w:color w:val="000000"/>
          <w:sz w:val="24"/>
          <w:szCs w:val="24"/>
          <w:lang w:val="en-US" w:eastAsia="zh-CN"/>
        </w:rPr>
        <w:t>Bosch J</w:t>
      </w:r>
      <w:r w:rsidRPr="00662160">
        <w:rPr>
          <w:rFonts w:ascii="Book Antiqua" w:eastAsia="SimSun" w:hAnsi="Book Antiqua" w:cs="SimSun"/>
          <w:color w:val="000000"/>
          <w:sz w:val="24"/>
          <w:szCs w:val="24"/>
          <w:lang w:val="en-US" w:eastAsia="zh-CN"/>
        </w:rPr>
        <w:t>, Navasa M, Garcia-Pagán JC, DeLacy AM, Rodés J. Portal hypertension. </w:t>
      </w:r>
      <w:r w:rsidRPr="00662160">
        <w:rPr>
          <w:rFonts w:ascii="Book Antiqua" w:eastAsia="SimSun" w:hAnsi="Book Antiqua" w:cs="SimSun"/>
          <w:i/>
          <w:iCs/>
          <w:color w:val="000000"/>
          <w:sz w:val="24"/>
          <w:szCs w:val="24"/>
          <w:lang w:val="en-US" w:eastAsia="zh-CN"/>
        </w:rPr>
        <w:t>Med Clin North Am</w:t>
      </w:r>
      <w:r w:rsidRPr="00662160">
        <w:rPr>
          <w:rFonts w:ascii="Book Antiqua" w:eastAsia="SimSun" w:hAnsi="Book Antiqua" w:cs="SimSun"/>
          <w:color w:val="000000"/>
          <w:sz w:val="24"/>
          <w:szCs w:val="24"/>
          <w:lang w:val="en-US" w:eastAsia="zh-CN"/>
        </w:rPr>
        <w:t> 1989; </w:t>
      </w:r>
      <w:r w:rsidRPr="00662160">
        <w:rPr>
          <w:rFonts w:ascii="Book Antiqua" w:eastAsia="SimSun" w:hAnsi="Book Antiqua" w:cs="SimSun"/>
          <w:b/>
          <w:bCs/>
          <w:color w:val="000000"/>
          <w:sz w:val="24"/>
          <w:szCs w:val="24"/>
          <w:lang w:val="en-US" w:eastAsia="zh-CN"/>
        </w:rPr>
        <w:t>73</w:t>
      </w:r>
      <w:r w:rsidRPr="00662160">
        <w:rPr>
          <w:rFonts w:ascii="Book Antiqua" w:eastAsia="SimSun" w:hAnsi="Book Antiqua" w:cs="SimSun"/>
          <w:color w:val="000000"/>
          <w:sz w:val="24"/>
          <w:szCs w:val="24"/>
          <w:lang w:val="en-US" w:eastAsia="zh-CN"/>
        </w:rPr>
        <w:t>: 931-953 [PMID: 2657268 DOI: PubMed]</w:t>
      </w:r>
    </w:p>
    <w:p w14:paraId="2376D683"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0D1A08">
        <w:rPr>
          <w:rFonts w:ascii="Book Antiqua" w:eastAsia="SimSun" w:hAnsi="Book Antiqua" w:cs="SimSun"/>
          <w:color w:val="000000"/>
          <w:sz w:val="24"/>
          <w:szCs w:val="24"/>
          <w:lang w:val="es-ES_tradnl" w:eastAsia="zh-CN"/>
        </w:rPr>
        <w:t>6 </w:t>
      </w:r>
      <w:r w:rsidRPr="000D1A08">
        <w:rPr>
          <w:rFonts w:ascii="Book Antiqua" w:eastAsia="SimSun" w:hAnsi="Book Antiqua" w:cs="SimSun"/>
          <w:b/>
          <w:bCs/>
          <w:color w:val="000000"/>
          <w:sz w:val="24"/>
          <w:szCs w:val="24"/>
          <w:lang w:val="es-ES_tradnl" w:eastAsia="zh-CN"/>
        </w:rPr>
        <w:t>Bosch J</w:t>
      </w:r>
      <w:r w:rsidRPr="000D1A08">
        <w:rPr>
          <w:rFonts w:ascii="Book Antiqua" w:eastAsia="SimSun" w:hAnsi="Book Antiqua" w:cs="SimSun"/>
          <w:color w:val="000000"/>
          <w:sz w:val="24"/>
          <w:szCs w:val="24"/>
          <w:lang w:val="es-ES_tradnl" w:eastAsia="zh-CN"/>
        </w:rPr>
        <w:t xml:space="preserve">, Abraldes JG, Berzigotti A, García-Pagan JC. </w:t>
      </w:r>
      <w:r w:rsidRPr="00662160">
        <w:rPr>
          <w:rFonts w:ascii="Book Antiqua" w:eastAsia="SimSun" w:hAnsi="Book Antiqua" w:cs="SimSun"/>
          <w:color w:val="000000"/>
          <w:sz w:val="24"/>
          <w:szCs w:val="24"/>
          <w:lang w:val="en-US" w:eastAsia="zh-CN"/>
        </w:rPr>
        <w:t>The clinical use of HVPG measurements in chronic liver disease. </w:t>
      </w:r>
      <w:r w:rsidRPr="00662160">
        <w:rPr>
          <w:rFonts w:ascii="Book Antiqua" w:eastAsia="SimSun" w:hAnsi="Book Antiqua" w:cs="SimSun"/>
          <w:i/>
          <w:iCs/>
          <w:color w:val="000000"/>
          <w:sz w:val="24"/>
          <w:szCs w:val="24"/>
          <w:lang w:val="en-US" w:eastAsia="zh-CN"/>
        </w:rPr>
        <w:t>Nat Rev Gastroenterol Hepatol</w:t>
      </w:r>
      <w:r w:rsidRPr="00662160">
        <w:rPr>
          <w:rFonts w:ascii="Book Antiqua" w:eastAsia="SimSun" w:hAnsi="Book Antiqua" w:cs="SimSun"/>
          <w:color w:val="000000"/>
          <w:sz w:val="24"/>
          <w:szCs w:val="24"/>
          <w:lang w:val="en-US" w:eastAsia="zh-CN"/>
        </w:rPr>
        <w:t> 2009; </w:t>
      </w:r>
      <w:r w:rsidRPr="00662160">
        <w:rPr>
          <w:rFonts w:ascii="Book Antiqua" w:eastAsia="SimSun" w:hAnsi="Book Antiqua" w:cs="SimSun"/>
          <w:b/>
          <w:bCs/>
          <w:color w:val="000000"/>
          <w:sz w:val="24"/>
          <w:szCs w:val="24"/>
          <w:lang w:val="en-US" w:eastAsia="zh-CN"/>
        </w:rPr>
        <w:t>6</w:t>
      </w:r>
      <w:r w:rsidRPr="00662160">
        <w:rPr>
          <w:rFonts w:ascii="Book Antiqua" w:eastAsia="SimSun" w:hAnsi="Book Antiqua" w:cs="SimSun"/>
          <w:color w:val="000000"/>
          <w:sz w:val="24"/>
          <w:szCs w:val="24"/>
          <w:lang w:val="en-US" w:eastAsia="zh-CN"/>
        </w:rPr>
        <w:t>: 573-582 [PMID: 19724251 DOI: 10.1038/nrgastro.2009.149]</w:t>
      </w:r>
    </w:p>
    <w:p w14:paraId="21101EFB" w14:textId="77777777" w:rsidR="00662160" w:rsidRPr="00662160" w:rsidRDefault="00662160" w:rsidP="00662160">
      <w:pPr>
        <w:widowControl w:val="0"/>
        <w:autoSpaceDE w:val="0"/>
        <w:autoSpaceDN w:val="0"/>
        <w:adjustRightInd w:val="0"/>
        <w:snapToGrid w:val="0"/>
        <w:spacing w:after="0" w:line="360" w:lineRule="auto"/>
        <w:rPr>
          <w:rFonts w:ascii="Book Antiqua" w:eastAsia="Times New Roman" w:hAnsi="Book Antiqua" w:cs="Times New Roman"/>
          <w:noProof/>
          <w:sz w:val="24"/>
          <w:szCs w:val="24"/>
        </w:rPr>
      </w:pPr>
      <w:r w:rsidRPr="00662160">
        <w:rPr>
          <w:rFonts w:ascii="Book Antiqua" w:eastAsia="SimSun" w:hAnsi="Book Antiqua" w:cs="SimSun" w:hint="eastAsia"/>
          <w:color w:val="000000"/>
          <w:sz w:val="24"/>
          <w:szCs w:val="24"/>
          <w:lang w:val="en-US" w:eastAsia="zh-CN"/>
        </w:rPr>
        <w:t xml:space="preserve">7 </w:t>
      </w:r>
      <w:r w:rsidRPr="00662160">
        <w:rPr>
          <w:rFonts w:ascii="Book Antiqua" w:eastAsia="Times New Roman" w:hAnsi="Book Antiqua" w:cs="Times New Roman"/>
          <w:b/>
          <w:noProof/>
          <w:sz w:val="24"/>
          <w:szCs w:val="24"/>
        </w:rPr>
        <w:t>Harmanci O</w:t>
      </w:r>
      <w:r w:rsidRPr="00662160">
        <w:rPr>
          <w:rFonts w:ascii="Book Antiqua" w:eastAsia="Times New Roman" w:hAnsi="Book Antiqua" w:cs="Times New Roman"/>
          <w:noProof/>
          <w:sz w:val="24"/>
          <w:szCs w:val="24"/>
        </w:rPr>
        <w:t xml:space="preserve">, Bayraktar Y. Clinical characteristics of idiopathic portal hypertension. </w:t>
      </w:r>
      <w:r w:rsidRPr="00662160">
        <w:rPr>
          <w:rFonts w:ascii="Book Antiqua" w:eastAsia="Times New Roman" w:hAnsi="Book Antiqua" w:cs="Times New Roman"/>
          <w:i/>
          <w:iCs/>
          <w:noProof/>
          <w:sz w:val="24"/>
          <w:szCs w:val="24"/>
        </w:rPr>
        <w:t>World J Gastroenterol</w:t>
      </w:r>
      <w:r w:rsidRPr="00662160">
        <w:rPr>
          <w:rFonts w:ascii="Book Antiqua" w:eastAsia="Times New Roman" w:hAnsi="Book Antiqua" w:cs="Times New Roman"/>
          <w:noProof/>
          <w:sz w:val="24"/>
          <w:szCs w:val="24"/>
        </w:rPr>
        <w:t xml:space="preserve"> 2007;</w:t>
      </w:r>
      <w:r w:rsidRPr="00662160">
        <w:rPr>
          <w:rFonts w:ascii="Book Antiqua" w:eastAsia="Times New Roman" w:hAnsi="Book Antiqua" w:cs="Times New Roman"/>
          <w:b/>
          <w:bCs/>
          <w:noProof/>
          <w:sz w:val="24"/>
          <w:szCs w:val="24"/>
        </w:rPr>
        <w:t>13</w:t>
      </w:r>
      <w:r w:rsidRPr="00662160">
        <w:rPr>
          <w:rFonts w:ascii="Book Antiqua" w:eastAsia="Times New Roman" w:hAnsi="Book Antiqua" w:cs="Times New Roman"/>
          <w:noProof/>
          <w:sz w:val="24"/>
          <w:szCs w:val="24"/>
        </w:rPr>
        <w:t>:1906–</w:t>
      </w:r>
      <w:r w:rsidRPr="00662160">
        <w:rPr>
          <w:rFonts w:ascii="Book Antiqua" w:eastAsia="SimSun" w:hAnsi="Book Antiqua" w:cs="Times New Roman" w:hint="eastAsia"/>
          <w:noProof/>
          <w:sz w:val="24"/>
          <w:szCs w:val="24"/>
          <w:lang w:eastAsia="zh-CN"/>
        </w:rPr>
        <w:t>19</w:t>
      </w:r>
      <w:r w:rsidRPr="00662160">
        <w:rPr>
          <w:rFonts w:ascii="Book Antiqua" w:eastAsia="Times New Roman" w:hAnsi="Book Antiqua" w:cs="Times New Roman"/>
          <w:noProof/>
          <w:sz w:val="24"/>
          <w:szCs w:val="24"/>
        </w:rPr>
        <w:t>11 [PMID: 17461489]</w:t>
      </w:r>
    </w:p>
    <w:p w14:paraId="0281504A"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8 </w:t>
      </w:r>
      <w:r w:rsidRPr="00662160">
        <w:rPr>
          <w:rFonts w:ascii="Book Antiqua" w:eastAsia="SimSun" w:hAnsi="Book Antiqua" w:cs="SimSun"/>
          <w:b/>
          <w:bCs/>
          <w:color w:val="000000"/>
          <w:sz w:val="24"/>
          <w:szCs w:val="24"/>
          <w:lang w:val="en-US" w:eastAsia="zh-CN"/>
        </w:rPr>
        <w:t>Berzigotti A</w:t>
      </w:r>
      <w:r w:rsidRPr="00662160">
        <w:rPr>
          <w:rFonts w:ascii="Book Antiqua" w:eastAsia="SimSun" w:hAnsi="Book Antiqua" w:cs="SimSun"/>
          <w:color w:val="000000"/>
          <w:sz w:val="24"/>
          <w:szCs w:val="24"/>
          <w:lang w:val="en-US" w:eastAsia="zh-CN"/>
        </w:rPr>
        <w:t>, Seijo S, Reverter E, Bosch J. Assessing portal hypertension in liver diseases. </w:t>
      </w:r>
      <w:r w:rsidRPr="00662160">
        <w:rPr>
          <w:rFonts w:ascii="Book Antiqua" w:eastAsia="SimSun" w:hAnsi="Book Antiqua" w:cs="SimSun"/>
          <w:i/>
          <w:iCs/>
          <w:color w:val="000000"/>
          <w:sz w:val="24"/>
          <w:szCs w:val="24"/>
          <w:lang w:val="en-US" w:eastAsia="zh-CN"/>
        </w:rPr>
        <w:t>Expert Rev Gastroenterol Hepatol</w:t>
      </w:r>
      <w:r w:rsidRPr="00662160">
        <w:rPr>
          <w:rFonts w:ascii="Book Antiqua" w:eastAsia="SimSun" w:hAnsi="Book Antiqua" w:cs="SimSun"/>
          <w:color w:val="000000"/>
          <w:sz w:val="24"/>
          <w:szCs w:val="24"/>
          <w:lang w:val="en-US" w:eastAsia="zh-CN"/>
        </w:rPr>
        <w:t> 2013; </w:t>
      </w:r>
      <w:r w:rsidRPr="00662160">
        <w:rPr>
          <w:rFonts w:ascii="Book Antiqua" w:eastAsia="SimSun" w:hAnsi="Book Antiqua" w:cs="SimSun"/>
          <w:b/>
          <w:bCs/>
          <w:color w:val="000000"/>
          <w:sz w:val="24"/>
          <w:szCs w:val="24"/>
          <w:lang w:val="en-US" w:eastAsia="zh-CN"/>
        </w:rPr>
        <w:t>7</w:t>
      </w:r>
      <w:r w:rsidRPr="00662160">
        <w:rPr>
          <w:rFonts w:ascii="Book Antiqua" w:eastAsia="SimSun" w:hAnsi="Book Antiqua" w:cs="SimSun"/>
          <w:color w:val="000000"/>
          <w:sz w:val="24"/>
          <w:szCs w:val="24"/>
          <w:lang w:val="en-US" w:eastAsia="zh-CN"/>
        </w:rPr>
        <w:t>: 141-155 [PMID: 23363263 DOI: 10.1586/egh.12.83]</w:t>
      </w:r>
    </w:p>
    <w:p w14:paraId="35F1D6D6"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9 </w:t>
      </w:r>
      <w:r w:rsidRPr="00662160">
        <w:rPr>
          <w:rFonts w:ascii="Book Antiqua" w:eastAsia="SimSun" w:hAnsi="Book Antiqua" w:cs="SimSun"/>
          <w:b/>
          <w:bCs/>
          <w:color w:val="000000"/>
          <w:sz w:val="24"/>
          <w:szCs w:val="24"/>
          <w:lang w:val="en-US" w:eastAsia="zh-CN"/>
        </w:rPr>
        <w:t>Thabut D</w:t>
      </w:r>
      <w:r w:rsidRPr="00662160">
        <w:rPr>
          <w:rFonts w:ascii="Book Antiqua" w:eastAsia="SimSun" w:hAnsi="Book Antiqua" w:cs="SimSun"/>
          <w:color w:val="000000"/>
          <w:sz w:val="24"/>
          <w:szCs w:val="24"/>
          <w:lang w:val="en-US" w:eastAsia="zh-CN"/>
        </w:rPr>
        <w:t>, Shah V. Intrahepatic angiogenesis and sinusoidal remodeling in chronic liver disease: new targets for the treatment of portal hypertension? </w:t>
      </w:r>
      <w:r w:rsidRPr="00662160">
        <w:rPr>
          <w:rFonts w:ascii="Book Antiqua" w:eastAsia="SimSun" w:hAnsi="Book Antiqua" w:cs="SimSun"/>
          <w:i/>
          <w:iCs/>
          <w:color w:val="000000"/>
          <w:sz w:val="24"/>
          <w:szCs w:val="24"/>
          <w:lang w:val="en-US" w:eastAsia="zh-CN"/>
        </w:rPr>
        <w:t>J Hepatol</w:t>
      </w:r>
      <w:r w:rsidRPr="00662160">
        <w:rPr>
          <w:rFonts w:ascii="Book Antiqua" w:eastAsia="SimSun" w:hAnsi="Book Antiqua" w:cs="SimSun"/>
          <w:color w:val="000000"/>
          <w:sz w:val="24"/>
          <w:szCs w:val="24"/>
          <w:lang w:val="en-US" w:eastAsia="zh-CN"/>
        </w:rPr>
        <w:t> 2010; </w:t>
      </w:r>
      <w:r w:rsidRPr="00662160">
        <w:rPr>
          <w:rFonts w:ascii="Book Antiqua" w:eastAsia="SimSun" w:hAnsi="Book Antiqua" w:cs="SimSun"/>
          <w:b/>
          <w:bCs/>
          <w:color w:val="000000"/>
          <w:sz w:val="24"/>
          <w:szCs w:val="24"/>
          <w:lang w:val="en-US" w:eastAsia="zh-CN"/>
        </w:rPr>
        <w:t>53</w:t>
      </w:r>
      <w:r w:rsidRPr="00662160">
        <w:rPr>
          <w:rFonts w:ascii="Book Antiqua" w:eastAsia="SimSun" w:hAnsi="Book Antiqua" w:cs="SimSun"/>
          <w:color w:val="000000"/>
          <w:sz w:val="24"/>
          <w:szCs w:val="24"/>
          <w:lang w:val="en-US" w:eastAsia="zh-CN"/>
        </w:rPr>
        <w:t>: 976-980 [PMID: 20800926 DOI: 10.1016/j.jhep.2010.07.004]</w:t>
      </w:r>
    </w:p>
    <w:p w14:paraId="19CBB32D"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lastRenderedPageBreak/>
        <w:t>10 </w:t>
      </w:r>
      <w:r w:rsidRPr="00662160">
        <w:rPr>
          <w:rFonts w:ascii="Book Antiqua" w:eastAsia="SimSun" w:hAnsi="Book Antiqua" w:cs="SimSun"/>
          <w:b/>
          <w:bCs/>
          <w:color w:val="000000"/>
          <w:sz w:val="24"/>
          <w:szCs w:val="24"/>
          <w:lang w:val="en-US" w:eastAsia="zh-CN"/>
        </w:rPr>
        <w:t>Wachsberg RH</w:t>
      </w:r>
      <w:r w:rsidRPr="00662160">
        <w:rPr>
          <w:rFonts w:ascii="Book Antiqua" w:eastAsia="SimSun" w:hAnsi="Book Antiqua" w:cs="SimSun"/>
          <w:color w:val="000000"/>
          <w:sz w:val="24"/>
          <w:szCs w:val="24"/>
          <w:lang w:val="en-US" w:eastAsia="zh-CN"/>
        </w:rPr>
        <w:t>, Yaghmai V, Javors BR, Levine CD, Simmons MZ, Maldjian PD. Cardiophrenic varices in portal hypertension: evaluation with CT. </w:t>
      </w:r>
      <w:r w:rsidRPr="00662160">
        <w:rPr>
          <w:rFonts w:ascii="Book Antiqua" w:eastAsia="SimSun" w:hAnsi="Book Antiqua" w:cs="SimSun"/>
          <w:i/>
          <w:iCs/>
          <w:color w:val="000000"/>
          <w:sz w:val="24"/>
          <w:szCs w:val="24"/>
          <w:lang w:val="en-US" w:eastAsia="zh-CN"/>
        </w:rPr>
        <w:t>Radiology</w:t>
      </w:r>
      <w:r w:rsidRPr="00662160">
        <w:rPr>
          <w:rFonts w:ascii="Book Antiqua" w:eastAsia="SimSun" w:hAnsi="Book Antiqua" w:cs="SimSun"/>
          <w:color w:val="000000"/>
          <w:sz w:val="24"/>
          <w:szCs w:val="24"/>
          <w:lang w:val="en-US" w:eastAsia="zh-CN"/>
        </w:rPr>
        <w:t> 1995; </w:t>
      </w:r>
      <w:r w:rsidRPr="00662160">
        <w:rPr>
          <w:rFonts w:ascii="Book Antiqua" w:eastAsia="SimSun" w:hAnsi="Book Antiqua" w:cs="SimSun"/>
          <w:b/>
          <w:bCs/>
          <w:color w:val="000000"/>
          <w:sz w:val="24"/>
          <w:szCs w:val="24"/>
          <w:lang w:val="en-US" w:eastAsia="zh-CN"/>
        </w:rPr>
        <w:t>195</w:t>
      </w:r>
      <w:r w:rsidRPr="00662160">
        <w:rPr>
          <w:rFonts w:ascii="Book Antiqua" w:eastAsia="SimSun" w:hAnsi="Book Antiqua" w:cs="SimSun"/>
          <w:color w:val="000000"/>
          <w:sz w:val="24"/>
          <w:szCs w:val="24"/>
          <w:lang w:val="en-US" w:eastAsia="zh-CN"/>
        </w:rPr>
        <w:t>: 553-556 [PMID: 7724782 DOI: 10.1148/radiology.195.2.7724782]</w:t>
      </w:r>
    </w:p>
    <w:p w14:paraId="36A59140"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11 </w:t>
      </w:r>
      <w:r w:rsidRPr="00662160">
        <w:rPr>
          <w:rFonts w:ascii="Book Antiqua" w:eastAsia="SimSun" w:hAnsi="Book Antiqua" w:cs="SimSun"/>
          <w:b/>
          <w:bCs/>
          <w:color w:val="000000"/>
          <w:sz w:val="24"/>
          <w:szCs w:val="24"/>
          <w:lang w:val="en-US" w:eastAsia="zh-CN"/>
        </w:rPr>
        <w:t>Berzigotti A</w:t>
      </w:r>
      <w:r w:rsidRPr="00662160">
        <w:rPr>
          <w:rFonts w:ascii="Book Antiqua" w:eastAsia="SimSun" w:hAnsi="Book Antiqua" w:cs="SimSun"/>
          <w:color w:val="000000"/>
          <w:sz w:val="24"/>
          <w:szCs w:val="24"/>
          <w:lang w:val="en-US" w:eastAsia="zh-CN"/>
        </w:rPr>
        <w:t>, Piscaglia F. Ultrasound in portal hypertension--part 2--and EFSUMB recommendations for the performance and reporting of ultrasound examinations in portal hypertension. </w:t>
      </w:r>
      <w:r w:rsidRPr="00662160">
        <w:rPr>
          <w:rFonts w:ascii="Book Antiqua" w:eastAsia="SimSun" w:hAnsi="Book Antiqua" w:cs="SimSun"/>
          <w:i/>
          <w:iCs/>
          <w:color w:val="000000"/>
          <w:sz w:val="24"/>
          <w:szCs w:val="24"/>
          <w:lang w:val="en-US" w:eastAsia="zh-CN"/>
        </w:rPr>
        <w:t>Ultraschall Med</w:t>
      </w:r>
      <w:r w:rsidRPr="00662160">
        <w:rPr>
          <w:rFonts w:ascii="Book Antiqua" w:eastAsia="SimSun" w:hAnsi="Book Antiqua" w:cs="SimSun"/>
          <w:color w:val="000000"/>
          <w:sz w:val="24"/>
          <w:szCs w:val="24"/>
          <w:lang w:val="en-US" w:eastAsia="zh-CN"/>
        </w:rPr>
        <w:t> 2012; </w:t>
      </w:r>
      <w:r w:rsidRPr="00662160">
        <w:rPr>
          <w:rFonts w:ascii="Book Antiqua" w:eastAsia="SimSun" w:hAnsi="Book Antiqua" w:cs="SimSun"/>
          <w:b/>
          <w:bCs/>
          <w:color w:val="000000"/>
          <w:sz w:val="24"/>
          <w:szCs w:val="24"/>
          <w:lang w:val="en-US" w:eastAsia="zh-CN"/>
        </w:rPr>
        <w:t>33</w:t>
      </w:r>
      <w:r w:rsidRPr="00662160">
        <w:rPr>
          <w:rFonts w:ascii="Book Antiqua" w:eastAsia="SimSun" w:hAnsi="Book Antiqua" w:cs="SimSun"/>
          <w:color w:val="000000"/>
          <w:sz w:val="24"/>
          <w:szCs w:val="24"/>
          <w:lang w:val="en-US" w:eastAsia="zh-CN"/>
        </w:rPr>
        <w:t>: 8-32; quiz 30-1 [PMID: 22322479 DOI: 10.1055/s-0031-1299145]</w:t>
      </w:r>
    </w:p>
    <w:p w14:paraId="08C21E2B"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12 </w:t>
      </w:r>
      <w:r w:rsidRPr="00662160">
        <w:rPr>
          <w:rFonts w:ascii="Book Antiqua" w:eastAsia="SimSun" w:hAnsi="Book Antiqua" w:cs="SimSun"/>
          <w:b/>
          <w:bCs/>
          <w:color w:val="000000"/>
          <w:sz w:val="24"/>
          <w:szCs w:val="24"/>
          <w:lang w:val="en-US" w:eastAsia="zh-CN"/>
        </w:rPr>
        <w:t>Castera L</w:t>
      </w:r>
      <w:r w:rsidRPr="00662160">
        <w:rPr>
          <w:rFonts w:ascii="Book Antiqua" w:eastAsia="SimSun" w:hAnsi="Book Antiqua" w:cs="SimSun"/>
          <w:color w:val="000000"/>
          <w:sz w:val="24"/>
          <w:szCs w:val="24"/>
          <w:lang w:val="en-US" w:eastAsia="zh-CN"/>
        </w:rPr>
        <w:t>, Pinzani M, Bosch J. Non invasive evaluation of portal hypertension using transient elastography. </w:t>
      </w:r>
      <w:r w:rsidRPr="00662160">
        <w:rPr>
          <w:rFonts w:ascii="Book Antiqua" w:eastAsia="SimSun" w:hAnsi="Book Antiqua" w:cs="SimSun"/>
          <w:i/>
          <w:iCs/>
          <w:color w:val="000000"/>
          <w:sz w:val="24"/>
          <w:szCs w:val="24"/>
          <w:lang w:val="en-US" w:eastAsia="zh-CN"/>
        </w:rPr>
        <w:t>J Hepatol</w:t>
      </w:r>
      <w:r w:rsidRPr="00662160">
        <w:rPr>
          <w:rFonts w:ascii="Book Antiqua" w:eastAsia="SimSun" w:hAnsi="Book Antiqua" w:cs="SimSun"/>
          <w:color w:val="000000"/>
          <w:sz w:val="24"/>
          <w:szCs w:val="24"/>
          <w:lang w:val="en-US" w:eastAsia="zh-CN"/>
        </w:rPr>
        <w:t> 2012; </w:t>
      </w:r>
      <w:r w:rsidRPr="00662160">
        <w:rPr>
          <w:rFonts w:ascii="Book Antiqua" w:eastAsia="SimSun" w:hAnsi="Book Antiqua" w:cs="SimSun"/>
          <w:b/>
          <w:bCs/>
          <w:color w:val="000000"/>
          <w:sz w:val="24"/>
          <w:szCs w:val="24"/>
          <w:lang w:val="en-US" w:eastAsia="zh-CN"/>
        </w:rPr>
        <w:t>56</w:t>
      </w:r>
      <w:r w:rsidRPr="00662160">
        <w:rPr>
          <w:rFonts w:ascii="Book Antiqua" w:eastAsia="SimSun" w:hAnsi="Book Antiqua" w:cs="SimSun"/>
          <w:color w:val="000000"/>
          <w:sz w:val="24"/>
          <w:szCs w:val="24"/>
          <w:lang w:val="en-US" w:eastAsia="zh-CN"/>
        </w:rPr>
        <w:t>: 696-703 [PMID: 21767510 DOI: 10.1016/j.jhep.2011.07.005]</w:t>
      </w:r>
    </w:p>
    <w:p w14:paraId="1A0C09E7"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13 </w:t>
      </w:r>
      <w:r w:rsidRPr="00662160">
        <w:rPr>
          <w:rFonts w:ascii="Book Antiqua" w:eastAsia="SimSun" w:hAnsi="Book Antiqua" w:cs="SimSun"/>
          <w:b/>
          <w:bCs/>
          <w:color w:val="000000"/>
          <w:sz w:val="24"/>
          <w:szCs w:val="24"/>
          <w:lang w:val="en-US" w:eastAsia="zh-CN"/>
        </w:rPr>
        <w:t>Perri RE</w:t>
      </w:r>
      <w:r w:rsidRPr="00662160">
        <w:rPr>
          <w:rFonts w:ascii="Book Antiqua" w:eastAsia="SimSun" w:hAnsi="Book Antiqua" w:cs="SimSun"/>
          <w:color w:val="000000"/>
          <w:sz w:val="24"/>
          <w:szCs w:val="24"/>
          <w:lang w:val="en-US" w:eastAsia="zh-CN"/>
        </w:rPr>
        <w:t>, Chiorean MV, Fidler JL, Fletcher JG, Talwalkar JA, Stadheim L, Shah ND, Kamath PS. A prospective evaluation of computerized tomographic (CT) scanning as a screening modality for esophageal varices. </w:t>
      </w:r>
      <w:r w:rsidRPr="00662160">
        <w:rPr>
          <w:rFonts w:ascii="Book Antiqua" w:eastAsia="SimSun" w:hAnsi="Book Antiqua" w:cs="SimSun"/>
          <w:i/>
          <w:iCs/>
          <w:color w:val="000000"/>
          <w:sz w:val="24"/>
          <w:szCs w:val="24"/>
          <w:lang w:val="en-US" w:eastAsia="zh-CN"/>
        </w:rPr>
        <w:t>Hepatology</w:t>
      </w:r>
      <w:r w:rsidRPr="00662160">
        <w:rPr>
          <w:rFonts w:ascii="Book Antiqua" w:eastAsia="SimSun" w:hAnsi="Book Antiqua" w:cs="SimSun"/>
          <w:color w:val="000000"/>
          <w:sz w:val="24"/>
          <w:szCs w:val="24"/>
          <w:lang w:val="en-US" w:eastAsia="zh-CN"/>
        </w:rPr>
        <w:t> 2008; </w:t>
      </w:r>
      <w:r w:rsidRPr="00662160">
        <w:rPr>
          <w:rFonts w:ascii="Book Antiqua" w:eastAsia="SimSun" w:hAnsi="Book Antiqua" w:cs="SimSun"/>
          <w:b/>
          <w:bCs/>
          <w:color w:val="000000"/>
          <w:sz w:val="24"/>
          <w:szCs w:val="24"/>
          <w:lang w:val="en-US" w:eastAsia="zh-CN"/>
        </w:rPr>
        <w:t>47</w:t>
      </w:r>
      <w:r w:rsidRPr="00662160">
        <w:rPr>
          <w:rFonts w:ascii="Book Antiqua" w:eastAsia="SimSun" w:hAnsi="Book Antiqua" w:cs="SimSun"/>
          <w:color w:val="000000"/>
          <w:sz w:val="24"/>
          <w:szCs w:val="24"/>
          <w:lang w:val="en-US" w:eastAsia="zh-CN"/>
        </w:rPr>
        <w:t>: 1587-1594 [PMID: 18393388 DOI: 10.1002/hep.22219]</w:t>
      </w:r>
    </w:p>
    <w:p w14:paraId="5AE491D2"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0D1A08">
        <w:rPr>
          <w:rFonts w:ascii="Book Antiqua" w:eastAsia="SimSun" w:hAnsi="Book Antiqua" w:cs="SimSun"/>
          <w:color w:val="000000"/>
          <w:sz w:val="24"/>
          <w:szCs w:val="24"/>
          <w:lang w:val="es-ES_tradnl" w:eastAsia="zh-CN"/>
        </w:rPr>
        <w:t>14 </w:t>
      </w:r>
      <w:r w:rsidRPr="000D1A08">
        <w:rPr>
          <w:rFonts w:ascii="Book Antiqua" w:eastAsia="SimSun" w:hAnsi="Book Antiqua" w:cs="SimSun"/>
          <w:b/>
          <w:bCs/>
          <w:color w:val="000000"/>
          <w:sz w:val="24"/>
          <w:szCs w:val="24"/>
          <w:lang w:val="es-ES_tradnl" w:eastAsia="zh-CN"/>
        </w:rPr>
        <w:t>Bosch J</w:t>
      </w:r>
      <w:r w:rsidRPr="000D1A08">
        <w:rPr>
          <w:rFonts w:ascii="Book Antiqua" w:eastAsia="SimSun" w:hAnsi="Book Antiqua" w:cs="SimSun"/>
          <w:color w:val="000000"/>
          <w:sz w:val="24"/>
          <w:szCs w:val="24"/>
          <w:lang w:val="es-ES_tradnl" w:eastAsia="zh-CN"/>
        </w:rPr>
        <w:t xml:space="preserve">, Berzigotti A, Garcia-Pagan JC, Abraldes JG. </w:t>
      </w:r>
      <w:r w:rsidRPr="00662160">
        <w:rPr>
          <w:rFonts w:ascii="Book Antiqua" w:eastAsia="SimSun" w:hAnsi="Book Antiqua" w:cs="SimSun"/>
          <w:color w:val="000000"/>
          <w:sz w:val="24"/>
          <w:szCs w:val="24"/>
          <w:lang w:val="en-US" w:eastAsia="zh-CN"/>
        </w:rPr>
        <w:t>The management of portal hypertension: rational basis, available treatments and future options. </w:t>
      </w:r>
      <w:r w:rsidRPr="00662160">
        <w:rPr>
          <w:rFonts w:ascii="Book Antiqua" w:eastAsia="SimSun" w:hAnsi="Book Antiqua" w:cs="SimSun"/>
          <w:i/>
          <w:iCs/>
          <w:color w:val="000000"/>
          <w:sz w:val="24"/>
          <w:szCs w:val="24"/>
          <w:lang w:val="en-US" w:eastAsia="zh-CN"/>
        </w:rPr>
        <w:t>J Hepatol</w:t>
      </w:r>
      <w:r w:rsidRPr="00662160">
        <w:rPr>
          <w:rFonts w:ascii="Book Antiqua" w:eastAsia="SimSun" w:hAnsi="Book Antiqua" w:cs="SimSun"/>
          <w:color w:val="000000"/>
          <w:sz w:val="24"/>
          <w:szCs w:val="24"/>
          <w:lang w:val="en-US" w:eastAsia="zh-CN"/>
        </w:rPr>
        <w:t> 2008; </w:t>
      </w:r>
      <w:r w:rsidRPr="00662160">
        <w:rPr>
          <w:rFonts w:ascii="Book Antiqua" w:eastAsia="SimSun" w:hAnsi="Book Antiqua" w:cs="SimSun"/>
          <w:b/>
          <w:bCs/>
          <w:color w:val="000000"/>
          <w:sz w:val="24"/>
          <w:szCs w:val="24"/>
          <w:lang w:val="en-US" w:eastAsia="zh-CN"/>
        </w:rPr>
        <w:t>48 Suppl 1</w:t>
      </w:r>
      <w:r w:rsidRPr="00662160">
        <w:rPr>
          <w:rFonts w:ascii="Book Antiqua" w:eastAsia="SimSun" w:hAnsi="Book Antiqua" w:cs="SimSun"/>
          <w:color w:val="000000"/>
          <w:sz w:val="24"/>
          <w:szCs w:val="24"/>
          <w:lang w:val="en-US" w:eastAsia="zh-CN"/>
        </w:rPr>
        <w:t>: S68-S92 [PMID: 18304681 DOI: 10.1016/j.jhep.2008.01.021]</w:t>
      </w:r>
    </w:p>
    <w:p w14:paraId="0DBB1A41"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15 </w:t>
      </w:r>
      <w:r w:rsidRPr="00662160">
        <w:rPr>
          <w:rFonts w:ascii="Book Antiqua" w:eastAsia="SimSun" w:hAnsi="Book Antiqua" w:cs="SimSun"/>
          <w:b/>
          <w:bCs/>
          <w:color w:val="000000"/>
          <w:sz w:val="24"/>
          <w:szCs w:val="24"/>
          <w:lang w:val="en-US" w:eastAsia="zh-CN"/>
        </w:rPr>
        <w:t>Stankovic Z</w:t>
      </w:r>
      <w:r w:rsidRPr="00662160">
        <w:rPr>
          <w:rFonts w:ascii="Book Antiqua" w:eastAsia="SimSun" w:hAnsi="Book Antiqua" w:cs="SimSun"/>
          <w:color w:val="000000"/>
          <w:sz w:val="24"/>
          <w:szCs w:val="24"/>
          <w:lang w:val="en-US" w:eastAsia="zh-CN"/>
        </w:rPr>
        <w:t>, Allen BD, Garcia J, Jarvis KB, Markl M. 4D flow imaging with MRI. </w:t>
      </w:r>
      <w:r w:rsidRPr="00662160">
        <w:rPr>
          <w:rFonts w:ascii="Book Antiqua" w:eastAsia="SimSun" w:hAnsi="Book Antiqua" w:cs="SimSun"/>
          <w:i/>
          <w:iCs/>
          <w:color w:val="000000"/>
          <w:sz w:val="24"/>
          <w:szCs w:val="24"/>
          <w:lang w:val="en-US" w:eastAsia="zh-CN"/>
        </w:rPr>
        <w:t>Cardiovasc Diagn Ther</w:t>
      </w:r>
      <w:r w:rsidRPr="00662160">
        <w:rPr>
          <w:rFonts w:ascii="Book Antiqua" w:eastAsia="SimSun" w:hAnsi="Book Antiqua" w:cs="SimSun"/>
          <w:color w:val="000000"/>
          <w:sz w:val="24"/>
          <w:szCs w:val="24"/>
          <w:lang w:val="en-US" w:eastAsia="zh-CN"/>
        </w:rPr>
        <w:t> 2014; </w:t>
      </w:r>
      <w:r w:rsidRPr="00662160">
        <w:rPr>
          <w:rFonts w:ascii="Book Antiqua" w:eastAsia="SimSun" w:hAnsi="Book Antiqua" w:cs="SimSun"/>
          <w:b/>
          <w:bCs/>
          <w:color w:val="000000"/>
          <w:sz w:val="24"/>
          <w:szCs w:val="24"/>
          <w:lang w:val="en-US" w:eastAsia="zh-CN"/>
        </w:rPr>
        <w:t>4</w:t>
      </w:r>
      <w:r w:rsidRPr="00662160">
        <w:rPr>
          <w:rFonts w:ascii="Book Antiqua" w:eastAsia="SimSun" w:hAnsi="Book Antiqua" w:cs="SimSun"/>
          <w:color w:val="000000"/>
          <w:sz w:val="24"/>
          <w:szCs w:val="24"/>
          <w:lang w:val="en-US" w:eastAsia="zh-CN"/>
        </w:rPr>
        <w:t>: 173-192 [PMID: 24834414 DOI: 10.3978/j.issn.2223-3652.2014.01.02]</w:t>
      </w:r>
    </w:p>
    <w:p w14:paraId="5DEAF7D8"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16 </w:t>
      </w:r>
      <w:r w:rsidRPr="00662160">
        <w:rPr>
          <w:rFonts w:ascii="Book Antiqua" w:eastAsia="SimSun" w:hAnsi="Book Antiqua" w:cs="SimSun"/>
          <w:b/>
          <w:bCs/>
          <w:color w:val="000000"/>
          <w:sz w:val="24"/>
          <w:szCs w:val="24"/>
          <w:lang w:val="en-US" w:eastAsia="zh-CN"/>
        </w:rPr>
        <w:t>Stankovic Z</w:t>
      </w:r>
      <w:r w:rsidRPr="00662160">
        <w:rPr>
          <w:rFonts w:ascii="Book Antiqua" w:eastAsia="SimSun" w:hAnsi="Book Antiqua" w:cs="SimSun"/>
          <w:color w:val="000000"/>
          <w:sz w:val="24"/>
          <w:szCs w:val="24"/>
          <w:lang w:val="en-US" w:eastAsia="zh-CN"/>
        </w:rPr>
        <w:t>, Csatari Z, Deibert P, Euringer W, Blanke P, Kreisel W, Abdullah Zadeh Z, Kallfass F, Langer M, Markl M. Normal and altered three-dimensional portal venous hemodynamics in patients with liver cirrhosis. </w:t>
      </w:r>
      <w:r w:rsidRPr="00662160">
        <w:rPr>
          <w:rFonts w:ascii="Book Antiqua" w:eastAsia="SimSun" w:hAnsi="Book Antiqua" w:cs="SimSun"/>
          <w:i/>
          <w:iCs/>
          <w:color w:val="000000"/>
          <w:sz w:val="24"/>
          <w:szCs w:val="24"/>
          <w:lang w:val="en-US" w:eastAsia="zh-CN"/>
        </w:rPr>
        <w:t>Radiology</w:t>
      </w:r>
      <w:r w:rsidRPr="00662160">
        <w:rPr>
          <w:rFonts w:ascii="Book Antiqua" w:eastAsia="SimSun" w:hAnsi="Book Antiqua" w:cs="SimSun"/>
          <w:color w:val="000000"/>
          <w:sz w:val="24"/>
          <w:szCs w:val="24"/>
          <w:lang w:val="en-US" w:eastAsia="zh-CN"/>
        </w:rPr>
        <w:t> 2012; </w:t>
      </w:r>
      <w:r w:rsidRPr="00662160">
        <w:rPr>
          <w:rFonts w:ascii="Book Antiqua" w:eastAsia="SimSun" w:hAnsi="Book Antiqua" w:cs="SimSun"/>
          <w:b/>
          <w:bCs/>
          <w:color w:val="000000"/>
          <w:sz w:val="24"/>
          <w:szCs w:val="24"/>
          <w:lang w:val="en-US" w:eastAsia="zh-CN"/>
        </w:rPr>
        <w:t>262</w:t>
      </w:r>
      <w:r w:rsidRPr="00662160">
        <w:rPr>
          <w:rFonts w:ascii="Book Antiqua" w:eastAsia="SimSun" w:hAnsi="Book Antiqua" w:cs="SimSun"/>
          <w:color w:val="000000"/>
          <w:sz w:val="24"/>
          <w:szCs w:val="24"/>
          <w:lang w:val="en-US" w:eastAsia="zh-CN"/>
        </w:rPr>
        <w:t>: 862-873 [PMID: 22357888 DOI: 10.1148/radiol.11110127]</w:t>
      </w:r>
    </w:p>
    <w:p w14:paraId="1A32F735"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17 </w:t>
      </w:r>
      <w:r w:rsidRPr="00662160">
        <w:rPr>
          <w:rFonts w:ascii="Book Antiqua" w:eastAsia="SimSun" w:hAnsi="Book Antiqua" w:cs="SimSun"/>
          <w:b/>
          <w:bCs/>
          <w:color w:val="000000"/>
          <w:sz w:val="24"/>
          <w:szCs w:val="24"/>
          <w:lang w:val="en-US" w:eastAsia="zh-CN"/>
        </w:rPr>
        <w:t>Roldán-Alzate A</w:t>
      </w:r>
      <w:r w:rsidRPr="00662160">
        <w:rPr>
          <w:rFonts w:ascii="Book Antiqua" w:eastAsia="SimSun" w:hAnsi="Book Antiqua" w:cs="SimSun"/>
          <w:color w:val="000000"/>
          <w:sz w:val="24"/>
          <w:szCs w:val="24"/>
          <w:lang w:val="en-US" w:eastAsia="zh-CN"/>
        </w:rPr>
        <w:t>, Frydrychowicz A, Niespodzany E, Landgraf BR, Johnson KM, Wieben O, Reeder SB. In vivo validation of 4D flow MRI for assessing the hemodynamics of portal hypertension. </w:t>
      </w:r>
      <w:r w:rsidRPr="00662160">
        <w:rPr>
          <w:rFonts w:ascii="Book Antiqua" w:eastAsia="SimSun" w:hAnsi="Book Antiqua" w:cs="SimSun"/>
          <w:i/>
          <w:iCs/>
          <w:color w:val="000000"/>
          <w:sz w:val="24"/>
          <w:szCs w:val="24"/>
          <w:lang w:val="en-US" w:eastAsia="zh-CN"/>
        </w:rPr>
        <w:t>J Magn Reson Imaging</w:t>
      </w:r>
      <w:r w:rsidRPr="00662160">
        <w:rPr>
          <w:rFonts w:ascii="Book Antiqua" w:eastAsia="SimSun" w:hAnsi="Book Antiqua" w:cs="SimSun"/>
          <w:color w:val="000000"/>
          <w:sz w:val="24"/>
          <w:szCs w:val="24"/>
          <w:lang w:val="en-US" w:eastAsia="zh-CN"/>
        </w:rPr>
        <w:t> 2013; </w:t>
      </w:r>
      <w:r w:rsidRPr="00662160">
        <w:rPr>
          <w:rFonts w:ascii="Book Antiqua" w:eastAsia="SimSun" w:hAnsi="Book Antiqua" w:cs="SimSun"/>
          <w:b/>
          <w:bCs/>
          <w:color w:val="000000"/>
          <w:sz w:val="24"/>
          <w:szCs w:val="24"/>
          <w:lang w:val="en-US" w:eastAsia="zh-CN"/>
        </w:rPr>
        <w:t>37</w:t>
      </w:r>
      <w:r w:rsidRPr="00662160">
        <w:rPr>
          <w:rFonts w:ascii="Book Antiqua" w:eastAsia="SimSun" w:hAnsi="Book Antiqua" w:cs="SimSun"/>
          <w:color w:val="000000"/>
          <w:sz w:val="24"/>
          <w:szCs w:val="24"/>
          <w:lang w:val="en-US" w:eastAsia="zh-CN"/>
        </w:rPr>
        <w:t>: 1100-1108 [PMID: 23148034 DOI: 10.1002/jmri.23906]</w:t>
      </w:r>
    </w:p>
    <w:p w14:paraId="304268A6"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lastRenderedPageBreak/>
        <w:t>18 </w:t>
      </w:r>
      <w:r w:rsidRPr="00662160">
        <w:rPr>
          <w:rFonts w:ascii="Book Antiqua" w:eastAsia="SimSun" w:hAnsi="Book Antiqua" w:cs="SimSun"/>
          <w:b/>
          <w:bCs/>
          <w:color w:val="000000"/>
          <w:sz w:val="24"/>
          <w:szCs w:val="24"/>
          <w:lang w:val="en-US" w:eastAsia="zh-CN"/>
        </w:rPr>
        <w:t>Kim YJ</w:t>
      </w:r>
      <w:r w:rsidRPr="00662160">
        <w:rPr>
          <w:rFonts w:ascii="Book Antiqua" w:eastAsia="SimSun" w:hAnsi="Book Antiqua" w:cs="SimSun"/>
          <w:color w:val="000000"/>
          <w:sz w:val="24"/>
          <w:szCs w:val="24"/>
          <w:lang w:val="en-US" w:eastAsia="zh-CN"/>
        </w:rPr>
        <w:t>, Raman SS, Yu NC, To'o KJ, Jutabha R, Lu DS. Esophageal varices in cirrhotic patients: evaluation with liver CT. </w:t>
      </w:r>
      <w:r w:rsidRPr="00662160">
        <w:rPr>
          <w:rFonts w:ascii="Book Antiqua" w:eastAsia="SimSun" w:hAnsi="Book Antiqua" w:cs="SimSun"/>
          <w:i/>
          <w:iCs/>
          <w:color w:val="000000"/>
          <w:sz w:val="24"/>
          <w:szCs w:val="24"/>
          <w:lang w:val="en-US" w:eastAsia="zh-CN"/>
        </w:rPr>
        <w:t>AJR Am J Roentgenol</w:t>
      </w:r>
      <w:r w:rsidRPr="00662160">
        <w:rPr>
          <w:rFonts w:ascii="Book Antiqua" w:eastAsia="SimSun" w:hAnsi="Book Antiqua" w:cs="SimSun"/>
          <w:color w:val="000000"/>
          <w:sz w:val="24"/>
          <w:szCs w:val="24"/>
          <w:lang w:val="en-US" w:eastAsia="zh-CN"/>
        </w:rPr>
        <w:t> 2007; </w:t>
      </w:r>
      <w:r w:rsidRPr="00662160">
        <w:rPr>
          <w:rFonts w:ascii="Book Antiqua" w:eastAsia="SimSun" w:hAnsi="Book Antiqua" w:cs="SimSun"/>
          <w:b/>
          <w:bCs/>
          <w:color w:val="000000"/>
          <w:sz w:val="24"/>
          <w:szCs w:val="24"/>
          <w:lang w:val="en-US" w:eastAsia="zh-CN"/>
        </w:rPr>
        <w:t>188</w:t>
      </w:r>
      <w:r w:rsidRPr="00662160">
        <w:rPr>
          <w:rFonts w:ascii="Book Antiqua" w:eastAsia="SimSun" w:hAnsi="Book Antiqua" w:cs="SimSun"/>
          <w:color w:val="000000"/>
          <w:sz w:val="24"/>
          <w:szCs w:val="24"/>
          <w:lang w:val="en-US" w:eastAsia="zh-CN"/>
        </w:rPr>
        <w:t>: 139-144 [PMID: 17179356 DOI: 10.2214/AJR.05.1737]</w:t>
      </w:r>
    </w:p>
    <w:p w14:paraId="7EB56B36"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19 </w:t>
      </w:r>
      <w:r w:rsidRPr="00662160">
        <w:rPr>
          <w:rFonts w:ascii="Book Antiqua" w:eastAsia="SimSun" w:hAnsi="Book Antiqua" w:cs="SimSun"/>
          <w:b/>
          <w:bCs/>
          <w:color w:val="000000"/>
          <w:sz w:val="24"/>
          <w:szCs w:val="24"/>
          <w:lang w:val="en-US" w:eastAsia="zh-CN"/>
        </w:rPr>
        <w:t>Lee SJ</w:t>
      </w:r>
      <w:r w:rsidRPr="00662160">
        <w:rPr>
          <w:rFonts w:ascii="Book Antiqua" w:eastAsia="SimSun" w:hAnsi="Book Antiqua" w:cs="SimSun"/>
          <w:color w:val="000000"/>
          <w:sz w:val="24"/>
          <w:szCs w:val="24"/>
          <w:lang w:val="en-US" w:eastAsia="zh-CN"/>
        </w:rPr>
        <w:t>, Lee KS, Kim SA, Kim TS, Hwang JH, Lim JH. Computed radiography of the chest in patients with paraesophageal varices: diagnostic accuracy and characteristic findings. </w:t>
      </w:r>
      <w:r w:rsidRPr="00662160">
        <w:rPr>
          <w:rFonts w:ascii="Book Antiqua" w:eastAsia="SimSun" w:hAnsi="Book Antiqua" w:cs="SimSun"/>
          <w:i/>
          <w:iCs/>
          <w:color w:val="000000"/>
          <w:sz w:val="24"/>
          <w:szCs w:val="24"/>
          <w:lang w:val="en-US" w:eastAsia="zh-CN"/>
        </w:rPr>
        <w:t>AJR Am J Roentgenol</w:t>
      </w:r>
      <w:r w:rsidRPr="00662160">
        <w:rPr>
          <w:rFonts w:ascii="Book Antiqua" w:eastAsia="SimSun" w:hAnsi="Book Antiqua" w:cs="SimSun"/>
          <w:color w:val="000000"/>
          <w:sz w:val="24"/>
          <w:szCs w:val="24"/>
          <w:lang w:val="en-US" w:eastAsia="zh-CN"/>
        </w:rPr>
        <w:t> 1998; </w:t>
      </w:r>
      <w:r w:rsidRPr="00662160">
        <w:rPr>
          <w:rFonts w:ascii="Book Antiqua" w:eastAsia="SimSun" w:hAnsi="Book Antiqua" w:cs="SimSun"/>
          <w:b/>
          <w:bCs/>
          <w:color w:val="000000"/>
          <w:sz w:val="24"/>
          <w:szCs w:val="24"/>
          <w:lang w:val="en-US" w:eastAsia="zh-CN"/>
        </w:rPr>
        <w:t>170</w:t>
      </w:r>
      <w:r w:rsidRPr="00662160">
        <w:rPr>
          <w:rFonts w:ascii="Book Antiqua" w:eastAsia="SimSun" w:hAnsi="Book Antiqua" w:cs="SimSun"/>
          <w:color w:val="000000"/>
          <w:sz w:val="24"/>
          <w:szCs w:val="24"/>
          <w:lang w:val="en-US" w:eastAsia="zh-CN"/>
        </w:rPr>
        <w:t>: 1527-1531 [PMID: 9609167 DOI: 10.2214/ajr.170.6.9609167]</w:t>
      </w:r>
    </w:p>
    <w:p w14:paraId="10DEFEB1" w14:textId="77777777" w:rsidR="00662160" w:rsidRPr="00662160" w:rsidRDefault="00662160" w:rsidP="00662160">
      <w:pPr>
        <w:spacing w:after="0" w:line="360" w:lineRule="auto"/>
        <w:rPr>
          <w:rFonts w:ascii="Book Antiqua" w:eastAsia="SimSun" w:hAnsi="Book Antiqua" w:cs="SimSun"/>
          <w:color w:val="000000"/>
          <w:sz w:val="24"/>
          <w:szCs w:val="24"/>
          <w:lang w:eastAsia="zh-CN"/>
        </w:rPr>
      </w:pPr>
      <w:bookmarkStart w:id="79" w:name="OLE_LINK191"/>
      <w:bookmarkStart w:id="80" w:name="OLE_LINK192"/>
      <w:r w:rsidRPr="00662160">
        <w:rPr>
          <w:rFonts w:ascii="Book Antiqua" w:eastAsia="SimSun" w:hAnsi="Book Antiqua" w:cs="SimSun" w:hint="eastAsia"/>
          <w:color w:val="000000"/>
          <w:sz w:val="24"/>
          <w:szCs w:val="24"/>
          <w:lang w:eastAsia="zh-CN"/>
        </w:rPr>
        <w:t xml:space="preserve">20 </w:t>
      </w:r>
      <w:r w:rsidRPr="00662160">
        <w:rPr>
          <w:rFonts w:ascii="Book Antiqua" w:eastAsia="SimSun" w:hAnsi="Book Antiqua" w:cs="SimSun"/>
          <w:b/>
          <w:color w:val="000000"/>
          <w:sz w:val="24"/>
          <w:szCs w:val="24"/>
          <w:lang w:eastAsia="zh-CN"/>
        </w:rPr>
        <w:t>Cho K</w:t>
      </w:r>
      <w:r w:rsidRPr="00662160">
        <w:rPr>
          <w:rFonts w:ascii="Book Antiqua" w:eastAsia="SimSun" w:hAnsi="Book Antiqua" w:cs="SimSun"/>
          <w:color w:val="000000"/>
          <w:sz w:val="24"/>
          <w:szCs w:val="24"/>
          <w:lang w:eastAsia="zh-CN"/>
        </w:rPr>
        <w:t>, Patel YD, Wachsberg RH, Seef J</w:t>
      </w:r>
      <w:bookmarkEnd w:id="79"/>
      <w:bookmarkEnd w:id="80"/>
      <w:r w:rsidRPr="00662160">
        <w:rPr>
          <w:rFonts w:ascii="Book Antiqua" w:eastAsia="SimSun" w:hAnsi="Book Antiqua" w:cs="SimSun"/>
          <w:color w:val="000000"/>
          <w:sz w:val="24"/>
          <w:szCs w:val="24"/>
          <w:lang w:eastAsia="zh-CN"/>
        </w:rPr>
        <w:t xml:space="preserve">. </w:t>
      </w:r>
      <w:bookmarkStart w:id="81" w:name="OLE_LINK189"/>
      <w:bookmarkStart w:id="82" w:name="OLE_LINK190"/>
      <w:r w:rsidRPr="00662160">
        <w:rPr>
          <w:rFonts w:ascii="Book Antiqua" w:eastAsia="SimSun" w:hAnsi="Book Antiqua" w:cs="SimSun"/>
          <w:color w:val="000000"/>
          <w:sz w:val="24"/>
          <w:szCs w:val="24"/>
          <w:lang w:eastAsia="zh-CN"/>
        </w:rPr>
        <w:t>Varices in Portal Hypertension: Evaluation with CT</w:t>
      </w:r>
      <w:bookmarkEnd w:id="81"/>
      <w:bookmarkEnd w:id="82"/>
      <w:r w:rsidRPr="00662160">
        <w:rPr>
          <w:rFonts w:ascii="Book Antiqua" w:eastAsia="SimSun" w:hAnsi="Book Antiqua" w:cs="SimSun"/>
          <w:color w:val="000000"/>
          <w:sz w:val="24"/>
          <w:szCs w:val="24"/>
          <w:lang w:eastAsia="zh-CN"/>
        </w:rPr>
        <w:t xml:space="preserve">. </w:t>
      </w:r>
      <w:bookmarkStart w:id="83" w:name="OLE_LINK185"/>
      <w:bookmarkStart w:id="84" w:name="OLE_LINK186"/>
      <w:r w:rsidRPr="00662160">
        <w:rPr>
          <w:rFonts w:ascii="Book Antiqua" w:eastAsia="SimSun" w:hAnsi="Book Antiqua" w:cs="SimSun"/>
          <w:i/>
          <w:iCs/>
          <w:color w:val="000000"/>
          <w:sz w:val="24"/>
          <w:szCs w:val="24"/>
          <w:lang w:eastAsia="zh-CN"/>
        </w:rPr>
        <w:t>Radiology</w:t>
      </w:r>
      <w:r w:rsidRPr="00662160">
        <w:rPr>
          <w:rFonts w:ascii="Book Antiqua" w:eastAsia="SimSun" w:hAnsi="Book Antiqua" w:cs="SimSun"/>
          <w:color w:val="000000"/>
          <w:sz w:val="24"/>
          <w:szCs w:val="24"/>
          <w:lang w:eastAsia="zh-CN"/>
        </w:rPr>
        <w:t xml:space="preserve"> 1995;</w:t>
      </w:r>
      <w:r w:rsidRPr="00662160">
        <w:rPr>
          <w:rFonts w:ascii="Book Antiqua" w:eastAsia="SimSun" w:hAnsi="Book Antiqua" w:cs="SimSun" w:hint="eastAsia"/>
          <w:color w:val="000000"/>
          <w:sz w:val="24"/>
          <w:szCs w:val="24"/>
          <w:lang w:eastAsia="zh-CN"/>
        </w:rPr>
        <w:t xml:space="preserve"> </w:t>
      </w:r>
      <w:r w:rsidRPr="00662160">
        <w:rPr>
          <w:rFonts w:ascii="Book Antiqua" w:eastAsia="SimSun" w:hAnsi="Book Antiqua" w:cs="SimSun"/>
          <w:b/>
          <w:bCs/>
          <w:color w:val="000000"/>
          <w:sz w:val="24"/>
          <w:szCs w:val="24"/>
          <w:lang w:eastAsia="zh-CN"/>
        </w:rPr>
        <w:t>195</w:t>
      </w:r>
      <w:r w:rsidRPr="00662160">
        <w:rPr>
          <w:rFonts w:ascii="Book Antiqua" w:eastAsia="SimSun" w:hAnsi="Book Antiqua" w:cs="SimSun"/>
          <w:color w:val="000000"/>
          <w:sz w:val="24"/>
          <w:szCs w:val="24"/>
          <w:lang w:eastAsia="zh-CN"/>
        </w:rPr>
        <w:t>:</w:t>
      </w:r>
      <w:r w:rsidRPr="00662160">
        <w:rPr>
          <w:rFonts w:ascii="Book Antiqua" w:eastAsia="SimSun" w:hAnsi="Book Antiqua" w:cs="SimSun" w:hint="eastAsia"/>
          <w:color w:val="000000"/>
          <w:sz w:val="24"/>
          <w:szCs w:val="24"/>
          <w:lang w:eastAsia="zh-CN"/>
        </w:rPr>
        <w:t xml:space="preserve"> </w:t>
      </w:r>
      <w:r w:rsidRPr="00662160">
        <w:rPr>
          <w:rFonts w:ascii="Book Antiqua" w:eastAsia="SimSun" w:hAnsi="Book Antiqua" w:cs="SimSun"/>
          <w:color w:val="000000"/>
          <w:sz w:val="24"/>
          <w:szCs w:val="24"/>
          <w:lang w:eastAsia="zh-CN"/>
        </w:rPr>
        <w:t>553–</w:t>
      </w:r>
      <w:r w:rsidRPr="00662160">
        <w:rPr>
          <w:rFonts w:ascii="Book Antiqua" w:eastAsia="SimSun" w:hAnsi="Book Antiqua" w:cs="SimSun" w:hint="eastAsia"/>
          <w:color w:val="000000"/>
          <w:sz w:val="24"/>
          <w:szCs w:val="24"/>
          <w:lang w:eastAsia="zh-CN"/>
        </w:rPr>
        <w:t>55</w:t>
      </w:r>
      <w:r w:rsidRPr="00662160">
        <w:rPr>
          <w:rFonts w:ascii="Book Antiqua" w:eastAsia="SimSun" w:hAnsi="Book Antiqua" w:cs="SimSun"/>
          <w:color w:val="000000"/>
          <w:sz w:val="24"/>
          <w:szCs w:val="24"/>
          <w:lang w:eastAsia="zh-CN"/>
        </w:rPr>
        <w:t>6</w:t>
      </w:r>
      <w:bookmarkEnd w:id="83"/>
      <w:bookmarkEnd w:id="84"/>
      <w:r w:rsidRPr="00662160">
        <w:rPr>
          <w:rFonts w:ascii="Book Antiqua" w:eastAsia="SimSun" w:hAnsi="Book Antiqua" w:cs="SimSun"/>
          <w:color w:val="000000"/>
          <w:sz w:val="24"/>
          <w:szCs w:val="24"/>
          <w:lang w:eastAsia="zh-CN"/>
        </w:rPr>
        <w:t xml:space="preserve"> [PMID: 7624566 DOI: 10.1148/radiographics.15.3.7624566]</w:t>
      </w:r>
    </w:p>
    <w:p w14:paraId="55DD7A61" w14:textId="77777777" w:rsidR="00662160" w:rsidRPr="00662160" w:rsidRDefault="00662160" w:rsidP="00662160">
      <w:pPr>
        <w:spacing w:after="0" w:line="360" w:lineRule="auto"/>
        <w:rPr>
          <w:rFonts w:ascii="Book Antiqua" w:eastAsia="SimSun" w:hAnsi="Book Antiqua" w:cs="SimSun"/>
          <w:color w:val="000000"/>
          <w:sz w:val="24"/>
          <w:szCs w:val="24"/>
          <w:lang w:eastAsia="zh-CN"/>
        </w:rPr>
      </w:pPr>
      <w:r w:rsidRPr="00662160">
        <w:rPr>
          <w:rFonts w:ascii="Book Antiqua" w:eastAsia="SimSun" w:hAnsi="Book Antiqua" w:cs="SimSun"/>
          <w:color w:val="000000"/>
          <w:sz w:val="24"/>
          <w:szCs w:val="24"/>
          <w:lang w:eastAsia="zh-CN"/>
        </w:rPr>
        <w:t>21</w:t>
      </w:r>
      <w:r w:rsidRPr="00662160">
        <w:rPr>
          <w:rFonts w:ascii="Book Antiqua" w:eastAsia="SimSun" w:hAnsi="Book Antiqua" w:cs="SimSun" w:hint="eastAsia"/>
          <w:color w:val="000000"/>
          <w:sz w:val="24"/>
          <w:szCs w:val="24"/>
          <w:lang w:eastAsia="zh-CN"/>
        </w:rPr>
        <w:t xml:space="preserve"> </w:t>
      </w:r>
      <w:r w:rsidRPr="00662160">
        <w:rPr>
          <w:rFonts w:ascii="Book Antiqua" w:eastAsia="SimSun" w:hAnsi="Book Antiqua" w:cs="SimSun"/>
          <w:b/>
          <w:color w:val="000000"/>
          <w:sz w:val="24"/>
          <w:szCs w:val="24"/>
          <w:lang w:eastAsia="zh-CN"/>
        </w:rPr>
        <w:t>Hoevels J</w:t>
      </w:r>
      <w:r w:rsidRPr="00662160">
        <w:rPr>
          <w:rFonts w:ascii="Book Antiqua" w:eastAsia="SimSun" w:hAnsi="Book Antiqua" w:cs="SimSun"/>
          <w:color w:val="000000"/>
          <w:sz w:val="24"/>
          <w:szCs w:val="24"/>
          <w:lang w:eastAsia="zh-CN"/>
        </w:rPr>
        <w:t xml:space="preserve">, Lunderquist A, Ihse I. Portosystemic collaterals in cirrhosis of the liver: selective percutaneous transhepatic catheterization of the portal venous system and portal hypertension. </w:t>
      </w:r>
      <w:r w:rsidRPr="00662160">
        <w:rPr>
          <w:rFonts w:ascii="Book Antiqua" w:eastAsia="SimSun" w:hAnsi="Book Antiqua" w:cs="SimSun"/>
          <w:i/>
          <w:iCs/>
          <w:color w:val="000000"/>
          <w:sz w:val="24"/>
          <w:szCs w:val="24"/>
          <w:lang w:eastAsia="zh-CN"/>
        </w:rPr>
        <w:t>Acta Radiol Diagn</w:t>
      </w:r>
      <w:r w:rsidRPr="00662160">
        <w:rPr>
          <w:rFonts w:ascii="Book Antiqua" w:eastAsia="SimSun" w:hAnsi="Book Antiqua" w:cs="SimSun"/>
          <w:color w:val="000000"/>
          <w:sz w:val="24"/>
          <w:szCs w:val="24"/>
          <w:lang w:eastAsia="zh-CN"/>
        </w:rPr>
        <w:t xml:space="preserve"> 1979;</w:t>
      </w:r>
      <w:r w:rsidRPr="00662160">
        <w:rPr>
          <w:rFonts w:ascii="Book Antiqua" w:eastAsia="SimSun" w:hAnsi="Book Antiqua" w:cs="SimSun" w:hint="eastAsia"/>
          <w:color w:val="000000"/>
          <w:sz w:val="24"/>
          <w:szCs w:val="24"/>
          <w:lang w:eastAsia="zh-CN"/>
        </w:rPr>
        <w:t xml:space="preserve"> </w:t>
      </w:r>
      <w:r w:rsidRPr="00662160">
        <w:rPr>
          <w:rFonts w:ascii="Book Antiqua" w:eastAsia="SimSun" w:hAnsi="Book Antiqua" w:cs="SimSun"/>
          <w:b/>
          <w:bCs/>
          <w:color w:val="000000"/>
          <w:sz w:val="24"/>
          <w:szCs w:val="24"/>
          <w:lang w:eastAsia="zh-CN"/>
        </w:rPr>
        <w:t>20</w:t>
      </w:r>
      <w:r w:rsidRPr="00662160">
        <w:rPr>
          <w:rFonts w:ascii="Book Antiqua" w:eastAsia="SimSun" w:hAnsi="Book Antiqua" w:cs="SimSun"/>
          <w:color w:val="000000"/>
          <w:sz w:val="24"/>
          <w:szCs w:val="24"/>
          <w:lang w:eastAsia="zh-CN"/>
        </w:rPr>
        <w:t>:</w:t>
      </w:r>
      <w:r w:rsidRPr="00662160">
        <w:rPr>
          <w:rFonts w:ascii="Book Antiqua" w:eastAsia="SimSun" w:hAnsi="Book Antiqua" w:cs="SimSun" w:hint="eastAsia"/>
          <w:color w:val="000000"/>
          <w:sz w:val="24"/>
          <w:szCs w:val="24"/>
          <w:lang w:eastAsia="zh-CN"/>
        </w:rPr>
        <w:t xml:space="preserve"> </w:t>
      </w:r>
      <w:r w:rsidRPr="00662160">
        <w:rPr>
          <w:rFonts w:ascii="Book Antiqua" w:eastAsia="SimSun" w:hAnsi="Book Antiqua" w:cs="SimSun"/>
          <w:color w:val="000000"/>
          <w:sz w:val="24"/>
          <w:szCs w:val="24"/>
          <w:lang w:eastAsia="zh-CN"/>
        </w:rPr>
        <w:t>865–</w:t>
      </w:r>
      <w:r w:rsidRPr="00662160">
        <w:rPr>
          <w:rFonts w:ascii="Book Antiqua" w:eastAsia="SimSun" w:hAnsi="Book Antiqua" w:cs="SimSun" w:hint="eastAsia"/>
          <w:color w:val="000000"/>
          <w:sz w:val="24"/>
          <w:szCs w:val="24"/>
          <w:lang w:eastAsia="zh-CN"/>
        </w:rPr>
        <w:t>86</w:t>
      </w:r>
      <w:r w:rsidRPr="00662160">
        <w:rPr>
          <w:rFonts w:ascii="Book Antiqua" w:eastAsia="SimSun" w:hAnsi="Book Antiqua" w:cs="SimSun"/>
          <w:color w:val="000000"/>
          <w:sz w:val="24"/>
          <w:szCs w:val="24"/>
          <w:lang w:eastAsia="zh-CN"/>
        </w:rPr>
        <w:t>6 [PMID: 546069]</w:t>
      </w:r>
    </w:p>
    <w:p w14:paraId="2CACD047"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22 </w:t>
      </w:r>
      <w:r w:rsidRPr="00662160">
        <w:rPr>
          <w:rFonts w:ascii="Book Antiqua" w:eastAsia="SimSun" w:hAnsi="Book Antiqua" w:cs="SimSun"/>
          <w:b/>
          <w:bCs/>
          <w:color w:val="000000"/>
          <w:sz w:val="24"/>
          <w:szCs w:val="24"/>
          <w:lang w:val="en-US" w:eastAsia="zh-CN"/>
        </w:rPr>
        <w:t>Subramanyam BR</w:t>
      </w:r>
      <w:r w:rsidRPr="00662160">
        <w:rPr>
          <w:rFonts w:ascii="Book Antiqua" w:eastAsia="SimSun" w:hAnsi="Book Antiqua" w:cs="SimSun"/>
          <w:color w:val="000000"/>
          <w:sz w:val="24"/>
          <w:szCs w:val="24"/>
          <w:lang w:val="en-US" w:eastAsia="zh-CN"/>
        </w:rPr>
        <w:t>, Balthazar EJ, Madamba MR, Raghavendra BN, Horii SC, Lefleur RS. Sonography of portosystemic venous collaterals in portal hypertension. </w:t>
      </w:r>
      <w:r w:rsidRPr="00662160">
        <w:rPr>
          <w:rFonts w:ascii="Book Antiqua" w:eastAsia="SimSun" w:hAnsi="Book Antiqua" w:cs="SimSun"/>
          <w:i/>
          <w:iCs/>
          <w:color w:val="000000"/>
          <w:sz w:val="24"/>
          <w:szCs w:val="24"/>
          <w:lang w:val="en-US" w:eastAsia="zh-CN"/>
        </w:rPr>
        <w:t>Radiology</w:t>
      </w:r>
      <w:r w:rsidRPr="00662160">
        <w:rPr>
          <w:rFonts w:ascii="Book Antiqua" w:eastAsia="SimSun" w:hAnsi="Book Antiqua" w:cs="SimSun"/>
          <w:color w:val="000000"/>
          <w:sz w:val="24"/>
          <w:szCs w:val="24"/>
          <w:lang w:val="en-US" w:eastAsia="zh-CN"/>
        </w:rPr>
        <w:t> 1983; </w:t>
      </w:r>
      <w:r w:rsidRPr="00662160">
        <w:rPr>
          <w:rFonts w:ascii="Book Antiqua" w:eastAsia="SimSun" w:hAnsi="Book Antiqua" w:cs="SimSun"/>
          <w:b/>
          <w:bCs/>
          <w:color w:val="000000"/>
          <w:sz w:val="24"/>
          <w:szCs w:val="24"/>
          <w:lang w:val="en-US" w:eastAsia="zh-CN"/>
        </w:rPr>
        <w:t>146</w:t>
      </w:r>
      <w:r w:rsidRPr="00662160">
        <w:rPr>
          <w:rFonts w:ascii="Book Antiqua" w:eastAsia="SimSun" w:hAnsi="Book Antiqua" w:cs="SimSun"/>
          <w:color w:val="000000"/>
          <w:sz w:val="24"/>
          <w:szCs w:val="24"/>
          <w:lang w:val="en-US" w:eastAsia="zh-CN"/>
        </w:rPr>
        <w:t>: 161-166 [PMID: 6849040 DOI: 10.1148/radiology.146.1.6849040]</w:t>
      </w:r>
    </w:p>
    <w:p w14:paraId="7CBF02FD"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23 </w:t>
      </w:r>
      <w:r w:rsidRPr="00662160">
        <w:rPr>
          <w:rFonts w:ascii="Book Antiqua" w:eastAsia="SimSun" w:hAnsi="Book Antiqua" w:cs="SimSun"/>
          <w:b/>
          <w:bCs/>
          <w:color w:val="000000"/>
          <w:sz w:val="24"/>
          <w:szCs w:val="24"/>
          <w:lang w:val="en-US" w:eastAsia="zh-CN"/>
        </w:rPr>
        <w:t>Wachsberg RH</w:t>
      </w:r>
      <w:r w:rsidRPr="00662160">
        <w:rPr>
          <w:rFonts w:ascii="Book Antiqua" w:eastAsia="SimSun" w:hAnsi="Book Antiqua" w:cs="SimSun"/>
          <w:color w:val="000000"/>
          <w:sz w:val="24"/>
          <w:szCs w:val="24"/>
          <w:lang w:val="en-US" w:eastAsia="zh-CN"/>
        </w:rPr>
        <w:t>, Simmons MZ. Coronary vein diameter and flow direction in patients with portal hypertension: evaluation with duplex sonography and correlation with variceal bleeding. </w:t>
      </w:r>
      <w:r w:rsidRPr="00662160">
        <w:rPr>
          <w:rFonts w:ascii="Book Antiqua" w:eastAsia="SimSun" w:hAnsi="Book Antiqua" w:cs="SimSun"/>
          <w:i/>
          <w:iCs/>
          <w:color w:val="000000"/>
          <w:sz w:val="24"/>
          <w:szCs w:val="24"/>
          <w:lang w:val="en-US" w:eastAsia="zh-CN"/>
        </w:rPr>
        <w:t>AJR Am J Roentgenol</w:t>
      </w:r>
      <w:r w:rsidRPr="00662160">
        <w:rPr>
          <w:rFonts w:ascii="Book Antiqua" w:eastAsia="SimSun" w:hAnsi="Book Antiqua" w:cs="SimSun"/>
          <w:color w:val="000000"/>
          <w:sz w:val="24"/>
          <w:szCs w:val="24"/>
          <w:lang w:val="en-US" w:eastAsia="zh-CN"/>
        </w:rPr>
        <w:t> 1994; </w:t>
      </w:r>
      <w:r w:rsidRPr="00662160">
        <w:rPr>
          <w:rFonts w:ascii="Book Antiqua" w:eastAsia="SimSun" w:hAnsi="Book Antiqua" w:cs="SimSun"/>
          <w:b/>
          <w:bCs/>
          <w:color w:val="000000"/>
          <w:sz w:val="24"/>
          <w:szCs w:val="24"/>
          <w:lang w:val="en-US" w:eastAsia="zh-CN"/>
        </w:rPr>
        <w:t>162</w:t>
      </w:r>
      <w:r w:rsidRPr="00662160">
        <w:rPr>
          <w:rFonts w:ascii="Book Antiqua" w:eastAsia="SimSun" w:hAnsi="Book Antiqua" w:cs="SimSun"/>
          <w:color w:val="000000"/>
          <w:sz w:val="24"/>
          <w:szCs w:val="24"/>
          <w:lang w:val="en-US" w:eastAsia="zh-CN"/>
        </w:rPr>
        <w:t>: 637-641 [PMID: 8109512 DOI: 10.2214/ajr.162.3.8109512]</w:t>
      </w:r>
    </w:p>
    <w:p w14:paraId="46E2A3E3"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24 </w:t>
      </w:r>
      <w:r w:rsidRPr="00662160">
        <w:rPr>
          <w:rFonts w:ascii="Book Antiqua" w:eastAsia="SimSun" w:hAnsi="Book Antiqua" w:cs="SimSun"/>
          <w:b/>
          <w:bCs/>
          <w:color w:val="000000"/>
          <w:sz w:val="24"/>
          <w:szCs w:val="24"/>
          <w:lang w:val="en-US" w:eastAsia="zh-CN"/>
        </w:rPr>
        <w:t>Lafortune M</w:t>
      </w:r>
      <w:r w:rsidRPr="00662160">
        <w:rPr>
          <w:rFonts w:ascii="Book Antiqua" w:eastAsia="SimSun" w:hAnsi="Book Antiqua" w:cs="SimSun"/>
          <w:color w:val="000000"/>
          <w:sz w:val="24"/>
          <w:szCs w:val="24"/>
          <w:lang w:val="en-US" w:eastAsia="zh-CN"/>
        </w:rPr>
        <w:t>, Marleau D, Breton G, Viallet A, Lavoie P, Huet PM. Portal venous system measurements in portal hypertension. </w:t>
      </w:r>
      <w:r w:rsidRPr="00662160">
        <w:rPr>
          <w:rFonts w:ascii="Book Antiqua" w:eastAsia="SimSun" w:hAnsi="Book Antiqua" w:cs="SimSun"/>
          <w:i/>
          <w:iCs/>
          <w:color w:val="000000"/>
          <w:sz w:val="24"/>
          <w:szCs w:val="24"/>
          <w:lang w:val="en-US" w:eastAsia="zh-CN"/>
        </w:rPr>
        <w:t>Radiology</w:t>
      </w:r>
      <w:r w:rsidRPr="00662160">
        <w:rPr>
          <w:rFonts w:ascii="Book Antiqua" w:eastAsia="SimSun" w:hAnsi="Book Antiqua" w:cs="SimSun"/>
          <w:color w:val="000000"/>
          <w:sz w:val="24"/>
          <w:szCs w:val="24"/>
          <w:lang w:val="en-US" w:eastAsia="zh-CN"/>
        </w:rPr>
        <w:t> 1984; </w:t>
      </w:r>
      <w:r w:rsidRPr="00662160">
        <w:rPr>
          <w:rFonts w:ascii="Book Antiqua" w:eastAsia="SimSun" w:hAnsi="Book Antiqua" w:cs="SimSun"/>
          <w:b/>
          <w:bCs/>
          <w:color w:val="000000"/>
          <w:sz w:val="24"/>
          <w:szCs w:val="24"/>
          <w:lang w:val="en-US" w:eastAsia="zh-CN"/>
        </w:rPr>
        <w:t>151</w:t>
      </w:r>
      <w:r w:rsidRPr="00662160">
        <w:rPr>
          <w:rFonts w:ascii="Book Antiqua" w:eastAsia="SimSun" w:hAnsi="Book Antiqua" w:cs="SimSun"/>
          <w:color w:val="000000"/>
          <w:sz w:val="24"/>
          <w:szCs w:val="24"/>
          <w:lang w:val="en-US" w:eastAsia="zh-CN"/>
        </w:rPr>
        <w:t>: 27-30 [PMID: 6701328 DOI: 10.1148/radiology.151.1.6701328]</w:t>
      </w:r>
    </w:p>
    <w:p w14:paraId="7FB61E97"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 xml:space="preserve">25 </w:t>
      </w:r>
      <w:r w:rsidRPr="00662160">
        <w:rPr>
          <w:rFonts w:ascii="Book Antiqua" w:eastAsia="SimSun" w:hAnsi="Book Antiqua" w:cs="SimSun"/>
          <w:b/>
          <w:color w:val="000000"/>
          <w:sz w:val="24"/>
          <w:szCs w:val="24"/>
          <w:lang w:val="en-US" w:eastAsia="zh-CN"/>
        </w:rPr>
        <w:t>Takahashi N</w:t>
      </w:r>
      <w:r w:rsidRPr="00662160">
        <w:rPr>
          <w:rFonts w:ascii="Book Antiqua" w:eastAsia="SimSun" w:hAnsi="Book Antiqua" w:cs="SimSun"/>
          <w:color w:val="000000"/>
          <w:sz w:val="24"/>
          <w:szCs w:val="24"/>
          <w:lang w:val="en-US" w:eastAsia="zh-CN"/>
        </w:rPr>
        <w:t xml:space="preserve">, Kuroki K, Yanaga K. Percutaneous Transhepatic Mechanical Thrombectomy for Acute Mesenteric Venous Thrombosis. </w:t>
      </w:r>
      <w:bookmarkStart w:id="85" w:name="OLE_LINK193"/>
      <w:bookmarkStart w:id="86" w:name="OLE_LINK194"/>
      <w:r w:rsidRPr="00662160">
        <w:rPr>
          <w:rFonts w:ascii="Book Antiqua" w:eastAsia="SimSun" w:hAnsi="Book Antiqua" w:cs="SimSun"/>
          <w:i/>
          <w:color w:val="000000"/>
          <w:sz w:val="24"/>
          <w:szCs w:val="24"/>
          <w:lang w:val="en-US" w:eastAsia="zh-CN"/>
        </w:rPr>
        <w:t xml:space="preserve">J Endovasc Ther </w:t>
      </w:r>
      <w:r w:rsidRPr="00662160">
        <w:rPr>
          <w:rFonts w:ascii="Book Antiqua" w:eastAsia="SimSun" w:hAnsi="Book Antiqua" w:cs="SimSun"/>
          <w:color w:val="000000"/>
          <w:sz w:val="24"/>
          <w:szCs w:val="24"/>
          <w:lang w:val="en-US" w:eastAsia="zh-CN"/>
        </w:rPr>
        <w:t xml:space="preserve">2005; </w:t>
      </w:r>
      <w:r w:rsidRPr="00662160">
        <w:rPr>
          <w:rFonts w:ascii="Book Antiqua" w:eastAsia="SimSun" w:hAnsi="Book Antiqua" w:cs="SimSun"/>
          <w:b/>
          <w:color w:val="000000"/>
          <w:sz w:val="24"/>
          <w:szCs w:val="24"/>
          <w:lang w:val="en-US" w:eastAsia="zh-CN"/>
        </w:rPr>
        <w:t>12</w:t>
      </w:r>
      <w:r w:rsidRPr="00662160">
        <w:rPr>
          <w:rFonts w:ascii="Book Antiqua" w:eastAsia="SimSun" w:hAnsi="Book Antiqua" w:cs="SimSun"/>
          <w:color w:val="000000"/>
          <w:sz w:val="24"/>
          <w:szCs w:val="24"/>
          <w:lang w:val="en-US" w:eastAsia="zh-CN"/>
        </w:rPr>
        <w:t>: 508–</w:t>
      </w:r>
      <w:r w:rsidRPr="00662160">
        <w:rPr>
          <w:rFonts w:ascii="Book Antiqua" w:eastAsia="SimSun" w:hAnsi="Book Antiqua" w:cs="SimSun" w:hint="eastAsia"/>
          <w:color w:val="000000"/>
          <w:sz w:val="24"/>
          <w:szCs w:val="24"/>
          <w:lang w:val="en-US" w:eastAsia="zh-CN"/>
        </w:rPr>
        <w:t>5</w:t>
      </w:r>
      <w:r w:rsidRPr="00662160">
        <w:rPr>
          <w:rFonts w:ascii="Book Antiqua" w:eastAsia="SimSun" w:hAnsi="Book Antiqua" w:cs="SimSun"/>
          <w:color w:val="000000"/>
          <w:sz w:val="24"/>
          <w:szCs w:val="24"/>
          <w:lang w:val="en-US" w:eastAsia="zh-CN"/>
        </w:rPr>
        <w:t>11</w:t>
      </w:r>
      <w:r w:rsidRPr="00662160">
        <w:rPr>
          <w:rFonts w:ascii="Book Antiqua" w:eastAsia="SimSun" w:hAnsi="Book Antiqua" w:cs="SimSun" w:hint="eastAsia"/>
          <w:color w:val="000000"/>
          <w:sz w:val="24"/>
          <w:szCs w:val="24"/>
          <w:lang w:val="en-US" w:eastAsia="zh-CN"/>
        </w:rPr>
        <w:t xml:space="preserve"> [</w:t>
      </w:r>
      <w:r w:rsidRPr="00662160">
        <w:rPr>
          <w:rFonts w:ascii="Book Antiqua" w:eastAsia="SimSun" w:hAnsi="Book Antiqua" w:cs="SimSun"/>
          <w:color w:val="000000"/>
          <w:sz w:val="24"/>
          <w:szCs w:val="24"/>
          <w:lang w:val="en-US" w:eastAsia="zh-CN"/>
        </w:rPr>
        <w:t>PMID: 16048384 DOI: 10.1583/04-1335MR.1</w:t>
      </w:r>
      <w:r w:rsidRPr="00662160">
        <w:rPr>
          <w:rFonts w:ascii="Book Antiqua" w:eastAsia="SimSun" w:hAnsi="Book Antiqua" w:cs="SimSun" w:hint="eastAsia"/>
          <w:color w:val="000000"/>
          <w:sz w:val="24"/>
          <w:szCs w:val="24"/>
          <w:lang w:val="en-US" w:eastAsia="zh-CN"/>
        </w:rPr>
        <w:t>]</w:t>
      </w:r>
    </w:p>
    <w:bookmarkEnd w:id="85"/>
    <w:bookmarkEnd w:id="86"/>
    <w:p w14:paraId="08C092FA"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lastRenderedPageBreak/>
        <w:t>26 </w:t>
      </w:r>
      <w:r w:rsidRPr="00662160">
        <w:rPr>
          <w:rFonts w:ascii="Book Antiqua" w:eastAsia="SimSun" w:hAnsi="Book Antiqua" w:cs="SimSun"/>
          <w:b/>
          <w:bCs/>
          <w:color w:val="000000"/>
          <w:sz w:val="24"/>
          <w:szCs w:val="24"/>
          <w:lang w:val="en-US" w:eastAsia="zh-CN"/>
        </w:rPr>
        <w:t>Garcia-Tsao G</w:t>
      </w:r>
      <w:r w:rsidRPr="00662160">
        <w:rPr>
          <w:rFonts w:ascii="Book Antiqua" w:eastAsia="SimSun" w:hAnsi="Book Antiqua" w:cs="SimSun"/>
          <w:color w:val="000000"/>
          <w:sz w:val="24"/>
          <w:szCs w:val="24"/>
          <w:lang w:val="en-US" w:eastAsia="zh-CN"/>
        </w:rPr>
        <w:t>. Current Management of the Complications of Cirrhosis and Portal Hypertension: Variceal Hemorrhage, Ascites, and Spontaneous Bacterial Peritonitis. </w:t>
      </w:r>
      <w:r w:rsidRPr="00662160">
        <w:rPr>
          <w:rFonts w:ascii="Book Antiqua" w:eastAsia="SimSun" w:hAnsi="Book Antiqua" w:cs="SimSun"/>
          <w:i/>
          <w:iCs/>
          <w:color w:val="000000"/>
          <w:sz w:val="24"/>
          <w:szCs w:val="24"/>
          <w:lang w:val="en-US" w:eastAsia="zh-CN"/>
        </w:rPr>
        <w:t>Dig Dis</w:t>
      </w:r>
      <w:r w:rsidRPr="00662160">
        <w:rPr>
          <w:rFonts w:ascii="Book Antiqua" w:eastAsia="SimSun" w:hAnsi="Book Antiqua" w:cs="SimSun"/>
          <w:color w:val="000000"/>
          <w:sz w:val="24"/>
          <w:szCs w:val="24"/>
          <w:lang w:val="en-US" w:eastAsia="zh-CN"/>
        </w:rPr>
        <w:t> </w:t>
      </w:r>
      <w:r w:rsidRPr="00662160">
        <w:rPr>
          <w:rFonts w:ascii="Book Antiqua" w:eastAsia="SimSun" w:hAnsi="Book Antiqua" w:cs="SimSun" w:hint="eastAsia"/>
          <w:color w:val="000000"/>
          <w:sz w:val="24"/>
          <w:szCs w:val="24"/>
          <w:lang w:val="en-US" w:eastAsia="zh-CN"/>
        </w:rPr>
        <w:t>2001</w:t>
      </w:r>
      <w:r w:rsidRPr="00662160">
        <w:rPr>
          <w:rFonts w:ascii="Book Antiqua" w:eastAsia="SimSun" w:hAnsi="Book Antiqua" w:cs="SimSun"/>
          <w:color w:val="000000"/>
          <w:sz w:val="24"/>
          <w:szCs w:val="24"/>
          <w:lang w:val="en-US" w:eastAsia="zh-CN"/>
        </w:rPr>
        <w:t>; </w:t>
      </w:r>
      <w:r w:rsidRPr="00662160">
        <w:rPr>
          <w:rFonts w:ascii="Book Antiqua" w:eastAsia="SimSun" w:hAnsi="Book Antiqua" w:cs="SimSun"/>
          <w:b/>
          <w:bCs/>
          <w:color w:val="000000"/>
          <w:sz w:val="24"/>
          <w:szCs w:val="24"/>
          <w:lang w:val="en-US" w:eastAsia="zh-CN"/>
        </w:rPr>
        <w:t>34</w:t>
      </w:r>
      <w:r w:rsidRPr="00662160">
        <w:rPr>
          <w:rFonts w:ascii="Book Antiqua" w:eastAsia="SimSun" w:hAnsi="Book Antiqua" w:cs="SimSun"/>
          <w:color w:val="000000"/>
          <w:sz w:val="24"/>
          <w:szCs w:val="24"/>
          <w:lang w:val="en-US" w:eastAsia="zh-CN"/>
        </w:rPr>
        <w:t>: 382-386 [PMID: 27170392 DOI: 10.1053/gast.2001.22580]</w:t>
      </w:r>
    </w:p>
    <w:p w14:paraId="5ED3278F"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27 </w:t>
      </w:r>
      <w:r w:rsidRPr="00662160">
        <w:rPr>
          <w:rFonts w:ascii="Book Antiqua" w:eastAsia="SimSun" w:hAnsi="Book Antiqua" w:cs="SimSun"/>
          <w:b/>
          <w:bCs/>
          <w:color w:val="000000"/>
          <w:sz w:val="24"/>
          <w:szCs w:val="24"/>
          <w:lang w:val="en-US" w:eastAsia="zh-CN"/>
        </w:rPr>
        <w:t>Lin CY</w:t>
      </w:r>
      <w:r w:rsidRPr="00662160">
        <w:rPr>
          <w:rFonts w:ascii="Book Antiqua" w:eastAsia="SimSun" w:hAnsi="Book Antiqua" w:cs="SimSun"/>
          <w:color w:val="000000"/>
          <w:sz w:val="24"/>
          <w:szCs w:val="24"/>
          <w:lang w:val="en-US" w:eastAsia="zh-CN"/>
        </w:rPr>
        <w:t>, Lin PW, Tsai HM, Lin XZ, Chang TT, Shin JS. Influence of paraesophageal venous collaterals on efficacy of endoscopic sclerotherapy for esophageal varices. </w:t>
      </w:r>
      <w:r w:rsidRPr="00662160">
        <w:rPr>
          <w:rFonts w:ascii="Book Antiqua" w:eastAsia="SimSun" w:hAnsi="Book Antiqua" w:cs="SimSun"/>
          <w:i/>
          <w:iCs/>
          <w:color w:val="000000"/>
          <w:sz w:val="24"/>
          <w:szCs w:val="24"/>
          <w:lang w:val="en-US" w:eastAsia="zh-CN"/>
        </w:rPr>
        <w:t>Hepatology</w:t>
      </w:r>
      <w:r w:rsidRPr="00662160">
        <w:rPr>
          <w:rFonts w:ascii="Book Antiqua" w:eastAsia="SimSun" w:hAnsi="Book Antiqua" w:cs="SimSun"/>
          <w:color w:val="000000"/>
          <w:sz w:val="24"/>
          <w:szCs w:val="24"/>
          <w:lang w:val="en-US" w:eastAsia="zh-CN"/>
        </w:rPr>
        <w:t> 1994; </w:t>
      </w:r>
      <w:r w:rsidRPr="00662160">
        <w:rPr>
          <w:rFonts w:ascii="Book Antiqua" w:eastAsia="SimSun" w:hAnsi="Book Antiqua" w:cs="SimSun"/>
          <w:b/>
          <w:bCs/>
          <w:color w:val="000000"/>
          <w:sz w:val="24"/>
          <w:szCs w:val="24"/>
          <w:lang w:val="en-US" w:eastAsia="zh-CN"/>
        </w:rPr>
        <w:t>19</w:t>
      </w:r>
      <w:r w:rsidRPr="00662160">
        <w:rPr>
          <w:rFonts w:ascii="Book Antiqua" w:eastAsia="SimSun" w:hAnsi="Book Antiqua" w:cs="SimSun"/>
          <w:color w:val="000000"/>
          <w:sz w:val="24"/>
          <w:szCs w:val="24"/>
          <w:lang w:val="en-US" w:eastAsia="zh-CN"/>
        </w:rPr>
        <w:t>: 602-608 [PMID: 8119684 DOI: 10.1002/hep.1840190310]</w:t>
      </w:r>
    </w:p>
    <w:p w14:paraId="65A16F44"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28 </w:t>
      </w:r>
      <w:r w:rsidRPr="00662160">
        <w:rPr>
          <w:rFonts w:ascii="Book Antiqua" w:eastAsia="SimSun" w:hAnsi="Book Antiqua" w:cs="SimSun"/>
          <w:b/>
          <w:bCs/>
          <w:color w:val="000000"/>
          <w:sz w:val="24"/>
          <w:szCs w:val="24"/>
          <w:lang w:val="en-US" w:eastAsia="zh-CN"/>
        </w:rPr>
        <w:t>Sarin SK</w:t>
      </w:r>
      <w:r w:rsidRPr="00662160">
        <w:rPr>
          <w:rFonts w:ascii="Book Antiqua" w:eastAsia="SimSun" w:hAnsi="Book Antiqua" w:cs="SimSun"/>
          <w:color w:val="000000"/>
          <w:sz w:val="24"/>
          <w:szCs w:val="24"/>
          <w:lang w:val="en-US" w:eastAsia="zh-CN"/>
        </w:rPr>
        <w:t>, Lahoti D, Saxena SP, Murthy NS, Makwana UK. Prevalence, classification and natural history of gastric varices: a long-term follow-up study in 568 portal hypertension patients. </w:t>
      </w:r>
      <w:r w:rsidRPr="00662160">
        <w:rPr>
          <w:rFonts w:ascii="Book Antiqua" w:eastAsia="SimSun" w:hAnsi="Book Antiqua" w:cs="SimSun"/>
          <w:i/>
          <w:iCs/>
          <w:color w:val="000000"/>
          <w:sz w:val="24"/>
          <w:szCs w:val="24"/>
          <w:lang w:val="en-US" w:eastAsia="zh-CN"/>
        </w:rPr>
        <w:t>Hepatology</w:t>
      </w:r>
      <w:r w:rsidRPr="00662160">
        <w:rPr>
          <w:rFonts w:ascii="Book Antiqua" w:eastAsia="SimSun" w:hAnsi="Book Antiqua" w:cs="SimSun"/>
          <w:color w:val="000000"/>
          <w:sz w:val="24"/>
          <w:szCs w:val="24"/>
          <w:lang w:val="en-US" w:eastAsia="zh-CN"/>
        </w:rPr>
        <w:t> 1992; </w:t>
      </w:r>
      <w:r w:rsidRPr="00662160">
        <w:rPr>
          <w:rFonts w:ascii="Book Antiqua" w:eastAsia="SimSun" w:hAnsi="Book Antiqua" w:cs="SimSun"/>
          <w:b/>
          <w:bCs/>
          <w:color w:val="000000"/>
          <w:sz w:val="24"/>
          <w:szCs w:val="24"/>
          <w:lang w:val="en-US" w:eastAsia="zh-CN"/>
        </w:rPr>
        <w:t>16</w:t>
      </w:r>
      <w:r w:rsidRPr="00662160">
        <w:rPr>
          <w:rFonts w:ascii="Book Antiqua" w:eastAsia="SimSun" w:hAnsi="Book Antiqua" w:cs="SimSun"/>
          <w:color w:val="000000"/>
          <w:sz w:val="24"/>
          <w:szCs w:val="24"/>
          <w:lang w:val="en-US" w:eastAsia="zh-CN"/>
        </w:rPr>
        <w:t>: 1343-1349 [PMID: 1446890 DOI: 10.1002/hep.1840160607]</w:t>
      </w:r>
    </w:p>
    <w:p w14:paraId="7D366721"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29 </w:t>
      </w:r>
      <w:r w:rsidRPr="00662160">
        <w:rPr>
          <w:rFonts w:ascii="Book Antiqua" w:eastAsia="SimSun" w:hAnsi="Book Antiqua" w:cs="SimSun"/>
          <w:b/>
          <w:bCs/>
          <w:color w:val="000000"/>
          <w:sz w:val="24"/>
          <w:szCs w:val="24"/>
          <w:lang w:val="en-US" w:eastAsia="zh-CN"/>
        </w:rPr>
        <w:t>Feldman M</w:t>
      </w:r>
      <w:r w:rsidRPr="00662160">
        <w:rPr>
          <w:rFonts w:ascii="Book Antiqua" w:eastAsia="SimSun" w:hAnsi="Book Antiqua" w:cs="SimSun"/>
          <w:color w:val="000000"/>
          <w:sz w:val="24"/>
          <w:szCs w:val="24"/>
          <w:lang w:val="en-US" w:eastAsia="zh-CN"/>
        </w:rPr>
        <w:t>, Feldman M. Gastric varices. </w:t>
      </w:r>
      <w:r w:rsidRPr="00662160">
        <w:rPr>
          <w:rFonts w:ascii="Book Antiqua" w:eastAsia="SimSun" w:hAnsi="Book Antiqua" w:cs="SimSun"/>
          <w:i/>
          <w:iCs/>
          <w:color w:val="000000"/>
          <w:sz w:val="24"/>
          <w:szCs w:val="24"/>
          <w:lang w:val="en-US" w:eastAsia="zh-CN"/>
        </w:rPr>
        <w:t>Gastroenterology</w:t>
      </w:r>
      <w:r w:rsidRPr="00662160">
        <w:rPr>
          <w:rFonts w:ascii="Book Antiqua" w:eastAsia="SimSun" w:hAnsi="Book Antiqua" w:cs="SimSun"/>
          <w:color w:val="000000"/>
          <w:sz w:val="24"/>
          <w:szCs w:val="24"/>
          <w:lang w:val="en-US" w:eastAsia="zh-CN"/>
        </w:rPr>
        <w:t> 1956; </w:t>
      </w:r>
      <w:r w:rsidRPr="00662160">
        <w:rPr>
          <w:rFonts w:ascii="Book Antiqua" w:eastAsia="SimSun" w:hAnsi="Book Antiqua" w:cs="SimSun"/>
          <w:b/>
          <w:bCs/>
          <w:color w:val="000000"/>
          <w:sz w:val="24"/>
          <w:szCs w:val="24"/>
          <w:lang w:val="en-US" w:eastAsia="zh-CN"/>
        </w:rPr>
        <w:t>30</w:t>
      </w:r>
      <w:r w:rsidRPr="00662160">
        <w:rPr>
          <w:rFonts w:ascii="Book Antiqua" w:eastAsia="SimSun" w:hAnsi="Book Antiqua" w:cs="SimSun"/>
          <w:color w:val="000000"/>
          <w:sz w:val="24"/>
          <w:szCs w:val="24"/>
          <w:lang w:val="en-US" w:eastAsia="zh-CN"/>
        </w:rPr>
        <w:t>: 318-321 [PMID: 13294324 DOI: [PubMed]</w:t>
      </w:r>
    </w:p>
    <w:p w14:paraId="2B1F5E9E"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30 </w:t>
      </w:r>
      <w:r w:rsidRPr="00662160">
        <w:rPr>
          <w:rFonts w:ascii="Book Antiqua" w:eastAsia="SimSun" w:hAnsi="Book Antiqua" w:cs="SimSun"/>
          <w:b/>
          <w:bCs/>
          <w:color w:val="000000"/>
          <w:sz w:val="24"/>
          <w:szCs w:val="24"/>
          <w:lang w:val="en-US" w:eastAsia="zh-CN"/>
        </w:rPr>
        <w:t>Mitty HA</w:t>
      </w:r>
      <w:r w:rsidRPr="00662160">
        <w:rPr>
          <w:rFonts w:ascii="Book Antiqua" w:eastAsia="SimSun" w:hAnsi="Book Antiqua" w:cs="SimSun"/>
          <w:color w:val="000000"/>
          <w:sz w:val="24"/>
          <w:szCs w:val="24"/>
          <w:lang w:val="en-US" w:eastAsia="zh-CN"/>
        </w:rPr>
        <w:t>, Cohen BA, Sprayregen S, Schwartz K. Adrenal pseudotumors on CT due to dilated portosystemic veins. </w:t>
      </w:r>
      <w:r w:rsidRPr="00662160">
        <w:rPr>
          <w:rFonts w:ascii="Book Antiqua" w:eastAsia="SimSun" w:hAnsi="Book Antiqua" w:cs="SimSun"/>
          <w:i/>
          <w:iCs/>
          <w:color w:val="000000"/>
          <w:sz w:val="24"/>
          <w:szCs w:val="24"/>
          <w:lang w:val="en-US" w:eastAsia="zh-CN"/>
        </w:rPr>
        <w:t>AJR Am J Roentgenol</w:t>
      </w:r>
      <w:r w:rsidRPr="00662160">
        <w:rPr>
          <w:rFonts w:ascii="Book Antiqua" w:eastAsia="SimSun" w:hAnsi="Book Antiqua" w:cs="SimSun"/>
          <w:color w:val="000000"/>
          <w:sz w:val="24"/>
          <w:szCs w:val="24"/>
          <w:lang w:val="en-US" w:eastAsia="zh-CN"/>
        </w:rPr>
        <w:t> 1983; </w:t>
      </w:r>
      <w:r w:rsidRPr="00662160">
        <w:rPr>
          <w:rFonts w:ascii="Book Antiqua" w:eastAsia="SimSun" w:hAnsi="Book Antiqua" w:cs="SimSun"/>
          <w:b/>
          <w:bCs/>
          <w:color w:val="000000"/>
          <w:sz w:val="24"/>
          <w:szCs w:val="24"/>
          <w:lang w:val="en-US" w:eastAsia="zh-CN"/>
        </w:rPr>
        <w:t>141</w:t>
      </w:r>
      <w:r w:rsidRPr="00662160">
        <w:rPr>
          <w:rFonts w:ascii="Book Antiqua" w:eastAsia="SimSun" w:hAnsi="Book Antiqua" w:cs="SimSun"/>
          <w:color w:val="000000"/>
          <w:sz w:val="24"/>
          <w:szCs w:val="24"/>
          <w:lang w:val="en-US" w:eastAsia="zh-CN"/>
        </w:rPr>
        <w:t>: 727-730 [PMID: 6604425 DOI: 10.2214/ajr.141.4.727]</w:t>
      </w:r>
    </w:p>
    <w:p w14:paraId="6D7D9003"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31 </w:t>
      </w:r>
      <w:r w:rsidRPr="00662160">
        <w:rPr>
          <w:rFonts w:ascii="Book Antiqua" w:eastAsia="SimSun" w:hAnsi="Book Antiqua" w:cs="SimSun"/>
          <w:b/>
          <w:bCs/>
          <w:color w:val="000000"/>
          <w:sz w:val="24"/>
          <w:szCs w:val="24"/>
          <w:lang w:val="en-US" w:eastAsia="zh-CN"/>
        </w:rPr>
        <w:t>Morin C</w:t>
      </w:r>
      <w:r w:rsidRPr="00662160">
        <w:rPr>
          <w:rFonts w:ascii="Book Antiqua" w:eastAsia="SimSun" w:hAnsi="Book Antiqua" w:cs="SimSun"/>
          <w:color w:val="000000"/>
          <w:sz w:val="24"/>
          <w:szCs w:val="24"/>
          <w:lang w:val="en-US" w:eastAsia="zh-CN"/>
        </w:rPr>
        <w:t>, Lafortune M, Pomier G, Robin M, Breton G. Patent paraumbilical vein: anatomic and hemodynamic variants and their clinical importance. </w:t>
      </w:r>
      <w:r w:rsidRPr="00662160">
        <w:rPr>
          <w:rFonts w:ascii="Book Antiqua" w:eastAsia="SimSun" w:hAnsi="Book Antiqua" w:cs="SimSun"/>
          <w:i/>
          <w:iCs/>
          <w:color w:val="000000"/>
          <w:sz w:val="24"/>
          <w:szCs w:val="24"/>
          <w:lang w:val="en-US" w:eastAsia="zh-CN"/>
        </w:rPr>
        <w:t>Radiology</w:t>
      </w:r>
      <w:r w:rsidRPr="00662160">
        <w:rPr>
          <w:rFonts w:ascii="Book Antiqua" w:eastAsia="SimSun" w:hAnsi="Book Antiqua" w:cs="SimSun"/>
          <w:color w:val="000000"/>
          <w:sz w:val="24"/>
          <w:szCs w:val="24"/>
          <w:lang w:val="en-US" w:eastAsia="zh-CN"/>
        </w:rPr>
        <w:t> 1992; </w:t>
      </w:r>
      <w:r w:rsidRPr="00662160">
        <w:rPr>
          <w:rFonts w:ascii="Book Antiqua" w:eastAsia="SimSun" w:hAnsi="Book Antiqua" w:cs="SimSun"/>
          <w:b/>
          <w:bCs/>
          <w:color w:val="000000"/>
          <w:sz w:val="24"/>
          <w:szCs w:val="24"/>
          <w:lang w:val="en-US" w:eastAsia="zh-CN"/>
        </w:rPr>
        <w:t>185</w:t>
      </w:r>
      <w:r w:rsidRPr="00662160">
        <w:rPr>
          <w:rFonts w:ascii="Book Antiqua" w:eastAsia="SimSun" w:hAnsi="Book Antiqua" w:cs="SimSun"/>
          <w:color w:val="000000"/>
          <w:sz w:val="24"/>
          <w:szCs w:val="24"/>
          <w:lang w:val="en-US" w:eastAsia="zh-CN"/>
        </w:rPr>
        <w:t>: 253-256 [PMID: 1523319 DOI: 10.1148/radiology.185.1.1523319]</w:t>
      </w:r>
    </w:p>
    <w:p w14:paraId="050AC146"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 xml:space="preserve">32 </w:t>
      </w:r>
      <w:r w:rsidRPr="00662160">
        <w:rPr>
          <w:rFonts w:ascii="Book Antiqua" w:eastAsia="SimSun" w:hAnsi="Book Antiqua" w:cs="SimSun"/>
          <w:b/>
          <w:color w:val="000000"/>
          <w:sz w:val="24"/>
          <w:szCs w:val="24"/>
          <w:lang w:val="en-US" w:eastAsia="zh-CN"/>
        </w:rPr>
        <w:t>Okuda K</w:t>
      </w:r>
      <w:r w:rsidRPr="00662160">
        <w:rPr>
          <w:rFonts w:ascii="Book Antiqua" w:eastAsia="SimSun" w:hAnsi="Book Antiqua" w:cs="SimSun"/>
          <w:color w:val="000000"/>
          <w:sz w:val="24"/>
          <w:szCs w:val="24"/>
          <w:lang w:val="en-US" w:eastAsia="zh-CN"/>
        </w:rPr>
        <w:t>, Matsutani S. Portal-systemic collaterals: anatomy and clinical implications. 1st ed. Tokyo, Japan: Springer Japan</w:t>
      </w:r>
      <w:r w:rsidRPr="00662160">
        <w:rPr>
          <w:rFonts w:ascii="Book Antiqua" w:eastAsia="SimSun" w:hAnsi="Book Antiqua" w:cs="SimSun" w:hint="eastAsia"/>
          <w:color w:val="000000"/>
          <w:sz w:val="24"/>
          <w:szCs w:val="24"/>
          <w:lang w:val="en-US" w:eastAsia="zh-CN"/>
        </w:rPr>
        <w:t>,</w:t>
      </w:r>
      <w:r w:rsidRPr="00662160">
        <w:rPr>
          <w:rFonts w:ascii="Book Antiqua" w:eastAsia="SimSun" w:hAnsi="Book Antiqua" w:cs="SimSun"/>
          <w:color w:val="000000"/>
          <w:sz w:val="24"/>
          <w:szCs w:val="24"/>
          <w:lang w:val="en-US" w:eastAsia="zh-CN"/>
        </w:rPr>
        <w:t xml:space="preserve"> 1991</w:t>
      </w:r>
    </w:p>
    <w:p w14:paraId="08A5496A"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hint="eastAsia"/>
          <w:color w:val="000000"/>
          <w:sz w:val="24"/>
          <w:szCs w:val="24"/>
          <w:lang w:val="en-US" w:eastAsia="zh-CN"/>
        </w:rPr>
        <w:t xml:space="preserve">33 </w:t>
      </w:r>
      <w:r w:rsidRPr="00662160">
        <w:rPr>
          <w:rFonts w:ascii="Book Antiqua" w:eastAsia="Times New Roman" w:hAnsi="Book Antiqua" w:cs="Times New Roman"/>
          <w:b/>
          <w:noProof/>
          <w:kern w:val="2"/>
          <w:sz w:val="24"/>
          <w:szCs w:val="24"/>
          <w:lang w:val="en-US" w:eastAsia="zh-CN"/>
        </w:rPr>
        <w:t>Gould H</w:t>
      </w:r>
      <w:r w:rsidRPr="00662160">
        <w:rPr>
          <w:rFonts w:ascii="Book Antiqua" w:eastAsia="Times New Roman" w:hAnsi="Book Antiqua" w:cs="Times New Roman"/>
          <w:noProof/>
          <w:kern w:val="2"/>
          <w:sz w:val="24"/>
          <w:szCs w:val="24"/>
          <w:lang w:val="en-US" w:eastAsia="zh-CN"/>
        </w:rPr>
        <w:t xml:space="preserve">, Benjamin S, Alter A. Retroperitoneal varices simulating masses. </w:t>
      </w:r>
      <w:r w:rsidRPr="00662160">
        <w:rPr>
          <w:rFonts w:ascii="Book Antiqua" w:eastAsia="Times New Roman" w:hAnsi="Book Antiqua" w:cs="Times New Roman"/>
          <w:i/>
          <w:iCs/>
          <w:noProof/>
          <w:kern w:val="2"/>
          <w:sz w:val="24"/>
          <w:szCs w:val="24"/>
          <w:lang w:val="en-US" w:eastAsia="zh-CN"/>
        </w:rPr>
        <w:t>Gastrointest Radiol</w:t>
      </w:r>
      <w:r w:rsidRPr="00662160">
        <w:rPr>
          <w:rFonts w:ascii="Book Antiqua" w:eastAsia="Times New Roman" w:hAnsi="Book Antiqua" w:cs="Times New Roman"/>
          <w:noProof/>
          <w:kern w:val="2"/>
          <w:sz w:val="24"/>
          <w:szCs w:val="24"/>
          <w:lang w:val="en-US" w:eastAsia="zh-CN"/>
        </w:rPr>
        <w:t xml:space="preserve"> 1982;</w:t>
      </w:r>
      <w:r w:rsidRPr="00662160">
        <w:rPr>
          <w:rFonts w:ascii="Book Antiqua" w:eastAsia="Times New Roman" w:hAnsi="Book Antiqua" w:cs="Times New Roman"/>
          <w:b/>
          <w:bCs/>
          <w:noProof/>
          <w:kern w:val="2"/>
          <w:sz w:val="24"/>
          <w:szCs w:val="24"/>
          <w:lang w:val="en-US" w:eastAsia="zh-CN"/>
        </w:rPr>
        <w:t>7</w:t>
      </w:r>
      <w:r w:rsidRPr="00662160">
        <w:rPr>
          <w:rFonts w:ascii="Book Antiqua" w:eastAsia="Times New Roman" w:hAnsi="Book Antiqua" w:cs="Times New Roman"/>
          <w:noProof/>
          <w:kern w:val="2"/>
          <w:sz w:val="24"/>
          <w:szCs w:val="24"/>
          <w:lang w:val="en-US" w:eastAsia="zh-CN"/>
        </w:rPr>
        <w:t>:335–9 [PMID: 7141186</w:t>
      </w:r>
      <w:r w:rsidRPr="00662160">
        <w:rPr>
          <w:rFonts w:ascii="Book Antiqua" w:eastAsia="SimSun" w:hAnsi="Book Antiqua" w:cs="Times New Roman" w:hint="eastAsia"/>
          <w:noProof/>
          <w:kern w:val="2"/>
          <w:sz w:val="24"/>
          <w:szCs w:val="24"/>
          <w:lang w:val="en-US" w:eastAsia="zh-CN"/>
        </w:rPr>
        <w:t>]</w:t>
      </w:r>
    </w:p>
    <w:p w14:paraId="47FE16B6"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34 </w:t>
      </w:r>
      <w:r w:rsidRPr="00662160">
        <w:rPr>
          <w:rFonts w:ascii="Book Antiqua" w:eastAsia="SimSun" w:hAnsi="Book Antiqua" w:cs="SimSun"/>
          <w:b/>
          <w:bCs/>
          <w:color w:val="000000"/>
          <w:sz w:val="24"/>
          <w:szCs w:val="24"/>
          <w:lang w:val="en-US" w:eastAsia="zh-CN"/>
        </w:rPr>
        <w:t>Malde H</w:t>
      </w:r>
      <w:r w:rsidRPr="00662160">
        <w:rPr>
          <w:rFonts w:ascii="Book Antiqua" w:eastAsia="SimSun" w:hAnsi="Book Antiqua" w:cs="SimSun"/>
          <w:color w:val="000000"/>
          <w:sz w:val="24"/>
          <w:szCs w:val="24"/>
          <w:lang w:val="en-US" w:eastAsia="zh-CN"/>
        </w:rPr>
        <w:t>, Nagral A, Shah P, Joshi MS, Bhatia SJ, Abraham P. Detection of rectal and pararectal varices in patients with portal hypertension: efficacy of transvaginal sonography. </w:t>
      </w:r>
      <w:r w:rsidRPr="00662160">
        <w:rPr>
          <w:rFonts w:ascii="Book Antiqua" w:eastAsia="SimSun" w:hAnsi="Book Antiqua" w:cs="SimSun"/>
          <w:i/>
          <w:iCs/>
          <w:color w:val="000000"/>
          <w:sz w:val="24"/>
          <w:szCs w:val="24"/>
          <w:lang w:val="en-US" w:eastAsia="zh-CN"/>
        </w:rPr>
        <w:t>AJR Am J Roentgenol</w:t>
      </w:r>
      <w:r w:rsidRPr="00662160">
        <w:rPr>
          <w:rFonts w:ascii="Book Antiqua" w:eastAsia="SimSun" w:hAnsi="Book Antiqua" w:cs="SimSun"/>
          <w:color w:val="000000"/>
          <w:sz w:val="24"/>
          <w:szCs w:val="24"/>
          <w:lang w:val="en-US" w:eastAsia="zh-CN"/>
        </w:rPr>
        <w:t> 1993; </w:t>
      </w:r>
      <w:r w:rsidRPr="00662160">
        <w:rPr>
          <w:rFonts w:ascii="Book Antiqua" w:eastAsia="SimSun" w:hAnsi="Book Antiqua" w:cs="SimSun"/>
          <w:b/>
          <w:bCs/>
          <w:color w:val="000000"/>
          <w:sz w:val="24"/>
          <w:szCs w:val="24"/>
          <w:lang w:val="en-US" w:eastAsia="zh-CN"/>
        </w:rPr>
        <w:t>161</w:t>
      </w:r>
      <w:r w:rsidRPr="00662160">
        <w:rPr>
          <w:rFonts w:ascii="Book Antiqua" w:eastAsia="SimSun" w:hAnsi="Book Antiqua" w:cs="SimSun"/>
          <w:color w:val="000000"/>
          <w:sz w:val="24"/>
          <w:szCs w:val="24"/>
          <w:lang w:val="en-US" w:eastAsia="zh-CN"/>
        </w:rPr>
        <w:t>: 335-337 [PMID: 8333372 DOI: 10.2214/ajr.161.2.8333372]</w:t>
      </w:r>
    </w:p>
    <w:p w14:paraId="79BA2E96"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35 </w:t>
      </w:r>
      <w:r w:rsidRPr="00662160">
        <w:rPr>
          <w:rFonts w:ascii="Book Antiqua" w:eastAsia="SimSun" w:hAnsi="Book Antiqua" w:cs="SimSun"/>
          <w:b/>
          <w:bCs/>
          <w:color w:val="000000"/>
          <w:sz w:val="24"/>
          <w:szCs w:val="24"/>
          <w:lang w:val="en-US" w:eastAsia="zh-CN"/>
        </w:rPr>
        <w:t>Kim M</w:t>
      </w:r>
      <w:r w:rsidRPr="00662160">
        <w:rPr>
          <w:rFonts w:ascii="Book Antiqua" w:eastAsia="SimSun" w:hAnsi="Book Antiqua" w:cs="SimSun"/>
          <w:color w:val="000000"/>
          <w:sz w:val="24"/>
          <w:szCs w:val="24"/>
          <w:lang w:val="en-US" w:eastAsia="zh-CN"/>
        </w:rPr>
        <w:t>, Mitchell DG, Ito K. Portosystemic collaterals of the upper abdomen: review of anatomy and demonstration on MR imaging. </w:t>
      </w:r>
      <w:r w:rsidRPr="00662160">
        <w:rPr>
          <w:rFonts w:ascii="Book Antiqua" w:eastAsia="SimSun" w:hAnsi="Book Antiqua" w:cs="SimSun"/>
          <w:i/>
          <w:iCs/>
          <w:color w:val="000000"/>
          <w:sz w:val="24"/>
          <w:szCs w:val="24"/>
          <w:lang w:val="en-US" w:eastAsia="zh-CN"/>
        </w:rPr>
        <w:t>Abdom Imaging</w:t>
      </w:r>
      <w:r w:rsidRPr="00662160">
        <w:rPr>
          <w:rFonts w:ascii="Book Antiqua" w:eastAsia="SimSun" w:hAnsi="Book Antiqua" w:cs="SimSun"/>
          <w:color w:val="000000"/>
          <w:sz w:val="24"/>
          <w:szCs w:val="24"/>
          <w:lang w:val="en-US" w:eastAsia="zh-CN"/>
        </w:rPr>
        <w:t> </w:t>
      </w:r>
      <w:r w:rsidRPr="00662160">
        <w:rPr>
          <w:rFonts w:ascii="Book Antiqua" w:eastAsia="SimSun" w:hAnsi="Book Antiqua" w:cs="SimSun" w:hint="eastAsia"/>
          <w:color w:val="000000"/>
          <w:sz w:val="24"/>
          <w:szCs w:val="24"/>
          <w:lang w:val="en-US" w:eastAsia="zh-CN"/>
        </w:rPr>
        <w:t>2000</w:t>
      </w:r>
      <w:r w:rsidRPr="00662160">
        <w:rPr>
          <w:rFonts w:ascii="Book Antiqua" w:eastAsia="SimSun" w:hAnsi="Book Antiqua" w:cs="SimSun"/>
          <w:color w:val="000000"/>
          <w:sz w:val="24"/>
          <w:szCs w:val="24"/>
          <w:lang w:val="en-US" w:eastAsia="zh-CN"/>
        </w:rPr>
        <w:t>; </w:t>
      </w:r>
      <w:r w:rsidRPr="00662160">
        <w:rPr>
          <w:rFonts w:ascii="Book Antiqua" w:eastAsia="SimSun" w:hAnsi="Book Antiqua" w:cs="SimSun"/>
          <w:b/>
          <w:bCs/>
          <w:color w:val="000000"/>
          <w:sz w:val="24"/>
          <w:szCs w:val="24"/>
          <w:lang w:val="en-US" w:eastAsia="zh-CN"/>
        </w:rPr>
        <w:t>25</w:t>
      </w:r>
      <w:r w:rsidRPr="00662160">
        <w:rPr>
          <w:rFonts w:ascii="Book Antiqua" w:eastAsia="SimSun" w:hAnsi="Book Antiqua" w:cs="SimSun"/>
          <w:color w:val="000000"/>
          <w:sz w:val="24"/>
          <w:szCs w:val="24"/>
          <w:lang w:val="en-US" w:eastAsia="zh-CN"/>
        </w:rPr>
        <w:t>: 462-470 [PMID: 10931979 DOI: 10.1007/s002610000014]</w:t>
      </w:r>
    </w:p>
    <w:p w14:paraId="769A34F6"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lastRenderedPageBreak/>
        <w:t xml:space="preserve">36 </w:t>
      </w:r>
      <w:r w:rsidRPr="00662160">
        <w:rPr>
          <w:rFonts w:ascii="Book Antiqua" w:eastAsia="SimSun" w:hAnsi="Book Antiqua" w:cs="SimSun"/>
          <w:b/>
          <w:color w:val="000000"/>
          <w:sz w:val="24"/>
          <w:szCs w:val="24"/>
          <w:lang w:val="en-US" w:eastAsia="zh-CN"/>
        </w:rPr>
        <w:t>William P</w:t>
      </w:r>
      <w:r w:rsidRPr="00662160">
        <w:rPr>
          <w:rFonts w:ascii="Book Antiqua" w:eastAsia="SimSun" w:hAnsi="Book Antiqua" w:cs="SimSun"/>
          <w:color w:val="000000"/>
          <w:sz w:val="24"/>
          <w:szCs w:val="24"/>
          <w:lang w:val="en-US" w:eastAsia="zh-CN"/>
        </w:rPr>
        <w:t>. Veins of the abdomen and pelvis: hepatic portal system. In: Grey’s Anatomy. New York, NY: Churchill Livingstone</w:t>
      </w:r>
      <w:r w:rsidRPr="00662160">
        <w:rPr>
          <w:rFonts w:ascii="Book Antiqua" w:eastAsia="SimSun" w:hAnsi="Book Antiqua" w:cs="SimSun" w:hint="eastAsia"/>
          <w:color w:val="000000"/>
          <w:sz w:val="24"/>
          <w:szCs w:val="24"/>
          <w:lang w:val="en-US" w:eastAsia="zh-CN"/>
        </w:rPr>
        <w:t>,</w:t>
      </w:r>
      <w:r w:rsidRPr="00662160">
        <w:rPr>
          <w:rFonts w:ascii="Book Antiqua" w:eastAsia="SimSun" w:hAnsi="Book Antiqua" w:cs="SimSun"/>
          <w:color w:val="000000"/>
          <w:sz w:val="24"/>
          <w:szCs w:val="24"/>
          <w:lang w:val="en-US" w:eastAsia="zh-CN"/>
        </w:rPr>
        <w:t xml:space="preserve"> 1999</w:t>
      </w:r>
      <w:r w:rsidRPr="00662160">
        <w:rPr>
          <w:rFonts w:ascii="Book Antiqua" w:eastAsia="SimSun" w:hAnsi="Book Antiqua" w:cs="SimSun" w:hint="eastAsia"/>
          <w:color w:val="000000"/>
          <w:sz w:val="24"/>
          <w:szCs w:val="24"/>
          <w:lang w:val="en-US" w:eastAsia="zh-CN"/>
        </w:rPr>
        <w:t xml:space="preserve">: </w:t>
      </w:r>
      <w:r w:rsidRPr="00662160">
        <w:rPr>
          <w:rFonts w:ascii="Book Antiqua" w:eastAsia="SimSun" w:hAnsi="Book Antiqua" w:cs="SimSun"/>
          <w:color w:val="000000"/>
          <w:sz w:val="24"/>
          <w:szCs w:val="24"/>
          <w:lang w:val="en-US" w:eastAsia="zh-CN"/>
        </w:rPr>
        <w:t>1602</w:t>
      </w:r>
      <w:r w:rsidRPr="00662160">
        <w:rPr>
          <w:rFonts w:ascii="Book Antiqua" w:eastAsia="SimSun" w:hAnsi="Book Antiqua" w:cs="SimSun" w:hint="eastAsia"/>
          <w:color w:val="000000"/>
          <w:sz w:val="24"/>
          <w:szCs w:val="24"/>
          <w:lang w:val="en-US" w:eastAsia="zh-CN"/>
        </w:rPr>
        <w:t>-160</w:t>
      </w:r>
      <w:r w:rsidRPr="00662160">
        <w:rPr>
          <w:rFonts w:ascii="Book Antiqua" w:eastAsia="SimSun" w:hAnsi="Book Antiqua" w:cs="SimSun"/>
          <w:color w:val="000000"/>
          <w:sz w:val="24"/>
          <w:szCs w:val="24"/>
          <w:lang w:val="en-US" w:eastAsia="zh-CN"/>
        </w:rPr>
        <w:t>4</w:t>
      </w:r>
    </w:p>
    <w:p w14:paraId="14EEC6F8"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 xml:space="preserve">37 </w:t>
      </w:r>
      <w:r w:rsidRPr="00662160">
        <w:rPr>
          <w:rFonts w:ascii="Book Antiqua" w:eastAsia="SimSun" w:hAnsi="Book Antiqua" w:cs="SimSun"/>
          <w:b/>
          <w:color w:val="000000"/>
          <w:sz w:val="24"/>
          <w:szCs w:val="24"/>
          <w:lang w:val="en-US" w:eastAsia="zh-CN"/>
        </w:rPr>
        <w:t>Uflacker R</w:t>
      </w:r>
      <w:r w:rsidRPr="00662160">
        <w:rPr>
          <w:rFonts w:ascii="Book Antiqua" w:eastAsia="SimSun" w:hAnsi="Book Antiqua" w:cs="SimSun"/>
          <w:color w:val="000000"/>
          <w:sz w:val="24"/>
          <w:szCs w:val="24"/>
          <w:lang w:val="en-US" w:eastAsia="zh-CN"/>
        </w:rPr>
        <w:t>. Veins of the abdomen and pelvis. In: Atlas of vascular anatomy. Baltimore, MA: Lippincott Williams &amp; Wilson</w:t>
      </w:r>
      <w:r w:rsidRPr="00662160">
        <w:rPr>
          <w:rFonts w:ascii="Book Antiqua" w:eastAsia="SimSun" w:hAnsi="Book Antiqua" w:cs="SimSun" w:hint="eastAsia"/>
          <w:color w:val="000000"/>
          <w:sz w:val="24"/>
          <w:szCs w:val="24"/>
          <w:lang w:val="en-US" w:eastAsia="zh-CN"/>
        </w:rPr>
        <w:t>,</w:t>
      </w:r>
      <w:r w:rsidRPr="00662160">
        <w:rPr>
          <w:rFonts w:ascii="Book Antiqua" w:eastAsia="SimSun" w:hAnsi="Book Antiqua" w:cs="SimSun"/>
          <w:color w:val="000000"/>
          <w:sz w:val="24"/>
          <w:szCs w:val="24"/>
          <w:lang w:val="en-US" w:eastAsia="zh-CN"/>
        </w:rPr>
        <w:t xml:space="preserve"> 1997</w:t>
      </w:r>
      <w:r w:rsidRPr="00662160">
        <w:rPr>
          <w:rFonts w:ascii="Book Antiqua" w:eastAsia="SimSun" w:hAnsi="Book Antiqua" w:cs="SimSun" w:hint="eastAsia"/>
          <w:color w:val="000000"/>
          <w:sz w:val="24"/>
          <w:szCs w:val="24"/>
          <w:lang w:val="en-US" w:eastAsia="zh-CN"/>
        </w:rPr>
        <w:t xml:space="preserve">: </w:t>
      </w:r>
      <w:r w:rsidRPr="00662160">
        <w:rPr>
          <w:rFonts w:ascii="Book Antiqua" w:eastAsia="SimSun" w:hAnsi="Book Antiqua" w:cs="SimSun"/>
          <w:color w:val="000000"/>
          <w:sz w:val="24"/>
          <w:szCs w:val="24"/>
          <w:lang w:val="en-US" w:eastAsia="zh-CN"/>
        </w:rPr>
        <w:t>699–803</w:t>
      </w:r>
    </w:p>
    <w:p w14:paraId="2753C67A"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38 </w:t>
      </w:r>
      <w:r w:rsidRPr="00662160">
        <w:rPr>
          <w:rFonts w:ascii="Book Antiqua" w:eastAsia="SimSun" w:hAnsi="Book Antiqua" w:cs="SimSun"/>
          <w:b/>
          <w:bCs/>
          <w:color w:val="000000"/>
          <w:sz w:val="24"/>
          <w:szCs w:val="24"/>
          <w:lang w:val="en-US" w:eastAsia="zh-CN"/>
        </w:rPr>
        <w:t>Rösch J</w:t>
      </w:r>
      <w:r w:rsidRPr="00662160">
        <w:rPr>
          <w:rFonts w:ascii="Book Antiqua" w:eastAsia="SimSun" w:hAnsi="Book Antiqua" w:cs="SimSun"/>
          <w:color w:val="000000"/>
          <w:sz w:val="24"/>
          <w:szCs w:val="24"/>
          <w:lang w:val="en-US" w:eastAsia="zh-CN"/>
        </w:rPr>
        <w:t>, Hanafee WN, Snow H. Transjugular portal venography and radiologic portacaval shunt: an experimental study. </w:t>
      </w:r>
      <w:r w:rsidRPr="00662160">
        <w:rPr>
          <w:rFonts w:ascii="Book Antiqua" w:eastAsia="SimSun" w:hAnsi="Book Antiqua" w:cs="SimSun"/>
          <w:i/>
          <w:iCs/>
          <w:color w:val="000000"/>
          <w:sz w:val="24"/>
          <w:szCs w:val="24"/>
          <w:lang w:val="en-US" w:eastAsia="zh-CN"/>
        </w:rPr>
        <w:t>Radiology</w:t>
      </w:r>
      <w:r w:rsidRPr="00662160">
        <w:rPr>
          <w:rFonts w:ascii="Book Antiqua" w:eastAsia="SimSun" w:hAnsi="Book Antiqua" w:cs="SimSun"/>
          <w:color w:val="000000"/>
          <w:sz w:val="24"/>
          <w:szCs w:val="24"/>
          <w:lang w:val="en-US" w:eastAsia="zh-CN"/>
        </w:rPr>
        <w:t> 1969; </w:t>
      </w:r>
      <w:r w:rsidRPr="00662160">
        <w:rPr>
          <w:rFonts w:ascii="Book Antiqua" w:eastAsia="SimSun" w:hAnsi="Book Antiqua" w:cs="SimSun"/>
          <w:b/>
          <w:bCs/>
          <w:color w:val="000000"/>
          <w:sz w:val="24"/>
          <w:szCs w:val="24"/>
          <w:lang w:val="en-US" w:eastAsia="zh-CN"/>
        </w:rPr>
        <w:t>92</w:t>
      </w:r>
      <w:r w:rsidRPr="00662160">
        <w:rPr>
          <w:rFonts w:ascii="Book Antiqua" w:eastAsia="SimSun" w:hAnsi="Book Antiqua" w:cs="SimSun"/>
          <w:color w:val="000000"/>
          <w:sz w:val="24"/>
          <w:szCs w:val="24"/>
          <w:lang w:val="en-US" w:eastAsia="zh-CN"/>
        </w:rPr>
        <w:t>: 1112-1114 [PMID: 5771827 DOI: 10.1148/92.5.1112]</w:t>
      </w:r>
    </w:p>
    <w:p w14:paraId="53F1FA81"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39 </w:t>
      </w:r>
      <w:r w:rsidRPr="00662160">
        <w:rPr>
          <w:rFonts w:ascii="Book Antiqua" w:eastAsia="SimSun" w:hAnsi="Book Antiqua" w:cs="SimSun"/>
          <w:b/>
          <w:bCs/>
          <w:color w:val="000000"/>
          <w:sz w:val="24"/>
          <w:szCs w:val="24"/>
          <w:lang w:val="en-US" w:eastAsia="zh-CN"/>
        </w:rPr>
        <w:t>Kirby JM</w:t>
      </w:r>
      <w:r w:rsidRPr="00662160">
        <w:rPr>
          <w:rFonts w:ascii="Book Antiqua" w:eastAsia="SimSun" w:hAnsi="Book Antiqua" w:cs="SimSun"/>
          <w:color w:val="000000"/>
          <w:sz w:val="24"/>
          <w:szCs w:val="24"/>
          <w:lang w:val="en-US" w:eastAsia="zh-CN"/>
        </w:rPr>
        <w:t>, Cho KJ, Midia M. Image-guided intervention in management of complications of portal hypertension: more than TIPS for success. </w:t>
      </w:r>
      <w:r w:rsidRPr="00662160">
        <w:rPr>
          <w:rFonts w:ascii="Book Antiqua" w:eastAsia="SimSun" w:hAnsi="Book Antiqua" w:cs="SimSun"/>
          <w:i/>
          <w:iCs/>
          <w:color w:val="000000"/>
          <w:sz w:val="24"/>
          <w:szCs w:val="24"/>
          <w:lang w:val="en-US" w:eastAsia="zh-CN"/>
        </w:rPr>
        <w:t>Radiographics</w:t>
      </w:r>
      <w:r w:rsidRPr="00662160">
        <w:rPr>
          <w:rFonts w:ascii="Book Antiqua" w:eastAsia="SimSun" w:hAnsi="Book Antiqua" w:cs="SimSun"/>
          <w:color w:val="000000"/>
          <w:sz w:val="24"/>
          <w:szCs w:val="24"/>
          <w:lang w:val="en-US" w:eastAsia="zh-CN"/>
        </w:rPr>
        <w:t> </w:t>
      </w:r>
      <w:r w:rsidRPr="00662160">
        <w:rPr>
          <w:rFonts w:ascii="Book Antiqua" w:eastAsia="SimSun" w:hAnsi="Book Antiqua" w:cs="SimSun" w:hint="eastAsia"/>
          <w:color w:val="000000"/>
          <w:sz w:val="24"/>
          <w:szCs w:val="24"/>
          <w:lang w:val="en-US" w:eastAsia="zh-CN"/>
        </w:rPr>
        <w:t>2013</w:t>
      </w:r>
      <w:r w:rsidRPr="00662160">
        <w:rPr>
          <w:rFonts w:ascii="Book Antiqua" w:eastAsia="SimSun" w:hAnsi="Book Antiqua" w:cs="SimSun"/>
          <w:color w:val="000000"/>
          <w:sz w:val="24"/>
          <w:szCs w:val="24"/>
          <w:lang w:val="en-US" w:eastAsia="zh-CN"/>
        </w:rPr>
        <w:t>; </w:t>
      </w:r>
      <w:r w:rsidRPr="00662160">
        <w:rPr>
          <w:rFonts w:ascii="Book Antiqua" w:eastAsia="SimSun" w:hAnsi="Book Antiqua" w:cs="SimSun"/>
          <w:b/>
          <w:bCs/>
          <w:color w:val="000000"/>
          <w:sz w:val="24"/>
          <w:szCs w:val="24"/>
          <w:lang w:val="en-US" w:eastAsia="zh-CN"/>
        </w:rPr>
        <w:t>33</w:t>
      </w:r>
      <w:r w:rsidRPr="00662160">
        <w:rPr>
          <w:rFonts w:ascii="Book Antiqua" w:eastAsia="SimSun" w:hAnsi="Book Antiqua" w:cs="SimSun"/>
          <w:color w:val="000000"/>
          <w:sz w:val="24"/>
          <w:szCs w:val="24"/>
          <w:lang w:val="en-US" w:eastAsia="zh-CN"/>
        </w:rPr>
        <w:t>: 1473-1496 [PMID: 24025936 DOI: 10.1148/rg.335125166]</w:t>
      </w:r>
    </w:p>
    <w:p w14:paraId="05240BF2"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40 </w:t>
      </w:r>
      <w:r w:rsidRPr="00662160">
        <w:rPr>
          <w:rFonts w:ascii="Book Antiqua" w:eastAsia="SimSun" w:hAnsi="Book Antiqua" w:cs="SimSun"/>
          <w:b/>
          <w:bCs/>
          <w:color w:val="000000"/>
          <w:sz w:val="24"/>
          <w:szCs w:val="24"/>
          <w:lang w:val="en-US" w:eastAsia="zh-CN"/>
        </w:rPr>
        <w:t>Fidelman N</w:t>
      </w:r>
      <w:r w:rsidRPr="00662160">
        <w:rPr>
          <w:rFonts w:ascii="Book Antiqua" w:eastAsia="SimSun" w:hAnsi="Book Antiqua" w:cs="SimSun"/>
          <w:color w:val="000000"/>
          <w:sz w:val="24"/>
          <w:szCs w:val="24"/>
          <w:lang w:val="en-US" w:eastAsia="zh-CN"/>
        </w:rPr>
        <w:t>, Kwan SW, LaBerge JM, Gordon RL, Ring EJ, Kerlan RK. The transjugular intrahepatic portosystemic shunt: an update. </w:t>
      </w:r>
      <w:r w:rsidRPr="00662160">
        <w:rPr>
          <w:rFonts w:ascii="Book Antiqua" w:eastAsia="SimSun" w:hAnsi="Book Antiqua" w:cs="SimSun"/>
          <w:i/>
          <w:iCs/>
          <w:color w:val="000000"/>
          <w:sz w:val="24"/>
          <w:szCs w:val="24"/>
          <w:lang w:val="en-US" w:eastAsia="zh-CN"/>
        </w:rPr>
        <w:t>AJR Am J Roentgenol</w:t>
      </w:r>
      <w:r w:rsidRPr="00662160">
        <w:rPr>
          <w:rFonts w:ascii="Book Antiqua" w:eastAsia="SimSun" w:hAnsi="Book Antiqua" w:cs="SimSun"/>
          <w:color w:val="000000"/>
          <w:sz w:val="24"/>
          <w:szCs w:val="24"/>
          <w:lang w:val="en-US" w:eastAsia="zh-CN"/>
        </w:rPr>
        <w:t> 2012; </w:t>
      </w:r>
      <w:r w:rsidRPr="00662160">
        <w:rPr>
          <w:rFonts w:ascii="Book Antiqua" w:eastAsia="SimSun" w:hAnsi="Book Antiqua" w:cs="SimSun"/>
          <w:b/>
          <w:bCs/>
          <w:color w:val="000000"/>
          <w:sz w:val="24"/>
          <w:szCs w:val="24"/>
          <w:lang w:val="en-US" w:eastAsia="zh-CN"/>
        </w:rPr>
        <w:t>199</w:t>
      </w:r>
      <w:r w:rsidRPr="00662160">
        <w:rPr>
          <w:rFonts w:ascii="Book Antiqua" w:eastAsia="SimSun" w:hAnsi="Book Antiqua" w:cs="SimSun"/>
          <w:color w:val="000000"/>
          <w:sz w:val="24"/>
          <w:szCs w:val="24"/>
          <w:lang w:val="en-US" w:eastAsia="zh-CN"/>
        </w:rPr>
        <w:t>: 746-755 [PMID: 22997364 DOI: 10.2214/AJR.12.9101]</w:t>
      </w:r>
    </w:p>
    <w:p w14:paraId="52EAF7AA"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41 </w:t>
      </w:r>
      <w:r w:rsidRPr="00662160">
        <w:rPr>
          <w:rFonts w:ascii="Book Antiqua" w:eastAsia="SimSun" w:hAnsi="Book Antiqua" w:cs="SimSun"/>
          <w:b/>
          <w:bCs/>
          <w:color w:val="000000"/>
          <w:sz w:val="24"/>
          <w:szCs w:val="24"/>
          <w:lang w:val="en-US" w:eastAsia="zh-CN"/>
        </w:rPr>
        <w:t>Rössle M</w:t>
      </w:r>
      <w:r w:rsidRPr="00662160">
        <w:rPr>
          <w:rFonts w:ascii="Book Antiqua" w:eastAsia="SimSun" w:hAnsi="Book Antiqua" w:cs="SimSun"/>
          <w:color w:val="000000"/>
          <w:sz w:val="24"/>
          <w:szCs w:val="24"/>
          <w:lang w:val="en-US" w:eastAsia="zh-CN"/>
        </w:rPr>
        <w:t>, Haag K, Ochs A, Sellinger M, Nöldge G, Perarnau JM, Berger E, Blum U, Gabelmann A, Hauenstein K. The transjugular intrahepatic portosystemic stent-shunt procedure for variceal bleeding. </w:t>
      </w:r>
      <w:r w:rsidRPr="00662160">
        <w:rPr>
          <w:rFonts w:ascii="Book Antiqua" w:eastAsia="SimSun" w:hAnsi="Book Antiqua" w:cs="SimSun"/>
          <w:i/>
          <w:iCs/>
          <w:color w:val="000000"/>
          <w:sz w:val="24"/>
          <w:szCs w:val="24"/>
          <w:lang w:val="en-US" w:eastAsia="zh-CN"/>
        </w:rPr>
        <w:t>N Engl J Med</w:t>
      </w:r>
      <w:r w:rsidRPr="00662160">
        <w:rPr>
          <w:rFonts w:ascii="Book Antiqua" w:eastAsia="SimSun" w:hAnsi="Book Antiqua" w:cs="SimSun"/>
          <w:color w:val="000000"/>
          <w:sz w:val="24"/>
          <w:szCs w:val="24"/>
          <w:lang w:val="en-US" w:eastAsia="zh-CN"/>
        </w:rPr>
        <w:t> 1994; </w:t>
      </w:r>
      <w:r w:rsidRPr="00662160">
        <w:rPr>
          <w:rFonts w:ascii="Book Antiqua" w:eastAsia="SimSun" w:hAnsi="Book Antiqua" w:cs="SimSun"/>
          <w:b/>
          <w:bCs/>
          <w:color w:val="000000"/>
          <w:sz w:val="24"/>
          <w:szCs w:val="24"/>
          <w:lang w:val="en-US" w:eastAsia="zh-CN"/>
        </w:rPr>
        <w:t>330</w:t>
      </w:r>
      <w:r w:rsidRPr="00662160">
        <w:rPr>
          <w:rFonts w:ascii="Book Antiqua" w:eastAsia="SimSun" w:hAnsi="Book Antiqua" w:cs="SimSun"/>
          <w:color w:val="000000"/>
          <w:sz w:val="24"/>
          <w:szCs w:val="24"/>
          <w:lang w:val="en-US" w:eastAsia="zh-CN"/>
        </w:rPr>
        <w:t>: 165-171 [PMID: 8264738 DOI: 10.1056/NEJM199401203300303]</w:t>
      </w:r>
    </w:p>
    <w:p w14:paraId="1B2C09CE"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42 </w:t>
      </w:r>
      <w:r w:rsidRPr="00662160">
        <w:rPr>
          <w:rFonts w:ascii="Book Antiqua" w:eastAsia="SimSun" w:hAnsi="Book Antiqua" w:cs="SimSun"/>
          <w:b/>
          <w:bCs/>
          <w:color w:val="000000"/>
          <w:sz w:val="24"/>
          <w:szCs w:val="24"/>
          <w:lang w:val="en-US" w:eastAsia="zh-CN"/>
        </w:rPr>
        <w:t>García-Pagán JC</w:t>
      </w:r>
      <w:r w:rsidRPr="00662160">
        <w:rPr>
          <w:rFonts w:ascii="Book Antiqua" w:eastAsia="SimSun" w:hAnsi="Book Antiqua" w:cs="SimSun"/>
          <w:color w:val="000000"/>
          <w:sz w:val="24"/>
          <w:szCs w:val="24"/>
          <w:lang w:val="en-US" w:eastAsia="zh-CN"/>
        </w:rPr>
        <w:t>, Caca K, Bureau C, Laleman W, Appenrodt B, Luca A, Abraldes JG, Nevens F, Vinel JP, Mössner J, Bosch J. Early use of TIPS in patients with cirrhosis and variceal bleeding. </w:t>
      </w:r>
      <w:r w:rsidRPr="00662160">
        <w:rPr>
          <w:rFonts w:ascii="Book Antiqua" w:eastAsia="SimSun" w:hAnsi="Book Antiqua" w:cs="SimSun"/>
          <w:i/>
          <w:iCs/>
          <w:color w:val="000000"/>
          <w:sz w:val="24"/>
          <w:szCs w:val="24"/>
          <w:lang w:val="en-US" w:eastAsia="zh-CN"/>
        </w:rPr>
        <w:t>N Engl J Med</w:t>
      </w:r>
      <w:r w:rsidRPr="00662160">
        <w:rPr>
          <w:rFonts w:ascii="Book Antiqua" w:eastAsia="SimSun" w:hAnsi="Book Antiqua" w:cs="SimSun"/>
          <w:color w:val="000000"/>
          <w:sz w:val="24"/>
          <w:szCs w:val="24"/>
          <w:lang w:val="en-US" w:eastAsia="zh-CN"/>
        </w:rPr>
        <w:t> 2010; </w:t>
      </w:r>
      <w:r w:rsidRPr="00662160">
        <w:rPr>
          <w:rFonts w:ascii="Book Antiqua" w:eastAsia="SimSun" w:hAnsi="Book Antiqua" w:cs="SimSun"/>
          <w:b/>
          <w:bCs/>
          <w:color w:val="000000"/>
          <w:sz w:val="24"/>
          <w:szCs w:val="24"/>
          <w:lang w:val="en-US" w:eastAsia="zh-CN"/>
        </w:rPr>
        <w:t>362</w:t>
      </w:r>
      <w:r w:rsidRPr="00662160">
        <w:rPr>
          <w:rFonts w:ascii="Book Antiqua" w:eastAsia="SimSun" w:hAnsi="Book Antiqua" w:cs="SimSun"/>
          <w:color w:val="000000"/>
          <w:sz w:val="24"/>
          <w:szCs w:val="24"/>
          <w:lang w:val="en-US" w:eastAsia="zh-CN"/>
        </w:rPr>
        <w:t>: 2370-2379 [PMID: 20573925 DOI: 10.1056/NEJMoa0910102]</w:t>
      </w:r>
    </w:p>
    <w:p w14:paraId="0380DD89"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43 </w:t>
      </w:r>
      <w:r w:rsidRPr="00662160">
        <w:rPr>
          <w:rFonts w:ascii="Book Antiqua" w:eastAsia="SimSun" w:hAnsi="Book Antiqua" w:cs="SimSun"/>
          <w:b/>
          <w:bCs/>
          <w:color w:val="000000"/>
          <w:sz w:val="24"/>
          <w:szCs w:val="24"/>
          <w:lang w:val="en-US" w:eastAsia="zh-CN"/>
        </w:rPr>
        <w:t>Zheng M</w:t>
      </w:r>
      <w:r w:rsidRPr="00662160">
        <w:rPr>
          <w:rFonts w:ascii="Book Antiqua" w:eastAsia="SimSun" w:hAnsi="Book Antiqua" w:cs="SimSun"/>
          <w:color w:val="000000"/>
          <w:sz w:val="24"/>
          <w:szCs w:val="24"/>
          <w:lang w:val="en-US" w:eastAsia="zh-CN"/>
        </w:rPr>
        <w:t>, Chen Y, Bai J, Zeng Q, You J, Jin R, Zhou X, Shen H, Zheng Y, Du Z. Transjugular intrahepatic portosystemic shunt versus endoscopic therapy in the secondary prophylaxis of variceal rebleeding in cirrhotic patients: meta-analysis update. </w:t>
      </w:r>
      <w:r w:rsidRPr="00662160">
        <w:rPr>
          <w:rFonts w:ascii="Book Antiqua" w:eastAsia="SimSun" w:hAnsi="Book Antiqua" w:cs="SimSun"/>
          <w:i/>
          <w:iCs/>
          <w:color w:val="000000"/>
          <w:sz w:val="24"/>
          <w:szCs w:val="24"/>
          <w:lang w:val="en-US" w:eastAsia="zh-CN"/>
        </w:rPr>
        <w:t>J Clin Gastroenterol</w:t>
      </w:r>
      <w:r w:rsidRPr="00662160">
        <w:rPr>
          <w:rFonts w:ascii="Book Antiqua" w:eastAsia="SimSun" w:hAnsi="Book Antiqua" w:cs="SimSun"/>
          <w:color w:val="000000"/>
          <w:sz w:val="24"/>
          <w:szCs w:val="24"/>
          <w:lang w:val="en-US" w:eastAsia="zh-CN"/>
        </w:rPr>
        <w:t> </w:t>
      </w:r>
      <w:r w:rsidRPr="00662160">
        <w:rPr>
          <w:rFonts w:ascii="Book Antiqua" w:eastAsia="SimSun" w:hAnsi="Book Antiqua" w:cs="SimSun" w:hint="eastAsia"/>
          <w:color w:val="000000"/>
          <w:sz w:val="24"/>
          <w:szCs w:val="24"/>
          <w:lang w:val="en-US" w:eastAsia="zh-CN"/>
        </w:rPr>
        <w:t>2000</w:t>
      </w:r>
      <w:r w:rsidRPr="00662160">
        <w:rPr>
          <w:rFonts w:ascii="Book Antiqua" w:eastAsia="SimSun" w:hAnsi="Book Antiqua" w:cs="SimSun"/>
          <w:color w:val="000000"/>
          <w:sz w:val="24"/>
          <w:szCs w:val="24"/>
          <w:lang w:val="en-US" w:eastAsia="zh-CN"/>
        </w:rPr>
        <w:t>; </w:t>
      </w:r>
      <w:r w:rsidRPr="00662160">
        <w:rPr>
          <w:rFonts w:ascii="Book Antiqua" w:eastAsia="SimSun" w:hAnsi="Book Antiqua" w:cs="SimSun"/>
          <w:b/>
          <w:bCs/>
          <w:color w:val="000000"/>
          <w:sz w:val="24"/>
          <w:szCs w:val="24"/>
          <w:lang w:val="en-US" w:eastAsia="zh-CN"/>
        </w:rPr>
        <w:t>42</w:t>
      </w:r>
      <w:r w:rsidRPr="00662160">
        <w:rPr>
          <w:rFonts w:ascii="Book Antiqua" w:eastAsia="SimSun" w:hAnsi="Book Antiqua" w:cs="SimSun"/>
          <w:color w:val="000000"/>
          <w:sz w:val="24"/>
          <w:szCs w:val="24"/>
          <w:lang w:val="en-US" w:eastAsia="zh-CN"/>
        </w:rPr>
        <w:t>: 507-516 [PMID: 18344888 DOI: 10.1097/MCG.0b013e31815576e6]</w:t>
      </w:r>
    </w:p>
    <w:p w14:paraId="01BF7F01"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44 </w:t>
      </w:r>
      <w:r w:rsidRPr="00662160">
        <w:rPr>
          <w:rFonts w:ascii="Book Antiqua" w:eastAsia="SimSun" w:hAnsi="Book Antiqua" w:cs="SimSun"/>
          <w:b/>
          <w:bCs/>
          <w:color w:val="000000"/>
          <w:sz w:val="24"/>
          <w:szCs w:val="24"/>
          <w:lang w:val="en-US" w:eastAsia="zh-CN"/>
        </w:rPr>
        <w:t>Rössle M</w:t>
      </w:r>
      <w:r w:rsidRPr="00662160">
        <w:rPr>
          <w:rFonts w:ascii="Book Antiqua" w:eastAsia="SimSun" w:hAnsi="Book Antiqua" w:cs="SimSun"/>
          <w:color w:val="000000"/>
          <w:sz w:val="24"/>
          <w:szCs w:val="24"/>
          <w:lang w:val="en-US" w:eastAsia="zh-CN"/>
        </w:rPr>
        <w:t xml:space="preserve">, Ochs A, Gülberg V, Siegerstetter V, Holl J, Deibert P, Olschewski M, Reiser M, Gerbes AL. A comparison of paracentesis and transjugular intrahepatic </w:t>
      </w:r>
      <w:r w:rsidRPr="00662160">
        <w:rPr>
          <w:rFonts w:ascii="Book Antiqua" w:eastAsia="SimSun" w:hAnsi="Book Antiqua" w:cs="SimSun"/>
          <w:color w:val="000000"/>
          <w:sz w:val="24"/>
          <w:szCs w:val="24"/>
          <w:lang w:val="en-US" w:eastAsia="zh-CN"/>
        </w:rPr>
        <w:lastRenderedPageBreak/>
        <w:t>portosystemic shunting in patients with ascites. </w:t>
      </w:r>
      <w:r w:rsidRPr="00662160">
        <w:rPr>
          <w:rFonts w:ascii="Book Antiqua" w:eastAsia="SimSun" w:hAnsi="Book Antiqua" w:cs="SimSun"/>
          <w:i/>
          <w:iCs/>
          <w:color w:val="000000"/>
          <w:sz w:val="24"/>
          <w:szCs w:val="24"/>
          <w:lang w:val="en-US" w:eastAsia="zh-CN"/>
        </w:rPr>
        <w:t>N Engl J Med</w:t>
      </w:r>
      <w:r w:rsidRPr="00662160">
        <w:rPr>
          <w:rFonts w:ascii="Book Antiqua" w:eastAsia="SimSun" w:hAnsi="Book Antiqua" w:cs="SimSun"/>
          <w:color w:val="000000"/>
          <w:sz w:val="24"/>
          <w:szCs w:val="24"/>
          <w:lang w:val="en-US" w:eastAsia="zh-CN"/>
        </w:rPr>
        <w:t> 2000; </w:t>
      </w:r>
      <w:r w:rsidRPr="00662160">
        <w:rPr>
          <w:rFonts w:ascii="Book Antiqua" w:eastAsia="SimSun" w:hAnsi="Book Antiqua" w:cs="SimSun"/>
          <w:b/>
          <w:bCs/>
          <w:color w:val="000000"/>
          <w:sz w:val="24"/>
          <w:szCs w:val="24"/>
          <w:lang w:val="en-US" w:eastAsia="zh-CN"/>
        </w:rPr>
        <w:t>342</w:t>
      </w:r>
      <w:r w:rsidRPr="00662160">
        <w:rPr>
          <w:rFonts w:ascii="Book Antiqua" w:eastAsia="SimSun" w:hAnsi="Book Antiqua" w:cs="SimSun"/>
          <w:color w:val="000000"/>
          <w:sz w:val="24"/>
          <w:szCs w:val="24"/>
          <w:lang w:val="en-US" w:eastAsia="zh-CN"/>
        </w:rPr>
        <w:t>: 1701-1707 [PMID: 10841872 DOI: 10.1056/NEJM200006083422303]</w:t>
      </w:r>
    </w:p>
    <w:p w14:paraId="2A77FF9D"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45 </w:t>
      </w:r>
      <w:r w:rsidRPr="00662160">
        <w:rPr>
          <w:rFonts w:ascii="Book Antiqua" w:eastAsia="SimSun" w:hAnsi="Book Antiqua" w:cs="SimSun"/>
          <w:b/>
          <w:bCs/>
          <w:color w:val="000000"/>
          <w:sz w:val="24"/>
          <w:szCs w:val="24"/>
          <w:lang w:val="en-US" w:eastAsia="zh-CN"/>
        </w:rPr>
        <w:t>Narahara Y</w:t>
      </w:r>
      <w:r w:rsidRPr="00662160">
        <w:rPr>
          <w:rFonts w:ascii="Book Antiqua" w:eastAsia="SimSun" w:hAnsi="Book Antiqua" w:cs="SimSun"/>
          <w:color w:val="000000"/>
          <w:sz w:val="24"/>
          <w:szCs w:val="24"/>
          <w:lang w:val="en-US" w:eastAsia="zh-CN"/>
        </w:rPr>
        <w:t>, Kanazawa H, Fukuda T, Matsushita Y, Harimoto H, Kidokoro H, Katakura T, Atsukawa M, Taki Y, Kimura Y, Nakatsuka K, Sakamoto C. Transjugular intrahepatic portosystemic shunt versus paracentesis plus albumin in patients with refractory ascites who have good hepatic and renal function: a prospective randomized trial. </w:t>
      </w:r>
      <w:r w:rsidRPr="00662160">
        <w:rPr>
          <w:rFonts w:ascii="Book Antiqua" w:eastAsia="SimSun" w:hAnsi="Book Antiqua" w:cs="SimSun"/>
          <w:i/>
          <w:iCs/>
          <w:color w:val="000000"/>
          <w:sz w:val="24"/>
          <w:szCs w:val="24"/>
          <w:lang w:val="en-US" w:eastAsia="zh-CN"/>
        </w:rPr>
        <w:t>J Gastroenterol</w:t>
      </w:r>
      <w:r w:rsidRPr="00662160">
        <w:rPr>
          <w:rFonts w:ascii="Book Antiqua" w:eastAsia="SimSun" w:hAnsi="Book Antiqua" w:cs="SimSun"/>
          <w:color w:val="000000"/>
          <w:sz w:val="24"/>
          <w:szCs w:val="24"/>
          <w:lang w:val="en-US" w:eastAsia="zh-CN"/>
        </w:rPr>
        <w:t> 2011; </w:t>
      </w:r>
      <w:r w:rsidRPr="00662160">
        <w:rPr>
          <w:rFonts w:ascii="Book Antiqua" w:eastAsia="SimSun" w:hAnsi="Book Antiqua" w:cs="SimSun"/>
          <w:b/>
          <w:bCs/>
          <w:color w:val="000000"/>
          <w:sz w:val="24"/>
          <w:szCs w:val="24"/>
          <w:lang w:val="en-US" w:eastAsia="zh-CN"/>
        </w:rPr>
        <w:t>46</w:t>
      </w:r>
      <w:r w:rsidRPr="00662160">
        <w:rPr>
          <w:rFonts w:ascii="Book Antiqua" w:eastAsia="SimSun" w:hAnsi="Book Antiqua" w:cs="SimSun"/>
          <w:color w:val="000000"/>
          <w:sz w:val="24"/>
          <w:szCs w:val="24"/>
          <w:lang w:val="en-US" w:eastAsia="zh-CN"/>
        </w:rPr>
        <w:t>: 78-85 [PMID: 20632194 DOI: 10.1007/s00535-010-0282-9]</w:t>
      </w:r>
    </w:p>
    <w:p w14:paraId="5895F0FE"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0D1A08">
        <w:rPr>
          <w:rFonts w:ascii="Book Antiqua" w:eastAsia="SimSun" w:hAnsi="Book Antiqua" w:cs="SimSun"/>
          <w:color w:val="000000"/>
          <w:sz w:val="24"/>
          <w:szCs w:val="24"/>
          <w:lang w:val="es-ES_tradnl" w:eastAsia="zh-CN"/>
        </w:rPr>
        <w:t>46 </w:t>
      </w:r>
      <w:r w:rsidRPr="000D1A08">
        <w:rPr>
          <w:rFonts w:ascii="Book Antiqua" w:eastAsia="SimSun" w:hAnsi="Book Antiqua" w:cs="SimSun"/>
          <w:b/>
          <w:bCs/>
          <w:color w:val="000000"/>
          <w:sz w:val="24"/>
          <w:szCs w:val="24"/>
          <w:lang w:val="es-ES_tradnl" w:eastAsia="zh-CN"/>
        </w:rPr>
        <w:t>Uflacker R</w:t>
      </w:r>
      <w:r w:rsidRPr="000D1A08">
        <w:rPr>
          <w:rFonts w:ascii="Book Antiqua" w:eastAsia="SimSun" w:hAnsi="Book Antiqua" w:cs="SimSun"/>
          <w:color w:val="000000"/>
          <w:sz w:val="24"/>
          <w:szCs w:val="24"/>
          <w:lang w:val="es-ES_tradnl" w:eastAsia="zh-CN"/>
        </w:rPr>
        <w:t xml:space="preserve">, Silva Ade O, d'Albuquerque LA, Piske RL, Mourão GS. </w:t>
      </w:r>
      <w:r w:rsidRPr="00662160">
        <w:rPr>
          <w:rFonts w:ascii="Book Antiqua" w:eastAsia="SimSun" w:hAnsi="Book Antiqua" w:cs="SimSun"/>
          <w:color w:val="000000"/>
          <w:sz w:val="24"/>
          <w:szCs w:val="24"/>
          <w:lang w:val="en-US" w:eastAsia="zh-CN"/>
        </w:rPr>
        <w:t>Chronic portosystemic encephalopathy: embolization of portosystemic shunts. </w:t>
      </w:r>
      <w:r w:rsidRPr="00662160">
        <w:rPr>
          <w:rFonts w:ascii="Book Antiqua" w:eastAsia="SimSun" w:hAnsi="Book Antiqua" w:cs="SimSun"/>
          <w:i/>
          <w:iCs/>
          <w:color w:val="000000"/>
          <w:sz w:val="24"/>
          <w:szCs w:val="24"/>
          <w:lang w:val="en-US" w:eastAsia="zh-CN"/>
        </w:rPr>
        <w:t>Radiology</w:t>
      </w:r>
      <w:r w:rsidRPr="00662160">
        <w:rPr>
          <w:rFonts w:ascii="Book Antiqua" w:eastAsia="SimSun" w:hAnsi="Book Antiqua" w:cs="SimSun"/>
          <w:color w:val="000000"/>
          <w:sz w:val="24"/>
          <w:szCs w:val="24"/>
          <w:lang w:val="en-US" w:eastAsia="zh-CN"/>
        </w:rPr>
        <w:t> 1987; </w:t>
      </w:r>
      <w:r w:rsidRPr="00662160">
        <w:rPr>
          <w:rFonts w:ascii="Book Antiqua" w:eastAsia="SimSun" w:hAnsi="Book Antiqua" w:cs="SimSun"/>
          <w:b/>
          <w:bCs/>
          <w:color w:val="000000"/>
          <w:sz w:val="24"/>
          <w:szCs w:val="24"/>
          <w:lang w:val="en-US" w:eastAsia="zh-CN"/>
        </w:rPr>
        <w:t>165</w:t>
      </w:r>
      <w:r w:rsidRPr="00662160">
        <w:rPr>
          <w:rFonts w:ascii="Book Antiqua" w:eastAsia="SimSun" w:hAnsi="Book Antiqua" w:cs="SimSun"/>
          <w:color w:val="000000"/>
          <w:sz w:val="24"/>
          <w:szCs w:val="24"/>
          <w:lang w:val="en-US" w:eastAsia="zh-CN"/>
        </w:rPr>
        <w:t>: 721-725 [PMID: 3685350 DOI: 10.1148/radiology.165.3.3685350]</w:t>
      </w:r>
    </w:p>
    <w:p w14:paraId="0B4B31A5"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47 </w:t>
      </w:r>
      <w:r w:rsidRPr="00662160">
        <w:rPr>
          <w:rFonts w:ascii="Book Antiqua" w:eastAsia="SimSun" w:hAnsi="Book Antiqua" w:cs="SimSun"/>
          <w:b/>
          <w:bCs/>
          <w:color w:val="000000"/>
          <w:sz w:val="24"/>
          <w:szCs w:val="24"/>
          <w:lang w:val="en-US" w:eastAsia="zh-CN"/>
        </w:rPr>
        <w:t>Petersen BD</w:t>
      </w:r>
      <w:r w:rsidRPr="00662160">
        <w:rPr>
          <w:rFonts w:ascii="Book Antiqua" w:eastAsia="SimSun" w:hAnsi="Book Antiqua" w:cs="SimSun"/>
          <w:color w:val="000000"/>
          <w:sz w:val="24"/>
          <w:szCs w:val="24"/>
          <w:lang w:val="en-US" w:eastAsia="zh-CN"/>
        </w:rPr>
        <w:t>, Clark TW. Direct intrahepatic portocaval shunt. </w:t>
      </w:r>
      <w:r w:rsidRPr="00662160">
        <w:rPr>
          <w:rFonts w:ascii="Book Antiqua" w:eastAsia="SimSun" w:hAnsi="Book Antiqua" w:cs="SimSun"/>
          <w:i/>
          <w:iCs/>
          <w:color w:val="000000"/>
          <w:sz w:val="24"/>
          <w:szCs w:val="24"/>
          <w:lang w:val="en-US" w:eastAsia="zh-CN"/>
        </w:rPr>
        <w:t>Tech Vasc Interv Radiol</w:t>
      </w:r>
      <w:r w:rsidRPr="00662160">
        <w:rPr>
          <w:rFonts w:ascii="Book Antiqua" w:eastAsia="SimSun" w:hAnsi="Book Antiqua" w:cs="SimSun"/>
          <w:color w:val="000000"/>
          <w:sz w:val="24"/>
          <w:szCs w:val="24"/>
          <w:lang w:val="en-US" w:eastAsia="zh-CN"/>
        </w:rPr>
        <w:t> 2008; </w:t>
      </w:r>
      <w:r w:rsidRPr="00662160">
        <w:rPr>
          <w:rFonts w:ascii="Book Antiqua" w:eastAsia="SimSun" w:hAnsi="Book Antiqua" w:cs="SimSun"/>
          <w:b/>
          <w:bCs/>
          <w:color w:val="000000"/>
          <w:sz w:val="24"/>
          <w:szCs w:val="24"/>
          <w:lang w:val="en-US" w:eastAsia="zh-CN"/>
        </w:rPr>
        <w:t>11</w:t>
      </w:r>
      <w:r w:rsidRPr="00662160">
        <w:rPr>
          <w:rFonts w:ascii="Book Antiqua" w:eastAsia="SimSun" w:hAnsi="Book Antiqua" w:cs="SimSun"/>
          <w:color w:val="000000"/>
          <w:sz w:val="24"/>
          <w:szCs w:val="24"/>
          <w:lang w:val="en-US" w:eastAsia="zh-CN"/>
        </w:rPr>
        <w:t>: 230-234 [PMID: 19527850 DOI: 10.1053/j.tvir.2009.04.006]</w:t>
      </w:r>
    </w:p>
    <w:p w14:paraId="5EBC3399"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48 </w:t>
      </w:r>
      <w:r w:rsidRPr="00662160">
        <w:rPr>
          <w:rFonts w:ascii="Book Antiqua" w:eastAsia="SimSun" w:hAnsi="Book Antiqua" w:cs="SimSun"/>
          <w:b/>
          <w:bCs/>
          <w:color w:val="000000"/>
          <w:sz w:val="24"/>
          <w:szCs w:val="24"/>
          <w:lang w:val="en-US" w:eastAsia="zh-CN"/>
        </w:rPr>
        <w:t>Saad WE</w:t>
      </w:r>
      <w:r w:rsidRPr="00662160">
        <w:rPr>
          <w:rFonts w:ascii="Book Antiqua" w:eastAsia="SimSun" w:hAnsi="Book Antiqua" w:cs="SimSun"/>
          <w:color w:val="000000"/>
          <w:sz w:val="24"/>
          <w:szCs w:val="24"/>
          <w:lang w:val="en-US" w:eastAsia="zh-CN"/>
        </w:rPr>
        <w:t>, Khaja MS, Hirota S. Balloon-occluded retrograde transvenous obliteration of gastric varices: conception, evolution, and history. </w:t>
      </w:r>
      <w:r w:rsidRPr="00662160">
        <w:rPr>
          <w:rFonts w:ascii="Book Antiqua" w:eastAsia="SimSun" w:hAnsi="Book Antiqua" w:cs="SimSun"/>
          <w:i/>
          <w:iCs/>
          <w:color w:val="000000"/>
          <w:sz w:val="24"/>
          <w:szCs w:val="24"/>
          <w:lang w:val="en-US" w:eastAsia="zh-CN"/>
        </w:rPr>
        <w:t>Tech Vasc Interv Radiol</w:t>
      </w:r>
      <w:r w:rsidRPr="00662160">
        <w:rPr>
          <w:rFonts w:ascii="Book Antiqua" w:eastAsia="SimSun" w:hAnsi="Book Antiqua" w:cs="SimSun"/>
          <w:color w:val="000000"/>
          <w:sz w:val="24"/>
          <w:szCs w:val="24"/>
          <w:lang w:val="en-US" w:eastAsia="zh-CN"/>
        </w:rPr>
        <w:t> 2012; </w:t>
      </w:r>
      <w:r w:rsidRPr="00662160">
        <w:rPr>
          <w:rFonts w:ascii="Book Antiqua" w:eastAsia="SimSun" w:hAnsi="Book Antiqua" w:cs="SimSun"/>
          <w:b/>
          <w:bCs/>
          <w:color w:val="000000"/>
          <w:sz w:val="24"/>
          <w:szCs w:val="24"/>
          <w:lang w:val="en-US" w:eastAsia="zh-CN"/>
        </w:rPr>
        <w:t>15</w:t>
      </w:r>
      <w:r w:rsidRPr="00662160">
        <w:rPr>
          <w:rFonts w:ascii="Book Antiqua" w:eastAsia="SimSun" w:hAnsi="Book Antiqua" w:cs="SimSun"/>
          <w:color w:val="000000"/>
          <w:sz w:val="24"/>
          <w:szCs w:val="24"/>
          <w:lang w:val="en-US" w:eastAsia="zh-CN"/>
        </w:rPr>
        <w:t>: 160-164 [PMID: 23021830 DOI: 10.1053/j.tvir.2012.07.002]</w:t>
      </w:r>
    </w:p>
    <w:p w14:paraId="7514584F"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49 </w:t>
      </w:r>
      <w:r w:rsidRPr="00662160">
        <w:rPr>
          <w:rFonts w:ascii="Book Antiqua" w:eastAsia="SimSun" w:hAnsi="Book Antiqua" w:cs="SimSun"/>
          <w:b/>
          <w:bCs/>
          <w:color w:val="000000"/>
          <w:sz w:val="24"/>
          <w:szCs w:val="24"/>
          <w:lang w:val="en-US" w:eastAsia="zh-CN"/>
        </w:rPr>
        <w:t>Cho SK</w:t>
      </w:r>
      <w:r w:rsidRPr="00662160">
        <w:rPr>
          <w:rFonts w:ascii="Book Antiqua" w:eastAsia="SimSun" w:hAnsi="Book Antiqua" w:cs="SimSun"/>
          <w:color w:val="000000"/>
          <w:sz w:val="24"/>
          <w:szCs w:val="24"/>
          <w:lang w:val="en-US" w:eastAsia="zh-CN"/>
        </w:rPr>
        <w:t>, Shin SW, Lee IH, Do YS, Choo SW, Park KB, Yoo BC. Balloon-occluded retrograde transvenous obliteration of gastric varices: outcomes and complications in 49 patients. </w:t>
      </w:r>
      <w:r w:rsidRPr="00662160">
        <w:rPr>
          <w:rFonts w:ascii="Book Antiqua" w:eastAsia="SimSun" w:hAnsi="Book Antiqua" w:cs="SimSun"/>
          <w:i/>
          <w:iCs/>
          <w:color w:val="000000"/>
          <w:sz w:val="24"/>
          <w:szCs w:val="24"/>
          <w:lang w:val="en-US" w:eastAsia="zh-CN"/>
        </w:rPr>
        <w:t>AJR Am J Roentgenol</w:t>
      </w:r>
      <w:r w:rsidRPr="00662160">
        <w:rPr>
          <w:rFonts w:ascii="Book Antiqua" w:eastAsia="SimSun" w:hAnsi="Book Antiqua" w:cs="SimSun"/>
          <w:color w:val="000000"/>
          <w:sz w:val="24"/>
          <w:szCs w:val="24"/>
          <w:lang w:val="en-US" w:eastAsia="zh-CN"/>
        </w:rPr>
        <w:t> 2007; </w:t>
      </w:r>
      <w:r w:rsidRPr="00662160">
        <w:rPr>
          <w:rFonts w:ascii="Book Antiqua" w:eastAsia="SimSun" w:hAnsi="Book Antiqua" w:cs="SimSun"/>
          <w:b/>
          <w:bCs/>
          <w:color w:val="000000"/>
          <w:sz w:val="24"/>
          <w:szCs w:val="24"/>
          <w:lang w:val="en-US" w:eastAsia="zh-CN"/>
        </w:rPr>
        <w:t>189</w:t>
      </w:r>
      <w:r w:rsidRPr="00662160">
        <w:rPr>
          <w:rFonts w:ascii="Book Antiqua" w:eastAsia="SimSun" w:hAnsi="Book Antiqua" w:cs="SimSun"/>
          <w:color w:val="000000"/>
          <w:sz w:val="24"/>
          <w:szCs w:val="24"/>
          <w:lang w:val="en-US" w:eastAsia="zh-CN"/>
        </w:rPr>
        <w:t>: W365-W372 [PMID: 18029851 DOI: 10.2214/AJR.07.2266]</w:t>
      </w:r>
    </w:p>
    <w:p w14:paraId="288CC5D6"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50 </w:t>
      </w:r>
      <w:r w:rsidRPr="00662160">
        <w:rPr>
          <w:rFonts w:ascii="Book Antiqua" w:eastAsia="SimSun" w:hAnsi="Book Antiqua" w:cs="SimSun"/>
          <w:b/>
          <w:bCs/>
          <w:color w:val="000000"/>
          <w:sz w:val="24"/>
          <w:szCs w:val="24"/>
          <w:lang w:val="en-US" w:eastAsia="zh-CN"/>
        </w:rPr>
        <w:t>Ninoi T</w:t>
      </w:r>
      <w:r w:rsidRPr="00662160">
        <w:rPr>
          <w:rFonts w:ascii="Book Antiqua" w:eastAsia="SimSun" w:hAnsi="Book Antiqua" w:cs="SimSun"/>
          <w:color w:val="000000"/>
          <w:sz w:val="24"/>
          <w:szCs w:val="24"/>
          <w:lang w:val="en-US" w:eastAsia="zh-CN"/>
        </w:rPr>
        <w:t>, Nishida N, Kaminou T, Sakai Y, Kitayama T, Hamuro M, Yamada R, Nakamura K, Arakawa T, Inoue Y. Balloon-occluded retrograde transvenous obliteration of gastric varices with gastrorenal shunt: long-term follow-up in 78 patients. </w:t>
      </w:r>
      <w:r w:rsidRPr="00662160">
        <w:rPr>
          <w:rFonts w:ascii="Book Antiqua" w:eastAsia="SimSun" w:hAnsi="Book Antiqua" w:cs="SimSun"/>
          <w:i/>
          <w:iCs/>
          <w:color w:val="000000"/>
          <w:sz w:val="24"/>
          <w:szCs w:val="24"/>
          <w:lang w:val="en-US" w:eastAsia="zh-CN"/>
        </w:rPr>
        <w:t>AJR Am J Roentgenol</w:t>
      </w:r>
      <w:r w:rsidRPr="00662160">
        <w:rPr>
          <w:rFonts w:ascii="Book Antiqua" w:eastAsia="SimSun" w:hAnsi="Book Antiqua" w:cs="SimSun"/>
          <w:color w:val="000000"/>
          <w:sz w:val="24"/>
          <w:szCs w:val="24"/>
          <w:lang w:val="en-US" w:eastAsia="zh-CN"/>
        </w:rPr>
        <w:t> 2005; </w:t>
      </w:r>
      <w:r w:rsidRPr="00662160">
        <w:rPr>
          <w:rFonts w:ascii="Book Antiqua" w:eastAsia="SimSun" w:hAnsi="Book Antiqua" w:cs="SimSun"/>
          <w:b/>
          <w:bCs/>
          <w:color w:val="000000"/>
          <w:sz w:val="24"/>
          <w:szCs w:val="24"/>
          <w:lang w:val="en-US" w:eastAsia="zh-CN"/>
        </w:rPr>
        <w:t>184</w:t>
      </w:r>
      <w:r w:rsidRPr="00662160">
        <w:rPr>
          <w:rFonts w:ascii="Book Antiqua" w:eastAsia="SimSun" w:hAnsi="Book Antiqua" w:cs="SimSun"/>
          <w:color w:val="000000"/>
          <w:sz w:val="24"/>
          <w:szCs w:val="24"/>
          <w:lang w:val="en-US" w:eastAsia="zh-CN"/>
        </w:rPr>
        <w:t>: 1340-1346 [PMID: 15788621 DOI: 10.2214/ajr.184.4.01841340]</w:t>
      </w:r>
    </w:p>
    <w:p w14:paraId="3B8E753D"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51 </w:t>
      </w:r>
      <w:r w:rsidRPr="00662160">
        <w:rPr>
          <w:rFonts w:ascii="Book Antiqua" w:eastAsia="SimSun" w:hAnsi="Book Antiqua" w:cs="SimSun"/>
          <w:b/>
          <w:bCs/>
          <w:color w:val="000000"/>
          <w:sz w:val="24"/>
          <w:szCs w:val="24"/>
          <w:lang w:val="en-US" w:eastAsia="zh-CN"/>
        </w:rPr>
        <w:t>Fukuda T</w:t>
      </w:r>
      <w:r w:rsidRPr="00662160">
        <w:rPr>
          <w:rFonts w:ascii="Book Antiqua" w:eastAsia="SimSun" w:hAnsi="Book Antiqua" w:cs="SimSun"/>
          <w:color w:val="000000"/>
          <w:sz w:val="24"/>
          <w:szCs w:val="24"/>
          <w:lang w:val="en-US" w:eastAsia="zh-CN"/>
        </w:rPr>
        <w:t>, Hirota S, Sugimura K. Long-term results of balloon-occluded retrograde transvenous obliteration for the treatment of gastric varices and hepatic encephalopathy. </w:t>
      </w:r>
      <w:r w:rsidRPr="00662160">
        <w:rPr>
          <w:rFonts w:ascii="Book Antiqua" w:eastAsia="SimSun" w:hAnsi="Book Antiqua" w:cs="SimSun"/>
          <w:i/>
          <w:iCs/>
          <w:color w:val="000000"/>
          <w:sz w:val="24"/>
          <w:szCs w:val="24"/>
          <w:lang w:val="en-US" w:eastAsia="zh-CN"/>
        </w:rPr>
        <w:t>J Vasc Interv Radiol</w:t>
      </w:r>
      <w:r w:rsidRPr="00662160">
        <w:rPr>
          <w:rFonts w:ascii="Book Antiqua" w:eastAsia="SimSun" w:hAnsi="Book Antiqua" w:cs="SimSun"/>
          <w:color w:val="000000"/>
          <w:sz w:val="24"/>
          <w:szCs w:val="24"/>
          <w:lang w:val="en-US" w:eastAsia="zh-CN"/>
        </w:rPr>
        <w:t> 2001; </w:t>
      </w:r>
      <w:r w:rsidRPr="00662160">
        <w:rPr>
          <w:rFonts w:ascii="Book Antiqua" w:eastAsia="SimSun" w:hAnsi="Book Antiqua" w:cs="SimSun"/>
          <w:b/>
          <w:bCs/>
          <w:color w:val="000000"/>
          <w:sz w:val="24"/>
          <w:szCs w:val="24"/>
          <w:lang w:val="en-US" w:eastAsia="zh-CN"/>
        </w:rPr>
        <w:t>12</w:t>
      </w:r>
      <w:r w:rsidRPr="00662160">
        <w:rPr>
          <w:rFonts w:ascii="Book Antiqua" w:eastAsia="SimSun" w:hAnsi="Book Antiqua" w:cs="SimSun"/>
          <w:color w:val="000000"/>
          <w:sz w:val="24"/>
          <w:szCs w:val="24"/>
          <w:lang w:val="en-US" w:eastAsia="zh-CN"/>
        </w:rPr>
        <w:t>: 327-336 [PMID: 11287510]</w:t>
      </w:r>
    </w:p>
    <w:p w14:paraId="63347E79"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lastRenderedPageBreak/>
        <w:t>52 </w:t>
      </w:r>
      <w:r w:rsidRPr="00662160">
        <w:rPr>
          <w:rFonts w:ascii="Book Antiqua" w:eastAsia="SimSun" w:hAnsi="Book Antiqua" w:cs="SimSun"/>
          <w:b/>
          <w:bCs/>
          <w:color w:val="000000"/>
          <w:sz w:val="24"/>
          <w:szCs w:val="24"/>
          <w:lang w:val="en-US" w:eastAsia="zh-CN"/>
        </w:rPr>
        <w:t>Lee EW</w:t>
      </w:r>
      <w:r w:rsidRPr="00662160">
        <w:rPr>
          <w:rFonts w:ascii="Book Antiqua" w:eastAsia="SimSun" w:hAnsi="Book Antiqua" w:cs="SimSun"/>
          <w:color w:val="000000"/>
          <w:sz w:val="24"/>
          <w:szCs w:val="24"/>
          <w:lang w:val="en-US" w:eastAsia="zh-CN"/>
        </w:rPr>
        <w:t>, Saab S, Gomes AS, Busuttil R, McWilliams J, Durazo F, Han SH, Goldstein L, Tafti BA, Moriarty J, Loh CT, Kee ST. Coil-Assisted Retrograde Transvenous Obliteration (CARTO) for the Treatment of Portal Hypertensive Variceal Bleeding: Preliminary Results. </w:t>
      </w:r>
      <w:r w:rsidRPr="00662160">
        <w:rPr>
          <w:rFonts w:ascii="Book Antiqua" w:eastAsia="SimSun" w:hAnsi="Book Antiqua" w:cs="SimSun"/>
          <w:i/>
          <w:iCs/>
          <w:color w:val="000000"/>
          <w:sz w:val="24"/>
          <w:szCs w:val="24"/>
          <w:lang w:val="en-US" w:eastAsia="zh-CN"/>
        </w:rPr>
        <w:t>Clin Transl Gastroenterol</w:t>
      </w:r>
      <w:r w:rsidRPr="00662160">
        <w:rPr>
          <w:rFonts w:ascii="Book Antiqua" w:eastAsia="SimSun" w:hAnsi="Book Antiqua" w:cs="SimSun"/>
          <w:color w:val="000000"/>
          <w:sz w:val="24"/>
          <w:szCs w:val="24"/>
          <w:lang w:val="en-US" w:eastAsia="zh-CN"/>
        </w:rPr>
        <w:t> 2014; </w:t>
      </w:r>
      <w:r w:rsidRPr="00662160">
        <w:rPr>
          <w:rFonts w:ascii="Book Antiqua" w:eastAsia="SimSun" w:hAnsi="Book Antiqua" w:cs="SimSun"/>
          <w:b/>
          <w:bCs/>
          <w:color w:val="000000"/>
          <w:sz w:val="24"/>
          <w:szCs w:val="24"/>
          <w:lang w:val="en-US" w:eastAsia="zh-CN"/>
        </w:rPr>
        <w:t>5</w:t>
      </w:r>
      <w:r w:rsidRPr="00662160">
        <w:rPr>
          <w:rFonts w:ascii="Book Antiqua" w:eastAsia="SimSun" w:hAnsi="Book Antiqua" w:cs="SimSun"/>
          <w:color w:val="000000"/>
          <w:sz w:val="24"/>
          <w:szCs w:val="24"/>
          <w:lang w:val="en-US" w:eastAsia="zh-CN"/>
        </w:rPr>
        <w:t>: e61 [PMID: 25273155 DOI: 10.1038/ctg.2014.12]</w:t>
      </w:r>
    </w:p>
    <w:p w14:paraId="6FE4D593" w14:textId="77777777" w:rsidR="00662160" w:rsidRPr="00662160" w:rsidRDefault="00662160" w:rsidP="00662160">
      <w:pPr>
        <w:spacing w:after="0" w:line="360" w:lineRule="auto"/>
        <w:rPr>
          <w:rFonts w:ascii="Book Antiqua" w:eastAsia="SimSun" w:hAnsi="Book Antiqua" w:cs="SimSun"/>
          <w:color w:val="000000"/>
          <w:sz w:val="24"/>
          <w:szCs w:val="24"/>
          <w:lang w:val="en-US" w:eastAsia="zh-CN"/>
        </w:rPr>
      </w:pPr>
      <w:r w:rsidRPr="00662160">
        <w:rPr>
          <w:rFonts w:ascii="Book Antiqua" w:eastAsia="SimSun" w:hAnsi="Book Antiqua" w:cs="SimSun"/>
          <w:color w:val="000000"/>
          <w:sz w:val="24"/>
          <w:szCs w:val="24"/>
          <w:lang w:val="en-US" w:eastAsia="zh-CN"/>
        </w:rPr>
        <w:t>53 </w:t>
      </w:r>
      <w:r w:rsidRPr="00662160">
        <w:rPr>
          <w:rFonts w:ascii="Book Antiqua" w:eastAsia="SimSun" w:hAnsi="Book Antiqua" w:cs="SimSun"/>
          <w:b/>
          <w:bCs/>
          <w:color w:val="000000"/>
          <w:sz w:val="24"/>
          <w:szCs w:val="24"/>
          <w:lang w:val="en-US" w:eastAsia="zh-CN"/>
        </w:rPr>
        <w:t>Gwon DI</w:t>
      </w:r>
      <w:r w:rsidRPr="00662160">
        <w:rPr>
          <w:rFonts w:ascii="Book Antiqua" w:eastAsia="SimSun" w:hAnsi="Book Antiqua" w:cs="SimSun"/>
          <w:color w:val="000000"/>
          <w:sz w:val="24"/>
          <w:szCs w:val="24"/>
          <w:lang w:val="en-US" w:eastAsia="zh-CN"/>
        </w:rPr>
        <w:t>, Kim YH, Ko GY, Kim JW, Ko HK, Kim JH, Shin JH, Yoon HK, Sung KB. Vascular Plug-Assisted Retrograde Transvenous Obliteration for the Treatment of Gastric Varices and Hepatic Encephalopathy: A Prospective Multicenter Study. </w:t>
      </w:r>
      <w:r w:rsidRPr="00662160">
        <w:rPr>
          <w:rFonts w:ascii="Book Antiqua" w:eastAsia="SimSun" w:hAnsi="Book Antiqua" w:cs="SimSun"/>
          <w:i/>
          <w:iCs/>
          <w:color w:val="000000"/>
          <w:sz w:val="24"/>
          <w:szCs w:val="24"/>
          <w:lang w:val="en-US" w:eastAsia="zh-CN"/>
        </w:rPr>
        <w:t>J Vasc Interv Radiol</w:t>
      </w:r>
      <w:r w:rsidRPr="00662160">
        <w:rPr>
          <w:rFonts w:ascii="Book Antiqua" w:eastAsia="SimSun" w:hAnsi="Book Antiqua" w:cs="SimSun"/>
          <w:color w:val="000000"/>
          <w:sz w:val="24"/>
          <w:szCs w:val="24"/>
          <w:lang w:val="en-US" w:eastAsia="zh-CN"/>
        </w:rPr>
        <w:t> 2015; </w:t>
      </w:r>
      <w:r w:rsidRPr="00662160">
        <w:rPr>
          <w:rFonts w:ascii="Book Antiqua" w:eastAsia="SimSun" w:hAnsi="Book Antiqua" w:cs="SimSun"/>
          <w:b/>
          <w:bCs/>
          <w:color w:val="000000"/>
          <w:sz w:val="24"/>
          <w:szCs w:val="24"/>
          <w:lang w:val="en-US" w:eastAsia="zh-CN"/>
        </w:rPr>
        <w:t>26</w:t>
      </w:r>
      <w:r w:rsidRPr="00662160">
        <w:rPr>
          <w:rFonts w:ascii="Book Antiqua" w:eastAsia="SimSun" w:hAnsi="Book Antiqua" w:cs="SimSun"/>
          <w:color w:val="000000"/>
          <w:sz w:val="24"/>
          <w:szCs w:val="24"/>
          <w:lang w:val="en-US" w:eastAsia="zh-CN"/>
        </w:rPr>
        <w:t>: 1589-1595 [PMID: 26316136 DOI: 10.1016/j.jvir.2015.07.011]</w:t>
      </w:r>
    </w:p>
    <w:p w14:paraId="3DF1CA2A" w14:textId="4E0623CF" w:rsidR="00662160" w:rsidRDefault="00662160" w:rsidP="00662160">
      <w:pPr>
        <w:wordWrap w:val="0"/>
        <w:spacing w:line="360" w:lineRule="auto"/>
        <w:ind w:left="361" w:hangingChars="150" w:hanging="361"/>
        <w:jc w:val="right"/>
        <w:rPr>
          <w:rFonts w:ascii="Book Antiqua" w:hAnsi="Book Antiqua"/>
          <w:sz w:val="24"/>
        </w:rPr>
      </w:pPr>
      <w:bookmarkStart w:id="87" w:name="OLE_LINK3941"/>
      <w:bookmarkStart w:id="88" w:name="OLE_LINK3917"/>
      <w:bookmarkStart w:id="89" w:name="OLE_LINK4018"/>
      <w:bookmarkStart w:id="90" w:name="OLE_LINK3983"/>
      <w:bookmarkStart w:id="91" w:name="OLE_LINK3963"/>
      <w:bookmarkStart w:id="92" w:name="OLE_LINK3865"/>
      <w:bookmarkStart w:id="93" w:name="OLE_LINK3880"/>
      <w:bookmarkStart w:id="94" w:name="OLE_LINK3867"/>
      <w:bookmarkStart w:id="95" w:name="OLE_LINK3961"/>
      <w:bookmarkStart w:id="96" w:name="OLE_LINK3939"/>
      <w:bookmarkStart w:id="97" w:name="OLE_LINK3920"/>
      <w:bookmarkStart w:id="98" w:name="OLE_LINK3898"/>
      <w:bookmarkStart w:id="99" w:name="OLE_LINK3862"/>
      <w:bookmarkStart w:id="100" w:name="OLE_LINK3889"/>
      <w:bookmarkStart w:id="101" w:name="OLE_LINK3871"/>
      <w:bookmarkStart w:id="102" w:name="OLE_LINK3833"/>
      <w:bookmarkStart w:id="103" w:name="OLE_LINK3825"/>
      <w:bookmarkStart w:id="104" w:name="OLE_LINK3790"/>
      <w:bookmarkStart w:id="105" w:name="OLE_LINK3709"/>
      <w:bookmarkStart w:id="106" w:name="OLE_LINK3693"/>
      <w:bookmarkStart w:id="107" w:name="OLE_LINK3694"/>
      <w:bookmarkStart w:id="108" w:name="OLE_LINK3692"/>
      <w:bookmarkStart w:id="109" w:name="OLE_LINK3662"/>
      <w:bookmarkStart w:id="110" w:name="OLE_LINK3638"/>
      <w:bookmarkStart w:id="111" w:name="OLE_LINK3604"/>
      <w:bookmarkStart w:id="112" w:name="OLE_LINK3750"/>
      <w:bookmarkStart w:id="113" w:name="OLE_LINK3705"/>
      <w:bookmarkStart w:id="114" w:name="OLE_LINK3700"/>
      <w:bookmarkStart w:id="115" w:name="OLE_LINK3573"/>
      <w:bookmarkStart w:id="116" w:name="OLE_LINK3565"/>
      <w:bookmarkStart w:id="117" w:name="OLE_LINK3554"/>
      <w:bookmarkStart w:id="118" w:name="OLE_LINK3549"/>
      <w:bookmarkStart w:id="119" w:name="OLE_LINK3796"/>
      <w:bookmarkStart w:id="120" w:name="OLE_LINK3755"/>
      <w:bookmarkStart w:id="121" w:name="OLE_LINK3640"/>
      <w:bookmarkStart w:id="122" w:name="OLE_LINK3435"/>
      <w:bookmarkStart w:id="123" w:name="OLE_LINK3372"/>
      <w:bookmarkStart w:id="124" w:name="OLE_LINK3324"/>
      <w:bookmarkStart w:id="125" w:name="OLE_LINK3302"/>
      <w:bookmarkStart w:id="126" w:name="OLE_LINK3412"/>
      <w:bookmarkStart w:id="127" w:name="OLE_LINK3378"/>
      <w:bookmarkStart w:id="128" w:name="OLE_LINK3318"/>
      <w:bookmarkStart w:id="129" w:name="OLE_LINK3281"/>
      <w:bookmarkStart w:id="130" w:name="OLE_LINK3263"/>
      <w:bookmarkStart w:id="131" w:name="OLE_LINK3249"/>
      <w:bookmarkStart w:id="132" w:name="OLE_LINK3254"/>
      <w:bookmarkStart w:id="133" w:name="OLE_LINK3245"/>
      <w:bookmarkStart w:id="134" w:name="OLE_LINK3187"/>
      <w:bookmarkStart w:id="135" w:name="OLE_LINK3380"/>
      <w:bookmarkStart w:id="136" w:name="OLE_LINK3248"/>
      <w:bookmarkStart w:id="137" w:name="OLE_LINK3219"/>
      <w:bookmarkStart w:id="138" w:name="OLE_LINK3218"/>
      <w:bookmarkStart w:id="139" w:name="OLE_LINK3184"/>
      <w:bookmarkStart w:id="140" w:name="OLE_LINK3186"/>
      <w:bookmarkStart w:id="141" w:name="OLE_LINK3192"/>
      <w:bookmarkStart w:id="142" w:name="OLE_LINK3160"/>
      <w:bookmarkStart w:id="143" w:name="OLE_LINK3118"/>
      <w:bookmarkStart w:id="144" w:name="OLE_LINK3142"/>
      <w:bookmarkStart w:id="145" w:name="OLE_LINK3130"/>
      <w:bookmarkStart w:id="146" w:name="OLE_LINK3114"/>
      <w:bookmarkStart w:id="147" w:name="OLE_LINK3089"/>
      <w:bookmarkStart w:id="148" w:name="OLE_LINK3071"/>
      <w:bookmarkStart w:id="149" w:name="OLE_LINK3065"/>
      <w:bookmarkStart w:id="150" w:name="OLE_LINK3059"/>
      <w:bookmarkStart w:id="151" w:name="OLE_LINK3039"/>
      <w:bookmarkStart w:id="152" w:name="OLE_LINK3032"/>
      <w:bookmarkStart w:id="153" w:name="OLE_LINK3015"/>
      <w:bookmarkStart w:id="154" w:name="OLE_LINK3135"/>
      <w:bookmarkStart w:id="155" w:name="OLE_LINK3108"/>
      <w:bookmarkStart w:id="156" w:name="OLE_LINK3067"/>
      <w:bookmarkStart w:id="157" w:name="OLE_LINK3020"/>
      <w:bookmarkStart w:id="158" w:name="OLE_LINK2972"/>
      <w:bookmarkStart w:id="159" w:name="OLE_LINK2953"/>
      <w:bookmarkStart w:id="160" w:name="OLE_LINK3506"/>
      <w:bookmarkStart w:id="161" w:name="OLE_LINK3031"/>
      <w:bookmarkStart w:id="162" w:name="OLE_LINK2986"/>
      <w:bookmarkStart w:id="163" w:name="OLE_LINK2954"/>
      <w:bookmarkStart w:id="164" w:name="OLE_LINK2920"/>
      <w:bookmarkStart w:id="165" w:name="OLE_LINK2938"/>
      <w:bookmarkStart w:id="166" w:name="OLE_LINK2915"/>
      <w:bookmarkStart w:id="167" w:name="OLE_LINK2889"/>
      <w:bookmarkStart w:id="168" w:name="OLE_LINK2853"/>
      <w:bookmarkStart w:id="169" w:name="OLE_LINK2837"/>
      <w:bookmarkStart w:id="170" w:name="OLE_LINK2893"/>
      <w:bookmarkStart w:id="171" w:name="OLE_LINK2846"/>
      <w:bookmarkStart w:id="172" w:name="OLE_LINK3467"/>
      <w:bookmarkStart w:id="173" w:name="OLE_LINK2864"/>
      <w:bookmarkStart w:id="174" w:name="OLE_LINK2834"/>
      <w:bookmarkStart w:id="175" w:name="OLE_LINK2858"/>
      <w:bookmarkStart w:id="176" w:name="OLE_LINK2777"/>
      <w:bookmarkStart w:id="177" w:name="OLE_LINK2744"/>
      <w:bookmarkStart w:id="178" w:name="OLE_LINK2733"/>
      <w:bookmarkStart w:id="179" w:name="OLE_LINK2724"/>
      <w:bookmarkStart w:id="180" w:name="OLE_LINK2779"/>
      <w:bookmarkStart w:id="181" w:name="OLE_LINK3508"/>
      <w:bookmarkStart w:id="182" w:name="OLE_LINK3464"/>
      <w:bookmarkStart w:id="183" w:name="OLE_LINK2757"/>
      <w:bookmarkStart w:id="184" w:name="OLE_LINK2739"/>
      <w:bookmarkStart w:id="185" w:name="OLE_LINK2703"/>
      <w:bookmarkStart w:id="186" w:name="OLE_LINK2658"/>
      <w:bookmarkStart w:id="187" w:name="OLE_LINK2678"/>
      <w:bookmarkStart w:id="188" w:name="OLE_LINK2629"/>
      <w:bookmarkStart w:id="189" w:name="OLE_LINK2593"/>
      <w:bookmarkStart w:id="190" w:name="OLE_LINK2567"/>
      <w:bookmarkStart w:id="191" w:name="OLE_LINK2669"/>
      <w:bookmarkStart w:id="192" w:name="OLE_LINK2648"/>
      <w:bookmarkStart w:id="193" w:name="OLE_LINK2589"/>
      <w:bookmarkStart w:id="194" w:name="OLE_LINK2594"/>
      <w:bookmarkStart w:id="195" w:name="OLE_LINK2550"/>
      <w:bookmarkStart w:id="196" w:name="OLE_LINK2537"/>
      <w:bookmarkStart w:id="197" w:name="OLE_LINK2555"/>
      <w:bookmarkStart w:id="198" w:name="OLE_LINK2528"/>
      <w:bookmarkStart w:id="199" w:name="OLE_LINK2554"/>
      <w:bookmarkStart w:id="200" w:name="OLE_LINK2615"/>
      <w:bookmarkStart w:id="201" w:name="OLE_LINK2583"/>
      <w:bookmarkStart w:id="202" w:name="OLE_LINK2511"/>
      <w:bookmarkStart w:id="203" w:name="OLE_LINK2483"/>
      <w:bookmarkStart w:id="204" w:name="OLE_LINK2471"/>
      <w:bookmarkStart w:id="205" w:name="OLE_LINK2532"/>
      <w:bookmarkStart w:id="206" w:name="OLE_LINK2476"/>
      <w:bookmarkStart w:id="207" w:name="OLE_LINK2378"/>
      <w:bookmarkStart w:id="208" w:name="OLE_LINK2382"/>
      <w:bookmarkStart w:id="209" w:name="OLE_LINK2474"/>
      <w:bookmarkStart w:id="210" w:name="OLE_LINK2370"/>
      <w:bookmarkStart w:id="211" w:name="OLE_LINK2445"/>
      <w:bookmarkStart w:id="212" w:name="OLE_LINK2410"/>
      <w:bookmarkStart w:id="213" w:name="OLE_LINK2427"/>
      <w:bookmarkStart w:id="214" w:name="OLE_LINK2369"/>
      <w:bookmarkStart w:id="215" w:name="OLE_LINK2336"/>
      <w:bookmarkStart w:id="216" w:name="OLE_LINK2432"/>
      <w:bookmarkStart w:id="217" w:name="OLE_LINK2402"/>
      <w:bookmarkStart w:id="218" w:name="OLE_LINK2330"/>
      <w:bookmarkStart w:id="219" w:name="OLE_LINK2290"/>
      <w:bookmarkStart w:id="220" w:name="OLE_LINK2240"/>
      <w:bookmarkStart w:id="221" w:name="OLE_LINK2314"/>
      <w:bookmarkStart w:id="222" w:name="OLE_LINK2273"/>
      <w:bookmarkStart w:id="223" w:name="OLE_LINK2354"/>
      <w:bookmarkStart w:id="224" w:name="OLE_LINK2236"/>
      <w:bookmarkStart w:id="225" w:name="OLE_LINK2148"/>
      <w:bookmarkStart w:id="226" w:name="OLE_LINK2395"/>
      <w:bookmarkStart w:id="227" w:name="OLE_LINK2294"/>
      <w:bookmarkStart w:id="228" w:name="OLE_LINK2281"/>
      <w:bookmarkStart w:id="229" w:name="OLE_LINK2248"/>
      <w:bookmarkStart w:id="230" w:name="OLE_LINK2219"/>
      <w:bookmarkStart w:id="231" w:name="OLE_LINK2139"/>
      <w:bookmarkStart w:id="232" w:name="OLE_LINK3357"/>
      <w:bookmarkStart w:id="233" w:name="OLE_LINK2128"/>
      <w:bookmarkStart w:id="234" w:name="OLE_LINK2101"/>
      <w:bookmarkStart w:id="235" w:name="OLE_LINK2100"/>
      <w:bookmarkStart w:id="236" w:name="OLE_LINK2181"/>
      <w:bookmarkStart w:id="237" w:name="OLE_LINK2133"/>
      <w:bookmarkStart w:id="238" w:name="OLE_LINK2041"/>
      <w:bookmarkStart w:id="239" w:name="OLE_LINK2043"/>
      <w:bookmarkStart w:id="240" w:name="OLE_LINK1997"/>
      <w:bookmarkStart w:id="241" w:name="OLE_LINK3410"/>
      <w:bookmarkStart w:id="242" w:name="OLE_LINK3374"/>
      <w:bookmarkStart w:id="243" w:name="OLE_LINK3320"/>
      <w:bookmarkStart w:id="244" w:name="OLE_LINK2071"/>
      <w:bookmarkStart w:id="245" w:name="OLE_LINK2274"/>
      <w:bookmarkStart w:id="246" w:name="OLE_LINK2265"/>
      <w:bookmarkStart w:id="247" w:name="OLE_LINK2211"/>
      <w:bookmarkStart w:id="248" w:name="OLE_LINK2167"/>
      <w:bookmarkStart w:id="249" w:name="OLE_LINK2131"/>
      <w:bookmarkStart w:id="250" w:name="OLE_LINK2087"/>
      <w:bookmarkStart w:id="251" w:name="OLE_LINK2040"/>
      <w:bookmarkStart w:id="252" w:name="OLE_LINK1984"/>
      <w:bookmarkStart w:id="253" w:name="OLE_LINK2192"/>
      <w:bookmarkStart w:id="254" w:name="OLE_LINK2136"/>
      <w:bookmarkStart w:id="255" w:name="OLE_LINK2094"/>
      <w:bookmarkStart w:id="256" w:name="OLE_LINK2066"/>
      <w:bookmarkStart w:id="257" w:name="OLE_LINK2031"/>
      <w:bookmarkStart w:id="258" w:name="OLE_LINK1983"/>
      <w:bookmarkStart w:id="259" w:name="OLE_LINK1970"/>
      <w:bookmarkStart w:id="260" w:name="OLE_LINK1973"/>
      <w:bookmarkStart w:id="261" w:name="OLE_LINK1943"/>
      <w:bookmarkStart w:id="262" w:name="OLE_LINK1922"/>
      <w:bookmarkStart w:id="263" w:name="OLE_LINK1890"/>
      <w:bookmarkStart w:id="264" w:name="OLE_LINK1883"/>
      <w:bookmarkStart w:id="265" w:name="OLE_LINK1870"/>
      <w:bookmarkStart w:id="266" w:name="OLE_LINK1800"/>
      <w:bookmarkStart w:id="267" w:name="OLE_LINK2056"/>
      <w:bookmarkStart w:id="268" w:name="OLE_LINK2027"/>
      <w:bookmarkStart w:id="269" w:name="OLE_LINK1834"/>
      <w:bookmarkStart w:id="270" w:name="OLE_LINK1960"/>
      <w:bookmarkStart w:id="271" w:name="OLE_LINK1916"/>
      <w:bookmarkStart w:id="272" w:name="OLE_LINK1879"/>
      <w:bookmarkStart w:id="273" w:name="OLE_LINK1841"/>
      <w:bookmarkStart w:id="274" w:name="OLE_LINK1718"/>
      <w:bookmarkStart w:id="275" w:name="OLE_LINK1977"/>
      <w:bookmarkStart w:id="276" w:name="OLE_LINK1939"/>
      <w:bookmarkStart w:id="277" w:name="OLE_LINK1901"/>
      <w:bookmarkStart w:id="278" w:name="OLE_LINK1859"/>
      <w:bookmarkStart w:id="279" w:name="OLE_LINK1862"/>
      <w:bookmarkStart w:id="280" w:name="OLE_LINK1808"/>
      <w:bookmarkStart w:id="281" w:name="OLE_LINK1692"/>
      <w:bookmarkStart w:id="282" w:name="OLE_LINK1865"/>
      <w:bookmarkStart w:id="283" w:name="OLE_LINK1825"/>
      <w:bookmarkStart w:id="284" w:name="OLE_LINK1792"/>
      <w:bookmarkStart w:id="285" w:name="OLE_LINK1736"/>
      <w:bookmarkStart w:id="286" w:name="OLE_LINK1699"/>
      <w:bookmarkStart w:id="287" w:name="OLE_LINK1630"/>
      <w:bookmarkStart w:id="288" w:name="OLE_LINK1593"/>
      <w:bookmarkStart w:id="289" w:name="OLE_LINK1586"/>
      <w:bookmarkStart w:id="290" w:name="OLE_LINK1761"/>
      <w:bookmarkStart w:id="291" w:name="OLE_LINK1716"/>
      <w:bookmarkStart w:id="292" w:name="OLE_LINK1671"/>
      <w:bookmarkStart w:id="293" w:name="OLE_LINK1619"/>
      <w:bookmarkStart w:id="294" w:name="OLE_LINK1565"/>
      <w:bookmarkStart w:id="295" w:name="OLE_LINK1721"/>
      <w:bookmarkStart w:id="296" w:name="OLE_LINK1650"/>
      <w:bookmarkStart w:id="297" w:name="OLE_LINK1618"/>
      <w:bookmarkStart w:id="298" w:name="OLE_LINK1576"/>
      <w:bookmarkStart w:id="299" w:name="OLE_LINK1490"/>
      <w:bookmarkStart w:id="300" w:name="OLE_LINK1390"/>
      <w:bookmarkStart w:id="301" w:name="OLE_LINK1503"/>
      <w:bookmarkStart w:id="302" w:name="OLE_LINK1472"/>
      <w:bookmarkStart w:id="303" w:name="OLE_LINK1443"/>
      <w:bookmarkStart w:id="304" w:name="OLE_LINK1370"/>
      <w:bookmarkStart w:id="305" w:name="OLE_LINK1591"/>
      <w:bookmarkStart w:id="306" w:name="OLE_LINK1500"/>
      <w:bookmarkStart w:id="307" w:name="OLE_LINK1457"/>
      <w:bookmarkStart w:id="308" w:name="OLE_LINK1384"/>
      <w:bookmarkStart w:id="309" w:name="OLE_LINK1344"/>
      <w:bookmarkStart w:id="310" w:name="OLE_LINK1531"/>
      <w:bookmarkStart w:id="311" w:name="OLE_LINK1462"/>
      <w:bookmarkStart w:id="312" w:name="OLE_LINK1343"/>
      <w:bookmarkStart w:id="313" w:name="OLE_LINK1349"/>
      <w:bookmarkStart w:id="314" w:name="OLE_LINK1346"/>
      <w:bookmarkStart w:id="315" w:name="OLE_LINK1691"/>
      <w:bookmarkStart w:id="316" w:name="OLE_LINK1661"/>
      <w:bookmarkStart w:id="317" w:name="OLE_LINK1622"/>
      <w:bookmarkStart w:id="318" w:name="OLE_LINK1585"/>
      <w:bookmarkStart w:id="319" w:name="OLE_LINK1530"/>
      <w:bookmarkStart w:id="320" w:name="OLE_LINK1492"/>
      <w:bookmarkStart w:id="321" w:name="OLE_LINK1448"/>
      <w:bookmarkStart w:id="322" w:name="OLE_LINK1410"/>
      <w:bookmarkStart w:id="323" w:name="OLE_LINK1373"/>
      <w:bookmarkStart w:id="324" w:name="OLE_LINK1348"/>
      <w:bookmarkStart w:id="325" w:name="OLE_LINK1176"/>
      <w:bookmarkStart w:id="326" w:name="OLE_LINK1172"/>
      <w:bookmarkStart w:id="327" w:name="OLE_LINK1185"/>
      <w:bookmarkStart w:id="328" w:name="OLE_LINK1060"/>
      <w:bookmarkStart w:id="329" w:name="OLE_LINK1169"/>
      <w:bookmarkStart w:id="330" w:name="OLE_LINK1074"/>
      <w:bookmarkStart w:id="331" w:name="OLE_LINK1175"/>
      <w:bookmarkStart w:id="332" w:name="OLE_LINK1158"/>
      <w:bookmarkStart w:id="333" w:name="OLE_LINK1056"/>
      <w:bookmarkStart w:id="334" w:name="OLE_LINK1288"/>
      <w:bookmarkStart w:id="335" w:name="OLE_LINK1241"/>
      <w:bookmarkStart w:id="336" w:name="OLE_LINK1200"/>
      <w:bookmarkStart w:id="337" w:name="OLE_LINK1167"/>
      <w:bookmarkStart w:id="338" w:name="OLE_LINK1137"/>
      <w:bookmarkStart w:id="339" w:name="OLE_LINK1174"/>
      <w:bookmarkStart w:id="340" w:name="OLE_LINK1059"/>
      <w:bookmarkStart w:id="341" w:name="OLE_LINK930"/>
      <w:bookmarkStart w:id="342" w:name="OLE_LINK911"/>
      <w:bookmarkStart w:id="343" w:name="OLE_LINK946"/>
      <w:bookmarkStart w:id="344" w:name="OLE_LINK1052"/>
      <w:bookmarkStart w:id="345" w:name="OLE_LINK993"/>
      <w:bookmarkStart w:id="346" w:name="OLE_LINK992"/>
      <w:bookmarkStart w:id="347" w:name="OLE_LINK906"/>
      <w:bookmarkStart w:id="348" w:name="OLE_LINK898"/>
      <w:bookmarkStart w:id="349" w:name="OLE_LINK909"/>
      <w:bookmarkStart w:id="350" w:name="OLE_LINK847"/>
      <w:bookmarkStart w:id="351" w:name="OLE_LINK1030"/>
      <w:bookmarkStart w:id="352" w:name="OLE_LINK981"/>
      <w:bookmarkStart w:id="353" w:name="OLE_LINK943"/>
      <w:bookmarkStart w:id="354" w:name="OLE_LINK891"/>
      <w:bookmarkStart w:id="355" w:name="OLE_LINK1106"/>
      <w:bookmarkStart w:id="356" w:name="OLE_LINK1076"/>
      <w:bookmarkStart w:id="357" w:name="OLE_LINK1049"/>
      <w:bookmarkStart w:id="358" w:name="OLE_LINK1018"/>
      <w:bookmarkStart w:id="359" w:name="OLE_LINK980"/>
      <w:bookmarkStart w:id="360" w:name="OLE_LINK908"/>
      <w:bookmarkStart w:id="361" w:name="OLE_LINK856"/>
      <w:bookmarkStart w:id="362" w:name="OLE_LINK2898"/>
      <w:bookmarkStart w:id="363" w:name="OLE_LINK865"/>
      <w:bookmarkStart w:id="364" w:name="OLE_LINK826"/>
      <w:bookmarkStart w:id="365" w:name="OLE_LINK782"/>
      <w:bookmarkStart w:id="366" w:name="OLE_LINK889"/>
      <w:bookmarkStart w:id="367" w:name="OLE_LINK836"/>
      <w:bookmarkStart w:id="368" w:name="OLE_LINK2882"/>
      <w:bookmarkStart w:id="369" w:name="OLE_LINK792"/>
      <w:bookmarkStart w:id="370" w:name="OLE_LINK700"/>
      <w:bookmarkStart w:id="371" w:name="OLE_LINK718"/>
      <w:bookmarkStart w:id="372" w:name="OLE_LINK642"/>
      <w:bookmarkStart w:id="373" w:name="OLE_LINK833"/>
      <w:bookmarkStart w:id="374" w:name="OLE_LINK781"/>
      <w:bookmarkStart w:id="375" w:name="OLE_LINK739"/>
      <w:bookmarkStart w:id="376" w:name="OLE_LINK660"/>
      <w:bookmarkStart w:id="377" w:name="OLE_LINK801"/>
      <w:bookmarkStart w:id="378" w:name="OLE_LINK770"/>
      <w:bookmarkStart w:id="379" w:name="OLE_LINK716"/>
      <w:bookmarkStart w:id="380" w:name="OLE_LINK593"/>
      <w:bookmarkStart w:id="381" w:name="OLE_LINK714"/>
      <w:bookmarkStart w:id="382" w:name="OLE_LINK640"/>
      <w:bookmarkStart w:id="383" w:name="OLE_LINK582"/>
      <w:bookmarkStart w:id="384" w:name="OLE_LINK589"/>
      <w:bookmarkStart w:id="385" w:name="OLE_LINK542"/>
      <w:bookmarkStart w:id="386" w:name="OLE_LINK722"/>
      <w:bookmarkStart w:id="387" w:name="OLE_LINK688"/>
      <w:bookmarkStart w:id="388" w:name="OLE_LINK639"/>
      <w:bookmarkStart w:id="389" w:name="OLE_LINK581"/>
      <w:bookmarkStart w:id="390" w:name="OLE_LINK2700"/>
      <w:bookmarkStart w:id="391" w:name="OLE_LINK567"/>
      <w:bookmarkStart w:id="392" w:name="OLE_LINK480"/>
      <w:bookmarkStart w:id="393" w:name="OLE_LINK574"/>
      <w:bookmarkStart w:id="394" w:name="OLE_LINK572"/>
      <w:bookmarkStart w:id="395" w:name="OLE_LINK532"/>
      <w:bookmarkStart w:id="396" w:name="OLE_LINK491"/>
      <w:bookmarkStart w:id="397" w:name="OLE_LINK575"/>
      <w:bookmarkStart w:id="398" w:name="OLE_LINK519"/>
      <w:bookmarkStart w:id="399" w:name="OLE_LINK462"/>
      <w:bookmarkStart w:id="400" w:name="OLE_LINK471"/>
      <w:bookmarkStart w:id="401" w:name="OLE_LINK430"/>
      <w:bookmarkStart w:id="402" w:name="OLE_LINK686"/>
      <w:bookmarkStart w:id="403" w:name="OLE_LINK648"/>
      <w:bookmarkStart w:id="404" w:name="OLE_LINK535"/>
      <w:bookmarkStart w:id="405" w:name="OLE_LINK489"/>
      <w:bookmarkStart w:id="406" w:name="OLE_LINK450"/>
      <w:bookmarkStart w:id="407" w:name="OLE_LINK303"/>
      <w:bookmarkStart w:id="408" w:name="OLE_LINK379"/>
      <w:bookmarkStart w:id="409" w:name="OLE_LINK384"/>
      <w:bookmarkStart w:id="410" w:name="OLE_LINK288"/>
      <w:bookmarkStart w:id="411" w:name="OLE_LINK457"/>
      <w:bookmarkStart w:id="412" w:name="OLE_LINK1830"/>
      <w:bookmarkStart w:id="413" w:name="OLE_LINK334"/>
      <w:bookmarkStart w:id="414" w:name="OLE_LINK371"/>
      <w:bookmarkStart w:id="415" w:name="OLE_LINK346"/>
      <w:bookmarkStart w:id="416" w:name="OLE_LINK400"/>
      <w:bookmarkStart w:id="417" w:name="OLE_LINK385"/>
      <w:bookmarkStart w:id="418" w:name="OLE_LINK321"/>
      <w:bookmarkStart w:id="419" w:name="OLE_LINK304"/>
      <w:bookmarkStart w:id="420" w:name="OLE_LINK313"/>
      <w:bookmarkStart w:id="421" w:name="OLE_LINK282"/>
      <w:bookmarkStart w:id="422" w:name="OLE_LINK240"/>
      <w:bookmarkStart w:id="423" w:name="OLE_LINK281"/>
      <w:bookmarkStart w:id="424" w:name="OLE_LINK250"/>
      <w:bookmarkStart w:id="425" w:name="OLE_LINK212"/>
      <w:bookmarkStart w:id="426" w:name="OLE_LINK226"/>
      <w:bookmarkStart w:id="427" w:name="OLE_LINK207"/>
      <w:bookmarkStart w:id="428" w:name="OLE_LINK225"/>
      <w:bookmarkStart w:id="429" w:name="OLE_LINK149"/>
      <w:bookmarkStart w:id="430" w:name="OLE_LINK254"/>
      <w:bookmarkStart w:id="431" w:name="OLE_LINK387"/>
      <w:bookmarkStart w:id="432" w:name="OLE_LINK320"/>
      <w:bookmarkStart w:id="433" w:name="OLE_LINK112"/>
      <w:bookmarkStart w:id="434" w:name="OLE_LINK72"/>
      <w:bookmarkStart w:id="435" w:name="OLE_LINK148"/>
      <w:bookmarkStart w:id="436" w:name="OLE_LINK120"/>
      <w:bookmarkStart w:id="437" w:name="OLE_LINK75"/>
      <w:bookmarkStart w:id="438" w:name="OLE_LINK52"/>
      <w:bookmarkStart w:id="439" w:name="OLE_LINK51"/>
      <w:r>
        <w:rPr>
          <w:rFonts w:ascii="Book Antiqua" w:hAnsi="Book Antiqua"/>
          <w:b/>
          <w:bCs/>
          <w:sz w:val="24"/>
        </w:rPr>
        <w:t xml:space="preserve">P-Reviewer: </w:t>
      </w:r>
      <w:r w:rsidRPr="00662160">
        <w:rPr>
          <w:rFonts w:ascii="Book Antiqua" w:hAnsi="Book Antiqua"/>
          <w:bCs/>
          <w:sz w:val="24"/>
        </w:rPr>
        <w:t>Guo</w:t>
      </w:r>
      <w:r w:rsidRPr="00662160">
        <w:rPr>
          <w:rFonts w:ascii="Book Antiqua" w:eastAsia="SimSun" w:hAnsi="Book Antiqua" w:hint="eastAsia"/>
          <w:bCs/>
          <w:sz w:val="24"/>
          <w:lang w:eastAsia="zh-CN"/>
        </w:rPr>
        <w:t xml:space="preserve"> XZ, </w:t>
      </w:r>
      <w:r w:rsidRPr="00662160">
        <w:rPr>
          <w:rFonts w:ascii="Book Antiqua" w:hAnsi="Book Antiqua"/>
          <w:bCs/>
          <w:sz w:val="24"/>
        </w:rPr>
        <w:t>Kreisel</w:t>
      </w:r>
      <w:r w:rsidRPr="00662160">
        <w:rPr>
          <w:rFonts w:ascii="Book Antiqua" w:eastAsia="SimSun" w:hAnsi="Book Antiqua" w:hint="eastAsia"/>
          <w:bCs/>
          <w:sz w:val="24"/>
          <w:lang w:eastAsia="zh-CN"/>
        </w:rPr>
        <w:t xml:space="preserve"> W</w:t>
      </w:r>
      <w:r>
        <w:rPr>
          <w:rFonts w:ascii="Book Antiqua" w:hAnsi="Book Antiqua"/>
          <w:b/>
          <w:bCs/>
          <w:sz w:val="24"/>
        </w:rPr>
        <w:t xml:space="preserve"> S-Editor:</w:t>
      </w:r>
      <w:r>
        <w:rPr>
          <w:rFonts w:ascii="Book Antiqua" w:hAnsi="Book Antiqua"/>
          <w:sz w:val="24"/>
        </w:rPr>
        <w:t xml:space="preserve"> Yu J </w:t>
      </w:r>
      <w:r>
        <w:rPr>
          <w:rFonts w:ascii="Book Antiqua" w:hAnsi="Book Antiqua"/>
          <w:b/>
          <w:bCs/>
          <w:sz w:val="24"/>
        </w:rPr>
        <w:t>L-Editor:</w:t>
      </w:r>
      <w:r w:rsidR="00AE20C7">
        <w:rPr>
          <w:rFonts w:ascii="Book Antiqua" w:hAnsi="Book Antiqua"/>
          <w:sz w:val="24"/>
        </w:rPr>
        <w:t xml:space="preserve"> </w:t>
      </w:r>
      <w:r>
        <w:rPr>
          <w:rFonts w:ascii="Book Antiqua" w:hAnsi="Book Antiqua"/>
          <w:b/>
          <w:bCs/>
          <w:sz w:val="24"/>
        </w:rPr>
        <w:t>E-Editor:</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p w14:paraId="669CE678" w14:textId="77777777" w:rsidR="00662160" w:rsidRPr="00662160" w:rsidRDefault="00662160" w:rsidP="00662160">
      <w:pPr>
        <w:widowControl w:val="0"/>
        <w:adjustRightInd w:val="0"/>
        <w:snapToGrid w:val="0"/>
        <w:spacing w:after="0" w:line="360" w:lineRule="auto"/>
        <w:rPr>
          <w:rFonts w:ascii="Book Antiqua" w:eastAsia="SimSun" w:hAnsi="Book Antiqua" w:cs="Times New Roman"/>
          <w:color w:val="000000"/>
          <w:kern w:val="2"/>
          <w:sz w:val="24"/>
          <w:szCs w:val="22"/>
          <w:lang w:val="en-US" w:eastAsia="zh-CN"/>
        </w:rPr>
      </w:pPr>
      <w:bookmarkStart w:id="440" w:name="OLE_LINK3510"/>
      <w:bookmarkStart w:id="441" w:name="OLE_LINK3509"/>
      <w:bookmarkStart w:id="442" w:name="OLE_LINK3504"/>
      <w:bookmarkStart w:id="443" w:name="OLE_LINK3503"/>
      <w:bookmarkStart w:id="444" w:name="OLE_LINK4020"/>
      <w:bookmarkStart w:id="445" w:name="OLE_LINK4019"/>
      <w:bookmarkStart w:id="446" w:name="OLE_LINK3919"/>
      <w:bookmarkStart w:id="447" w:name="OLE_LINK3984"/>
      <w:bookmarkStart w:id="448" w:name="OLE_LINK3964"/>
      <w:bookmarkStart w:id="449" w:name="OLE_LINK3924"/>
      <w:bookmarkStart w:id="450" w:name="OLE_LINK3883"/>
      <w:bookmarkStart w:id="451" w:name="OLE_LINK3866"/>
      <w:bookmarkStart w:id="452" w:name="OLE_LINK3942"/>
      <w:bookmarkStart w:id="453" w:name="OLE_LINK3922"/>
      <w:bookmarkStart w:id="454" w:name="OLE_LINK3907"/>
      <w:bookmarkStart w:id="455" w:name="OLE_LINK3874"/>
      <w:bookmarkStart w:id="456" w:name="OLE_LINK3861"/>
      <w:bookmarkStart w:id="457" w:name="OLE_LINK3847"/>
      <w:bookmarkStart w:id="458" w:name="OLE_LINK3836"/>
      <w:bookmarkStart w:id="459" w:name="OLE_LINK3834"/>
      <w:bookmarkStart w:id="460" w:name="OLE_LINK3827"/>
      <w:bookmarkStart w:id="461" w:name="OLE_LINK3759"/>
      <w:bookmarkStart w:id="462" w:name="OLE_LINK3711"/>
      <w:bookmarkStart w:id="463" w:name="OLE_LINK3728"/>
      <w:bookmarkStart w:id="464" w:name="OLE_LINK3706"/>
      <w:bookmarkStart w:id="465" w:name="OLE_LINK3600"/>
      <w:bookmarkStart w:id="466" w:name="OLE_LINK3605"/>
      <w:bookmarkStart w:id="467" w:name="OLE_LINK3603"/>
      <w:bookmarkStart w:id="468" w:name="OLE_LINK3602"/>
      <w:bookmarkStart w:id="469" w:name="OLE_LINK3601"/>
      <w:bookmarkStart w:id="470" w:name="OLE_LINK3598"/>
      <w:bookmarkStart w:id="471" w:name="OLE_LINK3582"/>
      <w:bookmarkStart w:id="472" w:name="OLE_LINK3574"/>
      <w:bookmarkStart w:id="473" w:name="OLE_LINK3569"/>
      <w:bookmarkStart w:id="474" w:name="OLE_LINK3566"/>
      <w:bookmarkStart w:id="475" w:name="OLE_LINK3551"/>
      <w:bookmarkStart w:id="476" w:name="OLE_LINK3542"/>
      <w:bookmarkStart w:id="477" w:name="OLE_LINK3541"/>
      <w:bookmarkStart w:id="478" w:name="OLE_LINK3550"/>
      <w:bookmarkStart w:id="479" w:name="OLE_LINK3809"/>
      <w:bookmarkStart w:id="480" w:name="OLE_LINK3762"/>
      <w:bookmarkStart w:id="481" w:name="OLE_LINK3465"/>
      <w:bookmarkStart w:id="482" w:name="OLE_LINK3450"/>
      <w:bookmarkStart w:id="483" w:name="OLE_LINK3444"/>
      <w:bookmarkStart w:id="484" w:name="OLE_LINK3441"/>
      <w:bookmarkStart w:id="485" w:name="OLE_LINK3440"/>
      <w:bookmarkStart w:id="486" w:name="OLE_LINK3383"/>
      <w:bookmarkStart w:id="487" w:name="OLE_LINK3382"/>
      <w:bookmarkStart w:id="488" w:name="OLE_LINK3381"/>
      <w:bookmarkStart w:id="489" w:name="OLE_LINK3420"/>
      <w:bookmarkStart w:id="490" w:name="OLE_LINK3389"/>
      <w:bookmarkStart w:id="491" w:name="OLE_LINK3388"/>
      <w:r w:rsidRPr="00662160">
        <w:rPr>
          <w:rFonts w:ascii="Book Antiqua" w:eastAsia="SimSun" w:hAnsi="Book Antiqua" w:cs="Times New Roman"/>
          <w:b/>
          <w:color w:val="000000"/>
          <w:kern w:val="2"/>
          <w:sz w:val="24"/>
          <w:szCs w:val="22"/>
          <w:lang w:val="en-US" w:eastAsia="zh-CN"/>
        </w:rPr>
        <w:t xml:space="preserve">Specialty type: </w:t>
      </w:r>
      <w:r w:rsidRPr="00662160">
        <w:rPr>
          <w:rFonts w:ascii="Book Antiqua" w:eastAsia="SimSun" w:hAnsi="Book Antiqua" w:cs="Times New Roman"/>
          <w:color w:val="000000"/>
          <w:kern w:val="2"/>
          <w:sz w:val="24"/>
          <w:szCs w:val="22"/>
          <w:lang w:val="en-US" w:eastAsia="zh-CN"/>
        </w:rPr>
        <w:t>Gastroenterology and hepatology</w:t>
      </w:r>
    </w:p>
    <w:p w14:paraId="2C426FF3" w14:textId="29FA2D45" w:rsidR="00662160" w:rsidRPr="00662160" w:rsidRDefault="00662160" w:rsidP="00662160">
      <w:pPr>
        <w:widowControl w:val="0"/>
        <w:adjustRightInd w:val="0"/>
        <w:snapToGrid w:val="0"/>
        <w:spacing w:after="0" w:line="360" w:lineRule="auto"/>
        <w:rPr>
          <w:rFonts w:ascii="Book Antiqua" w:eastAsia="SimSun" w:hAnsi="Book Antiqua" w:cs="Times New Roman"/>
          <w:color w:val="000000"/>
          <w:kern w:val="2"/>
          <w:sz w:val="24"/>
          <w:szCs w:val="22"/>
          <w:lang w:val="en-US" w:eastAsia="zh-CN"/>
        </w:rPr>
      </w:pPr>
      <w:r w:rsidRPr="00662160">
        <w:rPr>
          <w:rFonts w:ascii="Book Antiqua" w:eastAsia="SimSun" w:hAnsi="Book Antiqua" w:cs="Times New Roman"/>
          <w:b/>
          <w:color w:val="000000"/>
          <w:kern w:val="2"/>
          <w:sz w:val="24"/>
          <w:szCs w:val="22"/>
          <w:lang w:val="en-US" w:eastAsia="zh-CN"/>
        </w:rPr>
        <w:t xml:space="preserve">Country of origin: </w:t>
      </w:r>
      <w:r>
        <w:rPr>
          <w:rFonts w:ascii="Book Antiqua" w:eastAsia="SimSun" w:hAnsi="Book Antiqua" w:cs="Times New Roman" w:hint="eastAsia"/>
          <w:color w:val="000000"/>
          <w:kern w:val="2"/>
          <w:sz w:val="24"/>
          <w:szCs w:val="22"/>
          <w:lang w:val="en-US" w:eastAsia="zh-CN"/>
        </w:rPr>
        <w:t>United States</w:t>
      </w:r>
    </w:p>
    <w:bookmarkEnd w:id="440"/>
    <w:bookmarkEnd w:id="441"/>
    <w:bookmarkEnd w:id="442"/>
    <w:bookmarkEnd w:id="443"/>
    <w:p w14:paraId="0BCD7567" w14:textId="77777777" w:rsidR="00662160" w:rsidRPr="00662160" w:rsidRDefault="00662160" w:rsidP="00662160">
      <w:pPr>
        <w:widowControl w:val="0"/>
        <w:shd w:val="clear" w:color="auto" w:fill="FFFFFF"/>
        <w:spacing w:after="0" w:line="360" w:lineRule="auto"/>
        <w:rPr>
          <w:rFonts w:ascii="Book Antiqua" w:eastAsia="SimSun" w:hAnsi="Book Antiqua" w:cs="Helvetica"/>
          <w:b/>
          <w:color w:val="000000"/>
          <w:kern w:val="2"/>
          <w:sz w:val="24"/>
          <w:szCs w:val="24"/>
          <w:lang w:val="en-US" w:eastAsia="zh-CN"/>
        </w:rPr>
      </w:pPr>
      <w:r w:rsidRPr="00662160">
        <w:rPr>
          <w:rFonts w:ascii="Book Antiqua" w:eastAsia="SimSun" w:hAnsi="Book Antiqua" w:cs="Helvetica"/>
          <w:b/>
          <w:color w:val="000000"/>
          <w:kern w:val="2"/>
          <w:sz w:val="24"/>
          <w:szCs w:val="24"/>
          <w:lang w:val="en-US" w:eastAsia="zh-CN"/>
        </w:rPr>
        <w:t>Peer-review report classification</w:t>
      </w:r>
    </w:p>
    <w:p w14:paraId="641DA5C4" w14:textId="3A1875C6" w:rsidR="00662160" w:rsidRPr="00662160" w:rsidRDefault="00662160" w:rsidP="00662160">
      <w:pPr>
        <w:widowControl w:val="0"/>
        <w:shd w:val="clear" w:color="auto" w:fill="FFFFFF"/>
        <w:spacing w:after="0" w:line="360" w:lineRule="auto"/>
        <w:rPr>
          <w:rFonts w:ascii="Book Antiqua" w:eastAsia="SimSun" w:hAnsi="Book Antiqua" w:cs="Helvetica"/>
          <w:color w:val="000000"/>
          <w:kern w:val="2"/>
          <w:sz w:val="24"/>
          <w:szCs w:val="24"/>
          <w:lang w:val="en-US" w:eastAsia="zh-CN"/>
        </w:rPr>
      </w:pPr>
      <w:r w:rsidRPr="00662160">
        <w:rPr>
          <w:rFonts w:ascii="Book Antiqua" w:eastAsia="SimSun" w:hAnsi="Book Antiqua" w:cs="Helvetica"/>
          <w:color w:val="000000"/>
          <w:kern w:val="2"/>
          <w:sz w:val="24"/>
          <w:szCs w:val="24"/>
          <w:lang w:val="en-US" w:eastAsia="zh-CN"/>
        </w:rPr>
        <w:t xml:space="preserve">Grade A (Excellent): </w:t>
      </w:r>
      <w:r w:rsidR="00677383">
        <w:rPr>
          <w:rFonts w:ascii="Book Antiqua" w:eastAsia="SimSun" w:hAnsi="Book Antiqua" w:cs="Helvetica" w:hint="eastAsia"/>
          <w:color w:val="000000"/>
          <w:kern w:val="2"/>
          <w:sz w:val="24"/>
          <w:szCs w:val="24"/>
          <w:lang w:val="en-US" w:eastAsia="zh-CN"/>
        </w:rPr>
        <w:t>A</w:t>
      </w:r>
    </w:p>
    <w:p w14:paraId="606D36A1" w14:textId="77777777" w:rsidR="00662160" w:rsidRPr="00662160" w:rsidRDefault="00662160" w:rsidP="00662160">
      <w:pPr>
        <w:widowControl w:val="0"/>
        <w:shd w:val="clear" w:color="auto" w:fill="FFFFFF"/>
        <w:spacing w:after="0" w:line="360" w:lineRule="auto"/>
        <w:rPr>
          <w:rFonts w:ascii="Book Antiqua" w:eastAsia="SimSun" w:hAnsi="Book Antiqua" w:cs="Helvetica"/>
          <w:color w:val="000000"/>
          <w:kern w:val="2"/>
          <w:sz w:val="24"/>
          <w:szCs w:val="24"/>
          <w:lang w:val="en-US" w:eastAsia="zh-CN"/>
        </w:rPr>
      </w:pPr>
      <w:r w:rsidRPr="00662160">
        <w:rPr>
          <w:rFonts w:ascii="Book Antiqua" w:eastAsia="SimSun" w:hAnsi="Book Antiqua" w:cs="Helvetica"/>
          <w:color w:val="000000"/>
          <w:kern w:val="2"/>
          <w:sz w:val="24"/>
          <w:szCs w:val="24"/>
          <w:lang w:val="en-US" w:eastAsia="zh-CN"/>
        </w:rPr>
        <w:t>Grade B (Very good): 0</w:t>
      </w:r>
    </w:p>
    <w:p w14:paraId="58D5A3F1" w14:textId="77777777" w:rsidR="00662160" w:rsidRPr="00662160" w:rsidRDefault="00662160" w:rsidP="00662160">
      <w:pPr>
        <w:widowControl w:val="0"/>
        <w:shd w:val="clear" w:color="auto" w:fill="FFFFFF"/>
        <w:spacing w:after="0" w:line="360" w:lineRule="auto"/>
        <w:rPr>
          <w:rFonts w:ascii="Book Antiqua" w:eastAsia="SimSun" w:hAnsi="Book Antiqua" w:cs="Helvetica"/>
          <w:color w:val="000000"/>
          <w:kern w:val="2"/>
          <w:sz w:val="24"/>
          <w:szCs w:val="24"/>
          <w:lang w:val="en-US" w:eastAsia="zh-CN"/>
        </w:rPr>
      </w:pPr>
      <w:r w:rsidRPr="00662160">
        <w:rPr>
          <w:rFonts w:ascii="Book Antiqua" w:eastAsia="SimSun" w:hAnsi="Book Antiqua" w:cs="Helvetica"/>
          <w:color w:val="000000"/>
          <w:kern w:val="2"/>
          <w:sz w:val="24"/>
          <w:szCs w:val="24"/>
          <w:lang w:val="en-US" w:eastAsia="zh-CN"/>
        </w:rPr>
        <w:t>Grade C (Good): C</w:t>
      </w:r>
    </w:p>
    <w:p w14:paraId="16FF2C25" w14:textId="77777777" w:rsidR="00662160" w:rsidRPr="00662160" w:rsidRDefault="00662160" w:rsidP="00662160">
      <w:pPr>
        <w:widowControl w:val="0"/>
        <w:shd w:val="clear" w:color="auto" w:fill="FFFFFF"/>
        <w:spacing w:after="0" w:line="360" w:lineRule="auto"/>
        <w:rPr>
          <w:rFonts w:ascii="Book Antiqua" w:eastAsia="SimSun" w:hAnsi="Book Antiqua" w:cs="Helvetica"/>
          <w:color w:val="000000"/>
          <w:kern w:val="2"/>
          <w:sz w:val="24"/>
          <w:szCs w:val="24"/>
          <w:lang w:val="en-US" w:eastAsia="en-US"/>
        </w:rPr>
      </w:pPr>
      <w:r w:rsidRPr="00662160">
        <w:rPr>
          <w:rFonts w:ascii="Book Antiqua" w:eastAsia="SimSun" w:hAnsi="Book Antiqua" w:cs="Helvetica"/>
          <w:color w:val="000000"/>
          <w:kern w:val="2"/>
          <w:sz w:val="24"/>
          <w:szCs w:val="24"/>
          <w:lang w:val="en-US" w:eastAsia="zh-CN"/>
        </w:rPr>
        <w:t>Grade D (Fair): 0</w:t>
      </w:r>
    </w:p>
    <w:p w14:paraId="564D47E1" w14:textId="77777777" w:rsidR="00662160" w:rsidRPr="00662160" w:rsidRDefault="00662160" w:rsidP="00662160">
      <w:pPr>
        <w:widowControl w:val="0"/>
        <w:shd w:val="clear" w:color="auto" w:fill="FFFFFF"/>
        <w:spacing w:after="0" w:line="360" w:lineRule="auto"/>
        <w:rPr>
          <w:rFonts w:ascii="Calibri" w:eastAsia="SimSun" w:hAnsi="Calibri" w:cs="Times New Roman"/>
          <w:color w:val="000000"/>
          <w:kern w:val="2"/>
          <w:sz w:val="22"/>
          <w:szCs w:val="22"/>
          <w:lang w:val="en-US" w:eastAsia="zh-CN"/>
        </w:rPr>
      </w:pPr>
      <w:r w:rsidRPr="00662160">
        <w:rPr>
          <w:rFonts w:ascii="Book Antiqua" w:eastAsia="SimSun" w:hAnsi="Book Antiqua" w:cs="Helvetica"/>
          <w:color w:val="000000"/>
          <w:kern w:val="2"/>
          <w:sz w:val="24"/>
          <w:szCs w:val="24"/>
          <w:lang w:val="en-US" w:eastAsia="zh-CN"/>
        </w:rPr>
        <w:t xml:space="preserve">Grade E (Poor): </w:t>
      </w:r>
      <w:bookmarkEnd w:id="444"/>
      <w:bookmarkEnd w:id="445"/>
      <w:r w:rsidRPr="00662160">
        <w:rPr>
          <w:rFonts w:ascii="Book Antiqua" w:eastAsia="SimSun" w:hAnsi="Book Antiqua" w:cs="Helvetica"/>
          <w:color w:val="000000"/>
          <w:kern w:val="2"/>
          <w:sz w:val="24"/>
          <w:szCs w:val="24"/>
          <w:lang w:val="en-US" w:eastAsia="zh-CN"/>
        </w:rPr>
        <w:t>0</w:t>
      </w:r>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p>
    <w:p w14:paraId="38E25EA4" w14:textId="77777777" w:rsidR="00662160" w:rsidRPr="00662160" w:rsidRDefault="00662160" w:rsidP="00662160">
      <w:pPr>
        <w:widowControl w:val="0"/>
        <w:spacing w:after="0" w:line="360" w:lineRule="auto"/>
        <w:rPr>
          <w:rFonts w:ascii="Book Antiqua" w:eastAsia="SimSun" w:hAnsi="Book Antiqua" w:cs="Times New Roman"/>
          <w:kern w:val="2"/>
          <w:sz w:val="24"/>
          <w:szCs w:val="24"/>
          <w:lang w:val="en-US" w:eastAsia="zh-CN"/>
        </w:rPr>
      </w:pPr>
    </w:p>
    <w:p w14:paraId="09EF6534" w14:textId="77777777" w:rsidR="00662160" w:rsidRPr="00662160" w:rsidRDefault="00662160" w:rsidP="00787839">
      <w:pPr>
        <w:widowControl w:val="0"/>
        <w:autoSpaceDE w:val="0"/>
        <w:autoSpaceDN w:val="0"/>
        <w:adjustRightInd w:val="0"/>
        <w:snapToGrid w:val="0"/>
        <w:spacing w:after="0" w:line="360" w:lineRule="auto"/>
        <w:rPr>
          <w:rFonts w:ascii="Book Antiqua" w:eastAsia="SimSun" w:hAnsi="Book Antiqua"/>
          <w:b/>
          <w:sz w:val="24"/>
          <w:szCs w:val="24"/>
          <w:lang w:eastAsia="zh-CN"/>
        </w:rPr>
      </w:pPr>
    </w:p>
    <w:p w14:paraId="5A308908" w14:textId="4019AC84" w:rsidR="00F65CE7" w:rsidRPr="00787839" w:rsidRDefault="00F65CE7" w:rsidP="007F096F">
      <w:pPr>
        <w:widowControl w:val="0"/>
        <w:autoSpaceDE w:val="0"/>
        <w:autoSpaceDN w:val="0"/>
        <w:adjustRightInd w:val="0"/>
        <w:snapToGrid w:val="0"/>
        <w:spacing w:after="0" w:line="360" w:lineRule="auto"/>
        <w:ind w:hanging="640"/>
        <w:rPr>
          <w:rFonts w:ascii="Book Antiqua" w:hAnsi="Book Antiqua"/>
          <w:sz w:val="24"/>
          <w:szCs w:val="24"/>
        </w:rPr>
      </w:pPr>
      <w:bookmarkStart w:id="492" w:name="OLE_LINK183"/>
      <w:bookmarkStart w:id="493" w:name="OLE_LINK184"/>
    </w:p>
    <w:p w14:paraId="293CA5D8" w14:textId="21FE4798" w:rsidR="00BC40CC" w:rsidRPr="00787839" w:rsidRDefault="00BC40CC" w:rsidP="007F096F">
      <w:pPr>
        <w:widowControl w:val="0"/>
        <w:autoSpaceDE w:val="0"/>
        <w:autoSpaceDN w:val="0"/>
        <w:adjustRightInd w:val="0"/>
        <w:snapToGrid w:val="0"/>
        <w:spacing w:after="0" w:line="360" w:lineRule="auto"/>
        <w:ind w:hanging="640"/>
        <w:rPr>
          <w:rFonts w:ascii="Book Antiqua" w:hAnsi="Book Antiqua"/>
          <w:sz w:val="24"/>
          <w:szCs w:val="24"/>
        </w:rPr>
      </w:pPr>
    </w:p>
    <w:p w14:paraId="635AE273" w14:textId="77777777" w:rsidR="00BC40CC" w:rsidRPr="00787839" w:rsidRDefault="00BC40CC" w:rsidP="007F096F">
      <w:pPr>
        <w:widowControl w:val="0"/>
        <w:autoSpaceDE w:val="0"/>
        <w:autoSpaceDN w:val="0"/>
        <w:adjustRightInd w:val="0"/>
        <w:snapToGrid w:val="0"/>
        <w:spacing w:after="0" w:line="360" w:lineRule="auto"/>
        <w:ind w:hanging="640"/>
        <w:rPr>
          <w:rFonts w:ascii="Book Antiqua" w:hAnsi="Book Antiqua"/>
          <w:b/>
          <w:sz w:val="24"/>
          <w:szCs w:val="24"/>
        </w:rPr>
      </w:pPr>
    </w:p>
    <w:p w14:paraId="330D5B0D" w14:textId="77777777" w:rsidR="006A5ADC" w:rsidRPr="00787839" w:rsidRDefault="006A5ADC" w:rsidP="007F096F">
      <w:pPr>
        <w:widowControl w:val="0"/>
        <w:autoSpaceDE w:val="0"/>
        <w:autoSpaceDN w:val="0"/>
        <w:adjustRightInd w:val="0"/>
        <w:snapToGrid w:val="0"/>
        <w:spacing w:after="0" w:line="360" w:lineRule="auto"/>
        <w:ind w:hanging="640"/>
        <w:rPr>
          <w:rFonts w:ascii="Book Antiqua" w:hAnsi="Book Antiqua" w:cs="Times New Roman"/>
          <w:b/>
          <w:color w:val="000000" w:themeColor="text1"/>
          <w:sz w:val="24"/>
          <w:szCs w:val="24"/>
        </w:rPr>
      </w:pPr>
    </w:p>
    <w:bookmarkEnd w:id="492"/>
    <w:bookmarkEnd w:id="493"/>
    <w:p w14:paraId="226ACA7B" w14:textId="77777777" w:rsidR="006A5ADC" w:rsidRPr="00787839" w:rsidRDefault="006A5ADC" w:rsidP="007F096F">
      <w:pPr>
        <w:widowControl w:val="0"/>
        <w:autoSpaceDE w:val="0"/>
        <w:autoSpaceDN w:val="0"/>
        <w:adjustRightInd w:val="0"/>
        <w:snapToGrid w:val="0"/>
        <w:spacing w:after="0" w:line="360" w:lineRule="auto"/>
        <w:ind w:hanging="640"/>
        <w:rPr>
          <w:rFonts w:ascii="Book Antiqua" w:hAnsi="Book Antiqua" w:cs="Times New Roman"/>
          <w:b/>
          <w:color w:val="000000" w:themeColor="text1"/>
          <w:sz w:val="24"/>
          <w:szCs w:val="24"/>
        </w:rPr>
      </w:pPr>
    </w:p>
    <w:p w14:paraId="298DF1DE" w14:textId="77777777" w:rsidR="006A5ADC" w:rsidRPr="00787839" w:rsidRDefault="006A5ADC" w:rsidP="007F096F">
      <w:pPr>
        <w:widowControl w:val="0"/>
        <w:autoSpaceDE w:val="0"/>
        <w:autoSpaceDN w:val="0"/>
        <w:adjustRightInd w:val="0"/>
        <w:snapToGrid w:val="0"/>
        <w:spacing w:after="0" w:line="360" w:lineRule="auto"/>
        <w:ind w:hanging="640"/>
        <w:rPr>
          <w:rFonts w:ascii="Book Antiqua" w:hAnsi="Book Antiqua" w:cs="Times New Roman"/>
          <w:b/>
          <w:color w:val="000000" w:themeColor="text1"/>
          <w:sz w:val="24"/>
          <w:szCs w:val="24"/>
        </w:rPr>
      </w:pPr>
    </w:p>
    <w:p w14:paraId="45849742" w14:textId="77777777" w:rsidR="006A5ADC" w:rsidRPr="00787839" w:rsidRDefault="006A5ADC" w:rsidP="007F096F">
      <w:pPr>
        <w:widowControl w:val="0"/>
        <w:autoSpaceDE w:val="0"/>
        <w:autoSpaceDN w:val="0"/>
        <w:adjustRightInd w:val="0"/>
        <w:snapToGrid w:val="0"/>
        <w:spacing w:after="0" w:line="360" w:lineRule="auto"/>
        <w:ind w:hanging="640"/>
        <w:rPr>
          <w:rFonts w:ascii="Book Antiqua" w:hAnsi="Book Antiqua" w:cs="Times New Roman"/>
          <w:b/>
          <w:color w:val="000000" w:themeColor="text1"/>
          <w:sz w:val="24"/>
          <w:szCs w:val="24"/>
        </w:rPr>
      </w:pPr>
    </w:p>
    <w:p w14:paraId="0AAB8F01" w14:textId="77777777" w:rsidR="006A5ADC" w:rsidRPr="00787839" w:rsidRDefault="006A5ADC" w:rsidP="007F096F">
      <w:pPr>
        <w:widowControl w:val="0"/>
        <w:autoSpaceDE w:val="0"/>
        <w:autoSpaceDN w:val="0"/>
        <w:adjustRightInd w:val="0"/>
        <w:snapToGrid w:val="0"/>
        <w:spacing w:after="0" w:line="360" w:lineRule="auto"/>
        <w:ind w:hanging="640"/>
        <w:rPr>
          <w:rFonts w:ascii="Book Antiqua" w:hAnsi="Book Antiqua" w:cs="Times New Roman"/>
          <w:b/>
          <w:color w:val="000000" w:themeColor="text1"/>
          <w:sz w:val="24"/>
          <w:szCs w:val="24"/>
        </w:rPr>
      </w:pPr>
    </w:p>
    <w:p w14:paraId="7299CC89" w14:textId="77777777" w:rsidR="006A5ADC" w:rsidRPr="00787839" w:rsidRDefault="006A5ADC" w:rsidP="007F096F">
      <w:pPr>
        <w:widowControl w:val="0"/>
        <w:autoSpaceDE w:val="0"/>
        <w:autoSpaceDN w:val="0"/>
        <w:adjustRightInd w:val="0"/>
        <w:snapToGrid w:val="0"/>
        <w:spacing w:after="0" w:line="360" w:lineRule="auto"/>
        <w:ind w:hanging="640"/>
        <w:rPr>
          <w:rFonts w:ascii="Book Antiqua" w:hAnsi="Book Antiqua" w:cs="Times New Roman"/>
          <w:b/>
          <w:color w:val="000000" w:themeColor="text1"/>
          <w:sz w:val="24"/>
          <w:szCs w:val="24"/>
        </w:rPr>
      </w:pPr>
    </w:p>
    <w:p w14:paraId="1148A64C" w14:textId="77777777" w:rsidR="006A5ADC" w:rsidRPr="00787839" w:rsidRDefault="006A5ADC" w:rsidP="007F096F">
      <w:pPr>
        <w:widowControl w:val="0"/>
        <w:autoSpaceDE w:val="0"/>
        <w:autoSpaceDN w:val="0"/>
        <w:adjustRightInd w:val="0"/>
        <w:snapToGrid w:val="0"/>
        <w:spacing w:after="0" w:line="360" w:lineRule="auto"/>
        <w:ind w:hanging="640"/>
        <w:rPr>
          <w:rFonts w:ascii="Book Antiqua" w:hAnsi="Book Antiqua" w:cs="Times New Roman"/>
          <w:b/>
          <w:color w:val="000000" w:themeColor="text1"/>
          <w:sz w:val="24"/>
          <w:szCs w:val="24"/>
        </w:rPr>
      </w:pPr>
    </w:p>
    <w:p w14:paraId="3A541454" w14:textId="1DF54B61" w:rsidR="00340F8A" w:rsidRPr="00787839" w:rsidRDefault="009F47C9" w:rsidP="007F096F">
      <w:pPr>
        <w:pStyle w:val="Body1"/>
        <w:adjustRightInd w:val="0"/>
        <w:snapToGrid w:val="0"/>
        <w:spacing w:after="0" w:line="360" w:lineRule="auto"/>
        <w:rPr>
          <w:rFonts w:ascii="Book Antiqua" w:hAnsi="Book Antiqua" w:cs="Times New Roman"/>
          <w:b/>
          <w:color w:val="000000" w:themeColor="text1"/>
          <w:sz w:val="24"/>
          <w:szCs w:val="24"/>
          <w:lang w:eastAsia="zh-CN"/>
        </w:rPr>
      </w:pPr>
      <w:r w:rsidRPr="00787839">
        <w:rPr>
          <w:rFonts w:ascii="Book Antiqua" w:hAnsi="Book Antiqua" w:cs="Times New Roman"/>
          <w:b/>
          <w:color w:val="000000" w:themeColor="text1"/>
          <w:sz w:val="24"/>
          <w:szCs w:val="24"/>
        </w:rPr>
        <w:t>Table 1</w:t>
      </w:r>
      <w:r w:rsidR="004C3F54" w:rsidRPr="00787839">
        <w:rPr>
          <w:rFonts w:ascii="Book Antiqua" w:hAnsi="Book Antiqua" w:cs="Times New Roman"/>
          <w:b/>
          <w:color w:val="000000" w:themeColor="text1"/>
          <w:sz w:val="24"/>
          <w:szCs w:val="24"/>
        </w:rPr>
        <w:t xml:space="preserve"> </w:t>
      </w:r>
      <w:r w:rsidR="006A5ADC" w:rsidRPr="00787839">
        <w:rPr>
          <w:rFonts w:ascii="Book Antiqua" w:hAnsi="Book Antiqua" w:cs="Times New Roman"/>
          <w:b/>
          <w:color w:val="000000" w:themeColor="text1"/>
          <w:sz w:val="24"/>
          <w:szCs w:val="24"/>
        </w:rPr>
        <w:t>Sarin endoscopic grading classification for gastric varices</w:t>
      </w:r>
    </w:p>
    <w:tbl>
      <w:tblPr>
        <w:tblStyle w:val="TableGrid"/>
        <w:tblW w:w="95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2"/>
        <w:gridCol w:w="4792"/>
      </w:tblGrid>
      <w:tr w:rsidR="00340F8A" w:rsidRPr="00787839" w14:paraId="320433E8" w14:textId="77777777" w:rsidTr="00662160">
        <w:trPr>
          <w:trHeight w:val="440"/>
        </w:trPr>
        <w:tc>
          <w:tcPr>
            <w:tcW w:w="4792" w:type="dxa"/>
            <w:tcBorders>
              <w:top w:val="single" w:sz="4" w:space="0" w:color="auto"/>
              <w:bottom w:val="single" w:sz="4" w:space="0" w:color="auto"/>
            </w:tcBorders>
          </w:tcPr>
          <w:p w14:paraId="667BDFCA" w14:textId="47471EAD" w:rsidR="00340F8A" w:rsidRPr="00787839" w:rsidRDefault="00340F8A" w:rsidP="00662160">
            <w:pPr>
              <w:pStyle w:val="Body1"/>
              <w:adjustRightInd w:val="0"/>
              <w:snapToGrid w:val="0"/>
              <w:spacing w:line="360" w:lineRule="auto"/>
              <w:jc w:val="left"/>
              <w:rPr>
                <w:rFonts w:ascii="Book Antiqua" w:hAnsi="Book Antiqua" w:cs="Times New Roman"/>
                <w:b/>
                <w:color w:val="000000" w:themeColor="text1"/>
                <w:sz w:val="24"/>
                <w:szCs w:val="24"/>
              </w:rPr>
            </w:pPr>
            <w:r w:rsidRPr="00787839">
              <w:rPr>
                <w:rFonts w:ascii="Book Antiqua" w:hAnsi="Book Antiqua" w:cs="Times New Roman"/>
                <w:b/>
                <w:color w:val="000000" w:themeColor="text1"/>
                <w:sz w:val="24"/>
                <w:szCs w:val="24"/>
              </w:rPr>
              <w:t>Category</w:t>
            </w:r>
          </w:p>
        </w:tc>
        <w:tc>
          <w:tcPr>
            <w:tcW w:w="4792" w:type="dxa"/>
            <w:tcBorders>
              <w:top w:val="single" w:sz="4" w:space="0" w:color="auto"/>
              <w:bottom w:val="single" w:sz="4" w:space="0" w:color="auto"/>
            </w:tcBorders>
          </w:tcPr>
          <w:p w14:paraId="394548BC" w14:textId="0E70A559" w:rsidR="00340F8A" w:rsidRPr="00787839" w:rsidRDefault="00340F8A" w:rsidP="00662160">
            <w:pPr>
              <w:pStyle w:val="Body1"/>
              <w:adjustRightInd w:val="0"/>
              <w:snapToGrid w:val="0"/>
              <w:spacing w:line="360" w:lineRule="auto"/>
              <w:jc w:val="center"/>
              <w:rPr>
                <w:rFonts w:ascii="Book Antiqua" w:hAnsi="Book Antiqua" w:cs="Times New Roman"/>
                <w:b/>
                <w:color w:val="000000" w:themeColor="text1"/>
                <w:sz w:val="24"/>
                <w:szCs w:val="24"/>
              </w:rPr>
            </w:pPr>
            <w:r w:rsidRPr="00787839">
              <w:rPr>
                <w:rFonts w:ascii="Book Antiqua" w:hAnsi="Book Antiqua" w:cs="Times New Roman"/>
                <w:b/>
                <w:color w:val="000000" w:themeColor="text1"/>
                <w:sz w:val="24"/>
                <w:szCs w:val="24"/>
              </w:rPr>
              <w:t>Description</w:t>
            </w:r>
          </w:p>
        </w:tc>
      </w:tr>
      <w:tr w:rsidR="00340F8A" w:rsidRPr="00787839" w14:paraId="3D1A99E6" w14:textId="77777777" w:rsidTr="00662160">
        <w:trPr>
          <w:trHeight w:val="872"/>
        </w:trPr>
        <w:tc>
          <w:tcPr>
            <w:tcW w:w="4792" w:type="dxa"/>
            <w:tcBorders>
              <w:top w:val="single" w:sz="4" w:space="0" w:color="auto"/>
            </w:tcBorders>
          </w:tcPr>
          <w:p w14:paraId="66481C6D" w14:textId="7723672A" w:rsidR="00340F8A" w:rsidRPr="00787839" w:rsidRDefault="00340F8A" w:rsidP="00662160">
            <w:pPr>
              <w:pStyle w:val="Body1"/>
              <w:adjustRightInd w:val="0"/>
              <w:snapToGrid w:val="0"/>
              <w:spacing w:line="360" w:lineRule="auto"/>
              <w:jc w:val="left"/>
              <w:rPr>
                <w:rFonts w:ascii="Book Antiqua" w:hAnsi="Book Antiqua" w:cs="Times New Roman"/>
                <w:color w:val="000000" w:themeColor="text1"/>
                <w:sz w:val="24"/>
                <w:szCs w:val="24"/>
              </w:rPr>
            </w:pPr>
            <w:r w:rsidRPr="00787839">
              <w:rPr>
                <w:rFonts w:ascii="Book Antiqua" w:hAnsi="Book Antiqua" w:cs="Times New Roman"/>
                <w:color w:val="000000" w:themeColor="text1"/>
                <w:sz w:val="24"/>
                <w:szCs w:val="24"/>
              </w:rPr>
              <w:t>Gastroesophageal varix type 1(GOV-1)</w:t>
            </w:r>
          </w:p>
        </w:tc>
        <w:tc>
          <w:tcPr>
            <w:tcW w:w="4792" w:type="dxa"/>
            <w:tcBorders>
              <w:top w:val="single" w:sz="4" w:space="0" w:color="auto"/>
            </w:tcBorders>
          </w:tcPr>
          <w:p w14:paraId="777776EF" w14:textId="5673B6E3" w:rsidR="00340F8A" w:rsidRPr="00787839" w:rsidRDefault="00C91E84" w:rsidP="00662160">
            <w:pPr>
              <w:pStyle w:val="Body1"/>
              <w:adjustRightInd w:val="0"/>
              <w:snapToGrid w:val="0"/>
              <w:spacing w:line="360" w:lineRule="auto"/>
              <w:jc w:val="center"/>
              <w:rPr>
                <w:rFonts w:ascii="Book Antiqua" w:hAnsi="Book Antiqua" w:cs="Times New Roman"/>
                <w:color w:val="000000" w:themeColor="text1"/>
                <w:sz w:val="24"/>
                <w:szCs w:val="24"/>
              </w:rPr>
            </w:pPr>
            <w:r w:rsidRPr="00787839">
              <w:rPr>
                <w:rFonts w:ascii="Book Antiqua" w:hAnsi="Book Antiqua" w:cs="Times New Roman"/>
                <w:color w:val="000000" w:themeColor="text1"/>
                <w:sz w:val="24"/>
                <w:szCs w:val="24"/>
              </w:rPr>
              <w:t>Continuation from esophageal varices which extend along the lesser curve.</w:t>
            </w:r>
          </w:p>
        </w:tc>
      </w:tr>
      <w:tr w:rsidR="00340F8A" w:rsidRPr="00787839" w14:paraId="436B2F73" w14:textId="77777777" w:rsidTr="00662160">
        <w:trPr>
          <w:trHeight w:val="1312"/>
        </w:trPr>
        <w:tc>
          <w:tcPr>
            <w:tcW w:w="4792" w:type="dxa"/>
          </w:tcPr>
          <w:p w14:paraId="408ED5C3" w14:textId="2439A860" w:rsidR="00340F8A" w:rsidRPr="00787839" w:rsidRDefault="00340F8A" w:rsidP="00662160">
            <w:pPr>
              <w:pStyle w:val="Body1"/>
              <w:adjustRightInd w:val="0"/>
              <w:snapToGrid w:val="0"/>
              <w:spacing w:line="360" w:lineRule="auto"/>
              <w:jc w:val="left"/>
              <w:rPr>
                <w:rFonts w:ascii="Book Antiqua" w:hAnsi="Book Antiqua" w:cs="Times New Roman"/>
                <w:color w:val="000000" w:themeColor="text1"/>
                <w:sz w:val="24"/>
                <w:szCs w:val="24"/>
              </w:rPr>
            </w:pPr>
            <w:r w:rsidRPr="00787839">
              <w:rPr>
                <w:rFonts w:ascii="Book Antiqua" w:hAnsi="Book Antiqua" w:cs="Times New Roman"/>
                <w:color w:val="000000" w:themeColor="text1"/>
                <w:sz w:val="24"/>
                <w:szCs w:val="24"/>
              </w:rPr>
              <w:t>Gastroesophageal varix type 2 (GOV-2)</w:t>
            </w:r>
          </w:p>
        </w:tc>
        <w:tc>
          <w:tcPr>
            <w:tcW w:w="4792" w:type="dxa"/>
          </w:tcPr>
          <w:p w14:paraId="42AB5F13" w14:textId="00018C65" w:rsidR="00340F8A" w:rsidRPr="00787839" w:rsidRDefault="00C91E84" w:rsidP="00662160">
            <w:pPr>
              <w:pStyle w:val="Body1"/>
              <w:adjustRightInd w:val="0"/>
              <w:snapToGrid w:val="0"/>
              <w:spacing w:line="360" w:lineRule="auto"/>
              <w:jc w:val="center"/>
              <w:rPr>
                <w:rFonts w:ascii="Book Antiqua" w:hAnsi="Book Antiqua" w:cs="Times New Roman"/>
                <w:color w:val="000000" w:themeColor="text1"/>
                <w:sz w:val="24"/>
                <w:szCs w:val="24"/>
              </w:rPr>
            </w:pPr>
            <w:r w:rsidRPr="00787839">
              <w:rPr>
                <w:rFonts w:ascii="Book Antiqua" w:hAnsi="Book Antiqua" w:cs="Times New Roman"/>
                <w:color w:val="000000" w:themeColor="text1"/>
                <w:sz w:val="24"/>
                <w:szCs w:val="24"/>
              </w:rPr>
              <w:t>Continuation from esophageal varices which extend along the lesser curve but are more tortuous than GOV-1.</w:t>
            </w:r>
          </w:p>
        </w:tc>
      </w:tr>
      <w:tr w:rsidR="00340F8A" w:rsidRPr="00787839" w14:paraId="07D16749" w14:textId="77777777" w:rsidTr="00662160">
        <w:trPr>
          <w:trHeight w:val="1312"/>
        </w:trPr>
        <w:tc>
          <w:tcPr>
            <w:tcW w:w="4792" w:type="dxa"/>
          </w:tcPr>
          <w:p w14:paraId="02081690" w14:textId="52FD36ED" w:rsidR="00340F8A" w:rsidRPr="00787839" w:rsidRDefault="00340F8A" w:rsidP="00662160">
            <w:pPr>
              <w:pStyle w:val="Body1"/>
              <w:adjustRightInd w:val="0"/>
              <w:snapToGrid w:val="0"/>
              <w:spacing w:line="360" w:lineRule="auto"/>
              <w:jc w:val="left"/>
              <w:rPr>
                <w:rFonts w:ascii="Book Antiqua" w:hAnsi="Book Antiqua" w:cs="Times New Roman"/>
                <w:color w:val="000000" w:themeColor="text1"/>
                <w:sz w:val="24"/>
                <w:szCs w:val="24"/>
              </w:rPr>
            </w:pPr>
            <w:r w:rsidRPr="00787839">
              <w:rPr>
                <w:rFonts w:ascii="Book Antiqua" w:hAnsi="Book Antiqua" w:cs="Times New Roman"/>
                <w:color w:val="000000" w:themeColor="text1"/>
                <w:sz w:val="24"/>
                <w:szCs w:val="24"/>
              </w:rPr>
              <w:t>Isolated gastric varix type 1 (IGV-1)</w:t>
            </w:r>
          </w:p>
        </w:tc>
        <w:tc>
          <w:tcPr>
            <w:tcW w:w="4792" w:type="dxa"/>
          </w:tcPr>
          <w:p w14:paraId="0B56463E" w14:textId="5B2738B6" w:rsidR="00340F8A" w:rsidRPr="00787839" w:rsidRDefault="00C91E84" w:rsidP="00662160">
            <w:pPr>
              <w:pStyle w:val="Body1"/>
              <w:adjustRightInd w:val="0"/>
              <w:snapToGrid w:val="0"/>
              <w:spacing w:line="360" w:lineRule="auto"/>
              <w:jc w:val="center"/>
              <w:rPr>
                <w:rFonts w:ascii="Book Antiqua" w:hAnsi="Book Antiqua" w:cs="Times New Roman"/>
                <w:color w:val="000000" w:themeColor="text1"/>
                <w:sz w:val="24"/>
                <w:szCs w:val="24"/>
              </w:rPr>
            </w:pPr>
            <w:r w:rsidRPr="00787839">
              <w:rPr>
                <w:rFonts w:ascii="Book Antiqua" w:hAnsi="Book Antiqua" w:cs="Times New Roman"/>
                <w:color w:val="000000" w:themeColor="text1"/>
                <w:sz w:val="24"/>
                <w:szCs w:val="24"/>
              </w:rPr>
              <w:t>Occur in the absence of esophageal varices and are located at the gastric fundus. Varices are tortuous and complex.</w:t>
            </w:r>
          </w:p>
        </w:tc>
      </w:tr>
      <w:tr w:rsidR="00340F8A" w:rsidRPr="00787839" w14:paraId="7E84CA05" w14:textId="77777777" w:rsidTr="00662160">
        <w:trPr>
          <w:trHeight w:val="1312"/>
        </w:trPr>
        <w:tc>
          <w:tcPr>
            <w:tcW w:w="4792" w:type="dxa"/>
            <w:tcBorders>
              <w:bottom w:val="single" w:sz="4" w:space="0" w:color="auto"/>
            </w:tcBorders>
          </w:tcPr>
          <w:p w14:paraId="07740CD1" w14:textId="573109F2" w:rsidR="00340F8A" w:rsidRPr="00787839" w:rsidRDefault="00340F8A" w:rsidP="00662160">
            <w:pPr>
              <w:pStyle w:val="Body1"/>
              <w:adjustRightInd w:val="0"/>
              <w:snapToGrid w:val="0"/>
              <w:spacing w:line="360" w:lineRule="auto"/>
              <w:jc w:val="left"/>
              <w:rPr>
                <w:rFonts w:ascii="Book Antiqua" w:hAnsi="Book Antiqua" w:cs="Times New Roman"/>
                <w:color w:val="000000" w:themeColor="text1"/>
                <w:sz w:val="24"/>
                <w:szCs w:val="24"/>
              </w:rPr>
            </w:pPr>
            <w:r w:rsidRPr="00787839">
              <w:rPr>
                <w:rFonts w:ascii="Book Antiqua" w:hAnsi="Book Antiqua" w:cs="Times New Roman"/>
                <w:color w:val="000000" w:themeColor="text1"/>
                <w:sz w:val="24"/>
                <w:szCs w:val="24"/>
              </w:rPr>
              <w:t>Isolated gastric varix type 2 (IGV-2)</w:t>
            </w:r>
          </w:p>
        </w:tc>
        <w:tc>
          <w:tcPr>
            <w:tcW w:w="4792" w:type="dxa"/>
            <w:tcBorders>
              <w:bottom w:val="single" w:sz="4" w:space="0" w:color="auto"/>
            </w:tcBorders>
          </w:tcPr>
          <w:p w14:paraId="0A1C6614" w14:textId="216D7A82" w:rsidR="00340F8A" w:rsidRPr="00787839" w:rsidRDefault="00C91E84" w:rsidP="00662160">
            <w:pPr>
              <w:pStyle w:val="Body1"/>
              <w:adjustRightInd w:val="0"/>
              <w:snapToGrid w:val="0"/>
              <w:spacing w:line="360" w:lineRule="auto"/>
              <w:jc w:val="center"/>
              <w:rPr>
                <w:rFonts w:ascii="Book Antiqua" w:hAnsi="Book Antiqua" w:cs="Times New Roman"/>
                <w:b/>
                <w:color w:val="000000" w:themeColor="text1"/>
                <w:sz w:val="24"/>
                <w:szCs w:val="24"/>
              </w:rPr>
            </w:pPr>
            <w:r w:rsidRPr="00787839">
              <w:rPr>
                <w:rFonts w:ascii="Book Antiqua" w:hAnsi="Book Antiqua" w:cs="Times New Roman"/>
                <w:color w:val="000000" w:themeColor="text1"/>
                <w:sz w:val="24"/>
                <w:szCs w:val="24"/>
              </w:rPr>
              <w:t>Occur in the absence of esophageal varices and are located at the gastric body, antrum or pylorus.</w:t>
            </w:r>
          </w:p>
        </w:tc>
      </w:tr>
    </w:tbl>
    <w:p w14:paraId="412B7123" w14:textId="469C9F13" w:rsidR="004C3F54" w:rsidRPr="00787839" w:rsidRDefault="006A5ADC" w:rsidP="007F096F">
      <w:pPr>
        <w:pStyle w:val="Body1"/>
        <w:adjustRightInd w:val="0"/>
        <w:snapToGrid w:val="0"/>
        <w:spacing w:after="0" w:line="360" w:lineRule="auto"/>
        <w:rPr>
          <w:rFonts w:ascii="Book Antiqua" w:hAnsi="Book Antiqua" w:cs="Times New Roman"/>
          <w:color w:val="000000" w:themeColor="text1"/>
          <w:sz w:val="24"/>
          <w:szCs w:val="24"/>
        </w:rPr>
      </w:pPr>
      <w:r w:rsidRPr="00787839">
        <w:rPr>
          <w:rFonts w:ascii="Book Antiqua" w:hAnsi="Book Antiqua" w:cs="Times New Roman"/>
          <w:b/>
          <w:color w:val="000000" w:themeColor="text1"/>
          <w:sz w:val="24"/>
          <w:szCs w:val="24"/>
        </w:rPr>
        <w:t xml:space="preserve"> </w:t>
      </w:r>
    </w:p>
    <w:p w14:paraId="303C0526" w14:textId="77777777" w:rsidR="00C91E84" w:rsidRPr="00787839" w:rsidRDefault="00C91E84" w:rsidP="007F096F">
      <w:pPr>
        <w:adjustRightInd w:val="0"/>
        <w:snapToGrid w:val="0"/>
        <w:spacing w:after="0" w:line="360" w:lineRule="auto"/>
        <w:rPr>
          <w:rFonts w:ascii="Book Antiqua" w:hAnsi="Book Antiqua" w:cs="Times New Roman"/>
          <w:b/>
          <w:color w:val="000000" w:themeColor="text1"/>
          <w:sz w:val="24"/>
          <w:szCs w:val="24"/>
          <w:u w:color="000000"/>
        </w:rPr>
      </w:pPr>
    </w:p>
    <w:p w14:paraId="099E4C9D" w14:textId="77777777" w:rsidR="00C91E84" w:rsidRPr="00787839" w:rsidRDefault="00C91E84" w:rsidP="007F096F">
      <w:pPr>
        <w:adjustRightInd w:val="0"/>
        <w:snapToGrid w:val="0"/>
        <w:spacing w:after="0" w:line="360" w:lineRule="auto"/>
        <w:rPr>
          <w:rFonts w:ascii="Book Antiqua" w:hAnsi="Book Antiqua" w:cs="Times New Roman"/>
          <w:b/>
          <w:color w:val="000000" w:themeColor="text1"/>
          <w:sz w:val="24"/>
          <w:szCs w:val="24"/>
          <w:u w:color="000000"/>
        </w:rPr>
      </w:pPr>
    </w:p>
    <w:p w14:paraId="18EDD34B" w14:textId="77777777" w:rsidR="00C91E84" w:rsidRPr="00787839" w:rsidRDefault="00C91E84" w:rsidP="007F096F">
      <w:pPr>
        <w:adjustRightInd w:val="0"/>
        <w:snapToGrid w:val="0"/>
        <w:spacing w:after="0" w:line="360" w:lineRule="auto"/>
        <w:rPr>
          <w:rFonts w:ascii="Book Antiqua" w:hAnsi="Book Antiqua" w:cs="Times New Roman"/>
          <w:b/>
          <w:color w:val="000000" w:themeColor="text1"/>
          <w:sz w:val="24"/>
          <w:szCs w:val="24"/>
          <w:u w:color="000000"/>
        </w:rPr>
      </w:pPr>
    </w:p>
    <w:p w14:paraId="0982C4CE" w14:textId="5587585F"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5C1BC5E4" wp14:editId="6C9973CE">
            <wp:extent cx="5943600" cy="44577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50012510" w14:textId="72D0A6CA" w:rsidR="00833880" w:rsidRPr="00787839" w:rsidRDefault="00115131" w:rsidP="007F096F">
      <w:pPr>
        <w:adjustRightInd w:val="0"/>
        <w:snapToGrid w:val="0"/>
        <w:spacing w:after="0" w:line="360" w:lineRule="auto"/>
        <w:rPr>
          <w:rFonts w:ascii="Book Antiqua" w:hAnsi="Book Antiqua" w:cs="Times New Roman"/>
          <w:color w:val="000000" w:themeColor="text1"/>
          <w:sz w:val="24"/>
          <w:szCs w:val="24"/>
          <w:u w:color="000000"/>
        </w:rPr>
      </w:pPr>
      <w:r w:rsidRPr="00115131">
        <w:rPr>
          <w:rFonts w:ascii="Book Antiqua" w:hAnsi="Book Antiqua" w:cs="Times New Roman"/>
          <w:b/>
          <w:color w:val="000000" w:themeColor="text1"/>
          <w:sz w:val="24"/>
          <w:szCs w:val="24"/>
          <w:u w:color="000000"/>
        </w:rPr>
        <w:t>Figure 1</w:t>
      </w:r>
      <w:r w:rsidR="00833880" w:rsidRPr="00115131">
        <w:rPr>
          <w:rFonts w:ascii="Book Antiqua" w:hAnsi="Book Antiqua" w:cs="Times New Roman"/>
          <w:b/>
          <w:color w:val="000000" w:themeColor="text1"/>
          <w:sz w:val="24"/>
          <w:szCs w:val="24"/>
          <w:u w:color="000000"/>
        </w:rPr>
        <w:t xml:space="preserve"> Normal portal venous anato</w:t>
      </w:r>
      <w:r w:rsidR="00DE610E" w:rsidRPr="00115131">
        <w:rPr>
          <w:rFonts w:ascii="Book Antiqua" w:hAnsi="Book Antiqua" w:cs="Times New Roman"/>
          <w:b/>
          <w:color w:val="000000" w:themeColor="text1"/>
          <w:sz w:val="24"/>
          <w:szCs w:val="24"/>
          <w:u w:color="000000"/>
        </w:rPr>
        <w:t xml:space="preserve">my and direction of blood flow. </w:t>
      </w:r>
      <w:r w:rsidR="00DE610E" w:rsidRPr="00787839">
        <w:rPr>
          <w:rFonts w:ascii="Book Antiqua" w:hAnsi="Book Antiqua" w:cs="Times New Roman"/>
          <w:color w:val="000000" w:themeColor="text1"/>
          <w:sz w:val="24"/>
          <w:szCs w:val="24"/>
          <w:u w:color="000000"/>
        </w:rPr>
        <w:t xml:space="preserve">The main portal vein (MPV) is most commonly formed </w:t>
      </w:r>
      <w:r w:rsidR="00A10408" w:rsidRPr="00787839">
        <w:rPr>
          <w:rFonts w:ascii="Book Antiqua" w:hAnsi="Book Antiqua" w:cs="Times New Roman"/>
          <w:color w:val="000000" w:themeColor="text1"/>
          <w:sz w:val="24"/>
          <w:szCs w:val="24"/>
          <w:u w:color="000000"/>
        </w:rPr>
        <w:t>when</w:t>
      </w:r>
      <w:r w:rsidR="00DE610E" w:rsidRPr="00787839">
        <w:rPr>
          <w:rFonts w:ascii="Book Antiqua" w:hAnsi="Book Antiqua" w:cs="Times New Roman"/>
          <w:color w:val="000000" w:themeColor="text1"/>
          <w:sz w:val="24"/>
          <w:szCs w:val="24"/>
          <w:u w:color="000000"/>
        </w:rPr>
        <w:t xml:space="preserve"> the splenic vein (SV) and the superior mesenteric vein (SMV) join. While variable, the inferior mesenteric vein (IMV) most commonly drains in to the splenic vein, at the level </w:t>
      </w:r>
      <w:r w:rsidR="00E4121D" w:rsidRPr="00787839">
        <w:rPr>
          <w:rFonts w:ascii="Book Antiqua" w:hAnsi="Book Antiqua" w:cs="Times New Roman"/>
          <w:color w:val="000000" w:themeColor="text1"/>
          <w:sz w:val="24"/>
          <w:szCs w:val="24"/>
          <w:u w:color="000000"/>
        </w:rPr>
        <w:t>of the pancreatic body. Other tributaries may also join the MPV, such as the left gastric vein (LGV) as depicted here.</w:t>
      </w:r>
    </w:p>
    <w:p w14:paraId="65CB58D6"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451BF916"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5D2F97AF"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05DAF47C"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681B813E" w14:textId="6DEE1DE8" w:rsidR="00AF5E7C" w:rsidRPr="00787839" w:rsidRDefault="00977E89"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103F34B9" wp14:editId="056E2780">
            <wp:extent cx="5943600" cy="47548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754880"/>
                    </a:xfrm>
                    <a:prstGeom prst="rect">
                      <a:avLst/>
                    </a:prstGeom>
                  </pic:spPr>
                </pic:pic>
              </a:graphicData>
            </a:graphic>
          </wp:inline>
        </w:drawing>
      </w:r>
    </w:p>
    <w:p w14:paraId="79E729D1" w14:textId="5AB877C3" w:rsidR="00833880" w:rsidRPr="00787839" w:rsidRDefault="00115131" w:rsidP="007F096F">
      <w:pPr>
        <w:adjustRightInd w:val="0"/>
        <w:snapToGrid w:val="0"/>
        <w:spacing w:after="0" w:line="360" w:lineRule="auto"/>
        <w:rPr>
          <w:rFonts w:ascii="Book Antiqua" w:hAnsi="Book Antiqua" w:cs="Times New Roman"/>
          <w:color w:val="000000" w:themeColor="text1"/>
          <w:sz w:val="24"/>
          <w:szCs w:val="24"/>
          <w:u w:color="000000"/>
        </w:rPr>
      </w:pPr>
      <w:r w:rsidRPr="00115131">
        <w:rPr>
          <w:rFonts w:ascii="Book Antiqua" w:hAnsi="Book Antiqua" w:cs="Times New Roman"/>
          <w:b/>
          <w:color w:val="000000" w:themeColor="text1"/>
          <w:sz w:val="24"/>
          <w:szCs w:val="24"/>
          <w:u w:color="000000"/>
        </w:rPr>
        <w:t>Figure 2</w:t>
      </w:r>
      <w:r w:rsidR="00833880" w:rsidRPr="00115131">
        <w:rPr>
          <w:rFonts w:ascii="Book Antiqua" w:hAnsi="Book Antiqua" w:cs="Times New Roman"/>
          <w:b/>
          <w:color w:val="000000" w:themeColor="text1"/>
          <w:sz w:val="24"/>
          <w:szCs w:val="24"/>
          <w:u w:color="000000"/>
        </w:rPr>
        <w:t xml:space="preserve"> Portosystemic collateral pathways and direction of blood flow in portal hypertension.</w:t>
      </w:r>
      <w:r w:rsidR="00D36007" w:rsidRPr="00115131">
        <w:rPr>
          <w:rFonts w:ascii="Book Antiqua" w:hAnsi="Book Antiqua" w:cs="Times New Roman"/>
          <w:b/>
          <w:color w:val="000000" w:themeColor="text1"/>
          <w:sz w:val="24"/>
          <w:szCs w:val="24"/>
          <w:u w:color="000000"/>
        </w:rPr>
        <w:t xml:space="preserve"> </w:t>
      </w:r>
      <w:r w:rsidR="00D36007" w:rsidRPr="00787839">
        <w:rPr>
          <w:rFonts w:ascii="Book Antiqua" w:hAnsi="Book Antiqua" w:cs="Times New Roman"/>
          <w:color w:val="000000" w:themeColor="text1"/>
          <w:sz w:val="24"/>
          <w:szCs w:val="24"/>
          <w:u w:color="000000"/>
        </w:rPr>
        <w:t xml:space="preserve">Progressive </w:t>
      </w:r>
      <w:r w:rsidR="00F65CE7" w:rsidRPr="00787839">
        <w:rPr>
          <w:rFonts w:ascii="Book Antiqua" w:hAnsi="Book Antiqua" w:cs="Times New Roman"/>
          <w:color w:val="000000" w:themeColor="text1"/>
          <w:sz w:val="24"/>
          <w:szCs w:val="24"/>
          <w:u w:color="000000"/>
        </w:rPr>
        <w:t>resistance to</w:t>
      </w:r>
      <w:r w:rsidR="00DA0CFB" w:rsidRPr="00787839">
        <w:rPr>
          <w:rFonts w:ascii="Book Antiqua" w:hAnsi="Book Antiqua" w:cs="Times New Roman"/>
          <w:color w:val="000000" w:themeColor="text1"/>
          <w:sz w:val="24"/>
          <w:szCs w:val="24"/>
          <w:u w:color="000000"/>
        </w:rPr>
        <w:t xml:space="preserve"> hepatopet</w:t>
      </w:r>
      <w:r w:rsidR="001B191E" w:rsidRPr="00787839">
        <w:rPr>
          <w:rFonts w:ascii="Book Antiqua" w:hAnsi="Book Antiqua" w:cs="Times New Roman"/>
          <w:color w:val="000000" w:themeColor="text1"/>
          <w:sz w:val="24"/>
          <w:szCs w:val="24"/>
          <w:u w:color="000000"/>
        </w:rPr>
        <w:t xml:space="preserve">al flow results in slowed and eventually reversed flow in the main portal vein (MPV). </w:t>
      </w:r>
      <w:r w:rsidR="009F1BE7" w:rsidRPr="00787839">
        <w:rPr>
          <w:rFonts w:ascii="Book Antiqua" w:hAnsi="Book Antiqua" w:cs="Times New Roman"/>
          <w:color w:val="000000" w:themeColor="text1"/>
          <w:sz w:val="24"/>
          <w:szCs w:val="24"/>
          <w:u w:color="000000"/>
        </w:rPr>
        <w:t>Portal venous system decompresses by recruiting several</w:t>
      </w:r>
      <w:r w:rsidR="00212EB7" w:rsidRPr="00787839">
        <w:rPr>
          <w:rFonts w:ascii="Book Antiqua" w:hAnsi="Book Antiqua" w:cs="Times New Roman"/>
          <w:color w:val="000000" w:themeColor="text1"/>
          <w:sz w:val="24"/>
          <w:szCs w:val="24"/>
          <w:u w:color="000000"/>
        </w:rPr>
        <w:t xml:space="preserve"> pre-exiting </w:t>
      </w:r>
      <w:r w:rsidR="001B191E" w:rsidRPr="00787839">
        <w:rPr>
          <w:rFonts w:ascii="Book Antiqua" w:hAnsi="Book Antiqua" w:cs="Times New Roman"/>
          <w:color w:val="000000" w:themeColor="text1"/>
          <w:sz w:val="24"/>
          <w:szCs w:val="24"/>
          <w:u w:color="000000"/>
        </w:rPr>
        <w:t>collateral pathways</w:t>
      </w:r>
      <w:r w:rsidR="00212EB7" w:rsidRPr="00787839">
        <w:rPr>
          <w:rFonts w:ascii="Book Antiqua" w:hAnsi="Book Antiqua" w:cs="Times New Roman"/>
          <w:color w:val="000000" w:themeColor="text1"/>
          <w:sz w:val="24"/>
          <w:szCs w:val="24"/>
          <w:u w:color="000000"/>
        </w:rPr>
        <w:t xml:space="preserve">, the selection of which is partly dictated by the location of the portal venous resistance. Paraumbilical (PUVar), </w:t>
      </w:r>
      <w:r w:rsidR="0056479C" w:rsidRPr="00787839">
        <w:rPr>
          <w:rFonts w:ascii="Book Antiqua" w:hAnsi="Book Antiqua" w:cs="Times New Roman"/>
          <w:color w:val="000000" w:themeColor="text1"/>
          <w:sz w:val="24"/>
          <w:szCs w:val="24"/>
          <w:u w:color="000000"/>
        </w:rPr>
        <w:t xml:space="preserve">abdominal wall varices (AWVar), </w:t>
      </w:r>
      <w:r w:rsidR="00212EB7" w:rsidRPr="00787839">
        <w:rPr>
          <w:rFonts w:ascii="Book Antiqua" w:hAnsi="Book Antiqua" w:cs="Times New Roman"/>
          <w:color w:val="000000" w:themeColor="text1"/>
          <w:sz w:val="24"/>
          <w:szCs w:val="24"/>
          <w:u w:color="000000"/>
        </w:rPr>
        <w:t>esophageal (EVar), paraesophageal</w:t>
      </w:r>
      <w:r w:rsidR="00A10408" w:rsidRPr="00787839">
        <w:rPr>
          <w:rFonts w:ascii="Book Antiqua" w:hAnsi="Book Antiqua" w:cs="Times New Roman"/>
          <w:color w:val="000000" w:themeColor="text1"/>
          <w:sz w:val="24"/>
          <w:szCs w:val="24"/>
          <w:u w:color="000000"/>
        </w:rPr>
        <w:t xml:space="preserve"> </w:t>
      </w:r>
      <w:r w:rsidR="00212EB7" w:rsidRPr="00787839">
        <w:rPr>
          <w:rFonts w:ascii="Book Antiqua" w:hAnsi="Book Antiqua" w:cs="Times New Roman"/>
          <w:color w:val="000000" w:themeColor="text1"/>
          <w:sz w:val="24"/>
          <w:szCs w:val="24"/>
          <w:u w:color="000000"/>
        </w:rPr>
        <w:t xml:space="preserve">(PEVar), gastric (GVar), cardiophrenic (CPVar), mesenteric (MVar) and rectal (RVar) varices may be created in order to </w:t>
      </w:r>
      <w:r w:rsidR="00A10408" w:rsidRPr="00787839">
        <w:rPr>
          <w:rFonts w:ascii="Book Antiqua" w:hAnsi="Book Antiqua" w:cs="Times New Roman"/>
          <w:color w:val="000000" w:themeColor="text1"/>
          <w:sz w:val="24"/>
          <w:szCs w:val="24"/>
          <w:u w:color="000000"/>
        </w:rPr>
        <w:t>allow</w:t>
      </w:r>
      <w:r w:rsidR="00212EB7" w:rsidRPr="00787839">
        <w:rPr>
          <w:rFonts w:ascii="Book Antiqua" w:hAnsi="Book Antiqua" w:cs="Times New Roman"/>
          <w:color w:val="000000" w:themeColor="text1"/>
          <w:sz w:val="24"/>
          <w:szCs w:val="24"/>
          <w:u w:color="000000"/>
        </w:rPr>
        <w:t xml:space="preserve"> the passage the portal venous blood into systemic circulation.</w:t>
      </w:r>
      <w:r w:rsidR="000503C6" w:rsidRPr="00787839">
        <w:rPr>
          <w:rFonts w:ascii="Book Antiqua" w:hAnsi="Book Antiqua" w:cs="Times New Roman"/>
          <w:color w:val="000000" w:themeColor="text1"/>
          <w:sz w:val="24"/>
          <w:szCs w:val="24"/>
          <w:u w:color="000000"/>
        </w:rPr>
        <w:t xml:space="preserve"> LGV: </w:t>
      </w:r>
      <w:r w:rsidRPr="00787839">
        <w:rPr>
          <w:rFonts w:ascii="Book Antiqua" w:hAnsi="Book Antiqua" w:cs="Times New Roman"/>
          <w:color w:val="000000" w:themeColor="text1"/>
          <w:sz w:val="24"/>
          <w:szCs w:val="24"/>
          <w:u w:color="000000"/>
        </w:rPr>
        <w:t xml:space="preserve">Left </w:t>
      </w:r>
      <w:r w:rsidR="000503C6" w:rsidRPr="00787839">
        <w:rPr>
          <w:rFonts w:ascii="Book Antiqua" w:hAnsi="Book Antiqua" w:cs="Times New Roman"/>
          <w:color w:val="000000" w:themeColor="text1"/>
          <w:sz w:val="24"/>
          <w:szCs w:val="24"/>
          <w:u w:color="000000"/>
        </w:rPr>
        <w:t xml:space="preserve">gastric vein; SV: </w:t>
      </w:r>
      <w:r w:rsidRPr="00787839">
        <w:rPr>
          <w:rFonts w:ascii="Book Antiqua" w:hAnsi="Book Antiqua" w:cs="Times New Roman"/>
          <w:color w:val="000000" w:themeColor="text1"/>
          <w:sz w:val="24"/>
          <w:szCs w:val="24"/>
          <w:u w:color="000000"/>
        </w:rPr>
        <w:t xml:space="preserve">Splenic </w:t>
      </w:r>
      <w:r w:rsidR="000503C6" w:rsidRPr="00787839">
        <w:rPr>
          <w:rFonts w:ascii="Book Antiqua" w:hAnsi="Book Antiqua" w:cs="Times New Roman"/>
          <w:color w:val="000000" w:themeColor="text1"/>
          <w:sz w:val="24"/>
          <w:szCs w:val="24"/>
          <w:u w:color="000000"/>
        </w:rPr>
        <w:t xml:space="preserve">vein; IMV: </w:t>
      </w:r>
      <w:r w:rsidRPr="00787839">
        <w:rPr>
          <w:rFonts w:ascii="Book Antiqua" w:hAnsi="Book Antiqua" w:cs="Times New Roman"/>
          <w:color w:val="000000" w:themeColor="text1"/>
          <w:sz w:val="24"/>
          <w:szCs w:val="24"/>
          <w:u w:color="000000"/>
        </w:rPr>
        <w:t xml:space="preserve">Inferior </w:t>
      </w:r>
      <w:r w:rsidR="000503C6" w:rsidRPr="00787839">
        <w:rPr>
          <w:rFonts w:ascii="Book Antiqua" w:hAnsi="Book Antiqua" w:cs="Times New Roman"/>
          <w:color w:val="000000" w:themeColor="text1"/>
          <w:sz w:val="24"/>
          <w:szCs w:val="24"/>
          <w:u w:color="000000"/>
        </w:rPr>
        <w:t xml:space="preserve">mesenteric vein; IVC: </w:t>
      </w:r>
      <w:r w:rsidRPr="00787839">
        <w:rPr>
          <w:rFonts w:ascii="Book Antiqua" w:hAnsi="Book Antiqua" w:cs="Times New Roman"/>
          <w:color w:val="000000" w:themeColor="text1"/>
          <w:sz w:val="24"/>
          <w:szCs w:val="24"/>
          <w:u w:color="000000"/>
        </w:rPr>
        <w:t xml:space="preserve">Inferior </w:t>
      </w:r>
      <w:r w:rsidR="000503C6" w:rsidRPr="00787839">
        <w:rPr>
          <w:rFonts w:ascii="Book Antiqua" w:hAnsi="Book Antiqua" w:cs="Times New Roman"/>
          <w:color w:val="000000" w:themeColor="text1"/>
          <w:sz w:val="24"/>
          <w:szCs w:val="24"/>
          <w:u w:color="000000"/>
        </w:rPr>
        <w:t xml:space="preserve">vena cava; SRS: </w:t>
      </w:r>
      <w:r w:rsidRPr="00787839">
        <w:rPr>
          <w:rFonts w:ascii="Book Antiqua" w:hAnsi="Book Antiqua" w:cs="Times New Roman"/>
          <w:color w:val="000000" w:themeColor="text1"/>
          <w:sz w:val="24"/>
          <w:szCs w:val="24"/>
          <w:u w:color="000000"/>
        </w:rPr>
        <w:t xml:space="preserve">Splenorenal </w:t>
      </w:r>
      <w:r w:rsidR="000503C6" w:rsidRPr="00787839">
        <w:rPr>
          <w:rFonts w:ascii="Book Antiqua" w:hAnsi="Book Antiqua" w:cs="Times New Roman"/>
          <w:color w:val="000000" w:themeColor="text1"/>
          <w:sz w:val="24"/>
          <w:szCs w:val="24"/>
          <w:u w:color="000000"/>
        </w:rPr>
        <w:t xml:space="preserve">shunt; GRS: </w:t>
      </w:r>
      <w:r w:rsidRPr="00787839">
        <w:rPr>
          <w:rFonts w:ascii="Book Antiqua" w:hAnsi="Book Antiqua" w:cs="Times New Roman"/>
          <w:color w:val="000000" w:themeColor="text1"/>
          <w:sz w:val="24"/>
          <w:szCs w:val="24"/>
          <w:u w:color="000000"/>
        </w:rPr>
        <w:t xml:space="preserve">Gastrorenal </w:t>
      </w:r>
      <w:r w:rsidR="000503C6" w:rsidRPr="00787839">
        <w:rPr>
          <w:rFonts w:ascii="Book Antiqua" w:hAnsi="Book Antiqua" w:cs="Times New Roman"/>
          <w:color w:val="000000" w:themeColor="text1"/>
          <w:sz w:val="24"/>
          <w:szCs w:val="24"/>
          <w:u w:color="000000"/>
        </w:rPr>
        <w:t>shunt.</w:t>
      </w:r>
    </w:p>
    <w:p w14:paraId="78DD52CF"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5DBECD3A"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7BD417FD" w14:textId="2EF836C0"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1C8C89BF" wp14:editId="6DD9E6C1">
            <wp:extent cx="5943600" cy="4457700"/>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31AF08AF" w14:textId="6E57C1D2" w:rsidR="00E4121D" w:rsidRPr="00115131" w:rsidRDefault="00115131" w:rsidP="007F096F">
      <w:pPr>
        <w:adjustRightInd w:val="0"/>
        <w:snapToGrid w:val="0"/>
        <w:spacing w:after="0" w:line="360" w:lineRule="auto"/>
        <w:rPr>
          <w:rFonts w:ascii="Book Antiqua" w:hAnsi="Book Antiqua" w:cs="Times New Roman"/>
          <w:b/>
          <w:color w:val="000000" w:themeColor="text1"/>
          <w:sz w:val="24"/>
          <w:szCs w:val="24"/>
          <w:u w:color="000000"/>
        </w:rPr>
      </w:pPr>
      <w:r w:rsidRPr="00115131">
        <w:rPr>
          <w:rFonts w:ascii="Book Antiqua" w:hAnsi="Book Antiqua" w:cs="Times New Roman"/>
          <w:b/>
          <w:color w:val="000000" w:themeColor="text1"/>
          <w:sz w:val="24"/>
          <w:szCs w:val="24"/>
          <w:u w:color="000000"/>
        </w:rPr>
        <w:t>Figure 3</w:t>
      </w:r>
      <w:r w:rsidR="00833880" w:rsidRPr="00115131">
        <w:rPr>
          <w:rFonts w:ascii="Book Antiqua" w:hAnsi="Book Antiqua" w:cs="Times New Roman"/>
          <w:b/>
          <w:color w:val="000000" w:themeColor="text1"/>
          <w:sz w:val="24"/>
          <w:szCs w:val="24"/>
          <w:u w:color="000000"/>
        </w:rPr>
        <w:t xml:space="preserve"> Axial </w:t>
      </w:r>
      <w:r w:rsidR="008B3E0F" w:rsidRPr="00115131">
        <w:rPr>
          <w:rFonts w:ascii="Book Antiqua" w:hAnsi="Book Antiqua" w:cs="Times New Roman"/>
          <w:b/>
          <w:color w:val="000000" w:themeColor="text1"/>
          <w:sz w:val="24"/>
          <w:szCs w:val="24"/>
          <w:u w:color="000000"/>
        </w:rPr>
        <w:t>enhanced CT of the upper abdomen in portal venous phase</w:t>
      </w:r>
      <w:r w:rsidR="00833880" w:rsidRPr="00115131">
        <w:rPr>
          <w:rFonts w:ascii="Book Antiqua" w:hAnsi="Book Antiqua" w:cs="Times New Roman"/>
          <w:b/>
          <w:color w:val="000000" w:themeColor="text1"/>
          <w:sz w:val="24"/>
          <w:szCs w:val="24"/>
          <w:u w:color="000000"/>
        </w:rPr>
        <w:t xml:space="preserve"> </w:t>
      </w:r>
      <w:r w:rsidRPr="00115131">
        <w:rPr>
          <w:rFonts w:ascii="Book Antiqua" w:eastAsia="SimSun" w:hAnsi="Book Antiqua" w:cs="Times New Roman" w:hint="eastAsia"/>
          <w:b/>
          <w:color w:val="000000" w:themeColor="text1"/>
          <w:sz w:val="24"/>
          <w:szCs w:val="24"/>
          <w:u w:color="000000"/>
          <w:lang w:eastAsia="zh-CN"/>
        </w:rPr>
        <w:t>d</w:t>
      </w:r>
      <w:r w:rsidRPr="00115131">
        <w:rPr>
          <w:rFonts w:ascii="Book Antiqua" w:hAnsi="Book Antiqua" w:cs="Times New Roman"/>
          <w:b/>
          <w:color w:val="000000" w:themeColor="text1"/>
          <w:sz w:val="24"/>
          <w:szCs w:val="24"/>
          <w:u w:color="000000"/>
        </w:rPr>
        <w:t xml:space="preserve">emonstrates </w:t>
      </w:r>
      <w:r w:rsidR="00FE5F53" w:rsidRPr="00115131">
        <w:rPr>
          <w:rFonts w:ascii="Book Antiqua" w:hAnsi="Book Antiqua" w:cs="Times New Roman"/>
          <w:b/>
          <w:color w:val="000000" w:themeColor="text1"/>
          <w:sz w:val="24"/>
          <w:szCs w:val="24"/>
          <w:u w:color="000000"/>
        </w:rPr>
        <w:t>multiple large tubular and serpiginous</w:t>
      </w:r>
      <w:r w:rsidR="00833880" w:rsidRPr="00115131">
        <w:rPr>
          <w:rFonts w:ascii="Book Antiqua" w:hAnsi="Book Antiqua" w:cs="Times New Roman"/>
          <w:b/>
          <w:color w:val="000000" w:themeColor="text1"/>
          <w:sz w:val="24"/>
          <w:szCs w:val="24"/>
          <w:u w:color="000000"/>
        </w:rPr>
        <w:t xml:space="preserve"> esophageal </w:t>
      </w:r>
      <w:r w:rsidR="0093316A" w:rsidRPr="00115131">
        <w:rPr>
          <w:rFonts w:ascii="Book Antiqua" w:hAnsi="Book Antiqua" w:cs="Times New Roman"/>
          <w:b/>
          <w:color w:val="000000" w:themeColor="text1"/>
          <w:sz w:val="24"/>
          <w:szCs w:val="24"/>
          <w:u w:color="000000"/>
        </w:rPr>
        <w:t xml:space="preserve">(white arrow) </w:t>
      </w:r>
      <w:r w:rsidR="00833880" w:rsidRPr="00115131">
        <w:rPr>
          <w:rFonts w:ascii="Book Antiqua" w:hAnsi="Book Antiqua" w:cs="Times New Roman"/>
          <w:b/>
          <w:color w:val="000000" w:themeColor="text1"/>
          <w:sz w:val="24"/>
          <w:szCs w:val="24"/>
          <w:u w:color="000000"/>
        </w:rPr>
        <w:t>and paraesophageal</w:t>
      </w:r>
      <w:r w:rsidR="0093316A" w:rsidRPr="00115131">
        <w:rPr>
          <w:rFonts w:ascii="Book Antiqua" w:hAnsi="Book Antiqua" w:cs="Times New Roman"/>
          <w:b/>
          <w:color w:val="000000" w:themeColor="text1"/>
          <w:sz w:val="24"/>
          <w:szCs w:val="24"/>
          <w:u w:color="000000"/>
        </w:rPr>
        <w:t xml:space="preserve"> (</w:t>
      </w:r>
      <w:r w:rsidR="00B77997" w:rsidRPr="00115131">
        <w:rPr>
          <w:rFonts w:ascii="Book Antiqua" w:hAnsi="Book Antiqua" w:cs="Times New Roman"/>
          <w:b/>
          <w:color w:val="000000" w:themeColor="text1"/>
          <w:sz w:val="24"/>
          <w:szCs w:val="24"/>
          <w:u w:color="000000"/>
        </w:rPr>
        <w:t>black</w:t>
      </w:r>
      <w:r w:rsidR="0093316A" w:rsidRPr="00115131">
        <w:rPr>
          <w:rFonts w:ascii="Book Antiqua" w:hAnsi="Book Antiqua" w:cs="Times New Roman"/>
          <w:b/>
          <w:color w:val="000000" w:themeColor="text1"/>
          <w:sz w:val="24"/>
          <w:szCs w:val="24"/>
          <w:u w:color="000000"/>
        </w:rPr>
        <w:t xml:space="preserve"> arrow)</w:t>
      </w:r>
      <w:r w:rsidR="00833880" w:rsidRPr="00115131">
        <w:rPr>
          <w:rFonts w:ascii="Book Antiqua" w:hAnsi="Book Antiqua" w:cs="Times New Roman"/>
          <w:b/>
          <w:color w:val="000000" w:themeColor="text1"/>
          <w:sz w:val="24"/>
          <w:szCs w:val="24"/>
          <w:u w:color="000000"/>
        </w:rPr>
        <w:t xml:space="preserve"> varices</w:t>
      </w:r>
      <w:r w:rsidR="00E4121D" w:rsidRPr="00115131">
        <w:rPr>
          <w:rFonts w:ascii="Book Antiqua" w:hAnsi="Book Antiqua" w:cs="Times New Roman"/>
          <w:b/>
          <w:color w:val="000000" w:themeColor="text1"/>
          <w:sz w:val="24"/>
          <w:szCs w:val="24"/>
          <w:u w:color="000000"/>
        </w:rPr>
        <w:t xml:space="preserve"> at the level of the esophageal hiatus</w:t>
      </w:r>
      <w:r w:rsidR="00221B6B" w:rsidRPr="00115131">
        <w:rPr>
          <w:rFonts w:ascii="Book Antiqua" w:hAnsi="Book Antiqua" w:cs="Times New Roman"/>
          <w:b/>
          <w:color w:val="000000" w:themeColor="text1"/>
          <w:sz w:val="24"/>
          <w:szCs w:val="24"/>
          <w:u w:color="000000"/>
        </w:rPr>
        <w:t xml:space="preserve"> </w:t>
      </w:r>
      <w:r w:rsidR="00E4121D" w:rsidRPr="00115131">
        <w:rPr>
          <w:rFonts w:ascii="Book Antiqua" w:hAnsi="Book Antiqua" w:cs="Times New Roman"/>
          <w:b/>
          <w:color w:val="000000" w:themeColor="text1"/>
          <w:sz w:val="24"/>
          <w:szCs w:val="24"/>
          <w:u w:color="000000"/>
        </w:rPr>
        <w:t>of the diaphragm</w:t>
      </w:r>
      <w:r w:rsidR="00833880" w:rsidRPr="00115131">
        <w:rPr>
          <w:rFonts w:ascii="Book Antiqua" w:hAnsi="Book Antiqua" w:cs="Times New Roman"/>
          <w:b/>
          <w:color w:val="000000" w:themeColor="text1"/>
          <w:sz w:val="24"/>
          <w:szCs w:val="24"/>
          <w:u w:color="000000"/>
        </w:rPr>
        <w:t>.</w:t>
      </w:r>
    </w:p>
    <w:p w14:paraId="5B7670A6"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69CC77EE"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6421C751"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7EE850CE"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3170DBA2"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51A6A5CD"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01337C0C" w14:textId="224C181B"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0F546A53" wp14:editId="5AAB74F5">
            <wp:extent cx="4421530" cy="3316147"/>
            <wp:effectExtent l="0" t="0" r="0"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421994" cy="3316495"/>
                    </a:xfrm>
                    <a:prstGeom prst="rect">
                      <a:avLst/>
                    </a:prstGeom>
                    <a:noFill/>
                    <a:ln>
                      <a:noFill/>
                    </a:ln>
                  </pic:spPr>
                </pic:pic>
              </a:graphicData>
            </a:graphic>
          </wp:inline>
        </w:drawing>
      </w:r>
    </w:p>
    <w:p w14:paraId="0ABE0254" w14:textId="303C7756" w:rsidR="000503C6" w:rsidRPr="00115131" w:rsidRDefault="00115131" w:rsidP="007F096F">
      <w:pPr>
        <w:adjustRightInd w:val="0"/>
        <w:snapToGrid w:val="0"/>
        <w:spacing w:after="0" w:line="360" w:lineRule="auto"/>
        <w:rPr>
          <w:rFonts w:ascii="Book Antiqua" w:hAnsi="Book Antiqua" w:cs="Times New Roman"/>
          <w:b/>
          <w:color w:val="000000" w:themeColor="text1"/>
          <w:sz w:val="24"/>
          <w:szCs w:val="24"/>
          <w:u w:color="000000"/>
        </w:rPr>
      </w:pPr>
      <w:r w:rsidRPr="00115131">
        <w:rPr>
          <w:rFonts w:ascii="Book Antiqua" w:hAnsi="Book Antiqua" w:cs="Times New Roman"/>
          <w:b/>
          <w:color w:val="000000" w:themeColor="text1"/>
          <w:sz w:val="24"/>
          <w:szCs w:val="24"/>
          <w:u w:color="000000"/>
        </w:rPr>
        <w:t>Figure 4</w:t>
      </w:r>
      <w:r w:rsidR="00833880" w:rsidRPr="00115131">
        <w:rPr>
          <w:rFonts w:ascii="Book Antiqua" w:hAnsi="Book Antiqua" w:cs="Times New Roman"/>
          <w:b/>
          <w:color w:val="000000" w:themeColor="text1"/>
          <w:sz w:val="24"/>
          <w:szCs w:val="24"/>
          <w:u w:color="000000"/>
        </w:rPr>
        <w:t xml:space="preserve"> Endoscopic image of large</w:t>
      </w:r>
      <w:r w:rsidR="00257D78" w:rsidRPr="00115131">
        <w:rPr>
          <w:rFonts w:ascii="Book Antiqua" w:hAnsi="Book Antiqua" w:cs="Times New Roman"/>
          <w:b/>
          <w:color w:val="000000" w:themeColor="text1"/>
          <w:sz w:val="24"/>
          <w:szCs w:val="24"/>
          <w:u w:color="000000"/>
        </w:rPr>
        <w:t xml:space="preserve"> tortuous</w:t>
      </w:r>
      <w:r w:rsidR="00895A68" w:rsidRPr="00115131">
        <w:rPr>
          <w:rFonts w:ascii="Book Antiqua" w:hAnsi="Book Antiqua" w:cs="Times New Roman"/>
          <w:b/>
          <w:color w:val="000000" w:themeColor="text1"/>
          <w:sz w:val="24"/>
          <w:szCs w:val="24"/>
          <w:u w:color="000000"/>
        </w:rPr>
        <w:t xml:space="preserve"> submucosal</w:t>
      </w:r>
      <w:r w:rsidR="00833880" w:rsidRPr="00115131">
        <w:rPr>
          <w:rFonts w:ascii="Book Antiqua" w:hAnsi="Book Antiqua" w:cs="Times New Roman"/>
          <w:b/>
          <w:color w:val="000000" w:themeColor="text1"/>
          <w:sz w:val="24"/>
          <w:szCs w:val="24"/>
          <w:u w:color="000000"/>
        </w:rPr>
        <w:t xml:space="preserve"> esophageal varices</w:t>
      </w:r>
      <w:r w:rsidR="00257D78" w:rsidRPr="00115131">
        <w:rPr>
          <w:rFonts w:ascii="Book Antiqua" w:hAnsi="Book Antiqua" w:cs="Times New Roman"/>
          <w:b/>
          <w:color w:val="000000" w:themeColor="text1"/>
          <w:sz w:val="24"/>
          <w:szCs w:val="24"/>
          <w:u w:color="000000"/>
        </w:rPr>
        <w:t xml:space="preserve"> protruding into the esophageal lumen</w:t>
      </w:r>
      <w:r w:rsidR="00833880" w:rsidRPr="00115131">
        <w:rPr>
          <w:rFonts w:ascii="Book Antiqua" w:hAnsi="Book Antiqua" w:cs="Times New Roman"/>
          <w:b/>
          <w:color w:val="000000" w:themeColor="text1"/>
          <w:sz w:val="24"/>
          <w:szCs w:val="24"/>
          <w:u w:color="000000"/>
        </w:rPr>
        <w:t>.</w:t>
      </w:r>
    </w:p>
    <w:p w14:paraId="7EB2B66A"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290CF16D"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7096B23E"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6040F7F2"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3774EFD5"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1C218DF5"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4E4F9FBC"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5FAFBDD2"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741208E9"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72ECDADD"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039532D2" w14:textId="5A37B43B" w:rsidR="00AF5E7C"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77F78BB8" wp14:editId="3CE1BDD6">
            <wp:extent cx="4282633" cy="3211975"/>
            <wp:effectExtent l="0" t="0" r="1016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282633" cy="3211975"/>
                    </a:xfrm>
                    <a:prstGeom prst="rect">
                      <a:avLst/>
                    </a:prstGeom>
                    <a:noFill/>
                    <a:ln>
                      <a:noFill/>
                    </a:ln>
                  </pic:spPr>
                </pic:pic>
              </a:graphicData>
            </a:graphic>
          </wp:inline>
        </w:drawing>
      </w:r>
    </w:p>
    <w:p w14:paraId="3B3C9269" w14:textId="7ACD6D23"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drawing>
          <wp:inline distT="0" distB="0" distL="0" distR="0" wp14:anchorId="717929A4" wp14:editId="4A2E7AB3">
            <wp:extent cx="4062714" cy="3047035"/>
            <wp:effectExtent l="0" t="0" r="190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062940" cy="3047205"/>
                    </a:xfrm>
                    <a:prstGeom prst="rect">
                      <a:avLst/>
                    </a:prstGeom>
                    <a:noFill/>
                    <a:ln>
                      <a:noFill/>
                    </a:ln>
                  </pic:spPr>
                </pic:pic>
              </a:graphicData>
            </a:graphic>
          </wp:inline>
        </w:drawing>
      </w:r>
    </w:p>
    <w:p w14:paraId="0CDEAE3C" w14:textId="277B5E87" w:rsidR="008B3E0F" w:rsidRPr="00787839" w:rsidRDefault="00833880" w:rsidP="007F096F">
      <w:pPr>
        <w:adjustRightInd w:val="0"/>
        <w:snapToGrid w:val="0"/>
        <w:spacing w:after="0" w:line="360" w:lineRule="auto"/>
        <w:rPr>
          <w:rFonts w:ascii="Book Antiqua" w:hAnsi="Book Antiqua" w:cs="Times New Roman"/>
          <w:b/>
          <w:color w:val="000000" w:themeColor="text1"/>
          <w:sz w:val="24"/>
          <w:szCs w:val="24"/>
          <w:u w:color="000000"/>
        </w:rPr>
      </w:pPr>
      <w:r w:rsidRPr="00115131">
        <w:rPr>
          <w:rFonts w:ascii="Book Antiqua" w:hAnsi="Book Antiqua" w:cs="Times New Roman"/>
          <w:b/>
          <w:color w:val="000000" w:themeColor="text1"/>
          <w:sz w:val="24"/>
          <w:szCs w:val="24"/>
          <w:u w:color="000000"/>
        </w:rPr>
        <w:t>F</w:t>
      </w:r>
      <w:r w:rsidR="00115131" w:rsidRPr="00115131">
        <w:rPr>
          <w:rFonts w:ascii="Book Antiqua" w:hAnsi="Book Antiqua" w:cs="Times New Roman"/>
          <w:b/>
          <w:color w:val="000000" w:themeColor="text1"/>
          <w:sz w:val="24"/>
          <w:szCs w:val="24"/>
          <w:u w:color="000000"/>
        </w:rPr>
        <w:t>igure 5</w:t>
      </w:r>
      <w:r w:rsidR="00895A68" w:rsidRPr="00115131">
        <w:rPr>
          <w:rFonts w:ascii="Book Antiqua" w:hAnsi="Book Antiqua" w:cs="Times New Roman"/>
          <w:b/>
          <w:color w:val="000000" w:themeColor="text1"/>
          <w:sz w:val="24"/>
          <w:szCs w:val="24"/>
          <w:u w:color="000000"/>
        </w:rPr>
        <w:t xml:space="preserve"> </w:t>
      </w:r>
      <w:r w:rsidRPr="00115131">
        <w:rPr>
          <w:rFonts w:ascii="Book Antiqua" w:hAnsi="Book Antiqua" w:cs="Times New Roman"/>
          <w:b/>
          <w:color w:val="000000" w:themeColor="text1"/>
          <w:sz w:val="24"/>
          <w:szCs w:val="24"/>
          <w:u w:color="000000"/>
        </w:rPr>
        <w:t>Axial</w:t>
      </w:r>
      <w:r w:rsidR="00115131" w:rsidRPr="00115131">
        <w:rPr>
          <w:rFonts w:ascii="Book Antiqua" w:eastAsia="SimSun" w:hAnsi="Book Antiqua" w:cs="Times New Roman" w:hint="eastAsia"/>
          <w:b/>
          <w:color w:val="000000" w:themeColor="text1"/>
          <w:sz w:val="24"/>
          <w:szCs w:val="24"/>
          <w:u w:color="000000"/>
          <w:lang w:eastAsia="zh-CN"/>
        </w:rPr>
        <w:t xml:space="preserve"> (A)</w:t>
      </w:r>
      <w:r w:rsidR="00895A68" w:rsidRPr="00115131">
        <w:rPr>
          <w:rFonts w:ascii="Book Antiqua" w:hAnsi="Book Antiqua" w:cs="Times New Roman"/>
          <w:b/>
          <w:color w:val="000000" w:themeColor="text1"/>
          <w:sz w:val="24"/>
          <w:szCs w:val="24"/>
          <w:u w:color="000000"/>
        </w:rPr>
        <w:t xml:space="preserve"> and </w:t>
      </w:r>
      <w:r w:rsidR="005143AC" w:rsidRPr="00115131">
        <w:rPr>
          <w:rFonts w:ascii="Book Antiqua" w:hAnsi="Book Antiqua" w:cs="Times New Roman"/>
          <w:b/>
          <w:color w:val="000000" w:themeColor="text1"/>
          <w:sz w:val="24"/>
          <w:szCs w:val="24"/>
          <w:u w:color="000000"/>
        </w:rPr>
        <w:t>c</w:t>
      </w:r>
      <w:r w:rsidRPr="00115131">
        <w:rPr>
          <w:rFonts w:ascii="Book Antiqua" w:hAnsi="Book Antiqua" w:cs="Times New Roman"/>
          <w:b/>
          <w:color w:val="000000" w:themeColor="text1"/>
          <w:sz w:val="24"/>
          <w:szCs w:val="24"/>
          <w:u w:color="000000"/>
        </w:rPr>
        <w:t xml:space="preserve">oronal </w:t>
      </w:r>
      <w:r w:rsidR="00115131" w:rsidRPr="00115131">
        <w:rPr>
          <w:rFonts w:ascii="Book Antiqua" w:eastAsia="SimSun" w:hAnsi="Book Antiqua" w:cs="Times New Roman" w:hint="eastAsia"/>
          <w:b/>
          <w:color w:val="000000" w:themeColor="text1"/>
          <w:sz w:val="24"/>
          <w:szCs w:val="24"/>
          <w:u w:color="000000"/>
          <w:lang w:eastAsia="zh-CN"/>
        </w:rPr>
        <w:t xml:space="preserve">(B) </w:t>
      </w:r>
      <w:r w:rsidR="00221B6B" w:rsidRPr="00115131">
        <w:rPr>
          <w:rFonts w:ascii="Book Antiqua" w:hAnsi="Book Antiqua" w:cs="Times New Roman"/>
          <w:b/>
          <w:color w:val="000000" w:themeColor="text1"/>
          <w:sz w:val="24"/>
          <w:szCs w:val="24"/>
          <w:u w:color="000000"/>
        </w:rPr>
        <w:t>cross-sectional enhanced CT images</w:t>
      </w:r>
      <w:r w:rsidRPr="00115131">
        <w:rPr>
          <w:rFonts w:ascii="Book Antiqua" w:hAnsi="Book Antiqua" w:cs="Times New Roman"/>
          <w:b/>
          <w:color w:val="000000" w:themeColor="text1"/>
          <w:sz w:val="24"/>
          <w:szCs w:val="24"/>
          <w:u w:color="000000"/>
        </w:rPr>
        <w:t xml:space="preserve"> sh</w:t>
      </w:r>
      <w:r w:rsidR="008B3E0F" w:rsidRPr="00115131">
        <w:rPr>
          <w:rFonts w:ascii="Book Antiqua" w:hAnsi="Book Antiqua" w:cs="Times New Roman"/>
          <w:b/>
          <w:color w:val="000000" w:themeColor="text1"/>
          <w:sz w:val="24"/>
          <w:szCs w:val="24"/>
          <w:u w:color="000000"/>
        </w:rPr>
        <w:t>ow large paraesophageal varic</w:t>
      </w:r>
      <w:r w:rsidR="00221B6B" w:rsidRPr="00115131">
        <w:rPr>
          <w:rFonts w:ascii="Book Antiqua" w:hAnsi="Book Antiqua" w:cs="Times New Roman"/>
          <w:b/>
          <w:color w:val="000000" w:themeColor="text1"/>
          <w:sz w:val="24"/>
          <w:szCs w:val="24"/>
          <w:u w:color="000000"/>
        </w:rPr>
        <w:t>es</w:t>
      </w:r>
      <w:r w:rsidR="00476F69" w:rsidRPr="00115131">
        <w:rPr>
          <w:rFonts w:ascii="Book Antiqua" w:hAnsi="Book Antiqua" w:cs="Times New Roman"/>
          <w:b/>
          <w:color w:val="000000" w:themeColor="text1"/>
          <w:sz w:val="24"/>
          <w:szCs w:val="24"/>
          <w:u w:color="000000"/>
        </w:rPr>
        <w:t xml:space="preserve"> (white arrow)</w:t>
      </w:r>
      <w:r w:rsidR="00221B6B" w:rsidRPr="00115131">
        <w:rPr>
          <w:rFonts w:ascii="Book Antiqua" w:hAnsi="Book Antiqua" w:cs="Times New Roman"/>
          <w:b/>
          <w:color w:val="000000" w:themeColor="text1"/>
          <w:sz w:val="24"/>
          <w:szCs w:val="24"/>
          <w:u w:color="000000"/>
        </w:rPr>
        <w:t xml:space="preserve"> surrounding the esophagus circumferentially in a patient with liver cirrhosis and portal hypertension.</w:t>
      </w:r>
      <w:r w:rsidR="00476F69" w:rsidRPr="00787839">
        <w:rPr>
          <w:rFonts w:ascii="Book Antiqua" w:hAnsi="Book Antiqua" w:cs="Times New Roman"/>
          <w:color w:val="000000" w:themeColor="text1"/>
          <w:sz w:val="24"/>
          <w:szCs w:val="24"/>
          <w:u w:color="000000"/>
        </w:rPr>
        <w:t xml:space="preserve"> Note </w:t>
      </w:r>
      <w:r w:rsidR="00395F28" w:rsidRPr="00787839">
        <w:rPr>
          <w:rFonts w:ascii="Book Antiqua" w:hAnsi="Book Antiqua" w:cs="Times New Roman"/>
          <w:color w:val="000000" w:themeColor="text1"/>
          <w:sz w:val="24"/>
          <w:szCs w:val="24"/>
          <w:u w:color="000000"/>
        </w:rPr>
        <w:t xml:space="preserve">the </w:t>
      </w:r>
      <w:r w:rsidR="00476F69" w:rsidRPr="00787839">
        <w:rPr>
          <w:rFonts w:ascii="Book Antiqua" w:hAnsi="Book Antiqua" w:cs="Times New Roman"/>
          <w:color w:val="000000" w:themeColor="text1"/>
          <w:sz w:val="24"/>
          <w:szCs w:val="24"/>
          <w:u w:color="000000"/>
        </w:rPr>
        <w:t>nodular</w:t>
      </w:r>
      <w:r w:rsidR="00395F28" w:rsidRPr="00787839">
        <w:rPr>
          <w:rFonts w:ascii="Book Antiqua" w:hAnsi="Book Antiqua" w:cs="Times New Roman"/>
          <w:color w:val="000000" w:themeColor="text1"/>
          <w:sz w:val="24"/>
          <w:szCs w:val="24"/>
          <w:u w:color="000000"/>
        </w:rPr>
        <w:t xml:space="preserve"> and</w:t>
      </w:r>
      <w:r w:rsidR="00476F69" w:rsidRPr="00787839">
        <w:rPr>
          <w:rFonts w:ascii="Book Antiqua" w:hAnsi="Book Antiqua" w:cs="Times New Roman"/>
          <w:color w:val="000000" w:themeColor="text1"/>
          <w:sz w:val="24"/>
          <w:szCs w:val="24"/>
          <w:u w:color="000000"/>
        </w:rPr>
        <w:t xml:space="preserve"> shrunken liver, low-density abdominal ascites and splenomegaly.</w:t>
      </w:r>
    </w:p>
    <w:p w14:paraId="68AF772A" w14:textId="77777777" w:rsidR="00AF5E7C" w:rsidRPr="00787839" w:rsidRDefault="00AF5E7C" w:rsidP="007F096F">
      <w:pPr>
        <w:adjustRightInd w:val="0"/>
        <w:snapToGrid w:val="0"/>
        <w:spacing w:after="0" w:line="360" w:lineRule="auto"/>
        <w:rPr>
          <w:rFonts w:ascii="Book Antiqua" w:hAnsi="Book Antiqua" w:cs="Times New Roman"/>
          <w:b/>
          <w:color w:val="000000" w:themeColor="text1"/>
          <w:sz w:val="24"/>
          <w:szCs w:val="24"/>
          <w:u w:color="000000"/>
        </w:rPr>
      </w:pPr>
    </w:p>
    <w:p w14:paraId="2DB199AF" w14:textId="408543EB"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4D62CF25" wp14:editId="34B062D9">
            <wp:extent cx="5943600" cy="4457700"/>
            <wp:effectExtent l="0" t="0" r="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41773D8E" w14:textId="7BBABFB6" w:rsidR="005414BD" w:rsidRPr="00115131" w:rsidRDefault="00115131" w:rsidP="007F096F">
      <w:pPr>
        <w:adjustRightInd w:val="0"/>
        <w:snapToGrid w:val="0"/>
        <w:spacing w:after="0" w:line="360" w:lineRule="auto"/>
        <w:rPr>
          <w:rFonts w:ascii="Book Antiqua" w:hAnsi="Book Antiqua" w:cs="Times New Roman"/>
          <w:b/>
          <w:color w:val="000000" w:themeColor="text1"/>
          <w:sz w:val="24"/>
          <w:szCs w:val="24"/>
          <w:u w:color="000000"/>
        </w:rPr>
      </w:pPr>
      <w:r w:rsidRPr="00115131">
        <w:rPr>
          <w:rFonts w:ascii="Book Antiqua" w:hAnsi="Book Antiqua" w:cs="Times New Roman"/>
          <w:b/>
          <w:color w:val="000000" w:themeColor="text1"/>
          <w:sz w:val="24"/>
          <w:szCs w:val="24"/>
          <w:u w:color="000000"/>
        </w:rPr>
        <w:t>Figure 6</w:t>
      </w:r>
      <w:r w:rsidR="008B3E0F" w:rsidRPr="00115131">
        <w:rPr>
          <w:rFonts w:ascii="Book Antiqua" w:hAnsi="Book Antiqua" w:cs="Times New Roman"/>
          <w:b/>
          <w:color w:val="000000" w:themeColor="text1"/>
          <w:sz w:val="24"/>
          <w:szCs w:val="24"/>
          <w:u w:color="000000"/>
        </w:rPr>
        <w:t xml:space="preserve"> Coronal post-gadolin</w:t>
      </w:r>
      <w:r w:rsidR="00602C11" w:rsidRPr="00115131">
        <w:rPr>
          <w:rFonts w:ascii="Book Antiqua" w:hAnsi="Book Antiqua" w:cs="Times New Roman"/>
          <w:b/>
          <w:color w:val="000000" w:themeColor="text1"/>
          <w:sz w:val="24"/>
          <w:szCs w:val="24"/>
          <w:u w:color="000000"/>
        </w:rPr>
        <w:t>i</w:t>
      </w:r>
      <w:r w:rsidR="008B3E0F" w:rsidRPr="00115131">
        <w:rPr>
          <w:rFonts w:ascii="Book Antiqua" w:hAnsi="Book Antiqua" w:cs="Times New Roman"/>
          <w:b/>
          <w:color w:val="000000" w:themeColor="text1"/>
          <w:sz w:val="24"/>
          <w:szCs w:val="24"/>
          <w:u w:color="000000"/>
        </w:rPr>
        <w:t xml:space="preserve">um T1-weighted fat-suppressed </w:t>
      </w:r>
      <w:r w:rsidR="005849D7" w:rsidRPr="00115131">
        <w:rPr>
          <w:rFonts w:ascii="Book Antiqua" w:hAnsi="Book Antiqua" w:cs="Times New Roman"/>
          <w:b/>
          <w:color w:val="000000" w:themeColor="text1"/>
          <w:sz w:val="24"/>
          <w:szCs w:val="24"/>
          <w:u w:color="000000"/>
        </w:rPr>
        <w:t>MR</w:t>
      </w:r>
      <w:r w:rsidR="00833880" w:rsidRPr="00115131">
        <w:rPr>
          <w:rFonts w:ascii="Book Antiqua" w:hAnsi="Book Antiqua" w:cs="Times New Roman"/>
          <w:b/>
          <w:color w:val="000000" w:themeColor="text1"/>
          <w:sz w:val="24"/>
          <w:szCs w:val="24"/>
          <w:u w:color="000000"/>
        </w:rPr>
        <w:t xml:space="preserve"> </w:t>
      </w:r>
      <w:r w:rsidR="005849D7" w:rsidRPr="00115131">
        <w:rPr>
          <w:rFonts w:ascii="Book Antiqua" w:hAnsi="Book Antiqua" w:cs="Times New Roman"/>
          <w:b/>
          <w:color w:val="000000" w:themeColor="text1"/>
          <w:sz w:val="24"/>
          <w:szCs w:val="24"/>
          <w:u w:color="000000"/>
        </w:rPr>
        <w:t>image</w:t>
      </w:r>
      <w:r w:rsidR="00833880" w:rsidRPr="00115131">
        <w:rPr>
          <w:rFonts w:ascii="Book Antiqua" w:hAnsi="Book Antiqua" w:cs="Times New Roman"/>
          <w:b/>
          <w:color w:val="000000" w:themeColor="text1"/>
          <w:sz w:val="24"/>
          <w:szCs w:val="24"/>
          <w:u w:color="000000"/>
        </w:rPr>
        <w:t xml:space="preserve"> shows prominent cardiophrenic</w:t>
      </w:r>
      <w:r w:rsidR="00221B6B" w:rsidRPr="00115131">
        <w:rPr>
          <w:rFonts w:ascii="Book Antiqua" w:hAnsi="Book Antiqua" w:cs="Times New Roman"/>
          <w:b/>
          <w:color w:val="000000" w:themeColor="text1"/>
          <w:sz w:val="24"/>
          <w:szCs w:val="24"/>
          <w:u w:color="000000"/>
        </w:rPr>
        <w:t xml:space="preserve"> (white arrow)</w:t>
      </w:r>
      <w:r w:rsidR="00833880" w:rsidRPr="00115131">
        <w:rPr>
          <w:rFonts w:ascii="Book Antiqua" w:hAnsi="Book Antiqua" w:cs="Times New Roman"/>
          <w:b/>
          <w:color w:val="000000" w:themeColor="text1"/>
          <w:sz w:val="24"/>
          <w:szCs w:val="24"/>
          <w:u w:color="000000"/>
        </w:rPr>
        <w:t xml:space="preserve"> and pericardial collateral veins</w:t>
      </w:r>
      <w:r w:rsidR="00221B6B" w:rsidRPr="00115131">
        <w:rPr>
          <w:rFonts w:ascii="Book Antiqua" w:hAnsi="Book Antiqua" w:cs="Times New Roman"/>
          <w:b/>
          <w:color w:val="000000" w:themeColor="text1"/>
          <w:sz w:val="24"/>
          <w:szCs w:val="24"/>
          <w:u w:color="000000"/>
        </w:rPr>
        <w:t xml:space="preserve"> (</w:t>
      </w:r>
      <w:r w:rsidR="00B77997" w:rsidRPr="00115131">
        <w:rPr>
          <w:rFonts w:ascii="Book Antiqua" w:hAnsi="Book Antiqua" w:cs="Times New Roman"/>
          <w:b/>
          <w:color w:val="000000" w:themeColor="text1"/>
          <w:sz w:val="24"/>
          <w:szCs w:val="24"/>
          <w:u w:color="000000"/>
        </w:rPr>
        <w:t>dashed white</w:t>
      </w:r>
      <w:r w:rsidR="00221B6B" w:rsidRPr="00115131">
        <w:rPr>
          <w:rFonts w:ascii="Book Antiqua" w:hAnsi="Book Antiqua" w:cs="Times New Roman"/>
          <w:b/>
          <w:color w:val="000000" w:themeColor="text1"/>
          <w:sz w:val="24"/>
          <w:szCs w:val="24"/>
          <w:u w:color="000000"/>
        </w:rPr>
        <w:t xml:space="preserve"> arrow)</w:t>
      </w:r>
      <w:r w:rsidR="00833880" w:rsidRPr="00115131">
        <w:rPr>
          <w:rFonts w:ascii="Book Antiqua" w:hAnsi="Book Antiqua" w:cs="Times New Roman"/>
          <w:b/>
          <w:color w:val="000000" w:themeColor="text1"/>
          <w:sz w:val="24"/>
          <w:szCs w:val="24"/>
          <w:u w:color="000000"/>
        </w:rPr>
        <w:t xml:space="preserve"> in </w:t>
      </w:r>
      <w:r w:rsidR="00221B6B" w:rsidRPr="00115131">
        <w:rPr>
          <w:rFonts w:ascii="Book Antiqua" w:hAnsi="Book Antiqua" w:cs="Times New Roman"/>
          <w:b/>
          <w:color w:val="000000" w:themeColor="text1"/>
          <w:sz w:val="24"/>
          <w:szCs w:val="24"/>
          <w:u w:color="000000"/>
        </w:rPr>
        <w:t>a</w:t>
      </w:r>
      <w:r w:rsidR="00833880" w:rsidRPr="00115131">
        <w:rPr>
          <w:rFonts w:ascii="Book Antiqua" w:hAnsi="Book Antiqua" w:cs="Times New Roman"/>
          <w:b/>
          <w:color w:val="000000" w:themeColor="text1"/>
          <w:sz w:val="24"/>
          <w:szCs w:val="24"/>
          <w:u w:color="000000"/>
        </w:rPr>
        <w:t xml:space="preserve"> patient with Budd-Chiari syndrome.</w:t>
      </w:r>
    </w:p>
    <w:p w14:paraId="6DCD009C"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6C9D6272"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6CD6A054"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00D1AC88"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06D4942F"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24457A16"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18696703" w14:textId="5D64DDF2"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751734C3" wp14:editId="2BB7B291">
            <wp:extent cx="5179671" cy="3884753"/>
            <wp:effectExtent l="0" t="0" r="254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179671" cy="3884753"/>
                    </a:xfrm>
                    <a:prstGeom prst="rect">
                      <a:avLst/>
                    </a:prstGeom>
                    <a:noFill/>
                    <a:ln>
                      <a:noFill/>
                    </a:ln>
                  </pic:spPr>
                </pic:pic>
              </a:graphicData>
            </a:graphic>
          </wp:inline>
        </w:drawing>
      </w:r>
    </w:p>
    <w:p w14:paraId="40FA9805" w14:textId="7637E035" w:rsidR="00623E52" w:rsidRPr="00787839" w:rsidRDefault="00115131" w:rsidP="007F096F">
      <w:pPr>
        <w:adjustRightInd w:val="0"/>
        <w:snapToGrid w:val="0"/>
        <w:spacing w:after="0" w:line="360" w:lineRule="auto"/>
        <w:rPr>
          <w:rFonts w:ascii="Book Antiqua" w:hAnsi="Book Antiqua" w:cs="Times New Roman"/>
          <w:color w:val="000000" w:themeColor="text1"/>
          <w:sz w:val="24"/>
          <w:szCs w:val="24"/>
          <w:u w:color="000000"/>
        </w:rPr>
      </w:pPr>
      <w:r w:rsidRPr="00115131">
        <w:rPr>
          <w:rFonts w:ascii="Book Antiqua" w:hAnsi="Book Antiqua" w:cs="Times New Roman"/>
          <w:b/>
          <w:color w:val="000000" w:themeColor="text1"/>
          <w:sz w:val="24"/>
          <w:szCs w:val="24"/>
          <w:u w:color="000000"/>
        </w:rPr>
        <w:t>Figure 7</w:t>
      </w:r>
      <w:r w:rsidR="00833880" w:rsidRPr="00115131">
        <w:rPr>
          <w:rFonts w:ascii="Book Antiqua" w:hAnsi="Book Antiqua" w:cs="Times New Roman"/>
          <w:b/>
          <w:color w:val="000000" w:themeColor="text1"/>
          <w:sz w:val="24"/>
          <w:szCs w:val="24"/>
          <w:u w:color="000000"/>
        </w:rPr>
        <w:t xml:space="preserve"> </w:t>
      </w:r>
      <w:r w:rsidR="00221B6B" w:rsidRPr="00115131">
        <w:rPr>
          <w:rFonts w:ascii="Book Antiqua" w:hAnsi="Book Antiqua" w:cs="Times New Roman"/>
          <w:b/>
          <w:color w:val="000000" w:themeColor="text1"/>
          <w:sz w:val="24"/>
          <w:szCs w:val="24"/>
          <w:u w:color="000000"/>
        </w:rPr>
        <w:t>Enhanced axial</w:t>
      </w:r>
      <w:r w:rsidR="00833880" w:rsidRPr="00115131">
        <w:rPr>
          <w:rFonts w:ascii="Book Antiqua" w:hAnsi="Book Antiqua" w:cs="Times New Roman"/>
          <w:b/>
          <w:color w:val="000000" w:themeColor="text1"/>
          <w:sz w:val="24"/>
          <w:szCs w:val="24"/>
          <w:u w:color="000000"/>
        </w:rPr>
        <w:t xml:space="preserve"> CT</w:t>
      </w:r>
      <w:r w:rsidR="00221B6B" w:rsidRPr="00115131">
        <w:rPr>
          <w:rFonts w:ascii="Book Antiqua" w:hAnsi="Book Antiqua" w:cs="Times New Roman"/>
          <w:b/>
          <w:color w:val="000000" w:themeColor="text1"/>
          <w:sz w:val="24"/>
          <w:szCs w:val="24"/>
          <w:u w:color="000000"/>
        </w:rPr>
        <w:t xml:space="preserve"> image acquired in portal venous phase</w:t>
      </w:r>
      <w:r w:rsidR="00833880" w:rsidRPr="00115131">
        <w:rPr>
          <w:rFonts w:ascii="Book Antiqua" w:hAnsi="Book Antiqua" w:cs="Times New Roman"/>
          <w:b/>
          <w:color w:val="000000" w:themeColor="text1"/>
          <w:sz w:val="24"/>
          <w:szCs w:val="24"/>
          <w:u w:color="000000"/>
        </w:rPr>
        <w:t xml:space="preserve"> demonstrates large upper abdominal</w:t>
      </w:r>
      <w:r w:rsidR="00623E52" w:rsidRPr="00115131">
        <w:rPr>
          <w:rFonts w:ascii="Book Antiqua" w:hAnsi="Book Antiqua" w:cs="Times New Roman"/>
          <w:b/>
          <w:color w:val="000000" w:themeColor="text1"/>
          <w:sz w:val="24"/>
          <w:szCs w:val="24"/>
          <w:u w:color="000000"/>
        </w:rPr>
        <w:t xml:space="preserve"> omental</w:t>
      </w:r>
      <w:r w:rsidR="00833880" w:rsidRPr="00115131">
        <w:rPr>
          <w:rFonts w:ascii="Book Antiqua" w:hAnsi="Book Antiqua" w:cs="Times New Roman"/>
          <w:b/>
          <w:color w:val="000000" w:themeColor="text1"/>
          <w:sz w:val="24"/>
          <w:szCs w:val="24"/>
          <w:u w:color="000000"/>
        </w:rPr>
        <w:t xml:space="preserve"> varices</w:t>
      </w:r>
      <w:r w:rsidR="00221B6B" w:rsidRPr="00115131">
        <w:rPr>
          <w:rFonts w:ascii="Book Antiqua" w:hAnsi="Book Antiqua" w:cs="Times New Roman"/>
          <w:b/>
          <w:color w:val="000000" w:themeColor="text1"/>
          <w:sz w:val="24"/>
          <w:szCs w:val="24"/>
          <w:u w:color="000000"/>
        </w:rPr>
        <w:t xml:space="preserve"> (white arrow)</w:t>
      </w:r>
      <w:r w:rsidR="00833880" w:rsidRPr="00115131">
        <w:rPr>
          <w:rFonts w:ascii="Book Antiqua" w:hAnsi="Book Antiqua" w:cs="Times New Roman"/>
          <w:b/>
          <w:color w:val="000000" w:themeColor="text1"/>
          <w:sz w:val="24"/>
          <w:szCs w:val="24"/>
          <w:u w:color="000000"/>
        </w:rPr>
        <w:t>.</w:t>
      </w:r>
      <w:r w:rsidR="00257D78" w:rsidRPr="00787839">
        <w:rPr>
          <w:rFonts w:ascii="Book Antiqua" w:hAnsi="Book Antiqua" w:cs="Times New Roman"/>
          <w:color w:val="000000" w:themeColor="text1"/>
          <w:sz w:val="24"/>
          <w:szCs w:val="24"/>
          <w:u w:color="000000"/>
        </w:rPr>
        <w:t xml:space="preserve"> Additionally, several </w:t>
      </w:r>
      <w:r w:rsidR="005849D7" w:rsidRPr="00787839">
        <w:rPr>
          <w:rFonts w:ascii="Book Antiqua" w:hAnsi="Book Antiqua" w:cs="Times New Roman"/>
          <w:color w:val="000000" w:themeColor="text1"/>
          <w:sz w:val="24"/>
          <w:szCs w:val="24"/>
          <w:u w:color="000000"/>
        </w:rPr>
        <w:t>enlarged submucosal gastric</w:t>
      </w:r>
      <w:r w:rsidR="00257D78" w:rsidRPr="00787839">
        <w:rPr>
          <w:rFonts w:ascii="Book Antiqua" w:hAnsi="Book Antiqua" w:cs="Times New Roman"/>
          <w:color w:val="000000" w:themeColor="text1"/>
          <w:sz w:val="24"/>
          <w:szCs w:val="24"/>
          <w:u w:color="000000"/>
        </w:rPr>
        <w:t xml:space="preserve"> (</w:t>
      </w:r>
      <w:r w:rsidR="005849D7" w:rsidRPr="00787839">
        <w:rPr>
          <w:rFonts w:ascii="Book Antiqua" w:hAnsi="Book Antiqua" w:cs="Times New Roman"/>
          <w:color w:val="000000" w:themeColor="text1"/>
          <w:sz w:val="24"/>
          <w:szCs w:val="24"/>
          <w:u w:color="000000"/>
        </w:rPr>
        <w:t>black</w:t>
      </w:r>
      <w:r w:rsidR="00257D78" w:rsidRPr="00787839">
        <w:rPr>
          <w:rFonts w:ascii="Book Antiqua" w:hAnsi="Book Antiqua" w:cs="Times New Roman"/>
          <w:color w:val="000000" w:themeColor="text1"/>
          <w:sz w:val="24"/>
          <w:szCs w:val="24"/>
          <w:u w:color="000000"/>
        </w:rPr>
        <w:t xml:space="preserve"> arrow) and </w:t>
      </w:r>
      <w:r w:rsidR="005849D7" w:rsidRPr="00787839">
        <w:rPr>
          <w:rFonts w:ascii="Book Antiqua" w:hAnsi="Book Antiqua" w:cs="Times New Roman"/>
          <w:color w:val="000000" w:themeColor="text1"/>
          <w:sz w:val="24"/>
          <w:szCs w:val="24"/>
          <w:u w:color="000000"/>
        </w:rPr>
        <w:t>short</w:t>
      </w:r>
      <w:r w:rsidR="00257D78" w:rsidRPr="00787839">
        <w:rPr>
          <w:rFonts w:ascii="Book Antiqua" w:hAnsi="Book Antiqua" w:cs="Times New Roman"/>
          <w:color w:val="000000" w:themeColor="text1"/>
          <w:sz w:val="24"/>
          <w:szCs w:val="24"/>
          <w:u w:color="000000"/>
        </w:rPr>
        <w:t xml:space="preserve"> gastric varices</w:t>
      </w:r>
      <w:r w:rsidR="00B07045" w:rsidRPr="00787839">
        <w:rPr>
          <w:rFonts w:ascii="Book Antiqua" w:hAnsi="Book Antiqua" w:cs="Times New Roman"/>
          <w:color w:val="000000" w:themeColor="text1"/>
          <w:sz w:val="24"/>
          <w:szCs w:val="24"/>
          <w:u w:color="000000"/>
        </w:rPr>
        <w:t xml:space="preserve"> (</w:t>
      </w:r>
      <w:r w:rsidR="005849D7" w:rsidRPr="00787839">
        <w:rPr>
          <w:rFonts w:ascii="Book Antiqua" w:hAnsi="Book Antiqua" w:cs="Times New Roman"/>
          <w:color w:val="000000" w:themeColor="text1"/>
          <w:sz w:val="24"/>
          <w:szCs w:val="24"/>
          <w:u w:color="000000"/>
        </w:rPr>
        <w:t>dashed black</w:t>
      </w:r>
      <w:r w:rsidR="00B07045" w:rsidRPr="00787839">
        <w:rPr>
          <w:rFonts w:ascii="Book Antiqua" w:hAnsi="Book Antiqua" w:cs="Times New Roman"/>
          <w:color w:val="000000" w:themeColor="text1"/>
          <w:sz w:val="24"/>
          <w:szCs w:val="24"/>
          <w:u w:color="000000"/>
        </w:rPr>
        <w:t xml:space="preserve"> arrow)</w:t>
      </w:r>
      <w:r w:rsidR="00257D78" w:rsidRPr="00787839">
        <w:rPr>
          <w:rFonts w:ascii="Book Antiqua" w:hAnsi="Book Antiqua" w:cs="Times New Roman"/>
          <w:color w:val="000000" w:themeColor="text1"/>
          <w:sz w:val="24"/>
          <w:szCs w:val="24"/>
          <w:u w:color="000000"/>
        </w:rPr>
        <w:t>.</w:t>
      </w:r>
    </w:p>
    <w:p w14:paraId="414A1F0C"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5395ECF2"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39AFD4BC"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2980FB74"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543B4BBC"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01D546CA"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6E095E8A"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787CC5F3"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65C2E8BF" w14:textId="1DA0BDC2"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40A3A8D1" wp14:editId="3FE61901">
            <wp:extent cx="5943600" cy="4457700"/>
            <wp:effectExtent l="0" t="0" r="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7FEBBD32" w14:textId="40965D7A" w:rsidR="00A00F26" w:rsidRPr="00115131" w:rsidRDefault="00115131" w:rsidP="007F096F">
      <w:pPr>
        <w:adjustRightInd w:val="0"/>
        <w:snapToGrid w:val="0"/>
        <w:spacing w:after="0" w:line="360" w:lineRule="auto"/>
        <w:rPr>
          <w:rFonts w:ascii="Book Antiqua" w:hAnsi="Book Antiqua" w:cs="Times New Roman"/>
          <w:b/>
          <w:color w:val="000000" w:themeColor="text1"/>
          <w:sz w:val="24"/>
          <w:szCs w:val="24"/>
          <w:u w:color="000000"/>
        </w:rPr>
      </w:pPr>
      <w:r w:rsidRPr="00115131">
        <w:rPr>
          <w:rFonts w:ascii="Book Antiqua" w:hAnsi="Book Antiqua" w:cs="Times New Roman"/>
          <w:b/>
          <w:color w:val="000000" w:themeColor="text1"/>
          <w:sz w:val="24"/>
          <w:szCs w:val="24"/>
          <w:u w:color="000000"/>
        </w:rPr>
        <w:t>Figure 8</w:t>
      </w:r>
      <w:r w:rsidR="00833880" w:rsidRPr="00115131">
        <w:rPr>
          <w:rFonts w:ascii="Book Antiqua" w:hAnsi="Book Antiqua" w:cs="Times New Roman"/>
          <w:b/>
          <w:color w:val="000000" w:themeColor="text1"/>
          <w:sz w:val="24"/>
          <w:szCs w:val="24"/>
          <w:u w:color="000000"/>
        </w:rPr>
        <w:t xml:space="preserve"> </w:t>
      </w:r>
      <w:r w:rsidR="00623E52" w:rsidRPr="00115131">
        <w:rPr>
          <w:rFonts w:ascii="Book Antiqua" w:hAnsi="Book Antiqua" w:cs="Times New Roman"/>
          <w:b/>
          <w:color w:val="000000" w:themeColor="text1"/>
          <w:sz w:val="24"/>
          <w:szCs w:val="24"/>
          <w:u w:color="000000"/>
        </w:rPr>
        <w:t>Retroflexed endoscopic</w:t>
      </w:r>
      <w:r w:rsidR="00833880" w:rsidRPr="00115131">
        <w:rPr>
          <w:rFonts w:ascii="Book Antiqua" w:hAnsi="Book Antiqua" w:cs="Times New Roman"/>
          <w:b/>
          <w:color w:val="000000" w:themeColor="text1"/>
          <w:sz w:val="24"/>
          <w:szCs w:val="24"/>
          <w:u w:color="000000"/>
        </w:rPr>
        <w:t xml:space="preserve"> image of large </w:t>
      </w:r>
      <w:r w:rsidR="00257D78" w:rsidRPr="00115131">
        <w:rPr>
          <w:rFonts w:ascii="Book Antiqua" w:hAnsi="Book Antiqua" w:cs="Times New Roman"/>
          <w:b/>
          <w:color w:val="000000" w:themeColor="text1"/>
          <w:sz w:val="24"/>
          <w:szCs w:val="24"/>
          <w:u w:color="000000"/>
        </w:rPr>
        <w:t xml:space="preserve">tortuous submucosal </w:t>
      </w:r>
      <w:r w:rsidR="00833880" w:rsidRPr="00115131">
        <w:rPr>
          <w:rFonts w:ascii="Book Antiqua" w:hAnsi="Book Antiqua" w:cs="Times New Roman"/>
          <w:b/>
          <w:color w:val="000000" w:themeColor="text1"/>
          <w:sz w:val="24"/>
          <w:szCs w:val="24"/>
          <w:u w:color="000000"/>
        </w:rPr>
        <w:t>gastric varices</w:t>
      </w:r>
      <w:r w:rsidR="00893E4A" w:rsidRPr="00115131">
        <w:rPr>
          <w:rFonts w:ascii="Book Antiqua" w:hAnsi="Book Antiqua" w:cs="Times New Roman"/>
          <w:b/>
          <w:color w:val="000000" w:themeColor="text1"/>
          <w:sz w:val="24"/>
          <w:szCs w:val="24"/>
          <w:u w:color="000000"/>
        </w:rPr>
        <w:t xml:space="preserve"> (black star)</w:t>
      </w:r>
      <w:r w:rsidR="00833880" w:rsidRPr="00115131">
        <w:rPr>
          <w:rFonts w:ascii="Book Antiqua" w:hAnsi="Book Antiqua" w:cs="Times New Roman"/>
          <w:b/>
          <w:color w:val="000000" w:themeColor="text1"/>
          <w:sz w:val="24"/>
          <w:szCs w:val="24"/>
          <w:u w:color="000000"/>
        </w:rPr>
        <w:t>.</w:t>
      </w:r>
    </w:p>
    <w:p w14:paraId="7959FFC5"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0CB6228E"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425849F9"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501AABA0"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2A36EE9F"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186D06E8"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29AEAE27"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34E13FF3" w14:textId="550617BB"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336CE97E" wp14:editId="0C7C6524">
            <wp:extent cx="5943600" cy="4457700"/>
            <wp:effectExtent l="0" t="0" r="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0EFB88EB" w14:textId="2FC1BA18" w:rsidR="00646B56" w:rsidRPr="00115131" w:rsidRDefault="00115131" w:rsidP="007F096F">
      <w:pPr>
        <w:adjustRightInd w:val="0"/>
        <w:snapToGrid w:val="0"/>
        <w:spacing w:after="0" w:line="360" w:lineRule="auto"/>
        <w:rPr>
          <w:rFonts w:ascii="Book Antiqua" w:hAnsi="Book Antiqua" w:cs="Times New Roman"/>
          <w:b/>
          <w:color w:val="000000" w:themeColor="text1"/>
          <w:sz w:val="24"/>
          <w:szCs w:val="24"/>
          <w:u w:color="000000"/>
        </w:rPr>
      </w:pPr>
      <w:r w:rsidRPr="00115131">
        <w:rPr>
          <w:rFonts w:ascii="Book Antiqua" w:hAnsi="Book Antiqua" w:cs="Times New Roman"/>
          <w:b/>
          <w:color w:val="000000" w:themeColor="text1"/>
          <w:sz w:val="24"/>
          <w:szCs w:val="24"/>
          <w:u w:color="000000"/>
        </w:rPr>
        <w:t>Figure 9</w:t>
      </w:r>
      <w:r w:rsidR="00833880" w:rsidRPr="00115131">
        <w:rPr>
          <w:rFonts w:ascii="Book Antiqua" w:hAnsi="Book Antiqua" w:cs="Times New Roman"/>
          <w:b/>
          <w:color w:val="000000" w:themeColor="text1"/>
          <w:sz w:val="24"/>
          <w:szCs w:val="24"/>
          <w:u w:color="000000"/>
        </w:rPr>
        <w:t xml:space="preserve"> Coronal </w:t>
      </w:r>
      <w:r w:rsidR="00502D23" w:rsidRPr="00115131">
        <w:rPr>
          <w:rFonts w:ascii="Book Antiqua" w:hAnsi="Book Antiqua" w:cs="Times New Roman"/>
          <w:b/>
          <w:color w:val="000000" w:themeColor="text1"/>
          <w:sz w:val="24"/>
          <w:szCs w:val="24"/>
          <w:u w:color="000000"/>
        </w:rPr>
        <w:t xml:space="preserve">enhanced </w:t>
      </w:r>
      <w:r w:rsidR="00833880" w:rsidRPr="00115131">
        <w:rPr>
          <w:rFonts w:ascii="Book Antiqua" w:hAnsi="Book Antiqua" w:cs="Times New Roman"/>
          <w:b/>
          <w:color w:val="000000" w:themeColor="text1"/>
          <w:sz w:val="24"/>
          <w:szCs w:val="24"/>
          <w:u w:color="000000"/>
        </w:rPr>
        <w:t>CT</w:t>
      </w:r>
      <w:r w:rsidR="00502D23" w:rsidRPr="00115131">
        <w:rPr>
          <w:rFonts w:ascii="Book Antiqua" w:hAnsi="Book Antiqua" w:cs="Times New Roman"/>
          <w:b/>
          <w:color w:val="000000" w:themeColor="text1"/>
          <w:sz w:val="24"/>
          <w:szCs w:val="24"/>
          <w:u w:color="000000"/>
        </w:rPr>
        <w:t xml:space="preserve"> image</w:t>
      </w:r>
      <w:r w:rsidR="00833880" w:rsidRPr="00115131">
        <w:rPr>
          <w:rFonts w:ascii="Book Antiqua" w:hAnsi="Book Antiqua" w:cs="Times New Roman"/>
          <w:b/>
          <w:color w:val="000000" w:themeColor="text1"/>
          <w:sz w:val="24"/>
          <w:szCs w:val="24"/>
          <w:u w:color="000000"/>
        </w:rPr>
        <w:t xml:space="preserve"> </w:t>
      </w:r>
      <w:r w:rsidR="00623E52" w:rsidRPr="00115131">
        <w:rPr>
          <w:rFonts w:ascii="Book Antiqua" w:hAnsi="Book Antiqua" w:cs="Times New Roman"/>
          <w:b/>
          <w:color w:val="000000" w:themeColor="text1"/>
          <w:sz w:val="24"/>
          <w:szCs w:val="24"/>
          <w:u w:color="000000"/>
        </w:rPr>
        <w:t>demonstrates</w:t>
      </w:r>
      <w:r w:rsidR="00833880" w:rsidRPr="00115131">
        <w:rPr>
          <w:rFonts w:ascii="Book Antiqua" w:hAnsi="Book Antiqua" w:cs="Times New Roman"/>
          <w:b/>
          <w:color w:val="000000" w:themeColor="text1"/>
          <w:sz w:val="24"/>
          <w:szCs w:val="24"/>
          <w:u w:color="000000"/>
        </w:rPr>
        <w:t xml:space="preserve"> a</w:t>
      </w:r>
      <w:r w:rsidR="00623E52" w:rsidRPr="00115131">
        <w:rPr>
          <w:rFonts w:ascii="Book Antiqua" w:hAnsi="Book Antiqua" w:cs="Times New Roman"/>
          <w:b/>
          <w:color w:val="000000" w:themeColor="text1"/>
          <w:sz w:val="24"/>
          <w:szCs w:val="24"/>
          <w:u w:color="000000"/>
        </w:rPr>
        <w:t xml:space="preserve"> large</w:t>
      </w:r>
      <w:r w:rsidR="00833880" w:rsidRPr="00115131">
        <w:rPr>
          <w:rFonts w:ascii="Book Antiqua" w:hAnsi="Book Antiqua" w:cs="Times New Roman"/>
          <w:b/>
          <w:color w:val="000000" w:themeColor="text1"/>
          <w:sz w:val="24"/>
          <w:szCs w:val="24"/>
          <w:u w:color="000000"/>
        </w:rPr>
        <w:t xml:space="preserve"> </w:t>
      </w:r>
      <w:r w:rsidR="00623E52" w:rsidRPr="00115131">
        <w:rPr>
          <w:rFonts w:ascii="Book Antiqua" w:hAnsi="Book Antiqua" w:cs="Times New Roman"/>
          <w:b/>
          <w:color w:val="000000" w:themeColor="text1"/>
          <w:sz w:val="24"/>
          <w:szCs w:val="24"/>
          <w:u w:color="000000"/>
        </w:rPr>
        <w:t>gastrorenal</w:t>
      </w:r>
      <w:r w:rsidR="00833880" w:rsidRPr="00115131">
        <w:rPr>
          <w:rFonts w:ascii="Book Antiqua" w:hAnsi="Book Antiqua" w:cs="Times New Roman"/>
          <w:b/>
          <w:color w:val="000000" w:themeColor="text1"/>
          <w:sz w:val="24"/>
          <w:szCs w:val="24"/>
          <w:u w:color="000000"/>
        </w:rPr>
        <w:t xml:space="preserve"> shunt</w:t>
      </w:r>
      <w:r w:rsidR="00502D23" w:rsidRPr="00115131">
        <w:rPr>
          <w:rFonts w:ascii="Book Antiqua" w:hAnsi="Book Antiqua" w:cs="Times New Roman"/>
          <w:b/>
          <w:color w:val="000000" w:themeColor="text1"/>
          <w:sz w:val="24"/>
          <w:szCs w:val="24"/>
          <w:u w:color="000000"/>
        </w:rPr>
        <w:t xml:space="preserve"> (</w:t>
      </w:r>
      <w:r w:rsidR="00B77997" w:rsidRPr="00115131">
        <w:rPr>
          <w:rFonts w:ascii="Book Antiqua" w:hAnsi="Book Antiqua" w:cs="Times New Roman"/>
          <w:b/>
          <w:color w:val="000000" w:themeColor="text1"/>
          <w:sz w:val="24"/>
          <w:szCs w:val="24"/>
          <w:u w:color="000000"/>
        </w:rPr>
        <w:t>black</w:t>
      </w:r>
      <w:r w:rsidR="00502D23" w:rsidRPr="00115131">
        <w:rPr>
          <w:rFonts w:ascii="Book Antiqua" w:hAnsi="Book Antiqua" w:cs="Times New Roman"/>
          <w:b/>
          <w:color w:val="000000" w:themeColor="text1"/>
          <w:sz w:val="24"/>
          <w:szCs w:val="24"/>
          <w:u w:color="000000"/>
        </w:rPr>
        <w:t xml:space="preserve"> arrow) and </w:t>
      </w:r>
      <w:r w:rsidR="00B77997" w:rsidRPr="00115131">
        <w:rPr>
          <w:rFonts w:ascii="Book Antiqua" w:hAnsi="Book Antiqua" w:cs="Times New Roman"/>
          <w:b/>
          <w:color w:val="000000" w:themeColor="text1"/>
          <w:sz w:val="24"/>
          <w:szCs w:val="24"/>
          <w:u w:color="000000"/>
        </w:rPr>
        <w:t xml:space="preserve">perigastric, as well as, </w:t>
      </w:r>
      <w:r w:rsidR="00502D23" w:rsidRPr="00115131">
        <w:rPr>
          <w:rFonts w:ascii="Book Antiqua" w:hAnsi="Book Antiqua" w:cs="Times New Roman"/>
          <w:b/>
          <w:color w:val="000000" w:themeColor="text1"/>
          <w:sz w:val="24"/>
          <w:szCs w:val="24"/>
          <w:u w:color="000000"/>
        </w:rPr>
        <w:t>gastric submucosal varic</w:t>
      </w:r>
      <w:r w:rsidR="00B77997" w:rsidRPr="00115131">
        <w:rPr>
          <w:rFonts w:ascii="Book Antiqua" w:hAnsi="Book Antiqua" w:cs="Times New Roman"/>
          <w:b/>
          <w:color w:val="000000" w:themeColor="text1"/>
          <w:sz w:val="24"/>
          <w:szCs w:val="24"/>
          <w:u w:color="000000"/>
        </w:rPr>
        <w:t>es (white arrow</w:t>
      </w:r>
      <w:r w:rsidR="00AE5763" w:rsidRPr="00115131">
        <w:rPr>
          <w:rFonts w:ascii="Book Antiqua" w:hAnsi="Book Antiqua" w:cs="Times New Roman"/>
          <w:b/>
          <w:color w:val="000000" w:themeColor="text1"/>
          <w:sz w:val="24"/>
          <w:szCs w:val="24"/>
          <w:u w:color="000000"/>
        </w:rPr>
        <w:t>) in a patient with liver cirrhosis and portal hypertension</w:t>
      </w:r>
      <w:r w:rsidR="00833880" w:rsidRPr="00115131">
        <w:rPr>
          <w:rFonts w:ascii="Book Antiqua" w:hAnsi="Book Antiqua" w:cs="Times New Roman"/>
          <w:b/>
          <w:color w:val="000000" w:themeColor="text1"/>
          <w:sz w:val="24"/>
          <w:szCs w:val="24"/>
          <w:u w:color="000000"/>
        </w:rPr>
        <w:t>.</w:t>
      </w:r>
    </w:p>
    <w:p w14:paraId="1B40DA0A"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21F981CF"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7BF5A34F"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198707FC"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6C4A12CE"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70C054E1" w14:textId="7777777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p>
    <w:p w14:paraId="1D85393F" w14:textId="52179717" w:rsidR="00FA310A" w:rsidRPr="00787839" w:rsidRDefault="00FA310A"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78863C5E" wp14:editId="0EB37A75">
            <wp:extent cx="3860157" cy="2895118"/>
            <wp:effectExtent l="0" t="0" r="127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860402" cy="2895302"/>
                    </a:xfrm>
                    <a:prstGeom prst="rect">
                      <a:avLst/>
                    </a:prstGeom>
                    <a:noFill/>
                    <a:ln>
                      <a:noFill/>
                    </a:ln>
                  </pic:spPr>
                </pic:pic>
              </a:graphicData>
            </a:graphic>
          </wp:inline>
        </w:drawing>
      </w:r>
    </w:p>
    <w:p w14:paraId="166D80A5" w14:textId="1DF52436" w:rsidR="008212EB" w:rsidRPr="00787839" w:rsidRDefault="008212EB"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drawing>
          <wp:inline distT="0" distB="0" distL="0" distR="0" wp14:anchorId="2CEF8D04" wp14:editId="488ED5DF">
            <wp:extent cx="3495554" cy="2621666"/>
            <wp:effectExtent l="0" t="0" r="1016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495554" cy="2621666"/>
                    </a:xfrm>
                    <a:prstGeom prst="rect">
                      <a:avLst/>
                    </a:prstGeom>
                    <a:noFill/>
                    <a:ln>
                      <a:noFill/>
                    </a:ln>
                  </pic:spPr>
                </pic:pic>
              </a:graphicData>
            </a:graphic>
          </wp:inline>
        </w:drawing>
      </w:r>
    </w:p>
    <w:p w14:paraId="0242C53C" w14:textId="28DB3CF4" w:rsidR="00257D78" w:rsidRPr="00115131" w:rsidRDefault="00115131" w:rsidP="007F096F">
      <w:pPr>
        <w:adjustRightInd w:val="0"/>
        <w:snapToGrid w:val="0"/>
        <w:spacing w:after="0" w:line="360" w:lineRule="auto"/>
        <w:rPr>
          <w:rFonts w:ascii="Book Antiqua" w:eastAsia="SimSun" w:hAnsi="Book Antiqua" w:cs="Times New Roman"/>
          <w:color w:val="000000" w:themeColor="text1"/>
          <w:sz w:val="24"/>
          <w:szCs w:val="24"/>
          <w:u w:color="000000"/>
          <w:lang w:eastAsia="zh-CN"/>
        </w:rPr>
      </w:pPr>
      <w:r w:rsidRPr="00115131">
        <w:rPr>
          <w:rFonts w:ascii="Book Antiqua" w:hAnsi="Book Antiqua" w:cs="Times New Roman"/>
          <w:b/>
          <w:color w:val="000000" w:themeColor="text1"/>
          <w:sz w:val="24"/>
          <w:szCs w:val="24"/>
          <w:u w:color="000000"/>
        </w:rPr>
        <w:t>Figure 10</w:t>
      </w:r>
      <w:r w:rsidR="00FA310A" w:rsidRPr="00115131">
        <w:rPr>
          <w:rFonts w:ascii="Book Antiqua" w:hAnsi="Book Antiqua" w:cs="Times New Roman"/>
          <w:b/>
          <w:color w:val="000000" w:themeColor="text1"/>
          <w:sz w:val="24"/>
          <w:szCs w:val="24"/>
          <w:u w:color="000000"/>
        </w:rPr>
        <w:t xml:space="preserve"> </w:t>
      </w:r>
      <w:r w:rsidR="00833880" w:rsidRPr="00115131">
        <w:rPr>
          <w:rFonts w:ascii="Book Antiqua" w:hAnsi="Book Antiqua" w:cs="Times New Roman"/>
          <w:b/>
          <w:color w:val="000000" w:themeColor="text1"/>
          <w:sz w:val="24"/>
          <w:szCs w:val="24"/>
          <w:u w:color="000000"/>
        </w:rPr>
        <w:t xml:space="preserve">Axial </w:t>
      </w:r>
      <w:r w:rsidR="00AE5763" w:rsidRPr="00115131">
        <w:rPr>
          <w:rFonts w:ascii="Book Antiqua" w:hAnsi="Book Antiqua" w:cs="Times New Roman"/>
          <w:b/>
          <w:color w:val="000000" w:themeColor="text1"/>
          <w:sz w:val="24"/>
          <w:szCs w:val="24"/>
          <w:u w:color="000000"/>
        </w:rPr>
        <w:t>enhanced CT acquired in portal venous phase demonstrates a prominent splenorenal shunt (</w:t>
      </w:r>
      <w:r w:rsidRPr="00115131">
        <w:rPr>
          <w:rFonts w:ascii="Book Antiqua" w:eastAsia="SimSun" w:hAnsi="Book Antiqua" w:cs="Times New Roman" w:hint="eastAsia"/>
          <w:b/>
          <w:color w:val="000000" w:themeColor="text1"/>
          <w:sz w:val="24"/>
          <w:szCs w:val="24"/>
          <w:u w:color="000000"/>
          <w:lang w:eastAsia="zh-CN"/>
        </w:rPr>
        <w:t xml:space="preserve">A, </w:t>
      </w:r>
      <w:r w:rsidR="00AE5763" w:rsidRPr="00115131">
        <w:rPr>
          <w:rFonts w:ascii="Book Antiqua" w:hAnsi="Book Antiqua" w:cs="Times New Roman"/>
          <w:b/>
          <w:color w:val="000000" w:themeColor="text1"/>
          <w:sz w:val="24"/>
          <w:szCs w:val="24"/>
          <w:u w:color="000000"/>
        </w:rPr>
        <w:t>white arrow)</w:t>
      </w:r>
      <w:r w:rsidRPr="00115131">
        <w:rPr>
          <w:rFonts w:ascii="Book Antiqua" w:eastAsia="SimSun" w:hAnsi="Book Antiqua" w:cs="Times New Roman" w:hint="eastAsia"/>
          <w:b/>
          <w:color w:val="000000" w:themeColor="text1"/>
          <w:sz w:val="24"/>
          <w:szCs w:val="24"/>
          <w:u w:color="000000"/>
          <w:lang w:eastAsia="zh-CN"/>
        </w:rPr>
        <w:t>, l</w:t>
      </w:r>
      <w:r w:rsidR="00833880" w:rsidRPr="00115131">
        <w:rPr>
          <w:rFonts w:ascii="Book Antiqua" w:hAnsi="Book Antiqua" w:cs="Times New Roman"/>
          <w:b/>
          <w:color w:val="000000" w:themeColor="text1"/>
          <w:sz w:val="24"/>
          <w:szCs w:val="24"/>
          <w:u w:color="000000"/>
        </w:rPr>
        <w:t>eft anterior oblique</w:t>
      </w:r>
      <w:r w:rsidR="00AE5763" w:rsidRPr="00115131">
        <w:rPr>
          <w:rFonts w:ascii="Book Antiqua" w:hAnsi="Book Antiqua" w:cs="Times New Roman"/>
          <w:b/>
          <w:color w:val="000000" w:themeColor="text1"/>
          <w:sz w:val="24"/>
          <w:szCs w:val="24"/>
          <w:u w:color="000000"/>
        </w:rPr>
        <w:t xml:space="preserve"> three dimensional </w:t>
      </w:r>
      <w:r w:rsidR="00833880" w:rsidRPr="00115131">
        <w:rPr>
          <w:rFonts w:ascii="Book Antiqua" w:hAnsi="Book Antiqua" w:cs="Times New Roman"/>
          <w:b/>
          <w:color w:val="000000" w:themeColor="text1"/>
          <w:sz w:val="24"/>
          <w:szCs w:val="24"/>
          <w:u w:color="000000"/>
        </w:rPr>
        <w:t xml:space="preserve">CT reconstruction </w:t>
      </w:r>
      <w:r w:rsidR="00AE5763" w:rsidRPr="00115131">
        <w:rPr>
          <w:rFonts w:ascii="Book Antiqua" w:hAnsi="Book Antiqua" w:cs="Times New Roman"/>
          <w:b/>
          <w:color w:val="000000" w:themeColor="text1"/>
          <w:sz w:val="24"/>
          <w:szCs w:val="24"/>
          <w:u w:color="000000"/>
        </w:rPr>
        <w:t>re</w:t>
      </w:r>
      <w:r w:rsidR="00B77997" w:rsidRPr="00115131">
        <w:rPr>
          <w:rFonts w:ascii="Book Antiqua" w:hAnsi="Book Antiqua" w:cs="Times New Roman"/>
          <w:b/>
          <w:color w:val="000000" w:themeColor="text1"/>
          <w:sz w:val="24"/>
          <w:szCs w:val="24"/>
          <w:u w:color="000000"/>
        </w:rPr>
        <w:t>-</w:t>
      </w:r>
      <w:r w:rsidR="00AE5763" w:rsidRPr="00115131">
        <w:rPr>
          <w:rFonts w:ascii="Book Antiqua" w:hAnsi="Book Antiqua" w:cs="Times New Roman"/>
          <w:b/>
          <w:color w:val="000000" w:themeColor="text1"/>
          <w:sz w:val="24"/>
          <w:szCs w:val="24"/>
          <w:u w:color="000000"/>
        </w:rPr>
        <w:t>demonstrates</w:t>
      </w:r>
      <w:r w:rsidR="00646B56" w:rsidRPr="00115131">
        <w:rPr>
          <w:rFonts w:ascii="Book Antiqua" w:hAnsi="Book Antiqua" w:cs="Times New Roman"/>
          <w:b/>
          <w:color w:val="000000" w:themeColor="text1"/>
          <w:sz w:val="24"/>
          <w:szCs w:val="24"/>
          <w:u w:color="000000"/>
        </w:rPr>
        <w:t xml:space="preserve"> spontaneous splenorenal shunt</w:t>
      </w:r>
      <w:r w:rsidR="00E019B6" w:rsidRPr="00115131">
        <w:rPr>
          <w:rFonts w:ascii="Book Antiqua" w:hAnsi="Book Antiqua" w:cs="Times New Roman"/>
          <w:b/>
          <w:color w:val="000000" w:themeColor="text1"/>
          <w:sz w:val="24"/>
          <w:szCs w:val="24"/>
          <w:u w:color="000000"/>
        </w:rPr>
        <w:t xml:space="preserve"> </w:t>
      </w:r>
      <w:r w:rsidR="00AE5763" w:rsidRPr="00115131">
        <w:rPr>
          <w:rFonts w:ascii="Book Antiqua" w:hAnsi="Book Antiqua" w:cs="Times New Roman"/>
          <w:b/>
          <w:color w:val="000000" w:themeColor="text1"/>
          <w:sz w:val="24"/>
          <w:szCs w:val="24"/>
          <w:u w:color="000000"/>
        </w:rPr>
        <w:t xml:space="preserve">draining portal venous blood into the left extra-hilar </w:t>
      </w:r>
      <w:r w:rsidR="00E019B6" w:rsidRPr="00115131">
        <w:rPr>
          <w:rFonts w:ascii="Book Antiqua" w:hAnsi="Book Antiqua" w:cs="Times New Roman"/>
          <w:b/>
          <w:color w:val="000000" w:themeColor="text1"/>
          <w:sz w:val="24"/>
          <w:szCs w:val="24"/>
          <w:u w:color="000000"/>
        </w:rPr>
        <w:t xml:space="preserve">main </w:t>
      </w:r>
      <w:r w:rsidR="00AE5763" w:rsidRPr="00115131">
        <w:rPr>
          <w:rFonts w:ascii="Book Antiqua" w:hAnsi="Book Antiqua" w:cs="Times New Roman"/>
          <w:b/>
          <w:color w:val="000000" w:themeColor="text1"/>
          <w:sz w:val="24"/>
          <w:szCs w:val="24"/>
          <w:u w:color="000000"/>
        </w:rPr>
        <w:t>renal vein</w:t>
      </w:r>
      <w:r w:rsidR="00E019B6" w:rsidRPr="00115131">
        <w:rPr>
          <w:rFonts w:ascii="Book Antiqua" w:hAnsi="Book Antiqua" w:cs="Times New Roman"/>
          <w:b/>
          <w:color w:val="000000" w:themeColor="text1"/>
          <w:sz w:val="24"/>
          <w:szCs w:val="24"/>
          <w:u w:color="000000"/>
        </w:rPr>
        <w:t xml:space="preserve"> (</w:t>
      </w:r>
      <w:r w:rsidRPr="00115131">
        <w:rPr>
          <w:rFonts w:ascii="Book Antiqua" w:eastAsia="SimSun" w:hAnsi="Book Antiqua" w:cs="Times New Roman" w:hint="eastAsia"/>
          <w:b/>
          <w:color w:val="000000" w:themeColor="text1"/>
          <w:sz w:val="24"/>
          <w:szCs w:val="24"/>
          <w:u w:color="000000"/>
          <w:lang w:eastAsia="zh-CN"/>
        </w:rPr>
        <w:t xml:space="preserve">B). </w:t>
      </w:r>
      <w:r w:rsidR="00E019B6" w:rsidRPr="00115131">
        <w:rPr>
          <w:rFonts w:ascii="Book Antiqua" w:hAnsi="Book Antiqua" w:cs="Times New Roman"/>
          <w:color w:val="000000" w:themeColor="text1"/>
          <w:sz w:val="24"/>
          <w:szCs w:val="24"/>
          <w:u w:color="000000"/>
        </w:rPr>
        <w:t xml:space="preserve">MPV: </w:t>
      </w:r>
      <w:r w:rsidRPr="00115131">
        <w:rPr>
          <w:rFonts w:ascii="Book Antiqua" w:hAnsi="Book Antiqua" w:cs="Times New Roman"/>
          <w:color w:val="000000" w:themeColor="text1"/>
          <w:sz w:val="24"/>
          <w:szCs w:val="24"/>
          <w:u w:color="000000"/>
        </w:rPr>
        <w:t xml:space="preserve">Main </w:t>
      </w:r>
      <w:r w:rsidR="00E019B6" w:rsidRPr="00115131">
        <w:rPr>
          <w:rFonts w:ascii="Book Antiqua" w:hAnsi="Book Antiqua" w:cs="Times New Roman"/>
          <w:color w:val="000000" w:themeColor="text1"/>
          <w:sz w:val="24"/>
          <w:szCs w:val="24"/>
          <w:u w:color="000000"/>
        </w:rPr>
        <w:t>portal vein</w:t>
      </w:r>
      <w:r w:rsidRPr="00115131">
        <w:rPr>
          <w:rFonts w:ascii="Book Antiqua" w:eastAsia="SimSun" w:hAnsi="Book Antiqua" w:cs="Times New Roman" w:hint="eastAsia"/>
          <w:color w:val="000000" w:themeColor="text1"/>
          <w:sz w:val="24"/>
          <w:szCs w:val="24"/>
          <w:u w:color="000000"/>
          <w:lang w:eastAsia="zh-CN"/>
        </w:rPr>
        <w:t xml:space="preserve">; </w:t>
      </w:r>
      <w:r w:rsidR="00E019B6" w:rsidRPr="00115131">
        <w:rPr>
          <w:rFonts w:ascii="Book Antiqua" w:hAnsi="Book Antiqua" w:cs="Times New Roman"/>
          <w:color w:val="000000" w:themeColor="text1"/>
          <w:sz w:val="24"/>
          <w:szCs w:val="24"/>
          <w:u w:color="000000"/>
        </w:rPr>
        <w:t xml:space="preserve">SMV: </w:t>
      </w:r>
      <w:r w:rsidRPr="00115131">
        <w:rPr>
          <w:rFonts w:ascii="Book Antiqua" w:hAnsi="Book Antiqua" w:cs="Times New Roman"/>
          <w:color w:val="000000" w:themeColor="text1"/>
          <w:sz w:val="24"/>
          <w:szCs w:val="24"/>
          <w:u w:color="000000"/>
        </w:rPr>
        <w:t xml:space="preserve">Superior </w:t>
      </w:r>
      <w:r w:rsidR="00E019B6" w:rsidRPr="00115131">
        <w:rPr>
          <w:rFonts w:ascii="Book Antiqua" w:hAnsi="Book Antiqua" w:cs="Times New Roman"/>
          <w:color w:val="000000" w:themeColor="text1"/>
          <w:sz w:val="24"/>
          <w:szCs w:val="24"/>
          <w:u w:color="000000"/>
        </w:rPr>
        <w:t>mesenteric vein</w:t>
      </w:r>
      <w:r w:rsidRPr="00115131">
        <w:rPr>
          <w:rFonts w:ascii="Book Antiqua" w:eastAsia="SimSun" w:hAnsi="Book Antiqua" w:cs="Times New Roman" w:hint="eastAsia"/>
          <w:color w:val="000000" w:themeColor="text1"/>
          <w:sz w:val="24"/>
          <w:szCs w:val="24"/>
          <w:u w:color="000000"/>
          <w:lang w:eastAsia="zh-CN"/>
        </w:rPr>
        <w:t>;</w:t>
      </w:r>
      <w:r w:rsidR="00E019B6" w:rsidRPr="00115131">
        <w:rPr>
          <w:rFonts w:ascii="Book Antiqua" w:hAnsi="Book Antiqua" w:cs="Times New Roman"/>
          <w:color w:val="000000" w:themeColor="text1"/>
          <w:sz w:val="24"/>
          <w:szCs w:val="24"/>
          <w:u w:color="000000"/>
        </w:rPr>
        <w:t xml:space="preserve"> IVC: </w:t>
      </w:r>
      <w:r w:rsidRPr="00115131">
        <w:rPr>
          <w:rFonts w:ascii="Book Antiqua" w:hAnsi="Book Antiqua" w:cs="Times New Roman"/>
          <w:color w:val="000000" w:themeColor="text1"/>
          <w:sz w:val="24"/>
          <w:szCs w:val="24"/>
          <w:u w:color="000000"/>
        </w:rPr>
        <w:t xml:space="preserve">Inferior </w:t>
      </w:r>
      <w:r w:rsidR="00E019B6" w:rsidRPr="00115131">
        <w:rPr>
          <w:rFonts w:ascii="Book Antiqua" w:hAnsi="Book Antiqua" w:cs="Times New Roman"/>
          <w:color w:val="000000" w:themeColor="text1"/>
          <w:sz w:val="24"/>
          <w:szCs w:val="24"/>
          <w:u w:color="000000"/>
        </w:rPr>
        <w:t>vena cava</w:t>
      </w:r>
      <w:r w:rsidRPr="00115131">
        <w:rPr>
          <w:rFonts w:ascii="Book Antiqua" w:eastAsia="SimSun" w:hAnsi="Book Antiqua" w:cs="Times New Roman" w:hint="eastAsia"/>
          <w:color w:val="000000" w:themeColor="text1"/>
          <w:sz w:val="24"/>
          <w:szCs w:val="24"/>
          <w:u w:color="000000"/>
          <w:lang w:eastAsia="zh-CN"/>
        </w:rPr>
        <w:t>;</w:t>
      </w:r>
      <w:r w:rsidR="00E019B6" w:rsidRPr="00115131">
        <w:rPr>
          <w:rFonts w:ascii="Book Antiqua" w:hAnsi="Book Antiqua" w:cs="Times New Roman"/>
          <w:color w:val="000000" w:themeColor="text1"/>
          <w:sz w:val="24"/>
          <w:szCs w:val="24"/>
          <w:u w:color="000000"/>
        </w:rPr>
        <w:t xml:space="preserve"> SV: </w:t>
      </w:r>
      <w:r w:rsidRPr="00115131">
        <w:rPr>
          <w:rFonts w:ascii="Book Antiqua" w:hAnsi="Book Antiqua" w:cs="Times New Roman"/>
          <w:color w:val="000000" w:themeColor="text1"/>
          <w:sz w:val="24"/>
          <w:szCs w:val="24"/>
          <w:u w:color="000000"/>
        </w:rPr>
        <w:t>Splenic vein</w:t>
      </w:r>
      <w:r w:rsidRPr="00115131">
        <w:rPr>
          <w:rFonts w:ascii="Book Antiqua" w:eastAsia="SimSun" w:hAnsi="Book Antiqua" w:cs="Times New Roman" w:hint="eastAsia"/>
          <w:color w:val="000000" w:themeColor="text1"/>
          <w:sz w:val="24"/>
          <w:szCs w:val="24"/>
          <w:u w:color="000000"/>
          <w:lang w:eastAsia="zh-CN"/>
        </w:rPr>
        <w:t xml:space="preserve">; SRS: </w:t>
      </w:r>
      <w:r w:rsidRPr="00115131">
        <w:rPr>
          <w:rFonts w:ascii="Book Antiqua" w:eastAsia="SimSun" w:hAnsi="Book Antiqua" w:cs="Times New Roman"/>
          <w:color w:val="000000" w:themeColor="text1"/>
          <w:sz w:val="24"/>
          <w:szCs w:val="24"/>
          <w:u w:color="000000"/>
          <w:lang w:eastAsia="zh-CN"/>
        </w:rPr>
        <w:t>Spontaneous splenorenal shunt</w:t>
      </w:r>
      <w:r>
        <w:rPr>
          <w:rFonts w:ascii="Book Antiqua" w:eastAsia="SimSun" w:hAnsi="Book Antiqua" w:cs="Times New Roman" w:hint="eastAsia"/>
          <w:color w:val="000000" w:themeColor="text1"/>
          <w:sz w:val="24"/>
          <w:szCs w:val="24"/>
          <w:u w:color="000000"/>
          <w:lang w:eastAsia="zh-CN"/>
        </w:rPr>
        <w:t xml:space="preserve">; </w:t>
      </w:r>
      <w:r w:rsidRPr="00115131">
        <w:rPr>
          <w:rFonts w:ascii="Book Antiqua" w:eastAsia="SimSun" w:hAnsi="Book Antiqua" w:cs="Times New Roman" w:hint="eastAsia"/>
          <w:color w:val="000000" w:themeColor="text1"/>
          <w:sz w:val="24"/>
          <w:szCs w:val="24"/>
          <w:u w:color="000000"/>
          <w:lang w:eastAsia="zh-CN"/>
        </w:rPr>
        <w:t xml:space="preserve">MRV: </w:t>
      </w:r>
      <w:r w:rsidRPr="00115131">
        <w:rPr>
          <w:rFonts w:ascii="Book Antiqua" w:eastAsia="SimSun" w:hAnsi="Book Antiqua" w:cs="Times New Roman"/>
          <w:color w:val="000000" w:themeColor="text1"/>
          <w:sz w:val="24"/>
          <w:szCs w:val="24"/>
          <w:u w:color="000000"/>
          <w:lang w:eastAsia="zh-CN"/>
        </w:rPr>
        <w:t>Main renal vein</w:t>
      </w:r>
      <w:r w:rsidRPr="00115131">
        <w:rPr>
          <w:rFonts w:ascii="Book Antiqua" w:eastAsia="SimSun" w:hAnsi="Book Antiqua" w:cs="Times New Roman" w:hint="eastAsia"/>
          <w:color w:val="000000" w:themeColor="text1"/>
          <w:sz w:val="24"/>
          <w:szCs w:val="24"/>
          <w:u w:color="000000"/>
          <w:lang w:eastAsia="zh-CN"/>
        </w:rPr>
        <w:t>.</w:t>
      </w:r>
    </w:p>
    <w:p w14:paraId="23048AC9" w14:textId="77777777" w:rsidR="008212EB" w:rsidRPr="00115131" w:rsidRDefault="008212EB" w:rsidP="007F096F">
      <w:pPr>
        <w:adjustRightInd w:val="0"/>
        <w:snapToGrid w:val="0"/>
        <w:spacing w:after="0" w:line="360" w:lineRule="auto"/>
        <w:rPr>
          <w:rFonts w:ascii="Book Antiqua" w:hAnsi="Book Antiqua" w:cs="Times New Roman"/>
          <w:color w:val="000000" w:themeColor="text1"/>
          <w:sz w:val="24"/>
          <w:szCs w:val="24"/>
          <w:u w:color="000000"/>
        </w:rPr>
      </w:pPr>
    </w:p>
    <w:p w14:paraId="004D1146" w14:textId="77777777" w:rsidR="008212EB" w:rsidRPr="00115131" w:rsidRDefault="008212EB" w:rsidP="007F096F">
      <w:pPr>
        <w:adjustRightInd w:val="0"/>
        <w:snapToGrid w:val="0"/>
        <w:spacing w:after="0" w:line="360" w:lineRule="auto"/>
        <w:rPr>
          <w:rFonts w:ascii="Book Antiqua" w:hAnsi="Book Antiqua" w:cs="Times New Roman"/>
          <w:color w:val="000000" w:themeColor="text1"/>
          <w:sz w:val="24"/>
          <w:szCs w:val="24"/>
          <w:u w:color="000000"/>
        </w:rPr>
      </w:pPr>
    </w:p>
    <w:p w14:paraId="0051F840" w14:textId="428F2A3D" w:rsidR="008212EB" w:rsidRPr="00787839" w:rsidRDefault="007D150E"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733A74FA" wp14:editId="7A9C680E">
            <wp:extent cx="4097438" cy="3073078"/>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4098593" cy="3073944"/>
                    </a:xfrm>
                    <a:prstGeom prst="rect">
                      <a:avLst/>
                    </a:prstGeom>
                    <a:noFill/>
                    <a:ln>
                      <a:noFill/>
                    </a:ln>
                  </pic:spPr>
                </pic:pic>
              </a:graphicData>
            </a:graphic>
          </wp:inline>
        </w:drawing>
      </w:r>
    </w:p>
    <w:p w14:paraId="420DA71D" w14:textId="3C30F899" w:rsidR="007D150E" w:rsidRPr="00787839" w:rsidRDefault="007D150E"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drawing>
          <wp:inline distT="0" distB="0" distL="0" distR="0" wp14:anchorId="4E2D099C" wp14:editId="0D0E920B">
            <wp:extent cx="4143737" cy="310780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4143737" cy="3107803"/>
                    </a:xfrm>
                    <a:prstGeom prst="rect">
                      <a:avLst/>
                    </a:prstGeom>
                    <a:noFill/>
                    <a:ln>
                      <a:noFill/>
                    </a:ln>
                  </pic:spPr>
                </pic:pic>
              </a:graphicData>
            </a:graphic>
          </wp:inline>
        </w:drawing>
      </w:r>
    </w:p>
    <w:p w14:paraId="1A72E4CF" w14:textId="69071600" w:rsidR="00646B56" w:rsidRPr="00115131" w:rsidRDefault="00115131" w:rsidP="007F096F">
      <w:pPr>
        <w:adjustRightInd w:val="0"/>
        <w:snapToGrid w:val="0"/>
        <w:spacing w:after="0" w:line="360" w:lineRule="auto"/>
        <w:rPr>
          <w:rFonts w:ascii="Book Antiqua" w:hAnsi="Book Antiqua" w:cs="Times New Roman"/>
          <w:b/>
          <w:color w:val="000000" w:themeColor="text1"/>
          <w:sz w:val="24"/>
          <w:szCs w:val="24"/>
          <w:u w:color="000000"/>
        </w:rPr>
      </w:pPr>
      <w:r w:rsidRPr="00115131">
        <w:rPr>
          <w:rFonts w:ascii="Book Antiqua" w:hAnsi="Book Antiqua" w:cs="Times New Roman"/>
          <w:b/>
          <w:color w:val="000000" w:themeColor="text1"/>
          <w:sz w:val="24"/>
          <w:szCs w:val="24"/>
          <w:u w:color="000000"/>
        </w:rPr>
        <w:t>Figure 11</w:t>
      </w:r>
      <w:r w:rsidR="008212EB" w:rsidRPr="00115131">
        <w:rPr>
          <w:rFonts w:ascii="Book Antiqua" w:hAnsi="Book Antiqua" w:cs="Times New Roman"/>
          <w:b/>
          <w:color w:val="000000" w:themeColor="text1"/>
          <w:sz w:val="24"/>
          <w:szCs w:val="24"/>
          <w:u w:color="000000"/>
        </w:rPr>
        <w:t xml:space="preserve"> Sagittal </w:t>
      </w:r>
      <w:r w:rsidRPr="00115131">
        <w:rPr>
          <w:rFonts w:ascii="Book Antiqua" w:eastAsia="SimSun" w:hAnsi="Book Antiqua" w:cs="Times New Roman" w:hint="eastAsia"/>
          <w:b/>
          <w:color w:val="000000" w:themeColor="text1"/>
          <w:sz w:val="24"/>
          <w:szCs w:val="24"/>
          <w:u w:color="000000"/>
          <w:lang w:eastAsia="zh-CN"/>
        </w:rPr>
        <w:t xml:space="preserve">(A) </w:t>
      </w:r>
      <w:r w:rsidR="008212EB" w:rsidRPr="00115131">
        <w:rPr>
          <w:rFonts w:ascii="Book Antiqua" w:hAnsi="Book Antiqua" w:cs="Times New Roman"/>
          <w:b/>
          <w:color w:val="000000" w:themeColor="text1"/>
          <w:sz w:val="24"/>
          <w:szCs w:val="24"/>
          <w:u w:color="000000"/>
        </w:rPr>
        <w:t xml:space="preserve">and </w:t>
      </w:r>
      <w:r w:rsidR="00017FCA" w:rsidRPr="00115131">
        <w:rPr>
          <w:rFonts w:ascii="Book Antiqua" w:hAnsi="Book Antiqua" w:cs="Times New Roman"/>
          <w:b/>
          <w:color w:val="000000" w:themeColor="text1"/>
          <w:sz w:val="24"/>
          <w:szCs w:val="24"/>
          <w:u w:color="000000"/>
        </w:rPr>
        <w:t xml:space="preserve">transverse midline </w:t>
      </w:r>
      <w:r w:rsidRPr="00115131">
        <w:rPr>
          <w:rFonts w:ascii="Book Antiqua" w:eastAsia="SimSun" w:hAnsi="Book Antiqua" w:cs="Times New Roman" w:hint="eastAsia"/>
          <w:b/>
          <w:color w:val="000000" w:themeColor="text1"/>
          <w:sz w:val="24"/>
          <w:szCs w:val="24"/>
          <w:u w:color="000000"/>
          <w:lang w:eastAsia="zh-CN"/>
        </w:rPr>
        <w:t xml:space="preserve">(B) </w:t>
      </w:r>
      <w:r w:rsidR="00017FCA" w:rsidRPr="00115131">
        <w:rPr>
          <w:rFonts w:ascii="Book Antiqua" w:hAnsi="Book Antiqua" w:cs="Times New Roman"/>
          <w:b/>
          <w:color w:val="000000" w:themeColor="text1"/>
          <w:sz w:val="24"/>
          <w:szCs w:val="24"/>
          <w:u w:color="000000"/>
        </w:rPr>
        <w:t>Doppler sono</w:t>
      </w:r>
      <w:r w:rsidR="00646B56" w:rsidRPr="00115131">
        <w:rPr>
          <w:rFonts w:ascii="Book Antiqua" w:hAnsi="Book Antiqua" w:cs="Times New Roman"/>
          <w:b/>
          <w:color w:val="000000" w:themeColor="text1"/>
          <w:sz w:val="24"/>
          <w:szCs w:val="24"/>
          <w:u w:color="000000"/>
        </w:rPr>
        <w:t xml:space="preserve">graphic images </w:t>
      </w:r>
      <w:r w:rsidR="00E019B6" w:rsidRPr="00115131">
        <w:rPr>
          <w:rFonts w:ascii="Book Antiqua" w:hAnsi="Book Antiqua" w:cs="Times New Roman"/>
          <w:b/>
          <w:color w:val="000000" w:themeColor="text1"/>
          <w:sz w:val="24"/>
          <w:szCs w:val="24"/>
          <w:u w:color="000000"/>
        </w:rPr>
        <w:t>demonstrate turbulent flow within a</w:t>
      </w:r>
      <w:r w:rsidR="00646B56" w:rsidRPr="00115131">
        <w:rPr>
          <w:rFonts w:ascii="Book Antiqua" w:hAnsi="Book Antiqua" w:cs="Times New Roman"/>
          <w:b/>
          <w:color w:val="000000" w:themeColor="text1"/>
          <w:sz w:val="24"/>
          <w:szCs w:val="24"/>
          <w:u w:color="000000"/>
        </w:rPr>
        <w:t xml:space="preserve"> recanalized </w:t>
      </w:r>
      <w:r w:rsidR="00017FCA" w:rsidRPr="00115131">
        <w:rPr>
          <w:rFonts w:ascii="Book Antiqua" w:hAnsi="Book Antiqua" w:cs="Times New Roman"/>
          <w:b/>
          <w:color w:val="000000" w:themeColor="text1"/>
          <w:sz w:val="24"/>
          <w:szCs w:val="24"/>
          <w:u w:color="000000"/>
        </w:rPr>
        <w:t>paraumbilical vein.</w:t>
      </w:r>
    </w:p>
    <w:p w14:paraId="5D50DD03" w14:textId="77777777" w:rsidR="007D150E" w:rsidRPr="00787839" w:rsidRDefault="007D150E" w:rsidP="007F096F">
      <w:pPr>
        <w:adjustRightInd w:val="0"/>
        <w:snapToGrid w:val="0"/>
        <w:spacing w:after="0" w:line="360" w:lineRule="auto"/>
        <w:rPr>
          <w:rFonts w:ascii="Book Antiqua" w:hAnsi="Book Antiqua" w:cs="Times New Roman"/>
          <w:b/>
          <w:color w:val="000000" w:themeColor="text1"/>
          <w:sz w:val="24"/>
          <w:szCs w:val="24"/>
          <w:u w:color="000000"/>
        </w:rPr>
      </w:pPr>
    </w:p>
    <w:p w14:paraId="023B9F13" w14:textId="77777777" w:rsidR="007D150E" w:rsidRPr="00787839" w:rsidRDefault="007D150E" w:rsidP="007F096F">
      <w:pPr>
        <w:adjustRightInd w:val="0"/>
        <w:snapToGrid w:val="0"/>
        <w:spacing w:after="0" w:line="360" w:lineRule="auto"/>
        <w:rPr>
          <w:rFonts w:ascii="Book Antiqua" w:hAnsi="Book Antiqua" w:cs="Times New Roman"/>
          <w:b/>
          <w:color w:val="000000" w:themeColor="text1"/>
          <w:sz w:val="24"/>
          <w:szCs w:val="24"/>
          <w:u w:color="000000"/>
        </w:rPr>
      </w:pPr>
    </w:p>
    <w:p w14:paraId="44524D5B" w14:textId="14A06D98" w:rsidR="007D150E" w:rsidRPr="00787839" w:rsidRDefault="007D150E"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4591695C" wp14:editId="74B86ACC">
            <wp:extent cx="3727048" cy="2795286"/>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727649" cy="2795737"/>
                    </a:xfrm>
                    <a:prstGeom prst="rect">
                      <a:avLst/>
                    </a:prstGeom>
                    <a:noFill/>
                    <a:ln>
                      <a:noFill/>
                    </a:ln>
                  </pic:spPr>
                </pic:pic>
              </a:graphicData>
            </a:graphic>
          </wp:inline>
        </w:drawing>
      </w:r>
    </w:p>
    <w:p w14:paraId="61E60ACB" w14:textId="365067DF" w:rsidR="007D150E" w:rsidRPr="00787839" w:rsidRDefault="007D150E"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drawing>
          <wp:inline distT="0" distB="0" distL="0" distR="0" wp14:anchorId="078C3C27" wp14:editId="39967E9D">
            <wp:extent cx="4080076" cy="3060057"/>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4080076" cy="3060057"/>
                    </a:xfrm>
                    <a:prstGeom prst="rect">
                      <a:avLst/>
                    </a:prstGeom>
                    <a:noFill/>
                    <a:ln>
                      <a:noFill/>
                    </a:ln>
                  </pic:spPr>
                </pic:pic>
              </a:graphicData>
            </a:graphic>
          </wp:inline>
        </w:drawing>
      </w:r>
    </w:p>
    <w:p w14:paraId="5521F1B3" w14:textId="5DD57B07" w:rsidR="00017FCA" w:rsidRPr="00115131" w:rsidRDefault="00115131" w:rsidP="007F096F">
      <w:pPr>
        <w:adjustRightInd w:val="0"/>
        <w:snapToGrid w:val="0"/>
        <w:spacing w:after="0" w:line="360" w:lineRule="auto"/>
        <w:rPr>
          <w:rFonts w:ascii="Book Antiqua" w:hAnsi="Book Antiqua" w:cs="Times New Roman"/>
          <w:b/>
          <w:color w:val="000000" w:themeColor="text1"/>
          <w:sz w:val="24"/>
          <w:szCs w:val="24"/>
          <w:u w:color="000000"/>
        </w:rPr>
      </w:pPr>
      <w:r w:rsidRPr="00115131">
        <w:rPr>
          <w:rFonts w:ascii="Book Antiqua" w:hAnsi="Book Antiqua" w:cs="Times New Roman"/>
          <w:b/>
          <w:color w:val="000000" w:themeColor="text1"/>
          <w:sz w:val="24"/>
          <w:szCs w:val="24"/>
          <w:u w:color="000000"/>
        </w:rPr>
        <w:t>Figure 12</w:t>
      </w:r>
      <w:r w:rsidR="008212EB" w:rsidRPr="00115131">
        <w:rPr>
          <w:rFonts w:ascii="Book Antiqua" w:hAnsi="Book Antiqua" w:cs="Times New Roman"/>
          <w:b/>
          <w:color w:val="000000" w:themeColor="text1"/>
          <w:sz w:val="24"/>
          <w:szCs w:val="24"/>
          <w:u w:color="000000"/>
        </w:rPr>
        <w:t xml:space="preserve"> </w:t>
      </w:r>
      <w:r w:rsidR="00017FCA" w:rsidRPr="00115131">
        <w:rPr>
          <w:rFonts w:ascii="Book Antiqua" w:hAnsi="Book Antiqua" w:cs="Times New Roman"/>
          <w:b/>
          <w:color w:val="000000" w:themeColor="text1"/>
          <w:sz w:val="24"/>
          <w:szCs w:val="24"/>
          <w:u w:color="000000"/>
        </w:rPr>
        <w:t xml:space="preserve">Axial </w:t>
      </w:r>
      <w:r w:rsidR="00E019B6" w:rsidRPr="00115131">
        <w:rPr>
          <w:rFonts w:ascii="Book Antiqua" w:hAnsi="Book Antiqua" w:cs="Times New Roman"/>
          <w:b/>
          <w:color w:val="000000" w:themeColor="text1"/>
          <w:sz w:val="24"/>
          <w:szCs w:val="24"/>
          <w:u w:color="000000"/>
        </w:rPr>
        <w:t xml:space="preserve">enhanced </w:t>
      </w:r>
      <w:r w:rsidR="00017FCA" w:rsidRPr="00115131">
        <w:rPr>
          <w:rFonts w:ascii="Book Antiqua" w:hAnsi="Book Antiqua" w:cs="Times New Roman"/>
          <w:b/>
          <w:color w:val="000000" w:themeColor="text1"/>
          <w:sz w:val="24"/>
          <w:szCs w:val="24"/>
          <w:u w:color="000000"/>
        </w:rPr>
        <w:t xml:space="preserve">CT </w:t>
      </w:r>
      <w:r w:rsidR="00E019B6" w:rsidRPr="00115131">
        <w:rPr>
          <w:rFonts w:ascii="Book Antiqua" w:hAnsi="Book Antiqua" w:cs="Times New Roman"/>
          <w:b/>
          <w:color w:val="000000" w:themeColor="text1"/>
          <w:sz w:val="24"/>
          <w:szCs w:val="24"/>
          <w:u w:color="000000"/>
        </w:rPr>
        <w:t xml:space="preserve">image acquired in portal venous phase </w:t>
      </w:r>
      <w:r w:rsidRPr="00115131">
        <w:rPr>
          <w:rFonts w:ascii="Book Antiqua" w:eastAsia="SimSun" w:hAnsi="Book Antiqua" w:cs="Times New Roman" w:hint="eastAsia"/>
          <w:b/>
          <w:color w:val="000000" w:themeColor="text1"/>
          <w:sz w:val="24"/>
          <w:szCs w:val="24"/>
          <w:u w:color="000000"/>
          <w:lang w:eastAsia="zh-CN"/>
        </w:rPr>
        <w:t xml:space="preserve">(A) </w:t>
      </w:r>
      <w:r w:rsidR="00017FCA" w:rsidRPr="00115131">
        <w:rPr>
          <w:rFonts w:ascii="Book Antiqua" w:hAnsi="Book Antiqua" w:cs="Times New Roman"/>
          <w:b/>
          <w:color w:val="000000" w:themeColor="text1"/>
          <w:sz w:val="24"/>
          <w:szCs w:val="24"/>
          <w:u w:color="000000"/>
        </w:rPr>
        <w:t xml:space="preserve">and </w:t>
      </w:r>
      <w:r w:rsidR="000E0469" w:rsidRPr="00115131">
        <w:rPr>
          <w:rFonts w:ascii="Book Antiqua" w:hAnsi="Book Antiqua" w:cs="Times New Roman"/>
          <w:b/>
          <w:color w:val="000000" w:themeColor="text1"/>
          <w:sz w:val="24"/>
          <w:szCs w:val="24"/>
          <w:u w:color="000000"/>
        </w:rPr>
        <w:t>coronal-</w:t>
      </w:r>
      <w:r w:rsidR="00017FCA" w:rsidRPr="00115131">
        <w:rPr>
          <w:rFonts w:ascii="Book Antiqua" w:hAnsi="Book Antiqua" w:cs="Times New Roman"/>
          <w:b/>
          <w:color w:val="000000" w:themeColor="text1"/>
          <w:sz w:val="24"/>
          <w:szCs w:val="24"/>
          <w:u w:color="000000"/>
        </w:rPr>
        <w:t xml:space="preserve">oblique </w:t>
      </w:r>
      <w:r w:rsidR="00E019B6" w:rsidRPr="00115131">
        <w:rPr>
          <w:rFonts w:ascii="Book Antiqua" w:hAnsi="Book Antiqua" w:cs="Times New Roman"/>
          <w:b/>
          <w:color w:val="000000" w:themeColor="text1"/>
          <w:sz w:val="24"/>
          <w:szCs w:val="24"/>
          <w:u w:color="000000"/>
        </w:rPr>
        <w:t>three-dimensional</w:t>
      </w:r>
      <w:r w:rsidR="00A05556" w:rsidRPr="00115131">
        <w:rPr>
          <w:rFonts w:ascii="Book Antiqua" w:hAnsi="Book Antiqua" w:cs="Times New Roman"/>
          <w:b/>
          <w:color w:val="000000" w:themeColor="text1"/>
          <w:sz w:val="24"/>
          <w:szCs w:val="24"/>
          <w:u w:color="000000"/>
        </w:rPr>
        <w:t xml:space="preserve"> CT</w:t>
      </w:r>
      <w:r w:rsidR="00E019B6" w:rsidRPr="00115131">
        <w:rPr>
          <w:rFonts w:ascii="Book Antiqua" w:hAnsi="Book Antiqua" w:cs="Times New Roman"/>
          <w:b/>
          <w:color w:val="000000" w:themeColor="text1"/>
          <w:sz w:val="24"/>
          <w:szCs w:val="24"/>
          <w:u w:color="000000"/>
        </w:rPr>
        <w:t xml:space="preserve"> </w:t>
      </w:r>
      <w:r w:rsidR="00017FCA" w:rsidRPr="00115131">
        <w:rPr>
          <w:rFonts w:ascii="Book Antiqua" w:hAnsi="Book Antiqua" w:cs="Times New Roman"/>
          <w:b/>
          <w:color w:val="000000" w:themeColor="text1"/>
          <w:sz w:val="24"/>
          <w:szCs w:val="24"/>
          <w:u w:color="000000"/>
        </w:rPr>
        <w:t xml:space="preserve">reconstruction </w:t>
      </w:r>
      <w:r w:rsidRPr="00115131">
        <w:rPr>
          <w:rFonts w:ascii="Book Antiqua" w:eastAsia="SimSun" w:hAnsi="Book Antiqua" w:cs="Times New Roman" w:hint="eastAsia"/>
          <w:b/>
          <w:color w:val="000000" w:themeColor="text1"/>
          <w:sz w:val="24"/>
          <w:szCs w:val="24"/>
          <w:u w:color="000000"/>
          <w:lang w:eastAsia="zh-CN"/>
        </w:rPr>
        <w:t xml:space="preserve">(B) </w:t>
      </w:r>
      <w:r w:rsidR="00A05556" w:rsidRPr="00115131">
        <w:rPr>
          <w:rFonts w:ascii="Book Antiqua" w:hAnsi="Book Antiqua" w:cs="Times New Roman"/>
          <w:b/>
          <w:color w:val="000000" w:themeColor="text1"/>
          <w:sz w:val="24"/>
          <w:szCs w:val="24"/>
          <w:u w:color="000000"/>
        </w:rPr>
        <w:t>demonstrating</w:t>
      </w:r>
      <w:r w:rsidR="00017FCA" w:rsidRPr="00115131">
        <w:rPr>
          <w:rFonts w:ascii="Book Antiqua" w:hAnsi="Book Antiqua" w:cs="Times New Roman"/>
          <w:b/>
          <w:color w:val="000000" w:themeColor="text1"/>
          <w:sz w:val="24"/>
          <w:szCs w:val="24"/>
          <w:u w:color="000000"/>
        </w:rPr>
        <w:t xml:space="preserve"> large paraumbilical varices</w:t>
      </w:r>
      <w:r w:rsidR="00646B56" w:rsidRPr="00115131">
        <w:rPr>
          <w:rFonts w:ascii="Book Antiqua" w:hAnsi="Book Antiqua" w:cs="Times New Roman"/>
          <w:b/>
          <w:color w:val="000000" w:themeColor="text1"/>
          <w:sz w:val="24"/>
          <w:szCs w:val="24"/>
          <w:u w:color="000000"/>
        </w:rPr>
        <w:t xml:space="preserve"> with</w:t>
      </w:r>
      <w:r w:rsidR="00A05556" w:rsidRPr="00115131">
        <w:rPr>
          <w:rFonts w:ascii="Book Antiqua" w:hAnsi="Book Antiqua" w:cs="Times New Roman"/>
          <w:b/>
          <w:color w:val="000000" w:themeColor="text1"/>
          <w:sz w:val="24"/>
          <w:szCs w:val="24"/>
          <w:u w:color="000000"/>
        </w:rPr>
        <w:t xml:space="preserve"> large</w:t>
      </w:r>
      <w:r w:rsidR="00646B56" w:rsidRPr="00115131">
        <w:rPr>
          <w:rFonts w:ascii="Book Antiqua" w:hAnsi="Book Antiqua" w:cs="Times New Roman"/>
          <w:b/>
          <w:color w:val="000000" w:themeColor="text1"/>
          <w:sz w:val="24"/>
          <w:szCs w:val="24"/>
          <w:u w:color="000000"/>
        </w:rPr>
        <w:t xml:space="preserve"> </w:t>
      </w:r>
      <w:r w:rsidR="00A05556" w:rsidRPr="00115131">
        <w:rPr>
          <w:rFonts w:ascii="Book Antiqua" w:hAnsi="Book Antiqua" w:cs="Times New Roman"/>
          <w:b/>
          <w:color w:val="000000" w:themeColor="text1"/>
          <w:sz w:val="24"/>
          <w:szCs w:val="24"/>
          <w:u w:color="000000"/>
        </w:rPr>
        <w:t xml:space="preserve">associated </w:t>
      </w:r>
      <w:r w:rsidR="00646B56" w:rsidRPr="00115131">
        <w:rPr>
          <w:rFonts w:ascii="Book Antiqua" w:hAnsi="Book Antiqua" w:cs="Times New Roman"/>
          <w:b/>
          <w:color w:val="000000" w:themeColor="text1"/>
          <w:sz w:val="24"/>
          <w:szCs w:val="24"/>
          <w:u w:color="000000"/>
        </w:rPr>
        <w:t>caput medusa.</w:t>
      </w:r>
    </w:p>
    <w:p w14:paraId="5D841F88" w14:textId="77777777" w:rsidR="007D150E" w:rsidRPr="00787839" w:rsidRDefault="007D150E" w:rsidP="007F096F">
      <w:pPr>
        <w:adjustRightInd w:val="0"/>
        <w:snapToGrid w:val="0"/>
        <w:spacing w:after="0" w:line="360" w:lineRule="auto"/>
        <w:rPr>
          <w:rFonts w:ascii="Book Antiqua" w:hAnsi="Book Antiqua" w:cs="Times New Roman"/>
          <w:b/>
          <w:color w:val="000000" w:themeColor="text1"/>
          <w:sz w:val="24"/>
          <w:szCs w:val="24"/>
          <w:u w:color="000000"/>
        </w:rPr>
      </w:pPr>
    </w:p>
    <w:p w14:paraId="30BA7DB9" w14:textId="77777777" w:rsidR="007D150E" w:rsidRPr="00787839" w:rsidRDefault="007D150E" w:rsidP="007F096F">
      <w:pPr>
        <w:adjustRightInd w:val="0"/>
        <w:snapToGrid w:val="0"/>
        <w:spacing w:after="0" w:line="360" w:lineRule="auto"/>
        <w:rPr>
          <w:rFonts w:ascii="Book Antiqua" w:hAnsi="Book Antiqua" w:cs="Times New Roman"/>
          <w:b/>
          <w:color w:val="000000" w:themeColor="text1"/>
          <w:sz w:val="24"/>
          <w:szCs w:val="24"/>
          <w:u w:color="000000"/>
        </w:rPr>
      </w:pPr>
    </w:p>
    <w:p w14:paraId="7D75E976" w14:textId="4262A1D5" w:rsidR="007D150E" w:rsidRPr="00787839" w:rsidRDefault="007D150E"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1E4C18C4" wp14:editId="748D2951">
            <wp:extent cx="5000263" cy="3750197"/>
            <wp:effectExtent l="0" t="0" r="381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000263" cy="3750197"/>
                    </a:xfrm>
                    <a:prstGeom prst="rect">
                      <a:avLst/>
                    </a:prstGeom>
                    <a:noFill/>
                    <a:ln>
                      <a:noFill/>
                    </a:ln>
                  </pic:spPr>
                </pic:pic>
              </a:graphicData>
            </a:graphic>
          </wp:inline>
        </w:drawing>
      </w:r>
    </w:p>
    <w:p w14:paraId="53C2CD1E" w14:textId="71F9AE20" w:rsidR="0059487E" w:rsidRPr="00115131" w:rsidRDefault="00115131" w:rsidP="007F096F">
      <w:pPr>
        <w:adjustRightInd w:val="0"/>
        <w:snapToGrid w:val="0"/>
        <w:spacing w:after="0" w:line="360" w:lineRule="auto"/>
        <w:rPr>
          <w:rFonts w:ascii="Book Antiqua" w:eastAsia="SimSun" w:hAnsi="Book Antiqua" w:cs="Times New Roman"/>
          <w:color w:val="000000" w:themeColor="text1"/>
          <w:sz w:val="24"/>
          <w:szCs w:val="24"/>
          <w:u w:color="000000"/>
          <w:lang w:eastAsia="zh-CN"/>
        </w:rPr>
      </w:pPr>
      <w:r w:rsidRPr="00115131">
        <w:rPr>
          <w:rFonts w:ascii="Book Antiqua" w:hAnsi="Book Antiqua" w:cs="Times New Roman"/>
          <w:b/>
          <w:color w:val="000000" w:themeColor="text1"/>
          <w:sz w:val="24"/>
          <w:szCs w:val="24"/>
          <w:u w:color="000000"/>
        </w:rPr>
        <w:t>Figure 13</w:t>
      </w:r>
      <w:r w:rsidR="00017FCA" w:rsidRPr="00115131">
        <w:rPr>
          <w:rFonts w:ascii="Book Antiqua" w:hAnsi="Book Antiqua" w:cs="Times New Roman"/>
          <w:b/>
          <w:color w:val="000000" w:themeColor="text1"/>
          <w:sz w:val="24"/>
          <w:szCs w:val="24"/>
          <w:u w:color="000000"/>
        </w:rPr>
        <w:t xml:space="preserve"> Right anterior oblique </w:t>
      </w:r>
      <w:r w:rsidR="000E0469" w:rsidRPr="00115131">
        <w:rPr>
          <w:rFonts w:ascii="Book Antiqua" w:hAnsi="Book Antiqua" w:cs="Times New Roman"/>
          <w:b/>
          <w:color w:val="000000" w:themeColor="text1"/>
          <w:sz w:val="24"/>
          <w:szCs w:val="24"/>
          <w:u w:color="000000"/>
        </w:rPr>
        <w:t xml:space="preserve">three-dimensional CT </w:t>
      </w:r>
      <w:r w:rsidR="00017FCA" w:rsidRPr="00115131">
        <w:rPr>
          <w:rFonts w:ascii="Book Antiqua" w:hAnsi="Book Antiqua" w:cs="Times New Roman"/>
          <w:b/>
          <w:color w:val="000000" w:themeColor="text1"/>
          <w:sz w:val="24"/>
          <w:szCs w:val="24"/>
          <w:u w:color="000000"/>
        </w:rPr>
        <w:t xml:space="preserve">reconstruction shows mesocaval collateral veins shunting blood from the inferior mesenteric vein </w:t>
      </w:r>
      <w:r>
        <w:rPr>
          <w:rFonts w:ascii="Book Antiqua" w:hAnsi="Book Antiqua" w:cs="Times New Roman"/>
          <w:b/>
          <w:color w:val="000000" w:themeColor="text1"/>
          <w:sz w:val="24"/>
          <w:szCs w:val="24"/>
          <w:u w:color="000000"/>
        </w:rPr>
        <w:t>to the inferior vena cava</w:t>
      </w:r>
      <w:r w:rsidR="00017FCA" w:rsidRPr="00115131">
        <w:rPr>
          <w:rFonts w:ascii="Book Antiqua" w:hAnsi="Book Antiqua" w:cs="Times New Roman"/>
          <w:b/>
          <w:color w:val="000000" w:themeColor="text1"/>
          <w:sz w:val="24"/>
          <w:szCs w:val="24"/>
          <w:u w:color="000000"/>
        </w:rPr>
        <w:t xml:space="preserve"> </w:t>
      </w:r>
      <w:r w:rsidR="00787839" w:rsidRPr="00115131">
        <w:rPr>
          <w:rFonts w:ascii="Book Antiqua" w:hAnsi="Book Antiqua" w:cs="Times New Roman"/>
          <w:b/>
          <w:i/>
          <w:color w:val="000000" w:themeColor="text1"/>
          <w:sz w:val="24"/>
          <w:szCs w:val="24"/>
          <w:u w:color="000000"/>
        </w:rPr>
        <w:t>via</w:t>
      </w:r>
      <w:r w:rsidR="00017FCA" w:rsidRPr="00115131">
        <w:rPr>
          <w:rFonts w:ascii="Book Antiqua" w:hAnsi="Book Antiqua" w:cs="Times New Roman"/>
          <w:b/>
          <w:color w:val="000000" w:themeColor="text1"/>
          <w:sz w:val="24"/>
          <w:szCs w:val="24"/>
          <w:u w:color="000000"/>
        </w:rPr>
        <w:t xml:space="preserve"> the right ovarian vein. </w:t>
      </w:r>
      <w:r w:rsidR="00017FCA" w:rsidRPr="00115131">
        <w:rPr>
          <w:rFonts w:ascii="Book Antiqua" w:hAnsi="Book Antiqua" w:cs="Times New Roman"/>
          <w:color w:val="000000" w:themeColor="text1"/>
          <w:sz w:val="24"/>
          <w:szCs w:val="24"/>
          <w:u w:color="000000"/>
        </w:rPr>
        <w:t xml:space="preserve">SMV: </w:t>
      </w:r>
      <w:r w:rsidRPr="00115131">
        <w:rPr>
          <w:rFonts w:ascii="Book Antiqua" w:hAnsi="Book Antiqua" w:cs="Times New Roman"/>
          <w:color w:val="000000" w:themeColor="text1"/>
          <w:sz w:val="24"/>
          <w:szCs w:val="24"/>
          <w:u w:color="000000"/>
        </w:rPr>
        <w:t xml:space="preserve">Superior </w:t>
      </w:r>
      <w:r w:rsidR="00017FCA" w:rsidRPr="00115131">
        <w:rPr>
          <w:rFonts w:ascii="Book Antiqua" w:hAnsi="Book Antiqua" w:cs="Times New Roman"/>
          <w:color w:val="000000" w:themeColor="text1"/>
          <w:sz w:val="24"/>
          <w:szCs w:val="24"/>
          <w:u w:color="000000"/>
        </w:rPr>
        <w:t>mesenteric vein</w:t>
      </w:r>
      <w:r w:rsidRPr="00115131">
        <w:rPr>
          <w:rFonts w:ascii="Book Antiqua" w:eastAsia="SimSun" w:hAnsi="Book Antiqua" w:cs="Times New Roman" w:hint="eastAsia"/>
          <w:color w:val="000000" w:themeColor="text1"/>
          <w:sz w:val="24"/>
          <w:szCs w:val="24"/>
          <w:u w:color="000000"/>
          <w:lang w:eastAsia="zh-CN"/>
        </w:rPr>
        <w:t>;</w:t>
      </w:r>
      <w:r w:rsidR="00017FCA" w:rsidRPr="00115131">
        <w:rPr>
          <w:rFonts w:ascii="Book Antiqua" w:hAnsi="Book Antiqua" w:cs="Times New Roman"/>
          <w:color w:val="000000" w:themeColor="text1"/>
          <w:sz w:val="24"/>
          <w:szCs w:val="24"/>
          <w:u w:color="000000"/>
        </w:rPr>
        <w:t xml:space="preserve"> SP: </w:t>
      </w:r>
      <w:r w:rsidRPr="00115131">
        <w:rPr>
          <w:rFonts w:ascii="Book Antiqua" w:hAnsi="Book Antiqua" w:cs="Times New Roman"/>
          <w:color w:val="000000" w:themeColor="text1"/>
          <w:sz w:val="24"/>
          <w:szCs w:val="24"/>
          <w:u w:color="000000"/>
        </w:rPr>
        <w:t>Splenic vein, MPV: Main portal vein</w:t>
      </w:r>
      <w:r w:rsidRPr="00115131">
        <w:rPr>
          <w:rFonts w:ascii="Book Antiqua" w:eastAsia="SimSun" w:hAnsi="Book Antiqua" w:cs="Times New Roman" w:hint="eastAsia"/>
          <w:color w:val="000000" w:themeColor="text1"/>
          <w:sz w:val="24"/>
          <w:szCs w:val="24"/>
          <w:u w:color="000000"/>
          <w:lang w:eastAsia="zh-CN"/>
        </w:rPr>
        <w:t xml:space="preserve">; IMV: </w:t>
      </w:r>
      <w:r w:rsidRPr="00115131">
        <w:rPr>
          <w:rFonts w:ascii="Book Antiqua" w:eastAsia="SimSun" w:hAnsi="Book Antiqua" w:cs="Times New Roman"/>
          <w:color w:val="000000" w:themeColor="text1"/>
          <w:sz w:val="24"/>
          <w:szCs w:val="24"/>
          <w:u w:color="000000"/>
          <w:lang w:eastAsia="zh-CN"/>
        </w:rPr>
        <w:t>Inferior mesenteric vein</w:t>
      </w:r>
      <w:r w:rsidRPr="00115131">
        <w:rPr>
          <w:rFonts w:ascii="Book Antiqua" w:eastAsia="SimSun" w:hAnsi="Book Antiqua" w:cs="Times New Roman" w:hint="eastAsia"/>
          <w:color w:val="000000" w:themeColor="text1"/>
          <w:sz w:val="24"/>
          <w:szCs w:val="24"/>
          <w:u w:color="000000"/>
          <w:lang w:eastAsia="zh-CN"/>
        </w:rPr>
        <w:t xml:space="preserve">; IVC: </w:t>
      </w:r>
      <w:r w:rsidRPr="00115131">
        <w:rPr>
          <w:rFonts w:ascii="Book Antiqua" w:eastAsia="SimSun" w:hAnsi="Book Antiqua" w:cs="Times New Roman"/>
          <w:color w:val="000000" w:themeColor="text1"/>
          <w:sz w:val="24"/>
          <w:szCs w:val="24"/>
          <w:u w:color="000000"/>
          <w:lang w:eastAsia="zh-CN"/>
        </w:rPr>
        <w:t>Inferior vena cava</w:t>
      </w:r>
      <w:r w:rsidRPr="00115131">
        <w:rPr>
          <w:rFonts w:ascii="Book Antiqua" w:eastAsia="SimSun" w:hAnsi="Book Antiqua" w:cs="Times New Roman" w:hint="eastAsia"/>
          <w:color w:val="000000" w:themeColor="text1"/>
          <w:sz w:val="24"/>
          <w:szCs w:val="24"/>
          <w:u w:color="000000"/>
          <w:lang w:eastAsia="zh-CN"/>
        </w:rPr>
        <w:t xml:space="preserve">; ROV: </w:t>
      </w:r>
      <w:r w:rsidRPr="00115131">
        <w:rPr>
          <w:rFonts w:ascii="Book Antiqua" w:eastAsia="SimSun" w:hAnsi="Book Antiqua" w:cs="Times New Roman"/>
          <w:color w:val="000000" w:themeColor="text1"/>
          <w:sz w:val="24"/>
          <w:szCs w:val="24"/>
          <w:u w:color="000000"/>
          <w:lang w:eastAsia="zh-CN"/>
        </w:rPr>
        <w:t>Right ovarian vein</w:t>
      </w:r>
      <w:r w:rsidRPr="00115131">
        <w:rPr>
          <w:rFonts w:ascii="Book Antiqua" w:eastAsia="SimSun" w:hAnsi="Book Antiqua" w:cs="Times New Roman" w:hint="eastAsia"/>
          <w:color w:val="000000" w:themeColor="text1"/>
          <w:sz w:val="24"/>
          <w:szCs w:val="24"/>
          <w:u w:color="000000"/>
          <w:lang w:eastAsia="zh-CN"/>
        </w:rPr>
        <w:t>.</w:t>
      </w:r>
    </w:p>
    <w:p w14:paraId="6676F226" w14:textId="77777777" w:rsidR="007D150E" w:rsidRPr="00115131" w:rsidRDefault="007D150E" w:rsidP="007F096F">
      <w:pPr>
        <w:adjustRightInd w:val="0"/>
        <w:snapToGrid w:val="0"/>
        <w:spacing w:after="0" w:line="360" w:lineRule="auto"/>
        <w:rPr>
          <w:rFonts w:ascii="Book Antiqua" w:hAnsi="Book Antiqua" w:cs="Times New Roman"/>
          <w:color w:val="000000" w:themeColor="text1"/>
          <w:sz w:val="24"/>
          <w:szCs w:val="24"/>
          <w:u w:color="000000"/>
        </w:rPr>
      </w:pPr>
    </w:p>
    <w:p w14:paraId="7C348108" w14:textId="77777777" w:rsidR="007D150E" w:rsidRPr="00115131" w:rsidRDefault="007D150E" w:rsidP="007F096F">
      <w:pPr>
        <w:adjustRightInd w:val="0"/>
        <w:snapToGrid w:val="0"/>
        <w:spacing w:after="0" w:line="360" w:lineRule="auto"/>
        <w:rPr>
          <w:rFonts w:ascii="Book Antiqua" w:hAnsi="Book Antiqua" w:cs="Times New Roman"/>
          <w:color w:val="000000" w:themeColor="text1"/>
          <w:sz w:val="24"/>
          <w:szCs w:val="24"/>
          <w:u w:color="000000"/>
        </w:rPr>
      </w:pPr>
    </w:p>
    <w:p w14:paraId="0546F8F6" w14:textId="77777777" w:rsidR="007D150E" w:rsidRPr="00115131" w:rsidRDefault="007D150E" w:rsidP="007F096F">
      <w:pPr>
        <w:adjustRightInd w:val="0"/>
        <w:snapToGrid w:val="0"/>
        <w:spacing w:after="0" w:line="360" w:lineRule="auto"/>
        <w:rPr>
          <w:rFonts w:ascii="Book Antiqua" w:hAnsi="Book Antiqua" w:cs="Times New Roman"/>
          <w:color w:val="000000" w:themeColor="text1"/>
          <w:sz w:val="24"/>
          <w:szCs w:val="24"/>
          <w:u w:color="000000"/>
        </w:rPr>
      </w:pPr>
    </w:p>
    <w:p w14:paraId="0EC99BF5" w14:textId="77777777" w:rsidR="007D150E" w:rsidRPr="00115131" w:rsidRDefault="007D150E" w:rsidP="007F096F">
      <w:pPr>
        <w:adjustRightInd w:val="0"/>
        <w:snapToGrid w:val="0"/>
        <w:spacing w:after="0" w:line="360" w:lineRule="auto"/>
        <w:rPr>
          <w:rFonts w:ascii="Book Antiqua" w:hAnsi="Book Antiqua" w:cs="Times New Roman"/>
          <w:color w:val="000000" w:themeColor="text1"/>
          <w:sz w:val="24"/>
          <w:szCs w:val="24"/>
          <w:u w:color="000000"/>
        </w:rPr>
      </w:pPr>
    </w:p>
    <w:p w14:paraId="6770CE62" w14:textId="77777777" w:rsidR="007D150E" w:rsidRPr="00115131" w:rsidRDefault="007D150E" w:rsidP="007F096F">
      <w:pPr>
        <w:adjustRightInd w:val="0"/>
        <w:snapToGrid w:val="0"/>
        <w:spacing w:after="0" w:line="360" w:lineRule="auto"/>
        <w:rPr>
          <w:rFonts w:ascii="Book Antiqua" w:hAnsi="Book Antiqua" w:cs="Times New Roman"/>
          <w:color w:val="000000" w:themeColor="text1"/>
          <w:sz w:val="24"/>
          <w:szCs w:val="24"/>
          <w:u w:color="000000"/>
        </w:rPr>
      </w:pPr>
    </w:p>
    <w:p w14:paraId="6DAA7145" w14:textId="77777777" w:rsidR="007D150E" w:rsidRPr="00115131" w:rsidRDefault="007D150E" w:rsidP="007F096F">
      <w:pPr>
        <w:adjustRightInd w:val="0"/>
        <w:snapToGrid w:val="0"/>
        <w:spacing w:after="0" w:line="360" w:lineRule="auto"/>
        <w:rPr>
          <w:rFonts w:ascii="Book Antiqua" w:hAnsi="Book Antiqua" w:cs="Times New Roman"/>
          <w:color w:val="000000" w:themeColor="text1"/>
          <w:sz w:val="24"/>
          <w:szCs w:val="24"/>
          <w:u w:color="000000"/>
        </w:rPr>
      </w:pPr>
    </w:p>
    <w:p w14:paraId="3EC864F2" w14:textId="77777777" w:rsidR="007D150E" w:rsidRPr="00115131" w:rsidRDefault="007D150E" w:rsidP="007F096F">
      <w:pPr>
        <w:adjustRightInd w:val="0"/>
        <w:snapToGrid w:val="0"/>
        <w:spacing w:after="0" w:line="360" w:lineRule="auto"/>
        <w:rPr>
          <w:rFonts w:ascii="Book Antiqua" w:hAnsi="Book Antiqua" w:cs="Times New Roman"/>
          <w:color w:val="000000" w:themeColor="text1"/>
          <w:sz w:val="24"/>
          <w:szCs w:val="24"/>
          <w:u w:color="000000"/>
        </w:rPr>
      </w:pPr>
    </w:p>
    <w:p w14:paraId="28D55B93" w14:textId="77777777" w:rsidR="007D150E" w:rsidRPr="00115131" w:rsidRDefault="007D150E" w:rsidP="007F096F">
      <w:pPr>
        <w:adjustRightInd w:val="0"/>
        <w:snapToGrid w:val="0"/>
        <w:spacing w:after="0" w:line="360" w:lineRule="auto"/>
        <w:rPr>
          <w:rFonts w:ascii="Book Antiqua" w:hAnsi="Book Antiqua" w:cs="Times New Roman"/>
          <w:color w:val="000000" w:themeColor="text1"/>
          <w:sz w:val="24"/>
          <w:szCs w:val="24"/>
          <w:u w:color="000000"/>
        </w:rPr>
      </w:pPr>
    </w:p>
    <w:p w14:paraId="1C26F111" w14:textId="5F714DC2" w:rsidR="007D150E" w:rsidRPr="00787839" w:rsidRDefault="007D150E"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0670A461" wp14:editId="3EA31DDE">
            <wp:extent cx="2802520" cy="218736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804137" cy="2188630"/>
                    </a:xfrm>
                    <a:prstGeom prst="rect">
                      <a:avLst/>
                    </a:prstGeom>
                    <a:noFill/>
                    <a:ln>
                      <a:noFill/>
                    </a:ln>
                  </pic:spPr>
                </pic:pic>
              </a:graphicData>
            </a:graphic>
          </wp:inline>
        </w:drawing>
      </w:r>
      <w:r w:rsidRPr="00787839">
        <w:rPr>
          <w:rFonts w:ascii="Book Antiqua" w:hAnsi="Book Antiqua" w:cs="Times New Roman"/>
          <w:b/>
          <w:color w:val="000000" w:themeColor="text1"/>
          <w:sz w:val="24"/>
          <w:szCs w:val="24"/>
          <w:u w:color="000000"/>
        </w:rPr>
        <w:t xml:space="preserve">      </w:t>
      </w:r>
      <w:r w:rsidRPr="00787839">
        <w:rPr>
          <w:rFonts w:ascii="Book Antiqua" w:hAnsi="Book Antiqua" w:cs="Times New Roman"/>
          <w:b/>
          <w:noProof/>
          <w:color w:val="000000" w:themeColor="text1"/>
          <w:sz w:val="24"/>
          <w:szCs w:val="24"/>
          <w:u w:color="000000"/>
          <w:lang w:val="en-US" w:eastAsia="zh-CN"/>
        </w:rPr>
        <w:drawing>
          <wp:inline distT="0" distB="0" distL="0" distR="0" wp14:anchorId="051C9E6B" wp14:editId="4C2E83E1">
            <wp:extent cx="2309149" cy="2199524"/>
            <wp:effectExtent l="0" t="0" r="2540"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309149" cy="2199524"/>
                    </a:xfrm>
                    <a:prstGeom prst="rect">
                      <a:avLst/>
                    </a:prstGeom>
                    <a:noFill/>
                    <a:ln>
                      <a:noFill/>
                    </a:ln>
                  </pic:spPr>
                </pic:pic>
              </a:graphicData>
            </a:graphic>
          </wp:inline>
        </w:drawing>
      </w:r>
    </w:p>
    <w:p w14:paraId="5FF96A53" w14:textId="5F965934" w:rsidR="007D150E" w:rsidRPr="00787839" w:rsidRDefault="007D150E"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drawing>
          <wp:inline distT="0" distB="0" distL="0" distR="0" wp14:anchorId="3782D354" wp14:editId="39044E68">
            <wp:extent cx="2847372" cy="2611604"/>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848353" cy="2612504"/>
                    </a:xfrm>
                    <a:prstGeom prst="rect">
                      <a:avLst/>
                    </a:prstGeom>
                    <a:noFill/>
                    <a:ln>
                      <a:noFill/>
                    </a:ln>
                  </pic:spPr>
                </pic:pic>
              </a:graphicData>
            </a:graphic>
          </wp:inline>
        </w:drawing>
      </w:r>
      <w:r w:rsidRPr="00787839">
        <w:rPr>
          <w:rFonts w:ascii="Book Antiqua" w:hAnsi="Book Antiqua"/>
          <w:sz w:val="24"/>
          <w:szCs w:val="24"/>
        </w:rPr>
        <w:t xml:space="preserve"> </w:t>
      </w:r>
      <w:r w:rsidRPr="00787839">
        <w:rPr>
          <w:rFonts w:ascii="Book Antiqua" w:hAnsi="Book Antiqua" w:cs="Times New Roman"/>
          <w:b/>
          <w:noProof/>
          <w:color w:val="000000" w:themeColor="text1"/>
          <w:sz w:val="24"/>
          <w:szCs w:val="24"/>
          <w:u w:color="000000"/>
          <w:lang w:val="en-US" w:eastAsia="zh-CN"/>
        </w:rPr>
        <w:drawing>
          <wp:inline distT="0" distB="0" distL="0" distR="0" wp14:anchorId="21708AEE" wp14:editId="44AA8415">
            <wp:extent cx="2760562" cy="2624804"/>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761633" cy="2625822"/>
                    </a:xfrm>
                    <a:prstGeom prst="rect">
                      <a:avLst/>
                    </a:prstGeom>
                    <a:noFill/>
                    <a:ln>
                      <a:noFill/>
                    </a:ln>
                  </pic:spPr>
                </pic:pic>
              </a:graphicData>
            </a:graphic>
          </wp:inline>
        </w:drawing>
      </w:r>
    </w:p>
    <w:p w14:paraId="301BEAE7" w14:textId="570D6AE3" w:rsidR="00017FCA" w:rsidRPr="00787839" w:rsidRDefault="00115131" w:rsidP="007F096F">
      <w:pPr>
        <w:adjustRightInd w:val="0"/>
        <w:snapToGrid w:val="0"/>
        <w:spacing w:after="0" w:line="360" w:lineRule="auto"/>
        <w:rPr>
          <w:rFonts w:ascii="Book Antiqua" w:hAnsi="Book Antiqua" w:cs="Times New Roman"/>
          <w:color w:val="000000" w:themeColor="text1"/>
          <w:sz w:val="24"/>
          <w:szCs w:val="24"/>
          <w:u w:color="000000"/>
        </w:rPr>
      </w:pPr>
      <w:r w:rsidRPr="00115131">
        <w:rPr>
          <w:rFonts w:ascii="Book Antiqua" w:hAnsi="Book Antiqua" w:cs="Times New Roman"/>
          <w:b/>
          <w:color w:val="000000" w:themeColor="text1"/>
          <w:sz w:val="24"/>
          <w:szCs w:val="24"/>
          <w:u w:color="000000"/>
        </w:rPr>
        <w:t>Figure 14</w:t>
      </w:r>
      <w:r w:rsidR="000E0373" w:rsidRPr="00115131">
        <w:rPr>
          <w:rFonts w:ascii="Book Antiqua" w:hAnsi="Book Antiqua" w:cs="Times New Roman"/>
          <w:b/>
          <w:color w:val="000000" w:themeColor="text1"/>
          <w:sz w:val="24"/>
          <w:szCs w:val="24"/>
          <w:u w:color="000000"/>
        </w:rPr>
        <w:t xml:space="preserve"> </w:t>
      </w:r>
      <w:r w:rsidR="00901F1B">
        <w:rPr>
          <w:rFonts w:ascii="Book Antiqua" w:eastAsia="SimSun" w:hAnsi="Book Antiqua" w:cs="Times New Roman" w:hint="eastAsia"/>
          <w:b/>
          <w:color w:val="000000" w:themeColor="text1"/>
          <w:sz w:val="24"/>
          <w:szCs w:val="24"/>
          <w:u w:color="000000"/>
          <w:lang w:eastAsia="zh-CN"/>
        </w:rPr>
        <w:t>T</w:t>
      </w:r>
      <w:r w:rsidR="00901F1B" w:rsidRPr="00901F1B">
        <w:rPr>
          <w:rFonts w:ascii="Book Antiqua" w:hAnsi="Book Antiqua" w:cs="Times New Roman"/>
          <w:b/>
          <w:color w:val="000000" w:themeColor="text1"/>
          <w:sz w:val="24"/>
          <w:szCs w:val="24"/>
          <w:u w:color="000000"/>
        </w:rPr>
        <w:t xml:space="preserve">ransjugular intrahepatic portosystemic shunt </w:t>
      </w:r>
      <w:r w:rsidR="00DF4065" w:rsidRPr="00115131">
        <w:rPr>
          <w:rFonts w:ascii="Book Antiqua" w:hAnsi="Book Antiqua" w:cs="Times New Roman"/>
          <w:b/>
          <w:color w:val="000000" w:themeColor="text1"/>
          <w:sz w:val="24"/>
          <w:szCs w:val="24"/>
          <w:u w:color="000000"/>
        </w:rPr>
        <w:t xml:space="preserve">procedure performed on a </w:t>
      </w:r>
      <w:r w:rsidR="00B8637C" w:rsidRPr="00115131">
        <w:rPr>
          <w:rFonts w:ascii="Book Antiqua" w:hAnsi="Book Antiqua" w:cs="Times New Roman"/>
          <w:b/>
          <w:color w:val="000000" w:themeColor="text1"/>
          <w:sz w:val="24"/>
          <w:szCs w:val="24"/>
          <w:u w:color="000000"/>
        </w:rPr>
        <w:t>54</w:t>
      </w:r>
      <w:r w:rsidR="00DF4065" w:rsidRPr="00115131">
        <w:rPr>
          <w:rFonts w:ascii="Book Antiqua" w:hAnsi="Book Antiqua" w:cs="Times New Roman"/>
          <w:b/>
          <w:color w:val="000000" w:themeColor="text1"/>
          <w:sz w:val="24"/>
          <w:szCs w:val="24"/>
          <w:u w:color="000000"/>
        </w:rPr>
        <w:t xml:space="preserve">-year-old male </w:t>
      </w:r>
      <w:r w:rsidR="00B8637C" w:rsidRPr="00115131">
        <w:rPr>
          <w:rFonts w:ascii="Book Antiqua" w:hAnsi="Book Antiqua" w:cs="Times New Roman"/>
          <w:b/>
          <w:color w:val="000000" w:themeColor="text1"/>
          <w:sz w:val="24"/>
          <w:szCs w:val="24"/>
          <w:u w:color="000000"/>
        </w:rPr>
        <w:t>with alcohol-induced cirrhosis and portal hypertension who pres</w:t>
      </w:r>
      <w:r w:rsidR="00740536" w:rsidRPr="00115131">
        <w:rPr>
          <w:rFonts w:ascii="Book Antiqua" w:hAnsi="Book Antiqua" w:cs="Times New Roman"/>
          <w:b/>
          <w:color w:val="000000" w:themeColor="text1"/>
          <w:sz w:val="24"/>
          <w:szCs w:val="24"/>
          <w:u w:color="000000"/>
        </w:rPr>
        <w:t>en</w:t>
      </w:r>
      <w:r w:rsidR="007D150E" w:rsidRPr="00115131">
        <w:rPr>
          <w:rFonts w:ascii="Book Antiqua" w:hAnsi="Book Antiqua" w:cs="Times New Roman"/>
          <w:b/>
          <w:color w:val="000000" w:themeColor="text1"/>
          <w:sz w:val="24"/>
          <w:szCs w:val="24"/>
          <w:u w:color="000000"/>
        </w:rPr>
        <w:t xml:space="preserve">ts with intractable ascites. </w:t>
      </w:r>
      <w:r w:rsidR="007D150E" w:rsidRPr="00787839">
        <w:rPr>
          <w:rFonts w:ascii="Book Antiqua" w:hAnsi="Book Antiqua" w:cs="Times New Roman"/>
          <w:color w:val="000000" w:themeColor="text1"/>
          <w:sz w:val="24"/>
          <w:szCs w:val="24"/>
          <w:u w:color="000000"/>
        </w:rPr>
        <w:t>A:</w:t>
      </w:r>
      <w:r w:rsidR="00B8637C" w:rsidRPr="00787839">
        <w:rPr>
          <w:rFonts w:ascii="Book Antiqua" w:hAnsi="Book Antiqua" w:cs="Times New Roman"/>
          <w:color w:val="000000" w:themeColor="text1"/>
          <w:sz w:val="24"/>
          <w:szCs w:val="24"/>
          <w:u w:color="000000"/>
        </w:rPr>
        <w:t xml:space="preserve"> Rosch-Uchida </w:t>
      </w:r>
      <w:r w:rsidR="00901F1B" w:rsidRPr="00901F1B">
        <w:rPr>
          <w:rFonts w:ascii="Book Antiqua" w:hAnsi="Book Antiqua" w:cs="Times New Roman"/>
          <w:color w:val="000000" w:themeColor="text1"/>
          <w:sz w:val="24"/>
          <w:szCs w:val="24"/>
          <w:u w:color="000000"/>
        </w:rPr>
        <w:t xml:space="preserve">transjugular intrahepatic portosystemic shunt </w:t>
      </w:r>
      <w:r w:rsidR="00901F1B">
        <w:rPr>
          <w:rFonts w:ascii="Book Antiqua" w:eastAsia="SimSun" w:hAnsi="Book Antiqua" w:cs="Times New Roman" w:hint="eastAsia"/>
          <w:color w:val="000000" w:themeColor="text1"/>
          <w:sz w:val="24"/>
          <w:szCs w:val="24"/>
          <w:u w:color="000000"/>
          <w:lang w:eastAsia="zh-CN"/>
        </w:rPr>
        <w:t xml:space="preserve">(TIPS) </w:t>
      </w:r>
      <w:r w:rsidR="00B8637C" w:rsidRPr="00787839">
        <w:rPr>
          <w:rFonts w:ascii="Book Antiqua" w:hAnsi="Book Antiqua" w:cs="Times New Roman"/>
          <w:color w:val="000000" w:themeColor="text1"/>
          <w:sz w:val="24"/>
          <w:szCs w:val="24"/>
          <w:u w:color="000000"/>
        </w:rPr>
        <w:t>trochar-needle</w:t>
      </w:r>
      <w:r w:rsidR="007F086B" w:rsidRPr="00787839">
        <w:rPr>
          <w:rFonts w:ascii="Book Antiqua" w:hAnsi="Book Antiqua" w:cs="Times New Roman"/>
          <w:color w:val="000000" w:themeColor="text1"/>
          <w:sz w:val="24"/>
          <w:szCs w:val="24"/>
          <w:u w:color="000000"/>
        </w:rPr>
        <w:t xml:space="preserve"> set</w:t>
      </w:r>
      <w:r w:rsidR="00CF157C" w:rsidRPr="00787839">
        <w:rPr>
          <w:rFonts w:ascii="Book Antiqua" w:hAnsi="Book Antiqua" w:cs="Times New Roman"/>
          <w:color w:val="000000" w:themeColor="text1"/>
          <w:sz w:val="24"/>
          <w:szCs w:val="24"/>
          <w:u w:color="000000"/>
        </w:rPr>
        <w:t xml:space="preserve"> (Cook Medical, Bloomington, USA) was advanced into an anterior branch of the right </w:t>
      </w:r>
      <w:r w:rsidR="00740536" w:rsidRPr="00787839">
        <w:rPr>
          <w:rFonts w:ascii="Book Antiqua" w:hAnsi="Book Antiqua" w:cs="Times New Roman"/>
          <w:color w:val="000000" w:themeColor="text1"/>
          <w:sz w:val="24"/>
          <w:szCs w:val="24"/>
          <w:u w:color="000000"/>
        </w:rPr>
        <w:t>portal vein</w:t>
      </w:r>
      <w:r w:rsidR="007F086B" w:rsidRPr="00787839">
        <w:rPr>
          <w:rFonts w:ascii="Book Antiqua" w:hAnsi="Book Antiqua" w:cs="Times New Roman"/>
          <w:color w:val="000000" w:themeColor="text1"/>
          <w:sz w:val="24"/>
          <w:szCs w:val="24"/>
          <w:u w:color="000000"/>
        </w:rPr>
        <w:t xml:space="preserve"> successfully after four</w:t>
      </w:r>
      <w:r w:rsidR="007D150E" w:rsidRPr="00787839">
        <w:rPr>
          <w:rFonts w:ascii="Book Antiqua" w:hAnsi="Book Antiqua" w:cs="Times New Roman"/>
          <w:color w:val="000000" w:themeColor="text1"/>
          <w:sz w:val="24"/>
          <w:szCs w:val="24"/>
          <w:u w:color="000000"/>
        </w:rPr>
        <w:t xml:space="preserve"> attempts</w:t>
      </w:r>
      <w:r>
        <w:rPr>
          <w:rFonts w:ascii="Book Antiqua" w:eastAsia="SimSun" w:hAnsi="Book Antiqua" w:cs="Times New Roman" w:hint="eastAsia"/>
          <w:color w:val="000000" w:themeColor="text1"/>
          <w:sz w:val="24"/>
          <w:szCs w:val="24"/>
          <w:u w:color="000000"/>
          <w:lang w:eastAsia="zh-CN"/>
        </w:rPr>
        <w:t>;</w:t>
      </w:r>
      <w:r w:rsidR="007D150E" w:rsidRPr="00787839">
        <w:rPr>
          <w:rFonts w:ascii="Book Antiqua" w:hAnsi="Book Antiqua" w:cs="Times New Roman"/>
          <w:color w:val="000000" w:themeColor="text1"/>
          <w:sz w:val="24"/>
          <w:szCs w:val="24"/>
          <w:u w:color="000000"/>
        </w:rPr>
        <w:t xml:space="preserve"> B:</w:t>
      </w:r>
      <w:r w:rsidR="00CF157C" w:rsidRPr="00787839">
        <w:rPr>
          <w:rFonts w:ascii="Book Antiqua" w:hAnsi="Book Antiqua" w:cs="Times New Roman"/>
          <w:color w:val="000000" w:themeColor="text1"/>
          <w:sz w:val="24"/>
          <w:szCs w:val="24"/>
          <w:u w:color="000000"/>
        </w:rPr>
        <w:t xml:space="preserve"> Subsequently a wire and pigtail catheter were advanced into the main portal vein and </w:t>
      </w:r>
      <w:r w:rsidR="007F086B" w:rsidRPr="00787839">
        <w:rPr>
          <w:rFonts w:ascii="Book Antiqua" w:hAnsi="Book Antiqua" w:cs="Times New Roman"/>
          <w:color w:val="000000" w:themeColor="text1"/>
          <w:sz w:val="24"/>
          <w:szCs w:val="24"/>
          <w:u w:color="000000"/>
        </w:rPr>
        <w:t>subtraction</w:t>
      </w:r>
      <w:r w:rsidR="00CF157C" w:rsidRPr="00787839">
        <w:rPr>
          <w:rFonts w:ascii="Book Antiqua" w:hAnsi="Book Antiqua" w:cs="Times New Roman"/>
          <w:color w:val="000000" w:themeColor="text1"/>
          <w:sz w:val="24"/>
          <w:szCs w:val="24"/>
          <w:u w:color="000000"/>
        </w:rPr>
        <w:t xml:space="preserve"> angiography was performed demonstrating large </w:t>
      </w:r>
      <w:r w:rsidR="00740536" w:rsidRPr="00787839">
        <w:rPr>
          <w:rFonts w:ascii="Book Antiqua" w:hAnsi="Book Antiqua" w:cs="Times New Roman"/>
          <w:color w:val="000000" w:themeColor="text1"/>
          <w:sz w:val="24"/>
          <w:szCs w:val="24"/>
          <w:u w:color="000000"/>
        </w:rPr>
        <w:t xml:space="preserve">dilated </w:t>
      </w:r>
      <w:r w:rsidR="007F086B" w:rsidRPr="00787839">
        <w:rPr>
          <w:rFonts w:ascii="Book Antiqua" w:hAnsi="Book Antiqua" w:cs="Times New Roman"/>
          <w:color w:val="000000" w:themeColor="text1"/>
          <w:sz w:val="24"/>
          <w:szCs w:val="24"/>
          <w:u w:color="000000"/>
        </w:rPr>
        <w:t xml:space="preserve">left gastric </w:t>
      </w:r>
      <w:r w:rsidR="007D150E" w:rsidRPr="00787839">
        <w:rPr>
          <w:rFonts w:ascii="Book Antiqua" w:hAnsi="Book Antiqua" w:cs="Times New Roman"/>
          <w:color w:val="000000" w:themeColor="text1"/>
          <w:sz w:val="24"/>
          <w:szCs w:val="24"/>
          <w:u w:color="000000"/>
        </w:rPr>
        <w:t>varices</w:t>
      </w:r>
      <w:r>
        <w:rPr>
          <w:rFonts w:ascii="Book Antiqua" w:eastAsia="SimSun" w:hAnsi="Book Antiqua" w:cs="Times New Roman" w:hint="eastAsia"/>
          <w:color w:val="000000" w:themeColor="text1"/>
          <w:sz w:val="24"/>
          <w:szCs w:val="24"/>
          <w:u w:color="000000"/>
          <w:lang w:eastAsia="zh-CN"/>
        </w:rPr>
        <w:t>;</w:t>
      </w:r>
      <w:r w:rsidR="007D150E" w:rsidRPr="00787839">
        <w:rPr>
          <w:rFonts w:ascii="Book Antiqua" w:hAnsi="Book Antiqua" w:cs="Times New Roman"/>
          <w:color w:val="000000" w:themeColor="text1"/>
          <w:sz w:val="24"/>
          <w:szCs w:val="24"/>
          <w:u w:color="000000"/>
        </w:rPr>
        <w:t xml:space="preserve"> C:</w:t>
      </w:r>
      <w:r w:rsidR="007F086B" w:rsidRPr="00787839">
        <w:rPr>
          <w:rFonts w:ascii="Book Antiqua" w:hAnsi="Book Antiqua" w:cs="Times New Roman"/>
          <w:color w:val="000000" w:themeColor="text1"/>
          <w:sz w:val="24"/>
          <w:szCs w:val="24"/>
          <w:u w:color="000000"/>
        </w:rPr>
        <w:t xml:space="preserve"> </w:t>
      </w:r>
      <w:r w:rsidR="00787839" w:rsidRPr="00787839">
        <w:rPr>
          <w:rFonts w:ascii="Book Antiqua" w:hAnsi="Book Antiqua" w:cs="Times New Roman"/>
          <w:color w:val="000000" w:themeColor="text1"/>
          <w:sz w:val="24"/>
          <w:szCs w:val="24"/>
          <w:u w:color="000000"/>
        </w:rPr>
        <w:t>Via</w:t>
      </w:r>
      <w:r w:rsidR="007F086B" w:rsidRPr="00787839">
        <w:rPr>
          <w:rFonts w:ascii="Book Antiqua" w:hAnsi="Book Antiqua" w:cs="Times New Roman"/>
          <w:color w:val="000000" w:themeColor="text1"/>
          <w:sz w:val="24"/>
          <w:szCs w:val="24"/>
          <w:u w:color="000000"/>
        </w:rPr>
        <w:t xml:space="preserve">torr </w:t>
      </w:r>
      <w:r w:rsidR="00901F1B" w:rsidRPr="00901F1B">
        <w:rPr>
          <w:rFonts w:ascii="Book Antiqua" w:hAnsi="Book Antiqua" w:cs="Times New Roman"/>
          <w:color w:val="000000" w:themeColor="text1"/>
          <w:sz w:val="24"/>
          <w:szCs w:val="24"/>
          <w:u w:color="000000"/>
        </w:rPr>
        <w:t>polytetrafluoroethylene (PTFE)</w:t>
      </w:r>
      <w:r w:rsidR="007F086B" w:rsidRPr="00787839">
        <w:rPr>
          <w:rFonts w:ascii="Book Antiqua" w:hAnsi="Book Antiqua" w:cs="Times New Roman"/>
          <w:color w:val="000000" w:themeColor="text1"/>
          <w:sz w:val="24"/>
          <w:szCs w:val="24"/>
          <w:u w:color="000000"/>
        </w:rPr>
        <w:t>-covered self-</w:t>
      </w:r>
      <w:r w:rsidR="00CF157C" w:rsidRPr="00787839">
        <w:rPr>
          <w:rFonts w:ascii="Book Antiqua" w:hAnsi="Book Antiqua" w:cs="Times New Roman"/>
          <w:color w:val="000000" w:themeColor="text1"/>
          <w:sz w:val="24"/>
          <w:szCs w:val="24"/>
          <w:u w:color="000000"/>
        </w:rPr>
        <w:t>expanding stent (Gore Medical, Flagstaff, USA) was deployed over the tract</w:t>
      </w:r>
      <w:r>
        <w:rPr>
          <w:rFonts w:ascii="Book Antiqua" w:eastAsia="SimSun" w:hAnsi="Book Antiqua" w:cs="Times New Roman" w:hint="eastAsia"/>
          <w:color w:val="000000" w:themeColor="text1"/>
          <w:sz w:val="24"/>
          <w:szCs w:val="24"/>
          <w:u w:color="000000"/>
          <w:lang w:eastAsia="zh-CN"/>
        </w:rPr>
        <w:t>;</w:t>
      </w:r>
      <w:r w:rsidR="007D150E" w:rsidRPr="00787839">
        <w:rPr>
          <w:rFonts w:ascii="Book Antiqua" w:hAnsi="Book Antiqua" w:cs="Times New Roman"/>
          <w:color w:val="000000" w:themeColor="text1"/>
          <w:sz w:val="24"/>
          <w:szCs w:val="24"/>
          <w:u w:color="000000"/>
        </w:rPr>
        <w:t xml:space="preserve"> D:</w:t>
      </w:r>
      <w:r w:rsidR="00CF157C" w:rsidRPr="00787839">
        <w:rPr>
          <w:rFonts w:ascii="Book Antiqua" w:hAnsi="Book Antiqua" w:cs="Times New Roman"/>
          <w:color w:val="000000" w:themeColor="text1"/>
          <w:sz w:val="24"/>
          <w:szCs w:val="24"/>
          <w:u w:color="000000"/>
        </w:rPr>
        <w:t xml:space="preserve"> Completion portography demonstrates patency of the TIPS with decreased overall flow into the </w:t>
      </w:r>
      <w:r w:rsidR="00881E00" w:rsidRPr="00787839">
        <w:rPr>
          <w:rFonts w:ascii="Book Antiqua" w:hAnsi="Book Antiqua" w:cs="Times New Roman"/>
          <w:color w:val="000000" w:themeColor="text1"/>
          <w:sz w:val="24"/>
          <w:szCs w:val="24"/>
          <w:u w:color="000000"/>
        </w:rPr>
        <w:t>gastric varices.</w:t>
      </w:r>
    </w:p>
    <w:p w14:paraId="7540BFB3" w14:textId="77777777" w:rsidR="007D150E" w:rsidRPr="00787839" w:rsidRDefault="007D150E" w:rsidP="007F096F">
      <w:pPr>
        <w:adjustRightInd w:val="0"/>
        <w:snapToGrid w:val="0"/>
        <w:spacing w:after="0" w:line="360" w:lineRule="auto"/>
        <w:rPr>
          <w:rFonts w:ascii="Book Antiqua" w:hAnsi="Book Antiqua" w:cs="Times New Roman"/>
          <w:b/>
          <w:color w:val="000000" w:themeColor="text1"/>
          <w:sz w:val="24"/>
          <w:szCs w:val="24"/>
          <w:u w:color="000000"/>
        </w:rPr>
      </w:pPr>
    </w:p>
    <w:p w14:paraId="2F8629DA" w14:textId="34E9CCF1" w:rsidR="00B86A65" w:rsidRPr="00787839" w:rsidRDefault="00B86A65"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drawing>
          <wp:inline distT="0" distB="0" distL="0" distR="0" wp14:anchorId="145D48CD" wp14:editId="5293C236">
            <wp:extent cx="5943600" cy="4457700"/>
            <wp:effectExtent l="0" t="0" r="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4A83FBF6" w14:textId="04C85786" w:rsidR="0059487E" w:rsidRPr="00901F1B" w:rsidRDefault="00901F1B" w:rsidP="007F096F">
      <w:pPr>
        <w:adjustRightInd w:val="0"/>
        <w:snapToGrid w:val="0"/>
        <w:spacing w:after="0" w:line="360" w:lineRule="auto"/>
        <w:rPr>
          <w:rFonts w:ascii="Book Antiqua" w:eastAsia="SimSun" w:hAnsi="Book Antiqua" w:cs="Times New Roman"/>
          <w:color w:val="000000" w:themeColor="text1"/>
          <w:sz w:val="24"/>
          <w:szCs w:val="24"/>
          <w:u w:color="000000"/>
          <w:lang w:eastAsia="zh-CN"/>
        </w:rPr>
      </w:pPr>
      <w:r w:rsidRPr="00901F1B">
        <w:rPr>
          <w:rFonts w:ascii="Book Antiqua" w:hAnsi="Book Antiqua" w:cs="Times New Roman"/>
          <w:b/>
          <w:color w:val="000000" w:themeColor="text1"/>
          <w:sz w:val="24"/>
          <w:szCs w:val="24"/>
          <w:u w:color="000000"/>
        </w:rPr>
        <w:t>Figure 15</w:t>
      </w:r>
      <w:r w:rsidR="0059487E" w:rsidRPr="00901F1B">
        <w:rPr>
          <w:rFonts w:ascii="Book Antiqua" w:hAnsi="Book Antiqua" w:cs="Times New Roman"/>
          <w:b/>
          <w:color w:val="000000" w:themeColor="text1"/>
          <w:sz w:val="24"/>
          <w:szCs w:val="24"/>
          <w:u w:color="000000"/>
        </w:rPr>
        <w:t xml:space="preserve"> Retrograde balloon occlusion of gastro</w:t>
      </w:r>
      <w:r w:rsidR="000E0469" w:rsidRPr="00901F1B">
        <w:rPr>
          <w:rFonts w:ascii="Book Antiqua" w:hAnsi="Book Antiqua" w:cs="Times New Roman"/>
          <w:b/>
          <w:color w:val="000000" w:themeColor="text1"/>
          <w:sz w:val="24"/>
          <w:szCs w:val="24"/>
          <w:u w:color="000000"/>
        </w:rPr>
        <w:t>-</w:t>
      </w:r>
      <w:r w:rsidR="0059487E" w:rsidRPr="00901F1B">
        <w:rPr>
          <w:rFonts w:ascii="Book Antiqua" w:hAnsi="Book Antiqua" w:cs="Times New Roman"/>
          <w:b/>
          <w:color w:val="000000" w:themeColor="text1"/>
          <w:sz w:val="24"/>
          <w:szCs w:val="24"/>
          <w:u w:color="000000"/>
        </w:rPr>
        <w:t xml:space="preserve">renal shunt </w:t>
      </w:r>
      <w:r w:rsidR="00787839" w:rsidRPr="00901F1B">
        <w:rPr>
          <w:rFonts w:ascii="Book Antiqua" w:hAnsi="Book Antiqua" w:cs="Times New Roman"/>
          <w:b/>
          <w:i/>
          <w:color w:val="000000" w:themeColor="text1"/>
          <w:sz w:val="24"/>
          <w:szCs w:val="24"/>
          <w:u w:color="000000"/>
        </w:rPr>
        <w:t>via</w:t>
      </w:r>
      <w:r w:rsidR="0059487E" w:rsidRPr="00901F1B">
        <w:rPr>
          <w:rFonts w:ascii="Book Antiqua" w:hAnsi="Book Antiqua" w:cs="Times New Roman"/>
          <w:b/>
          <w:color w:val="000000" w:themeColor="text1"/>
          <w:sz w:val="24"/>
          <w:szCs w:val="24"/>
          <w:u w:color="000000"/>
        </w:rPr>
        <w:t xml:space="preserve"> femoral venous approach</w:t>
      </w:r>
      <w:r w:rsidR="000E0469" w:rsidRPr="00901F1B">
        <w:rPr>
          <w:rFonts w:ascii="Book Antiqua" w:hAnsi="Book Antiqua" w:cs="Times New Roman"/>
          <w:b/>
          <w:color w:val="000000" w:themeColor="text1"/>
          <w:sz w:val="24"/>
          <w:szCs w:val="24"/>
          <w:u w:color="000000"/>
        </w:rPr>
        <w:t xml:space="preserve"> coursing through the inferior vena cava and left renal vein</w:t>
      </w:r>
      <w:r w:rsidR="0059487E" w:rsidRPr="00901F1B">
        <w:rPr>
          <w:rFonts w:ascii="Book Antiqua" w:hAnsi="Book Antiqua" w:cs="Times New Roman"/>
          <w:b/>
          <w:color w:val="000000" w:themeColor="text1"/>
          <w:sz w:val="24"/>
          <w:szCs w:val="24"/>
          <w:u w:color="000000"/>
        </w:rPr>
        <w:t>.</w:t>
      </w:r>
      <w:r w:rsidR="000E0469" w:rsidRPr="00787839">
        <w:rPr>
          <w:rFonts w:ascii="Book Antiqua" w:hAnsi="Book Antiqua" w:cs="Times New Roman"/>
          <w:color w:val="000000" w:themeColor="text1"/>
          <w:sz w:val="24"/>
          <w:szCs w:val="24"/>
          <w:u w:color="000000"/>
        </w:rPr>
        <w:t xml:space="preserve"> After balloon occlusion, </w:t>
      </w:r>
      <w:r w:rsidR="0029378C" w:rsidRPr="00787839">
        <w:rPr>
          <w:rFonts w:ascii="Book Antiqua" w:hAnsi="Book Antiqua" w:cs="Times New Roman"/>
          <w:color w:val="000000" w:themeColor="text1"/>
          <w:sz w:val="24"/>
          <w:szCs w:val="24"/>
          <w:u w:color="000000"/>
        </w:rPr>
        <w:t xml:space="preserve">a </w:t>
      </w:r>
      <w:r w:rsidR="000E0469" w:rsidRPr="00787839">
        <w:rPr>
          <w:rFonts w:ascii="Book Antiqua" w:hAnsi="Book Antiqua" w:cs="Times New Roman"/>
          <w:color w:val="000000" w:themeColor="text1"/>
          <w:sz w:val="24"/>
          <w:szCs w:val="24"/>
          <w:u w:color="000000"/>
        </w:rPr>
        <w:t xml:space="preserve">sclerosing agent </w:t>
      </w:r>
      <w:r w:rsidR="0029378C" w:rsidRPr="00787839">
        <w:rPr>
          <w:rFonts w:ascii="Book Antiqua" w:hAnsi="Book Antiqua" w:cs="Times New Roman"/>
          <w:color w:val="000000" w:themeColor="text1"/>
          <w:sz w:val="24"/>
          <w:szCs w:val="24"/>
          <w:u w:color="000000"/>
        </w:rPr>
        <w:t>is</w:t>
      </w:r>
      <w:r w:rsidR="000E0469" w:rsidRPr="00787839">
        <w:rPr>
          <w:rFonts w:ascii="Book Antiqua" w:hAnsi="Book Antiqua" w:cs="Times New Roman"/>
          <w:color w:val="000000" w:themeColor="text1"/>
          <w:sz w:val="24"/>
          <w:szCs w:val="24"/>
          <w:u w:color="000000"/>
        </w:rPr>
        <w:t xml:space="preserve"> injected into the gastric varices (GVar).</w:t>
      </w:r>
      <w:r w:rsidR="006E3245" w:rsidRPr="00787839">
        <w:rPr>
          <w:rFonts w:ascii="Book Antiqua" w:hAnsi="Book Antiqua" w:cs="Times New Roman"/>
          <w:color w:val="000000" w:themeColor="text1"/>
          <w:sz w:val="24"/>
          <w:szCs w:val="24"/>
          <w:u w:color="000000"/>
        </w:rPr>
        <w:t xml:space="preserve"> Black arrows indicate directional blood flow.</w:t>
      </w:r>
      <w:r w:rsidRPr="00901F1B">
        <w:rPr>
          <w:rFonts w:ascii="Book Antiqua" w:eastAsia="SimSun" w:hAnsi="Book Antiqua" w:cs="Times New Roman" w:hint="eastAsia"/>
          <w:color w:val="000000" w:themeColor="text1"/>
          <w:sz w:val="24"/>
          <w:szCs w:val="24"/>
          <w:u w:color="000000"/>
          <w:lang w:eastAsia="zh-CN"/>
        </w:rPr>
        <w:t xml:space="preserve"> </w:t>
      </w:r>
      <w:r w:rsidRPr="00901F1B">
        <w:rPr>
          <w:rFonts w:ascii="Book Antiqua" w:hAnsi="Book Antiqua" w:cs="Times New Roman" w:hint="eastAsia"/>
          <w:color w:val="000000" w:themeColor="text1"/>
          <w:sz w:val="24"/>
          <w:szCs w:val="24"/>
          <w:u w:color="000000"/>
        </w:rPr>
        <w:t xml:space="preserve">IVC: </w:t>
      </w:r>
      <w:r w:rsidRPr="00901F1B">
        <w:rPr>
          <w:rFonts w:ascii="Book Antiqua" w:hAnsi="Book Antiqua" w:cs="Times New Roman"/>
          <w:color w:val="000000" w:themeColor="text1"/>
          <w:sz w:val="24"/>
          <w:szCs w:val="24"/>
          <w:u w:color="000000"/>
        </w:rPr>
        <w:t>Inferior vena cava</w:t>
      </w:r>
      <w:r>
        <w:rPr>
          <w:rFonts w:ascii="Book Antiqua" w:eastAsia="SimSun" w:hAnsi="Book Antiqua" w:cs="Times New Roman" w:hint="eastAsia"/>
          <w:color w:val="000000" w:themeColor="text1"/>
          <w:sz w:val="24"/>
          <w:szCs w:val="24"/>
          <w:u w:color="000000"/>
          <w:lang w:eastAsia="zh-CN"/>
        </w:rPr>
        <w:t xml:space="preserve">; GRS: </w:t>
      </w:r>
      <w:r w:rsidRPr="00901F1B">
        <w:rPr>
          <w:rFonts w:ascii="Book Antiqua" w:eastAsia="SimSun" w:hAnsi="Book Antiqua" w:cs="Times New Roman"/>
          <w:color w:val="000000" w:themeColor="text1"/>
          <w:sz w:val="24"/>
          <w:szCs w:val="24"/>
          <w:u w:color="000000"/>
          <w:lang w:eastAsia="zh-CN"/>
        </w:rPr>
        <w:t>Gastrorenal shunt.</w:t>
      </w:r>
    </w:p>
    <w:p w14:paraId="098E7786" w14:textId="77777777" w:rsidR="00B86A65" w:rsidRPr="00787839" w:rsidRDefault="00B86A65" w:rsidP="007F096F">
      <w:pPr>
        <w:adjustRightInd w:val="0"/>
        <w:snapToGrid w:val="0"/>
        <w:spacing w:after="0" w:line="360" w:lineRule="auto"/>
        <w:rPr>
          <w:rFonts w:ascii="Book Antiqua" w:hAnsi="Book Antiqua" w:cs="Times New Roman"/>
          <w:b/>
          <w:color w:val="000000" w:themeColor="text1"/>
          <w:sz w:val="24"/>
          <w:szCs w:val="24"/>
          <w:u w:color="000000"/>
        </w:rPr>
      </w:pPr>
    </w:p>
    <w:p w14:paraId="398C045B" w14:textId="77777777" w:rsidR="00B86A65" w:rsidRPr="00787839" w:rsidRDefault="00B86A65" w:rsidP="007F096F">
      <w:pPr>
        <w:adjustRightInd w:val="0"/>
        <w:snapToGrid w:val="0"/>
        <w:spacing w:after="0" w:line="360" w:lineRule="auto"/>
        <w:rPr>
          <w:rFonts w:ascii="Book Antiqua" w:hAnsi="Book Antiqua" w:cs="Times New Roman"/>
          <w:b/>
          <w:color w:val="000000" w:themeColor="text1"/>
          <w:sz w:val="24"/>
          <w:szCs w:val="24"/>
          <w:u w:color="000000"/>
        </w:rPr>
      </w:pPr>
    </w:p>
    <w:p w14:paraId="4B8FE522" w14:textId="77777777" w:rsidR="00B86A65" w:rsidRPr="00787839" w:rsidRDefault="00B86A65" w:rsidP="007F096F">
      <w:pPr>
        <w:adjustRightInd w:val="0"/>
        <w:snapToGrid w:val="0"/>
        <w:spacing w:after="0" w:line="360" w:lineRule="auto"/>
        <w:rPr>
          <w:rFonts w:ascii="Book Antiqua" w:hAnsi="Book Antiqua" w:cs="Times New Roman"/>
          <w:b/>
          <w:color w:val="000000" w:themeColor="text1"/>
          <w:sz w:val="24"/>
          <w:szCs w:val="24"/>
          <w:u w:color="000000"/>
        </w:rPr>
      </w:pPr>
    </w:p>
    <w:p w14:paraId="6A562D87" w14:textId="77777777" w:rsidR="00B86A65" w:rsidRPr="00787839" w:rsidRDefault="00B86A65" w:rsidP="007F096F">
      <w:pPr>
        <w:adjustRightInd w:val="0"/>
        <w:snapToGrid w:val="0"/>
        <w:spacing w:after="0" w:line="360" w:lineRule="auto"/>
        <w:rPr>
          <w:rFonts w:ascii="Book Antiqua" w:hAnsi="Book Antiqua" w:cs="Times New Roman"/>
          <w:b/>
          <w:color w:val="000000" w:themeColor="text1"/>
          <w:sz w:val="24"/>
          <w:szCs w:val="24"/>
          <w:u w:color="000000"/>
        </w:rPr>
      </w:pPr>
    </w:p>
    <w:p w14:paraId="071D8EA1" w14:textId="77777777" w:rsidR="00B86A65" w:rsidRPr="00787839" w:rsidRDefault="00B86A65" w:rsidP="007F096F">
      <w:pPr>
        <w:adjustRightInd w:val="0"/>
        <w:snapToGrid w:val="0"/>
        <w:spacing w:after="0" w:line="360" w:lineRule="auto"/>
        <w:rPr>
          <w:rFonts w:ascii="Book Antiqua" w:hAnsi="Book Antiqua" w:cs="Times New Roman"/>
          <w:b/>
          <w:color w:val="000000" w:themeColor="text1"/>
          <w:sz w:val="24"/>
          <w:szCs w:val="24"/>
          <w:u w:color="000000"/>
        </w:rPr>
      </w:pPr>
    </w:p>
    <w:p w14:paraId="13F57043" w14:textId="77777777" w:rsidR="00B86A65" w:rsidRPr="00787839" w:rsidRDefault="00B86A65" w:rsidP="007F096F">
      <w:pPr>
        <w:adjustRightInd w:val="0"/>
        <w:snapToGrid w:val="0"/>
        <w:spacing w:after="0" w:line="360" w:lineRule="auto"/>
        <w:rPr>
          <w:rFonts w:ascii="Book Antiqua" w:hAnsi="Book Antiqua" w:cs="Times New Roman"/>
          <w:b/>
          <w:color w:val="000000" w:themeColor="text1"/>
          <w:sz w:val="24"/>
          <w:szCs w:val="24"/>
          <w:u w:color="000000"/>
        </w:rPr>
      </w:pPr>
    </w:p>
    <w:p w14:paraId="49E06F8A" w14:textId="7EF59BCB" w:rsidR="00B86A65" w:rsidRPr="00787839" w:rsidRDefault="00B86A65"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lastRenderedPageBreak/>
        <w:drawing>
          <wp:inline distT="0" distB="0" distL="0" distR="0" wp14:anchorId="0FD066E4" wp14:editId="19F176DE">
            <wp:extent cx="2176041" cy="2721975"/>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177116" cy="2723319"/>
                    </a:xfrm>
                    <a:prstGeom prst="rect">
                      <a:avLst/>
                    </a:prstGeom>
                    <a:noFill/>
                    <a:ln>
                      <a:noFill/>
                    </a:ln>
                  </pic:spPr>
                </pic:pic>
              </a:graphicData>
            </a:graphic>
          </wp:inline>
        </w:drawing>
      </w:r>
      <w:r w:rsidRPr="00787839">
        <w:rPr>
          <w:rFonts w:ascii="Book Antiqua" w:hAnsi="Book Antiqua" w:cs="Times New Roman"/>
          <w:b/>
          <w:color w:val="000000" w:themeColor="text1"/>
          <w:sz w:val="24"/>
          <w:szCs w:val="24"/>
          <w:u w:color="000000"/>
        </w:rPr>
        <w:t xml:space="preserve"> </w:t>
      </w:r>
      <w:r w:rsidRPr="00787839">
        <w:rPr>
          <w:rFonts w:ascii="Book Antiqua" w:hAnsi="Book Antiqua" w:cs="Times New Roman"/>
          <w:b/>
          <w:noProof/>
          <w:color w:val="000000" w:themeColor="text1"/>
          <w:sz w:val="24"/>
          <w:szCs w:val="24"/>
          <w:u w:color="000000"/>
          <w:lang w:val="en-US" w:eastAsia="zh-CN"/>
        </w:rPr>
        <w:drawing>
          <wp:inline distT="0" distB="0" distL="0" distR="0" wp14:anchorId="7963F3B4" wp14:editId="257918B3">
            <wp:extent cx="2179714" cy="2713805"/>
            <wp:effectExtent l="0" t="0" r="508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180825" cy="2715188"/>
                    </a:xfrm>
                    <a:prstGeom prst="rect">
                      <a:avLst/>
                    </a:prstGeom>
                    <a:noFill/>
                    <a:ln>
                      <a:noFill/>
                    </a:ln>
                  </pic:spPr>
                </pic:pic>
              </a:graphicData>
            </a:graphic>
          </wp:inline>
        </w:drawing>
      </w:r>
    </w:p>
    <w:p w14:paraId="7210FEE0" w14:textId="4C738EC2" w:rsidR="00B86A65" w:rsidRPr="00787839" w:rsidRDefault="00B86A65" w:rsidP="007F096F">
      <w:pPr>
        <w:adjustRightInd w:val="0"/>
        <w:snapToGrid w:val="0"/>
        <w:spacing w:after="0" w:line="360" w:lineRule="auto"/>
        <w:rPr>
          <w:rFonts w:ascii="Book Antiqua" w:hAnsi="Book Antiqua" w:cs="Times New Roman"/>
          <w:b/>
          <w:color w:val="000000" w:themeColor="text1"/>
          <w:sz w:val="24"/>
          <w:szCs w:val="24"/>
          <w:u w:color="000000"/>
        </w:rPr>
      </w:pPr>
      <w:r w:rsidRPr="00787839">
        <w:rPr>
          <w:rFonts w:ascii="Book Antiqua" w:hAnsi="Book Antiqua" w:cs="Times New Roman"/>
          <w:b/>
          <w:noProof/>
          <w:color w:val="000000" w:themeColor="text1"/>
          <w:sz w:val="24"/>
          <w:szCs w:val="24"/>
          <w:u w:color="000000"/>
          <w:lang w:val="en-US" w:eastAsia="zh-CN"/>
        </w:rPr>
        <w:drawing>
          <wp:inline distT="0" distB="0" distL="0" distR="0" wp14:anchorId="189F28B1" wp14:editId="60B7FC7F">
            <wp:extent cx="2135529" cy="252450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136104" cy="2525187"/>
                    </a:xfrm>
                    <a:prstGeom prst="rect">
                      <a:avLst/>
                    </a:prstGeom>
                    <a:noFill/>
                    <a:ln>
                      <a:noFill/>
                    </a:ln>
                  </pic:spPr>
                </pic:pic>
              </a:graphicData>
            </a:graphic>
          </wp:inline>
        </w:drawing>
      </w:r>
    </w:p>
    <w:p w14:paraId="0BE989A2" w14:textId="5CB88494" w:rsidR="0059487E" w:rsidRPr="00E33D7F" w:rsidRDefault="00901F1B" w:rsidP="007F096F">
      <w:pPr>
        <w:adjustRightInd w:val="0"/>
        <w:snapToGrid w:val="0"/>
        <w:spacing w:after="0" w:line="360" w:lineRule="auto"/>
        <w:rPr>
          <w:rFonts w:ascii="Book Antiqua" w:hAnsi="Book Antiqua" w:cs="Times New Roman"/>
          <w:color w:val="000000" w:themeColor="text1"/>
          <w:sz w:val="24"/>
          <w:szCs w:val="24"/>
          <w:u w:color="000000"/>
        </w:rPr>
      </w:pPr>
      <w:r w:rsidRPr="00901F1B">
        <w:rPr>
          <w:rFonts w:ascii="Book Antiqua" w:hAnsi="Book Antiqua" w:cs="Times New Roman"/>
          <w:b/>
          <w:color w:val="000000" w:themeColor="text1"/>
          <w:sz w:val="24"/>
          <w:szCs w:val="24"/>
          <w:u w:color="000000"/>
        </w:rPr>
        <w:t>Figure 16</w:t>
      </w:r>
      <w:r w:rsidR="00B77997" w:rsidRPr="00901F1B">
        <w:rPr>
          <w:rFonts w:ascii="Book Antiqua" w:hAnsi="Book Antiqua" w:cs="Times New Roman"/>
          <w:b/>
          <w:color w:val="000000" w:themeColor="text1"/>
          <w:sz w:val="24"/>
          <w:szCs w:val="24"/>
          <w:u w:color="000000"/>
        </w:rPr>
        <w:t xml:space="preserve"> </w:t>
      </w:r>
      <w:r w:rsidR="00740536" w:rsidRPr="00901F1B">
        <w:rPr>
          <w:rFonts w:ascii="Book Antiqua" w:hAnsi="Book Antiqua" w:cs="Times New Roman"/>
          <w:b/>
          <w:color w:val="000000" w:themeColor="text1"/>
          <w:sz w:val="24"/>
          <w:szCs w:val="24"/>
          <w:u w:color="000000"/>
        </w:rPr>
        <w:t>Coil-</w:t>
      </w:r>
      <w:r w:rsidR="00600B09" w:rsidRPr="00901F1B">
        <w:rPr>
          <w:rFonts w:ascii="Book Antiqua" w:hAnsi="Book Antiqua" w:cs="Times New Roman"/>
          <w:b/>
          <w:color w:val="000000" w:themeColor="text1"/>
          <w:sz w:val="24"/>
          <w:szCs w:val="24"/>
          <w:u w:color="000000"/>
        </w:rPr>
        <w:t xml:space="preserve">assisted </w:t>
      </w:r>
      <w:r w:rsidR="00740536" w:rsidRPr="00901F1B">
        <w:rPr>
          <w:rFonts w:ascii="Book Antiqua" w:hAnsi="Book Antiqua" w:cs="Times New Roman"/>
          <w:b/>
          <w:color w:val="000000" w:themeColor="text1"/>
          <w:sz w:val="24"/>
          <w:szCs w:val="24"/>
          <w:u w:color="000000"/>
        </w:rPr>
        <w:t>retrograde transvenous oblite</w:t>
      </w:r>
      <w:r w:rsidR="00404D7B" w:rsidRPr="00901F1B">
        <w:rPr>
          <w:rFonts w:ascii="Book Antiqua" w:hAnsi="Book Antiqua" w:cs="Times New Roman"/>
          <w:b/>
          <w:color w:val="000000" w:themeColor="text1"/>
          <w:sz w:val="24"/>
          <w:szCs w:val="24"/>
          <w:u w:color="000000"/>
        </w:rPr>
        <w:t xml:space="preserve">ration of gastric varices in a </w:t>
      </w:r>
      <w:r w:rsidR="0029378C" w:rsidRPr="00901F1B">
        <w:rPr>
          <w:rFonts w:ascii="Book Antiqua" w:hAnsi="Book Antiqua" w:cs="Times New Roman"/>
          <w:b/>
          <w:color w:val="000000" w:themeColor="text1"/>
          <w:sz w:val="24"/>
          <w:szCs w:val="24"/>
          <w:u w:color="000000"/>
        </w:rPr>
        <w:t>55-year-old</w:t>
      </w:r>
      <w:r w:rsidR="00740536" w:rsidRPr="00901F1B">
        <w:rPr>
          <w:rFonts w:ascii="Book Antiqua" w:hAnsi="Book Antiqua" w:cs="Times New Roman"/>
          <w:b/>
          <w:color w:val="000000" w:themeColor="text1"/>
          <w:sz w:val="24"/>
          <w:szCs w:val="24"/>
          <w:u w:color="000000"/>
        </w:rPr>
        <w:t xml:space="preserve"> pati</w:t>
      </w:r>
      <w:r w:rsidR="005B7704" w:rsidRPr="00901F1B">
        <w:rPr>
          <w:rFonts w:ascii="Book Antiqua" w:hAnsi="Book Antiqua" w:cs="Times New Roman"/>
          <w:b/>
          <w:color w:val="000000" w:themeColor="text1"/>
          <w:sz w:val="24"/>
          <w:szCs w:val="24"/>
          <w:u w:color="000000"/>
        </w:rPr>
        <w:t xml:space="preserve">ent who </w:t>
      </w:r>
      <w:r w:rsidR="00404D7B" w:rsidRPr="00901F1B">
        <w:rPr>
          <w:rFonts w:ascii="Book Antiqua" w:hAnsi="Book Antiqua" w:cs="Times New Roman"/>
          <w:b/>
          <w:color w:val="000000" w:themeColor="text1"/>
          <w:sz w:val="24"/>
          <w:szCs w:val="24"/>
          <w:u w:color="000000"/>
        </w:rPr>
        <w:t>presented with recurrent gastric variceal bleeding refractory to endoscopic therapy</w:t>
      </w:r>
      <w:r w:rsidR="005B7704" w:rsidRPr="00901F1B">
        <w:rPr>
          <w:rFonts w:ascii="Book Antiqua" w:hAnsi="Book Antiqua" w:cs="Times New Roman"/>
          <w:b/>
          <w:color w:val="000000" w:themeColor="text1"/>
          <w:sz w:val="24"/>
          <w:szCs w:val="24"/>
          <w:u w:color="000000"/>
        </w:rPr>
        <w:t xml:space="preserve">. </w:t>
      </w:r>
      <w:r w:rsidR="005B7704" w:rsidRPr="00787839">
        <w:rPr>
          <w:rFonts w:ascii="Book Antiqua" w:hAnsi="Book Antiqua" w:cs="Times New Roman"/>
          <w:color w:val="000000" w:themeColor="text1"/>
          <w:sz w:val="24"/>
          <w:szCs w:val="24"/>
          <w:u w:color="000000"/>
        </w:rPr>
        <w:t>A:</w:t>
      </w:r>
      <w:r w:rsidR="00740536" w:rsidRPr="00787839">
        <w:rPr>
          <w:rFonts w:ascii="Book Antiqua" w:hAnsi="Book Antiqua" w:cs="Times New Roman"/>
          <w:color w:val="000000" w:themeColor="text1"/>
          <w:sz w:val="24"/>
          <w:szCs w:val="24"/>
          <w:u w:color="000000"/>
        </w:rPr>
        <w:t xml:space="preserve"> Angled catheter was navigated into the left gastrorenal shunt after obtaining access from the right common femoral vein and advancing 5</w:t>
      </w:r>
      <w:r w:rsidR="005B7704" w:rsidRPr="00787839">
        <w:rPr>
          <w:rFonts w:ascii="Book Antiqua" w:hAnsi="Book Antiqua" w:cs="Times New Roman"/>
          <w:color w:val="000000" w:themeColor="text1"/>
          <w:sz w:val="24"/>
          <w:szCs w:val="24"/>
          <w:u w:color="000000"/>
        </w:rPr>
        <w:t xml:space="preserve">-french sheath into the </w:t>
      </w:r>
      <w:r w:rsidRPr="00901F1B">
        <w:rPr>
          <w:rFonts w:ascii="Book Antiqua" w:hAnsi="Book Antiqua" w:cs="Times New Roman"/>
          <w:color w:val="000000" w:themeColor="text1"/>
          <w:sz w:val="24"/>
          <w:szCs w:val="24"/>
          <w:u w:color="000000"/>
        </w:rPr>
        <w:t>inferior vena cava</w:t>
      </w:r>
      <w:r>
        <w:rPr>
          <w:rFonts w:ascii="Book Antiqua" w:eastAsia="SimSun" w:hAnsi="Book Antiqua" w:cs="Times New Roman" w:hint="eastAsia"/>
          <w:color w:val="000000" w:themeColor="text1"/>
          <w:sz w:val="24"/>
          <w:szCs w:val="24"/>
          <w:u w:color="000000"/>
          <w:lang w:eastAsia="zh-CN"/>
        </w:rPr>
        <w:t>;</w:t>
      </w:r>
      <w:r w:rsidR="005B7704" w:rsidRPr="00787839">
        <w:rPr>
          <w:rFonts w:ascii="Book Antiqua" w:hAnsi="Book Antiqua" w:cs="Times New Roman"/>
          <w:color w:val="000000" w:themeColor="text1"/>
          <w:sz w:val="24"/>
          <w:szCs w:val="24"/>
          <w:u w:color="000000"/>
        </w:rPr>
        <w:t xml:space="preserve"> B:</w:t>
      </w:r>
      <w:r w:rsidR="00740536" w:rsidRPr="00787839">
        <w:rPr>
          <w:rFonts w:ascii="Book Antiqua" w:hAnsi="Book Antiqua" w:cs="Times New Roman"/>
          <w:color w:val="000000" w:themeColor="text1"/>
          <w:sz w:val="24"/>
          <w:szCs w:val="24"/>
          <w:u w:color="000000"/>
        </w:rPr>
        <w:t xml:space="preserve"> Digital subtraction angiography performed through the gastrorenal shunt demonstrating large dilated shunt vessels, as well as, secondary outflow </w:t>
      </w:r>
      <w:r w:rsidR="005B7704" w:rsidRPr="00787839">
        <w:rPr>
          <w:rFonts w:ascii="Book Antiqua" w:hAnsi="Book Antiqua" w:cs="Times New Roman"/>
          <w:color w:val="000000" w:themeColor="text1"/>
          <w:sz w:val="24"/>
          <w:szCs w:val="24"/>
          <w:u w:color="000000"/>
        </w:rPr>
        <w:t xml:space="preserve">through </w:t>
      </w:r>
      <w:r w:rsidR="00404D7B" w:rsidRPr="00787839">
        <w:rPr>
          <w:rFonts w:ascii="Book Antiqua" w:hAnsi="Book Antiqua" w:cs="Times New Roman"/>
          <w:color w:val="000000" w:themeColor="text1"/>
          <w:sz w:val="24"/>
          <w:szCs w:val="24"/>
          <w:u w:color="000000"/>
        </w:rPr>
        <w:t>pericardiophrenic</w:t>
      </w:r>
      <w:r w:rsidR="005B7704" w:rsidRPr="00787839">
        <w:rPr>
          <w:rFonts w:ascii="Book Antiqua" w:hAnsi="Book Antiqua" w:cs="Times New Roman"/>
          <w:color w:val="000000" w:themeColor="text1"/>
          <w:sz w:val="24"/>
          <w:szCs w:val="24"/>
          <w:u w:color="000000"/>
        </w:rPr>
        <w:t xml:space="preserve"> collaterals</w:t>
      </w:r>
      <w:r>
        <w:rPr>
          <w:rFonts w:ascii="Book Antiqua" w:eastAsia="SimSun" w:hAnsi="Book Antiqua" w:cs="Times New Roman" w:hint="eastAsia"/>
          <w:color w:val="000000" w:themeColor="text1"/>
          <w:sz w:val="24"/>
          <w:szCs w:val="24"/>
          <w:u w:color="000000"/>
          <w:lang w:eastAsia="zh-CN"/>
        </w:rPr>
        <w:t>;</w:t>
      </w:r>
      <w:r w:rsidR="005B7704" w:rsidRPr="00787839">
        <w:rPr>
          <w:rFonts w:ascii="Book Antiqua" w:hAnsi="Book Antiqua" w:cs="Times New Roman"/>
          <w:color w:val="000000" w:themeColor="text1"/>
          <w:sz w:val="24"/>
          <w:szCs w:val="24"/>
          <w:u w:color="000000"/>
        </w:rPr>
        <w:t xml:space="preserve"> C: B</w:t>
      </w:r>
      <w:r w:rsidR="00740536" w:rsidRPr="00787839">
        <w:rPr>
          <w:rFonts w:ascii="Book Antiqua" w:hAnsi="Book Antiqua" w:cs="Times New Roman"/>
          <w:color w:val="000000" w:themeColor="text1"/>
          <w:sz w:val="24"/>
          <w:szCs w:val="24"/>
          <w:u w:color="000000"/>
        </w:rPr>
        <w:t>oth the proximal and distal shunts were coil-occluded and gelfoam was utilized to embolize</w:t>
      </w:r>
      <w:r w:rsidR="00404D7B" w:rsidRPr="00787839">
        <w:rPr>
          <w:rFonts w:ascii="Book Antiqua" w:hAnsi="Book Antiqua" w:cs="Times New Roman"/>
          <w:color w:val="000000" w:themeColor="text1"/>
          <w:sz w:val="24"/>
          <w:szCs w:val="24"/>
          <w:u w:color="000000"/>
        </w:rPr>
        <w:t xml:space="preserve"> and thrombose</w:t>
      </w:r>
      <w:r w:rsidR="00740536" w:rsidRPr="00787839">
        <w:rPr>
          <w:rFonts w:ascii="Book Antiqua" w:hAnsi="Book Antiqua" w:cs="Times New Roman"/>
          <w:color w:val="000000" w:themeColor="text1"/>
          <w:sz w:val="24"/>
          <w:szCs w:val="24"/>
          <w:u w:color="000000"/>
        </w:rPr>
        <w:t xml:space="preserve"> the gastric varices.</w:t>
      </w:r>
    </w:p>
    <w:p w14:paraId="7479D2D9" w14:textId="77777777" w:rsidR="00706C2C" w:rsidRPr="00E33D7F" w:rsidRDefault="00706C2C" w:rsidP="007F096F">
      <w:pPr>
        <w:adjustRightInd w:val="0"/>
        <w:snapToGrid w:val="0"/>
        <w:spacing w:after="0" w:line="360" w:lineRule="auto"/>
        <w:rPr>
          <w:rFonts w:ascii="Book Antiqua" w:hAnsi="Book Antiqua" w:cs="Times New Roman"/>
          <w:color w:val="000000" w:themeColor="text1"/>
          <w:sz w:val="24"/>
          <w:szCs w:val="24"/>
          <w:u w:color="000000"/>
        </w:rPr>
      </w:pPr>
    </w:p>
    <w:sectPr w:rsidR="00706C2C" w:rsidRPr="00E33D7F" w:rsidSect="00F14A23">
      <w:pgSz w:w="12240" w:h="15840"/>
      <w:pgMar w:top="1440" w:right="1440" w:bottom="1440" w:left="1440"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0FEFCF" w14:textId="77777777" w:rsidR="00554128" w:rsidRDefault="00554128" w:rsidP="003F1983">
      <w:pPr>
        <w:spacing w:after="0" w:line="240" w:lineRule="auto"/>
      </w:pPr>
      <w:r>
        <w:separator/>
      </w:r>
    </w:p>
  </w:endnote>
  <w:endnote w:type="continuationSeparator" w:id="0">
    <w:p w14:paraId="14C2E7A6" w14:textId="77777777" w:rsidR="00554128" w:rsidRDefault="00554128" w:rsidP="003F19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A1002AE7" w:usb1="C0000063" w:usb2="00000038" w:usb3="00000000" w:csb0="000000B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E1DFA4" w14:textId="77777777" w:rsidR="00554128" w:rsidRDefault="00554128" w:rsidP="003F1983">
      <w:pPr>
        <w:spacing w:after="0" w:line="240" w:lineRule="auto"/>
      </w:pPr>
      <w:r>
        <w:separator/>
      </w:r>
    </w:p>
  </w:footnote>
  <w:footnote w:type="continuationSeparator" w:id="0">
    <w:p w14:paraId="168B2E4C" w14:textId="77777777" w:rsidR="00554128" w:rsidRDefault="00554128" w:rsidP="003F198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894EE873"/>
    <w:lvl w:ilvl="0">
      <w:start w:val="1"/>
      <w:numFmt w:val="decimal"/>
      <w:pStyle w:val="List0"/>
      <w:lvlText w:val="%1."/>
      <w:lvlJc w:val="left"/>
      <w:pPr>
        <w:tabs>
          <w:tab w:val="num" w:pos="393"/>
        </w:tabs>
        <w:ind w:left="393" w:firstLine="360"/>
      </w:pPr>
      <w:rPr>
        <w:rFonts w:hint="default"/>
        <w:position w:val="0"/>
      </w:rPr>
    </w:lvl>
    <w:lvl w:ilvl="1">
      <w:start w:val="1"/>
      <w:numFmt w:val="lowerLetter"/>
      <w:lvlText w:val="%2."/>
      <w:lvlJc w:val="left"/>
      <w:pPr>
        <w:tabs>
          <w:tab w:val="num" w:pos="360"/>
        </w:tabs>
        <w:ind w:left="360" w:firstLine="1080"/>
      </w:pPr>
      <w:rPr>
        <w:rFonts w:hint="default"/>
        <w:position w:val="0"/>
      </w:rPr>
    </w:lvl>
    <w:lvl w:ilvl="2">
      <w:start w:val="1"/>
      <w:numFmt w:val="lowerRoman"/>
      <w:lvlText w:val="%3."/>
      <w:lvlJc w:val="left"/>
      <w:pPr>
        <w:tabs>
          <w:tab w:val="num" w:pos="296"/>
        </w:tabs>
        <w:ind w:left="296" w:firstLine="1864"/>
      </w:pPr>
      <w:rPr>
        <w:rFonts w:hint="default"/>
        <w:position w:val="0"/>
      </w:rPr>
    </w:lvl>
    <w:lvl w:ilvl="3">
      <w:start w:val="1"/>
      <w:numFmt w:val="decimal"/>
      <w:lvlText w:val="%4."/>
      <w:lvlJc w:val="left"/>
      <w:pPr>
        <w:tabs>
          <w:tab w:val="num" w:pos="360"/>
        </w:tabs>
        <w:ind w:left="360" w:firstLine="2520"/>
      </w:pPr>
      <w:rPr>
        <w:rFonts w:hint="default"/>
        <w:position w:val="0"/>
      </w:rPr>
    </w:lvl>
    <w:lvl w:ilvl="4">
      <w:start w:val="1"/>
      <w:numFmt w:val="lowerLetter"/>
      <w:lvlText w:val="%5."/>
      <w:lvlJc w:val="left"/>
      <w:pPr>
        <w:tabs>
          <w:tab w:val="num" w:pos="360"/>
        </w:tabs>
        <w:ind w:left="360" w:firstLine="3240"/>
      </w:pPr>
      <w:rPr>
        <w:rFonts w:hint="default"/>
        <w:position w:val="0"/>
      </w:rPr>
    </w:lvl>
    <w:lvl w:ilvl="5">
      <w:start w:val="1"/>
      <w:numFmt w:val="lowerRoman"/>
      <w:lvlText w:val="%6."/>
      <w:lvlJc w:val="left"/>
      <w:pPr>
        <w:tabs>
          <w:tab w:val="num" w:pos="296"/>
        </w:tabs>
        <w:ind w:left="296" w:firstLine="4024"/>
      </w:pPr>
      <w:rPr>
        <w:rFonts w:hint="default"/>
        <w:position w:val="0"/>
      </w:rPr>
    </w:lvl>
    <w:lvl w:ilvl="6">
      <w:start w:val="1"/>
      <w:numFmt w:val="decimal"/>
      <w:lvlText w:val="%7."/>
      <w:lvlJc w:val="left"/>
      <w:pPr>
        <w:tabs>
          <w:tab w:val="num" w:pos="360"/>
        </w:tabs>
        <w:ind w:left="360" w:firstLine="4680"/>
      </w:pPr>
      <w:rPr>
        <w:rFonts w:hint="default"/>
        <w:position w:val="0"/>
      </w:rPr>
    </w:lvl>
    <w:lvl w:ilvl="7">
      <w:start w:val="1"/>
      <w:numFmt w:val="lowerLetter"/>
      <w:lvlText w:val="%8."/>
      <w:lvlJc w:val="left"/>
      <w:pPr>
        <w:tabs>
          <w:tab w:val="num" w:pos="360"/>
        </w:tabs>
        <w:ind w:left="360" w:firstLine="5400"/>
      </w:pPr>
      <w:rPr>
        <w:rFonts w:hint="default"/>
        <w:position w:val="0"/>
      </w:rPr>
    </w:lvl>
    <w:lvl w:ilvl="8">
      <w:start w:val="1"/>
      <w:numFmt w:val="lowerRoman"/>
      <w:lvlText w:val="%9."/>
      <w:lvlJc w:val="left"/>
      <w:pPr>
        <w:tabs>
          <w:tab w:val="num" w:pos="296"/>
        </w:tabs>
        <w:ind w:left="296" w:firstLine="6184"/>
      </w:pPr>
      <w:rPr>
        <w:rFonts w:hint="default"/>
        <w:position w:val="0"/>
      </w:rPr>
    </w:lvl>
  </w:abstractNum>
  <w:abstractNum w:abstractNumId="1" w15:restartNumberingAfterBreak="0">
    <w:nsid w:val="00000002"/>
    <w:multiLevelType w:val="multilevel"/>
    <w:tmpl w:val="894EE874"/>
    <w:lvl w:ilvl="0">
      <w:start w:val="1"/>
      <w:numFmt w:val="decimal"/>
      <w:pStyle w:val="ImportWordListStyleDefinition2"/>
      <w:lvlText w:val="%1."/>
      <w:lvlJc w:val="left"/>
      <w:pPr>
        <w:tabs>
          <w:tab w:val="num" w:pos="360"/>
        </w:tabs>
        <w:ind w:left="360" w:firstLine="36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1">
      <w:start w:val="1"/>
      <w:numFmt w:val="lowerLetter"/>
      <w:lvlText w:val="%2."/>
      <w:lvlJc w:val="left"/>
      <w:pPr>
        <w:tabs>
          <w:tab w:val="num" w:pos="360"/>
        </w:tabs>
        <w:ind w:left="360" w:firstLine="108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2">
      <w:start w:val="1"/>
      <w:numFmt w:val="lowerRoman"/>
      <w:lvlText w:val="%3."/>
      <w:lvlJc w:val="left"/>
      <w:pPr>
        <w:tabs>
          <w:tab w:val="num" w:pos="296"/>
        </w:tabs>
        <w:ind w:left="296" w:firstLine="1864"/>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3">
      <w:start w:val="1"/>
      <w:numFmt w:val="decimal"/>
      <w:lvlText w:val="%4."/>
      <w:lvlJc w:val="left"/>
      <w:pPr>
        <w:tabs>
          <w:tab w:val="num" w:pos="360"/>
        </w:tabs>
        <w:ind w:left="360" w:firstLine="252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4">
      <w:start w:val="1"/>
      <w:numFmt w:val="lowerLetter"/>
      <w:lvlText w:val="%5."/>
      <w:lvlJc w:val="left"/>
      <w:pPr>
        <w:tabs>
          <w:tab w:val="num" w:pos="360"/>
        </w:tabs>
        <w:ind w:left="360" w:firstLine="324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5">
      <w:start w:val="1"/>
      <w:numFmt w:val="lowerRoman"/>
      <w:lvlText w:val="%6."/>
      <w:lvlJc w:val="left"/>
      <w:pPr>
        <w:tabs>
          <w:tab w:val="num" w:pos="296"/>
        </w:tabs>
        <w:ind w:left="296" w:firstLine="4024"/>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6">
      <w:start w:val="1"/>
      <w:numFmt w:val="decimal"/>
      <w:lvlText w:val="%7."/>
      <w:lvlJc w:val="left"/>
      <w:pPr>
        <w:tabs>
          <w:tab w:val="num" w:pos="360"/>
        </w:tabs>
        <w:ind w:left="360" w:firstLine="468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7">
      <w:start w:val="1"/>
      <w:numFmt w:val="lowerLetter"/>
      <w:lvlText w:val="%8."/>
      <w:lvlJc w:val="left"/>
      <w:pPr>
        <w:tabs>
          <w:tab w:val="num" w:pos="360"/>
        </w:tabs>
        <w:ind w:left="360" w:firstLine="540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8">
      <w:start w:val="1"/>
      <w:numFmt w:val="lowerRoman"/>
      <w:lvlText w:val="%9."/>
      <w:lvlJc w:val="left"/>
      <w:pPr>
        <w:tabs>
          <w:tab w:val="num" w:pos="296"/>
        </w:tabs>
        <w:ind w:left="296" w:firstLine="6184"/>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abstractNum>
  <w:abstractNum w:abstractNumId="2" w15:restartNumberingAfterBreak="0">
    <w:nsid w:val="00000003"/>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F782A86"/>
    <w:multiLevelType w:val="hybridMultilevel"/>
    <w:tmpl w:val="52A05F7E"/>
    <w:lvl w:ilvl="0" w:tplc="F11414A2">
      <w:start w:val="1"/>
      <w:numFmt w:val="decimal"/>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 w15:restartNumberingAfterBreak="0">
    <w:nsid w:val="79D11FF5"/>
    <w:multiLevelType w:val="hybridMultilevel"/>
    <w:tmpl w:val="D1568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B5D04CC"/>
    <w:multiLevelType w:val="hybridMultilevel"/>
    <w:tmpl w:val="46626A7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
  </w:num>
  <w:num w:numId="3">
    <w:abstractNumId w:val="2"/>
  </w:num>
  <w:num w:numId="4">
    <w:abstractNumId w:val="3"/>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noLineBreaksAfter w:lang="ja-JP" w:val="‘“(〔[{〈《「『【⦅〘〖«〝︵︷︹︻︽︿﹁﹃﹇﹙﹛﹝｢"/>
  <w:noLineBreaksBefore w:lang="ja-JP" w:val="’”)〕]}〉"/>
  <w:doNotValidateAgainstSchema/>
  <w:doNotDemarcateInvalidXml/>
  <w:hdrShapeDefaults>
    <o:shapedefaults v:ext="edit" spidmax="2049" style="mso-wrap-style:none">
      <v:stroke weight="0" endcap="round"/>
      <v:textbox style="mso-column-count:0;mso-column-margin:0" inset="0,0,0,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1745"/>
    <w:rsid w:val="00003A4F"/>
    <w:rsid w:val="00003C26"/>
    <w:rsid w:val="00017FCA"/>
    <w:rsid w:val="000271D5"/>
    <w:rsid w:val="000275E3"/>
    <w:rsid w:val="00030AB4"/>
    <w:rsid w:val="0003274B"/>
    <w:rsid w:val="000479A2"/>
    <w:rsid w:val="000503C6"/>
    <w:rsid w:val="000507F5"/>
    <w:rsid w:val="00051B46"/>
    <w:rsid w:val="00051DB4"/>
    <w:rsid w:val="000525D3"/>
    <w:rsid w:val="00061745"/>
    <w:rsid w:val="00066152"/>
    <w:rsid w:val="00070991"/>
    <w:rsid w:val="0007498E"/>
    <w:rsid w:val="00076AE6"/>
    <w:rsid w:val="00094AE4"/>
    <w:rsid w:val="00094FE1"/>
    <w:rsid w:val="000A6FB6"/>
    <w:rsid w:val="000B235E"/>
    <w:rsid w:val="000C61CB"/>
    <w:rsid w:val="000D06AF"/>
    <w:rsid w:val="000D1A08"/>
    <w:rsid w:val="000D6064"/>
    <w:rsid w:val="000D62A4"/>
    <w:rsid w:val="000D7AB0"/>
    <w:rsid w:val="000E0373"/>
    <w:rsid w:val="000E0469"/>
    <w:rsid w:val="000E17F1"/>
    <w:rsid w:val="000E3579"/>
    <w:rsid w:val="000E41AF"/>
    <w:rsid w:val="000E5D3D"/>
    <w:rsid w:val="000E7554"/>
    <w:rsid w:val="000F03EC"/>
    <w:rsid w:val="000F3462"/>
    <w:rsid w:val="00102766"/>
    <w:rsid w:val="00111826"/>
    <w:rsid w:val="00115131"/>
    <w:rsid w:val="00116A27"/>
    <w:rsid w:val="001208C5"/>
    <w:rsid w:val="00130CF5"/>
    <w:rsid w:val="001310B7"/>
    <w:rsid w:val="001371C1"/>
    <w:rsid w:val="00145046"/>
    <w:rsid w:val="00157050"/>
    <w:rsid w:val="001612B3"/>
    <w:rsid w:val="00163C89"/>
    <w:rsid w:val="00165469"/>
    <w:rsid w:val="00165D3B"/>
    <w:rsid w:val="0019191C"/>
    <w:rsid w:val="00193F43"/>
    <w:rsid w:val="00194AAF"/>
    <w:rsid w:val="00196933"/>
    <w:rsid w:val="001A3E46"/>
    <w:rsid w:val="001A6EC7"/>
    <w:rsid w:val="001B191E"/>
    <w:rsid w:val="001B1B1E"/>
    <w:rsid w:val="001B2F47"/>
    <w:rsid w:val="001C24F4"/>
    <w:rsid w:val="001C6B84"/>
    <w:rsid w:val="001E5252"/>
    <w:rsid w:val="001F2AC2"/>
    <w:rsid w:val="001F4BDD"/>
    <w:rsid w:val="002102B1"/>
    <w:rsid w:val="00212DF0"/>
    <w:rsid w:val="00212EB7"/>
    <w:rsid w:val="0021333C"/>
    <w:rsid w:val="00221B6B"/>
    <w:rsid w:val="0023162F"/>
    <w:rsid w:val="00237F66"/>
    <w:rsid w:val="00243FDF"/>
    <w:rsid w:val="00244DF2"/>
    <w:rsid w:val="00257D78"/>
    <w:rsid w:val="002628CF"/>
    <w:rsid w:val="002772BC"/>
    <w:rsid w:val="00283364"/>
    <w:rsid w:val="0029378C"/>
    <w:rsid w:val="002A7CD4"/>
    <w:rsid w:val="002C03B4"/>
    <w:rsid w:val="002C0439"/>
    <w:rsid w:val="002C5E33"/>
    <w:rsid w:val="002C626C"/>
    <w:rsid w:val="002E1122"/>
    <w:rsid w:val="002E2EAB"/>
    <w:rsid w:val="002F471A"/>
    <w:rsid w:val="002F5290"/>
    <w:rsid w:val="0030026A"/>
    <w:rsid w:val="00302364"/>
    <w:rsid w:val="00307475"/>
    <w:rsid w:val="00311CAD"/>
    <w:rsid w:val="00312240"/>
    <w:rsid w:val="00327444"/>
    <w:rsid w:val="003378A5"/>
    <w:rsid w:val="00340F8A"/>
    <w:rsid w:val="0034143B"/>
    <w:rsid w:val="00341CC3"/>
    <w:rsid w:val="00347EAF"/>
    <w:rsid w:val="003623F9"/>
    <w:rsid w:val="003624BF"/>
    <w:rsid w:val="00367FC8"/>
    <w:rsid w:val="00373356"/>
    <w:rsid w:val="0038080B"/>
    <w:rsid w:val="0039136F"/>
    <w:rsid w:val="003931C2"/>
    <w:rsid w:val="00394D13"/>
    <w:rsid w:val="00395F28"/>
    <w:rsid w:val="003B5A09"/>
    <w:rsid w:val="003D02F3"/>
    <w:rsid w:val="003D5182"/>
    <w:rsid w:val="003F01BB"/>
    <w:rsid w:val="003F1983"/>
    <w:rsid w:val="003F2E20"/>
    <w:rsid w:val="003F4BCC"/>
    <w:rsid w:val="00400C68"/>
    <w:rsid w:val="00403102"/>
    <w:rsid w:val="00404D7B"/>
    <w:rsid w:val="00410D49"/>
    <w:rsid w:val="00430F58"/>
    <w:rsid w:val="00436EED"/>
    <w:rsid w:val="004376DA"/>
    <w:rsid w:val="0045157B"/>
    <w:rsid w:val="00456AC3"/>
    <w:rsid w:val="00456EDC"/>
    <w:rsid w:val="00476F69"/>
    <w:rsid w:val="00480724"/>
    <w:rsid w:val="004940B4"/>
    <w:rsid w:val="00497B25"/>
    <w:rsid w:val="004A555F"/>
    <w:rsid w:val="004B2605"/>
    <w:rsid w:val="004C2C05"/>
    <w:rsid w:val="004C3F54"/>
    <w:rsid w:val="004C44EE"/>
    <w:rsid w:val="004E0A6B"/>
    <w:rsid w:val="004F0A65"/>
    <w:rsid w:val="004F50B9"/>
    <w:rsid w:val="004F57D7"/>
    <w:rsid w:val="00500E47"/>
    <w:rsid w:val="00502C90"/>
    <w:rsid w:val="00502D23"/>
    <w:rsid w:val="005143AC"/>
    <w:rsid w:val="0052227E"/>
    <w:rsid w:val="00524A3F"/>
    <w:rsid w:val="00536858"/>
    <w:rsid w:val="005414BD"/>
    <w:rsid w:val="005425B2"/>
    <w:rsid w:val="00546238"/>
    <w:rsid w:val="00554128"/>
    <w:rsid w:val="00555094"/>
    <w:rsid w:val="005568A5"/>
    <w:rsid w:val="0056479C"/>
    <w:rsid w:val="00572C4D"/>
    <w:rsid w:val="00573DDC"/>
    <w:rsid w:val="005849D7"/>
    <w:rsid w:val="00586A10"/>
    <w:rsid w:val="00593FC5"/>
    <w:rsid w:val="0059487E"/>
    <w:rsid w:val="005B0A0C"/>
    <w:rsid w:val="005B1D28"/>
    <w:rsid w:val="005B28F9"/>
    <w:rsid w:val="005B29BE"/>
    <w:rsid w:val="005B7704"/>
    <w:rsid w:val="005C4BE8"/>
    <w:rsid w:val="005C59A3"/>
    <w:rsid w:val="005D1A62"/>
    <w:rsid w:val="005D1F53"/>
    <w:rsid w:val="005E291A"/>
    <w:rsid w:val="005E2BD7"/>
    <w:rsid w:val="005E5CC2"/>
    <w:rsid w:val="00600B09"/>
    <w:rsid w:val="00602C11"/>
    <w:rsid w:val="00605339"/>
    <w:rsid w:val="00617169"/>
    <w:rsid w:val="0061774D"/>
    <w:rsid w:val="006235FC"/>
    <w:rsid w:val="00623E52"/>
    <w:rsid w:val="0063536D"/>
    <w:rsid w:val="00636C3C"/>
    <w:rsid w:val="00637817"/>
    <w:rsid w:val="0064259E"/>
    <w:rsid w:val="00646B56"/>
    <w:rsid w:val="00647738"/>
    <w:rsid w:val="0065476C"/>
    <w:rsid w:val="00662160"/>
    <w:rsid w:val="006710D7"/>
    <w:rsid w:val="00677383"/>
    <w:rsid w:val="00677F13"/>
    <w:rsid w:val="006808A7"/>
    <w:rsid w:val="00680E30"/>
    <w:rsid w:val="006A209C"/>
    <w:rsid w:val="006A5ADC"/>
    <w:rsid w:val="006A7A68"/>
    <w:rsid w:val="006B2358"/>
    <w:rsid w:val="006C13A8"/>
    <w:rsid w:val="006C4620"/>
    <w:rsid w:val="006C56E6"/>
    <w:rsid w:val="006D008F"/>
    <w:rsid w:val="006D242D"/>
    <w:rsid w:val="006D3A59"/>
    <w:rsid w:val="006D689D"/>
    <w:rsid w:val="006D71DC"/>
    <w:rsid w:val="006E22B2"/>
    <w:rsid w:val="006E3245"/>
    <w:rsid w:val="00706C2C"/>
    <w:rsid w:val="007109EA"/>
    <w:rsid w:val="0073109E"/>
    <w:rsid w:val="00731147"/>
    <w:rsid w:val="007345C2"/>
    <w:rsid w:val="007347C6"/>
    <w:rsid w:val="007375BF"/>
    <w:rsid w:val="00740536"/>
    <w:rsid w:val="00742FED"/>
    <w:rsid w:val="00750B25"/>
    <w:rsid w:val="0076716D"/>
    <w:rsid w:val="00770577"/>
    <w:rsid w:val="007775A3"/>
    <w:rsid w:val="00787839"/>
    <w:rsid w:val="00790935"/>
    <w:rsid w:val="007B0EF8"/>
    <w:rsid w:val="007D150E"/>
    <w:rsid w:val="007D3A4A"/>
    <w:rsid w:val="007E4975"/>
    <w:rsid w:val="007E6AA3"/>
    <w:rsid w:val="007F086B"/>
    <w:rsid w:val="007F096F"/>
    <w:rsid w:val="007F3393"/>
    <w:rsid w:val="007F5021"/>
    <w:rsid w:val="007F701A"/>
    <w:rsid w:val="008037AB"/>
    <w:rsid w:val="00804024"/>
    <w:rsid w:val="008067D0"/>
    <w:rsid w:val="00811B83"/>
    <w:rsid w:val="00813D29"/>
    <w:rsid w:val="008212EB"/>
    <w:rsid w:val="00827640"/>
    <w:rsid w:val="00833880"/>
    <w:rsid w:val="008359E5"/>
    <w:rsid w:val="00837693"/>
    <w:rsid w:val="00840F48"/>
    <w:rsid w:val="00841F66"/>
    <w:rsid w:val="00861E58"/>
    <w:rsid w:val="008678BB"/>
    <w:rsid w:val="00872B7A"/>
    <w:rsid w:val="00877177"/>
    <w:rsid w:val="00877974"/>
    <w:rsid w:val="00877B30"/>
    <w:rsid w:val="00881E00"/>
    <w:rsid w:val="00884B44"/>
    <w:rsid w:val="00893E4A"/>
    <w:rsid w:val="00894A38"/>
    <w:rsid w:val="00895A68"/>
    <w:rsid w:val="008A7DBD"/>
    <w:rsid w:val="008B0A67"/>
    <w:rsid w:val="008B3E0F"/>
    <w:rsid w:val="008E2573"/>
    <w:rsid w:val="008E33E6"/>
    <w:rsid w:val="008E4E57"/>
    <w:rsid w:val="008E6217"/>
    <w:rsid w:val="00901F1B"/>
    <w:rsid w:val="00903B4F"/>
    <w:rsid w:val="00907CA3"/>
    <w:rsid w:val="00920DEE"/>
    <w:rsid w:val="0093316A"/>
    <w:rsid w:val="00936957"/>
    <w:rsid w:val="00942B5E"/>
    <w:rsid w:val="0096201F"/>
    <w:rsid w:val="009644A8"/>
    <w:rsid w:val="00972983"/>
    <w:rsid w:val="00977E89"/>
    <w:rsid w:val="00980738"/>
    <w:rsid w:val="0098422F"/>
    <w:rsid w:val="00996921"/>
    <w:rsid w:val="009A0414"/>
    <w:rsid w:val="009A101E"/>
    <w:rsid w:val="009A5348"/>
    <w:rsid w:val="009A7A87"/>
    <w:rsid w:val="009B35CE"/>
    <w:rsid w:val="009B3C21"/>
    <w:rsid w:val="009E736F"/>
    <w:rsid w:val="009F1BE7"/>
    <w:rsid w:val="009F47C9"/>
    <w:rsid w:val="00A00F26"/>
    <w:rsid w:val="00A01764"/>
    <w:rsid w:val="00A02CE8"/>
    <w:rsid w:val="00A05556"/>
    <w:rsid w:val="00A07894"/>
    <w:rsid w:val="00A10408"/>
    <w:rsid w:val="00A20FA8"/>
    <w:rsid w:val="00A3475D"/>
    <w:rsid w:val="00A461CC"/>
    <w:rsid w:val="00A46D7B"/>
    <w:rsid w:val="00A755DA"/>
    <w:rsid w:val="00A81124"/>
    <w:rsid w:val="00A9061B"/>
    <w:rsid w:val="00A919B5"/>
    <w:rsid w:val="00A92365"/>
    <w:rsid w:val="00A94FFE"/>
    <w:rsid w:val="00AA0229"/>
    <w:rsid w:val="00AB6659"/>
    <w:rsid w:val="00AB6D16"/>
    <w:rsid w:val="00AC10C1"/>
    <w:rsid w:val="00AC4AF2"/>
    <w:rsid w:val="00AD60C9"/>
    <w:rsid w:val="00AE20C7"/>
    <w:rsid w:val="00AE3E96"/>
    <w:rsid w:val="00AE5763"/>
    <w:rsid w:val="00AF5E7C"/>
    <w:rsid w:val="00B05A3D"/>
    <w:rsid w:val="00B07045"/>
    <w:rsid w:val="00B3539C"/>
    <w:rsid w:val="00B51562"/>
    <w:rsid w:val="00B53FE9"/>
    <w:rsid w:val="00B57029"/>
    <w:rsid w:val="00B66FDB"/>
    <w:rsid w:val="00B67D2B"/>
    <w:rsid w:val="00B7087C"/>
    <w:rsid w:val="00B712CE"/>
    <w:rsid w:val="00B75ADB"/>
    <w:rsid w:val="00B77997"/>
    <w:rsid w:val="00B80A32"/>
    <w:rsid w:val="00B85B1F"/>
    <w:rsid w:val="00B8637C"/>
    <w:rsid w:val="00B86A65"/>
    <w:rsid w:val="00B9173B"/>
    <w:rsid w:val="00BA59CC"/>
    <w:rsid w:val="00BC40CC"/>
    <w:rsid w:val="00BC589A"/>
    <w:rsid w:val="00BD0228"/>
    <w:rsid w:val="00BD0582"/>
    <w:rsid w:val="00BD06D3"/>
    <w:rsid w:val="00BD1F59"/>
    <w:rsid w:val="00BE2A6E"/>
    <w:rsid w:val="00BE3E11"/>
    <w:rsid w:val="00BF0469"/>
    <w:rsid w:val="00BF5F58"/>
    <w:rsid w:val="00BF680A"/>
    <w:rsid w:val="00C0333B"/>
    <w:rsid w:val="00C04189"/>
    <w:rsid w:val="00C0623F"/>
    <w:rsid w:val="00C06D1B"/>
    <w:rsid w:val="00C122DE"/>
    <w:rsid w:val="00C3203A"/>
    <w:rsid w:val="00C341B1"/>
    <w:rsid w:val="00C445A0"/>
    <w:rsid w:val="00C56BBB"/>
    <w:rsid w:val="00C6657E"/>
    <w:rsid w:val="00C665BA"/>
    <w:rsid w:val="00C83C51"/>
    <w:rsid w:val="00C85B39"/>
    <w:rsid w:val="00C91E84"/>
    <w:rsid w:val="00CA6870"/>
    <w:rsid w:val="00CA7B86"/>
    <w:rsid w:val="00CA7DBC"/>
    <w:rsid w:val="00CB5574"/>
    <w:rsid w:val="00CD06DD"/>
    <w:rsid w:val="00CE5518"/>
    <w:rsid w:val="00CE7DE9"/>
    <w:rsid w:val="00CF157C"/>
    <w:rsid w:val="00D04DFE"/>
    <w:rsid w:val="00D232D3"/>
    <w:rsid w:val="00D271F3"/>
    <w:rsid w:val="00D34185"/>
    <w:rsid w:val="00D36007"/>
    <w:rsid w:val="00D365A6"/>
    <w:rsid w:val="00D41FAC"/>
    <w:rsid w:val="00D573ED"/>
    <w:rsid w:val="00D63B08"/>
    <w:rsid w:val="00D63D42"/>
    <w:rsid w:val="00D6404A"/>
    <w:rsid w:val="00D77694"/>
    <w:rsid w:val="00D77DC2"/>
    <w:rsid w:val="00D909EF"/>
    <w:rsid w:val="00DA0CFB"/>
    <w:rsid w:val="00DB14ED"/>
    <w:rsid w:val="00DB745E"/>
    <w:rsid w:val="00DC4E6C"/>
    <w:rsid w:val="00DC5A18"/>
    <w:rsid w:val="00DC64C7"/>
    <w:rsid w:val="00DE13A5"/>
    <w:rsid w:val="00DE610E"/>
    <w:rsid w:val="00DF3200"/>
    <w:rsid w:val="00DF3303"/>
    <w:rsid w:val="00DF4065"/>
    <w:rsid w:val="00E000FD"/>
    <w:rsid w:val="00E019B6"/>
    <w:rsid w:val="00E01FB1"/>
    <w:rsid w:val="00E26174"/>
    <w:rsid w:val="00E2752B"/>
    <w:rsid w:val="00E33D7F"/>
    <w:rsid w:val="00E4121D"/>
    <w:rsid w:val="00E535A1"/>
    <w:rsid w:val="00E541A5"/>
    <w:rsid w:val="00E54322"/>
    <w:rsid w:val="00E57920"/>
    <w:rsid w:val="00E57CBC"/>
    <w:rsid w:val="00E64445"/>
    <w:rsid w:val="00E646DF"/>
    <w:rsid w:val="00E7473B"/>
    <w:rsid w:val="00E76E07"/>
    <w:rsid w:val="00E76ECF"/>
    <w:rsid w:val="00E90028"/>
    <w:rsid w:val="00E96A29"/>
    <w:rsid w:val="00E9771B"/>
    <w:rsid w:val="00EA6AC2"/>
    <w:rsid w:val="00EF6167"/>
    <w:rsid w:val="00F02DE5"/>
    <w:rsid w:val="00F13459"/>
    <w:rsid w:val="00F14A23"/>
    <w:rsid w:val="00F1595B"/>
    <w:rsid w:val="00F24709"/>
    <w:rsid w:val="00F368C2"/>
    <w:rsid w:val="00F424D2"/>
    <w:rsid w:val="00F44D1D"/>
    <w:rsid w:val="00F46459"/>
    <w:rsid w:val="00F46BE8"/>
    <w:rsid w:val="00F573F1"/>
    <w:rsid w:val="00F61EB0"/>
    <w:rsid w:val="00F62DF1"/>
    <w:rsid w:val="00F65CE7"/>
    <w:rsid w:val="00F66C63"/>
    <w:rsid w:val="00F7502C"/>
    <w:rsid w:val="00F76EE5"/>
    <w:rsid w:val="00F927E9"/>
    <w:rsid w:val="00F96C06"/>
    <w:rsid w:val="00FA307F"/>
    <w:rsid w:val="00FA310A"/>
    <w:rsid w:val="00FA7AFD"/>
    <w:rsid w:val="00FC5E5F"/>
    <w:rsid w:val="00FD377A"/>
    <w:rsid w:val="00FD6569"/>
    <w:rsid w:val="00FD6E22"/>
    <w:rsid w:val="00FE038D"/>
    <w:rsid w:val="00FE2FE2"/>
    <w:rsid w:val="00FE5F53"/>
    <w:rsid w:val="00FF1153"/>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wrap-style:none">
      <v:stroke weight="0" endcap="round"/>
      <v:textbox style="mso-column-count:0;mso-column-margin:0" inset="0,0,0,0"/>
    </o:shapedefaults>
    <o:shapelayout v:ext="edit">
      <o:idmap v:ext="edit" data="1"/>
    </o:shapelayout>
  </w:shapeDefaults>
  <w:doNotEmbedSmartTags/>
  <w:decimalSymbol w:val="."/>
  <w:listSeparator w:val=","/>
  <w14:docId w14:val="2C0A3C68"/>
  <w15:docId w15:val="{A8EB04EB-180D-4DD0-83D7-077BAE9A47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CA" w:eastAsia="en-CA" w:bidi="ar-SA"/>
      </w:rPr>
    </w:rPrDefault>
    <w:pPrDefault>
      <w:pPr>
        <w:spacing w:after="200" w:line="276" w:lineRule="auto"/>
        <w:jc w:val="both"/>
      </w:pPr>
    </w:pPrDefault>
  </w:docDefaults>
  <w:latentStyles w:defLockedState="0" w:defUIPriority="0" w:defSemiHidden="0" w:defUnhideWhenUsed="0" w:defQFormat="0" w:count="371">
    <w:lsdException w:name="Normal" w:locked="1"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iPriority="99"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unhideWhenUsed="1"/>
    <w:lsdException w:name="List 2" w:locked="1" w:semiHidden="1" w:unhideWhenUsed="1"/>
    <w:lsdException w:name="List 3" w:locked="1" w:semiHidden="1" w:unhideWhenUs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unhideWhenUsed="1"/>
    <w:lsdException w:name="Title" w:locked="1" w:uiPriority="10"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lsdException w:name="Block Text" w:locked="1"/>
    <w:lsdException w:name="Hyperlink" w:locked="1" w:unhideWhenUsed="1"/>
    <w:lsdException w:name="FollowedHyperlink" w:locked="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701A"/>
  </w:style>
  <w:style w:type="paragraph" w:styleId="Heading1">
    <w:name w:val="heading 1"/>
    <w:basedOn w:val="Normal"/>
    <w:next w:val="Normal"/>
    <w:link w:val="Heading1Char"/>
    <w:uiPriority w:val="9"/>
    <w:qFormat/>
    <w:locked/>
    <w:rsid w:val="007F701A"/>
    <w:pPr>
      <w:spacing w:before="300" w:after="40"/>
      <w:jc w:val="left"/>
      <w:outlineLvl w:val="0"/>
    </w:pPr>
    <w:rPr>
      <w:smallCaps/>
      <w:spacing w:val="5"/>
      <w:sz w:val="32"/>
      <w:szCs w:val="32"/>
    </w:rPr>
  </w:style>
  <w:style w:type="paragraph" w:styleId="Heading2">
    <w:name w:val="heading 2"/>
    <w:basedOn w:val="Normal"/>
    <w:next w:val="Normal"/>
    <w:link w:val="Heading2Char"/>
    <w:uiPriority w:val="9"/>
    <w:semiHidden/>
    <w:unhideWhenUsed/>
    <w:qFormat/>
    <w:locked/>
    <w:rsid w:val="007F701A"/>
    <w:pPr>
      <w:spacing w:before="240" w:after="80"/>
      <w:jc w:val="left"/>
      <w:outlineLvl w:val="1"/>
    </w:pPr>
    <w:rPr>
      <w:smallCaps/>
      <w:spacing w:val="5"/>
      <w:sz w:val="28"/>
      <w:szCs w:val="28"/>
    </w:rPr>
  </w:style>
  <w:style w:type="paragraph" w:styleId="Heading3">
    <w:name w:val="heading 3"/>
    <w:basedOn w:val="Normal"/>
    <w:next w:val="Normal"/>
    <w:link w:val="Heading3Char"/>
    <w:uiPriority w:val="9"/>
    <w:semiHidden/>
    <w:unhideWhenUsed/>
    <w:qFormat/>
    <w:locked/>
    <w:rsid w:val="007F701A"/>
    <w:pPr>
      <w:spacing w:after="0"/>
      <w:jc w:val="left"/>
      <w:outlineLvl w:val="2"/>
    </w:pPr>
    <w:rPr>
      <w:smallCaps/>
      <w:spacing w:val="5"/>
      <w:sz w:val="24"/>
      <w:szCs w:val="24"/>
    </w:rPr>
  </w:style>
  <w:style w:type="paragraph" w:styleId="Heading4">
    <w:name w:val="heading 4"/>
    <w:basedOn w:val="Normal"/>
    <w:next w:val="Normal"/>
    <w:link w:val="Heading4Char"/>
    <w:uiPriority w:val="9"/>
    <w:semiHidden/>
    <w:unhideWhenUsed/>
    <w:qFormat/>
    <w:locked/>
    <w:rsid w:val="007F701A"/>
    <w:pPr>
      <w:spacing w:before="240" w:after="0"/>
      <w:jc w:val="left"/>
      <w:outlineLvl w:val="3"/>
    </w:pPr>
    <w:rPr>
      <w:smallCaps/>
      <w:spacing w:val="10"/>
      <w:sz w:val="22"/>
      <w:szCs w:val="22"/>
    </w:rPr>
  </w:style>
  <w:style w:type="paragraph" w:styleId="Heading5">
    <w:name w:val="heading 5"/>
    <w:basedOn w:val="Normal"/>
    <w:next w:val="Normal"/>
    <w:link w:val="Heading5Char"/>
    <w:uiPriority w:val="9"/>
    <w:semiHidden/>
    <w:unhideWhenUsed/>
    <w:qFormat/>
    <w:locked/>
    <w:rsid w:val="007F701A"/>
    <w:pPr>
      <w:spacing w:before="200" w:after="0"/>
      <w:jc w:val="left"/>
      <w:outlineLvl w:val="4"/>
    </w:pPr>
    <w:rPr>
      <w:smallCaps/>
      <w:color w:val="943634" w:themeColor="accent2" w:themeShade="BF"/>
      <w:spacing w:val="10"/>
      <w:sz w:val="22"/>
      <w:szCs w:val="26"/>
    </w:rPr>
  </w:style>
  <w:style w:type="paragraph" w:styleId="Heading6">
    <w:name w:val="heading 6"/>
    <w:basedOn w:val="Normal"/>
    <w:next w:val="Normal"/>
    <w:link w:val="Heading6Char"/>
    <w:uiPriority w:val="9"/>
    <w:semiHidden/>
    <w:unhideWhenUsed/>
    <w:qFormat/>
    <w:locked/>
    <w:rsid w:val="007F701A"/>
    <w:pPr>
      <w:spacing w:after="0"/>
      <w:jc w:val="left"/>
      <w:outlineLvl w:val="5"/>
    </w:pPr>
    <w:rPr>
      <w:smallCaps/>
      <w:color w:val="C0504D" w:themeColor="accent2"/>
      <w:spacing w:val="5"/>
      <w:sz w:val="22"/>
    </w:rPr>
  </w:style>
  <w:style w:type="paragraph" w:styleId="Heading7">
    <w:name w:val="heading 7"/>
    <w:basedOn w:val="Normal"/>
    <w:next w:val="Normal"/>
    <w:link w:val="Heading7Char"/>
    <w:uiPriority w:val="9"/>
    <w:semiHidden/>
    <w:unhideWhenUsed/>
    <w:qFormat/>
    <w:locked/>
    <w:rsid w:val="007F701A"/>
    <w:pPr>
      <w:spacing w:after="0"/>
      <w:jc w:val="left"/>
      <w:outlineLvl w:val="6"/>
    </w:pPr>
    <w:rPr>
      <w:b/>
      <w:smallCaps/>
      <w:color w:val="C0504D" w:themeColor="accent2"/>
      <w:spacing w:val="10"/>
    </w:rPr>
  </w:style>
  <w:style w:type="paragraph" w:styleId="Heading8">
    <w:name w:val="heading 8"/>
    <w:basedOn w:val="Normal"/>
    <w:next w:val="Normal"/>
    <w:link w:val="Heading8Char"/>
    <w:uiPriority w:val="9"/>
    <w:semiHidden/>
    <w:unhideWhenUsed/>
    <w:qFormat/>
    <w:locked/>
    <w:rsid w:val="007F701A"/>
    <w:pPr>
      <w:spacing w:after="0"/>
      <w:jc w:val="left"/>
      <w:outlineLvl w:val="7"/>
    </w:pPr>
    <w:rPr>
      <w:b/>
      <w:i/>
      <w:smallCaps/>
      <w:color w:val="943634" w:themeColor="accent2" w:themeShade="BF"/>
    </w:rPr>
  </w:style>
  <w:style w:type="paragraph" w:styleId="Heading9">
    <w:name w:val="heading 9"/>
    <w:basedOn w:val="Normal"/>
    <w:next w:val="Normal"/>
    <w:link w:val="Heading9Char"/>
    <w:uiPriority w:val="9"/>
    <w:semiHidden/>
    <w:unhideWhenUsed/>
    <w:qFormat/>
    <w:locked/>
    <w:rsid w:val="007F701A"/>
    <w:pPr>
      <w:spacing w:after="0"/>
      <w:jc w:val="left"/>
      <w:outlineLvl w:val="8"/>
    </w:pPr>
    <w:rPr>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 1"/>
    <w:rsid w:val="00F14A23"/>
    <w:pPr>
      <w:outlineLvl w:val="0"/>
    </w:pPr>
    <w:rPr>
      <w:rFonts w:ascii="Helvetica" w:eastAsia="Arial Unicode MS" w:hAnsi="Helvetica"/>
      <w:color w:val="000000"/>
      <w:sz w:val="22"/>
      <w:u w:color="000000"/>
    </w:rPr>
  </w:style>
  <w:style w:type="paragraph" w:customStyle="1" w:styleId="List0">
    <w:name w:val="List 0"/>
    <w:basedOn w:val="ImportWordListStyleDefinition2"/>
    <w:semiHidden/>
    <w:rsid w:val="00F14A23"/>
    <w:pPr>
      <w:numPr>
        <w:numId w:val="1"/>
      </w:numPr>
    </w:pPr>
  </w:style>
  <w:style w:type="paragraph" w:customStyle="1" w:styleId="ImportWordListStyleDefinition2">
    <w:name w:val="Import Word List Style Definition 2"/>
    <w:rsid w:val="00F14A23"/>
    <w:pPr>
      <w:numPr>
        <w:numId w:val="2"/>
      </w:numPr>
    </w:pPr>
  </w:style>
  <w:style w:type="paragraph" w:styleId="BalloonText">
    <w:name w:val="Balloon Text"/>
    <w:basedOn w:val="Normal"/>
    <w:link w:val="BalloonTextChar"/>
    <w:locked/>
    <w:rsid w:val="006D242D"/>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rsid w:val="006D242D"/>
    <w:rPr>
      <w:rFonts w:ascii="Lucida Grande" w:hAnsi="Lucida Grande"/>
      <w:sz w:val="18"/>
      <w:szCs w:val="18"/>
      <w:lang w:val="en-US" w:eastAsia="en-US"/>
    </w:rPr>
  </w:style>
  <w:style w:type="paragraph" w:styleId="ListParagraph">
    <w:name w:val="List Paragraph"/>
    <w:basedOn w:val="Normal"/>
    <w:uiPriority w:val="34"/>
    <w:qFormat/>
    <w:rsid w:val="007F701A"/>
    <w:pPr>
      <w:ind w:left="720"/>
      <w:contextualSpacing/>
    </w:pPr>
  </w:style>
  <w:style w:type="character" w:customStyle="1" w:styleId="Heading1Char">
    <w:name w:val="Heading 1 Char"/>
    <w:basedOn w:val="DefaultParagraphFont"/>
    <w:link w:val="Heading1"/>
    <w:uiPriority w:val="9"/>
    <w:rsid w:val="007F701A"/>
    <w:rPr>
      <w:smallCaps/>
      <w:spacing w:val="5"/>
      <w:sz w:val="32"/>
      <w:szCs w:val="32"/>
    </w:rPr>
  </w:style>
  <w:style w:type="character" w:customStyle="1" w:styleId="Heading2Char">
    <w:name w:val="Heading 2 Char"/>
    <w:basedOn w:val="DefaultParagraphFont"/>
    <w:link w:val="Heading2"/>
    <w:uiPriority w:val="9"/>
    <w:semiHidden/>
    <w:rsid w:val="007F701A"/>
    <w:rPr>
      <w:smallCaps/>
      <w:spacing w:val="5"/>
      <w:sz w:val="28"/>
      <w:szCs w:val="28"/>
    </w:rPr>
  </w:style>
  <w:style w:type="character" w:customStyle="1" w:styleId="Heading3Char">
    <w:name w:val="Heading 3 Char"/>
    <w:basedOn w:val="DefaultParagraphFont"/>
    <w:link w:val="Heading3"/>
    <w:uiPriority w:val="9"/>
    <w:semiHidden/>
    <w:rsid w:val="007F701A"/>
    <w:rPr>
      <w:smallCaps/>
      <w:spacing w:val="5"/>
      <w:sz w:val="24"/>
      <w:szCs w:val="24"/>
    </w:rPr>
  </w:style>
  <w:style w:type="character" w:customStyle="1" w:styleId="Heading4Char">
    <w:name w:val="Heading 4 Char"/>
    <w:basedOn w:val="DefaultParagraphFont"/>
    <w:link w:val="Heading4"/>
    <w:uiPriority w:val="9"/>
    <w:semiHidden/>
    <w:rsid w:val="007F701A"/>
    <w:rPr>
      <w:smallCaps/>
      <w:spacing w:val="10"/>
      <w:sz w:val="22"/>
      <w:szCs w:val="22"/>
    </w:rPr>
  </w:style>
  <w:style w:type="character" w:customStyle="1" w:styleId="Heading5Char">
    <w:name w:val="Heading 5 Char"/>
    <w:basedOn w:val="DefaultParagraphFont"/>
    <w:link w:val="Heading5"/>
    <w:uiPriority w:val="9"/>
    <w:semiHidden/>
    <w:rsid w:val="007F701A"/>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7F701A"/>
    <w:rPr>
      <w:smallCaps/>
      <w:color w:val="C0504D" w:themeColor="accent2"/>
      <w:spacing w:val="5"/>
      <w:sz w:val="22"/>
    </w:rPr>
  </w:style>
  <w:style w:type="character" w:customStyle="1" w:styleId="Heading7Char">
    <w:name w:val="Heading 7 Char"/>
    <w:basedOn w:val="DefaultParagraphFont"/>
    <w:link w:val="Heading7"/>
    <w:uiPriority w:val="9"/>
    <w:semiHidden/>
    <w:rsid w:val="007F701A"/>
    <w:rPr>
      <w:b/>
      <w:smallCaps/>
      <w:color w:val="C0504D" w:themeColor="accent2"/>
      <w:spacing w:val="10"/>
    </w:rPr>
  </w:style>
  <w:style w:type="character" w:customStyle="1" w:styleId="Heading8Char">
    <w:name w:val="Heading 8 Char"/>
    <w:basedOn w:val="DefaultParagraphFont"/>
    <w:link w:val="Heading8"/>
    <w:uiPriority w:val="9"/>
    <w:semiHidden/>
    <w:rsid w:val="007F701A"/>
    <w:rPr>
      <w:b/>
      <w:i/>
      <w:smallCaps/>
      <w:color w:val="943634" w:themeColor="accent2" w:themeShade="BF"/>
    </w:rPr>
  </w:style>
  <w:style w:type="character" w:customStyle="1" w:styleId="Heading9Char">
    <w:name w:val="Heading 9 Char"/>
    <w:basedOn w:val="DefaultParagraphFont"/>
    <w:link w:val="Heading9"/>
    <w:uiPriority w:val="9"/>
    <w:semiHidden/>
    <w:rsid w:val="007F701A"/>
    <w:rPr>
      <w:b/>
      <w:i/>
      <w:smallCaps/>
      <w:color w:val="622423" w:themeColor="accent2" w:themeShade="7F"/>
    </w:rPr>
  </w:style>
  <w:style w:type="paragraph" w:styleId="Caption">
    <w:name w:val="caption"/>
    <w:basedOn w:val="Normal"/>
    <w:next w:val="Normal"/>
    <w:uiPriority w:val="35"/>
    <w:semiHidden/>
    <w:unhideWhenUsed/>
    <w:qFormat/>
    <w:locked/>
    <w:rsid w:val="007F701A"/>
    <w:rPr>
      <w:b/>
      <w:bCs/>
      <w:caps/>
      <w:sz w:val="16"/>
      <w:szCs w:val="18"/>
    </w:rPr>
  </w:style>
  <w:style w:type="paragraph" w:styleId="Title">
    <w:name w:val="Title"/>
    <w:basedOn w:val="Normal"/>
    <w:next w:val="Normal"/>
    <w:link w:val="TitleChar"/>
    <w:uiPriority w:val="10"/>
    <w:qFormat/>
    <w:locked/>
    <w:rsid w:val="007F701A"/>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7F701A"/>
    <w:rPr>
      <w:smallCaps/>
      <w:sz w:val="48"/>
      <w:szCs w:val="48"/>
    </w:rPr>
  </w:style>
  <w:style w:type="paragraph" w:styleId="Subtitle">
    <w:name w:val="Subtitle"/>
    <w:basedOn w:val="Normal"/>
    <w:next w:val="Normal"/>
    <w:link w:val="SubtitleChar"/>
    <w:uiPriority w:val="11"/>
    <w:qFormat/>
    <w:locked/>
    <w:rsid w:val="007F701A"/>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7F701A"/>
    <w:rPr>
      <w:rFonts w:asciiTheme="majorHAnsi" w:eastAsiaTheme="majorEastAsia" w:hAnsiTheme="majorHAnsi" w:cstheme="majorBidi"/>
      <w:szCs w:val="22"/>
    </w:rPr>
  </w:style>
  <w:style w:type="character" w:styleId="Strong">
    <w:name w:val="Strong"/>
    <w:uiPriority w:val="22"/>
    <w:qFormat/>
    <w:locked/>
    <w:rsid w:val="007F701A"/>
    <w:rPr>
      <w:b/>
      <w:color w:val="C0504D" w:themeColor="accent2"/>
    </w:rPr>
  </w:style>
  <w:style w:type="character" w:styleId="Emphasis">
    <w:name w:val="Emphasis"/>
    <w:uiPriority w:val="20"/>
    <w:qFormat/>
    <w:locked/>
    <w:rsid w:val="007F701A"/>
    <w:rPr>
      <w:b/>
      <w:i/>
      <w:spacing w:val="10"/>
    </w:rPr>
  </w:style>
  <w:style w:type="paragraph" w:styleId="NoSpacing">
    <w:name w:val="No Spacing"/>
    <w:basedOn w:val="Normal"/>
    <w:link w:val="NoSpacingChar"/>
    <w:uiPriority w:val="1"/>
    <w:qFormat/>
    <w:rsid w:val="007F701A"/>
    <w:pPr>
      <w:spacing w:after="0" w:line="240" w:lineRule="auto"/>
    </w:pPr>
  </w:style>
  <w:style w:type="character" w:customStyle="1" w:styleId="NoSpacingChar">
    <w:name w:val="No Spacing Char"/>
    <w:basedOn w:val="DefaultParagraphFont"/>
    <w:link w:val="NoSpacing"/>
    <w:uiPriority w:val="1"/>
    <w:rsid w:val="007F701A"/>
  </w:style>
  <w:style w:type="paragraph" w:styleId="Quote">
    <w:name w:val="Quote"/>
    <w:basedOn w:val="Normal"/>
    <w:next w:val="Normal"/>
    <w:link w:val="QuoteChar"/>
    <w:uiPriority w:val="29"/>
    <w:qFormat/>
    <w:rsid w:val="007F701A"/>
    <w:rPr>
      <w:i/>
    </w:rPr>
  </w:style>
  <w:style w:type="character" w:customStyle="1" w:styleId="QuoteChar">
    <w:name w:val="Quote Char"/>
    <w:basedOn w:val="DefaultParagraphFont"/>
    <w:link w:val="Quote"/>
    <w:uiPriority w:val="29"/>
    <w:rsid w:val="007F701A"/>
    <w:rPr>
      <w:i/>
    </w:rPr>
  </w:style>
  <w:style w:type="paragraph" w:styleId="IntenseQuote">
    <w:name w:val="Intense Quote"/>
    <w:basedOn w:val="Normal"/>
    <w:next w:val="Normal"/>
    <w:link w:val="IntenseQuoteChar"/>
    <w:uiPriority w:val="30"/>
    <w:qFormat/>
    <w:rsid w:val="007F701A"/>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7F701A"/>
    <w:rPr>
      <w:b/>
      <w:i/>
      <w:color w:val="FFFFFF" w:themeColor="background1"/>
      <w:shd w:val="clear" w:color="auto" w:fill="C0504D" w:themeFill="accent2"/>
    </w:rPr>
  </w:style>
  <w:style w:type="character" w:styleId="SubtleEmphasis">
    <w:name w:val="Subtle Emphasis"/>
    <w:uiPriority w:val="19"/>
    <w:qFormat/>
    <w:rsid w:val="007F701A"/>
    <w:rPr>
      <w:i/>
    </w:rPr>
  </w:style>
  <w:style w:type="character" w:styleId="IntenseEmphasis">
    <w:name w:val="Intense Emphasis"/>
    <w:uiPriority w:val="21"/>
    <w:qFormat/>
    <w:rsid w:val="007F701A"/>
    <w:rPr>
      <w:b/>
      <w:i/>
      <w:color w:val="C0504D" w:themeColor="accent2"/>
      <w:spacing w:val="10"/>
    </w:rPr>
  </w:style>
  <w:style w:type="character" w:styleId="SubtleReference">
    <w:name w:val="Subtle Reference"/>
    <w:uiPriority w:val="31"/>
    <w:qFormat/>
    <w:rsid w:val="007F701A"/>
    <w:rPr>
      <w:b/>
    </w:rPr>
  </w:style>
  <w:style w:type="character" w:styleId="IntenseReference">
    <w:name w:val="Intense Reference"/>
    <w:uiPriority w:val="32"/>
    <w:qFormat/>
    <w:rsid w:val="007F701A"/>
    <w:rPr>
      <w:b/>
      <w:bCs/>
      <w:smallCaps/>
      <w:spacing w:val="5"/>
      <w:sz w:val="22"/>
      <w:szCs w:val="22"/>
      <w:u w:val="single"/>
    </w:rPr>
  </w:style>
  <w:style w:type="character" w:styleId="BookTitle">
    <w:name w:val="Book Title"/>
    <w:uiPriority w:val="33"/>
    <w:qFormat/>
    <w:rsid w:val="007F701A"/>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7F701A"/>
    <w:pPr>
      <w:outlineLvl w:val="9"/>
    </w:pPr>
    <w:rPr>
      <w:lang w:bidi="en-US"/>
    </w:rPr>
  </w:style>
  <w:style w:type="character" w:styleId="CommentReference">
    <w:name w:val="annotation reference"/>
    <w:basedOn w:val="DefaultParagraphFont"/>
    <w:semiHidden/>
    <w:unhideWhenUsed/>
    <w:locked/>
    <w:rsid w:val="00920DEE"/>
    <w:rPr>
      <w:sz w:val="18"/>
      <w:szCs w:val="18"/>
    </w:rPr>
  </w:style>
  <w:style w:type="paragraph" w:styleId="CommentText">
    <w:name w:val="annotation text"/>
    <w:basedOn w:val="Normal"/>
    <w:link w:val="CommentTextChar"/>
    <w:uiPriority w:val="99"/>
    <w:semiHidden/>
    <w:unhideWhenUsed/>
    <w:locked/>
    <w:rsid w:val="00920DEE"/>
    <w:pPr>
      <w:spacing w:line="240" w:lineRule="auto"/>
    </w:pPr>
    <w:rPr>
      <w:sz w:val="24"/>
      <w:szCs w:val="24"/>
    </w:rPr>
  </w:style>
  <w:style w:type="character" w:customStyle="1" w:styleId="CommentTextChar">
    <w:name w:val="Comment Text Char"/>
    <w:basedOn w:val="DefaultParagraphFont"/>
    <w:link w:val="CommentText"/>
    <w:semiHidden/>
    <w:rsid w:val="00920DEE"/>
    <w:rPr>
      <w:sz w:val="24"/>
      <w:szCs w:val="24"/>
    </w:rPr>
  </w:style>
  <w:style w:type="paragraph" w:styleId="CommentSubject">
    <w:name w:val="annotation subject"/>
    <w:basedOn w:val="CommentText"/>
    <w:next w:val="CommentText"/>
    <w:link w:val="CommentSubjectChar"/>
    <w:semiHidden/>
    <w:unhideWhenUsed/>
    <w:locked/>
    <w:rsid w:val="00920DEE"/>
    <w:rPr>
      <w:b/>
      <w:bCs/>
      <w:sz w:val="20"/>
      <w:szCs w:val="20"/>
    </w:rPr>
  </w:style>
  <w:style w:type="character" w:customStyle="1" w:styleId="CommentSubjectChar">
    <w:name w:val="Comment Subject Char"/>
    <w:basedOn w:val="CommentTextChar"/>
    <w:link w:val="CommentSubject"/>
    <w:semiHidden/>
    <w:rsid w:val="00920DEE"/>
    <w:rPr>
      <w:b/>
      <w:bCs/>
      <w:sz w:val="24"/>
      <w:szCs w:val="24"/>
    </w:rPr>
  </w:style>
  <w:style w:type="table" w:styleId="TableGrid">
    <w:name w:val="Table Grid"/>
    <w:basedOn w:val="TableNormal"/>
    <w:locked/>
    <w:rsid w:val="006053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60533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Hyperlink">
    <w:name w:val="Hyperlink"/>
    <w:basedOn w:val="DefaultParagraphFont"/>
    <w:locked/>
    <w:rsid w:val="0064259E"/>
    <w:rPr>
      <w:color w:val="0000FF" w:themeColor="hyperlink"/>
      <w:u w:val="single"/>
    </w:rPr>
  </w:style>
  <w:style w:type="character" w:customStyle="1" w:styleId="Char1">
    <w:name w:val="批注文字 Char1"/>
    <w:uiPriority w:val="99"/>
    <w:semiHidden/>
    <w:locked/>
    <w:rsid w:val="005B28F9"/>
    <w:rPr>
      <w:rFonts w:ascii="Times New Roman" w:eastAsia="SimSun" w:hAnsi="Times New Roman" w:cs="Times New Roman"/>
      <w:kern w:val="2"/>
      <w:sz w:val="21"/>
      <w:szCs w:val="24"/>
      <w:lang w:val="en-US" w:eastAsia="zh-CN"/>
    </w:rPr>
  </w:style>
  <w:style w:type="paragraph" w:styleId="Header">
    <w:name w:val="header"/>
    <w:basedOn w:val="Normal"/>
    <w:link w:val="HeaderChar"/>
    <w:unhideWhenUsed/>
    <w:locked/>
    <w:rsid w:val="003F1983"/>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rsid w:val="003F1983"/>
    <w:rPr>
      <w:sz w:val="18"/>
      <w:szCs w:val="18"/>
    </w:rPr>
  </w:style>
  <w:style w:type="paragraph" w:styleId="Footer">
    <w:name w:val="footer"/>
    <w:basedOn w:val="Normal"/>
    <w:link w:val="FooterChar"/>
    <w:unhideWhenUsed/>
    <w:locked/>
    <w:rsid w:val="003F1983"/>
    <w:pPr>
      <w:tabs>
        <w:tab w:val="center" w:pos="4153"/>
        <w:tab w:val="right" w:pos="8306"/>
      </w:tabs>
      <w:snapToGrid w:val="0"/>
      <w:spacing w:line="240" w:lineRule="auto"/>
      <w:jc w:val="left"/>
    </w:pPr>
    <w:rPr>
      <w:sz w:val="18"/>
      <w:szCs w:val="18"/>
    </w:rPr>
  </w:style>
  <w:style w:type="character" w:customStyle="1" w:styleId="FooterChar">
    <w:name w:val="Footer Char"/>
    <w:basedOn w:val="DefaultParagraphFont"/>
    <w:link w:val="Footer"/>
    <w:rsid w:val="003F198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668104">
      <w:bodyDiv w:val="1"/>
      <w:marLeft w:val="0"/>
      <w:marRight w:val="0"/>
      <w:marTop w:val="0"/>
      <w:marBottom w:val="0"/>
      <w:divBdr>
        <w:top w:val="none" w:sz="0" w:space="0" w:color="auto"/>
        <w:left w:val="none" w:sz="0" w:space="0" w:color="auto"/>
        <w:bottom w:val="none" w:sz="0" w:space="0" w:color="auto"/>
        <w:right w:val="none" w:sz="0" w:space="0" w:color="auto"/>
      </w:divBdr>
    </w:div>
    <w:div w:id="198932194">
      <w:bodyDiv w:val="1"/>
      <w:marLeft w:val="0"/>
      <w:marRight w:val="0"/>
      <w:marTop w:val="0"/>
      <w:marBottom w:val="0"/>
      <w:divBdr>
        <w:top w:val="none" w:sz="0" w:space="0" w:color="auto"/>
        <w:left w:val="none" w:sz="0" w:space="0" w:color="auto"/>
        <w:bottom w:val="none" w:sz="0" w:space="0" w:color="auto"/>
        <w:right w:val="none" w:sz="0" w:space="0" w:color="auto"/>
      </w:divBdr>
    </w:div>
    <w:div w:id="547840392">
      <w:bodyDiv w:val="1"/>
      <w:marLeft w:val="0"/>
      <w:marRight w:val="0"/>
      <w:marTop w:val="0"/>
      <w:marBottom w:val="0"/>
      <w:divBdr>
        <w:top w:val="none" w:sz="0" w:space="0" w:color="auto"/>
        <w:left w:val="none" w:sz="0" w:space="0" w:color="auto"/>
        <w:bottom w:val="none" w:sz="0" w:space="0" w:color="auto"/>
        <w:right w:val="none" w:sz="0" w:space="0" w:color="auto"/>
      </w:divBdr>
    </w:div>
    <w:div w:id="549998141">
      <w:bodyDiv w:val="1"/>
      <w:marLeft w:val="0"/>
      <w:marRight w:val="0"/>
      <w:marTop w:val="0"/>
      <w:marBottom w:val="0"/>
      <w:divBdr>
        <w:top w:val="none" w:sz="0" w:space="0" w:color="auto"/>
        <w:left w:val="none" w:sz="0" w:space="0" w:color="auto"/>
        <w:bottom w:val="none" w:sz="0" w:space="0" w:color="auto"/>
        <w:right w:val="none" w:sz="0" w:space="0" w:color="auto"/>
      </w:divBdr>
    </w:div>
    <w:div w:id="587466739">
      <w:bodyDiv w:val="1"/>
      <w:marLeft w:val="0"/>
      <w:marRight w:val="0"/>
      <w:marTop w:val="0"/>
      <w:marBottom w:val="0"/>
      <w:divBdr>
        <w:top w:val="none" w:sz="0" w:space="0" w:color="auto"/>
        <w:left w:val="none" w:sz="0" w:space="0" w:color="auto"/>
        <w:bottom w:val="none" w:sz="0" w:space="0" w:color="auto"/>
        <w:right w:val="none" w:sz="0" w:space="0" w:color="auto"/>
      </w:divBdr>
    </w:div>
    <w:div w:id="20577302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mailto:edwardlee@mednet.ucla.edu"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A5952F1-EF9B-4F24-9DFE-FB42B6655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46296</Words>
  <Characters>263890</Characters>
  <Application>Microsoft Office Word</Application>
  <DocSecurity>0</DocSecurity>
  <Lines>2199</Lines>
  <Paragraphs>619</Paragraphs>
  <ScaleCrop>false</ScaleCrop>
  <HeadingPairs>
    <vt:vector size="2" baseType="variant">
      <vt:variant>
        <vt:lpstr>Title</vt:lpstr>
      </vt:variant>
      <vt:variant>
        <vt:i4>1</vt:i4>
      </vt:variant>
    </vt:vector>
  </HeadingPairs>
  <TitlesOfParts>
    <vt:vector size="1" baseType="lpstr">
      <vt:lpstr/>
    </vt:vector>
  </TitlesOfParts>
  <Company>Calgary Health Region</Company>
  <LinksUpToDate>false</LinksUpToDate>
  <CharactersWithSpaces>309567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ardenlee</dc:creator>
  <cp:lastModifiedBy>LS Ma</cp:lastModifiedBy>
  <cp:revision>2</cp:revision>
  <dcterms:created xsi:type="dcterms:W3CDTF">2017-02-16T07:56:00Z</dcterms:created>
  <dcterms:modified xsi:type="dcterms:W3CDTF">2017-02-16T07:56:00Z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http://www.zotero.org/styles/world-journal-of-gastroenterology</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16th edition (author-date)</vt:lpwstr>
  </property>
  <property fmtid="{D5CDD505-2E9C-101B-9397-08002B2CF9AE}" pid="12" name="Mendeley Recent Style Id 4_1">
    <vt:lpwstr>http://www.zotero.org/styles/harvard1</vt:lpwstr>
  </property>
  <property fmtid="{D5CDD505-2E9C-101B-9397-08002B2CF9AE}" pid="13" name="Mendeley Recent Style Name 4_1">
    <vt:lpwstr>Harvard Reference format 1 (author-date)</vt:lpwstr>
  </property>
  <property fmtid="{D5CDD505-2E9C-101B-9397-08002B2CF9AE}" pid="14" name="Mendeley Recent Style Id 5_1">
    <vt:lpwstr>http://www.zotero.org/styles/ieee</vt:lpwstr>
  </property>
  <property fmtid="{D5CDD505-2E9C-101B-9397-08002B2CF9AE}" pid="15" name="Mendeley Recent Style Name 5_1">
    <vt:lpwstr>IEEE</vt:lpwstr>
  </property>
  <property fmtid="{D5CDD505-2E9C-101B-9397-08002B2CF9AE}" pid="16" name="Mendeley Recent Style Id 6_1">
    <vt:lpwstr>http://www.zotero.org/styles/jama</vt:lpwstr>
  </property>
  <property fmtid="{D5CDD505-2E9C-101B-9397-08002B2CF9AE}" pid="17" name="Mendeley Recent Style Name 6_1">
    <vt:lpwstr>JAMA (The Journal of the American Medical Association)</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http://www.zotero.org/styles/world-journal-of-gastroenterology</vt:lpwstr>
  </property>
  <property fmtid="{D5CDD505-2E9C-101B-9397-08002B2CF9AE}" pid="23" name="Mendeley Recent Style Name 9_1">
    <vt:lpwstr>World Journal of Gastroenterology</vt:lpwstr>
  </property>
  <property fmtid="{D5CDD505-2E9C-101B-9397-08002B2CF9AE}" pid="24" name="Mendeley Unique User Id_1">
    <vt:lpwstr>ac77c7ea-25e3-37af-be59-808ae40a720b</vt:lpwstr>
  </property>
</Properties>
</file>