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BA70A4" w:rsidRPr="00E6642F" w:rsidRDefault="00E6642F">
            <w:pPr>
              <w:spacing w:line="360" w:lineRule="auto"/>
              <w:rPr>
                <w:rFonts w:ascii="Book Antiqua" w:hAnsi="Book Antiqua"/>
                <w:bCs/>
                <w:color w:val="000000"/>
                <w:sz w:val="24"/>
                <w:szCs w:val="24"/>
              </w:rPr>
            </w:pPr>
            <w:r w:rsidRPr="00E6642F">
              <w:rPr>
                <w:rFonts w:ascii="Book Antiqua" w:hAnsi="Book Antiqua"/>
                <w:bCs/>
                <w:color w:val="000000"/>
                <w:sz w:val="24"/>
                <w:szCs w:val="24"/>
              </w:rPr>
              <w:t>Adverse effects of oral antiviral therapy in chronic hepatitis B</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BA70A4" w:rsidRPr="00E6642F" w:rsidRDefault="00E6642F">
            <w:pPr>
              <w:tabs>
                <w:tab w:val="left" w:pos="360"/>
              </w:tabs>
              <w:suppressAutoHyphens/>
              <w:autoSpaceDE w:val="0"/>
              <w:autoSpaceDN w:val="0"/>
              <w:adjustRightInd w:val="0"/>
              <w:spacing w:line="360" w:lineRule="auto"/>
              <w:textAlignment w:val="center"/>
              <w:rPr>
                <w:rFonts w:ascii="Book Antiqua" w:hAnsi="Book Antiqua"/>
                <w:color w:val="000000"/>
                <w:sz w:val="24"/>
                <w:szCs w:val="24"/>
                <w:lang w:val="zh-CN"/>
              </w:rPr>
            </w:pPr>
            <w:r w:rsidRPr="00E6642F">
              <w:rPr>
                <w:rFonts w:ascii="Book Antiqua" w:hAnsi="Book Antiqua"/>
                <w:color w:val="000000"/>
                <w:sz w:val="24"/>
                <w:szCs w:val="24"/>
                <w:lang w:val="zh-CN"/>
              </w:rPr>
              <w:t>Bircan Kayaaslan, Rahmet Guner</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BA70A4" w:rsidRPr="00E6642F" w:rsidRDefault="00E6642F">
            <w:pPr>
              <w:pStyle w:val="a9"/>
              <w:spacing w:line="360" w:lineRule="auto"/>
              <w:rPr>
                <w:rFonts w:ascii="Book Antiqua" w:hAnsi="Book Antiqua"/>
                <w:sz w:val="24"/>
                <w:szCs w:val="24"/>
              </w:rPr>
            </w:pPr>
            <w:r w:rsidRPr="00E6642F">
              <w:rPr>
                <w:rFonts w:ascii="Book Antiqua" w:hAnsi="Book Antiqua"/>
                <w:sz w:val="24"/>
                <w:szCs w:val="24"/>
              </w:rPr>
              <w:t xml:space="preserve">Kayaaslan B, Guner R. Adverse effects of oral antiviral therapy in chronic hepatitis B. </w:t>
            </w:r>
            <w:r w:rsidRPr="00E6642F">
              <w:rPr>
                <w:rFonts w:ascii="Book Antiqua" w:hAnsi="Book Antiqua"/>
                <w:i/>
                <w:iCs/>
                <w:sz w:val="24"/>
                <w:szCs w:val="24"/>
              </w:rPr>
              <w:t>World J Hepatol</w:t>
            </w:r>
            <w:r>
              <w:rPr>
                <w:rFonts w:ascii="Book Antiqua" w:hAnsi="Book Antiqua"/>
                <w:sz w:val="24"/>
                <w:szCs w:val="24"/>
              </w:rPr>
              <w:t xml:space="preserve"> 2017; 9(5): 227-241</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A70A4" w:rsidRPr="00E6642F" w:rsidRDefault="00CF2FC1">
            <w:pPr>
              <w:pStyle w:val="a8"/>
              <w:spacing w:line="360" w:lineRule="auto"/>
              <w:rPr>
                <w:rFonts w:ascii="Book Antiqua" w:hAnsi="Book Antiqua"/>
                <w:b w:val="0"/>
                <w:sz w:val="24"/>
                <w:szCs w:val="24"/>
                <w:lang w:val="en-US"/>
              </w:rPr>
            </w:pPr>
            <w:r w:rsidRPr="00E6642F">
              <w:rPr>
                <w:rFonts w:ascii="Book Antiqua" w:hAnsi="Book Antiqua"/>
                <w:b w:val="0"/>
                <w:sz w:val="24"/>
                <w:szCs w:val="24"/>
                <w:lang w:val="en-US"/>
              </w:rPr>
              <w:t xml:space="preserve"> </w:t>
            </w:r>
            <w:r w:rsidR="00E6642F" w:rsidRPr="00E6642F">
              <w:rPr>
                <w:rFonts w:ascii="Book Antiqua" w:hAnsi="Book Antiqua"/>
                <w:b w:val="0"/>
                <w:sz w:val="24"/>
                <w:szCs w:val="24"/>
                <w:lang w:val="en-US"/>
              </w:rPr>
              <w:t>http://www.wjgnet.com/1948-5182/full/v9/i5/227.htm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A70A4" w:rsidRPr="00E6642F" w:rsidRDefault="00CF2FC1">
            <w:pPr>
              <w:pStyle w:val="a8"/>
              <w:spacing w:line="360" w:lineRule="auto"/>
              <w:rPr>
                <w:rFonts w:ascii="Book Antiqua" w:hAnsi="Book Antiqua"/>
                <w:b w:val="0"/>
                <w:sz w:val="24"/>
                <w:szCs w:val="24"/>
                <w:lang w:val="en-US"/>
              </w:rPr>
            </w:pPr>
            <w:r w:rsidRPr="00E6642F">
              <w:rPr>
                <w:rFonts w:ascii="Book Antiqua" w:hAnsi="Book Antiqua"/>
                <w:b w:val="0"/>
                <w:sz w:val="24"/>
                <w:szCs w:val="24"/>
                <w:lang w:val="en-US"/>
              </w:rPr>
              <w:t xml:space="preserve"> </w:t>
            </w:r>
            <w:r w:rsidR="00E6642F" w:rsidRPr="00E6642F">
              <w:rPr>
                <w:rFonts w:ascii="Book Antiqua" w:hAnsi="Book Antiqua"/>
                <w:b w:val="0"/>
                <w:sz w:val="24"/>
                <w:szCs w:val="24"/>
                <w:lang w:val="en-US"/>
              </w:rPr>
              <w:t>http://dx.doi.org/10.4254/wjh.v9.i5.227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BA70A4" w:rsidRPr="00E6642F" w:rsidRDefault="00E6642F">
            <w:pPr>
              <w:pStyle w:val="aa"/>
              <w:spacing w:line="360" w:lineRule="auto"/>
              <w:rPr>
                <w:rFonts w:ascii="Book Antiqua" w:hAnsi="Book Antiqua"/>
                <w:color w:val="000000"/>
                <w:sz w:val="24"/>
                <w:szCs w:val="24"/>
              </w:rPr>
            </w:pPr>
            <w:r w:rsidRPr="00E6642F">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w:t>
            </w:r>
            <w:r>
              <w:rPr>
                <w:rFonts w:ascii="Book Antiqua" w:hAnsi="Book Antiqua"/>
                <w:color w:val="000000"/>
                <w:sz w:val="24"/>
                <w:szCs w:val="24"/>
              </w:rPr>
              <w:t>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E6642F">
              <w:rPr>
                <w:rFonts w:ascii="Book Antiqua" w:hAnsi="Book Antiqua" w:cs="Times New Roman"/>
                <w:bCs w:val="0"/>
                <w:spacing w:val="-3"/>
                <w:sz w:val="24"/>
                <w:szCs w:val="24"/>
                <w:lang w:val="en-US"/>
              </w:rPr>
              <w:t>CORE TIP</w:t>
            </w:r>
          </w:p>
        </w:tc>
        <w:tc>
          <w:tcPr>
            <w:tcW w:w="6750" w:type="dxa"/>
            <w:vAlign w:val="center"/>
          </w:tcPr>
          <w:p w:rsidR="00BA70A4" w:rsidRPr="00E6642F" w:rsidRDefault="00E6642F">
            <w:pPr>
              <w:pStyle w:val="E-1"/>
              <w:spacing w:line="360" w:lineRule="auto"/>
              <w:rPr>
                <w:rFonts w:ascii="Book Antiqua" w:hAnsi="Book Antiqua"/>
                <w:sz w:val="24"/>
                <w:szCs w:val="24"/>
              </w:rPr>
            </w:pPr>
            <w:r w:rsidRPr="00E6642F">
              <w:rPr>
                <w:rFonts w:ascii="Book Antiqua" w:hAnsi="Book Antiqua"/>
                <w:sz w:val="24"/>
                <w:szCs w:val="24"/>
              </w:rPr>
              <w:t>Extrahepatic effects of nucleotide analogues (</w:t>
            </w:r>
            <w:r w:rsidRPr="00E6642F">
              <w:rPr>
                <w:rFonts w:ascii="Book Antiqua" w:hAnsi="Book Antiqua"/>
                <w:i/>
                <w:iCs/>
                <w:sz w:val="24"/>
                <w:szCs w:val="24"/>
              </w:rPr>
              <w:t>i.e.</w:t>
            </w:r>
            <w:r w:rsidRPr="00E6642F">
              <w:rPr>
                <w:rFonts w:ascii="Book Antiqua" w:hAnsi="Book Antiqua"/>
                <w:sz w:val="24"/>
                <w:szCs w:val="24"/>
              </w:rPr>
              <w:t xml:space="preserve">, myopathy, nephropathy, bone disorders) are more commonly indicated in current reports. Some of these adverse events can be attributed to their effect of causing mitochondrial dysfunction. These adverse events are named as “class effects” and mostly associated with lamivudine and </w:t>
            </w:r>
            <w:r w:rsidRPr="00E6642F">
              <w:rPr>
                <w:rFonts w:ascii="Book Antiqua" w:hAnsi="Book Antiqua"/>
                <w:sz w:val="24"/>
                <w:szCs w:val="24"/>
              </w:rPr>
              <w:lastRenderedPageBreak/>
              <w:t>telbivudine treatment. Adefovir is a well-known nephrotoxic agent. Nephrotoxic and bone density loss effects of tenofovir in patients with chronic hepatitis B (CHB) are not as clear as in those with human immunodeficiency virus infection. Serum creatinine, phosphorus and creatine kinase levels should be monitored. Safety profile is a major issue that should not be i</w:t>
            </w:r>
            <w:r>
              <w:rPr>
                <w:rFonts w:ascii="Book Antiqua" w:hAnsi="Book Antiqua"/>
                <w:sz w:val="24"/>
                <w:szCs w:val="24"/>
              </w:rPr>
              <w:t>gnored in the treatment of CHB.</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BA70A4" w:rsidRPr="00E6642F" w:rsidRDefault="00E6642F">
            <w:pPr>
              <w:pStyle w:val="E-1"/>
              <w:spacing w:line="360" w:lineRule="auto"/>
              <w:rPr>
                <w:rFonts w:ascii="Book Antiqua" w:hAnsi="Book Antiqua"/>
                <w:sz w:val="24"/>
                <w:szCs w:val="24"/>
              </w:rPr>
            </w:pPr>
            <w:r w:rsidRPr="00E6642F">
              <w:rPr>
                <w:rFonts w:ascii="Book Antiqua" w:hAnsi="Book Antiqua"/>
                <w:sz w:val="24"/>
                <w:szCs w:val="24"/>
              </w:rPr>
              <w:t>Nucleoside/nucleotide analogues; Adverse events; Lamivudine; Chronic hepatitis B; Side effects; Safety; Telbivudine; Hepatitis B infection; Adefovir; Entecavir; Adverse effects; Tenofovir; Hepatitis B vir</w:t>
            </w:r>
            <w:r>
              <w:rPr>
                <w:rFonts w:ascii="Book Antiqua" w:hAnsi="Book Antiqua"/>
                <w:sz w:val="24"/>
                <w:szCs w:val="24"/>
              </w:rPr>
              <w:t>us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BA70A4" w:rsidRPr="00E6642F" w:rsidRDefault="00CF2FC1">
            <w:pPr>
              <w:pStyle w:val="a8"/>
              <w:spacing w:line="360" w:lineRule="auto"/>
              <w:rPr>
                <w:rFonts w:ascii="Book Antiqua" w:hAnsi="Book Antiqua"/>
                <w:sz w:val="24"/>
                <w:szCs w:val="24"/>
                <w:lang w:val="en-US"/>
              </w:rPr>
            </w:pPr>
            <w:r w:rsidRPr="00E6642F">
              <w:rPr>
                <w:rFonts w:ascii="Book Antiqua" w:hAnsi="Book Antiqua"/>
                <w:b w:val="0"/>
                <w:sz w:val="24"/>
                <w:szCs w:val="24"/>
                <w:lang w:val="en-US"/>
              </w:rPr>
              <w:t xml:space="preserve"> </w:t>
            </w:r>
            <w:r w:rsidR="00E6642F" w:rsidRPr="00E6642F">
              <w:rPr>
                <w:rFonts w:ascii="Book Antiqua" w:hAnsi="Book Antiqua"/>
                <w:sz w:val="24"/>
                <w:szCs w:val="24"/>
                <w:lang w:val="en-US"/>
              </w:rPr>
              <w:t xml:space="preserve">© The Author(s) 2017. </w:t>
            </w:r>
            <w:r w:rsidR="00E6642F" w:rsidRPr="00E6642F">
              <w:rPr>
                <w:rFonts w:ascii="Book Antiqua" w:hAnsi="Book Antiqua"/>
                <w:b w:val="0"/>
                <w:sz w:val="24"/>
                <w:szCs w:val="24"/>
                <w:lang w:val="en-US"/>
              </w:rPr>
              <w:t>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BA70A4" w:rsidRDefault="00CF2FC1">
            <w:pPr>
              <w:pStyle w:val="a8"/>
              <w:spacing w:line="360" w:lineRule="auto"/>
              <w:rPr>
                <w:rFonts w:ascii="Book Antiqua" w:hAnsi="Book Antiqua"/>
                <w:b w:val="0"/>
                <w:i/>
                <w:sz w:val="24"/>
                <w:szCs w:val="24"/>
                <w:lang w:val="en-US"/>
              </w:rPr>
            </w:pPr>
            <w:r>
              <w:rPr>
                <w:rFonts w:ascii="Book Antiqua" w:hAnsi="Book Antiqua"/>
                <w:b w:val="0"/>
                <w:sz w:val="24"/>
                <w:szCs w:val="24"/>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BA70A4" w:rsidRDefault="00CF2FC1">
            <w:pPr>
              <w:pStyle w:val="a8"/>
              <w:spacing w:line="360" w:lineRule="auto"/>
              <w:rPr>
                <w:rFonts w:ascii="Book Antiqua" w:hAnsi="Book Antiqua"/>
                <w:b w:val="0"/>
                <w:sz w:val="24"/>
                <w:szCs w:val="24"/>
                <w:lang w:val="en-US"/>
              </w:rPr>
            </w:pPr>
            <w:r>
              <w:rPr>
                <w:rFonts w:ascii="Book Antiqua" w:hAnsi="Book Antiqua"/>
                <w:b w:val="0"/>
                <w:sz w:val="24"/>
                <w:szCs w:val="24"/>
              </w:rPr>
              <w:t>1948-5182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BA70A4" w:rsidRDefault="00CF2FC1">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BA70A4" w:rsidRDefault="00CF2FC1">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Default="00E6642F" w:rsidP="00F50781"/>
    <w:p w:rsidR="00E6642F" w:rsidRPr="00E6642F" w:rsidRDefault="00E6642F" w:rsidP="00E6642F">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E6642F">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REVIEW</w:t>
      </w:r>
    </w:p>
    <w:p w:rsidR="00E6642F" w:rsidRDefault="00E6642F" w:rsidP="00E6642F"/>
    <w:p w:rsidR="00E6642F" w:rsidRPr="000E2301" w:rsidRDefault="00E6642F" w:rsidP="00E6642F">
      <w:pPr>
        <w:pStyle w:val="a8"/>
        <w:rPr>
          <w:spacing w:val="-6"/>
          <w:lang w:val="en-US"/>
        </w:rPr>
      </w:pPr>
      <w:r w:rsidRPr="000E2301">
        <w:rPr>
          <w:spacing w:val="-6"/>
          <w:lang w:val="en-US"/>
        </w:rPr>
        <w:t>Adverse effects of oral antiviral therapy in chronic hepatitis B</w:t>
      </w:r>
    </w:p>
    <w:p w:rsidR="00E6642F" w:rsidRDefault="00E6642F" w:rsidP="00E6642F"/>
    <w:p w:rsidR="00E6642F" w:rsidRPr="000E2301" w:rsidRDefault="00E6642F" w:rsidP="00E6642F">
      <w:pPr>
        <w:pStyle w:val="ae"/>
        <w:rPr>
          <w:lang w:val="en-US"/>
        </w:rPr>
      </w:pPr>
      <w:r w:rsidRPr="000E2301">
        <w:rPr>
          <w:spacing w:val="-1"/>
          <w:lang w:val="en-US"/>
        </w:rPr>
        <w:t>Bircan Kayaaslan, R</w:t>
      </w:r>
      <w:r w:rsidRPr="000E2301">
        <w:rPr>
          <w:lang w:val="en-US"/>
        </w:rPr>
        <w:t>a</w:t>
      </w:r>
      <w:r w:rsidRPr="000E2301">
        <w:rPr>
          <w:spacing w:val="-2"/>
          <w:lang w:val="en-US"/>
        </w:rPr>
        <w:t>h</w:t>
      </w:r>
      <w:r w:rsidRPr="000E2301">
        <w:rPr>
          <w:spacing w:val="1"/>
          <w:lang w:val="en-US"/>
        </w:rPr>
        <w:t>m</w:t>
      </w:r>
      <w:r w:rsidRPr="000E2301">
        <w:rPr>
          <w:lang w:val="en-US"/>
        </w:rPr>
        <w:t>et</w:t>
      </w:r>
      <w:r w:rsidRPr="000E2301">
        <w:rPr>
          <w:spacing w:val="39"/>
          <w:lang w:val="en-US"/>
        </w:rPr>
        <w:t xml:space="preserve"> </w:t>
      </w:r>
      <w:r w:rsidRPr="000E2301">
        <w:rPr>
          <w:spacing w:val="-1"/>
          <w:lang w:val="en-US"/>
        </w:rPr>
        <w:t>G</w:t>
      </w:r>
      <w:r w:rsidRPr="000E2301">
        <w:rPr>
          <w:lang w:val="en-US"/>
        </w:rPr>
        <w:t>u</w:t>
      </w:r>
      <w:r w:rsidRPr="000E2301">
        <w:rPr>
          <w:spacing w:val="-1"/>
          <w:lang w:val="en-US"/>
        </w:rPr>
        <w:t>n</w:t>
      </w:r>
      <w:r w:rsidRPr="000E2301">
        <w:rPr>
          <w:spacing w:val="-2"/>
          <w:lang w:val="en-US"/>
        </w:rPr>
        <w:t>e</w:t>
      </w:r>
      <w:r w:rsidRPr="000E2301">
        <w:rPr>
          <w:lang w:val="en-US"/>
        </w:rPr>
        <w:t>r</w:t>
      </w:r>
    </w:p>
    <w:p w:rsidR="00E6642F" w:rsidRDefault="00E6642F" w:rsidP="00E6642F"/>
    <w:p w:rsidR="00E6642F" w:rsidRPr="000E2301" w:rsidRDefault="00E6642F" w:rsidP="00E6642F">
      <w:pPr>
        <w:suppressAutoHyphens/>
        <w:autoSpaceDE w:val="0"/>
        <w:autoSpaceDN w:val="0"/>
        <w:adjustRightInd w:val="0"/>
        <w:spacing w:line="210" w:lineRule="atLeast"/>
        <w:textAlignment w:val="center"/>
        <w:rPr>
          <w:color w:val="000000"/>
          <w:kern w:val="0"/>
          <w:sz w:val="18"/>
          <w:szCs w:val="18"/>
        </w:rPr>
      </w:pPr>
      <w:r w:rsidRPr="000E2301">
        <w:rPr>
          <w:rFonts w:ascii="Tahoma" w:hAnsi="Tahoma" w:cs="Tahoma"/>
          <w:color w:val="000000"/>
          <w:kern w:val="0"/>
          <w:sz w:val="18"/>
          <w:szCs w:val="18"/>
        </w:rPr>
        <w:t>Bircan Kayaaslan, Rahmet Guner,</w:t>
      </w:r>
      <w:r w:rsidRPr="000E2301">
        <w:rPr>
          <w:b/>
          <w:bCs/>
          <w:color w:val="000000"/>
          <w:kern w:val="0"/>
          <w:sz w:val="18"/>
          <w:szCs w:val="18"/>
        </w:rPr>
        <w:t xml:space="preserve"> </w:t>
      </w:r>
      <w:r w:rsidRPr="000E2301">
        <w:rPr>
          <w:color w:val="000000"/>
          <w:kern w:val="0"/>
          <w:sz w:val="18"/>
          <w:szCs w:val="18"/>
        </w:rPr>
        <w:t>Department of Infectious Disease and Clinical Microbiology, Yildirim Beyazit University Faculty of Medicine, Ataturk Education and Research Hospital, 06800 Ankara, Turkey</w:t>
      </w:r>
    </w:p>
    <w:p w:rsidR="00E6642F" w:rsidRPr="000E2301" w:rsidRDefault="00E6642F" w:rsidP="00E6642F">
      <w:pPr>
        <w:suppressAutoHyphens/>
        <w:autoSpaceDE w:val="0"/>
        <w:autoSpaceDN w:val="0"/>
        <w:adjustRightInd w:val="0"/>
        <w:spacing w:line="210" w:lineRule="atLeast"/>
        <w:textAlignment w:val="center"/>
        <w:rPr>
          <w:color w:val="000000"/>
          <w:spacing w:val="-2"/>
          <w:kern w:val="0"/>
          <w:sz w:val="18"/>
          <w:szCs w:val="18"/>
        </w:rPr>
      </w:pPr>
      <w:r w:rsidRPr="000E2301">
        <w:rPr>
          <w:rFonts w:ascii="Tahoma" w:hAnsi="Tahoma" w:cs="Tahoma"/>
          <w:color w:val="000000"/>
          <w:kern w:val="0"/>
          <w:sz w:val="18"/>
          <w:szCs w:val="18"/>
        </w:rPr>
        <w:t>Author contributions:</w:t>
      </w:r>
      <w:r w:rsidRPr="000E2301">
        <w:rPr>
          <w:b/>
          <w:bCs/>
          <w:color w:val="000000"/>
          <w:spacing w:val="21"/>
          <w:kern w:val="0"/>
          <w:sz w:val="18"/>
          <w:szCs w:val="18"/>
        </w:rPr>
        <w:t xml:space="preserve"> </w:t>
      </w:r>
      <w:r w:rsidRPr="000E2301">
        <w:rPr>
          <w:color w:val="000000"/>
          <w:spacing w:val="-2"/>
          <w:kern w:val="0"/>
          <w:sz w:val="18"/>
          <w:szCs w:val="18"/>
        </w:rPr>
        <w:t>Both</w:t>
      </w:r>
      <w:r w:rsidRPr="000E2301">
        <w:rPr>
          <w:color w:val="000000"/>
          <w:spacing w:val="19"/>
          <w:kern w:val="0"/>
          <w:sz w:val="18"/>
          <w:szCs w:val="18"/>
        </w:rPr>
        <w:t xml:space="preserve"> </w:t>
      </w:r>
      <w:r w:rsidRPr="000E2301">
        <w:rPr>
          <w:color w:val="000000"/>
          <w:spacing w:val="-2"/>
          <w:kern w:val="0"/>
          <w:sz w:val="18"/>
          <w:szCs w:val="18"/>
        </w:rPr>
        <w:t>a</w:t>
      </w:r>
      <w:r w:rsidRPr="000E2301">
        <w:rPr>
          <w:color w:val="000000"/>
          <w:spacing w:val="-1"/>
          <w:kern w:val="0"/>
          <w:sz w:val="18"/>
          <w:szCs w:val="18"/>
        </w:rPr>
        <w:t>u</w:t>
      </w:r>
      <w:r w:rsidRPr="000E2301">
        <w:rPr>
          <w:color w:val="000000"/>
          <w:spacing w:val="1"/>
          <w:kern w:val="0"/>
          <w:sz w:val="18"/>
          <w:szCs w:val="18"/>
        </w:rPr>
        <w:t>t</w:t>
      </w:r>
      <w:r w:rsidRPr="000E2301">
        <w:rPr>
          <w:color w:val="000000"/>
          <w:spacing w:val="-2"/>
          <w:kern w:val="0"/>
          <w:sz w:val="18"/>
          <w:szCs w:val="18"/>
        </w:rPr>
        <w:t>ho</w:t>
      </w:r>
      <w:r w:rsidRPr="000E2301">
        <w:rPr>
          <w:color w:val="000000"/>
          <w:spacing w:val="-1"/>
          <w:kern w:val="0"/>
          <w:sz w:val="18"/>
          <w:szCs w:val="18"/>
        </w:rPr>
        <w:t>r</w:t>
      </w:r>
      <w:r w:rsidRPr="000E2301">
        <w:rPr>
          <w:color w:val="000000"/>
          <w:spacing w:val="-2"/>
          <w:kern w:val="0"/>
          <w:sz w:val="18"/>
          <w:szCs w:val="18"/>
        </w:rPr>
        <w:t>s</w:t>
      </w:r>
      <w:r w:rsidRPr="000E2301">
        <w:rPr>
          <w:color w:val="000000"/>
          <w:spacing w:val="19"/>
          <w:kern w:val="0"/>
          <w:sz w:val="18"/>
          <w:szCs w:val="18"/>
        </w:rPr>
        <w:t xml:space="preserve"> </w:t>
      </w:r>
      <w:r w:rsidRPr="000E2301">
        <w:rPr>
          <w:color w:val="000000"/>
          <w:spacing w:val="-2"/>
          <w:kern w:val="0"/>
          <w:sz w:val="18"/>
          <w:szCs w:val="18"/>
        </w:rPr>
        <w:t>con</w:t>
      </w:r>
      <w:r w:rsidRPr="000E2301">
        <w:rPr>
          <w:color w:val="000000"/>
          <w:spacing w:val="-1"/>
          <w:kern w:val="0"/>
          <w:sz w:val="18"/>
          <w:szCs w:val="18"/>
        </w:rPr>
        <w:t>t</w:t>
      </w:r>
      <w:r w:rsidRPr="000E2301">
        <w:rPr>
          <w:color w:val="000000"/>
          <w:spacing w:val="1"/>
          <w:kern w:val="0"/>
          <w:sz w:val="18"/>
          <w:szCs w:val="18"/>
        </w:rPr>
        <w:t>r</w:t>
      </w:r>
      <w:r w:rsidRPr="000E2301">
        <w:rPr>
          <w:color w:val="000000"/>
          <w:spacing w:val="-1"/>
          <w:kern w:val="0"/>
          <w:sz w:val="18"/>
          <w:szCs w:val="18"/>
        </w:rPr>
        <w:t>i</w:t>
      </w:r>
      <w:r w:rsidRPr="000E2301">
        <w:rPr>
          <w:color w:val="000000"/>
          <w:spacing w:val="-2"/>
          <w:kern w:val="0"/>
          <w:sz w:val="18"/>
          <w:szCs w:val="18"/>
        </w:rPr>
        <w:t>bu</w:t>
      </w:r>
      <w:r w:rsidRPr="000E2301">
        <w:rPr>
          <w:color w:val="000000"/>
          <w:spacing w:val="-1"/>
          <w:kern w:val="0"/>
          <w:sz w:val="18"/>
          <w:szCs w:val="18"/>
        </w:rPr>
        <w:t>t</w:t>
      </w:r>
      <w:r w:rsidRPr="000E2301">
        <w:rPr>
          <w:color w:val="000000"/>
          <w:spacing w:val="-2"/>
          <w:kern w:val="0"/>
          <w:sz w:val="18"/>
          <w:szCs w:val="18"/>
        </w:rPr>
        <w:t>ed</w:t>
      </w:r>
      <w:r w:rsidRPr="000E2301">
        <w:rPr>
          <w:color w:val="000000"/>
          <w:spacing w:val="19"/>
          <w:kern w:val="0"/>
          <w:sz w:val="18"/>
          <w:szCs w:val="18"/>
        </w:rPr>
        <w:t xml:space="preserve"> </w:t>
      </w:r>
      <w:r w:rsidRPr="000E2301">
        <w:rPr>
          <w:color w:val="000000"/>
          <w:spacing w:val="-2"/>
          <w:kern w:val="0"/>
          <w:sz w:val="18"/>
          <w:szCs w:val="18"/>
        </w:rPr>
        <w:t>e</w:t>
      </w:r>
      <w:r w:rsidRPr="000E2301">
        <w:rPr>
          <w:color w:val="000000"/>
          <w:spacing w:val="-1"/>
          <w:kern w:val="0"/>
          <w:sz w:val="18"/>
          <w:szCs w:val="18"/>
        </w:rPr>
        <w:t>q</w:t>
      </w:r>
      <w:r w:rsidRPr="000E2301">
        <w:rPr>
          <w:color w:val="000000"/>
          <w:spacing w:val="-2"/>
          <w:kern w:val="0"/>
          <w:sz w:val="18"/>
          <w:szCs w:val="18"/>
        </w:rPr>
        <w:t>ua</w:t>
      </w:r>
      <w:r w:rsidRPr="000E2301">
        <w:rPr>
          <w:color w:val="000000"/>
          <w:spacing w:val="-1"/>
          <w:kern w:val="0"/>
          <w:sz w:val="18"/>
          <w:szCs w:val="18"/>
        </w:rPr>
        <w:t>l</w:t>
      </w:r>
      <w:r w:rsidRPr="000E2301">
        <w:rPr>
          <w:color w:val="000000"/>
          <w:spacing w:val="1"/>
          <w:kern w:val="0"/>
          <w:sz w:val="18"/>
          <w:szCs w:val="18"/>
        </w:rPr>
        <w:t>l</w:t>
      </w:r>
      <w:r w:rsidRPr="000E2301">
        <w:rPr>
          <w:color w:val="000000"/>
          <w:spacing w:val="-2"/>
          <w:kern w:val="0"/>
          <w:sz w:val="18"/>
          <w:szCs w:val="18"/>
        </w:rPr>
        <w:t>y</w:t>
      </w:r>
      <w:r w:rsidRPr="000E2301">
        <w:rPr>
          <w:color w:val="000000"/>
          <w:spacing w:val="1"/>
          <w:kern w:val="0"/>
          <w:sz w:val="18"/>
          <w:szCs w:val="18"/>
        </w:rPr>
        <w:t xml:space="preserve"> t</w:t>
      </w:r>
      <w:r w:rsidRPr="000E2301">
        <w:rPr>
          <w:color w:val="000000"/>
          <w:spacing w:val="-2"/>
          <w:kern w:val="0"/>
          <w:sz w:val="18"/>
          <w:szCs w:val="18"/>
        </w:rPr>
        <w:t>o</w:t>
      </w:r>
      <w:r w:rsidRPr="000E2301">
        <w:rPr>
          <w:color w:val="000000"/>
          <w:spacing w:val="18"/>
          <w:kern w:val="0"/>
          <w:sz w:val="18"/>
          <w:szCs w:val="18"/>
        </w:rPr>
        <w:t xml:space="preserve"> </w:t>
      </w:r>
      <w:r w:rsidRPr="000E2301">
        <w:rPr>
          <w:color w:val="000000"/>
          <w:spacing w:val="1"/>
          <w:kern w:val="0"/>
          <w:sz w:val="18"/>
          <w:szCs w:val="18"/>
        </w:rPr>
        <w:t>t</w:t>
      </w:r>
      <w:r w:rsidRPr="000E2301">
        <w:rPr>
          <w:color w:val="000000"/>
          <w:spacing w:val="-1"/>
          <w:kern w:val="0"/>
          <w:sz w:val="18"/>
          <w:szCs w:val="18"/>
        </w:rPr>
        <w:t>h</w:t>
      </w:r>
      <w:r w:rsidRPr="000E2301">
        <w:rPr>
          <w:color w:val="000000"/>
          <w:spacing w:val="1"/>
          <w:kern w:val="0"/>
          <w:sz w:val="18"/>
          <w:szCs w:val="18"/>
        </w:rPr>
        <w:t>i</w:t>
      </w:r>
      <w:r w:rsidRPr="000E2301">
        <w:rPr>
          <w:color w:val="000000"/>
          <w:spacing w:val="-2"/>
          <w:kern w:val="0"/>
          <w:sz w:val="18"/>
          <w:szCs w:val="18"/>
        </w:rPr>
        <w:t>s</w:t>
      </w:r>
      <w:r w:rsidRPr="000E2301">
        <w:rPr>
          <w:color w:val="000000"/>
          <w:spacing w:val="19"/>
          <w:kern w:val="0"/>
          <w:sz w:val="18"/>
          <w:szCs w:val="18"/>
        </w:rPr>
        <w:t xml:space="preserve"> </w:t>
      </w:r>
      <w:r w:rsidRPr="000E2301">
        <w:rPr>
          <w:color w:val="000000"/>
          <w:spacing w:val="-1"/>
          <w:kern w:val="0"/>
          <w:sz w:val="18"/>
          <w:szCs w:val="18"/>
        </w:rPr>
        <w:t>p</w:t>
      </w:r>
      <w:r w:rsidRPr="000E2301">
        <w:rPr>
          <w:color w:val="000000"/>
          <w:spacing w:val="-2"/>
          <w:kern w:val="0"/>
          <w:sz w:val="18"/>
          <w:szCs w:val="18"/>
        </w:rPr>
        <w:t>aper</w:t>
      </w:r>
      <w:r w:rsidRPr="000E2301">
        <w:rPr>
          <w:color w:val="000000"/>
          <w:spacing w:val="19"/>
          <w:kern w:val="0"/>
          <w:sz w:val="18"/>
          <w:szCs w:val="18"/>
        </w:rPr>
        <w:t xml:space="preserve"> </w:t>
      </w:r>
      <w:r w:rsidRPr="000E2301">
        <w:rPr>
          <w:color w:val="000000"/>
          <w:spacing w:val="-1"/>
          <w:kern w:val="0"/>
          <w:sz w:val="18"/>
          <w:szCs w:val="18"/>
        </w:rPr>
        <w:t>w</w:t>
      </w:r>
      <w:r w:rsidRPr="000E2301">
        <w:rPr>
          <w:color w:val="000000"/>
          <w:spacing w:val="1"/>
          <w:kern w:val="0"/>
          <w:sz w:val="18"/>
          <w:szCs w:val="18"/>
        </w:rPr>
        <w:t>i</w:t>
      </w:r>
      <w:r w:rsidRPr="000E2301">
        <w:rPr>
          <w:color w:val="000000"/>
          <w:spacing w:val="-1"/>
          <w:kern w:val="0"/>
          <w:sz w:val="18"/>
          <w:szCs w:val="18"/>
        </w:rPr>
        <w:t>t</w:t>
      </w:r>
      <w:r w:rsidRPr="000E2301">
        <w:rPr>
          <w:color w:val="000000"/>
          <w:spacing w:val="-2"/>
          <w:kern w:val="0"/>
          <w:sz w:val="18"/>
          <w:szCs w:val="18"/>
        </w:rPr>
        <w:t>h</w:t>
      </w:r>
      <w:r w:rsidRPr="000E2301">
        <w:rPr>
          <w:color w:val="000000"/>
          <w:spacing w:val="19"/>
          <w:kern w:val="0"/>
          <w:sz w:val="18"/>
          <w:szCs w:val="18"/>
        </w:rPr>
        <w:t xml:space="preserve"> </w:t>
      </w:r>
      <w:r w:rsidRPr="000E2301">
        <w:rPr>
          <w:color w:val="000000"/>
          <w:spacing w:val="-2"/>
          <w:kern w:val="0"/>
          <w:sz w:val="18"/>
          <w:szCs w:val="18"/>
        </w:rPr>
        <w:t>co</w:t>
      </w:r>
      <w:r w:rsidRPr="000E2301">
        <w:rPr>
          <w:color w:val="000000"/>
          <w:spacing w:val="-1"/>
          <w:kern w:val="0"/>
          <w:sz w:val="18"/>
          <w:szCs w:val="18"/>
        </w:rPr>
        <w:t>nc</w:t>
      </w:r>
      <w:r w:rsidRPr="000E2301">
        <w:rPr>
          <w:color w:val="000000"/>
          <w:spacing w:val="-2"/>
          <w:kern w:val="0"/>
          <w:sz w:val="18"/>
          <w:szCs w:val="18"/>
        </w:rPr>
        <w:t>ep</w:t>
      </w:r>
      <w:r w:rsidRPr="000E2301">
        <w:rPr>
          <w:color w:val="000000"/>
          <w:spacing w:val="-1"/>
          <w:kern w:val="0"/>
          <w:sz w:val="18"/>
          <w:szCs w:val="18"/>
        </w:rPr>
        <w:t>t</w:t>
      </w:r>
      <w:r w:rsidRPr="000E2301">
        <w:rPr>
          <w:color w:val="000000"/>
          <w:spacing w:val="1"/>
          <w:kern w:val="0"/>
          <w:sz w:val="18"/>
          <w:szCs w:val="18"/>
        </w:rPr>
        <w:t>i</w:t>
      </w:r>
      <w:r w:rsidRPr="000E2301">
        <w:rPr>
          <w:color w:val="000000"/>
          <w:spacing w:val="3"/>
          <w:kern w:val="0"/>
          <w:sz w:val="18"/>
          <w:szCs w:val="18"/>
        </w:rPr>
        <w:t>o</w:t>
      </w:r>
      <w:r w:rsidRPr="000E2301">
        <w:rPr>
          <w:color w:val="000000"/>
          <w:spacing w:val="-2"/>
          <w:kern w:val="0"/>
          <w:sz w:val="18"/>
          <w:szCs w:val="18"/>
        </w:rPr>
        <w:t>n</w:t>
      </w:r>
      <w:r w:rsidRPr="000E2301">
        <w:rPr>
          <w:color w:val="000000"/>
          <w:spacing w:val="19"/>
          <w:kern w:val="0"/>
          <w:sz w:val="18"/>
          <w:szCs w:val="18"/>
        </w:rPr>
        <w:t xml:space="preserve"> </w:t>
      </w:r>
      <w:r w:rsidRPr="000E2301">
        <w:rPr>
          <w:color w:val="000000"/>
          <w:spacing w:val="-2"/>
          <w:kern w:val="0"/>
          <w:sz w:val="18"/>
          <w:szCs w:val="18"/>
        </w:rPr>
        <w:t>a</w:t>
      </w:r>
      <w:r w:rsidRPr="000E2301">
        <w:rPr>
          <w:color w:val="000000"/>
          <w:spacing w:val="-1"/>
          <w:kern w:val="0"/>
          <w:sz w:val="18"/>
          <w:szCs w:val="18"/>
        </w:rPr>
        <w:t>n</w:t>
      </w:r>
      <w:r w:rsidRPr="000E2301">
        <w:rPr>
          <w:color w:val="000000"/>
          <w:spacing w:val="-2"/>
          <w:kern w:val="0"/>
          <w:sz w:val="18"/>
          <w:szCs w:val="18"/>
        </w:rPr>
        <w:t>d</w:t>
      </w:r>
      <w:r w:rsidRPr="000E2301">
        <w:rPr>
          <w:color w:val="000000"/>
          <w:spacing w:val="19"/>
          <w:kern w:val="0"/>
          <w:sz w:val="18"/>
          <w:szCs w:val="18"/>
        </w:rPr>
        <w:t xml:space="preserve"> </w:t>
      </w:r>
      <w:r w:rsidRPr="000E2301">
        <w:rPr>
          <w:color w:val="000000"/>
          <w:spacing w:val="-2"/>
          <w:kern w:val="0"/>
          <w:sz w:val="18"/>
          <w:szCs w:val="18"/>
        </w:rPr>
        <w:t>d</w:t>
      </w:r>
      <w:r w:rsidRPr="000E2301">
        <w:rPr>
          <w:color w:val="000000"/>
          <w:spacing w:val="-1"/>
          <w:kern w:val="0"/>
          <w:sz w:val="18"/>
          <w:szCs w:val="18"/>
        </w:rPr>
        <w:t>e</w:t>
      </w:r>
      <w:r w:rsidRPr="000E2301">
        <w:rPr>
          <w:color w:val="000000"/>
          <w:spacing w:val="-2"/>
          <w:kern w:val="0"/>
          <w:sz w:val="18"/>
          <w:szCs w:val="18"/>
        </w:rPr>
        <w:t>s</w:t>
      </w:r>
      <w:r w:rsidRPr="000E2301">
        <w:rPr>
          <w:color w:val="000000"/>
          <w:spacing w:val="1"/>
          <w:kern w:val="0"/>
          <w:sz w:val="18"/>
          <w:szCs w:val="18"/>
        </w:rPr>
        <w:t>i</w:t>
      </w:r>
      <w:r w:rsidRPr="000E2301">
        <w:rPr>
          <w:color w:val="000000"/>
          <w:spacing w:val="-1"/>
          <w:kern w:val="0"/>
          <w:sz w:val="18"/>
          <w:szCs w:val="18"/>
        </w:rPr>
        <w:t>g</w:t>
      </w:r>
      <w:r w:rsidRPr="000E2301">
        <w:rPr>
          <w:color w:val="000000"/>
          <w:spacing w:val="-2"/>
          <w:kern w:val="0"/>
          <w:sz w:val="18"/>
          <w:szCs w:val="18"/>
        </w:rPr>
        <w:t>n</w:t>
      </w:r>
      <w:r w:rsidRPr="000E2301">
        <w:rPr>
          <w:color w:val="000000"/>
          <w:spacing w:val="19"/>
          <w:kern w:val="0"/>
          <w:sz w:val="18"/>
          <w:szCs w:val="18"/>
        </w:rPr>
        <w:t xml:space="preserve"> </w:t>
      </w:r>
      <w:r w:rsidRPr="000E2301">
        <w:rPr>
          <w:color w:val="000000"/>
          <w:spacing w:val="-2"/>
          <w:kern w:val="0"/>
          <w:sz w:val="18"/>
          <w:szCs w:val="18"/>
        </w:rPr>
        <w:t>of</w:t>
      </w:r>
      <w:r w:rsidRPr="000E2301">
        <w:rPr>
          <w:color w:val="000000"/>
          <w:spacing w:val="19"/>
          <w:kern w:val="0"/>
          <w:sz w:val="18"/>
          <w:szCs w:val="18"/>
        </w:rPr>
        <w:t xml:space="preserve"> </w:t>
      </w:r>
      <w:r w:rsidRPr="000E2301">
        <w:rPr>
          <w:color w:val="000000"/>
          <w:spacing w:val="1"/>
          <w:kern w:val="0"/>
          <w:sz w:val="18"/>
          <w:szCs w:val="18"/>
        </w:rPr>
        <w:t>t</w:t>
      </w:r>
      <w:r w:rsidRPr="000E2301">
        <w:rPr>
          <w:color w:val="000000"/>
          <w:spacing w:val="-2"/>
          <w:kern w:val="0"/>
          <w:sz w:val="18"/>
          <w:szCs w:val="18"/>
        </w:rPr>
        <w:t>he</w:t>
      </w:r>
      <w:r w:rsidRPr="000E2301">
        <w:rPr>
          <w:color w:val="000000"/>
          <w:spacing w:val="18"/>
          <w:kern w:val="0"/>
          <w:sz w:val="18"/>
          <w:szCs w:val="18"/>
        </w:rPr>
        <w:t xml:space="preserve"> </w:t>
      </w:r>
      <w:r w:rsidRPr="000E2301">
        <w:rPr>
          <w:color w:val="000000"/>
          <w:spacing w:val="-2"/>
          <w:kern w:val="0"/>
          <w:sz w:val="18"/>
          <w:szCs w:val="18"/>
        </w:rPr>
        <w:t>s</w:t>
      </w:r>
      <w:r w:rsidRPr="000E2301">
        <w:rPr>
          <w:color w:val="000000"/>
          <w:spacing w:val="-1"/>
          <w:kern w:val="0"/>
          <w:sz w:val="18"/>
          <w:szCs w:val="18"/>
        </w:rPr>
        <w:t>t</w:t>
      </w:r>
      <w:r w:rsidRPr="000E2301">
        <w:rPr>
          <w:color w:val="000000"/>
          <w:spacing w:val="-2"/>
          <w:kern w:val="0"/>
          <w:sz w:val="18"/>
          <w:szCs w:val="18"/>
        </w:rPr>
        <w:t>ud</w:t>
      </w:r>
      <w:r w:rsidRPr="000E2301">
        <w:rPr>
          <w:color w:val="000000"/>
          <w:spacing w:val="-1"/>
          <w:kern w:val="0"/>
          <w:sz w:val="18"/>
          <w:szCs w:val="18"/>
        </w:rPr>
        <w:t>y</w:t>
      </w:r>
      <w:r w:rsidRPr="000E2301">
        <w:rPr>
          <w:color w:val="000000"/>
          <w:spacing w:val="-2"/>
          <w:kern w:val="0"/>
          <w:sz w:val="18"/>
          <w:szCs w:val="18"/>
        </w:rPr>
        <w:t>,</w:t>
      </w:r>
      <w:r w:rsidRPr="000E2301">
        <w:rPr>
          <w:color w:val="000000"/>
          <w:spacing w:val="19"/>
          <w:kern w:val="0"/>
          <w:sz w:val="18"/>
          <w:szCs w:val="18"/>
        </w:rPr>
        <w:t xml:space="preserve"> </w:t>
      </w:r>
      <w:r w:rsidRPr="000E2301">
        <w:rPr>
          <w:color w:val="000000"/>
          <w:spacing w:val="1"/>
          <w:kern w:val="0"/>
          <w:sz w:val="18"/>
          <w:szCs w:val="18"/>
        </w:rPr>
        <w:t>li</w:t>
      </w:r>
      <w:r w:rsidRPr="000E2301">
        <w:rPr>
          <w:color w:val="000000"/>
          <w:spacing w:val="-1"/>
          <w:kern w:val="0"/>
          <w:sz w:val="18"/>
          <w:szCs w:val="18"/>
        </w:rPr>
        <w:t>t</w:t>
      </w:r>
      <w:r w:rsidRPr="000E2301">
        <w:rPr>
          <w:color w:val="000000"/>
          <w:spacing w:val="-2"/>
          <w:kern w:val="0"/>
          <w:sz w:val="18"/>
          <w:szCs w:val="18"/>
        </w:rPr>
        <w:t>e</w:t>
      </w:r>
      <w:r w:rsidRPr="000E2301">
        <w:rPr>
          <w:color w:val="000000"/>
          <w:spacing w:val="1"/>
          <w:kern w:val="0"/>
          <w:sz w:val="18"/>
          <w:szCs w:val="18"/>
        </w:rPr>
        <w:t>r</w:t>
      </w:r>
      <w:r w:rsidRPr="000E2301">
        <w:rPr>
          <w:color w:val="000000"/>
          <w:spacing w:val="-1"/>
          <w:kern w:val="0"/>
          <w:sz w:val="18"/>
          <w:szCs w:val="18"/>
        </w:rPr>
        <w:t>a</w:t>
      </w:r>
      <w:r w:rsidRPr="000E2301">
        <w:rPr>
          <w:color w:val="000000"/>
          <w:spacing w:val="1"/>
          <w:kern w:val="0"/>
          <w:sz w:val="18"/>
          <w:szCs w:val="18"/>
        </w:rPr>
        <w:t>t</w:t>
      </w:r>
      <w:r w:rsidRPr="000E2301">
        <w:rPr>
          <w:color w:val="000000"/>
          <w:spacing w:val="-1"/>
          <w:kern w:val="0"/>
          <w:sz w:val="18"/>
          <w:szCs w:val="18"/>
        </w:rPr>
        <w:t>u</w:t>
      </w:r>
      <w:r w:rsidRPr="000E2301">
        <w:rPr>
          <w:color w:val="000000"/>
          <w:spacing w:val="1"/>
          <w:kern w:val="0"/>
          <w:sz w:val="18"/>
          <w:szCs w:val="18"/>
        </w:rPr>
        <w:t>r</w:t>
      </w:r>
      <w:r w:rsidRPr="000E2301">
        <w:rPr>
          <w:color w:val="000000"/>
          <w:spacing w:val="-2"/>
          <w:kern w:val="0"/>
          <w:sz w:val="18"/>
          <w:szCs w:val="18"/>
        </w:rPr>
        <w:t>e</w:t>
      </w:r>
      <w:r w:rsidRPr="000E2301">
        <w:rPr>
          <w:color w:val="000000"/>
          <w:spacing w:val="19"/>
          <w:kern w:val="0"/>
          <w:sz w:val="18"/>
          <w:szCs w:val="18"/>
        </w:rPr>
        <w:t xml:space="preserve"> </w:t>
      </w:r>
      <w:r w:rsidRPr="000E2301">
        <w:rPr>
          <w:color w:val="000000"/>
          <w:spacing w:val="-1"/>
          <w:kern w:val="0"/>
          <w:sz w:val="18"/>
          <w:szCs w:val="18"/>
        </w:rPr>
        <w:t>r</w:t>
      </w:r>
      <w:r w:rsidRPr="000E2301">
        <w:rPr>
          <w:color w:val="000000"/>
          <w:spacing w:val="-2"/>
          <w:kern w:val="0"/>
          <w:sz w:val="18"/>
          <w:szCs w:val="18"/>
        </w:rPr>
        <w:t>e</w:t>
      </w:r>
      <w:r w:rsidRPr="000E2301">
        <w:rPr>
          <w:color w:val="000000"/>
          <w:spacing w:val="-1"/>
          <w:kern w:val="0"/>
          <w:sz w:val="18"/>
          <w:szCs w:val="18"/>
        </w:rPr>
        <w:t>v</w:t>
      </w:r>
      <w:r w:rsidRPr="000E2301">
        <w:rPr>
          <w:color w:val="000000"/>
          <w:spacing w:val="1"/>
          <w:kern w:val="0"/>
          <w:sz w:val="18"/>
          <w:szCs w:val="18"/>
        </w:rPr>
        <w:t>i</w:t>
      </w:r>
      <w:r w:rsidRPr="000E2301">
        <w:rPr>
          <w:color w:val="000000"/>
          <w:spacing w:val="-2"/>
          <w:kern w:val="0"/>
          <w:sz w:val="18"/>
          <w:szCs w:val="18"/>
        </w:rPr>
        <w:t>ew</w:t>
      </w:r>
      <w:r w:rsidRPr="000E2301">
        <w:rPr>
          <w:color w:val="000000"/>
          <w:spacing w:val="19"/>
          <w:kern w:val="0"/>
          <w:sz w:val="18"/>
          <w:szCs w:val="18"/>
        </w:rPr>
        <w:t xml:space="preserve"> </w:t>
      </w:r>
      <w:r w:rsidRPr="000E2301">
        <w:rPr>
          <w:color w:val="000000"/>
          <w:spacing w:val="-2"/>
          <w:kern w:val="0"/>
          <w:sz w:val="18"/>
          <w:szCs w:val="18"/>
        </w:rPr>
        <w:t>and</w:t>
      </w:r>
      <w:r w:rsidRPr="000E2301">
        <w:rPr>
          <w:color w:val="000000"/>
          <w:spacing w:val="18"/>
          <w:kern w:val="0"/>
          <w:sz w:val="18"/>
          <w:szCs w:val="18"/>
        </w:rPr>
        <w:t xml:space="preserve"> </w:t>
      </w:r>
      <w:r w:rsidRPr="000E2301">
        <w:rPr>
          <w:color w:val="000000"/>
          <w:spacing w:val="-2"/>
          <w:kern w:val="0"/>
          <w:sz w:val="18"/>
          <w:szCs w:val="18"/>
        </w:rPr>
        <w:t>ana</w:t>
      </w:r>
      <w:r w:rsidRPr="000E2301">
        <w:rPr>
          <w:color w:val="000000"/>
          <w:spacing w:val="1"/>
          <w:kern w:val="0"/>
          <w:sz w:val="18"/>
          <w:szCs w:val="18"/>
        </w:rPr>
        <w:t>l</w:t>
      </w:r>
      <w:r w:rsidRPr="000E2301">
        <w:rPr>
          <w:color w:val="000000"/>
          <w:spacing w:val="-1"/>
          <w:kern w:val="0"/>
          <w:sz w:val="18"/>
          <w:szCs w:val="18"/>
        </w:rPr>
        <w:t>y</w:t>
      </w:r>
      <w:r w:rsidRPr="000E2301">
        <w:rPr>
          <w:color w:val="000000"/>
          <w:spacing w:val="-2"/>
          <w:kern w:val="0"/>
          <w:sz w:val="18"/>
          <w:szCs w:val="18"/>
        </w:rPr>
        <w:t>s</w:t>
      </w:r>
      <w:r w:rsidRPr="000E2301">
        <w:rPr>
          <w:color w:val="000000"/>
          <w:spacing w:val="-1"/>
          <w:kern w:val="0"/>
          <w:sz w:val="18"/>
          <w:szCs w:val="18"/>
        </w:rPr>
        <w:t>i</w:t>
      </w:r>
      <w:r w:rsidRPr="000E2301">
        <w:rPr>
          <w:color w:val="000000"/>
          <w:spacing w:val="-2"/>
          <w:kern w:val="0"/>
          <w:sz w:val="18"/>
          <w:szCs w:val="18"/>
        </w:rPr>
        <w:t>s,</w:t>
      </w:r>
      <w:r w:rsidRPr="000E2301">
        <w:rPr>
          <w:color w:val="000000"/>
          <w:spacing w:val="19"/>
          <w:kern w:val="0"/>
          <w:sz w:val="18"/>
          <w:szCs w:val="18"/>
        </w:rPr>
        <w:t xml:space="preserve"> and </w:t>
      </w:r>
      <w:r w:rsidRPr="000E2301">
        <w:rPr>
          <w:color w:val="000000"/>
          <w:spacing w:val="-2"/>
          <w:kern w:val="0"/>
          <w:sz w:val="18"/>
          <w:szCs w:val="18"/>
        </w:rPr>
        <w:t>d</w:t>
      </w:r>
      <w:r w:rsidRPr="000E2301">
        <w:rPr>
          <w:color w:val="000000"/>
          <w:spacing w:val="-1"/>
          <w:kern w:val="0"/>
          <w:sz w:val="18"/>
          <w:szCs w:val="18"/>
        </w:rPr>
        <w:t>r</w:t>
      </w:r>
      <w:r w:rsidRPr="000E2301">
        <w:rPr>
          <w:color w:val="000000"/>
          <w:spacing w:val="-2"/>
          <w:kern w:val="0"/>
          <w:sz w:val="18"/>
          <w:szCs w:val="18"/>
        </w:rPr>
        <w:t>a</w:t>
      </w:r>
      <w:r w:rsidRPr="000E2301">
        <w:rPr>
          <w:color w:val="000000"/>
          <w:spacing w:val="-1"/>
          <w:kern w:val="0"/>
          <w:sz w:val="18"/>
          <w:szCs w:val="18"/>
        </w:rPr>
        <w:t>f</w:t>
      </w:r>
      <w:r w:rsidRPr="000E2301">
        <w:rPr>
          <w:color w:val="000000"/>
          <w:spacing w:val="1"/>
          <w:kern w:val="0"/>
          <w:sz w:val="18"/>
          <w:szCs w:val="18"/>
        </w:rPr>
        <w:t>ti</w:t>
      </w:r>
      <w:r w:rsidRPr="000E2301">
        <w:rPr>
          <w:color w:val="000000"/>
          <w:spacing w:val="-2"/>
          <w:kern w:val="0"/>
          <w:sz w:val="18"/>
          <w:szCs w:val="18"/>
        </w:rPr>
        <w:t>ng, c</w:t>
      </w:r>
      <w:r w:rsidRPr="000E2301">
        <w:rPr>
          <w:color w:val="000000"/>
          <w:spacing w:val="1"/>
          <w:kern w:val="0"/>
          <w:sz w:val="18"/>
          <w:szCs w:val="18"/>
        </w:rPr>
        <w:t>r</w:t>
      </w:r>
      <w:r w:rsidRPr="000E2301">
        <w:rPr>
          <w:color w:val="000000"/>
          <w:spacing w:val="-1"/>
          <w:kern w:val="0"/>
          <w:sz w:val="18"/>
          <w:szCs w:val="18"/>
        </w:rPr>
        <w:t>i</w:t>
      </w:r>
      <w:r w:rsidRPr="000E2301">
        <w:rPr>
          <w:color w:val="000000"/>
          <w:spacing w:val="1"/>
          <w:kern w:val="0"/>
          <w:sz w:val="18"/>
          <w:szCs w:val="18"/>
        </w:rPr>
        <w:t>t</w:t>
      </w:r>
      <w:r w:rsidRPr="000E2301">
        <w:rPr>
          <w:color w:val="000000"/>
          <w:spacing w:val="-1"/>
          <w:kern w:val="0"/>
          <w:sz w:val="18"/>
          <w:szCs w:val="18"/>
        </w:rPr>
        <w:t>i</w:t>
      </w:r>
      <w:r w:rsidRPr="000E2301">
        <w:rPr>
          <w:color w:val="000000"/>
          <w:spacing w:val="-2"/>
          <w:kern w:val="0"/>
          <w:sz w:val="18"/>
          <w:szCs w:val="18"/>
        </w:rPr>
        <w:t>c</w:t>
      </w:r>
      <w:r w:rsidRPr="000E2301">
        <w:rPr>
          <w:color w:val="000000"/>
          <w:spacing w:val="-1"/>
          <w:kern w:val="0"/>
          <w:sz w:val="18"/>
          <w:szCs w:val="18"/>
        </w:rPr>
        <w:t>a</w:t>
      </w:r>
      <w:r w:rsidRPr="000E2301">
        <w:rPr>
          <w:color w:val="000000"/>
          <w:spacing w:val="-2"/>
          <w:kern w:val="0"/>
          <w:sz w:val="18"/>
          <w:szCs w:val="18"/>
        </w:rPr>
        <w:t>l</w:t>
      </w:r>
      <w:r w:rsidRPr="000E2301">
        <w:rPr>
          <w:color w:val="000000"/>
          <w:spacing w:val="1"/>
          <w:kern w:val="0"/>
          <w:sz w:val="18"/>
          <w:szCs w:val="18"/>
        </w:rPr>
        <w:t xml:space="preserve"> r</w:t>
      </w:r>
      <w:r w:rsidRPr="000E2301">
        <w:rPr>
          <w:color w:val="000000"/>
          <w:spacing w:val="-2"/>
          <w:kern w:val="0"/>
          <w:sz w:val="18"/>
          <w:szCs w:val="18"/>
        </w:rPr>
        <w:t>e</w:t>
      </w:r>
      <w:r w:rsidRPr="000E2301">
        <w:rPr>
          <w:color w:val="000000"/>
          <w:spacing w:val="-1"/>
          <w:kern w:val="0"/>
          <w:sz w:val="18"/>
          <w:szCs w:val="18"/>
        </w:rPr>
        <w:t>v</w:t>
      </w:r>
      <w:r w:rsidRPr="000E2301">
        <w:rPr>
          <w:color w:val="000000"/>
          <w:spacing w:val="1"/>
          <w:kern w:val="0"/>
          <w:sz w:val="18"/>
          <w:szCs w:val="18"/>
        </w:rPr>
        <w:t>i</w:t>
      </w:r>
      <w:r w:rsidRPr="000E2301">
        <w:rPr>
          <w:color w:val="000000"/>
          <w:spacing w:val="-1"/>
          <w:kern w:val="0"/>
          <w:sz w:val="18"/>
          <w:szCs w:val="18"/>
        </w:rPr>
        <w:t>s</w:t>
      </w:r>
      <w:r w:rsidRPr="000E2301">
        <w:rPr>
          <w:color w:val="000000"/>
          <w:spacing w:val="1"/>
          <w:kern w:val="0"/>
          <w:sz w:val="18"/>
          <w:szCs w:val="18"/>
        </w:rPr>
        <w:t>i</w:t>
      </w:r>
      <w:r w:rsidRPr="000E2301">
        <w:rPr>
          <w:color w:val="000000"/>
          <w:spacing w:val="-2"/>
          <w:kern w:val="0"/>
          <w:sz w:val="18"/>
          <w:szCs w:val="18"/>
        </w:rPr>
        <w:t xml:space="preserve">on, </w:t>
      </w:r>
      <w:r w:rsidRPr="000E2301">
        <w:rPr>
          <w:color w:val="000000"/>
          <w:spacing w:val="-1"/>
          <w:kern w:val="0"/>
          <w:sz w:val="18"/>
          <w:szCs w:val="18"/>
        </w:rPr>
        <w:t>e</w:t>
      </w:r>
      <w:r w:rsidRPr="000E2301">
        <w:rPr>
          <w:color w:val="000000"/>
          <w:spacing w:val="-2"/>
          <w:kern w:val="0"/>
          <w:sz w:val="18"/>
          <w:szCs w:val="18"/>
        </w:rPr>
        <w:t>d</w:t>
      </w:r>
      <w:r w:rsidRPr="000E2301">
        <w:rPr>
          <w:color w:val="000000"/>
          <w:spacing w:val="-1"/>
          <w:kern w:val="0"/>
          <w:sz w:val="18"/>
          <w:szCs w:val="18"/>
        </w:rPr>
        <w:t>i</w:t>
      </w:r>
      <w:r w:rsidRPr="000E2301">
        <w:rPr>
          <w:color w:val="000000"/>
          <w:spacing w:val="1"/>
          <w:kern w:val="0"/>
          <w:sz w:val="18"/>
          <w:szCs w:val="18"/>
        </w:rPr>
        <w:t>ti</w:t>
      </w:r>
      <w:r w:rsidRPr="000E2301">
        <w:rPr>
          <w:color w:val="000000"/>
          <w:spacing w:val="-2"/>
          <w:kern w:val="0"/>
          <w:sz w:val="18"/>
          <w:szCs w:val="18"/>
        </w:rPr>
        <w:t>n</w:t>
      </w:r>
      <w:r w:rsidRPr="000E2301">
        <w:rPr>
          <w:color w:val="000000"/>
          <w:spacing w:val="-1"/>
          <w:kern w:val="0"/>
          <w:sz w:val="18"/>
          <w:szCs w:val="18"/>
        </w:rPr>
        <w:t>g</w:t>
      </w:r>
      <w:r w:rsidRPr="000E2301">
        <w:rPr>
          <w:color w:val="000000"/>
          <w:spacing w:val="-2"/>
          <w:kern w:val="0"/>
          <w:sz w:val="18"/>
          <w:szCs w:val="18"/>
        </w:rPr>
        <w:t xml:space="preserve"> and a</w:t>
      </w:r>
      <w:r w:rsidRPr="000E2301">
        <w:rPr>
          <w:color w:val="000000"/>
          <w:spacing w:val="-1"/>
          <w:kern w:val="0"/>
          <w:sz w:val="18"/>
          <w:szCs w:val="18"/>
        </w:rPr>
        <w:t>p</w:t>
      </w:r>
      <w:r w:rsidRPr="000E2301">
        <w:rPr>
          <w:color w:val="000000"/>
          <w:spacing w:val="-2"/>
          <w:kern w:val="0"/>
          <w:sz w:val="18"/>
          <w:szCs w:val="18"/>
        </w:rPr>
        <w:t>p</w:t>
      </w:r>
      <w:r w:rsidRPr="000E2301">
        <w:rPr>
          <w:color w:val="000000"/>
          <w:spacing w:val="1"/>
          <w:kern w:val="0"/>
          <w:sz w:val="18"/>
          <w:szCs w:val="18"/>
        </w:rPr>
        <w:t>r</w:t>
      </w:r>
      <w:r w:rsidRPr="000E2301">
        <w:rPr>
          <w:color w:val="000000"/>
          <w:spacing w:val="-2"/>
          <w:kern w:val="0"/>
          <w:sz w:val="18"/>
          <w:szCs w:val="18"/>
        </w:rPr>
        <w:t>o</w:t>
      </w:r>
      <w:r w:rsidRPr="000E2301">
        <w:rPr>
          <w:color w:val="000000"/>
          <w:spacing w:val="-1"/>
          <w:kern w:val="0"/>
          <w:sz w:val="18"/>
          <w:szCs w:val="18"/>
        </w:rPr>
        <w:t>v</w:t>
      </w:r>
      <w:r w:rsidRPr="000E2301">
        <w:rPr>
          <w:color w:val="000000"/>
          <w:spacing w:val="-2"/>
          <w:kern w:val="0"/>
          <w:sz w:val="18"/>
          <w:szCs w:val="18"/>
        </w:rPr>
        <w:t>al</w:t>
      </w:r>
      <w:r w:rsidRPr="000E2301">
        <w:rPr>
          <w:color w:val="000000"/>
          <w:spacing w:val="1"/>
          <w:kern w:val="0"/>
          <w:sz w:val="18"/>
          <w:szCs w:val="18"/>
        </w:rPr>
        <w:t xml:space="preserve"> </w:t>
      </w:r>
      <w:r w:rsidRPr="000E2301">
        <w:rPr>
          <w:color w:val="000000"/>
          <w:spacing w:val="-1"/>
          <w:kern w:val="0"/>
          <w:sz w:val="18"/>
          <w:szCs w:val="18"/>
        </w:rPr>
        <w:t>o</w:t>
      </w:r>
      <w:r w:rsidRPr="000E2301">
        <w:rPr>
          <w:color w:val="000000"/>
          <w:spacing w:val="-2"/>
          <w:kern w:val="0"/>
          <w:sz w:val="18"/>
          <w:szCs w:val="18"/>
        </w:rPr>
        <w:t>f</w:t>
      </w:r>
      <w:r w:rsidRPr="000E2301">
        <w:rPr>
          <w:color w:val="000000"/>
          <w:spacing w:val="-1"/>
          <w:kern w:val="0"/>
          <w:sz w:val="18"/>
          <w:szCs w:val="18"/>
        </w:rPr>
        <w:t xml:space="preserve"> </w:t>
      </w:r>
      <w:r w:rsidRPr="000E2301">
        <w:rPr>
          <w:color w:val="000000"/>
          <w:spacing w:val="1"/>
          <w:kern w:val="0"/>
          <w:sz w:val="18"/>
          <w:szCs w:val="18"/>
        </w:rPr>
        <w:t>t</w:t>
      </w:r>
      <w:r w:rsidRPr="000E2301">
        <w:rPr>
          <w:color w:val="000000"/>
          <w:spacing w:val="-2"/>
          <w:kern w:val="0"/>
          <w:sz w:val="18"/>
          <w:szCs w:val="18"/>
        </w:rPr>
        <w:t>he</w:t>
      </w:r>
      <w:r w:rsidRPr="000E2301">
        <w:rPr>
          <w:color w:val="000000"/>
          <w:spacing w:val="-1"/>
          <w:kern w:val="0"/>
          <w:sz w:val="18"/>
          <w:szCs w:val="18"/>
        </w:rPr>
        <w:t xml:space="preserve"> f</w:t>
      </w:r>
      <w:r w:rsidRPr="000E2301">
        <w:rPr>
          <w:color w:val="000000"/>
          <w:spacing w:val="1"/>
          <w:kern w:val="0"/>
          <w:sz w:val="18"/>
          <w:szCs w:val="18"/>
        </w:rPr>
        <w:t>i</w:t>
      </w:r>
      <w:r w:rsidRPr="000E2301">
        <w:rPr>
          <w:color w:val="000000"/>
          <w:spacing w:val="-2"/>
          <w:kern w:val="0"/>
          <w:sz w:val="18"/>
          <w:szCs w:val="18"/>
        </w:rPr>
        <w:t>n</w:t>
      </w:r>
      <w:r w:rsidRPr="000E2301">
        <w:rPr>
          <w:color w:val="000000"/>
          <w:spacing w:val="-1"/>
          <w:kern w:val="0"/>
          <w:sz w:val="18"/>
          <w:szCs w:val="18"/>
        </w:rPr>
        <w:t>a</w:t>
      </w:r>
      <w:r w:rsidRPr="000E2301">
        <w:rPr>
          <w:color w:val="000000"/>
          <w:spacing w:val="-2"/>
          <w:kern w:val="0"/>
          <w:sz w:val="18"/>
          <w:szCs w:val="18"/>
        </w:rPr>
        <w:t>l</w:t>
      </w:r>
      <w:r w:rsidRPr="000E2301">
        <w:rPr>
          <w:color w:val="000000"/>
          <w:spacing w:val="1"/>
          <w:kern w:val="0"/>
          <w:sz w:val="18"/>
          <w:szCs w:val="18"/>
        </w:rPr>
        <w:t xml:space="preserve"> </w:t>
      </w:r>
      <w:r w:rsidRPr="000E2301">
        <w:rPr>
          <w:color w:val="000000"/>
          <w:spacing w:val="-1"/>
          <w:kern w:val="0"/>
          <w:sz w:val="18"/>
          <w:szCs w:val="18"/>
        </w:rPr>
        <w:t>v</w:t>
      </w:r>
      <w:r w:rsidRPr="000E2301">
        <w:rPr>
          <w:color w:val="000000"/>
          <w:spacing w:val="-2"/>
          <w:kern w:val="0"/>
          <w:sz w:val="18"/>
          <w:szCs w:val="18"/>
        </w:rPr>
        <w:t>e</w:t>
      </w:r>
      <w:r w:rsidRPr="000E2301">
        <w:rPr>
          <w:color w:val="000000"/>
          <w:spacing w:val="1"/>
          <w:kern w:val="0"/>
          <w:sz w:val="18"/>
          <w:szCs w:val="18"/>
        </w:rPr>
        <w:t>r</w:t>
      </w:r>
      <w:r w:rsidRPr="000E2301">
        <w:rPr>
          <w:color w:val="000000"/>
          <w:spacing w:val="-2"/>
          <w:kern w:val="0"/>
          <w:sz w:val="18"/>
          <w:szCs w:val="18"/>
        </w:rPr>
        <w:t>s</w:t>
      </w:r>
      <w:r w:rsidRPr="000E2301">
        <w:rPr>
          <w:color w:val="000000"/>
          <w:spacing w:val="-1"/>
          <w:kern w:val="0"/>
          <w:sz w:val="18"/>
          <w:szCs w:val="18"/>
        </w:rPr>
        <w:t>i</w:t>
      </w:r>
      <w:r w:rsidRPr="000E2301">
        <w:rPr>
          <w:color w:val="000000"/>
          <w:spacing w:val="-2"/>
          <w:kern w:val="0"/>
          <w:sz w:val="18"/>
          <w:szCs w:val="18"/>
        </w:rPr>
        <w:t>on.</w:t>
      </w:r>
    </w:p>
    <w:p w:rsidR="00E6642F" w:rsidRPr="000E2301" w:rsidRDefault="00E6642F" w:rsidP="00E6642F">
      <w:pPr>
        <w:suppressAutoHyphens/>
        <w:autoSpaceDE w:val="0"/>
        <w:autoSpaceDN w:val="0"/>
        <w:adjustRightInd w:val="0"/>
        <w:spacing w:line="210" w:lineRule="atLeast"/>
        <w:textAlignment w:val="center"/>
        <w:rPr>
          <w:color w:val="000000"/>
          <w:spacing w:val="-2"/>
          <w:kern w:val="0"/>
          <w:sz w:val="18"/>
          <w:szCs w:val="18"/>
        </w:rPr>
      </w:pPr>
      <w:r w:rsidRPr="000E2301">
        <w:rPr>
          <w:rFonts w:ascii="Tahoma" w:hAnsi="Tahoma" w:cs="Tahoma"/>
          <w:color w:val="000000"/>
          <w:kern w:val="0"/>
          <w:sz w:val="18"/>
          <w:szCs w:val="18"/>
        </w:rPr>
        <w:t>Correspondence to:</w:t>
      </w:r>
      <w:r w:rsidRPr="000E2301">
        <w:rPr>
          <w:color w:val="000000"/>
          <w:spacing w:val="-2"/>
          <w:kern w:val="0"/>
          <w:sz w:val="18"/>
          <w:szCs w:val="18"/>
        </w:rPr>
        <w:t xml:space="preserve"> </w:t>
      </w:r>
      <w:r w:rsidRPr="000E2301">
        <w:rPr>
          <w:rFonts w:ascii="Tahoma" w:hAnsi="Tahoma" w:cs="Tahoma"/>
          <w:color w:val="000000"/>
          <w:spacing w:val="-2"/>
          <w:kern w:val="0"/>
          <w:sz w:val="18"/>
          <w:szCs w:val="18"/>
        </w:rPr>
        <w:t>Bircan Kayaaslan, MD,</w:t>
      </w:r>
      <w:r w:rsidRPr="000E2301">
        <w:rPr>
          <w:color w:val="000000"/>
          <w:spacing w:val="-2"/>
          <w:kern w:val="0"/>
          <w:sz w:val="18"/>
          <w:szCs w:val="18"/>
        </w:rPr>
        <w:t xml:space="preserve"> Department of Infectious Disease and Clinical Microbiology, Yildirim Beyazit University Faculty of Medicine, Ataturk Education and Research Hospital, Bilkent Street no: 1, 06800 Ankara, Turkey. drbican@gmail.com</w:t>
      </w:r>
    </w:p>
    <w:p w:rsidR="00E6642F" w:rsidRPr="000E2301" w:rsidRDefault="00E6642F" w:rsidP="00E6642F">
      <w:pPr>
        <w:suppressAutoHyphens/>
        <w:autoSpaceDE w:val="0"/>
        <w:autoSpaceDN w:val="0"/>
        <w:adjustRightInd w:val="0"/>
        <w:spacing w:line="210" w:lineRule="atLeast"/>
        <w:textAlignment w:val="center"/>
        <w:rPr>
          <w:color w:val="000000"/>
          <w:spacing w:val="-2"/>
          <w:kern w:val="0"/>
          <w:sz w:val="18"/>
          <w:szCs w:val="18"/>
        </w:rPr>
      </w:pPr>
      <w:r w:rsidRPr="000E2301">
        <w:rPr>
          <w:rFonts w:ascii="Tahoma" w:hAnsi="Tahoma" w:cs="Tahoma"/>
          <w:color w:val="000000"/>
          <w:kern w:val="0"/>
          <w:sz w:val="18"/>
          <w:szCs w:val="18"/>
        </w:rPr>
        <w:t>Telephone:</w:t>
      </w:r>
      <w:r w:rsidRPr="000E2301">
        <w:rPr>
          <w:b/>
          <w:bCs/>
          <w:color w:val="000000"/>
          <w:spacing w:val="1"/>
          <w:kern w:val="0"/>
          <w:sz w:val="18"/>
          <w:szCs w:val="18"/>
        </w:rPr>
        <w:t xml:space="preserve"> </w:t>
      </w:r>
      <w:r w:rsidRPr="000E2301">
        <w:rPr>
          <w:color w:val="000000"/>
          <w:spacing w:val="-1"/>
          <w:kern w:val="0"/>
          <w:sz w:val="18"/>
          <w:szCs w:val="18"/>
        </w:rPr>
        <w:t>+</w:t>
      </w:r>
      <w:r w:rsidRPr="000E2301">
        <w:rPr>
          <w:color w:val="000000"/>
          <w:spacing w:val="-2"/>
          <w:kern w:val="0"/>
          <w:sz w:val="18"/>
          <w:szCs w:val="18"/>
        </w:rPr>
        <w:t>90-</w:t>
      </w:r>
      <w:r w:rsidRPr="000E2301">
        <w:rPr>
          <w:color w:val="000000"/>
          <w:spacing w:val="-1"/>
          <w:kern w:val="0"/>
          <w:sz w:val="18"/>
          <w:szCs w:val="18"/>
        </w:rPr>
        <w:t>5</w:t>
      </w:r>
      <w:r w:rsidRPr="000E2301">
        <w:rPr>
          <w:color w:val="000000"/>
          <w:spacing w:val="-2"/>
          <w:kern w:val="0"/>
          <w:sz w:val="18"/>
          <w:szCs w:val="18"/>
        </w:rPr>
        <w:t>05-826</w:t>
      </w:r>
      <w:r w:rsidRPr="000E2301">
        <w:rPr>
          <w:color w:val="000000"/>
          <w:spacing w:val="-1"/>
          <w:kern w:val="0"/>
          <w:sz w:val="18"/>
          <w:szCs w:val="18"/>
        </w:rPr>
        <w:t>7</w:t>
      </w:r>
      <w:r w:rsidRPr="000E2301">
        <w:rPr>
          <w:color w:val="000000"/>
          <w:spacing w:val="-2"/>
          <w:kern w:val="0"/>
          <w:sz w:val="18"/>
          <w:szCs w:val="18"/>
        </w:rPr>
        <w:t>777</w:t>
      </w:r>
    </w:p>
    <w:p w:rsidR="00E6642F" w:rsidRPr="000E2301" w:rsidRDefault="00E6642F" w:rsidP="00E6642F">
      <w:pPr>
        <w:suppressAutoHyphens/>
        <w:autoSpaceDE w:val="0"/>
        <w:autoSpaceDN w:val="0"/>
        <w:adjustRightInd w:val="0"/>
        <w:spacing w:line="210" w:lineRule="atLeast"/>
        <w:textAlignment w:val="center"/>
        <w:rPr>
          <w:color w:val="000000"/>
          <w:spacing w:val="-2"/>
          <w:kern w:val="0"/>
          <w:sz w:val="18"/>
          <w:szCs w:val="18"/>
        </w:rPr>
      </w:pPr>
      <w:r w:rsidRPr="000E2301">
        <w:rPr>
          <w:rFonts w:ascii="Tahoma" w:hAnsi="Tahoma" w:cs="Tahoma"/>
          <w:color w:val="000000"/>
          <w:spacing w:val="-2"/>
          <w:kern w:val="0"/>
          <w:sz w:val="18"/>
          <w:szCs w:val="18"/>
        </w:rPr>
        <w:t>Received:</w:t>
      </w:r>
      <w:r w:rsidRPr="000E2301">
        <w:rPr>
          <w:b/>
          <w:bCs/>
          <w:color w:val="000000"/>
          <w:spacing w:val="-2"/>
          <w:kern w:val="0"/>
          <w:sz w:val="18"/>
          <w:szCs w:val="18"/>
        </w:rPr>
        <w:t xml:space="preserve"> </w:t>
      </w:r>
      <w:r w:rsidRPr="000E2301">
        <w:rPr>
          <w:color w:val="000000"/>
          <w:spacing w:val="-2"/>
          <w:kern w:val="0"/>
          <w:sz w:val="18"/>
          <w:szCs w:val="18"/>
        </w:rPr>
        <w:t>April 28, 2016</w:t>
      </w:r>
      <w:r>
        <w:rPr>
          <w:rFonts w:hint="eastAsia"/>
          <w:color w:val="000000"/>
          <w:spacing w:val="-2"/>
          <w:kern w:val="0"/>
          <w:sz w:val="18"/>
          <w:szCs w:val="18"/>
        </w:rPr>
        <w:t xml:space="preserve">   </w:t>
      </w:r>
      <w:r w:rsidRPr="000E2301">
        <w:rPr>
          <w:rFonts w:ascii="Tahoma" w:hAnsi="Tahoma" w:cs="Tahoma"/>
          <w:color w:val="000000"/>
          <w:spacing w:val="-2"/>
          <w:kern w:val="0"/>
          <w:sz w:val="18"/>
          <w:szCs w:val="18"/>
        </w:rPr>
        <w:t>Revised:</w:t>
      </w:r>
      <w:r w:rsidRPr="000E2301">
        <w:rPr>
          <w:b/>
          <w:bCs/>
          <w:color w:val="000000"/>
          <w:spacing w:val="-2"/>
          <w:kern w:val="0"/>
          <w:sz w:val="18"/>
          <w:szCs w:val="18"/>
        </w:rPr>
        <w:t xml:space="preserve"> </w:t>
      </w:r>
      <w:r w:rsidRPr="000E2301">
        <w:rPr>
          <w:color w:val="000000"/>
          <w:spacing w:val="-2"/>
          <w:kern w:val="0"/>
          <w:sz w:val="18"/>
          <w:szCs w:val="18"/>
        </w:rPr>
        <w:t xml:space="preserve">November 29, 2016 </w:t>
      </w:r>
      <w:r>
        <w:rPr>
          <w:rFonts w:hint="eastAsia"/>
          <w:color w:val="000000"/>
          <w:spacing w:val="-2"/>
          <w:kern w:val="0"/>
          <w:sz w:val="18"/>
          <w:szCs w:val="18"/>
        </w:rPr>
        <w:t xml:space="preserve">   </w:t>
      </w:r>
      <w:r w:rsidRPr="000E2301">
        <w:rPr>
          <w:rFonts w:ascii="Tahoma" w:hAnsi="Tahoma" w:cs="Tahoma"/>
          <w:color w:val="000000"/>
          <w:spacing w:val="-2"/>
          <w:kern w:val="0"/>
          <w:sz w:val="18"/>
          <w:szCs w:val="18"/>
        </w:rPr>
        <w:t>Accepted:</w:t>
      </w:r>
      <w:r w:rsidRPr="000E2301">
        <w:rPr>
          <w:color w:val="000000"/>
          <w:spacing w:val="-2"/>
          <w:kern w:val="0"/>
          <w:sz w:val="18"/>
          <w:szCs w:val="18"/>
        </w:rPr>
        <w:t xml:space="preserve"> December 7, 2016</w:t>
      </w:r>
    </w:p>
    <w:p w:rsidR="00E6642F" w:rsidRPr="000E2301" w:rsidRDefault="00E6642F" w:rsidP="00E6642F">
      <w:pPr>
        <w:suppressAutoHyphens/>
        <w:autoSpaceDE w:val="0"/>
        <w:autoSpaceDN w:val="0"/>
        <w:adjustRightInd w:val="0"/>
        <w:spacing w:line="210" w:lineRule="atLeast"/>
        <w:textAlignment w:val="center"/>
        <w:rPr>
          <w:color w:val="000000"/>
          <w:spacing w:val="-2"/>
          <w:kern w:val="0"/>
          <w:sz w:val="18"/>
          <w:szCs w:val="18"/>
        </w:rPr>
      </w:pPr>
      <w:r w:rsidRPr="000E2301">
        <w:rPr>
          <w:rFonts w:ascii="Tahoma" w:hAnsi="Tahoma" w:cs="Tahoma"/>
          <w:color w:val="000000"/>
          <w:spacing w:val="-2"/>
          <w:kern w:val="0"/>
          <w:sz w:val="18"/>
          <w:szCs w:val="18"/>
        </w:rPr>
        <w:t>Published online:</w:t>
      </w:r>
      <w:r w:rsidRPr="000E2301">
        <w:rPr>
          <w:color w:val="000000"/>
          <w:spacing w:val="-2"/>
          <w:kern w:val="0"/>
          <w:sz w:val="18"/>
          <w:szCs w:val="18"/>
        </w:rPr>
        <w:t xml:space="preserve"> February 18, 2017</w:t>
      </w:r>
    </w:p>
    <w:p w:rsidR="00E6642F" w:rsidRPr="000E2301" w:rsidRDefault="00E6642F" w:rsidP="00E6642F">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E6642F" w:rsidRPr="000E2301" w:rsidRDefault="00E6642F" w:rsidP="00E6642F">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0E2301">
        <w:rPr>
          <w:rFonts w:ascii="Century Gothic" w:hAnsi="Century Gothic" w:cs="Century Gothic"/>
          <w:b/>
          <w:bCs/>
          <w:color w:val="000000"/>
          <w:spacing w:val="12"/>
          <w:kern w:val="0"/>
          <w:sz w:val="24"/>
        </w:rPr>
        <w:t>Abstract</w:t>
      </w:r>
    </w:p>
    <w:p w:rsidR="00E6642F" w:rsidRPr="000E2301" w:rsidRDefault="00E6642F" w:rsidP="00E6642F">
      <w:pPr>
        <w:suppressAutoHyphens/>
        <w:autoSpaceDE w:val="0"/>
        <w:autoSpaceDN w:val="0"/>
        <w:adjustRightInd w:val="0"/>
        <w:spacing w:line="230" w:lineRule="atLeast"/>
        <w:textAlignment w:val="center"/>
        <w:rPr>
          <w:rFonts w:ascii="Tahoma" w:hAnsi="Tahoma" w:cs="Tahoma"/>
          <w:color w:val="000000"/>
          <w:spacing w:val="-4"/>
          <w:kern w:val="0"/>
          <w:sz w:val="19"/>
          <w:szCs w:val="19"/>
        </w:rPr>
      </w:pPr>
      <w:r w:rsidRPr="000E2301">
        <w:rPr>
          <w:rFonts w:ascii="Tahoma" w:hAnsi="Tahoma" w:cs="Tahoma"/>
          <w:color w:val="000000"/>
          <w:spacing w:val="-4"/>
          <w:kern w:val="0"/>
          <w:sz w:val="19"/>
          <w:szCs w:val="19"/>
        </w:rPr>
        <w:t>Oral nucleoside/nucleotide analogues (NAs) are currently the backbone of chronic hepatitis B (CHB) infection treatment. They are generally well-tolerated by patients and safe to use. To date, a significant number of patients have been treated with NAs. Safety data has accumulated over the years. The aim of this article is to review and update the adverse effects of oral NAs. NAs can cause class adverse effects (</w:t>
      </w:r>
      <w:r w:rsidRPr="000E2301">
        <w:rPr>
          <w:rFonts w:ascii="Tahoma Italic" w:hAnsi="Tahoma Italic" w:cs="Tahoma Italic"/>
          <w:i/>
          <w:iCs/>
          <w:color w:val="000000"/>
          <w:spacing w:val="-4"/>
          <w:kern w:val="0"/>
          <w:sz w:val="19"/>
          <w:szCs w:val="19"/>
        </w:rPr>
        <w:t>i.e.</w:t>
      </w:r>
      <w:r w:rsidRPr="000E2301">
        <w:rPr>
          <w:rFonts w:ascii="Tahoma" w:hAnsi="Tahoma" w:cs="Tahoma"/>
          <w:color w:val="000000"/>
          <w:spacing w:val="-4"/>
          <w:kern w:val="0"/>
          <w:sz w:val="19"/>
          <w:szCs w:val="19"/>
        </w:rPr>
        <w:t xml:space="preserve">, myopathy, neuropathy, lactic acidosis) and dissimilar adverse effects. All NAs carry a “Black Box” warning because </w:t>
      </w:r>
      <w:r w:rsidRPr="000E2301">
        <w:rPr>
          <w:rFonts w:ascii="Tahoma" w:hAnsi="Tahoma" w:cs="Tahoma"/>
          <w:color w:val="000000"/>
          <w:spacing w:val="-6"/>
          <w:kern w:val="0"/>
          <w:sz w:val="19"/>
          <w:szCs w:val="19"/>
        </w:rPr>
        <w:t xml:space="preserve">of the potential risk for mitochondrial dysfunction. </w:t>
      </w:r>
      <w:r w:rsidRPr="000E2301">
        <w:rPr>
          <w:rFonts w:ascii="Tahoma" w:hAnsi="Tahoma" w:cs="Tahoma"/>
          <w:color w:val="000000"/>
          <w:spacing w:val="-4"/>
          <w:kern w:val="0"/>
          <w:sz w:val="19"/>
          <w:szCs w:val="19"/>
        </w:rPr>
        <w:t>However, these adverse effects are rarely reported. The majority of cases are associated with lamivudine and telbivudine. Adefovir can lead to dose- and time-dependent nephrotoxicity, even at low doses. Tenofovir has significant renal and bone toxicity in patients with human immunodeficiency virus (HIV) infection. However, bone and renal toxicity in patients with CHB are not as prominent as in HIV infection. Entecavir and lamivudine are not generally associated with renal adverse events. Entecavir has been claimed to increase the risk of lactic acidosis in decompensated liver disease and high Model for End-Stage Liver Disease scores. However, current studies reported that entecavir could be safely used in decompensated cirrhosis. An increase in fetal adverse events has not been reported with lamivudine, telbivudine and tenofovir use in pre</w:t>
      </w:r>
      <w:r w:rsidRPr="000E2301">
        <w:rPr>
          <w:rFonts w:ascii="Tahoma" w:hAnsi="Tahoma" w:cs="Tahoma"/>
          <w:color w:val="000000"/>
          <w:spacing w:val="-4"/>
          <w:kern w:val="0"/>
          <w:sz w:val="19"/>
          <w:szCs w:val="19"/>
        </w:rPr>
        <w:softHyphen/>
        <w:t>gnant women, while there is no adequate data regarding entecavir and adefovir. Further long-term experience is required to highlight the adverse effects of NAs, especially in special patient populations, including pregnant women, elderly and patients with renal impairment.</w:t>
      </w:r>
    </w:p>
    <w:p w:rsidR="00E6642F" w:rsidRPr="000E2301" w:rsidRDefault="00E6642F" w:rsidP="00E6642F">
      <w:pPr>
        <w:suppressAutoHyphens/>
        <w:autoSpaceDE w:val="0"/>
        <w:autoSpaceDN w:val="0"/>
        <w:adjustRightInd w:val="0"/>
        <w:spacing w:line="230" w:lineRule="atLeast"/>
        <w:textAlignment w:val="center"/>
        <w:rPr>
          <w:b/>
          <w:bCs/>
          <w:color w:val="000000"/>
          <w:spacing w:val="-1"/>
          <w:kern w:val="0"/>
          <w:sz w:val="19"/>
          <w:szCs w:val="19"/>
        </w:rPr>
      </w:pPr>
    </w:p>
    <w:p w:rsidR="00E6642F" w:rsidRPr="000E2301" w:rsidRDefault="00E6642F" w:rsidP="00E6642F">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0E2301">
        <w:rPr>
          <w:b/>
          <w:bCs/>
          <w:color w:val="000000"/>
          <w:spacing w:val="-1"/>
          <w:kern w:val="0"/>
          <w:sz w:val="19"/>
          <w:szCs w:val="19"/>
        </w:rPr>
        <w:t>Key words:</w:t>
      </w:r>
      <w:r w:rsidRPr="000E2301">
        <w:rPr>
          <w:rFonts w:ascii="Tahoma" w:hAnsi="Tahoma" w:cs="Tahoma"/>
          <w:b/>
          <w:bCs/>
          <w:color w:val="000000"/>
          <w:spacing w:val="-1"/>
          <w:kern w:val="0"/>
          <w:sz w:val="19"/>
          <w:szCs w:val="19"/>
        </w:rPr>
        <w:t xml:space="preserve"> </w:t>
      </w:r>
      <w:r w:rsidRPr="000E2301">
        <w:rPr>
          <w:rFonts w:ascii="Tahoma" w:hAnsi="Tahoma" w:cs="Tahoma"/>
          <w:color w:val="000000"/>
          <w:spacing w:val="3"/>
          <w:kern w:val="0"/>
          <w:sz w:val="19"/>
          <w:szCs w:val="19"/>
        </w:rPr>
        <w:t>Nucleoside</w:t>
      </w:r>
      <w:r w:rsidRPr="000E2301">
        <w:rPr>
          <w:rFonts w:ascii="Tahoma" w:hAnsi="Tahoma" w:cs="Tahoma"/>
          <w:color w:val="000000"/>
          <w:spacing w:val="1"/>
          <w:kern w:val="0"/>
          <w:sz w:val="19"/>
          <w:szCs w:val="19"/>
        </w:rPr>
        <w:t>/</w:t>
      </w:r>
      <w:r w:rsidRPr="000E2301">
        <w:rPr>
          <w:rFonts w:ascii="Tahoma" w:hAnsi="Tahoma" w:cs="Tahoma"/>
          <w:color w:val="000000"/>
          <w:spacing w:val="-1"/>
          <w:kern w:val="0"/>
          <w:sz w:val="19"/>
          <w:szCs w:val="19"/>
        </w:rPr>
        <w:t>nu</w:t>
      </w:r>
      <w:r w:rsidRPr="000E2301">
        <w:rPr>
          <w:rFonts w:ascii="Tahoma" w:hAnsi="Tahoma" w:cs="Tahoma"/>
          <w:color w:val="000000"/>
          <w:spacing w:val="-2"/>
          <w:kern w:val="0"/>
          <w:sz w:val="19"/>
          <w:szCs w:val="19"/>
        </w:rPr>
        <w:t>c</w:t>
      </w:r>
      <w:r w:rsidRPr="000E2301">
        <w:rPr>
          <w:rFonts w:ascii="Tahoma" w:hAnsi="Tahoma" w:cs="Tahoma"/>
          <w:color w:val="000000"/>
          <w:spacing w:val="1"/>
          <w:kern w:val="0"/>
          <w:sz w:val="19"/>
          <w:szCs w:val="19"/>
        </w:rPr>
        <w:t>l</w:t>
      </w:r>
      <w:r w:rsidRPr="000E2301">
        <w:rPr>
          <w:rFonts w:ascii="Tahoma" w:hAnsi="Tahoma" w:cs="Tahoma"/>
          <w:color w:val="000000"/>
          <w:spacing w:val="-1"/>
          <w:kern w:val="0"/>
          <w:sz w:val="19"/>
          <w:szCs w:val="19"/>
        </w:rPr>
        <w:t>e</w:t>
      </w:r>
      <w:r w:rsidRPr="000E2301">
        <w:rPr>
          <w:rFonts w:ascii="Tahoma" w:hAnsi="Tahoma" w:cs="Tahoma"/>
          <w:color w:val="000000"/>
          <w:spacing w:val="-2"/>
          <w:kern w:val="0"/>
          <w:sz w:val="19"/>
          <w:szCs w:val="19"/>
        </w:rPr>
        <w:t>o</w:t>
      </w:r>
      <w:r w:rsidRPr="000E2301">
        <w:rPr>
          <w:rFonts w:ascii="Tahoma" w:hAnsi="Tahoma" w:cs="Tahoma"/>
          <w:color w:val="000000"/>
          <w:spacing w:val="1"/>
          <w:kern w:val="0"/>
          <w:sz w:val="19"/>
          <w:szCs w:val="19"/>
        </w:rPr>
        <w:t>ti</w:t>
      </w:r>
      <w:r w:rsidRPr="000E2301">
        <w:rPr>
          <w:rFonts w:ascii="Tahoma" w:hAnsi="Tahoma" w:cs="Tahoma"/>
          <w:color w:val="000000"/>
          <w:spacing w:val="-2"/>
          <w:kern w:val="0"/>
          <w:sz w:val="19"/>
          <w:szCs w:val="19"/>
        </w:rPr>
        <w:t>d</w:t>
      </w:r>
      <w:r w:rsidRPr="000E2301">
        <w:rPr>
          <w:rFonts w:ascii="Tahoma" w:hAnsi="Tahoma" w:cs="Tahoma"/>
          <w:color w:val="000000"/>
          <w:spacing w:val="-1"/>
          <w:kern w:val="0"/>
          <w:sz w:val="19"/>
          <w:szCs w:val="19"/>
        </w:rPr>
        <w:t>e</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an</w:t>
      </w:r>
      <w:r w:rsidRPr="000E2301">
        <w:rPr>
          <w:rFonts w:ascii="Tahoma" w:hAnsi="Tahoma" w:cs="Tahoma"/>
          <w:color w:val="000000"/>
          <w:spacing w:val="-2"/>
          <w:kern w:val="0"/>
          <w:sz w:val="19"/>
          <w:szCs w:val="19"/>
        </w:rPr>
        <w:t>a</w:t>
      </w:r>
      <w:r w:rsidRPr="000E2301">
        <w:rPr>
          <w:rFonts w:ascii="Tahoma" w:hAnsi="Tahoma" w:cs="Tahoma"/>
          <w:color w:val="000000"/>
          <w:spacing w:val="1"/>
          <w:kern w:val="0"/>
          <w:sz w:val="19"/>
          <w:szCs w:val="19"/>
        </w:rPr>
        <w:t>l</w:t>
      </w:r>
      <w:r w:rsidRPr="000E2301">
        <w:rPr>
          <w:rFonts w:ascii="Tahoma" w:hAnsi="Tahoma" w:cs="Tahoma"/>
          <w:color w:val="000000"/>
          <w:spacing w:val="-1"/>
          <w:kern w:val="0"/>
          <w:sz w:val="19"/>
          <w:szCs w:val="19"/>
        </w:rPr>
        <w:t>o</w:t>
      </w:r>
      <w:r w:rsidRPr="000E2301">
        <w:rPr>
          <w:rFonts w:ascii="Tahoma" w:hAnsi="Tahoma" w:cs="Tahoma"/>
          <w:color w:val="000000"/>
          <w:spacing w:val="-2"/>
          <w:kern w:val="0"/>
          <w:sz w:val="19"/>
          <w:szCs w:val="19"/>
        </w:rPr>
        <w:t>g</w:t>
      </w:r>
      <w:r w:rsidRPr="000E2301">
        <w:rPr>
          <w:rFonts w:ascii="Tahoma" w:hAnsi="Tahoma" w:cs="Tahoma"/>
          <w:color w:val="000000"/>
          <w:spacing w:val="-1"/>
          <w:kern w:val="0"/>
          <w:sz w:val="19"/>
          <w:szCs w:val="19"/>
        </w:rPr>
        <w:t>ue</w:t>
      </w:r>
      <w:r w:rsidRPr="000E2301">
        <w:rPr>
          <w:rFonts w:ascii="Tahoma" w:hAnsi="Tahoma" w:cs="Tahoma"/>
          <w:color w:val="000000"/>
          <w:spacing w:val="1"/>
          <w:kern w:val="0"/>
          <w:sz w:val="19"/>
          <w:szCs w:val="19"/>
        </w:rPr>
        <w:t>s</w:t>
      </w:r>
      <w:r w:rsidRPr="000E2301">
        <w:rPr>
          <w:rFonts w:ascii="Tahoma" w:hAnsi="Tahoma" w:cs="Tahoma"/>
          <w:color w:val="000000"/>
          <w:spacing w:val="-1"/>
          <w:kern w:val="0"/>
          <w:sz w:val="19"/>
          <w:szCs w:val="19"/>
        </w:rPr>
        <w:t>;</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Ad</w:t>
      </w:r>
      <w:r w:rsidRPr="000E2301">
        <w:rPr>
          <w:rFonts w:ascii="Tahoma" w:hAnsi="Tahoma" w:cs="Tahoma"/>
          <w:color w:val="000000"/>
          <w:spacing w:val="-2"/>
          <w:kern w:val="0"/>
          <w:sz w:val="19"/>
          <w:szCs w:val="19"/>
        </w:rPr>
        <w:t>v</w:t>
      </w:r>
      <w:r w:rsidRPr="000E2301">
        <w:rPr>
          <w:rFonts w:ascii="Tahoma" w:hAnsi="Tahoma" w:cs="Tahoma"/>
          <w:color w:val="000000"/>
          <w:spacing w:val="-1"/>
          <w:kern w:val="0"/>
          <w:sz w:val="19"/>
          <w:szCs w:val="19"/>
        </w:rPr>
        <w:t>e</w:t>
      </w:r>
      <w:r w:rsidRPr="000E2301">
        <w:rPr>
          <w:rFonts w:ascii="Tahoma" w:hAnsi="Tahoma" w:cs="Tahoma"/>
          <w:color w:val="000000"/>
          <w:spacing w:val="1"/>
          <w:kern w:val="0"/>
          <w:sz w:val="19"/>
          <w:szCs w:val="19"/>
        </w:rPr>
        <w:t>r</w:t>
      </w:r>
      <w:r w:rsidRPr="000E2301">
        <w:rPr>
          <w:rFonts w:ascii="Tahoma" w:hAnsi="Tahoma" w:cs="Tahoma"/>
          <w:color w:val="000000"/>
          <w:spacing w:val="-1"/>
          <w:kern w:val="0"/>
          <w:sz w:val="19"/>
          <w:szCs w:val="19"/>
        </w:rPr>
        <w:t>se</w:t>
      </w:r>
      <w:r w:rsidRPr="000E2301">
        <w:rPr>
          <w:rFonts w:ascii="Tahoma" w:hAnsi="Tahoma" w:cs="Tahoma"/>
          <w:color w:val="000000"/>
          <w:spacing w:val="42"/>
          <w:kern w:val="0"/>
          <w:sz w:val="19"/>
          <w:szCs w:val="19"/>
        </w:rPr>
        <w:t xml:space="preserve"> </w:t>
      </w:r>
      <w:r w:rsidRPr="000E2301">
        <w:rPr>
          <w:rFonts w:ascii="Tahoma" w:hAnsi="Tahoma" w:cs="Tahoma"/>
          <w:color w:val="000000"/>
          <w:spacing w:val="-1"/>
          <w:kern w:val="0"/>
          <w:sz w:val="19"/>
          <w:szCs w:val="19"/>
        </w:rPr>
        <w:t>e</w:t>
      </w:r>
      <w:r w:rsidRPr="000E2301">
        <w:rPr>
          <w:rFonts w:ascii="Tahoma" w:hAnsi="Tahoma" w:cs="Tahoma"/>
          <w:color w:val="000000"/>
          <w:spacing w:val="-2"/>
          <w:kern w:val="0"/>
          <w:sz w:val="19"/>
          <w:szCs w:val="19"/>
        </w:rPr>
        <w:t>v</w:t>
      </w:r>
      <w:r w:rsidRPr="000E2301">
        <w:rPr>
          <w:rFonts w:ascii="Tahoma" w:hAnsi="Tahoma" w:cs="Tahoma"/>
          <w:color w:val="000000"/>
          <w:spacing w:val="-1"/>
          <w:kern w:val="0"/>
          <w:sz w:val="19"/>
          <w:szCs w:val="19"/>
        </w:rPr>
        <w:t>en</w:t>
      </w:r>
      <w:r w:rsidRPr="000E2301">
        <w:rPr>
          <w:rFonts w:ascii="Tahoma" w:hAnsi="Tahoma" w:cs="Tahoma"/>
          <w:color w:val="000000"/>
          <w:spacing w:val="1"/>
          <w:kern w:val="0"/>
          <w:sz w:val="19"/>
          <w:szCs w:val="19"/>
        </w:rPr>
        <w:t>t</w:t>
      </w:r>
      <w:r w:rsidRPr="000E2301">
        <w:rPr>
          <w:rFonts w:ascii="Tahoma" w:hAnsi="Tahoma" w:cs="Tahoma"/>
          <w:color w:val="000000"/>
          <w:spacing w:val="-2"/>
          <w:kern w:val="0"/>
          <w:sz w:val="19"/>
          <w:szCs w:val="19"/>
        </w:rPr>
        <w:t>s</w:t>
      </w:r>
      <w:r w:rsidRPr="000E2301">
        <w:rPr>
          <w:rFonts w:ascii="Tahoma" w:hAnsi="Tahoma" w:cs="Tahoma"/>
          <w:color w:val="000000"/>
          <w:spacing w:val="-1"/>
          <w:kern w:val="0"/>
          <w:sz w:val="19"/>
          <w:szCs w:val="19"/>
        </w:rPr>
        <w:t>;</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La</w:t>
      </w:r>
      <w:r w:rsidRPr="000E2301">
        <w:rPr>
          <w:rFonts w:ascii="Tahoma" w:hAnsi="Tahoma" w:cs="Tahoma"/>
          <w:color w:val="000000"/>
          <w:spacing w:val="-3"/>
          <w:kern w:val="0"/>
          <w:sz w:val="19"/>
          <w:szCs w:val="19"/>
        </w:rPr>
        <w:t>m</w:t>
      </w:r>
      <w:r w:rsidRPr="000E2301">
        <w:rPr>
          <w:rFonts w:ascii="Tahoma" w:hAnsi="Tahoma" w:cs="Tahoma"/>
          <w:color w:val="000000"/>
          <w:spacing w:val="1"/>
          <w:kern w:val="0"/>
          <w:sz w:val="19"/>
          <w:szCs w:val="19"/>
        </w:rPr>
        <w:t>i</w:t>
      </w:r>
      <w:r w:rsidRPr="000E2301">
        <w:rPr>
          <w:rFonts w:ascii="Tahoma" w:hAnsi="Tahoma" w:cs="Tahoma"/>
          <w:color w:val="000000"/>
          <w:spacing w:val="-2"/>
          <w:kern w:val="0"/>
          <w:sz w:val="19"/>
          <w:szCs w:val="19"/>
        </w:rPr>
        <w:t>v</w:t>
      </w:r>
      <w:r w:rsidRPr="000E2301">
        <w:rPr>
          <w:rFonts w:ascii="Tahoma" w:hAnsi="Tahoma" w:cs="Tahoma"/>
          <w:color w:val="000000"/>
          <w:spacing w:val="-1"/>
          <w:kern w:val="0"/>
          <w:sz w:val="19"/>
          <w:szCs w:val="19"/>
        </w:rPr>
        <w:t>ud</w:t>
      </w:r>
      <w:r w:rsidRPr="000E2301">
        <w:rPr>
          <w:rFonts w:ascii="Tahoma" w:hAnsi="Tahoma" w:cs="Tahoma"/>
          <w:color w:val="000000"/>
          <w:spacing w:val="1"/>
          <w:kern w:val="0"/>
          <w:sz w:val="19"/>
          <w:szCs w:val="19"/>
        </w:rPr>
        <w:t>i</w:t>
      </w:r>
      <w:r w:rsidRPr="000E2301">
        <w:rPr>
          <w:rFonts w:ascii="Tahoma" w:hAnsi="Tahoma" w:cs="Tahoma"/>
          <w:color w:val="000000"/>
          <w:spacing w:val="-1"/>
          <w:kern w:val="0"/>
          <w:sz w:val="19"/>
          <w:szCs w:val="19"/>
        </w:rPr>
        <w:t>ne;</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C</w:t>
      </w:r>
      <w:r w:rsidRPr="000E2301">
        <w:rPr>
          <w:rFonts w:ascii="Tahoma" w:hAnsi="Tahoma" w:cs="Tahoma"/>
          <w:color w:val="000000"/>
          <w:spacing w:val="-2"/>
          <w:kern w:val="0"/>
          <w:sz w:val="19"/>
          <w:szCs w:val="19"/>
        </w:rPr>
        <w:t>h</w:t>
      </w:r>
      <w:r w:rsidRPr="000E2301">
        <w:rPr>
          <w:rFonts w:ascii="Tahoma" w:hAnsi="Tahoma" w:cs="Tahoma"/>
          <w:color w:val="000000"/>
          <w:spacing w:val="1"/>
          <w:kern w:val="0"/>
          <w:sz w:val="19"/>
          <w:szCs w:val="19"/>
        </w:rPr>
        <w:t>r</w:t>
      </w:r>
      <w:r w:rsidRPr="000E2301">
        <w:rPr>
          <w:rFonts w:ascii="Tahoma" w:hAnsi="Tahoma" w:cs="Tahoma"/>
          <w:color w:val="000000"/>
          <w:spacing w:val="-1"/>
          <w:kern w:val="0"/>
          <w:sz w:val="19"/>
          <w:szCs w:val="19"/>
        </w:rPr>
        <w:t>onic hep</w:t>
      </w:r>
      <w:r w:rsidRPr="000E2301">
        <w:rPr>
          <w:rFonts w:ascii="Tahoma" w:hAnsi="Tahoma" w:cs="Tahoma"/>
          <w:color w:val="000000"/>
          <w:spacing w:val="-2"/>
          <w:kern w:val="0"/>
          <w:sz w:val="19"/>
          <w:szCs w:val="19"/>
        </w:rPr>
        <w:t>a</w:t>
      </w:r>
      <w:r w:rsidRPr="000E2301">
        <w:rPr>
          <w:rFonts w:ascii="Tahoma" w:hAnsi="Tahoma" w:cs="Tahoma"/>
          <w:color w:val="000000"/>
          <w:spacing w:val="1"/>
          <w:kern w:val="0"/>
          <w:sz w:val="19"/>
          <w:szCs w:val="19"/>
        </w:rPr>
        <w:t>t</w:t>
      </w:r>
      <w:r w:rsidRPr="000E2301">
        <w:rPr>
          <w:rFonts w:ascii="Tahoma" w:hAnsi="Tahoma" w:cs="Tahoma"/>
          <w:color w:val="000000"/>
          <w:spacing w:val="-1"/>
          <w:kern w:val="0"/>
          <w:sz w:val="19"/>
          <w:szCs w:val="19"/>
        </w:rPr>
        <w:t>it</w:t>
      </w:r>
      <w:r w:rsidRPr="000E2301">
        <w:rPr>
          <w:rFonts w:ascii="Tahoma" w:hAnsi="Tahoma" w:cs="Tahoma"/>
          <w:color w:val="000000"/>
          <w:spacing w:val="1"/>
          <w:kern w:val="0"/>
          <w:sz w:val="19"/>
          <w:szCs w:val="19"/>
        </w:rPr>
        <w:t>i</w:t>
      </w:r>
      <w:r w:rsidRPr="000E2301">
        <w:rPr>
          <w:rFonts w:ascii="Tahoma" w:hAnsi="Tahoma" w:cs="Tahoma"/>
          <w:color w:val="000000"/>
          <w:spacing w:val="-1"/>
          <w:kern w:val="0"/>
          <w:sz w:val="19"/>
          <w:szCs w:val="19"/>
        </w:rPr>
        <w:t>s B;</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Si</w:t>
      </w:r>
      <w:r w:rsidRPr="000E2301">
        <w:rPr>
          <w:rFonts w:ascii="Tahoma" w:hAnsi="Tahoma" w:cs="Tahoma"/>
          <w:color w:val="000000"/>
          <w:spacing w:val="-2"/>
          <w:kern w:val="0"/>
          <w:sz w:val="19"/>
          <w:szCs w:val="19"/>
        </w:rPr>
        <w:t>d</w:t>
      </w:r>
      <w:r w:rsidRPr="000E2301">
        <w:rPr>
          <w:rFonts w:ascii="Tahoma" w:hAnsi="Tahoma" w:cs="Tahoma"/>
          <w:color w:val="000000"/>
          <w:spacing w:val="-1"/>
          <w:kern w:val="0"/>
          <w:sz w:val="19"/>
          <w:szCs w:val="19"/>
        </w:rPr>
        <w:t>e</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ef</w:t>
      </w:r>
      <w:r w:rsidRPr="000E2301">
        <w:rPr>
          <w:rFonts w:ascii="Tahoma" w:hAnsi="Tahoma" w:cs="Tahoma"/>
          <w:color w:val="000000"/>
          <w:spacing w:val="1"/>
          <w:kern w:val="0"/>
          <w:sz w:val="19"/>
          <w:szCs w:val="19"/>
        </w:rPr>
        <w:t>f</w:t>
      </w:r>
      <w:r w:rsidRPr="000E2301">
        <w:rPr>
          <w:rFonts w:ascii="Tahoma" w:hAnsi="Tahoma" w:cs="Tahoma"/>
          <w:color w:val="000000"/>
          <w:spacing w:val="-1"/>
          <w:kern w:val="0"/>
          <w:sz w:val="19"/>
          <w:szCs w:val="19"/>
        </w:rPr>
        <w:t>e</w:t>
      </w:r>
      <w:r w:rsidRPr="000E2301">
        <w:rPr>
          <w:rFonts w:ascii="Tahoma" w:hAnsi="Tahoma" w:cs="Tahoma"/>
          <w:color w:val="000000"/>
          <w:spacing w:val="-2"/>
          <w:kern w:val="0"/>
          <w:sz w:val="19"/>
          <w:szCs w:val="19"/>
        </w:rPr>
        <w:t>c</w:t>
      </w:r>
      <w:r w:rsidRPr="000E2301">
        <w:rPr>
          <w:rFonts w:ascii="Tahoma" w:hAnsi="Tahoma" w:cs="Tahoma"/>
          <w:color w:val="000000"/>
          <w:spacing w:val="1"/>
          <w:kern w:val="0"/>
          <w:sz w:val="19"/>
          <w:szCs w:val="19"/>
        </w:rPr>
        <w:t>t</w:t>
      </w:r>
      <w:r w:rsidRPr="000E2301">
        <w:rPr>
          <w:rFonts w:ascii="Tahoma" w:hAnsi="Tahoma" w:cs="Tahoma"/>
          <w:color w:val="000000"/>
          <w:spacing w:val="-2"/>
          <w:kern w:val="0"/>
          <w:sz w:val="19"/>
          <w:szCs w:val="19"/>
        </w:rPr>
        <w:t>s</w:t>
      </w:r>
      <w:r w:rsidRPr="000E2301">
        <w:rPr>
          <w:rFonts w:ascii="Tahoma" w:hAnsi="Tahoma" w:cs="Tahoma"/>
          <w:color w:val="000000"/>
          <w:spacing w:val="-1"/>
          <w:kern w:val="0"/>
          <w:sz w:val="19"/>
          <w:szCs w:val="19"/>
        </w:rPr>
        <w:t>;</w:t>
      </w:r>
      <w:r w:rsidRPr="000E2301">
        <w:rPr>
          <w:rFonts w:ascii="Tahoma" w:hAnsi="Tahoma" w:cs="Tahoma"/>
          <w:color w:val="000000"/>
          <w:spacing w:val="42"/>
          <w:kern w:val="0"/>
          <w:sz w:val="19"/>
          <w:szCs w:val="19"/>
        </w:rPr>
        <w:t xml:space="preserve"> </w:t>
      </w:r>
      <w:r w:rsidRPr="000E2301">
        <w:rPr>
          <w:rFonts w:ascii="Tahoma" w:hAnsi="Tahoma" w:cs="Tahoma"/>
          <w:color w:val="000000"/>
          <w:spacing w:val="-1"/>
          <w:kern w:val="0"/>
          <w:sz w:val="19"/>
          <w:szCs w:val="19"/>
        </w:rPr>
        <w:t>Sa</w:t>
      </w:r>
      <w:r w:rsidRPr="000E2301">
        <w:rPr>
          <w:rFonts w:ascii="Tahoma" w:hAnsi="Tahoma" w:cs="Tahoma"/>
          <w:color w:val="000000"/>
          <w:spacing w:val="-2"/>
          <w:kern w:val="0"/>
          <w:sz w:val="19"/>
          <w:szCs w:val="19"/>
        </w:rPr>
        <w:t>f</w:t>
      </w:r>
      <w:r w:rsidRPr="000E2301">
        <w:rPr>
          <w:rFonts w:ascii="Tahoma" w:hAnsi="Tahoma" w:cs="Tahoma"/>
          <w:color w:val="000000"/>
          <w:spacing w:val="-1"/>
          <w:kern w:val="0"/>
          <w:sz w:val="19"/>
          <w:szCs w:val="19"/>
        </w:rPr>
        <w:t>e</w:t>
      </w:r>
      <w:r w:rsidRPr="000E2301">
        <w:rPr>
          <w:rFonts w:ascii="Tahoma" w:hAnsi="Tahoma" w:cs="Tahoma"/>
          <w:color w:val="000000"/>
          <w:spacing w:val="1"/>
          <w:kern w:val="0"/>
          <w:sz w:val="19"/>
          <w:szCs w:val="19"/>
        </w:rPr>
        <w:t>t</w:t>
      </w:r>
      <w:r w:rsidRPr="000E2301">
        <w:rPr>
          <w:rFonts w:ascii="Tahoma" w:hAnsi="Tahoma" w:cs="Tahoma"/>
          <w:color w:val="000000"/>
          <w:spacing w:val="-2"/>
          <w:kern w:val="0"/>
          <w:sz w:val="19"/>
          <w:szCs w:val="19"/>
        </w:rPr>
        <w:t>y</w:t>
      </w:r>
      <w:r w:rsidRPr="000E2301">
        <w:rPr>
          <w:rFonts w:ascii="Tahoma" w:hAnsi="Tahoma" w:cs="Tahoma"/>
          <w:color w:val="000000"/>
          <w:spacing w:val="-1"/>
          <w:kern w:val="0"/>
          <w:sz w:val="19"/>
          <w:szCs w:val="19"/>
        </w:rPr>
        <w:t>;</w:t>
      </w:r>
      <w:r w:rsidRPr="000E2301">
        <w:rPr>
          <w:rFonts w:ascii="Tahoma" w:hAnsi="Tahoma" w:cs="Tahoma"/>
          <w:color w:val="000000"/>
          <w:spacing w:val="-4"/>
          <w:kern w:val="0"/>
          <w:sz w:val="19"/>
          <w:szCs w:val="19"/>
        </w:rPr>
        <w:t xml:space="preserve"> </w:t>
      </w:r>
      <w:r w:rsidRPr="000E2301">
        <w:rPr>
          <w:rFonts w:ascii="Tahoma" w:hAnsi="Tahoma" w:cs="Tahoma"/>
          <w:color w:val="000000"/>
          <w:spacing w:val="2"/>
          <w:kern w:val="0"/>
          <w:sz w:val="19"/>
          <w:szCs w:val="19"/>
        </w:rPr>
        <w:t>T</w:t>
      </w:r>
      <w:r w:rsidRPr="000E2301">
        <w:rPr>
          <w:rFonts w:ascii="Tahoma" w:hAnsi="Tahoma" w:cs="Tahoma"/>
          <w:color w:val="000000"/>
          <w:spacing w:val="-2"/>
          <w:kern w:val="0"/>
          <w:sz w:val="19"/>
          <w:szCs w:val="19"/>
        </w:rPr>
        <w:t>e</w:t>
      </w:r>
      <w:r w:rsidRPr="000E2301">
        <w:rPr>
          <w:rFonts w:ascii="Tahoma" w:hAnsi="Tahoma" w:cs="Tahoma"/>
          <w:color w:val="000000"/>
          <w:spacing w:val="1"/>
          <w:kern w:val="0"/>
          <w:sz w:val="19"/>
          <w:szCs w:val="19"/>
        </w:rPr>
        <w:t>l</w:t>
      </w:r>
      <w:r w:rsidRPr="000E2301">
        <w:rPr>
          <w:rFonts w:ascii="Tahoma" w:hAnsi="Tahoma" w:cs="Tahoma"/>
          <w:color w:val="000000"/>
          <w:spacing w:val="-2"/>
          <w:kern w:val="0"/>
          <w:sz w:val="19"/>
          <w:szCs w:val="19"/>
        </w:rPr>
        <w:t>b</w:t>
      </w:r>
      <w:r w:rsidRPr="000E2301">
        <w:rPr>
          <w:rFonts w:ascii="Tahoma" w:hAnsi="Tahoma" w:cs="Tahoma"/>
          <w:color w:val="000000"/>
          <w:spacing w:val="1"/>
          <w:kern w:val="0"/>
          <w:sz w:val="19"/>
          <w:szCs w:val="19"/>
        </w:rPr>
        <w:t>i</w:t>
      </w:r>
      <w:r w:rsidRPr="000E2301">
        <w:rPr>
          <w:rFonts w:ascii="Tahoma" w:hAnsi="Tahoma" w:cs="Tahoma"/>
          <w:color w:val="000000"/>
          <w:spacing w:val="-2"/>
          <w:kern w:val="0"/>
          <w:sz w:val="19"/>
          <w:szCs w:val="19"/>
        </w:rPr>
        <w:t>v</w:t>
      </w:r>
      <w:r w:rsidRPr="000E2301">
        <w:rPr>
          <w:rFonts w:ascii="Tahoma" w:hAnsi="Tahoma" w:cs="Tahoma"/>
          <w:color w:val="000000"/>
          <w:spacing w:val="-1"/>
          <w:kern w:val="0"/>
          <w:sz w:val="19"/>
          <w:szCs w:val="19"/>
        </w:rPr>
        <w:t>ud</w:t>
      </w:r>
      <w:r w:rsidRPr="000E2301">
        <w:rPr>
          <w:rFonts w:ascii="Tahoma" w:hAnsi="Tahoma" w:cs="Tahoma"/>
          <w:color w:val="000000"/>
          <w:spacing w:val="1"/>
          <w:kern w:val="0"/>
          <w:sz w:val="19"/>
          <w:szCs w:val="19"/>
        </w:rPr>
        <w:t>i</w:t>
      </w:r>
      <w:r w:rsidRPr="000E2301">
        <w:rPr>
          <w:rFonts w:ascii="Tahoma" w:hAnsi="Tahoma" w:cs="Tahoma"/>
          <w:color w:val="000000"/>
          <w:spacing w:val="-1"/>
          <w:kern w:val="0"/>
          <w:sz w:val="19"/>
          <w:szCs w:val="19"/>
        </w:rPr>
        <w:t>n</w:t>
      </w:r>
      <w:r w:rsidRPr="000E2301">
        <w:rPr>
          <w:rFonts w:ascii="Tahoma" w:hAnsi="Tahoma" w:cs="Tahoma"/>
          <w:color w:val="000000"/>
          <w:spacing w:val="-2"/>
          <w:kern w:val="0"/>
          <w:sz w:val="19"/>
          <w:szCs w:val="19"/>
        </w:rPr>
        <w:t>e</w:t>
      </w:r>
      <w:r w:rsidRPr="000E2301">
        <w:rPr>
          <w:rFonts w:ascii="Tahoma" w:hAnsi="Tahoma" w:cs="Tahoma"/>
          <w:color w:val="000000"/>
          <w:spacing w:val="-1"/>
          <w:kern w:val="0"/>
          <w:sz w:val="19"/>
          <w:szCs w:val="19"/>
        </w:rPr>
        <w:t>;</w:t>
      </w:r>
      <w:r w:rsidRPr="000E2301">
        <w:rPr>
          <w:rFonts w:ascii="Tahoma" w:hAnsi="Tahoma" w:cs="Tahoma"/>
          <w:color w:val="000000"/>
          <w:spacing w:val="-4"/>
          <w:kern w:val="0"/>
          <w:sz w:val="19"/>
          <w:szCs w:val="19"/>
        </w:rPr>
        <w:t xml:space="preserve"> </w:t>
      </w:r>
      <w:r w:rsidRPr="000E2301">
        <w:rPr>
          <w:rFonts w:ascii="Tahoma" w:hAnsi="Tahoma" w:cs="Tahoma"/>
          <w:color w:val="000000"/>
          <w:spacing w:val="-2"/>
          <w:kern w:val="0"/>
          <w:sz w:val="19"/>
          <w:szCs w:val="19"/>
        </w:rPr>
        <w:t>H</w:t>
      </w:r>
      <w:r w:rsidRPr="000E2301">
        <w:rPr>
          <w:rFonts w:ascii="Tahoma" w:hAnsi="Tahoma" w:cs="Tahoma"/>
          <w:color w:val="000000"/>
          <w:spacing w:val="-1"/>
          <w:kern w:val="0"/>
          <w:sz w:val="19"/>
          <w:szCs w:val="19"/>
        </w:rPr>
        <w:t>ep</w:t>
      </w:r>
      <w:r w:rsidRPr="000E2301">
        <w:rPr>
          <w:rFonts w:ascii="Tahoma" w:hAnsi="Tahoma" w:cs="Tahoma"/>
          <w:color w:val="000000"/>
          <w:spacing w:val="-2"/>
          <w:kern w:val="0"/>
          <w:sz w:val="19"/>
          <w:szCs w:val="19"/>
        </w:rPr>
        <w:t>a</w:t>
      </w:r>
      <w:r w:rsidRPr="000E2301">
        <w:rPr>
          <w:rFonts w:ascii="Tahoma" w:hAnsi="Tahoma" w:cs="Tahoma"/>
          <w:color w:val="000000"/>
          <w:spacing w:val="1"/>
          <w:kern w:val="0"/>
          <w:sz w:val="19"/>
          <w:szCs w:val="19"/>
        </w:rPr>
        <w:t>t</w:t>
      </w:r>
      <w:r w:rsidRPr="000E2301">
        <w:rPr>
          <w:rFonts w:ascii="Tahoma" w:hAnsi="Tahoma" w:cs="Tahoma"/>
          <w:color w:val="000000"/>
          <w:spacing w:val="-1"/>
          <w:kern w:val="0"/>
          <w:sz w:val="19"/>
          <w:szCs w:val="19"/>
        </w:rPr>
        <w:t>i</w:t>
      </w:r>
      <w:r w:rsidRPr="000E2301">
        <w:rPr>
          <w:rFonts w:ascii="Tahoma" w:hAnsi="Tahoma" w:cs="Tahoma"/>
          <w:color w:val="000000"/>
          <w:spacing w:val="1"/>
          <w:kern w:val="0"/>
          <w:sz w:val="19"/>
          <w:szCs w:val="19"/>
        </w:rPr>
        <w:t>ti</w:t>
      </w:r>
      <w:r w:rsidRPr="000E2301">
        <w:rPr>
          <w:rFonts w:ascii="Tahoma" w:hAnsi="Tahoma" w:cs="Tahoma"/>
          <w:color w:val="000000"/>
          <w:spacing w:val="-1"/>
          <w:kern w:val="0"/>
          <w:sz w:val="19"/>
          <w:szCs w:val="19"/>
        </w:rPr>
        <w:t>s</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B</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i</w:t>
      </w:r>
      <w:r w:rsidRPr="000E2301">
        <w:rPr>
          <w:rFonts w:ascii="Tahoma" w:hAnsi="Tahoma" w:cs="Tahoma"/>
          <w:color w:val="000000"/>
          <w:spacing w:val="-2"/>
          <w:kern w:val="0"/>
          <w:sz w:val="19"/>
          <w:szCs w:val="19"/>
        </w:rPr>
        <w:t>n</w:t>
      </w:r>
      <w:r w:rsidRPr="000E2301">
        <w:rPr>
          <w:rFonts w:ascii="Tahoma" w:hAnsi="Tahoma" w:cs="Tahoma"/>
          <w:color w:val="000000"/>
          <w:spacing w:val="1"/>
          <w:kern w:val="0"/>
          <w:sz w:val="19"/>
          <w:szCs w:val="19"/>
        </w:rPr>
        <w:t>f</w:t>
      </w:r>
      <w:r w:rsidRPr="000E2301">
        <w:rPr>
          <w:rFonts w:ascii="Tahoma" w:hAnsi="Tahoma" w:cs="Tahoma"/>
          <w:color w:val="000000"/>
          <w:spacing w:val="-1"/>
          <w:kern w:val="0"/>
          <w:sz w:val="19"/>
          <w:szCs w:val="19"/>
        </w:rPr>
        <w:t>e</w:t>
      </w:r>
      <w:r w:rsidRPr="000E2301">
        <w:rPr>
          <w:rFonts w:ascii="Tahoma" w:hAnsi="Tahoma" w:cs="Tahoma"/>
          <w:color w:val="000000"/>
          <w:spacing w:val="-2"/>
          <w:kern w:val="0"/>
          <w:sz w:val="19"/>
          <w:szCs w:val="19"/>
        </w:rPr>
        <w:t>c</w:t>
      </w:r>
      <w:r w:rsidRPr="000E2301">
        <w:rPr>
          <w:rFonts w:ascii="Tahoma" w:hAnsi="Tahoma" w:cs="Tahoma"/>
          <w:color w:val="000000"/>
          <w:spacing w:val="1"/>
          <w:kern w:val="0"/>
          <w:sz w:val="19"/>
          <w:szCs w:val="19"/>
        </w:rPr>
        <w:t>ti</w:t>
      </w:r>
      <w:r w:rsidRPr="000E2301">
        <w:rPr>
          <w:rFonts w:ascii="Tahoma" w:hAnsi="Tahoma" w:cs="Tahoma"/>
          <w:color w:val="000000"/>
          <w:spacing w:val="-2"/>
          <w:kern w:val="0"/>
          <w:sz w:val="19"/>
          <w:szCs w:val="19"/>
        </w:rPr>
        <w:t>o</w:t>
      </w:r>
      <w:r w:rsidRPr="000E2301">
        <w:rPr>
          <w:rFonts w:ascii="Tahoma" w:hAnsi="Tahoma" w:cs="Tahoma"/>
          <w:color w:val="000000"/>
          <w:spacing w:val="-1"/>
          <w:kern w:val="0"/>
          <w:sz w:val="19"/>
          <w:szCs w:val="19"/>
        </w:rPr>
        <w:t>n;</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Ade</w:t>
      </w:r>
      <w:r w:rsidRPr="000E2301">
        <w:rPr>
          <w:rFonts w:ascii="Tahoma" w:hAnsi="Tahoma" w:cs="Tahoma"/>
          <w:color w:val="000000"/>
          <w:spacing w:val="1"/>
          <w:kern w:val="0"/>
          <w:sz w:val="19"/>
          <w:szCs w:val="19"/>
        </w:rPr>
        <w:t>f</w:t>
      </w:r>
      <w:r w:rsidRPr="000E2301">
        <w:rPr>
          <w:rFonts w:ascii="Tahoma" w:hAnsi="Tahoma" w:cs="Tahoma"/>
          <w:color w:val="000000"/>
          <w:spacing w:val="-1"/>
          <w:kern w:val="0"/>
          <w:sz w:val="19"/>
          <w:szCs w:val="19"/>
        </w:rPr>
        <w:t>o</w:t>
      </w:r>
      <w:r w:rsidRPr="000E2301">
        <w:rPr>
          <w:rFonts w:ascii="Tahoma" w:hAnsi="Tahoma" w:cs="Tahoma"/>
          <w:color w:val="000000"/>
          <w:spacing w:val="-2"/>
          <w:kern w:val="0"/>
          <w:sz w:val="19"/>
          <w:szCs w:val="19"/>
        </w:rPr>
        <w:t>v</w:t>
      </w:r>
      <w:r w:rsidRPr="000E2301">
        <w:rPr>
          <w:rFonts w:ascii="Tahoma" w:hAnsi="Tahoma" w:cs="Tahoma"/>
          <w:color w:val="000000"/>
          <w:spacing w:val="1"/>
          <w:kern w:val="0"/>
          <w:sz w:val="19"/>
          <w:szCs w:val="19"/>
        </w:rPr>
        <w:t>ir</w:t>
      </w:r>
      <w:r w:rsidRPr="000E2301">
        <w:rPr>
          <w:rFonts w:ascii="Tahoma" w:hAnsi="Tahoma" w:cs="Tahoma"/>
          <w:color w:val="000000"/>
          <w:spacing w:val="-1"/>
          <w:kern w:val="0"/>
          <w:sz w:val="19"/>
          <w:szCs w:val="19"/>
        </w:rPr>
        <w:t>;</w:t>
      </w:r>
      <w:r w:rsidRPr="000E2301">
        <w:rPr>
          <w:rFonts w:ascii="Tahoma" w:hAnsi="Tahoma" w:cs="Tahoma"/>
          <w:color w:val="000000"/>
          <w:spacing w:val="42"/>
          <w:kern w:val="0"/>
          <w:sz w:val="19"/>
          <w:szCs w:val="19"/>
        </w:rPr>
        <w:t xml:space="preserve"> </w:t>
      </w:r>
      <w:r w:rsidRPr="000E2301">
        <w:rPr>
          <w:rFonts w:ascii="Tahoma" w:hAnsi="Tahoma" w:cs="Tahoma"/>
          <w:color w:val="000000"/>
          <w:spacing w:val="-1"/>
          <w:kern w:val="0"/>
          <w:sz w:val="19"/>
          <w:szCs w:val="19"/>
        </w:rPr>
        <w:t>En</w:t>
      </w:r>
      <w:r w:rsidRPr="000E2301">
        <w:rPr>
          <w:rFonts w:ascii="Tahoma" w:hAnsi="Tahoma" w:cs="Tahoma"/>
          <w:color w:val="000000"/>
          <w:spacing w:val="-2"/>
          <w:kern w:val="0"/>
          <w:sz w:val="19"/>
          <w:szCs w:val="19"/>
        </w:rPr>
        <w:t>t</w:t>
      </w:r>
      <w:r w:rsidRPr="000E2301">
        <w:rPr>
          <w:rFonts w:ascii="Tahoma" w:hAnsi="Tahoma" w:cs="Tahoma"/>
          <w:color w:val="000000"/>
          <w:spacing w:val="-1"/>
          <w:kern w:val="0"/>
          <w:sz w:val="19"/>
          <w:szCs w:val="19"/>
        </w:rPr>
        <w:t>eca</w:t>
      </w:r>
      <w:r w:rsidRPr="000E2301">
        <w:rPr>
          <w:rFonts w:ascii="Tahoma" w:hAnsi="Tahoma" w:cs="Tahoma"/>
          <w:color w:val="000000"/>
          <w:spacing w:val="-2"/>
          <w:kern w:val="0"/>
          <w:sz w:val="19"/>
          <w:szCs w:val="19"/>
        </w:rPr>
        <w:t>v</w:t>
      </w:r>
      <w:r w:rsidRPr="000E2301">
        <w:rPr>
          <w:rFonts w:ascii="Tahoma" w:hAnsi="Tahoma" w:cs="Tahoma"/>
          <w:color w:val="000000"/>
          <w:spacing w:val="-1"/>
          <w:kern w:val="0"/>
          <w:sz w:val="19"/>
          <w:szCs w:val="19"/>
        </w:rPr>
        <w:t>i</w:t>
      </w:r>
      <w:r w:rsidRPr="000E2301">
        <w:rPr>
          <w:rFonts w:ascii="Tahoma" w:hAnsi="Tahoma" w:cs="Tahoma"/>
          <w:color w:val="000000"/>
          <w:spacing w:val="1"/>
          <w:kern w:val="0"/>
          <w:sz w:val="19"/>
          <w:szCs w:val="19"/>
        </w:rPr>
        <w:t>r</w:t>
      </w:r>
      <w:r w:rsidRPr="000E2301">
        <w:rPr>
          <w:rFonts w:ascii="Tahoma" w:hAnsi="Tahoma" w:cs="Tahoma"/>
          <w:color w:val="000000"/>
          <w:spacing w:val="-1"/>
          <w:kern w:val="0"/>
          <w:sz w:val="19"/>
          <w:szCs w:val="19"/>
        </w:rPr>
        <w:t>;</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Ad</w:t>
      </w:r>
      <w:r w:rsidRPr="000E2301">
        <w:rPr>
          <w:rFonts w:ascii="Tahoma" w:hAnsi="Tahoma" w:cs="Tahoma"/>
          <w:color w:val="000000"/>
          <w:spacing w:val="-2"/>
          <w:kern w:val="0"/>
          <w:sz w:val="19"/>
          <w:szCs w:val="19"/>
        </w:rPr>
        <w:t>v</w:t>
      </w:r>
      <w:r w:rsidRPr="000E2301">
        <w:rPr>
          <w:rFonts w:ascii="Tahoma" w:hAnsi="Tahoma" w:cs="Tahoma"/>
          <w:color w:val="000000"/>
          <w:spacing w:val="-1"/>
          <w:kern w:val="0"/>
          <w:sz w:val="19"/>
          <w:szCs w:val="19"/>
        </w:rPr>
        <w:t>e</w:t>
      </w:r>
      <w:r w:rsidRPr="000E2301">
        <w:rPr>
          <w:rFonts w:ascii="Tahoma" w:hAnsi="Tahoma" w:cs="Tahoma"/>
          <w:color w:val="000000"/>
          <w:spacing w:val="1"/>
          <w:kern w:val="0"/>
          <w:sz w:val="19"/>
          <w:szCs w:val="19"/>
        </w:rPr>
        <w:t>r</w:t>
      </w:r>
      <w:r w:rsidRPr="000E2301">
        <w:rPr>
          <w:rFonts w:ascii="Tahoma" w:hAnsi="Tahoma" w:cs="Tahoma"/>
          <w:color w:val="000000"/>
          <w:spacing w:val="-1"/>
          <w:kern w:val="0"/>
          <w:sz w:val="19"/>
          <w:szCs w:val="19"/>
        </w:rPr>
        <w:t>se</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e</w:t>
      </w:r>
      <w:r w:rsidRPr="000E2301">
        <w:rPr>
          <w:rFonts w:ascii="Tahoma" w:hAnsi="Tahoma" w:cs="Tahoma"/>
          <w:color w:val="000000"/>
          <w:spacing w:val="-2"/>
          <w:kern w:val="0"/>
          <w:sz w:val="19"/>
          <w:szCs w:val="19"/>
        </w:rPr>
        <w:t>f</w:t>
      </w:r>
      <w:r w:rsidRPr="000E2301">
        <w:rPr>
          <w:rFonts w:ascii="Tahoma" w:hAnsi="Tahoma" w:cs="Tahoma"/>
          <w:color w:val="000000"/>
          <w:spacing w:val="1"/>
          <w:kern w:val="0"/>
          <w:sz w:val="19"/>
          <w:szCs w:val="19"/>
        </w:rPr>
        <w:t>f</w:t>
      </w:r>
      <w:r w:rsidRPr="000E2301">
        <w:rPr>
          <w:rFonts w:ascii="Tahoma" w:hAnsi="Tahoma" w:cs="Tahoma"/>
          <w:color w:val="000000"/>
          <w:spacing w:val="-1"/>
          <w:kern w:val="0"/>
          <w:sz w:val="19"/>
          <w:szCs w:val="19"/>
        </w:rPr>
        <w:t>e</w:t>
      </w:r>
      <w:r w:rsidRPr="000E2301">
        <w:rPr>
          <w:rFonts w:ascii="Tahoma" w:hAnsi="Tahoma" w:cs="Tahoma"/>
          <w:color w:val="000000"/>
          <w:spacing w:val="-2"/>
          <w:kern w:val="0"/>
          <w:sz w:val="19"/>
          <w:szCs w:val="19"/>
        </w:rPr>
        <w:t>c</w:t>
      </w:r>
      <w:r w:rsidRPr="000E2301">
        <w:rPr>
          <w:rFonts w:ascii="Tahoma" w:hAnsi="Tahoma" w:cs="Tahoma"/>
          <w:color w:val="000000"/>
          <w:spacing w:val="1"/>
          <w:kern w:val="0"/>
          <w:sz w:val="19"/>
          <w:szCs w:val="19"/>
        </w:rPr>
        <w:t>t</w:t>
      </w:r>
      <w:r w:rsidRPr="000E2301">
        <w:rPr>
          <w:rFonts w:ascii="Tahoma" w:hAnsi="Tahoma" w:cs="Tahoma"/>
          <w:color w:val="000000"/>
          <w:spacing w:val="-2"/>
          <w:kern w:val="0"/>
          <w:sz w:val="19"/>
          <w:szCs w:val="19"/>
        </w:rPr>
        <w:t>s</w:t>
      </w:r>
      <w:r w:rsidRPr="000E2301">
        <w:rPr>
          <w:rFonts w:ascii="Tahoma" w:hAnsi="Tahoma" w:cs="Tahoma"/>
          <w:color w:val="000000"/>
          <w:spacing w:val="-1"/>
          <w:kern w:val="0"/>
          <w:sz w:val="19"/>
          <w:szCs w:val="19"/>
        </w:rPr>
        <w:t>;</w:t>
      </w:r>
      <w:r w:rsidRPr="000E2301">
        <w:rPr>
          <w:rFonts w:ascii="Tahoma" w:hAnsi="Tahoma" w:cs="Tahoma"/>
          <w:color w:val="000000"/>
          <w:spacing w:val="-4"/>
          <w:kern w:val="0"/>
          <w:sz w:val="19"/>
          <w:szCs w:val="19"/>
        </w:rPr>
        <w:t xml:space="preserve"> </w:t>
      </w:r>
      <w:r w:rsidRPr="000E2301">
        <w:rPr>
          <w:rFonts w:ascii="Tahoma" w:hAnsi="Tahoma" w:cs="Tahoma"/>
          <w:color w:val="000000"/>
          <w:spacing w:val="2"/>
          <w:kern w:val="0"/>
          <w:sz w:val="19"/>
          <w:szCs w:val="19"/>
        </w:rPr>
        <w:t>T</w:t>
      </w:r>
      <w:r w:rsidRPr="000E2301">
        <w:rPr>
          <w:rFonts w:ascii="Tahoma" w:hAnsi="Tahoma" w:cs="Tahoma"/>
          <w:color w:val="000000"/>
          <w:spacing w:val="-1"/>
          <w:kern w:val="0"/>
          <w:sz w:val="19"/>
          <w:szCs w:val="19"/>
        </w:rPr>
        <w:t>e</w:t>
      </w:r>
      <w:r w:rsidRPr="000E2301">
        <w:rPr>
          <w:rFonts w:ascii="Tahoma" w:hAnsi="Tahoma" w:cs="Tahoma"/>
          <w:color w:val="000000"/>
          <w:spacing w:val="-2"/>
          <w:kern w:val="0"/>
          <w:sz w:val="19"/>
          <w:szCs w:val="19"/>
        </w:rPr>
        <w:t>n</w:t>
      </w:r>
      <w:r w:rsidRPr="000E2301">
        <w:rPr>
          <w:rFonts w:ascii="Tahoma" w:hAnsi="Tahoma" w:cs="Tahoma"/>
          <w:color w:val="000000"/>
          <w:spacing w:val="-1"/>
          <w:kern w:val="0"/>
          <w:sz w:val="19"/>
          <w:szCs w:val="19"/>
        </w:rPr>
        <w:t>o</w:t>
      </w:r>
      <w:r w:rsidRPr="000E2301">
        <w:rPr>
          <w:rFonts w:ascii="Tahoma" w:hAnsi="Tahoma" w:cs="Tahoma"/>
          <w:color w:val="000000"/>
          <w:spacing w:val="1"/>
          <w:kern w:val="0"/>
          <w:sz w:val="19"/>
          <w:szCs w:val="19"/>
        </w:rPr>
        <w:t>f</w:t>
      </w:r>
      <w:r w:rsidRPr="000E2301">
        <w:rPr>
          <w:rFonts w:ascii="Tahoma" w:hAnsi="Tahoma" w:cs="Tahoma"/>
          <w:color w:val="000000"/>
          <w:spacing w:val="-1"/>
          <w:kern w:val="0"/>
          <w:sz w:val="19"/>
          <w:szCs w:val="19"/>
        </w:rPr>
        <w:t>o</w:t>
      </w:r>
      <w:r w:rsidRPr="000E2301">
        <w:rPr>
          <w:rFonts w:ascii="Tahoma" w:hAnsi="Tahoma" w:cs="Tahoma"/>
          <w:color w:val="000000"/>
          <w:spacing w:val="-2"/>
          <w:kern w:val="0"/>
          <w:sz w:val="19"/>
          <w:szCs w:val="19"/>
        </w:rPr>
        <w:t>v</w:t>
      </w:r>
      <w:r w:rsidRPr="000E2301">
        <w:rPr>
          <w:rFonts w:ascii="Tahoma" w:hAnsi="Tahoma" w:cs="Tahoma"/>
          <w:color w:val="000000"/>
          <w:spacing w:val="1"/>
          <w:kern w:val="0"/>
          <w:sz w:val="19"/>
          <w:szCs w:val="19"/>
        </w:rPr>
        <w:t>i</w:t>
      </w:r>
      <w:r w:rsidRPr="000E2301">
        <w:rPr>
          <w:rFonts w:ascii="Tahoma" w:hAnsi="Tahoma" w:cs="Tahoma"/>
          <w:color w:val="000000"/>
          <w:spacing w:val="-2"/>
          <w:kern w:val="0"/>
          <w:sz w:val="19"/>
          <w:szCs w:val="19"/>
        </w:rPr>
        <w:t>r</w:t>
      </w:r>
      <w:r w:rsidRPr="000E2301">
        <w:rPr>
          <w:rFonts w:ascii="Tahoma" w:hAnsi="Tahoma" w:cs="Tahoma"/>
          <w:color w:val="000000"/>
          <w:spacing w:val="-1"/>
          <w:kern w:val="0"/>
          <w:sz w:val="19"/>
          <w:szCs w:val="19"/>
        </w:rPr>
        <w:t>;</w:t>
      </w:r>
      <w:r w:rsidRPr="000E2301">
        <w:rPr>
          <w:rFonts w:ascii="Tahoma" w:hAnsi="Tahoma" w:cs="Tahoma"/>
          <w:color w:val="000000"/>
          <w:spacing w:val="-4"/>
          <w:kern w:val="0"/>
          <w:sz w:val="19"/>
          <w:szCs w:val="19"/>
        </w:rPr>
        <w:t xml:space="preserve"> </w:t>
      </w:r>
      <w:r w:rsidRPr="000E2301">
        <w:rPr>
          <w:rFonts w:ascii="Tahoma" w:hAnsi="Tahoma" w:cs="Tahoma"/>
          <w:color w:val="000000"/>
          <w:spacing w:val="-2"/>
          <w:kern w:val="0"/>
          <w:sz w:val="19"/>
          <w:szCs w:val="19"/>
        </w:rPr>
        <w:t>H</w:t>
      </w:r>
      <w:r w:rsidRPr="000E2301">
        <w:rPr>
          <w:rFonts w:ascii="Tahoma" w:hAnsi="Tahoma" w:cs="Tahoma"/>
          <w:color w:val="000000"/>
          <w:spacing w:val="-1"/>
          <w:kern w:val="0"/>
          <w:sz w:val="19"/>
          <w:szCs w:val="19"/>
        </w:rPr>
        <w:t>ep</w:t>
      </w:r>
      <w:r w:rsidRPr="000E2301">
        <w:rPr>
          <w:rFonts w:ascii="Tahoma" w:hAnsi="Tahoma" w:cs="Tahoma"/>
          <w:color w:val="000000"/>
          <w:spacing w:val="-2"/>
          <w:kern w:val="0"/>
          <w:sz w:val="19"/>
          <w:szCs w:val="19"/>
        </w:rPr>
        <w:t>a</w:t>
      </w:r>
      <w:r w:rsidRPr="000E2301">
        <w:rPr>
          <w:rFonts w:ascii="Tahoma" w:hAnsi="Tahoma" w:cs="Tahoma"/>
          <w:color w:val="000000"/>
          <w:spacing w:val="1"/>
          <w:kern w:val="0"/>
          <w:sz w:val="19"/>
          <w:szCs w:val="19"/>
        </w:rPr>
        <w:t>t</w:t>
      </w:r>
      <w:r w:rsidRPr="000E2301">
        <w:rPr>
          <w:rFonts w:ascii="Tahoma" w:hAnsi="Tahoma" w:cs="Tahoma"/>
          <w:color w:val="000000"/>
          <w:spacing w:val="-1"/>
          <w:kern w:val="0"/>
          <w:sz w:val="19"/>
          <w:szCs w:val="19"/>
        </w:rPr>
        <w:t>i</w:t>
      </w:r>
      <w:r w:rsidRPr="000E2301">
        <w:rPr>
          <w:rFonts w:ascii="Tahoma" w:hAnsi="Tahoma" w:cs="Tahoma"/>
          <w:color w:val="000000"/>
          <w:spacing w:val="1"/>
          <w:kern w:val="0"/>
          <w:sz w:val="19"/>
          <w:szCs w:val="19"/>
        </w:rPr>
        <w:t>ti</w:t>
      </w:r>
      <w:r w:rsidRPr="000E2301">
        <w:rPr>
          <w:rFonts w:ascii="Tahoma" w:hAnsi="Tahoma" w:cs="Tahoma"/>
          <w:color w:val="000000"/>
          <w:spacing w:val="-1"/>
          <w:kern w:val="0"/>
          <w:sz w:val="19"/>
          <w:szCs w:val="19"/>
        </w:rPr>
        <w:t>s</w:t>
      </w:r>
      <w:r w:rsidRPr="000E2301">
        <w:rPr>
          <w:rFonts w:ascii="Tahoma" w:hAnsi="Tahoma" w:cs="Tahoma"/>
          <w:color w:val="000000"/>
          <w:spacing w:val="-4"/>
          <w:kern w:val="0"/>
          <w:sz w:val="19"/>
          <w:szCs w:val="19"/>
        </w:rPr>
        <w:t xml:space="preserve"> </w:t>
      </w:r>
      <w:r w:rsidRPr="000E2301">
        <w:rPr>
          <w:rFonts w:ascii="Tahoma" w:hAnsi="Tahoma" w:cs="Tahoma"/>
          <w:color w:val="000000"/>
          <w:spacing w:val="-1"/>
          <w:kern w:val="0"/>
          <w:sz w:val="19"/>
          <w:szCs w:val="19"/>
        </w:rPr>
        <w:t>B</w:t>
      </w:r>
      <w:r w:rsidRPr="000E2301">
        <w:rPr>
          <w:rFonts w:ascii="Tahoma" w:hAnsi="Tahoma" w:cs="Tahoma"/>
          <w:color w:val="000000"/>
          <w:spacing w:val="-4"/>
          <w:kern w:val="0"/>
          <w:sz w:val="19"/>
          <w:szCs w:val="19"/>
        </w:rPr>
        <w:t xml:space="preserve"> </w:t>
      </w:r>
      <w:r w:rsidRPr="000E2301">
        <w:rPr>
          <w:rFonts w:ascii="Tahoma" w:hAnsi="Tahoma" w:cs="Tahoma"/>
          <w:color w:val="000000"/>
          <w:spacing w:val="-2"/>
          <w:kern w:val="0"/>
          <w:sz w:val="19"/>
          <w:szCs w:val="19"/>
        </w:rPr>
        <w:t>v</w:t>
      </w:r>
      <w:r w:rsidRPr="000E2301">
        <w:rPr>
          <w:rFonts w:ascii="Tahoma" w:hAnsi="Tahoma" w:cs="Tahoma"/>
          <w:color w:val="000000"/>
          <w:spacing w:val="1"/>
          <w:kern w:val="0"/>
          <w:sz w:val="19"/>
          <w:szCs w:val="19"/>
        </w:rPr>
        <w:t>ir</w:t>
      </w:r>
      <w:r w:rsidRPr="000E2301">
        <w:rPr>
          <w:rFonts w:ascii="Tahoma" w:hAnsi="Tahoma" w:cs="Tahoma"/>
          <w:color w:val="000000"/>
          <w:spacing w:val="-1"/>
          <w:kern w:val="0"/>
          <w:sz w:val="19"/>
          <w:szCs w:val="19"/>
        </w:rPr>
        <w:t>us</w:t>
      </w:r>
    </w:p>
    <w:p w:rsidR="00E6642F" w:rsidRPr="000E2301" w:rsidRDefault="00E6642F" w:rsidP="00E6642F">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E6642F" w:rsidRPr="000215B9" w:rsidRDefault="00E6642F" w:rsidP="00E6642F">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0215B9">
        <w:rPr>
          <w:rFonts w:ascii="Tahoma" w:hAnsi="Tahoma" w:cs="Tahoma"/>
          <w:b/>
          <w:bCs/>
          <w:color w:val="000000"/>
          <w:spacing w:val="-1"/>
          <w:kern w:val="0"/>
          <w:sz w:val="17"/>
          <w:szCs w:val="17"/>
        </w:rPr>
        <w:t>© The Author(s) 2017.</w:t>
      </w:r>
      <w:proofErr w:type="gramEnd"/>
      <w:r w:rsidRPr="000215B9">
        <w:rPr>
          <w:rFonts w:ascii="Tahoma" w:hAnsi="Tahoma" w:cs="Tahoma"/>
          <w:color w:val="000000"/>
          <w:spacing w:val="-1"/>
          <w:kern w:val="0"/>
          <w:sz w:val="17"/>
          <w:szCs w:val="17"/>
        </w:rPr>
        <w:t xml:space="preserve"> </w:t>
      </w:r>
      <w:proofErr w:type="gramStart"/>
      <w:r w:rsidRPr="000215B9">
        <w:rPr>
          <w:rFonts w:ascii="Tahoma" w:hAnsi="Tahoma" w:cs="Tahoma"/>
          <w:color w:val="000000"/>
          <w:spacing w:val="-1"/>
          <w:kern w:val="0"/>
          <w:sz w:val="17"/>
          <w:szCs w:val="17"/>
        </w:rPr>
        <w:t>Published by Baishideng Publishing Group Inc.</w:t>
      </w:r>
      <w:proofErr w:type="gramEnd"/>
      <w:r w:rsidRPr="000215B9">
        <w:rPr>
          <w:rFonts w:ascii="Tahoma" w:hAnsi="Tahoma" w:cs="Tahoma"/>
          <w:color w:val="000000"/>
          <w:spacing w:val="-1"/>
          <w:kern w:val="0"/>
          <w:sz w:val="17"/>
          <w:szCs w:val="17"/>
        </w:rPr>
        <w:t xml:space="preserve"> All rights reserved.</w:t>
      </w:r>
    </w:p>
    <w:p w:rsidR="00E6642F" w:rsidRDefault="00E6642F" w:rsidP="00E6642F">
      <w:pPr>
        <w:suppressAutoHyphens/>
        <w:autoSpaceDE w:val="0"/>
        <w:autoSpaceDN w:val="0"/>
        <w:adjustRightInd w:val="0"/>
        <w:spacing w:line="230" w:lineRule="atLeast"/>
        <w:textAlignment w:val="center"/>
        <w:rPr>
          <w:color w:val="000000"/>
          <w:spacing w:val="1"/>
          <w:kern w:val="0"/>
          <w:sz w:val="18"/>
          <w:szCs w:val="18"/>
        </w:rPr>
      </w:pPr>
    </w:p>
    <w:p w:rsidR="00E6642F" w:rsidRPr="000E2301" w:rsidRDefault="00E6642F" w:rsidP="00E6642F">
      <w:pPr>
        <w:suppressAutoHyphens/>
        <w:autoSpaceDE w:val="0"/>
        <w:autoSpaceDN w:val="0"/>
        <w:adjustRightInd w:val="0"/>
        <w:spacing w:line="230" w:lineRule="atLeast"/>
        <w:textAlignment w:val="center"/>
        <w:rPr>
          <w:b/>
          <w:bCs/>
          <w:color w:val="000000"/>
          <w:spacing w:val="-2"/>
          <w:kern w:val="0"/>
          <w:sz w:val="18"/>
          <w:szCs w:val="18"/>
        </w:rPr>
      </w:pPr>
      <w:r w:rsidRPr="000E2301">
        <w:rPr>
          <w:color w:val="000000"/>
          <w:spacing w:val="1"/>
          <w:kern w:val="0"/>
          <w:sz w:val="18"/>
          <w:szCs w:val="18"/>
        </w:rPr>
        <w:t>K</w:t>
      </w:r>
      <w:r w:rsidRPr="000E2301">
        <w:rPr>
          <w:color w:val="000000"/>
          <w:spacing w:val="-2"/>
          <w:kern w:val="0"/>
          <w:sz w:val="18"/>
          <w:szCs w:val="18"/>
        </w:rPr>
        <w:t>a</w:t>
      </w:r>
      <w:r w:rsidRPr="000E2301">
        <w:rPr>
          <w:color w:val="000000"/>
          <w:spacing w:val="-1"/>
          <w:kern w:val="0"/>
          <w:sz w:val="18"/>
          <w:szCs w:val="18"/>
        </w:rPr>
        <w:t>y</w:t>
      </w:r>
      <w:r w:rsidRPr="000E2301">
        <w:rPr>
          <w:color w:val="000000"/>
          <w:spacing w:val="-2"/>
          <w:kern w:val="0"/>
          <w:sz w:val="18"/>
          <w:szCs w:val="18"/>
        </w:rPr>
        <w:t>aa</w:t>
      </w:r>
      <w:r w:rsidRPr="000E2301">
        <w:rPr>
          <w:color w:val="000000"/>
          <w:spacing w:val="-1"/>
          <w:kern w:val="0"/>
          <w:sz w:val="18"/>
          <w:szCs w:val="18"/>
        </w:rPr>
        <w:t>s</w:t>
      </w:r>
      <w:r w:rsidRPr="000E2301">
        <w:rPr>
          <w:color w:val="000000"/>
          <w:spacing w:val="1"/>
          <w:kern w:val="0"/>
          <w:sz w:val="18"/>
          <w:szCs w:val="18"/>
        </w:rPr>
        <w:t>l</w:t>
      </w:r>
      <w:r w:rsidRPr="000E2301">
        <w:rPr>
          <w:color w:val="000000"/>
          <w:spacing w:val="-2"/>
          <w:kern w:val="0"/>
          <w:sz w:val="18"/>
          <w:szCs w:val="18"/>
        </w:rPr>
        <w:t xml:space="preserve">an B, </w:t>
      </w:r>
      <w:r w:rsidRPr="000E2301">
        <w:rPr>
          <w:color w:val="000000"/>
          <w:spacing w:val="-1"/>
          <w:kern w:val="0"/>
          <w:sz w:val="18"/>
          <w:szCs w:val="18"/>
        </w:rPr>
        <w:t>G</w:t>
      </w:r>
      <w:r w:rsidRPr="000E2301">
        <w:rPr>
          <w:color w:val="000000"/>
          <w:spacing w:val="-2"/>
          <w:kern w:val="0"/>
          <w:sz w:val="18"/>
          <w:szCs w:val="18"/>
        </w:rPr>
        <w:t>u</w:t>
      </w:r>
      <w:r w:rsidRPr="000E2301">
        <w:rPr>
          <w:color w:val="000000"/>
          <w:spacing w:val="-1"/>
          <w:kern w:val="0"/>
          <w:sz w:val="18"/>
          <w:szCs w:val="18"/>
        </w:rPr>
        <w:t>n</w:t>
      </w:r>
      <w:r w:rsidRPr="000E2301">
        <w:rPr>
          <w:color w:val="000000"/>
          <w:spacing w:val="-2"/>
          <w:kern w:val="0"/>
          <w:sz w:val="18"/>
          <w:szCs w:val="18"/>
        </w:rPr>
        <w:t>er</w:t>
      </w:r>
      <w:r w:rsidRPr="000E2301">
        <w:rPr>
          <w:color w:val="000000"/>
          <w:spacing w:val="1"/>
          <w:kern w:val="0"/>
          <w:sz w:val="18"/>
          <w:szCs w:val="18"/>
        </w:rPr>
        <w:t xml:space="preserve"> </w:t>
      </w:r>
      <w:r w:rsidRPr="000E2301">
        <w:rPr>
          <w:color w:val="000000"/>
          <w:spacing w:val="-1"/>
          <w:kern w:val="0"/>
          <w:sz w:val="18"/>
          <w:szCs w:val="18"/>
        </w:rPr>
        <w:t>R</w:t>
      </w:r>
      <w:r w:rsidRPr="000E2301">
        <w:rPr>
          <w:color w:val="000000"/>
          <w:spacing w:val="-2"/>
          <w:kern w:val="0"/>
          <w:sz w:val="18"/>
          <w:szCs w:val="18"/>
        </w:rPr>
        <w:t>.</w:t>
      </w:r>
      <w:r w:rsidRPr="000E2301">
        <w:rPr>
          <w:color w:val="000000"/>
          <w:spacing w:val="-1"/>
          <w:kern w:val="0"/>
          <w:sz w:val="18"/>
          <w:szCs w:val="18"/>
        </w:rPr>
        <w:t xml:space="preserve"> A</w:t>
      </w:r>
      <w:r w:rsidRPr="000E2301">
        <w:rPr>
          <w:color w:val="000000"/>
          <w:spacing w:val="-2"/>
          <w:kern w:val="0"/>
          <w:sz w:val="18"/>
          <w:szCs w:val="18"/>
        </w:rPr>
        <w:t>dver</w:t>
      </w:r>
      <w:r w:rsidRPr="000E2301">
        <w:rPr>
          <w:color w:val="000000"/>
          <w:spacing w:val="1"/>
          <w:kern w:val="0"/>
          <w:sz w:val="18"/>
          <w:szCs w:val="18"/>
        </w:rPr>
        <w:t>s</w:t>
      </w:r>
      <w:r w:rsidRPr="000E2301">
        <w:rPr>
          <w:color w:val="000000"/>
          <w:spacing w:val="-2"/>
          <w:kern w:val="0"/>
          <w:sz w:val="18"/>
          <w:szCs w:val="18"/>
        </w:rPr>
        <w:t>e e</w:t>
      </w:r>
      <w:r w:rsidRPr="000E2301">
        <w:rPr>
          <w:color w:val="000000"/>
          <w:spacing w:val="1"/>
          <w:kern w:val="0"/>
          <w:sz w:val="18"/>
          <w:szCs w:val="18"/>
        </w:rPr>
        <w:t>ff</w:t>
      </w:r>
      <w:r w:rsidRPr="000E2301">
        <w:rPr>
          <w:color w:val="000000"/>
          <w:spacing w:val="-1"/>
          <w:kern w:val="0"/>
          <w:sz w:val="18"/>
          <w:szCs w:val="18"/>
        </w:rPr>
        <w:t>e</w:t>
      </w:r>
      <w:r w:rsidRPr="000E2301">
        <w:rPr>
          <w:color w:val="000000"/>
          <w:spacing w:val="-2"/>
          <w:kern w:val="0"/>
          <w:sz w:val="18"/>
          <w:szCs w:val="18"/>
        </w:rPr>
        <w:t>c</w:t>
      </w:r>
      <w:r w:rsidRPr="000E2301">
        <w:rPr>
          <w:color w:val="000000"/>
          <w:spacing w:val="-1"/>
          <w:kern w:val="0"/>
          <w:sz w:val="18"/>
          <w:szCs w:val="18"/>
        </w:rPr>
        <w:t>t</w:t>
      </w:r>
      <w:r w:rsidRPr="000E2301">
        <w:rPr>
          <w:color w:val="000000"/>
          <w:spacing w:val="-2"/>
          <w:kern w:val="0"/>
          <w:sz w:val="18"/>
          <w:szCs w:val="18"/>
        </w:rPr>
        <w:t xml:space="preserve">s </w:t>
      </w:r>
      <w:r w:rsidRPr="000E2301">
        <w:rPr>
          <w:color w:val="000000"/>
          <w:spacing w:val="-1"/>
          <w:kern w:val="0"/>
          <w:sz w:val="18"/>
          <w:szCs w:val="18"/>
        </w:rPr>
        <w:t>o</w:t>
      </w:r>
      <w:r w:rsidRPr="000E2301">
        <w:rPr>
          <w:color w:val="000000"/>
          <w:spacing w:val="-2"/>
          <w:kern w:val="0"/>
          <w:sz w:val="18"/>
          <w:szCs w:val="18"/>
        </w:rPr>
        <w:t>f</w:t>
      </w:r>
      <w:r w:rsidRPr="000E2301">
        <w:rPr>
          <w:color w:val="000000"/>
          <w:spacing w:val="1"/>
          <w:kern w:val="0"/>
          <w:sz w:val="18"/>
          <w:szCs w:val="18"/>
        </w:rPr>
        <w:t xml:space="preserve"> o</w:t>
      </w:r>
      <w:r w:rsidRPr="000E2301">
        <w:rPr>
          <w:color w:val="000000"/>
          <w:spacing w:val="-2"/>
          <w:kern w:val="0"/>
          <w:sz w:val="18"/>
          <w:szCs w:val="18"/>
        </w:rPr>
        <w:t>r</w:t>
      </w:r>
      <w:r w:rsidRPr="000E2301">
        <w:rPr>
          <w:color w:val="000000"/>
          <w:spacing w:val="-1"/>
          <w:kern w:val="0"/>
          <w:sz w:val="18"/>
          <w:szCs w:val="18"/>
        </w:rPr>
        <w:t>a</w:t>
      </w:r>
      <w:r w:rsidRPr="000E2301">
        <w:rPr>
          <w:color w:val="000000"/>
          <w:spacing w:val="-2"/>
          <w:kern w:val="0"/>
          <w:sz w:val="18"/>
          <w:szCs w:val="18"/>
        </w:rPr>
        <w:t>l</w:t>
      </w:r>
      <w:r w:rsidRPr="000E2301">
        <w:rPr>
          <w:color w:val="000000"/>
          <w:spacing w:val="1"/>
          <w:kern w:val="0"/>
          <w:sz w:val="18"/>
          <w:szCs w:val="18"/>
        </w:rPr>
        <w:t xml:space="preserve"> </w:t>
      </w:r>
      <w:r w:rsidRPr="000E2301">
        <w:rPr>
          <w:color w:val="000000"/>
          <w:spacing w:val="-2"/>
          <w:kern w:val="0"/>
          <w:sz w:val="18"/>
          <w:szCs w:val="18"/>
        </w:rPr>
        <w:t>ant</w:t>
      </w:r>
      <w:r w:rsidRPr="000E2301">
        <w:rPr>
          <w:color w:val="000000"/>
          <w:spacing w:val="1"/>
          <w:kern w:val="0"/>
          <w:sz w:val="18"/>
          <w:szCs w:val="18"/>
        </w:rPr>
        <w:t>i</w:t>
      </w:r>
      <w:r w:rsidRPr="000E2301">
        <w:rPr>
          <w:color w:val="000000"/>
          <w:spacing w:val="-1"/>
          <w:kern w:val="0"/>
          <w:sz w:val="18"/>
          <w:szCs w:val="18"/>
        </w:rPr>
        <w:t>v</w:t>
      </w:r>
      <w:r w:rsidRPr="000E2301">
        <w:rPr>
          <w:color w:val="000000"/>
          <w:spacing w:val="1"/>
          <w:kern w:val="0"/>
          <w:sz w:val="18"/>
          <w:szCs w:val="18"/>
        </w:rPr>
        <w:t>i</w:t>
      </w:r>
      <w:r w:rsidRPr="000E2301">
        <w:rPr>
          <w:color w:val="000000"/>
          <w:spacing w:val="-2"/>
          <w:kern w:val="0"/>
          <w:sz w:val="18"/>
          <w:szCs w:val="18"/>
        </w:rPr>
        <w:t>r</w:t>
      </w:r>
      <w:r w:rsidRPr="000E2301">
        <w:rPr>
          <w:color w:val="000000"/>
          <w:spacing w:val="-1"/>
          <w:kern w:val="0"/>
          <w:sz w:val="18"/>
          <w:szCs w:val="18"/>
        </w:rPr>
        <w:t>a</w:t>
      </w:r>
      <w:r w:rsidRPr="000E2301">
        <w:rPr>
          <w:color w:val="000000"/>
          <w:spacing w:val="-2"/>
          <w:kern w:val="0"/>
          <w:sz w:val="18"/>
          <w:szCs w:val="18"/>
        </w:rPr>
        <w:t>l</w:t>
      </w:r>
      <w:r w:rsidRPr="000E2301">
        <w:rPr>
          <w:color w:val="000000"/>
          <w:spacing w:val="1"/>
          <w:kern w:val="0"/>
          <w:sz w:val="18"/>
          <w:szCs w:val="18"/>
        </w:rPr>
        <w:t xml:space="preserve"> </w:t>
      </w:r>
      <w:r w:rsidRPr="000E2301">
        <w:rPr>
          <w:color w:val="000000"/>
          <w:spacing w:val="-1"/>
          <w:kern w:val="0"/>
          <w:sz w:val="18"/>
          <w:szCs w:val="18"/>
        </w:rPr>
        <w:t>t</w:t>
      </w:r>
      <w:r w:rsidRPr="000E2301">
        <w:rPr>
          <w:color w:val="000000"/>
          <w:spacing w:val="-2"/>
          <w:kern w:val="0"/>
          <w:sz w:val="18"/>
          <w:szCs w:val="18"/>
        </w:rPr>
        <w:t>hera</w:t>
      </w:r>
      <w:r w:rsidRPr="000E2301">
        <w:rPr>
          <w:color w:val="000000"/>
          <w:spacing w:val="-1"/>
          <w:kern w:val="0"/>
          <w:sz w:val="18"/>
          <w:szCs w:val="18"/>
        </w:rPr>
        <w:t>p</w:t>
      </w:r>
      <w:r w:rsidRPr="000E2301">
        <w:rPr>
          <w:color w:val="000000"/>
          <w:spacing w:val="-2"/>
          <w:kern w:val="0"/>
          <w:sz w:val="18"/>
          <w:szCs w:val="18"/>
        </w:rPr>
        <w:t xml:space="preserve">y </w:t>
      </w:r>
      <w:r w:rsidRPr="000E2301">
        <w:rPr>
          <w:color w:val="000000"/>
          <w:spacing w:val="1"/>
          <w:kern w:val="0"/>
          <w:sz w:val="18"/>
          <w:szCs w:val="18"/>
        </w:rPr>
        <w:t>i</w:t>
      </w:r>
      <w:r w:rsidRPr="000E2301">
        <w:rPr>
          <w:color w:val="000000"/>
          <w:spacing w:val="-2"/>
          <w:kern w:val="0"/>
          <w:sz w:val="18"/>
          <w:szCs w:val="18"/>
        </w:rPr>
        <w:t xml:space="preserve">n </w:t>
      </w:r>
      <w:r w:rsidRPr="000E2301">
        <w:rPr>
          <w:color w:val="000000"/>
          <w:spacing w:val="-1"/>
          <w:kern w:val="0"/>
          <w:sz w:val="18"/>
          <w:szCs w:val="18"/>
        </w:rPr>
        <w:t>c</w:t>
      </w:r>
      <w:r w:rsidRPr="000E2301">
        <w:rPr>
          <w:color w:val="000000"/>
          <w:spacing w:val="-2"/>
          <w:kern w:val="0"/>
          <w:sz w:val="18"/>
          <w:szCs w:val="18"/>
        </w:rPr>
        <w:t>h</w:t>
      </w:r>
      <w:r w:rsidRPr="000E2301">
        <w:rPr>
          <w:color w:val="000000"/>
          <w:spacing w:val="-1"/>
          <w:kern w:val="0"/>
          <w:sz w:val="18"/>
          <w:szCs w:val="18"/>
        </w:rPr>
        <w:t>ro</w:t>
      </w:r>
      <w:r w:rsidRPr="000E2301">
        <w:rPr>
          <w:color w:val="000000"/>
          <w:spacing w:val="-2"/>
          <w:kern w:val="0"/>
          <w:sz w:val="18"/>
          <w:szCs w:val="18"/>
        </w:rPr>
        <w:t>nic</w:t>
      </w:r>
      <w:r w:rsidRPr="000E2301">
        <w:rPr>
          <w:color w:val="000000"/>
          <w:spacing w:val="-1"/>
          <w:kern w:val="0"/>
          <w:sz w:val="18"/>
          <w:szCs w:val="18"/>
        </w:rPr>
        <w:t xml:space="preserve"> </w:t>
      </w:r>
      <w:r w:rsidRPr="000E2301">
        <w:rPr>
          <w:color w:val="000000"/>
          <w:spacing w:val="1"/>
          <w:kern w:val="0"/>
          <w:sz w:val="18"/>
          <w:szCs w:val="18"/>
        </w:rPr>
        <w:t>h</w:t>
      </w:r>
      <w:r w:rsidRPr="000E2301">
        <w:rPr>
          <w:color w:val="000000"/>
          <w:spacing w:val="-2"/>
          <w:kern w:val="0"/>
          <w:sz w:val="18"/>
          <w:szCs w:val="18"/>
        </w:rPr>
        <w:t>ep</w:t>
      </w:r>
      <w:r w:rsidRPr="000E2301">
        <w:rPr>
          <w:color w:val="000000"/>
          <w:spacing w:val="-1"/>
          <w:kern w:val="0"/>
          <w:sz w:val="18"/>
          <w:szCs w:val="18"/>
        </w:rPr>
        <w:t>a</w:t>
      </w:r>
      <w:r w:rsidRPr="000E2301">
        <w:rPr>
          <w:color w:val="000000"/>
          <w:spacing w:val="1"/>
          <w:kern w:val="0"/>
          <w:sz w:val="18"/>
          <w:szCs w:val="18"/>
        </w:rPr>
        <w:t>t</w:t>
      </w:r>
      <w:r w:rsidRPr="000E2301">
        <w:rPr>
          <w:color w:val="000000"/>
          <w:spacing w:val="-1"/>
          <w:kern w:val="0"/>
          <w:sz w:val="18"/>
          <w:szCs w:val="18"/>
        </w:rPr>
        <w:t>i</w:t>
      </w:r>
      <w:r w:rsidRPr="000E2301">
        <w:rPr>
          <w:color w:val="000000"/>
          <w:spacing w:val="1"/>
          <w:kern w:val="0"/>
          <w:sz w:val="18"/>
          <w:szCs w:val="18"/>
        </w:rPr>
        <w:t>ti</w:t>
      </w:r>
      <w:r w:rsidRPr="000E2301">
        <w:rPr>
          <w:color w:val="000000"/>
          <w:spacing w:val="-2"/>
          <w:kern w:val="0"/>
          <w:sz w:val="18"/>
          <w:szCs w:val="18"/>
        </w:rPr>
        <w:t>s</w:t>
      </w:r>
      <w:r w:rsidRPr="000E2301">
        <w:rPr>
          <w:color w:val="000000"/>
          <w:spacing w:val="-1"/>
          <w:kern w:val="0"/>
          <w:sz w:val="18"/>
          <w:szCs w:val="18"/>
        </w:rPr>
        <w:t xml:space="preserve"> </w:t>
      </w:r>
      <w:r w:rsidRPr="000E2301">
        <w:rPr>
          <w:color w:val="000000"/>
          <w:spacing w:val="-2"/>
          <w:kern w:val="0"/>
          <w:sz w:val="18"/>
          <w:szCs w:val="18"/>
        </w:rPr>
        <w:t xml:space="preserve">B. </w:t>
      </w:r>
      <w:r w:rsidRPr="000E2301">
        <w:rPr>
          <w:i/>
          <w:iCs/>
          <w:color w:val="000000"/>
          <w:spacing w:val="-2"/>
          <w:kern w:val="0"/>
          <w:sz w:val="18"/>
          <w:szCs w:val="18"/>
        </w:rPr>
        <w:t>World J Hepatol</w:t>
      </w:r>
      <w:r w:rsidRPr="000E2301">
        <w:rPr>
          <w:color w:val="000000"/>
          <w:spacing w:val="-2"/>
          <w:kern w:val="0"/>
          <w:sz w:val="18"/>
          <w:szCs w:val="18"/>
        </w:rPr>
        <w:t xml:space="preserve"> 2017; 9(5): 227-</w:t>
      </w:r>
      <w:proofErr w:type="gramStart"/>
      <w:r w:rsidRPr="000E2301">
        <w:rPr>
          <w:color w:val="000000"/>
          <w:spacing w:val="-2"/>
          <w:kern w:val="0"/>
          <w:sz w:val="18"/>
          <w:szCs w:val="18"/>
        </w:rPr>
        <w:t>241  Available</w:t>
      </w:r>
      <w:proofErr w:type="gramEnd"/>
      <w:r w:rsidRPr="000E2301">
        <w:rPr>
          <w:color w:val="000000"/>
          <w:spacing w:val="-2"/>
          <w:kern w:val="0"/>
          <w:sz w:val="18"/>
          <w:szCs w:val="18"/>
        </w:rPr>
        <w:t xml:space="preserve"> from: URL: http://www.wjgnet.com/1948-5182/full/v9/i5/227.htm  DOI: http://dx.doi.org/10.4254/wjh.v9.i5.227</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6642F" w:rsidRPr="000E2301" w:rsidRDefault="00E6642F" w:rsidP="00E6642F">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0E2301">
        <w:rPr>
          <w:b/>
          <w:bCs/>
          <w:color w:val="000000"/>
          <w:spacing w:val="-3"/>
          <w:kern w:val="0"/>
          <w:sz w:val="19"/>
          <w:szCs w:val="19"/>
        </w:rPr>
        <w:t>Core tip:</w:t>
      </w:r>
      <w:r w:rsidRPr="000E2301">
        <w:rPr>
          <w:rFonts w:ascii="Tahoma" w:hAnsi="Tahoma" w:cs="Tahoma"/>
          <w:b/>
          <w:bCs/>
          <w:color w:val="000000"/>
          <w:spacing w:val="5"/>
          <w:kern w:val="0"/>
          <w:sz w:val="19"/>
          <w:szCs w:val="19"/>
        </w:rPr>
        <w:t xml:space="preserve"> </w:t>
      </w:r>
      <w:r w:rsidRPr="000E2301">
        <w:rPr>
          <w:rFonts w:ascii="Tahoma" w:hAnsi="Tahoma" w:cs="Tahoma"/>
          <w:color w:val="000000"/>
          <w:spacing w:val="-2"/>
          <w:kern w:val="0"/>
          <w:sz w:val="19"/>
          <w:szCs w:val="19"/>
        </w:rPr>
        <w:t xml:space="preserve">Extrahepatic effects of nucleotide analogues </w:t>
      </w:r>
      <w:r w:rsidRPr="000E2301">
        <w:rPr>
          <w:rFonts w:ascii="Tahoma" w:hAnsi="Tahoma" w:cs="Tahoma"/>
          <w:color w:val="000000"/>
          <w:spacing w:val="-6"/>
          <w:kern w:val="0"/>
          <w:sz w:val="19"/>
          <w:szCs w:val="19"/>
        </w:rPr>
        <w:t>(</w:t>
      </w:r>
      <w:r w:rsidRPr="000E2301">
        <w:rPr>
          <w:rFonts w:ascii="Tahoma Italic" w:hAnsi="Tahoma Italic" w:cs="Tahoma Italic"/>
          <w:i/>
          <w:iCs/>
          <w:color w:val="000000"/>
          <w:spacing w:val="-6"/>
          <w:kern w:val="0"/>
          <w:sz w:val="19"/>
          <w:szCs w:val="19"/>
        </w:rPr>
        <w:t>i.e.</w:t>
      </w:r>
      <w:r w:rsidRPr="000E2301">
        <w:rPr>
          <w:rFonts w:ascii="Tahoma" w:hAnsi="Tahoma" w:cs="Tahoma"/>
          <w:color w:val="000000"/>
          <w:spacing w:val="-6"/>
          <w:kern w:val="0"/>
          <w:sz w:val="19"/>
          <w:szCs w:val="19"/>
        </w:rPr>
        <w:t xml:space="preserve">, myopathy, nephropathy, bone disorders) are more </w:t>
      </w:r>
      <w:r w:rsidRPr="000E2301">
        <w:rPr>
          <w:rFonts w:ascii="Tahoma" w:hAnsi="Tahoma" w:cs="Tahoma"/>
          <w:color w:val="000000"/>
          <w:spacing w:val="-6"/>
          <w:kern w:val="0"/>
          <w:sz w:val="19"/>
          <w:szCs w:val="19"/>
        </w:rPr>
        <w:lastRenderedPageBreak/>
        <w:t xml:space="preserve">commonly indicated in current reports. Some of </w:t>
      </w:r>
      <w:r w:rsidRPr="000E2301">
        <w:rPr>
          <w:rFonts w:ascii="Tahoma" w:hAnsi="Tahoma" w:cs="Tahoma"/>
          <w:color w:val="000000"/>
          <w:spacing w:val="-4"/>
          <w:kern w:val="0"/>
          <w:sz w:val="19"/>
          <w:szCs w:val="19"/>
        </w:rPr>
        <w:t xml:space="preserve">these adverse events can be attributed to their effect of causing mitochondrial dysfunction. These </w:t>
      </w:r>
      <w:r w:rsidRPr="000E2301">
        <w:rPr>
          <w:rFonts w:ascii="Tahoma" w:hAnsi="Tahoma" w:cs="Tahoma"/>
          <w:color w:val="000000"/>
          <w:spacing w:val="-2"/>
          <w:kern w:val="0"/>
          <w:sz w:val="19"/>
          <w:szCs w:val="19"/>
        </w:rPr>
        <w:t>adverse events are named as “class effects” and mostly associated with lamivudine and telbivudine treatment. Adefovir is a well-known nephrotoxic agent. Nephrotoxic and bone density loss effects of tenofovir in patients with chronic hepatitis B (CHB) are not as clear as in those with human immunodeficiency virus infection. Serum creatinine, phosphorus and creatine kinase levels should be monitored. Safety profile is a major issue that should not be ignored in the treatment of CHB.</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2"/>
          <w:kern w:val="0"/>
          <w:sz w:val="24"/>
          <w:u w:val="single"/>
        </w:rPr>
        <w:t>INTRODUCTION</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0E2301">
        <w:rPr>
          <w:rFonts w:ascii="Verdana" w:hAnsi="Verdana" w:cs="Verdana"/>
          <w:color w:val="000000"/>
          <w:spacing w:val="-14"/>
          <w:kern w:val="0"/>
          <w:sz w:val="18"/>
          <w:szCs w:val="18"/>
        </w:rPr>
        <w:t>Chronic hepatitis B (CHB) infection is one of the</w:t>
      </w:r>
      <w:r w:rsidRPr="000E2301">
        <w:rPr>
          <w:rFonts w:ascii="Verdana" w:hAnsi="Verdana" w:cs="Verdana"/>
          <w:color w:val="000000"/>
          <w:spacing w:val="-11"/>
          <w:kern w:val="0"/>
          <w:sz w:val="18"/>
          <w:szCs w:val="18"/>
        </w:rPr>
        <w:t xml:space="preserve"> major causes of chronic liver diseases and affects an esti</w:t>
      </w:r>
      <w:r w:rsidRPr="000E2301">
        <w:rPr>
          <w:rFonts w:ascii="Verdana" w:hAnsi="Verdana" w:cs="Verdana"/>
          <w:color w:val="000000"/>
          <w:spacing w:val="-11"/>
          <w:kern w:val="0"/>
          <w:sz w:val="18"/>
          <w:szCs w:val="18"/>
        </w:rPr>
        <w:softHyphen/>
        <w:t>mated 350 to 400 million people worldwide</w:t>
      </w:r>
      <w:r w:rsidRPr="000E2301">
        <w:rPr>
          <w:rFonts w:ascii="Verdana" w:hAnsi="Verdana" w:cs="Verdana"/>
          <w:color w:val="000000"/>
          <w:spacing w:val="-11"/>
          <w:kern w:val="0"/>
          <w:sz w:val="18"/>
          <w:szCs w:val="18"/>
          <w:vertAlign w:val="superscript"/>
        </w:rPr>
        <w:t>[1]</w:t>
      </w:r>
      <w:r w:rsidRPr="000E2301">
        <w:rPr>
          <w:rFonts w:ascii="Verdana" w:hAnsi="Verdana" w:cs="Verdana"/>
          <w:color w:val="000000"/>
          <w:spacing w:val="-11"/>
          <w:kern w:val="0"/>
          <w:sz w:val="18"/>
          <w:szCs w:val="18"/>
        </w:rPr>
        <w:t>. Up to 15%-40% of patients with CHB are at risk of developing complications including cirrhosis, hepatic decompensation and hepatocellular carcinoma (HCC</w:t>
      </w:r>
      <w:proofErr w:type="gramStart"/>
      <w:r w:rsidRPr="000E2301">
        <w:rPr>
          <w:rFonts w:ascii="Verdana" w:hAnsi="Verdana" w:cs="Verdana"/>
          <w:color w:val="000000"/>
          <w:spacing w:val="-11"/>
          <w:kern w:val="0"/>
          <w:sz w:val="18"/>
          <w:szCs w:val="18"/>
        </w:rPr>
        <w: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w:t>
      </w:r>
      <w:r w:rsidRPr="000E2301">
        <w:rPr>
          <w:rFonts w:ascii="Verdana" w:hAnsi="Verdana" w:cs="Verdana"/>
          <w:color w:val="000000"/>
          <w:spacing w:val="-11"/>
          <w:kern w:val="0"/>
          <w:sz w:val="18"/>
          <w:szCs w:val="18"/>
        </w:rPr>
        <w:t xml:space="preserve">. Prevention of disease progression and disease-related complications is the main goal of treatment in CHB and achieved by suppression of hepatitis B virus (HBV) DNA </w:t>
      </w:r>
      <w:proofErr w:type="gramStart"/>
      <w:r w:rsidRPr="000E2301">
        <w:rPr>
          <w:rFonts w:ascii="Verdana" w:hAnsi="Verdana" w:cs="Verdana"/>
          <w:color w:val="000000"/>
          <w:spacing w:val="-11"/>
          <w:kern w:val="0"/>
          <w:sz w:val="18"/>
          <w:szCs w:val="18"/>
        </w:rPr>
        <w:t>replication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w:t>
      </w:r>
      <w:r w:rsidRPr="000E2301">
        <w:rPr>
          <w:rFonts w:ascii="Verdana" w:hAnsi="Verdana" w:cs="Verdana"/>
          <w:color w:val="000000"/>
          <w:spacing w:val="-11"/>
          <w:kern w:val="0"/>
          <w:sz w:val="18"/>
          <w:szCs w:val="18"/>
        </w:rPr>
        <w:t>. Because CHB requires long-term treatment in the majority of patients, the safety profiles of drugs become important in addition to their antiviral activities. Two different groups of antiviral agents have been approved for the treatment of CHB: Conventional or pegylated interferons (IFN or Peg-IFN), and oral nucleoside/nucleotide analogues (NAs</w:t>
      </w:r>
      <w:proofErr w:type="gramStart"/>
      <w:r w:rsidRPr="000E2301">
        <w:rPr>
          <w:rFonts w:ascii="Verdana" w:hAnsi="Verdana" w:cs="Verdana"/>
          <w:color w:val="000000"/>
          <w:spacing w:val="-11"/>
          <w:kern w:val="0"/>
          <w:sz w:val="18"/>
          <w:szCs w:val="18"/>
        </w:rPr>
        <w: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2-4]</w:t>
      </w:r>
      <w:r w:rsidRPr="000E2301">
        <w:rPr>
          <w:rFonts w:ascii="Verdana" w:hAnsi="Verdana" w:cs="Verdana"/>
          <w:color w:val="000000"/>
          <w:spacing w:val="-11"/>
          <w:kern w:val="0"/>
          <w:sz w:val="18"/>
          <w:szCs w:val="18"/>
        </w:rPr>
        <w:t xml:space="preserve">. IFN/Peg-IFNs have some disadvantages, including severe side effects, aggravation of decompensated cirrhosis and autoimmune diseases. NAs have become currently the backbone of CHB treatment because they have been well tolerated by patients for decades without severe side </w:t>
      </w:r>
      <w:proofErr w:type="gramStart"/>
      <w:r w:rsidRPr="000E2301">
        <w:rPr>
          <w:rFonts w:ascii="Verdana" w:hAnsi="Verdana" w:cs="Verdana"/>
          <w:color w:val="000000"/>
          <w:spacing w:val="-11"/>
          <w:kern w:val="0"/>
          <w:sz w:val="18"/>
          <w:szCs w:val="18"/>
        </w:rPr>
        <w:t>effects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w:t>
      </w:r>
      <w:r w:rsidRPr="000E2301">
        <w:rPr>
          <w:rFonts w:ascii="Verdana" w:hAnsi="Verdana" w:cs="Verdana"/>
          <w:color w:val="000000"/>
          <w:spacing w:val="-11"/>
          <w:kern w:val="0"/>
          <w:sz w:val="18"/>
          <w:szCs w:val="18"/>
        </w:rPr>
        <w:t>. There are currently five NAs approved for the treatment of CHB and they are classified into two groups: Nucleoside analogues (lamivudine, telbivudine and entecavir) and nucleotide analogues (adefovir dipivoxil and tenofovir dipivoxil fumarate</w:t>
      </w:r>
      <w:proofErr w:type="gramStart"/>
      <w:r w:rsidRPr="000E2301">
        <w:rPr>
          <w:rFonts w:ascii="Verdana" w:hAnsi="Verdana" w:cs="Verdana"/>
          <w:color w:val="000000"/>
          <w:spacing w:val="-11"/>
          <w:kern w:val="0"/>
          <w:sz w:val="18"/>
          <w:szCs w:val="18"/>
        </w:rPr>
        <w: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6]</w:t>
      </w:r>
      <w:r w:rsidRPr="000E2301">
        <w:rPr>
          <w:rFonts w:ascii="Verdana" w:hAnsi="Verdana" w:cs="Verdana"/>
          <w:color w:val="000000"/>
          <w:spacing w:val="-11"/>
          <w:kern w:val="0"/>
          <w:sz w:val="18"/>
          <w:szCs w:val="18"/>
        </w:rPr>
        <w:t>. To date, a significant number of patients have been treated with NAs. Therefore, experience with the efficacy, resistance and safety profile of NAs has increased over the years. The aim of this article is to provide a review of the adverse effects of oral NAs in light of the current data.</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All five NAs have a favorable safety </w:t>
      </w:r>
      <w:proofErr w:type="gramStart"/>
      <w:r w:rsidRPr="000E2301">
        <w:rPr>
          <w:rFonts w:ascii="Verdana" w:hAnsi="Verdana" w:cs="Verdana"/>
          <w:color w:val="000000"/>
          <w:spacing w:val="-11"/>
          <w:kern w:val="0"/>
          <w:sz w:val="18"/>
          <w:szCs w:val="18"/>
        </w:rPr>
        <w:t>profile</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w:t>
      </w:r>
      <w:r w:rsidRPr="000E2301">
        <w:rPr>
          <w:rFonts w:ascii="Verdana" w:hAnsi="Verdana" w:cs="Verdana"/>
          <w:color w:val="000000"/>
          <w:spacing w:val="-11"/>
          <w:kern w:val="0"/>
          <w:sz w:val="18"/>
          <w:szCs w:val="18"/>
        </w:rPr>
        <w:t>. However, undesired extrahepatic adverse events may occur during the treatment of CHB infection. The most common extrahepatic adverse events are renal dysfunction, de</w:t>
      </w:r>
      <w:r w:rsidRPr="000E2301">
        <w:rPr>
          <w:rFonts w:ascii="Verdana" w:hAnsi="Verdana" w:cs="Verdana"/>
          <w:color w:val="000000"/>
          <w:spacing w:val="-11"/>
          <w:kern w:val="0"/>
          <w:sz w:val="18"/>
          <w:szCs w:val="18"/>
        </w:rPr>
        <w:softHyphen/>
        <w:t xml:space="preserve">creased bone mineral density and some neurological findings. Because hepatitis B infection itself may lead to extrahepatic organ </w:t>
      </w:r>
      <w:proofErr w:type="gramStart"/>
      <w:r w:rsidRPr="000E2301">
        <w:rPr>
          <w:rFonts w:ascii="Verdana" w:hAnsi="Verdana" w:cs="Verdana"/>
          <w:color w:val="000000"/>
          <w:spacing w:val="-11"/>
          <w:kern w:val="0"/>
          <w:sz w:val="18"/>
          <w:szCs w:val="18"/>
        </w:rPr>
        <w:t>involvement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w:t>
      </w:r>
      <w:r w:rsidRPr="000E2301">
        <w:rPr>
          <w:rFonts w:ascii="Verdana" w:hAnsi="Verdana" w:cs="Verdana"/>
          <w:color w:val="000000"/>
          <w:spacing w:val="-11"/>
          <w:kern w:val="0"/>
          <w:sz w:val="18"/>
          <w:szCs w:val="18"/>
        </w:rPr>
        <w:t>, determining the source of extrahepatic manifestations may be difficult sometimes during the treatment of CHB. Extrahepatic adverse events may result from mitochondrial toxic effect of NAs. These adverse effects are generally named as “class effects</w:t>
      </w:r>
      <w:proofErr w:type="gramStart"/>
      <w:r w:rsidRPr="000E2301">
        <w:rPr>
          <w:rFonts w:ascii="Verdana" w:hAnsi="Verdana" w:cs="Verdana"/>
          <w:color w:val="000000"/>
          <w:spacing w:val="-11"/>
          <w:kern w:val="0"/>
          <w:sz w:val="18"/>
          <w:szCs w:val="18"/>
        </w:rPr>
        <w: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w:t>
      </w:r>
      <w:r w:rsidRPr="000E2301">
        <w:rPr>
          <w:rFonts w:ascii="Verdana" w:hAnsi="Verdana" w:cs="Verdana"/>
          <w:color w:val="000000"/>
          <w:spacing w:val="-11"/>
          <w:kern w:val="0"/>
          <w:sz w:val="18"/>
          <w:szCs w:val="18"/>
        </w:rPr>
        <w:t>.</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1"/>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1"/>
          <w:kern w:val="0"/>
          <w:sz w:val="24"/>
          <w:u w:val="single"/>
        </w:rPr>
        <w:t>C</w:t>
      </w:r>
      <w:r w:rsidRPr="000E2301">
        <w:rPr>
          <w:rFonts w:ascii="Univers" w:hAnsi="Univers" w:cs="Univers"/>
          <w:b/>
          <w:bCs/>
          <w:color w:val="000000"/>
          <w:spacing w:val="1"/>
          <w:kern w:val="0"/>
          <w:sz w:val="24"/>
          <w:u w:val="single"/>
        </w:rPr>
        <w:t>L</w:t>
      </w:r>
      <w:r w:rsidRPr="000E2301">
        <w:rPr>
          <w:rFonts w:ascii="Univers" w:hAnsi="Univers" w:cs="Univers"/>
          <w:b/>
          <w:bCs/>
          <w:color w:val="000000"/>
          <w:spacing w:val="-2"/>
          <w:kern w:val="0"/>
          <w:sz w:val="24"/>
          <w:u w:val="single"/>
        </w:rPr>
        <w:t>ASS</w:t>
      </w:r>
      <w:r w:rsidRPr="000E2301">
        <w:rPr>
          <w:rFonts w:ascii="Univers" w:hAnsi="Univers" w:cs="Univers"/>
          <w:b/>
          <w:bCs/>
          <w:color w:val="000000"/>
          <w:spacing w:val="-1"/>
          <w:kern w:val="0"/>
          <w:sz w:val="24"/>
          <w:u w:val="single"/>
        </w:rPr>
        <w:t xml:space="preserve"> </w:t>
      </w:r>
      <w:r w:rsidRPr="000E2301">
        <w:rPr>
          <w:rFonts w:ascii="Univers" w:hAnsi="Univers" w:cs="Univers"/>
          <w:b/>
          <w:bCs/>
          <w:color w:val="000000"/>
          <w:spacing w:val="-2"/>
          <w:kern w:val="0"/>
          <w:sz w:val="24"/>
          <w:u w:val="single"/>
        </w:rPr>
        <w:t>E</w:t>
      </w:r>
      <w:r w:rsidRPr="000E2301">
        <w:rPr>
          <w:rFonts w:ascii="Univers" w:hAnsi="Univers" w:cs="Univers"/>
          <w:b/>
          <w:bCs/>
          <w:color w:val="000000"/>
          <w:spacing w:val="1"/>
          <w:kern w:val="0"/>
          <w:sz w:val="24"/>
          <w:u w:val="single"/>
        </w:rPr>
        <w:t>FF</w:t>
      </w:r>
      <w:r w:rsidRPr="000E2301">
        <w:rPr>
          <w:rFonts w:ascii="Univers" w:hAnsi="Univers" w:cs="Univers"/>
          <w:b/>
          <w:bCs/>
          <w:color w:val="000000"/>
          <w:spacing w:val="-2"/>
          <w:kern w:val="0"/>
          <w:sz w:val="24"/>
          <w:u w:val="single"/>
        </w:rPr>
        <w:t>ECTS</w:t>
      </w:r>
      <w:r w:rsidRPr="000E2301">
        <w:rPr>
          <w:rFonts w:ascii="Univers" w:hAnsi="Univers" w:cs="Univers"/>
          <w:b/>
          <w:bCs/>
          <w:color w:val="000000"/>
          <w:spacing w:val="1"/>
          <w:kern w:val="0"/>
          <w:sz w:val="24"/>
          <w:u w:val="single"/>
        </w:rPr>
        <w:t xml:space="preserve"> </w:t>
      </w:r>
      <w:r w:rsidRPr="000E2301">
        <w:rPr>
          <w:rFonts w:ascii="Univers" w:hAnsi="Univers" w:cs="Univers"/>
          <w:b/>
          <w:bCs/>
          <w:color w:val="000000"/>
          <w:spacing w:val="-2"/>
          <w:kern w:val="0"/>
          <w:sz w:val="24"/>
          <w:u w:val="single"/>
        </w:rPr>
        <w:t>OF</w:t>
      </w:r>
      <w:r w:rsidRPr="000E2301">
        <w:rPr>
          <w:rFonts w:ascii="Univers" w:hAnsi="Univers" w:cs="Univers"/>
          <w:b/>
          <w:bCs/>
          <w:color w:val="000000"/>
          <w:spacing w:val="3"/>
          <w:kern w:val="0"/>
          <w:sz w:val="24"/>
          <w:u w:val="single"/>
        </w:rPr>
        <w:t xml:space="preserve"> </w:t>
      </w:r>
      <w:r w:rsidRPr="000E2301">
        <w:rPr>
          <w:rFonts w:ascii="Univers" w:hAnsi="Univers" w:cs="Univers"/>
          <w:b/>
          <w:bCs/>
          <w:color w:val="000000"/>
          <w:spacing w:val="-1"/>
          <w:kern w:val="0"/>
          <w:sz w:val="24"/>
          <w:u w:val="single"/>
        </w:rPr>
        <w:t>NA</w:t>
      </w:r>
      <w:r w:rsidRPr="000E2301">
        <w:rPr>
          <w:rFonts w:ascii="Univers" w:hAnsi="Univers" w:cs="Univers"/>
          <w:b/>
          <w:bCs/>
          <w:color w:val="000000"/>
          <w:spacing w:val="-2"/>
          <w:kern w:val="0"/>
          <w:sz w:val="24"/>
          <w:u w:val="single"/>
        </w:rPr>
        <w:t>s</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NAs suppress viral replication by the inhibition of the HBV polymerase enzyme. As NAs structures were similar to natural nucleosides, some of these agents can also inhibit human mitochondrial polymerase-γ and cause mitochondrial </w:t>
      </w:r>
      <w:proofErr w:type="gramStart"/>
      <w:r w:rsidRPr="000E2301">
        <w:rPr>
          <w:rFonts w:ascii="Verdana" w:hAnsi="Verdana" w:cs="Verdana"/>
          <w:color w:val="000000"/>
          <w:spacing w:val="-11"/>
          <w:kern w:val="0"/>
          <w:sz w:val="18"/>
          <w:szCs w:val="18"/>
        </w:rPr>
        <w:t>toxicity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3,5,9]</w:t>
      </w:r>
      <w:r w:rsidRPr="000E2301">
        <w:rPr>
          <w:rFonts w:ascii="Verdana" w:hAnsi="Verdana" w:cs="Verdana"/>
          <w:color w:val="000000"/>
          <w:spacing w:val="-11"/>
          <w:kern w:val="0"/>
          <w:sz w:val="18"/>
          <w:szCs w:val="18"/>
        </w:rPr>
        <w:t xml:space="preserve">. Mitochondrial toxicity was first noticed during human immunodeficiency virus (HIV) treatment with antiretroviral therapy. </w:t>
      </w:r>
      <w:proofErr w:type="gramStart"/>
      <w:r w:rsidRPr="000E2301">
        <w:rPr>
          <w:rFonts w:ascii="Verdana" w:hAnsi="Verdana" w:cs="Verdana"/>
          <w:color w:val="000000"/>
          <w:spacing w:val="-11"/>
          <w:kern w:val="0"/>
          <w:sz w:val="18"/>
          <w:szCs w:val="18"/>
        </w:rPr>
        <w:t>Nucleos(</w:t>
      </w:r>
      <w:proofErr w:type="gramEnd"/>
      <w:r w:rsidRPr="000E2301">
        <w:rPr>
          <w:rFonts w:ascii="Verdana" w:hAnsi="Verdana" w:cs="Verdana"/>
          <w:color w:val="000000"/>
          <w:spacing w:val="-11"/>
          <w:kern w:val="0"/>
          <w:sz w:val="18"/>
          <w:szCs w:val="18"/>
        </w:rPr>
        <w:t xml:space="preserve">t)ide reverse transcriptase inhibitors (NRTIs) are activated by phosphorylation in the cell, and then inhibit HIV reverse transcriptase. Additionally, these drugs also inhibit a human polymerase-γ enzyme, which is responsible for the production of mitochondrial DNA (mtDNA) content. </w:t>
      </w:r>
      <w:proofErr w:type="gramStart"/>
      <w:r w:rsidRPr="000E2301">
        <w:rPr>
          <w:rFonts w:ascii="Verdana" w:hAnsi="Verdana" w:cs="Verdana"/>
          <w:color w:val="000000"/>
          <w:spacing w:val="-11"/>
          <w:kern w:val="0"/>
          <w:sz w:val="18"/>
          <w:szCs w:val="18"/>
        </w:rPr>
        <w:t>mtDNA-encoded</w:t>
      </w:r>
      <w:proofErr w:type="gramEnd"/>
      <w:r w:rsidRPr="000E2301">
        <w:rPr>
          <w:rFonts w:ascii="Verdana" w:hAnsi="Verdana" w:cs="Verdana"/>
          <w:color w:val="000000"/>
          <w:spacing w:val="-11"/>
          <w:kern w:val="0"/>
          <w:sz w:val="18"/>
          <w:szCs w:val="18"/>
        </w:rPr>
        <w:t xml:space="preserve"> proteins are present in multiple copies in each mitochondrion and responsible for encoding enzyme subunits of the respiratory chain function. Respiratory chain function is required for numerous metabolic pathways, including oxidative synthesis of ATP and synthesis of DNA. The depletion of mtDNA-encoded proteins results in mitochondrial </w:t>
      </w:r>
      <w:r w:rsidRPr="000E2301">
        <w:rPr>
          <w:rFonts w:ascii="Verdana" w:hAnsi="Verdana" w:cs="Verdana"/>
          <w:color w:val="000000"/>
          <w:spacing w:val="-11"/>
          <w:kern w:val="0"/>
          <w:sz w:val="18"/>
          <w:szCs w:val="18"/>
        </w:rPr>
        <w:lastRenderedPageBreak/>
        <w:t>dysfunction that causes impaired oxidative phosphorylation. The other result of human mitochondrial polymerase-</w:t>
      </w:r>
      <w:r w:rsidRPr="000E2301">
        <w:rPr>
          <w:rFonts w:ascii="Symbol" w:hAnsi="Symbol" w:cs="Symbol"/>
          <w:color w:val="000000"/>
          <w:spacing w:val="-11"/>
          <w:kern w:val="0"/>
          <w:sz w:val="18"/>
          <w:szCs w:val="18"/>
        </w:rPr>
        <w:t></w:t>
      </w:r>
      <w:r w:rsidRPr="000E2301">
        <w:rPr>
          <w:rFonts w:ascii="Verdana" w:hAnsi="Verdana" w:cs="Verdana"/>
          <w:color w:val="000000"/>
          <w:spacing w:val="-11"/>
          <w:kern w:val="0"/>
          <w:sz w:val="18"/>
          <w:szCs w:val="18"/>
        </w:rPr>
        <w:t xml:space="preserve"> inhibition is increased reactive oxygen species that cause cellular damage (Figure 1</w:t>
      </w:r>
      <w:proofErr w:type="gramStart"/>
      <w:r w:rsidRPr="000E2301">
        <w:rPr>
          <w:rFonts w:ascii="Verdana" w:hAnsi="Verdana" w:cs="Verdana"/>
          <w:color w:val="000000"/>
          <w:spacing w:val="-11"/>
          <w:kern w:val="0"/>
          <w:sz w:val="18"/>
          <w:szCs w:val="18"/>
        </w:rPr>
        <w: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5,8,10]</w:t>
      </w:r>
      <w:r w:rsidRPr="000E2301">
        <w:rPr>
          <w:rFonts w:ascii="Verdana" w:hAnsi="Verdana" w:cs="Verdana"/>
          <w:color w:val="000000"/>
          <w:spacing w:val="-11"/>
          <w:kern w:val="0"/>
          <w:sz w:val="18"/>
          <w:szCs w:val="18"/>
        </w:rPr>
        <w:t xml:space="preserve">. The close relation between NRTIs and mitochondrial toxicity have been described in many </w:t>
      </w:r>
      <w:proofErr w:type="gramStart"/>
      <w:r w:rsidRPr="000E2301">
        <w:rPr>
          <w:rFonts w:ascii="Verdana" w:hAnsi="Verdana" w:cs="Verdana"/>
          <w:color w:val="000000"/>
          <w:spacing w:val="-11"/>
          <w:kern w:val="0"/>
          <w:sz w:val="18"/>
          <w:szCs w:val="18"/>
        </w:rPr>
        <w:t>reports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5,8,11]</w:t>
      </w:r>
      <w:r w:rsidRPr="000E2301">
        <w:rPr>
          <w:rFonts w:ascii="Verdana" w:hAnsi="Verdana" w:cs="Verdana"/>
          <w:color w:val="000000"/>
          <w:spacing w:val="-11"/>
          <w:kern w:val="0"/>
          <w:sz w:val="18"/>
          <w:szCs w:val="18"/>
        </w:rPr>
        <w:t>. Because NAs lead to a minimal mitochondrial polymerase-</w:t>
      </w:r>
      <w:r w:rsidRPr="000E2301">
        <w:rPr>
          <w:rFonts w:ascii="Symbol" w:hAnsi="Symbol" w:cs="Symbol"/>
          <w:color w:val="000000"/>
          <w:spacing w:val="-11"/>
          <w:kern w:val="0"/>
          <w:sz w:val="18"/>
          <w:szCs w:val="18"/>
        </w:rPr>
        <w:t></w:t>
      </w:r>
      <w:r w:rsidRPr="000E2301">
        <w:rPr>
          <w:rFonts w:ascii="Verdana" w:hAnsi="Verdana" w:cs="Verdana"/>
          <w:color w:val="000000"/>
          <w:spacing w:val="-11"/>
          <w:kern w:val="0"/>
          <w:sz w:val="18"/>
          <w:szCs w:val="18"/>
        </w:rPr>
        <w:t xml:space="preserve"> inhibition, NAs-associated mitochondrial toxicity cases have been rarely reported. All NAs carry a warning of mitochondrial toxicity as part of their prescribing </w:t>
      </w:r>
      <w:proofErr w:type="gramStart"/>
      <w:r w:rsidRPr="000E2301">
        <w:rPr>
          <w:rFonts w:ascii="Verdana" w:hAnsi="Verdana" w:cs="Verdana"/>
          <w:color w:val="000000"/>
          <w:spacing w:val="-11"/>
          <w:kern w:val="0"/>
          <w:sz w:val="18"/>
          <w:szCs w:val="18"/>
        </w:rPr>
        <w:t>information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5,8]</w:t>
      </w:r>
      <w:r w:rsidRPr="000E2301">
        <w:rPr>
          <w:rFonts w:ascii="Verdana" w:hAnsi="Verdana" w:cs="Verdana"/>
          <w:color w:val="000000"/>
          <w:spacing w:val="-11"/>
          <w:kern w:val="0"/>
          <w:sz w:val="18"/>
          <w:szCs w:val="18"/>
        </w:rPr>
        <w:t xml:space="preserve">. The clinical manifestations of mitochondrial toxicity include hematologic disorders, peripheral neuropathy, skeletal and cardiac myopathy, pancreatitis, hepatic failure and lactic </w:t>
      </w:r>
      <w:proofErr w:type="gramStart"/>
      <w:r w:rsidRPr="000E2301">
        <w:rPr>
          <w:rFonts w:ascii="Verdana" w:hAnsi="Verdana" w:cs="Verdana"/>
          <w:color w:val="000000"/>
          <w:spacing w:val="-11"/>
          <w:kern w:val="0"/>
          <w:sz w:val="18"/>
          <w:szCs w:val="18"/>
        </w:rPr>
        <w:t>acidosis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8,11]</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The most remarkable examples of mitochondrial toxicity were reported with clevudine therapy. Clevudine is a thymidine-nucleoside analogue approved in South Korea and the Philippines for the treatment of CHB. Although no mitochondrial dysfunction findings had been detected in preclinical studies, multi-center international phase </w:t>
      </w:r>
      <w:r w:rsidRPr="000E2301">
        <w:rPr>
          <w:rFonts w:ascii="KozMinPro-Regular" w:eastAsia="KozMinPro-Regular" w:hAnsi="Verdana" w:cs="KozMinPro-Regular" w:hint="eastAsia"/>
          <w:color w:val="000000"/>
          <w:spacing w:val="-11"/>
          <w:kern w:val="0"/>
          <w:sz w:val="19"/>
          <w:szCs w:val="19"/>
        </w:rPr>
        <w:t>Ⅲ</w:t>
      </w:r>
      <w:r w:rsidRPr="000E2301">
        <w:rPr>
          <w:rFonts w:ascii="Verdana" w:hAnsi="Verdana" w:cs="Verdana"/>
          <w:color w:val="000000"/>
          <w:spacing w:val="-11"/>
          <w:kern w:val="0"/>
          <w:sz w:val="18"/>
          <w:szCs w:val="18"/>
        </w:rPr>
        <w:t xml:space="preserve"> studies were terminated due to the emergence of clevudine-associated myopathy cases. Clevudine had been shown to be peripherally phosphorylated by mitochondrial thymidine kinase and to accumulate in cells rich in </w:t>
      </w:r>
      <w:proofErr w:type="gramStart"/>
      <w:r w:rsidRPr="000E2301">
        <w:rPr>
          <w:rFonts w:ascii="Verdana" w:hAnsi="Verdana" w:cs="Verdana"/>
          <w:color w:val="000000"/>
          <w:spacing w:val="-11"/>
          <w:kern w:val="0"/>
          <w:sz w:val="18"/>
          <w:szCs w:val="18"/>
        </w:rPr>
        <w:t>mitochondria</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w:t>
      </w:r>
      <w:r w:rsidRPr="000E2301">
        <w:rPr>
          <w:rFonts w:ascii="Verdana" w:hAnsi="Verdana" w:cs="Verdana"/>
          <w:color w:val="000000"/>
          <w:spacing w:val="-11"/>
          <w:kern w:val="0"/>
          <w:sz w:val="18"/>
          <w:szCs w:val="18"/>
        </w:rPr>
        <w:t xml:space="preserve">. South Korea revoked its approval because of indirect adverse </w:t>
      </w:r>
      <w:proofErr w:type="gramStart"/>
      <w:r w:rsidRPr="000E2301">
        <w:rPr>
          <w:rFonts w:ascii="Verdana" w:hAnsi="Verdana" w:cs="Verdana"/>
          <w:color w:val="000000"/>
          <w:spacing w:val="-11"/>
          <w:kern w:val="0"/>
          <w:sz w:val="18"/>
          <w:szCs w:val="18"/>
        </w:rPr>
        <w:t>effects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12-14]</w:t>
      </w:r>
      <w:r w:rsidRPr="000E2301">
        <w:rPr>
          <w:rFonts w:ascii="Verdana" w:hAnsi="Verdana" w:cs="Verdana"/>
          <w:color w:val="000000"/>
          <w:spacing w:val="-11"/>
          <w:kern w:val="0"/>
          <w:sz w:val="18"/>
          <w:szCs w:val="18"/>
        </w:rPr>
        <w:t xml:space="preserve">. The emergence of an association between clevudine and myopathy served as a reminder that all NAs have a potential risk for mitochondrial toxicity. Among the NAs, lamivudine and telbivudine are the agents most frequently reported to be associated with myopathy and peripheral neuropathy (Table 1). Long-peripheral neurons were more susceptible to mitochondrial toxic effect of NAs due to length-dependent </w:t>
      </w:r>
      <w:proofErr w:type="gramStart"/>
      <w:r w:rsidRPr="000E2301">
        <w:rPr>
          <w:rFonts w:ascii="Verdana" w:hAnsi="Verdana" w:cs="Verdana"/>
          <w:color w:val="000000"/>
          <w:spacing w:val="-11"/>
          <w:kern w:val="0"/>
          <w:sz w:val="18"/>
          <w:szCs w:val="18"/>
        </w:rPr>
        <w:t>effect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15]</w:t>
      </w:r>
      <w:r w:rsidRPr="000E2301">
        <w:rPr>
          <w:rFonts w:ascii="Verdana" w:hAnsi="Verdana" w:cs="Verdana"/>
          <w:color w:val="000000"/>
          <w:spacing w:val="-11"/>
          <w:kern w:val="0"/>
          <w:sz w:val="18"/>
          <w:szCs w:val="18"/>
        </w:rPr>
        <w:t xml:space="preserve">. Xu </w:t>
      </w:r>
      <w:r w:rsidRPr="000E2301">
        <w:rPr>
          <w:rFonts w:ascii="Verdana" w:hAnsi="Verdana" w:cs="Verdana"/>
          <w:i/>
          <w:iCs/>
          <w:color w:val="000000"/>
          <w:spacing w:val="-11"/>
          <w:kern w:val="0"/>
          <w:sz w:val="18"/>
          <w:szCs w:val="18"/>
        </w:rPr>
        <w:t xml:space="preserve">et </w:t>
      </w:r>
      <w:proofErr w:type="gramStart"/>
      <w:r w:rsidRPr="000E2301">
        <w:rPr>
          <w:rFonts w:ascii="Verdana" w:hAnsi="Verdana" w:cs="Verdana"/>
          <w:i/>
          <w:iCs/>
          <w:color w:val="000000"/>
          <w:spacing w:val="-11"/>
          <w:kern w:val="0"/>
          <w:sz w:val="18"/>
          <w:szCs w:val="18"/>
        </w:rPr>
        <w:t>al</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16]</w:t>
      </w:r>
      <w:r w:rsidRPr="000E2301">
        <w:rPr>
          <w:rFonts w:ascii="Verdana" w:hAnsi="Verdana" w:cs="Verdana"/>
          <w:color w:val="000000"/>
          <w:spacing w:val="-11"/>
          <w:kern w:val="0"/>
          <w:sz w:val="18"/>
          <w:szCs w:val="18"/>
        </w:rPr>
        <w:t xml:space="preserve"> performed muscle and nerve biopsy in the 6 cases of NAs-associated myopathy or neuropathy and revealed similar changes in all the muscle and nerve biopsy samples of the patients in light or electronic microscopy and showed the decrease of the mitochondrial DNA by the quantitative real-time PCR in the affected muscle. Although an association between telbivudine and mitochondrial toxicity was not detected </w:t>
      </w:r>
      <w:r w:rsidRPr="000E2301">
        <w:rPr>
          <w:rFonts w:ascii="Verdana" w:hAnsi="Verdana" w:cs="Verdana"/>
          <w:i/>
          <w:iCs/>
          <w:color w:val="000000"/>
          <w:spacing w:val="-11"/>
          <w:kern w:val="0"/>
          <w:sz w:val="18"/>
          <w:szCs w:val="18"/>
        </w:rPr>
        <w:t xml:space="preserve">in vitro </w:t>
      </w:r>
      <w:proofErr w:type="gramStart"/>
      <w:r w:rsidRPr="000E2301">
        <w:rPr>
          <w:rFonts w:ascii="Verdana" w:hAnsi="Verdana" w:cs="Verdana"/>
          <w:color w:val="000000"/>
          <w:spacing w:val="-11"/>
          <w:kern w:val="0"/>
          <w:sz w:val="18"/>
          <w:szCs w:val="18"/>
        </w:rPr>
        <w:t>studies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12]</w:t>
      </w:r>
      <w:r w:rsidRPr="000E2301">
        <w:rPr>
          <w:rFonts w:ascii="Verdana" w:hAnsi="Verdana" w:cs="Verdana"/>
          <w:color w:val="000000"/>
          <w:spacing w:val="-11"/>
          <w:kern w:val="0"/>
          <w:sz w:val="18"/>
          <w:szCs w:val="18"/>
        </w:rPr>
        <w:t xml:space="preserve">, telbivudine-associated myopathy and creatine kinase (CK) elevations have been reported repeatedly in real-life patients after phase studies. Myopathy may be accompanied by neuropathy in some of patients given telbivudine or lamivudine for the treatment of CHB infection. In one study, 3 of 6 patients with lamivudine or telbivudine-associated myopathy had a complaint of numbness in the distal end of limbs, suggesting peripheral neuropathy. The presence of neuropathy was confirmed by the electrophysiological studies and nerve biopsies by the study </w:t>
      </w:r>
      <w:proofErr w:type="gramStart"/>
      <w:r w:rsidRPr="000E2301">
        <w:rPr>
          <w:rFonts w:ascii="Verdana" w:hAnsi="Verdana" w:cs="Verdana"/>
          <w:color w:val="000000"/>
          <w:spacing w:val="-11"/>
          <w:kern w:val="0"/>
          <w:sz w:val="18"/>
          <w:szCs w:val="18"/>
        </w:rPr>
        <w:t>team</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16]</w:t>
      </w:r>
      <w:r w:rsidRPr="000E2301">
        <w:rPr>
          <w:rFonts w:ascii="Verdana" w:hAnsi="Verdana" w:cs="Verdana"/>
          <w:color w:val="000000"/>
          <w:spacing w:val="-11"/>
          <w:kern w:val="0"/>
          <w:sz w:val="18"/>
          <w:szCs w:val="18"/>
        </w:rPr>
        <w:t>. Neuropathy cases have been reported more commonly in patients who have been treated with a combination therapy of telbivudine and Peg-IFN alfa-2a. Combination therapy provided a rapid reduction in HBV DNA level compared to telbivudine or Peg-IFN alfa-2a monotherapy. However, the risk of peripheral neuropathy has been reported to increase up to 20% in combination with Peg-</w:t>
      </w:r>
      <w:proofErr w:type="gramStart"/>
      <w:r w:rsidRPr="000E2301">
        <w:rPr>
          <w:rFonts w:ascii="Verdana" w:hAnsi="Verdana" w:cs="Verdana"/>
          <w:color w:val="000000"/>
          <w:spacing w:val="-11"/>
          <w:kern w:val="0"/>
          <w:sz w:val="18"/>
          <w:szCs w:val="18"/>
        </w:rPr>
        <w:t>IFN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10,12,15,17]</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Myopathy is characterized by CK elevation alongside muscle pain and weakness. CK elevations are among the well-described adverse effects of NAs, but they are not specific for myopathy and may be associated with strenuous exercise and many other illnesses. CK elevations may occur in patients treated with all approved NAs for CHB. However, the incidence of myopathy is very low during the treatment with adefovir, entecavir and tenofovir, and similar to comparative groups. The causal relationship has not been elucidated as of </w:t>
      </w:r>
      <w:proofErr w:type="gramStart"/>
      <w:r w:rsidRPr="000E2301">
        <w:rPr>
          <w:rFonts w:ascii="Verdana" w:hAnsi="Verdana" w:cs="Verdana"/>
          <w:color w:val="000000"/>
          <w:spacing w:val="-11"/>
          <w:kern w:val="0"/>
          <w:sz w:val="18"/>
          <w:szCs w:val="18"/>
        </w:rPr>
        <w:t>yet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3,18]</w:t>
      </w:r>
      <w:r w:rsidRPr="000E2301">
        <w:rPr>
          <w:rFonts w:ascii="Verdana" w:hAnsi="Verdana" w:cs="Verdana"/>
          <w:color w:val="000000"/>
          <w:spacing w:val="-11"/>
          <w:kern w:val="0"/>
          <w:sz w:val="18"/>
          <w:szCs w:val="18"/>
        </w:rPr>
        <w:t xml:space="preserve">. Myopathy cases can be seen in every age group (25-82 years). There is no difference between male and female patients in terms of myopathy incidence. The mean onset time of myopathy from the initiation of NAs was reported as 6.4 </w:t>
      </w:r>
      <w:proofErr w:type="gramStart"/>
      <w:r w:rsidRPr="000E2301">
        <w:rPr>
          <w:rFonts w:ascii="Verdana" w:hAnsi="Verdana" w:cs="Verdana"/>
          <w:color w:val="000000"/>
          <w:spacing w:val="-11"/>
          <w:kern w:val="0"/>
          <w:sz w:val="18"/>
          <w:szCs w:val="18"/>
        </w:rPr>
        <w:t>mo</w:t>
      </w:r>
      <w:proofErr w:type="gramEnd"/>
      <w:r w:rsidRPr="000E2301">
        <w:rPr>
          <w:rFonts w:ascii="Verdana" w:hAnsi="Verdana" w:cs="Verdana"/>
          <w:color w:val="000000"/>
          <w:spacing w:val="-11"/>
          <w:kern w:val="0"/>
          <w:sz w:val="18"/>
          <w:szCs w:val="18"/>
        </w:rPr>
        <w:t>, but it can occur even if in the 5</w:t>
      </w:r>
      <w:r w:rsidRPr="000E2301">
        <w:rPr>
          <w:rFonts w:ascii="Verdana" w:hAnsi="Verdana" w:cs="Verdana"/>
          <w:color w:val="000000"/>
          <w:spacing w:val="-11"/>
          <w:kern w:val="0"/>
          <w:sz w:val="18"/>
          <w:szCs w:val="18"/>
          <w:vertAlign w:val="superscript"/>
        </w:rPr>
        <w:t>th</w:t>
      </w:r>
      <w:r w:rsidRPr="000E2301">
        <w:rPr>
          <w:rFonts w:ascii="Verdana" w:hAnsi="Verdana" w:cs="Verdana"/>
          <w:color w:val="000000"/>
          <w:spacing w:val="-11"/>
          <w:kern w:val="0"/>
          <w:sz w:val="18"/>
          <w:szCs w:val="18"/>
        </w:rPr>
        <w:t xml:space="preserve"> year of treatment. Myopathy cases had been mostly reported from the South Korea and China, but the association between myopathy and race remains </w:t>
      </w:r>
      <w:proofErr w:type="gramStart"/>
      <w:r w:rsidRPr="000E2301">
        <w:rPr>
          <w:rFonts w:ascii="Verdana" w:hAnsi="Verdana" w:cs="Verdana"/>
          <w:color w:val="000000"/>
          <w:spacing w:val="-11"/>
          <w:kern w:val="0"/>
          <w:sz w:val="18"/>
          <w:szCs w:val="18"/>
        </w:rPr>
        <w:t>unclear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19]</w:t>
      </w:r>
      <w:r w:rsidRPr="000E2301">
        <w:rPr>
          <w:rFonts w:ascii="Verdana" w:hAnsi="Verdana" w:cs="Verdana"/>
          <w:color w:val="000000"/>
          <w:spacing w:val="-11"/>
          <w:kern w:val="0"/>
          <w:sz w:val="18"/>
          <w:szCs w:val="18"/>
        </w:rPr>
        <w:t>.</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1"/>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1"/>
          <w:kern w:val="0"/>
          <w:sz w:val="24"/>
          <w:u w:val="single"/>
        </w:rPr>
        <w:lastRenderedPageBreak/>
        <w:t>L</w:t>
      </w:r>
      <w:r w:rsidRPr="000E2301">
        <w:rPr>
          <w:rFonts w:ascii="Univers" w:hAnsi="Univers" w:cs="Univers"/>
          <w:b/>
          <w:bCs/>
          <w:color w:val="000000"/>
          <w:spacing w:val="-2"/>
          <w:kern w:val="0"/>
          <w:sz w:val="24"/>
          <w:u w:val="single"/>
        </w:rPr>
        <w:t>A</w:t>
      </w:r>
      <w:r w:rsidRPr="000E2301">
        <w:rPr>
          <w:rFonts w:ascii="Univers" w:hAnsi="Univers" w:cs="Univers"/>
          <w:b/>
          <w:bCs/>
          <w:color w:val="000000"/>
          <w:spacing w:val="1"/>
          <w:kern w:val="0"/>
          <w:sz w:val="24"/>
          <w:u w:val="single"/>
        </w:rPr>
        <w:t>MI</w:t>
      </w:r>
      <w:r w:rsidRPr="000E2301">
        <w:rPr>
          <w:rFonts w:ascii="Univers" w:hAnsi="Univers" w:cs="Univers"/>
          <w:b/>
          <w:bCs/>
          <w:color w:val="000000"/>
          <w:spacing w:val="-2"/>
          <w:kern w:val="0"/>
          <w:sz w:val="24"/>
          <w:u w:val="single"/>
        </w:rPr>
        <w:t>VU</w:t>
      </w:r>
      <w:r w:rsidRPr="000E2301">
        <w:rPr>
          <w:rFonts w:ascii="Univers" w:hAnsi="Univers" w:cs="Univers"/>
          <w:b/>
          <w:bCs/>
          <w:color w:val="000000"/>
          <w:spacing w:val="-3"/>
          <w:kern w:val="0"/>
          <w:sz w:val="24"/>
          <w:u w:val="single"/>
        </w:rPr>
        <w:t>D</w:t>
      </w:r>
      <w:r w:rsidRPr="000E2301">
        <w:rPr>
          <w:rFonts w:ascii="Univers" w:hAnsi="Univers" w:cs="Univers"/>
          <w:b/>
          <w:bCs/>
          <w:color w:val="000000"/>
          <w:spacing w:val="1"/>
          <w:kern w:val="0"/>
          <w:sz w:val="24"/>
          <w:u w:val="single"/>
        </w:rPr>
        <w:t>I</w:t>
      </w:r>
      <w:r w:rsidRPr="000E2301">
        <w:rPr>
          <w:rFonts w:ascii="Univers" w:hAnsi="Univers" w:cs="Univers"/>
          <w:b/>
          <w:bCs/>
          <w:color w:val="000000"/>
          <w:spacing w:val="-2"/>
          <w:kern w:val="0"/>
          <w:sz w:val="24"/>
          <w:u w:val="single"/>
        </w:rPr>
        <w:t>NE</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Lamivudine is the first oral NA approved by the United States Food and Drug Administration (FDA) for the treatment of CHB in 1998 at a dose of 100 mg/d. It is an analogue of cytidine [2′</w:t>
      </w:r>
      <w:proofErr w:type="gramStart"/>
      <w:r w:rsidRPr="000E2301">
        <w:rPr>
          <w:rFonts w:ascii="Verdana" w:hAnsi="Verdana" w:cs="Verdana"/>
          <w:color w:val="000000"/>
          <w:spacing w:val="-11"/>
          <w:kern w:val="0"/>
          <w:sz w:val="18"/>
          <w:szCs w:val="18"/>
        </w:rPr>
        <w:t>,3</w:t>
      </w:r>
      <w:proofErr w:type="gramEnd"/>
      <w:r w:rsidRPr="000E2301">
        <w:rPr>
          <w:rFonts w:ascii="Verdana" w:hAnsi="Verdana" w:cs="Verdana"/>
          <w:color w:val="000000"/>
          <w:spacing w:val="-11"/>
          <w:kern w:val="0"/>
          <w:sz w:val="18"/>
          <w:szCs w:val="18"/>
        </w:rPr>
        <w:t xml:space="preserve">′-dideoxy-3′thiacytidine (3TC)] and phosphorylated to its active triphosphates form by intracellular deoxycytidine kinase enzyme. The active anabolite prevents HBV replication by competitively inhibiting viral reverse transcriptase and terminating proviral DNA chain </w:t>
      </w:r>
      <w:proofErr w:type="gramStart"/>
      <w:r w:rsidRPr="000E2301">
        <w:rPr>
          <w:rFonts w:ascii="Verdana" w:hAnsi="Verdana" w:cs="Verdana"/>
          <w:color w:val="000000"/>
          <w:spacing w:val="-11"/>
          <w:kern w:val="0"/>
          <w:sz w:val="18"/>
          <w:szCs w:val="18"/>
        </w:rPr>
        <w:t>extension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20]</w:t>
      </w:r>
      <w:r w:rsidRPr="000E2301">
        <w:rPr>
          <w:rFonts w:ascii="Verdana" w:hAnsi="Verdana" w:cs="Verdana"/>
          <w:color w:val="000000"/>
          <w:spacing w:val="-11"/>
          <w:kern w:val="0"/>
          <w:sz w:val="18"/>
          <w:szCs w:val="18"/>
        </w:rPr>
        <w:t xml:space="preserve">. Lamivudine has been the most experienced oral antiviral in CHB </w:t>
      </w:r>
      <w:proofErr w:type="gramStart"/>
      <w:r w:rsidRPr="000E2301">
        <w:rPr>
          <w:rFonts w:ascii="Verdana" w:hAnsi="Verdana" w:cs="Verdana"/>
          <w:color w:val="000000"/>
          <w:spacing w:val="-11"/>
          <w:kern w:val="0"/>
          <w:sz w:val="18"/>
          <w:szCs w:val="18"/>
        </w:rPr>
        <w:t>patients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8,20]</w:t>
      </w:r>
      <w:r w:rsidRPr="000E2301">
        <w:rPr>
          <w:rFonts w:ascii="Verdana" w:hAnsi="Verdana" w:cs="Verdana"/>
          <w:color w:val="000000"/>
          <w:spacing w:val="-11"/>
          <w:kern w:val="0"/>
          <w:sz w:val="18"/>
          <w:szCs w:val="18"/>
        </w:rPr>
        <w:t xml:space="preserve">. It can be used effectively in a broad range of patients, with minimal adverse </w:t>
      </w:r>
      <w:proofErr w:type="gramStart"/>
      <w:r w:rsidRPr="000E2301">
        <w:rPr>
          <w:rFonts w:ascii="Verdana" w:hAnsi="Verdana" w:cs="Verdana"/>
          <w:color w:val="000000"/>
          <w:spacing w:val="-11"/>
          <w:kern w:val="0"/>
          <w:sz w:val="18"/>
          <w:szCs w:val="18"/>
        </w:rPr>
        <w:t>effects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21]</w:t>
      </w:r>
      <w:r w:rsidRPr="000E2301">
        <w:rPr>
          <w:rFonts w:ascii="Verdana" w:hAnsi="Verdana" w:cs="Verdana"/>
          <w:color w:val="000000"/>
          <w:spacing w:val="-11"/>
          <w:kern w:val="0"/>
          <w:sz w:val="18"/>
          <w:szCs w:val="18"/>
        </w:rPr>
        <w:t xml:space="preserve">. However, long-term treatment of lamivudine is associated with high rates of drug resistance, which lead to virological relapse and biochemical </w:t>
      </w:r>
      <w:proofErr w:type="gramStart"/>
      <w:r w:rsidRPr="000E2301">
        <w:rPr>
          <w:rFonts w:ascii="Verdana" w:hAnsi="Verdana" w:cs="Verdana"/>
          <w:color w:val="000000"/>
          <w:spacing w:val="-11"/>
          <w:kern w:val="0"/>
          <w:sz w:val="18"/>
          <w:szCs w:val="18"/>
        </w:rPr>
        <w:t>ﬂare</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1-3,8]</w:t>
      </w:r>
      <w:r w:rsidRPr="000E2301">
        <w:rPr>
          <w:rFonts w:ascii="Verdana" w:hAnsi="Verdana" w:cs="Verdana"/>
          <w:color w:val="000000"/>
          <w:spacing w:val="-11"/>
          <w:kern w:val="0"/>
          <w:sz w:val="18"/>
          <w:szCs w:val="18"/>
        </w:rPr>
        <w:t xml:space="preserve">. Therefore, lamivudine is recommended as a second-line therapy for the treatment of </w:t>
      </w:r>
      <w:proofErr w:type="gramStart"/>
      <w:r w:rsidRPr="000E2301">
        <w:rPr>
          <w:rFonts w:ascii="Verdana" w:hAnsi="Verdana" w:cs="Verdana"/>
          <w:color w:val="000000"/>
          <w:spacing w:val="-11"/>
          <w:kern w:val="0"/>
          <w:sz w:val="18"/>
          <w:szCs w:val="18"/>
        </w:rPr>
        <w:t>CHB</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1,2]</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Long-term lamivudine treatment was generally well-tolerated by CHB </w:t>
      </w:r>
      <w:proofErr w:type="gramStart"/>
      <w:r w:rsidRPr="000E2301">
        <w:rPr>
          <w:rFonts w:ascii="Verdana" w:hAnsi="Verdana" w:cs="Verdana"/>
          <w:color w:val="000000"/>
          <w:spacing w:val="-11"/>
          <w:kern w:val="0"/>
          <w:sz w:val="18"/>
          <w:szCs w:val="18"/>
        </w:rPr>
        <w:t>patients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21,22]</w:t>
      </w:r>
      <w:r w:rsidRPr="000E2301">
        <w:rPr>
          <w:rFonts w:ascii="Verdana" w:hAnsi="Verdana" w:cs="Verdana"/>
          <w:color w:val="000000"/>
          <w:spacing w:val="-11"/>
          <w:kern w:val="0"/>
          <w:sz w:val="18"/>
          <w:szCs w:val="18"/>
        </w:rPr>
        <w:t xml:space="preserve">. In the GLOBE trial, a large, multi-center phase </w:t>
      </w:r>
      <w:r w:rsidRPr="000E2301">
        <w:rPr>
          <w:rFonts w:ascii="KozMinPro-Regular" w:eastAsia="KozMinPro-Regular" w:hAnsi="Verdana" w:cs="KozMinPro-Regular" w:hint="eastAsia"/>
          <w:color w:val="000000"/>
          <w:spacing w:val="-11"/>
          <w:kern w:val="0"/>
          <w:sz w:val="19"/>
          <w:szCs w:val="19"/>
        </w:rPr>
        <w:t>Ⅲ</w:t>
      </w:r>
      <w:r w:rsidRPr="000E2301">
        <w:rPr>
          <w:rFonts w:ascii="Verdana" w:hAnsi="Verdana" w:cs="Verdana"/>
          <w:color w:val="000000"/>
          <w:spacing w:val="-11"/>
          <w:kern w:val="0"/>
          <w:sz w:val="18"/>
          <w:szCs w:val="18"/>
        </w:rPr>
        <w:t xml:space="preserve"> study, of the 1367 CHB patients who received telbivudine and lamivudine, adverse events were reported in 23% of the lamivudine recipients, similar to the findings for the telbivudine recipients (29%). The most common adverse events were upper respiratory tract infection (16.2%), naso</w:t>
      </w:r>
      <w:r w:rsidRPr="000E2301">
        <w:rPr>
          <w:rFonts w:ascii="Verdana" w:hAnsi="Verdana" w:cs="Verdana"/>
          <w:color w:val="000000"/>
          <w:spacing w:val="-11"/>
          <w:kern w:val="0"/>
          <w:sz w:val="18"/>
          <w:szCs w:val="18"/>
        </w:rPr>
        <w:softHyphen/>
        <w:t xml:space="preserve">pharyngitis (13.1%), headache (13.4%) and fatigue </w:t>
      </w:r>
      <w:r w:rsidRPr="000E2301">
        <w:rPr>
          <w:rFonts w:ascii="Verdana" w:hAnsi="Verdana" w:cs="Verdana"/>
          <w:color w:val="000000"/>
          <w:spacing w:val="-14"/>
          <w:kern w:val="0"/>
          <w:sz w:val="18"/>
          <w:szCs w:val="18"/>
        </w:rPr>
        <w:t xml:space="preserve">(12.1%). Of the patients, 6% (44) experienced serious adverse </w:t>
      </w:r>
      <w:proofErr w:type="gramStart"/>
      <w:r w:rsidRPr="000E2301">
        <w:rPr>
          <w:rFonts w:ascii="Verdana" w:hAnsi="Verdana" w:cs="Verdana"/>
          <w:color w:val="000000"/>
          <w:spacing w:val="-14"/>
          <w:kern w:val="0"/>
          <w:sz w:val="18"/>
          <w:szCs w:val="18"/>
        </w:rPr>
        <w:t>events</w:t>
      </w:r>
      <w:r w:rsidRPr="000E2301">
        <w:rPr>
          <w:rFonts w:ascii="Verdana" w:hAnsi="Verdana" w:cs="Verdana"/>
          <w:color w:val="000000"/>
          <w:spacing w:val="-14"/>
          <w:kern w:val="0"/>
          <w:sz w:val="18"/>
          <w:szCs w:val="18"/>
          <w:vertAlign w:val="superscript"/>
        </w:rPr>
        <w:t>[</w:t>
      </w:r>
      <w:proofErr w:type="gramEnd"/>
      <w:r w:rsidRPr="000E2301">
        <w:rPr>
          <w:rFonts w:ascii="Verdana" w:hAnsi="Verdana" w:cs="Verdana"/>
          <w:color w:val="000000"/>
          <w:spacing w:val="-14"/>
          <w:kern w:val="0"/>
          <w:sz w:val="18"/>
          <w:szCs w:val="18"/>
          <w:vertAlign w:val="superscript"/>
        </w:rPr>
        <w:t>23]</w:t>
      </w:r>
      <w:r w:rsidRPr="000E2301">
        <w:rPr>
          <w:rFonts w:ascii="Verdana" w:hAnsi="Verdana" w:cs="Verdana"/>
          <w:color w:val="000000"/>
          <w:spacing w:val="-14"/>
          <w:kern w:val="0"/>
          <w:sz w:val="18"/>
          <w:szCs w:val="18"/>
        </w:rPr>
        <w:t xml:space="preserve">. The primary adverse event was reported as hepatic flares due to emergence of </w:t>
      </w:r>
      <w:r w:rsidRPr="000E2301">
        <w:rPr>
          <w:rFonts w:ascii="Verdana" w:hAnsi="Verdana" w:cs="Verdana"/>
          <w:color w:val="000000"/>
          <w:spacing w:val="-11"/>
          <w:kern w:val="0"/>
          <w:sz w:val="18"/>
          <w:szCs w:val="18"/>
        </w:rPr>
        <w:t>lamivudine-resistant HBV with prolonged treatment. After 4 years, hepatic decompensation and other severe adverse effects in</w:t>
      </w:r>
      <w:r w:rsidRPr="000E2301">
        <w:rPr>
          <w:rFonts w:ascii="Verdana" w:hAnsi="Verdana" w:cs="Verdana"/>
          <w:color w:val="000000"/>
          <w:spacing w:val="-11"/>
          <w:kern w:val="0"/>
          <w:sz w:val="18"/>
          <w:szCs w:val="18"/>
        </w:rPr>
        <w:softHyphen/>
        <w:t xml:space="preserve">creased among patients with lamivudine </w:t>
      </w:r>
      <w:proofErr w:type="gramStart"/>
      <w:r w:rsidRPr="000E2301">
        <w:rPr>
          <w:rFonts w:ascii="Verdana" w:hAnsi="Verdana" w:cs="Verdana"/>
          <w:color w:val="000000"/>
          <w:spacing w:val="-11"/>
          <w:kern w:val="0"/>
          <w:sz w:val="18"/>
          <w:szCs w:val="18"/>
        </w:rPr>
        <w:t>resistance</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24]</w:t>
      </w:r>
      <w:r w:rsidRPr="000E2301">
        <w:rPr>
          <w:rFonts w:ascii="Verdana" w:hAnsi="Verdana" w:cs="Verdana"/>
          <w:color w:val="000000"/>
          <w:spacing w:val="-11"/>
          <w:kern w:val="0"/>
          <w:sz w:val="18"/>
          <w:szCs w:val="18"/>
        </w:rPr>
        <w:t xml:space="preserve">. In an Asian study by Leung </w:t>
      </w:r>
      <w:r w:rsidRPr="000E2301">
        <w:rPr>
          <w:rFonts w:ascii="Verdana" w:hAnsi="Verdana" w:cs="Verdana"/>
          <w:i/>
          <w:iCs/>
          <w:color w:val="000000"/>
          <w:spacing w:val="-11"/>
          <w:kern w:val="0"/>
          <w:sz w:val="18"/>
          <w:szCs w:val="18"/>
        </w:rPr>
        <w:t xml:space="preserve">et </w:t>
      </w:r>
      <w:proofErr w:type="gramStart"/>
      <w:r w:rsidRPr="000E2301">
        <w:rPr>
          <w:rFonts w:ascii="Verdana" w:hAnsi="Verdana" w:cs="Verdana"/>
          <w:i/>
          <w:iCs/>
          <w:color w:val="000000"/>
          <w:spacing w:val="-11"/>
          <w:kern w:val="0"/>
          <w:sz w:val="18"/>
          <w:szCs w:val="18"/>
        </w:rPr>
        <w:t>al</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22]</w:t>
      </w:r>
      <w:r w:rsidRPr="000E2301">
        <w:rPr>
          <w:rFonts w:ascii="Verdana" w:hAnsi="Verdana" w:cs="Verdana"/>
          <w:color w:val="000000"/>
          <w:spacing w:val="-11"/>
          <w:kern w:val="0"/>
          <w:sz w:val="18"/>
          <w:szCs w:val="18"/>
        </w:rPr>
        <w:t>, 12%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7) of patients treated with lamivudine experienced severe side effects. Most of these were increased transaminase and CK levels, and resolved spontaneously. Increased alanine aminotransferase (ALT) levels were generally associated with emergence of YMDD mutant strains and had no clinical importance. In another study conducted among 998 patients with hepatitis B e antigen (HBeAg)-positive compensated liver disease who were treated with lamivudine for up to 6 years, lamivudine demonstrated a good safety profile, with only a 5% rate of severe adverse </w:t>
      </w:r>
      <w:proofErr w:type="gramStart"/>
      <w:r w:rsidRPr="000E2301">
        <w:rPr>
          <w:rFonts w:ascii="Verdana" w:hAnsi="Verdana" w:cs="Verdana"/>
          <w:color w:val="000000"/>
          <w:spacing w:val="-11"/>
          <w:kern w:val="0"/>
          <w:sz w:val="18"/>
          <w:szCs w:val="18"/>
        </w:rPr>
        <w:t>events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24]</w:t>
      </w:r>
      <w:r w:rsidRPr="000E2301">
        <w:rPr>
          <w:rFonts w:ascii="Verdana" w:hAnsi="Verdana" w:cs="Verdana"/>
          <w:color w:val="000000"/>
          <w:spacing w:val="-11"/>
          <w:kern w:val="0"/>
          <w:sz w:val="18"/>
          <w:szCs w:val="18"/>
        </w:rPr>
        <w:t xml:space="preserve">. Similarly, lamivudine has been found to be effective in HBV DNA decrease, ALT normalization and histological improvement, and it was well-tolerated by patients with cirrhosis. Lamivudine had been used in patients with acute or fulminant hepatitis without any adverse event, and led to fast recovery and increased </w:t>
      </w:r>
      <w:proofErr w:type="gramStart"/>
      <w:r w:rsidRPr="000E2301">
        <w:rPr>
          <w:rFonts w:ascii="Verdana" w:hAnsi="Verdana" w:cs="Verdana"/>
          <w:color w:val="000000"/>
          <w:spacing w:val="-11"/>
          <w:kern w:val="0"/>
          <w:sz w:val="18"/>
          <w:szCs w:val="18"/>
        </w:rPr>
        <w:t>survival</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25]</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Lamivudine has a good safety profile in different patient populations having some comorbid diseases. It is the most experienced drug for preemptive treatment of hepatitis B infection in solid-organ recipient and immunosuppressive </w:t>
      </w:r>
      <w:proofErr w:type="gramStart"/>
      <w:r w:rsidRPr="000E2301">
        <w:rPr>
          <w:rFonts w:ascii="Verdana" w:hAnsi="Verdana" w:cs="Verdana"/>
          <w:color w:val="000000"/>
          <w:spacing w:val="-11"/>
          <w:kern w:val="0"/>
          <w:sz w:val="18"/>
          <w:szCs w:val="18"/>
        </w:rPr>
        <w:t>patients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w:t>
      </w:r>
      <w:r w:rsidRPr="000E2301">
        <w:rPr>
          <w:rFonts w:ascii="Verdana" w:hAnsi="Verdana" w:cs="Verdana"/>
          <w:color w:val="000000"/>
          <w:spacing w:val="-11"/>
          <w:kern w:val="0"/>
          <w:sz w:val="18"/>
          <w:szCs w:val="18"/>
        </w:rPr>
        <w:t xml:space="preserve">. There are limited data for experiences with the other </w:t>
      </w:r>
      <w:proofErr w:type="gramStart"/>
      <w:r w:rsidRPr="000E2301">
        <w:rPr>
          <w:rFonts w:ascii="Verdana" w:hAnsi="Verdana" w:cs="Verdana"/>
          <w:color w:val="000000"/>
          <w:spacing w:val="-11"/>
          <w:kern w:val="0"/>
          <w:sz w:val="18"/>
          <w:szCs w:val="18"/>
        </w:rPr>
        <w:t>NAs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26]</w:t>
      </w:r>
      <w:r w:rsidRPr="000E2301">
        <w:rPr>
          <w:rFonts w:ascii="Verdana" w:hAnsi="Verdana" w:cs="Verdana"/>
          <w:color w:val="000000"/>
          <w:spacing w:val="-11"/>
          <w:kern w:val="0"/>
          <w:sz w:val="18"/>
          <w:szCs w:val="18"/>
        </w:rPr>
        <w:t xml:space="preserve">. Although highly potent oral NAs with high genetic barriers to antiviral resistance, such as entecavir and tenofovir, have become the current preferred regimen, lamivudine remains a therapeutic option for hepatitis B prophylaxis since it is the most cost-effective choice for these </w:t>
      </w:r>
      <w:proofErr w:type="gramStart"/>
      <w:r w:rsidRPr="000E2301">
        <w:rPr>
          <w:rFonts w:ascii="Verdana" w:hAnsi="Verdana" w:cs="Verdana"/>
          <w:color w:val="000000"/>
          <w:spacing w:val="-11"/>
          <w:kern w:val="0"/>
          <w:sz w:val="18"/>
          <w:szCs w:val="18"/>
        </w:rPr>
        <w:t>patients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27,28]</w:t>
      </w:r>
      <w:r w:rsidRPr="000E2301">
        <w:rPr>
          <w:rFonts w:ascii="Verdana" w:hAnsi="Verdana" w:cs="Verdana"/>
          <w:color w:val="000000"/>
          <w:spacing w:val="-11"/>
          <w:kern w:val="0"/>
          <w:sz w:val="18"/>
          <w:szCs w:val="18"/>
        </w:rPr>
        <w:t xml:space="preserve">. Lamivudine has been well tolerated by patients receiving immunosuppressive treatment. In a systematic review investigating the preventive effect of lamivudine on chemotherapy - induced hepatitis B-related morbidity and mortality in hepatitis B surface antigen (HBsAg)-positive patients with cancer, none of the eight studies that recorded safety profile of lamivudine reported any significant adverse </w:t>
      </w:r>
      <w:proofErr w:type="gramStart"/>
      <w:r w:rsidRPr="000E2301">
        <w:rPr>
          <w:rFonts w:ascii="Verdana" w:hAnsi="Verdana" w:cs="Verdana"/>
          <w:color w:val="000000"/>
          <w:spacing w:val="-11"/>
          <w:kern w:val="0"/>
          <w:sz w:val="18"/>
          <w:szCs w:val="18"/>
        </w:rPr>
        <w:t>events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29]</w:t>
      </w:r>
      <w:r w:rsidRPr="000E2301">
        <w:rPr>
          <w:rFonts w:ascii="Verdana" w:hAnsi="Verdana" w:cs="Verdana"/>
          <w:color w:val="000000"/>
          <w:spacing w:val="-11"/>
          <w:kern w:val="0"/>
          <w:sz w:val="18"/>
          <w:szCs w:val="18"/>
        </w:rPr>
        <w:t xml:space="preserve">. Lamivudine has also been used safely in children without any serious side effects. In one study, only slight and transient increase of ALT levels were reported in 6.8% of children with CHB, without any complaint or clinical </w:t>
      </w:r>
      <w:proofErr w:type="gramStart"/>
      <w:r w:rsidRPr="000E2301">
        <w:rPr>
          <w:rFonts w:ascii="Verdana" w:hAnsi="Verdana" w:cs="Verdana"/>
          <w:color w:val="000000"/>
          <w:spacing w:val="-11"/>
          <w:kern w:val="0"/>
          <w:sz w:val="18"/>
          <w:szCs w:val="18"/>
        </w:rPr>
        <w:t>findings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30]</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Serious adverse events have rarely been reported with lamivudine </w:t>
      </w:r>
      <w:proofErr w:type="gramStart"/>
      <w:r w:rsidRPr="000E2301">
        <w:rPr>
          <w:rFonts w:ascii="Verdana" w:hAnsi="Verdana" w:cs="Verdana"/>
          <w:color w:val="000000"/>
          <w:spacing w:val="-11"/>
          <w:kern w:val="0"/>
          <w:sz w:val="18"/>
          <w:szCs w:val="18"/>
        </w:rPr>
        <w:t>treatment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31,32]</w:t>
      </w:r>
      <w:r w:rsidRPr="000E2301">
        <w:rPr>
          <w:rFonts w:ascii="Verdana" w:hAnsi="Verdana" w:cs="Verdana"/>
          <w:color w:val="000000"/>
          <w:spacing w:val="-11"/>
          <w:kern w:val="0"/>
          <w:sz w:val="18"/>
          <w:szCs w:val="18"/>
        </w:rPr>
        <w:t xml:space="preserve">. Lamivudine-induced rhabdomyolysis is one of them and characterized by a triad of muscle weakness, myalgia and abnormal laboratory findings including CK elevation, increased </w:t>
      </w:r>
      <w:r w:rsidRPr="000E2301">
        <w:rPr>
          <w:rFonts w:ascii="Verdana" w:hAnsi="Verdana" w:cs="Verdana"/>
          <w:color w:val="000000"/>
          <w:spacing w:val="-13"/>
          <w:kern w:val="0"/>
          <w:sz w:val="18"/>
          <w:szCs w:val="18"/>
        </w:rPr>
        <w:t xml:space="preserve">urine and blood myoglobin level, and acute renal injury. Tubular damage and </w:t>
      </w:r>
      <w:r w:rsidRPr="000E2301">
        <w:rPr>
          <w:rFonts w:ascii="Verdana" w:hAnsi="Verdana" w:cs="Verdana"/>
          <w:color w:val="000000"/>
          <w:spacing w:val="-13"/>
          <w:kern w:val="0"/>
          <w:sz w:val="18"/>
          <w:szCs w:val="18"/>
        </w:rPr>
        <w:lastRenderedPageBreak/>
        <w:t xml:space="preserve">obstruction is considered the main reason underlying </w:t>
      </w:r>
      <w:proofErr w:type="gramStart"/>
      <w:r w:rsidRPr="000E2301">
        <w:rPr>
          <w:rFonts w:ascii="Verdana" w:hAnsi="Verdana" w:cs="Verdana"/>
          <w:color w:val="000000"/>
          <w:spacing w:val="-13"/>
          <w:kern w:val="0"/>
          <w:sz w:val="18"/>
          <w:szCs w:val="18"/>
        </w:rPr>
        <w:t>pathogenesis</w:t>
      </w:r>
      <w:r w:rsidRPr="000E2301">
        <w:rPr>
          <w:rFonts w:ascii="Verdana" w:hAnsi="Verdana" w:cs="Verdana"/>
          <w:color w:val="000000"/>
          <w:spacing w:val="-13"/>
          <w:kern w:val="0"/>
          <w:sz w:val="18"/>
          <w:szCs w:val="18"/>
          <w:vertAlign w:val="superscript"/>
        </w:rPr>
        <w:t>[</w:t>
      </w:r>
      <w:proofErr w:type="gramEnd"/>
      <w:r w:rsidRPr="000E2301">
        <w:rPr>
          <w:rFonts w:ascii="Verdana" w:hAnsi="Verdana" w:cs="Verdana"/>
          <w:color w:val="000000"/>
          <w:spacing w:val="-13"/>
          <w:kern w:val="0"/>
          <w:sz w:val="18"/>
          <w:szCs w:val="18"/>
          <w:vertAlign w:val="superscript"/>
        </w:rPr>
        <w:t>31-33]</w:t>
      </w:r>
      <w:r w:rsidRPr="000E2301">
        <w:rPr>
          <w:rFonts w:ascii="Verdana" w:hAnsi="Verdana" w:cs="Verdana"/>
          <w:color w:val="000000"/>
          <w:spacing w:val="-13"/>
          <w:kern w:val="0"/>
          <w:sz w:val="18"/>
          <w:szCs w:val="18"/>
        </w:rPr>
        <w:t>. Clinical and laboratory findings improve generally within a few</w:t>
      </w:r>
      <w:r w:rsidRPr="000E2301">
        <w:rPr>
          <w:rFonts w:ascii="Verdana" w:hAnsi="Verdana" w:cs="Verdana"/>
          <w:color w:val="000000"/>
          <w:spacing w:val="-11"/>
          <w:kern w:val="0"/>
          <w:sz w:val="18"/>
          <w:szCs w:val="18"/>
        </w:rPr>
        <w:t xml:space="preserve"> days after cessation of the drug. However, in one case, rhabdomyolysis relapsed after readministration of la</w:t>
      </w:r>
      <w:r w:rsidRPr="000E2301">
        <w:rPr>
          <w:rFonts w:ascii="Verdana" w:hAnsi="Verdana" w:cs="Verdana"/>
          <w:color w:val="000000"/>
          <w:spacing w:val="-11"/>
          <w:kern w:val="0"/>
          <w:sz w:val="18"/>
          <w:szCs w:val="18"/>
        </w:rPr>
        <w:softHyphen/>
        <w:t xml:space="preserve">mivudine for HBV infection prophylaxis and resolved completely after discontinuation of the drug </w:t>
      </w:r>
      <w:proofErr w:type="gramStart"/>
      <w:r w:rsidRPr="000E2301">
        <w:rPr>
          <w:rFonts w:ascii="Verdana" w:hAnsi="Verdana" w:cs="Verdana"/>
          <w:color w:val="000000"/>
          <w:spacing w:val="-11"/>
          <w:kern w:val="0"/>
          <w:sz w:val="18"/>
          <w:szCs w:val="18"/>
        </w:rPr>
        <w:t>again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34]</w:t>
      </w:r>
      <w:r w:rsidRPr="000E2301">
        <w:rPr>
          <w:rFonts w:ascii="Verdana" w:hAnsi="Verdana" w:cs="Verdana"/>
          <w:color w:val="000000"/>
          <w:spacing w:val="-11"/>
          <w:kern w:val="0"/>
          <w:sz w:val="18"/>
          <w:szCs w:val="18"/>
        </w:rPr>
        <w:t xml:space="preserve">. The mortality rate was reported to be high in patients who developed rhabdomyolysis and may be reduced by the early recognition of the disease and fluid </w:t>
      </w:r>
      <w:proofErr w:type="gramStart"/>
      <w:r w:rsidRPr="000E2301">
        <w:rPr>
          <w:rFonts w:ascii="Verdana" w:hAnsi="Verdana" w:cs="Verdana"/>
          <w:color w:val="000000"/>
          <w:spacing w:val="-11"/>
          <w:kern w:val="0"/>
          <w:sz w:val="18"/>
          <w:szCs w:val="18"/>
        </w:rPr>
        <w:t>resuscitations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31]</w:t>
      </w:r>
      <w:r w:rsidRPr="000E2301">
        <w:rPr>
          <w:rFonts w:ascii="Verdana" w:hAnsi="Verdana" w:cs="Verdana"/>
          <w:color w:val="000000"/>
          <w:spacing w:val="-11"/>
          <w:kern w:val="0"/>
          <w:sz w:val="18"/>
          <w:szCs w:val="18"/>
        </w:rPr>
        <w:t xml:space="preserve">. Lamivudine-induced acute dystonic reaction was reported in 2 patients, and the acute dystonia resolved after discontinuing the lamivudine </w:t>
      </w:r>
      <w:proofErr w:type="gramStart"/>
      <w:r w:rsidRPr="000E2301">
        <w:rPr>
          <w:rFonts w:ascii="Verdana" w:hAnsi="Verdana" w:cs="Verdana"/>
          <w:color w:val="000000"/>
          <w:spacing w:val="-11"/>
          <w:kern w:val="0"/>
          <w:sz w:val="18"/>
          <w:szCs w:val="18"/>
        </w:rPr>
        <w:t>therapy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35]</w:t>
      </w:r>
      <w:r w:rsidRPr="000E2301">
        <w:rPr>
          <w:rFonts w:ascii="Verdana" w:hAnsi="Verdana" w:cs="Verdana"/>
          <w:color w:val="000000"/>
          <w:spacing w:val="-11"/>
          <w:kern w:val="0"/>
          <w:sz w:val="18"/>
          <w:szCs w:val="18"/>
        </w:rPr>
        <w:t xml:space="preserve">. Lamivudine-associated ichthyosiform eruptions and pancreatitis cases have been reported in the </w:t>
      </w:r>
      <w:proofErr w:type="gramStart"/>
      <w:r w:rsidRPr="000E2301">
        <w:rPr>
          <w:rFonts w:ascii="Verdana" w:hAnsi="Verdana" w:cs="Verdana"/>
          <w:color w:val="000000"/>
          <w:spacing w:val="-11"/>
          <w:kern w:val="0"/>
          <w:sz w:val="18"/>
          <w:szCs w:val="18"/>
        </w:rPr>
        <w:t>literature</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25,36-38]</w:t>
      </w:r>
      <w:r w:rsidRPr="000E2301">
        <w:rPr>
          <w:rFonts w:ascii="Verdana" w:hAnsi="Verdana" w:cs="Verdana"/>
          <w:color w:val="000000"/>
          <w:spacing w:val="-11"/>
          <w:kern w:val="0"/>
          <w:sz w:val="18"/>
          <w:szCs w:val="18"/>
        </w:rPr>
        <w:t>.</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1"/>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1"/>
          <w:kern w:val="0"/>
          <w:sz w:val="24"/>
          <w:u w:val="single"/>
        </w:rPr>
        <w:t>T</w:t>
      </w:r>
      <w:r w:rsidRPr="000E2301">
        <w:rPr>
          <w:rFonts w:ascii="Univers" w:hAnsi="Univers" w:cs="Univers"/>
          <w:b/>
          <w:bCs/>
          <w:color w:val="000000"/>
          <w:spacing w:val="-2"/>
          <w:kern w:val="0"/>
          <w:sz w:val="24"/>
          <w:u w:val="single"/>
        </w:rPr>
        <w:t>E</w:t>
      </w:r>
      <w:r w:rsidRPr="000E2301">
        <w:rPr>
          <w:rFonts w:ascii="Univers" w:hAnsi="Univers" w:cs="Univers"/>
          <w:b/>
          <w:bCs/>
          <w:color w:val="000000"/>
          <w:spacing w:val="1"/>
          <w:kern w:val="0"/>
          <w:sz w:val="24"/>
          <w:u w:val="single"/>
        </w:rPr>
        <w:t>L</w:t>
      </w:r>
      <w:r w:rsidRPr="000E2301">
        <w:rPr>
          <w:rFonts w:ascii="Univers" w:hAnsi="Univers" w:cs="Univers"/>
          <w:b/>
          <w:bCs/>
          <w:color w:val="000000"/>
          <w:spacing w:val="-2"/>
          <w:kern w:val="0"/>
          <w:sz w:val="24"/>
          <w:u w:val="single"/>
        </w:rPr>
        <w:t>BIVUD</w:t>
      </w:r>
      <w:r w:rsidRPr="000E2301">
        <w:rPr>
          <w:rFonts w:ascii="Univers" w:hAnsi="Univers" w:cs="Univers"/>
          <w:b/>
          <w:bCs/>
          <w:color w:val="000000"/>
          <w:spacing w:val="1"/>
          <w:kern w:val="0"/>
          <w:sz w:val="24"/>
          <w:u w:val="single"/>
        </w:rPr>
        <w:t>I</w:t>
      </w:r>
      <w:r w:rsidRPr="000E2301">
        <w:rPr>
          <w:rFonts w:ascii="Univers" w:hAnsi="Univers" w:cs="Univers"/>
          <w:b/>
          <w:bCs/>
          <w:color w:val="000000"/>
          <w:spacing w:val="-2"/>
          <w:kern w:val="0"/>
          <w:sz w:val="24"/>
          <w:u w:val="single"/>
        </w:rPr>
        <w:t>NE</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Telbivudine is a thymidine nucleoside analogue which selectively inhibits HBV DNA synthesis. It was approved in 2006 for the treatment of CHB patients at a dose of 600 mg/d. Telbivudine is a more potent NA against HBV compared to lamivudine and </w:t>
      </w:r>
      <w:proofErr w:type="gramStart"/>
      <w:r w:rsidRPr="000E2301">
        <w:rPr>
          <w:rFonts w:ascii="Verdana" w:hAnsi="Verdana" w:cs="Verdana"/>
          <w:color w:val="000000"/>
          <w:spacing w:val="-11"/>
          <w:kern w:val="0"/>
          <w:sz w:val="18"/>
          <w:szCs w:val="18"/>
        </w:rPr>
        <w:t>adefovir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3,39]</w:t>
      </w:r>
      <w:r w:rsidRPr="000E2301">
        <w:rPr>
          <w:rFonts w:ascii="Verdana" w:hAnsi="Verdana" w:cs="Verdana"/>
          <w:color w:val="000000"/>
          <w:spacing w:val="-11"/>
          <w:kern w:val="0"/>
          <w:sz w:val="18"/>
          <w:szCs w:val="18"/>
        </w:rPr>
        <w:t xml:space="preserve">. However, high resistance rates limit the use of telbivudine as the firstline </w:t>
      </w:r>
      <w:proofErr w:type="gramStart"/>
      <w:r w:rsidRPr="000E2301">
        <w:rPr>
          <w:rFonts w:ascii="Verdana" w:hAnsi="Verdana" w:cs="Verdana"/>
          <w:color w:val="000000"/>
          <w:spacing w:val="-11"/>
          <w:kern w:val="0"/>
          <w:sz w:val="18"/>
          <w:szCs w:val="18"/>
        </w:rPr>
        <w:t>therapy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2,3]</w:t>
      </w:r>
      <w:r w:rsidRPr="000E2301">
        <w:rPr>
          <w:rFonts w:ascii="Verdana" w:hAnsi="Verdana" w:cs="Verdana"/>
          <w:color w:val="000000"/>
          <w:spacing w:val="-11"/>
          <w:kern w:val="0"/>
          <w:sz w:val="18"/>
          <w:szCs w:val="18"/>
        </w:rPr>
        <w:t xml:space="preserve">. Upper respiratory tract infection, nasopharyngitis, fatigue and headache were reported as the most frequent adverse events associated with telbivudine use. Adverse events’ frequencies were found to be similar in lamivudine and telbivudine groups. However, Grade 3/4 increase in CK level occurred more commonly in patients given telbivudine (12.9% </w:t>
      </w:r>
      <w:r w:rsidRPr="000E2301">
        <w:rPr>
          <w:rFonts w:ascii="Verdana" w:hAnsi="Verdana" w:cs="Verdana"/>
          <w:i/>
          <w:iCs/>
          <w:color w:val="000000"/>
          <w:spacing w:val="-11"/>
          <w:kern w:val="0"/>
          <w:sz w:val="18"/>
          <w:szCs w:val="18"/>
        </w:rPr>
        <w:t>vs</w:t>
      </w:r>
      <w:r w:rsidRPr="000E2301">
        <w:rPr>
          <w:rFonts w:ascii="Verdana" w:hAnsi="Verdana" w:cs="Verdana"/>
          <w:color w:val="000000"/>
          <w:spacing w:val="-11"/>
          <w:kern w:val="0"/>
          <w:sz w:val="18"/>
          <w:szCs w:val="18"/>
        </w:rPr>
        <w:t xml:space="preserve"> 4.1%), but these were not associated with musculoskeletal adverse events and no rhabdomyolysis cases were detected during the study </w:t>
      </w:r>
      <w:proofErr w:type="gramStart"/>
      <w:r w:rsidRPr="000E2301">
        <w:rPr>
          <w:rFonts w:ascii="Verdana" w:hAnsi="Verdana" w:cs="Verdana"/>
          <w:color w:val="000000"/>
          <w:spacing w:val="-11"/>
          <w:kern w:val="0"/>
          <w:sz w:val="18"/>
          <w:szCs w:val="18"/>
        </w:rPr>
        <w:t>period</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23]</w:t>
      </w:r>
      <w:r w:rsidRPr="000E2301">
        <w:rPr>
          <w:rFonts w:ascii="Verdana" w:hAnsi="Verdana" w:cs="Verdana"/>
          <w:color w:val="000000"/>
          <w:spacing w:val="-11"/>
          <w:kern w:val="0"/>
          <w:sz w:val="18"/>
          <w:szCs w:val="18"/>
        </w:rPr>
        <w:t xml:space="preserve">. CK elevations were generally self-limiting and asymptomatic. Discontinuation of telbivudine was not required in most of the cases. Telbivudine-associated myopathy and CK elevations have been reported in several </w:t>
      </w:r>
      <w:proofErr w:type="gramStart"/>
      <w:r w:rsidRPr="000E2301">
        <w:rPr>
          <w:rFonts w:ascii="Verdana" w:hAnsi="Verdana" w:cs="Verdana"/>
          <w:color w:val="000000"/>
          <w:spacing w:val="-11"/>
          <w:kern w:val="0"/>
          <w:sz w:val="18"/>
          <w:szCs w:val="18"/>
        </w:rPr>
        <w:t>studies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12,40-42]</w:t>
      </w:r>
      <w:r w:rsidRPr="000E2301">
        <w:rPr>
          <w:rFonts w:ascii="Verdana" w:hAnsi="Verdana" w:cs="Verdana"/>
          <w:color w:val="000000"/>
          <w:spacing w:val="-11"/>
          <w:kern w:val="0"/>
          <w:sz w:val="18"/>
          <w:szCs w:val="18"/>
        </w:rPr>
        <w:t xml:space="preserve">. Zou </w:t>
      </w:r>
      <w:r w:rsidRPr="000E2301">
        <w:rPr>
          <w:rFonts w:ascii="Verdana" w:hAnsi="Verdana" w:cs="Verdana"/>
          <w:i/>
          <w:iCs/>
          <w:color w:val="000000"/>
          <w:spacing w:val="-11"/>
          <w:kern w:val="0"/>
          <w:sz w:val="18"/>
          <w:szCs w:val="18"/>
        </w:rPr>
        <w:t xml:space="preserve">et </w:t>
      </w:r>
      <w:proofErr w:type="gramStart"/>
      <w:r w:rsidRPr="000E2301">
        <w:rPr>
          <w:rFonts w:ascii="Verdana" w:hAnsi="Verdana" w:cs="Verdana"/>
          <w:i/>
          <w:iCs/>
          <w:color w:val="000000"/>
          <w:spacing w:val="-13"/>
          <w:kern w:val="0"/>
          <w:sz w:val="18"/>
          <w:szCs w:val="18"/>
        </w:rPr>
        <w:t>al</w:t>
      </w:r>
      <w:r w:rsidRPr="000E2301">
        <w:rPr>
          <w:rFonts w:ascii="Verdana" w:hAnsi="Verdana" w:cs="Verdana"/>
          <w:color w:val="000000"/>
          <w:spacing w:val="-13"/>
          <w:kern w:val="0"/>
          <w:sz w:val="18"/>
          <w:szCs w:val="18"/>
          <w:vertAlign w:val="superscript"/>
        </w:rPr>
        <w:t>[</w:t>
      </w:r>
      <w:proofErr w:type="gramEnd"/>
      <w:r w:rsidRPr="000E2301">
        <w:rPr>
          <w:rFonts w:ascii="Verdana" w:hAnsi="Verdana" w:cs="Verdana"/>
          <w:color w:val="000000"/>
          <w:spacing w:val="-13"/>
          <w:kern w:val="0"/>
          <w:sz w:val="18"/>
          <w:szCs w:val="18"/>
          <w:vertAlign w:val="superscript"/>
        </w:rPr>
        <w:t>41]</w:t>
      </w:r>
      <w:r w:rsidRPr="000E2301">
        <w:rPr>
          <w:rFonts w:ascii="Verdana" w:hAnsi="Verdana" w:cs="Verdana"/>
          <w:color w:val="000000"/>
          <w:spacing w:val="-13"/>
          <w:kern w:val="0"/>
          <w:sz w:val="18"/>
          <w:szCs w:val="18"/>
        </w:rPr>
        <w:t xml:space="preserve"> conducted a prospective study to investigate </w:t>
      </w:r>
      <w:r w:rsidRPr="000E2301">
        <w:rPr>
          <w:rFonts w:ascii="Verdana" w:hAnsi="Verdana" w:cs="Verdana"/>
          <w:color w:val="000000"/>
          <w:spacing w:val="-11"/>
          <w:kern w:val="0"/>
          <w:sz w:val="18"/>
          <w:szCs w:val="18"/>
        </w:rPr>
        <w:t>clinical features and risk factors of telbivudine-associated myopathy and CK elevations. The serum CK levels of 200 patients treated with telbivudine were analyzed. The 3-year cumulative incidence of CK elevations was considerably high (84.3%). Nine patients (5%) experienced myopathy and were required to discontinue telbivudine therapy in 3 of those. None of the patients developed rhabdomyolysis. CK elevations were reported to occur in males more often than in females and in those with HBeAg negativit and aged &lt; 45 years. In another study in which 105 patients given telbivudine were evaluated for adverse reactions, 5 presented serious adverse events. There was nervous system damage in 3 of the cases and cardiac arrhythmia in 1 case. All 5 patients had elevated CK enzymes. Therefore, it is recommended that CHB patients treated with telbivudine should be monitored closely for musculoskeletal sym</w:t>
      </w:r>
      <w:r w:rsidRPr="000E2301">
        <w:rPr>
          <w:rFonts w:ascii="Verdana" w:hAnsi="Verdana" w:cs="Verdana"/>
          <w:color w:val="000000"/>
          <w:spacing w:val="-11"/>
          <w:kern w:val="0"/>
          <w:sz w:val="18"/>
          <w:szCs w:val="18"/>
        </w:rPr>
        <w:softHyphen/>
        <w:t xml:space="preserve">ptoms and CK enzyme </w:t>
      </w:r>
      <w:proofErr w:type="gramStart"/>
      <w:r w:rsidRPr="000E2301">
        <w:rPr>
          <w:rFonts w:ascii="Verdana" w:hAnsi="Verdana" w:cs="Verdana"/>
          <w:color w:val="000000"/>
          <w:spacing w:val="-11"/>
          <w:kern w:val="0"/>
          <w:sz w:val="18"/>
          <w:szCs w:val="18"/>
        </w:rPr>
        <w:t>levels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Book Antiqua" w:hAnsi="Book Antiqua" w:cs="Book Antiqua"/>
          <w:color w:val="000000"/>
          <w:spacing w:val="-9"/>
          <w:kern w:val="0"/>
          <w:sz w:val="18"/>
          <w:szCs w:val="18"/>
        </w:rPr>
      </w:pPr>
      <w:r w:rsidRPr="000E2301">
        <w:rPr>
          <w:rFonts w:ascii="Verdana" w:hAnsi="Verdana" w:cs="Verdana"/>
          <w:color w:val="000000"/>
          <w:spacing w:val="-11"/>
          <w:kern w:val="0"/>
          <w:sz w:val="18"/>
          <w:szCs w:val="18"/>
        </w:rPr>
        <w:t xml:space="preserve">Some infrequent but serious side effects were reported in previous studies. Lactic acidosis is one of them and it was reported also in patients treated with all the other </w:t>
      </w:r>
      <w:proofErr w:type="gramStart"/>
      <w:r w:rsidRPr="000E2301">
        <w:rPr>
          <w:rFonts w:ascii="Verdana" w:hAnsi="Verdana" w:cs="Verdana"/>
          <w:color w:val="000000"/>
          <w:spacing w:val="-11"/>
          <w:kern w:val="0"/>
          <w:sz w:val="18"/>
          <w:szCs w:val="18"/>
        </w:rPr>
        <w:t>nucleos(</w:t>
      </w:r>
      <w:proofErr w:type="gramEnd"/>
      <w:r w:rsidRPr="000E2301">
        <w:rPr>
          <w:rFonts w:ascii="Verdana" w:hAnsi="Verdana" w:cs="Verdana"/>
          <w:color w:val="000000"/>
          <w:spacing w:val="-11"/>
          <w:kern w:val="0"/>
          <w:sz w:val="18"/>
          <w:szCs w:val="18"/>
        </w:rPr>
        <w:t>t)ide analogues</w:t>
      </w:r>
      <w:r w:rsidRPr="000E2301">
        <w:rPr>
          <w:rFonts w:ascii="Verdana" w:hAnsi="Verdana" w:cs="Verdana"/>
          <w:color w:val="000000"/>
          <w:spacing w:val="-11"/>
          <w:kern w:val="0"/>
          <w:sz w:val="18"/>
          <w:szCs w:val="18"/>
          <w:vertAlign w:val="superscript"/>
        </w:rPr>
        <w:t>[43]</w:t>
      </w:r>
      <w:r w:rsidRPr="000E2301">
        <w:rPr>
          <w:rFonts w:ascii="Verdana" w:hAnsi="Verdana" w:cs="Verdana"/>
          <w:color w:val="000000"/>
          <w:spacing w:val="-11"/>
          <w:kern w:val="0"/>
          <w:sz w:val="18"/>
          <w:szCs w:val="18"/>
        </w:rPr>
        <w:t>. It results from mitochondrial dysfunction or loss due to the inhibitor activity of telbivudine on human mitochondrial DNA polymerase-</w:t>
      </w:r>
      <w:r w:rsidRPr="000E2301">
        <w:rPr>
          <w:rFonts w:ascii="Symbol" w:hAnsi="Symbol" w:cs="Symbol"/>
          <w:color w:val="000000"/>
          <w:spacing w:val="-11"/>
          <w:kern w:val="0"/>
          <w:sz w:val="18"/>
          <w:szCs w:val="18"/>
        </w:rPr>
        <w:t></w:t>
      </w:r>
      <w:r w:rsidRPr="000E2301">
        <w:rPr>
          <w:rFonts w:ascii="Verdana" w:hAnsi="Verdana" w:cs="Verdana"/>
          <w:color w:val="000000"/>
          <w:spacing w:val="-11"/>
          <w:kern w:val="0"/>
          <w:sz w:val="18"/>
          <w:szCs w:val="18"/>
        </w:rPr>
        <w:t>. A few lactic acidosis cases depending on telbivudine therapy were reported in the literature. The symptoms of patients were anorexia, nausea, vo</w:t>
      </w:r>
      <w:r w:rsidRPr="000E2301">
        <w:rPr>
          <w:rFonts w:ascii="Verdana" w:hAnsi="Verdana" w:cs="Verdana"/>
          <w:color w:val="000000"/>
          <w:spacing w:val="-11"/>
          <w:kern w:val="0"/>
          <w:sz w:val="18"/>
          <w:szCs w:val="18"/>
        </w:rPr>
        <w:softHyphen/>
        <w:t xml:space="preserve">miting, muscle pain and weakness in upper and lower extremities. The laboratory tests revealed elevated </w:t>
      </w:r>
      <w:r w:rsidRPr="000E2301">
        <w:rPr>
          <w:rFonts w:ascii="Verdana" w:hAnsi="Verdana" w:cs="Verdana"/>
          <w:color w:val="000000"/>
          <w:spacing w:val="-14"/>
          <w:kern w:val="0"/>
          <w:sz w:val="18"/>
          <w:szCs w:val="18"/>
        </w:rPr>
        <w:t xml:space="preserve">serum CK levels and </w:t>
      </w:r>
      <w:proofErr w:type="gramStart"/>
      <w:r w:rsidRPr="000E2301">
        <w:rPr>
          <w:rFonts w:ascii="Verdana" w:hAnsi="Verdana" w:cs="Verdana"/>
          <w:color w:val="000000"/>
          <w:spacing w:val="-14"/>
          <w:kern w:val="0"/>
          <w:sz w:val="18"/>
          <w:szCs w:val="18"/>
        </w:rPr>
        <w:t>hyperlactatemia</w:t>
      </w:r>
      <w:r w:rsidRPr="000E2301">
        <w:rPr>
          <w:rFonts w:ascii="Verdana" w:hAnsi="Verdana" w:cs="Verdana"/>
          <w:color w:val="000000"/>
          <w:spacing w:val="-14"/>
          <w:kern w:val="0"/>
          <w:sz w:val="18"/>
          <w:szCs w:val="18"/>
          <w:vertAlign w:val="superscript"/>
        </w:rPr>
        <w:t>[</w:t>
      </w:r>
      <w:proofErr w:type="gramEnd"/>
      <w:r w:rsidRPr="000E2301">
        <w:rPr>
          <w:rFonts w:ascii="Verdana" w:hAnsi="Verdana" w:cs="Verdana"/>
          <w:color w:val="000000"/>
          <w:spacing w:val="-14"/>
          <w:kern w:val="0"/>
          <w:sz w:val="18"/>
          <w:szCs w:val="18"/>
          <w:vertAlign w:val="superscript"/>
        </w:rPr>
        <w:t>43]</w:t>
      </w:r>
      <w:r w:rsidRPr="000E2301">
        <w:rPr>
          <w:rFonts w:ascii="Verdana" w:hAnsi="Verdana" w:cs="Verdana"/>
          <w:color w:val="000000"/>
          <w:spacing w:val="-14"/>
          <w:kern w:val="0"/>
          <w:sz w:val="18"/>
          <w:szCs w:val="18"/>
        </w:rPr>
        <w:t>. One patient’</w:t>
      </w:r>
      <w:r w:rsidRPr="000E2301">
        <w:rPr>
          <w:rFonts w:ascii="Verdana" w:hAnsi="Verdana" w:cs="Verdana"/>
          <w:color w:val="000000"/>
          <w:spacing w:val="-11"/>
          <w:kern w:val="0"/>
          <w:sz w:val="18"/>
          <w:szCs w:val="18"/>
        </w:rPr>
        <w:t>s complaints continued even after the withdrawal of telbivudine treatment, and the patient recovered after venovenous hemodiafiltration. To diagnose hyper</w:t>
      </w:r>
      <w:r w:rsidRPr="000E2301">
        <w:rPr>
          <w:rFonts w:ascii="Verdana" w:hAnsi="Verdana" w:cs="Verdana"/>
          <w:color w:val="000000"/>
          <w:spacing w:val="-11"/>
          <w:kern w:val="0"/>
          <w:sz w:val="18"/>
          <w:szCs w:val="18"/>
        </w:rPr>
        <w:softHyphen/>
        <w:t>lactatemia, the patients should be monitored by periodic (3-6 mo interval) lactate measurements, in addition to the CK monitoring.</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3"/>
          <w:kern w:val="0"/>
          <w:sz w:val="18"/>
          <w:szCs w:val="18"/>
        </w:rPr>
        <w:t xml:space="preserve">The mechanism of adverse events associated with telbivudine use has not yet been defined. Because adverse events may occur in multiple organs including muscles, nervous and cardiac systems, Zhang </w:t>
      </w:r>
      <w:r w:rsidRPr="000E2301">
        <w:rPr>
          <w:rFonts w:ascii="Verdana" w:hAnsi="Verdana" w:cs="Verdana"/>
          <w:i/>
          <w:iCs/>
          <w:color w:val="000000"/>
          <w:spacing w:val="-13"/>
          <w:kern w:val="0"/>
          <w:sz w:val="18"/>
          <w:szCs w:val="18"/>
        </w:rPr>
        <w:t xml:space="preserve">et </w:t>
      </w:r>
      <w:proofErr w:type="gramStart"/>
      <w:r w:rsidRPr="000E2301">
        <w:rPr>
          <w:rFonts w:ascii="Verdana" w:hAnsi="Verdana" w:cs="Verdana"/>
          <w:i/>
          <w:iCs/>
          <w:color w:val="000000"/>
          <w:spacing w:val="-13"/>
          <w:kern w:val="0"/>
          <w:sz w:val="18"/>
          <w:szCs w:val="18"/>
        </w:rPr>
        <w:t>al</w:t>
      </w:r>
      <w:r w:rsidRPr="000E2301">
        <w:rPr>
          <w:rFonts w:ascii="Verdana" w:hAnsi="Verdana" w:cs="Verdana"/>
          <w:color w:val="000000"/>
          <w:spacing w:val="-13"/>
          <w:kern w:val="0"/>
          <w:sz w:val="18"/>
          <w:szCs w:val="18"/>
          <w:vertAlign w:val="superscript"/>
        </w:rPr>
        <w:t>[</w:t>
      </w:r>
      <w:proofErr w:type="gramEnd"/>
      <w:r w:rsidRPr="000E2301">
        <w:rPr>
          <w:rFonts w:ascii="Verdana" w:hAnsi="Verdana" w:cs="Verdana"/>
          <w:color w:val="000000"/>
          <w:spacing w:val="-13"/>
          <w:kern w:val="0"/>
          <w:sz w:val="18"/>
          <w:szCs w:val="18"/>
          <w:vertAlign w:val="superscript"/>
        </w:rPr>
        <w:t>42]</w:t>
      </w:r>
      <w:r w:rsidRPr="000E2301">
        <w:rPr>
          <w:rFonts w:ascii="Verdana" w:hAnsi="Verdana" w:cs="Verdana"/>
          <w:color w:val="000000"/>
          <w:spacing w:val="-13"/>
          <w:kern w:val="0"/>
          <w:sz w:val="18"/>
          <w:szCs w:val="18"/>
        </w:rPr>
        <w:t xml:space="preserve"> suggested that the </w:t>
      </w:r>
      <w:r w:rsidRPr="000E2301">
        <w:rPr>
          <w:rFonts w:ascii="Verdana" w:hAnsi="Verdana" w:cs="Verdana"/>
          <w:color w:val="000000"/>
          <w:spacing w:val="-13"/>
          <w:kern w:val="0"/>
          <w:sz w:val="18"/>
          <w:szCs w:val="18"/>
        </w:rPr>
        <w:lastRenderedPageBreak/>
        <w:t xml:space="preserve">mechanism is </w:t>
      </w:r>
      <w:r w:rsidRPr="000E2301">
        <w:rPr>
          <w:rFonts w:ascii="Verdana" w:hAnsi="Verdana" w:cs="Verdana"/>
          <w:color w:val="000000"/>
          <w:spacing w:val="-11"/>
          <w:kern w:val="0"/>
          <w:sz w:val="18"/>
          <w:szCs w:val="18"/>
        </w:rPr>
        <w:t>associated with cell energy metabolism. Deficiency in manufacture of the energy molecule ATP and, therefore, inadequate supplementation of substrate for oxidative phosphory</w:t>
      </w:r>
      <w:r w:rsidRPr="000E2301">
        <w:rPr>
          <w:rFonts w:ascii="Verdana" w:hAnsi="Verdana" w:cs="Verdana"/>
          <w:color w:val="000000"/>
          <w:spacing w:val="-11"/>
          <w:kern w:val="0"/>
          <w:sz w:val="18"/>
          <w:szCs w:val="18"/>
        </w:rPr>
        <w:softHyphen/>
        <w:t xml:space="preserve">lation causes mitochondrial damage. Highly energy-dependent organs such as nerves, heart and muscles are the most susceptible to mitochondrial dysfunction. Telbivudine leads to adverse events in these organs. However, to establish a link between adverse events and mitochondrial disease, muscle biopsy and DNA studies should be </w:t>
      </w:r>
      <w:proofErr w:type="gramStart"/>
      <w:r w:rsidRPr="000E2301">
        <w:rPr>
          <w:rFonts w:ascii="Verdana" w:hAnsi="Verdana" w:cs="Verdana"/>
          <w:color w:val="000000"/>
          <w:spacing w:val="-11"/>
          <w:kern w:val="0"/>
          <w:sz w:val="18"/>
          <w:szCs w:val="18"/>
        </w:rPr>
        <w:t>done</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42]</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Synergistic effect can occur in case of simultaneous use of two drugs. A study comparing telbivudine and lamivudine combination and lamivudine monotherapy reported that the addition of telbivudine to lamivudine treatment did not increase the toxic adverse </w:t>
      </w:r>
      <w:proofErr w:type="gramStart"/>
      <w:r w:rsidRPr="000E2301">
        <w:rPr>
          <w:rFonts w:ascii="Verdana" w:hAnsi="Verdana" w:cs="Verdana"/>
          <w:color w:val="000000"/>
          <w:spacing w:val="-11"/>
          <w:kern w:val="0"/>
          <w:sz w:val="18"/>
          <w:szCs w:val="18"/>
        </w:rPr>
        <w:t>effects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44]</w:t>
      </w:r>
      <w:r w:rsidRPr="000E2301">
        <w:rPr>
          <w:rFonts w:ascii="Verdana" w:hAnsi="Verdana" w:cs="Verdana"/>
          <w:color w:val="000000"/>
          <w:spacing w:val="-11"/>
          <w:kern w:val="0"/>
          <w:sz w:val="18"/>
          <w:szCs w:val="18"/>
        </w:rPr>
        <w:t>. However, the combination of telbivudine with Peg-IFN caused peripheral neuropathy in 17.0% of patients. For this reason, telbivudine should not be recommended in combination with Peg-</w:t>
      </w:r>
      <w:proofErr w:type="gramStart"/>
      <w:r w:rsidRPr="000E2301">
        <w:rPr>
          <w:rFonts w:ascii="Verdana" w:hAnsi="Verdana" w:cs="Verdana"/>
          <w:color w:val="000000"/>
          <w:spacing w:val="-11"/>
          <w:kern w:val="0"/>
          <w:sz w:val="18"/>
          <w:szCs w:val="18"/>
        </w:rPr>
        <w:t>IFN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w:t>
      </w:r>
      <w:r w:rsidRPr="000E2301">
        <w:rPr>
          <w:rFonts w:ascii="Verdana" w:hAnsi="Verdana" w:cs="Verdana"/>
          <w:color w:val="000000"/>
          <w:spacing w:val="-11"/>
          <w:kern w:val="0"/>
          <w:sz w:val="18"/>
          <w:szCs w:val="18"/>
        </w:rPr>
        <w:t>.</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1"/>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1"/>
          <w:kern w:val="0"/>
          <w:sz w:val="24"/>
          <w:u w:val="single"/>
        </w:rPr>
        <w:t>A</w:t>
      </w:r>
      <w:r w:rsidRPr="000E2301">
        <w:rPr>
          <w:rFonts w:ascii="Univers" w:hAnsi="Univers" w:cs="Univers"/>
          <w:b/>
          <w:bCs/>
          <w:color w:val="000000"/>
          <w:spacing w:val="-2"/>
          <w:kern w:val="0"/>
          <w:sz w:val="24"/>
          <w:u w:val="single"/>
        </w:rPr>
        <w:t>DE</w:t>
      </w:r>
      <w:r w:rsidRPr="000E2301">
        <w:rPr>
          <w:rFonts w:ascii="Univers" w:hAnsi="Univers" w:cs="Univers"/>
          <w:b/>
          <w:bCs/>
          <w:color w:val="000000"/>
          <w:spacing w:val="3"/>
          <w:kern w:val="0"/>
          <w:sz w:val="24"/>
          <w:u w:val="single"/>
        </w:rPr>
        <w:t>F</w:t>
      </w:r>
      <w:r w:rsidRPr="000E2301">
        <w:rPr>
          <w:rFonts w:ascii="Univers" w:hAnsi="Univers" w:cs="Univers"/>
          <w:b/>
          <w:bCs/>
          <w:color w:val="000000"/>
          <w:spacing w:val="-2"/>
          <w:kern w:val="0"/>
          <w:sz w:val="24"/>
          <w:u w:val="single"/>
        </w:rPr>
        <w:t>OV</w:t>
      </w:r>
      <w:r w:rsidRPr="000E2301">
        <w:rPr>
          <w:rFonts w:ascii="Univers" w:hAnsi="Univers" w:cs="Univers"/>
          <w:b/>
          <w:bCs/>
          <w:color w:val="000000"/>
          <w:spacing w:val="-1"/>
          <w:kern w:val="0"/>
          <w:sz w:val="24"/>
          <w:u w:val="single"/>
        </w:rPr>
        <w:t>I</w:t>
      </w:r>
      <w:r w:rsidRPr="000E2301">
        <w:rPr>
          <w:rFonts w:ascii="Univers" w:hAnsi="Univers" w:cs="Univers"/>
          <w:b/>
          <w:bCs/>
          <w:color w:val="000000"/>
          <w:spacing w:val="-2"/>
          <w:kern w:val="0"/>
          <w:sz w:val="24"/>
          <w:u w:val="single"/>
        </w:rPr>
        <w:t>R DIP</w:t>
      </w:r>
      <w:r w:rsidRPr="000E2301">
        <w:rPr>
          <w:rFonts w:ascii="Univers" w:hAnsi="Univers" w:cs="Univers"/>
          <w:b/>
          <w:bCs/>
          <w:color w:val="000000"/>
          <w:spacing w:val="1"/>
          <w:kern w:val="0"/>
          <w:sz w:val="24"/>
          <w:u w:val="single"/>
        </w:rPr>
        <w:t>I</w:t>
      </w:r>
      <w:r w:rsidRPr="000E2301">
        <w:rPr>
          <w:rFonts w:ascii="Univers" w:hAnsi="Univers" w:cs="Univers"/>
          <w:b/>
          <w:bCs/>
          <w:color w:val="000000"/>
          <w:spacing w:val="-2"/>
          <w:kern w:val="0"/>
          <w:sz w:val="24"/>
          <w:u w:val="single"/>
        </w:rPr>
        <w:t>VOX</w:t>
      </w:r>
      <w:r w:rsidRPr="000E2301">
        <w:rPr>
          <w:rFonts w:ascii="Univers" w:hAnsi="Univers" w:cs="Univers"/>
          <w:b/>
          <w:bCs/>
          <w:color w:val="000000"/>
          <w:spacing w:val="1"/>
          <w:kern w:val="0"/>
          <w:sz w:val="24"/>
          <w:u w:val="single"/>
        </w:rPr>
        <w:t>I</w:t>
      </w:r>
      <w:r w:rsidRPr="000E2301">
        <w:rPr>
          <w:rFonts w:ascii="Univers" w:hAnsi="Univers" w:cs="Univers"/>
          <w:b/>
          <w:bCs/>
          <w:color w:val="000000"/>
          <w:spacing w:val="-2"/>
          <w:kern w:val="0"/>
          <w:sz w:val="24"/>
          <w:u w:val="single"/>
        </w:rPr>
        <w:t>L</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Adefovir dipivoxil is an oral prodrug of the nucleotide analogue adefovir, approved for CHB treatment at 10 mg/d dose in 2002. It was used initially in patients with HIV infection, but its use was abandoned due to the fact that higher doses of adefovir led to </w:t>
      </w:r>
      <w:proofErr w:type="gramStart"/>
      <w:r w:rsidRPr="000E2301">
        <w:rPr>
          <w:rFonts w:ascii="Verdana" w:hAnsi="Verdana" w:cs="Verdana"/>
          <w:color w:val="000000"/>
          <w:spacing w:val="-11"/>
          <w:kern w:val="0"/>
          <w:sz w:val="18"/>
          <w:szCs w:val="18"/>
        </w:rPr>
        <w:t>nephrotoxicity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w:t>
      </w:r>
      <w:r w:rsidRPr="000E2301">
        <w:rPr>
          <w:rFonts w:ascii="Verdana" w:hAnsi="Verdana" w:cs="Verdana"/>
          <w:color w:val="000000"/>
          <w:spacing w:val="-11"/>
          <w:kern w:val="0"/>
          <w:sz w:val="18"/>
          <w:szCs w:val="18"/>
        </w:rPr>
        <w:t xml:space="preserve">. Adefovir improves histological, biochemical and virological outcomes in CHB patients with lamivudine resistance. The rates of adverse events in patients given adefovir are similar to those given </w:t>
      </w:r>
      <w:proofErr w:type="gramStart"/>
      <w:r w:rsidRPr="000E2301">
        <w:rPr>
          <w:rFonts w:ascii="Verdana" w:hAnsi="Verdana" w:cs="Verdana"/>
          <w:color w:val="000000"/>
          <w:spacing w:val="-11"/>
          <w:kern w:val="0"/>
          <w:sz w:val="18"/>
          <w:szCs w:val="18"/>
        </w:rPr>
        <w:t>placebo</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45-48]</w:t>
      </w:r>
      <w:r w:rsidRPr="000E2301">
        <w:rPr>
          <w:rFonts w:ascii="Verdana" w:hAnsi="Verdana" w:cs="Verdana"/>
          <w:color w:val="000000"/>
          <w:spacing w:val="-11"/>
          <w:kern w:val="0"/>
          <w:sz w:val="18"/>
          <w:szCs w:val="18"/>
        </w:rPr>
        <w:t xml:space="preserve">. The most common adverse events were pharyngitis, asteni, headache, abdominal pain, flu-like symptoms and </w:t>
      </w:r>
      <w:proofErr w:type="gramStart"/>
      <w:r w:rsidRPr="000E2301">
        <w:rPr>
          <w:rFonts w:ascii="Verdana" w:hAnsi="Verdana" w:cs="Verdana"/>
          <w:color w:val="000000"/>
          <w:spacing w:val="-11"/>
          <w:kern w:val="0"/>
          <w:sz w:val="18"/>
          <w:szCs w:val="18"/>
        </w:rPr>
        <w:t>nausea</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45]</w:t>
      </w:r>
      <w:r w:rsidRPr="000E2301">
        <w:rPr>
          <w:rFonts w:ascii="Verdana" w:hAnsi="Verdana" w:cs="Verdana"/>
          <w:color w:val="000000"/>
          <w:spacing w:val="-11"/>
          <w:kern w:val="0"/>
          <w:sz w:val="18"/>
          <w:szCs w:val="18"/>
        </w:rPr>
        <w:t xml:space="preserve">. In a randomized controlled study, adverse events were similar in two groups, but headache and abdominal pain occurred more frequently in the adefovir group than in the placebo group. However, these adverse events did not lead to discontinuation of the study </w:t>
      </w:r>
      <w:proofErr w:type="gramStart"/>
      <w:r w:rsidRPr="000E2301">
        <w:rPr>
          <w:rFonts w:ascii="Verdana" w:hAnsi="Verdana" w:cs="Verdana"/>
          <w:color w:val="000000"/>
          <w:spacing w:val="-11"/>
          <w:kern w:val="0"/>
          <w:sz w:val="18"/>
          <w:szCs w:val="18"/>
        </w:rPr>
        <w:t>drug</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48]</w:t>
      </w:r>
      <w:r w:rsidRPr="000E2301">
        <w:rPr>
          <w:rFonts w:ascii="Verdana" w:hAnsi="Verdana" w:cs="Verdana"/>
          <w:color w:val="000000"/>
          <w:spacing w:val="-11"/>
          <w:kern w:val="0"/>
          <w:sz w:val="18"/>
          <w:szCs w:val="18"/>
        </w:rPr>
        <w:t>. Adefovir is associated with dose-dependent renal toxicity. The nephrotoxic effect of adefovir was discussed in the section below on “Renal Safety of NAs”.</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Myopathy cases were reported in CHB patients given adefovir treatment, but its incidence was similar to patients receiving </w:t>
      </w:r>
      <w:proofErr w:type="gramStart"/>
      <w:r w:rsidRPr="000E2301">
        <w:rPr>
          <w:rFonts w:ascii="Verdana" w:hAnsi="Verdana" w:cs="Verdana"/>
          <w:color w:val="000000"/>
          <w:spacing w:val="-11"/>
          <w:kern w:val="0"/>
          <w:sz w:val="18"/>
          <w:szCs w:val="18"/>
        </w:rPr>
        <w:t>placebo</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12]</w:t>
      </w:r>
      <w:r w:rsidRPr="000E2301">
        <w:rPr>
          <w:rFonts w:ascii="Verdana" w:hAnsi="Verdana" w:cs="Verdana"/>
          <w:color w:val="000000"/>
          <w:spacing w:val="-11"/>
          <w:kern w:val="0"/>
          <w:sz w:val="18"/>
          <w:szCs w:val="18"/>
        </w:rPr>
        <w:t xml:space="preserve">. Adefovir-related lactic acidosis may occur when combined with other </w:t>
      </w:r>
      <w:proofErr w:type="gramStart"/>
      <w:r w:rsidRPr="000E2301">
        <w:rPr>
          <w:rFonts w:ascii="Verdana" w:hAnsi="Verdana" w:cs="Verdana"/>
          <w:color w:val="000000"/>
          <w:spacing w:val="-11"/>
          <w:kern w:val="0"/>
          <w:sz w:val="18"/>
          <w:szCs w:val="18"/>
        </w:rPr>
        <w:t>NAs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49]</w:t>
      </w:r>
      <w:r w:rsidRPr="000E2301">
        <w:rPr>
          <w:rFonts w:ascii="Verdana" w:hAnsi="Verdana" w:cs="Verdana"/>
          <w:color w:val="000000"/>
          <w:spacing w:val="-11"/>
          <w:kern w:val="0"/>
          <w:sz w:val="18"/>
          <w:szCs w:val="18"/>
        </w:rPr>
        <w:t xml:space="preserve">. The development of resistance to adefovir therapy is another undesirable event. Drug resistance was reported in 26% of CHB patients treated with adefovir, after 5 </w:t>
      </w:r>
      <w:proofErr w:type="gramStart"/>
      <w:r w:rsidRPr="000E2301">
        <w:rPr>
          <w:rFonts w:ascii="Verdana" w:hAnsi="Verdana" w:cs="Verdana"/>
          <w:color w:val="000000"/>
          <w:spacing w:val="-11"/>
          <w:kern w:val="0"/>
          <w:sz w:val="18"/>
          <w:szCs w:val="18"/>
        </w:rPr>
        <w:t>years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w:t>
      </w:r>
      <w:r w:rsidRPr="000E2301">
        <w:rPr>
          <w:rFonts w:ascii="Verdana" w:hAnsi="Verdana" w:cs="Verdana"/>
          <w:color w:val="000000"/>
          <w:spacing w:val="-11"/>
          <w:kern w:val="0"/>
          <w:sz w:val="18"/>
          <w:szCs w:val="18"/>
        </w:rPr>
        <w:t xml:space="preserve">. The resistance rate of adefovir in patients with lamivudine resistance who were given adefovir add-on lamivudine rescue therapy was 6% at the end of 5 </w:t>
      </w:r>
      <w:proofErr w:type="gramStart"/>
      <w:r w:rsidRPr="000E2301">
        <w:rPr>
          <w:rFonts w:ascii="Verdana" w:hAnsi="Verdana" w:cs="Verdana"/>
          <w:color w:val="000000"/>
          <w:spacing w:val="-11"/>
          <w:kern w:val="0"/>
          <w:sz w:val="18"/>
          <w:szCs w:val="18"/>
        </w:rPr>
        <w:t>years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50]</w:t>
      </w:r>
      <w:r w:rsidRPr="000E2301">
        <w:rPr>
          <w:rFonts w:ascii="Verdana" w:hAnsi="Verdana" w:cs="Verdana"/>
          <w:color w:val="000000"/>
          <w:spacing w:val="-11"/>
          <w:kern w:val="0"/>
          <w:sz w:val="18"/>
          <w:szCs w:val="18"/>
        </w:rPr>
        <w:t xml:space="preserve">. To optimize therapy in lamivudine-resistant patients, it is recommended not to discontinue lamivudine therapy for a while after initiating </w:t>
      </w:r>
      <w:proofErr w:type="gramStart"/>
      <w:r w:rsidRPr="000E2301">
        <w:rPr>
          <w:rFonts w:ascii="Verdana" w:hAnsi="Verdana" w:cs="Verdana"/>
          <w:color w:val="000000"/>
          <w:spacing w:val="-11"/>
          <w:kern w:val="0"/>
          <w:sz w:val="18"/>
          <w:szCs w:val="18"/>
        </w:rPr>
        <w:t>adefovir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w:t>
      </w:r>
      <w:r w:rsidRPr="000E2301">
        <w:rPr>
          <w:rFonts w:ascii="Verdana" w:hAnsi="Verdana" w:cs="Verdana"/>
          <w:color w:val="000000"/>
          <w:spacing w:val="-11"/>
          <w:kern w:val="0"/>
          <w:sz w:val="18"/>
          <w:szCs w:val="18"/>
        </w:rPr>
        <w:t>.</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1"/>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1"/>
          <w:kern w:val="0"/>
          <w:sz w:val="24"/>
          <w:u w:val="single"/>
        </w:rPr>
        <w:t>E</w:t>
      </w:r>
      <w:r w:rsidRPr="000E2301">
        <w:rPr>
          <w:rFonts w:ascii="Univers" w:hAnsi="Univers" w:cs="Univers"/>
          <w:b/>
          <w:bCs/>
          <w:color w:val="000000"/>
          <w:spacing w:val="-2"/>
          <w:kern w:val="0"/>
          <w:sz w:val="24"/>
          <w:u w:val="single"/>
        </w:rPr>
        <w:t>NT</w:t>
      </w:r>
      <w:r w:rsidRPr="000E2301">
        <w:rPr>
          <w:rFonts w:ascii="Univers" w:hAnsi="Univers" w:cs="Univers"/>
          <w:b/>
          <w:bCs/>
          <w:color w:val="000000"/>
          <w:spacing w:val="1"/>
          <w:kern w:val="0"/>
          <w:sz w:val="24"/>
          <w:u w:val="single"/>
        </w:rPr>
        <w:t>E</w:t>
      </w:r>
      <w:r w:rsidRPr="000E2301">
        <w:rPr>
          <w:rFonts w:ascii="Univers" w:hAnsi="Univers" w:cs="Univers"/>
          <w:b/>
          <w:bCs/>
          <w:color w:val="000000"/>
          <w:spacing w:val="-2"/>
          <w:kern w:val="0"/>
          <w:sz w:val="24"/>
          <w:u w:val="single"/>
        </w:rPr>
        <w:t>CAV</w:t>
      </w:r>
      <w:r w:rsidRPr="000E2301">
        <w:rPr>
          <w:rFonts w:ascii="Univers" w:hAnsi="Univers" w:cs="Univers"/>
          <w:b/>
          <w:bCs/>
          <w:color w:val="000000"/>
          <w:spacing w:val="1"/>
          <w:kern w:val="0"/>
          <w:sz w:val="24"/>
          <w:u w:val="single"/>
        </w:rPr>
        <w:t>I</w:t>
      </w:r>
      <w:r w:rsidRPr="000E2301">
        <w:rPr>
          <w:rFonts w:ascii="Univers" w:hAnsi="Univers" w:cs="Univers"/>
          <w:b/>
          <w:bCs/>
          <w:color w:val="000000"/>
          <w:spacing w:val="-2"/>
          <w:kern w:val="0"/>
          <w:sz w:val="24"/>
          <w:u w:val="single"/>
        </w:rPr>
        <w:t>R</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Entecavir is a highly selective guanosine nucleoside analogue, approved by the FDA at a dose 0.5 mg in treatment naive and 1 mg/d in lamivudine-resistant CHB patients in 2005</w:t>
      </w:r>
      <w:r w:rsidRPr="000E2301">
        <w:rPr>
          <w:rFonts w:ascii="Verdana" w:hAnsi="Verdana" w:cs="Verdana"/>
          <w:color w:val="000000"/>
          <w:spacing w:val="-11"/>
          <w:kern w:val="0"/>
          <w:sz w:val="18"/>
          <w:szCs w:val="18"/>
          <w:vertAlign w:val="superscript"/>
        </w:rPr>
        <w:t>[3,51]</w:t>
      </w:r>
      <w:r w:rsidRPr="000E2301">
        <w:rPr>
          <w:rFonts w:ascii="Verdana" w:hAnsi="Verdana" w:cs="Verdana"/>
          <w:color w:val="000000"/>
          <w:spacing w:val="-11"/>
          <w:kern w:val="0"/>
          <w:sz w:val="18"/>
          <w:szCs w:val="18"/>
        </w:rPr>
        <w:t xml:space="preserve">. It inhibits three steps of viral replication, which involves HBV polymerase priming, reverse transcription of the pre-genomic messenger RNA and synthesis of the positive-stranded HBV </w:t>
      </w:r>
      <w:proofErr w:type="gramStart"/>
      <w:r w:rsidRPr="000E2301">
        <w:rPr>
          <w:rFonts w:ascii="Verdana" w:hAnsi="Verdana" w:cs="Verdana"/>
          <w:color w:val="000000"/>
          <w:spacing w:val="-11"/>
          <w:kern w:val="0"/>
          <w:sz w:val="18"/>
          <w:szCs w:val="18"/>
        </w:rPr>
        <w:t>DNA</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w:t>
      </w:r>
      <w:r w:rsidRPr="000E2301">
        <w:rPr>
          <w:rFonts w:ascii="Verdana" w:hAnsi="Verdana" w:cs="Verdana"/>
          <w:color w:val="000000"/>
          <w:spacing w:val="-11"/>
          <w:kern w:val="0"/>
          <w:sz w:val="18"/>
          <w:szCs w:val="18"/>
        </w:rPr>
        <w:t xml:space="preserve">. Entecavir is a well-tolerated antiviral agent in CHB patients, with rates of adverse events similar to placebo or lamivudine therapy. In a comparative study, the adverse event rate was found to be similar in patients given entecavir monotherapy to those given combination of entecavir and </w:t>
      </w:r>
      <w:proofErr w:type="gramStart"/>
      <w:r w:rsidRPr="000E2301">
        <w:rPr>
          <w:rFonts w:ascii="Verdana" w:hAnsi="Verdana" w:cs="Verdana"/>
          <w:color w:val="000000"/>
          <w:spacing w:val="-11"/>
          <w:kern w:val="0"/>
          <w:sz w:val="18"/>
          <w:szCs w:val="18"/>
        </w:rPr>
        <w:t>IFN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52]</w:t>
      </w:r>
      <w:r w:rsidRPr="000E2301">
        <w:rPr>
          <w:rFonts w:ascii="Verdana" w:hAnsi="Verdana" w:cs="Verdana"/>
          <w:color w:val="000000"/>
          <w:spacing w:val="-11"/>
          <w:kern w:val="0"/>
          <w:sz w:val="18"/>
          <w:szCs w:val="18"/>
        </w:rPr>
        <w:t xml:space="preserve">. Long-term use was reported to be associated with a very low rate of side effects. Adverse events were not dose-related; their frequencies were similar between 0.5 or 1 mg doses of </w:t>
      </w:r>
      <w:proofErr w:type="gramStart"/>
      <w:r w:rsidRPr="000E2301">
        <w:rPr>
          <w:rFonts w:ascii="Verdana" w:hAnsi="Verdana" w:cs="Verdana"/>
          <w:color w:val="000000"/>
          <w:spacing w:val="-11"/>
          <w:kern w:val="0"/>
          <w:sz w:val="18"/>
          <w:szCs w:val="18"/>
        </w:rPr>
        <w:t>entecavir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51,53]</w:t>
      </w:r>
      <w:r w:rsidRPr="000E2301">
        <w:rPr>
          <w:rFonts w:ascii="Verdana" w:hAnsi="Verdana" w:cs="Verdana"/>
          <w:color w:val="000000"/>
          <w:spacing w:val="-11"/>
          <w:kern w:val="0"/>
          <w:sz w:val="18"/>
          <w:szCs w:val="18"/>
        </w:rPr>
        <w:t xml:space="preserve">. The most frequent adverse events in clinical trials were headache (17%-23%), upper respiratory tract infection (18%-20%), cough (12%-15%), nasopharyngitis </w:t>
      </w:r>
      <w:r w:rsidRPr="000E2301">
        <w:rPr>
          <w:rFonts w:ascii="Verdana" w:hAnsi="Verdana" w:cs="Verdana"/>
          <w:color w:val="000000"/>
          <w:spacing w:val="-11"/>
          <w:kern w:val="0"/>
          <w:sz w:val="18"/>
          <w:szCs w:val="18"/>
        </w:rPr>
        <w:lastRenderedPageBreak/>
        <w:t xml:space="preserve">(9%-5%), fatigue (10%-13%), dizziness (9%), upper abdominal pain (9%) and nausea (6%-8%). Most of these adverse effects were mild or moderate severity and did not require discontinuation of the </w:t>
      </w:r>
      <w:proofErr w:type="gramStart"/>
      <w:r w:rsidRPr="000E2301">
        <w:rPr>
          <w:rFonts w:ascii="Verdana" w:hAnsi="Verdana" w:cs="Verdana"/>
          <w:color w:val="000000"/>
          <w:spacing w:val="-11"/>
          <w:kern w:val="0"/>
          <w:sz w:val="18"/>
          <w:szCs w:val="18"/>
        </w:rPr>
        <w:t>drug</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51,54]</w:t>
      </w:r>
      <w:r w:rsidRPr="000E2301">
        <w:rPr>
          <w:rFonts w:ascii="Verdana" w:hAnsi="Verdana" w:cs="Verdana"/>
          <w:color w:val="000000"/>
          <w:spacing w:val="-11"/>
          <w:kern w:val="0"/>
          <w:sz w:val="18"/>
          <w:szCs w:val="18"/>
        </w:rPr>
        <w:t xml:space="preserve">. Severe adverse events accounted for 7%-10% and discontinuation of therapy accounted for 1%-2% of </w:t>
      </w:r>
      <w:proofErr w:type="gramStart"/>
      <w:r w:rsidRPr="000E2301">
        <w:rPr>
          <w:rFonts w:ascii="Verdana" w:hAnsi="Verdana" w:cs="Verdana"/>
          <w:color w:val="000000"/>
          <w:spacing w:val="-11"/>
          <w:kern w:val="0"/>
          <w:sz w:val="18"/>
          <w:szCs w:val="18"/>
        </w:rPr>
        <w:t>patients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51]</w:t>
      </w:r>
      <w:r w:rsidRPr="000E2301">
        <w:rPr>
          <w:rFonts w:ascii="Verdana" w:hAnsi="Verdana" w:cs="Verdana"/>
          <w:color w:val="000000"/>
          <w:spacing w:val="-11"/>
          <w:kern w:val="0"/>
          <w:sz w:val="18"/>
          <w:szCs w:val="18"/>
        </w:rPr>
        <w:t>. In a randomized controlled study, severe adverse events occurred in 4.7% of pediatric patients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8), and only one of them discontinued entecavir due to headache. This adverse event was not attributed to the study </w:t>
      </w:r>
      <w:proofErr w:type="gramStart"/>
      <w:r w:rsidRPr="000E2301">
        <w:rPr>
          <w:rFonts w:ascii="Verdana" w:hAnsi="Verdana" w:cs="Verdana"/>
          <w:color w:val="000000"/>
          <w:spacing w:val="-11"/>
          <w:kern w:val="0"/>
          <w:sz w:val="18"/>
          <w:szCs w:val="18"/>
        </w:rPr>
        <w:t>drug</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54]</w:t>
      </w:r>
      <w:r w:rsidRPr="000E2301">
        <w:rPr>
          <w:rFonts w:ascii="Verdana" w:hAnsi="Verdana" w:cs="Verdana"/>
          <w:color w:val="000000"/>
          <w:spacing w:val="-11"/>
          <w:kern w:val="0"/>
          <w:sz w:val="18"/>
          <w:szCs w:val="18"/>
        </w:rPr>
        <w:t xml:space="preserve">. Although preclinical data reported an association between long-term entecavir use and carcinogenicity, to date, no evidence has been detected regarding occurrence of cancer due to entecavir </w:t>
      </w:r>
      <w:proofErr w:type="gramStart"/>
      <w:r w:rsidRPr="000E2301">
        <w:rPr>
          <w:rFonts w:ascii="Verdana" w:hAnsi="Verdana" w:cs="Verdana"/>
          <w:color w:val="000000"/>
          <w:spacing w:val="-11"/>
          <w:kern w:val="0"/>
          <w:sz w:val="18"/>
          <w:szCs w:val="18"/>
        </w:rPr>
        <w:t>the</w:t>
      </w:r>
      <w:r w:rsidRPr="000E2301">
        <w:rPr>
          <w:rFonts w:ascii="Verdana" w:hAnsi="Verdana" w:cs="Verdana"/>
          <w:color w:val="000000"/>
          <w:spacing w:val="-11"/>
          <w:kern w:val="0"/>
          <w:sz w:val="18"/>
          <w:szCs w:val="18"/>
        </w:rPr>
        <w:softHyphen/>
        <w:t>rapy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55]</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The FDA requires all approved NAs to include a “Black Box” warning in their product label regarding potential mitochondrial </w:t>
      </w:r>
      <w:proofErr w:type="gramStart"/>
      <w:r w:rsidRPr="000E2301">
        <w:rPr>
          <w:rFonts w:ascii="Verdana" w:hAnsi="Verdana" w:cs="Verdana"/>
          <w:color w:val="000000"/>
          <w:spacing w:val="-11"/>
          <w:kern w:val="0"/>
          <w:sz w:val="18"/>
          <w:szCs w:val="18"/>
        </w:rPr>
        <w:t>toxicity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56]</w:t>
      </w:r>
      <w:r w:rsidRPr="000E2301">
        <w:rPr>
          <w:rFonts w:ascii="Verdana" w:hAnsi="Verdana" w:cs="Verdana"/>
          <w:color w:val="000000"/>
          <w:spacing w:val="-11"/>
          <w:kern w:val="0"/>
          <w:sz w:val="18"/>
          <w:szCs w:val="18"/>
        </w:rPr>
        <w:t xml:space="preserve">. Entecavir is the most innocent antiviral agent leading to mitochondrial toxicity among the effective therapies in CHB treatments. In long-term cell culture studies, entecavir has been observed to have very low potential for mitochondrial toxicity in </w:t>
      </w:r>
      <w:r w:rsidRPr="000E2301">
        <w:rPr>
          <w:rFonts w:ascii="Verdana" w:hAnsi="Verdana" w:cs="Verdana"/>
          <w:i/>
          <w:iCs/>
          <w:color w:val="000000"/>
          <w:spacing w:val="-11"/>
          <w:kern w:val="0"/>
          <w:sz w:val="18"/>
          <w:szCs w:val="18"/>
        </w:rPr>
        <w:t xml:space="preserve">in vitro </w:t>
      </w:r>
      <w:r w:rsidRPr="000E2301">
        <w:rPr>
          <w:rFonts w:ascii="Verdana" w:hAnsi="Verdana" w:cs="Verdana"/>
          <w:color w:val="000000"/>
          <w:spacing w:val="-11"/>
          <w:kern w:val="0"/>
          <w:sz w:val="18"/>
          <w:szCs w:val="18"/>
        </w:rPr>
        <w:t xml:space="preserve">cultures studies at the highest levels tested, 300 </w:t>
      </w:r>
      <w:r w:rsidRPr="000E2301">
        <w:rPr>
          <w:rFonts w:ascii="Symbol" w:hAnsi="Symbol" w:cs="Symbol"/>
          <w:color w:val="000000"/>
          <w:spacing w:val="-11"/>
          <w:kern w:val="0"/>
          <w:sz w:val="18"/>
          <w:szCs w:val="18"/>
        </w:rPr>
        <w:t></w:t>
      </w:r>
      <w:r w:rsidRPr="000E2301">
        <w:rPr>
          <w:rFonts w:ascii="Verdana" w:hAnsi="Verdana" w:cs="Verdana"/>
          <w:color w:val="000000"/>
          <w:spacing w:val="-11"/>
          <w:kern w:val="0"/>
          <w:sz w:val="18"/>
          <w:szCs w:val="18"/>
        </w:rPr>
        <w:t xml:space="preserve">mol/L. Combination of entecavir with the other NAs also did not cause an increase in the risk of other </w:t>
      </w:r>
      <w:proofErr w:type="gramStart"/>
      <w:r w:rsidRPr="000E2301">
        <w:rPr>
          <w:rFonts w:ascii="Verdana" w:hAnsi="Verdana" w:cs="Verdana"/>
          <w:color w:val="000000"/>
          <w:spacing w:val="-11"/>
          <w:kern w:val="0"/>
          <w:sz w:val="18"/>
          <w:szCs w:val="18"/>
        </w:rPr>
        <w:t>drugs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8,57]</w:t>
      </w:r>
      <w:r w:rsidRPr="000E2301">
        <w:rPr>
          <w:rFonts w:ascii="Verdana" w:hAnsi="Verdana" w:cs="Verdana"/>
          <w:color w:val="000000"/>
          <w:spacing w:val="-11"/>
          <w:kern w:val="0"/>
          <w:sz w:val="18"/>
          <w:szCs w:val="18"/>
        </w:rPr>
        <w:t xml:space="preserve">. Entecavir-associated myopathy and peripheral neuropathy cases were very rarely reported in the </w:t>
      </w:r>
      <w:proofErr w:type="gramStart"/>
      <w:r w:rsidRPr="000E2301">
        <w:rPr>
          <w:rFonts w:ascii="Verdana" w:hAnsi="Verdana" w:cs="Verdana"/>
          <w:color w:val="000000"/>
          <w:spacing w:val="-11"/>
          <w:kern w:val="0"/>
          <w:sz w:val="18"/>
          <w:szCs w:val="18"/>
        </w:rPr>
        <w:t>literature</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3,15,19]</w:t>
      </w:r>
      <w:r w:rsidRPr="000E2301">
        <w:rPr>
          <w:rFonts w:ascii="Verdana" w:hAnsi="Verdana" w:cs="Verdana"/>
          <w:color w:val="000000"/>
          <w:spacing w:val="-11"/>
          <w:kern w:val="0"/>
          <w:sz w:val="18"/>
          <w:szCs w:val="18"/>
        </w:rPr>
        <w:t xml:space="preserve">. Although a study reported similar CK elevation rates with both </w:t>
      </w:r>
      <w:r w:rsidRPr="000E2301">
        <w:rPr>
          <w:rFonts w:ascii="Verdana" w:hAnsi="Verdana" w:cs="Verdana"/>
          <w:color w:val="000000"/>
          <w:spacing w:val="-13"/>
          <w:kern w:val="0"/>
          <w:sz w:val="18"/>
          <w:szCs w:val="18"/>
        </w:rPr>
        <w:t xml:space="preserve">telbivudine and entecavir therapy, there were not many studies supporting </w:t>
      </w:r>
      <w:proofErr w:type="gramStart"/>
      <w:r w:rsidRPr="000E2301">
        <w:rPr>
          <w:rFonts w:ascii="Verdana" w:hAnsi="Verdana" w:cs="Verdana"/>
          <w:color w:val="000000"/>
          <w:spacing w:val="-13"/>
          <w:kern w:val="0"/>
          <w:sz w:val="18"/>
          <w:szCs w:val="18"/>
        </w:rPr>
        <w:t>this</w:t>
      </w:r>
      <w:r w:rsidRPr="000E2301">
        <w:rPr>
          <w:rFonts w:ascii="Verdana" w:hAnsi="Verdana" w:cs="Verdana"/>
          <w:color w:val="000000"/>
          <w:spacing w:val="-13"/>
          <w:kern w:val="0"/>
          <w:sz w:val="18"/>
          <w:szCs w:val="18"/>
          <w:vertAlign w:val="superscript"/>
        </w:rPr>
        <w:t>[</w:t>
      </w:r>
      <w:proofErr w:type="gramEnd"/>
      <w:r w:rsidRPr="000E2301">
        <w:rPr>
          <w:rFonts w:ascii="Verdana" w:hAnsi="Verdana" w:cs="Verdana"/>
          <w:color w:val="000000"/>
          <w:spacing w:val="-13"/>
          <w:kern w:val="0"/>
          <w:sz w:val="18"/>
          <w:szCs w:val="18"/>
          <w:vertAlign w:val="superscript"/>
        </w:rPr>
        <w:t>58]</w:t>
      </w:r>
      <w:r w:rsidRPr="000E2301">
        <w:rPr>
          <w:rFonts w:ascii="Verdana" w:hAnsi="Verdana" w:cs="Verdana"/>
          <w:color w:val="000000"/>
          <w:spacing w:val="-13"/>
          <w:kern w:val="0"/>
          <w:sz w:val="18"/>
          <w:szCs w:val="18"/>
        </w:rPr>
        <w:t xml:space="preserve">. In a meta-analysis, </w:t>
      </w:r>
      <w:r w:rsidRPr="000E2301">
        <w:rPr>
          <w:rFonts w:ascii="Verdana" w:hAnsi="Verdana" w:cs="Verdana"/>
          <w:color w:val="000000"/>
          <w:spacing w:val="-11"/>
          <w:kern w:val="0"/>
          <w:sz w:val="18"/>
          <w:szCs w:val="18"/>
        </w:rPr>
        <w:t xml:space="preserve">six randomized controlled trials involving 555 patients treated with telbivudine and entecavir for 24 or 52 wk were evaluated. Both drugs had similar antiviral and biochemical effects. However, the entecavir group was reported have greater safety than the telbivudine group, in terms of adverse </w:t>
      </w:r>
      <w:proofErr w:type="gramStart"/>
      <w:r w:rsidRPr="000E2301">
        <w:rPr>
          <w:rFonts w:ascii="Verdana" w:hAnsi="Verdana" w:cs="Verdana"/>
          <w:color w:val="000000"/>
          <w:spacing w:val="-11"/>
          <w:kern w:val="0"/>
          <w:sz w:val="18"/>
          <w:szCs w:val="18"/>
        </w:rPr>
        <w:t>events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59]</w:t>
      </w:r>
      <w:r w:rsidRPr="000E2301">
        <w:rPr>
          <w:rFonts w:ascii="Verdana" w:hAnsi="Verdana" w:cs="Verdana"/>
          <w:color w:val="000000"/>
          <w:spacing w:val="-11"/>
          <w:kern w:val="0"/>
          <w:sz w:val="18"/>
          <w:szCs w:val="18"/>
        </w:rPr>
        <w:t xml:space="preserve">. In another meta-analysis comparing the effects of telbivudine and entecavir in HBeAg-positive CHB patients, thirteen trials (3925 patients in total) were evaluated. Adverse effects were reported in 10 trials and CK elevations in 5 trials. The rates of increased CK were found to be statistically higher in the telbivudine group than in the entecavir </w:t>
      </w:r>
      <w:proofErr w:type="gramStart"/>
      <w:r w:rsidRPr="000E2301">
        <w:rPr>
          <w:rFonts w:ascii="Verdana" w:hAnsi="Verdana" w:cs="Verdana"/>
          <w:color w:val="000000"/>
          <w:spacing w:val="-11"/>
          <w:kern w:val="0"/>
          <w:sz w:val="18"/>
          <w:szCs w:val="18"/>
        </w:rPr>
        <w:t>group</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60]</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Lactic acidosis can also occur during treatment with NAs as a result of mitochondrial toxicity. US prescribing information for entecavir and the other NAs carries a warning regarding the risk of lactic acidosis in CHB patients treated with </w:t>
      </w:r>
      <w:proofErr w:type="gramStart"/>
      <w:r w:rsidRPr="000E2301">
        <w:rPr>
          <w:rFonts w:ascii="Verdana" w:hAnsi="Verdana" w:cs="Verdana"/>
          <w:color w:val="000000"/>
          <w:spacing w:val="-11"/>
          <w:kern w:val="0"/>
          <w:sz w:val="18"/>
          <w:szCs w:val="18"/>
        </w:rPr>
        <w:t>NAs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61-64]</w:t>
      </w:r>
      <w:r w:rsidRPr="000E2301">
        <w:rPr>
          <w:rFonts w:ascii="Verdana" w:hAnsi="Verdana" w:cs="Verdana"/>
          <w:color w:val="000000"/>
          <w:spacing w:val="-11"/>
          <w:kern w:val="0"/>
          <w:sz w:val="18"/>
          <w:szCs w:val="18"/>
        </w:rPr>
        <w:t xml:space="preserve">. Entecavir is a good option for the treatment of CHB patients with decompensated cirrhosis because of the rapid effect on HBV decline and low resistance rates. However, it was suggested that a high Model for End-Stage Liver Disease (MELD) score that is used to detect highly impaired liver function can be associated with lactic acidosis in patients receiving </w:t>
      </w:r>
      <w:proofErr w:type="gramStart"/>
      <w:r w:rsidRPr="000E2301">
        <w:rPr>
          <w:rFonts w:ascii="Verdana" w:hAnsi="Verdana" w:cs="Verdana"/>
          <w:color w:val="000000"/>
          <w:spacing w:val="-11"/>
          <w:kern w:val="0"/>
          <w:sz w:val="18"/>
          <w:szCs w:val="18"/>
        </w:rPr>
        <w:t>entecavir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49]</w:t>
      </w:r>
      <w:r w:rsidRPr="000E2301">
        <w:rPr>
          <w:rFonts w:ascii="Verdana" w:hAnsi="Verdana" w:cs="Verdana"/>
          <w:color w:val="000000"/>
          <w:spacing w:val="-11"/>
          <w:kern w:val="0"/>
          <w:sz w:val="18"/>
          <w:szCs w:val="18"/>
        </w:rPr>
        <w:t>. One retrospective study identified 5 cases of lactic acidosis among 16 entecavir-recipient CHB patients with cirrhosis. One of them died, and the lactic acidosis resolved within 4-5 d after withdrawal of entecavir in the remaining 4 cases. All patients who developed lactic acidosis had a MELD score of at least 20 (22-38), whereas the patients who did not develop lactic acidosis had a MELD score below 18. A significant (</w:t>
      </w:r>
      <w:r w:rsidRPr="000E2301">
        <w:rPr>
          <w:rFonts w:ascii="Verdana" w:hAnsi="Verdana" w:cs="Verdana"/>
          <w:i/>
          <w:iCs/>
          <w:color w:val="000000"/>
          <w:spacing w:val="-11"/>
          <w:kern w:val="0"/>
          <w:sz w:val="18"/>
          <w:szCs w:val="18"/>
        </w:rPr>
        <w:t>P</w:t>
      </w:r>
      <w:r w:rsidRPr="000E2301">
        <w:rPr>
          <w:rFonts w:ascii="Verdana" w:hAnsi="Verdana" w:cs="Verdana"/>
          <w:color w:val="000000"/>
          <w:spacing w:val="-11"/>
          <w:kern w:val="0"/>
          <w:sz w:val="18"/>
          <w:szCs w:val="18"/>
        </w:rPr>
        <w:t xml:space="preserve"> = 0.002) correlation was seen between the MELD score and the development of lactic </w:t>
      </w:r>
      <w:proofErr w:type="gramStart"/>
      <w:r w:rsidRPr="000E2301">
        <w:rPr>
          <w:rFonts w:ascii="Verdana" w:hAnsi="Verdana" w:cs="Verdana"/>
          <w:color w:val="000000"/>
          <w:spacing w:val="-11"/>
          <w:kern w:val="0"/>
          <w:sz w:val="18"/>
          <w:szCs w:val="18"/>
        </w:rPr>
        <w:t>acidosis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49]</w:t>
      </w:r>
      <w:r w:rsidRPr="000E2301">
        <w:rPr>
          <w:rFonts w:ascii="Verdana" w:hAnsi="Verdana" w:cs="Verdana"/>
          <w:color w:val="000000"/>
          <w:spacing w:val="-11"/>
          <w:kern w:val="0"/>
          <w:sz w:val="18"/>
          <w:szCs w:val="18"/>
        </w:rPr>
        <w:t xml:space="preserve">. However, a small retrospective study did not find an increased risk of lactic acidosis in the CHB patients with decompensated liver disease and high MELD scores during entecavir treatment, compared to those who have non-HBV-related decompensated liver disease and similar clinical </w:t>
      </w:r>
      <w:proofErr w:type="gramStart"/>
      <w:r w:rsidRPr="000E2301">
        <w:rPr>
          <w:rFonts w:ascii="Verdana" w:hAnsi="Verdana" w:cs="Verdana"/>
          <w:color w:val="000000"/>
          <w:spacing w:val="-11"/>
          <w:kern w:val="0"/>
          <w:sz w:val="18"/>
          <w:szCs w:val="18"/>
        </w:rPr>
        <w:t>features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65,66]</w:t>
      </w:r>
      <w:r w:rsidRPr="000E2301">
        <w:rPr>
          <w:rFonts w:ascii="Verdana" w:hAnsi="Verdana" w:cs="Verdana"/>
          <w:color w:val="000000"/>
          <w:spacing w:val="-11"/>
          <w:kern w:val="0"/>
          <w:sz w:val="18"/>
          <w:szCs w:val="18"/>
        </w:rPr>
        <w:t xml:space="preserve">. Entecavir has been reported to have a high safety profile in decompensated patients and recommended as one of the first-line treatment choices of CHB patients with decompensated liver disease in an Asian-Pacific consensus </w:t>
      </w:r>
      <w:proofErr w:type="gramStart"/>
      <w:r w:rsidRPr="000E2301">
        <w:rPr>
          <w:rFonts w:ascii="Verdana" w:hAnsi="Verdana" w:cs="Verdana"/>
          <w:color w:val="000000"/>
          <w:spacing w:val="-11"/>
          <w:kern w:val="0"/>
          <w:sz w:val="18"/>
          <w:szCs w:val="18"/>
        </w:rPr>
        <w:t>statement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67,68]</w:t>
      </w:r>
      <w:r w:rsidRPr="000E2301">
        <w:rPr>
          <w:rFonts w:ascii="Verdana" w:hAnsi="Verdana" w:cs="Verdana"/>
          <w:color w:val="000000"/>
          <w:spacing w:val="-11"/>
          <w:kern w:val="0"/>
          <w:sz w:val="18"/>
          <w:szCs w:val="18"/>
        </w:rPr>
        <w:t xml:space="preserve">. Nevertheless, the patients should be monitored cautiously for the risk of lactic acidosis during the treatment and entecavir should be suspended in the case of suspected lactic </w:t>
      </w:r>
      <w:proofErr w:type="gramStart"/>
      <w:r w:rsidRPr="000E2301">
        <w:rPr>
          <w:rFonts w:ascii="Verdana" w:hAnsi="Verdana" w:cs="Verdana"/>
          <w:color w:val="000000"/>
          <w:spacing w:val="-11"/>
          <w:kern w:val="0"/>
          <w:sz w:val="18"/>
          <w:szCs w:val="18"/>
        </w:rPr>
        <w:t>acidosis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49,66]</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Patients with severe acidosis complained of nausea, </w:t>
      </w:r>
      <w:r w:rsidRPr="000E2301">
        <w:rPr>
          <w:rFonts w:ascii="Verdana" w:hAnsi="Verdana" w:cs="Verdana"/>
          <w:color w:val="000000"/>
          <w:spacing w:val="-13"/>
          <w:kern w:val="0"/>
          <w:sz w:val="18"/>
          <w:szCs w:val="18"/>
        </w:rPr>
        <w:t xml:space="preserve">dyspnea and weakness, and showed a reduced general physical condition, impaired consciousness </w:t>
      </w:r>
      <w:r w:rsidRPr="000E2301">
        <w:rPr>
          <w:rFonts w:ascii="Verdana" w:hAnsi="Verdana" w:cs="Verdana"/>
          <w:color w:val="000000"/>
          <w:spacing w:val="-11"/>
          <w:kern w:val="0"/>
          <w:sz w:val="18"/>
          <w:szCs w:val="18"/>
        </w:rPr>
        <w:t xml:space="preserve">and tachypnea. In addition, 2 of 3 patients with severe acidosis suffered </w:t>
      </w:r>
      <w:r w:rsidRPr="000E2301">
        <w:rPr>
          <w:rFonts w:ascii="Verdana" w:hAnsi="Verdana" w:cs="Verdana"/>
          <w:color w:val="000000"/>
          <w:spacing w:val="-11"/>
          <w:kern w:val="0"/>
          <w:sz w:val="18"/>
          <w:szCs w:val="18"/>
        </w:rPr>
        <w:lastRenderedPageBreak/>
        <w:t>from paresthesia and the remaining 1 patient developed hepatic steatosis typical for mitochondrial toxicity. ALT flares, potentially leading to decompensated hepatic disease, can be another serious health problem in a patient given entecavir for CHB. In clinical trials, ALT flare had been reported to occur in a small percentage of patients treated with entecavir and to resolve even if the treatment continued. In an open-label study evaluating the safety and tolerability of entecavir, Grade 3 and 4 adverse events were detected in 19% of the patients, with only 4% of them possibly related to entecavir. These Grade 3 and 4 adverse events were myalgia, neuropathy, increased lipase, increased creatinine and lactate, CK elevation, decreased bicarbonate and pan</w:t>
      </w:r>
      <w:r w:rsidRPr="000E2301">
        <w:rPr>
          <w:rFonts w:ascii="Verdana" w:hAnsi="Verdana" w:cs="Verdana"/>
          <w:color w:val="000000"/>
          <w:spacing w:val="-11"/>
          <w:kern w:val="0"/>
          <w:sz w:val="18"/>
          <w:szCs w:val="18"/>
        </w:rPr>
        <w:softHyphen/>
        <w:t>creatitis. Entecavir treatment was discontinued in only 1% of cases due to adverse events. ALT flares were reported in 3% of the patients during the treatment, and were associated with inhibition of viral replication, at least 2 log</w:t>
      </w:r>
      <w:r w:rsidRPr="000E2301">
        <w:rPr>
          <w:rFonts w:ascii="Verdana" w:hAnsi="Verdana" w:cs="Verdana"/>
          <w:color w:val="000000"/>
          <w:spacing w:val="-11"/>
          <w:kern w:val="0"/>
          <w:sz w:val="18"/>
          <w:szCs w:val="18"/>
          <w:vertAlign w:val="subscript"/>
        </w:rPr>
        <w:t>10</w:t>
      </w:r>
      <w:r w:rsidRPr="000E2301">
        <w:rPr>
          <w:rFonts w:ascii="Verdana" w:hAnsi="Verdana" w:cs="Verdana"/>
          <w:color w:val="000000"/>
          <w:spacing w:val="-11"/>
          <w:kern w:val="0"/>
          <w:sz w:val="18"/>
          <w:szCs w:val="18"/>
        </w:rPr>
        <w:t xml:space="preserve"> decrease of HBV </w:t>
      </w:r>
      <w:proofErr w:type="gramStart"/>
      <w:r w:rsidRPr="000E2301">
        <w:rPr>
          <w:rFonts w:ascii="Verdana" w:hAnsi="Verdana" w:cs="Verdana"/>
          <w:color w:val="000000"/>
          <w:spacing w:val="-11"/>
          <w:kern w:val="0"/>
          <w:sz w:val="18"/>
          <w:szCs w:val="18"/>
        </w:rPr>
        <w:t>DNA</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68]</w:t>
      </w:r>
      <w:r w:rsidRPr="000E2301">
        <w:rPr>
          <w:rFonts w:ascii="Verdana" w:hAnsi="Verdana" w:cs="Verdana"/>
          <w:color w:val="000000"/>
          <w:spacing w:val="-11"/>
          <w:kern w:val="0"/>
          <w:sz w:val="18"/>
          <w:szCs w:val="18"/>
        </w:rPr>
        <w:t>.</w:t>
      </w:r>
      <w:r w:rsidRPr="000E2301">
        <w:rPr>
          <w:rFonts w:ascii="Verdana" w:hAnsi="Verdana" w:cs="Verdana"/>
          <w:color w:val="000000"/>
          <w:spacing w:val="-11"/>
          <w:kern w:val="0"/>
          <w:position w:val="16"/>
          <w:sz w:val="18"/>
          <w:szCs w:val="18"/>
        </w:rPr>
        <w:t xml:space="preserve"> </w:t>
      </w:r>
      <w:r w:rsidRPr="000E2301">
        <w:rPr>
          <w:rFonts w:ascii="Verdana" w:hAnsi="Verdana" w:cs="Verdana"/>
          <w:color w:val="000000"/>
          <w:spacing w:val="-11"/>
          <w:kern w:val="0"/>
          <w:sz w:val="18"/>
          <w:szCs w:val="18"/>
        </w:rPr>
        <w:t xml:space="preserve">In a multi-center European study investigating the incidence and outcome of ALT flares during long-term entecavir in CHB, 729 patients treated with entecavir for a median of 3.5 years were evaluated. Flares were classified as host-induced (preceded by HBV DNA decline), virus-induced (HBV DNA increase) or indeterminate (stable HBV DNA). A total cumulative incidence of ALT flare was 6.3% (30) at year 5. Of them, 12 were host -induced and associated with biochemical remission. HBeAg and HBsAg seroconversion was observed in only these host-induced flares. Virus-induced flares were reported to be associated with entecavir resistance and non-compliance to the </w:t>
      </w:r>
      <w:proofErr w:type="gramStart"/>
      <w:r w:rsidRPr="000E2301">
        <w:rPr>
          <w:rFonts w:ascii="Verdana" w:hAnsi="Verdana" w:cs="Verdana"/>
          <w:color w:val="000000"/>
          <w:spacing w:val="-11"/>
          <w:kern w:val="0"/>
          <w:sz w:val="18"/>
          <w:szCs w:val="18"/>
        </w:rPr>
        <w:t>therapy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69]</w:t>
      </w:r>
      <w:r w:rsidRPr="000E2301">
        <w:rPr>
          <w:rFonts w:ascii="Verdana" w:hAnsi="Verdana" w:cs="Verdana"/>
          <w:color w:val="000000"/>
          <w:spacing w:val="-11"/>
          <w:kern w:val="0"/>
          <w:sz w:val="18"/>
          <w:szCs w:val="18"/>
        </w:rPr>
        <w:t xml:space="preserve">. Therefore, long-term use of entecavir is generally safe and associated with low rates of serious adverse events, and discontinuation of the treatment is rarely required. ALT flares were low in patients receiving entecavir and generally associated with the improvement of liver disease. In current guidelines, entecavir is also recommended as treatment and prophylaxis of CHB infection in patients with renal transplant due to being an agent without signs of </w:t>
      </w:r>
      <w:proofErr w:type="gramStart"/>
      <w:r w:rsidRPr="000E2301">
        <w:rPr>
          <w:rFonts w:ascii="Verdana" w:hAnsi="Verdana" w:cs="Verdana"/>
          <w:color w:val="000000"/>
          <w:spacing w:val="-11"/>
          <w:kern w:val="0"/>
          <w:sz w:val="18"/>
          <w:szCs w:val="18"/>
        </w:rPr>
        <w:t>nephrotoxicity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w:t>
      </w:r>
      <w:r w:rsidRPr="000E2301">
        <w:rPr>
          <w:rFonts w:ascii="Verdana" w:hAnsi="Verdana" w:cs="Verdana"/>
          <w:color w:val="000000"/>
          <w:spacing w:val="-11"/>
          <w:kern w:val="0"/>
          <w:sz w:val="18"/>
          <w:szCs w:val="18"/>
        </w:rPr>
        <w:t>.</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2"/>
          <w:kern w:val="0"/>
          <w:sz w:val="24"/>
          <w:u w:val="single"/>
        </w:rPr>
        <w:t xml:space="preserve">TENOFOVIR </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Tenofovir disoproxil fumarate (TDF) is a prodrug of teno</w:t>
      </w:r>
      <w:r w:rsidRPr="000E2301">
        <w:rPr>
          <w:rFonts w:ascii="Verdana" w:hAnsi="Verdana" w:cs="Verdana"/>
          <w:color w:val="000000"/>
          <w:spacing w:val="-11"/>
          <w:kern w:val="0"/>
          <w:sz w:val="18"/>
          <w:szCs w:val="18"/>
        </w:rPr>
        <w:softHyphen/>
        <w:t xml:space="preserve">fovir that has been approved as a nucleotide analogue by the United States FDA for use in HIV infection in 2001 and in CHB infection in 2008 at a dose of 300 </w:t>
      </w:r>
      <w:proofErr w:type="gramStart"/>
      <w:r w:rsidRPr="000E2301">
        <w:rPr>
          <w:rFonts w:ascii="Verdana" w:hAnsi="Verdana" w:cs="Verdana"/>
          <w:color w:val="000000"/>
          <w:spacing w:val="-11"/>
          <w:kern w:val="0"/>
          <w:sz w:val="18"/>
          <w:szCs w:val="18"/>
        </w:rPr>
        <w:t>mg</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w:t>
      </w:r>
      <w:r w:rsidRPr="000E2301">
        <w:rPr>
          <w:rFonts w:ascii="Verdana" w:hAnsi="Verdana" w:cs="Verdana"/>
          <w:color w:val="000000"/>
          <w:spacing w:val="-11"/>
          <w:kern w:val="0"/>
          <w:sz w:val="18"/>
          <w:szCs w:val="18"/>
        </w:rPr>
        <w:t xml:space="preserve">. TDF is converted to tenofovir by hydrolysis and then phosphorylated by cellular enzymes to tenofovir diphosphate. It inhibits (potentially) HBV DNA polymerase and reverse transcriptase. Tenofovir, one of the main components in antiretroviral regimens, plays a key role in HIV treatment. It is also a highly potent inhibitor of HBV DNA replication and recommended as a first-line treatment choice in CHB by the current clinical guidelines due to the absence of resistance to the </w:t>
      </w:r>
      <w:proofErr w:type="gramStart"/>
      <w:r w:rsidRPr="000E2301">
        <w:rPr>
          <w:rFonts w:ascii="Verdana" w:hAnsi="Verdana" w:cs="Verdana"/>
          <w:color w:val="000000"/>
          <w:spacing w:val="-11"/>
          <w:kern w:val="0"/>
          <w:sz w:val="18"/>
          <w:szCs w:val="18"/>
        </w:rPr>
        <w:t>drug</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1,70]</w:t>
      </w:r>
      <w:r w:rsidRPr="000E2301">
        <w:rPr>
          <w:rFonts w:ascii="Verdana" w:hAnsi="Verdana" w:cs="Verdana"/>
          <w:color w:val="000000"/>
          <w:spacing w:val="-11"/>
          <w:kern w:val="0"/>
          <w:sz w:val="18"/>
          <w:szCs w:val="18"/>
        </w:rPr>
        <w:t>. The molecular structure and general safety profile of tenofovir is similar to adefovir, but nephrotoxicity has not been a major problem with tenofovir at therapeutic doses. Therefore, it can be used at higher doses compared to adefovir and leads to more effective responses in HBV DNA decline. The nephrotoxic effect of tenofovir is discussed in detail in the below section on “Renal Safety of NAs”.</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In phase </w:t>
      </w:r>
      <w:r w:rsidRPr="000E2301">
        <w:rPr>
          <w:rFonts w:ascii="KozMinPro-Regular" w:eastAsia="KozMinPro-Regular" w:hAnsi="Verdana" w:cs="KozMinPro-Regular" w:hint="eastAsia"/>
          <w:color w:val="000000"/>
          <w:spacing w:val="-11"/>
          <w:kern w:val="0"/>
          <w:sz w:val="19"/>
          <w:szCs w:val="19"/>
        </w:rPr>
        <w:t>Ⅲ</w:t>
      </w:r>
      <w:r w:rsidRPr="000E2301">
        <w:rPr>
          <w:rFonts w:ascii="Verdana" w:hAnsi="Verdana" w:cs="Verdana"/>
          <w:color w:val="000000"/>
          <w:spacing w:val="-11"/>
          <w:kern w:val="0"/>
          <w:sz w:val="18"/>
          <w:szCs w:val="18"/>
        </w:rPr>
        <w:t xml:space="preserve"> studies of tenofovir, the adverse event profiles were similar to those in the comparative arm of adefovir. The most frequent adverse events were head</w:t>
      </w:r>
      <w:r w:rsidRPr="000E2301">
        <w:rPr>
          <w:rFonts w:ascii="Verdana" w:hAnsi="Verdana" w:cs="Verdana"/>
          <w:color w:val="000000"/>
          <w:spacing w:val="-11"/>
          <w:kern w:val="0"/>
          <w:sz w:val="18"/>
          <w:szCs w:val="18"/>
        </w:rPr>
        <w:softHyphen/>
        <w:t>ache, nasopharyngitis, back pain and nausea. Treatment-related adverse events were detected in 6% of patients, serious adverse events in 4% and adverse events that required discontinuation of tenofovir in less than 1</w:t>
      </w:r>
      <w:proofErr w:type="gramStart"/>
      <w:r w:rsidRPr="000E2301">
        <w:rPr>
          <w:rFonts w:ascii="Verdana" w:hAnsi="Verdana" w:cs="Verdana"/>
          <w:color w:val="000000"/>
          <w:spacing w:val="-11"/>
          <w:kern w:val="0"/>
          <w:sz w:val="18"/>
          <w:szCs w:val="18"/>
        </w:rPr>
        <w: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8,55]</w:t>
      </w:r>
      <w:r w:rsidRPr="000E2301">
        <w:rPr>
          <w:rFonts w:ascii="Verdana" w:hAnsi="Verdana" w:cs="Verdana"/>
          <w:color w:val="000000"/>
          <w:spacing w:val="-11"/>
          <w:kern w:val="0"/>
          <w:sz w:val="18"/>
          <w:szCs w:val="18"/>
        </w:rPr>
        <w:t>. A 3-year, prospective real-world study (Vireal group) reported 68 adverse events in 41 (9.3%) patients among a total of 440 patients receiving tenofovir. Adverse events occurring in more than one patient were renal disorders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11), abdominal pain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8), asthenia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7), nausea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6), vomiting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5) and diarrhea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5). Nine of the 16 serious side effects were reported to be tenofovir-</w:t>
      </w:r>
      <w:r w:rsidRPr="000E2301">
        <w:rPr>
          <w:rFonts w:ascii="Verdana" w:hAnsi="Verdana" w:cs="Verdana"/>
          <w:color w:val="000000"/>
          <w:spacing w:val="-11"/>
          <w:kern w:val="0"/>
          <w:sz w:val="18"/>
          <w:szCs w:val="18"/>
        </w:rPr>
        <w:lastRenderedPageBreak/>
        <w:t>related (visual impairment, nausea, asthenia gait disturbance, weight loss, depression, muscular weakness, muscular pain and psoriasis</w:t>
      </w:r>
      <w:proofErr w:type="gramStart"/>
      <w:r w:rsidRPr="000E2301">
        <w:rPr>
          <w:rFonts w:ascii="Verdana" w:hAnsi="Verdana" w:cs="Verdana"/>
          <w:color w:val="000000"/>
          <w:spacing w:val="-11"/>
          <w:kern w:val="0"/>
          <w:sz w:val="18"/>
          <w:szCs w:val="18"/>
        </w:rPr>
        <w: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71]</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 xml:space="preserve">Osteomalacia can occur during long-term tenofovir treatment. In randomized clinical trials, a great loss of bone mineral density (BMD) had been well-described in patients with HIV infection treated with </w:t>
      </w:r>
      <w:proofErr w:type="gramStart"/>
      <w:r w:rsidRPr="000E2301">
        <w:rPr>
          <w:rFonts w:ascii="Verdana" w:hAnsi="Verdana" w:cs="Verdana"/>
          <w:color w:val="000000"/>
          <w:spacing w:val="-11"/>
          <w:kern w:val="0"/>
          <w:sz w:val="18"/>
          <w:szCs w:val="18"/>
        </w:rPr>
        <w:t>tenofovir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55,72-74]</w:t>
      </w:r>
      <w:r w:rsidRPr="000E2301">
        <w:rPr>
          <w:rFonts w:ascii="Verdana" w:hAnsi="Verdana" w:cs="Verdana"/>
          <w:color w:val="000000"/>
          <w:spacing w:val="-11"/>
          <w:kern w:val="0"/>
          <w:sz w:val="18"/>
          <w:szCs w:val="18"/>
        </w:rPr>
        <w:t xml:space="preserve">. However, tenofovir-related bone fractures were not reported in patients with HBV </w:t>
      </w:r>
      <w:proofErr w:type="gramStart"/>
      <w:r w:rsidRPr="000E2301">
        <w:rPr>
          <w:rFonts w:ascii="Verdana" w:hAnsi="Verdana" w:cs="Verdana"/>
          <w:color w:val="000000"/>
          <w:spacing w:val="-11"/>
          <w:kern w:val="0"/>
          <w:sz w:val="18"/>
          <w:szCs w:val="18"/>
        </w:rPr>
        <w:t>monoinfection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55]</w:t>
      </w:r>
      <w:r w:rsidRPr="000E2301">
        <w:rPr>
          <w:rFonts w:ascii="Verdana" w:hAnsi="Verdana" w:cs="Verdana"/>
          <w:color w:val="000000"/>
          <w:spacing w:val="-11"/>
          <w:kern w:val="0"/>
          <w:sz w:val="18"/>
          <w:szCs w:val="18"/>
        </w:rPr>
        <w:t xml:space="preserve">. During the 3-year prospective follow-up, fractures were observed in 1% of 375 HBeAg-negative and 266 HBeAg-positive patients, but none were related to </w:t>
      </w:r>
      <w:proofErr w:type="gramStart"/>
      <w:r w:rsidRPr="000E2301">
        <w:rPr>
          <w:rFonts w:ascii="Verdana" w:hAnsi="Verdana" w:cs="Verdana"/>
          <w:color w:val="000000"/>
          <w:spacing w:val="-11"/>
          <w:kern w:val="0"/>
          <w:sz w:val="18"/>
          <w:szCs w:val="18"/>
        </w:rPr>
        <w:t>tenofovir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75]</w:t>
      </w:r>
      <w:r w:rsidRPr="000E2301">
        <w:rPr>
          <w:rFonts w:ascii="Verdana" w:hAnsi="Verdana" w:cs="Verdana"/>
          <w:color w:val="000000"/>
          <w:spacing w:val="-11"/>
          <w:kern w:val="0"/>
          <w:sz w:val="18"/>
          <w:szCs w:val="18"/>
        </w:rPr>
        <w:t xml:space="preserve">. The primary responsible mechanism for bone density loss is believed to be related with inhibitory effects of HIV proteins or immune status in osteoblasts and an increased osteoclastic activity. Modifying effects of tenofovir on osteoblast gene expression and function was the other mechanism defined in recent </w:t>
      </w:r>
      <w:proofErr w:type="gramStart"/>
      <w:r w:rsidRPr="000E2301">
        <w:rPr>
          <w:rFonts w:ascii="Verdana" w:hAnsi="Verdana" w:cs="Verdana"/>
          <w:color w:val="000000"/>
          <w:spacing w:val="-11"/>
          <w:kern w:val="0"/>
          <w:sz w:val="18"/>
          <w:szCs w:val="18"/>
        </w:rPr>
        <w:t>reports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72]</w:t>
      </w:r>
      <w:r w:rsidRPr="000E2301">
        <w:rPr>
          <w:rFonts w:ascii="Verdana" w:hAnsi="Verdana" w:cs="Verdana"/>
          <w:color w:val="000000"/>
          <w:spacing w:val="-11"/>
          <w:kern w:val="0"/>
          <w:sz w:val="18"/>
          <w:szCs w:val="18"/>
        </w:rPr>
        <w:t xml:space="preserve">. The exact mechanism of bone toxicity in CHB is not clear. Possibly, proximal tubular damage caused by TDF therapy leads to hypophosphatemia and, indirectly, to inadequate mineralization of bone </w:t>
      </w:r>
      <w:proofErr w:type="gramStart"/>
      <w:r w:rsidRPr="000E2301">
        <w:rPr>
          <w:rFonts w:ascii="Verdana" w:hAnsi="Verdana" w:cs="Verdana"/>
          <w:color w:val="000000"/>
          <w:spacing w:val="-11"/>
          <w:kern w:val="0"/>
          <w:sz w:val="18"/>
          <w:szCs w:val="18"/>
        </w:rPr>
        <w:t>matrix</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w:t>
      </w:r>
      <w:r w:rsidRPr="000E2301">
        <w:rPr>
          <w:rFonts w:ascii="Verdana" w:hAnsi="Verdana" w:cs="Verdana"/>
          <w:color w:val="000000"/>
          <w:spacing w:val="-11"/>
          <w:kern w:val="0"/>
          <w:sz w:val="18"/>
          <w:szCs w:val="18"/>
        </w:rPr>
        <w:t>. There have been case reports regarding tenofovir-associated osteomalacia. A recent study including 170 patients with CHB infection compared patients treated with tenofovir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122) and control patients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48) in terms of bone </w:t>
      </w:r>
      <w:proofErr w:type="gramStart"/>
      <w:r w:rsidRPr="000E2301">
        <w:rPr>
          <w:rFonts w:ascii="Verdana" w:hAnsi="Verdana" w:cs="Verdana"/>
          <w:color w:val="000000"/>
          <w:spacing w:val="-11"/>
          <w:kern w:val="0"/>
          <w:sz w:val="18"/>
          <w:szCs w:val="18"/>
        </w:rPr>
        <w:t>health</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72]</w:t>
      </w:r>
      <w:r w:rsidRPr="000E2301">
        <w:rPr>
          <w:rFonts w:ascii="Verdana" w:hAnsi="Verdana" w:cs="Verdana"/>
          <w:color w:val="000000"/>
          <w:spacing w:val="-11"/>
          <w:kern w:val="0"/>
          <w:sz w:val="18"/>
          <w:szCs w:val="18"/>
        </w:rPr>
        <w:t xml:space="preserve">. The prevalence of BMD loss in patients receiving tenofovir was similar to those who were not exposed to tenofovir. Tenofovir was reported to be associated with a lower T score only in the hips. Additionally, in the study, there was no significant correlation between duration of exposure to tenofovir and reduction in BMD at any side. The risk factors for reduction in BMD other than tenofovir exposure were the known classical factors including advancing age, lower body mass index and </w:t>
      </w:r>
      <w:proofErr w:type="gramStart"/>
      <w:r w:rsidRPr="000E2301">
        <w:rPr>
          <w:rFonts w:ascii="Verdana" w:hAnsi="Verdana" w:cs="Verdana"/>
          <w:color w:val="000000"/>
          <w:spacing w:val="-11"/>
          <w:kern w:val="0"/>
          <w:sz w:val="18"/>
          <w:szCs w:val="18"/>
        </w:rPr>
        <w:t>smoking</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72-74]</w:t>
      </w:r>
      <w:r w:rsidRPr="000E2301">
        <w:rPr>
          <w:rFonts w:ascii="Verdana" w:hAnsi="Verdana" w:cs="Verdana"/>
          <w:color w:val="000000"/>
          <w:spacing w:val="-11"/>
          <w:kern w:val="0"/>
          <w:sz w:val="18"/>
          <w:szCs w:val="18"/>
        </w:rPr>
        <w:t>. A large retrospective study including 53500 subjects in Hong Kong (46454 untreated and 7046 treated) investigated renal and bone events in CHB patients with and without NAs. The patients treated with NAs had similar risk of hip fracture, spine fracture and all fracture, compared to untreated CHB patients. Treatment with nucleotide analogues, compared to nucleoside analogues, was found to increase only the risk of hip fracture but not the other side fracture, and the overall fracture rate was low</w:t>
      </w:r>
      <w:r w:rsidRPr="000E2301">
        <w:rPr>
          <w:rFonts w:ascii="Verdana" w:hAnsi="Verdana" w:cs="Verdana"/>
          <w:color w:val="000000"/>
          <w:spacing w:val="-11"/>
          <w:kern w:val="0"/>
          <w:sz w:val="18"/>
          <w:szCs w:val="18"/>
          <w:vertAlign w:val="superscript"/>
        </w:rPr>
        <w:t>[76]</w:t>
      </w:r>
      <w:r w:rsidRPr="000E2301">
        <w:rPr>
          <w:rFonts w:ascii="Verdana" w:hAnsi="Verdana" w:cs="Verdana"/>
          <w:color w:val="000000"/>
          <w:spacing w:val="-11"/>
          <w:kern w:val="0"/>
          <w:sz w:val="18"/>
          <w:szCs w:val="18"/>
        </w:rPr>
        <w:t xml:space="preserve">. Additionally, BMD reduction was demonstrated to remain constant on a plateau from year 4 through year 7 of tenofovir treatment, for both hip and lumbar </w:t>
      </w:r>
      <w:proofErr w:type="gramStart"/>
      <w:r w:rsidRPr="000E2301">
        <w:rPr>
          <w:rFonts w:ascii="Verdana" w:hAnsi="Verdana" w:cs="Verdana"/>
          <w:color w:val="000000"/>
          <w:spacing w:val="-11"/>
          <w:kern w:val="0"/>
          <w:sz w:val="18"/>
          <w:szCs w:val="18"/>
        </w:rPr>
        <w:t>spine</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77]</w:t>
      </w:r>
      <w:r w:rsidRPr="000E2301">
        <w:rPr>
          <w:rFonts w:ascii="Verdana" w:hAnsi="Verdana" w:cs="Verdana"/>
          <w:color w:val="000000"/>
          <w:spacing w:val="-11"/>
          <w:kern w:val="0"/>
          <w:sz w:val="18"/>
          <w:szCs w:val="18"/>
        </w:rPr>
        <w:t xml:space="preserve">. Thus, we may conclude that BMD reduction is not a progressive event and is detected in the first years of </w:t>
      </w:r>
      <w:proofErr w:type="gramStart"/>
      <w:r w:rsidRPr="000E2301">
        <w:rPr>
          <w:rFonts w:ascii="Verdana" w:hAnsi="Verdana" w:cs="Verdana"/>
          <w:color w:val="000000"/>
          <w:spacing w:val="-11"/>
          <w:kern w:val="0"/>
          <w:sz w:val="18"/>
          <w:szCs w:val="18"/>
        </w:rPr>
        <w:t>treatment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78]</w:t>
      </w:r>
      <w:r w:rsidRPr="000E2301">
        <w:rPr>
          <w:rFonts w:ascii="Verdana" w:hAnsi="Verdana" w:cs="Verdana"/>
          <w:color w:val="000000"/>
          <w:spacing w:val="-11"/>
          <w:kern w:val="0"/>
          <w:sz w:val="18"/>
          <w:szCs w:val="18"/>
        </w:rPr>
        <w:t xml:space="preserve">. These are important findings due to CHB infection requiring lifelong treatment in the majority of patients because the </w:t>
      </w:r>
      <w:proofErr w:type="gramStart"/>
      <w:r w:rsidRPr="000E2301">
        <w:rPr>
          <w:rFonts w:ascii="Verdana" w:hAnsi="Verdana" w:cs="Verdana"/>
          <w:color w:val="000000"/>
          <w:spacing w:val="-11"/>
          <w:kern w:val="0"/>
          <w:sz w:val="18"/>
          <w:szCs w:val="18"/>
        </w:rPr>
        <w:t>discontinuation of NAs after sustained viral response have</w:t>
      </w:r>
      <w:proofErr w:type="gramEnd"/>
      <w:r w:rsidRPr="000E2301">
        <w:rPr>
          <w:rFonts w:ascii="Verdana" w:hAnsi="Verdana" w:cs="Verdana"/>
          <w:color w:val="000000"/>
          <w:spacing w:val="-11"/>
          <w:kern w:val="0"/>
          <w:sz w:val="18"/>
          <w:szCs w:val="18"/>
        </w:rPr>
        <w:t xml:space="preserve"> a high risk of relapse. Tenofovir can be preferred and used safely in CHB patients in the long-term. Nevertheless, BMD should be periodically performed in patients with CHB infection treated with </w:t>
      </w:r>
      <w:proofErr w:type="gramStart"/>
      <w:r w:rsidRPr="000E2301">
        <w:rPr>
          <w:rFonts w:ascii="Verdana" w:hAnsi="Verdana" w:cs="Verdana"/>
          <w:color w:val="000000"/>
          <w:spacing w:val="-11"/>
          <w:kern w:val="0"/>
          <w:sz w:val="18"/>
          <w:szCs w:val="18"/>
        </w:rPr>
        <w:t>tenofovir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79]</w:t>
      </w:r>
      <w:r w:rsidRPr="000E2301">
        <w:rPr>
          <w:rFonts w:ascii="Verdana" w:hAnsi="Verdana" w:cs="Verdana"/>
          <w:color w:val="000000"/>
          <w:spacing w:val="-11"/>
          <w:kern w:val="0"/>
          <w:sz w:val="18"/>
          <w:szCs w:val="18"/>
        </w:rPr>
        <w:t>. Osteoporotic patients, especially with advanced age and smoking history, should be monitored more closely and, if required, consulted with a physical rehabilitation specialist.</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1"/>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1"/>
          <w:kern w:val="0"/>
          <w:sz w:val="24"/>
          <w:u w:val="single"/>
        </w:rPr>
        <w:t>R</w:t>
      </w:r>
      <w:r w:rsidRPr="000E2301">
        <w:rPr>
          <w:rFonts w:ascii="Univers" w:hAnsi="Univers" w:cs="Univers"/>
          <w:b/>
          <w:bCs/>
          <w:color w:val="000000"/>
          <w:spacing w:val="-2"/>
          <w:kern w:val="0"/>
          <w:sz w:val="24"/>
          <w:u w:val="single"/>
        </w:rPr>
        <w:t>ENAL</w:t>
      </w:r>
      <w:r w:rsidRPr="000E2301">
        <w:rPr>
          <w:rFonts w:ascii="Univers" w:hAnsi="Univers" w:cs="Univers"/>
          <w:b/>
          <w:bCs/>
          <w:color w:val="000000"/>
          <w:spacing w:val="1"/>
          <w:kern w:val="0"/>
          <w:sz w:val="24"/>
          <w:u w:val="single"/>
        </w:rPr>
        <w:t xml:space="preserve"> </w:t>
      </w:r>
      <w:r w:rsidRPr="000E2301">
        <w:rPr>
          <w:rFonts w:ascii="Univers" w:hAnsi="Univers" w:cs="Univers"/>
          <w:b/>
          <w:bCs/>
          <w:color w:val="000000"/>
          <w:spacing w:val="-2"/>
          <w:kern w:val="0"/>
          <w:sz w:val="24"/>
          <w:u w:val="single"/>
        </w:rPr>
        <w:t>S</w:t>
      </w:r>
      <w:r w:rsidRPr="000E2301">
        <w:rPr>
          <w:rFonts w:ascii="Univers" w:hAnsi="Univers" w:cs="Univers"/>
          <w:b/>
          <w:bCs/>
          <w:color w:val="000000"/>
          <w:spacing w:val="-3"/>
          <w:kern w:val="0"/>
          <w:sz w:val="24"/>
          <w:u w:val="single"/>
        </w:rPr>
        <w:t>A</w:t>
      </w:r>
      <w:r w:rsidRPr="000E2301">
        <w:rPr>
          <w:rFonts w:ascii="Univers" w:hAnsi="Univers" w:cs="Univers"/>
          <w:b/>
          <w:bCs/>
          <w:color w:val="000000"/>
          <w:spacing w:val="1"/>
          <w:kern w:val="0"/>
          <w:sz w:val="24"/>
          <w:u w:val="single"/>
        </w:rPr>
        <w:t>F</w:t>
      </w:r>
      <w:r w:rsidRPr="000E2301">
        <w:rPr>
          <w:rFonts w:ascii="Univers" w:hAnsi="Univers" w:cs="Univers"/>
          <w:b/>
          <w:bCs/>
          <w:color w:val="000000"/>
          <w:spacing w:val="-2"/>
          <w:kern w:val="0"/>
          <w:sz w:val="24"/>
          <w:u w:val="single"/>
        </w:rPr>
        <w:t>E</w:t>
      </w:r>
      <w:r w:rsidRPr="000E2301">
        <w:rPr>
          <w:rFonts w:ascii="Univers" w:hAnsi="Univers" w:cs="Univers"/>
          <w:b/>
          <w:bCs/>
          <w:color w:val="000000"/>
          <w:spacing w:val="1"/>
          <w:kern w:val="0"/>
          <w:sz w:val="24"/>
          <w:u w:val="single"/>
        </w:rPr>
        <w:t>T</w:t>
      </w:r>
      <w:r w:rsidRPr="000E2301">
        <w:rPr>
          <w:rFonts w:ascii="Univers" w:hAnsi="Univers" w:cs="Univers"/>
          <w:b/>
          <w:bCs/>
          <w:color w:val="000000"/>
          <w:spacing w:val="-2"/>
          <w:kern w:val="0"/>
          <w:sz w:val="24"/>
          <w:u w:val="single"/>
        </w:rPr>
        <w:t>Y OF</w:t>
      </w:r>
      <w:r w:rsidRPr="000E2301">
        <w:rPr>
          <w:rFonts w:ascii="Univers" w:hAnsi="Univers" w:cs="Univers"/>
          <w:b/>
          <w:bCs/>
          <w:color w:val="000000"/>
          <w:spacing w:val="3"/>
          <w:kern w:val="0"/>
          <w:sz w:val="24"/>
          <w:u w:val="single"/>
        </w:rPr>
        <w:t xml:space="preserve"> </w:t>
      </w:r>
      <w:r w:rsidRPr="000E2301">
        <w:rPr>
          <w:rFonts w:ascii="Univers" w:hAnsi="Univers" w:cs="Univers"/>
          <w:b/>
          <w:bCs/>
          <w:color w:val="000000"/>
          <w:spacing w:val="-1"/>
          <w:kern w:val="0"/>
          <w:sz w:val="24"/>
          <w:u w:val="single"/>
        </w:rPr>
        <w:t>NA</w:t>
      </w:r>
      <w:r w:rsidRPr="000E2301">
        <w:rPr>
          <w:rFonts w:ascii="Univers" w:hAnsi="Univers" w:cs="Univers"/>
          <w:b/>
          <w:bCs/>
          <w:color w:val="000000"/>
          <w:spacing w:val="-2"/>
          <w:kern w:val="0"/>
          <w:sz w:val="24"/>
          <w:u w:val="single"/>
        </w:rPr>
        <w:t>s</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The adverse effect of NAs on renal function is an important issue that should be carefully evaluated, since HBV infection alone carries an increased risk of renal </w:t>
      </w:r>
      <w:proofErr w:type="gramStart"/>
      <w:r w:rsidRPr="000E2301">
        <w:rPr>
          <w:rFonts w:ascii="Verdana" w:hAnsi="Verdana" w:cs="Verdana"/>
          <w:color w:val="000000"/>
          <w:spacing w:val="-11"/>
          <w:kern w:val="0"/>
          <w:sz w:val="18"/>
          <w:szCs w:val="18"/>
        </w:rPr>
        <w:t>impairment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80]</w:t>
      </w:r>
      <w:r w:rsidRPr="000E2301">
        <w:rPr>
          <w:rFonts w:ascii="Verdana" w:hAnsi="Verdana" w:cs="Verdana"/>
          <w:color w:val="000000"/>
          <w:spacing w:val="-11"/>
          <w:kern w:val="0"/>
          <w:sz w:val="18"/>
          <w:szCs w:val="18"/>
        </w:rPr>
        <w:t xml:space="preserve">. All NAs are excreted through kidneys in unchanged forms and some of them are associated with dose-dependent </w:t>
      </w:r>
      <w:proofErr w:type="gramStart"/>
      <w:r w:rsidRPr="000E2301">
        <w:rPr>
          <w:rFonts w:ascii="Verdana" w:hAnsi="Verdana" w:cs="Verdana"/>
          <w:color w:val="000000"/>
          <w:spacing w:val="-11"/>
          <w:kern w:val="0"/>
          <w:sz w:val="18"/>
          <w:szCs w:val="18"/>
        </w:rPr>
        <w:t>nephrotoxicity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w:t>
      </w:r>
      <w:r w:rsidRPr="000E2301">
        <w:rPr>
          <w:rFonts w:ascii="Verdana" w:hAnsi="Verdana" w:cs="Verdana"/>
          <w:color w:val="000000"/>
          <w:spacing w:val="-11"/>
          <w:kern w:val="0"/>
          <w:sz w:val="18"/>
          <w:szCs w:val="18"/>
        </w:rPr>
        <w:t xml:space="preserve">. Nephrotoxicity results from proximal tubular damage and presents with elevated serum creatinine, proteinuria, nephrogenic diabetes insipidus, hypophosphatemia or the more severe form, Fanconi </w:t>
      </w:r>
      <w:proofErr w:type="gramStart"/>
      <w:r w:rsidRPr="000E2301">
        <w:rPr>
          <w:rFonts w:ascii="Verdana" w:hAnsi="Verdana" w:cs="Verdana"/>
          <w:color w:val="000000"/>
          <w:spacing w:val="-11"/>
          <w:kern w:val="0"/>
          <w:sz w:val="18"/>
          <w:szCs w:val="18"/>
        </w:rPr>
        <w:t>syndrome</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15]</w:t>
      </w:r>
      <w:r w:rsidRPr="000E2301">
        <w:rPr>
          <w:rFonts w:ascii="Verdana" w:hAnsi="Verdana" w:cs="Verdana"/>
          <w:color w:val="000000"/>
          <w:spacing w:val="-11"/>
          <w:kern w:val="0"/>
          <w:sz w:val="18"/>
          <w:szCs w:val="18"/>
        </w:rPr>
        <w:t xml:space="preserve">. Mauss </w:t>
      </w:r>
      <w:r w:rsidRPr="000E2301">
        <w:rPr>
          <w:rFonts w:ascii="Verdana" w:hAnsi="Verdana" w:cs="Verdana"/>
          <w:i/>
          <w:iCs/>
          <w:color w:val="000000"/>
          <w:spacing w:val="-11"/>
          <w:kern w:val="0"/>
          <w:sz w:val="18"/>
          <w:szCs w:val="18"/>
        </w:rPr>
        <w:t xml:space="preserve">et </w:t>
      </w:r>
      <w:proofErr w:type="gramStart"/>
      <w:r w:rsidRPr="000E2301">
        <w:rPr>
          <w:rFonts w:ascii="Verdana" w:hAnsi="Verdana" w:cs="Verdana"/>
          <w:i/>
          <w:iCs/>
          <w:color w:val="000000"/>
          <w:spacing w:val="-11"/>
          <w:kern w:val="0"/>
          <w:sz w:val="18"/>
          <w:szCs w:val="18"/>
        </w:rPr>
        <w:t>al</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81]</w:t>
      </w:r>
      <w:r w:rsidRPr="000E2301">
        <w:rPr>
          <w:rFonts w:ascii="Verdana" w:hAnsi="Verdana" w:cs="Verdana"/>
          <w:color w:val="000000"/>
          <w:spacing w:val="-11"/>
          <w:kern w:val="0"/>
          <w:sz w:val="18"/>
          <w:szCs w:val="18"/>
        </w:rPr>
        <w:t xml:space="preserve"> re</w:t>
      </w:r>
      <w:r w:rsidRPr="000E2301">
        <w:rPr>
          <w:rFonts w:ascii="Verdana" w:hAnsi="Verdana" w:cs="Verdana"/>
          <w:color w:val="000000"/>
          <w:spacing w:val="-11"/>
          <w:kern w:val="0"/>
          <w:sz w:val="18"/>
          <w:szCs w:val="18"/>
        </w:rPr>
        <w:softHyphen/>
        <w:t xml:space="preserve">ported a milder decrease in renal function with CHB therapy irrespective of medications. Comorbidities such as diabetes, hypertension and underlying chronic renal disease may also contribute to the nephrotoxic effect of NAs and aggravate renal dysfunction. </w:t>
      </w:r>
      <w:r w:rsidRPr="000E2301">
        <w:rPr>
          <w:rFonts w:ascii="Verdana" w:hAnsi="Verdana" w:cs="Verdana"/>
          <w:color w:val="000000"/>
          <w:spacing w:val="-11"/>
          <w:kern w:val="0"/>
          <w:sz w:val="18"/>
          <w:szCs w:val="18"/>
        </w:rPr>
        <w:lastRenderedPageBreak/>
        <w:t xml:space="preserve">In a study analyzing effects of NAs and comorbidities on renal function in 4178 CHB patients, age, diabetes, chronic renal disease, renal transplantation and simultaneous administration of diuretics were found to be independent risk factors for the rapid progression of renal </w:t>
      </w:r>
      <w:proofErr w:type="gramStart"/>
      <w:r w:rsidRPr="000E2301">
        <w:rPr>
          <w:rFonts w:ascii="Verdana" w:hAnsi="Verdana" w:cs="Verdana"/>
          <w:color w:val="000000"/>
          <w:spacing w:val="-11"/>
          <w:kern w:val="0"/>
          <w:sz w:val="18"/>
          <w:szCs w:val="18"/>
        </w:rPr>
        <w:t>disease</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81]</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2"/>
          <w:kern w:val="0"/>
          <w:sz w:val="18"/>
          <w:szCs w:val="18"/>
        </w:rPr>
      </w:pPr>
      <w:r w:rsidRPr="000E2301">
        <w:rPr>
          <w:rFonts w:ascii="Verdana" w:hAnsi="Verdana" w:cs="Verdana"/>
          <w:color w:val="000000"/>
          <w:spacing w:val="-11"/>
          <w:kern w:val="0"/>
          <w:sz w:val="18"/>
          <w:szCs w:val="18"/>
        </w:rPr>
        <w:t xml:space="preserve">Renal toxicity is the most noticeable side effect of adefovir. It is generally dose- and time-dependent, and reversible with dose-adjustment or discontinuation of the </w:t>
      </w:r>
      <w:proofErr w:type="gramStart"/>
      <w:r w:rsidRPr="000E2301">
        <w:rPr>
          <w:rFonts w:ascii="Verdana" w:hAnsi="Verdana" w:cs="Verdana"/>
          <w:color w:val="000000"/>
          <w:spacing w:val="-11"/>
          <w:kern w:val="0"/>
          <w:sz w:val="18"/>
          <w:szCs w:val="18"/>
        </w:rPr>
        <w:t>drug</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15,45,82-84]</w:t>
      </w:r>
      <w:r w:rsidRPr="000E2301">
        <w:rPr>
          <w:rFonts w:ascii="Verdana" w:hAnsi="Verdana" w:cs="Verdana"/>
          <w:color w:val="000000"/>
          <w:spacing w:val="-11"/>
          <w:kern w:val="0"/>
          <w:sz w:val="18"/>
          <w:szCs w:val="18"/>
        </w:rPr>
        <w:t xml:space="preserve">. In the majority of studies, nephrotoxicity was defined as an increase </w:t>
      </w:r>
      <w:r w:rsidRPr="000E2301">
        <w:rPr>
          <w:rFonts w:ascii="宋体" w:hAnsi="Verdana" w:cs="宋体" w:hint="eastAsia"/>
          <w:color w:val="000000"/>
          <w:spacing w:val="-11"/>
          <w:kern w:val="0"/>
          <w:sz w:val="19"/>
          <w:szCs w:val="19"/>
        </w:rPr>
        <w:t>≥</w:t>
      </w:r>
      <w:r w:rsidRPr="000E2301">
        <w:rPr>
          <w:rFonts w:ascii="Verdana" w:hAnsi="Verdana" w:cs="Verdana"/>
          <w:color w:val="000000"/>
          <w:spacing w:val="-11"/>
          <w:kern w:val="0"/>
          <w:sz w:val="18"/>
          <w:szCs w:val="18"/>
        </w:rPr>
        <w:t xml:space="preserve"> 0.5 mg/dL from baseline in serum creatinine or a serum phosphorus value of &lt; 1.5 mg/dL on two consecutive occasions</w:t>
      </w:r>
      <w:r w:rsidRPr="000E2301">
        <w:rPr>
          <w:rFonts w:ascii="Verdana" w:hAnsi="Verdana" w:cs="Verdana"/>
          <w:color w:val="000000"/>
          <w:spacing w:val="-11"/>
          <w:kern w:val="0"/>
          <w:sz w:val="18"/>
          <w:szCs w:val="18"/>
          <w:vertAlign w:val="superscript"/>
        </w:rPr>
        <w:t>[83]</w:t>
      </w:r>
      <w:r w:rsidRPr="000E2301">
        <w:rPr>
          <w:rFonts w:ascii="Verdana" w:hAnsi="Verdana" w:cs="Verdana"/>
          <w:color w:val="000000"/>
          <w:spacing w:val="-11"/>
          <w:kern w:val="0"/>
          <w:sz w:val="18"/>
          <w:szCs w:val="18"/>
        </w:rPr>
        <w:t xml:space="preserve">. In previous studies, including randomized controlled ones, adefovir at 30 mg/d was reported to be nephrotoxic, but adefovir at 10 mg/d was well tolerated and did not lead to an increase in renal dysfunction compared to </w:t>
      </w:r>
      <w:proofErr w:type="gramStart"/>
      <w:r w:rsidRPr="000E2301">
        <w:rPr>
          <w:rFonts w:ascii="Verdana" w:hAnsi="Verdana" w:cs="Verdana"/>
          <w:color w:val="000000"/>
          <w:spacing w:val="-11"/>
          <w:kern w:val="0"/>
          <w:sz w:val="18"/>
          <w:szCs w:val="18"/>
        </w:rPr>
        <w:t>placebo</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45,85]</w:t>
      </w:r>
      <w:r w:rsidRPr="000E2301">
        <w:rPr>
          <w:rFonts w:ascii="Verdana" w:hAnsi="Verdana" w:cs="Verdana"/>
          <w:color w:val="000000"/>
          <w:spacing w:val="-11"/>
          <w:kern w:val="0"/>
          <w:sz w:val="18"/>
          <w:szCs w:val="18"/>
        </w:rPr>
        <w:t>. In a study including a total of 515 patients with CHB, three groups who were treated placebo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170), adefovir dipivoxil at 10 mg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172) or adefovir dipivoxil at 30 mg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173) were compared in terms of response to the treatment and adverse events </w:t>
      </w:r>
      <w:proofErr w:type="gramStart"/>
      <w:r w:rsidRPr="000E2301">
        <w:rPr>
          <w:rFonts w:ascii="Verdana" w:hAnsi="Verdana" w:cs="Verdana"/>
          <w:color w:val="000000"/>
          <w:spacing w:val="-11"/>
          <w:kern w:val="0"/>
          <w:sz w:val="18"/>
          <w:szCs w:val="18"/>
        </w:rPr>
        <w:t>rates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45]</w:t>
      </w:r>
      <w:r w:rsidRPr="000E2301">
        <w:rPr>
          <w:rFonts w:ascii="Verdana" w:hAnsi="Verdana" w:cs="Verdana"/>
          <w:color w:val="000000"/>
          <w:spacing w:val="-11"/>
          <w:kern w:val="0"/>
          <w:sz w:val="18"/>
          <w:szCs w:val="18"/>
        </w:rPr>
        <w:t xml:space="preserve">. The safety profile was similar in two groups, the placebo group and the adefovir dipivoxil at 10 mg per day group. There was no significant change in median serum creatinine level at wk 48 of the treatment in these groups. However, 8% of the 30-mg group experienced an increase from baseline of 0.5 mg/dL (44 </w:t>
      </w:r>
      <w:r w:rsidRPr="000E2301">
        <w:rPr>
          <w:rFonts w:ascii="Symbol" w:hAnsi="Symbol" w:cs="Symbol"/>
          <w:color w:val="000000"/>
          <w:spacing w:val="-11"/>
          <w:kern w:val="0"/>
          <w:sz w:val="18"/>
          <w:szCs w:val="18"/>
        </w:rPr>
        <w:t></w:t>
      </w:r>
      <w:r w:rsidRPr="000E2301">
        <w:rPr>
          <w:rFonts w:ascii="Verdana" w:hAnsi="Verdana" w:cs="Verdana"/>
          <w:color w:val="000000"/>
          <w:spacing w:val="-11"/>
          <w:kern w:val="0"/>
          <w:sz w:val="18"/>
          <w:szCs w:val="18"/>
        </w:rPr>
        <w:t>mol/L) or greater in the serum creatinine level. The prolonged use of adefovir carries an extra risk of renal dysfunction. The incidences of increased creatinine level and hypophosphatemia were reported to be increased with longer usage of adefovir, even in patients receiving standard low-dose drug.</w:t>
      </w:r>
      <w:r w:rsidRPr="000E2301">
        <w:rPr>
          <w:rFonts w:ascii="Verdana" w:hAnsi="Verdana" w:cs="Verdana"/>
          <w:color w:val="000000"/>
          <w:spacing w:val="2"/>
          <w:kern w:val="0"/>
          <w:sz w:val="18"/>
          <w:szCs w:val="18"/>
        </w:rPr>
        <w:t xml:space="preserve"> </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In recent years, Fanconi syndrome cases due to long-term use of adefovir have been increasingly reported, especially in East Asian </w:t>
      </w:r>
      <w:proofErr w:type="gramStart"/>
      <w:r w:rsidRPr="000E2301">
        <w:rPr>
          <w:rFonts w:ascii="Verdana" w:hAnsi="Verdana" w:cs="Verdana"/>
          <w:color w:val="000000"/>
          <w:spacing w:val="-11"/>
          <w:kern w:val="0"/>
          <w:sz w:val="18"/>
          <w:szCs w:val="18"/>
        </w:rPr>
        <w:t>populations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83]</w:t>
      </w:r>
      <w:r w:rsidRPr="000E2301">
        <w:rPr>
          <w:rFonts w:ascii="Verdana" w:hAnsi="Verdana" w:cs="Verdana"/>
          <w:color w:val="000000"/>
          <w:spacing w:val="-11"/>
          <w:kern w:val="0"/>
          <w:sz w:val="18"/>
          <w:szCs w:val="18"/>
        </w:rPr>
        <w:t xml:space="preserve">. Fanconi syndrome is defined as hypophosphatemia and a slight increase in serum creatinine, resulting in proximal renal tubular dysfunction. Additionally, osteomalacia may develop secondary to hypophosphatemia. The patient’s main symptoms can be muscular weakness and bone pain involving the knees, ankles and ribs. Clinicians should be aware of this potential complication and monitor periodically the renal function and serum phosphate level in any patient receiving </w:t>
      </w:r>
      <w:proofErr w:type="gramStart"/>
      <w:r w:rsidRPr="000E2301">
        <w:rPr>
          <w:rFonts w:ascii="Verdana" w:hAnsi="Verdana" w:cs="Verdana"/>
          <w:color w:val="000000"/>
          <w:spacing w:val="-11"/>
          <w:kern w:val="0"/>
          <w:sz w:val="18"/>
          <w:szCs w:val="18"/>
        </w:rPr>
        <w:t>adefovir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83,86]</w:t>
      </w:r>
      <w:r w:rsidRPr="000E2301">
        <w:rPr>
          <w:rFonts w:ascii="Verdana" w:hAnsi="Verdana" w:cs="Verdana"/>
          <w:color w:val="000000"/>
          <w:spacing w:val="-11"/>
          <w:kern w:val="0"/>
          <w:sz w:val="18"/>
          <w:szCs w:val="18"/>
        </w:rPr>
        <w:t xml:space="preserve">. In a current meta-analysis, including seven randomized controlled trials, four cohort studies and six single-arm studies, adefovir treatment was not found to be associated with increased nephrotoxicity in the randomized controlled trials. However, the cohort studies showed an increased nephrotoxicity risk in patients given adefovir, and the single-arm studies revealed an approximately 1.7-fold increased risk of renal dysfunction in patients given adefovir compared to those treated with all other </w:t>
      </w:r>
      <w:proofErr w:type="gramStart"/>
      <w:r w:rsidRPr="000E2301">
        <w:rPr>
          <w:rFonts w:ascii="Verdana" w:hAnsi="Verdana" w:cs="Verdana"/>
          <w:color w:val="000000"/>
          <w:spacing w:val="-11"/>
          <w:kern w:val="0"/>
          <w:sz w:val="18"/>
          <w:szCs w:val="18"/>
        </w:rPr>
        <w:t>NAs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82]</w:t>
      </w:r>
      <w:r w:rsidRPr="000E2301">
        <w:rPr>
          <w:rFonts w:ascii="Verdana" w:hAnsi="Verdana" w:cs="Verdana"/>
          <w:color w:val="000000"/>
          <w:spacing w:val="-11"/>
          <w:kern w:val="0"/>
          <w:sz w:val="18"/>
          <w:szCs w:val="18"/>
        </w:rPr>
        <w:t>. The authors drew attention to the differences between the risk of nephrotoxicity in randomized controlled trials and cohort studies and emphasized that since the randomized controlled trials were small-sized and short observational studies, the safety data may be inadequate and that these studies may have underestimated the adverse events. Current evidence indicated an increased risk of nephrotoxicity in CHB patients treated with adefovir.</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9"/>
          <w:kern w:val="0"/>
          <w:sz w:val="18"/>
          <w:szCs w:val="18"/>
        </w:rPr>
        <w:t>The mechanism of adefovir nephrotoxicity was poorly understood. Nephrotoxicity may result from the apoptotic or mitochondrial toxic effect of adefovir in the renal tubular epithelium. The deterioration of the balance between the active adefovir uptake from blood into proximal tubular cells, the secretion into urine, and accumulation in proximal tubular cells represent the primary mechanism of tubular toxicity.</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9"/>
          <w:kern w:val="0"/>
          <w:sz w:val="18"/>
          <w:szCs w:val="18"/>
        </w:rPr>
        <w:t>Fanconi syndrome is a rare but serious adverse effect of adefovir treatment. Fanconi syndrome is chara</w:t>
      </w:r>
      <w:r w:rsidRPr="000E2301">
        <w:rPr>
          <w:rFonts w:ascii="Verdana" w:hAnsi="Verdana" w:cs="Verdana"/>
          <w:color w:val="000000"/>
          <w:spacing w:val="-9"/>
          <w:kern w:val="0"/>
          <w:sz w:val="18"/>
          <w:szCs w:val="18"/>
        </w:rPr>
        <w:softHyphen/>
        <w:t xml:space="preserve">cterized by proximal renal tubular toxicity and leads to increased urinary excretion of amino acids, uric acid, bicarbonate, glucose and phosphate, and impaired re-absorption of these solutes. Clinical manifestations in adults include polyuria, polydipsia, dehydration and </w:t>
      </w:r>
      <w:proofErr w:type="gramStart"/>
      <w:r w:rsidRPr="000E2301">
        <w:rPr>
          <w:rFonts w:ascii="Verdana" w:hAnsi="Verdana" w:cs="Verdana"/>
          <w:color w:val="000000"/>
          <w:spacing w:val="-9"/>
          <w:kern w:val="0"/>
          <w:sz w:val="18"/>
          <w:szCs w:val="18"/>
        </w:rPr>
        <w:t>osteomalacia</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87]</w:t>
      </w:r>
      <w:r w:rsidRPr="000E2301">
        <w:rPr>
          <w:rFonts w:ascii="Verdana" w:hAnsi="Verdana" w:cs="Verdana"/>
          <w:color w:val="000000"/>
          <w:spacing w:val="-9"/>
          <w:kern w:val="0"/>
          <w:sz w:val="18"/>
          <w:szCs w:val="18"/>
        </w:rPr>
        <w:t>. There are a significant number of cases of adefovir-</w:t>
      </w:r>
      <w:r w:rsidRPr="000E2301">
        <w:rPr>
          <w:rFonts w:ascii="Verdana" w:hAnsi="Verdana" w:cs="Verdana"/>
          <w:color w:val="000000"/>
          <w:spacing w:val="-9"/>
          <w:kern w:val="0"/>
          <w:sz w:val="18"/>
          <w:szCs w:val="18"/>
        </w:rPr>
        <w:lastRenderedPageBreak/>
        <w:t xml:space="preserve">associated Fanconi syndrome in the literature. Most cases occurred after prolonged use of the drug and resolved after cessation of adefovir or switching to another NA. The lowest dose of adefovir (10 mg) can also lead to Fanconi </w:t>
      </w:r>
      <w:proofErr w:type="gramStart"/>
      <w:r w:rsidRPr="000E2301">
        <w:rPr>
          <w:rFonts w:ascii="Verdana" w:hAnsi="Verdana" w:cs="Verdana"/>
          <w:color w:val="000000"/>
          <w:spacing w:val="-9"/>
          <w:kern w:val="0"/>
          <w:sz w:val="18"/>
          <w:szCs w:val="18"/>
        </w:rPr>
        <w:t>syndrome</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88]</w:t>
      </w:r>
      <w:r w:rsidRPr="000E2301">
        <w:rPr>
          <w:rFonts w:ascii="Verdana" w:hAnsi="Verdana" w:cs="Verdana"/>
          <w:color w:val="000000"/>
          <w:spacing w:val="-9"/>
          <w:kern w:val="0"/>
          <w:sz w:val="18"/>
          <w:szCs w:val="18"/>
        </w:rPr>
        <w:t>. Norma</w:t>
      </w:r>
      <w:r w:rsidRPr="000E2301">
        <w:rPr>
          <w:rFonts w:ascii="Verdana" w:hAnsi="Verdana" w:cs="Verdana"/>
          <w:color w:val="000000"/>
          <w:spacing w:val="-9"/>
          <w:kern w:val="0"/>
          <w:sz w:val="18"/>
          <w:szCs w:val="18"/>
        </w:rPr>
        <w:softHyphen/>
        <w:t xml:space="preserve">lization of creatinine level may require more than 1 year. In a retrospective case series study including 35 patients with Fanconi syndrome, hypophosphatemia, increased urinary phosphate excretion and elevated alkaline phosphatase were detected in all patients. Although serum phosphate levels rapidly increased, especially within the 4 wk after adefovir discontinuation, serum creatinine levels did not decrease to normal range even 1 year after discontinuation of </w:t>
      </w:r>
      <w:proofErr w:type="gramStart"/>
      <w:r w:rsidRPr="000E2301">
        <w:rPr>
          <w:rFonts w:ascii="Verdana" w:hAnsi="Verdana" w:cs="Verdana"/>
          <w:color w:val="000000"/>
          <w:spacing w:val="-9"/>
          <w:kern w:val="0"/>
          <w:sz w:val="18"/>
          <w:szCs w:val="18"/>
        </w:rPr>
        <w:t>therapy</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88]</w:t>
      </w:r>
      <w:r w:rsidRPr="000E2301">
        <w:rPr>
          <w:rFonts w:ascii="Verdana" w:hAnsi="Verdana" w:cs="Verdana"/>
          <w:color w:val="000000"/>
          <w:spacing w:val="-9"/>
          <w:kern w:val="0"/>
          <w:sz w:val="18"/>
          <w:szCs w:val="18"/>
        </w:rPr>
        <w:t xml:space="preserve">. Fanconi syndrome was rare in CHB patients treated with tenofovir; it has been reported especially in cases of HIV-HBV </w:t>
      </w:r>
      <w:proofErr w:type="gramStart"/>
      <w:r w:rsidRPr="000E2301">
        <w:rPr>
          <w:rFonts w:ascii="Verdana" w:hAnsi="Verdana" w:cs="Verdana"/>
          <w:color w:val="000000"/>
          <w:spacing w:val="-9"/>
          <w:kern w:val="0"/>
          <w:sz w:val="18"/>
          <w:szCs w:val="18"/>
        </w:rPr>
        <w:t>coinfection</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87,89-91]</w:t>
      </w:r>
      <w:r w:rsidRPr="000E2301">
        <w:rPr>
          <w:rFonts w:ascii="Verdana" w:hAnsi="Verdana" w:cs="Verdana"/>
          <w:color w:val="000000"/>
          <w:spacing w:val="-9"/>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9"/>
          <w:kern w:val="0"/>
          <w:sz w:val="18"/>
          <w:szCs w:val="18"/>
        </w:rPr>
        <w:t>Despite tenofovir being a higher dose prepara</w:t>
      </w:r>
      <w:r w:rsidRPr="000E2301">
        <w:rPr>
          <w:rFonts w:ascii="Verdana" w:hAnsi="Verdana" w:cs="Verdana"/>
          <w:color w:val="000000"/>
          <w:spacing w:val="-9"/>
          <w:kern w:val="0"/>
          <w:sz w:val="18"/>
          <w:szCs w:val="18"/>
        </w:rPr>
        <w:softHyphen/>
        <w:t xml:space="preserve">tion (300 mg/d) that has similar molecular structure with adefovir, renal toxicity has been less commonly </w:t>
      </w:r>
      <w:proofErr w:type="gramStart"/>
      <w:r w:rsidRPr="000E2301">
        <w:rPr>
          <w:rFonts w:ascii="Verdana" w:hAnsi="Verdana" w:cs="Verdana"/>
          <w:color w:val="000000"/>
          <w:spacing w:val="-9"/>
          <w:kern w:val="0"/>
          <w:sz w:val="18"/>
          <w:szCs w:val="18"/>
        </w:rPr>
        <w:t>detected</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3]</w:t>
      </w:r>
      <w:r w:rsidRPr="000E2301">
        <w:rPr>
          <w:rFonts w:ascii="Verdana" w:hAnsi="Verdana" w:cs="Verdana"/>
          <w:color w:val="000000"/>
          <w:spacing w:val="-9"/>
          <w:kern w:val="0"/>
          <w:sz w:val="18"/>
          <w:szCs w:val="18"/>
        </w:rPr>
        <w:t xml:space="preserve">. In animal studies, tenofovir was reported to be associated with renal </w:t>
      </w:r>
      <w:proofErr w:type="gramStart"/>
      <w:r w:rsidRPr="000E2301">
        <w:rPr>
          <w:rFonts w:ascii="Verdana" w:hAnsi="Verdana" w:cs="Verdana"/>
          <w:color w:val="000000"/>
          <w:spacing w:val="-9"/>
          <w:kern w:val="0"/>
          <w:sz w:val="18"/>
          <w:szCs w:val="18"/>
        </w:rPr>
        <w:t>dysfunction</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3,84]</w:t>
      </w:r>
      <w:r w:rsidRPr="000E2301">
        <w:rPr>
          <w:rFonts w:ascii="Verdana" w:hAnsi="Verdana" w:cs="Verdana"/>
          <w:color w:val="000000"/>
          <w:spacing w:val="-9"/>
          <w:kern w:val="0"/>
          <w:sz w:val="18"/>
          <w:szCs w:val="18"/>
        </w:rPr>
        <w:t>. The mecha</w:t>
      </w:r>
      <w:r w:rsidRPr="000E2301">
        <w:rPr>
          <w:rFonts w:ascii="Verdana" w:hAnsi="Verdana" w:cs="Verdana"/>
          <w:color w:val="000000"/>
          <w:spacing w:val="-9"/>
          <w:kern w:val="0"/>
          <w:sz w:val="18"/>
          <w:szCs w:val="18"/>
        </w:rPr>
        <w:softHyphen/>
        <w:t xml:space="preserve">nism of nephrotoxicity is poorly understood, but it may involve proximal tubular damage, mitochondrial toxicity and </w:t>
      </w:r>
      <w:proofErr w:type="gramStart"/>
      <w:r w:rsidRPr="000E2301">
        <w:rPr>
          <w:rFonts w:ascii="Verdana" w:hAnsi="Verdana" w:cs="Verdana"/>
          <w:color w:val="000000"/>
          <w:spacing w:val="-9"/>
          <w:kern w:val="0"/>
          <w:sz w:val="18"/>
          <w:szCs w:val="18"/>
        </w:rPr>
        <w:t>apoptosis</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8,92]</w:t>
      </w:r>
      <w:r w:rsidRPr="000E2301">
        <w:rPr>
          <w:rFonts w:ascii="Verdana" w:hAnsi="Verdana" w:cs="Verdana"/>
          <w:color w:val="000000"/>
          <w:spacing w:val="-9"/>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Tenofovir has been shown to have a potential ne</w:t>
      </w:r>
      <w:r w:rsidRPr="000E2301">
        <w:rPr>
          <w:rFonts w:ascii="Verdana" w:hAnsi="Verdana" w:cs="Verdana"/>
          <w:color w:val="000000"/>
          <w:spacing w:val="-11"/>
          <w:kern w:val="0"/>
          <w:sz w:val="18"/>
          <w:szCs w:val="18"/>
        </w:rPr>
        <w:softHyphen/>
        <w:t xml:space="preserve">phrotoxic effect in patients with HIV infection who were treated for an especially extended period. However, in clinical trials, nephrotoxicity does not seem to be a major problem in HBV </w:t>
      </w:r>
      <w:proofErr w:type="gramStart"/>
      <w:r w:rsidRPr="000E2301">
        <w:rPr>
          <w:rFonts w:ascii="Verdana" w:hAnsi="Verdana" w:cs="Verdana"/>
          <w:color w:val="000000"/>
          <w:spacing w:val="-11"/>
          <w:kern w:val="0"/>
          <w:sz w:val="18"/>
          <w:szCs w:val="18"/>
        </w:rPr>
        <w:t>monoinfection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3,55,93]</w:t>
      </w:r>
      <w:r w:rsidRPr="000E2301">
        <w:rPr>
          <w:rFonts w:ascii="Verdana" w:hAnsi="Verdana" w:cs="Verdana"/>
          <w:color w:val="000000"/>
          <w:spacing w:val="-11"/>
          <w:kern w:val="0"/>
          <w:sz w:val="18"/>
          <w:szCs w:val="18"/>
        </w:rPr>
        <w:t>. Increases in serum creatinine of &gt; 0.5 mg/dL were reported to be detected in 1% of patients and remained stable over 4 years in less than 1% of patients, with increased serum creatinine levels of 0.5 mg/</w:t>
      </w:r>
      <w:proofErr w:type="gramStart"/>
      <w:r w:rsidRPr="000E2301">
        <w:rPr>
          <w:rFonts w:ascii="Verdana" w:hAnsi="Verdana" w:cs="Verdana"/>
          <w:color w:val="000000"/>
          <w:spacing w:val="-11"/>
          <w:kern w:val="0"/>
          <w:sz w:val="18"/>
          <w:szCs w:val="18"/>
        </w:rPr>
        <w:t>dL</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93]</w:t>
      </w:r>
      <w:r w:rsidRPr="000E2301">
        <w:rPr>
          <w:rFonts w:ascii="Verdana" w:hAnsi="Verdana" w:cs="Verdana"/>
          <w:color w:val="000000"/>
          <w:spacing w:val="-11"/>
          <w:kern w:val="0"/>
          <w:sz w:val="18"/>
          <w:szCs w:val="18"/>
        </w:rPr>
        <w:t xml:space="preserve">. Nevertheless, renal functions and serum phosphate should be monitored regularly in patients treated with </w:t>
      </w:r>
      <w:proofErr w:type="gramStart"/>
      <w:r w:rsidRPr="000E2301">
        <w:rPr>
          <w:rFonts w:ascii="Verdana" w:hAnsi="Verdana" w:cs="Verdana"/>
          <w:color w:val="000000"/>
          <w:spacing w:val="-11"/>
          <w:kern w:val="0"/>
          <w:sz w:val="18"/>
          <w:szCs w:val="18"/>
        </w:rPr>
        <w:t>tenofovir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2"/>
          <w:kern w:val="0"/>
          <w:sz w:val="18"/>
          <w:szCs w:val="18"/>
        </w:rPr>
      </w:pPr>
      <w:r w:rsidRPr="000E2301">
        <w:rPr>
          <w:rFonts w:ascii="Verdana" w:hAnsi="Verdana" w:cs="Verdana"/>
          <w:color w:val="000000"/>
          <w:spacing w:val="-11"/>
          <w:kern w:val="0"/>
          <w:sz w:val="18"/>
          <w:szCs w:val="18"/>
        </w:rPr>
        <w:t>In a study conducted by the Vireal group, a slight decrease of mean glomerular filtration rate (GFR) was reported during tenofovir therapy. Median change in creatinine clearance and serum creatinine level remained stable over time. Of the patients, 15%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65) had a decline in GFR of </w:t>
      </w:r>
      <w:r w:rsidRPr="000E2301">
        <w:rPr>
          <w:rFonts w:ascii="宋体" w:hAnsi="Verdana" w:cs="宋体" w:hint="eastAsia"/>
          <w:color w:val="000000"/>
          <w:spacing w:val="-11"/>
          <w:kern w:val="0"/>
          <w:sz w:val="19"/>
          <w:szCs w:val="19"/>
        </w:rPr>
        <w:t>≥</w:t>
      </w:r>
      <w:r w:rsidRPr="000E2301">
        <w:rPr>
          <w:rFonts w:ascii="Verdana" w:hAnsi="Verdana" w:cs="Verdana"/>
          <w:color w:val="000000"/>
          <w:spacing w:val="-11"/>
          <w:kern w:val="0"/>
          <w:sz w:val="18"/>
          <w:szCs w:val="18"/>
        </w:rPr>
        <w:t xml:space="preserve"> 20% and 6%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26) had a decline in GFR of </w:t>
      </w:r>
      <w:r w:rsidRPr="000E2301">
        <w:rPr>
          <w:rFonts w:ascii="宋体" w:hAnsi="Verdana" w:cs="宋体" w:hint="eastAsia"/>
          <w:color w:val="000000"/>
          <w:spacing w:val="-11"/>
          <w:kern w:val="0"/>
          <w:sz w:val="19"/>
          <w:szCs w:val="19"/>
        </w:rPr>
        <w:t>≥</w:t>
      </w:r>
      <w:r w:rsidRPr="000E2301">
        <w:rPr>
          <w:rFonts w:ascii="Verdana" w:hAnsi="Verdana" w:cs="Verdana"/>
          <w:color w:val="000000"/>
          <w:spacing w:val="-11"/>
          <w:kern w:val="0"/>
          <w:sz w:val="18"/>
          <w:szCs w:val="18"/>
        </w:rPr>
        <w:t xml:space="preserve"> 30% compared to baseline. Tenofovir treatment was discontinued in 23 patients due to adverse events. Seven of them were associated with renal disorders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3, renal failures; </w:t>
      </w:r>
      <w:r w:rsidRPr="000E2301">
        <w:rPr>
          <w:rFonts w:ascii="Verdana" w:hAnsi="Verdana" w:cs="Verdana"/>
          <w:i/>
          <w:iCs/>
          <w:color w:val="000000"/>
          <w:spacing w:val="-11"/>
          <w:kern w:val="0"/>
          <w:sz w:val="18"/>
          <w:szCs w:val="18"/>
        </w:rPr>
        <w:t>n</w:t>
      </w:r>
      <w:r w:rsidRPr="000E2301">
        <w:rPr>
          <w:rFonts w:ascii="Verdana" w:hAnsi="Verdana" w:cs="Verdana"/>
          <w:color w:val="000000"/>
          <w:spacing w:val="-11"/>
          <w:kern w:val="0"/>
          <w:sz w:val="18"/>
          <w:szCs w:val="18"/>
        </w:rPr>
        <w:t xml:space="preserve"> = 2, renal impairments;</w:t>
      </w:r>
      <w:r w:rsidRPr="000E2301">
        <w:rPr>
          <w:rFonts w:ascii="Verdana" w:hAnsi="Verdana" w:cs="Verdana"/>
          <w:i/>
          <w:iCs/>
          <w:color w:val="000000"/>
          <w:spacing w:val="-11"/>
          <w:kern w:val="0"/>
          <w:sz w:val="18"/>
          <w:szCs w:val="18"/>
        </w:rPr>
        <w:t xml:space="preserve"> n</w:t>
      </w:r>
      <w:r w:rsidRPr="000E2301">
        <w:rPr>
          <w:rFonts w:ascii="Verdana" w:hAnsi="Verdana" w:cs="Verdana"/>
          <w:color w:val="000000"/>
          <w:spacing w:val="-11"/>
          <w:kern w:val="0"/>
          <w:sz w:val="18"/>
          <w:szCs w:val="18"/>
        </w:rPr>
        <w:t xml:space="preserve"> = 2, renal tubular disorders</w:t>
      </w:r>
      <w:proofErr w:type="gramStart"/>
      <w:r w:rsidRPr="000E2301">
        <w:rPr>
          <w:rFonts w:ascii="Verdana" w:hAnsi="Verdana" w:cs="Verdana"/>
          <w:color w:val="000000"/>
          <w:spacing w:val="-11"/>
          <w:kern w:val="0"/>
          <w:sz w:val="18"/>
          <w:szCs w:val="18"/>
        </w:rPr>
        <w: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71]</w:t>
      </w:r>
      <w:r w:rsidRPr="000E2301">
        <w:rPr>
          <w:rFonts w:ascii="Verdana" w:hAnsi="Verdana" w:cs="Verdana"/>
          <w:color w:val="000000"/>
          <w:spacing w:val="-11"/>
          <w:kern w:val="0"/>
          <w:sz w:val="18"/>
          <w:szCs w:val="18"/>
        </w:rPr>
        <w:t>. Patients who have an underlying renal impairment or HIV coin</w:t>
      </w:r>
      <w:r w:rsidRPr="000E2301">
        <w:rPr>
          <w:rFonts w:ascii="Verdana" w:hAnsi="Verdana" w:cs="Verdana"/>
          <w:color w:val="000000"/>
          <w:spacing w:val="-11"/>
          <w:kern w:val="0"/>
          <w:sz w:val="18"/>
          <w:szCs w:val="18"/>
        </w:rPr>
        <w:softHyphen/>
        <w:t xml:space="preserve">fection and those who receive a nephrotoxic drug are at increased risk of nephrotoxicity. In a study comparing tenofovir and entecavir in the same number of patients, diabetes and transplantation but not tenofovir treatment were found to be associated with increased risk of renal </w:t>
      </w:r>
      <w:proofErr w:type="gramStart"/>
      <w:r w:rsidRPr="000E2301">
        <w:rPr>
          <w:rFonts w:ascii="Verdana" w:hAnsi="Verdana" w:cs="Verdana"/>
          <w:color w:val="000000"/>
          <w:spacing w:val="-11"/>
          <w:kern w:val="0"/>
          <w:sz w:val="18"/>
          <w:szCs w:val="18"/>
        </w:rPr>
        <w:t>impairment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94]</w:t>
      </w:r>
      <w:r w:rsidRPr="000E2301">
        <w:rPr>
          <w:rFonts w:ascii="Verdana" w:hAnsi="Verdana" w:cs="Verdana"/>
          <w:color w:val="000000"/>
          <w:spacing w:val="-11"/>
          <w:kern w:val="0"/>
          <w:sz w:val="18"/>
          <w:szCs w:val="18"/>
        </w:rPr>
        <w:t xml:space="preserve">. A significant number of studies reported that tenofovir did not lead to clinically relevant changes in renal </w:t>
      </w:r>
      <w:proofErr w:type="gramStart"/>
      <w:r w:rsidRPr="000E2301">
        <w:rPr>
          <w:rFonts w:ascii="Verdana" w:hAnsi="Verdana" w:cs="Verdana"/>
          <w:color w:val="000000"/>
          <w:spacing w:val="-11"/>
          <w:kern w:val="0"/>
          <w:sz w:val="18"/>
          <w:szCs w:val="18"/>
        </w:rPr>
        <w:t>function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79,95]</w:t>
      </w:r>
      <w:r w:rsidRPr="000E2301">
        <w:rPr>
          <w:rFonts w:ascii="Verdana" w:hAnsi="Verdana" w:cs="Verdana"/>
          <w:color w:val="000000"/>
          <w:spacing w:val="-11"/>
          <w:kern w:val="0"/>
          <w:sz w:val="18"/>
          <w:szCs w:val="18"/>
        </w:rPr>
        <w:t>.</w:t>
      </w:r>
      <w:r w:rsidRPr="000E2301">
        <w:rPr>
          <w:rFonts w:ascii="Verdana" w:hAnsi="Verdana" w:cs="Verdana"/>
          <w:color w:val="000000"/>
          <w:spacing w:val="2"/>
          <w:kern w:val="0"/>
          <w:sz w:val="18"/>
          <w:szCs w:val="18"/>
        </w:rPr>
        <w:t xml:space="preserve"> </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In a prospective open-label study, conducted by Heathcote </w:t>
      </w:r>
      <w:r w:rsidRPr="000E2301">
        <w:rPr>
          <w:rFonts w:ascii="Verdana" w:hAnsi="Verdana" w:cs="Verdana"/>
          <w:i/>
          <w:iCs/>
          <w:color w:val="000000"/>
          <w:spacing w:val="-11"/>
          <w:kern w:val="0"/>
          <w:sz w:val="18"/>
          <w:szCs w:val="18"/>
        </w:rPr>
        <w:t xml:space="preserve">et </w:t>
      </w:r>
      <w:proofErr w:type="gramStart"/>
      <w:r w:rsidRPr="000E2301">
        <w:rPr>
          <w:rFonts w:ascii="Verdana" w:hAnsi="Verdana" w:cs="Verdana"/>
          <w:i/>
          <w:iCs/>
          <w:color w:val="000000"/>
          <w:spacing w:val="-11"/>
          <w:kern w:val="0"/>
          <w:sz w:val="18"/>
          <w:szCs w:val="18"/>
        </w:rPr>
        <w:t>al</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75]</w:t>
      </w:r>
      <w:r w:rsidRPr="000E2301">
        <w:rPr>
          <w:rFonts w:ascii="Verdana" w:hAnsi="Verdana" w:cs="Verdana"/>
          <w:color w:val="000000"/>
          <w:spacing w:val="-11"/>
          <w:kern w:val="0"/>
          <w:sz w:val="18"/>
          <w:szCs w:val="18"/>
        </w:rPr>
        <w:t>, creatinine and creatinine clearance were reported to remain stable during a 3-year period, with a change in creatinine of 0.02 mg/dL at week 144. Two patients experienced a 0.5 mg/dL increase in creatinine and 4 patients a reduction in serum phosphorus &lt; 2 mg/dL. All patients remained in the study and continued the tenofovir therapy. The long-term follow-up results of tenofovir therapy support the previous data. At year 6, less than 1.5% experienced impairment in renal function (</w:t>
      </w:r>
      <w:r w:rsidRPr="000E2301">
        <w:rPr>
          <w:rFonts w:ascii="宋体" w:hAnsi="Verdana" w:cs="宋体" w:hint="eastAsia"/>
          <w:color w:val="000000"/>
          <w:spacing w:val="-11"/>
          <w:kern w:val="0"/>
          <w:sz w:val="19"/>
          <w:szCs w:val="19"/>
        </w:rPr>
        <w:t>≥</w:t>
      </w:r>
      <w:r w:rsidRPr="000E2301">
        <w:rPr>
          <w:rFonts w:ascii="Verdana" w:hAnsi="Verdana" w:cs="Verdana"/>
          <w:color w:val="000000"/>
          <w:spacing w:val="-11"/>
          <w:kern w:val="0"/>
          <w:sz w:val="18"/>
          <w:szCs w:val="18"/>
        </w:rPr>
        <w:t xml:space="preserve"> 0.5 mg/dL increase in serum creatinine from baseline, phosphorus &lt; 2 mg/dL, or CrCL &lt; 50 mL/min) with tenofovir treatment</w:t>
      </w:r>
      <w:r w:rsidRPr="000E2301">
        <w:rPr>
          <w:rFonts w:ascii="Verdana" w:hAnsi="Verdana" w:cs="Verdana"/>
          <w:color w:val="000000"/>
          <w:spacing w:val="-11"/>
          <w:kern w:val="0"/>
          <w:sz w:val="18"/>
          <w:szCs w:val="18"/>
          <w:vertAlign w:val="superscript"/>
        </w:rPr>
        <w:t>[55]</w:t>
      </w:r>
      <w:r w:rsidRPr="000E2301">
        <w:rPr>
          <w:rFonts w:ascii="Verdana" w:hAnsi="Verdana" w:cs="Verdana"/>
          <w:color w:val="000000"/>
          <w:spacing w:val="-11"/>
          <w:kern w:val="0"/>
          <w:sz w:val="18"/>
          <w:szCs w:val="18"/>
        </w:rPr>
        <w:t xml:space="preserve">. Recently, Buti </w:t>
      </w:r>
      <w:r w:rsidRPr="000E2301">
        <w:rPr>
          <w:rFonts w:ascii="Verdana" w:hAnsi="Verdana" w:cs="Verdana"/>
          <w:i/>
          <w:iCs/>
          <w:color w:val="000000"/>
          <w:spacing w:val="-11"/>
          <w:kern w:val="0"/>
          <w:sz w:val="18"/>
          <w:szCs w:val="18"/>
        </w:rPr>
        <w:t xml:space="preserve">et </w:t>
      </w:r>
      <w:proofErr w:type="gramStart"/>
      <w:r w:rsidRPr="000E2301">
        <w:rPr>
          <w:rFonts w:ascii="Verdana" w:hAnsi="Verdana" w:cs="Verdana"/>
          <w:i/>
          <w:iCs/>
          <w:color w:val="000000"/>
          <w:spacing w:val="-11"/>
          <w:kern w:val="0"/>
          <w:sz w:val="18"/>
          <w:szCs w:val="18"/>
        </w:rPr>
        <w:t>al</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77]</w:t>
      </w:r>
      <w:r w:rsidRPr="000E2301">
        <w:rPr>
          <w:rFonts w:ascii="Verdana" w:hAnsi="Verdana" w:cs="Verdana"/>
          <w:color w:val="000000"/>
          <w:spacing w:val="-11"/>
          <w:kern w:val="0"/>
          <w:sz w:val="18"/>
          <w:szCs w:val="18"/>
        </w:rPr>
        <w:t xml:space="preserve"> reported 7</w:t>
      </w:r>
      <w:r w:rsidRPr="000E2301">
        <w:rPr>
          <w:rFonts w:ascii="Verdana" w:hAnsi="Verdana" w:cs="Verdana"/>
          <w:color w:val="000000"/>
          <w:spacing w:val="-11"/>
          <w:kern w:val="0"/>
          <w:sz w:val="18"/>
          <w:szCs w:val="18"/>
          <w:vertAlign w:val="superscript"/>
        </w:rPr>
        <w:t>th</w:t>
      </w:r>
      <w:r w:rsidRPr="000E2301">
        <w:rPr>
          <w:rFonts w:ascii="Verdana" w:hAnsi="Verdana" w:cs="Verdana"/>
          <w:color w:val="000000"/>
          <w:spacing w:val="-11"/>
          <w:kern w:val="0"/>
          <w:sz w:val="18"/>
          <w:szCs w:val="18"/>
        </w:rPr>
        <w:t xml:space="preserve"> year results of tenofovir treatment for CHB. Of 585 patients, 21 (3.6%) experienced renal function impairment. A serum creatinine increase ≥ 0.5 mg/dL above baseline were confirmed in only 10 patients (1.7%). The patients who did and did not develop renal insufficiency were statistically different in terms of mean age (47 years </w:t>
      </w:r>
      <w:r w:rsidRPr="000E2301">
        <w:rPr>
          <w:rFonts w:ascii="Verdana" w:hAnsi="Verdana" w:cs="Verdana"/>
          <w:i/>
          <w:iCs/>
          <w:color w:val="000000"/>
          <w:spacing w:val="-11"/>
          <w:kern w:val="0"/>
          <w:sz w:val="18"/>
          <w:szCs w:val="18"/>
        </w:rPr>
        <w:t>vs</w:t>
      </w:r>
      <w:r w:rsidRPr="000E2301">
        <w:rPr>
          <w:rFonts w:ascii="Verdana" w:hAnsi="Verdana" w:cs="Verdana"/>
          <w:color w:val="000000"/>
          <w:spacing w:val="-11"/>
          <w:kern w:val="0"/>
          <w:sz w:val="18"/>
          <w:szCs w:val="18"/>
        </w:rPr>
        <w:t xml:space="preserve"> 40 years; </w:t>
      </w:r>
      <w:r w:rsidRPr="000E2301">
        <w:rPr>
          <w:rFonts w:ascii="Verdana" w:hAnsi="Verdana" w:cs="Verdana"/>
          <w:i/>
          <w:iCs/>
          <w:color w:val="000000"/>
          <w:spacing w:val="-11"/>
          <w:kern w:val="0"/>
          <w:sz w:val="18"/>
          <w:szCs w:val="18"/>
        </w:rPr>
        <w:t xml:space="preserve">P </w:t>
      </w:r>
      <w:r w:rsidRPr="000E2301">
        <w:rPr>
          <w:rFonts w:ascii="Verdana" w:hAnsi="Verdana" w:cs="Verdana"/>
          <w:color w:val="000000"/>
          <w:spacing w:val="-11"/>
          <w:kern w:val="0"/>
          <w:sz w:val="18"/>
          <w:szCs w:val="18"/>
        </w:rPr>
        <w:t xml:space="preserve">= 0.003), baseline mean creatinine clearance (98.5 mL/min </w:t>
      </w:r>
      <w:r w:rsidRPr="000E2301">
        <w:rPr>
          <w:rFonts w:ascii="Verdana" w:hAnsi="Verdana" w:cs="Verdana"/>
          <w:i/>
          <w:iCs/>
          <w:color w:val="000000"/>
          <w:spacing w:val="-11"/>
          <w:kern w:val="0"/>
          <w:sz w:val="18"/>
          <w:szCs w:val="18"/>
        </w:rPr>
        <w:t>vs</w:t>
      </w:r>
      <w:r w:rsidRPr="000E2301">
        <w:rPr>
          <w:rFonts w:ascii="Verdana" w:hAnsi="Verdana" w:cs="Verdana"/>
          <w:color w:val="000000"/>
          <w:spacing w:val="-11"/>
          <w:kern w:val="0"/>
          <w:sz w:val="18"/>
          <w:szCs w:val="18"/>
        </w:rPr>
        <w:t xml:space="preserve"> 117.4 mL/min; </w:t>
      </w:r>
      <w:r w:rsidRPr="000E2301">
        <w:rPr>
          <w:rFonts w:ascii="Verdana" w:hAnsi="Verdana" w:cs="Verdana"/>
          <w:i/>
          <w:iCs/>
          <w:color w:val="000000"/>
          <w:spacing w:val="-11"/>
          <w:kern w:val="0"/>
          <w:sz w:val="18"/>
          <w:szCs w:val="18"/>
        </w:rPr>
        <w:t xml:space="preserve">P </w:t>
      </w:r>
      <w:r w:rsidRPr="000E2301">
        <w:rPr>
          <w:rFonts w:ascii="Verdana" w:hAnsi="Verdana" w:cs="Verdana"/>
          <w:color w:val="000000"/>
          <w:spacing w:val="-11"/>
          <w:kern w:val="0"/>
          <w:sz w:val="18"/>
          <w:szCs w:val="18"/>
        </w:rPr>
        <w:t xml:space="preserve">= 0.003) and main serum phosphate (2.8 mg/dL </w:t>
      </w:r>
      <w:r w:rsidRPr="000E2301">
        <w:rPr>
          <w:rFonts w:ascii="Verdana" w:hAnsi="Verdana" w:cs="Verdana"/>
          <w:i/>
          <w:iCs/>
          <w:color w:val="000000"/>
          <w:spacing w:val="-11"/>
          <w:kern w:val="0"/>
          <w:sz w:val="18"/>
          <w:szCs w:val="18"/>
        </w:rPr>
        <w:t>vs</w:t>
      </w:r>
      <w:r w:rsidRPr="000E2301">
        <w:rPr>
          <w:rFonts w:ascii="Verdana" w:hAnsi="Verdana" w:cs="Verdana"/>
          <w:color w:val="000000"/>
          <w:spacing w:val="-11"/>
          <w:kern w:val="0"/>
          <w:sz w:val="18"/>
          <w:szCs w:val="18"/>
        </w:rPr>
        <w:t xml:space="preserve"> 3.3 mg/dL; </w:t>
      </w:r>
      <w:r w:rsidRPr="000E2301">
        <w:rPr>
          <w:rFonts w:ascii="Verdana" w:hAnsi="Verdana" w:cs="Verdana"/>
          <w:i/>
          <w:iCs/>
          <w:color w:val="000000"/>
          <w:spacing w:val="-11"/>
          <w:kern w:val="0"/>
          <w:sz w:val="18"/>
          <w:szCs w:val="18"/>
        </w:rPr>
        <w:t xml:space="preserve">P </w:t>
      </w:r>
      <w:r w:rsidRPr="000E2301">
        <w:rPr>
          <w:rFonts w:ascii="Verdana" w:hAnsi="Verdana" w:cs="Verdana"/>
          <w:color w:val="000000"/>
          <w:spacing w:val="-11"/>
          <w:kern w:val="0"/>
          <w:sz w:val="18"/>
          <w:szCs w:val="18"/>
        </w:rPr>
        <w:t xml:space="preserve">= 0.002). Despite the </w:t>
      </w:r>
      <w:r w:rsidRPr="000E2301">
        <w:rPr>
          <w:rFonts w:ascii="Verdana" w:hAnsi="Verdana" w:cs="Verdana"/>
          <w:color w:val="000000"/>
          <w:spacing w:val="-11"/>
          <w:kern w:val="0"/>
          <w:sz w:val="18"/>
          <w:szCs w:val="18"/>
        </w:rPr>
        <w:lastRenderedPageBreak/>
        <w:t xml:space="preserve">absence of significant evidence that tenofovir is a nephrotoxic agent, possible proximal tubular damage should still be kept in </w:t>
      </w:r>
      <w:proofErr w:type="gramStart"/>
      <w:r w:rsidRPr="000E2301">
        <w:rPr>
          <w:rFonts w:ascii="Verdana" w:hAnsi="Verdana" w:cs="Verdana"/>
          <w:color w:val="000000"/>
          <w:spacing w:val="-11"/>
          <w:kern w:val="0"/>
          <w:sz w:val="18"/>
          <w:szCs w:val="18"/>
        </w:rPr>
        <w:t>mind</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w:t>
      </w:r>
      <w:r w:rsidRPr="000E2301">
        <w:rPr>
          <w:rFonts w:ascii="Verdana" w:hAnsi="Verdana" w:cs="Verdana"/>
          <w:color w:val="000000"/>
          <w:spacing w:val="-11"/>
          <w:kern w:val="0"/>
          <w:sz w:val="18"/>
          <w:szCs w:val="18"/>
        </w:rPr>
        <w:t xml:space="preserve">. The patients with normal renal function or mild renal impairment who have no increased risk for renal toxicity should be monitored every 6 mo for serum creatinine and phosphorus. The patients with impaired renal function or underlying comorbidities that show increased renal failure may be monitored more </w:t>
      </w:r>
      <w:proofErr w:type="gramStart"/>
      <w:r w:rsidRPr="000E2301">
        <w:rPr>
          <w:rFonts w:ascii="Verdana" w:hAnsi="Verdana" w:cs="Verdana"/>
          <w:color w:val="000000"/>
          <w:spacing w:val="-11"/>
          <w:kern w:val="0"/>
          <w:sz w:val="18"/>
          <w:szCs w:val="18"/>
        </w:rPr>
        <w:t>frequently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96]</w:t>
      </w:r>
      <w:r w:rsidRPr="000E2301">
        <w:rPr>
          <w:rFonts w:ascii="Verdana" w:hAnsi="Verdana" w:cs="Verdana"/>
          <w:color w:val="000000"/>
          <w:spacing w:val="-11"/>
          <w:kern w:val="0"/>
          <w:sz w:val="18"/>
          <w:szCs w:val="18"/>
        </w:rPr>
        <w:t xml:space="preserve">. Dose-adjustment should be made according to the renal </w:t>
      </w:r>
      <w:proofErr w:type="gramStart"/>
      <w:r w:rsidRPr="000E2301">
        <w:rPr>
          <w:rFonts w:ascii="Verdana" w:hAnsi="Verdana" w:cs="Verdana"/>
          <w:color w:val="000000"/>
          <w:spacing w:val="-11"/>
          <w:kern w:val="0"/>
          <w:sz w:val="18"/>
          <w:szCs w:val="18"/>
        </w:rPr>
        <w:t>impairment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9"/>
          <w:kern w:val="0"/>
          <w:sz w:val="18"/>
          <w:szCs w:val="18"/>
        </w:rPr>
        <w:t xml:space="preserve">Tenofovir safety was also similar in elderly and younger </w:t>
      </w:r>
      <w:proofErr w:type="gramStart"/>
      <w:r w:rsidRPr="000E2301">
        <w:rPr>
          <w:rFonts w:ascii="Verdana" w:hAnsi="Verdana" w:cs="Verdana"/>
          <w:color w:val="000000"/>
          <w:spacing w:val="-9"/>
          <w:kern w:val="0"/>
          <w:sz w:val="18"/>
          <w:szCs w:val="18"/>
        </w:rPr>
        <w:t>patients</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59]</w:t>
      </w:r>
      <w:r w:rsidRPr="000E2301">
        <w:rPr>
          <w:rFonts w:ascii="Verdana" w:hAnsi="Verdana" w:cs="Verdana"/>
          <w:color w:val="000000"/>
          <w:spacing w:val="-9"/>
          <w:kern w:val="0"/>
          <w:sz w:val="18"/>
          <w:szCs w:val="18"/>
        </w:rPr>
        <w:t>. There is little experience with tenofovir treatment in renal transplantation. One study reported 7 HBV-positive organ transplant recipients (</w:t>
      </w:r>
      <w:r w:rsidRPr="000E2301">
        <w:rPr>
          <w:rFonts w:ascii="Verdana" w:hAnsi="Verdana" w:cs="Verdana"/>
          <w:i/>
          <w:iCs/>
          <w:color w:val="000000"/>
          <w:spacing w:val="-9"/>
          <w:kern w:val="0"/>
          <w:sz w:val="18"/>
          <w:szCs w:val="18"/>
        </w:rPr>
        <w:t>n</w:t>
      </w:r>
      <w:r w:rsidRPr="000E2301">
        <w:rPr>
          <w:rFonts w:ascii="Verdana" w:hAnsi="Verdana" w:cs="Verdana"/>
          <w:color w:val="000000"/>
          <w:spacing w:val="-9"/>
          <w:kern w:val="0"/>
          <w:sz w:val="18"/>
          <w:szCs w:val="18"/>
        </w:rPr>
        <w:t xml:space="preserve"> = 3, kidney; </w:t>
      </w:r>
      <w:r w:rsidRPr="000E2301">
        <w:rPr>
          <w:rFonts w:ascii="Verdana" w:hAnsi="Verdana" w:cs="Verdana"/>
          <w:i/>
          <w:iCs/>
          <w:color w:val="000000"/>
          <w:spacing w:val="-9"/>
          <w:kern w:val="0"/>
          <w:sz w:val="18"/>
          <w:szCs w:val="18"/>
        </w:rPr>
        <w:t>n</w:t>
      </w:r>
      <w:r w:rsidRPr="000E2301">
        <w:rPr>
          <w:rFonts w:ascii="Verdana" w:hAnsi="Verdana" w:cs="Verdana"/>
          <w:color w:val="000000"/>
          <w:spacing w:val="-9"/>
          <w:kern w:val="0"/>
          <w:sz w:val="18"/>
          <w:szCs w:val="18"/>
        </w:rPr>
        <w:t xml:space="preserve"> = 1, liver; </w:t>
      </w:r>
      <w:r w:rsidRPr="000E2301">
        <w:rPr>
          <w:rFonts w:ascii="Verdana" w:hAnsi="Verdana" w:cs="Verdana"/>
          <w:i/>
          <w:iCs/>
          <w:color w:val="000000"/>
          <w:spacing w:val="-9"/>
          <w:kern w:val="0"/>
          <w:sz w:val="18"/>
          <w:szCs w:val="18"/>
        </w:rPr>
        <w:t>n</w:t>
      </w:r>
      <w:r w:rsidRPr="000E2301">
        <w:rPr>
          <w:rFonts w:ascii="Verdana" w:hAnsi="Verdana" w:cs="Verdana"/>
          <w:color w:val="000000"/>
          <w:spacing w:val="-9"/>
          <w:kern w:val="0"/>
          <w:sz w:val="18"/>
          <w:szCs w:val="18"/>
        </w:rPr>
        <w:t xml:space="preserve"> = 3, hearts) who were safely and effectively treated with tenofovir. No adverse events or kidney rejection were observed. There were no statistically significant changes in renal </w:t>
      </w:r>
      <w:proofErr w:type="gramStart"/>
      <w:r w:rsidRPr="000E2301">
        <w:rPr>
          <w:rFonts w:ascii="Verdana" w:hAnsi="Verdana" w:cs="Verdana"/>
          <w:color w:val="000000"/>
          <w:spacing w:val="-9"/>
          <w:kern w:val="0"/>
          <w:sz w:val="18"/>
          <w:szCs w:val="18"/>
        </w:rPr>
        <w:t>functions</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97]</w:t>
      </w:r>
      <w:r w:rsidRPr="000E2301">
        <w:rPr>
          <w:rFonts w:ascii="Verdana" w:hAnsi="Verdana" w:cs="Verdana"/>
          <w:color w:val="000000"/>
          <w:spacing w:val="-9"/>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9"/>
          <w:kern w:val="0"/>
          <w:sz w:val="18"/>
          <w:szCs w:val="18"/>
        </w:rPr>
        <w:t xml:space="preserve">In contrast to the nucleotide analogues, nucleoside </w:t>
      </w:r>
      <w:r w:rsidRPr="000E2301">
        <w:rPr>
          <w:rFonts w:ascii="Verdana" w:hAnsi="Verdana" w:cs="Verdana"/>
          <w:color w:val="000000"/>
          <w:spacing w:val="-11"/>
          <w:kern w:val="0"/>
          <w:sz w:val="18"/>
          <w:szCs w:val="18"/>
        </w:rPr>
        <w:t xml:space="preserve">analogues are not generally associated with renal adverse events. Increase in serum creatinine was reported in less than 1% of patients treated with </w:t>
      </w:r>
      <w:proofErr w:type="gramStart"/>
      <w:r w:rsidRPr="000E2301">
        <w:rPr>
          <w:rFonts w:ascii="Verdana" w:hAnsi="Verdana" w:cs="Verdana"/>
          <w:color w:val="000000"/>
          <w:spacing w:val="-11"/>
          <w:kern w:val="0"/>
          <w:sz w:val="18"/>
          <w:szCs w:val="18"/>
        </w:rPr>
        <w:t>entecavir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49]</w:t>
      </w:r>
      <w:r w:rsidRPr="000E2301">
        <w:rPr>
          <w:rFonts w:ascii="Verdana" w:hAnsi="Verdana" w:cs="Verdana"/>
          <w:color w:val="000000"/>
          <w:spacing w:val="-11"/>
          <w:kern w:val="0"/>
          <w:sz w:val="18"/>
          <w:szCs w:val="18"/>
        </w:rPr>
        <w:t xml:space="preserve">. In the study of Tsai </w:t>
      </w:r>
      <w:r w:rsidRPr="000E2301">
        <w:rPr>
          <w:rFonts w:ascii="Verdana" w:hAnsi="Verdana" w:cs="Verdana"/>
          <w:i/>
          <w:iCs/>
          <w:color w:val="000000"/>
          <w:spacing w:val="-11"/>
          <w:kern w:val="0"/>
          <w:sz w:val="18"/>
          <w:szCs w:val="18"/>
        </w:rPr>
        <w:t xml:space="preserve">et </w:t>
      </w:r>
      <w:proofErr w:type="gramStart"/>
      <w:r w:rsidRPr="000E2301">
        <w:rPr>
          <w:rFonts w:ascii="Verdana" w:hAnsi="Verdana" w:cs="Verdana"/>
          <w:i/>
          <w:iCs/>
          <w:color w:val="000000"/>
          <w:spacing w:val="-11"/>
          <w:kern w:val="0"/>
          <w:sz w:val="18"/>
          <w:szCs w:val="18"/>
        </w:rPr>
        <w:t>al</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98]</w:t>
      </w:r>
      <w:r w:rsidRPr="000E2301">
        <w:rPr>
          <w:rFonts w:ascii="Verdana" w:hAnsi="Verdana" w:cs="Verdana"/>
          <w:color w:val="000000"/>
          <w:spacing w:val="-11"/>
          <w:kern w:val="0"/>
          <w:sz w:val="18"/>
          <w:szCs w:val="18"/>
        </w:rPr>
        <w:t>, entecavir and telbivudine were found to be associated with GFR improvement. Despite the absence of strong evidence, the current guidelines recommend entecavir as the best option in renal trans</w:t>
      </w:r>
      <w:r w:rsidRPr="000E2301">
        <w:rPr>
          <w:rFonts w:ascii="Verdana" w:hAnsi="Verdana" w:cs="Verdana"/>
          <w:color w:val="000000"/>
          <w:spacing w:val="-11"/>
          <w:kern w:val="0"/>
          <w:sz w:val="18"/>
          <w:szCs w:val="18"/>
        </w:rPr>
        <w:softHyphen/>
        <w:t xml:space="preserve">plant recipients due to lack of data demonstrating a major renal toxicity with </w:t>
      </w:r>
      <w:proofErr w:type="gramStart"/>
      <w:r w:rsidRPr="000E2301">
        <w:rPr>
          <w:rFonts w:ascii="Verdana" w:hAnsi="Verdana" w:cs="Verdana"/>
          <w:color w:val="000000"/>
          <w:spacing w:val="-11"/>
          <w:kern w:val="0"/>
          <w:sz w:val="18"/>
          <w:szCs w:val="18"/>
        </w:rPr>
        <w:t>entecavir</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2,99-101]</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3"/>
          <w:kern w:val="0"/>
          <w:sz w:val="18"/>
          <w:szCs w:val="18"/>
        </w:rPr>
        <w:t xml:space="preserve">Interestingly, telbivudine improves renal </w:t>
      </w:r>
      <w:proofErr w:type="gramStart"/>
      <w:r w:rsidRPr="000E2301">
        <w:rPr>
          <w:rFonts w:ascii="Verdana" w:hAnsi="Verdana" w:cs="Verdana"/>
          <w:color w:val="000000"/>
          <w:spacing w:val="-9"/>
          <w:kern w:val="0"/>
          <w:sz w:val="18"/>
          <w:szCs w:val="18"/>
        </w:rPr>
        <w:t>functions</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3,8,81]</w:t>
      </w:r>
      <w:r w:rsidRPr="000E2301">
        <w:rPr>
          <w:rFonts w:ascii="Verdana" w:hAnsi="Verdana" w:cs="Verdana"/>
          <w:color w:val="000000"/>
          <w:spacing w:val="-9"/>
          <w:kern w:val="0"/>
          <w:sz w:val="18"/>
          <w:szCs w:val="18"/>
        </w:rPr>
        <w:t xml:space="preserve">. Several real-life studies have shown that treatment with telbivudine increases GFR in CHB patients. The GLOBE study and long-term extension studies had revealed that long-term telbivudine treatment was associated with a sustained improvement in renal function in patients with compensated and decompensated cirrhosis who had an increased risk of renal </w:t>
      </w:r>
      <w:proofErr w:type="gramStart"/>
      <w:r w:rsidRPr="000E2301">
        <w:rPr>
          <w:rFonts w:ascii="Verdana" w:hAnsi="Verdana" w:cs="Verdana"/>
          <w:color w:val="000000"/>
          <w:spacing w:val="-9"/>
          <w:kern w:val="0"/>
          <w:sz w:val="18"/>
          <w:szCs w:val="18"/>
        </w:rPr>
        <w:t>impairment</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23,102]</w:t>
      </w:r>
      <w:r w:rsidRPr="000E2301">
        <w:rPr>
          <w:rFonts w:ascii="Verdana" w:hAnsi="Verdana" w:cs="Verdana"/>
          <w:color w:val="000000"/>
          <w:spacing w:val="-9"/>
          <w:kern w:val="0"/>
          <w:sz w:val="18"/>
          <w:szCs w:val="18"/>
        </w:rPr>
        <w:t xml:space="preserve">. Gane </w:t>
      </w:r>
      <w:r w:rsidRPr="000E2301">
        <w:rPr>
          <w:rFonts w:ascii="Verdana" w:hAnsi="Verdana" w:cs="Verdana"/>
          <w:i/>
          <w:iCs/>
          <w:color w:val="000000"/>
          <w:spacing w:val="-9"/>
          <w:kern w:val="0"/>
          <w:sz w:val="18"/>
          <w:szCs w:val="18"/>
        </w:rPr>
        <w:t xml:space="preserve">et </w:t>
      </w:r>
      <w:proofErr w:type="gramStart"/>
      <w:r w:rsidRPr="000E2301">
        <w:rPr>
          <w:rFonts w:ascii="Verdana" w:hAnsi="Verdana" w:cs="Verdana"/>
          <w:i/>
          <w:iCs/>
          <w:color w:val="000000"/>
          <w:spacing w:val="-9"/>
          <w:kern w:val="0"/>
          <w:sz w:val="18"/>
          <w:szCs w:val="18"/>
        </w:rPr>
        <w:t>al</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102]</w:t>
      </w:r>
      <w:r w:rsidRPr="000E2301">
        <w:rPr>
          <w:rFonts w:ascii="Verdana" w:hAnsi="Verdana" w:cs="Verdana"/>
          <w:color w:val="000000"/>
          <w:spacing w:val="-9"/>
          <w:kern w:val="0"/>
          <w:sz w:val="18"/>
          <w:szCs w:val="18"/>
        </w:rPr>
        <w:t xml:space="preserve"> indicated an improvement in renal function with telbivudine treatment by the calculation of GFR using the Modification of Diet in Renal Disease, Chronic Kidney Disease Epidemiology Collaboration</w:t>
      </w:r>
      <w:r w:rsidRPr="000E2301">
        <w:rPr>
          <w:rFonts w:ascii="Verdana" w:hAnsi="Verdana" w:cs="Verdana"/>
          <w:color w:val="000000"/>
          <w:spacing w:val="-11"/>
          <w:kern w:val="0"/>
          <w:sz w:val="18"/>
          <w:szCs w:val="18"/>
        </w:rPr>
        <w:t>, and Cockcroft-Gault methods. The increment of GFR was also shown in patients at increased risk for renal impairment: +17.2% in patients with baseline GFR of 60-89 mL/</w:t>
      </w:r>
      <w:r w:rsidRPr="000E2301">
        <w:rPr>
          <w:rFonts w:ascii="Verdana" w:hAnsi="Verdana" w:cs="Verdana"/>
          <w:color w:val="000000"/>
          <w:spacing w:val="-9"/>
          <w:kern w:val="0"/>
          <w:sz w:val="18"/>
          <w:szCs w:val="18"/>
        </w:rPr>
        <w:t>min per 1.73 m</w:t>
      </w:r>
      <w:r w:rsidRPr="000E2301">
        <w:rPr>
          <w:rFonts w:ascii="Verdana" w:hAnsi="Verdana" w:cs="Verdana"/>
          <w:color w:val="000000"/>
          <w:spacing w:val="-9"/>
          <w:kern w:val="0"/>
          <w:sz w:val="18"/>
          <w:szCs w:val="18"/>
          <w:vertAlign w:val="superscript"/>
        </w:rPr>
        <w:t>2</w:t>
      </w:r>
      <w:r w:rsidRPr="000E2301">
        <w:rPr>
          <w:rFonts w:ascii="Verdana" w:hAnsi="Verdana" w:cs="Verdana"/>
          <w:color w:val="000000"/>
          <w:spacing w:val="-9"/>
          <w:kern w:val="0"/>
          <w:sz w:val="18"/>
          <w:szCs w:val="18"/>
        </w:rPr>
        <w:t xml:space="preserve">, +11.4% in patients older than 50 years and +7.2% in cirrhotic patients. Additionally, improved renal function has been reported to be maintained for 4-6 years. In a study investigating the renoprotective effect of telbivudine on patients receiving adefovir-based combination therapy, combination of adefovir and telbivudine was found to </w:t>
      </w:r>
      <w:r w:rsidRPr="000E2301">
        <w:rPr>
          <w:rFonts w:ascii="Verdana" w:hAnsi="Verdana" w:cs="Verdana"/>
          <w:color w:val="000000"/>
          <w:spacing w:val="-11"/>
          <w:kern w:val="0"/>
          <w:sz w:val="18"/>
          <w:szCs w:val="18"/>
        </w:rPr>
        <w:t>have a more protective effect on renal functions than the combination of adefovir and entecavir, combination of adefovir and lamivudine, adefovir alone or entecavir alone</w:t>
      </w:r>
      <w:r w:rsidRPr="000E2301">
        <w:rPr>
          <w:rFonts w:ascii="Verdana" w:hAnsi="Verdana" w:cs="Verdana"/>
          <w:color w:val="000000"/>
          <w:spacing w:val="-11"/>
          <w:kern w:val="0"/>
          <w:sz w:val="18"/>
          <w:szCs w:val="18"/>
          <w:vertAlign w:val="superscript"/>
        </w:rPr>
        <w:t>[79]</w:t>
      </w:r>
      <w:r w:rsidRPr="000E2301">
        <w:rPr>
          <w:rFonts w:ascii="Verdana" w:hAnsi="Verdana" w:cs="Verdana"/>
          <w:color w:val="000000"/>
          <w:spacing w:val="-11"/>
          <w:kern w:val="0"/>
          <w:sz w:val="18"/>
          <w:szCs w:val="18"/>
        </w:rPr>
        <w:t>. Preemptive telbivudine use was reported to prevent renal deterioration caused by cis</w:t>
      </w:r>
      <w:r w:rsidRPr="000E2301">
        <w:rPr>
          <w:rFonts w:ascii="Verdana" w:hAnsi="Verdana" w:cs="Verdana"/>
          <w:color w:val="000000"/>
          <w:spacing w:val="-11"/>
          <w:kern w:val="0"/>
          <w:sz w:val="18"/>
          <w:szCs w:val="18"/>
        </w:rPr>
        <w:softHyphen/>
        <w:t xml:space="preserve">platin-based chemotherapy in patients with advanced </w:t>
      </w:r>
      <w:proofErr w:type="gramStart"/>
      <w:r w:rsidRPr="000E2301">
        <w:rPr>
          <w:rFonts w:ascii="Verdana" w:hAnsi="Verdana" w:cs="Verdana"/>
          <w:color w:val="000000"/>
          <w:spacing w:val="-11"/>
          <w:kern w:val="0"/>
          <w:sz w:val="18"/>
          <w:szCs w:val="18"/>
        </w:rPr>
        <w:t>HCC</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103]</w:t>
      </w:r>
      <w:r w:rsidRPr="000E2301">
        <w:rPr>
          <w:rFonts w:ascii="Verdana" w:hAnsi="Verdana" w:cs="Verdana"/>
          <w:color w:val="000000"/>
          <w:spacing w:val="-11"/>
          <w:kern w:val="0"/>
          <w:sz w:val="18"/>
          <w:szCs w:val="18"/>
        </w:rPr>
        <w:t xml:space="preserve">. Additionally, telbivudine is recommended in the prophylactic treatment of CHB in patients with renal transplant due to its renoprotective effect on </w:t>
      </w:r>
      <w:r w:rsidRPr="000E2301">
        <w:rPr>
          <w:rFonts w:ascii="Verdana" w:hAnsi="Verdana" w:cs="Verdana"/>
          <w:color w:val="000000"/>
          <w:spacing w:val="-9"/>
          <w:kern w:val="0"/>
          <w:sz w:val="18"/>
          <w:szCs w:val="18"/>
        </w:rPr>
        <w:t xml:space="preserve">transplanted </w:t>
      </w:r>
      <w:proofErr w:type="gramStart"/>
      <w:r w:rsidRPr="000E2301">
        <w:rPr>
          <w:rFonts w:ascii="Verdana" w:hAnsi="Verdana" w:cs="Verdana"/>
          <w:color w:val="000000"/>
          <w:spacing w:val="-9"/>
          <w:kern w:val="0"/>
          <w:sz w:val="18"/>
          <w:szCs w:val="18"/>
        </w:rPr>
        <w:t>patients</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2]</w:t>
      </w:r>
      <w:r w:rsidRPr="000E2301">
        <w:rPr>
          <w:rFonts w:ascii="Verdana" w:hAnsi="Verdana" w:cs="Verdana"/>
          <w:color w:val="000000"/>
          <w:spacing w:val="-9"/>
          <w:kern w:val="0"/>
          <w:sz w:val="18"/>
          <w:szCs w:val="18"/>
        </w:rPr>
        <w:t>. Telbivudine is a good option, especially in patients with renal impairment or in those with risk factors for renal disease.</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3"/>
          <w:kern w:val="0"/>
          <w:sz w:val="18"/>
          <w:szCs w:val="18"/>
        </w:rPr>
        <w:t xml:space="preserve">All NAs are cleared by kidneys and their dosage should be adjusted in patients with creatinine </w:t>
      </w:r>
      <w:r w:rsidRPr="000E2301">
        <w:rPr>
          <w:rFonts w:ascii="Verdana" w:hAnsi="Verdana" w:cs="Verdana"/>
          <w:color w:val="000000"/>
          <w:spacing w:val="-9"/>
          <w:kern w:val="0"/>
          <w:sz w:val="18"/>
          <w:szCs w:val="18"/>
        </w:rPr>
        <w:t>clearance below 50 mL/</w:t>
      </w:r>
      <w:proofErr w:type="gramStart"/>
      <w:r w:rsidRPr="000E2301">
        <w:rPr>
          <w:rFonts w:ascii="Verdana" w:hAnsi="Verdana" w:cs="Verdana"/>
          <w:color w:val="000000"/>
          <w:spacing w:val="-9"/>
          <w:kern w:val="0"/>
          <w:sz w:val="18"/>
          <w:szCs w:val="18"/>
        </w:rPr>
        <w:t>min</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104]</w:t>
      </w:r>
      <w:r w:rsidRPr="000E2301">
        <w:rPr>
          <w:rFonts w:ascii="Verdana" w:hAnsi="Verdana" w:cs="Verdana"/>
          <w:color w:val="000000"/>
          <w:spacing w:val="-9"/>
          <w:kern w:val="0"/>
          <w:sz w:val="18"/>
          <w:szCs w:val="18"/>
        </w:rPr>
        <w:t xml:space="preserve">. To minimize the risk of nephrotoxicity, simultaneous administration of the other nephrotoxic drugs should be avoided. Secondly, all patients with CHB infection who are treated with adefovir or tenofovir should be regularly monitored for serum creatinine and phosphate levels and drug dose should be modified if creatinine increases by more than 0.5 mg/dL above baseline or phosphate level decreases below 2.0 mg/dL, to the needed </w:t>
      </w:r>
      <w:proofErr w:type="gramStart"/>
      <w:r w:rsidRPr="000E2301">
        <w:rPr>
          <w:rFonts w:ascii="Verdana" w:hAnsi="Verdana" w:cs="Verdana"/>
          <w:color w:val="000000"/>
          <w:spacing w:val="-9"/>
          <w:kern w:val="0"/>
          <w:sz w:val="18"/>
          <w:szCs w:val="18"/>
        </w:rPr>
        <w:t>dose</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8]</w:t>
      </w:r>
      <w:r w:rsidRPr="000E2301">
        <w:rPr>
          <w:rFonts w:ascii="Verdana" w:hAnsi="Verdana" w:cs="Verdana"/>
          <w:color w:val="000000"/>
          <w:spacing w:val="-9"/>
          <w:kern w:val="0"/>
          <w:sz w:val="18"/>
          <w:szCs w:val="18"/>
        </w:rPr>
        <w:t>.</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2"/>
          <w:kern w:val="0"/>
          <w:sz w:val="24"/>
          <w:u w:val="single"/>
        </w:rPr>
        <w:t>SAFETY IN PREGNANCY</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lastRenderedPageBreak/>
        <w:t xml:space="preserve">Mother-to-child-transmission remains the main route of hepatitis B acquisition, especially in endemic </w:t>
      </w:r>
      <w:proofErr w:type="gramStart"/>
      <w:r w:rsidRPr="000E2301">
        <w:rPr>
          <w:rFonts w:ascii="Verdana" w:hAnsi="Verdana" w:cs="Verdana"/>
          <w:color w:val="000000"/>
          <w:spacing w:val="-11"/>
          <w:kern w:val="0"/>
          <w:sz w:val="18"/>
          <w:szCs w:val="18"/>
        </w:rPr>
        <w:t>countries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105]</w:t>
      </w:r>
      <w:r w:rsidRPr="000E2301">
        <w:rPr>
          <w:rFonts w:ascii="Verdana" w:hAnsi="Verdana" w:cs="Verdana"/>
          <w:color w:val="000000"/>
          <w:spacing w:val="-11"/>
          <w:kern w:val="0"/>
          <w:sz w:val="18"/>
          <w:szCs w:val="18"/>
        </w:rPr>
        <w:t xml:space="preserve">. Despite postnatal use of immune globulin and vaccine, mother-to-child transmission of HBV infection still occurs. Intrauterine transmission is considered the main reason underlying immunoprophlaxis </w:t>
      </w:r>
      <w:proofErr w:type="gramStart"/>
      <w:r w:rsidRPr="000E2301">
        <w:rPr>
          <w:rFonts w:ascii="Verdana" w:hAnsi="Verdana" w:cs="Verdana"/>
          <w:color w:val="000000"/>
          <w:spacing w:val="-11"/>
          <w:kern w:val="0"/>
          <w:sz w:val="18"/>
          <w:szCs w:val="18"/>
        </w:rPr>
        <w:t>failures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2,106]</w:t>
      </w:r>
      <w:r w:rsidRPr="000E2301">
        <w:rPr>
          <w:rFonts w:ascii="Verdana" w:hAnsi="Verdana" w:cs="Verdana"/>
          <w:color w:val="000000"/>
          <w:spacing w:val="-11"/>
          <w:kern w:val="0"/>
          <w:sz w:val="18"/>
          <w:szCs w:val="18"/>
        </w:rPr>
        <w:t xml:space="preserve">. High HBV DNA levels and HBeAg-positive status are the most important risk factors for perinatal HBV transmission. Thus, reducing maternal HBV DNA level has become the main preventive measure of perinatal mother-to-child </w:t>
      </w:r>
      <w:proofErr w:type="gramStart"/>
      <w:r w:rsidRPr="000E2301">
        <w:rPr>
          <w:rFonts w:ascii="Verdana" w:hAnsi="Verdana" w:cs="Verdana"/>
          <w:color w:val="000000"/>
          <w:spacing w:val="-11"/>
          <w:kern w:val="0"/>
          <w:sz w:val="18"/>
          <w:szCs w:val="18"/>
        </w:rPr>
        <w:t>transmission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106]</w:t>
      </w:r>
      <w:r w:rsidRPr="000E2301">
        <w:rPr>
          <w:rFonts w:ascii="Verdana" w:hAnsi="Verdana" w:cs="Verdana"/>
          <w:color w:val="000000"/>
          <w:spacing w:val="-11"/>
          <w:kern w:val="0"/>
          <w:sz w:val="18"/>
          <w:szCs w:val="18"/>
        </w:rPr>
        <w:t>. Current guidelines recommend initiating NAs in pregnant females with high HBV DNA levels (above &gt; 10</w:t>
      </w:r>
      <w:r w:rsidRPr="000E2301">
        <w:rPr>
          <w:rFonts w:ascii="Verdana" w:hAnsi="Verdana" w:cs="Verdana"/>
          <w:color w:val="000000"/>
          <w:spacing w:val="-11"/>
          <w:kern w:val="0"/>
          <w:sz w:val="18"/>
          <w:szCs w:val="18"/>
          <w:vertAlign w:val="superscript"/>
        </w:rPr>
        <w:t>6-7</w:t>
      </w:r>
      <w:r w:rsidRPr="000E2301">
        <w:rPr>
          <w:rFonts w:ascii="Verdana" w:hAnsi="Verdana" w:cs="Verdana"/>
          <w:color w:val="000000"/>
          <w:spacing w:val="-11"/>
          <w:kern w:val="0"/>
          <w:position w:val="16"/>
          <w:sz w:val="18"/>
          <w:szCs w:val="18"/>
        </w:rPr>
        <w:t xml:space="preserve"> </w:t>
      </w:r>
      <w:r w:rsidRPr="000E2301">
        <w:rPr>
          <w:rFonts w:ascii="Verdana" w:hAnsi="Verdana" w:cs="Verdana"/>
          <w:color w:val="000000"/>
          <w:spacing w:val="-11"/>
          <w:kern w:val="0"/>
          <w:sz w:val="18"/>
          <w:szCs w:val="18"/>
        </w:rPr>
        <w:t>IU/mL) at 28-32 wk of gestation and cessation of NAs after delivery or 4-12 wk after delivery in females who do not have a risk for ALT flares and pre-existing advanced liver fibrosis/cirrhosis</w:t>
      </w:r>
      <w:r w:rsidRPr="000E2301">
        <w:rPr>
          <w:rFonts w:ascii="Verdana" w:hAnsi="Verdana" w:cs="Verdana"/>
          <w:color w:val="000000"/>
          <w:spacing w:val="-11"/>
          <w:kern w:val="0"/>
          <w:sz w:val="18"/>
          <w:szCs w:val="18"/>
          <w:vertAlign w:val="superscript"/>
        </w:rPr>
        <w:t>[2,105]</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11"/>
          <w:kern w:val="0"/>
          <w:sz w:val="18"/>
          <w:szCs w:val="18"/>
        </w:rPr>
        <w:t>Two of five NAs approved for the treatment of CHB, telbivudine and tenofovir, are classified as category B in the United States FDA Pregnancy Categories (meaning that no risk was observed in animal studies; however, there are no adequate and well-controlled studies per</w:t>
      </w:r>
      <w:r w:rsidRPr="000E2301">
        <w:rPr>
          <w:rFonts w:ascii="Verdana" w:hAnsi="Verdana" w:cs="Verdana"/>
          <w:color w:val="000000"/>
          <w:spacing w:val="-11"/>
          <w:kern w:val="0"/>
          <w:sz w:val="18"/>
          <w:szCs w:val="18"/>
        </w:rPr>
        <w:softHyphen/>
        <w:t>formed in pregnant women). The other three NAs, lamivudine, entecavir and adefovir, are classified as category C (meaning that an adverse effect on the fetus have been shown in animal studies, but there are no adequate studies in humans</w:t>
      </w:r>
      <w:proofErr w:type="gramStart"/>
      <w:r w:rsidRPr="000E2301">
        <w:rPr>
          <w:rFonts w:ascii="Verdana" w:hAnsi="Verdana" w:cs="Verdana"/>
          <w:color w:val="000000"/>
          <w:spacing w:val="-11"/>
          <w:kern w:val="0"/>
          <w:sz w:val="18"/>
          <w:szCs w:val="18"/>
        </w:rPr>
        <w:t>)</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107]</w:t>
      </w:r>
      <w:r w:rsidRPr="000E2301">
        <w:rPr>
          <w:rFonts w:ascii="Verdana" w:hAnsi="Verdana" w:cs="Verdana"/>
          <w:color w:val="000000"/>
          <w:spacing w:val="-11"/>
          <w:kern w:val="0"/>
          <w:sz w:val="18"/>
          <w:szCs w:val="18"/>
        </w:rPr>
        <w:t xml:space="preserve"> (Table 1). Prospective studies have revealed that fetal abnormality rates in mothers treated with NAs is low, and similar to those in the general </w:t>
      </w:r>
      <w:proofErr w:type="gramStart"/>
      <w:r w:rsidRPr="000E2301">
        <w:rPr>
          <w:rFonts w:ascii="Verdana" w:hAnsi="Verdana" w:cs="Verdana"/>
          <w:color w:val="000000"/>
          <w:spacing w:val="-11"/>
          <w:kern w:val="0"/>
          <w:sz w:val="18"/>
          <w:szCs w:val="18"/>
        </w:rPr>
        <w:t>population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w:t>
      </w:r>
      <w:r w:rsidRPr="000E2301">
        <w:rPr>
          <w:rFonts w:ascii="Verdana" w:hAnsi="Verdana" w:cs="Verdana"/>
          <w:color w:val="000000"/>
          <w:spacing w:val="-11"/>
          <w:kern w:val="0"/>
          <w:sz w:val="18"/>
          <w:szCs w:val="18"/>
        </w:rPr>
        <w:t xml:space="preserve">. Lamivudine is the most experienced NA in pregnancy and it has been used safely in preventing mother-to-child transmission of HIV infection for 2 </w:t>
      </w:r>
      <w:proofErr w:type="gramStart"/>
      <w:r w:rsidRPr="000E2301">
        <w:rPr>
          <w:rFonts w:ascii="Verdana" w:hAnsi="Verdana" w:cs="Verdana"/>
          <w:color w:val="000000"/>
          <w:spacing w:val="-11"/>
          <w:kern w:val="0"/>
          <w:sz w:val="18"/>
          <w:szCs w:val="18"/>
        </w:rPr>
        <w:t>decades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2]</w:t>
      </w:r>
      <w:r w:rsidRPr="000E2301">
        <w:rPr>
          <w:rFonts w:ascii="Verdana" w:hAnsi="Verdana" w:cs="Verdana"/>
          <w:color w:val="000000"/>
          <w:spacing w:val="-11"/>
          <w:kern w:val="0"/>
          <w:sz w:val="18"/>
          <w:szCs w:val="18"/>
        </w:rPr>
        <w:t xml:space="preserve">. In randomized controlled studies, lamivudine has been shown to be effective in preventing mother-to-child-transmission when used in the third trimester of pregnancy and early postnatal period. There was no significant difference in the incidence of fetal adverse effects between lamivudine and placebo </w:t>
      </w:r>
      <w:proofErr w:type="gramStart"/>
      <w:r w:rsidRPr="000E2301">
        <w:rPr>
          <w:rFonts w:ascii="Verdana" w:hAnsi="Verdana" w:cs="Verdana"/>
          <w:color w:val="000000"/>
          <w:spacing w:val="-11"/>
          <w:kern w:val="0"/>
          <w:sz w:val="18"/>
          <w:szCs w:val="18"/>
        </w:rPr>
        <w:t>groups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108,109]</w:t>
      </w:r>
      <w:r w:rsidRPr="000E2301">
        <w:rPr>
          <w:rFonts w:ascii="Verdana" w:hAnsi="Verdana" w:cs="Verdana"/>
          <w:color w:val="000000"/>
          <w:spacing w:val="-11"/>
          <w:kern w:val="0"/>
          <w:sz w:val="18"/>
          <w:szCs w:val="18"/>
        </w:rPr>
        <w:t xml:space="preserve">. The Antiretroviral Pregnancy Registry (APR) provides updated fetal safety data on various drugs used in pregnancy, and includes data from January 1989 to date. Up to 31 July 2015, APR reported newborn defect rates as 3.1% during the first trimester of 4566 pregnant women and 2.9% during the second/third trimester of 7263 pregnant women who were exposed to lamivudine. These rates were not different from those reported in the general </w:t>
      </w:r>
      <w:proofErr w:type="gramStart"/>
      <w:r w:rsidRPr="000E2301">
        <w:rPr>
          <w:rFonts w:ascii="Verdana" w:hAnsi="Verdana" w:cs="Verdana"/>
          <w:color w:val="000000"/>
          <w:spacing w:val="-11"/>
          <w:kern w:val="0"/>
          <w:sz w:val="18"/>
          <w:szCs w:val="18"/>
        </w:rPr>
        <w:t>population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110]</w:t>
      </w:r>
      <w:r w:rsidRPr="000E2301">
        <w:rPr>
          <w:rFonts w:ascii="Verdana" w:hAnsi="Verdana" w:cs="Verdana"/>
          <w:color w:val="000000"/>
          <w:spacing w:val="-11"/>
          <w:kern w:val="0"/>
          <w:sz w:val="18"/>
          <w:szCs w:val="18"/>
        </w:rPr>
        <w:t>. However, lamivudine administration, even if for short-term use such as during pregnancy, has a risk of select</w:t>
      </w:r>
      <w:r w:rsidRPr="000E2301">
        <w:rPr>
          <w:rFonts w:ascii="Verdana" w:hAnsi="Verdana" w:cs="Verdana"/>
          <w:color w:val="000000"/>
          <w:spacing w:val="-11"/>
          <w:kern w:val="0"/>
          <w:sz w:val="18"/>
          <w:szCs w:val="18"/>
        </w:rPr>
        <w:softHyphen/>
        <w:t xml:space="preserve">ing resistant strains due to poor antiviral </w:t>
      </w:r>
      <w:proofErr w:type="gramStart"/>
      <w:r w:rsidRPr="000E2301">
        <w:rPr>
          <w:rFonts w:ascii="Verdana" w:hAnsi="Verdana" w:cs="Verdana"/>
          <w:color w:val="000000"/>
          <w:spacing w:val="-11"/>
          <w:kern w:val="0"/>
          <w:sz w:val="18"/>
          <w:szCs w:val="18"/>
        </w:rPr>
        <w:t>activity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106]</w:t>
      </w:r>
      <w:r w:rsidRPr="000E2301">
        <w:rPr>
          <w:rFonts w:ascii="Verdana" w:hAnsi="Verdana" w:cs="Verdana"/>
          <w:color w:val="000000"/>
          <w:spacing w:val="-11"/>
          <w:kern w:val="0"/>
          <w:sz w:val="18"/>
          <w:szCs w:val="18"/>
        </w:rPr>
        <w:t xml:space="preserve">. Current guidelines do not recommend lamivudine as first-line therapy for the treatment of CHB infection in pregnant </w:t>
      </w:r>
      <w:proofErr w:type="gramStart"/>
      <w:r w:rsidRPr="000E2301">
        <w:rPr>
          <w:rFonts w:ascii="Verdana" w:hAnsi="Verdana" w:cs="Verdana"/>
          <w:color w:val="000000"/>
          <w:spacing w:val="-11"/>
          <w:kern w:val="0"/>
          <w:sz w:val="18"/>
          <w:szCs w:val="18"/>
        </w:rPr>
        <w:t>women</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1,2]</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9"/>
          <w:kern w:val="0"/>
          <w:sz w:val="18"/>
          <w:szCs w:val="18"/>
        </w:rPr>
        <w:t>Tenofovir is recommended in current guidelines for preventing mother-to-child transmission in pregnant women with high viremia based on its potent antiviral activity, high barrier to resistance and being safe</w:t>
      </w:r>
      <w:r w:rsidRPr="000E2301">
        <w:rPr>
          <w:rFonts w:ascii="Verdana" w:hAnsi="Verdana" w:cs="Verdana"/>
          <w:color w:val="000000"/>
          <w:spacing w:val="-9"/>
          <w:kern w:val="0"/>
          <w:sz w:val="18"/>
          <w:szCs w:val="18"/>
          <w:vertAlign w:val="superscript"/>
        </w:rPr>
        <w:t>[1,2]</w:t>
      </w:r>
      <w:r w:rsidRPr="000E2301">
        <w:rPr>
          <w:rFonts w:ascii="Verdana" w:hAnsi="Verdana" w:cs="Verdana"/>
          <w:color w:val="000000"/>
          <w:spacing w:val="-9"/>
          <w:kern w:val="0"/>
          <w:sz w:val="18"/>
          <w:szCs w:val="18"/>
        </w:rPr>
        <w:t xml:space="preserve">. Data on tenofovir safety has been usually obtained from patients with HIV infection. It has been safely used in pregnant women with HIV infection for a relatively long time. APR reported newborn defect rates as 2.3% during the first trimester of 2608 pregnant women and 2.1% during the second/third trimester of 1258 pregnant women, which is similar to the rates in the general population. In a retrospective study, conducted in 45 HBeAg-positive pregnant women with high HBV DNA levels, tenofovir was found to be effective in preventing vertical transmission and no significant fetal adverse events were </w:t>
      </w:r>
      <w:proofErr w:type="gramStart"/>
      <w:r w:rsidRPr="000E2301">
        <w:rPr>
          <w:rFonts w:ascii="Verdana" w:hAnsi="Verdana" w:cs="Verdana"/>
          <w:color w:val="000000"/>
          <w:spacing w:val="-9"/>
          <w:kern w:val="0"/>
          <w:sz w:val="18"/>
          <w:szCs w:val="18"/>
        </w:rPr>
        <w:t>observed</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111]</w:t>
      </w:r>
      <w:r w:rsidRPr="000E2301">
        <w:rPr>
          <w:rFonts w:ascii="Verdana" w:hAnsi="Verdana" w:cs="Verdana"/>
          <w:color w:val="000000"/>
          <w:spacing w:val="-9"/>
          <w:kern w:val="0"/>
          <w:sz w:val="18"/>
          <w:szCs w:val="18"/>
        </w:rPr>
        <w:t xml:space="preserve">. The other multi-center prospective observational study reported tenofovir to be more effective than lamivudine in preventing vertical </w:t>
      </w:r>
      <w:proofErr w:type="gramStart"/>
      <w:r w:rsidRPr="000E2301">
        <w:rPr>
          <w:rFonts w:ascii="Verdana" w:hAnsi="Verdana" w:cs="Verdana"/>
          <w:color w:val="000000"/>
          <w:spacing w:val="-9"/>
          <w:kern w:val="0"/>
          <w:sz w:val="18"/>
          <w:szCs w:val="18"/>
        </w:rPr>
        <w:t>transmission</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112]</w:t>
      </w:r>
      <w:r w:rsidRPr="000E2301">
        <w:rPr>
          <w:rFonts w:ascii="Verdana" w:hAnsi="Verdana" w:cs="Verdana"/>
          <w:color w:val="000000"/>
          <w:spacing w:val="-9"/>
          <w:kern w:val="0"/>
          <w:sz w:val="18"/>
          <w:szCs w:val="18"/>
        </w:rPr>
        <w:t xml:space="preserve">. These data are supported by other </w:t>
      </w:r>
      <w:proofErr w:type="gramStart"/>
      <w:r w:rsidRPr="000E2301">
        <w:rPr>
          <w:rFonts w:ascii="Verdana" w:hAnsi="Verdana" w:cs="Verdana"/>
          <w:color w:val="000000"/>
          <w:spacing w:val="-9"/>
          <w:kern w:val="0"/>
          <w:sz w:val="18"/>
          <w:szCs w:val="18"/>
        </w:rPr>
        <w:t>studies</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113]</w:t>
      </w:r>
      <w:r w:rsidRPr="000E2301">
        <w:rPr>
          <w:rFonts w:ascii="Verdana" w:hAnsi="Verdana" w:cs="Verdana"/>
          <w:color w:val="000000"/>
          <w:spacing w:val="-9"/>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Telbivudine has greater potency than lamivudine in decreasing HBV DNA level and it is recommended by current guidelines in the prevention of mother-to-child transmission of HBV infection. Use of telbivudine during the second/third trimester of pregnancy was reported to be effective and safe. Compared to placebo, no serious adverse events were found in telbivudine-treated mothers and their </w:t>
      </w:r>
      <w:proofErr w:type="gramStart"/>
      <w:r w:rsidRPr="000E2301">
        <w:rPr>
          <w:rFonts w:ascii="Verdana" w:hAnsi="Verdana" w:cs="Verdana"/>
          <w:color w:val="000000"/>
          <w:spacing w:val="-11"/>
          <w:kern w:val="0"/>
          <w:sz w:val="18"/>
          <w:szCs w:val="18"/>
        </w:rPr>
        <w:t>infants</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3,12]</w:t>
      </w:r>
      <w:r w:rsidRPr="000E2301">
        <w:rPr>
          <w:rFonts w:ascii="Verdana" w:hAnsi="Verdana" w:cs="Verdana"/>
          <w:color w:val="000000"/>
          <w:spacing w:val="-11"/>
          <w:kern w:val="0"/>
          <w:sz w:val="18"/>
          <w:szCs w:val="18"/>
        </w:rPr>
        <w:t xml:space="preserve">. Despite the relatively low resistance rate </w:t>
      </w:r>
      <w:r w:rsidRPr="000E2301">
        <w:rPr>
          <w:rFonts w:ascii="Verdana" w:hAnsi="Verdana" w:cs="Verdana"/>
          <w:color w:val="000000"/>
          <w:spacing w:val="-11"/>
          <w:kern w:val="0"/>
          <w:sz w:val="18"/>
          <w:szCs w:val="18"/>
        </w:rPr>
        <w:lastRenderedPageBreak/>
        <w:t xml:space="preserve">compared to lamivudine, telbivudine resistance may occur during </w:t>
      </w:r>
      <w:proofErr w:type="gramStart"/>
      <w:r w:rsidRPr="000E2301">
        <w:rPr>
          <w:rFonts w:ascii="Verdana" w:hAnsi="Verdana" w:cs="Verdana"/>
          <w:color w:val="000000"/>
          <w:spacing w:val="-11"/>
          <w:kern w:val="0"/>
          <w:sz w:val="18"/>
          <w:szCs w:val="18"/>
        </w:rPr>
        <w:t>therapy</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105]</w:t>
      </w:r>
      <w:r w:rsidRPr="000E2301">
        <w:rPr>
          <w:rFonts w:ascii="Verdana" w:hAnsi="Verdana" w:cs="Verdana"/>
          <w:color w:val="000000"/>
          <w:spacing w:val="-11"/>
          <w:kern w:val="0"/>
          <w:sz w:val="18"/>
          <w:szCs w:val="18"/>
        </w:rPr>
        <w:t xml:space="preserve">. There are no adequate and well-controlled studies on the safety profile of entecavir and adefovir in pregnant women infected with </w:t>
      </w:r>
      <w:proofErr w:type="gramStart"/>
      <w:r w:rsidRPr="000E2301">
        <w:rPr>
          <w:rFonts w:ascii="Verdana" w:hAnsi="Verdana" w:cs="Verdana"/>
          <w:color w:val="000000"/>
          <w:spacing w:val="-11"/>
          <w:kern w:val="0"/>
          <w:sz w:val="18"/>
          <w:szCs w:val="18"/>
        </w:rPr>
        <w:t>CHB</w:t>
      </w:r>
      <w:r w:rsidRPr="000E2301">
        <w:rPr>
          <w:rFonts w:ascii="Verdana" w:hAnsi="Verdana" w:cs="Verdana"/>
          <w:color w:val="000000"/>
          <w:spacing w:val="-11"/>
          <w:kern w:val="0"/>
          <w:sz w:val="18"/>
          <w:szCs w:val="18"/>
          <w:vertAlign w:val="superscript"/>
        </w:rPr>
        <w:t>[</w:t>
      </w:r>
      <w:proofErr w:type="gramEnd"/>
      <w:r w:rsidRPr="000E2301">
        <w:rPr>
          <w:rFonts w:ascii="Verdana" w:hAnsi="Verdana" w:cs="Verdana"/>
          <w:color w:val="000000"/>
          <w:spacing w:val="-11"/>
          <w:kern w:val="0"/>
          <w:sz w:val="18"/>
          <w:szCs w:val="18"/>
          <w:vertAlign w:val="superscript"/>
        </w:rPr>
        <w:t>15]</w:t>
      </w:r>
      <w:r w:rsidRPr="000E2301">
        <w:rPr>
          <w:rFonts w:ascii="Verdana" w:hAnsi="Verdana" w:cs="Verdana"/>
          <w:color w:val="000000"/>
          <w:spacing w:val="-11"/>
          <w:kern w:val="0"/>
          <w:sz w:val="18"/>
          <w:szCs w:val="18"/>
        </w:rPr>
        <w:t>.</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E2301">
        <w:rPr>
          <w:rFonts w:ascii="Verdana" w:hAnsi="Verdana" w:cs="Verdana"/>
          <w:color w:val="000000"/>
          <w:spacing w:val="-9"/>
          <w:kern w:val="0"/>
          <w:sz w:val="18"/>
          <w:szCs w:val="18"/>
        </w:rPr>
        <w:t xml:space="preserve">Breast-feeding is discouraged during maternal NAs treatment due to the uncertain safety on </w:t>
      </w:r>
      <w:proofErr w:type="gramStart"/>
      <w:r w:rsidRPr="000E2301">
        <w:rPr>
          <w:rFonts w:ascii="Verdana" w:hAnsi="Verdana" w:cs="Verdana"/>
          <w:color w:val="000000"/>
          <w:spacing w:val="-9"/>
          <w:kern w:val="0"/>
          <w:sz w:val="18"/>
          <w:szCs w:val="18"/>
        </w:rPr>
        <w:t>infants</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1,2]</w:t>
      </w:r>
      <w:r w:rsidRPr="000E2301">
        <w:rPr>
          <w:rFonts w:ascii="Verdana" w:hAnsi="Verdana" w:cs="Verdana"/>
          <w:color w:val="000000"/>
          <w:spacing w:val="-9"/>
          <w:kern w:val="0"/>
          <w:sz w:val="18"/>
          <w:szCs w:val="18"/>
        </w:rPr>
        <w:t>. Lamivudine is concentrated in breast milk. However, its amount in infants exposed to lamivudine during breast-feeding is accepted to be insignificant (approximately 2% of the recommended daily treatment dose</w:t>
      </w:r>
      <w:proofErr w:type="gramStart"/>
      <w:r w:rsidRPr="000E2301">
        <w:rPr>
          <w:rFonts w:ascii="Verdana" w:hAnsi="Verdana" w:cs="Verdana"/>
          <w:color w:val="000000"/>
          <w:spacing w:val="-9"/>
          <w:kern w:val="0"/>
          <w:sz w:val="18"/>
          <w:szCs w:val="18"/>
        </w:rPr>
        <w:t>)</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114]</w:t>
      </w:r>
      <w:r w:rsidRPr="000E2301">
        <w:rPr>
          <w:rFonts w:ascii="Verdana" w:hAnsi="Verdana" w:cs="Verdana"/>
          <w:color w:val="000000"/>
          <w:spacing w:val="-9"/>
          <w:kern w:val="0"/>
          <w:sz w:val="18"/>
          <w:szCs w:val="18"/>
        </w:rPr>
        <w:t xml:space="preserve">. Similarly, tenofovir concentrations in breast milk have been reported, but infants are exposed to a small amount because its oral bioavailability is </w:t>
      </w:r>
      <w:proofErr w:type="gramStart"/>
      <w:r w:rsidRPr="000E2301">
        <w:rPr>
          <w:rFonts w:ascii="Verdana" w:hAnsi="Verdana" w:cs="Verdana"/>
          <w:color w:val="000000"/>
          <w:spacing w:val="-9"/>
          <w:kern w:val="0"/>
          <w:sz w:val="18"/>
          <w:szCs w:val="18"/>
        </w:rPr>
        <w:t>limited</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1]</w:t>
      </w:r>
      <w:r w:rsidRPr="000E2301">
        <w:rPr>
          <w:rFonts w:ascii="Verdana" w:hAnsi="Verdana" w:cs="Verdana"/>
          <w:color w:val="000000"/>
          <w:spacing w:val="-9"/>
          <w:kern w:val="0"/>
          <w:sz w:val="18"/>
          <w:szCs w:val="18"/>
        </w:rPr>
        <w:t xml:space="preserve">. There is no adequate evidence to recommend the use of entecavir and adefovir during the breast-feeding </w:t>
      </w:r>
      <w:proofErr w:type="gramStart"/>
      <w:r w:rsidRPr="000E2301">
        <w:rPr>
          <w:rFonts w:ascii="Verdana" w:hAnsi="Verdana" w:cs="Verdana"/>
          <w:color w:val="000000"/>
          <w:spacing w:val="-9"/>
          <w:kern w:val="0"/>
          <w:sz w:val="18"/>
          <w:szCs w:val="18"/>
        </w:rPr>
        <w:t>period</w:t>
      </w:r>
      <w:r w:rsidRPr="000E2301">
        <w:rPr>
          <w:rFonts w:ascii="Verdana" w:hAnsi="Verdana" w:cs="Verdana"/>
          <w:color w:val="000000"/>
          <w:spacing w:val="-9"/>
          <w:kern w:val="0"/>
          <w:sz w:val="18"/>
          <w:szCs w:val="18"/>
          <w:vertAlign w:val="superscript"/>
        </w:rPr>
        <w:t>[</w:t>
      </w:r>
      <w:proofErr w:type="gramEnd"/>
      <w:r w:rsidRPr="000E2301">
        <w:rPr>
          <w:rFonts w:ascii="Verdana" w:hAnsi="Verdana" w:cs="Verdana"/>
          <w:color w:val="000000"/>
          <w:spacing w:val="-9"/>
          <w:kern w:val="0"/>
          <w:sz w:val="18"/>
          <w:szCs w:val="18"/>
          <w:vertAlign w:val="superscript"/>
        </w:rPr>
        <w:t>110,111]</w:t>
      </w:r>
      <w:r w:rsidRPr="000E2301">
        <w:rPr>
          <w:rFonts w:ascii="Verdana" w:hAnsi="Verdana" w:cs="Verdana"/>
          <w:color w:val="000000"/>
          <w:spacing w:val="-9"/>
          <w:kern w:val="0"/>
          <w:sz w:val="18"/>
          <w:szCs w:val="18"/>
        </w:rPr>
        <w:t>. Lamivudine or tenofovir is regarded as the choice in breastfeeding mothers who needed to receive treatment for HBV infection.</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E2301">
        <w:rPr>
          <w:rFonts w:ascii="Univers" w:hAnsi="Univers" w:cs="Univers"/>
          <w:b/>
          <w:bCs/>
          <w:color w:val="000000"/>
          <w:spacing w:val="-2"/>
          <w:kern w:val="0"/>
          <w:sz w:val="24"/>
          <w:u w:val="single"/>
        </w:rPr>
        <w:t>CONCLUSION</w:t>
      </w:r>
    </w:p>
    <w:p w:rsidR="00E6642F" w:rsidRPr="000E2301" w:rsidRDefault="00E6642F" w:rsidP="00E6642F">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 xml:space="preserve">In light of the current data, the treatment of CHB seems to be a life-long therapy. Thus, the long-term safety of the drugs is one of the main factors that influence treatment decision. To date, five oral NAs have been approved for the treatment of CHB. All NAs are generally safe and well-tolerated by CHB patients. All NAs carry a “Black Box” warning about mitochondrial dysfunction. The </w:t>
      </w:r>
      <w:proofErr w:type="gramStart"/>
      <w:r w:rsidRPr="000E2301">
        <w:rPr>
          <w:rFonts w:ascii="Verdana" w:hAnsi="Verdana" w:cs="Verdana"/>
          <w:color w:val="000000"/>
          <w:spacing w:val="-11"/>
          <w:kern w:val="0"/>
          <w:sz w:val="18"/>
          <w:szCs w:val="18"/>
        </w:rPr>
        <w:t>majority of mitochondrial toxicity cases are</w:t>
      </w:r>
      <w:proofErr w:type="gramEnd"/>
      <w:r w:rsidRPr="000E2301">
        <w:rPr>
          <w:rFonts w:ascii="Verdana" w:hAnsi="Verdana" w:cs="Verdana"/>
          <w:color w:val="000000"/>
          <w:spacing w:val="-11"/>
          <w:kern w:val="0"/>
          <w:sz w:val="18"/>
          <w:szCs w:val="18"/>
        </w:rPr>
        <w:t xml:space="preserve"> associated with lamivudine and telbivudine and generally present as myopathy, neuropathy or lactic acidosis. No increased incidence of myopathy was reported with adefovir, tenofovir and entecavir treatment, compared to placebo. Adefovir is a well-known nephrotoxic agent and may cause renal proximal tubular dysfunction. Fanconi syndrome cases have been increasingly reported in long-term adefovir therapy. Tenofovir has potential nephrotoxic and bone density loss effects, especially in patients with HIV coinfection. Entecavir and lamivudine are not generally associated with renal adverse events. Interestingly, telbivudine has the effect of improving renal function. Serum creatinine, phosphorus and CK levels should be monitored, especially in patients treated with adefovir and tenofovir. Since BMD reduction may occur during tenofovir treatment, BMD measurements should be periodically performed. Although entecavir is suggested to be associated with lactic acidosis in CHB patients with high MELD scores, its use in compensated and decompensated cirrhotic patients were reported to be safe. Safety profile is a major issue that should not be ignored in the treatment of CHB. Further studies should be done to clarify the adverse effects of NAs and determine follow-up timing and frequency, especially in selected patient populations including those with HIV-coinfection or renal impairment, and pregnant or breastfeeding women.</w:t>
      </w:r>
    </w:p>
    <w:p w:rsidR="00E6642F" w:rsidRPr="000E2301" w:rsidRDefault="00E6642F" w:rsidP="00E6642F">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E2301">
        <w:rPr>
          <w:rFonts w:ascii="Verdana" w:hAnsi="Verdana" w:cs="Verdana"/>
          <w:color w:val="000000"/>
          <w:spacing w:val="-11"/>
          <w:kern w:val="0"/>
          <w:sz w:val="18"/>
          <w:szCs w:val="18"/>
        </w:rPr>
        <w:t>Prolonged treatment experience can still reveal some unknown adverse effects of drugs. Clinical trial data in different patient populations continue to accumulate in the literature. This review contains updated com</w:t>
      </w:r>
      <w:r w:rsidRPr="000E2301">
        <w:rPr>
          <w:rFonts w:ascii="Verdana" w:hAnsi="Verdana" w:cs="Verdana"/>
          <w:color w:val="000000"/>
          <w:spacing w:val="-11"/>
          <w:kern w:val="0"/>
          <w:sz w:val="18"/>
          <w:szCs w:val="18"/>
        </w:rPr>
        <w:softHyphen/>
        <w:t>prehensive data about the safety profile of NAs used in CHB.</w:t>
      </w: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6642F" w:rsidRPr="000E2301" w:rsidRDefault="00E6642F" w:rsidP="00E6642F">
      <w:pPr>
        <w:autoSpaceDE w:val="0"/>
        <w:autoSpaceDN w:val="0"/>
        <w:adjustRightInd w:val="0"/>
        <w:spacing w:line="360" w:lineRule="atLeast"/>
        <w:jc w:val="left"/>
        <w:textAlignment w:val="center"/>
        <w:rPr>
          <w:rFonts w:ascii="Univers" w:hAnsi="Univers" w:cs="Univers"/>
          <w:b/>
          <w:bCs/>
          <w:color w:val="000000"/>
          <w:spacing w:val="-2"/>
          <w:kern w:val="0"/>
          <w:sz w:val="24"/>
        </w:rPr>
      </w:pPr>
      <w:r w:rsidRPr="000E2301">
        <w:rPr>
          <w:rFonts w:ascii="Univers" w:hAnsi="Univers" w:cs="Univers"/>
          <w:b/>
          <w:bCs/>
          <w:color w:val="000000"/>
          <w:spacing w:val="-2"/>
          <w:kern w:val="0"/>
          <w:sz w:val="24"/>
        </w:rPr>
        <w:t>REFERENCES</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w:t>
      </w:r>
      <w:r w:rsidRPr="000E2301">
        <w:rPr>
          <w:color w:val="000000"/>
          <w:spacing w:val="-1"/>
          <w:kern w:val="0"/>
          <w:sz w:val="16"/>
          <w:szCs w:val="16"/>
        </w:rPr>
        <w:tab/>
      </w:r>
      <w:r w:rsidRPr="000E2301">
        <w:rPr>
          <w:b/>
          <w:bCs/>
          <w:color w:val="000000"/>
          <w:spacing w:val="-1"/>
          <w:kern w:val="0"/>
          <w:sz w:val="16"/>
          <w:szCs w:val="16"/>
        </w:rPr>
        <w:t>Sarin SK</w:t>
      </w:r>
      <w:r w:rsidRPr="000E2301">
        <w:rPr>
          <w:color w:val="000000"/>
          <w:spacing w:val="-1"/>
          <w:kern w:val="0"/>
          <w:sz w:val="16"/>
          <w:szCs w:val="16"/>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0E2301">
        <w:rPr>
          <w:i/>
          <w:iCs/>
          <w:color w:val="000000"/>
          <w:spacing w:val="-1"/>
          <w:kern w:val="0"/>
          <w:sz w:val="16"/>
          <w:szCs w:val="16"/>
        </w:rPr>
        <w:t>Hepatol Int</w:t>
      </w:r>
      <w:r w:rsidRPr="000E2301">
        <w:rPr>
          <w:color w:val="000000"/>
          <w:spacing w:val="-1"/>
          <w:kern w:val="0"/>
          <w:sz w:val="16"/>
          <w:szCs w:val="16"/>
        </w:rPr>
        <w:t xml:space="preserve"> 2016; </w:t>
      </w:r>
      <w:r w:rsidRPr="000E2301">
        <w:rPr>
          <w:b/>
          <w:bCs/>
          <w:color w:val="000000"/>
          <w:spacing w:val="-1"/>
          <w:kern w:val="0"/>
          <w:sz w:val="16"/>
          <w:szCs w:val="16"/>
        </w:rPr>
        <w:t>10</w:t>
      </w:r>
      <w:r w:rsidRPr="000E2301">
        <w:rPr>
          <w:color w:val="000000"/>
          <w:spacing w:val="-1"/>
          <w:kern w:val="0"/>
          <w:sz w:val="16"/>
          <w:szCs w:val="16"/>
        </w:rPr>
        <w:t>: 1-98 [PMID: 26563120 DOI: 10.1007/s12072-015-9675-4]</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w:t>
      </w:r>
      <w:r w:rsidRPr="000E2301">
        <w:rPr>
          <w:color w:val="000000"/>
          <w:spacing w:val="-1"/>
          <w:kern w:val="0"/>
          <w:sz w:val="16"/>
          <w:szCs w:val="16"/>
        </w:rPr>
        <w:tab/>
      </w:r>
      <w:r w:rsidRPr="000E2301">
        <w:rPr>
          <w:b/>
          <w:bCs/>
          <w:color w:val="000000"/>
          <w:spacing w:val="-1"/>
          <w:kern w:val="0"/>
          <w:sz w:val="16"/>
          <w:szCs w:val="16"/>
        </w:rPr>
        <w:t>European</w:t>
      </w:r>
      <w:r w:rsidRPr="000E2301">
        <w:rPr>
          <w:b/>
          <w:bCs/>
          <w:color w:val="000000"/>
          <w:spacing w:val="8"/>
          <w:kern w:val="0"/>
          <w:sz w:val="16"/>
          <w:szCs w:val="16"/>
        </w:rPr>
        <w:t xml:space="preserve"> </w:t>
      </w:r>
      <w:r w:rsidRPr="000E2301">
        <w:rPr>
          <w:b/>
          <w:bCs/>
          <w:color w:val="000000"/>
          <w:spacing w:val="-1"/>
          <w:kern w:val="0"/>
          <w:sz w:val="16"/>
          <w:szCs w:val="16"/>
        </w:rPr>
        <w:t>Assoc</w:t>
      </w:r>
      <w:r w:rsidRPr="000E2301">
        <w:rPr>
          <w:b/>
          <w:bCs/>
          <w:color w:val="000000"/>
          <w:spacing w:val="1"/>
          <w:kern w:val="0"/>
          <w:sz w:val="16"/>
          <w:szCs w:val="16"/>
        </w:rPr>
        <w:t>i</w:t>
      </w:r>
      <w:r w:rsidRPr="000E2301">
        <w:rPr>
          <w:b/>
          <w:bCs/>
          <w:color w:val="000000"/>
          <w:spacing w:val="-1"/>
          <w:kern w:val="0"/>
          <w:sz w:val="16"/>
          <w:szCs w:val="16"/>
        </w:rPr>
        <w:t>a</w:t>
      </w:r>
      <w:r w:rsidRPr="000E2301">
        <w:rPr>
          <w:b/>
          <w:bCs/>
          <w:color w:val="000000"/>
          <w:spacing w:val="1"/>
          <w:kern w:val="0"/>
          <w:sz w:val="16"/>
          <w:szCs w:val="16"/>
        </w:rPr>
        <w:t>ti</w:t>
      </w:r>
      <w:r w:rsidRPr="000E2301">
        <w:rPr>
          <w:b/>
          <w:bCs/>
          <w:color w:val="000000"/>
          <w:spacing w:val="-1"/>
          <w:kern w:val="0"/>
          <w:sz w:val="16"/>
          <w:szCs w:val="16"/>
        </w:rPr>
        <w:t>on</w:t>
      </w:r>
      <w:r w:rsidRPr="000E2301">
        <w:rPr>
          <w:b/>
          <w:bCs/>
          <w:color w:val="000000"/>
          <w:spacing w:val="6"/>
          <w:kern w:val="0"/>
          <w:sz w:val="16"/>
          <w:szCs w:val="16"/>
        </w:rPr>
        <w:t xml:space="preserve"> </w:t>
      </w:r>
      <w:r w:rsidRPr="000E2301">
        <w:rPr>
          <w:b/>
          <w:bCs/>
          <w:color w:val="000000"/>
          <w:spacing w:val="-1"/>
          <w:kern w:val="0"/>
          <w:sz w:val="16"/>
          <w:szCs w:val="16"/>
        </w:rPr>
        <w:t>for</w:t>
      </w:r>
      <w:r w:rsidRPr="000E2301">
        <w:rPr>
          <w:b/>
          <w:bCs/>
          <w:color w:val="000000"/>
          <w:spacing w:val="7"/>
          <w:kern w:val="0"/>
          <w:sz w:val="16"/>
          <w:szCs w:val="16"/>
        </w:rPr>
        <w:t xml:space="preserve"> </w:t>
      </w:r>
      <w:r w:rsidRPr="000E2301">
        <w:rPr>
          <w:b/>
          <w:bCs/>
          <w:color w:val="000000"/>
          <w:spacing w:val="-1"/>
          <w:kern w:val="0"/>
          <w:sz w:val="16"/>
          <w:szCs w:val="16"/>
        </w:rPr>
        <w:t>the</w:t>
      </w:r>
      <w:r w:rsidRPr="000E2301">
        <w:rPr>
          <w:b/>
          <w:bCs/>
          <w:color w:val="000000"/>
          <w:spacing w:val="8"/>
          <w:kern w:val="0"/>
          <w:sz w:val="16"/>
          <w:szCs w:val="16"/>
        </w:rPr>
        <w:t xml:space="preserve"> </w:t>
      </w:r>
      <w:r w:rsidRPr="000E2301">
        <w:rPr>
          <w:b/>
          <w:bCs/>
          <w:color w:val="000000"/>
          <w:spacing w:val="-2"/>
          <w:kern w:val="0"/>
          <w:sz w:val="16"/>
          <w:szCs w:val="16"/>
        </w:rPr>
        <w:t>S</w:t>
      </w:r>
      <w:r w:rsidRPr="000E2301">
        <w:rPr>
          <w:b/>
          <w:bCs/>
          <w:color w:val="000000"/>
          <w:spacing w:val="1"/>
          <w:kern w:val="0"/>
          <w:sz w:val="16"/>
          <w:szCs w:val="16"/>
        </w:rPr>
        <w:t>t</w:t>
      </w:r>
      <w:r w:rsidRPr="000E2301">
        <w:rPr>
          <w:b/>
          <w:bCs/>
          <w:color w:val="000000"/>
          <w:spacing w:val="-1"/>
          <w:kern w:val="0"/>
          <w:sz w:val="16"/>
          <w:szCs w:val="16"/>
        </w:rPr>
        <w:t>udy</w:t>
      </w:r>
      <w:r w:rsidRPr="000E2301">
        <w:rPr>
          <w:b/>
          <w:bCs/>
          <w:color w:val="000000"/>
          <w:spacing w:val="6"/>
          <w:kern w:val="0"/>
          <w:sz w:val="16"/>
          <w:szCs w:val="16"/>
        </w:rPr>
        <w:t xml:space="preserve"> </w:t>
      </w:r>
      <w:r w:rsidRPr="000E2301">
        <w:rPr>
          <w:b/>
          <w:bCs/>
          <w:color w:val="000000"/>
          <w:spacing w:val="-1"/>
          <w:kern w:val="0"/>
          <w:sz w:val="16"/>
          <w:szCs w:val="16"/>
        </w:rPr>
        <w:t>of</w:t>
      </w:r>
      <w:r w:rsidRPr="000E2301">
        <w:rPr>
          <w:b/>
          <w:bCs/>
          <w:color w:val="000000"/>
          <w:spacing w:val="7"/>
          <w:kern w:val="0"/>
          <w:sz w:val="16"/>
          <w:szCs w:val="16"/>
        </w:rPr>
        <w:t xml:space="preserve"> </w:t>
      </w:r>
      <w:r w:rsidRPr="000E2301">
        <w:rPr>
          <w:b/>
          <w:bCs/>
          <w:color w:val="000000"/>
          <w:spacing w:val="-1"/>
          <w:kern w:val="0"/>
          <w:sz w:val="16"/>
          <w:szCs w:val="16"/>
        </w:rPr>
        <w:t>Live</w:t>
      </w:r>
      <w:r w:rsidRPr="000E2301">
        <w:rPr>
          <w:b/>
          <w:bCs/>
          <w:color w:val="000000"/>
          <w:spacing w:val="1"/>
          <w:kern w:val="0"/>
          <w:sz w:val="16"/>
          <w:szCs w:val="16"/>
        </w:rPr>
        <w:t>r</w:t>
      </w:r>
      <w:r w:rsidRPr="000E2301">
        <w:rPr>
          <w:b/>
          <w:bCs/>
          <w:color w:val="000000"/>
          <w:spacing w:val="-1"/>
          <w:kern w:val="0"/>
          <w:sz w:val="16"/>
          <w:szCs w:val="16"/>
        </w:rPr>
        <w:t>.</w:t>
      </w:r>
      <w:r w:rsidRPr="000E2301">
        <w:rPr>
          <w:color w:val="000000"/>
          <w:spacing w:val="-1"/>
          <w:kern w:val="0"/>
          <w:sz w:val="16"/>
          <w:szCs w:val="16"/>
        </w:rPr>
        <w:t xml:space="preserve"> EASL clinical practical guidelines: management of alcoholic liver disease. </w:t>
      </w:r>
      <w:r w:rsidRPr="000E2301">
        <w:rPr>
          <w:i/>
          <w:iCs/>
          <w:color w:val="000000"/>
          <w:spacing w:val="-1"/>
          <w:kern w:val="0"/>
          <w:sz w:val="16"/>
          <w:szCs w:val="16"/>
        </w:rPr>
        <w:t>J Hepatol</w:t>
      </w:r>
      <w:r w:rsidRPr="000E2301">
        <w:rPr>
          <w:color w:val="000000"/>
          <w:spacing w:val="-1"/>
          <w:kern w:val="0"/>
          <w:sz w:val="16"/>
          <w:szCs w:val="16"/>
        </w:rPr>
        <w:t xml:space="preserve"> 2012; </w:t>
      </w:r>
      <w:r w:rsidRPr="000E2301">
        <w:rPr>
          <w:b/>
          <w:bCs/>
          <w:color w:val="000000"/>
          <w:spacing w:val="-1"/>
          <w:kern w:val="0"/>
          <w:sz w:val="16"/>
          <w:szCs w:val="16"/>
        </w:rPr>
        <w:t>57</w:t>
      </w:r>
      <w:r w:rsidRPr="000E2301">
        <w:rPr>
          <w:color w:val="000000"/>
          <w:spacing w:val="-1"/>
          <w:kern w:val="0"/>
          <w:sz w:val="16"/>
          <w:szCs w:val="16"/>
        </w:rPr>
        <w:t>: 399-420 [PMID: 22633836 DOI: 10.1016/j.jhep.2012.04.004]</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w:t>
      </w:r>
      <w:r w:rsidRPr="000E2301">
        <w:rPr>
          <w:color w:val="000000"/>
          <w:spacing w:val="-1"/>
          <w:kern w:val="0"/>
          <w:sz w:val="16"/>
          <w:szCs w:val="16"/>
        </w:rPr>
        <w:tab/>
      </w:r>
      <w:r w:rsidRPr="000E2301">
        <w:rPr>
          <w:b/>
          <w:bCs/>
          <w:color w:val="000000"/>
          <w:spacing w:val="-1"/>
          <w:kern w:val="0"/>
          <w:sz w:val="16"/>
          <w:szCs w:val="16"/>
        </w:rPr>
        <w:t>Fung J</w:t>
      </w:r>
      <w:r w:rsidRPr="000E2301">
        <w:rPr>
          <w:color w:val="000000"/>
          <w:spacing w:val="-1"/>
          <w:kern w:val="0"/>
          <w:sz w:val="16"/>
          <w:szCs w:val="16"/>
        </w:rPr>
        <w:t xml:space="preserve">, Lai CL, Seto WK, Yuen MF. Nucleoside/nucleotide analogues in the treatment of chronic hepatitis B. </w:t>
      </w:r>
      <w:r w:rsidRPr="000E2301">
        <w:rPr>
          <w:i/>
          <w:iCs/>
          <w:color w:val="000000"/>
          <w:spacing w:val="-1"/>
          <w:kern w:val="0"/>
          <w:sz w:val="16"/>
          <w:szCs w:val="16"/>
        </w:rPr>
        <w:t>J Antimicrob Chemother</w:t>
      </w:r>
      <w:r w:rsidRPr="000E2301">
        <w:rPr>
          <w:color w:val="000000"/>
          <w:spacing w:val="-1"/>
          <w:kern w:val="0"/>
          <w:sz w:val="16"/>
          <w:szCs w:val="16"/>
        </w:rPr>
        <w:t xml:space="preserve"> 2011; </w:t>
      </w:r>
      <w:r w:rsidRPr="000E2301">
        <w:rPr>
          <w:b/>
          <w:bCs/>
          <w:color w:val="000000"/>
          <w:spacing w:val="-1"/>
          <w:kern w:val="0"/>
          <w:sz w:val="16"/>
          <w:szCs w:val="16"/>
        </w:rPr>
        <w:lastRenderedPageBreak/>
        <w:t>66</w:t>
      </w:r>
      <w:r w:rsidRPr="000E2301">
        <w:rPr>
          <w:color w:val="000000"/>
          <w:spacing w:val="-1"/>
          <w:kern w:val="0"/>
          <w:sz w:val="16"/>
          <w:szCs w:val="16"/>
        </w:rPr>
        <w:t>: 2715-2725 [PMID: 21965435 DOI: 10.1093/jac/dkr388]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proofErr w:type="gramStart"/>
      <w:r w:rsidRPr="000E2301">
        <w:rPr>
          <w:color w:val="000000"/>
          <w:spacing w:val="-1"/>
          <w:kern w:val="0"/>
          <w:sz w:val="16"/>
          <w:szCs w:val="16"/>
        </w:rPr>
        <w:t>4</w:t>
      </w:r>
      <w:r w:rsidRPr="000E2301">
        <w:rPr>
          <w:color w:val="000000"/>
          <w:spacing w:val="-1"/>
          <w:kern w:val="0"/>
          <w:sz w:val="16"/>
          <w:szCs w:val="16"/>
        </w:rPr>
        <w:tab/>
      </w:r>
      <w:r w:rsidRPr="000E2301">
        <w:rPr>
          <w:b/>
          <w:bCs/>
          <w:color w:val="000000"/>
          <w:spacing w:val="-2"/>
          <w:kern w:val="0"/>
          <w:sz w:val="16"/>
          <w:szCs w:val="16"/>
        </w:rPr>
        <w:t>Newbold JE</w:t>
      </w:r>
      <w:r w:rsidRPr="000E2301">
        <w:rPr>
          <w:color w:val="000000"/>
          <w:spacing w:val="-2"/>
          <w:kern w:val="0"/>
          <w:sz w:val="16"/>
          <w:szCs w:val="16"/>
        </w:rPr>
        <w:t>, Xin H, Tencza M, Sherman G, Dean J, Bowden S, Locarnini S.</w:t>
      </w:r>
      <w:proofErr w:type="gramEnd"/>
      <w:r w:rsidRPr="000E2301">
        <w:rPr>
          <w:color w:val="000000"/>
          <w:spacing w:val="-2"/>
          <w:kern w:val="0"/>
          <w:sz w:val="16"/>
          <w:szCs w:val="16"/>
        </w:rPr>
        <w:t xml:space="preserve"> The covalently closed duplex form of the hepadnavirus genome exists in situ as a heterogeneous population of viral minichromosomes. </w:t>
      </w:r>
      <w:r w:rsidRPr="000E2301">
        <w:rPr>
          <w:i/>
          <w:iCs/>
          <w:color w:val="000000"/>
          <w:spacing w:val="-2"/>
          <w:kern w:val="0"/>
          <w:sz w:val="16"/>
          <w:szCs w:val="16"/>
        </w:rPr>
        <w:t>J Virol</w:t>
      </w:r>
      <w:r w:rsidRPr="000E2301">
        <w:rPr>
          <w:color w:val="000000"/>
          <w:spacing w:val="-2"/>
          <w:kern w:val="0"/>
          <w:sz w:val="16"/>
          <w:szCs w:val="16"/>
        </w:rPr>
        <w:t xml:space="preserve"> 1995; </w:t>
      </w:r>
      <w:r w:rsidRPr="000E2301">
        <w:rPr>
          <w:b/>
          <w:bCs/>
          <w:color w:val="000000"/>
          <w:spacing w:val="-2"/>
          <w:kern w:val="0"/>
          <w:sz w:val="16"/>
          <w:szCs w:val="16"/>
        </w:rPr>
        <w:t>69</w:t>
      </w:r>
      <w:r w:rsidRPr="000E2301">
        <w:rPr>
          <w:color w:val="000000"/>
          <w:spacing w:val="-2"/>
          <w:kern w:val="0"/>
          <w:sz w:val="16"/>
          <w:szCs w:val="16"/>
        </w:rPr>
        <w:t>: 3350-3357 [PMID: 7745682]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5</w:t>
      </w:r>
      <w:r w:rsidRPr="000E2301">
        <w:rPr>
          <w:color w:val="000000"/>
          <w:spacing w:val="-1"/>
          <w:kern w:val="0"/>
          <w:sz w:val="16"/>
          <w:szCs w:val="16"/>
        </w:rPr>
        <w:tab/>
      </w:r>
      <w:r w:rsidRPr="000E2301">
        <w:rPr>
          <w:b/>
          <w:bCs/>
          <w:color w:val="000000"/>
          <w:spacing w:val="-2"/>
          <w:kern w:val="0"/>
          <w:sz w:val="16"/>
          <w:szCs w:val="16"/>
        </w:rPr>
        <w:t>Fung J</w:t>
      </w:r>
      <w:r w:rsidRPr="000E2301">
        <w:rPr>
          <w:color w:val="000000"/>
          <w:spacing w:val="-2"/>
          <w:kern w:val="0"/>
          <w:sz w:val="16"/>
          <w:szCs w:val="16"/>
        </w:rPr>
        <w:t xml:space="preserve">, Seto WK, Lai CL, Yuen MF. </w:t>
      </w:r>
      <w:proofErr w:type="gramStart"/>
      <w:r w:rsidRPr="000E2301">
        <w:rPr>
          <w:color w:val="000000"/>
          <w:spacing w:val="-2"/>
          <w:kern w:val="0"/>
          <w:sz w:val="16"/>
          <w:szCs w:val="16"/>
        </w:rPr>
        <w:t>Extrahepatic effects of nucleo</w:t>
      </w:r>
      <w:r w:rsidRPr="000E2301">
        <w:rPr>
          <w:color w:val="000000"/>
          <w:spacing w:val="-2"/>
          <w:kern w:val="0"/>
          <w:sz w:val="16"/>
          <w:szCs w:val="16"/>
        </w:rPr>
        <w:softHyphen/>
        <w:t>side and nucleotide analogues in chronic hepatitis B treatment.</w:t>
      </w:r>
      <w:proofErr w:type="gramEnd"/>
      <w:r w:rsidRPr="000E2301">
        <w:rPr>
          <w:color w:val="000000"/>
          <w:spacing w:val="-2"/>
          <w:kern w:val="0"/>
          <w:sz w:val="16"/>
          <w:szCs w:val="16"/>
        </w:rPr>
        <w:t xml:space="preserve"> </w:t>
      </w:r>
      <w:r w:rsidRPr="000E2301">
        <w:rPr>
          <w:i/>
          <w:iCs/>
          <w:color w:val="000000"/>
          <w:spacing w:val="-2"/>
          <w:kern w:val="0"/>
          <w:sz w:val="16"/>
          <w:szCs w:val="16"/>
        </w:rPr>
        <w:t>J Gastroenterol Hepatol</w:t>
      </w:r>
      <w:r w:rsidRPr="000E2301">
        <w:rPr>
          <w:color w:val="000000"/>
          <w:spacing w:val="-2"/>
          <w:kern w:val="0"/>
          <w:sz w:val="16"/>
          <w:szCs w:val="16"/>
        </w:rPr>
        <w:t xml:space="preserve"> 2014; </w:t>
      </w:r>
      <w:r w:rsidRPr="000E2301">
        <w:rPr>
          <w:b/>
          <w:bCs/>
          <w:color w:val="000000"/>
          <w:spacing w:val="-2"/>
          <w:kern w:val="0"/>
          <w:sz w:val="16"/>
          <w:szCs w:val="16"/>
        </w:rPr>
        <w:t>29</w:t>
      </w:r>
      <w:r w:rsidRPr="000E2301">
        <w:rPr>
          <w:color w:val="000000"/>
          <w:spacing w:val="-2"/>
          <w:kern w:val="0"/>
          <w:sz w:val="16"/>
          <w:szCs w:val="16"/>
        </w:rPr>
        <w:t>: 428-434 [PMID: 24372662 DOI: 10.1111/jgh.12499]</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6</w:t>
      </w:r>
      <w:r w:rsidRPr="000E2301">
        <w:rPr>
          <w:color w:val="000000"/>
          <w:spacing w:val="-1"/>
          <w:kern w:val="0"/>
          <w:sz w:val="16"/>
          <w:szCs w:val="16"/>
        </w:rPr>
        <w:tab/>
      </w:r>
      <w:r w:rsidRPr="000E2301">
        <w:rPr>
          <w:b/>
          <w:bCs/>
          <w:color w:val="000000"/>
          <w:spacing w:val="-1"/>
          <w:kern w:val="0"/>
          <w:sz w:val="16"/>
          <w:szCs w:val="16"/>
        </w:rPr>
        <w:t>Shan C</w:t>
      </w:r>
      <w:r w:rsidRPr="000E2301">
        <w:rPr>
          <w:color w:val="000000"/>
          <w:spacing w:val="-1"/>
          <w:kern w:val="0"/>
          <w:sz w:val="16"/>
          <w:szCs w:val="16"/>
        </w:rPr>
        <w:t xml:space="preserve">, Yin GQ, Wu P. Efficacy and safety of tenofovir in a kidney transplant patient with chronic hepatitis B and </w:t>
      </w:r>
      <w:proofErr w:type="gramStart"/>
      <w:r w:rsidRPr="000E2301">
        <w:rPr>
          <w:color w:val="000000"/>
          <w:spacing w:val="-1"/>
          <w:kern w:val="0"/>
          <w:sz w:val="16"/>
          <w:szCs w:val="16"/>
        </w:rPr>
        <w:t>nucleos(</w:t>
      </w:r>
      <w:proofErr w:type="gramEnd"/>
      <w:r w:rsidRPr="000E2301">
        <w:rPr>
          <w:color w:val="000000"/>
          <w:spacing w:val="-1"/>
          <w:kern w:val="0"/>
          <w:sz w:val="16"/>
          <w:szCs w:val="16"/>
        </w:rPr>
        <w:t xml:space="preserve">t)ide multidrug resistance: a case report. </w:t>
      </w:r>
      <w:r w:rsidRPr="000E2301">
        <w:rPr>
          <w:i/>
          <w:iCs/>
          <w:color w:val="000000"/>
          <w:spacing w:val="-1"/>
          <w:kern w:val="0"/>
          <w:sz w:val="16"/>
          <w:szCs w:val="16"/>
        </w:rPr>
        <w:t>J Med Case Rep</w:t>
      </w:r>
      <w:r w:rsidRPr="000E2301">
        <w:rPr>
          <w:color w:val="000000"/>
          <w:spacing w:val="-1"/>
          <w:kern w:val="0"/>
          <w:sz w:val="16"/>
          <w:szCs w:val="16"/>
        </w:rPr>
        <w:t xml:space="preserve"> 2014; </w:t>
      </w:r>
      <w:r w:rsidRPr="000E2301">
        <w:rPr>
          <w:b/>
          <w:bCs/>
          <w:color w:val="000000"/>
          <w:spacing w:val="-1"/>
          <w:kern w:val="0"/>
          <w:sz w:val="16"/>
          <w:szCs w:val="16"/>
        </w:rPr>
        <w:t>8</w:t>
      </w:r>
      <w:r w:rsidRPr="000E2301">
        <w:rPr>
          <w:color w:val="000000"/>
          <w:spacing w:val="-1"/>
          <w:kern w:val="0"/>
          <w:sz w:val="16"/>
          <w:szCs w:val="16"/>
        </w:rPr>
        <w:t>: 281 [PMID: 25146249 DOI: 10.1186/1752-1947-8-281]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7</w:t>
      </w:r>
      <w:r w:rsidRPr="000E2301">
        <w:rPr>
          <w:color w:val="000000"/>
          <w:spacing w:val="-1"/>
          <w:kern w:val="0"/>
          <w:sz w:val="16"/>
          <w:szCs w:val="16"/>
        </w:rPr>
        <w:tab/>
      </w:r>
      <w:r w:rsidRPr="000E2301">
        <w:rPr>
          <w:b/>
          <w:bCs/>
          <w:color w:val="000000"/>
          <w:spacing w:val="-2"/>
          <w:kern w:val="0"/>
          <w:sz w:val="16"/>
          <w:szCs w:val="16"/>
        </w:rPr>
        <w:t>Petersen J</w:t>
      </w:r>
      <w:r w:rsidRPr="000E2301">
        <w:rPr>
          <w:color w:val="000000"/>
          <w:spacing w:val="-2"/>
          <w:kern w:val="0"/>
          <w:sz w:val="16"/>
          <w:szCs w:val="16"/>
        </w:rPr>
        <w:t xml:space="preserve">, Buti M. Considerations for the long-term treatment of chronic hepatitis B with </w:t>
      </w:r>
      <w:proofErr w:type="gramStart"/>
      <w:r w:rsidRPr="000E2301">
        <w:rPr>
          <w:color w:val="000000"/>
          <w:spacing w:val="-2"/>
          <w:kern w:val="0"/>
          <w:sz w:val="16"/>
          <w:szCs w:val="16"/>
        </w:rPr>
        <w:t>nucleos(</w:t>
      </w:r>
      <w:proofErr w:type="gramEnd"/>
      <w:r w:rsidRPr="000E2301">
        <w:rPr>
          <w:color w:val="000000"/>
          <w:spacing w:val="-2"/>
          <w:kern w:val="0"/>
          <w:sz w:val="16"/>
          <w:szCs w:val="16"/>
        </w:rPr>
        <w:t xml:space="preserve">t)ide analogs. </w:t>
      </w:r>
      <w:r w:rsidRPr="000E2301">
        <w:rPr>
          <w:i/>
          <w:iCs/>
          <w:color w:val="000000"/>
          <w:spacing w:val="-2"/>
          <w:kern w:val="0"/>
          <w:sz w:val="16"/>
          <w:szCs w:val="16"/>
        </w:rPr>
        <w:t>Expert Rev Gastro</w:t>
      </w:r>
      <w:r w:rsidRPr="000E2301">
        <w:rPr>
          <w:i/>
          <w:iCs/>
          <w:color w:val="000000"/>
          <w:spacing w:val="-2"/>
          <w:kern w:val="0"/>
          <w:sz w:val="16"/>
          <w:szCs w:val="16"/>
        </w:rPr>
        <w:softHyphen/>
        <w:t>enterol Hepatol</w:t>
      </w:r>
      <w:r w:rsidRPr="000E2301">
        <w:rPr>
          <w:color w:val="000000"/>
          <w:spacing w:val="-2"/>
          <w:kern w:val="0"/>
          <w:sz w:val="16"/>
          <w:szCs w:val="16"/>
        </w:rPr>
        <w:t xml:space="preserve"> 2012; </w:t>
      </w:r>
      <w:r w:rsidRPr="000E2301">
        <w:rPr>
          <w:b/>
          <w:bCs/>
          <w:color w:val="000000"/>
          <w:spacing w:val="-2"/>
          <w:kern w:val="0"/>
          <w:sz w:val="16"/>
          <w:szCs w:val="16"/>
        </w:rPr>
        <w:t>6</w:t>
      </w:r>
      <w:r w:rsidRPr="000E2301">
        <w:rPr>
          <w:color w:val="000000"/>
          <w:spacing w:val="-2"/>
          <w:kern w:val="0"/>
          <w:sz w:val="16"/>
          <w:szCs w:val="16"/>
        </w:rPr>
        <w:t>: 683-693; quiz 694 [PMID: 23237254 DOI: 10.1586/egh.12.52]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8</w:t>
      </w:r>
      <w:r w:rsidRPr="000E2301">
        <w:rPr>
          <w:color w:val="000000"/>
          <w:spacing w:val="-1"/>
          <w:kern w:val="0"/>
          <w:sz w:val="16"/>
          <w:szCs w:val="16"/>
        </w:rPr>
        <w:tab/>
      </w:r>
      <w:r w:rsidRPr="000E2301">
        <w:rPr>
          <w:b/>
          <w:bCs/>
          <w:color w:val="000000"/>
          <w:spacing w:val="-1"/>
          <w:kern w:val="0"/>
          <w:sz w:val="16"/>
          <w:szCs w:val="16"/>
        </w:rPr>
        <w:t>Fontana RJ</w:t>
      </w:r>
      <w:r w:rsidRPr="000E2301">
        <w:rPr>
          <w:color w:val="000000"/>
          <w:spacing w:val="-1"/>
          <w:kern w:val="0"/>
          <w:sz w:val="16"/>
          <w:szCs w:val="16"/>
        </w:rPr>
        <w:t xml:space="preserve">. Side effects of long-term oral antiviral therapy for hepatitis B. </w:t>
      </w:r>
      <w:r w:rsidRPr="000E2301">
        <w:rPr>
          <w:i/>
          <w:iCs/>
          <w:color w:val="000000"/>
          <w:spacing w:val="-1"/>
          <w:kern w:val="0"/>
          <w:sz w:val="16"/>
          <w:szCs w:val="16"/>
        </w:rPr>
        <w:t>Hepatology</w:t>
      </w:r>
      <w:r w:rsidRPr="000E2301">
        <w:rPr>
          <w:color w:val="000000"/>
          <w:spacing w:val="-1"/>
          <w:kern w:val="0"/>
          <w:sz w:val="16"/>
          <w:szCs w:val="16"/>
        </w:rPr>
        <w:t xml:space="preserve"> 2009; </w:t>
      </w:r>
      <w:r w:rsidRPr="000E2301">
        <w:rPr>
          <w:b/>
          <w:bCs/>
          <w:color w:val="000000"/>
          <w:spacing w:val="-1"/>
          <w:kern w:val="0"/>
          <w:sz w:val="16"/>
          <w:szCs w:val="16"/>
        </w:rPr>
        <w:t>49</w:t>
      </w:r>
      <w:r w:rsidRPr="000E2301">
        <w:rPr>
          <w:color w:val="000000"/>
          <w:spacing w:val="-1"/>
          <w:kern w:val="0"/>
          <w:sz w:val="16"/>
          <w:szCs w:val="16"/>
        </w:rPr>
        <w:t>: S185-S195 [PMID: 19399802 DOI: 10.1002/hep.22885]</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9</w:t>
      </w:r>
      <w:r w:rsidRPr="000E2301">
        <w:rPr>
          <w:color w:val="000000"/>
          <w:spacing w:val="-1"/>
          <w:kern w:val="0"/>
          <w:sz w:val="16"/>
          <w:szCs w:val="16"/>
        </w:rPr>
        <w:tab/>
      </w:r>
      <w:r w:rsidRPr="000E2301">
        <w:rPr>
          <w:b/>
          <w:bCs/>
          <w:color w:val="000000"/>
          <w:spacing w:val="-1"/>
          <w:kern w:val="0"/>
          <w:sz w:val="16"/>
          <w:szCs w:val="16"/>
        </w:rPr>
        <w:t>Wolters LM</w:t>
      </w:r>
      <w:r w:rsidRPr="000E2301">
        <w:rPr>
          <w:color w:val="000000"/>
          <w:spacing w:val="-1"/>
          <w:kern w:val="0"/>
          <w:sz w:val="16"/>
          <w:szCs w:val="16"/>
        </w:rPr>
        <w:t xml:space="preserve">, Niesters HG, de Man RA. Nucleoside analogues for chronic hepatitis B. </w:t>
      </w:r>
      <w:r w:rsidRPr="000E2301">
        <w:rPr>
          <w:i/>
          <w:iCs/>
          <w:color w:val="000000"/>
          <w:spacing w:val="-1"/>
          <w:kern w:val="0"/>
          <w:sz w:val="16"/>
          <w:szCs w:val="16"/>
        </w:rPr>
        <w:t>Eur J Gastroenterol Hepatol</w:t>
      </w:r>
      <w:r w:rsidRPr="000E2301">
        <w:rPr>
          <w:color w:val="000000"/>
          <w:spacing w:val="-1"/>
          <w:kern w:val="0"/>
          <w:sz w:val="16"/>
          <w:szCs w:val="16"/>
        </w:rPr>
        <w:t xml:space="preserve"> 2001; </w:t>
      </w:r>
      <w:r w:rsidRPr="000E2301">
        <w:rPr>
          <w:b/>
          <w:bCs/>
          <w:color w:val="000000"/>
          <w:spacing w:val="-1"/>
          <w:kern w:val="0"/>
          <w:sz w:val="16"/>
          <w:szCs w:val="16"/>
        </w:rPr>
        <w:t>13</w:t>
      </w:r>
      <w:r w:rsidRPr="000E2301">
        <w:rPr>
          <w:color w:val="000000"/>
          <w:spacing w:val="-1"/>
          <w:kern w:val="0"/>
          <w:sz w:val="16"/>
          <w:szCs w:val="16"/>
        </w:rPr>
        <w:t>: 1499-1506 [PMID: 11742201]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w:t>
      </w:r>
      <w:r w:rsidRPr="000E2301">
        <w:rPr>
          <w:color w:val="000000"/>
          <w:spacing w:val="-1"/>
          <w:kern w:val="0"/>
          <w:sz w:val="16"/>
          <w:szCs w:val="16"/>
        </w:rPr>
        <w:tab/>
      </w:r>
      <w:r w:rsidRPr="000E2301">
        <w:rPr>
          <w:b/>
          <w:bCs/>
          <w:color w:val="000000"/>
          <w:spacing w:val="-1"/>
          <w:kern w:val="0"/>
          <w:sz w:val="16"/>
          <w:szCs w:val="16"/>
        </w:rPr>
        <w:t>Marcellin P</w:t>
      </w:r>
      <w:r w:rsidRPr="000E2301">
        <w:rPr>
          <w:color w:val="000000"/>
          <w:spacing w:val="-1"/>
          <w:kern w:val="0"/>
          <w:sz w:val="16"/>
          <w:szCs w:val="16"/>
        </w:rPr>
        <w:t xml:space="preserve">, Wursthorn K, Wedemeyer H, Chuang WL, Lau G, Avila C, Peng CY, Gane E, Lim SG, Fainboim H, Foster GR, Safadi R, Rizzetto M, Manns M, Bao W, Trylesinski A, Naoumov N. Telbivudine plus pegylated interferon alfa-2a in a randomized study in chronic hepatitis B is associated with an unexpected high rate of peripheral neuropathy. </w:t>
      </w:r>
      <w:r w:rsidRPr="000E2301">
        <w:rPr>
          <w:i/>
          <w:iCs/>
          <w:color w:val="000000"/>
          <w:spacing w:val="-1"/>
          <w:kern w:val="0"/>
          <w:sz w:val="16"/>
          <w:szCs w:val="16"/>
        </w:rPr>
        <w:t>J Hepatol</w:t>
      </w:r>
      <w:r w:rsidRPr="000E2301">
        <w:rPr>
          <w:color w:val="000000"/>
          <w:spacing w:val="-1"/>
          <w:kern w:val="0"/>
          <w:sz w:val="16"/>
          <w:szCs w:val="16"/>
        </w:rPr>
        <w:t xml:space="preserve"> 2015; </w:t>
      </w:r>
      <w:r w:rsidRPr="000E2301">
        <w:rPr>
          <w:b/>
          <w:bCs/>
          <w:color w:val="000000"/>
          <w:spacing w:val="-1"/>
          <w:kern w:val="0"/>
          <w:sz w:val="16"/>
          <w:szCs w:val="16"/>
        </w:rPr>
        <w:t>62</w:t>
      </w:r>
      <w:r w:rsidRPr="000E2301">
        <w:rPr>
          <w:color w:val="000000"/>
          <w:spacing w:val="-1"/>
          <w:kern w:val="0"/>
          <w:sz w:val="16"/>
          <w:szCs w:val="16"/>
        </w:rPr>
        <w:t>: 41-47 [PMID: 25152207 DOI: 10.1016/j.jhep.2014.08.021]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11</w:t>
      </w:r>
      <w:r w:rsidRPr="000E2301">
        <w:rPr>
          <w:color w:val="000000"/>
          <w:spacing w:val="-1"/>
          <w:kern w:val="0"/>
          <w:sz w:val="16"/>
          <w:szCs w:val="16"/>
        </w:rPr>
        <w:tab/>
      </w:r>
      <w:r w:rsidRPr="000E2301">
        <w:rPr>
          <w:b/>
          <w:bCs/>
          <w:color w:val="000000"/>
          <w:spacing w:val="-1"/>
          <w:kern w:val="0"/>
          <w:sz w:val="16"/>
          <w:szCs w:val="16"/>
        </w:rPr>
        <w:t>Martin JL</w:t>
      </w:r>
      <w:r w:rsidRPr="000E2301">
        <w:rPr>
          <w:color w:val="000000"/>
          <w:spacing w:val="-1"/>
          <w:kern w:val="0"/>
          <w:sz w:val="16"/>
          <w:szCs w:val="16"/>
        </w:rPr>
        <w:t xml:space="preserve">, Brown CE, Matthews-Davis N, Reardon JE. </w:t>
      </w:r>
      <w:proofErr w:type="gramStart"/>
      <w:r w:rsidRPr="000E2301">
        <w:rPr>
          <w:color w:val="000000"/>
          <w:spacing w:val="-1"/>
          <w:kern w:val="0"/>
          <w:sz w:val="16"/>
          <w:szCs w:val="16"/>
        </w:rPr>
        <w:t>Effects of antiviral nucleoside analogs on human DNA polymerases and mitochondrial DNA synthesis.</w:t>
      </w:r>
      <w:proofErr w:type="gramEnd"/>
      <w:r w:rsidRPr="000E2301">
        <w:rPr>
          <w:color w:val="000000"/>
          <w:spacing w:val="-1"/>
          <w:kern w:val="0"/>
          <w:sz w:val="16"/>
          <w:szCs w:val="16"/>
        </w:rPr>
        <w:t xml:space="preserve"> </w:t>
      </w:r>
      <w:r w:rsidRPr="000E2301">
        <w:rPr>
          <w:i/>
          <w:iCs/>
          <w:color w:val="000000"/>
          <w:spacing w:val="-1"/>
          <w:kern w:val="0"/>
          <w:sz w:val="16"/>
          <w:szCs w:val="16"/>
        </w:rPr>
        <w:t>Antimicrob Agents Chemother</w:t>
      </w:r>
      <w:r w:rsidRPr="000E2301">
        <w:rPr>
          <w:color w:val="000000"/>
          <w:spacing w:val="-1"/>
          <w:kern w:val="0"/>
          <w:sz w:val="16"/>
          <w:szCs w:val="16"/>
        </w:rPr>
        <w:t xml:space="preserve"> 1994; </w:t>
      </w:r>
      <w:r w:rsidRPr="000E2301">
        <w:rPr>
          <w:b/>
          <w:bCs/>
          <w:color w:val="000000"/>
          <w:spacing w:val="-1"/>
          <w:kern w:val="0"/>
          <w:sz w:val="16"/>
          <w:szCs w:val="16"/>
        </w:rPr>
        <w:t>38</w:t>
      </w:r>
      <w:r w:rsidRPr="000E2301">
        <w:rPr>
          <w:color w:val="000000"/>
          <w:spacing w:val="-1"/>
          <w:kern w:val="0"/>
          <w:sz w:val="16"/>
          <w:szCs w:val="16"/>
        </w:rPr>
        <w:t>: 2743-2749 [PMID: 7695256]</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12</w:t>
      </w:r>
      <w:r w:rsidRPr="000E2301">
        <w:rPr>
          <w:color w:val="000000"/>
          <w:spacing w:val="-1"/>
          <w:kern w:val="0"/>
          <w:sz w:val="16"/>
          <w:szCs w:val="16"/>
        </w:rPr>
        <w:tab/>
      </w:r>
      <w:r w:rsidRPr="000E2301">
        <w:rPr>
          <w:b/>
          <w:bCs/>
          <w:color w:val="000000"/>
          <w:spacing w:val="-1"/>
          <w:kern w:val="0"/>
          <w:sz w:val="16"/>
          <w:szCs w:val="16"/>
        </w:rPr>
        <w:t>Fleischer RD</w:t>
      </w:r>
      <w:r w:rsidRPr="000E2301">
        <w:rPr>
          <w:color w:val="000000"/>
          <w:spacing w:val="-1"/>
          <w:kern w:val="0"/>
          <w:sz w:val="16"/>
          <w:szCs w:val="16"/>
        </w:rPr>
        <w:t xml:space="preserve">, Lok AS. Myopathy and neuropathy associated with </w:t>
      </w:r>
      <w:proofErr w:type="gramStart"/>
      <w:r w:rsidRPr="000E2301">
        <w:rPr>
          <w:color w:val="000000"/>
          <w:spacing w:val="-1"/>
          <w:kern w:val="0"/>
          <w:sz w:val="16"/>
          <w:szCs w:val="16"/>
        </w:rPr>
        <w:t>nucleos(</w:t>
      </w:r>
      <w:proofErr w:type="gramEnd"/>
      <w:r w:rsidRPr="000E2301">
        <w:rPr>
          <w:color w:val="000000"/>
          <w:spacing w:val="-1"/>
          <w:kern w:val="0"/>
          <w:sz w:val="16"/>
          <w:szCs w:val="16"/>
        </w:rPr>
        <w:t xml:space="preserve">t)ide analog therapy for hepatitis B. </w:t>
      </w:r>
      <w:r w:rsidRPr="000E2301">
        <w:rPr>
          <w:i/>
          <w:iCs/>
          <w:color w:val="000000"/>
          <w:spacing w:val="-1"/>
          <w:kern w:val="0"/>
          <w:sz w:val="16"/>
          <w:szCs w:val="16"/>
        </w:rPr>
        <w:t>J Hepatol</w:t>
      </w:r>
      <w:r w:rsidRPr="000E2301">
        <w:rPr>
          <w:color w:val="000000"/>
          <w:spacing w:val="-1"/>
          <w:kern w:val="0"/>
          <w:sz w:val="16"/>
          <w:szCs w:val="16"/>
        </w:rPr>
        <w:t xml:space="preserve"> 2009; </w:t>
      </w:r>
      <w:r w:rsidRPr="000E2301">
        <w:rPr>
          <w:b/>
          <w:bCs/>
          <w:color w:val="000000"/>
          <w:spacing w:val="-1"/>
          <w:kern w:val="0"/>
          <w:sz w:val="16"/>
          <w:szCs w:val="16"/>
        </w:rPr>
        <w:t>51</w:t>
      </w:r>
      <w:r w:rsidRPr="000E2301">
        <w:rPr>
          <w:color w:val="000000"/>
          <w:spacing w:val="-1"/>
          <w:kern w:val="0"/>
          <w:sz w:val="16"/>
          <w:szCs w:val="16"/>
        </w:rPr>
        <w:t>: 787-791 [PMID: 19665816 DOI: 10.1016/j.jhep.2009.06.011]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13</w:t>
      </w:r>
      <w:r w:rsidRPr="000E2301">
        <w:rPr>
          <w:color w:val="000000"/>
          <w:spacing w:val="-1"/>
          <w:kern w:val="0"/>
          <w:sz w:val="16"/>
          <w:szCs w:val="16"/>
        </w:rPr>
        <w:tab/>
      </w:r>
      <w:r w:rsidRPr="000E2301">
        <w:rPr>
          <w:b/>
          <w:bCs/>
          <w:color w:val="000000"/>
          <w:spacing w:val="-1"/>
          <w:kern w:val="0"/>
          <w:sz w:val="16"/>
          <w:szCs w:val="16"/>
        </w:rPr>
        <w:t>Kim BK</w:t>
      </w:r>
      <w:r w:rsidRPr="000E2301">
        <w:rPr>
          <w:color w:val="000000"/>
          <w:spacing w:val="-1"/>
          <w:kern w:val="0"/>
          <w:sz w:val="16"/>
          <w:szCs w:val="16"/>
        </w:rPr>
        <w:t xml:space="preserve">, Oh J, Kwon SY, Choe WH, Ko SY, Rhee KH, Seo TH, Lim SD, Lee CH. Clevudine myopathy in patients with chronic hepatitis B. </w:t>
      </w:r>
      <w:r w:rsidRPr="000E2301">
        <w:rPr>
          <w:i/>
          <w:iCs/>
          <w:color w:val="000000"/>
          <w:spacing w:val="-1"/>
          <w:kern w:val="0"/>
          <w:sz w:val="16"/>
          <w:szCs w:val="16"/>
        </w:rPr>
        <w:t>J Hepatol</w:t>
      </w:r>
      <w:r w:rsidRPr="000E2301">
        <w:rPr>
          <w:color w:val="000000"/>
          <w:spacing w:val="-1"/>
          <w:kern w:val="0"/>
          <w:sz w:val="16"/>
          <w:szCs w:val="16"/>
        </w:rPr>
        <w:t xml:space="preserve"> 2009; </w:t>
      </w:r>
      <w:r w:rsidRPr="000E2301">
        <w:rPr>
          <w:b/>
          <w:bCs/>
          <w:color w:val="000000"/>
          <w:spacing w:val="-1"/>
          <w:kern w:val="0"/>
          <w:sz w:val="16"/>
          <w:szCs w:val="16"/>
        </w:rPr>
        <w:t>51</w:t>
      </w:r>
      <w:r w:rsidRPr="000E2301">
        <w:rPr>
          <w:color w:val="000000"/>
          <w:spacing w:val="-1"/>
          <w:kern w:val="0"/>
          <w:sz w:val="16"/>
          <w:szCs w:val="16"/>
        </w:rPr>
        <w:t>: 829-834 [PMID: 19615776 DOI: 10.1016/j.jhep.2009.04.019]</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14</w:t>
      </w:r>
      <w:r w:rsidRPr="000E2301">
        <w:rPr>
          <w:color w:val="000000"/>
          <w:spacing w:val="-1"/>
          <w:kern w:val="0"/>
          <w:sz w:val="16"/>
          <w:szCs w:val="16"/>
        </w:rPr>
        <w:tab/>
      </w:r>
      <w:r w:rsidRPr="000E2301">
        <w:rPr>
          <w:b/>
          <w:bCs/>
          <w:color w:val="000000"/>
          <w:spacing w:val="-1"/>
          <w:kern w:val="0"/>
          <w:sz w:val="16"/>
          <w:szCs w:val="16"/>
        </w:rPr>
        <w:t>Tak WY</w:t>
      </w:r>
      <w:r w:rsidRPr="000E2301">
        <w:rPr>
          <w:color w:val="000000"/>
          <w:spacing w:val="-1"/>
          <w:kern w:val="0"/>
          <w:sz w:val="16"/>
          <w:szCs w:val="16"/>
        </w:rPr>
        <w:t xml:space="preserve">, Park SY, Cho CM, Jung MK, Jeon SW, Kweon YO, Park JY, Sohn YK. </w:t>
      </w:r>
      <w:proofErr w:type="gramStart"/>
      <w:r w:rsidRPr="000E2301">
        <w:rPr>
          <w:color w:val="000000"/>
          <w:spacing w:val="-1"/>
          <w:kern w:val="0"/>
          <w:sz w:val="16"/>
          <w:szCs w:val="16"/>
        </w:rPr>
        <w:t>Clinical, biochemical, and pathological characteristics of clevudine-associated myopathy.</w:t>
      </w:r>
      <w:proofErr w:type="gramEnd"/>
      <w:r w:rsidRPr="000E2301">
        <w:rPr>
          <w:color w:val="000000"/>
          <w:spacing w:val="-1"/>
          <w:kern w:val="0"/>
          <w:sz w:val="16"/>
          <w:szCs w:val="16"/>
        </w:rPr>
        <w:t xml:space="preserve"> </w:t>
      </w:r>
      <w:r w:rsidRPr="000E2301">
        <w:rPr>
          <w:i/>
          <w:iCs/>
          <w:color w:val="000000"/>
          <w:spacing w:val="-1"/>
          <w:kern w:val="0"/>
          <w:sz w:val="16"/>
          <w:szCs w:val="16"/>
        </w:rPr>
        <w:t>J Hepatol</w:t>
      </w:r>
      <w:r w:rsidRPr="000E2301">
        <w:rPr>
          <w:color w:val="000000"/>
          <w:spacing w:val="-1"/>
          <w:kern w:val="0"/>
          <w:sz w:val="16"/>
          <w:szCs w:val="16"/>
        </w:rPr>
        <w:t xml:space="preserve"> 2010; </w:t>
      </w:r>
      <w:r w:rsidRPr="000E2301">
        <w:rPr>
          <w:b/>
          <w:bCs/>
          <w:color w:val="000000"/>
          <w:spacing w:val="-1"/>
          <w:kern w:val="0"/>
          <w:sz w:val="16"/>
          <w:szCs w:val="16"/>
        </w:rPr>
        <w:t>53</w:t>
      </w:r>
      <w:r w:rsidRPr="000E2301">
        <w:rPr>
          <w:color w:val="000000"/>
          <w:spacing w:val="-1"/>
          <w:kern w:val="0"/>
          <w:sz w:val="16"/>
          <w:szCs w:val="16"/>
        </w:rPr>
        <w:t>: 261-266 [PMID: 20466447 DOI: 10.1016/j.jhep.2010.03.006]</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15</w:t>
      </w:r>
      <w:r w:rsidRPr="000E2301">
        <w:rPr>
          <w:color w:val="000000"/>
          <w:spacing w:val="-1"/>
          <w:kern w:val="0"/>
          <w:sz w:val="16"/>
          <w:szCs w:val="16"/>
        </w:rPr>
        <w:tab/>
      </w:r>
      <w:r w:rsidRPr="000E2301">
        <w:rPr>
          <w:b/>
          <w:bCs/>
          <w:color w:val="000000"/>
          <w:spacing w:val="-1"/>
          <w:kern w:val="0"/>
          <w:sz w:val="16"/>
          <w:szCs w:val="16"/>
        </w:rPr>
        <w:t>Mak LY</w:t>
      </w:r>
      <w:r w:rsidRPr="000E2301">
        <w:rPr>
          <w:color w:val="000000"/>
          <w:spacing w:val="-1"/>
          <w:kern w:val="0"/>
          <w:sz w:val="16"/>
          <w:szCs w:val="16"/>
        </w:rPr>
        <w:t xml:space="preserve">, Seto WK, Lai CL, Yuen MF. DNA polymerase inhibitors for treating hepatitis B: a safety evaluation. </w:t>
      </w:r>
      <w:r w:rsidRPr="000E2301">
        <w:rPr>
          <w:i/>
          <w:iCs/>
          <w:color w:val="000000"/>
          <w:spacing w:val="-1"/>
          <w:kern w:val="0"/>
          <w:sz w:val="16"/>
          <w:szCs w:val="16"/>
        </w:rPr>
        <w:t>Expert Opin Drug Saf</w:t>
      </w:r>
      <w:r w:rsidRPr="000E2301">
        <w:rPr>
          <w:color w:val="000000"/>
          <w:spacing w:val="-1"/>
          <w:kern w:val="0"/>
          <w:sz w:val="16"/>
          <w:szCs w:val="16"/>
        </w:rPr>
        <w:t xml:space="preserve"> 2016; </w:t>
      </w:r>
      <w:r w:rsidRPr="000E2301">
        <w:rPr>
          <w:b/>
          <w:bCs/>
          <w:color w:val="000000"/>
          <w:spacing w:val="-1"/>
          <w:kern w:val="0"/>
          <w:sz w:val="16"/>
          <w:szCs w:val="16"/>
        </w:rPr>
        <w:t>15</w:t>
      </w:r>
      <w:r w:rsidRPr="000E2301">
        <w:rPr>
          <w:color w:val="000000"/>
          <w:spacing w:val="-1"/>
          <w:kern w:val="0"/>
          <w:sz w:val="16"/>
          <w:szCs w:val="16"/>
        </w:rPr>
        <w:t>: 383-392 [PMID: 26752687 DOI: 10.1517/14740338.2016.1139573]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16</w:t>
      </w:r>
      <w:r w:rsidRPr="000E2301">
        <w:rPr>
          <w:color w:val="000000"/>
          <w:spacing w:val="-1"/>
          <w:kern w:val="0"/>
          <w:sz w:val="16"/>
          <w:szCs w:val="16"/>
        </w:rPr>
        <w:tab/>
      </w:r>
      <w:r w:rsidRPr="000E2301">
        <w:rPr>
          <w:b/>
          <w:bCs/>
          <w:color w:val="000000"/>
          <w:spacing w:val="-1"/>
          <w:kern w:val="0"/>
          <w:sz w:val="16"/>
          <w:szCs w:val="16"/>
        </w:rPr>
        <w:t>Xu H</w:t>
      </w:r>
      <w:r w:rsidRPr="000E2301">
        <w:rPr>
          <w:color w:val="000000"/>
          <w:spacing w:val="-1"/>
          <w:kern w:val="0"/>
          <w:sz w:val="16"/>
          <w:szCs w:val="16"/>
        </w:rPr>
        <w:t>, Wang Z, Zheng L, Zhang W, Lv H, Jin S, Yuan Y. Lami</w:t>
      </w:r>
      <w:r w:rsidRPr="000E2301">
        <w:rPr>
          <w:color w:val="000000"/>
          <w:spacing w:val="-1"/>
          <w:kern w:val="0"/>
          <w:sz w:val="16"/>
          <w:szCs w:val="16"/>
        </w:rPr>
        <w:softHyphen/>
        <w:t xml:space="preserve">vudine/telbivudine-associated neuromyopathy: neurogenic damage, mitochondrial dysfunction and mitochondrial DNA depletion. </w:t>
      </w:r>
      <w:r w:rsidRPr="000E2301">
        <w:rPr>
          <w:i/>
          <w:iCs/>
          <w:color w:val="000000"/>
          <w:spacing w:val="-1"/>
          <w:kern w:val="0"/>
          <w:sz w:val="16"/>
          <w:szCs w:val="16"/>
        </w:rPr>
        <w:t>J Clin Pathol</w:t>
      </w:r>
      <w:r w:rsidRPr="000E2301">
        <w:rPr>
          <w:color w:val="000000"/>
          <w:spacing w:val="-1"/>
          <w:kern w:val="0"/>
          <w:sz w:val="16"/>
          <w:szCs w:val="16"/>
        </w:rPr>
        <w:t xml:space="preserve"> 2014; </w:t>
      </w:r>
      <w:r w:rsidRPr="000E2301">
        <w:rPr>
          <w:b/>
          <w:bCs/>
          <w:color w:val="000000"/>
          <w:spacing w:val="-1"/>
          <w:kern w:val="0"/>
          <w:sz w:val="16"/>
          <w:szCs w:val="16"/>
        </w:rPr>
        <w:t>67</w:t>
      </w:r>
      <w:r w:rsidRPr="000E2301">
        <w:rPr>
          <w:color w:val="000000"/>
          <w:spacing w:val="-1"/>
          <w:kern w:val="0"/>
          <w:sz w:val="16"/>
          <w:szCs w:val="16"/>
        </w:rPr>
        <w:t>: 999-1005 [PMID: 25190818 DOI: 10.1136/jclinpath-2013-202069]</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17</w:t>
      </w:r>
      <w:r w:rsidRPr="000E2301">
        <w:rPr>
          <w:color w:val="000000"/>
          <w:spacing w:val="-1"/>
          <w:kern w:val="0"/>
          <w:sz w:val="16"/>
          <w:szCs w:val="16"/>
        </w:rPr>
        <w:tab/>
      </w:r>
      <w:r w:rsidRPr="000E2301">
        <w:rPr>
          <w:b/>
          <w:bCs/>
          <w:color w:val="000000"/>
          <w:spacing w:val="-1"/>
          <w:kern w:val="0"/>
          <w:sz w:val="16"/>
          <w:szCs w:val="16"/>
        </w:rPr>
        <w:t>Wang M</w:t>
      </w:r>
      <w:r w:rsidRPr="000E2301">
        <w:rPr>
          <w:color w:val="000000"/>
          <w:spacing w:val="-1"/>
          <w:kern w:val="0"/>
          <w:sz w:val="16"/>
          <w:szCs w:val="16"/>
        </w:rPr>
        <w:t xml:space="preserve">, Da Y, Cai H, Lu Y, Wu L, Jia J. Telbivudine myopathy in a patient with chronic hepatitis B. </w:t>
      </w:r>
      <w:r w:rsidRPr="000E2301">
        <w:rPr>
          <w:i/>
          <w:iCs/>
          <w:color w:val="000000"/>
          <w:spacing w:val="-1"/>
          <w:kern w:val="0"/>
          <w:sz w:val="16"/>
          <w:szCs w:val="16"/>
        </w:rPr>
        <w:t>Int J Clin Pharm</w:t>
      </w:r>
      <w:r w:rsidRPr="000E2301">
        <w:rPr>
          <w:color w:val="000000"/>
          <w:spacing w:val="-1"/>
          <w:kern w:val="0"/>
          <w:sz w:val="16"/>
          <w:szCs w:val="16"/>
        </w:rPr>
        <w:t xml:space="preserve"> 2012; </w:t>
      </w:r>
      <w:r w:rsidRPr="000E2301">
        <w:rPr>
          <w:b/>
          <w:bCs/>
          <w:color w:val="000000"/>
          <w:spacing w:val="-1"/>
          <w:kern w:val="0"/>
          <w:sz w:val="16"/>
          <w:szCs w:val="16"/>
        </w:rPr>
        <w:t>34</w:t>
      </w:r>
      <w:r w:rsidRPr="000E2301">
        <w:rPr>
          <w:color w:val="000000"/>
          <w:spacing w:val="-1"/>
          <w:kern w:val="0"/>
          <w:sz w:val="16"/>
          <w:szCs w:val="16"/>
        </w:rPr>
        <w:t>: 422-425 [PMID: 22527478 DOI: 10.1007/s11096-012-9633-3]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18</w:t>
      </w:r>
      <w:r w:rsidRPr="000E2301">
        <w:rPr>
          <w:color w:val="000000"/>
          <w:spacing w:val="-1"/>
          <w:kern w:val="0"/>
          <w:sz w:val="16"/>
          <w:szCs w:val="16"/>
        </w:rPr>
        <w:tab/>
      </w:r>
      <w:r w:rsidRPr="000E2301">
        <w:rPr>
          <w:b/>
          <w:bCs/>
          <w:color w:val="000000"/>
          <w:spacing w:val="-1"/>
          <w:kern w:val="0"/>
          <w:sz w:val="16"/>
          <w:szCs w:val="16"/>
        </w:rPr>
        <w:t>Shin SR</w:t>
      </w:r>
      <w:r w:rsidRPr="000E2301">
        <w:rPr>
          <w:color w:val="000000"/>
          <w:spacing w:val="-1"/>
          <w:kern w:val="0"/>
          <w:sz w:val="16"/>
          <w:szCs w:val="16"/>
        </w:rPr>
        <w:t xml:space="preserve">, Yoo BC, Choi MS, Lee DH, Song SM, Lee JH, Koh KC, Paik SW. A comparison of 48-week treatment efficacy between clevudine and entecavir in treatment-naïve patients with chronic hepatitis B. </w:t>
      </w:r>
      <w:r w:rsidRPr="000E2301">
        <w:rPr>
          <w:i/>
          <w:iCs/>
          <w:color w:val="000000"/>
          <w:spacing w:val="-1"/>
          <w:kern w:val="0"/>
          <w:sz w:val="16"/>
          <w:szCs w:val="16"/>
        </w:rPr>
        <w:t>Hepatol Int</w:t>
      </w:r>
      <w:r w:rsidRPr="000E2301">
        <w:rPr>
          <w:color w:val="000000"/>
          <w:spacing w:val="-1"/>
          <w:kern w:val="0"/>
          <w:sz w:val="16"/>
          <w:szCs w:val="16"/>
        </w:rPr>
        <w:t xml:space="preserve"> 2011; </w:t>
      </w:r>
      <w:r w:rsidRPr="000E2301">
        <w:rPr>
          <w:b/>
          <w:bCs/>
          <w:color w:val="000000"/>
          <w:spacing w:val="-1"/>
          <w:kern w:val="0"/>
          <w:sz w:val="16"/>
          <w:szCs w:val="16"/>
        </w:rPr>
        <w:t>5</w:t>
      </w:r>
      <w:r w:rsidRPr="000E2301">
        <w:rPr>
          <w:color w:val="000000"/>
          <w:spacing w:val="-1"/>
          <w:kern w:val="0"/>
          <w:sz w:val="16"/>
          <w:szCs w:val="16"/>
        </w:rPr>
        <w:t>: 664-670 [PMID: 21484144 DOI: 10.1007/s12072-010-9238-7]</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19</w:t>
      </w:r>
      <w:r w:rsidRPr="000E2301">
        <w:rPr>
          <w:color w:val="000000"/>
          <w:spacing w:val="-1"/>
          <w:kern w:val="0"/>
          <w:sz w:val="16"/>
          <w:szCs w:val="16"/>
        </w:rPr>
        <w:tab/>
      </w:r>
      <w:r w:rsidRPr="000E2301">
        <w:rPr>
          <w:b/>
          <w:bCs/>
          <w:color w:val="000000"/>
          <w:spacing w:val="-1"/>
          <w:kern w:val="0"/>
          <w:sz w:val="16"/>
          <w:szCs w:val="16"/>
        </w:rPr>
        <w:t>Yuan K</w:t>
      </w:r>
      <w:r w:rsidRPr="000E2301">
        <w:rPr>
          <w:color w:val="000000"/>
          <w:spacing w:val="-1"/>
          <w:kern w:val="0"/>
          <w:sz w:val="16"/>
          <w:szCs w:val="16"/>
        </w:rPr>
        <w:t xml:space="preserve">, Guochun W, Huang Z, Lin B, Zhou H, Lu X. Entecavir-associated myopathy: a case report and literature review. </w:t>
      </w:r>
      <w:r w:rsidRPr="000E2301">
        <w:rPr>
          <w:i/>
          <w:iCs/>
          <w:color w:val="000000"/>
          <w:spacing w:val="-1"/>
          <w:kern w:val="0"/>
          <w:sz w:val="16"/>
          <w:szCs w:val="16"/>
        </w:rPr>
        <w:t>Muscle Nerve</w:t>
      </w:r>
      <w:r w:rsidRPr="000E2301">
        <w:rPr>
          <w:color w:val="000000"/>
          <w:spacing w:val="-1"/>
          <w:kern w:val="0"/>
          <w:sz w:val="16"/>
          <w:szCs w:val="16"/>
        </w:rPr>
        <w:t xml:space="preserve"> 2014; </w:t>
      </w:r>
      <w:r w:rsidRPr="000E2301">
        <w:rPr>
          <w:b/>
          <w:bCs/>
          <w:color w:val="000000"/>
          <w:spacing w:val="-1"/>
          <w:kern w:val="0"/>
          <w:sz w:val="16"/>
          <w:szCs w:val="16"/>
        </w:rPr>
        <w:t>49</w:t>
      </w:r>
      <w:r w:rsidRPr="000E2301">
        <w:rPr>
          <w:color w:val="000000"/>
          <w:spacing w:val="-1"/>
          <w:kern w:val="0"/>
          <w:sz w:val="16"/>
          <w:szCs w:val="16"/>
        </w:rPr>
        <w:t>: 610-614 [PMID: 24218312 DOI: 10.1002/mus.24118]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20</w:t>
      </w:r>
      <w:r w:rsidRPr="000E2301">
        <w:rPr>
          <w:color w:val="000000"/>
          <w:spacing w:val="-1"/>
          <w:kern w:val="0"/>
          <w:sz w:val="16"/>
          <w:szCs w:val="16"/>
        </w:rPr>
        <w:tab/>
      </w:r>
      <w:r w:rsidRPr="000E2301">
        <w:rPr>
          <w:b/>
          <w:bCs/>
          <w:color w:val="000000"/>
          <w:spacing w:val="-1"/>
          <w:kern w:val="0"/>
          <w:sz w:val="16"/>
          <w:szCs w:val="16"/>
        </w:rPr>
        <w:t>Palumbo E</w:t>
      </w:r>
      <w:r w:rsidRPr="000E2301">
        <w:rPr>
          <w:color w:val="000000"/>
          <w:spacing w:val="-1"/>
          <w:kern w:val="0"/>
          <w:sz w:val="16"/>
          <w:szCs w:val="16"/>
        </w:rPr>
        <w:t xml:space="preserve">. Lamivudine for chronic hepatitis B: a brief review. </w:t>
      </w:r>
      <w:r w:rsidRPr="000E2301">
        <w:rPr>
          <w:i/>
          <w:iCs/>
          <w:color w:val="000000"/>
          <w:spacing w:val="-1"/>
          <w:kern w:val="0"/>
          <w:sz w:val="16"/>
          <w:szCs w:val="16"/>
        </w:rPr>
        <w:t>Braz J Infect Dis</w:t>
      </w:r>
      <w:r w:rsidRPr="000E2301">
        <w:rPr>
          <w:color w:val="000000"/>
          <w:spacing w:val="-1"/>
          <w:kern w:val="0"/>
          <w:sz w:val="16"/>
          <w:szCs w:val="16"/>
        </w:rPr>
        <w:t xml:space="preserve"> 2008; </w:t>
      </w:r>
      <w:r w:rsidRPr="000E2301">
        <w:rPr>
          <w:b/>
          <w:bCs/>
          <w:color w:val="000000"/>
          <w:spacing w:val="-1"/>
          <w:kern w:val="0"/>
          <w:sz w:val="16"/>
          <w:szCs w:val="16"/>
        </w:rPr>
        <w:t>12</w:t>
      </w:r>
      <w:r w:rsidRPr="000E2301">
        <w:rPr>
          <w:color w:val="000000"/>
          <w:spacing w:val="-1"/>
          <w:kern w:val="0"/>
          <w:sz w:val="16"/>
          <w:szCs w:val="16"/>
        </w:rPr>
        <w:t>: 355-357 [PMID: 19219271]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21</w:t>
      </w:r>
      <w:r w:rsidRPr="000E2301">
        <w:rPr>
          <w:color w:val="000000"/>
          <w:spacing w:val="-1"/>
          <w:kern w:val="0"/>
          <w:sz w:val="16"/>
          <w:szCs w:val="16"/>
        </w:rPr>
        <w:tab/>
      </w:r>
      <w:r w:rsidRPr="000E2301">
        <w:rPr>
          <w:b/>
          <w:bCs/>
          <w:color w:val="000000"/>
          <w:spacing w:val="-1"/>
          <w:kern w:val="0"/>
          <w:sz w:val="16"/>
          <w:szCs w:val="16"/>
        </w:rPr>
        <w:t>Leung N</w:t>
      </w:r>
      <w:r w:rsidRPr="000E2301">
        <w:rPr>
          <w:color w:val="000000"/>
          <w:spacing w:val="-1"/>
          <w:kern w:val="0"/>
          <w:sz w:val="16"/>
          <w:szCs w:val="16"/>
        </w:rPr>
        <w:t xml:space="preserve">. Treatment of chronic hepatitis B: case selection and duration of therapy. </w:t>
      </w:r>
      <w:r w:rsidRPr="000E2301">
        <w:rPr>
          <w:i/>
          <w:iCs/>
          <w:color w:val="000000"/>
          <w:spacing w:val="-1"/>
          <w:kern w:val="0"/>
          <w:sz w:val="16"/>
          <w:szCs w:val="16"/>
        </w:rPr>
        <w:t>J Gastroenterol Hepatol</w:t>
      </w:r>
      <w:r w:rsidRPr="000E2301">
        <w:rPr>
          <w:color w:val="000000"/>
          <w:spacing w:val="-1"/>
          <w:kern w:val="0"/>
          <w:sz w:val="16"/>
          <w:szCs w:val="16"/>
        </w:rPr>
        <w:t xml:space="preserve"> 2002; </w:t>
      </w:r>
      <w:r w:rsidRPr="000E2301">
        <w:rPr>
          <w:b/>
          <w:bCs/>
          <w:color w:val="000000"/>
          <w:spacing w:val="-1"/>
          <w:kern w:val="0"/>
          <w:sz w:val="16"/>
          <w:szCs w:val="16"/>
        </w:rPr>
        <w:t>17</w:t>
      </w:r>
      <w:r w:rsidRPr="000E2301">
        <w:rPr>
          <w:color w:val="000000"/>
          <w:spacing w:val="-1"/>
          <w:kern w:val="0"/>
          <w:sz w:val="16"/>
          <w:szCs w:val="16"/>
        </w:rPr>
        <w:t>: 409-414 [PMID: 11982721]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22</w:t>
      </w:r>
      <w:r w:rsidRPr="000E2301">
        <w:rPr>
          <w:color w:val="000000"/>
          <w:spacing w:val="-1"/>
          <w:kern w:val="0"/>
          <w:sz w:val="16"/>
          <w:szCs w:val="16"/>
        </w:rPr>
        <w:tab/>
      </w:r>
      <w:r w:rsidRPr="000E2301">
        <w:rPr>
          <w:b/>
          <w:bCs/>
          <w:color w:val="000000"/>
          <w:spacing w:val="-1"/>
          <w:kern w:val="0"/>
          <w:sz w:val="16"/>
          <w:szCs w:val="16"/>
        </w:rPr>
        <w:t>Leung NW</w:t>
      </w:r>
      <w:r w:rsidRPr="000E2301">
        <w:rPr>
          <w:color w:val="000000"/>
          <w:spacing w:val="-1"/>
          <w:kern w:val="0"/>
          <w:sz w:val="16"/>
          <w:szCs w:val="16"/>
        </w:rPr>
        <w:t xml:space="preserve">, Lai CL, Chang TT, Guan R, Lee CM, Ng KY, Lim SG, Wu PC, Dent JC, Edmundson S, Condreay LD, Chien RN; Asia Hepatitis Lamivudine Study Group. Extended lamivudine treatment in patients with chronic hepatitis B enhances hepatitis B e antigen seroconversion rates: results after 3 years of therapy. </w:t>
      </w:r>
      <w:r w:rsidRPr="000E2301">
        <w:rPr>
          <w:i/>
          <w:iCs/>
          <w:color w:val="000000"/>
          <w:spacing w:val="-1"/>
          <w:kern w:val="0"/>
          <w:sz w:val="16"/>
          <w:szCs w:val="16"/>
        </w:rPr>
        <w:t>Hepatology</w:t>
      </w:r>
      <w:r w:rsidRPr="000E2301">
        <w:rPr>
          <w:color w:val="000000"/>
          <w:spacing w:val="-1"/>
          <w:kern w:val="0"/>
          <w:sz w:val="16"/>
          <w:szCs w:val="16"/>
        </w:rPr>
        <w:t xml:space="preserve"> 2001; </w:t>
      </w:r>
      <w:r w:rsidRPr="000E2301">
        <w:rPr>
          <w:b/>
          <w:bCs/>
          <w:color w:val="000000"/>
          <w:spacing w:val="-1"/>
          <w:kern w:val="0"/>
          <w:sz w:val="16"/>
          <w:szCs w:val="16"/>
        </w:rPr>
        <w:t>33</w:t>
      </w:r>
      <w:r w:rsidRPr="000E2301">
        <w:rPr>
          <w:color w:val="000000"/>
          <w:spacing w:val="-1"/>
          <w:kern w:val="0"/>
          <w:sz w:val="16"/>
          <w:szCs w:val="16"/>
        </w:rPr>
        <w:t>: 1527-1532 [PMID: 11391543]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23</w:t>
      </w:r>
      <w:r w:rsidRPr="000E2301">
        <w:rPr>
          <w:color w:val="000000"/>
          <w:spacing w:val="-1"/>
          <w:kern w:val="0"/>
          <w:sz w:val="16"/>
          <w:szCs w:val="16"/>
        </w:rPr>
        <w:tab/>
      </w:r>
      <w:r w:rsidRPr="000E2301">
        <w:rPr>
          <w:b/>
          <w:bCs/>
          <w:color w:val="000000"/>
          <w:spacing w:val="-1"/>
          <w:kern w:val="0"/>
          <w:sz w:val="16"/>
          <w:szCs w:val="16"/>
        </w:rPr>
        <w:t>Liaw YF</w:t>
      </w:r>
      <w:r w:rsidRPr="000E2301">
        <w:rPr>
          <w:color w:val="000000"/>
          <w:spacing w:val="-1"/>
          <w:kern w:val="0"/>
          <w:sz w:val="16"/>
          <w:szCs w:val="16"/>
        </w:rPr>
        <w:t xml:space="preserve">, Gane E, Leung N, Zeuzem S, Wang Y, Lai CL, Heathcote EJ, Manns M, Bzowej N, Niu J, Han SH, Hwang SG, Cakaloglu Y, Tong MJ, Papatheodoridis G, Chen Y, Brown NA, Albanis E, Galil K, Naoumov NV; GLOBE Study Group. 2-Year GLOBE trial results: telbivudine </w:t>
      </w:r>
      <w:proofErr w:type="gramStart"/>
      <w:r w:rsidRPr="000E2301">
        <w:rPr>
          <w:color w:val="000000"/>
          <w:spacing w:val="-1"/>
          <w:kern w:val="0"/>
          <w:sz w:val="16"/>
          <w:szCs w:val="16"/>
        </w:rPr>
        <w:t>Is</w:t>
      </w:r>
      <w:proofErr w:type="gramEnd"/>
      <w:r w:rsidRPr="000E2301">
        <w:rPr>
          <w:color w:val="000000"/>
          <w:spacing w:val="-1"/>
          <w:kern w:val="0"/>
          <w:sz w:val="16"/>
          <w:szCs w:val="16"/>
        </w:rPr>
        <w:t xml:space="preserve"> superior to lamivudine in patients with chronic hepatitis B. </w:t>
      </w:r>
      <w:r w:rsidRPr="000E2301">
        <w:rPr>
          <w:i/>
          <w:iCs/>
          <w:color w:val="000000"/>
          <w:spacing w:val="-1"/>
          <w:kern w:val="0"/>
          <w:sz w:val="16"/>
          <w:szCs w:val="16"/>
        </w:rPr>
        <w:t>Gastroenterology</w:t>
      </w:r>
      <w:r w:rsidRPr="000E2301">
        <w:rPr>
          <w:color w:val="000000"/>
          <w:spacing w:val="-1"/>
          <w:kern w:val="0"/>
          <w:sz w:val="16"/>
          <w:szCs w:val="16"/>
        </w:rPr>
        <w:t xml:space="preserve"> 2009; </w:t>
      </w:r>
      <w:r w:rsidRPr="000E2301">
        <w:rPr>
          <w:b/>
          <w:bCs/>
          <w:color w:val="000000"/>
          <w:spacing w:val="-1"/>
          <w:kern w:val="0"/>
          <w:sz w:val="16"/>
          <w:szCs w:val="16"/>
        </w:rPr>
        <w:t>136</w:t>
      </w:r>
      <w:r w:rsidRPr="000E2301">
        <w:rPr>
          <w:color w:val="000000"/>
          <w:spacing w:val="-1"/>
          <w:kern w:val="0"/>
          <w:sz w:val="16"/>
          <w:szCs w:val="16"/>
        </w:rPr>
        <w:t xml:space="preserve">: 486-495 [PMID: 19027013 DOI: </w:t>
      </w:r>
      <w:r w:rsidRPr="000E2301">
        <w:rPr>
          <w:color w:val="000000"/>
          <w:spacing w:val="-1"/>
          <w:kern w:val="0"/>
          <w:sz w:val="16"/>
          <w:szCs w:val="16"/>
        </w:rPr>
        <w:lastRenderedPageBreak/>
        <w:t>10.1053/j.gastro.2008.10.026]</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24</w:t>
      </w:r>
      <w:r w:rsidRPr="000E2301">
        <w:rPr>
          <w:color w:val="000000"/>
          <w:spacing w:val="-1"/>
          <w:kern w:val="0"/>
          <w:sz w:val="16"/>
          <w:szCs w:val="16"/>
        </w:rPr>
        <w:tab/>
      </w:r>
      <w:r w:rsidRPr="000E2301">
        <w:rPr>
          <w:b/>
          <w:bCs/>
          <w:color w:val="000000"/>
          <w:spacing w:val="-1"/>
          <w:kern w:val="0"/>
          <w:sz w:val="16"/>
          <w:szCs w:val="16"/>
        </w:rPr>
        <w:t>Lok AS</w:t>
      </w:r>
      <w:r w:rsidRPr="000E2301">
        <w:rPr>
          <w:color w:val="000000"/>
          <w:spacing w:val="-1"/>
          <w:kern w:val="0"/>
          <w:sz w:val="16"/>
          <w:szCs w:val="16"/>
        </w:rPr>
        <w:t xml:space="preserve">, Lai CL, Leung N, Yao GB, Cui ZY, Schiff ER, Dienstag JL, Heathcote EJ, Little NR, Griffiths DA, Gardner SD, Castiglia M. Long-term safety of lamivudine treatment in patients with chronic hepatitis B. </w:t>
      </w:r>
      <w:r w:rsidRPr="000E2301">
        <w:rPr>
          <w:i/>
          <w:iCs/>
          <w:color w:val="000000"/>
          <w:spacing w:val="-1"/>
          <w:kern w:val="0"/>
          <w:sz w:val="16"/>
          <w:szCs w:val="16"/>
        </w:rPr>
        <w:t>Gastroenterology</w:t>
      </w:r>
      <w:r w:rsidRPr="000E2301">
        <w:rPr>
          <w:color w:val="000000"/>
          <w:spacing w:val="-1"/>
          <w:kern w:val="0"/>
          <w:sz w:val="16"/>
          <w:szCs w:val="16"/>
        </w:rPr>
        <w:t xml:space="preserve"> 2003; </w:t>
      </w:r>
      <w:r w:rsidRPr="000E2301">
        <w:rPr>
          <w:b/>
          <w:bCs/>
          <w:color w:val="000000"/>
          <w:spacing w:val="-1"/>
          <w:kern w:val="0"/>
          <w:sz w:val="16"/>
          <w:szCs w:val="16"/>
        </w:rPr>
        <w:t>125</w:t>
      </w:r>
      <w:r w:rsidRPr="000E2301">
        <w:rPr>
          <w:color w:val="000000"/>
          <w:spacing w:val="-1"/>
          <w:kern w:val="0"/>
          <w:sz w:val="16"/>
          <w:szCs w:val="16"/>
        </w:rPr>
        <w:t>: 1714-1722 [PMID: 14724824]</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25</w:t>
      </w:r>
      <w:r w:rsidRPr="000E2301">
        <w:rPr>
          <w:color w:val="000000"/>
          <w:spacing w:val="-1"/>
          <w:kern w:val="0"/>
          <w:sz w:val="16"/>
          <w:szCs w:val="16"/>
        </w:rPr>
        <w:tab/>
      </w:r>
      <w:r w:rsidRPr="000E2301">
        <w:rPr>
          <w:b/>
          <w:bCs/>
          <w:color w:val="000000"/>
          <w:spacing w:val="-1"/>
          <w:kern w:val="0"/>
          <w:sz w:val="16"/>
          <w:szCs w:val="16"/>
        </w:rPr>
        <w:t>Tillmann HL</w:t>
      </w:r>
      <w:r w:rsidRPr="000E2301">
        <w:rPr>
          <w:color w:val="000000"/>
          <w:spacing w:val="-1"/>
          <w:kern w:val="0"/>
          <w:sz w:val="16"/>
          <w:szCs w:val="16"/>
        </w:rPr>
        <w:t xml:space="preserve">, Hadem J, Leifeld L, Zachou K, Canbay A, Eisenbach C, Graziadei I, Encke J, Schmidt H, Vogel W, Schneider A, Spengler U, Gerken G, Dalekos GN, Wedemeyer H, Manns MP. </w:t>
      </w:r>
      <w:proofErr w:type="gramStart"/>
      <w:r w:rsidRPr="000E2301">
        <w:rPr>
          <w:color w:val="000000"/>
          <w:spacing w:val="-1"/>
          <w:kern w:val="0"/>
          <w:sz w:val="16"/>
          <w:szCs w:val="16"/>
        </w:rPr>
        <w:t>Safety and efficacy of lamivudine in patients with severe acute or fulminant hepatitis B, a multicenter experience.</w:t>
      </w:r>
      <w:proofErr w:type="gramEnd"/>
      <w:r w:rsidRPr="000E2301">
        <w:rPr>
          <w:color w:val="000000"/>
          <w:spacing w:val="-1"/>
          <w:kern w:val="0"/>
          <w:sz w:val="16"/>
          <w:szCs w:val="16"/>
        </w:rPr>
        <w:t xml:space="preserve"> </w:t>
      </w:r>
      <w:r w:rsidRPr="000E2301">
        <w:rPr>
          <w:i/>
          <w:iCs/>
          <w:color w:val="000000"/>
          <w:spacing w:val="-1"/>
          <w:kern w:val="0"/>
          <w:sz w:val="16"/>
          <w:szCs w:val="16"/>
        </w:rPr>
        <w:t>J Viral Hepat</w:t>
      </w:r>
      <w:r w:rsidRPr="000E2301">
        <w:rPr>
          <w:color w:val="000000"/>
          <w:spacing w:val="-1"/>
          <w:kern w:val="0"/>
          <w:sz w:val="16"/>
          <w:szCs w:val="16"/>
        </w:rPr>
        <w:t xml:space="preserve"> 2006; </w:t>
      </w:r>
      <w:r w:rsidRPr="000E2301">
        <w:rPr>
          <w:b/>
          <w:bCs/>
          <w:color w:val="000000"/>
          <w:spacing w:val="-1"/>
          <w:kern w:val="0"/>
          <w:sz w:val="16"/>
          <w:szCs w:val="16"/>
        </w:rPr>
        <w:t>13</w:t>
      </w:r>
      <w:r w:rsidRPr="000E2301">
        <w:rPr>
          <w:color w:val="000000"/>
          <w:spacing w:val="-1"/>
          <w:kern w:val="0"/>
          <w:sz w:val="16"/>
          <w:szCs w:val="16"/>
        </w:rPr>
        <w:t>: 256-263 [PMID: 16611192]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26</w:t>
      </w:r>
      <w:r w:rsidRPr="000E2301">
        <w:rPr>
          <w:color w:val="000000"/>
          <w:spacing w:val="-1"/>
          <w:kern w:val="0"/>
          <w:sz w:val="16"/>
          <w:szCs w:val="16"/>
        </w:rPr>
        <w:tab/>
      </w:r>
      <w:r w:rsidRPr="000E2301">
        <w:rPr>
          <w:b/>
          <w:bCs/>
          <w:color w:val="000000"/>
          <w:spacing w:val="-1"/>
          <w:kern w:val="0"/>
          <w:sz w:val="16"/>
          <w:szCs w:val="16"/>
        </w:rPr>
        <w:t>Roche B</w:t>
      </w:r>
      <w:r w:rsidRPr="000E2301">
        <w:rPr>
          <w:color w:val="000000"/>
          <w:spacing w:val="-1"/>
          <w:kern w:val="0"/>
          <w:sz w:val="16"/>
          <w:szCs w:val="16"/>
        </w:rPr>
        <w:t xml:space="preserve">, Samuel D. </w:t>
      </w:r>
      <w:proofErr w:type="gramStart"/>
      <w:r w:rsidRPr="000E2301">
        <w:rPr>
          <w:color w:val="000000"/>
          <w:spacing w:val="-1"/>
          <w:kern w:val="0"/>
          <w:sz w:val="16"/>
          <w:szCs w:val="16"/>
        </w:rPr>
        <w:t>The difficulties of managing severe hepatitis B virus reactivation.</w:t>
      </w:r>
      <w:proofErr w:type="gramEnd"/>
      <w:r w:rsidRPr="000E2301">
        <w:rPr>
          <w:color w:val="000000"/>
          <w:spacing w:val="-1"/>
          <w:kern w:val="0"/>
          <w:sz w:val="16"/>
          <w:szCs w:val="16"/>
        </w:rPr>
        <w:t xml:space="preserve"> </w:t>
      </w:r>
      <w:r w:rsidRPr="000E2301">
        <w:rPr>
          <w:i/>
          <w:iCs/>
          <w:color w:val="000000"/>
          <w:spacing w:val="-1"/>
          <w:kern w:val="0"/>
          <w:sz w:val="16"/>
          <w:szCs w:val="16"/>
        </w:rPr>
        <w:t>Liver Int</w:t>
      </w:r>
      <w:r w:rsidRPr="000E2301">
        <w:rPr>
          <w:color w:val="000000"/>
          <w:spacing w:val="-1"/>
          <w:kern w:val="0"/>
          <w:sz w:val="16"/>
          <w:szCs w:val="16"/>
        </w:rPr>
        <w:t xml:space="preserve"> 2011; </w:t>
      </w:r>
      <w:r w:rsidRPr="000E2301">
        <w:rPr>
          <w:b/>
          <w:bCs/>
          <w:color w:val="000000"/>
          <w:spacing w:val="-1"/>
          <w:kern w:val="0"/>
          <w:sz w:val="16"/>
          <w:szCs w:val="16"/>
        </w:rPr>
        <w:t xml:space="preserve">31 </w:t>
      </w:r>
      <w:r w:rsidRPr="000E2301">
        <w:rPr>
          <w:color w:val="000000"/>
          <w:spacing w:val="-1"/>
          <w:kern w:val="0"/>
          <w:sz w:val="16"/>
          <w:szCs w:val="16"/>
        </w:rPr>
        <w:t>Suppl 1: 104-110 [PMID: 21205146 DOI: 10.1111/j.1478-3231.2010.02396.x]</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27</w:t>
      </w:r>
      <w:r w:rsidRPr="000E2301">
        <w:rPr>
          <w:color w:val="000000"/>
          <w:spacing w:val="-1"/>
          <w:kern w:val="0"/>
          <w:sz w:val="16"/>
          <w:szCs w:val="16"/>
        </w:rPr>
        <w:tab/>
      </w:r>
      <w:r w:rsidRPr="000E2301">
        <w:rPr>
          <w:b/>
          <w:bCs/>
          <w:color w:val="000000"/>
          <w:spacing w:val="-2"/>
          <w:kern w:val="0"/>
          <w:sz w:val="16"/>
          <w:szCs w:val="16"/>
        </w:rPr>
        <w:t>Huprikar S</w:t>
      </w:r>
      <w:r w:rsidRPr="000E2301">
        <w:rPr>
          <w:color w:val="000000"/>
          <w:spacing w:val="-2"/>
          <w:kern w:val="0"/>
          <w:sz w:val="16"/>
          <w:szCs w:val="16"/>
        </w:rPr>
        <w:t xml:space="preserve">, Danziger-Isakov L, Ahn J, Naugler S, Blumberg E, Avery RK, Koval C, Lease ED, Pillai A, Doucette KE, Levitsky J, Morris MI, Lu K, McDermott JK, Mone T, Orlowski JP, Dadhania DM, Abbott K, Horslen S, Laskin BL, Mougdil A, Venkat VL, Korenblat K, Kumar V, Grossi P, Bloom RD, Brown K, Kotton CN, Kumar D. Solid organ transplantation from hepatitis B virus-positive donors: consensus guidelines for recipient management. </w:t>
      </w:r>
      <w:r w:rsidRPr="000E2301">
        <w:rPr>
          <w:i/>
          <w:iCs/>
          <w:color w:val="000000"/>
          <w:spacing w:val="-2"/>
          <w:kern w:val="0"/>
          <w:sz w:val="16"/>
          <w:szCs w:val="16"/>
        </w:rPr>
        <w:t>Am J Transplant</w:t>
      </w:r>
      <w:r w:rsidRPr="000E2301">
        <w:rPr>
          <w:color w:val="000000"/>
          <w:spacing w:val="-2"/>
          <w:kern w:val="0"/>
          <w:sz w:val="16"/>
          <w:szCs w:val="16"/>
        </w:rPr>
        <w:t xml:space="preserve"> 2015; </w:t>
      </w:r>
      <w:r w:rsidRPr="000E2301">
        <w:rPr>
          <w:b/>
          <w:bCs/>
          <w:color w:val="000000"/>
          <w:spacing w:val="-2"/>
          <w:kern w:val="0"/>
          <w:sz w:val="16"/>
          <w:szCs w:val="16"/>
        </w:rPr>
        <w:t>15</w:t>
      </w:r>
      <w:r w:rsidRPr="000E2301">
        <w:rPr>
          <w:color w:val="000000"/>
          <w:spacing w:val="-2"/>
          <w:kern w:val="0"/>
          <w:sz w:val="16"/>
          <w:szCs w:val="16"/>
        </w:rPr>
        <w:t>: 1162-1172 [PMID: 25707744 DOI: 10.1111/ajt.13187]</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28</w:t>
      </w:r>
      <w:r w:rsidRPr="000E2301">
        <w:rPr>
          <w:color w:val="000000"/>
          <w:spacing w:val="-1"/>
          <w:kern w:val="0"/>
          <w:sz w:val="16"/>
          <w:szCs w:val="16"/>
        </w:rPr>
        <w:tab/>
      </w:r>
      <w:r w:rsidRPr="000E2301">
        <w:rPr>
          <w:b/>
          <w:bCs/>
          <w:color w:val="000000"/>
          <w:spacing w:val="-1"/>
          <w:kern w:val="0"/>
          <w:sz w:val="16"/>
          <w:szCs w:val="16"/>
        </w:rPr>
        <w:t>Wright AJ</w:t>
      </w:r>
      <w:r w:rsidRPr="000E2301">
        <w:rPr>
          <w:color w:val="000000"/>
          <w:spacing w:val="-1"/>
          <w:kern w:val="0"/>
          <w:sz w:val="16"/>
          <w:szCs w:val="16"/>
        </w:rPr>
        <w:t xml:space="preserve">, Fishman JA, Chung RT. Lamivudine compared with newer antivirals for prophylaxis of hepatitis B core antibody positive livers: a cost-effectiveness analysis. </w:t>
      </w:r>
      <w:r w:rsidRPr="000E2301">
        <w:rPr>
          <w:i/>
          <w:iCs/>
          <w:color w:val="000000"/>
          <w:spacing w:val="-1"/>
          <w:kern w:val="0"/>
          <w:sz w:val="16"/>
          <w:szCs w:val="16"/>
        </w:rPr>
        <w:t>Am J Transplant</w:t>
      </w:r>
      <w:r w:rsidRPr="000E2301">
        <w:rPr>
          <w:color w:val="000000"/>
          <w:spacing w:val="-1"/>
          <w:kern w:val="0"/>
          <w:sz w:val="16"/>
          <w:szCs w:val="16"/>
        </w:rPr>
        <w:t xml:space="preserve"> 2014; </w:t>
      </w:r>
      <w:r w:rsidRPr="000E2301">
        <w:rPr>
          <w:b/>
          <w:bCs/>
          <w:color w:val="000000"/>
          <w:spacing w:val="-1"/>
          <w:kern w:val="0"/>
          <w:sz w:val="16"/>
          <w:szCs w:val="16"/>
        </w:rPr>
        <w:t>14</w:t>
      </w:r>
      <w:r w:rsidRPr="000E2301">
        <w:rPr>
          <w:color w:val="000000"/>
          <w:spacing w:val="-1"/>
          <w:kern w:val="0"/>
          <w:sz w:val="16"/>
          <w:szCs w:val="16"/>
        </w:rPr>
        <w:t>: 629-634 [PMID: 24460820 DOI: 10.1111/ajt.12598]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29</w:t>
      </w:r>
      <w:r w:rsidRPr="000E2301">
        <w:rPr>
          <w:color w:val="000000"/>
          <w:spacing w:val="-1"/>
          <w:kern w:val="0"/>
          <w:sz w:val="16"/>
          <w:szCs w:val="16"/>
        </w:rPr>
        <w:tab/>
      </w:r>
      <w:r w:rsidRPr="000E2301">
        <w:rPr>
          <w:b/>
          <w:bCs/>
          <w:color w:val="000000"/>
          <w:spacing w:val="-1"/>
          <w:kern w:val="0"/>
          <w:sz w:val="16"/>
          <w:szCs w:val="16"/>
        </w:rPr>
        <w:t>Loomba R</w:t>
      </w:r>
      <w:r w:rsidRPr="000E2301">
        <w:rPr>
          <w:color w:val="000000"/>
          <w:spacing w:val="-1"/>
          <w:kern w:val="0"/>
          <w:sz w:val="16"/>
          <w:szCs w:val="16"/>
        </w:rPr>
        <w:t xml:space="preserve">, Rowley A, Wesley R, Liang TJ, Hoofnagle JH, Pucino F, Csako G. Systematic review: the effect of preventive lamivudine on hepatitis B reactivation during chemotherapy. </w:t>
      </w:r>
      <w:r w:rsidRPr="000E2301">
        <w:rPr>
          <w:i/>
          <w:iCs/>
          <w:color w:val="000000"/>
          <w:spacing w:val="-1"/>
          <w:kern w:val="0"/>
          <w:sz w:val="16"/>
          <w:szCs w:val="16"/>
        </w:rPr>
        <w:t>Ann Intern Med</w:t>
      </w:r>
      <w:r w:rsidRPr="000E2301">
        <w:rPr>
          <w:color w:val="000000"/>
          <w:spacing w:val="-1"/>
          <w:kern w:val="0"/>
          <w:sz w:val="16"/>
          <w:szCs w:val="16"/>
        </w:rPr>
        <w:t xml:space="preserve"> 2008; </w:t>
      </w:r>
      <w:r w:rsidRPr="000E2301">
        <w:rPr>
          <w:b/>
          <w:bCs/>
          <w:color w:val="000000"/>
          <w:spacing w:val="-1"/>
          <w:kern w:val="0"/>
          <w:sz w:val="16"/>
          <w:szCs w:val="16"/>
        </w:rPr>
        <w:t>148</w:t>
      </w:r>
      <w:r w:rsidRPr="000E2301">
        <w:rPr>
          <w:color w:val="000000"/>
          <w:spacing w:val="-1"/>
          <w:kern w:val="0"/>
          <w:sz w:val="16"/>
          <w:szCs w:val="16"/>
        </w:rPr>
        <w:t>: 519-528 [PMID: 18378948]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30</w:t>
      </w:r>
      <w:r w:rsidRPr="000E2301">
        <w:rPr>
          <w:color w:val="000000"/>
          <w:spacing w:val="-1"/>
          <w:kern w:val="0"/>
          <w:sz w:val="16"/>
          <w:szCs w:val="16"/>
        </w:rPr>
        <w:tab/>
      </w:r>
      <w:r w:rsidRPr="000E2301">
        <w:rPr>
          <w:b/>
          <w:bCs/>
          <w:color w:val="000000"/>
          <w:spacing w:val="-1"/>
          <w:kern w:val="0"/>
          <w:sz w:val="16"/>
          <w:szCs w:val="16"/>
        </w:rPr>
        <w:t>Liberek A</w:t>
      </w:r>
      <w:r w:rsidRPr="000E2301">
        <w:rPr>
          <w:color w:val="000000"/>
          <w:spacing w:val="-1"/>
          <w:kern w:val="0"/>
          <w:sz w:val="16"/>
          <w:szCs w:val="16"/>
        </w:rPr>
        <w:t xml:space="preserve">, Szaflarska-Popławska A, Korzon M, Łuczak G, Góra-Gebka M, Łoś-Rycharska E, Bako W, Czerwionka-Szaflarska M. Lamivudine therapy for children with chronic hepatitis B. </w:t>
      </w:r>
      <w:r w:rsidRPr="000E2301">
        <w:rPr>
          <w:i/>
          <w:iCs/>
          <w:color w:val="000000"/>
          <w:spacing w:val="-1"/>
          <w:kern w:val="0"/>
          <w:sz w:val="16"/>
          <w:szCs w:val="16"/>
        </w:rPr>
        <w:t>World J Gastroenterol</w:t>
      </w:r>
      <w:r w:rsidRPr="000E2301">
        <w:rPr>
          <w:color w:val="000000"/>
          <w:spacing w:val="-1"/>
          <w:kern w:val="0"/>
          <w:sz w:val="16"/>
          <w:szCs w:val="16"/>
        </w:rPr>
        <w:t xml:space="preserve"> 2006; </w:t>
      </w:r>
      <w:r w:rsidRPr="000E2301">
        <w:rPr>
          <w:b/>
          <w:bCs/>
          <w:color w:val="000000"/>
          <w:spacing w:val="-1"/>
          <w:kern w:val="0"/>
          <w:sz w:val="16"/>
          <w:szCs w:val="16"/>
        </w:rPr>
        <w:t>12</w:t>
      </w:r>
      <w:r w:rsidRPr="000E2301">
        <w:rPr>
          <w:color w:val="000000"/>
          <w:spacing w:val="-1"/>
          <w:kern w:val="0"/>
          <w:sz w:val="16"/>
          <w:szCs w:val="16"/>
        </w:rPr>
        <w:t>: 2412-2416 [PMID: 16688835]</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31</w:t>
      </w:r>
      <w:r w:rsidRPr="000E2301">
        <w:rPr>
          <w:color w:val="000000"/>
          <w:spacing w:val="-1"/>
          <w:kern w:val="0"/>
          <w:sz w:val="16"/>
          <w:szCs w:val="16"/>
        </w:rPr>
        <w:tab/>
      </w:r>
      <w:r w:rsidRPr="000E2301">
        <w:rPr>
          <w:b/>
          <w:bCs/>
          <w:color w:val="000000"/>
          <w:spacing w:val="-1"/>
          <w:kern w:val="0"/>
          <w:sz w:val="16"/>
          <w:szCs w:val="16"/>
        </w:rPr>
        <w:t>Baharin J</w:t>
      </w:r>
      <w:r w:rsidRPr="000E2301">
        <w:rPr>
          <w:color w:val="000000"/>
          <w:spacing w:val="-1"/>
          <w:kern w:val="0"/>
          <w:sz w:val="16"/>
          <w:szCs w:val="16"/>
        </w:rPr>
        <w:t xml:space="preserve">, Sahari NS, Lim SM. Rhabdomyolysis due to Lamivudine administration in acute viral hepatitis B infection: a case report from Malaysia. </w:t>
      </w:r>
      <w:r w:rsidRPr="000E2301">
        <w:rPr>
          <w:i/>
          <w:iCs/>
          <w:color w:val="000000"/>
          <w:spacing w:val="-1"/>
          <w:kern w:val="0"/>
          <w:sz w:val="16"/>
          <w:szCs w:val="16"/>
        </w:rPr>
        <w:t>Electron Physician</w:t>
      </w:r>
      <w:r w:rsidRPr="000E2301">
        <w:rPr>
          <w:color w:val="000000"/>
          <w:spacing w:val="-1"/>
          <w:kern w:val="0"/>
          <w:sz w:val="16"/>
          <w:szCs w:val="16"/>
        </w:rPr>
        <w:t xml:space="preserve"> 2014; </w:t>
      </w:r>
      <w:r w:rsidRPr="000E2301">
        <w:rPr>
          <w:b/>
          <w:bCs/>
          <w:color w:val="000000"/>
          <w:spacing w:val="-1"/>
          <w:kern w:val="0"/>
          <w:sz w:val="16"/>
          <w:szCs w:val="16"/>
        </w:rPr>
        <w:t>6</w:t>
      </w:r>
      <w:r w:rsidRPr="000E2301">
        <w:rPr>
          <w:color w:val="000000"/>
          <w:spacing w:val="-1"/>
          <w:kern w:val="0"/>
          <w:sz w:val="16"/>
          <w:szCs w:val="16"/>
        </w:rPr>
        <w:t>: 863-867 [PMID: 25763159 DOI: 10.14661/2014.863-86]</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32</w:t>
      </w:r>
      <w:r w:rsidRPr="000E2301">
        <w:rPr>
          <w:color w:val="000000"/>
          <w:spacing w:val="-1"/>
          <w:kern w:val="0"/>
          <w:sz w:val="16"/>
          <w:szCs w:val="16"/>
        </w:rPr>
        <w:tab/>
      </w:r>
      <w:r w:rsidRPr="000E2301">
        <w:rPr>
          <w:b/>
          <w:bCs/>
          <w:color w:val="000000"/>
          <w:spacing w:val="-1"/>
          <w:kern w:val="0"/>
          <w:sz w:val="16"/>
          <w:szCs w:val="16"/>
        </w:rPr>
        <w:t>Yahagi K</w:t>
      </w:r>
      <w:r w:rsidRPr="000E2301">
        <w:rPr>
          <w:color w:val="000000"/>
          <w:spacing w:val="-1"/>
          <w:kern w:val="0"/>
          <w:sz w:val="16"/>
          <w:szCs w:val="16"/>
        </w:rPr>
        <w:t xml:space="preserve">, Ueno Y, Mano Y, Shimosegawa T. Rhabdomyolytic syndrome during the lamivudine therapy for acute exacerbation of chronic type B hepatitis. </w:t>
      </w:r>
      <w:r w:rsidRPr="000E2301">
        <w:rPr>
          <w:i/>
          <w:iCs/>
          <w:color w:val="000000"/>
          <w:spacing w:val="-1"/>
          <w:kern w:val="0"/>
          <w:sz w:val="16"/>
          <w:szCs w:val="16"/>
        </w:rPr>
        <w:t>Liver Transpl</w:t>
      </w:r>
      <w:r w:rsidRPr="000E2301">
        <w:rPr>
          <w:color w:val="000000"/>
          <w:spacing w:val="-1"/>
          <w:kern w:val="0"/>
          <w:sz w:val="16"/>
          <w:szCs w:val="16"/>
        </w:rPr>
        <w:t xml:space="preserve"> 2002; </w:t>
      </w:r>
      <w:r w:rsidRPr="000E2301">
        <w:rPr>
          <w:b/>
          <w:bCs/>
          <w:color w:val="000000"/>
          <w:spacing w:val="-1"/>
          <w:kern w:val="0"/>
          <w:sz w:val="16"/>
          <w:szCs w:val="16"/>
        </w:rPr>
        <w:t>8</w:t>
      </w:r>
      <w:r w:rsidRPr="000E2301">
        <w:rPr>
          <w:color w:val="000000"/>
          <w:spacing w:val="-1"/>
          <w:kern w:val="0"/>
          <w:sz w:val="16"/>
          <w:szCs w:val="16"/>
        </w:rPr>
        <w:t>: 1198-1199 [PMID: 12474162]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33</w:t>
      </w:r>
      <w:r w:rsidRPr="000E2301">
        <w:rPr>
          <w:color w:val="000000"/>
          <w:spacing w:val="-1"/>
          <w:kern w:val="0"/>
          <w:sz w:val="16"/>
          <w:szCs w:val="16"/>
        </w:rPr>
        <w:tab/>
      </w:r>
      <w:r w:rsidRPr="000E2301">
        <w:rPr>
          <w:b/>
          <w:bCs/>
          <w:color w:val="000000"/>
          <w:spacing w:val="-1"/>
          <w:kern w:val="0"/>
          <w:sz w:val="16"/>
          <w:szCs w:val="16"/>
        </w:rPr>
        <w:t>Holt SG</w:t>
      </w:r>
      <w:r w:rsidRPr="000E2301">
        <w:rPr>
          <w:color w:val="000000"/>
          <w:spacing w:val="-1"/>
          <w:kern w:val="0"/>
          <w:sz w:val="16"/>
          <w:szCs w:val="16"/>
        </w:rPr>
        <w:t xml:space="preserve">, Moore KP. </w:t>
      </w:r>
      <w:proofErr w:type="gramStart"/>
      <w:r w:rsidRPr="000E2301">
        <w:rPr>
          <w:color w:val="000000"/>
          <w:spacing w:val="-1"/>
          <w:kern w:val="0"/>
          <w:sz w:val="16"/>
          <w:szCs w:val="16"/>
        </w:rPr>
        <w:t>Pathogenesis and treatment of renal dysfunc</w:t>
      </w:r>
      <w:r w:rsidRPr="000E2301">
        <w:rPr>
          <w:color w:val="000000"/>
          <w:spacing w:val="-1"/>
          <w:kern w:val="0"/>
          <w:sz w:val="16"/>
          <w:szCs w:val="16"/>
        </w:rPr>
        <w:softHyphen/>
        <w:t>tion in rhabdomyolysis.</w:t>
      </w:r>
      <w:proofErr w:type="gramEnd"/>
      <w:r w:rsidRPr="000E2301">
        <w:rPr>
          <w:color w:val="000000"/>
          <w:spacing w:val="-1"/>
          <w:kern w:val="0"/>
          <w:sz w:val="16"/>
          <w:szCs w:val="16"/>
        </w:rPr>
        <w:t xml:space="preserve"> </w:t>
      </w:r>
      <w:r w:rsidRPr="000E2301">
        <w:rPr>
          <w:i/>
          <w:iCs/>
          <w:color w:val="000000"/>
          <w:spacing w:val="-1"/>
          <w:kern w:val="0"/>
          <w:sz w:val="16"/>
          <w:szCs w:val="16"/>
        </w:rPr>
        <w:t>Intensive Care Med</w:t>
      </w:r>
      <w:r w:rsidRPr="000E2301">
        <w:rPr>
          <w:color w:val="000000"/>
          <w:spacing w:val="-1"/>
          <w:kern w:val="0"/>
          <w:sz w:val="16"/>
          <w:szCs w:val="16"/>
        </w:rPr>
        <w:t xml:space="preserve"> 2001; </w:t>
      </w:r>
      <w:r w:rsidRPr="000E2301">
        <w:rPr>
          <w:b/>
          <w:bCs/>
          <w:color w:val="000000"/>
          <w:spacing w:val="-1"/>
          <w:kern w:val="0"/>
          <w:sz w:val="16"/>
          <w:szCs w:val="16"/>
        </w:rPr>
        <w:t>27</w:t>
      </w:r>
      <w:r w:rsidRPr="000E2301">
        <w:rPr>
          <w:color w:val="000000"/>
          <w:spacing w:val="-1"/>
          <w:kern w:val="0"/>
          <w:sz w:val="16"/>
          <w:szCs w:val="16"/>
        </w:rPr>
        <w:t>: 803-811 [PMID: 11430535]</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34</w:t>
      </w:r>
      <w:r w:rsidRPr="000E2301">
        <w:rPr>
          <w:color w:val="000000"/>
          <w:spacing w:val="-1"/>
          <w:kern w:val="0"/>
          <w:sz w:val="16"/>
          <w:szCs w:val="16"/>
        </w:rPr>
        <w:tab/>
      </w:r>
      <w:r w:rsidRPr="000E2301">
        <w:rPr>
          <w:b/>
          <w:bCs/>
          <w:color w:val="000000"/>
          <w:spacing w:val="-1"/>
          <w:kern w:val="0"/>
          <w:sz w:val="16"/>
          <w:szCs w:val="16"/>
        </w:rPr>
        <w:t>Adani GL</w:t>
      </w:r>
      <w:r w:rsidRPr="000E2301">
        <w:rPr>
          <w:color w:val="000000"/>
          <w:spacing w:val="-1"/>
          <w:kern w:val="0"/>
          <w:sz w:val="16"/>
          <w:szCs w:val="16"/>
        </w:rPr>
        <w:t xml:space="preserve">, Baccarani U, Risaliti A, Bresadola F, Della Rocca G, Viale P. Rhabdomyolysis due to Lamivudine administration in a liver transplant recipient. </w:t>
      </w:r>
      <w:r w:rsidRPr="000E2301">
        <w:rPr>
          <w:i/>
          <w:iCs/>
          <w:color w:val="000000"/>
          <w:spacing w:val="-1"/>
          <w:kern w:val="0"/>
          <w:sz w:val="16"/>
          <w:szCs w:val="16"/>
        </w:rPr>
        <w:t>Am J Transplant</w:t>
      </w:r>
      <w:r w:rsidRPr="000E2301">
        <w:rPr>
          <w:color w:val="000000"/>
          <w:spacing w:val="-1"/>
          <w:kern w:val="0"/>
          <w:sz w:val="16"/>
          <w:szCs w:val="16"/>
        </w:rPr>
        <w:t xml:space="preserve"> 2005; </w:t>
      </w:r>
      <w:r w:rsidRPr="000E2301">
        <w:rPr>
          <w:b/>
          <w:bCs/>
          <w:color w:val="000000"/>
          <w:spacing w:val="-1"/>
          <w:kern w:val="0"/>
          <w:sz w:val="16"/>
          <w:szCs w:val="16"/>
        </w:rPr>
        <w:t>5</w:t>
      </w:r>
      <w:r w:rsidRPr="000E2301">
        <w:rPr>
          <w:color w:val="000000"/>
          <w:spacing w:val="-1"/>
          <w:kern w:val="0"/>
          <w:sz w:val="16"/>
          <w:szCs w:val="16"/>
        </w:rPr>
        <w:t>: 634 [PMID: 15707423]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35</w:t>
      </w:r>
      <w:r w:rsidRPr="000E2301">
        <w:rPr>
          <w:color w:val="000000"/>
          <w:spacing w:val="-1"/>
          <w:kern w:val="0"/>
          <w:sz w:val="16"/>
          <w:szCs w:val="16"/>
        </w:rPr>
        <w:tab/>
      </w:r>
      <w:r w:rsidRPr="000E2301">
        <w:rPr>
          <w:b/>
          <w:bCs/>
          <w:color w:val="000000"/>
          <w:spacing w:val="-1"/>
          <w:kern w:val="0"/>
          <w:sz w:val="16"/>
          <w:szCs w:val="16"/>
        </w:rPr>
        <w:t>Song X</w:t>
      </w:r>
      <w:r w:rsidRPr="000E2301">
        <w:rPr>
          <w:color w:val="000000"/>
          <w:spacing w:val="-1"/>
          <w:kern w:val="0"/>
          <w:sz w:val="16"/>
          <w:szCs w:val="16"/>
        </w:rPr>
        <w:t xml:space="preserve">, Hu Z, Zhang H. Acute dystonia induced by lamivudine. </w:t>
      </w:r>
      <w:r w:rsidRPr="000E2301">
        <w:rPr>
          <w:i/>
          <w:iCs/>
          <w:color w:val="000000"/>
          <w:spacing w:val="-1"/>
          <w:kern w:val="0"/>
          <w:sz w:val="16"/>
          <w:szCs w:val="16"/>
        </w:rPr>
        <w:t>Clin Neuropharmacol</w:t>
      </w:r>
      <w:r w:rsidRPr="000E2301">
        <w:rPr>
          <w:color w:val="000000"/>
          <w:spacing w:val="-1"/>
          <w:kern w:val="0"/>
          <w:sz w:val="16"/>
          <w:szCs w:val="16"/>
        </w:rPr>
        <w:t xml:space="preserve"> 2005; </w:t>
      </w:r>
      <w:r w:rsidRPr="000E2301">
        <w:rPr>
          <w:b/>
          <w:bCs/>
          <w:color w:val="000000"/>
          <w:spacing w:val="-1"/>
          <w:kern w:val="0"/>
          <w:sz w:val="16"/>
          <w:szCs w:val="16"/>
        </w:rPr>
        <w:t>28</w:t>
      </w:r>
      <w:r w:rsidRPr="000E2301">
        <w:rPr>
          <w:color w:val="000000"/>
          <w:spacing w:val="-1"/>
          <w:kern w:val="0"/>
          <w:sz w:val="16"/>
          <w:szCs w:val="16"/>
        </w:rPr>
        <w:t>: 193-194 [PMID: 16062101]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36</w:t>
      </w:r>
      <w:r w:rsidRPr="000E2301">
        <w:rPr>
          <w:color w:val="000000"/>
          <w:spacing w:val="-1"/>
          <w:kern w:val="0"/>
          <w:sz w:val="16"/>
          <w:szCs w:val="16"/>
        </w:rPr>
        <w:tab/>
      </w:r>
      <w:r w:rsidRPr="000E2301">
        <w:rPr>
          <w:b/>
          <w:bCs/>
          <w:color w:val="000000"/>
          <w:spacing w:val="-1"/>
          <w:kern w:val="0"/>
          <w:sz w:val="16"/>
          <w:szCs w:val="16"/>
        </w:rPr>
        <w:t>Kaptanoglu AF</w:t>
      </w:r>
      <w:r w:rsidRPr="000E2301">
        <w:rPr>
          <w:color w:val="000000"/>
          <w:spacing w:val="-1"/>
          <w:kern w:val="0"/>
          <w:sz w:val="16"/>
          <w:szCs w:val="16"/>
        </w:rPr>
        <w:t xml:space="preserve">, Kutluay L. Ichthyosiform eruption associated with lamivudine in a patient with chronic hepatitis-B infection. </w:t>
      </w:r>
      <w:r w:rsidRPr="000E2301">
        <w:rPr>
          <w:i/>
          <w:iCs/>
          <w:color w:val="000000"/>
          <w:spacing w:val="-1"/>
          <w:kern w:val="0"/>
          <w:sz w:val="16"/>
          <w:szCs w:val="16"/>
        </w:rPr>
        <w:t>Int J Clin Pract</w:t>
      </w:r>
      <w:r w:rsidRPr="000E2301">
        <w:rPr>
          <w:color w:val="000000"/>
          <w:spacing w:val="-1"/>
          <w:kern w:val="0"/>
          <w:sz w:val="16"/>
          <w:szCs w:val="16"/>
        </w:rPr>
        <w:t xml:space="preserve"> 2005; </w:t>
      </w:r>
      <w:r w:rsidRPr="000E2301">
        <w:rPr>
          <w:b/>
          <w:bCs/>
          <w:color w:val="000000"/>
          <w:spacing w:val="-1"/>
          <w:kern w:val="0"/>
          <w:sz w:val="16"/>
          <w:szCs w:val="16"/>
        </w:rPr>
        <w:t>59</w:t>
      </w:r>
      <w:r w:rsidRPr="000E2301">
        <w:rPr>
          <w:color w:val="000000"/>
          <w:spacing w:val="-1"/>
          <w:kern w:val="0"/>
          <w:sz w:val="16"/>
          <w:szCs w:val="16"/>
        </w:rPr>
        <w:t>: 1237-1238 [PMID: 16178993]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37</w:t>
      </w:r>
      <w:r w:rsidRPr="000E2301">
        <w:rPr>
          <w:color w:val="000000"/>
          <w:spacing w:val="-1"/>
          <w:kern w:val="0"/>
          <w:sz w:val="16"/>
          <w:szCs w:val="16"/>
        </w:rPr>
        <w:tab/>
      </w:r>
      <w:r w:rsidRPr="000E2301">
        <w:rPr>
          <w:b/>
          <w:bCs/>
          <w:color w:val="000000"/>
          <w:spacing w:val="-1"/>
          <w:kern w:val="0"/>
          <w:sz w:val="16"/>
          <w:szCs w:val="16"/>
        </w:rPr>
        <w:t>Tuon FF</w:t>
      </w:r>
      <w:r w:rsidRPr="000E2301">
        <w:rPr>
          <w:color w:val="000000"/>
          <w:spacing w:val="-1"/>
          <w:kern w:val="0"/>
          <w:sz w:val="16"/>
          <w:szCs w:val="16"/>
        </w:rPr>
        <w:t xml:space="preserve">, Guastini CM, Boulos MI. Acute pancreatitis associated with lamivudine therapy for chronic B hepatitis. </w:t>
      </w:r>
      <w:r w:rsidRPr="000E2301">
        <w:rPr>
          <w:i/>
          <w:iCs/>
          <w:color w:val="000000"/>
          <w:spacing w:val="-1"/>
          <w:kern w:val="0"/>
          <w:sz w:val="16"/>
          <w:szCs w:val="16"/>
        </w:rPr>
        <w:t>Braz J Infect Dis</w:t>
      </w:r>
      <w:r w:rsidRPr="000E2301">
        <w:rPr>
          <w:color w:val="000000"/>
          <w:spacing w:val="-1"/>
          <w:kern w:val="0"/>
          <w:sz w:val="16"/>
          <w:szCs w:val="16"/>
        </w:rPr>
        <w:t xml:space="preserve"> 2008; </w:t>
      </w:r>
      <w:r w:rsidRPr="000E2301">
        <w:rPr>
          <w:b/>
          <w:bCs/>
          <w:color w:val="000000"/>
          <w:spacing w:val="-1"/>
          <w:kern w:val="0"/>
          <w:sz w:val="16"/>
          <w:szCs w:val="16"/>
        </w:rPr>
        <w:t>12</w:t>
      </w:r>
      <w:r w:rsidRPr="000E2301">
        <w:rPr>
          <w:color w:val="000000"/>
          <w:spacing w:val="-1"/>
          <w:kern w:val="0"/>
          <w:sz w:val="16"/>
          <w:szCs w:val="16"/>
        </w:rPr>
        <w:t>: 263 [PMID: 19030723]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38</w:t>
      </w:r>
      <w:r w:rsidRPr="000E2301">
        <w:rPr>
          <w:color w:val="000000"/>
          <w:spacing w:val="-1"/>
          <w:kern w:val="0"/>
          <w:sz w:val="16"/>
          <w:szCs w:val="16"/>
        </w:rPr>
        <w:tab/>
      </w:r>
      <w:r w:rsidRPr="000E2301">
        <w:rPr>
          <w:b/>
          <w:bCs/>
          <w:color w:val="000000"/>
          <w:spacing w:val="-1"/>
          <w:kern w:val="0"/>
          <w:sz w:val="16"/>
          <w:szCs w:val="16"/>
        </w:rPr>
        <w:t>Soylu AR</w:t>
      </w:r>
      <w:r w:rsidRPr="000E2301">
        <w:rPr>
          <w:color w:val="000000"/>
          <w:spacing w:val="-1"/>
          <w:kern w:val="0"/>
          <w:sz w:val="16"/>
          <w:szCs w:val="16"/>
        </w:rPr>
        <w:t xml:space="preserve">, Dökmeci G, Tezel A, Cakir B, Umit H, Karahan N, Amuca H. Lamivudine-induced acute pancreatitis in a patient with decompensated Hbv-related chronic liver disease. </w:t>
      </w:r>
      <w:r w:rsidRPr="000E2301">
        <w:rPr>
          <w:i/>
          <w:iCs/>
          <w:color w:val="000000"/>
          <w:spacing w:val="-1"/>
          <w:kern w:val="0"/>
          <w:sz w:val="16"/>
          <w:szCs w:val="16"/>
        </w:rPr>
        <w:t>J Clin Gastroenterol</w:t>
      </w:r>
      <w:r w:rsidRPr="000E2301">
        <w:rPr>
          <w:color w:val="000000"/>
          <w:spacing w:val="-1"/>
          <w:kern w:val="0"/>
          <w:sz w:val="16"/>
          <w:szCs w:val="16"/>
        </w:rPr>
        <w:t xml:space="preserve"> 2004; </w:t>
      </w:r>
      <w:r w:rsidRPr="000E2301">
        <w:rPr>
          <w:b/>
          <w:bCs/>
          <w:color w:val="000000"/>
          <w:spacing w:val="-1"/>
          <w:kern w:val="0"/>
          <w:sz w:val="16"/>
          <w:szCs w:val="16"/>
        </w:rPr>
        <w:t>38</w:t>
      </w:r>
      <w:r w:rsidRPr="000E2301">
        <w:rPr>
          <w:color w:val="000000"/>
          <w:spacing w:val="-1"/>
          <w:kern w:val="0"/>
          <w:sz w:val="16"/>
          <w:szCs w:val="16"/>
        </w:rPr>
        <w:t>: 134 [PMID: 14745288]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39</w:t>
      </w:r>
      <w:r w:rsidRPr="000E2301">
        <w:rPr>
          <w:color w:val="000000"/>
          <w:spacing w:val="-1"/>
          <w:kern w:val="0"/>
          <w:sz w:val="16"/>
          <w:szCs w:val="16"/>
        </w:rPr>
        <w:tab/>
      </w:r>
      <w:r w:rsidRPr="000E2301">
        <w:rPr>
          <w:b/>
          <w:bCs/>
          <w:color w:val="000000"/>
          <w:spacing w:val="-1"/>
          <w:kern w:val="0"/>
          <w:sz w:val="16"/>
          <w:szCs w:val="16"/>
        </w:rPr>
        <w:t>Matthews SJ</w:t>
      </w:r>
      <w:r w:rsidRPr="000E2301">
        <w:rPr>
          <w:color w:val="000000"/>
          <w:spacing w:val="-1"/>
          <w:kern w:val="0"/>
          <w:sz w:val="16"/>
          <w:szCs w:val="16"/>
        </w:rPr>
        <w:t xml:space="preserve">. </w:t>
      </w:r>
      <w:proofErr w:type="gramStart"/>
      <w:r w:rsidRPr="000E2301">
        <w:rPr>
          <w:color w:val="000000"/>
          <w:spacing w:val="-1"/>
          <w:kern w:val="0"/>
          <w:sz w:val="16"/>
          <w:szCs w:val="16"/>
        </w:rPr>
        <w:t>Telbivudine for the management of chronic hepatitis B virus infection.</w:t>
      </w:r>
      <w:proofErr w:type="gramEnd"/>
      <w:r w:rsidRPr="000E2301">
        <w:rPr>
          <w:color w:val="000000"/>
          <w:spacing w:val="-1"/>
          <w:kern w:val="0"/>
          <w:sz w:val="16"/>
          <w:szCs w:val="16"/>
        </w:rPr>
        <w:t xml:space="preserve"> </w:t>
      </w:r>
      <w:r w:rsidRPr="000E2301">
        <w:rPr>
          <w:i/>
          <w:iCs/>
          <w:color w:val="000000"/>
          <w:spacing w:val="-1"/>
          <w:kern w:val="0"/>
          <w:sz w:val="16"/>
          <w:szCs w:val="16"/>
        </w:rPr>
        <w:t>Clin Ther</w:t>
      </w:r>
      <w:r w:rsidRPr="000E2301">
        <w:rPr>
          <w:color w:val="000000"/>
          <w:spacing w:val="-1"/>
          <w:kern w:val="0"/>
          <w:sz w:val="16"/>
          <w:szCs w:val="16"/>
        </w:rPr>
        <w:t xml:space="preserve"> 2007; </w:t>
      </w:r>
      <w:r w:rsidRPr="000E2301">
        <w:rPr>
          <w:b/>
          <w:bCs/>
          <w:color w:val="000000"/>
          <w:spacing w:val="-1"/>
          <w:kern w:val="0"/>
          <w:sz w:val="16"/>
          <w:szCs w:val="16"/>
        </w:rPr>
        <w:t>29</w:t>
      </w:r>
      <w:r w:rsidRPr="000E2301">
        <w:rPr>
          <w:color w:val="000000"/>
          <w:spacing w:val="-1"/>
          <w:kern w:val="0"/>
          <w:sz w:val="16"/>
          <w:szCs w:val="16"/>
        </w:rPr>
        <w:t>: 2635-2653 [PMID: 18201580 DOI: 10.1016/j.clinthera.2007.12.032]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40</w:t>
      </w:r>
      <w:r w:rsidRPr="000E2301">
        <w:rPr>
          <w:color w:val="000000"/>
          <w:spacing w:val="-1"/>
          <w:kern w:val="0"/>
          <w:sz w:val="16"/>
          <w:szCs w:val="16"/>
        </w:rPr>
        <w:tab/>
      </w:r>
      <w:r w:rsidRPr="000E2301">
        <w:rPr>
          <w:b/>
          <w:bCs/>
          <w:color w:val="000000"/>
          <w:spacing w:val="-2"/>
          <w:kern w:val="0"/>
          <w:sz w:val="16"/>
          <w:szCs w:val="16"/>
        </w:rPr>
        <w:t>Wang YH</w:t>
      </w:r>
      <w:r w:rsidRPr="000E2301">
        <w:rPr>
          <w:color w:val="000000"/>
          <w:spacing w:val="-2"/>
          <w:kern w:val="0"/>
          <w:sz w:val="16"/>
          <w:szCs w:val="16"/>
        </w:rPr>
        <w:t>, Wu BQ, Liu H. Continuous venovenous hemodia</w:t>
      </w:r>
      <w:r w:rsidRPr="000E2301">
        <w:rPr>
          <w:color w:val="000000"/>
          <w:spacing w:val="-2"/>
          <w:kern w:val="0"/>
          <w:sz w:val="16"/>
          <w:szCs w:val="16"/>
        </w:rPr>
        <w:softHyphen/>
        <w:t xml:space="preserve">filtration for hyperlactatemia caused by telbivudine in a patient with chronic hepatitis B: a case report and update review. </w:t>
      </w:r>
      <w:r w:rsidRPr="000E2301">
        <w:rPr>
          <w:i/>
          <w:iCs/>
          <w:color w:val="000000"/>
          <w:spacing w:val="-2"/>
          <w:kern w:val="0"/>
          <w:sz w:val="16"/>
          <w:szCs w:val="16"/>
        </w:rPr>
        <w:t>J Dig Dis</w:t>
      </w:r>
      <w:r w:rsidRPr="000E2301">
        <w:rPr>
          <w:color w:val="000000"/>
          <w:spacing w:val="-2"/>
          <w:kern w:val="0"/>
          <w:sz w:val="16"/>
          <w:szCs w:val="16"/>
        </w:rPr>
        <w:t xml:space="preserve"> 2015; </w:t>
      </w:r>
      <w:r w:rsidRPr="000E2301">
        <w:rPr>
          <w:b/>
          <w:bCs/>
          <w:color w:val="000000"/>
          <w:spacing w:val="-2"/>
          <w:kern w:val="0"/>
          <w:sz w:val="16"/>
          <w:szCs w:val="16"/>
        </w:rPr>
        <w:t>16</w:t>
      </w:r>
      <w:r w:rsidRPr="000E2301">
        <w:rPr>
          <w:color w:val="000000"/>
          <w:spacing w:val="-2"/>
          <w:kern w:val="0"/>
          <w:sz w:val="16"/>
          <w:szCs w:val="16"/>
        </w:rPr>
        <w:t>: 164-167 [PMID: 25043654 DOI: 10.1111/1751-2980.12173]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41</w:t>
      </w:r>
      <w:r w:rsidRPr="000E2301">
        <w:rPr>
          <w:color w:val="000000"/>
          <w:spacing w:val="-1"/>
          <w:kern w:val="0"/>
          <w:sz w:val="16"/>
          <w:szCs w:val="16"/>
        </w:rPr>
        <w:tab/>
      </w:r>
      <w:r w:rsidRPr="000E2301">
        <w:rPr>
          <w:b/>
          <w:bCs/>
          <w:color w:val="000000"/>
          <w:spacing w:val="-2"/>
          <w:kern w:val="0"/>
          <w:sz w:val="16"/>
          <w:szCs w:val="16"/>
        </w:rPr>
        <w:t>Zou XJ</w:t>
      </w:r>
      <w:r w:rsidRPr="000E2301">
        <w:rPr>
          <w:color w:val="000000"/>
          <w:spacing w:val="-2"/>
          <w:kern w:val="0"/>
          <w:sz w:val="16"/>
          <w:szCs w:val="16"/>
        </w:rPr>
        <w:t xml:space="preserve">, Jiang XQ, Tian DY. Clinical features and risk factors of creatine kinase elevations and myopathy associated with telbivudine. </w:t>
      </w:r>
      <w:r w:rsidRPr="000E2301">
        <w:rPr>
          <w:i/>
          <w:iCs/>
          <w:color w:val="000000"/>
          <w:spacing w:val="-2"/>
          <w:kern w:val="0"/>
          <w:sz w:val="16"/>
          <w:szCs w:val="16"/>
        </w:rPr>
        <w:t>J Viral Hepat</w:t>
      </w:r>
      <w:r w:rsidRPr="000E2301">
        <w:rPr>
          <w:color w:val="000000"/>
          <w:spacing w:val="-2"/>
          <w:kern w:val="0"/>
          <w:sz w:val="16"/>
          <w:szCs w:val="16"/>
        </w:rPr>
        <w:t xml:space="preserve"> 2011; </w:t>
      </w:r>
      <w:r w:rsidRPr="000E2301">
        <w:rPr>
          <w:b/>
          <w:bCs/>
          <w:color w:val="000000"/>
          <w:spacing w:val="-2"/>
          <w:kern w:val="0"/>
          <w:sz w:val="16"/>
          <w:szCs w:val="16"/>
        </w:rPr>
        <w:t>18</w:t>
      </w:r>
      <w:r w:rsidRPr="000E2301">
        <w:rPr>
          <w:color w:val="000000"/>
          <w:spacing w:val="-2"/>
          <w:kern w:val="0"/>
          <w:sz w:val="16"/>
          <w:szCs w:val="16"/>
        </w:rPr>
        <w:t>: 892-896 [PMID: 22093034 DOI: 10.1111/j.1365-2893.2010.01412.x]</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42</w:t>
      </w:r>
      <w:r w:rsidRPr="000E2301">
        <w:rPr>
          <w:color w:val="000000"/>
          <w:spacing w:val="-1"/>
          <w:kern w:val="0"/>
          <w:sz w:val="16"/>
          <w:szCs w:val="16"/>
        </w:rPr>
        <w:tab/>
      </w:r>
      <w:r w:rsidRPr="000E2301">
        <w:rPr>
          <w:b/>
          <w:bCs/>
          <w:color w:val="000000"/>
          <w:spacing w:val="-1"/>
          <w:kern w:val="0"/>
          <w:sz w:val="16"/>
          <w:szCs w:val="16"/>
        </w:rPr>
        <w:t>Zhang XS</w:t>
      </w:r>
      <w:r w:rsidRPr="000E2301">
        <w:rPr>
          <w:color w:val="000000"/>
          <w:spacing w:val="-1"/>
          <w:kern w:val="0"/>
          <w:sz w:val="16"/>
          <w:szCs w:val="16"/>
        </w:rPr>
        <w:t xml:space="preserve">, Jin R, Zhang SB, Tao ML. Clinical features of adverse reactions associated with telbivudine. </w:t>
      </w:r>
      <w:r w:rsidRPr="000E2301">
        <w:rPr>
          <w:i/>
          <w:iCs/>
          <w:color w:val="000000"/>
          <w:spacing w:val="-1"/>
          <w:kern w:val="0"/>
          <w:sz w:val="16"/>
          <w:szCs w:val="16"/>
        </w:rPr>
        <w:t>World J Gastroenterol</w:t>
      </w:r>
      <w:r w:rsidRPr="000E2301">
        <w:rPr>
          <w:color w:val="000000"/>
          <w:spacing w:val="-1"/>
          <w:kern w:val="0"/>
          <w:sz w:val="16"/>
          <w:szCs w:val="16"/>
        </w:rPr>
        <w:t xml:space="preserve"> 2008; </w:t>
      </w:r>
      <w:r w:rsidRPr="000E2301">
        <w:rPr>
          <w:b/>
          <w:bCs/>
          <w:color w:val="000000"/>
          <w:spacing w:val="-1"/>
          <w:kern w:val="0"/>
          <w:sz w:val="16"/>
          <w:szCs w:val="16"/>
        </w:rPr>
        <w:t>14</w:t>
      </w:r>
      <w:r w:rsidRPr="000E2301">
        <w:rPr>
          <w:color w:val="000000"/>
          <w:spacing w:val="-1"/>
          <w:kern w:val="0"/>
          <w:sz w:val="16"/>
          <w:szCs w:val="16"/>
        </w:rPr>
        <w:t>: 3549-3553 [PMID: 18567085]</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0E2301">
        <w:rPr>
          <w:color w:val="000000"/>
          <w:spacing w:val="-1"/>
          <w:kern w:val="0"/>
          <w:sz w:val="16"/>
          <w:szCs w:val="16"/>
        </w:rPr>
        <w:t>43</w:t>
      </w:r>
      <w:r w:rsidRPr="000E2301">
        <w:rPr>
          <w:color w:val="000000"/>
          <w:spacing w:val="-1"/>
          <w:kern w:val="0"/>
          <w:sz w:val="16"/>
          <w:szCs w:val="16"/>
        </w:rPr>
        <w:tab/>
      </w:r>
      <w:r w:rsidRPr="000E2301">
        <w:rPr>
          <w:b/>
          <w:bCs/>
          <w:color w:val="000000"/>
          <w:spacing w:val="-1"/>
          <w:kern w:val="0"/>
          <w:sz w:val="16"/>
          <w:szCs w:val="16"/>
        </w:rPr>
        <w:t>Jin JL</w:t>
      </w:r>
      <w:r w:rsidRPr="000E2301">
        <w:rPr>
          <w:color w:val="000000"/>
          <w:spacing w:val="-1"/>
          <w:kern w:val="0"/>
          <w:sz w:val="16"/>
          <w:szCs w:val="16"/>
        </w:rPr>
        <w:t>, Hu P, Lu JH, Luo SS, Huang XY, Weng XH, Zhang JM.</w:t>
      </w:r>
      <w:proofErr w:type="gramEnd"/>
      <w:r w:rsidRPr="000E2301">
        <w:rPr>
          <w:color w:val="000000"/>
          <w:spacing w:val="-1"/>
          <w:kern w:val="0"/>
          <w:sz w:val="16"/>
          <w:szCs w:val="16"/>
        </w:rPr>
        <w:t xml:space="preserve"> Lactic acidosis during telbivudine treatment for HBV: a case report and literature review. </w:t>
      </w:r>
      <w:r w:rsidRPr="000E2301">
        <w:rPr>
          <w:i/>
          <w:iCs/>
          <w:color w:val="000000"/>
          <w:spacing w:val="-1"/>
          <w:kern w:val="0"/>
          <w:sz w:val="16"/>
          <w:szCs w:val="16"/>
        </w:rPr>
        <w:t>World J Gastroenterol</w:t>
      </w:r>
      <w:r w:rsidRPr="000E2301">
        <w:rPr>
          <w:color w:val="000000"/>
          <w:spacing w:val="-1"/>
          <w:kern w:val="0"/>
          <w:sz w:val="16"/>
          <w:szCs w:val="16"/>
        </w:rPr>
        <w:t xml:space="preserve"> 2013; </w:t>
      </w:r>
      <w:r w:rsidRPr="000E2301">
        <w:rPr>
          <w:b/>
          <w:bCs/>
          <w:color w:val="000000"/>
          <w:spacing w:val="-1"/>
          <w:kern w:val="0"/>
          <w:sz w:val="16"/>
          <w:szCs w:val="16"/>
        </w:rPr>
        <w:t>19</w:t>
      </w:r>
      <w:r w:rsidRPr="000E2301">
        <w:rPr>
          <w:color w:val="000000"/>
          <w:spacing w:val="-1"/>
          <w:kern w:val="0"/>
          <w:sz w:val="16"/>
          <w:szCs w:val="16"/>
        </w:rPr>
        <w:t>: 5575-5580 [PMID: 24023503 DOI: 10.3748/wjg.v19.i33.5575]</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44</w:t>
      </w:r>
      <w:r w:rsidRPr="000E2301">
        <w:rPr>
          <w:color w:val="000000"/>
          <w:spacing w:val="-1"/>
          <w:kern w:val="0"/>
          <w:sz w:val="16"/>
          <w:szCs w:val="16"/>
        </w:rPr>
        <w:tab/>
      </w:r>
      <w:r w:rsidRPr="000E2301">
        <w:rPr>
          <w:b/>
          <w:bCs/>
          <w:color w:val="000000"/>
          <w:spacing w:val="-2"/>
          <w:kern w:val="0"/>
          <w:sz w:val="16"/>
          <w:szCs w:val="16"/>
        </w:rPr>
        <w:t>Lai CL</w:t>
      </w:r>
      <w:r w:rsidRPr="000E2301">
        <w:rPr>
          <w:color w:val="000000"/>
          <w:spacing w:val="-2"/>
          <w:kern w:val="0"/>
          <w:sz w:val="16"/>
          <w:szCs w:val="16"/>
        </w:rPr>
        <w:t>, Leung N, Teo EK, Tong M, Wong F, Hann HW, Han S, Poynard T, Myers M, Chao G, Lloyd D, Brown NA; Telbivudine Phase II Investigator Group. A 1-year trial of telbivudine, lamivu</w:t>
      </w:r>
      <w:r w:rsidRPr="000E2301">
        <w:rPr>
          <w:color w:val="000000"/>
          <w:spacing w:val="-2"/>
          <w:kern w:val="0"/>
          <w:sz w:val="16"/>
          <w:szCs w:val="16"/>
        </w:rPr>
        <w:softHyphen/>
        <w:t xml:space="preserve">dine, and the combination in patients with hepatitis B e antigen-positive chronic hepatitis B. </w:t>
      </w:r>
      <w:r w:rsidRPr="000E2301">
        <w:rPr>
          <w:i/>
          <w:iCs/>
          <w:color w:val="000000"/>
          <w:spacing w:val="-2"/>
          <w:kern w:val="0"/>
          <w:sz w:val="16"/>
          <w:szCs w:val="16"/>
        </w:rPr>
        <w:t>Gastroenterology</w:t>
      </w:r>
      <w:r w:rsidRPr="000E2301">
        <w:rPr>
          <w:color w:val="000000"/>
          <w:spacing w:val="-2"/>
          <w:kern w:val="0"/>
          <w:sz w:val="16"/>
          <w:szCs w:val="16"/>
        </w:rPr>
        <w:t xml:space="preserve"> 2005; </w:t>
      </w:r>
      <w:r w:rsidRPr="000E2301">
        <w:rPr>
          <w:b/>
          <w:bCs/>
          <w:color w:val="000000"/>
          <w:spacing w:val="-2"/>
          <w:kern w:val="0"/>
          <w:sz w:val="16"/>
          <w:szCs w:val="16"/>
        </w:rPr>
        <w:t>129</w:t>
      </w:r>
      <w:r w:rsidRPr="000E2301">
        <w:rPr>
          <w:color w:val="000000"/>
          <w:spacing w:val="-2"/>
          <w:kern w:val="0"/>
          <w:sz w:val="16"/>
          <w:szCs w:val="16"/>
        </w:rPr>
        <w:t>: 528-536 [PMID: 16083710]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lastRenderedPageBreak/>
        <w:t>45</w:t>
      </w:r>
      <w:r w:rsidRPr="000E2301">
        <w:rPr>
          <w:color w:val="000000"/>
          <w:spacing w:val="-1"/>
          <w:kern w:val="0"/>
          <w:sz w:val="16"/>
          <w:szCs w:val="16"/>
        </w:rPr>
        <w:tab/>
      </w:r>
      <w:r w:rsidRPr="000E2301">
        <w:rPr>
          <w:b/>
          <w:bCs/>
          <w:color w:val="000000"/>
          <w:spacing w:val="-1"/>
          <w:kern w:val="0"/>
          <w:sz w:val="16"/>
          <w:szCs w:val="16"/>
        </w:rPr>
        <w:t>Marcellin P</w:t>
      </w:r>
      <w:r w:rsidRPr="000E2301">
        <w:rPr>
          <w:color w:val="000000"/>
          <w:spacing w:val="-1"/>
          <w:kern w:val="0"/>
          <w:sz w:val="16"/>
          <w:szCs w:val="16"/>
        </w:rPr>
        <w:t xml:space="preserve">, Chang TT, Lim SG, Tong MJ, Sievert W, Shiffman ML, Jeffers L, Goodman Z, Wulfsohn MS, Xiong S, Fry J, Brosgart CL; </w:t>
      </w:r>
      <w:r w:rsidRPr="000E2301">
        <w:rPr>
          <w:color w:val="000000"/>
          <w:spacing w:val="-1"/>
          <w:kern w:val="0"/>
          <w:sz w:val="16"/>
        </w:rPr>
        <w:t>Adefovir Dipivoxil 437 Study Group</w:t>
      </w:r>
      <w:r w:rsidRPr="000E2301">
        <w:rPr>
          <w:color w:val="000000"/>
          <w:spacing w:val="-1"/>
          <w:kern w:val="0"/>
          <w:sz w:val="16"/>
          <w:szCs w:val="16"/>
        </w:rPr>
        <w:t xml:space="preserve">. Adefovir dipivoxil for the treatment of hepatitis B e antigen-positive chronic hepatitis B. </w:t>
      </w:r>
      <w:r w:rsidRPr="000E2301">
        <w:rPr>
          <w:i/>
          <w:iCs/>
          <w:color w:val="000000"/>
          <w:spacing w:val="-1"/>
          <w:kern w:val="0"/>
          <w:sz w:val="16"/>
          <w:szCs w:val="16"/>
        </w:rPr>
        <w:t>N Engl J Med</w:t>
      </w:r>
      <w:r w:rsidRPr="000E2301">
        <w:rPr>
          <w:color w:val="000000"/>
          <w:spacing w:val="-1"/>
          <w:kern w:val="0"/>
          <w:sz w:val="16"/>
          <w:szCs w:val="16"/>
        </w:rPr>
        <w:t xml:space="preserve"> 2003; </w:t>
      </w:r>
      <w:r w:rsidRPr="000E2301">
        <w:rPr>
          <w:b/>
          <w:bCs/>
          <w:color w:val="000000"/>
          <w:spacing w:val="-1"/>
          <w:kern w:val="0"/>
          <w:sz w:val="16"/>
          <w:szCs w:val="16"/>
        </w:rPr>
        <w:t>348</w:t>
      </w:r>
      <w:r w:rsidRPr="000E2301">
        <w:rPr>
          <w:color w:val="000000"/>
          <w:spacing w:val="-1"/>
          <w:kern w:val="0"/>
          <w:sz w:val="16"/>
          <w:szCs w:val="16"/>
        </w:rPr>
        <w:t>: 808-816 [PMID: 12606735]</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46</w:t>
      </w:r>
      <w:r w:rsidRPr="000E2301">
        <w:rPr>
          <w:color w:val="000000"/>
          <w:spacing w:val="-1"/>
          <w:kern w:val="0"/>
          <w:sz w:val="16"/>
          <w:szCs w:val="16"/>
        </w:rPr>
        <w:tab/>
      </w:r>
      <w:r w:rsidRPr="000E2301">
        <w:rPr>
          <w:b/>
          <w:bCs/>
          <w:color w:val="000000"/>
          <w:spacing w:val="-2"/>
          <w:kern w:val="0"/>
          <w:sz w:val="16"/>
          <w:szCs w:val="16"/>
        </w:rPr>
        <w:t>Dando T</w:t>
      </w:r>
      <w:r w:rsidRPr="000E2301">
        <w:rPr>
          <w:color w:val="000000"/>
          <w:spacing w:val="-2"/>
          <w:kern w:val="0"/>
          <w:sz w:val="16"/>
          <w:szCs w:val="16"/>
        </w:rPr>
        <w:t xml:space="preserve">, Plosker G. Adefovir dipivoxil: a review of its use in chronic hepatitis B. </w:t>
      </w:r>
      <w:r w:rsidRPr="000E2301">
        <w:rPr>
          <w:i/>
          <w:iCs/>
          <w:color w:val="000000"/>
          <w:spacing w:val="-2"/>
          <w:kern w:val="0"/>
          <w:sz w:val="16"/>
          <w:szCs w:val="16"/>
        </w:rPr>
        <w:t>Drugs</w:t>
      </w:r>
      <w:r w:rsidRPr="000E2301">
        <w:rPr>
          <w:color w:val="000000"/>
          <w:spacing w:val="-2"/>
          <w:kern w:val="0"/>
          <w:sz w:val="16"/>
          <w:szCs w:val="16"/>
        </w:rPr>
        <w:t xml:space="preserve"> 2003; </w:t>
      </w:r>
      <w:r w:rsidRPr="000E2301">
        <w:rPr>
          <w:b/>
          <w:bCs/>
          <w:color w:val="000000"/>
          <w:spacing w:val="-2"/>
          <w:kern w:val="0"/>
          <w:sz w:val="16"/>
          <w:szCs w:val="16"/>
        </w:rPr>
        <w:t>63</w:t>
      </w:r>
      <w:r w:rsidRPr="000E2301">
        <w:rPr>
          <w:color w:val="000000"/>
          <w:spacing w:val="-2"/>
          <w:kern w:val="0"/>
          <w:sz w:val="16"/>
          <w:szCs w:val="16"/>
        </w:rPr>
        <w:t>: 2215-2234 [PMID: 14498759]</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47</w:t>
      </w:r>
      <w:r w:rsidRPr="000E2301">
        <w:rPr>
          <w:color w:val="000000"/>
          <w:spacing w:val="-1"/>
          <w:kern w:val="0"/>
          <w:sz w:val="16"/>
          <w:szCs w:val="16"/>
        </w:rPr>
        <w:tab/>
      </w:r>
      <w:r w:rsidRPr="000E2301">
        <w:rPr>
          <w:b/>
          <w:bCs/>
          <w:color w:val="000000"/>
          <w:spacing w:val="-1"/>
          <w:kern w:val="0"/>
          <w:sz w:val="16"/>
          <w:szCs w:val="16"/>
        </w:rPr>
        <w:t>Sokal EM</w:t>
      </w:r>
      <w:r w:rsidRPr="000E2301">
        <w:rPr>
          <w:color w:val="000000"/>
          <w:spacing w:val="-1"/>
          <w:kern w:val="0"/>
          <w:sz w:val="16"/>
          <w:szCs w:val="16"/>
        </w:rPr>
        <w:t xml:space="preserve">, Kelly D, Wirth S, Mizerski J, Dhawan A, Frederick D. </w:t>
      </w:r>
      <w:proofErr w:type="gramStart"/>
      <w:r w:rsidRPr="000E2301">
        <w:rPr>
          <w:color w:val="000000"/>
          <w:spacing w:val="-1"/>
          <w:kern w:val="0"/>
          <w:sz w:val="16"/>
          <w:szCs w:val="16"/>
        </w:rPr>
        <w:t>The pharmacokinetics and safety of adefovir dipivoxil in children and adolescents with chronic hepatitis B virus infection.</w:t>
      </w:r>
      <w:proofErr w:type="gramEnd"/>
      <w:r w:rsidRPr="000E2301">
        <w:rPr>
          <w:color w:val="000000"/>
          <w:spacing w:val="-1"/>
          <w:kern w:val="0"/>
          <w:sz w:val="16"/>
          <w:szCs w:val="16"/>
        </w:rPr>
        <w:t xml:space="preserve"> </w:t>
      </w:r>
      <w:r w:rsidRPr="000E2301">
        <w:rPr>
          <w:i/>
          <w:iCs/>
          <w:color w:val="000000"/>
          <w:spacing w:val="-1"/>
          <w:kern w:val="0"/>
          <w:sz w:val="16"/>
          <w:szCs w:val="16"/>
        </w:rPr>
        <w:t>J Clin Pharmacol</w:t>
      </w:r>
      <w:r w:rsidRPr="000E2301">
        <w:rPr>
          <w:color w:val="000000"/>
          <w:spacing w:val="-1"/>
          <w:kern w:val="0"/>
          <w:sz w:val="16"/>
          <w:szCs w:val="16"/>
        </w:rPr>
        <w:t xml:space="preserve"> 2008; </w:t>
      </w:r>
      <w:r w:rsidRPr="000E2301">
        <w:rPr>
          <w:b/>
          <w:bCs/>
          <w:color w:val="000000"/>
          <w:spacing w:val="-1"/>
          <w:kern w:val="0"/>
          <w:sz w:val="16"/>
          <w:szCs w:val="16"/>
        </w:rPr>
        <w:t>48</w:t>
      </w:r>
      <w:r w:rsidRPr="000E2301">
        <w:rPr>
          <w:color w:val="000000"/>
          <w:spacing w:val="-1"/>
          <w:kern w:val="0"/>
          <w:sz w:val="16"/>
          <w:szCs w:val="16"/>
        </w:rPr>
        <w:t>: 512-517 [PMID: 18276803 DOI: 10.1177/0091270007313325]</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48</w:t>
      </w:r>
      <w:r w:rsidRPr="000E2301">
        <w:rPr>
          <w:color w:val="000000"/>
          <w:spacing w:val="-1"/>
          <w:kern w:val="0"/>
          <w:sz w:val="16"/>
          <w:szCs w:val="16"/>
        </w:rPr>
        <w:tab/>
      </w:r>
      <w:r w:rsidRPr="000E2301">
        <w:rPr>
          <w:b/>
          <w:bCs/>
          <w:color w:val="000000"/>
          <w:spacing w:val="-2"/>
          <w:kern w:val="0"/>
          <w:sz w:val="16"/>
          <w:szCs w:val="16"/>
        </w:rPr>
        <w:t>Hadziyannis SJ</w:t>
      </w:r>
      <w:r w:rsidRPr="000E2301">
        <w:rPr>
          <w:color w:val="000000"/>
          <w:spacing w:val="-2"/>
          <w:kern w:val="0"/>
          <w:sz w:val="16"/>
          <w:szCs w:val="16"/>
        </w:rPr>
        <w:t xml:space="preserve">, Tassopoulos NC, Heathcote EJ, Chang TT, Kitis G, Rizzetto M, Marcellin P, Lim SG, Goodman Z, Wulfsohn MS, Xiong S, Fry J, Brosgart CL; Adefovir Dipivoxil 438 Study Group. Adefovir dipivoxil for the treatment of hepatitis B e antigen-negative chronic hepatitis B. </w:t>
      </w:r>
      <w:r w:rsidRPr="000E2301">
        <w:rPr>
          <w:i/>
          <w:iCs/>
          <w:color w:val="000000"/>
          <w:spacing w:val="-2"/>
          <w:kern w:val="0"/>
          <w:sz w:val="16"/>
          <w:szCs w:val="16"/>
        </w:rPr>
        <w:t>N Engl J Med</w:t>
      </w:r>
      <w:r w:rsidRPr="000E2301">
        <w:rPr>
          <w:color w:val="000000"/>
          <w:spacing w:val="-2"/>
          <w:kern w:val="0"/>
          <w:sz w:val="16"/>
          <w:szCs w:val="16"/>
        </w:rPr>
        <w:t xml:space="preserve"> 2003; </w:t>
      </w:r>
      <w:r w:rsidRPr="000E2301">
        <w:rPr>
          <w:b/>
          <w:bCs/>
          <w:color w:val="000000"/>
          <w:spacing w:val="-2"/>
          <w:kern w:val="0"/>
          <w:sz w:val="16"/>
          <w:szCs w:val="16"/>
        </w:rPr>
        <w:t>348</w:t>
      </w:r>
      <w:r w:rsidRPr="000E2301">
        <w:rPr>
          <w:color w:val="000000"/>
          <w:spacing w:val="-2"/>
          <w:kern w:val="0"/>
          <w:sz w:val="16"/>
          <w:szCs w:val="16"/>
        </w:rPr>
        <w:t>: 800-807 [PMID: 12606734]</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49</w:t>
      </w:r>
      <w:r w:rsidRPr="000E2301">
        <w:rPr>
          <w:color w:val="000000"/>
          <w:spacing w:val="-1"/>
          <w:kern w:val="0"/>
          <w:sz w:val="16"/>
          <w:szCs w:val="16"/>
        </w:rPr>
        <w:tab/>
      </w:r>
      <w:r w:rsidRPr="000E2301">
        <w:rPr>
          <w:b/>
          <w:bCs/>
          <w:color w:val="000000"/>
          <w:spacing w:val="-1"/>
          <w:kern w:val="0"/>
          <w:sz w:val="16"/>
          <w:szCs w:val="16"/>
        </w:rPr>
        <w:t>Lange CM</w:t>
      </w:r>
      <w:r w:rsidRPr="000E2301">
        <w:rPr>
          <w:color w:val="000000"/>
          <w:spacing w:val="-1"/>
          <w:kern w:val="0"/>
          <w:sz w:val="16"/>
          <w:szCs w:val="16"/>
        </w:rPr>
        <w:t xml:space="preserve">, Bojunga J, Hofmann WP, Wunder K, Mihm U, Zeuzem S, Sarrazin C. Severe lactic acidosis during treatment of chronic hepatitis B with entecavir in patients with impaired liver function. </w:t>
      </w:r>
      <w:r w:rsidRPr="000E2301">
        <w:rPr>
          <w:i/>
          <w:iCs/>
          <w:color w:val="000000"/>
          <w:spacing w:val="-1"/>
          <w:kern w:val="0"/>
          <w:sz w:val="16"/>
          <w:szCs w:val="16"/>
        </w:rPr>
        <w:t>Hepatology</w:t>
      </w:r>
      <w:r w:rsidRPr="000E2301">
        <w:rPr>
          <w:color w:val="000000"/>
          <w:spacing w:val="-1"/>
          <w:kern w:val="0"/>
          <w:sz w:val="16"/>
          <w:szCs w:val="16"/>
        </w:rPr>
        <w:t xml:space="preserve"> 2009; </w:t>
      </w:r>
      <w:r w:rsidRPr="000E2301">
        <w:rPr>
          <w:b/>
          <w:bCs/>
          <w:color w:val="000000"/>
          <w:spacing w:val="-1"/>
          <w:kern w:val="0"/>
          <w:sz w:val="16"/>
          <w:szCs w:val="16"/>
        </w:rPr>
        <w:t>50</w:t>
      </w:r>
      <w:r w:rsidRPr="000E2301">
        <w:rPr>
          <w:color w:val="000000"/>
          <w:spacing w:val="-1"/>
          <w:kern w:val="0"/>
          <w:sz w:val="16"/>
          <w:szCs w:val="16"/>
        </w:rPr>
        <w:t>: 2001-2006 [PMID: 19937695 DOI: 10.1002/hep.23346]</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50</w:t>
      </w:r>
      <w:r w:rsidRPr="000E2301">
        <w:rPr>
          <w:color w:val="000000"/>
          <w:spacing w:val="-1"/>
          <w:kern w:val="0"/>
          <w:sz w:val="16"/>
          <w:szCs w:val="16"/>
        </w:rPr>
        <w:tab/>
      </w:r>
      <w:r w:rsidRPr="000E2301">
        <w:rPr>
          <w:b/>
          <w:bCs/>
          <w:color w:val="000000"/>
          <w:spacing w:val="-1"/>
          <w:kern w:val="0"/>
          <w:sz w:val="16"/>
          <w:szCs w:val="16"/>
        </w:rPr>
        <w:t>Kim SB</w:t>
      </w:r>
      <w:r w:rsidRPr="000E2301">
        <w:rPr>
          <w:color w:val="000000"/>
          <w:spacing w:val="-1"/>
          <w:kern w:val="0"/>
          <w:sz w:val="16"/>
          <w:szCs w:val="16"/>
        </w:rPr>
        <w:t xml:space="preserve">, Kim SU, Kim BK, Park JY, Kim </w:t>
      </w:r>
      <w:proofErr w:type="gramStart"/>
      <w:r w:rsidRPr="000E2301">
        <w:rPr>
          <w:color w:val="000000"/>
          <w:spacing w:val="-1"/>
          <w:kern w:val="0"/>
          <w:sz w:val="16"/>
          <w:szCs w:val="16"/>
        </w:rPr>
        <w:t>do</w:t>
      </w:r>
      <w:proofErr w:type="gramEnd"/>
      <w:r w:rsidRPr="000E2301">
        <w:rPr>
          <w:color w:val="000000"/>
          <w:spacing w:val="-1"/>
          <w:kern w:val="0"/>
          <w:sz w:val="16"/>
          <w:szCs w:val="16"/>
        </w:rPr>
        <w:t xml:space="preserve"> Y, Ahn SH, Han KH. Outcome of adefovir add-on lamivudine rescue therapy of up to 5 years in patients with lamivudine-resistant chronic hepatitis B. </w:t>
      </w:r>
      <w:r w:rsidRPr="000E2301">
        <w:rPr>
          <w:i/>
          <w:iCs/>
          <w:color w:val="000000"/>
          <w:spacing w:val="-1"/>
          <w:kern w:val="0"/>
          <w:sz w:val="16"/>
          <w:szCs w:val="16"/>
        </w:rPr>
        <w:t>J Gastroenterol Hepatol</w:t>
      </w:r>
      <w:r w:rsidRPr="000E2301">
        <w:rPr>
          <w:color w:val="000000"/>
          <w:spacing w:val="-1"/>
          <w:kern w:val="0"/>
          <w:sz w:val="16"/>
          <w:szCs w:val="16"/>
        </w:rPr>
        <w:t xml:space="preserve"> 2016; </w:t>
      </w:r>
      <w:r w:rsidRPr="000E2301">
        <w:rPr>
          <w:b/>
          <w:bCs/>
          <w:color w:val="000000"/>
          <w:spacing w:val="-1"/>
          <w:kern w:val="0"/>
          <w:sz w:val="16"/>
          <w:szCs w:val="16"/>
        </w:rPr>
        <w:t>31</w:t>
      </w:r>
      <w:r w:rsidRPr="000E2301">
        <w:rPr>
          <w:color w:val="000000"/>
          <w:spacing w:val="-1"/>
          <w:kern w:val="0"/>
          <w:sz w:val="16"/>
          <w:szCs w:val="16"/>
        </w:rPr>
        <w:t>: 241-247 [PMID: 26204913 DOI: 10.1111/jgh.13046]</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51</w:t>
      </w:r>
      <w:r w:rsidRPr="000E2301">
        <w:rPr>
          <w:color w:val="000000"/>
          <w:spacing w:val="-1"/>
          <w:kern w:val="0"/>
          <w:sz w:val="16"/>
          <w:szCs w:val="16"/>
        </w:rPr>
        <w:tab/>
      </w:r>
      <w:r w:rsidRPr="000E2301">
        <w:rPr>
          <w:b/>
          <w:bCs/>
          <w:color w:val="000000"/>
          <w:spacing w:val="-1"/>
          <w:kern w:val="0"/>
          <w:sz w:val="16"/>
          <w:szCs w:val="16"/>
        </w:rPr>
        <w:t>Matthews SJ</w:t>
      </w:r>
      <w:r w:rsidRPr="000E2301">
        <w:rPr>
          <w:color w:val="000000"/>
          <w:spacing w:val="-1"/>
          <w:kern w:val="0"/>
          <w:sz w:val="16"/>
          <w:szCs w:val="16"/>
        </w:rPr>
        <w:t xml:space="preserve">. </w:t>
      </w:r>
      <w:proofErr w:type="gramStart"/>
      <w:r w:rsidRPr="000E2301">
        <w:rPr>
          <w:color w:val="000000"/>
          <w:spacing w:val="-1"/>
          <w:kern w:val="0"/>
          <w:sz w:val="16"/>
          <w:szCs w:val="16"/>
        </w:rPr>
        <w:t>Entecavir for the treatment of chronic hepatitis B virus infection.</w:t>
      </w:r>
      <w:proofErr w:type="gramEnd"/>
      <w:r w:rsidRPr="000E2301">
        <w:rPr>
          <w:color w:val="000000"/>
          <w:spacing w:val="-1"/>
          <w:kern w:val="0"/>
          <w:sz w:val="16"/>
          <w:szCs w:val="16"/>
        </w:rPr>
        <w:t xml:space="preserve"> </w:t>
      </w:r>
      <w:r w:rsidRPr="000E2301">
        <w:rPr>
          <w:i/>
          <w:iCs/>
          <w:color w:val="000000"/>
          <w:spacing w:val="-1"/>
          <w:kern w:val="0"/>
          <w:sz w:val="16"/>
          <w:szCs w:val="16"/>
        </w:rPr>
        <w:t>Clin Ther</w:t>
      </w:r>
      <w:r w:rsidRPr="000E2301">
        <w:rPr>
          <w:color w:val="000000"/>
          <w:spacing w:val="-1"/>
          <w:kern w:val="0"/>
          <w:sz w:val="16"/>
          <w:szCs w:val="16"/>
        </w:rPr>
        <w:t xml:space="preserve"> 2006; </w:t>
      </w:r>
      <w:r w:rsidRPr="000E2301">
        <w:rPr>
          <w:b/>
          <w:bCs/>
          <w:color w:val="000000"/>
          <w:spacing w:val="-1"/>
          <w:kern w:val="0"/>
          <w:sz w:val="16"/>
          <w:szCs w:val="16"/>
        </w:rPr>
        <w:t>28</w:t>
      </w:r>
      <w:r w:rsidRPr="000E2301">
        <w:rPr>
          <w:color w:val="000000"/>
          <w:spacing w:val="-1"/>
          <w:kern w:val="0"/>
          <w:sz w:val="16"/>
          <w:szCs w:val="16"/>
        </w:rPr>
        <w:t>: 184-203 [PMID: 16678641]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52</w:t>
      </w:r>
      <w:r w:rsidRPr="000E2301">
        <w:rPr>
          <w:color w:val="000000"/>
          <w:spacing w:val="-1"/>
          <w:kern w:val="0"/>
          <w:sz w:val="16"/>
          <w:szCs w:val="16"/>
        </w:rPr>
        <w:tab/>
      </w:r>
      <w:r w:rsidRPr="000E2301">
        <w:rPr>
          <w:b/>
          <w:bCs/>
          <w:color w:val="000000"/>
          <w:spacing w:val="-1"/>
          <w:kern w:val="0"/>
          <w:sz w:val="16"/>
          <w:szCs w:val="16"/>
        </w:rPr>
        <w:t>Tangkijvanich P</w:t>
      </w:r>
      <w:r w:rsidRPr="000E2301">
        <w:rPr>
          <w:color w:val="000000"/>
          <w:spacing w:val="-1"/>
          <w:kern w:val="0"/>
          <w:sz w:val="16"/>
          <w:szCs w:val="16"/>
        </w:rPr>
        <w:t xml:space="preserve">, Chittmittraprap S, Poovorawan K, Limothai U, Khlaiphuengsin A, Chuaypen N, Wisedopas N, Poovorawan Y. A randomized clinical trial of peginterferon alpha-2b with or without entecavir in patients with HBeAg-negative chronic hepatitis B: Role of host and viral factors associated with treatment response. </w:t>
      </w:r>
      <w:r w:rsidRPr="000E2301">
        <w:rPr>
          <w:i/>
          <w:iCs/>
          <w:color w:val="000000"/>
          <w:spacing w:val="-1"/>
          <w:kern w:val="0"/>
          <w:sz w:val="16"/>
          <w:szCs w:val="16"/>
        </w:rPr>
        <w:t>J Viral Hepat</w:t>
      </w:r>
      <w:r w:rsidRPr="000E2301">
        <w:rPr>
          <w:color w:val="000000"/>
          <w:spacing w:val="-1"/>
          <w:kern w:val="0"/>
          <w:sz w:val="16"/>
          <w:szCs w:val="16"/>
        </w:rPr>
        <w:t xml:space="preserve"> 2016; </w:t>
      </w:r>
      <w:r w:rsidRPr="000E2301">
        <w:rPr>
          <w:b/>
          <w:bCs/>
          <w:color w:val="000000"/>
          <w:spacing w:val="-1"/>
          <w:kern w:val="0"/>
          <w:sz w:val="16"/>
          <w:szCs w:val="16"/>
        </w:rPr>
        <w:t>23</w:t>
      </w:r>
      <w:r w:rsidRPr="000E2301">
        <w:rPr>
          <w:color w:val="000000"/>
          <w:spacing w:val="-1"/>
          <w:kern w:val="0"/>
          <w:sz w:val="16"/>
          <w:szCs w:val="16"/>
        </w:rPr>
        <w:t>: 427-438 [PMID: 26387494 DOI: 10.1111/jvh.12467]</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53</w:t>
      </w:r>
      <w:r w:rsidRPr="000E2301">
        <w:rPr>
          <w:color w:val="000000"/>
          <w:spacing w:val="-1"/>
          <w:kern w:val="0"/>
          <w:sz w:val="16"/>
          <w:szCs w:val="16"/>
        </w:rPr>
        <w:tab/>
      </w:r>
      <w:r w:rsidRPr="000E2301">
        <w:rPr>
          <w:b/>
          <w:bCs/>
          <w:color w:val="000000"/>
          <w:spacing w:val="-1"/>
          <w:kern w:val="0"/>
          <w:sz w:val="16"/>
          <w:szCs w:val="16"/>
        </w:rPr>
        <w:t>Suzuki F</w:t>
      </w:r>
      <w:r w:rsidRPr="000E2301">
        <w:rPr>
          <w:color w:val="000000"/>
          <w:spacing w:val="-1"/>
          <w:kern w:val="0"/>
          <w:sz w:val="16"/>
          <w:szCs w:val="16"/>
        </w:rPr>
        <w:t xml:space="preserve">, Toyoda J, Katano Y, Sata M, Moriyama M, Imazeki F, Kage M, Seriu T, Omata M, Kumada H. Efficacy and safety of entecavir in lamivudine-refractory patients with chronic hepatitis B: randomized controlled trial in Japanese patients. </w:t>
      </w:r>
      <w:r w:rsidRPr="000E2301">
        <w:rPr>
          <w:i/>
          <w:iCs/>
          <w:color w:val="000000"/>
          <w:spacing w:val="-1"/>
          <w:kern w:val="0"/>
          <w:sz w:val="16"/>
          <w:szCs w:val="16"/>
        </w:rPr>
        <w:t>J Gastroenterol Hepatol</w:t>
      </w:r>
      <w:r w:rsidRPr="000E2301">
        <w:rPr>
          <w:color w:val="000000"/>
          <w:spacing w:val="-1"/>
          <w:kern w:val="0"/>
          <w:sz w:val="16"/>
          <w:szCs w:val="16"/>
        </w:rPr>
        <w:t xml:space="preserve"> 2008; </w:t>
      </w:r>
      <w:r w:rsidRPr="000E2301">
        <w:rPr>
          <w:b/>
          <w:bCs/>
          <w:color w:val="000000"/>
          <w:spacing w:val="-1"/>
          <w:kern w:val="0"/>
          <w:sz w:val="16"/>
          <w:szCs w:val="16"/>
        </w:rPr>
        <w:t>23</w:t>
      </w:r>
      <w:r w:rsidRPr="000E2301">
        <w:rPr>
          <w:color w:val="000000"/>
          <w:spacing w:val="-1"/>
          <w:kern w:val="0"/>
          <w:sz w:val="16"/>
          <w:szCs w:val="16"/>
        </w:rPr>
        <w:t>: 1320-1326 [PMID: 18554238 DOI: 10.1111/j.1440-1746.2008.05455.x]</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54</w:t>
      </w:r>
      <w:r w:rsidRPr="000E2301">
        <w:rPr>
          <w:color w:val="000000"/>
          <w:spacing w:val="-1"/>
          <w:kern w:val="0"/>
          <w:sz w:val="16"/>
          <w:szCs w:val="16"/>
        </w:rPr>
        <w:tab/>
      </w:r>
      <w:r w:rsidRPr="000E2301">
        <w:rPr>
          <w:b/>
          <w:bCs/>
          <w:color w:val="000000"/>
          <w:spacing w:val="-1"/>
          <w:kern w:val="0"/>
          <w:sz w:val="16"/>
          <w:szCs w:val="16"/>
        </w:rPr>
        <w:t>Jonas MM</w:t>
      </w:r>
      <w:r w:rsidRPr="000E2301">
        <w:rPr>
          <w:color w:val="000000"/>
          <w:spacing w:val="-1"/>
          <w:kern w:val="0"/>
          <w:sz w:val="16"/>
          <w:szCs w:val="16"/>
        </w:rPr>
        <w:t xml:space="preserve">, Chang MH, Sokal E, Schwarz KB, Kelly D, Kim KM, Ling SC, Rosenthal P, Oraseanu D, Reynolds L, Thiry A, Ackerman P. Randomized, controlled trial of entecavir versus placebo in children with hepatitis B envelope antigen-positive chronic hepatitis B. </w:t>
      </w:r>
      <w:r w:rsidRPr="000E2301">
        <w:rPr>
          <w:i/>
          <w:iCs/>
          <w:color w:val="000000"/>
          <w:spacing w:val="-1"/>
          <w:kern w:val="0"/>
          <w:sz w:val="16"/>
          <w:szCs w:val="16"/>
        </w:rPr>
        <w:t>Hepatology</w:t>
      </w:r>
      <w:r w:rsidRPr="000E2301">
        <w:rPr>
          <w:color w:val="000000"/>
          <w:spacing w:val="-1"/>
          <w:kern w:val="0"/>
          <w:sz w:val="16"/>
          <w:szCs w:val="16"/>
        </w:rPr>
        <w:t xml:space="preserve"> 2016; </w:t>
      </w:r>
      <w:r w:rsidRPr="000E2301">
        <w:rPr>
          <w:b/>
          <w:bCs/>
          <w:color w:val="000000"/>
          <w:spacing w:val="-1"/>
          <w:kern w:val="0"/>
          <w:sz w:val="16"/>
          <w:szCs w:val="16"/>
        </w:rPr>
        <w:t>63</w:t>
      </w:r>
      <w:r w:rsidRPr="000E2301">
        <w:rPr>
          <w:color w:val="000000"/>
          <w:spacing w:val="-1"/>
          <w:kern w:val="0"/>
          <w:sz w:val="16"/>
          <w:szCs w:val="16"/>
        </w:rPr>
        <w:t>: 377-387 [PMID: 26223345 DOI: 10.1002/hep.28015]</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55</w:t>
      </w:r>
      <w:r w:rsidRPr="000E2301">
        <w:rPr>
          <w:color w:val="000000"/>
          <w:spacing w:val="-1"/>
          <w:kern w:val="0"/>
          <w:sz w:val="16"/>
          <w:szCs w:val="16"/>
        </w:rPr>
        <w:tab/>
      </w:r>
      <w:r w:rsidRPr="000E2301">
        <w:rPr>
          <w:b/>
          <w:bCs/>
          <w:color w:val="000000"/>
          <w:spacing w:val="-1"/>
          <w:kern w:val="0"/>
          <w:sz w:val="16"/>
          <w:szCs w:val="16"/>
        </w:rPr>
        <w:t>Ridruejo E.</w:t>
      </w:r>
      <w:r w:rsidRPr="000E2301">
        <w:rPr>
          <w:color w:val="000000"/>
          <w:spacing w:val="-1"/>
          <w:kern w:val="0"/>
          <w:sz w:val="16"/>
          <w:szCs w:val="16"/>
        </w:rPr>
        <w:t xml:space="preserve"> Treatment of chronic hepatitis B in clinical practice with entecavir or tenofovir. </w:t>
      </w:r>
      <w:r w:rsidRPr="000E2301">
        <w:rPr>
          <w:i/>
          <w:iCs/>
          <w:color w:val="000000"/>
          <w:spacing w:val="-1"/>
          <w:kern w:val="0"/>
          <w:sz w:val="16"/>
          <w:szCs w:val="16"/>
        </w:rPr>
        <w:t>World J Gastroenterol</w:t>
      </w:r>
      <w:r w:rsidRPr="000E2301">
        <w:rPr>
          <w:color w:val="000000"/>
          <w:spacing w:val="-1"/>
          <w:kern w:val="0"/>
          <w:sz w:val="16"/>
          <w:szCs w:val="16"/>
        </w:rPr>
        <w:t xml:space="preserve"> 2014; </w:t>
      </w:r>
      <w:r w:rsidRPr="000E2301">
        <w:rPr>
          <w:b/>
          <w:bCs/>
          <w:color w:val="000000"/>
          <w:spacing w:val="-1"/>
          <w:kern w:val="0"/>
          <w:sz w:val="16"/>
          <w:szCs w:val="16"/>
        </w:rPr>
        <w:t xml:space="preserve">20: </w:t>
      </w:r>
      <w:r w:rsidRPr="000E2301">
        <w:rPr>
          <w:color w:val="000000"/>
          <w:spacing w:val="-1"/>
          <w:kern w:val="0"/>
          <w:sz w:val="16"/>
          <w:szCs w:val="16"/>
        </w:rPr>
        <w:t>7169-80 [PMID: 24966587 DOI: 10.3748/wjg.v20.i23.7169]</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56</w:t>
      </w:r>
      <w:r w:rsidRPr="000E2301">
        <w:rPr>
          <w:color w:val="000000"/>
          <w:spacing w:val="-1"/>
          <w:kern w:val="0"/>
          <w:sz w:val="16"/>
          <w:szCs w:val="16"/>
        </w:rPr>
        <w:tab/>
      </w:r>
      <w:r w:rsidRPr="000E2301">
        <w:rPr>
          <w:b/>
          <w:bCs/>
          <w:color w:val="000000"/>
          <w:spacing w:val="-2"/>
          <w:kern w:val="0"/>
          <w:sz w:val="16"/>
          <w:szCs w:val="16"/>
        </w:rPr>
        <w:t>Mao H</w:t>
      </w:r>
      <w:r w:rsidRPr="000E2301">
        <w:rPr>
          <w:color w:val="000000"/>
          <w:spacing w:val="-2"/>
          <w:kern w:val="0"/>
          <w:sz w:val="16"/>
          <w:szCs w:val="16"/>
        </w:rPr>
        <w:t>, Kang T. Lactic Acidosis during Entecavir Antiviral Treatment in a Patient with Hepatitis B Virus-related Decom</w:t>
      </w:r>
      <w:r w:rsidRPr="000E2301">
        <w:rPr>
          <w:color w:val="000000"/>
          <w:spacing w:val="-2"/>
          <w:kern w:val="0"/>
          <w:sz w:val="16"/>
          <w:szCs w:val="16"/>
        </w:rPr>
        <w:softHyphen/>
        <w:t xml:space="preserve">pensated Cirrhosis. </w:t>
      </w:r>
      <w:r w:rsidRPr="000E2301">
        <w:rPr>
          <w:i/>
          <w:iCs/>
          <w:color w:val="000000"/>
          <w:spacing w:val="-2"/>
          <w:kern w:val="0"/>
          <w:sz w:val="16"/>
          <w:szCs w:val="16"/>
        </w:rPr>
        <w:t>West Indian Med J</w:t>
      </w:r>
      <w:r w:rsidRPr="000E2301">
        <w:rPr>
          <w:color w:val="000000"/>
          <w:spacing w:val="-2"/>
          <w:kern w:val="0"/>
          <w:sz w:val="16"/>
          <w:szCs w:val="16"/>
        </w:rPr>
        <w:t xml:space="preserve"> 2015; </w:t>
      </w:r>
      <w:r w:rsidRPr="000E2301">
        <w:rPr>
          <w:b/>
          <w:bCs/>
          <w:color w:val="000000"/>
          <w:spacing w:val="-2"/>
          <w:kern w:val="0"/>
          <w:sz w:val="16"/>
          <w:szCs w:val="16"/>
        </w:rPr>
        <w:t>64</w:t>
      </w:r>
      <w:r w:rsidRPr="000E2301">
        <w:rPr>
          <w:color w:val="000000"/>
          <w:spacing w:val="-2"/>
          <w:kern w:val="0"/>
          <w:sz w:val="16"/>
          <w:szCs w:val="16"/>
        </w:rPr>
        <w:t>: 165-166 [PMID: 26360694 DOI: 10.7727/wimj.2013.198]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57</w:t>
      </w:r>
      <w:r w:rsidRPr="000E2301">
        <w:rPr>
          <w:color w:val="000000"/>
          <w:spacing w:val="-1"/>
          <w:kern w:val="0"/>
          <w:sz w:val="16"/>
          <w:szCs w:val="16"/>
        </w:rPr>
        <w:tab/>
      </w:r>
      <w:r w:rsidRPr="000E2301">
        <w:rPr>
          <w:b/>
          <w:bCs/>
          <w:color w:val="000000"/>
          <w:spacing w:val="-1"/>
          <w:kern w:val="0"/>
          <w:sz w:val="16"/>
          <w:szCs w:val="16"/>
        </w:rPr>
        <w:t>Mazzucco CE</w:t>
      </w:r>
      <w:r w:rsidRPr="000E2301">
        <w:rPr>
          <w:color w:val="000000"/>
          <w:spacing w:val="-1"/>
          <w:kern w:val="0"/>
          <w:sz w:val="16"/>
          <w:szCs w:val="16"/>
        </w:rPr>
        <w:t xml:space="preserve">, Hamatake RK, Colonno RJ, Tenney DJ. Entecavir for treatment of hepatitis B virus displays no in vitro mitochondrial toxicity or DNA polymerase gamma inhibition. </w:t>
      </w:r>
      <w:r w:rsidRPr="000E2301">
        <w:rPr>
          <w:i/>
          <w:iCs/>
          <w:color w:val="000000"/>
          <w:spacing w:val="-1"/>
          <w:kern w:val="0"/>
          <w:sz w:val="16"/>
          <w:szCs w:val="16"/>
        </w:rPr>
        <w:t>Antimicrob Agents Chemother</w:t>
      </w:r>
      <w:r w:rsidRPr="000E2301">
        <w:rPr>
          <w:color w:val="000000"/>
          <w:spacing w:val="-1"/>
          <w:kern w:val="0"/>
          <w:sz w:val="16"/>
          <w:szCs w:val="16"/>
        </w:rPr>
        <w:t xml:space="preserve"> 2008; </w:t>
      </w:r>
      <w:r w:rsidRPr="000E2301">
        <w:rPr>
          <w:b/>
          <w:bCs/>
          <w:color w:val="000000"/>
          <w:spacing w:val="-1"/>
          <w:kern w:val="0"/>
          <w:sz w:val="16"/>
          <w:szCs w:val="16"/>
        </w:rPr>
        <w:t>52</w:t>
      </w:r>
      <w:r w:rsidRPr="000E2301">
        <w:rPr>
          <w:color w:val="000000"/>
          <w:spacing w:val="-1"/>
          <w:kern w:val="0"/>
          <w:sz w:val="16"/>
          <w:szCs w:val="16"/>
        </w:rPr>
        <w:t>: 598-605 [PMID: 18056280]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58</w:t>
      </w:r>
      <w:r w:rsidRPr="000E2301">
        <w:rPr>
          <w:color w:val="000000"/>
          <w:spacing w:val="-1"/>
          <w:kern w:val="0"/>
          <w:sz w:val="16"/>
          <w:szCs w:val="16"/>
        </w:rPr>
        <w:tab/>
      </w:r>
      <w:r w:rsidRPr="000E2301">
        <w:rPr>
          <w:b/>
          <w:bCs/>
          <w:color w:val="000000"/>
          <w:spacing w:val="-2"/>
          <w:kern w:val="0"/>
          <w:sz w:val="16"/>
          <w:szCs w:val="16"/>
        </w:rPr>
        <w:t>Zhang Y</w:t>
      </w:r>
      <w:r w:rsidRPr="000E2301">
        <w:rPr>
          <w:color w:val="000000"/>
          <w:spacing w:val="-2"/>
          <w:kern w:val="0"/>
          <w:sz w:val="16"/>
          <w:szCs w:val="16"/>
        </w:rPr>
        <w:t xml:space="preserve">, Hu P, Qi X, Ren H, Mao RC, Zhang JM. A comparison </w:t>
      </w:r>
      <w:r w:rsidRPr="000E2301">
        <w:rPr>
          <w:color w:val="000000"/>
          <w:spacing w:val="-3"/>
          <w:kern w:val="0"/>
          <w:sz w:val="16"/>
          <w:szCs w:val="16"/>
        </w:rPr>
        <w:t xml:space="preserve">of telbivudine and entecavir in the treatment of hepatitis B e </w:t>
      </w:r>
      <w:r w:rsidRPr="000E2301">
        <w:rPr>
          <w:color w:val="000000"/>
          <w:spacing w:val="-2"/>
          <w:kern w:val="0"/>
          <w:sz w:val="16"/>
          <w:szCs w:val="16"/>
        </w:rPr>
        <w:t xml:space="preserve">antigen-positive patients: a prospective cohort study in China. </w:t>
      </w:r>
      <w:r w:rsidRPr="000E2301">
        <w:rPr>
          <w:i/>
          <w:iCs/>
          <w:color w:val="000000"/>
          <w:spacing w:val="-2"/>
          <w:kern w:val="0"/>
          <w:sz w:val="16"/>
          <w:szCs w:val="16"/>
        </w:rPr>
        <w:t>Clin Micro</w:t>
      </w:r>
      <w:r w:rsidRPr="000E2301">
        <w:rPr>
          <w:i/>
          <w:iCs/>
          <w:color w:val="000000"/>
          <w:spacing w:val="-2"/>
          <w:kern w:val="0"/>
          <w:sz w:val="16"/>
          <w:szCs w:val="16"/>
        </w:rPr>
        <w:softHyphen/>
      </w:r>
      <w:r w:rsidRPr="000E2301">
        <w:rPr>
          <w:i/>
          <w:iCs/>
          <w:color w:val="000000"/>
          <w:spacing w:val="-3"/>
          <w:kern w:val="0"/>
          <w:sz w:val="16"/>
          <w:szCs w:val="16"/>
        </w:rPr>
        <w:t>biol Infect</w:t>
      </w:r>
      <w:r w:rsidRPr="000E2301">
        <w:rPr>
          <w:color w:val="000000"/>
          <w:spacing w:val="-3"/>
          <w:kern w:val="0"/>
          <w:sz w:val="16"/>
          <w:szCs w:val="16"/>
        </w:rPr>
        <w:t xml:space="preserve"> 2016; </w:t>
      </w:r>
      <w:r w:rsidRPr="000E2301">
        <w:rPr>
          <w:b/>
          <w:bCs/>
          <w:color w:val="000000"/>
          <w:spacing w:val="-3"/>
          <w:kern w:val="0"/>
          <w:sz w:val="16"/>
          <w:szCs w:val="16"/>
        </w:rPr>
        <w:t>22</w:t>
      </w:r>
      <w:r w:rsidRPr="000E2301">
        <w:rPr>
          <w:color w:val="000000"/>
          <w:spacing w:val="-3"/>
          <w:kern w:val="0"/>
          <w:sz w:val="16"/>
          <w:szCs w:val="16"/>
        </w:rPr>
        <w:t xml:space="preserve">: 287.e1-287.e9 [PMID: 26548508 DOI: </w:t>
      </w:r>
      <w:r w:rsidRPr="000E2301">
        <w:rPr>
          <w:color w:val="000000"/>
          <w:spacing w:val="-2"/>
          <w:kern w:val="0"/>
          <w:sz w:val="16"/>
          <w:szCs w:val="16"/>
        </w:rPr>
        <w:t>10.1016/j.cmi.2015.10.024]</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59</w:t>
      </w:r>
      <w:r w:rsidRPr="000E2301">
        <w:rPr>
          <w:color w:val="000000"/>
          <w:spacing w:val="-1"/>
          <w:kern w:val="0"/>
          <w:sz w:val="16"/>
          <w:szCs w:val="16"/>
        </w:rPr>
        <w:tab/>
      </w:r>
      <w:r w:rsidRPr="000E2301">
        <w:rPr>
          <w:b/>
          <w:bCs/>
          <w:color w:val="000000"/>
          <w:spacing w:val="-1"/>
          <w:kern w:val="0"/>
          <w:sz w:val="16"/>
          <w:szCs w:val="16"/>
        </w:rPr>
        <w:t>Liang J</w:t>
      </w:r>
      <w:r w:rsidRPr="000E2301">
        <w:rPr>
          <w:color w:val="000000"/>
          <w:spacing w:val="-1"/>
          <w:kern w:val="0"/>
          <w:sz w:val="16"/>
          <w:szCs w:val="16"/>
        </w:rPr>
        <w:t xml:space="preserve">, Jiang MJ, Deng X, Xiao Zhou X. Efficacy and Safety of Telbivudine Compared to Entecavir Among HBeAg+ Chronic Hepatitis B Patients: a Meta-Analysis Study. </w:t>
      </w:r>
      <w:r w:rsidRPr="000E2301">
        <w:rPr>
          <w:i/>
          <w:iCs/>
          <w:color w:val="000000"/>
          <w:spacing w:val="-1"/>
          <w:kern w:val="0"/>
          <w:sz w:val="16"/>
          <w:szCs w:val="16"/>
        </w:rPr>
        <w:t>Hepat Mon</w:t>
      </w:r>
      <w:r w:rsidRPr="000E2301">
        <w:rPr>
          <w:color w:val="000000"/>
          <w:spacing w:val="-1"/>
          <w:kern w:val="0"/>
          <w:sz w:val="16"/>
          <w:szCs w:val="16"/>
        </w:rPr>
        <w:t xml:space="preserve"> 2013; </w:t>
      </w:r>
      <w:r w:rsidRPr="000E2301">
        <w:rPr>
          <w:b/>
          <w:bCs/>
          <w:color w:val="000000"/>
          <w:spacing w:val="-1"/>
          <w:kern w:val="0"/>
          <w:sz w:val="16"/>
          <w:szCs w:val="16"/>
        </w:rPr>
        <w:t>13</w:t>
      </w:r>
      <w:r w:rsidRPr="000E2301">
        <w:rPr>
          <w:color w:val="000000"/>
          <w:spacing w:val="-1"/>
          <w:kern w:val="0"/>
          <w:sz w:val="16"/>
          <w:szCs w:val="16"/>
        </w:rPr>
        <w:t>: e7862 [PMID: 24032045 DOI: 10.5812/hepatmon.7862]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60</w:t>
      </w:r>
      <w:r w:rsidRPr="000E2301">
        <w:rPr>
          <w:color w:val="000000"/>
          <w:spacing w:val="-1"/>
          <w:kern w:val="0"/>
          <w:sz w:val="16"/>
          <w:szCs w:val="16"/>
        </w:rPr>
        <w:tab/>
      </w:r>
      <w:r w:rsidRPr="000E2301">
        <w:rPr>
          <w:b/>
          <w:bCs/>
          <w:color w:val="000000"/>
          <w:spacing w:val="-1"/>
          <w:kern w:val="0"/>
          <w:sz w:val="16"/>
          <w:szCs w:val="16"/>
        </w:rPr>
        <w:t>Su QM</w:t>
      </w:r>
      <w:r w:rsidRPr="000E2301">
        <w:rPr>
          <w:color w:val="000000"/>
          <w:spacing w:val="-1"/>
          <w:kern w:val="0"/>
          <w:sz w:val="16"/>
          <w:szCs w:val="16"/>
        </w:rPr>
        <w:t xml:space="preserve">, Ye XG. Effects of telbivudine and entecavir for HBeAg-positive chronic hepatitis B: a meta-analysis. </w:t>
      </w:r>
      <w:r w:rsidRPr="000E2301">
        <w:rPr>
          <w:i/>
          <w:iCs/>
          <w:color w:val="000000"/>
          <w:spacing w:val="-1"/>
          <w:kern w:val="0"/>
          <w:sz w:val="16"/>
          <w:szCs w:val="16"/>
        </w:rPr>
        <w:t>World J Gastroenterol</w:t>
      </w:r>
      <w:r w:rsidRPr="000E2301">
        <w:rPr>
          <w:color w:val="000000"/>
          <w:spacing w:val="-1"/>
          <w:kern w:val="0"/>
          <w:sz w:val="16"/>
          <w:szCs w:val="16"/>
        </w:rPr>
        <w:t xml:space="preserve"> 2012; </w:t>
      </w:r>
      <w:r w:rsidRPr="000E2301">
        <w:rPr>
          <w:b/>
          <w:bCs/>
          <w:color w:val="000000"/>
          <w:spacing w:val="-1"/>
          <w:kern w:val="0"/>
          <w:sz w:val="16"/>
          <w:szCs w:val="16"/>
        </w:rPr>
        <w:t>18</w:t>
      </w:r>
      <w:r w:rsidRPr="000E2301">
        <w:rPr>
          <w:color w:val="000000"/>
          <w:spacing w:val="-1"/>
          <w:kern w:val="0"/>
          <w:sz w:val="16"/>
          <w:szCs w:val="16"/>
        </w:rPr>
        <w:t>: 6290-6301 [PMID: 23180951 DOI: 10.3748/wjg.v18.i43.6290]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61</w:t>
      </w:r>
      <w:r w:rsidRPr="000E2301">
        <w:rPr>
          <w:color w:val="000000"/>
          <w:spacing w:val="-1"/>
          <w:kern w:val="0"/>
          <w:sz w:val="16"/>
          <w:szCs w:val="16"/>
        </w:rPr>
        <w:tab/>
      </w:r>
      <w:r w:rsidRPr="000E2301">
        <w:rPr>
          <w:b/>
          <w:bCs/>
          <w:color w:val="000000"/>
          <w:spacing w:val="-1"/>
          <w:kern w:val="0"/>
          <w:sz w:val="16"/>
          <w:szCs w:val="16"/>
        </w:rPr>
        <w:t>Bristol-Myers Squibb</w:t>
      </w:r>
      <w:r w:rsidRPr="000E2301">
        <w:rPr>
          <w:color w:val="000000"/>
          <w:spacing w:val="-1"/>
          <w:kern w:val="0"/>
          <w:sz w:val="16"/>
          <w:szCs w:val="16"/>
        </w:rPr>
        <w:t>. Baraclude® (entecavir): US prescribing information [online]. [Accessed 2016 Sept 16]. Available from URL:</w:t>
      </w:r>
      <w:r w:rsidRPr="000E2301">
        <w:rPr>
          <w:color w:val="000000"/>
          <w:spacing w:val="-1"/>
          <w:kern w:val="0"/>
          <w:sz w:val="16"/>
        </w:rPr>
        <w:t>http://packageinserts.bms.com/pi/pi_baraclude.pdf</w:t>
      </w:r>
      <w:r w:rsidRPr="000E2301">
        <w:rPr>
          <w:color w:val="000000"/>
          <w:spacing w:val="-1"/>
          <w:kern w:val="0"/>
          <w:sz w:val="16"/>
          <w:szCs w:val="16"/>
        </w:rPr>
        <w:t xml:space="preserve"> </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62</w:t>
      </w:r>
      <w:r w:rsidRPr="000E2301">
        <w:rPr>
          <w:color w:val="000000"/>
          <w:spacing w:val="-1"/>
          <w:kern w:val="0"/>
          <w:sz w:val="16"/>
          <w:szCs w:val="16"/>
        </w:rPr>
        <w:tab/>
      </w:r>
      <w:r w:rsidRPr="000E2301">
        <w:rPr>
          <w:b/>
          <w:bCs/>
          <w:color w:val="000000"/>
          <w:spacing w:val="-1"/>
          <w:kern w:val="0"/>
          <w:sz w:val="16"/>
          <w:szCs w:val="16"/>
        </w:rPr>
        <w:t>Gilead Sciences</w:t>
      </w:r>
      <w:r w:rsidRPr="000E2301">
        <w:rPr>
          <w:color w:val="000000"/>
          <w:spacing w:val="-1"/>
          <w:kern w:val="0"/>
          <w:sz w:val="16"/>
          <w:szCs w:val="16"/>
        </w:rPr>
        <w:t xml:space="preserve">, Inc. Viread® (tenofovir disoproxil fumarate) tablets: US prescribing information [online]. [Accessed 2016 Sept 16]. Available from URL: </w:t>
      </w:r>
      <w:r w:rsidRPr="000E2301">
        <w:rPr>
          <w:color w:val="000000"/>
          <w:spacing w:val="-1"/>
          <w:kern w:val="0"/>
          <w:sz w:val="16"/>
        </w:rPr>
        <w:t>http://www.accessdata.fda.gov/drugsatfda_docs/label/2010/021356s035lbl.pdf</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63</w:t>
      </w:r>
      <w:r w:rsidRPr="000E2301">
        <w:rPr>
          <w:color w:val="000000"/>
          <w:spacing w:val="-1"/>
          <w:kern w:val="0"/>
          <w:sz w:val="16"/>
          <w:szCs w:val="16"/>
        </w:rPr>
        <w:tab/>
      </w:r>
      <w:r w:rsidRPr="000E2301">
        <w:rPr>
          <w:b/>
          <w:bCs/>
          <w:color w:val="000000"/>
          <w:spacing w:val="-1"/>
          <w:kern w:val="0"/>
          <w:sz w:val="16"/>
          <w:szCs w:val="16"/>
        </w:rPr>
        <w:t>Novartis</w:t>
      </w:r>
      <w:r w:rsidRPr="000E2301">
        <w:rPr>
          <w:color w:val="000000"/>
          <w:spacing w:val="-1"/>
          <w:kern w:val="0"/>
          <w:sz w:val="16"/>
          <w:szCs w:val="16"/>
        </w:rPr>
        <w:t xml:space="preserve">. Tyzeka (telbivudine): US prescribing information [online]. [Accessed 2016 Sept 16]. Available from URL: http://www.pharma.us.novartis.com/product/pi/pdf/tyzeka.pdf </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64</w:t>
      </w:r>
      <w:r w:rsidRPr="000E2301">
        <w:rPr>
          <w:color w:val="000000"/>
          <w:spacing w:val="-1"/>
          <w:kern w:val="0"/>
          <w:sz w:val="16"/>
          <w:szCs w:val="16"/>
        </w:rPr>
        <w:tab/>
      </w:r>
      <w:r w:rsidRPr="000E2301">
        <w:rPr>
          <w:b/>
          <w:bCs/>
          <w:color w:val="000000"/>
          <w:spacing w:val="-3"/>
          <w:kern w:val="0"/>
          <w:sz w:val="16"/>
          <w:szCs w:val="16"/>
        </w:rPr>
        <w:t>Gilead Sciences</w:t>
      </w:r>
      <w:r w:rsidRPr="000E2301">
        <w:rPr>
          <w:color w:val="000000"/>
          <w:spacing w:val="-3"/>
          <w:kern w:val="0"/>
          <w:sz w:val="16"/>
          <w:szCs w:val="16"/>
        </w:rPr>
        <w:t>, Inc. Hepsera (adefovir dipivoxil) tablets: US prescribing information [online]. [Accessed 2016 Sept 16]. Available from URL: http://www.accessdata.fda.gov/</w:t>
      </w:r>
      <w:r w:rsidRPr="000E2301">
        <w:rPr>
          <w:color w:val="000000"/>
          <w:spacing w:val="-2"/>
          <w:kern w:val="0"/>
          <w:sz w:val="16"/>
          <w:szCs w:val="16"/>
        </w:rPr>
        <w:t>drugsatfda_docs/label/2009/021449s016lbl.pdf</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65</w:t>
      </w:r>
      <w:r w:rsidRPr="000E2301">
        <w:rPr>
          <w:color w:val="000000"/>
          <w:spacing w:val="-1"/>
          <w:kern w:val="0"/>
          <w:sz w:val="16"/>
          <w:szCs w:val="16"/>
        </w:rPr>
        <w:tab/>
      </w:r>
      <w:r w:rsidRPr="000E2301">
        <w:rPr>
          <w:b/>
          <w:bCs/>
          <w:color w:val="000000"/>
          <w:spacing w:val="-2"/>
          <w:kern w:val="0"/>
          <w:sz w:val="16"/>
          <w:szCs w:val="16"/>
        </w:rPr>
        <w:t>Marzano A</w:t>
      </w:r>
      <w:r w:rsidRPr="000E2301">
        <w:rPr>
          <w:color w:val="000000"/>
          <w:spacing w:val="-2"/>
          <w:kern w:val="0"/>
          <w:sz w:val="16"/>
          <w:szCs w:val="16"/>
        </w:rPr>
        <w:t xml:space="preserve">, Marengo A, Marietti M, Rizzetto M. Lactic acidosis during Entecavir treatment in decompensated hepatitis B virus-related cirrhosis. </w:t>
      </w:r>
      <w:r w:rsidRPr="000E2301">
        <w:rPr>
          <w:i/>
          <w:iCs/>
          <w:color w:val="000000"/>
          <w:spacing w:val="-2"/>
          <w:kern w:val="0"/>
          <w:sz w:val="16"/>
          <w:szCs w:val="16"/>
        </w:rPr>
        <w:t>Dig Liver Dis</w:t>
      </w:r>
      <w:r w:rsidRPr="000E2301">
        <w:rPr>
          <w:color w:val="000000"/>
          <w:spacing w:val="-2"/>
          <w:kern w:val="0"/>
          <w:sz w:val="16"/>
          <w:szCs w:val="16"/>
        </w:rPr>
        <w:t xml:space="preserve"> 2011; </w:t>
      </w:r>
      <w:r w:rsidRPr="000E2301">
        <w:rPr>
          <w:b/>
          <w:bCs/>
          <w:color w:val="000000"/>
          <w:spacing w:val="-2"/>
          <w:kern w:val="0"/>
          <w:sz w:val="16"/>
          <w:szCs w:val="16"/>
        </w:rPr>
        <w:t>43</w:t>
      </w:r>
      <w:r w:rsidRPr="000E2301">
        <w:rPr>
          <w:color w:val="000000"/>
          <w:spacing w:val="-2"/>
          <w:kern w:val="0"/>
          <w:sz w:val="16"/>
          <w:szCs w:val="16"/>
        </w:rPr>
        <w:t>: 1027-1028 [PMID: 21782535 DOI: 10.1016/j.dld.2011.06.013]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66</w:t>
      </w:r>
      <w:r w:rsidRPr="000E2301">
        <w:rPr>
          <w:color w:val="000000"/>
          <w:spacing w:val="-1"/>
          <w:kern w:val="0"/>
          <w:sz w:val="16"/>
          <w:szCs w:val="16"/>
        </w:rPr>
        <w:tab/>
      </w:r>
      <w:r w:rsidRPr="000E2301">
        <w:rPr>
          <w:b/>
          <w:bCs/>
          <w:color w:val="000000"/>
          <w:spacing w:val="-1"/>
          <w:kern w:val="0"/>
          <w:sz w:val="16"/>
          <w:szCs w:val="16"/>
        </w:rPr>
        <w:t>Keating GM</w:t>
      </w:r>
      <w:r w:rsidRPr="000E2301">
        <w:rPr>
          <w:color w:val="000000"/>
          <w:spacing w:val="-1"/>
          <w:kern w:val="0"/>
          <w:sz w:val="16"/>
          <w:szCs w:val="16"/>
        </w:rPr>
        <w:t xml:space="preserve">. Entecavir: a review of its use in the treatment of chronic hepatitis B in patients with decompensated liver disease. </w:t>
      </w:r>
      <w:r w:rsidRPr="000E2301">
        <w:rPr>
          <w:i/>
          <w:iCs/>
          <w:color w:val="000000"/>
          <w:spacing w:val="-1"/>
          <w:kern w:val="0"/>
          <w:sz w:val="16"/>
          <w:szCs w:val="16"/>
        </w:rPr>
        <w:t>Drugs</w:t>
      </w:r>
      <w:r w:rsidRPr="000E2301">
        <w:rPr>
          <w:color w:val="000000"/>
          <w:spacing w:val="-1"/>
          <w:kern w:val="0"/>
          <w:sz w:val="16"/>
          <w:szCs w:val="16"/>
        </w:rPr>
        <w:t xml:space="preserve"> 2011; </w:t>
      </w:r>
      <w:r w:rsidRPr="000E2301">
        <w:rPr>
          <w:b/>
          <w:bCs/>
          <w:color w:val="000000"/>
          <w:spacing w:val="-1"/>
          <w:kern w:val="0"/>
          <w:sz w:val="16"/>
          <w:szCs w:val="16"/>
        </w:rPr>
        <w:lastRenderedPageBreak/>
        <w:t>71</w:t>
      </w:r>
      <w:r w:rsidRPr="000E2301">
        <w:rPr>
          <w:color w:val="000000"/>
          <w:spacing w:val="-1"/>
          <w:kern w:val="0"/>
          <w:sz w:val="16"/>
          <w:szCs w:val="16"/>
        </w:rPr>
        <w:t>: 2511-2529 [PMID: 22141390 DOI: 10.2165/11208510-000000000-00000]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67</w:t>
      </w:r>
      <w:r w:rsidRPr="000E2301">
        <w:rPr>
          <w:color w:val="000000"/>
          <w:spacing w:val="-1"/>
          <w:kern w:val="0"/>
          <w:sz w:val="16"/>
          <w:szCs w:val="16"/>
        </w:rPr>
        <w:tab/>
      </w:r>
      <w:r w:rsidRPr="000E2301">
        <w:rPr>
          <w:b/>
          <w:bCs/>
          <w:color w:val="000000"/>
          <w:spacing w:val="-1"/>
          <w:kern w:val="0"/>
          <w:sz w:val="16"/>
          <w:szCs w:val="16"/>
        </w:rPr>
        <w:t>Liaw YF</w:t>
      </w:r>
      <w:r w:rsidRPr="000E2301">
        <w:rPr>
          <w:color w:val="000000"/>
          <w:spacing w:val="-1"/>
          <w:kern w:val="0"/>
          <w:sz w:val="16"/>
          <w:szCs w:val="16"/>
        </w:rPr>
        <w:t xml:space="preserve">, Leung N, Kao JH, Piratvisuth T, Gane E, Han KH, Guan R, Lau GK, Locarnini S; Chronic Hepatitis B Guideline Working Party of the Asian-Pacific Association for the Study of the Liver. Asian-Pacific consensus statement on the management of chronic hepatitis B: a 2008 update. </w:t>
      </w:r>
      <w:r w:rsidRPr="000E2301">
        <w:rPr>
          <w:i/>
          <w:iCs/>
          <w:color w:val="000000"/>
          <w:spacing w:val="-1"/>
          <w:kern w:val="0"/>
          <w:sz w:val="16"/>
          <w:szCs w:val="16"/>
        </w:rPr>
        <w:t>Hepatol Int</w:t>
      </w:r>
      <w:r w:rsidRPr="000E2301">
        <w:rPr>
          <w:color w:val="000000"/>
          <w:spacing w:val="-1"/>
          <w:kern w:val="0"/>
          <w:sz w:val="16"/>
          <w:szCs w:val="16"/>
        </w:rPr>
        <w:t xml:space="preserve"> 2008; </w:t>
      </w:r>
      <w:r w:rsidRPr="000E2301">
        <w:rPr>
          <w:b/>
          <w:bCs/>
          <w:color w:val="000000"/>
          <w:spacing w:val="-1"/>
          <w:kern w:val="0"/>
          <w:sz w:val="16"/>
          <w:szCs w:val="16"/>
        </w:rPr>
        <w:t>2</w:t>
      </w:r>
      <w:r w:rsidRPr="000E2301">
        <w:rPr>
          <w:color w:val="000000"/>
          <w:spacing w:val="-1"/>
          <w:kern w:val="0"/>
          <w:sz w:val="16"/>
          <w:szCs w:val="16"/>
        </w:rPr>
        <w:t>: 263-283 [PMID: 19669255 DOI: 10.1007/s12072-008-9080-3]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68</w:t>
      </w:r>
      <w:r w:rsidRPr="000E2301">
        <w:rPr>
          <w:color w:val="000000"/>
          <w:spacing w:val="-1"/>
          <w:kern w:val="0"/>
          <w:sz w:val="16"/>
          <w:szCs w:val="16"/>
        </w:rPr>
        <w:tab/>
      </w:r>
      <w:r w:rsidRPr="000E2301">
        <w:rPr>
          <w:b/>
          <w:bCs/>
          <w:color w:val="000000"/>
          <w:spacing w:val="-1"/>
          <w:kern w:val="0"/>
          <w:sz w:val="16"/>
          <w:szCs w:val="16"/>
        </w:rPr>
        <w:t>Manns MP</w:t>
      </w:r>
      <w:r w:rsidRPr="000E2301">
        <w:rPr>
          <w:color w:val="000000"/>
          <w:spacing w:val="-1"/>
          <w:kern w:val="0"/>
          <w:sz w:val="16"/>
          <w:szCs w:val="16"/>
        </w:rPr>
        <w:t xml:space="preserve">, Akarca US, Chang TT, Sievert W, Yoon SK, Tsai N, Min A, Pangerl A, Beebe S, Yu M, Wongcharatrawee S. Long-term safety and tolerability of entecavir in patients with chronic hepatitis B in the rollover study ETV-901. </w:t>
      </w:r>
      <w:r w:rsidRPr="000E2301">
        <w:rPr>
          <w:i/>
          <w:iCs/>
          <w:color w:val="000000"/>
          <w:spacing w:val="-1"/>
          <w:kern w:val="0"/>
          <w:sz w:val="16"/>
          <w:szCs w:val="16"/>
        </w:rPr>
        <w:t>Expert Opin Drug Saf</w:t>
      </w:r>
      <w:r w:rsidRPr="000E2301">
        <w:rPr>
          <w:color w:val="000000"/>
          <w:spacing w:val="-1"/>
          <w:kern w:val="0"/>
          <w:sz w:val="16"/>
          <w:szCs w:val="16"/>
        </w:rPr>
        <w:t xml:space="preserve"> 2012; </w:t>
      </w:r>
      <w:r w:rsidRPr="000E2301">
        <w:rPr>
          <w:b/>
          <w:bCs/>
          <w:color w:val="000000"/>
          <w:spacing w:val="-1"/>
          <w:kern w:val="0"/>
          <w:sz w:val="16"/>
          <w:szCs w:val="16"/>
        </w:rPr>
        <w:t>11</w:t>
      </w:r>
      <w:r w:rsidRPr="000E2301">
        <w:rPr>
          <w:color w:val="000000"/>
          <w:spacing w:val="-1"/>
          <w:kern w:val="0"/>
          <w:sz w:val="16"/>
          <w:szCs w:val="16"/>
        </w:rPr>
        <w:t>: 361-368 [PMID: 22233350 DOI: 10.1517/14740338.2012.653340]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69</w:t>
      </w:r>
      <w:r w:rsidRPr="000E2301">
        <w:rPr>
          <w:color w:val="000000"/>
          <w:spacing w:val="-1"/>
          <w:kern w:val="0"/>
          <w:sz w:val="16"/>
          <w:szCs w:val="16"/>
        </w:rPr>
        <w:tab/>
      </w:r>
      <w:r w:rsidRPr="000E2301">
        <w:rPr>
          <w:b/>
          <w:bCs/>
          <w:color w:val="000000"/>
          <w:spacing w:val="-1"/>
          <w:kern w:val="0"/>
          <w:sz w:val="16"/>
          <w:szCs w:val="16"/>
        </w:rPr>
        <w:t>Chi H</w:t>
      </w:r>
      <w:r w:rsidRPr="000E2301">
        <w:rPr>
          <w:color w:val="000000"/>
          <w:spacing w:val="-1"/>
          <w:kern w:val="0"/>
          <w:sz w:val="16"/>
          <w:szCs w:val="16"/>
        </w:rPr>
        <w:t xml:space="preserve">, Arends P, Reijnders JG, Carey I, Brown A, Fasano M, Mutimer D, Deterding K, Oo YH, Petersen J, van Bommel F, de Knegt RJ, Santantonio TA, Berg T, Welzel TM, Wedemeyer H, Buti M, Pradat P, Zoulim F, Hansen BE, Janssen HL. Flares during long-term entecavir therapy in chronic hepatitis B. </w:t>
      </w:r>
      <w:r w:rsidRPr="000E2301">
        <w:rPr>
          <w:i/>
          <w:iCs/>
          <w:color w:val="000000"/>
          <w:spacing w:val="-1"/>
          <w:kern w:val="0"/>
          <w:sz w:val="16"/>
          <w:szCs w:val="16"/>
        </w:rPr>
        <w:t>J Gastroenterol Hepatol</w:t>
      </w:r>
      <w:r w:rsidRPr="000E2301">
        <w:rPr>
          <w:color w:val="000000"/>
          <w:spacing w:val="-1"/>
          <w:kern w:val="0"/>
          <w:sz w:val="16"/>
          <w:szCs w:val="16"/>
        </w:rPr>
        <w:t xml:space="preserve"> 2016; </w:t>
      </w:r>
      <w:r w:rsidRPr="000E2301">
        <w:rPr>
          <w:b/>
          <w:bCs/>
          <w:color w:val="000000"/>
          <w:spacing w:val="-1"/>
          <w:kern w:val="0"/>
          <w:sz w:val="16"/>
          <w:szCs w:val="16"/>
        </w:rPr>
        <w:t>31</w:t>
      </w:r>
      <w:r w:rsidRPr="000E2301">
        <w:rPr>
          <w:color w:val="000000"/>
          <w:spacing w:val="-1"/>
          <w:kern w:val="0"/>
          <w:sz w:val="16"/>
          <w:szCs w:val="16"/>
        </w:rPr>
        <w:t>: 1882-1887 [PMID: 27008918 DOI: 10.1111/jgh.13377]</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70</w:t>
      </w:r>
      <w:r w:rsidRPr="000E2301">
        <w:rPr>
          <w:color w:val="000000"/>
          <w:spacing w:val="-1"/>
          <w:kern w:val="0"/>
          <w:sz w:val="16"/>
          <w:szCs w:val="16"/>
        </w:rPr>
        <w:tab/>
      </w:r>
      <w:r w:rsidRPr="000E2301">
        <w:rPr>
          <w:b/>
          <w:bCs/>
          <w:color w:val="000000"/>
          <w:spacing w:val="-1"/>
          <w:kern w:val="0"/>
          <w:sz w:val="16"/>
          <w:szCs w:val="16"/>
        </w:rPr>
        <w:t>Lok AS</w:t>
      </w:r>
      <w:r w:rsidRPr="000E2301">
        <w:rPr>
          <w:color w:val="000000"/>
          <w:spacing w:val="-1"/>
          <w:kern w:val="0"/>
          <w:sz w:val="16"/>
          <w:szCs w:val="16"/>
        </w:rPr>
        <w:t xml:space="preserve">, McMahon BJ. Chronic hepatitis B: update 2009. </w:t>
      </w:r>
      <w:r w:rsidRPr="000E2301">
        <w:rPr>
          <w:i/>
          <w:iCs/>
          <w:color w:val="000000"/>
          <w:spacing w:val="-1"/>
          <w:kern w:val="0"/>
          <w:sz w:val="16"/>
          <w:szCs w:val="16"/>
        </w:rPr>
        <w:t>Hepatology</w:t>
      </w:r>
      <w:r w:rsidRPr="000E2301">
        <w:rPr>
          <w:color w:val="000000"/>
          <w:spacing w:val="-1"/>
          <w:kern w:val="0"/>
          <w:sz w:val="16"/>
          <w:szCs w:val="16"/>
        </w:rPr>
        <w:t xml:space="preserve"> 2009; </w:t>
      </w:r>
      <w:r w:rsidRPr="000E2301">
        <w:rPr>
          <w:b/>
          <w:bCs/>
          <w:color w:val="000000"/>
          <w:spacing w:val="-1"/>
          <w:kern w:val="0"/>
          <w:sz w:val="16"/>
          <w:szCs w:val="16"/>
        </w:rPr>
        <w:t>50</w:t>
      </w:r>
      <w:r w:rsidRPr="000E2301">
        <w:rPr>
          <w:color w:val="000000"/>
          <w:spacing w:val="-1"/>
          <w:kern w:val="0"/>
          <w:sz w:val="16"/>
          <w:szCs w:val="16"/>
        </w:rPr>
        <w:t>: 661-662 [PMID: 19714720 DOI: 10.1002/hep.23190]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71</w:t>
      </w:r>
      <w:r w:rsidRPr="000E2301">
        <w:rPr>
          <w:color w:val="000000"/>
          <w:spacing w:val="-1"/>
          <w:kern w:val="0"/>
          <w:sz w:val="16"/>
          <w:szCs w:val="16"/>
        </w:rPr>
        <w:tab/>
      </w:r>
      <w:r w:rsidRPr="000E2301">
        <w:rPr>
          <w:b/>
          <w:bCs/>
          <w:color w:val="000000"/>
          <w:spacing w:val="-1"/>
          <w:kern w:val="0"/>
          <w:sz w:val="16"/>
          <w:szCs w:val="16"/>
        </w:rPr>
        <w:t>Marcellin P</w:t>
      </w:r>
      <w:r w:rsidRPr="000E2301">
        <w:rPr>
          <w:color w:val="000000"/>
          <w:spacing w:val="-1"/>
          <w:kern w:val="0"/>
          <w:sz w:val="16"/>
          <w:szCs w:val="16"/>
        </w:rPr>
        <w:t xml:space="preserve">, Zoulim F, Hézode C, Causse X, Roche B, Truchi R, Pauwels A, Ouzan D, Dumortier J, Pageaux GP, Bourlière M, Riachi G, Zarski JP, Cadranel JF, Tilliet V, Stern C, Pétour P, Libert O, Consoli SM, Larrey D. Effectiveness and Safety of Tenofovir Disoproxil Fumarate in Chronic Hepatitis B: A 3-Year, Prospective, Real-World Study in France. </w:t>
      </w:r>
      <w:r w:rsidRPr="000E2301">
        <w:rPr>
          <w:i/>
          <w:iCs/>
          <w:color w:val="000000"/>
          <w:spacing w:val="-1"/>
          <w:kern w:val="0"/>
          <w:sz w:val="16"/>
          <w:szCs w:val="16"/>
        </w:rPr>
        <w:t>Dig Dis Sci</w:t>
      </w:r>
      <w:r w:rsidRPr="000E2301">
        <w:rPr>
          <w:color w:val="000000"/>
          <w:spacing w:val="-1"/>
          <w:kern w:val="0"/>
          <w:sz w:val="16"/>
          <w:szCs w:val="16"/>
        </w:rPr>
        <w:t xml:space="preserve"> 2016; </w:t>
      </w:r>
      <w:r w:rsidRPr="000E2301">
        <w:rPr>
          <w:b/>
          <w:bCs/>
          <w:color w:val="000000"/>
          <w:spacing w:val="-1"/>
          <w:kern w:val="0"/>
          <w:sz w:val="16"/>
          <w:szCs w:val="16"/>
        </w:rPr>
        <w:t>61</w:t>
      </w:r>
      <w:r w:rsidRPr="000E2301">
        <w:rPr>
          <w:color w:val="000000"/>
          <w:spacing w:val="-1"/>
          <w:kern w:val="0"/>
          <w:sz w:val="16"/>
          <w:szCs w:val="16"/>
        </w:rPr>
        <w:t>: 3072-3083 [PMID: 26821154]</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72</w:t>
      </w:r>
      <w:r w:rsidRPr="000E2301">
        <w:rPr>
          <w:color w:val="000000"/>
          <w:spacing w:val="-1"/>
          <w:kern w:val="0"/>
          <w:sz w:val="16"/>
          <w:szCs w:val="16"/>
        </w:rPr>
        <w:tab/>
      </w:r>
      <w:r w:rsidRPr="000E2301">
        <w:rPr>
          <w:b/>
          <w:bCs/>
          <w:color w:val="000000"/>
          <w:spacing w:val="-1"/>
          <w:kern w:val="0"/>
          <w:sz w:val="16"/>
          <w:szCs w:val="16"/>
        </w:rPr>
        <w:t>Gill US</w:t>
      </w:r>
      <w:r w:rsidRPr="000E2301">
        <w:rPr>
          <w:color w:val="000000"/>
          <w:spacing w:val="-1"/>
          <w:kern w:val="0"/>
          <w:sz w:val="16"/>
          <w:szCs w:val="16"/>
        </w:rPr>
        <w:t xml:space="preserve">, Zissimopoulos A, Al-Shamma S, Burke K, McPhail MJ, Barr DA, Kallis YN, Marley RT, Kooner P, Foster GR, </w:t>
      </w:r>
      <w:proofErr w:type="gramStart"/>
      <w:r w:rsidRPr="000E2301">
        <w:rPr>
          <w:color w:val="000000"/>
          <w:spacing w:val="-1"/>
          <w:kern w:val="0"/>
          <w:sz w:val="16"/>
          <w:szCs w:val="16"/>
        </w:rPr>
        <w:t>Kennedy</w:t>
      </w:r>
      <w:proofErr w:type="gramEnd"/>
      <w:r w:rsidRPr="000E2301">
        <w:rPr>
          <w:color w:val="000000"/>
          <w:spacing w:val="-1"/>
          <w:kern w:val="0"/>
          <w:sz w:val="16"/>
          <w:szCs w:val="16"/>
        </w:rPr>
        <w:t xml:space="preserve"> PT. Assessment of bone mineral density in tenofovir-treated patients with chronic hepatitis B: can the fracture risk assessment tool identify those at greatest risk? </w:t>
      </w:r>
      <w:r w:rsidRPr="000E2301">
        <w:rPr>
          <w:i/>
          <w:iCs/>
          <w:color w:val="000000"/>
          <w:spacing w:val="-1"/>
          <w:kern w:val="0"/>
          <w:sz w:val="16"/>
          <w:szCs w:val="16"/>
        </w:rPr>
        <w:t>J Infect Dis</w:t>
      </w:r>
      <w:r w:rsidRPr="000E2301">
        <w:rPr>
          <w:color w:val="000000"/>
          <w:spacing w:val="-1"/>
          <w:kern w:val="0"/>
          <w:sz w:val="16"/>
          <w:szCs w:val="16"/>
        </w:rPr>
        <w:t xml:space="preserve"> 2015; </w:t>
      </w:r>
      <w:r w:rsidRPr="000E2301">
        <w:rPr>
          <w:b/>
          <w:bCs/>
          <w:color w:val="000000"/>
          <w:spacing w:val="-1"/>
          <w:kern w:val="0"/>
          <w:sz w:val="16"/>
          <w:szCs w:val="16"/>
        </w:rPr>
        <w:t>211</w:t>
      </w:r>
      <w:r w:rsidRPr="000E2301">
        <w:rPr>
          <w:color w:val="000000"/>
          <w:spacing w:val="-1"/>
          <w:kern w:val="0"/>
          <w:sz w:val="16"/>
          <w:szCs w:val="16"/>
        </w:rPr>
        <w:t>: 374-382 [PMID: 25156561 DOI: 10.1093/infdis/jiu471]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73</w:t>
      </w:r>
      <w:r w:rsidRPr="000E2301">
        <w:rPr>
          <w:color w:val="000000"/>
          <w:spacing w:val="-1"/>
          <w:kern w:val="0"/>
          <w:sz w:val="16"/>
          <w:szCs w:val="16"/>
        </w:rPr>
        <w:tab/>
      </w:r>
      <w:r w:rsidRPr="000E2301">
        <w:rPr>
          <w:b/>
          <w:bCs/>
          <w:color w:val="000000"/>
          <w:spacing w:val="-3"/>
          <w:kern w:val="0"/>
          <w:sz w:val="16"/>
          <w:szCs w:val="16"/>
        </w:rPr>
        <w:t>Perrot S</w:t>
      </w:r>
      <w:r w:rsidRPr="000E2301">
        <w:rPr>
          <w:color w:val="000000"/>
          <w:spacing w:val="-3"/>
          <w:kern w:val="0"/>
          <w:sz w:val="16"/>
          <w:szCs w:val="16"/>
        </w:rPr>
        <w:t xml:space="preserve">, Aslangul E, Szwebel T, Caillat-Vigneron N, Le Jeunne C. Bone pain due to fractures revealing osteomalacia related to tenofovir-induced proximal renal tubular dysfunction in a human immunodeficiency virus-infected patient. </w:t>
      </w:r>
      <w:r w:rsidRPr="000E2301">
        <w:rPr>
          <w:i/>
          <w:iCs/>
          <w:color w:val="000000"/>
          <w:spacing w:val="-3"/>
          <w:kern w:val="0"/>
          <w:sz w:val="16"/>
          <w:szCs w:val="16"/>
        </w:rPr>
        <w:t xml:space="preserve">J Clin </w:t>
      </w:r>
      <w:r w:rsidRPr="000E2301">
        <w:rPr>
          <w:i/>
          <w:iCs/>
          <w:color w:val="000000"/>
          <w:spacing w:val="-2"/>
          <w:kern w:val="0"/>
          <w:sz w:val="16"/>
          <w:szCs w:val="16"/>
        </w:rPr>
        <w:t>Rheumatol</w:t>
      </w:r>
      <w:r w:rsidRPr="000E2301">
        <w:rPr>
          <w:color w:val="000000"/>
          <w:spacing w:val="-2"/>
          <w:kern w:val="0"/>
          <w:sz w:val="16"/>
          <w:szCs w:val="16"/>
        </w:rPr>
        <w:t xml:space="preserve"> 2009; </w:t>
      </w:r>
      <w:r w:rsidRPr="000E2301">
        <w:rPr>
          <w:b/>
          <w:bCs/>
          <w:color w:val="000000"/>
          <w:spacing w:val="-2"/>
          <w:kern w:val="0"/>
          <w:sz w:val="16"/>
          <w:szCs w:val="16"/>
        </w:rPr>
        <w:t>15</w:t>
      </w:r>
      <w:r w:rsidRPr="000E2301">
        <w:rPr>
          <w:color w:val="000000"/>
          <w:spacing w:val="-2"/>
          <w:kern w:val="0"/>
          <w:sz w:val="16"/>
          <w:szCs w:val="16"/>
        </w:rPr>
        <w:t>: 72-74 [PMID: 19265350 DOI: 10.1097/RHU.0b013e31819c20d8]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74</w:t>
      </w:r>
      <w:r w:rsidRPr="000E2301">
        <w:rPr>
          <w:color w:val="000000"/>
          <w:spacing w:val="-1"/>
          <w:kern w:val="0"/>
          <w:sz w:val="16"/>
          <w:szCs w:val="16"/>
        </w:rPr>
        <w:tab/>
      </w:r>
      <w:r w:rsidRPr="000E2301">
        <w:rPr>
          <w:b/>
          <w:bCs/>
          <w:color w:val="000000"/>
          <w:spacing w:val="-1"/>
          <w:kern w:val="0"/>
          <w:sz w:val="16"/>
          <w:szCs w:val="16"/>
        </w:rPr>
        <w:t>Bedimo R</w:t>
      </w:r>
      <w:r w:rsidRPr="000E2301">
        <w:rPr>
          <w:color w:val="000000"/>
          <w:spacing w:val="-1"/>
          <w:kern w:val="0"/>
          <w:sz w:val="16"/>
          <w:szCs w:val="16"/>
        </w:rPr>
        <w:t>, Maalouf NM, Zhang S, Drechsler H, Tebas P. Osteo</w:t>
      </w:r>
      <w:r w:rsidRPr="000E2301">
        <w:rPr>
          <w:color w:val="000000"/>
          <w:spacing w:val="-1"/>
          <w:kern w:val="0"/>
          <w:sz w:val="16"/>
          <w:szCs w:val="16"/>
        </w:rPr>
        <w:softHyphen/>
        <w:t xml:space="preserve">porotic fracture risk associated with cumulative exposure to tenofovir and other antiretroviral agents. </w:t>
      </w:r>
      <w:r w:rsidRPr="000E2301">
        <w:rPr>
          <w:i/>
          <w:iCs/>
          <w:color w:val="000000"/>
          <w:spacing w:val="-1"/>
          <w:kern w:val="0"/>
          <w:sz w:val="16"/>
          <w:szCs w:val="16"/>
        </w:rPr>
        <w:t>AIDS</w:t>
      </w:r>
      <w:r w:rsidRPr="000E2301">
        <w:rPr>
          <w:color w:val="000000"/>
          <w:spacing w:val="-1"/>
          <w:kern w:val="0"/>
          <w:sz w:val="16"/>
          <w:szCs w:val="16"/>
        </w:rPr>
        <w:t xml:space="preserve"> 2012; </w:t>
      </w:r>
      <w:r w:rsidRPr="000E2301">
        <w:rPr>
          <w:b/>
          <w:bCs/>
          <w:color w:val="000000"/>
          <w:spacing w:val="-1"/>
          <w:kern w:val="0"/>
          <w:sz w:val="16"/>
          <w:szCs w:val="16"/>
        </w:rPr>
        <w:t>26</w:t>
      </w:r>
      <w:r w:rsidRPr="000E2301">
        <w:rPr>
          <w:color w:val="000000"/>
          <w:spacing w:val="-1"/>
          <w:kern w:val="0"/>
          <w:sz w:val="16"/>
          <w:szCs w:val="16"/>
        </w:rPr>
        <w:t>: 825-831 [PMID: 22301411 DOI: 10.1097/QAD.0b013e32835192ae]</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75</w:t>
      </w:r>
      <w:r w:rsidRPr="000E2301">
        <w:rPr>
          <w:color w:val="000000"/>
          <w:spacing w:val="-1"/>
          <w:kern w:val="0"/>
          <w:sz w:val="16"/>
          <w:szCs w:val="16"/>
        </w:rPr>
        <w:tab/>
      </w:r>
      <w:r w:rsidRPr="000E2301">
        <w:rPr>
          <w:b/>
          <w:bCs/>
          <w:color w:val="000000"/>
          <w:spacing w:val="-1"/>
          <w:kern w:val="0"/>
          <w:sz w:val="16"/>
          <w:szCs w:val="16"/>
        </w:rPr>
        <w:t>Heathcote EJ</w:t>
      </w:r>
      <w:r w:rsidRPr="000E2301">
        <w:rPr>
          <w:color w:val="000000"/>
          <w:spacing w:val="-1"/>
          <w:kern w:val="0"/>
          <w:sz w:val="16"/>
          <w:szCs w:val="16"/>
        </w:rPr>
        <w:t xml:space="preserve">, Marcellin P, Buti M, Gane E, De Man RA, Krastev Z, Germanidis G, Lee SS, Flisiak R, Kaita K, Manns M, Kotzev I, Tchernev K, Buggisch P, Weilert F, Kurdas OO, Shiffman ML, Trinh H, Gurel S, Snow-Lampart A, Borroto-Esoda K, Mondou E, Anderson J, Sorbel J, Rousseau F. Three-year efficacy and safety of tenofovir disoproxil fumarate treatment for chronic hepatitis B. </w:t>
      </w:r>
      <w:r w:rsidRPr="000E2301">
        <w:rPr>
          <w:i/>
          <w:iCs/>
          <w:color w:val="000000"/>
          <w:spacing w:val="-1"/>
          <w:kern w:val="0"/>
          <w:sz w:val="16"/>
          <w:szCs w:val="16"/>
        </w:rPr>
        <w:t>Gastroenterology</w:t>
      </w:r>
      <w:r w:rsidRPr="000E2301">
        <w:rPr>
          <w:color w:val="000000"/>
          <w:spacing w:val="-1"/>
          <w:kern w:val="0"/>
          <w:sz w:val="16"/>
          <w:szCs w:val="16"/>
        </w:rPr>
        <w:t xml:space="preserve"> 2011; </w:t>
      </w:r>
      <w:r w:rsidRPr="000E2301">
        <w:rPr>
          <w:b/>
          <w:bCs/>
          <w:color w:val="000000"/>
          <w:spacing w:val="-1"/>
          <w:kern w:val="0"/>
          <w:sz w:val="16"/>
          <w:szCs w:val="16"/>
        </w:rPr>
        <w:t>140</w:t>
      </w:r>
      <w:r w:rsidRPr="000E2301">
        <w:rPr>
          <w:color w:val="000000"/>
          <w:spacing w:val="-1"/>
          <w:kern w:val="0"/>
          <w:sz w:val="16"/>
          <w:szCs w:val="16"/>
        </w:rPr>
        <w:t>: 132-143 [PMID: 20955704 DOI: 10.1053/j.gastro.2010.10.011]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76</w:t>
      </w:r>
      <w:r w:rsidRPr="000E2301">
        <w:rPr>
          <w:color w:val="000000"/>
          <w:spacing w:val="-1"/>
          <w:kern w:val="0"/>
          <w:sz w:val="16"/>
          <w:szCs w:val="16"/>
        </w:rPr>
        <w:tab/>
      </w:r>
      <w:r w:rsidRPr="000E2301">
        <w:rPr>
          <w:b/>
          <w:bCs/>
          <w:color w:val="000000"/>
          <w:spacing w:val="-1"/>
          <w:kern w:val="0"/>
          <w:sz w:val="16"/>
          <w:szCs w:val="16"/>
        </w:rPr>
        <w:t>Wong GL</w:t>
      </w:r>
      <w:r w:rsidRPr="000E2301">
        <w:rPr>
          <w:color w:val="000000"/>
          <w:spacing w:val="-1"/>
          <w:kern w:val="0"/>
          <w:sz w:val="16"/>
          <w:szCs w:val="16"/>
        </w:rPr>
        <w:t xml:space="preserve">, Tse YK, Wong VW, Yip TC, Tsoi KK, Chan HL. Long-term safety of oral </w:t>
      </w:r>
      <w:proofErr w:type="gramStart"/>
      <w:r w:rsidRPr="000E2301">
        <w:rPr>
          <w:color w:val="000000"/>
          <w:spacing w:val="-1"/>
          <w:kern w:val="0"/>
          <w:sz w:val="16"/>
          <w:szCs w:val="16"/>
        </w:rPr>
        <w:t>nucleos(</w:t>
      </w:r>
      <w:proofErr w:type="gramEnd"/>
      <w:r w:rsidRPr="000E2301">
        <w:rPr>
          <w:color w:val="000000"/>
          <w:spacing w:val="-1"/>
          <w:kern w:val="0"/>
          <w:sz w:val="16"/>
          <w:szCs w:val="16"/>
        </w:rPr>
        <w:t xml:space="preserve">t)ide analogs for patients with chronic hepatitis B: A cohort study of 53,500 subjects. </w:t>
      </w:r>
      <w:r w:rsidRPr="000E2301">
        <w:rPr>
          <w:i/>
          <w:iCs/>
          <w:color w:val="000000"/>
          <w:spacing w:val="-1"/>
          <w:kern w:val="0"/>
          <w:sz w:val="16"/>
          <w:szCs w:val="16"/>
        </w:rPr>
        <w:t>Hepatology</w:t>
      </w:r>
      <w:r w:rsidRPr="000E2301">
        <w:rPr>
          <w:color w:val="000000"/>
          <w:spacing w:val="-1"/>
          <w:kern w:val="0"/>
          <w:sz w:val="16"/>
          <w:szCs w:val="16"/>
        </w:rPr>
        <w:t xml:space="preserve"> 2015; </w:t>
      </w:r>
      <w:r w:rsidRPr="000E2301">
        <w:rPr>
          <w:b/>
          <w:bCs/>
          <w:color w:val="000000"/>
          <w:spacing w:val="-1"/>
          <w:kern w:val="0"/>
          <w:sz w:val="16"/>
          <w:szCs w:val="16"/>
        </w:rPr>
        <w:t>62</w:t>
      </w:r>
      <w:r w:rsidRPr="000E2301">
        <w:rPr>
          <w:color w:val="000000"/>
          <w:spacing w:val="-1"/>
          <w:kern w:val="0"/>
          <w:sz w:val="16"/>
          <w:szCs w:val="16"/>
        </w:rPr>
        <w:t>: 684-693 [PMID: 25973979 DOI: 10.1002/hep.27894]</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77</w:t>
      </w:r>
      <w:r w:rsidRPr="000E2301">
        <w:rPr>
          <w:color w:val="000000"/>
          <w:spacing w:val="-1"/>
          <w:kern w:val="0"/>
          <w:sz w:val="16"/>
          <w:szCs w:val="16"/>
        </w:rPr>
        <w:tab/>
      </w:r>
      <w:r w:rsidRPr="000E2301">
        <w:rPr>
          <w:b/>
          <w:bCs/>
          <w:color w:val="000000"/>
          <w:spacing w:val="-2"/>
          <w:kern w:val="0"/>
          <w:sz w:val="16"/>
          <w:szCs w:val="16"/>
        </w:rPr>
        <w:t>Buti M</w:t>
      </w:r>
      <w:r w:rsidRPr="000E2301">
        <w:rPr>
          <w:color w:val="000000"/>
          <w:spacing w:val="-2"/>
          <w:kern w:val="0"/>
          <w:sz w:val="16"/>
          <w:szCs w:val="16"/>
        </w:rPr>
        <w:t>, Tsai N, Petersen J, Flisiak R, Gurel S, Krastev Z, Schall RA, Flaherty JF, Martins EB, Charuworn P, Kitrinos KM, Subra</w:t>
      </w:r>
      <w:r w:rsidRPr="000E2301">
        <w:rPr>
          <w:color w:val="000000"/>
          <w:spacing w:val="-2"/>
          <w:kern w:val="0"/>
          <w:sz w:val="16"/>
          <w:szCs w:val="16"/>
        </w:rPr>
        <w:softHyphen/>
        <w:t xml:space="preserve">manian GM, Gane E, Marcellin P. Seven-year efficacy and safety of treatment with tenofovir disoproxil fumarate for chronic hepatitis B virus infection. </w:t>
      </w:r>
      <w:r w:rsidRPr="000E2301">
        <w:rPr>
          <w:i/>
          <w:iCs/>
          <w:color w:val="000000"/>
          <w:spacing w:val="-2"/>
          <w:kern w:val="0"/>
          <w:sz w:val="16"/>
          <w:szCs w:val="16"/>
        </w:rPr>
        <w:t>Dig Dis Sci</w:t>
      </w:r>
      <w:r w:rsidRPr="000E2301">
        <w:rPr>
          <w:color w:val="000000"/>
          <w:spacing w:val="-2"/>
          <w:kern w:val="0"/>
          <w:sz w:val="16"/>
          <w:szCs w:val="16"/>
        </w:rPr>
        <w:t xml:space="preserve"> 2015; </w:t>
      </w:r>
      <w:r w:rsidRPr="000E2301">
        <w:rPr>
          <w:b/>
          <w:bCs/>
          <w:color w:val="000000"/>
          <w:spacing w:val="-2"/>
          <w:kern w:val="0"/>
          <w:sz w:val="16"/>
          <w:szCs w:val="16"/>
        </w:rPr>
        <w:t>60</w:t>
      </w:r>
      <w:r w:rsidRPr="000E2301">
        <w:rPr>
          <w:color w:val="000000"/>
          <w:spacing w:val="-2"/>
          <w:kern w:val="0"/>
          <w:sz w:val="16"/>
          <w:szCs w:val="16"/>
        </w:rPr>
        <w:t>: 1457-1464 [PMID: 25532501 DOI: 10.1007/s10620-014-3486-7]</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78</w:t>
      </w:r>
      <w:r w:rsidRPr="000E2301">
        <w:rPr>
          <w:color w:val="000000"/>
          <w:spacing w:val="-1"/>
          <w:kern w:val="0"/>
          <w:sz w:val="16"/>
          <w:szCs w:val="16"/>
        </w:rPr>
        <w:tab/>
      </w:r>
      <w:r w:rsidRPr="000E2301">
        <w:rPr>
          <w:b/>
          <w:bCs/>
          <w:color w:val="000000"/>
          <w:spacing w:val="-1"/>
          <w:kern w:val="0"/>
          <w:sz w:val="16"/>
          <w:szCs w:val="16"/>
        </w:rPr>
        <w:t>Fung S</w:t>
      </w:r>
      <w:r w:rsidRPr="000E2301">
        <w:rPr>
          <w:color w:val="000000"/>
          <w:spacing w:val="-1"/>
          <w:kern w:val="0"/>
          <w:sz w:val="16"/>
          <w:szCs w:val="16"/>
        </w:rPr>
        <w:t xml:space="preserve">, Kwan P, Fabri M, Horban A, Pelemis M, Hann HW, Gurel S, Caruntu FA, Flaherty JF, Massetto B, Dinh P, Corsa A, Subramanian GM, McHutchison JG, Husa P, Gane E. Randomized comparison of tenofovir disoproxil fumarate vs emtricitabine and tenofovir disoproxil fumarate in patients with lamivudine-resistant chronic hepatitis B. </w:t>
      </w:r>
      <w:r w:rsidRPr="000E2301">
        <w:rPr>
          <w:i/>
          <w:iCs/>
          <w:color w:val="000000"/>
          <w:spacing w:val="-1"/>
          <w:kern w:val="0"/>
          <w:sz w:val="16"/>
          <w:szCs w:val="16"/>
        </w:rPr>
        <w:t>Gastroenterology</w:t>
      </w:r>
      <w:r w:rsidRPr="000E2301">
        <w:rPr>
          <w:color w:val="000000"/>
          <w:spacing w:val="-1"/>
          <w:kern w:val="0"/>
          <w:sz w:val="16"/>
          <w:szCs w:val="16"/>
        </w:rPr>
        <w:t xml:space="preserve"> 2014; </w:t>
      </w:r>
      <w:r w:rsidRPr="000E2301">
        <w:rPr>
          <w:b/>
          <w:bCs/>
          <w:color w:val="000000"/>
          <w:spacing w:val="-1"/>
          <w:kern w:val="0"/>
          <w:sz w:val="16"/>
          <w:szCs w:val="16"/>
        </w:rPr>
        <w:t>146</w:t>
      </w:r>
      <w:r w:rsidRPr="000E2301">
        <w:rPr>
          <w:color w:val="000000"/>
          <w:spacing w:val="-1"/>
          <w:kern w:val="0"/>
          <w:sz w:val="16"/>
          <w:szCs w:val="16"/>
        </w:rPr>
        <w:t>: 980-988 [PMID: 24368224 DOI: 10.1053/j.gastro.2013.12.028]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79</w:t>
      </w:r>
      <w:r w:rsidRPr="000E2301">
        <w:rPr>
          <w:color w:val="000000"/>
          <w:spacing w:val="-1"/>
          <w:kern w:val="0"/>
          <w:sz w:val="16"/>
          <w:szCs w:val="16"/>
        </w:rPr>
        <w:tab/>
      </w:r>
      <w:r w:rsidRPr="000E2301">
        <w:rPr>
          <w:b/>
          <w:bCs/>
          <w:color w:val="000000"/>
          <w:spacing w:val="-1"/>
          <w:kern w:val="0"/>
          <w:sz w:val="16"/>
          <w:szCs w:val="16"/>
        </w:rPr>
        <w:t>Ridruejo E</w:t>
      </w:r>
      <w:r w:rsidRPr="000E2301">
        <w:rPr>
          <w:color w:val="000000"/>
          <w:spacing w:val="-1"/>
          <w:kern w:val="0"/>
          <w:sz w:val="16"/>
          <w:szCs w:val="16"/>
        </w:rPr>
        <w:t xml:space="preserve">, Silva MO. Safety of long-term </w:t>
      </w:r>
      <w:proofErr w:type="gramStart"/>
      <w:r w:rsidRPr="000E2301">
        <w:rPr>
          <w:color w:val="000000"/>
          <w:spacing w:val="-1"/>
          <w:kern w:val="0"/>
          <w:sz w:val="16"/>
          <w:szCs w:val="16"/>
        </w:rPr>
        <w:t>nucleos(</w:t>
      </w:r>
      <w:proofErr w:type="gramEnd"/>
      <w:r w:rsidRPr="000E2301">
        <w:rPr>
          <w:color w:val="000000"/>
          <w:spacing w:val="-1"/>
          <w:kern w:val="0"/>
          <w:sz w:val="16"/>
          <w:szCs w:val="16"/>
        </w:rPr>
        <w:t xml:space="preserve">t)ide treatment in chronic hepatitis B. </w:t>
      </w:r>
      <w:r w:rsidRPr="000E2301">
        <w:rPr>
          <w:i/>
          <w:iCs/>
          <w:color w:val="000000"/>
          <w:spacing w:val="-1"/>
          <w:kern w:val="0"/>
          <w:sz w:val="16"/>
          <w:szCs w:val="16"/>
        </w:rPr>
        <w:t>Expert Opin Drug Saf</w:t>
      </w:r>
      <w:r w:rsidRPr="000E2301">
        <w:rPr>
          <w:color w:val="000000"/>
          <w:spacing w:val="-1"/>
          <w:kern w:val="0"/>
          <w:sz w:val="16"/>
          <w:szCs w:val="16"/>
        </w:rPr>
        <w:t xml:space="preserve"> 2012; </w:t>
      </w:r>
      <w:r w:rsidRPr="000E2301">
        <w:rPr>
          <w:b/>
          <w:bCs/>
          <w:color w:val="000000"/>
          <w:spacing w:val="-1"/>
          <w:kern w:val="0"/>
          <w:sz w:val="16"/>
          <w:szCs w:val="16"/>
        </w:rPr>
        <w:t>11</w:t>
      </w:r>
      <w:r w:rsidRPr="000E2301">
        <w:rPr>
          <w:color w:val="000000"/>
          <w:spacing w:val="-1"/>
          <w:kern w:val="0"/>
          <w:sz w:val="16"/>
          <w:szCs w:val="16"/>
        </w:rPr>
        <w:t>: 357-360 [PMID: 22417072 DOI: 10.1517/14740338.2012.672972]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80</w:t>
      </w:r>
      <w:r w:rsidRPr="000E2301">
        <w:rPr>
          <w:color w:val="000000"/>
          <w:spacing w:val="-1"/>
          <w:kern w:val="0"/>
          <w:sz w:val="16"/>
          <w:szCs w:val="16"/>
        </w:rPr>
        <w:tab/>
      </w:r>
      <w:r w:rsidRPr="000E2301">
        <w:rPr>
          <w:b/>
          <w:bCs/>
          <w:color w:val="000000"/>
          <w:spacing w:val="-1"/>
          <w:kern w:val="0"/>
          <w:sz w:val="16"/>
          <w:szCs w:val="16"/>
        </w:rPr>
        <w:t>Shin JH</w:t>
      </w:r>
      <w:r w:rsidRPr="000E2301">
        <w:rPr>
          <w:color w:val="000000"/>
          <w:spacing w:val="-1"/>
          <w:kern w:val="0"/>
          <w:sz w:val="16"/>
          <w:szCs w:val="16"/>
        </w:rPr>
        <w:t xml:space="preserve">, Kwon HJ, Jang HR, Lee JE, Gwak GY, Huh W, Jung SH, Lee JH, Kim YG, Kim DJ, Oh HY. </w:t>
      </w:r>
      <w:proofErr w:type="gramStart"/>
      <w:r w:rsidRPr="000E2301">
        <w:rPr>
          <w:color w:val="000000"/>
          <w:spacing w:val="-1"/>
          <w:kern w:val="0"/>
          <w:sz w:val="16"/>
          <w:szCs w:val="16"/>
        </w:rPr>
        <w:t>Risk Factors for Renal Functional Decline in Chronic Hepatitis B Patients Receiving Oral Antiviral Agents.</w:t>
      </w:r>
      <w:proofErr w:type="gramEnd"/>
      <w:r w:rsidRPr="000E2301">
        <w:rPr>
          <w:color w:val="000000"/>
          <w:spacing w:val="-1"/>
          <w:kern w:val="0"/>
          <w:sz w:val="16"/>
          <w:szCs w:val="16"/>
        </w:rPr>
        <w:t xml:space="preserve"> </w:t>
      </w:r>
      <w:r w:rsidRPr="000E2301">
        <w:rPr>
          <w:i/>
          <w:iCs/>
          <w:color w:val="000000"/>
          <w:spacing w:val="-1"/>
          <w:kern w:val="0"/>
          <w:sz w:val="16"/>
          <w:szCs w:val="16"/>
        </w:rPr>
        <w:t xml:space="preserve">Medicine </w:t>
      </w:r>
      <w:r w:rsidRPr="000E2301">
        <w:rPr>
          <w:color w:val="000000"/>
          <w:spacing w:val="-1"/>
          <w:kern w:val="0"/>
          <w:sz w:val="16"/>
          <w:szCs w:val="16"/>
        </w:rPr>
        <w:t xml:space="preserve">(Baltimore) 2016; </w:t>
      </w:r>
      <w:r w:rsidRPr="000E2301">
        <w:rPr>
          <w:b/>
          <w:bCs/>
          <w:color w:val="000000"/>
          <w:spacing w:val="-1"/>
          <w:kern w:val="0"/>
          <w:sz w:val="16"/>
          <w:szCs w:val="16"/>
        </w:rPr>
        <w:t>95</w:t>
      </w:r>
      <w:r w:rsidRPr="000E2301">
        <w:rPr>
          <w:color w:val="000000"/>
          <w:spacing w:val="-1"/>
          <w:kern w:val="0"/>
          <w:sz w:val="16"/>
          <w:szCs w:val="16"/>
        </w:rPr>
        <w:t>: e2400 [PMID: 26735542 DOI: 10.1097/MD.0000000000002400]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81</w:t>
      </w:r>
      <w:r w:rsidRPr="000E2301">
        <w:rPr>
          <w:color w:val="000000"/>
          <w:spacing w:val="-1"/>
          <w:kern w:val="0"/>
          <w:sz w:val="16"/>
          <w:szCs w:val="16"/>
        </w:rPr>
        <w:tab/>
      </w:r>
      <w:r w:rsidRPr="000E2301">
        <w:rPr>
          <w:b/>
          <w:bCs/>
          <w:color w:val="000000"/>
          <w:spacing w:val="-1"/>
          <w:kern w:val="0"/>
          <w:sz w:val="16"/>
          <w:szCs w:val="16"/>
        </w:rPr>
        <w:t>Mauss S</w:t>
      </w:r>
      <w:r w:rsidRPr="000E2301">
        <w:rPr>
          <w:color w:val="000000"/>
          <w:spacing w:val="-1"/>
          <w:kern w:val="0"/>
          <w:sz w:val="16"/>
          <w:szCs w:val="16"/>
        </w:rPr>
        <w:t xml:space="preserve">, Berger F, Filmann N, Hueppe D, Henke J, Hegener P, Athmann C, Schmutz G, Herrmann E. Effect of HBV polymerase inhibitors on renal function in patients with chronic hepatitis B. </w:t>
      </w:r>
      <w:r w:rsidRPr="000E2301">
        <w:rPr>
          <w:i/>
          <w:iCs/>
          <w:color w:val="000000"/>
          <w:spacing w:val="-1"/>
          <w:kern w:val="0"/>
          <w:sz w:val="16"/>
          <w:szCs w:val="16"/>
        </w:rPr>
        <w:t>J Hepatol</w:t>
      </w:r>
      <w:r w:rsidRPr="000E2301">
        <w:rPr>
          <w:color w:val="000000"/>
          <w:spacing w:val="-1"/>
          <w:kern w:val="0"/>
          <w:sz w:val="16"/>
          <w:szCs w:val="16"/>
        </w:rPr>
        <w:t xml:space="preserve"> 2011; </w:t>
      </w:r>
      <w:r w:rsidRPr="000E2301">
        <w:rPr>
          <w:b/>
          <w:bCs/>
          <w:color w:val="000000"/>
          <w:spacing w:val="-1"/>
          <w:kern w:val="0"/>
          <w:sz w:val="16"/>
          <w:szCs w:val="16"/>
        </w:rPr>
        <w:t>55</w:t>
      </w:r>
      <w:r w:rsidRPr="000E2301">
        <w:rPr>
          <w:color w:val="000000"/>
          <w:spacing w:val="-1"/>
          <w:kern w:val="0"/>
          <w:sz w:val="16"/>
          <w:szCs w:val="16"/>
        </w:rPr>
        <w:t>: 1235-1240 [PMID: 21703180 DOI: 10.1016/j.jhep.2011.03.030]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82</w:t>
      </w:r>
      <w:r w:rsidRPr="000E2301">
        <w:rPr>
          <w:color w:val="000000"/>
          <w:spacing w:val="-1"/>
          <w:kern w:val="0"/>
          <w:sz w:val="16"/>
          <w:szCs w:val="16"/>
        </w:rPr>
        <w:tab/>
      </w:r>
      <w:r w:rsidRPr="000E2301">
        <w:rPr>
          <w:b/>
          <w:bCs/>
          <w:color w:val="000000"/>
          <w:spacing w:val="-1"/>
          <w:kern w:val="0"/>
          <w:sz w:val="16"/>
          <w:szCs w:val="16"/>
        </w:rPr>
        <w:t>Yang Q</w:t>
      </w:r>
      <w:r w:rsidRPr="000E2301">
        <w:rPr>
          <w:color w:val="000000"/>
          <w:spacing w:val="-1"/>
          <w:kern w:val="0"/>
          <w:sz w:val="16"/>
          <w:szCs w:val="16"/>
        </w:rPr>
        <w:t xml:space="preserve">, Shi YU, Yang Y, Lou G, Lv F. Association between adefovir dipivoxil treatment and the risk of renal insufficiency in patients with chronic hepatitis B: A meta-analysis. </w:t>
      </w:r>
      <w:r w:rsidRPr="000E2301">
        <w:rPr>
          <w:i/>
          <w:iCs/>
          <w:color w:val="000000"/>
          <w:spacing w:val="-1"/>
          <w:kern w:val="0"/>
          <w:sz w:val="16"/>
          <w:szCs w:val="16"/>
        </w:rPr>
        <w:t>Biomed Rep</w:t>
      </w:r>
      <w:r w:rsidRPr="000E2301">
        <w:rPr>
          <w:color w:val="000000"/>
          <w:spacing w:val="-1"/>
          <w:kern w:val="0"/>
          <w:sz w:val="16"/>
          <w:szCs w:val="16"/>
        </w:rPr>
        <w:t xml:space="preserve"> 2015; </w:t>
      </w:r>
      <w:r w:rsidRPr="000E2301">
        <w:rPr>
          <w:b/>
          <w:bCs/>
          <w:color w:val="000000"/>
          <w:spacing w:val="-1"/>
          <w:kern w:val="0"/>
          <w:sz w:val="16"/>
          <w:szCs w:val="16"/>
        </w:rPr>
        <w:t>3</w:t>
      </w:r>
      <w:r w:rsidRPr="000E2301">
        <w:rPr>
          <w:color w:val="000000"/>
          <w:spacing w:val="-1"/>
          <w:kern w:val="0"/>
          <w:sz w:val="16"/>
          <w:szCs w:val="16"/>
        </w:rPr>
        <w:t>: 269-275 [PMID: 25798251]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83</w:t>
      </w:r>
      <w:r w:rsidRPr="000E2301">
        <w:rPr>
          <w:color w:val="000000"/>
          <w:spacing w:val="-1"/>
          <w:kern w:val="0"/>
          <w:sz w:val="16"/>
          <w:szCs w:val="16"/>
        </w:rPr>
        <w:tab/>
      </w:r>
      <w:r w:rsidRPr="000E2301">
        <w:rPr>
          <w:b/>
          <w:bCs/>
          <w:color w:val="000000"/>
          <w:spacing w:val="-1"/>
          <w:kern w:val="0"/>
          <w:sz w:val="16"/>
          <w:szCs w:val="16"/>
        </w:rPr>
        <w:t>Eguchi H</w:t>
      </w:r>
      <w:r w:rsidRPr="000E2301">
        <w:rPr>
          <w:color w:val="000000"/>
          <w:spacing w:val="-1"/>
          <w:kern w:val="0"/>
          <w:sz w:val="16"/>
          <w:szCs w:val="16"/>
        </w:rPr>
        <w:t>, Tsuruta M, Tani J, Kuwahara R, Hiromatsu Y. Hypo</w:t>
      </w:r>
      <w:r w:rsidRPr="000E2301">
        <w:rPr>
          <w:color w:val="000000"/>
          <w:spacing w:val="-1"/>
          <w:kern w:val="0"/>
          <w:sz w:val="16"/>
          <w:szCs w:val="16"/>
        </w:rPr>
        <w:softHyphen/>
        <w:t xml:space="preserve">phosphatemic osteomalacia due to drug-induced Fanconi's syndrome associated with adefovir dipivoxil treatment for hepatitis B. </w:t>
      </w:r>
      <w:r w:rsidRPr="000E2301">
        <w:rPr>
          <w:i/>
          <w:iCs/>
          <w:color w:val="000000"/>
          <w:spacing w:val="-1"/>
          <w:kern w:val="0"/>
          <w:sz w:val="16"/>
          <w:szCs w:val="16"/>
        </w:rPr>
        <w:t>Intern Med</w:t>
      </w:r>
      <w:r w:rsidRPr="000E2301">
        <w:rPr>
          <w:color w:val="000000"/>
          <w:spacing w:val="-1"/>
          <w:kern w:val="0"/>
          <w:sz w:val="16"/>
          <w:szCs w:val="16"/>
        </w:rPr>
        <w:t xml:space="preserve"> 2014; </w:t>
      </w:r>
      <w:r w:rsidRPr="000E2301">
        <w:rPr>
          <w:b/>
          <w:bCs/>
          <w:color w:val="000000"/>
          <w:spacing w:val="-1"/>
          <w:kern w:val="0"/>
          <w:sz w:val="16"/>
          <w:szCs w:val="16"/>
        </w:rPr>
        <w:t>53</w:t>
      </w:r>
      <w:r w:rsidRPr="000E2301">
        <w:rPr>
          <w:color w:val="000000"/>
          <w:spacing w:val="-1"/>
          <w:kern w:val="0"/>
          <w:sz w:val="16"/>
          <w:szCs w:val="16"/>
        </w:rPr>
        <w:t>: 233-237 [PMID: 24492692]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lastRenderedPageBreak/>
        <w:t>84</w:t>
      </w:r>
      <w:r w:rsidRPr="000E2301">
        <w:rPr>
          <w:color w:val="000000"/>
          <w:spacing w:val="-1"/>
          <w:kern w:val="0"/>
          <w:sz w:val="16"/>
          <w:szCs w:val="16"/>
        </w:rPr>
        <w:tab/>
      </w:r>
      <w:r w:rsidRPr="000E2301">
        <w:rPr>
          <w:b/>
          <w:bCs/>
          <w:color w:val="000000"/>
          <w:spacing w:val="-1"/>
          <w:kern w:val="0"/>
          <w:sz w:val="16"/>
          <w:szCs w:val="16"/>
        </w:rPr>
        <w:t>Chen G</w:t>
      </w:r>
      <w:r w:rsidRPr="000E2301">
        <w:rPr>
          <w:color w:val="000000"/>
          <w:spacing w:val="-1"/>
          <w:kern w:val="0"/>
          <w:sz w:val="16"/>
          <w:szCs w:val="16"/>
        </w:rPr>
        <w:t xml:space="preserve">, Lin W, Shen F, Iloeje UH, London WT, Evans AA. </w:t>
      </w:r>
      <w:proofErr w:type="gramStart"/>
      <w:r w:rsidRPr="000E2301">
        <w:rPr>
          <w:color w:val="000000"/>
          <w:spacing w:val="-1"/>
          <w:kern w:val="0"/>
          <w:sz w:val="16"/>
          <w:szCs w:val="16"/>
        </w:rPr>
        <w:t>Past HBV viral load as predictor of mortality and morbidity from HCC and chronic liver disease in a prospective study.</w:t>
      </w:r>
      <w:proofErr w:type="gramEnd"/>
      <w:r w:rsidRPr="000E2301">
        <w:rPr>
          <w:color w:val="000000"/>
          <w:spacing w:val="-1"/>
          <w:kern w:val="0"/>
          <w:sz w:val="16"/>
          <w:szCs w:val="16"/>
        </w:rPr>
        <w:t xml:space="preserve"> </w:t>
      </w:r>
      <w:r w:rsidRPr="000E2301">
        <w:rPr>
          <w:i/>
          <w:iCs/>
          <w:color w:val="000000"/>
          <w:spacing w:val="-1"/>
          <w:kern w:val="0"/>
          <w:sz w:val="16"/>
          <w:szCs w:val="16"/>
        </w:rPr>
        <w:t>Am J Gastroenterol</w:t>
      </w:r>
      <w:r w:rsidRPr="000E2301">
        <w:rPr>
          <w:color w:val="000000"/>
          <w:spacing w:val="-1"/>
          <w:kern w:val="0"/>
          <w:sz w:val="16"/>
          <w:szCs w:val="16"/>
        </w:rPr>
        <w:t xml:space="preserve"> 2006; </w:t>
      </w:r>
      <w:r w:rsidRPr="000E2301">
        <w:rPr>
          <w:b/>
          <w:bCs/>
          <w:color w:val="000000"/>
          <w:spacing w:val="-1"/>
          <w:kern w:val="0"/>
          <w:sz w:val="16"/>
          <w:szCs w:val="16"/>
        </w:rPr>
        <w:t>101</w:t>
      </w:r>
      <w:r w:rsidRPr="000E2301">
        <w:rPr>
          <w:color w:val="000000"/>
          <w:spacing w:val="-1"/>
          <w:kern w:val="0"/>
          <w:sz w:val="16"/>
          <w:szCs w:val="16"/>
        </w:rPr>
        <w:t>: 1797-1803 [PMID: 16817842]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85</w:t>
      </w:r>
      <w:r w:rsidRPr="000E2301">
        <w:rPr>
          <w:color w:val="000000"/>
          <w:spacing w:val="-1"/>
          <w:kern w:val="0"/>
          <w:sz w:val="16"/>
          <w:szCs w:val="16"/>
        </w:rPr>
        <w:tab/>
      </w:r>
      <w:r w:rsidRPr="000E2301">
        <w:rPr>
          <w:b/>
          <w:bCs/>
          <w:color w:val="000000"/>
          <w:spacing w:val="-1"/>
          <w:kern w:val="0"/>
          <w:sz w:val="16"/>
          <w:szCs w:val="16"/>
        </w:rPr>
        <w:t>Izzedine H</w:t>
      </w:r>
      <w:r w:rsidRPr="000E2301">
        <w:rPr>
          <w:color w:val="000000"/>
          <w:spacing w:val="-1"/>
          <w:kern w:val="0"/>
          <w:sz w:val="16"/>
          <w:szCs w:val="16"/>
        </w:rPr>
        <w:t xml:space="preserve">, Hulot JS, Launay-Vacher V, Marcellini P, Hadziyannis SJ, Currie G, Brosgart CL, Westland C, Arterbrun S, Deray G; Adefovir Dipivoxil International 437 Study Group; Adefovir Dipivoxil International 438 Study Group. Renal safety of adefovir dipivoxil in patients with chronic hepatitis B: two double-blind, randomized, placebo-controlled studies. </w:t>
      </w:r>
      <w:r w:rsidRPr="000E2301">
        <w:rPr>
          <w:i/>
          <w:iCs/>
          <w:color w:val="000000"/>
          <w:spacing w:val="-1"/>
          <w:kern w:val="0"/>
          <w:sz w:val="16"/>
          <w:szCs w:val="16"/>
        </w:rPr>
        <w:t>Kidney Int</w:t>
      </w:r>
      <w:r w:rsidRPr="000E2301">
        <w:rPr>
          <w:color w:val="000000"/>
          <w:spacing w:val="-1"/>
          <w:kern w:val="0"/>
          <w:sz w:val="16"/>
          <w:szCs w:val="16"/>
        </w:rPr>
        <w:t xml:space="preserve"> 2004; </w:t>
      </w:r>
      <w:r w:rsidRPr="000E2301">
        <w:rPr>
          <w:b/>
          <w:bCs/>
          <w:color w:val="000000"/>
          <w:spacing w:val="-1"/>
          <w:kern w:val="0"/>
          <w:sz w:val="16"/>
          <w:szCs w:val="16"/>
        </w:rPr>
        <w:t>66</w:t>
      </w:r>
      <w:r w:rsidRPr="000E2301">
        <w:rPr>
          <w:color w:val="000000"/>
          <w:spacing w:val="-1"/>
          <w:kern w:val="0"/>
          <w:sz w:val="16"/>
          <w:szCs w:val="16"/>
        </w:rPr>
        <w:t>: 1153-1158 [PMID: 15327411]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86</w:t>
      </w:r>
      <w:r w:rsidRPr="000E2301">
        <w:rPr>
          <w:color w:val="000000"/>
          <w:spacing w:val="-1"/>
          <w:kern w:val="0"/>
          <w:sz w:val="16"/>
          <w:szCs w:val="16"/>
        </w:rPr>
        <w:tab/>
      </w:r>
      <w:r w:rsidRPr="000E2301">
        <w:rPr>
          <w:b/>
          <w:bCs/>
          <w:color w:val="000000"/>
          <w:spacing w:val="-1"/>
          <w:kern w:val="0"/>
          <w:sz w:val="16"/>
          <w:szCs w:val="16"/>
        </w:rPr>
        <w:t>Girgis CM</w:t>
      </w:r>
      <w:r w:rsidRPr="000E2301">
        <w:rPr>
          <w:color w:val="000000"/>
          <w:spacing w:val="-1"/>
          <w:kern w:val="0"/>
          <w:sz w:val="16"/>
          <w:szCs w:val="16"/>
        </w:rPr>
        <w:t xml:space="preserve">, Wong T, Ngu MC, Emmett L, Archer KA, Chen RC, Seibel MJ. </w:t>
      </w:r>
      <w:proofErr w:type="gramStart"/>
      <w:r w:rsidRPr="000E2301">
        <w:rPr>
          <w:color w:val="000000"/>
          <w:spacing w:val="-1"/>
          <w:kern w:val="0"/>
          <w:sz w:val="16"/>
          <w:szCs w:val="16"/>
        </w:rPr>
        <w:t>Hypophosphataemic osteomalacia in patients on adefovir dipivoxil.</w:t>
      </w:r>
      <w:proofErr w:type="gramEnd"/>
      <w:r w:rsidRPr="000E2301">
        <w:rPr>
          <w:color w:val="000000"/>
          <w:spacing w:val="-1"/>
          <w:kern w:val="0"/>
          <w:sz w:val="16"/>
          <w:szCs w:val="16"/>
        </w:rPr>
        <w:t xml:space="preserve"> </w:t>
      </w:r>
      <w:r w:rsidRPr="000E2301">
        <w:rPr>
          <w:i/>
          <w:iCs/>
          <w:color w:val="000000"/>
          <w:spacing w:val="-1"/>
          <w:kern w:val="0"/>
          <w:sz w:val="16"/>
          <w:szCs w:val="16"/>
        </w:rPr>
        <w:t>J Clin Gastroenterol</w:t>
      </w:r>
      <w:r w:rsidRPr="000E2301">
        <w:rPr>
          <w:color w:val="000000"/>
          <w:spacing w:val="-1"/>
          <w:kern w:val="0"/>
          <w:sz w:val="16"/>
          <w:szCs w:val="16"/>
        </w:rPr>
        <w:t xml:space="preserve"> 2011; </w:t>
      </w:r>
      <w:r w:rsidRPr="000E2301">
        <w:rPr>
          <w:b/>
          <w:bCs/>
          <w:color w:val="000000"/>
          <w:spacing w:val="-1"/>
          <w:kern w:val="0"/>
          <w:sz w:val="16"/>
          <w:szCs w:val="16"/>
        </w:rPr>
        <w:t>45</w:t>
      </w:r>
      <w:r w:rsidRPr="000E2301">
        <w:rPr>
          <w:color w:val="000000"/>
          <w:spacing w:val="-1"/>
          <w:kern w:val="0"/>
          <w:sz w:val="16"/>
          <w:szCs w:val="16"/>
        </w:rPr>
        <w:t>: 468-473 [PMID: 20661153 DOI: 10.1097/MCG.0b013e3181e12ed3]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87</w:t>
      </w:r>
      <w:r w:rsidRPr="000E2301">
        <w:rPr>
          <w:color w:val="000000"/>
          <w:spacing w:val="-1"/>
          <w:kern w:val="0"/>
          <w:sz w:val="16"/>
          <w:szCs w:val="16"/>
        </w:rPr>
        <w:tab/>
      </w:r>
      <w:r w:rsidRPr="000E2301">
        <w:rPr>
          <w:b/>
          <w:bCs/>
          <w:color w:val="000000"/>
          <w:spacing w:val="-1"/>
          <w:kern w:val="0"/>
          <w:sz w:val="16"/>
          <w:szCs w:val="16"/>
        </w:rPr>
        <w:t>Samarkos M</w:t>
      </w:r>
      <w:r w:rsidRPr="000E2301">
        <w:rPr>
          <w:color w:val="000000"/>
          <w:spacing w:val="-1"/>
          <w:kern w:val="0"/>
          <w:sz w:val="16"/>
          <w:szCs w:val="16"/>
        </w:rPr>
        <w:t xml:space="preserve">, Theofanis V, Eliadi I, Vlachogiannakos J, Polyzos A. Tenofovir-associated Fanconi syndrome in a patient with chronic hepatitis B. </w:t>
      </w:r>
      <w:r w:rsidRPr="000E2301">
        <w:rPr>
          <w:i/>
          <w:iCs/>
          <w:color w:val="000000"/>
          <w:spacing w:val="-1"/>
          <w:kern w:val="0"/>
          <w:sz w:val="16"/>
          <w:szCs w:val="16"/>
        </w:rPr>
        <w:t>J Gastrointestin Liver Dis</w:t>
      </w:r>
      <w:r w:rsidRPr="000E2301">
        <w:rPr>
          <w:color w:val="000000"/>
          <w:spacing w:val="-1"/>
          <w:kern w:val="0"/>
          <w:sz w:val="16"/>
          <w:szCs w:val="16"/>
        </w:rPr>
        <w:t xml:space="preserve"> 2014; </w:t>
      </w:r>
      <w:r w:rsidRPr="000E2301">
        <w:rPr>
          <w:b/>
          <w:bCs/>
          <w:color w:val="000000"/>
          <w:spacing w:val="-1"/>
          <w:kern w:val="0"/>
          <w:sz w:val="16"/>
          <w:szCs w:val="16"/>
        </w:rPr>
        <w:t>23</w:t>
      </w:r>
      <w:r w:rsidRPr="000E2301">
        <w:rPr>
          <w:color w:val="000000"/>
          <w:spacing w:val="-1"/>
          <w:kern w:val="0"/>
          <w:sz w:val="16"/>
          <w:szCs w:val="16"/>
        </w:rPr>
        <w:t>: 342 [PMID: 25267967]</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88</w:t>
      </w:r>
      <w:r w:rsidRPr="000E2301">
        <w:rPr>
          <w:color w:val="000000"/>
          <w:spacing w:val="-1"/>
          <w:kern w:val="0"/>
          <w:sz w:val="16"/>
          <w:szCs w:val="16"/>
        </w:rPr>
        <w:tab/>
      </w:r>
      <w:r w:rsidRPr="000E2301">
        <w:rPr>
          <w:b/>
          <w:bCs/>
          <w:color w:val="000000"/>
          <w:spacing w:val="-1"/>
          <w:kern w:val="0"/>
          <w:sz w:val="16"/>
          <w:szCs w:val="16"/>
        </w:rPr>
        <w:t>Xu LJ</w:t>
      </w:r>
      <w:r w:rsidRPr="000E2301">
        <w:rPr>
          <w:color w:val="000000"/>
          <w:spacing w:val="-1"/>
          <w:kern w:val="0"/>
          <w:sz w:val="16"/>
          <w:szCs w:val="16"/>
        </w:rPr>
        <w:t xml:space="preserve">, Jiang Y, Liao RX, Zhang HB, Mao JF, Chi Y, Li M, Wang O, Liu XQ, Liu ZY, Xing XP, Yu W, Xia WB. Low-dose adefovir dipivoxil may induce Fanconi syndrome: clinical characteristics and long-term follow-up for Chinese patients. </w:t>
      </w:r>
      <w:r w:rsidRPr="000E2301">
        <w:rPr>
          <w:i/>
          <w:iCs/>
          <w:color w:val="000000"/>
          <w:spacing w:val="-1"/>
          <w:kern w:val="0"/>
          <w:sz w:val="16"/>
          <w:szCs w:val="16"/>
        </w:rPr>
        <w:t>Antivir Ther</w:t>
      </w:r>
      <w:r w:rsidRPr="000E2301">
        <w:rPr>
          <w:color w:val="000000"/>
          <w:spacing w:val="-1"/>
          <w:kern w:val="0"/>
          <w:sz w:val="16"/>
          <w:szCs w:val="16"/>
        </w:rPr>
        <w:t xml:space="preserve"> 2015; </w:t>
      </w:r>
      <w:r w:rsidRPr="000E2301">
        <w:rPr>
          <w:b/>
          <w:bCs/>
          <w:color w:val="000000"/>
          <w:spacing w:val="-1"/>
          <w:kern w:val="0"/>
          <w:sz w:val="16"/>
          <w:szCs w:val="16"/>
        </w:rPr>
        <w:t>20</w:t>
      </w:r>
      <w:r w:rsidRPr="000E2301">
        <w:rPr>
          <w:color w:val="000000"/>
          <w:spacing w:val="-1"/>
          <w:kern w:val="0"/>
          <w:sz w:val="16"/>
          <w:szCs w:val="16"/>
        </w:rPr>
        <w:t>: 603-611 [PMID: 25814481 DOI: 10.3851/IMP2954]</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89</w:t>
      </w:r>
      <w:r w:rsidRPr="000E2301">
        <w:rPr>
          <w:color w:val="000000"/>
          <w:spacing w:val="-1"/>
          <w:kern w:val="0"/>
          <w:sz w:val="16"/>
          <w:szCs w:val="16"/>
        </w:rPr>
        <w:tab/>
      </w:r>
      <w:r w:rsidRPr="000E2301">
        <w:rPr>
          <w:b/>
          <w:bCs/>
          <w:color w:val="000000"/>
          <w:spacing w:val="-2"/>
          <w:kern w:val="0"/>
          <w:sz w:val="16"/>
          <w:szCs w:val="16"/>
        </w:rPr>
        <w:t>Viganò M</w:t>
      </w:r>
      <w:r w:rsidRPr="000E2301">
        <w:rPr>
          <w:color w:val="000000"/>
          <w:spacing w:val="-2"/>
          <w:kern w:val="0"/>
          <w:sz w:val="16"/>
          <w:szCs w:val="16"/>
        </w:rPr>
        <w:t xml:space="preserve">, Brocchieri A, Spinetti A, Zaltron S, Mangia G, Facchetti F, Fugazza A, Castelli F, Colombo M, Lampertico P. Tenofovir-induced Fanconi syndrome in chronic hepatitis B monoinfected patients that reverted after tenofovir withdrawal. </w:t>
      </w:r>
      <w:r w:rsidRPr="000E2301">
        <w:rPr>
          <w:i/>
          <w:iCs/>
          <w:color w:val="000000"/>
          <w:spacing w:val="-2"/>
          <w:kern w:val="0"/>
          <w:sz w:val="16"/>
          <w:szCs w:val="16"/>
        </w:rPr>
        <w:t>J Clin Virol</w:t>
      </w:r>
      <w:r w:rsidRPr="000E2301">
        <w:rPr>
          <w:color w:val="000000"/>
          <w:spacing w:val="-2"/>
          <w:kern w:val="0"/>
          <w:sz w:val="16"/>
          <w:szCs w:val="16"/>
        </w:rPr>
        <w:t xml:space="preserve"> 2014; </w:t>
      </w:r>
      <w:r w:rsidRPr="000E2301">
        <w:rPr>
          <w:b/>
          <w:bCs/>
          <w:color w:val="000000"/>
          <w:spacing w:val="-2"/>
          <w:kern w:val="0"/>
          <w:sz w:val="16"/>
          <w:szCs w:val="16"/>
        </w:rPr>
        <w:t>61</w:t>
      </w:r>
      <w:r w:rsidRPr="000E2301">
        <w:rPr>
          <w:color w:val="000000"/>
          <w:spacing w:val="-2"/>
          <w:kern w:val="0"/>
          <w:sz w:val="16"/>
          <w:szCs w:val="16"/>
        </w:rPr>
        <w:t>: 600-603 [PMID: 25453573 DOI: 10.1016/j.jcv.2014.09.016]</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90</w:t>
      </w:r>
      <w:r w:rsidRPr="000E2301">
        <w:rPr>
          <w:color w:val="000000"/>
          <w:spacing w:val="-1"/>
          <w:kern w:val="0"/>
          <w:sz w:val="16"/>
          <w:szCs w:val="16"/>
        </w:rPr>
        <w:tab/>
      </w:r>
      <w:r w:rsidRPr="000E2301">
        <w:rPr>
          <w:b/>
          <w:bCs/>
          <w:color w:val="000000"/>
          <w:spacing w:val="-1"/>
          <w:kern w:val="0"/>
          <w:sz w:val="16"/>
          <w:szCs w:val="16"/>
        </w:rPr>
        <w:t>Gracey DM</w:t>
      </w:r>
      <w:r w:rsidRPr="000E2301">
        <w:rPr>
          <w:color w:val="000000"/>
          <w:spacing w:val="-1"/>
          <w:kern w:val="0"/>
          <w:sz w:val="16"/>
          <w:szCs w:val="16"/>
        </w:rPr>
        <w:t xml:space="preserve">, Snelling P, McKenzie P, Strasser SI. </w:t>
      </w:r>
      <w:proofErr w:type="gramStart"/>
      <w:r w:rsidRPr="000E2301">
        <w:rPr>
          <w:color w:val="000000"/>
          <w:spacing w:val="-1"/>
          <w:kern w:val="0"/>
          <w:sz w:val="16"/>
          <w:szCs w:val="16"/>
        </w:rPr>
        <w:t>Tenofovir-associated Fanconi syndrome in patients with chronic hepatitis B monoinfection.</w:t>
      </w:r>
      <w:proofErr w:type="gramEnd"/>
      <w:r w:rsidRPr="000E2301">
        <w:rPr>
          <w:color w:val="000000"/>
          <w:spacing w:val="-1"/>
          <w:kern w:val="0"/>
          <w:sz w:val="16"/>
          <w:szCs w:val="16"/>
        </w:rPr>
        <w:t xml:space="preserve"> </w:t>
      </w:r>
      <w:r w:rsidRPr="000E2301">
        <w:rPr>
          <w:i/>
          <w:iCs/>
          <w:color w:val="000000"/>
          <w:spacing w:val="-1"/>
          <w:kern w:val="0"/>
          <w:sz w:val="16"/>
          <w:szCs w:val="16"/>
        </w:rPr>
        <w:t>Antivir Ther</w:t>
      </w:r>
      <w:r w:rsidRPr="000E2301">
        <w:rPr>
          <w:color w:val="000000"/>
          <w:spacing w:val="-1"/>
          <w:kern w:val="0"/>
          <w:sz w:val="16"/>
          <w:szCs w:val="16"/>
        </w:rPr>
        <w:t xml:space="preserve"> 2013; </w:t>
      </w:r>
      <w:r w:rsidRPr="000E2301">
        <w:rPr>
          <w:b/>
          <w:bCs/>
          <w:color w:val="000000"/>
          <w:spacing w:val="-1"/>
          <w:kern w:val="0"/>
          <w:sz w:val="16"/>
          <w:szCs w:val="16"/>
        </w:rPr>
        <w:t>18</w:t>
      </w:r>
      <w:r w:rsidRPr="000E2301">
        <w:rPr>
          <w:color w:val="000000"/>
          <w:spacing w:val="-1"/>
          <w:kern w:val="0"/>
          <w:sz w:val="16"/>
          <w:szCs w:val="16"/>
        </w:rPr>
        <w:t>: 945-948 [PMID: 23839869 DOI: 10.3851/IMP2649]</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91</w:t>
      </w:r>
      <w:r w:rsidRPr="000E2301">
        <w:rPr>
          <w:color w:val="000000"/>
          <w:spacing w:val="-1"/>
          <w:kern w:val="0"/>
          <w:sz w:val="16"/>
          <w:szCs w:val="16"/>
        </w:rPr>
        <w:tab/>
      </w:r>
      <w:r w:rsidRPr="000E2301">
        <w:rPr>
          <w:b/>
          <w:bCs/>
          <w:color w:val="000000"/>
          <w:spacing w:val="-2"/>
          <w:kern w:val="0"/>
          <w:sz w:val="16"/>
          <w:szCs w:val="16"/>
        </w:rPr>
        <w:t>Gómez Martinez MV</w:t>
      </w:r>
      <w:r w:rsidRPr="000E2301">
        <w:rPr>
          <w:color w:val="000000"/>
          <w:spacing w:val="-2"/>
          <w:kern w:val="0"/>
          <w:sz w:val="16"/>
          <w:szCs w:val="16"/>
        </w:rPr>
        <w:t>, Gallardo FG, Pirogova T, García-Sam</w:t>
      </w:r>
      <w:r w:rsidRPr="000E2301">
        <w:rPr>
          <w:color w:val="000000"/>
          <w:spacing w:val="-2"/>
          <w:kern w:val="0"/>
          <w:sz w:val="16"/>
          <w:szCs w:val="16"/>
        </w:rPr>
        <w:softHyphen/>
        <w:t xml:space="preserve">aniego J. Bone scintigraphy and secondary osteomalacia due to nephrotoxicity in a chronic hepatitis B patient treated with tenofovir. </w:t>
      </w:r>
      <w:r w:rsidRPr="000E2301">
        <w:rPr>
          <w:i/>
          <w:iCs/>
          <w:color w:val="000000"/>
          <w:spacing w:val="-2"/>
          <w:kern w:val="0"/>
          <w:sz w:val="16"/>
          <w:szCs w:val="16"/>
        </w:rPr>
        <w:t xml:space="preserve">Rev </w:t>
      </w:r>
      <w:proofErr w:type="gramStart"/>
      <w:r w:rsidRPr="000E2301">
        <w:rPr>
          <w:i/>
          <w:iCs/>
          <w:color w:val="000000"/>
          <w:spacing w:val="-2"/>
          <w:kern w:val="0"/>
          <w:sz w:val="16"/>
          <w:szCs w:val="16"/>
        </w:rPr>
        <w:t>Esp</w:t>
      </w:r>
      <w:proofErr w:type="gramEnd"/>
      <w:r w:rsidRPr="000E2301">
        <w:rPr>
          <w:i/>
          <w:iCs/>
          <w:color w:val="000000"/>
          <w:spacing w:val="-2"/>
          <w:kern w:val="0"/>
          <w:sz w:val="16"/>
          <w:szCs w:val="16"/>
        </w:rPr>
        <w:t xml:space="preserve"> Med Nucl Imagen Mol</w:t>
      </w:r>
      <w:r w:rsidRPr="000E2301">
        <w:rPr>
          <w:color w:val="000000"/>
          <w:spacing w:val="-2"/>
          <w:kern w:val="0"/>
          <w:sz w:val="16"/>
          <w:szCs w:val="16"/>
        </w:rPr>
        <w:t xml:space="preserve"> 2014; </w:t>
      </w:r>
      <w:r w:rsidRPr="000E2301">
        <w:rPr>
          <w:b/>
          <w:bCs/>
          <w:color w:val="000000"/>
          <w:spacing w:val="-2"/>
          <w:kern w:val="0"/>
          <w:sz w:val="16"/>
          <w:szCs w:val="16"/>
        </w:rPr>
        <w:t>33</w:t>
      </w:r>
      <w:r w:rsidRPr="000E2301">
        <w:rPr>
          <w:color w:val="000000"/>
          <w:spacing w:val="-2"/>
          <w:kern w:val="0"/>
          <w:sz w:val="16"/>
          <w:szCs w:val="16"/>
        </w:rPr>
        <w:t>: 103-105 [PMID: 23920225 DOI: 10.1016/j.remn.2013.05.011]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92</w:t>
      </w:r>
      <w:r w:rsidRPr="000E2301">
        <w:rPr>
          <w:color w:val="000000"/>
          <w:spacing w:val="-1"/>
          <w:kern w:val="0"/>
          <w:sz w:val="16"/>
          <w:szCs w:val="16"/>
        </w:rPr>
        <w:tab/>
      </w:r>
      <w:r w:rsidRPr="000E2301">
        <w:rPr>
          <w:b/>
          <w:bCs/>
          <w:color w:val="000000"/>
          <w:spacing w:val="-1"/>
          <w:kern w:val="0"/>
          <w:sz w:val="16"/>
          <w:szCs w:val="16"/>
        </w:rPr>
        <w:t>Karras A</w:t>
      </w:r>
      <w:r w:rsidRPr="000E2301">
        <w:rPr>
          <w:color w:val="000000"/>
          <w:spacing w:val="-1"/>
          <w:kern w:val="0"/>
          <w:sz w:val="16"/>
          <w:szCs w:val="16"/>
        </w:rPr>
        <w:t>, Lafaurie M, Furco A, Bourgarit A, Droz D, Sereni D, Legendre C, Martinez F, Molina JM. Tenofovir-related nephro</w:t>
      </w:r>
      <w:r w:rsidRPr="000E2301">
        <w:rPr>
          <w:color w:val="000000"/>
          <w:spacing w:val="-1"/>
          <w:kern w:val="0"/>
          <w:sz w:val="16"/>
          <w:szCs w:val="16"/>
        </w:rPr>
        <w:softHyphen/>
        <w:t xml:space="preserve">toxicity in human immunodeficiency virus-infected patients: three cases of renal failure, Fanconi syndrome, and nephrogenic diabetes insipidus. </w:t>
      </w:r>
      <w:r w:rsidRPr="000E2301">
        <w:rPr>
          <w:i/>
          <w:iCs/>
          <w:color w:val="000000"/>
          <w:spacing w:val="-1"/>
          <w:kern w:val="0"/>
          <w:sz w:val="16"/>
          <w:szCs w:val="16"/>
        </w:rPr>
        <w:t>Clin Infect Dis</w:t>
      </w:r>
      <w:r w:rsidRPr="000E2301">
        <w:rPr>
          <w:color w:val="000000"/>
          <w:spacing w:val="-1"/>
          <w:kern w:val="0"/>
          <w:sz w:val="16"/>
          <w:szCs w:val="16"/>
        </w:rPr>
        <w:t xml:space="preserve"> 2003; </w:t>
      </w:r>
      <w:r w:rsidRPr="000E2301">
        <w:rPr>
          <w:b/>
          <w:bCs/>
          <w:color w:val="000000"/>
          <w:spacing w:val="-1"/>
          <w:kern w:val="0"/>
          <w:sz w:val="16"/>
          <w:szCs w:val="16"/>
        </w:rPr>
        <w:t>36</w:t>
      </w:r>
      <w:r w:rsidRPr="000E2301">
        <w:rPr>
          <w:color w:val="000000"/>
          <w:spacing w:val="-1"/>
          <w:kern w:val="0"/>
          <w:sz w:val="16"/>
          <w:szCs w:val="16"/>
        </w:rPr>
        <w:t>: 1070-1073 [PMID: 12684922]</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93</w:t>
      </w:r>
      <w:r w:rsidRPr="000E2301">
        <w:rPr>
          <w:color w:val="000000"/>
          <w:spacing w:val="-1"/>
          <w:kern w:val="0"/>
          <w:sz w:val="16"/>
          <w:szCs w:val="16"/>
        </w:rPr>
        <w:tab/>
      </w:r>
      <w:r w:rsidRPr="000E2301">
        <w:rPr>
          <w:b/>
          <w:bCs/>
          <w:color w:val="000000"/>
          <w:spacing w:val="-1"/>
          <w:kern w:val="0"/>
          <w:sz w:val="16"/>
          <w:szCs w:val="16"/>
        </w:rPr>
        <w:t>Pol S</w:t>
      </w:r>
      <w:r w:rsidRPr="000E2301">
        <w:rPr>
          <w:color w:val="000000"/>
          <w:spacing w:val="-1"/>
          <w:kern w:val="0"/>
          <w:sz w:val="16"/>
          <w:szCs w:val="16"/>
        </w:rPr>
        <w:t xml:space="preserve">, Lampertico P. First-line treatment of chronic hepatitis B with entecavir or tenofovir in 'real-life' settings: from clinical trials to clinical practice. </w:t>
      </w:r>
      <w:r w:rsidRPr="000E2301">
        <w:rPr>
          <w:i/>
          <w:iCs/>
          <w:color w:val="000000"/>
          <w:spacing w:val="-1"/>
          <w:kern w:val="0"/>
          <w:sz w:val="16"/>
          <w:szCs w:val="16"/>
        </w:rPr>
        <w:t>J Viral Hepat</w:t>
      </w:r>
      <w:r w:rsidRPr="000E2301">
        <w:rPr>
          <w:color w:val="000000"/>
          <w:spacing w:val="-1"/>
          <w:kern w:val="0"/>
          <w:sz w:val="16"/>
          <w:szCs w:val="16"/>
        </w:rPr>
        <w:t xml:space="preserve"> 2012; </w:t>
      </w:r>
      <w:r w:rsidRPr="000E2301">
        <w:rPr>
          <w:b/>
          <w:bCs/>
          <w:color w:val="000000"/>
          <w:spacing w:val="-1"/>
          <w:kern w:val="0"/>
          <w:sz w:val="16"/>
          <w:szCs w:val="16"/>
        </w:rPr>
        <w:t>19</w:t>
      </w:r>
      <w:r w:rsidRPr="000E2301">
        <w:rPr>
          <w:color w:val="000000"/>
          <w:spacing w:val="-1"/>
          <w:kern w:val="0"/>
          <w:sz w:val="16"/>
          <w:szCs w:val="16"/>
        </w:rPr>
        <w:t>: 377-386 [PMID: 22571899 DOI: 10.1111/j.1365-2893.2012.01602.x]</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94</w:t>
      </w:r>
      <w:r w:rsidRPr="000E2301">
        <w:rPr>
          <w:color w:val="000000"/>
          <w:spacing w:val="-1"/>
          <w:kern w:val="0"/>
          <w:sz w:val="16"/>
          <w:szCs w:val="16"/>
        </w:rPr>
        <w:tab/>
      </w:r>
      <w:r w:rsidRPr="000E2301">
        <w:rPr>
          <w:b/>
          <w:bCs/>
          <w:color w:val="000000"/>
          <w:spacing w:val="-1"/>
          <w:kern w:val="0"/>
          <w:sz w:val="16"/>
          <w:szCs w:val="16"/>
        </w:rPr>
        <w:t>Gish RG</w:t>
      </w:r>
      <w:r w:rsidRPr="000E2301">
        <w:rPr>
          <w:color w:val="000000"/>
          <w:spacing w:val="-1"/>
          <w:kern w:val="0"/>
          <w:sz w:val="16"/>
          <w:szCs w:val="16"/>
        </w:rPr>
        <w:t xml:space="preserve">, Clark MD, Kane SD, Shaw RE, Mangahas MF, Baqai S. Similar risk of renal events among patients treated with tenofovir or entecavir for chronic hepatitis B. </w:t>
      </w:r>
      <w:r w:rsidRPr="000E2301">
        <w:rPr>
          <w:i/>
          <w:iCs/>
          <w:color w:val="000000"/>
          <w:spacing w:val="-1"/>
          <w:kern w:val="0"/>
          <w:sz w:val="16"/>
          <w:szCs w:val="16"/>
        </w:rPr>
        <w:t>Clin Gastroenterol Hepatol</w:t>
      </w:r>
      <w:r w:rsidRPr="000E2301">
        <w:rPr>
          <w:color w:val="000000"/>
          <w:spacing w:val="-1"/>
          <w:kern w:val="0"/>
          <w:sz w:val="16"/>
          <w:szCs w:val="16"/>
        </w:rPr>
        <w:t xml:space="preserve"> 2012; </w:t>
      </w:r>
      <w:r w:rsidRPr="000E2301">
        <w:rPr>
          <w:b/>
          <w:bCs/>
          <w:color w:val="000000"/>
          <w:spacing w:val="-1"/>
          <w:kern w:val="0"/>
          <w:sz w:val="16"/>
          <w:szCs w:val="16"/>
        </w:rPr>
        <w:t>10</w:t>
      </w:r>
      <w:r w:rsidRPr="000E2301">
        <w:rPr>
          <w:color w:val="000000"/>
          <w:spacing w:val="-1"/>
          <w:kern w:val="0"/>
          <w:sz w:val="16"/>
          <w:szCs w:val="16"/>
        </w:rPr>
        <w:t>: 941-946; quiz e68 [PMID: 22507876 DOI: 10.1016/j.cgh.2012.04.008]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95</w:t>
      </w:r>
      <w:r w:rsidRPr="000E2301">
        <w:rPr>
          <w:color w:val="000000"/>
          <w:spacing w:val="-1"/>
          <w:kern w:val="0"/>
          <w:sz w:val="16"/>
          <w:szCs w:val="16"/>
        </w:rPr>
        <w:tab/>
      </w:r>
      <w:r w:rsidRPr="000E2301">
        <w:rPr>
          <w:b/>
          <w:bCs/>
          <w:color w:val="000000"/>
          <w:spacing w:val="-1"/>
          <w:kern w:val="0"/>
          <w:sz w:val="16"/>
          <w:szCs w:val="16"/>
        </w:rPr>
        <w:t>Kim JH</w:t>
      </w:r>
      <w:r w:rsidRPr="000E2301">
        <w:rPr>
          <w:color w:val="000000"/>
          <w:spacing w:val="-1"/>
          <w:kern w:val="0"/>
          <w:sz w:val="16"/>
          <w:szCs w:val="16"/>
        </w:rPr>
        <w:t xml:space="preserve">, Jung SW, Byun SS, Shin JW, Park BR, Kim MH, Kim CJ, Park NH. Efficacy and safety of tenofovir in </w:t>
      </w:r>
      <w:proofErr w:type="gramStart"/>
      <w:r w:rsidRPr="000E2301">
        <w:rPr>
          <w:color w:val="000000"/>
          <w:spacing w:val="-1"/>
          <w:kern w:val="0"/>
          <w:sz w:val="16"/>
          <w:szCs w:val="16"/>
        </w:rPr>
        <w:t>nucleos(</w:t>
      </w:r>
      <w:proofErr w:type="gramEnd"/>
      <w:r w:rsidRPr="000E2301">
        <w:rPr>
          <w:color w:val="000000"/>
          <w:spacing w:val="-1"/>
          <w:kern w:val="0"/>
          <w:sz w:val="16"/>
          <w:szCs w:val="16"/>
        </w:rPr>
        <w:t xml:space="preserve">t)ide-naïve patients with genotype C chronic hepatitis B in real-life practice. </w:t>
      </w:r>
      <w:r w:rsidRPr="000E2301">
        <w:rPr>
          <w:i/>
          <w:iCs/>
          <w:color w:val="000000"/>
          <w:spacing w:val="-1"/>
          <w:kern w:val="0"/>
          <w:sz w:val="16"/>
          <w:szCs w:val="16"/>
        </w:rPr>
        <w:t>Int J Clin Pharm</w:t>
      </w:r>
      <w:r w:rsidRPr="000E2301">
        <w:rPr>
          <w:color w:val="000000"/>
          <w:spacing w:val="-1"/>
          <w:kern w:val="0"/>
          <w:sz w:val="16"/>
          <w:szCs w:val="16"/>
        </w:rPr>
        <w:t xml:space="preserve"> 2015; </w:t>
      </w:r>
      <w:r w:rsidRPr="000E2301">
        <w:rPr>
          <w:b/>
          <w:bCs/>
          <w:color w:val="000000"/>
          <w:spacing w:val="-1"/>
          <w:kern w:val="0"/>
          <w:sz w:val="16"/>
          <w:szCs w:val="16"/>
        </w:rPr>
        <w:t>37</w:t>
      </w:r>
      <w:r w:rsidRPr="000E2301">
        <w:rPr>
          <w:color w:val="000000"/>
          <w:spacing w:val="-1"/>
          <w:kern w:val="0"/>
          <w:sz w:val="16"/>
          <w:szCs w:val="16"/>
        </w:rPr>
        <w:t>: 1228-1234 [PMID: 26364195 DOI: 10.1007/s11096-015-0193-1]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96</w:t>
      </w:r>
      <w:r w:rsidRPr="000E2301">
        <w:rPr>
          <w:color w:val="000000"/>
          <w:spacing w:val="-1"/>
          <w:kern w:val="0"/>
          <w:sz w:val="16"/>
          <w:szCs w:val="16"/>
        </w:rPr>
        <w:tab/>
      </w:r>
      <w:r w:rsidRPr="000E2301">
        <w:rPr>
          <w:b/>
          <w:bCs/>
          <w:color w:val="000000"/>
          <w:spacing w:val="-1"/>
          <w:kern w:val="0"/>
          <w:sz w:val="16"/>
          <w:szCs w:val="16"/>
        </w:rPr>
        <w:t>Lok AS</w:t>
      </w:r>
      <w:r w:rsidRPr="000E2301">
        <w:rPr>
          <w:color w:val="000000"/>
          <w:spacing w:val="-1"/>
          <w:kern w:val="0"/>
          <w:sz w:val="16"/>
          <w:szCs w:val="16"/>
        </w:rPr>
        <w:t xml:space="preserve">. Drug therapy: tenofovir. </w:t>
      </w:r>
      <w:r w:rsidRPr="000E2301">
        <w:rPr>
          <w:i/>
          <w:iCs/>
          <w:color w:val="000000"/>
          <w:spacing w:val="-1"/>
          <w:kern w:val="0"/>
          <w:sz w:val="16"/>
          <w:szCs w:val="16"/>
        </w:rPr>
        <w:t>Hepatology</w:t>
      </w:r>
      <w:r w:rsidRPr="000E2301">
        <w:rPr>
          <w:color w:val="000000"/>
          <w:spacing w:val="-1"/>
          <w:kern w:val="0"/>
          <w:sz w:val="16"/>
          <w:szCs w:val="16"/>
        </w:rPr>
        <w:t xml:space="preserve"> 2010; </w:t>
      </w:r>
      <w:r w:rsidRPr="000E2301">
        <w:rPr>
          <w:b/>
          <w:bCs/>
          <w:color w:val="000000"/>
          <w:spacing w:val="-1"/>
          <w:kern w:val="0"/>
          <w:sz w:val="16"/>
          <w:szCs w:val="16"/>
        </w:rPr>
        <w:t>52</w:t>
      </w:r>
      <w:r w:rsidRPr="000E2301">
        <w:rPr>
          <w:color w:val="000000"/>
          <w:spacing w:val="-1"/>
          <w:kern w:val="0"/>
          <w:sz w:val="16"/>
          <w:szCs w:val="16"/>
        </w:rPr>
        <w:t>: 743-747 [PMID: 20597070 DOI: 10.1002/hep.23788]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2"/>
          <w:kern w:val="0"/>
          <w:sz w:val="16"/>
          <w:szCs w:val="16"/>
        </w:rPr>
      </w:pPr>
      <w:r w:rsidRPr="000E2301">
        <w:rPr>
          <w:color w:val="000000"/>
          <w:spacing w:val="-1"/>
          <w:kern w:val="0"/>
          <w:sz w:val="16"/>
          <w:szCs w:val="16"/>
        </w:rPr>
        <w:t>97</w:t>
      </w:r>
      <w:r w:rsidRPr="000E2301">
        <w:rPr>
          <w:color w:val="000000"/>
          <w:spacing w:val="-1"/>
          <w:kern w:val="0"/>
          <w:sz w:val="16"/>
          <w:szCs w:val="16"/>
        </w:rPr>
        <w:tab/>
      </w:r>
      <w:r w:rsidRPr="000E2301">
        <w:rPr>
          <w:b/>
          <w:bCs/>
          <w:color w:val="000000"/>
          <w:spacing w:val="-2"/>
          <w:kern w:val="0"/>
          <w:sz w:val="16"/>
          <w:szCs w:val="16"/>
        </w:rPr>
        <w:t>Daudé M</w:t>
      </w:r>
      <w:r w:rsidRPr="000E2301">
        <w:rPr>
          <w:color w:val="000000"/>
          <w:spacing w:val="-2"/>
          <w:kern w:val="0"/>
          <w:sz w:val="16"/>
          <w:szCs w:val="16"/>
        </w:rPr>
        <w:t xml:space="preserve">, Rostaing L, Sauné K, Lavayssière L, Basse G, Esposito L, Guitard J, Izopet J, Alric L, Kamar N. Tenofovir therapy in hepatitis B virus-positive solid-organ transplant recipients. </w:t>
      </w:r>
      <w:r w:rsidRPr="000E2301">
        <w:rPr>
          <w:i/>
          <w:iCs/>
          <w:color w:val="000000"/>
          <w:spacing w:val="-2"/>
          <w:kern w:val="0"/>
          <w:sz w:val="16"/>
          <w:szCs w:val="16"/>
        </w:rPr>
        <w:t>Trans</w:t>
      </w:r>
      <w:r w:rsidRPr="000E2301">
        <w:rPr>
          <w:i/>
          <w:iCs/>
          <w:color w:val="000000"/>
          <w:spacing w:val="-2"/>
          <w:kern w:val="0"/>
          <w:sz w:val="16"/>
          <w:szCs w:val="16"/>
        </w:rPr>
        <w:softHyphen/>
        <w:t>plantation</w:t>
      </w:r>
      <w:r w:rsidRPr="000E2301">
        <w:rPr>
          <w:color w:val="000000"/>
          <w:spacing w:val="-2"/>
          <w:kern w:val="0"/>
          <w:sz w:val="16"/>
          <w:szCs w:val="16"/>
        </w:rPr>
        <w:t xml:space="preserve"> 2011; </w:t>
      </w:r>
      <w:r w:rsidRPr="000E2301">
        <w:rPr>
          <w:b/>
          <w:bCs/>
          <w:color w:val="000000"/>
          <w:spacing w:val="-2"/>
          <w:kern w:val="0"/>
          <w:sz w:val="16"/>
          <w:szCs w:val="16"/>
        </w:rPr>
        <w:t>91</w:t>
      </w:r>
      <w:r w:rsidRPr="000E2301">
        <w:rPr>
          <w:color w:val="000000"/>
          <w:spacing w:val="-2"/>
          <w:kern w:val="0"/>
          <w:sz w:val="16"/>
          <w:szCs w:val="16"/>
        </w:rPr>
        <w:t>: 916-920 [PMID: 21325995 DOI: 10.1097/TP.0b013e3182100f59]</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98</w:t>
      </w:r>
      <w:r w:rsidRPr="000E2301">
        <w:rPr>
          <w:color w:val="000000"/>
          <w:spacing w:val="-1"/>
          <w:kern w:val="0"/>
          <w:sz w:val="16"/>
          <w:szCs w:val="16"/>
        </w:rPr>
        <w:tab/>
      </w:r>
      <w:r w:rsidRPr="000E2301">
        <w:rPr>
          <w:b/>
          <w:bCs/>
          <w:color w:val="000000"/>
          <w:spacing w:val="-1"/>
          <w:kern w:val="0"/>
          <w:sz w:val="16"/>
          <w:szCs w:val="16"/>
        </w:rPr>
        <w:t>Tsai MC</w:t>
      </w:r>
      <w:r w:rsidRPr="000E2301">
        <w:rPr>
          <w:color w:val="000000"/>
          <w:spacing w:val="-1"/>
          <w:kern w:val="0"/>
          <w:sz w:val="16"/>
          <w:szCs w:val="16"/>
        </w:rPr>
        <w:t xml:space="preserve">, Chen CH, Hung CH, Lee CM, Chiu KW, Wang JH, Lu SN, Tseng PL, Chang KC, Yen YH, Hu TH. A comparison of efficacy and safety of 2-year telbivudine and entecavir treatment in patients with chronic hepatitis B: a match-control study. </w:t>
      </w:r>
      <w:r w:rsidRPr="000E2301">
        <w:rPr>
          <w:i/>
          <w:iCs/>
          <w:color w:val="000000"/>
          <w:spacing w:val="-1"/>
          <w:kern w:val="0"/>
          <w:sz w:val="16"/>
          <w:szCs w:val="16"/>
        </w:rPr>
        <w:t>Clin Microbiol Infect</w:t>
      </w:r>
      <w:r w:rsidRPr="000E2301">
        <w:rPr>
          <w:color w:val="000000"/>
          <w:spacing w:val="-1"/>
          <w:kern w:val="0"/>
          <w:sz w:val="16"/>
          <w:szCs w:val="16"/>
        </w:rPr>
        <w:t xml:space="preserve"> 2014; </w:t>
      </w:r>
      <w:r w:rsidRPr="000E2301">
        <w:rPr>
          <w:b/>
          <w:bCs/>
          <w:color w:val="000000"/>
          <w:spacing w:val="-1"/>
          <w:kern w:val="0"/>
          <w:sz w:val="16"/>
          <w:szCs w:val="16"/>
        </w:rPr>
        <w:t>20</w:t>
      </w:r>
      <w:r w:rsidRPr="000E2301">
        <w:rPr>
          <w:color w:val="000000"/>
          <w:spacing w:val="-1"/>
          <w:kern w:val="0"/>
          <w:sz w:val="16"/>
          <w:szCs w:val="16"/>
        </w:rPr>
        <w:t>: O90-O100 [PMID: 23659493 DOI: 10.1111/1469-0691.12220]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99</w:t>
      </w:r>
      <w:r w:rsidRPr="000E2301">
        <w:rPr>
          <w:color w:val="000000"/>
          <w:spacing w:val="-1"/>
          <w:kern w:val="0"/>
          <w:sz w:val="16"/>
          <w:szCs w:val="16"/>
        </w:rPr>
        <w:tab/>
      </w:r>
      <w:r w:rsidRPr="000E2301">
        <w:rPr>
          <w:b/>
          <w:bCs/>
          <w:color w:val="000000"/>
          <w:spacing w:val="-1"/>
          <w:kern w:val="0"/>
          <w:sz w:val="16"/>
          <w:szCs w:val="16"/>
        </w:rPr>
        <w:t>Ridruejo E</w:t>
      </w:r>
      <w:r w:rsidRPr="000E2301">
        <w:rPr>
          <w:color w:val="000000"/>
          <w:spacing w:val="-1"/>
          <w:kern w:val="0"/>
          <w:sz w:val="16"/>
          <w:szCs w:val="16"/>
        </w:rPr>
        <w:t xml:space="preserve">. Antiviral treatment for chronic hepatitis B in renal transplant patients. </w:t>
      </w:r>
      <w:r w:rsidRPr="000E2301">
        <w:rPr>
          <w:i/>
          <w:iCs/>
          <w:color w:val="000000"/>
          <w:spacing w:val="-1"/>
          <w:kern w:val="0"/>
          <w:sz w:val="16"/>
          <w:szCs w:val="16"/>
        </w:rPr>
        <w:t>World J Hepatol</w:t>
      </w:r>
      <w:r w:rsidRPr="000E2301">
        <w:rPr>
          <w:color w:val="000000"/>
          <w:spacing w:val="-1"/>
          <w:kern w:val="0"/>
          <w:sz w:val="16"/>
          <w:szCs w:val="16"/>
        </w:rPr>
        <w:t xml:space="preserve"> 2015; </w:t>
      </w:r>
      <w:r w:rsidRPr="000E2301">
        <w:rPr>
          <w:b/>
          <w:bCs/>
          <w:color w:val="000000"/>
          <w:spacing w:val="-1"/>
          <w:kern w:val="0"/>
          <w:sz w:val="16"/>
          <w:szCs w:val="16"/>
        </w:rPr>
        <w:t>7</w:t>
      </w:r>
      <w:r w:rsidRPr="000E2301">
        <w:rPr>
          <w:color w:val="000000"/>
          <w:spacing w:val="-1"/>
          <w:kern w:val="0"/>
          <w:sz w:val="16"/>
          <w:szCs w:val="16"/>
        </w:rPr>
        <w:t>: 189-203 [PMID: 25729474 DOI: 10.4254/wjh.v7.i2.189]</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100</w:t>
      </w:r>
      <w:r w:rsidRPr="000E2301">
        <w:rPr>
          <w:color w:val="000000"/>
          <w:spacing w:val="-1"/>
          <w:kern w:val="0"/>
          <w:sz w:val="16"/>
          <w:szCs w:val="16"/>
        </w:rPr>
        <w:tab/>
      </w:r>
      <w:r w:rsidRPr="000E2301">
        <w:rPr>
          <w:b/>
          <w:bCs/>
          <w:color w:val="000000"/>
          <w:spacing w:val="-1"/>
          <w:kern w:val="0"/>
          <w:sz w:val="16"/>
          <w:szCs w:val="16"/>
        </w:rPr>
        <w:t>Koklu S</w:t>
      </w:r>
      <w:r w:rsidRPr="000E2301">
        <w:rPr>
          <w:color w:val="000000"/>
          <w:spacing w:val="-1"/>
          <w:kern w:val="0"/>
          <w:sz w:val="16"/>
          <w:szCs w:val="16"/>
        </w:rPr>
        <w:t xml:space="preserve">, Gulsen MT, Tuna Y, Koklu H, Yuksel O, Demir M, Guner R, Dogan Z, Kucukazman M, Poyrazoglu OK, Biyik M, Ozturk NA, Aydogan T, Coban S, Kocaman O, Sapmaz F, Gokturk SH, Karaca C, Demirezer A, Tanoglu A, Yildirim B, Altinbas A, Atak BM, Cosar AM, Alkan E. Differences in nephrotoxicity risk and renal effects among anti-viral therapies against hepatitis B. </w:t>
      </w:r>
      <w:r w:rsidRPr="000E2301">
        <w:rPr>
          <w:i/>
          <w:iCs/>
          <w:color w:val="000000"/>
          <w:spacing w:val="-1"/>
          <w:kern w:val="0"/>
          <w:sz w:val="16"/>
          <w:szCs w:val="16"/>
        </w:rPr>
        <w:t>Aliment Pharmacol Ther</w:t>
      </w:r>
      <w:r w:rsidRPr="000E2301">
        <w:rPr>
          <w:color w:val="000000"/>
          <w:spacing w:val="-1"/>
          <w:kern w:val="0"/>
          <w:sz w:val="16"/>
          <w:szCs w:val="16"/>
        </w:rPr>
        <w:t xml:space="preserve"> 2015; </w:t>
      </w:r>
      <w:r w:rsidRPr="000E2301">
        <w:rPr>
          <w:b/>
          <w:bCs/>
          <w:color w:val="000000"/>
          <w:spacing w:val="-1"/>
          <w:kern w:val="0"/>
          <w:sz w:val="16"/>
          <w:szCs w:val="16"/>
        </w:rPr>
        <w:t>41</w:t>
      </w:r>
      <w:r w:rsidRPr="000E2301">
        <w:rPr>
          <w:color w:val="000000"/>
          <w:spacing w:val="-1"/>
          <w:kern w:val="0"/>
          <w:sz w:val="16"/>
          <w:szCs w:val="16"/>
        </w:rPr>
        <w:t>: 310-319 [PMID: 25982037 DOI: 10.1111/apt.13036]</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101</w:t>
      </w:r>
      <w:r w:rsidRPr="000E2301">
        <w:rPr>
          <w:color w:val="000000"/>
          <w:spacing w:val="-1"/>
          <w:kern w:val="0"/>
          <w:sz w:val="16"/>
          <w:szCs w:val="16"/>
        </w:rPr>
        <w:tab/>
      </w:r>
      <w:r w:rsidRPr="000E2301">
        <w:rPr>
          <w:b/>
          <w:bCs/>
          <w:color w:val="000000"/>
          <w:spacing w:val="-1"/>
          <w:kern w:val="0"/>
          <w:sz w:val="16"/>
          <w:szCs w:val="16"/>
        </w:rPr>
        <w:t>Levitsky J</w:t>
      </w:r>
      <w:r w:rsidRPr="000E2301">
        <w:rPr>
          <w:color w:val="000000"/>
          <w:spacing w:val="-1"/>
          <w:kern w:val="0"/>
          <w:sz w:val="16"/>
          <w:szCs w:val="16"/>
        </w:rPr>
        <w:t xml:space="preserve">, Doucette K; AST Infectious Diseases Community of Practice. </w:t>
      </w:r>
      <w:proofErr w:type="gramStart"/>
      <w:r w:rsidRPr="000E2301">
        <w:rPr>
          <w:color w:val="000000"/>
          <w:spacing w:val="-1"/>
          <w:kern w:val="0"/>
          <w:sz w:val="16"/>
          <w:szCs w:val="16"/>
        </w:rPr>
        <w:t>Viral hepatitis in solid organ transplantation.</w:t>
      </w:r>
      <w:proofErr w:type="gramEnd"/>
      <w:r w:rsidRPr="000E2301">
        <w:rPr>
          <w:color w:val="000000"/>
          <w:spacing w:val="-1"/>
          <w:kern w:val="0"/>
          <w:sz w:val="16"/>
          <w:szCs w:val="16"/>
        </w:rPr>
        <w:t xml:space="preserve"> </w:t>
      </w:r>
      <w:r w:rsidRPr="000E2301">
        <w:rPr>
          <w:i/>
          <w:iCs/>
          <w:color w:val="000000"/>
          <w:spacing w:val="-1"/>
          <w:kern w:val="0"/>
          <w:sz w:val="16"/>
          <w:szCs w:val="16"/>
        </w:rPr>
        <w:t>Am J Transplant</w:t>
      </w:r>
      <w:r w:rsidRPr="000E2301">
        <w:rPr>
          <w:color w:val="000000"/>
          <w:spacing w:val="-1"/>
          <w:kern w:val="0"/>
          <w:sz w:val="16"/>
          <w:szCs w:val="16"/>
        </w:rPr>
        <w:t xml:space="preserve"> 2013; </w:t>
      </w:r>
      <w:r w:rsidRPr="000E2301">
        <w:rPr>
          <w:b/>
          <w:bCs/>
          <w:color w:val="000000"/>
          <w:spacing w:val="-1"/>
          <w:kern w:val="0"/>
          <w:sz w:val="16"/>
          <w:szCs w:val="16"/>
        </w:rPr>
        <w:t xml:space="preserve">13 </w:t>
      </w:r>
      <w:r w:rsidRPr="000E2301">
        <w:rPr>
          <w:color w:val="000000"/>
          <w:spacing w:val="-1"/>
          <w:kern w:val="0"/>
          <w:sz w:val="16"/>
          <w:szCs w:val="16"/>
        </w:rPr>
        <w:t>Suppl 4: 147-168 [PMID: 23465008 DOI: 10.1111/ajt.12108]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102</w:t>
      </w:r>
      <w:r w:rsidRPr="000E2301">
        <w:rPr>
          <w:color w:val="000000"/>
          <w:spacing w:val="-1"/>
          <w:kern w:val="0"/>
          <w:sz w:val="16"/>
          <w:szCs w:val="16"/>
        </w:rPr>
        <w:tab/>
      </w:r>
      <w:r w:rsidRPr="000E2301">
        <w:rPr>
          <w:b/>
          <w:bCs/>
          <w:color w:val="000000"/>
          <w:spacing w:val="-1"/>
          <w:kern w:val="0"/>
          <w:sz w:val="16"/>
          <w:szCs w:val="16"/>
        </w:rPr>
        <w:t>Gane EJ</w:t>
      </w:r>
      <w:r w:rsidRPr="000E2301">
        <w:rPr>
          <w:color w:val="000000"/>
          <w:spacing w:val="-1"/>
          <w:kern w:val="0"/>
          <w:sz w:val="16"/>
          <w:szCs w:val="16"/>
        </w:rPr>
        <w:t xml:space="preserve">, Deray G, Liaw YF, Lim SG, Lai CL, Rasenack J, Wang Y, Papatheodoridis G, Di Bisceglie A, Buti M, Samuel D, Uddin A, Bosset S, Trylesinski A. Telbivudine improves renal function in patients with chronic hepatitis B. </w:t>
      </w:r>
      <w:r w:rsidRPr="000E2301">
        <w:rPr>
          <w:i/>
          <w:iCs/>
          <w:color w:val="000000"/>
          <w:spacing w:val="-1"/>
          <w:kern w:val="0"/>
          <w:sz w:val="16"/>
          <w:szCs w:val="16"/>
        </w:rPr>
        <w:t>Gastroenterology</w:t>
      </w:r>
      <w:r w:rsidRPr="000E2301">
        <w:rPr>
          <w:color w:val="000000"/>
          <w:spacing w:val="-1"/>
          <w:kern w:val="0"/>
          <w:sz w:val="16"/>
          <w:szCs w:val="16"/>
        </w:rPr>
        <w:t xml:space="preserve"> 2014; </w:t>
      </w:r>
      <w:r w:rsidRPr="000E2301">
        <w:rPr>
          <w:b/>
          <w:bCs/>
          <w:color w:val="000000"/>
          <w:spacing w:val="-1"/>
          <w:kern w:val="0"/>
          <w:sz w:val="16"/>
          <w:szCs w:val="16"/>
        </w:rPr>
        <w:t>146</w:t>
      </w:r>
      <w:r w:rsidRPr="000E2301">
        <w:rPr>
          <w:color w:val="000000"/>
          <w:spacing w:val="-1"/>
          <w:kern w:val="0"/>
          <w:sz w:val="16"/>
          <w:szCs w:val="16"/>
        </w:rPr>
        <w:t xml:space="preserve">: 138-146.e5 [PMID: </w:t>
      </w:r>
      <w:r w:rsidRPr="000E2301">
        <w:rPr>
          <w:color w:val="000000"/>
          <w:spacing w:val="-1"/>
          <w:kern w:val="0"/>
          <w:sz w:val="16"/>
          <w:szCs w:val="16"/>
        </w:rPr>
        <w:lastRenderedPageBreak/>
        <w:t>24067879 DOI: 10.1053/j.gastro.2013.09.031]</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103</w:t>
      </w:r>
      <w:r w:rsidRPr="000E2301">
        <w:rPr>
          <w:color w:val="000000"/>
          <w:spacing w:val="-1"/>
          <w:kern w:val="0"/>
          <w:sz w:val="16"/>
          <w:szCs w:val="16"/>
        </w:rPr>
        <w:tab/>
      </w:r>
      <w:r w:rsidRPr="000E2301">
        <w:rPr>
          <w:b/>
          <w:bCs/>
          <w:color w:val="000000"/>
          <w:spacing w:val="-1"/>
          <w:kern w:val="0"/>
          <w:sz w:val="16"/>
          <w:szCs w:val="16"/>
        </w:rPr>
        <w:t>Lin CL</w:t>
      </w:r>
      <w:r w:rsidRPr="000E2301">
        <w:rPr>
          <w:color w:val="000000"/>
          <w:spacing w:val="-1"/>
          <w:kern w:val="0"/>
          <w:sz w:val="16"/>
          <w:szCs w:val="16"/>
        </w:rPr>
        <w:t xml:space="preserve">, Chien RN, Yeh C, Hsu CW, Chang ML, Chen YC, Yeh CT. Significant renoprotective effect of telbivudine during preemptive antiviral therapy in advanced liver cancer patients receiving cisplatin-based chemotherapy: a case-control study. </w:t>
      </w:r>
      <w:r w:rsidRPr="000E2301">
        <w:rPr>
          <w:i/>
          <w:iCs/>
          <w:color w:val="000000"/>
          <w:spacing w:val="-1"/>
          <w:kern w:val="0"/>
          <w:sz w:val="16"/>
          <w:szCs w:val="16"/>
        </w:rPr>
        <w:t>Scand J Gastroenterol</w:t>
      </w:r>
      <w:r w:rsidRPr="000E2301">
        <w:rPr>
          <w:color w:val="000000"/>
          <w:spacing w:val="-1"/>
          <w:kern w:val="0"/>
          <w:sz w:val="16"/>
          <w:szCs w:val="16"/>
        </w:rPr>
        <w:t xml:space="preserve"> 2014; </w:t>
      </w:r>
      <w:r w:rsidRPr="000E2301">
        <w:rPr>
          <w:b/>
          <w:bCs/>
          <w:color w:val="000000"/>
          <w:spacing w:val="-1"/>
          <w:kern w:val="0"/>
          <w:sz w:val="16"/>
          <w:szCs w:val="16"/>
        </w:rPr>
        <w:t>49</w:t>
      </w:r>
      <w:r w:rsidRPr="000E2301">
        <w:rPr>
          <w:color w:val="000000"/>
          <w:spacing w:val="-1"/>
          <w:kern w:val="0"/>
          <w:sz w:val="16"/>
          <w:szCs w:val="16"/>
        </w:rPr>
        <w:t>: 1456-1464 [PMID: 25283499 DOI: 10.3109/00365521.2014.962604]</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104</w:t>
      </w:r>
      <w:r w:rsidRPr="000E2301">
        <w:rPr>
          <w:color w:val="000000"/>
          <w:spacing w:val="-1"/>
          <w:kern w:val="0"/>
          <w:sz w:val="16"/>
          <w:szCs w:val="16"/>
        </w:rPr>
        <w:tab/>
      </w:r>
      <w:r w:rsidRPr="000E2301">
        <w:rPr>
          <w:b/>
          <w:bCs/>
          <w:color w:val="000000"/>
          <w:spacing w:val="-1"/>
          <w:kern w:val="0"/>
          <w:sz w:val="16"/>
          <w:szCs w:val="16"/>
        </w:rPr>
        <w:t>Pipili C</w:t>
      </w:r>
      <w:r w:rsidRPr="000E2301">
        <w:rPr>
          <w:color w:val="000000"/>
          <w:spacing w:val="-1"/>
          <w:kern w:val="0"/>
          <w:sz w:val="16"/>
          <w:szCs w:val="16"/>
        </w:rPr>
        <w:t xml:space="preserve">, Cholongitas E, Papatheodoridis G. Review article: </w:t>
      </w:r>
      <w:proofErr w:type="gramStart"/>
      <w:r w:rsidRPr="000E2301">
        <w:rPr>
          <w:color w:val="000000"/>
          <w:spacing w:val="-1"/>
          <w:kern w:val="0"/>
          <w:sz w:val="16"/>
          <w:szCs w:val="16"/>
        </w:rPr>
        <w:t>nucleos(</w:t>
      </w:r>
      <w:proofErr w:type="gramEnd"/>
      <w:r w:rsidRPr="000E2301">
        <w:rPr>
          <w:color w:val="000000"/>
          <w:spacing w:val="-1"/>
          <w:kern w:val="0"/>
          <w:sz w:val="16"/>
          <w:szCs w:val="16"/>
        </w:rPr>
        <w:t xml:space="preserve">t)ide analogues in patients with chronic hepatitis B virus infection and chronic kidney disease. </w:t>
      </w:r>
      <w:r w:rsidRPr="000E2301">
        <w:rPr>
          <w:i/>
          <w:iCs/>
          <w:color w:val="000000"/>
          <w:spacing w:val="-1"/>
          <w:kern w:val="0"/>
          <w:sz w:val="16"/>
          <w:szCs w:val="16"/>
        </w:rPr>
        <w:t>Aliment Pharmacol Ther</w:t>
      </w:r>
      <w:r w:rsidRPr="000E2301">
        <w:rPr>
          <w:color w:val="000000"/>
          <w:spacing w:val="-1"/>
          <w:kern w:val="0"/>
          <w:sz w:val="16"/>
          <w:szCs w:val="16"/>
        </w:rPr>
        <w:t xml:space="preserve"> 2014; </w:t>
      </w:r>
      <w:r w:rsidRPr="000E2301">
        <w:rPr>
          <w:b/>
          <w:bCs/>
          <w:color w:val="000000"/>
          <w:spacing w:val="-1"/>
          <w:kern w:val="0"/>
          <w:sz w:val="16"/>
          <w:szCs w:val="16"/>
        </w:rPr>
        <w:t>39</w:t>
      </w:r>
      <w:r w:rsidRPr="000E2301">
        <w:rPr>
          <w:color w:val="000000"/>
          <w:spacing w:val="-1"/>
          <w:kern w:val="0"/>
          <w:sz w:val="16"/>
          <w:szCs w:val="16"/>
        </w:rPr>
        <w:t>: 35-46 [PMID: 24299322 DOI: 10.1111/apt.12538]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105</w:t>
      </w:r>
      <w:r w:rsidRPr="000E2301">
        <w:rPr>
          <w:color w:val="000000"/>
          <w:spacing w:val="-1"/>
          <w:kern w:val="0"/>
          <w:sz w:val="16"/>
          <w:szCs w:val="16"/>
        </w:rPr>
        <w:tab/>
      </w:r>
      <w:r w:rsidRPr="000E2301">
        <w:rPr>
          <w:b/>
          <w:bCs/>
          <w:color w:val="000000"/>
          <w:spacing w:val="-1"/>
          <w:kern w:val="0"/>
          <w:sz w:val="16"/>
          <w:szCs w:val="16"/>
        </w:rPr>
        <w:t>Wong F</w:t>
      </w:r>
      <w:r w:rsidRPr="000E2301">
        <w:rPr>
          <w:color w:val="000000"/>
          <w:spacing w:val="-1"/>
          <w:kern w:val="0"/>
          <w:sz w:val="16"/>
          <w:szCs w:val="16"/>
        </w:rPr>
        <w:t xml:space="preserve">, Pai R, Van Schalkwyk J, Yoshida EM. Hepatitis B in pregnancy: a concise review of neonatal vertical transmission and antiviral prophylaxis. </w:t>
      </w:r>
      <w:r w:rsidRPr="000E2301">
        <w:rPr>
          <w:i/>
          <w:iCs/>
          <w:color w:val="000000"/>
          <w:spacing w:val="-1"/>
          <w:kern w:val="0"/>
          <w:sz w:val="16"/>
          <w:szCs w:val="16"/>
        </w:rPr>
        <w:t>Ann Hepatol</w:t>
      </w:r>
      <w:r w:rsidRPr="000E2301">
        <w:rPr>
          <w:color w:val="000000"/>
          <w:spacing w:val="-1"/>
          <w:kern w:val="0"/>
          <w:sz w:val="16"/>
          <w:szCs w:val="16"/>
        </w:rPr>
        <w:t xml:space="preserve"> 2014; </w:t>
      </w:r>
      <w:r w:rsidRPr="000E2301">
        <w:rPr>
          <w:b/>
          <w:bCs/>
          <w:color w:val="000000"/>
          <w:spacing w:val="-1"/>
          <w:kern w:val="0"/>
          <w:sz w:val="16"/>
          <w:szCs w:val="16"/>
        </w:rPr>
        <w:t>13</w:t>
      </w:r>
      <w:r w:rsidRPr="000E2301">
        <w:rPr>
          <w:color w:val="000000"/>
          <w:spacing w:val="-1"/>
          <w:kern w:val="0"/>
          <w:sz w:val="16"/>
          <w:szCs w:val="16"/>
        </w:rPr>
        <w:t>: 187-195 [PMID: 24552860]</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106</w:t>
      </w:r>
      <w:r w:rsidRPr="000E2301">
        <w:rPr>
          <w:color w:val="000000"/>
          <w:spacing w:val="-1"/>
          <w:kern w:val="0"/>
          <w:sz w:val="16"/>
          <w:szCs w:val="16"/>
        </w:rPr>
        <w:tab/>
      </w:r>
      <w:r w:rsidRPr="000E2301">
        <w:rPr>
          <w:b/>
          <w:bCs/>
          <w:color w:val="000000"/>
          <w:spacing w:val="-1"/>
          <w:kern w:val="0"/>
          <w:sz w:val="16"/>
          <w:szCs w:val="16"/>
        </w:rPr>
        <w:t>Yi P</w:t>
      </w:r>
      <w:r w:rsidRPr="000E2301">
        <w:rPr>
          <w:color w:val="000000"/>
          <w:spacing w:val="-1"/>
          <w:kern w:val="0"/>
          <w:sz w:val="16"/>
          <w:szCs w:val="16"/>
        </w:rPr>
        <w:t xml:space="preserve">, Chen R, Huang Y, Zhou RR, Fan XG. Management of mother-to-child transmission of hepatitis B virus: Propositions and challenges. </w:t>
      </w:r>
      <w:r w:rsidRPr="000E2301">
        <w:rPr>
          <w:i/>
          <w:iCs/>
          <w:color w:val="000000"/>
          <w:spacing w:val="-1"/>
          <w:kern w:val="0"/>
          <w:sz w:val="16"/>
          <w:szCs w:val="16"/>
        </w:rPr>
        <w:t>J Clin Virol</w:t>
      </w:r>
      <w:r w:rsidRPr="000E2301">
        <w:rPr>
          <w:color w:val="000000"/>
          <w:spacing w:val="-1"/>
          <w:kern w:val="0"/>
          <w:sz w:val="16"/>
          <w:szCs w:val="16"/>
        </w:rPr>
        <w:t xml:space="preserve"> 2016; </w:t>
      </w:r>
      <w:r w:rsidRPr="000E2301">
        <w:rPr>
          <w:b/>
          <w:bCs/>
          <w:color w:val="000000"/>
          <w:spacing w:val="-1"/>
          <w:kern w:val="0"/>
          <w:sz w:val="16"/>
          <w:szCs w:val="16"/>
        </w:rPr>
        <w:t>77</w:t>
      </w:r>
      <w:r w:rsidRPr="000E2301">
        <w:rPr>
          <w:color w:val="000000"/>
          <w:spacing w:val="-1"/>
          <w:kern w:val="0"/>
          <w:sz w:val="16"/>
          <w:szCs w:val="16"/>
        </w:rPr>
        <w:t>: 32-39 [PMID: 26895227 DOI: 10.1016/j.jcv.2016.02.003]</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107</w:t>
      </w:r>
      <w:r w:rsidRPr="000E2301">
        <w:rPr>
          <w:color w:val="000000"/>
          <w:spacing w:val="-1"/>
          <w:kern w:val="0"/>
          <w:sz w:val="16"/>
          <w:szCs w:val="16"/>
        </w:rPr>
        <w:tab/>
      </w:r>
      <w:r w:rsidRPr="000E2301">
        <w:rPr>
          <w:b/>
          <w:bCs/>
          <w:color w:val="000000"/>
          <w:spacing w:val="-1"/>
          <w:kern w:val="0"/>
          <w:sz w:val="16"/>
          <w:szCs w:val="16"/>
        </w:rPr>
        <w:t>FDA Pregnancy Categories</w:t>
      </w:r>
      <w:r w:rsidRPr="000E2301">
        <w:rPr>
          <w:color w:val="000000"/>
          <w:spacing w:val="-1"/>
          <w:kern w:val="0"/>
          <w:sz w:val="16"/>
          <w:szCs w:val="16"/>
        </w:rPr>
        <w:t xml:space="preserve">. </w:t>
      </w:r>
      <w:proofErr w:type="gramStart"/>
      <w:r w:rsidRPr="000E2301">
        <w:rPr>
          <w:color w:val="000000"/>
          <w:spacing w:val="-1"/>
          <w:kern w:val="0"/>
          <w:sz w:val="16"/>
          <w:szCs w:val="16"/>
        </w:rPr>
        <w:t>[Updated Mar 30th, 2016].</w:t>
      </w:r>
      <w:proofErr w:type="gramEnd"/>
      <w:r w:rsidRPr="000E2301">
        <w:rPr>
          <w:color w:val="000000"/>
          <w:spacing w:val="-1"/>
          <w:kern w:val="0"/>
          <w:sz w:val="16"/>
          <w:szCs w:val="16"/>
        </w:rPr>
        <w:t xml:space="preserve"> [Access date: Apr 24th, 2016]. Available from: http://www.drugs.com/pregnancy-categories.html </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108</w:t>
      </w:r>
      <w:r w:rsidRPr="000E2301">
        <w:rPr>
          <w:color w:val="000000"/>
          <w:spacing w:val="-1"/>
          <w:kern w:val="0"/>
          <w:sz w:val="16"/>
          <w:szCs w:val="16"/>
        </w:rPr>
        <w:tab/>
      </w:r>
      <w:r w:rsidRPr="000E2301">
        <w:rPr>
          <w:b/>
          <w:bCs/>
          <w:color w:val="000000"/>
          <w:spacing w:val="-1"/>
          <w:kern w:val="0"/>
          <w:sz w:val="16"/>
          <w:szCs w:val="16"/>
        </w:rPr>
        <w:t>Yu M</w:t>
      </w:r>
      <w:r w:rsidRPr="000E2301">
        <w:rPr>
          <w:color w:val="000000"/>
          <w:spacing w:val="-1"/>
          <w:kern w:val="0"/>
          <w:sz w:val="16"/>
          <w:szCs w:val="16"/>
        </w:rPr>
        <w:t xml:space="preserve">, Jiang Q, Ji Y, Jiang H, Wu K, Ju L, Tang X, Wu M. </w:t>
      </w:r>
      <w:proofErr w:type="gramStart"/>
      <w:r w:rsidRPr="000E2301">
        <w:rPr>
          <w:color w:val="000000"/>
          <w:spacing w:val="-1"/>
          <w:kern w:val="0"/>
          <w:sz w:val="16"/>
          <w:szCs w:val="16"/>
        </w:rPr>
        <w:t>The efficacy and safety of antiviral therapy with lamivudine to stop the vertical transmission of hepatitis B virus.</w:t>
      </w:r>
      <w:proofErr w:type="gramEnd"/>
      <w:r w:rsidRPr="000E2301">
        <w:rPr>
          <w:color w:val="000000"/>
          <w:spacing w:val="-1"/>
          <w:kern w:val="0"/>
          <w:sz w:val="16"/>
          <w:szCs w:val="16"/>
        </w:rPr>
        <w:t xml:space="preserve"> </w:t>
      </w:r>
      <w:r w:rsidRPr="000E2301">
        <w:rPr>
          <w:i/>
          <w:iCs/>
          <w:color w:val="000000"/>
          <w:spacing w:val="-1"/>
          <w:kern w:val="0"/>
          <w:sz w:val="16"/>
          <w:szCs w:val="16"/>
        </w:rPr>
        <w:t>Eur J Clin Microbiol Infect Dis</w:t>
      </w:r>
      <w:r w:rsidRPr="000E2301">
        <w:rPr>
          <w:color w:val="000000"/>
          <w:spacing w:val="-1"/>
          <w:kern w:val="0"/>
          <w:sz w:val="16"/>
          <w:szCs w:val="16"/>
        </w:rPr>
        <w:t xml:space="preserve"> 2012; </w:t>
      </w:r>
      <w:r w:rsidRPr="000E2301">
        <w:rPr>
          <w:b/>
          <w:bCs/>
          <w:color w:val="000000"/>
          <w:spacing w:val="-1"/>
          <w:kern w:val="0"/>
          <w:sz w:val="16"/>
          <w:szCs w:val="16"/>
        </w:rPr>
        <w:t>31</w:t>
      </w:r>
      <w:r w:rsidRPr="000E2301">
        <w:rPr>
          <w:color w:val="000000"/>
          <w:spacing w:val="-1"/>
          <w:kern w:val="0"/>
          <w:sz w:val="16"/>
          <w:szCs w:val="16"/>
        </w:rPr>
        <w:t>: 2211-2218 [PMID: 22314409]</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109</w:t>
      </w:r>
      <w:r w:rsidRPr="000E2301">
        <w:rPr>
          <w:color w:val="000000"/>
          <w:spacing w:val="-1"/>
          <w:kern w:val="0"/>
          <w:sz w:val="16"/>
          <w:szCs w:val="16"/>
        </w:rPr>
        <w:tab/>
      </w:r>
      <w:r w:rsidRPr="000E2301">
        <w:rPr>
          <w:b/>
          <w:bCs/>
          <w:color w:val="000000"/>
          <w:spacing w:val="-1"/>
          <w:kern w:val="0"/>
          <w:sz w:val="16"/>
          <w:szCs w:val="16"/>
        </w:rPr>
        <w:t>Xu WM</w:t>
      </w:r>
      <w:r w:rsidRPr="000E2301">
        <w:rPr>
          <w:color w:val="000000"/>
          <w:spacing w:val="-1"/>
          <w:kern w:val="0"/>
          <w:sz w:val="16"/>
          <w:szCs w:val="16"/>
        </w:rPr>
        <w:t xml:space="preserve">, Cui YT, Wang L, Yang H, Liang ZQ, Li XM, Zhang SL, Qiao FY, Campbell F, Chang CN, Gardner S, Atkins M. Lamivudine in late pregnancy to prevent perinatal transmission of hepatitis B virus infection: a multicentre, randomized, double-blind, placebo-controlled study. </w:t>
      </w:r>
      <w:r w:rsidRPr="000E2301">
        <w:rPr>
          <w:i/>
          <w:iCs/>
          <w:color w:val="000000"/>
          <w:spacing w:val="-1"/>
          <w:kern w:val="0"/>
          <w:sz w:val="16"/>
          <w:szCs w:val="16"/>
        </w:rPr>
        <w:t>J Viral Hepat</w:t>
      </w:r>
      <w:r w:rsidRPr="000E2301">
        <w:rPr>
          <w:color w:val="000000"/>
          <w:spacing w:val="-1"/>
          <w:kern w:val="0"/>
          <w:sz w:val="16"/>
          <w:szCs w:val="16"/>
        </w:rPr>
        <w:t xml:space="preserve"> 2009; </w:t>
      </w:r>
      <w:r w:rsidRPr="000E2301">
        <w:rPr>
          <w:b/>
          <w:bCs/>
          <w:color w:val="000000"/>
          <w:spacing w:val="-1"/>
          <w:kern w:val="0"/>
          <w:sz w:val="16"/>
          <w:szCs w:val="16"/>
        </w:rPr>
        <w:t>16</w:t>
      </w:r>
      <w:r w:rsidRPr="000E2301">
        <w:rPr>
          <w:color w:val="000000"/>
          <w:spacing w:val="-1"/>
          <w:kern w:val="0"/>
          <w:sz w:val="16"/>
          <w:szCs w:val="16"/>
        </w:rPr>
        <w:t>: 94-103 [PMID: 19175878 DOI: 10.1111/j.1365-2893.2008.01056.x]</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110</w:t>
      </w:r>
      <w:r w:rsidRPr="000E2301">
        <w:rPr>
          <w:color w:val="000000"/>
          <w:spacing w:val="-1"/>
          <w:kern w:val="0"/>
          <w:sz w:val="16"/>
          <w:szCs w:val="16"/>
        </w:rPr>
        <w:tab/>
      </w:r>
      <w:r w:rsidRPr="000E2301">
        <w:rPr>
          <w:b/>
          <w:bCs/>
          <w:color w:val="000000"/>
          <w:spacing w:val="-1"/>
          <w:kern w:val="0"/>
          <w:sz w:val="16"/>
          <w:szCs w:val="16"/>
        </w:rPr>
        <w:t>Antiretroviral Pregnancy Registry [Internet]</w:t>
      </w:r>
      <w:r w:rsidRPr="000E2301">
        <w:rPr>
          <w:color w:val="000000"/>
          <w:spacing w:val="-1"/>
          <w:kern w:val="0"/>
          <w:sz w:val="16"/>
          <w:szCs w:val="16"/>
        </w:rPr>
        <w:t xml:space="preserve">. </w:t>
      </w:r>
      <w:proofErr w:type="gramStart"/>
      <w:r w:rsidRPr="000E2301">
        <w:rPr>
          <w:color w:val="000000"/>
          <w:spacing w:val="-1"/>
          <w:kern w:val="0"/>
          <w:sz w:val="16"/>
          <w:szCs w:val="16"/>
        </w:rPr>
        <w:t>WHO.</w:t>
      </w:r>
      <w:proofErr w:type="gramEnd"/>
      <w:r w:rsidRPr="000E2301">
        <w:rPr>
          <w:color w:val="000000"/>
          <w:spacing w:val="-1"/>
          <w:kern w:val="0"/>
          <w:sz w:val="16"/>
          <w:szCs w:val="16"/>
        </w:rPr>
        <w:t xml:space="preserve"> [Updated 2015 Dec 17]. [Access date: 20.03.2016]. Available from: URL: http://www.apregistry.com/InterimReport.aspx </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111</w:t>
      </w:r>
      <w:r w:rsidRPr="000E2301">
        <w:rPr>
          <w:color w:val="000000"/>
          <w:spacing w:val="-1"/>
          <w:kern w:val="0"/>
          <w:sz w:val="16"/>
          <w:szCs w:val="16"/>
        </w:rPr>
        <w:tab/>
      </w:r>
      <w:r w:rsidRPr="000E2301">
        <w:rPr>
          <w:b/>
          <w:bCs/>
          <w:color w:val="000000"/>
          <w:spacing w:val="-1"/>
          <w:kern w:val="0"/>
          <w:sz w:val="16"/>
          <w:szCs w:val="16"/>
        </w:rPr>
        <w:t>Celen MK</w:t>
      </w:r>
      <w:r w:rsidRPr="000E2301">
        <w:rPr>
          <w:color w:val="000000"/>
          <w:spacing w:val="-1"/>
          <w:kern w:val="0"/>
          <w:sz w:val="16"/>
          <w:szCs w:val="16"/>
        </w:rPr>
        <w:t xml:space="preserve">, Mert D, Ay M, Dal T, Kaya S, Yildirim N, Gulsun S, Barcin T, Kalkanli S, Dal MS, Ayaz C. Efficacy and safety of tenofovir disoproxil fumarate in pregnancy for the prevention of vertical transmission of HBV infection. </w:t>
      </w:r>
      <w:r w:rsidRPr="000E2301">
        <w:rPr>
          <w:i/>
          <w:iCs/>
          <w:color w:val="000000"/>
          <w:spacing w:val="-1"/>
          <w:kern w:val="0"/>
          <w:sz w:val="16"/>
          <w:szCs w:val="16"/>
        </w:rPr>
        <w:t>World J Gastroenterol</w:t>
      </w:r>
      <w:r w:rsidRPr="000E2301">
        <w:rPr>
          <w:color w:val="000000"/>
          <w:spacing w:val="-1"/>
          <w:kern w:val="0"/>
          <w:sz w:val="16"/>
          <w:szCs w:val="16"/>
        </w:rPr>
        <w:t xml:space="preserve"> 2013; </w:t>
      </w:r>
      <w:r w:rsidRPr="000E2301">
        <w:rPr>
          <w:b/>
          <w:bCs/>
          <w:color w:val="000000"/>
          <w:spacing w:val="-1"/>
          <w:kern w:val="0"/>
          <w:sz w:val="16"/>
          <w:szCs w:val="16"/>
        </w:rPr>
        <w:t>19</w:t>
      </w:r>
      <w:r w:rsidRPr="000E2301">
        <w:rPr>
          <w:color w:val="000000"/>
          <w:spacing w:val="-1"/>
          <w:kern w:val="0"/>
          <w:sz w:val="16"/>
          <w:szCs w:val="16"/>
        </w:rPr>
        <w:t>: 9377-9382 [PMID: 24409065 DOI: 10.3748/wjg.v19.i48.9377]</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112</w:t>
      </w:r>
      <w:r w:rsidRPr="000E2301">
        <w:rPr>
          <w:color w:val="000000"/>
          <w:spacing w:val="-1"/>
          <w:kern w:val="0"/>
          <w:sz w:val="16"/>
          <w:szCs w:val="16"/>
        </w:rPr>
        <w:tab/>
      </w:r>
      <w:r w:rsidRPr="000E2301">
        <w:rPr>
          <w:b/>
          <w:bCs/>
          <w:color w:val="000000"/>
          <w:spacing w:val="-1"/>
          <w:kern w:val="0"/>
          <w:sz w:val="16"/>
          <w:szCs w:val="16"/>
        </w:rPr>
        <w:t>Greenup AJ</w:t>
      </w:r>
      <w:r w:rsidRPr="000E2301">
        <w:rPr>
          <w:color w:val="000000"/>
          <w:spacing w:val="-1"/>
          <w:kern w:val="0"/>
          <w:sz w:val="16"/>
          <w:szCs w:val="16"/>
        </w:rPr>
        <w:t xml:space="preserve">, Tan PK, Nguyen V, Glass A, Davison S, Chatterjee U, Holdaway S, Samarasinghe D, Jackson K, Locarnini SA, Levy MT. Efficacy and safety of tenofovir disoproxil fumarate in pregnancy to prevent perinatal transmission of hepatitis B virus. </w:t>
      </w:r>
      <w:r w:rsidRPr="000E2301">
        <w:rPr>
          <w:i/>
          <w:iCs/>
          <w:color w:val="000000"/>
          <w:spacing w:val="-1"/>
          <w:kern w:val="0"/>
          <w:sz w:val="16"/>
          <w:szCs w:val="16"/>
        </w:rPr>
        <w:t>J Hepatol</w:t>
      </w:r>
      <w:r w:rsidRPr="000E2301">
        <w:rPr>
          <w:color w:val="000000"/>
          <w:spacing w:val="-1"/>
          <w:kern w:val="0"/>
          <w:sz w:val="16"/>
          <w:szCs w:val="16"/>
        </w:rPr>
        <w:t xml:space="preserve"> 2014; </w:t>
      </w:r>
      <w:r w:rsidRPr="000E2301">
        <w:rPr>
          <w:b/>
          <w:bCs/>
          <w:color w:val="000000"/>
          <w:spacing w:val="-1"/>
          <w:kern w:val="0"/>
          <w:sz w:val="16"/>
          <w:szCs w:val="16"/>
        </w:rPr>
        <w:t>61</w:t>
      </w:r>
      <w:r w:rsidRPr="000E2301">
        <w:rPr>
          <w:color w:val="000000"/>
          <w:spacing w:val="-1"/>
          <w:kern w:val="0"/>
          <w:sz w:val="16"/>
          <w:szCs w:val="16"/>
        </w:rPr>
        <w:t>: 502-507 [PMID: 24801414 DOI: 10.1016/j.jhep.2014.04.038]</w:t>
      </w:r>
    </w:p>
    <w:p w:rsidR="00E6642F" w:rsidRPr="000E2301" w:rsidRDefault="00E6642F" w:rsidP="00E6642F">
      <w:pPr>
        <w:suppressAutoHyphens/>
        <w:autoSpaceDE w:val="0"/>
        <w:autoSpaceDN w:val="0"/>
        <w:adjustRightInd w:val="0"/>
        <w:spacing w:line="200" w:lineRule="atLeast"/>
        <w:ind w:left="360" w:hanging="360"/>
        <w:textAlignment w:val="center"/>
        <w:rPr>
          <w:color w:val="000000"/>
          <w:spacing w:val="-1"/>
          <w:kern w:val="0"/>
          <w:sz w:val="16"/>
          <w:szCs w:val="16"/>
        </w:rPr>
      </w:pPr>
      <w:r w:rsidRPr="000E2301">
        <w:rPr>
          <w:color w:val="000000"/>
          <w:spacing w:val="-1"/>
          <w:kern w:val="0"/>
          <w:sz w:val="16"/>
          <w:szCs w:val="16"/>
        </w:rPr>
        <w:t>113</w:t>
      </w:r>
      <w:r w:rsidRPr="000E2301">
        <w:rPr>
          <w:color w:val="000000"/>
          <w:spacing w:val="-1"/>
          <w:kern w:val="0"/>
          <w:sz w:val="16"/>
          <w:szCs w:val="16"/>
        </w:rPr>
        <w:tab/>
      </w:r>
      <w:r w:rsidRPr="000E2301">
        <w:rPr>
          <w:b/>
          <w:bCs/>
          <w:color w:val="000000"/>
          <w:spacing w:val="-1"/>
          <w:kern w:val="0"/>
          <w:sz w:val="16"/>
          <w:szCs w:val="16"/>
        </w:rPr>
        <w:t>Hu YH</w:t>
      </w:r>
      <w:r w:rsidRPr="000E2301">
        <w:rPr>
          <w:color w:val="000000"/>
          <w:spacing w:val="-1"/>
          <w:kern w:val="0"/>
          <w:sz w:val="16"/>
          <w:szCs w:val="16"/>
        </w:rPr>
        <w:t xml:space="preserve">, Liu M, Yi W, Cao YJ, Cai HD. Tenofovir rescue therapy in pregnant females with chronic hepatitis B. </w:t>
      </w:r>
      <w:r w:rsidRPr="000E2301">
        <w:rPr>
          <w:i/>
          <w:iCs/>
          <w:color w:val="000000"/>
          <w:spacing w:val="-1"/>
          <w:kern w:val="0"/>
          <w:sz w:val="16"/>
          <w:szCs w:val="16"/>
        </w:rPr>
        <w:t>World J Gastroenterol</w:t>
      </w:r>
      <w:r w:rsidRPr="000E2301">
        <w:rPr>
          <w:color w:val="000000"/>
          <w:spacing w:val="-1"/>
          <w:kern w:val="0"/>
          <w:sz w:val="16"/>
          <w:szCs w:val="16"/>
        </w:rPr>
        <w:t xml:space="preserve"> 2015; </w:t>
      </w:r>
      <w:r w:rsidRPr="000E2301">
        <w:rPr>
          <w:b/>
          <w:bCs/>
          <w:color w:val="000000"/>
          <w:spacing w:val="-1"/>
          <w:kern w:val="0"/>
          <w:sz w:val="16"/>
          <w:szCs w:val="16"/>
        </w:rPr>
        <w:t>21</w:t>
      </w:r>
      <w:r w:rsidRPr="000E2301">
        <w:rPr>
          <w:color w:val="000000"/>
          <w:spacing w:val="-1"/>
          <w:kern w:val="0"/>
          <w:sz w:val="16"/>
          <w:szCs w:val="16"/>
        </w:rPr>
        <w:t>: 2504-2509 [PMID: 25741161 DOI: 10.3748/wjg.v21.i8.2504]</w:t>
      </w:r>
    </w:p>
    <w:p w:rsidR="00E6642F" w:rsidRPr="000E2301" w:rsidRDefault="00E6642F" w:rsidP="00E6642F">
      <w:pPr>
        <w:suppressAutoHyphens/>
        <w:autoSpaceDE w:val="0"/>
        <w:autoSpaceDN w:val="0"/>
        <w:adjustRightInd w:val="0"/>
        <w:spacing w:line="200" w:lineRule="atLeast"/>
        <w:ind w:left="360" w:hanging="360"/>
        <w:textAlignment w:val="center"/>
        <w:rPr>
          <w:b/>
          <w:bCs/>
          <w:color w:val="000000"/>
          <w:spacing w:val="-1"/>
          <w:kern w:val="0"/>
          <w:sz w:val="16"/>
          <w:szCs w:val="16"/>
        </w:rPr>
      </w:pPr>
      <w:r w:rsidRPr="000E2301">
        <w:rPr>
          <w:color w:val="000000"/>
          <w:spacing w:val="-1"/>
          <w:kern w:val="0"/>
          <w:sz w:val="16"/>
          <w:szCs w:val="16"/>
        </w:rPr>
        <w:t>114</w:t>
      </w:r>
      <w:r w:rsidRPr="000E2301">
        <w:rPr>
          <w:color w:val="000000"/>
          <w:spacing w:val="-1"/>
          <w:kern w:val="0"/>
          <w:sz w:val="16"/>
          <w:szCs w:val="16"/>
        </w:rPr>
        <w:tab/>
      </w:r>
      <w:r w:rsidRPr="000E2301">
        <w:rPr>
          <w:b/>
          <w:bCs/>
          <w:color w:val="000000"/>
          <w:spacing w:val="-1"/>
          <w:kern w:val="0"/>
          <w:sz w:val="16"/>
          <w:szCs w:val="16"/>
        </w:rPr>
        <w:t>Mirochnick M</w:t>
      </w:r>
      <w:r w:rsidRPr="000E2301">
        <w:rPr>
          <w:color w:val="000000"/>
          <w:spacing w:val="-1"/>
          <w:kern w:val="0"/>
          <w:sz w:val="16"/>
          <w:szCs w:val="16"/>
        </w:rPr>
        <w:t xml:space="preserve">, Thomas T, Capparelli E, Zeh C, Holland D, Masaba R, Odhiambo P, Fowler MG, Weidle PJ, Thigpen MC. Antiretroviral concentrations in breast-feeding infants of mothers receiving highly active antiretroviral therapy. </w:t>
      </w:r>
      <w:r w:rsidRPr="000E2301">
        <w:rPr>
          <w:i/>
          <w:iCs/>
          <w:color w:val="000000"/>
          <w:spacing w:val="-1"/>
          <w:kern w:val="0"/>
          <w:sz w:val="16"/>
          <w:szCs w:val="16"/>
        </w:rPr>
        <w:t>Antimicrob Agents Chemother</w:t>
      </w:r>
      <w:r w:rsidRPr="000E2301">
        <w:rPr>
          <w:color w:val="000000"/>
          <w:spacing w:val="-1"/>
          <w:kern w:val="0"/>
          <w:sz w:val="16"/>
          <w:szCs w:val="16"/>
        </w:rPr>
        <w:t xml:space="preserve"> 2009; </w:t>
      </w:r>
      <w:r w:rsidRPr="000E2301">
        <w:rPr>
          <w:b/>
          <w:bCs/>
          <w:color w:val="000000"/>
          <w:spacing w:val="-1"/>
          <w:kern w:val="0"/>
          <w:sz w:val="16"/>
          <w:szCs w:val="16"/>
        </w:rPr>
        <w:t>53</w:t>
      </w:r>
      <w:r w:rsidRPr="000E2301">
        <w:rPr>
          <w:color w:val="000000"/>
          <w:spacing w:val="-1"/>
          <w:kern w:val="0"/>
          <w:sz w:val="16"/>
          <w:szCs w:val="16"/>
        </w:rPr>
        <w:t>: 1170-1176 [PMID: 19114673 DOI: 10.1128/AAC.01117-08]</w:t>
      </w:r>
    </w:p>
    <w:p w:rsidR="00E6642F" w:rsidRPr="000E2301" w:rsidRDefault="00E6642F" w:rsidP="00E6642F">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E6642F" w:rsidRDefault="00E6642F" w:rsidP="00E6642F">
      <w:r>
        <w:t>Figure Legends</w:t>
      </w:r>
    </w:p>
    <w:p w:rsidR="00E6642F" w:rsidRDefault="00E6642F" w:rsidP="00E6642F">
      <w:pPr>
        <w:pStyle w:val="8BF4"/>
        <w:rPr>
          <w:b/>
          <w:bCs/>
        </w:rPr>
      </w:pPr>
      <w:r>
        <w:rPr>
          <w:b/>
          <w:bCs/>
          <w:noProof/>
        </w:rPr>
        <w:drawing>
          <wp:inline distT="0" distB="0" distL="0" distR="0">
            <wp:extent cx="2266950" cy="1615928"/>
            <wp:effectExtent l="0" t="0" r="0" b="3810"/>
            <wp:docPr id="3" name="图片 3" descr="D:\排版、组版\WJH\WJHv9i5\pmc-5\fig\WJH-9-227-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H\WJHv9i5\pmc-5\fig\WJH-9-227-g0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615928"/>
                    </a:xfrm>
                    <a:prstGeom prst="rect">
                      <a:avLst/>
                    </a:prstGeom>
                    <a:noFill/>
                    <a:ln>
                      <a:noFill/>
                    </a:ln>
                  </pic:spPr>
                </pic:pic>
              </a:graphicData>
            </a:graphic>
          </wp:inline>
        </w:drawing>
      </w:r>
    </w:p>
    <w:p w:rsidR="00E6642F" w:rsidRDefault="00E6642F" w:rsidP="00E6642F">
      <w:pPr>
        <w:pStyle w:val="8BF4"/>
      </w:pPr>
      <w:r>
        <w:rPr>
          <w:b/>
          <w:bCs/>
        </w:rPr>
        <w:t xml:space="preserve">Figure </w:t>
      </w:r>
      <w:proofErr w:type="gramStart"/>
      <w:r>
        <w:rPr>
          <w:b/>
          <w:bCs/>
        </w:rPr>
        <w:t>1  Effects</w:t>
      </w:r>
      <w:proofErr w:type="gramEnd"/>
      <w:r>
        <w:rPr>
          <w:b/>
          <w:bCs/>
        </w:rPr>
        <w:t xml:space="preserve"> of nucleos(t)ide analogues.</w:t>
      </w:r>
      <w:r>
        <w:t xml:space="preserve"> A: NAs show antiviral effect by inhibition of hepatitis B virus (HBV) polymerase; B: NAs also inhibits human mitochondrial polymerase-</w:t>
      </w:r>
      <w:r>
        <w:rPr>
          <w:rFonts w:ascii="Symbol" w:hAnsi="Symbol" w:cs="Symbol"/>
        </w:rPr>
        <w:t></w:t>
      </w:r>
      <w:r>
        <w:t xml:space="preserve"> enzyme. Thus, mitochondrial DNA (mtDNA) can not be synthesized. Oxidative phosphorylation is impaired. There are two consequences of this: Impaired energy production and increased reactive oxygen species that cause cellular damage. NAs: </w:t>
      </w:r>
      <w:proofErr w:type="gramStart"/>
      <w:r>
        <w:t>Nucleos(</w:t>
      </w:r>
      <w:proofErr w:type="gramEnd"/>
      <w:r>
        <w:t>t)ide analogues.</w:t>
      </w:r>
    </w:p>
    <w:p w:rsidR="00E6642F" w:rsidRDefault="00E6642F" w:rsidP="00E6642F"/>
    <w:p w:rsidR="00E6642F" w:rsidRDefault="00E6642F" w:rsidP="00E6642F">
      <w:r>
        <w:t>Footnotes</w:t>
      </w:r>
    </w:p>
    <w:p w:rsidR="00E6642F" w:rsidRPr="000E2301" w:rsidRDefault="00E6642F" w:rsidP="00E6642F">
      <w:pPr>
        <w:suppressAutoHyphens/>
        <w:autoSpaceDE w:val="0"/>
        <w:autoSpaceDN w:val="0"/>
        <w:adjustRightInd w:val="0"/>
        <w:spacing w:line="210" w:lineRule="atLeast"/>
        <w:textAlignment w:val="center"/>
        <w:rPr>
          <w:color w:val="000000"/>
          <w:spacing w:val="-1"/>
          <w:kern w:val="0"/>
          <w:sz w:val="18"/>
          <w:szCs w:val="18"/>
        </w:rPr>
      </w:pPr>
      <w:r w:rsidRPr="000E2301">
        <w:rPr>
          <w:rFonts w:ascii="Tahoma" w:hAnsi="Tahoma" w:cs="Tahoma"/>
          <w:color w:val="000000"/>
          <w:spacing w:val="-2"/>
          <w:kern w:val="0"/>
          <w:sz w:val="18"/>
          <w:szCs w:val="18"/>
        </w:rPr>
        <w:lastRenderedPageBreak/>
        <w:t>Conflict-of-interest statement:</w:t>
      </w:r>
      <w:r w:rsidRPr="000E2301">
        <w:rPr>
          <w:b/>
          <w:bCs/>
          <w:color w:val="000000"/>
          <w:spacing w:val="-2"/>
          <w:kern w:val="0"/>
          <w:sz w:val="18"/>
          <w:szCs w:val="18"/>
        </w:rPr>
        <w:t xml:space="preserve"> </w:t>
      </w:r>
      <w:r w:rsidRPr="000E2301">
        <w:rPr>
          <w:color w:val="000000"/>
          <w:spacing w:val="-1"/>
          <w:kern w:val="0"/>
          <w:sz w:val="18"/>
          <w:szCs w:val="18"/>
        </w:rPr>
        <w:t>The authors declare no conflict of interests for this article.</w:t>
      </w:r>
    </w:p>
    <w:p w:rsidR="00E6642F" w:rsidRPr="000E2301" w:rsidRDefault="00E6642F" w:rsidP="00E6642F">
      <w:pPr>
        <w:suppressAutoHyphens/>
        <w:autoSpaceDE w:val="0"/>
        <w:autoSpaceDN w:val="0"/>
        <w:adjustRightInd w:val="0"/>
        <w:spacing w:line="210" w:lineRule="atLeast"/>
        <w:textAlignment w:val="center"/>
        <w:rPr>
          <w:rFonts w:ascii="Tahoma" w:hAnsi="Tahoma" w:cs="Tahoma"/>
          <w:color w:val="000000"/>
          <w:kern w:val="0"/>
          <w:sz w:val="18"/>
          <w:szCs w:val="18"/>
        </w:rPr>
      </w:pPr>
      <w:r w:rsidRPr="000E2301">
        <w:rPr>
          <w:rFonts w:ascii="Tahoma" w:hAnsi="Tahoma" w:cs="Tahoma"/>
          <w:color w:val="000000"/>
          <w:spacing w:val="-2"/>
          <w:kern w:val="0"/>
          <w:sz w:val="18"/>
          <w:szCs w:val="18"/>
        </w:rPr>
        <w:t>Open-Access:</w:t>
      </w:r>
      <w:r w:rsidRPr="000E2301">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6642F" w:rsidRPr="000E2301" w:rsidRDefault="00E6642F" w:rsidP="00E6642F">
      <w:pPr>
        <w:suppressAutoHyphens/>
        <w:autoSpaceDE w:val="0"/>
        <w:autoSpaceDN w:val="0"/>
        <w:adjustRightInd w:val="0"/>
        <w:spacing w:line="210" w:lineRule="atLeast"/>
        <w:textAlignment w:val="center"/>
        <w:rPr>
          <w:b/>
          <w:bCs/>
          <w:color w:val="000000"/>
          <w:spacing w:val="-2"/>
          <w:kern w:val="0"/>
          <w:sz w:val="18"/>
          <w:szCs w:val="18"/>
        </w:rPr>
      </w:pPr>
      <w:r w:rsidRPr="000E2301">
        <w:rPr>
          <w:rFonts w:ascii="Tahoma" w:hAnsi="Tahoma" w:cs="Tahoma"/>
          <w:color w:val="000000"/>
          <w:spacing w:val="-2"/>
          <w:kern w:val="0"/>
          <w:sz w:val="18"/>
          <w:szCs w:val="18"/>
        </w:rPr>
        <w:t>Manuscript source:</w:t>
      </w:r>
      <w:r w:rsidRPr="000E2301">
        <w:rPr>
          <w:b/>
          <w:bCs/>
          <w:color w:val="000000"/>
          <w:spacing w:val="-2"/>
          <w:kern w:val="0"/>
          <w:sz w:val="18"/>
          <w:szCs w:val="18"/>
        </w:rPr>
        <w:t xml:space="preserve"> </w:t>
      </w:r>
      <w:r w:rsidRPr="000E2301">
        <w:rPr>
          <w:color w:val="000000"/>
          <w:spacing w:val="-2"/>
          <w:kern w:val="0"/>
          <w:sz w:val="18"/>
          <w:szCs w:val="18"/>
        </w:rPr>
        <w:t>Invited manuscript</w:t>
      </w:r>
    </w:p>
    <w:p w:rsidR="00E6642F" w:rsidRPr="000E2301" w:rsidRDefault="00E6642F" w:rsidP="00E6642F">
      <w:pPr>
        <w:suppressAutoHyphens/>
        <w:autoSpaceDE w:val="0"/>
        <w:autoSpaceDN w:val="0"/>
        <w:adjustRightInd w:val="0"/>
        <w:spacing w:line="210" w:lineRule="atLeast"/>
        <w:textAlignment w:val="center"/>
        <w:rPr>
          <w:color w:val="000000"/>
          <w:spacing w:val="-2"/>
          <w:kern w:val="0"/>
          <w:sz w:val="18"/>
          <w:szCs w:val="18"/>
        </w:rPr>
      </w:pPr>
      <w:r w:rsidRPr="000E2301">
        <w:rPr>
          <w:rFonts w:ascii="Tahoma" w:hAnsi="Tahoma" w:cs="Tahoma"/>
          <w:color w:val="000000"/>
          <w:spacing w:val="-2"/>
          <w:kern w:val="0"/>
          <w:sz w:val="18"/>
          <w:szCs w:val="18"/>
        </w:rPr>
        <w:t>Peer-review started:</w:t>
      </w:r>
      <w:r w:rsidRPr="000E2301">
        <w:rPr>
          <w:b/>
          <w:bCs/>
          <w:color w:val="000000"/>
          <w:spacing w:val="-2"/>
          <w:kern w:val="0"/>
          <w:sz w:val="18"/>
          <w:szCs w:val="18"/>
        </w:rPr>
        <w:t xml:space="preserve"> </w:t>
      </w:r>
      <w:r w:rsidRPr="000E2301">
        <w:rPr>
          <w:color w:val="000000"/>
          <w:spacing w:val="-2"/>
          <w:kern w:val="0"/>
          <w:sz w:val="18"/>
          <w:szCs w:val="18"/>
        </w:rPr>
        <w:t>May 2, 2016</w:t>
      </w:r>
    </w:p>
    <w:p w:rsidR="00E6642F" w:rsidRPr="000E2301" w:rsidRDefault="00E6642F" w:rsidP="00E6642F">
      <w:pPr>
        <w:suppressAutoHyphens/>
        <w:autoSpaceDE w:val="0"/>
        <w:autoSpaceDN w:val="0"/>
        <w:adjustRightInd w:val="0"/>
        <w:spacing w:line="210" w:lineRule="atLeast"/>
        <w:textAlignment w:val="center"/>
        <w:rPr>
          <w:color w:val="000000"/>
          <w:spacing w:val="-2"/>
          <w:kern w:val="0"/>
          <w:sz w:val="18"/>
          <w:szCs w:val="18"/>
        </w:rPr>
      </w:pPr>
      <w:r w:rsidRPr="000E2301">
        <w:rPr>
          <w:rFonts w:ascii="Tahoma" w:hAnsi="Tahoma" w:cs="Tahoma"/>
          <w:color w:val="000000"/>
          <w:spacing w:val="-2"/>
          <w:kern w:val="0"/>
          <w:sz w:val="18"/>
          <w:szCs w:val="18"/>
        </w:rPr>
        <w:t>First decision:</w:t>
      </w:r>
      <w:r w:rsidRPr="000E2301">
        <w:rPr>
          <w:b/>
          <w:bCs/>
          <w:color w:val="000000"/>
          <w:spacing w:val="-2"/>
          <w:kern w:val="0"/>
          <w:sz w:val="18"/>
          <w:szCs w:val="18"/>
        </w:rPr>
        <w:t xml:space="preserve"> </w:t>
      </w:r>
      <w:r w:rsidRPr="000E2301">
        <w:rPr>
          <w:color w:val="000000"/>
          <w:spacing w:val="-2"/>
          <w:kern w:val="0"/>
          <w:sz w:val="18"/>
          <w:szCs w:val="18"/>
        </w:rPr>
        <w:t>November 18, 20</w:t>
      </w:r>
      <w:r w:rsidR="00A66668" w:rsidRPr="000E2301">
        <w:rPr>
          <w:color w:val="000000"/>
          <w:spacing w:val="-2"/>
          <w:kern w:val="0"/>
          <w:sz w:val="18"/>
          <w:szCs w:val="18"/>
        </w:rPr>
        <w:t>1</w:t>
      </w:r>
      <w:r w:rsidRPr="000E2301">
        <w:rPr>
          <w:color w:val="000000"/>
          <w:spacing w:val="-2"/>
          <w:kern w:val="0"/>
          <w:sz w:val="18"/>
          <w:szCs w:val="18"/>
        </w:rPr>
        <w:t>6</w:t>
      </w:r>
    </w:p>
    <w:p w:rsidR="00E6642F" w:rsidRPr="000E2301" w:rsidRDefault="00E6642F" w:rsidP="00E6642F">
      <w:pPr>
        <w:suppressAutoHyphens/>
        <w:autoSpaceDE w:val="0"/>
        <w:autoSpaceDN w:val="0"/>
        <w:adjustRightInd w:val="0"/>
        <w:spacing w:line="210" w:lineRule="atLeast"/>
        <w:textAlignment w:val="center"/>
        <w:rPr>
          <w:color w:val="000000"/>
          <w:spacing w:val="-2"/>
          <w:kern w:val="0"/>
          <w:sz w:val="18"/>
          <w:szCs w:val="18"/>
        </w:rPr>
      </w:pPr>
      <w:r w:rsidRPr="000E2301">
        <w:rPr>
          <w:rFonts w:ascii="Tahoma" w:hAnsi="Tahoma" w:cs="Tahoma"/>
          <w:color w:val="000000"/>
          <w:spacing w:val="-2"/>
          <w:kern w:val="0"/>
          <w:sz w:val="18"/>
          <w:szCs w:val="18"/>
        </w:rPr>
        <w:t>Article in press:</w:t>
      </w:r>
      <w:r w:rsidRPr="000E2301">
        <w:rPr>
          <w:color w:val="000000"/>
          <w:spacing w:val="-2"/>
          <w:kern w:val="0"/>
          <w:sz w:val="18"/>
          <w:szCs w:val="18"/>
        </w:rPr>
        <w:t xml:space="preserve"> December 9, 2</w:t>
      </w:r>
      <w:bookmarkStart w:id="0" w:name="_GoBack"/>
      <w:bookmarkEnd w:id="0"/>
      <w:r w:rsidRPr="000E2301">
        <w:rPr>
          <w:color w:val="000000"/>
          <w:spacing w:val="-2"/>
          <w:kern w:val="0"/>
          <w:sz w:val="18"/>
          <w:szCs w:val="18"/>
        </w:rPr>
        <w:t>016</w:t>
      </w:r>
    </w:p>
    <w:p w:rsidR="00E6642F" w:rsidRPr="000E2301" w:rsidRDefault="00E6642F" w:rsidP="00E6642F">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0E2301">
        <w:rPr>
          <w:b/>
          <w:bCs/>
          <w:color w:val="000000"/>
          <w:spacing w:val="-1"/>
          <w:kern w:val="0"/>
          <w:sz w:val="16"/>
          <w:szCs w:val="16"/>
        </w:rPr>
        <w:t>P- Reviewer</w:t>
      </w:r>
      <w:r w:rsidRPr="000E2301">
        <w:rPr>
          <w:color w:val="000000"/>
          <w:spacing w:val="-1"/>
          <w:kern w:val="0"/>
          <w:sz w:val="16"/>
          <w:szCs w:val="16"/>
        </w:rPr>
        <w:t xml:space="preserve">: El-Bendary MM, Zhao YL    </w:t>
      </w:r>
      <w:r w:rsidRPr="000E2301">
        <w:rPr>
          <w:b/>
          <w:bCs/>
          <w:color w:val="000000"/>
          <w:kern w:val="0"/>
          <w:sz w:val="16"/>
          <w:szCs w:val="16"/>
        </w:rPr>
        <w:t>S- Editor</w:t>
      </w:r>
      <w:r w:rsidRPr="000E2301">
        <w:rPr>
          <w:color w:val="000000"/>
          <w:spacing w:val="-1"/>
          <w:kern w:val="0"/>
          <w:sz w:val="16"/>
          <w:szCs w:val="16"/>
        </w:rPr>
        <w:t>:</w:t>
      </w:r>
      <w:r w:rsidRPr="000E2301">
        <w:rPr>
          <w:b/>
          <w:bCs/>
          <w:color w:val="000000"/>
          <w:kern w:val="0"/>
          <w:sz w:val="16"/>
          <w:szCs w:val="16"/>
        </w:rPr>
        <w:t xml:space="preserve"> </w:t>
      </w:r>
      <w:r w:rsidRPr="000E2301">
        <w:rPr>
          <w:color w:val="000000"/>
          <w:kern w:val="0"/>
          <w:sz w:val="16"/>
          <w:szCs w:val="16"/>
        </w:rPr>
        <w:t xml:space="preserve">Song XX    </w:t>
      </w:r>
      <w:r w:rsidRPr="000E2301">
        <w:rPr>
          <w:b/>
          <w:bCs/>
          <w:color w:val="000000"/>
          <w:kern w:val="0"/>
          <w:sz w:val="16"/>
          <w:szCs w:val="16"/>
        </w:rPr>
        <w:t>L- Editor</w:t>
      </w:r>
      <w:r w:rsidRPr="000E2301">
        <w:rPr>
          <w:color w:val="000000"/>
          <w:spacing w:val="-1"/>
          <w:kern w:val="0"/>
          <w:sz w:val="16"/>
          <w:szCs w:val="16"/>
        </w:rPr>
        <w:t>:</w:t>
      </w:r>
      <w:r w:rsidRPr="000E2301">
        <w:rPr>
          <w:color w:val="000000"/>
          <w:kern w:val="0"/>
          <w:sz w:val="16"/>
          <w:szCs w:val="16"/>
        </w:rPr>
        <w:t xml:space="preserve"> </w:t>
      </w:r>
      <w:r w:rsidRPr="000E2301">
        <w:rPr>
          <w:color w:val="000000"/>
          <w:spacing w:val="-1"/>
          <w:kern w:val="0"/>
          <w:sz w:val="16"/>
          <w:szCs w:val="16"/>
        </w:rPr>
        <w:t>Filipodia</w:t>
      </w:r>
      <w:r w:rsidRPr="000E2301">
        <w:rPr>
          <w:color w:val="000000"/>
          <w:kern w:val="0"/>
          <w:sz w:val="16"/>
          <w:szCs w:val="16"/>
        </w:rPr>
        <w:t xml:space="preserve">    </w:t>
      </w:r>
      <w:r w:rsidRPr="000E2301">
        <w:rPr>
          <w:b/>
          <w:bCs/>
          <w:color w:val="000000"/>
          <w:kern w:val="0"/>
          <w:sz w:val="16"/>
          <w:szCs w:val="16"/>
        </w:rPr>
        <w:t>E- Editor</w:t>
      </w:r>
      <w:r w:rsidRPr="000E2301">
        <w:rPr>
          <w:color w:val="000000"/>
          <w:spacing w:val="-1"/>
          <w:kern w:val="0"/>
          <w:sz w:val="16"/>
          <w:szCs w:val="16"/>
        </w:rPr>
        <w:t>:</w:t>
      </w:r>
      <w:r w:rsidRPr="000E2301">
        <w:rPr>
          <w:b/>
          <w:bCs/>
          <w:color w:val="000000"/>
          <w:kern w:val="0"/>
          <w:sz w:val="16"/>
          <w:szCs w:val="16"/>
        </w:rPr>
        <w:t xml:space="preserve"> </w:t>
      </w:r>
      <w:r w:rsidRPr="000E2301">
        <w:rPr>
          <w:color w:val="000000"/>
          <w:kern w:val="0"/>
          <w:sz w:val="16"/>
          <w:szCs w:val="16"/>
        </w:rPr>
        <w:t>Li D</w:t>
      </w:r>
    </w:p>
    <w:p w:rsidR="00E6642F" w:rsidRDefault="00E6642F" w:rsidP="00E6642F"/>
    <w:p w:rsidR="00E6642F" w:rsidRPr="000E2301" w:rsidRDefault="00E6642F" w:rsidP="00E6642F">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9751060"/>
                <wp:effectExtent l="8255" t="9525" r="10795" b="1206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9751060"/>
                        </a:xfrm>
                        <a:prstGeom prst="rect">
                          <a:avLst/>
                        </a:prstGeom>
                        <a:solidFill>
                          <a:srgbClr val="FFFFFF"/>
                        </a:solidFill>
                        <a:ln w="9525">
                          <a:solidFill>
                            <a:srgbClr val="000000"/>
                          </a:solidFill>
                          <a:miter lim="800000"/>
                          <a:headEnd/>
                          <a:tailEnd/>
                        </a:ln>
                      </wps:spPr>
                      <wps:txbx>
                        <w:txbxContent>
                          <w:p w:rsidR="00E6642F" w:rsidRPr="000E2301" w:rsidRDefault="00E6642F" w:rsidP="00E6642F">
                            <w:pPr>
                              <w:rPr>
                                <w:b/>
                                <w:bCs/>
                              </w:rPr>
                            </w:pPr>
                            <w:r w:rsidRPr="000E2301">
                              <w:rPr>
                                <w:b/>
                                <w:bCs/>
                              </w:rPr>
                              <w:t xml:space="preserve">Table </w:t>
                            </w:r>
                            <w:proofErr w:type="gramStart"/>
                            <w:r w:rsidRPr="000E2301">
                              <w:rPr>
                                <w:b/>
                                <w:bCs/>
                              </w:rPr>
                              <w:t>1  Characteristics</w:t>
                            </w:r>
                            <w:proofErr w:type="gramEnd"/>
                            <w:r w:rsidRPr="000E2301">
                              <w:rPr>
                                <w:b/>
                                <w:bCs/>
                              </w:rPr>
                              <w:t xml:space="preserve"> of approved oral antiviral drugs for chronic hepatitis B treatment</w:t>
                            </w:r>
                          </w:p>
                          <w:tbl>
                            <w:tblPr>
                              <w:tblW w:w="954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969"/>
                              <w:gridCol w:w="1122"/>
                              <w:gridCol w:w="1334"/>
                              <w:gridCol w:w="1906"/>
                              <w:gridCol w:w="1065"/>
                              <w:gridCol w:w="1463"/>
                              <w:gridCol w:w="736"/>
                              <w:gridCol w:w="950"/>
                            </w:tblGrid>
                            <w:tr w:rsidR="00E6642F" w:rsidRPr="000E2301" w:rsidTr="000E2301">
                              <w:trPr>
                                <w:trHeight w:hRule="exact" w:val="1443"/>
                              </w:trPr>
                              <w:tc>
                                <w:tcPr>
                                  <w:tcW w:w="969"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NAs (approval year)</w:t>
                                  </w:r>
                                </w:p>
                                <w:p w:rsidR="00E6642F" w:rsidRPr="000E2301" w:rsidRDefault="00E6642F" w:rsidP="000E2301">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1122"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Class effect</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34"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Renal effect</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06"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Most common adverse events</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65"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Laboratory monitoring</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63"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Rare severe adverse reactions</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36"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Pregnancy category</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50"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Detection in breastfeeding</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6642F" w:rsidRPr="000E2301" w:rsidTr="000E2301">
                              <w:trPr>
                                <w:trHeight w:val="60"/>
                              </w:trPr>
                              <w:tc>
                                <w:tcPr>
                                  <w:tcW w:w="969"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Lamivudine (1998)</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Myopathy and neuropathy cases were reported</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No significant effect</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06"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Upper respiratory tract infection, nasopharyngitis, headache and fatigue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ALT flairs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CK elevation may occur (usually not requiring cessation of drug)</w:t>
                                  </w:r>
                                </w:p>
                              </w:tc>
                              <w:tc>
                                <w:tcPr>
                                  <w:tcW w:w="1065"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Serum ALT and bilirubin</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3"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Rhabdomyolysis, acute dystonia, pancreatitis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Rare lactic acidosis</w:t>
                                  </w:r>
                                </w:p>
                              </w:tc>
                              <w:tc>
                                <w:tcPr>
                                  <w:tcW w:w="736"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C</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Yes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6642F" w:rsidRPr="000E2301" w:rsidTr="000E2301">
                              <w:trPr>
                                <w:trHeight w:val="60"/>
                              </w:trPr>
                              <w:tc>
                                <w:tcPr>
                                  <w:tcW w:w="969"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Telbivudine (2006)</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Myopathy and neuropathy cases were reported (especially in combination with Peg- IFN)</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Nephroprotective effect</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Increase in GFR</w:t>
                                  </w:r>
                                </w:p>
                              </w:tc>
                              <w:tc>
                                <w:tcPr>
                                  <w:tcW w:w="190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Upper respiratory tract infection, nasopharyngitis, headache and fatigue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Increased incidence of CK elevation (usually asymptomatic and self-limiting, not required cessation of drug)</w:t>
                                  </w:r>
                                </w:p>
                              </w:tc>
                              <w:tc>
                                <w:tcPr>
                                  <w:tcW w:w="1065"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CK level</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Serum lactate</w:t>
                                  </w:r>
                                </w:p>
                              </w:tc>
                              <w:tc>
                                <w:tcPr>
                                  <w:tcW w:w="1463"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Lactic acidosis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3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B</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Yes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6642F" w:rsidRPr="000E2301" w:rsidTr="000E2301">
                              <w:trPr>
                                <w:trHeight w:val="60"/>
                              </w:trPr>
                              <w:tc>
                                <w:tcPr>
                                  <w:tcW w:w="969"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Adefovir (2002)</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Very rare, No increased incidence of myopathy compared to placebo</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Clinically significant nephrotoxicity Decrease in GFR</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90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Pharyngitis, asteni, headache, abdominal pain, flu-like symptoms and nausea</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065"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Serum creatinine and phosphate level</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3"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Hypophosphatemia Fanconi syndrome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3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C</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Unknown, not recommend for use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6642F" w:rsidRPr="000E2301" w:rsidTr="000E2301">
                              <w:trPr>
                                <w:trHeight w:val="60"/>
                              </w:trPr>
                              <w:tc>
                                <w:tcPr>
                                  <w:tcW w:w="969"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Entecavir (2005)</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Very rare, No increased incidence of mitochondrial toxicity in combination of entecavir with other NAs and IFN</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No decrease in GFR</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0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Headache, upper respiratory tract infection, cough, nasopharyngitis, fatigue, dizziness, upper abdominal pain and nausea</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065"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Serum lactate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3"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Lactic acidosis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3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C</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Unknown, not recommend for use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6642F" w:rsidRPr="000E2301" w:rsidTr="000E2301">
                              <w:trPr>
                                <w:trHeight w:val="60"/>
                              </w:trPr>
                              <w:tc>
                                <w:tcPr>
                                  <w:tcW w:w="969"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Tenofovir (2008)</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Very rare, No increased incidence of myopathy compared to placebo</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May decrease GFR, clinically insignificant Nephrotoxic in HIV patients Hypophosphatemia</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90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Headache, nasopharyngitis, back pain, nausea</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Bone mineral density loss (more prominent in HIV patients)</w:t>
                                  </w:r>
                                </w:p>
                              </w:tc>
                              <w:tc>
                                <w:tcPr>
                                  <w:tcW w:w="1065"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Serum creatinine and phosphate level</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BMD</w:t>
                                  </w:r>
                                </w:p>
                              </w:tc>
                              <w:tc>
                                <w:tcPr>
                                  <w:tcW w:w="1463" w:type="dxa"/>
                                  <w:tcMar>
                                    <w:top w:w="28" w:type="dxa"/>
                                    <w:left w:w="28" w:type="dxa"/>
                                    <w:bottom w:w="28" w:type="dxa"/>
                                    <w:right w:w="28" w:type="dxa"/>
                                  </w:tcMar>
                                </w:tcPr>
                                <w:p w:rsidR="00E6642F" w:rsidRPr="000E2301" w:rsidRDefault="00E6642F" w:rsidP="000E2301">
                                  <w:pPr>
                                    <w:autoSpaceDE w:val="0"/>
                                    <w:autoSpaceDN w:val="0"/>
                                    <w:adjustRightInd w:val="0"/>
                                    <w:jc w:val="left"/>
                                    <w:rPr>
                                      <w:rFonts w:ascii="Albertus" w:hAnsi="Albertus"/>
                                      <w:kern w:val="0"/>
                                      <w:sz w:val="24"/>
                                    </w:rPr>
                                  </w:pPr>
                                </w:p>
                              </w:tc>
                              <w:tc>
                                <w:tcPr>
                                  <w:tcW w:w="73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B</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Yes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6642F" w:rsidRPr="00BB2BE8" w:rsidRDefault="00E6642F" w:rsidP="00E6642F">
                            <w:pPr>
                              <w:pStyle w:val="af5"/>
                            </w:pPr>
                            <w:r w:rsidRPr="000E2301">
                              <w:rPr>
                                <w:b w:val="0"/>
                              </w:rPr>
                              <w:t xml:space="preserve">NAs: </w:t>
                            </w:r>
                            <w:proofErr w:type="gramStart"/>
                            <w:r w:rsidRPr="000E2301">
                              <w:rPr>
                                <w:b w:val="0"/>
                              </w:rPr>
                              <w:t>Nucleos(</w:t>
                            </w:r>
                            <w:proofErr w:type="gramEnd"/>
                            <w:r w:rsidRPr="000E2301">
                              <w:rPr>
                                <w:b w:val="0"/>
                              </w:rPr>
                              <w:t>t)ide analogues; ALT: Alanine aminotransferase; CK: Creatine kinase; IFN: Interferon; GFR: Glomerular filtration rate; HIV: Human immunodeficiency virus; BMD: Bone mineral density.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20.75pt;height:76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">
                <v:textbox style="mso-fit-shape-to-text:t">
                  <w:txbxContent>
                    <w:p w:rsidR="00E6642F" w:rsidRPr="000E2301" w:rsidRDefault="00E6642F" w:rsidP="00E6642F">
                      <w:pPr>
                        <w:rPr>
                          <w:b/>
                          <w:bCs/>
                        </w:rPr>
                      </w:pPr>
                      <w:r w:rsidRPr="000E2301">
                        <w:rPr>
                          <w:b/>
                          <w:bCs/>
                        </w:rPr>
                        <w:t xml:space="preserve">Table </w:t>
                      </w:r>
                      <w:proofErr w:type="gramStart"/>
                      <w:r w:rsidRPr="000E2301">
                        <w:rPr>
                          <w:b/>
                          <w:bCs/>
                        </w:rPr>
                        <w:t>1  Characteristics</w:t>
                      </w:r>
                      <w:proofErr w:type="gramEnd"/>
                      <w:r w:rsidRPr="000E2301">
                        <w:rPr>
                          <w:b/>
                          <w:bCs/>
                        </w:rPr>
                        <w:t xml:space="preserve"> of approved oral antiviral drugs for chronic hepatitis B treatment</w:t>
                      </w:r>
                    </w:p>
                    <w:tbl>
                      <w:tblPr>
                        <w:tblW w:w="954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969"/>
                        <w:gridCol w:w="1122"/>
                        <w:gridCol w:w="1334"/>
                        <w:gridCol w:w="1906"/>
                        <w:gridCol w:w="1065"/>
                        <w:gridCol w:w="1463"/>
                        <w:gridCol w:w="736"/>
                        <w:gridCol w:w="950"/>
                      </w:tblGrid>
                      <w:tr w:rsidR="00E6642F" w:rsidRPr="000E2301" w:rsidTr="000E2301">
                        <w:trPr>
                          <w:trHeight w:hRule="exact" w:val="1443"/>
                        </w:trPr>
                        <w:tc>
                          <w:tcPr>
                            <w:tcW w:w="969"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NAs (approval year)</w:t>
                            </w:r>
                          </w:p>
                          <w:p w:rsidR="00E6642F" w:rsidRPr="000E2301" w:rsidRDefault="00E6642F" w:rsidP="000E2301">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1122"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Class effect</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34"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Renal effect</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06"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Most common adverse events</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65"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Laboratory monitoring</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63"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Rare severe adverse reactions</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36"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Pregnancy category</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50" w:type="dxa"/>
                            <w:tcBorders>
                              <w:top w:val="single" w:sz="6" w:space="0" w:color="000000"/>
                              <w:bottom w:val="single" w:sz="6" w:space="0" w:color="000000"/>
                            </w:tcBorders>
                            <w:tcMar>
                              <w:top w:w="28" w:type="dxa"/>
                              <w:left w:w="28" w:type="dxa"/>
                              <w:bottom w:w="28" w:type="dxa"/>
                              <w:right w:w="28" w:type="dxa"/>
                            </w:tcMar>
                          </w:tcPr>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E2301">
                              <w:rPr>
                                <w:rFonts w:ascii="Albertus" w:hAnsi="Albertus" w:cs="Albertus"/>
                                <w:b/>
                                <w:bCs/>
                                <w:color w:val="000000"/>
                                <w:kern w:val="0"/>
                                <w:sz w:val="14"/>
                                <w:szCs w:val="14"/>
                                <w:lang w:val="zh-CN"/>
                              </w:rPr>
                              <w:t>Detection in breastfeeding</w:t>
                            </w:r>
                          </w:p>
                          <w:p w:rsidR="00E6642F" w:rsidRPr="000E2301" w:rsidRDefault="00E6642F" w:rsidP="000E230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6642F" w:rsidRPr="000E2301" w:rsidTr="000E2301">
                        <w:trPr>
                          <w:trHeight w:val="60"/>
                        </w:trPr>
                        <w:tc>
                          <w:tcPr>
                            <w:tcW w:w="969"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Lamivudine (1998)</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Myopathy and neuropathy cases were reported</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No significant effect</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06"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Upper respiratory tract infection, nasopharyngitis, headache and fatigue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ALT flairs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CK elevation may occur (usually not requiring cessation of drug)</w:t>
                            </w:r>
                          </w:p>
                        </w:tc>
                        <w:tc>
                          <w:tcPr>
                            <w:tcW w:w="1065"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Serum ALT and bilirubin</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3"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Rhabdomyolysis, acute dystonia, pancreatitis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Rare lactic acidosis</w:t>
                            </w:r>
                          </w:p>
                        </w:tc>
                        <w:tc>
                          <w:tcPr>
                            <w:tcW w:w="736"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C</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Borders>
                              <w:top w:val="single" w:sz="6" w:space="0" w:color="000000"/>
                            </w:tcBorders>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Yes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6642F" w:rsidRPr="000E2301" w:rsidTr="000E2301">
                        <w:trPr>
                          <w:trHeight w:val="60"/>
                        </w:trPr>
                        <w:tc>
                          <w:tcPr>
                            <w:tcW w:w="969"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Telbivudine (2006)</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Myopathy and neuropathy cases were reported (especially in combination with Peg- IFN)</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Nephroprotective effect</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Increase in GFR</w:t>
                            </w:r>
                          </w:p>
                        </w:tc>
                        <w:tc>
                          <w:tcPr>
                            <w:tcW w:w="190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Upper respiratory tract infection, nasopharyngitis, headache and fatigue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Increased incidence of CK elevation (usually asymptomatic and self-limiting, not required cessation of drug)</w:t>
                            </w:r>
                          </w:p>
                        </w:tc>
                        <w:tc>
                          <w:tcPr>
                            <w:tcW w:w="1065"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CK level</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Serum lactate</w:t>
                            </w:r>
                          </w:p>
                        </w:tc>
                        <w:tc>
                          <w:tcPr>
                            <w:tcW w:w="1463"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Lactic acidosis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3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B</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Yes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6642F" w:rsidRPr="000E2301" w:rsidTr="000E2301">
                        <w:trPr>
                          <w:trHeight w:val="60"/>
                        </w:trPr>
                        <w:tc>
                          <w:tcPr>
                            <w:tcW w:w="969"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Adefovir (2002)</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Very rare, No increased incidence of myopathy compared to placebo</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Clinically significant nephrotoxicity Decrease in GFR</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90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Pharyngitis, asteni, headache, abdominal pain, flu-like symptoms and nausea</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065"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Serum creatinine and phosphate level</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3"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Hypophosphatemia Fanconi syndrome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3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C</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Unknown, not recommend for use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6642F" w:rsidRPr="000E2301" w:rsidTr="000E2301">
                        <w:trPr>
                          <w:trHeight w:val="60"/>
                        </w:trPr>
                        <w:tc>
                          <w:tcPr>
                            <w:tcW w:w="969"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Entecavir (2005)</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Very rare, No increased incidence of mitochondrial toxicity in combination of entecavir with other NAs and IFN</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No decrease in GFR</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0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Headache, upper respiratory tract infection, cough, nasopharyngitis, fatigue, dizziness, upper abdominal pain and nausea</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065"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Serum lactate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3"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Lactic acidosis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3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C</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Unknown, not recommend for use</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6642F" w:rsidRPr="000E2301" w:rsidTr="000E2301">
                        <w:trPr>
                          <w:trHeight w:val="60"/>
                        </w:trPr>
                        <w:tc>
                          <w:tcPr>
                            <w:tcW w:w="969"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Tenofovir (2008)</w:t>
                            </w:r>
                          </w:p>
                          <w:p w:rsidR="00E6642F" w:rsidRPr="000E2301" w:rsidRDefault="00E6642F" w:rsidP="000E2301">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122"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Very rare, No increased incidence of myopathy compared to placebo</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334"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May decrease GFR, clinically insignificant Nephrotoxic in HIV patients Hypophosphatemia</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190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Headache, nasopharyngitis, back pain, nausea</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Bone mineral density loss (more prominent in HIV patients)</w:t>
                            </w:r>
                          </w:p>
                        </w:tc>
                        <w:tc>
                          <w:tcPr>
                            <w:tcW w:w="1065"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Serum creatinine and phosphate level</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E2301">
                              <w:rPr>
                                <w:rFonts w:ascii="Book Antiqua" w:hAnsi="Book Antiqua" w:cs="Book Antiqua"/>
                                <w:bCs/>
                                <w:color w:val="000000"/>
                                <w:kern w:val="0"/>
                                <w:sz w:val="14"/>
                                <w:szCs w:val="14"/>
                              </w:rPr>
                              <w:t>BMD</w:t>
                            </w:r>
                          </w:p>
                        </w:tc>
                        <w:tc>
                          <w:tcPr>
                            <w:tcW w:w="1463" w:type="dxa"/>
                            <w:tcMar>
                              <w:top w:w="28" w:type="dxa"/>
                              <w:left w:w="28" w:type="dxa"/>
                              <w:bottom w:w="28" w:type="dxa"/>
                              <w:right w:w="28" w:type="dxa"/>
                            </w:tcMar>
                          </w:tcPr>
                          <w:p w:rsidR="00E6642F" w:rsidRPr="000E2301" w:rsidRDefault="00E6642F" w:rsidP="000E2301">
                            <w:pPr>
                              <w:autoSpaceDE w:val="0"/>
                              <w:autoSpaceDN w:val="0"/>
                              <w:adjustRightInd w:val="0"/>
                              <w:jc w:val="left"/>
                              <w:rPr>
                                <w:rFonts w:ascii="Albertus" w:hAnsi="Albertus"/>
                                <w:kern w:val="0"/>
                                <w:sz w:val="24"/>
                              </w:rPr>
                            </w:pPr>
                          </w:p>
                        </w:tc>
                        <w:tc>
                          <w:tcPr>
                            <w:tcW w:w="736"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B</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0" w:type="dxa"/>
                            <w:tcMar>
                              <w:top w:w="28" w:type="dxa"/>
                              <w:left w:w="28" w:type="dxa"/>
                              <w:bottom w:w="28" w:type="dxa"/>
                              <w:right w:w="28" w:type="dxa"/>
                            </w:tcMar>
                          </w:tcPr>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E2301">
                              <w:rPr>
                                <w:rFonts w:ascii="Book Antiqua" w:hAnsi="Book Antiqua" w:cs="Book Antiqua"/>
                                <w:bCs/>
                                <w:color w:val="000000"/>
                                <w:kern w:val="0"/>
                                <w:sz w:val="14"/>
                                <w:szCs w:val="14"/>
                                <w:lang w:val="zh-CN"/>
                              </w:rPr>
                              <w:t>Yes</w:t>
                            </w:r>
                          </w:p>
                          <w:p w:rsidR="00E6642F" w:rsidRPr="000E2301" w:rsidRDefault="00E6642F" w:rsidP="000E2301">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6642F" w:rsidRPr="00BB2BE8" w:rsidRDefault="00E6642F" w:rsidP="00E6642F">
                      <w:pPr>
                        <w:pStyle w:val="af5"/>
                      </w:pPr>
                      <w:r w:rsidRPr="000E2301">
                        <w:rPr>
                          <w:b w:val="0"/>
                        </w:rPr>
                        <w:t xml:space="preserve">NAs: </w:t>
                      </w:r>
                      <w:proofErr w:type="gramStart"/>
                      <w:r w:rsidRPr="000E2301">
                        <w:rPr>
                          <w:b w:val="0"/>
                        </w:rPr>
                        <w:t>Nucleos(</w:t>
                      </w:r>
                      <w:proofErr w:type="gramEnd"/>
                      <w:r w:rsidRPr="000E2301">
                        <w:rPr>
                          <w:b w:val="0"/>
                        </w:rPr>
                        <w:t>t)ide analogues; ALT: Alanine aminotransferase; CK: Creatine kinase; IFN: Interferon; GFR: Glomerular filtration rate; HIV: Human immunodeficiency virus; BMD: Bone mineral density.</w:t>
                      </w:r>
                    </w:p>
                  </w:txbxContent>
                </v:textbox>
                <w10:wrap type="square"/>
              </v:shape>
            </w:pict>
          </mc:Fallback>
        </mc:AlternateContent>
      </w:r>
    </w:p>
    <w:p w:rsidR="00E6642F" w:rsidRPr="00E6642F" w:rsidRDefault="00E6642F" w:rsidP="00F50781"/>
    <w:sectPr w:rsidR="00E6642F" w:rsidRPr="00E6642F">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D7" w:rsidRDefault="00F776D7">
      <w:r>
        <w:separator/>
      </w:r>
    </w:p>
  </w:endnote>
  <w:endnote w:type="continuationSeparator" w:id="0">
    <w:p w:rsidR="00F776D7" w:rsidRDefault="00F7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KozMi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D7" w:rsidRDefault="00F776D7">
      <w:r>
        <w:separator/>
      </w:r>
    </w:p>
  </w:footnote>
  <w:footnote w:type="continuationSeparator" w:id="0">
    <w:p w:rsidR="00F776D7" w:rsidRDefault="00F77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66668"/>
    <w:rsid w:val="00A71FFD"/>
    <w:rsid w:val="00AE0EE0"/>
    <w:rsid w:val="00B002E2"/>
    <w:rsid w:val="00BA70A4"/>
    <w:rsid w:val="00BD4C39"/>
    <w:rsid w:val="00C33DC9"/>
    <w:rsid w:val="00C542CD"/>
    <w:rsid w:val="00C846FE"/>
    <w:rsid w:val="00C91A79"/>
    <w:rsid w:val="00CB42A6"/>
    <w:rsid w:val="00CE1EAC"/>
    <w:rsid w:val="00CF2FC1"/>
    <w:rsid w:val="00D21779"/>
    <w:rsid w:val="00D34BE3"/>
    <w:rsid w:val="00D55C5E"/>
    <w:rsid w:val="00D676E0"/>
    <w:rsid w:val="00D70213"/>
    <w:rsid w:val="00D74442"/>
    <w:rsid w:val="00E6642F"/>
    <w:rsid w:val="00E74CF7"/>
    <w:rsid w:val="00EA68A7"/>
    <w:rsid w:val="00F15824"/>
    <w:rsid w:val="00F50781"/>
    <w:rsid w:val="00F75910"/>
    <w:rsid w:val="00F776D7"/>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50781"/>
    <w:pPr>
      <w:tabs>
        <w:tab w:val="center" w:pos="4153"/>
        <w:tab w:val="right" w:pos="8306"/>
      </w:tabs>
      <w:snapToGrid w:val="0"/>
      <w:jc w:val="left"/>
    </w:pPr>
    <w:rPr>
      <w:sz w:val="18"/>
      <w:szCs w:val="18"/>
    </w:rPr>
  </w:style>
  <w:style w:type="character" w:customStyle="1" w:styleId="Char">
    <w:name w:val="页脚 Char"/>
    <w:link w:val="a3"/>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E6642F"/>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E6642F"/>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E6642F"/>
    <w:pPr>
      <w:widowControl w:val="0"/>
      <w:autoSpaceDE w:val="0"/>
      <w:autoSpaceDN w:val="0"/>
      <w:adjustRightInd w:val="0"/>
      <w:spacing w:line="288" w:lineRule="auto"/>
      <w:jc w:val="both"/>
      <w:textAlignment w:val="center"/>
    </w:pPr>
    <w:rPr>
      <w:rFonts w:ascii="宋体" w:hAnsi="Tahoma Italic" w:cs="宋体"/>
      <w:color w:val="000000"/>
      <w:sz w:val="24"/>
      <w:szCs w:val="24"/>
      <w:lang w:val="zh-CN"/>
    </w:rPr>
  </w:style>
  <w:style w:type="paragraph" w:customStyle="1" w:styleId="af">
    <w:name w:val="嶌幰怣"/>
    <w:basedOn w:val="NormalParagraphStyle"/>
    <w:rsid w:val="00E6642F"/>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E6642F"/>
    <w:pPr>
      <w:spacing w:line="360" w:lineRule="atLeast"/>
      <w:jc w:val="left"/>
    </w:pPr>
    <w:rPr>
      <w:rFonts w:ascii="Univers" w:hAnsi="Univers" w:cs="Univers"/>
      <w:b/>
      <w:bCs/>
      <w:spacing w:val="-2"/>
    </w:rPr>
  </w:style>
  <w:style w:type="paragraph" w:customStyle="1" w:styleId="af1">
    <w:name w:val="惓暥暥_"/>
    <w:basedOn w:val="NormalParagraphStyle"/>
    <w:rsid w:val="00E6642F"/>
    <w:pPr>
      <w:suppressAutoHyphens/>
    </w:pPr>
    <w:rPr>
      <w:rFonts w:ascii="Verdana" w:hAnsi="Verdana" w:cs="Verdana"/>
      <w:spacing w:val="-9"/>
      <w:sz w:val="18"/>
      <w:szCs w:val="18"/>
      <w:lang w:val="en-US"/>
    </w:rPr>
  </w:style>
  <w:style w:type="paragraph" w:customStyle="1" w:styleId="1">
    <w:name w:val="惓暥暥_1"/>
    <w:basedOn w:val="NormalParagraphStyle"/>
    <w:rsid w:val="00E6642F"/>
    <w:pPr>
      <w:suppressAutoHyphens/>
      <w:ind w:firstLine="283"/>
    </w:pPr>
    <w:rPr>
      <w:rFonts w:ascii="Verdana" w:hAnsi="Verdana" w:cs="Verdana"/>
      <w:spacing w:val="-9"/>
      <w:sz w:val="18"/>
      <w:szCs w:val="18"/>
      <w:lang w:val="en-US"/>
    </w:rPr>
  </w:style>
  <w:style w:type="paragraph" w:customStyle="1" w:styleId="-1">
    <w:name w:val="嶲峫暥專-1"/>
    <w:basedOn w:val="NormalParagraphStyle"/>
    <w:rsid w:val="00E6642F"/>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2">
    <w:name w:val="参考文献正文"/>
    <w:basedOn w:val="Noparagraphstyle"/>
    <w:rsid w:val="00E6642F"/>
    <w:pPr>
      <w:tabs>
        <w:tab w:val="left" w:pos="360"/>
      </w:tabs>
      <w:suppressAutoHyphens/>
      <w:spacing w:line="200" w:lineRule="atLeast"/>
      <w:ind w:left="360" w:hanging="360"/>
    </w:pPr>
    <w:rPr>
      <w:rFonts w:ascii="Book Antiqua" w:hAnsi="Book Antiqua" w:cs="Book Antiqua"/>
      <w:sz w:val="16"/>
      <w:szCs w:val="16"/>
      <w:lang w:val="en-US"/>
    </w:rPr>
  </w:style>
  <w:style w:type="character" w:customStyle="1" w:styleId="Hyperlink0">
    <w:name w:val="Hyperlink.0"/>
    <w:rsid w:val="00E6642F"/>
    <w:rPr>
      <w:rFonts w:ascii="Book Antiqua" w:hAnsi="Book Antiqua" w:cs="Book Antiqua"/>
      <w:w w:val="100"/>
      <w:sz w:val="24"/>
      <w:szCs w:val="24"/>
    </w:rPr>
  </w:style>
  <w:style w:type="paragraph" w:customStyle="1" w:styleId="8BF4">
    <w:name w:val="徠曅&lt;8BF4&gt;柧"/>
    <w:basedOn w:val="NormalParagraphStyle"/>
    <w:rsid w:val="00E6642F"/>
    <w:pPr>
      <w:suppressAutoHyphens/>
      <w:spacing w:line="200" w:lineRule="atLeast"/>
    </w:pPr>
    <w:rPr>
      <w:rFonts w:ascii="Arial Narrow" w:hAnsi="Arial Narrow" w:cs="Arial Narrow"/>
      <w:sz w:val="16"/>
      <w:szCs w:val="16"/>
      <w:lang w:val="en-US"/>
    </w:rPr>
  </w:style>
  <w:style w:type="paragraph" w:customStyle="1" w:styleId="af3">
    <w:name w:val="表头"/>
    <w:basedOn w:val="NormalParagraphStyle"/>
    <w:rsid w:val="00E6642F"/>
    <w:rPr>
      <w:rFonts w:ascii="Albertus" w:hAnsi="Albertus" w:cs="Albertus"/>
      <w:b/>
      <w:bCs/>
      <w:sz w:val="14"/>
      <w:szCs w:val="14"/>
    </w:rPr>
  </w:style>
  <w:style w:type="paragraph" w:customStyle="1" w:styleId="af4">
    <w:name w:val="表格中文字"/>
    <w:basedOn w:val="a"/>
    <w:rsid w:val="00E6642F"/>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5">
    <w:name w:val="表注"/>
    <w:basedOn w:val="af4"/>
    <w:rsid w:val="00E6642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50781"/>
    <w:pPr>
      <w:tabs>
        <w:tab w:val="center" w:pos="4153"/>
        <w:tab w:val="right" w:pos="8306"/>
      </w:tabs>
      <w:snapToGrid w:val="0"/>
      <w:jc w:val="left"/>
    </w:pPr>
    <w:rPr>
      <w:sz w:val="18"/>
      <w:szCs w:val="18"/>
    </w:rPr>
  </w:style>
  <w:style w:type="character" w:customStyle="1" w:styleId="Char">
    <w:name w:val="页脚 Char"/>
    <w:link w:val="a3"/>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E6642F"/>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E6642F"/>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E6642F"/>
    <w:pPr>
      <w:widowControl w:val="0"/>
      <w:autoSpaceDE w:val="0"/>
      <w:autoSpaceDN w:val="0"/>
      <w:adjustRightInd w:val="0"/>
      <w:spacing w:line="288" w:lineRule="auto"/>
      <w:jc w:val="both"/>
      <w:textAlignment w:val="center"/>
    </w:pPr>
    <w:rPr>
      <w:rFonts w:ascii="宋体" w:hAnsi="Tahoma Italic" w:cs="宋体"/>
      <w:color w:val="000000"/>
      <w:sz w:val="24"/>
      <w:szCs w:val="24"/>
      <w:lang w:val="zh-CN"/>
    </w:rPr>
  </w:style>
  <w:style w:type="paragraph" w:customStyle="1" w:styleId="af">
    <w:name w:val="嶌幰怣"/>
    <w:basedOn w:val="NormalParagraphStyle"/>
    <w:rsid w:val="00E6642F"/>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E6642F"/>
    <w:pPr>
      <w:spacing w:line="360" w:lineRule="atLeast"/>
      <w:jc w:val="left"/>
    </w:pPr>
    <w:rPr>
      <w:rFonts w:ascii="Univers" w:hAnsi="Univers" w:cs="Univers"/>
      <w:b/>
      <w:bCs/>
      <w:spacing w:val="-2"/>
    </w:rPr>
  </w:style>
  <w:style w:type="paragraph" w:customStyle="1" w:styleId="af1">
    <w:name w:val="惓暥暥_"/>
    <w:basedOn w:val="NormalParagraphStyle"/>
    <w:rsid w:val="00E6642F"/>
    <w:pPr>
      <w:suppressAutoHyphens/>
    </w:pPr>
    <w:rPr>
      <w:rFonts w:ascii="Verdana" w:hAnsi="Verdana" w:cs="Verdana"/>
      <w:spacing w:val="-9"/>
      <w:sz w:val="18"/>
      <w:szCs w:val="18"/>
      <w:lang w:val="en-US"/>
    </w:rPr>
  </w:style>
  <w:style w:type="paragraph" w:customStyle="1" w:styleId="1">
    <w:name w:val="惓暥暥_1"/>
    <w:basedOn w:val="NormalParagraphStyle"/>
    <w:rsid w:val="00E6642F"/>
    <w:pPr>
      <w:suppressAutoHyphens/>
      <w:ind w:firstLine="283"/>
    </w:pPr>
    <w:rPr>
      <w:rFonts w:ascii="Verdana" w:hAnsi="Verdana" w:cs="Verdana"/>
      <w:spacing w:val="-9"/>
      <w:sz w:val="18"/>
      <w:szCs w:val="18"/>
      <w:lang w:val="en-US"/>
    </w:rPr>
  </w:style>
  <w:style w:type="paragraph" w:customStyle="1" w:styleId="-1">
    <w:name w:val="嶲峫暥專-1"/>
    <w:basedOn w:val="NormalParagraphStyle"/>
    <w:rsid w:val="00E6642F"/>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2">
    <w:name w:val="参考文献正文"/>
    <w:basedOn w:val="Noparagraphstyle"/>
    <w:rsid w:val="00E6642F"/>
    <w:pPr>
      <w:tabs>
        <w:tab w:val="left" w:pos="360"/>
      </w:tabs>
      <w:suppressAutoHyphens/>
      <w:spacing w:line="200" w:lineRule="atLeast"/>
      <w:ind w:left="360" w:hanging="360"/>
    </w:pPr>
    <w:rPr>
      <w:rFonts w:ascii="Book Antiqua" w:hAnsi="Book Antiqua" w:cs="Book Antiqua"/>
      <w:sz w:val="16"/>
      <w:szCs w:val="16"/>
      <w:lang w:val="en-US"/>
    </w:rPr>
  </w:style>
  <w:style w:type="character" w:customStyle="1" w:styleId="Hyperlink0">
    <w:name w:val="Hyperlink.0"/>
    <w:rsid w:val="00E6642F"/>
    <w:rPr>
      <w:rFonts w:ascii="Book Antiqua" w:hAnsi="Book Antiqua" w:cs="Book Antiqua"/>
      <w:w w:val="100"/>
      <w:sz w:val="24"/>
      <w:szCs w:val="24"/>
    </w:rPr>
  </w:style>
  <w:style w:type="paragraph" w:customStyle="1" w:styleId="8BF4">
    <w:name w:val="徠曅&lt;8BF4&gt;柧"/>
    <w:basedOn w:val="NormalParagraphStyle"/>
    <w:rsid w:val="00E6642F"/>
    <w:pPr>
      <w:suppressAutoHyphens/>
      <w:spacing w:line="200" w:lineRule="atLeast"/>
    </w:pPr>
    <w:rPr>
      <w:rFonts w:ascii="Arial Narrow" w:hAnsi="Arial Narrow" w:cs="Arial Narrow"/>
      <w:sz w:val="16"/>
      <w:szCs w:val="16"/>
      <w:lang w:val="en-US"/>
    </w:rPr>
  </w:style>
  <w:style w:type="paragraph" w:customStyle="1" w:styleId="af3">
    <w:name w:val="表头"/>
    <w:basedOn w:val="NormalParagraphStyle"/>
    <w:rsid w:val="00E6642F"/>
    <w:rPr>
      <w:rFonts w:ascii="Albertus" w:hAnsi="Albertus" w:cs="Albertus"/>
      <w:b/>
      <w:bCs/>
      <w:sz w:val="14"/>
      <w:szCs w:val="14"/>
    </w:rPr>
  </w:style>
  <w:style w:type="paragraph" w:customStyle="1" w:styleId="af4">
    <w:name w:val="表格中文字"/>
    <w:basedOn w:val="a"/>
    <w:rsid w:val="00E6642F"/>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5">
    <w:name w:val="表注"/>
    <w:basedOn w:val="af4"/>
    <w:rsid w:val="00E6642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13193</Words>
  <Characters>75202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4</cp:revision>
  <dcterms:created xsi:type="dcterms:W3CDTF">2016-01-15T04:02:00Z</dcterms:created>
  <dcterms:modified xsi:type="dcterms:W3CDTF">2017-02-17T07:21:00Z</dcterms:modified>
</cp:coreProperties>
</file>