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6E2C" w:rsidRPr="00566E2C" w:rsidRDefault="00566E2C" w:rsidP="001D6E50">
      <w:pPr>
        <w:adjustRightInd w:val="0"/>
        <w:snapToGrid w:val="0"/>
        <w:spacing w:line="360" w:lineRule="auto"/>
        <w:rPr>
          <w:rFonts w:ascii="Book Antiqua" w:eastAsia="Times New Roman" w:hAnsi="Book Antiqua" w:cs="SimSun"/>
          <w:b/>
          <w:i/>
          <w:color w:val="000000"/>
          <w:sz w:val="24"/>
          <w:szCs w:val="24"/>
        </w:rPr>
      </w:pPr>
      <w:bookmarkStart w:id="0" w:name="OLE_LINK545"/>
      <w:bookmarkStart w:id="1" w:name="OLE_LINK546"/>
      <w:bookmarkStart w:id="2" w:name="OLE_LINK592"/>
      <w:r w:rsidRPr="00566E2C">
        <w:rPr>
          <w:rFonts w:ascii="Book Antiqua" w:eastAsia="Times New Roman" w:hAnsi="Book Antiqua" w:cs="SimSun"/>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566E2C">
        <w:rPr>
          <w:rFonts w:ascii="Book Antiqua" w:eastAsia="Times New Roman" w:hAnsi="Book Antiqua" w:cs="SimSun"/>
          <w:b/>
          <w:i/>
          <w:color w:val="000000"/>
          <w:sz w:val="24"/>
          <w:szCs w:val="24"/>
        </w:rPr>
        <w:t xml:space="preserve">World Journal of </w:t>
      </w:r>
      <w:bookmarkStart w:id="8" w:name="OLE_LINK1222"/>
      <w:bookmarkStart w:id="9" w:name="OLE_LINK1223"/>
      <w:r w:rsidRPr="00566E2C">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p>
    <w:p w:rsidR="00566E2C" w:rsidRPr="00566E2C" w:rsidRDefault="00566E2C" w:rsidP="001D6E50">
      <w:pPr>
        <w:adjustRightInd w:val="0"/>
        <w:snapToGrid w:val="0"/>
        <w:spacing w:line="360" w:lineRule="auto"/>
        <w:rPr>
          <w:rFonts w:ascii="Book Antiqua" w:hAnsi="Book Antiqua" w:cs="Arial"/>
          <w:color w:val="000000"/>
          <w:sz w:val="24"/>
          <w:szCs w:val="24"/>
          <w:lang w:val="en"/>
        </w:rPr>
      </w:pPr>
      <w:r w:rsidRPr="00566E2C">
        <w:rPr>
          <w:rFonts w:ascii="Book Antiqua" w:hAnsi="Book Antiqua" w:cs="Arial"/>
          <w:b/>
          <w:color w:val="000000"/>
          <w:sz w:val="24"/>
          <w:szCs w:val="24"/>
          <w:lang w:val="en"/>
        </w:rPr>
        <w:t>ESPS Manuscript NO: 31686</w:t>
      </w:r>
    </w:p>
    <w:p w:rsidR="00566E2C" w:rsidRDefault="00566E2C" w:rsidP="001D6E50">
      <w:pPr>
        <w:spacing w:line="360" w:lineRule="auto"/>
        <w:rPr>
          <w:rFonts w:ascii="Book Antiqua" w:hAnsi="Book Antiqua"/>
          <w:b/>
          <w:sz w:val="24"/>
          <w:szCs w:val="24"/>
        </w:rPr>
      </w:pPr>
      <w:r w:rsidRPr="00566E2C">
        <w:rPr>
          <w:rFonts w:ascii="Book Antiqua" w:hAnsi="Book Antiqua"/>
          <w:b/>
          <w:sz w:val="24"/>
          <w:szCs w:val="24"/>
        </w:rPr>
        <w:t xml:space="preserve">Manuscript Type: </w:t>
      </w:r>
      <w:r w:rsidR="00FB2A00" w:rsidRPr="00566E2C">
        <w:rPr>
          <w:rFonts w:ascii="Book Antiqua" w:hAnsi="Book Antiqua"/>
          <w:b/>
          <w:sz w:val="24"/>
          <w:szCs w:val="24"/>
        </w:rPr>
        <w:t>ORIGINAL ARTICLE</w:t>
      </w:r>
    </w:p>
    <w:p w:rsidR="00566E2C" w:rsidRPr="001D6E50" w:rsidRDefault="001D6E50" w:rsidP="001D6E50">
      <w:pPr>
        <w:rPr>
          <w:rFonts w:ascii="Book Antiqua" w:hAnsi="Book Antiqua"/>
          <w:b/>
        </w:rPr>
      </w:pPr>
      <w:r>
        <w:rPr>
          <w:rFonts w:ascii="Book Antiqua" w:hAnsi="Book Antiqua" w:hint="eastAsia"/>
          <w:b/>
          <w:sz w:val="24"/>
          <w:szCs w:val="24"/>
        </w:rPr>
        <w:t xml:space="preserve"> </w:t>
      </w:r>
    </w:p>
    <w:p w:rsidR="00566E2C" w:rsidRPr="00566E2C" w:rsidRDefault="00566E2C" w:rsidP="001D6E50">
      <w:pPr>
        <w:spacing w:line="360" w:lineRule="auto"/>
        <w:rPr>
          <w:rFonts w:ascii="Book Antiqua" w:hAnsi="Book Antiqua"/>
          <w:b/>
          <w:sz w:val="24"/>
          <w:szCs w:val="24"/>
        </w:rPr>
      </w:pPr>
      <w:r w:rsidRPr="001D6E50">
        <w:rPr>
          <w:rFonts w:ascii="Book Antiqua" w:hAnsi="Book Antiqua"/>
          <w:b/>
          <w:i/>
          <w:sz w:val="24"/>
          <w:szCs w:val="24"/>
        </w:rPr>
        <w:t>Basic Study</w:t>
      </w:r>
    </w:p>
    <w:p w:rsidR="00D03341" w:rsidRDefault="00566E2C" w:rsidP="001D6E50">
      <w:pPr>
        <w:spacing w:line="360" w:lineRule="auto"/>
        <w:rPr>
          <w:rFonts w:ascii="Book Antiqua" w:hAnsi="Book Antiqua"/>
          <w:b/>
          <w:sz w:val="24"/>
          <w:szCs w:val="24"/>
        </w:rPr>
      </w:pPr>
      <w:bookmarkStart w:id="10" w:name="OLE_LINK8"/>
      <w:bookmarkEnd w:id="0"/>
      <w:bookmarkEnd w:id="1"/>
      <w:bookmarkEnd w:id="2"/>
      <w:r w:rsidRPr="00566E2C">
        <w:rPr>
          <w:rFonts w:ascii="Book Antiqua" w:hAnsi="Book Antiqua"/>
          <w:b/>
          <w:sz w:val="24"/>
          <w:szCs w:val="24"/>
        </w:rPr>
        <w:t xml:space="preserve">Study </w:t>
      </w:r>
      <w:r w:rsidR="00D03341" w:rsidRPr="00566E2C">
        <w:rPr>
          <w:rFonts w:ascii="Book Antiqua" w:hAnsi="Book Antiqua"/>
          <w:b/>
          <w:sz w:val="24"/>
          <w:szCs w:val="24"/>
        </w:rPr>
        <w:t>of the effects of nesfatin-1 on gastric function in obeserats</w:t>
      </w:r>
    </w:p>
    <w:bookmarkEnd w:id="10"/>
    <w:p w:rsidR="00566E2C" w:rsidRPr="00566E2C" w:rsidRDefault="00566E2C" w:rsidP="001D6E50">
      <w:pPr>
        <w:spacing w:line="360" w:lineRule="auto"/>
        <w:rPr>
          <w:rFonts w:ascii="Book Antiqua" w:hAnsi="Book Antiqua"/>
          <w:b/>
          <w:sz w:val="24"/>
          <w:szCs w:val="24"/>
        </w:rPr>
      </w:pPr>
    </w:p>
    <w:p w:rsidR="00D03341" w:rsidRPr="001D6E50" w:rsidRDefault="001D6E50" w:rsidP="001D6E50">
      <w:pPr>
        <w:widowControl/>
        <w:spacing w:line="360" w:lineRule="auto"/>
        <w:jc w:val="left"/>
        <w:rPr>
          <w:rFonts w:ascii="Book Antiqua" w:hAnsi="Book Antiqua" w:cs="Tahoma"/>
          <w:color w:val="231F20"/>
          <w:kern w:val="0"/>
          <w:sz w:val="24"/>
          <w:szCs w:val="24"/>
        </w:rPr>
      </w:pPr>
      <w:r w:rsidRPr="00566E2C">
        <w:rPr>
          <w:rFonts w:ascii="Book Antiqua" w:hAnsi="Book Antiqua"/>
          <w:color w:val="000000"/>
          <w:kern w:val="0"/>
          <w:sz w:val="24"/>
          <w:szCs w:val="24"/>
        </w:rPr>
        <w:t>Yang</w:t>
      </w:r>
      <w:r w:rsidRPr="001D6E50">
        <w:rPr>
          <w:rFonts w:ascii="Book Antiqua" w:hAnsi="Book Antiqua" w:cs="Tahoma"/>
          <w:color w:val="231F20"/>
          <w:kern w:val="0"/>
          <w:sz w:val="24"/>
          <w:szCs w:val="24"/>
        </w:rPr>
        <w:t xml:space="preserve"> </w:t>
      </w:r>
      <w:r w:rsidRPr="001D6E50">
        <w:rPr>
          <w:rFonts w:ascii="Book Antiqua" w:hAnsi="Book Antiqua" w:cs="Tahoma" w:hint="eastAsia"/>
          <w:color w:val="231F20"/>
          <w:kern w:val="0"/>
          <w:sz w:val="24"/>
          <w:szCs w:val="24"/>
        </w:rPr>
        <w:t xml:space="preserve">GT </w:t>
      </w:r>
      <w:r w:rsidRPr="001D6E50">
        <w:rPr>
          <w:rFonts w:ascii="Book Antiqua" w:hAnsi="Book Antiqua" w:cs="Tahoma" w:hint="eastAsia"/>
          <w:i/>
          <w:color w:val="231F20"/>
          <w:kern w:val="0"/>
          <w:sz w:val="24"/>
          <w:szCs w:val="24"/>
        </w:rPr>
        <w:t>et al.</w:t>
      </w:r>
      <w:r w:rsidRPr="001D6E50">
        <w:rPr>
          <w:rFonts w:ascii="Book Antiqua" w:hAnsi="Book Antiqua" w:cs="Tahoma" w:hint="eastAsia"/>
          <w:color w:val="231F20"/>
          <w:kern w:val="0"/>
          <w:sz w:val="24"/>
          <w:szCs w:val="24"/>
        </w:rPr>
        <w:t xml:space="preserve"> </w:t>
      </w:r>
      <w:r w:rsidR="00D03341" w:rsidRPr="001D6E50">
        <w:rPr>
          <w:rFonts w:ascii="Book Antiqua" w:hAnsi="Book Antiqua" w:cs="Tahoma"/>
          <w:color w:val="231F20"/>
          <w:kern w:val="0"/>
          <w:sz w:val="24"/>
          <w:szCs w:val="24"/>
        </w:rPr>
        <w:t>The gastric function affected by nesfatin-1</w:t>
      </w:r>
    </w:p>
    <w:p w:rsidR="00D03341" w:rsidRPr="00566E2C" w:rsidRDefault="00D03341" w:rsidP="001D6E50">
      <w:pPr>
        <w:spacing w:line="360" w:lineRule="auto"/>
        <w:rPr>
          <w:rFonts w:ascii="Book Antiqua" w:hAnsi="Book Antiqua"/>
          <w:b/>
          <w:sz w:val="24"/>
          <w:szCs w:val="24"/>
        </w:rPr>
      </w:pPr>
    </w:p>
    <w:p w:rsidR="00D03341" w:rsidRDefault="00D03341" w:rsidP="001D6E50">
      <w:pPr>
        <w:widowControl/>
        <w:shd w:val="clear" w:color="auto" w:fill="FFFFFF"/>
        <w:spacing w:line="360" w:lineRule="auto"/>
        <w:rPr>
          <w:rFonts w:ascii="Book Antiqua" w:hAnsi="Book Antiqua"/>
          <w:color w:val="000000"/>
          <w:kern w:val="0"/>
          <w:sz w:val="24"/>
          <w:szCs w:val="24"/>
        </w:rPr>
      </w:pPr>
      <w:r w:rsidRPr="00566E2C">
        <w:rPr>
          <w:rFonts w:ascii="Book Antiqua" w:hAnsi="Book Antiqua"/>
          <w:color w:val="000000"/>
          <w:kern w:val="0"/>
          <w:sz w:val="24"/>
          <w:szCs w:val="24"/>
        </w:rPr>
        <w:t>Guo-Tao Y</w:t>
      </w:r>
      <w:r w:rsidR="00566E2C" w:rsidRPr="00566E2C">
        <w:rPr>
          <w:rFonts w:ascii="Book Antiqua" w:hAnsi="Book Antiqua"/>
          <w:color w:val="000000"/>
          <w:kern w:val="0"/>
          <w:sz w:val="24"/>
          <w:szCs w:val="24"/>
        </w:rPr>
        <w:t>ang</w:t>
      </w:r>
      <w:r w:rsidRPr="00566E2C">
        <w:rPr>
          <w:rFonts w:ascii="Book Antiqua" w:hAnsi="Book Antiqua"/>
          <w:color w:val="000000"/>
          <w:kern w:val="0"/>
          <w:sz w:val="24"/>
          <w:szCs w:val="24"/>
        </w:rPr>
        <w:t>, Hong-Ying Z</w:t>
      </w:r>
      <w:r w:rsidR="00566E2C" w:rsidRPr="00566E2C">
        <w:rPr>
          <w:rFonts w:ascii="Book Antiqua" w:hAnsi="Book Antiqua"/>
          <w:color w:val="000000"/>
          <w:kern w:val="0"/>
          <w:sz w:val="24"/>
          <w:szCs w:val="24"/>
        </w:rPr>
        <w:t>hao</w:t>
      </w:r>
      <w:r w:rsidRPr="00566E2C">
        <w:rPr>
          <w:rFonts w:ascii="Book Antiqua" w:hAnsi="Book Antiqua"/>
          <w:color w:val="000000"/>
          <w:kern w:val="0"/>
          <w:sz w:val="24"/>
          <w:szCs w:val="24"/>
        </w:rPr>
        <w:t>, Yu K</w:t>
      </w:r>
      <w:r w:rsidR="00566E2C" w:rsidRPr="00566E2C">
        <w:rPr>
          <w:rFonts w:ascii="Book Antiqua" w:hAnsi="Book Antiqua"/>
          <w:color w:val="000000"/>
          <w:kern w:val="0"/>
          <w:sz w:val="24"/>
          <w:szCs w:val="24"/>
        </w:rPr>
        <w:t>ong</w:t>
      </w:r>
      <w:r w:rsidRPr="00566E2C">
        <w:rPr>
          <w:rFonts w:ascii="Book Antiqua" w:hAnsi="Book Antiqua"/>
          <w:color w:val="000000"/>
          <w:kern w:val="0"/>
          <w:sz w:val="24"/>
          <w:szCs w:val="24"/>
        </w:rPr>
        <w:t>, Ning-Ning S</w:t>
      </w:r>
      <w:r w:rsidR="00566E2C" w:rsidRPr="00566E2C">
        <w:rPr>
          <w:rFonts w:ascii="Book Antiqua" w:hAnsi="Book Antiqua"/>
          <w:color w:val="000000"/>
          <w:kern w:val="0"/>
          <w:sz w:val="24"/>
          <w:szCs w:val="24"/>
        </w:rPr>
        <w:t>un</w:t>
      </w:r>
      <w:r w:rsidR="00566E2C">
        <w:rPr>
          <w:rFonts w:ascii="Book Antiqua" w:hAnsi="Book Antiqua"/>
          <w:color w:val="000000"/>
          <w:kern w:val="0"/>
          <w:sz w:val="24"/>
          <w:szCs w:val="24"/>
        </w:rPr>
        <w:t>, </w:t>
      </w:r>
      <w:r w:rsidRPr="00566E2C">
        <w:rPr>
          <w:rFonts w:ascii="Book Antiqua" w:hAnsi="Book Antiqua"/>
          <w:color w:val="000000"/>
          <w:kern w:val="0"/>
          <w:sz w:val="24"/>
          <w:szCs w:val="24"/>
        </w:rPr>
        <w:t>A</w:t>
      </w:r>
      <w:r w:rsidR="00FB2A00" w:rsidRPr="00566E2C">
        <w:rPr>
          <w:rFonts w:ascii="Book Antiqua" w:hAnsi="Book Antiqua"/>
          <w:color w:val="000000"/>
          <w:kern w:val="0"/>
          <w:sz w:val="24"/>
          <w:szCs w:val="24"/>
        </w:rPr>
        <w:t>i</w:t>
      </w:r>
      <w:r w:rsidRPr="00566E2C">
        <w:rPr>
          <w:rFonts w:ascii="Book Antiqua" w:hAnsi="Book Antiqua"/>
          <w:color w:val="000000"/>
          <w:kern w:val="0"/>
          <w:sz w:val="24"/>
          <w:szCs w:val="24"/>
        </w:rPr>
        <w:t>-Qin D</w:t>
      </w:r>
      <w:r w:rsidR="00566E2C" w:rsidRPr="00566E2C">
        <w:rPr>
          <w:rFonts w:ascii="Book Antiqua" w:hAnsi="Book Antiqua"/>
          <w:color w:val="000000"/>
          <w:kern w:val="0"/>
          <w:sz w:val="24"/>
          <w:szCs w:val="24"/>
        </w:rPr>
        <w:t>ong</w:t>
      </w:r>
    </w:p>
    <w:p w:rsidR="00566E2C" w:rsidRPr="00566E2C" w:rsidRDefault="00566E2C" w:rsidP="001D6E50">
      <w:pPr>
        <w:widowControl/>
        <w:shd w:val="clear" w:color="auto" w:fill="FFFFFF"/>
        <w:spacing w:line="360" w:lineRule="auto"/>
        <w:rPr>
          <w:rFonts w:ascii="Book Antiqua" w:hAnsi="Book Antiqua"/>
          <w:color w:val="000000"/>
          <w:kern w:val="0"/>
          <w:sz w:val="24"/>
          <w:szCs w:val="24"/>
        </w:rPr>
      </w:pPr>
    </w:p>
    <w:p w:rsidR="00D03341" w:rsidRDefault="00D03341" w:rsidP="001D6E50">
      <w:pPr>
        <w:widowControl/>
        <w:shd w:val="clear" w:color="auto" w:fill="FFFFFF"/>
        <w:spacing w:line="360" w:lineRule="auto"/>
        <w:rPr>
          <w:rFonts w:ascii="Book Antiqua" w:hAnsi="Book Antiqua"/>
          <w:color w:val="000000"/>
          <w:kern w:val="0"/>
          <w:sz w:val="24"/>
          <w:szCs w:val="24"/>
        </w:rPr>
      </w:pPr>
      <w:r w:rsidRPr="00566E2C">
        <w:rPr>
          <w:rFonts w:ascii="Book Antiqua" w:hAnsi="Book Antiqua"/>
          <w:b/>
          <w:color w:val="000000"/>
          <w:kern w:val="0"/>
          <w:sz w:val="24"/>
          <w:szCs w:val="24"/>
        </w:rPr>
        <w:t>Guo-Tao Y</w:t>
      </w:r>
      <w:r w:rsidR="00566E2C" w:rsidRPr="00566E2C">
        <w:rPr>
          <w:rFonts w:ascii="Book Antiqua" w:hAnsi="Book Antiqua"/>
          <w:b/>
          <w:color w:val="000000"/>
          <w:kern w:val="0"/>
          <w:sz w:val="24"/>
          <w:szCs w:val="24"/>
        </w:rPr>
        <w:t>ang</w:t>
      </w:r>
      <w:r w:rsidR="001D6E50">
        <w:rPr>
          <w:rFonts w:ascii="Book Antiqua" w:hAnsi="Book Antiqua" w:hint="eastAsia"/>
          <w:b/>
          <w:color w:val="000000"/>
          <w:kern w:val="0"/>
          <w:sz w:val="24"/>
          <w:szCs w:val="24"/>
        </w:rPr>
        <w:t xml:space="preserve">, </w:t>
      </w:r>
      <w:r w:rsidRPr="00566E2C">
        <w:rPr>
          <w:rFonts w:ascii="Book Antiqua" w:hAnsi="Book Antiqua"/>
          <w:b/>
          <w:color w:val="000000"/>
          <w:kern w:val="0"/>
          <w:sz w:val="24"/>
          <w:szCs w:val="24"/>
        </w:rPr>
        <w:t>A</w:t>
      </w:r>
      <w:r w:rsidR="00FB2A00" w:rsidRPr="00566E2C">
        <w:rPr>
          <w:rFonts w:ascii="Book Antiqua" w:hAnsi="Book Antiqua"/>
          <w:b/>
          <w:color w:val="000000"/>
          <w:kern w:val="0"/>
          <w:sz w:val="24"/>
          <w:szCs w:val="24"/>
        </w:rPr>
        <w:t>i</w:t>
      </w:r>
      <w:r w:rsidRPr="00566E2C">
        <w:rPr>
          <w:rFonts w:ascii="Book Antiqua" w:hAnsi="Book Antiqua"/>
          <w:b/>
          <w:color w:val="000000"/>
          <w:kern w:val="0"/>
          <w:sz w:val="24"/>
          <w:szCs w:val="24"/>
        </w:rPr>
        <w:t>-Qin D</w:t>
      </w:r>
      <w:r w:rsidR="00566E2C" w:rsidRPr="00566E2C">
        <w:rPr>
          <w:rFonts w:ascii="Book Antiqua" w:hAnsi="Book Antiqua"/>
          <w:b/>
          <w:color w:val="000000"/>
          <w:kern w:val="0"/>
          <w:sz w:val="24"/>
          <w:szCs w:val="24"/>
        </w:rPr>
        <w:t>ong</w:t>
      </w:r>
      <w:r w:rsidR="001D6E50">
        <w:rPr>
          <w:rFonts w:ascii="Book Antiqua" w:hAnsi="Book Antiqua"/>
          <w:b/>
          <w:color w:val="000000"/>
          <w:kern w:val="0"/>
          <w:sz w:val="24"/>
          <w:szCs w:val="24"/>
        </w:rPr>
        <w:t>,</w:t>
      </w:r>
      <w:r w:rsidR="001D6E50">
        <w:rPr>
          <w:rFonts w:ascii="Book Antiqua" w:hAnsi="Book Antiqua" w:hint="eastAsia"/>
          <w:b/>
          <w:color w:val="000000"/>
          <w:kern w:val="0"/>
          <w:sz w:val="24"/>
          <w:szCs w:val="24"/>
        </w:rPr>
        <w:t xml:space="preserve"> </w:t>
      </w:r>
      <w:r w:rsidRPr="00566E2C">
        <w:rPr>
          <w:rFonts w:ascii="Book Antiqua" w:hAnsi="Book Antiqua"/>
          <w:color w:val="000000"/>
          <w:kern w:val="0"/>
          <w:sz w:val="24"/>
          <w:szCs w:val="24"/>
        </w:rPr>
        <w:t>Department of Third Neurology, Cangzhou Central Hospital,</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 xml:space="preserve">Cangzhou </w:t>
      </w:r>
      <w:r w:rsidR="001D6E50" w:rsidRPr="00566E2C">
        <w:rPr>
          <w:rFonts w:ascii="Book Antiqua" w:hAnsi="Book Antiqua"/>
          <w:color w:val="000000"/>
          <w:kern w:val="0"/>
          <w:sz w:val="24"/>
          <w:szCs w:val="24"/>
        </w:rPr>
        <w:t>Clinical Medical Scho</w:t>
      </w:r>
      <w:r w:rsidRPr="00566E2C">
        <w:rPr>
          <w:rFonts w:ascii="Book Antiqua" w:hAnsi="Book Antiqua"/>
          <w:color w:val="000000"/>
          <w:kern w:val="0"/>
          <w:sz w:val="24"/>
          <w:szCs w:val="24"/>
        </w:rPr>
        <w:t>ol of Hebei Medical University,</w:t>
      </w:r>
      <w:r w:rsidR="001D6E50" w:rsidRPr="001D6E50">
        <w:rPr>
          <w:rFonts w:ascii="Book Antiqua" w:hAnsi="Book Antiqua" w:hint="eastAsia"/>
          <w:color w:val="000000"/>
          <w:kern w:val="0"/>
          <w:sz w:val="24"/>
          <w:szCs w:val="24"/>
        </w:rPr>
        <w:t xml:space="preserve"> </w:t>
      </w:r>
      <w:r w:rsidR="001D6E50">
        <w:rPr>
          <w:rFonts w:ascii="Book Antiqua" w:hAnsi="Book Antiqua" w:hint="eastAsia"/>
          <w:color w:val="000000"/>
          <w:kern w:val="0"/>
          <w:sz w:val="24"/>
          <w:szCs w:val="24"/>
        </w:rPr>
        <w:t xml:space="preserve">Cangzhou </w:t>
      </w:r>
      <w:r w:rsidR="001D6E50" w:rsidRPr="00566E2C">
        <w:rPr>
          <w:rFonts w:ascii="Book Antiqua" w:hAnsi="Book Antiqua"/>
          <w:color w:val="000000"/>
          <w:kern w:val="0"/>
          <w:sz w:val="24"/>
          <w:szCs w:val="24"/>
        </w:rPr>
        <w:t>061001</w:t>
      </w:r>
      <w:r w:rsidR="001D6E50">
        <w:rPr>
          <w:rFonts w:ascii="Book Antiqua" w:hAnsi="Book Antiqua" w:hint="eastAsia"/>
          <w:color w:val="000000"/>
          <w:kern w:val="0"/>
          <w:sz w:val="24"/>
          <w:szCs w:val="24"/>
        </w:rPr>
        <w:t xml:space="preserve">, </w:t>
      </w:r>
      <w:r w:rsidR="001D6E50" w:rsidRPr="00566E2C">
        <w:rPr>
          <w:rFonts w:ascii="Book Antiqua" w:hAnsi="Book Antiqua"/>
          <w:color w:val="000000"/>
          <w:kern w:val="0"/>
          <w:sz w:val="24"/>
          <w:szCs w:val="24"/>
        </w:rPr>
        <w:t>Hebei Province,</w:t>
      </w:r>
      <w:r w:rsidR="001D6E50">
        <w:rPr>
          <w:rFonts w:ascii="Book Antiqua" w:hAnsi="Book Antiqua" w:hint="eastAsia"/>
          <w:color w:val="000000"/>
          <w:kern w:val="0"/>
          <w:sz w:val="24"/>
          <w:szCs w:val="24"/>
        </w:rPr>
        <w:t xml:space="preserve"> China</w:t>
      </w:r>
    </w:p>
    <w:p w:rsidR="00566E2C" w:rsidRPr="001D6E50" w:rsidRDefault="00566E2C" w:rsidP="001D6E50">
      <w:pPr>
        <w:widowControl/>
        <w:shd w:val="clear" w:color="auto" w:fill="FFFFFF"/>
        <w:spacing w:line="360" w:lineRule="auto"/>
        <w:rPr>
          <w:rFonts w:ascii="Book Antiqua" w:hAnsi="Book Antiqua" w:cs="SimSun"/>
          <w:color w:val="000000"/>
          <w:kern w:val="0"/>
          <w:sz w:val="24"/>
          <w:szCs w:val="24"/>
        </w:rPr>
      </w:pPr>
    </w:p>
    <w:p w:rsidR="00D03341" w:rsidRDefault="00D03341" w:rsidP="001D6E50">
      <w:pPr>
        <w:widowControl/>
        <w:shd w:val="clear" w:color="auto" w:fill="FFFFFF"/>
        <w:spacing w:line="360" w:lineRule="auto"/>
        <w:rPr>
          <w:rFonts w:ascii="Book Antiqua" w:hAnsi="Book Antiqua"/>
          <w:color w:val="000000"/>
          <w:kern w:val="0"/>
          <w:sz w:val="24"/>
          <w:szCs w:val="24"/>
        </w:rPr>
      </w:pPr>
      <w:r w:rsidRPr="00566E2C">
        <w:rPr>
          <w:rFonts w:ascii="Book Antiqua" w:hAnsi="Book Antiqua"/>
          <w:b/>
          <w:color w:val="000000"/>
          <w:kern w:val="0"/>
          <w:sz w:val="24"/>
          <w:szCs w:val="24"/>
        </w:rPr>
        <w:t>Hong-Ying Z</w:t>
      </w:r>
      <w:r w:rsidR="00566E2C" w:rsidRPr="00566E2C">
        <w:rPr>
          <w:rFonts w:ascii="Book Antiqua" w:hAnsi="Book Antiqua"/>
          <w:b/>
          <w:color w:val="000000"/>
          <w:kern w:val="0"/>
          <w:sz w:val="24"/>
          <w:szCs w:val="24"/>
        </w:rPr>
        <w:t>hao</w:t>
      </w:r>
      <w:r w:rsidRPr="00566E2C">
        <w:rPr>
          <w:rFonts w:ascii="Book Antiqua" w:hAnsi="Book Antiqua"/>
          <w:b/>
          <w:color w:val="000000"/>
          <w:kern w:val="0"/>
          <w:sz w:val="24"/>
          <w:szCs w:val="24"/>
        </w:rPr>
        <w:t>,</w:t>
      </w:r>
      <w:r w:rsidRPr="00566E2C">
        <w:rPr>
          <w:rFonts w:ascii="Book Antiqua" w:hAnsi="Book Antiqua"/>
          <w:color w:val="000000"/>
          <w:kern w:val="0"/>
          <w:sz w:val="24"/>
          <w:szCs w:val="24"/>
        </w:rPr>
        <w:t xml:space="preserve"> Department of Elderly Internal </w:t>
      </w:r>
      <w:r w:rsidR="001D6E50" w:rsidRPr="00566E2C">
        <w:rPr>
          <w:rFonts w:ascii="Book Antiqua" w:hAnsi="Book Antiqua"/>
          <w:color w:val="000000"/>
          <w:kern w:val="0"/>
          <w:sz w:val="24"/>
          <w:szCs w:val="24"/>
        </w:rPr>
        <w:t>Medicine</w:t>
      </w:r>
      <w:r w:rsidRPr="00566E2C">
        <w:rPr>
          <w:rFonts w:ascii="Book Antiqua" w:hAnsi="Book Antiqua"/>
          <w:color w:val="000000"/>
          <w:kern w:val="0"/>
          <w:sz w:val="24"/>
          <w:szCs w:val="24"/>
        </w:rPr>
        <w:t xml:space="preserve">, Cangzhou Central Hospital, Cangzhou </w:t>
      </w:r>
      <w:r w:rsidR="001D6E50" w:rsidRPr="00566E2C">
        <w:rPr>
          <w:rFonts w:ascii="Book Antiqua" w:hAnsi="Book Antiqua"/>
          <w:color w:val="000000"/>
          <w:kern w:val="0"/>
          <w:sz w:val="24"/>
          <w:szCs w:val="24"/>
        </w:rPr>
        <w:t xml:space="preserve">Clinical Medical School </w:t>
      </w:r>
      <w:r w:rsidRPr="00566E2C">
        <w:rPr>
          <w:rFonts w:ascii="Book Antiqua" w:hAnsi="Book Antiqua"/>
          <w:color w:val="000000"/>
          <w:kern w:val="0"/>
          <w:sz w:val="24"/>
          <w:szCs w:val="24"/>
        </w:rPr>
        <w:t xml:space="preserve">of Hebei Medical University, </w:t>
      </w:r>
      <w:r w:rsidR="001D6E50">
        <w:rPr>
          <w:rFonts w:ascii="Book Antiqua" w:hAnsi="Book Antiqua" w:hint="eastAsia"/>
          <w:color w:val="000000"/>
          <w:kern w:val="0"/>
          <w:sz w:val="24"/>
          <w:szCs w:val="24"/>
        </w:rPr>
        <w:t xml:space="preserve">Cangzhou </w:t>
      </w:r>
      <w:r w:rsidR="001D6E50" w:rsidRPr="00566E2C">
        <w:rPr>
          <w:rFonts w:ascii="Book Antiqua" w:hAnsi="Book Antiqua"/>
          <w:color w:val="000000"/>
          <w:kern w:val="0"/>
          <w:sz w:val="24"/>
          <w:szCs w:val="24"/>
        </w:rPr>
        <w:t>061001</w:t>
      </w:r>
      <w:r w:rsidR="001D6E50">
        <w:rPr>
          <w:rFonts w:ascii="Book Antiqua" w:hAnsi="Book Antiqua" w:hint="eastAsia"/>
          <w:color w:val="000000"/>
          <w:kern w:val="0"/>
          <w:sz w:val="24"/>
          <w:szCs w:val="24"/>
        </w:rPr>
        <w:t xml:space="preserve">, </w:t>
      </w:r>
      <w:r w:rsidR="001D6E50" w:rsidRPr="00566E2C">
        <w:rPr>
          <w:rFonts w:ascii="Book Antiqua" w:hAnsi="Book Antiqua"/>
          <w:color w:val="000000"/>
          <w:kern w:val="0"/>
          <w:sz w:val="24"/>
          <w:szCs w:val="24"/>
        </w:rPr>
        <w:t>Hebei Province,</w:t>
      </w:r>
      <w:r w:rsidR="001D6E50">
        <w:rPr>
          <w:rFonts w:ascii="Book Antiqua" w:hAnsi="Book Antiqua" w:hint="eastAsia"/>
          <w:color w:val="000000"/>
          <w:kern w:val="0"/>
          <w:sz w:val="24"/>
          <w:szCs w:val="24"/>
        </w:rPr>
        <w:t xml:space="preserve"> China</w:t>
      </w:r>
    </w:p>
    <w:p w:rsidR="00566E2C" w:rsidRPr="00566E2C" w:rsidRDefault="00566E2C" w:rsidP="001D6E50">
      <w:pPr>
        <w:widowControl/>
        <w:shd w:val="clear" w:color="auto" w:fill="FFFFFF"/>
        <w:spacing w:line="360" w:lineRule="auto"/>
        <w:rPr>
          <w:rFonts w:ascii="Book Antiqua" w:hAnsi="Book Antiqua" w:cs="SimSun"/>
          <w:color w:val="000000"/>
          <w:kern w:val="0"/>
          <w:sz w:val="24"/>
          <w:szCs w:val="24"/>
        </w:rPr>
      </w:pPr>
    </w:p>
    <w:p w:rsidR="00D03341" w:rsidRDefault="00D03341" w:rsidP="001D6E50">
      <w:pPr>
        <w:widowControl/>
        <w:shd w:val="clear" w:color="auto" w:fill="FFFFFF"/>
        <w:spacing w:line="360" w:lineRule="auto"/>
        <w:rPr>
          <w:rFonts w:ascii="Book Antiqua" w:hAnsi="Book Antiqua"/>
          <w:color w:val="000000"/>
          <w:kern w:val="0"/>
          <w:sz w:val="24"/>
          <w:szCs w:val="24"/>
        </w:rPr>
      </w:pPr>
      <w:r w:rsidRPr="00566E2C">
        <w:rPr>
          <w:rFonts w:ascii="Book Antiqua" w:hAnsi="Book Antiqua"/>
          <w:b/>
          <w:color w:val="000000"/>
          <w:kern w:val="0"/>
          <w:sz w:val="24"/>
          <w:szCs w:val="24"/>
        </w:rPr>
        <w:t>Ning-Ning S</w:t>
      </w:r>
      <w:r w:rsidR="00566E2C" w:rsidRPr="00566E2C">
        <w:rPr>
          <w:rFonts w:ascii="Book Antiqua" w:hAnsi="Book Antiqua"/>
          <w:b/>
          <w:color w:val="000000"/>
          <w:kern w:val="0"/>
          <w:sz w:val="24"/>
          <w:szCs w:val="24"/>
        </w:rPr>
        <w:t>un</w:t>
      </w:r>
      <w:r w:rsidRPr="00566E2C">
        <w:rPr>
          <w:rFonts w:ascii="Book Antiqua" w:hAnsi="Book Antiqua"/>
          <w:b/>
          <w:color w:val="000000"/>
          <w:kern w:val="0"/>
          <w:sz w:val="24"/>
          <w:szCs w:val="24"/>
        </w:rPr>
        <w:t>,</w:t>
      </w:r>
      <w:r w:rsidRPr="00566E2C">
        <w:rPr>
          <w:rFonts w:ascii="Book Antiqua" w:hAnsi="Book Antiqua"/>
          <w:color w:val="000000"/>
          <w:kern w:val="0"/>
          <w:sz w:val="24"/>
          <w:szCs w:val="24"/>
        </w:rPr>
        <w:t xml:space="preserve"> Department of First Digestion, Cangzhou Central Hospital, Cangzhou</w:t>
      </w:r>
      <w:r w:rsidR="001D6E50" w:rsidRPr="00566E2C">
        <w:rPr>
          <w:rFonts w:ascii="Book Antiqua" w:hAnsi="Book Antiqua"/>
          <w:color w:val="000000"/>
          <w:kern w:val="0"/>
          <w:sz w:val="24"/>
          <w:szCs w:val="24"/>
        </w:rPr>
        <w:t xml:space="preserve"> Clinical Medical Sch</w:t>
      </w:r>
      <w:r w:rsidRPr="00566E2C">
        <w:rPr>
          <w:rFonts w:ascii="Book Antiqua" w:hAnsi="Book Antiqua"/>
          <w:color w:val="000000"/>
          <w:kern w:val="0"/>
          <w:sz w:val="24"/>
          <w:szCs w:val="24"/>
        </w:rPr>
        <w:t xml:space="preserve">ool of Hebei Medical University, </w:t>
      </w:r>
      <w:r w:rsidR="001D6E50">
        <w:rPr>
          <w:rFonts w:ascii="Book Antiqua" w:hAnsi="Book Antiqua" w:hint="eastAsia"/>
          <w:color w:val="000000"/>
          <w:kern w:val="0"/>
          <w:sz w:val="24"/>
          <w:szCs w:val="24"/>
        </w:rPr>
        <w:t xml:space="preserve">Cangzhou </w:t>
      </w:r>
      <w:r w:rsidR="001D6E50" w:rsidRPr="00566E2C">
        <w:rPr>
          <w:rFonts w:ascii="Book Antiqua" w:hAnsi="Book Antiqua"/>
          <w:color w:val="000000"/>
          <w:kern w:val="0"/>
          <w:sz w:val="24"/>
          <w:szCs w:val="24"/>
        </w:rPr>
        <w:t>061001</w:t>
      </w:r>
      <w:r w:rsidR="001D6E50">
        <w:rPr>
          <w:rFonts w:ascii="Book Antiqua" w:hAnsi="Book Antiqua" w:hint="eastAsia"/>
          <w:color w:val="000000"/>
          <w:kern w:val="0"/>
          <w:sz w:val="24"/>
          <w:szCs w:val="24"/>
        </w:rPr>
        <w:t xml:space="preserve">, </w:t>
      </w:r>
      <w:r w:rsidR="001D6E50" w:rsidRPr="00566E2C">
        <w:rPr>
          <w:rFonts w:ascii="Book Antiqua" w:hAnsi="Book Antiqua"/>
          <w:color w:val="000000"/>
          <w:kern w:val="0"/>
          <w:sz w:val="24"/>
          <w:szCs w:val="24"/>
        </w:rPr>
        <w:t>Hebei Province,</w:t>
      </w:r>
      <w:r w:rsidR="001D6E50">
        <w:rPr>
          <w:rFonts w:ascii="Book Antiqua" w:hAnsi="Book Antiqua" w:hint="eastAsia"/>
          <w:color w:val="000000"/>
          <w:kern w:val="0"/>
          <w:sz w:val="24"/>
          <w:szCs w:val="24"/>
        </w:rPr>
        <w:t xml:space="preserve"> China</w:t>
      </w:r>
    </w:p>
    <w:p w:rsidR="00566E2C" w:rsidRPr="00566E2C" w:rsidRDefault="00566E2C" w:rsidP="001D6E50">
      <w:pPr>
        <w:widowControl/>
        <w:shd w:val="clear" w:color="auto" w:fill="FFFFFF"/>
        <w:spacing w:line="360" w:lineRule="auto"/>
        <w:rPr>
          <w:rFonts w:ascii="Book Antiqua" w:hAnsi="Book Antiqua" w:cs="SimSun"/>
          <w:color w:val="000000"/>
          <w:kern w:val="0"/>
          <w:sz w:val="24"/>
          <w:szCs w:val="24"/>
        </w:rPr>
      </w:pPr>
    </w:p>
    <w:p w:rsidR="00D03341" w:rsidRDefault="00D03341" w:rsidP="001D6E50">
      <w:pPr>
        <w:widowControl/>
        <w:shd w:val="clear" w:color="auto" w:fill="FFFFFF"/>
        <w:spacing w:line="360" w:lineRule="auto"/>
        <w:rPr>
          <w:rFonts w:ascii="Book Antiqua" w:hAnsi="Book Antiqua"/>
          <w:color w:val="000000"/>
          <w:kern w:val="0"/>
          <w:sz w:val="24"/>
          <w:szCs w:val="24"/>
        </w:rPr>
      </w:pPr>
      <w:r w:rsidRPr="00566E2C">
        <w:rPr>
          <w:rFonts w:ascii="Book Antiqua" w:hAnsi="Book Antiqua"/>
          <w:b/>
          <w:color w:val="000000"/>
          <w:kern w:val="0"/>
          <w:sz w:val="24"/>
          <w:szCs w:val="24"/>
        </w:rPr>
        <w:t>Yu K</w:t>
      </w:r>
      <w:r w:rsidR="00566E2C" w:rsidRPr="00566E2C">
        <w:rPr>
          <w:rFonts w:ascii="Book Antiqua" w:hAnsi="Book Antiqua"/>
          <w:b/>
          <w:color w:val="000000"/>
          <w:kern w:val="0"/>
          <w:sz w:val="24"/>
          <w:szCs w:val="24"/>
        </w:rPr>
        <w:t>ong</w:t>
      </w:r>
      <w:r w:rsidRPr="00566E2C">
        <w:rPr>
          <w:rFonts w:ascii="Book Antiqua" w:hAnsi="Book Antiqua"/>
          <w:b/>
          <w:color w:val="000000"/>
          <w:kern w:val="0"/>
          <w:sz w:val="24"/>
          <w:szCs w:val="24"/>
        </w:rPr>
        <w:t>,</w:t>
      </w:r>
      <w:r w:rsidRPr="00566E2C">
        <w:rPr>
          <w:rFonts w:ascii="Book Antiqua" w:hAnsi="Book Antiqua"/>
          <w:color w:val="000000"/>
          <w:kern w:val="0"/>
          <w:sz w:val="24"/>
          <w:szCs w:val="24"/>
        </w:rPr>
        <w:t xml:space="preserve"> Department of Second Digestion, Cangzhou Central Hospital, Cangzhou </w:t>
      </w:r>
      <w:r w:rsidR="001D6E50" w:rsidRPr="00566E2C">
        <w:rPr>
          <w:rFonts w:ascii="Book Antiqua" w:hAnsi="Book Antiqua"/>
          <w:color w:val="000000"/>
          <w:kern w:val="0"/>
          <w:sz w:val="24"/>
          <w:szCs w:val="24"/>
        </w:rPr>
        <w:t>Clinical Medical Schoo</w:t>
      </w:r>
      <w:r w:rsidRPr="00566E2C">
        <w:rPr>
          <w:rFonts w:ascii="Book Antiqua" w:hAnsi="Book Antiqua"/>
          <w:color w:val="000000"/>
          <w:kern w:val="0"/>
          <w:sz w:val="24"/>
          <w:szCs w:val="24"/>
        </w:rPr>
        <w:t xml:space="preserve">l of Hebei Medical University, </w:t>
      </w:r>
      <w:r w:rsidR="001D6E50">
        <w:rPr>
          <w:rFonts w:ascii="Book Antiqua" w:hAnsi="Book Antiqua" w:hint="eastAsia"/>
          <w:color w:val="000000"/>
          <w:kern w:val="0"/>
          <w:sz w:val="24"/>
          <w:szCs w:val="24"/>
        </w:rPr>
        <w:t xml:space="preserve">Cangzhou </w:t>
      </w:r>
      <w:r w:rsidR="001D6E50" w:rsidRPr="00566E2C">
        <w:rPr>
          <w:rFonts w:ascii="Book Antiqua" w:hAnsi="Book Antiqua"/>
          <w:color w:val="000000"/>
          <w:kern w:val="0"/>
          <w:sz w:val="24"/>
          <w:szCs w:val="24"/>
        </w:rPr>
        <w:t>061001</w:t>
      </w:r>
      <w:r w:rsidR="001D6E50">
        <w:rPr>
          <w:rFonts w:ascii="Book Antiqua" w:hAnsi="Book Antiqua" w:hint="eastAsia"/>
          <w:color w:val="000000"/>
          <w:kern w:val="0"/>
          <w:sz w:val="24"/>
          <w:szCs w:val="24"/>
        </w:rPr>
        <w:t xml:space="preserve">, </w:t>
      </w:r>
      <w:r w:rsidR="001D6E50" w:rsidRPr="00566E2C">
        <w:rPr>
          <w:rFonts w:ascii="Book Antiqua" w:hAnsi="Book Antiqua"/>
          <w:color w:val="000000"/>
          <w:kern w:val="0"/>
          <w:sz w:val="24"/>
          <w:szCs w:val="24"/>
        </w:rPr>
        <w:t>Hebei Province,</w:t>
      </w:r>
      <w:r w:rsidR="001D6E50">
        <w:rPr>
          <w:rFonts w:ascii="Book Antiqua" w:hAnsi="Book Antiqua" w:hint="eastAsia"/>
          <w:color w:val="000000"/>
          <w:kern w:val="0"/>
          <w:sz w:val="24"/>
          <w:szCs w:val="24"/>
        </w:rPr>
        <w:t xml:space="preserve"> China</w:t>
      </w:r>
    </w:p>
    <w:p w:rsidR="001D6E50" w:rsidRPr="00566E2C" w:rsidRDefault="001D6E50" w:rsidP="001D6E50">
      <w:pPr>
        <w:widowControl/>
        <w:shd w:val="clear" w:color="auto" w:fill="FFFFFF"/>
        <w:spacing w:line="360" w:lineRule="auto"/>
        <w:rPr>
          <w:rFonts w:ascii="Book Antiqua" w:hAnsi="Book Antiqua"/>
          <w:color w:val="000000"/>
          <w:kern w:val="0"/>
          <w:sz w:val="24"/>
          <w:szCs w:val="24"/>
        </w:rPr>
      </w:pPr>
    </w:p>
    <w:p w:rsidR="00566E2C" w:rsidRDefault="00566E2C" w:rsidP="001D6E50">
      <w:pPr>
        <w:spacing w:line="360" w:lineRule="auto"/>
        <w:rPr>
          <w:rFonts w:ascii="Book Antiqua" w:hAnsi="Book Antiqua"/>
          <w:color w:val="000000"/>
          <w:kern w:val="0"/>
          <w:sz w:val="24"/>
          <w:szCs w:val="24"/>
        </w:rPr>
      </w:pPr>
      <w:bookmarkStart w:id="11" w:name="OLE_LINK330"/>
      <w:bookmarkStart w:id="12" w:name="OLE_LINK331"/>
      <w:bookmarkStart w:id="13" w:name="OLE_LINK155"/>
      <w:bookmarkStart w:id="14" w:name="OLE_LINK183"/>
      <w:bookmarkStart w:id="15" w:name="OLE_LINK441"/>
      <w:r w:rsidRPr="00712F63">
        <w:rPr>
          <w:rFonts w:ascii="Book Antiqua" w:hAnsi="Book Antiqua"/>
          <w:b/>
          <w:sz w:val="24"/>
        </w:rPr>
        <w:t>Supported by</w:t>
      </w:r>
      <w:bookmarkEnd w:id="11"/>
      <w:bookmarkEnd w:id="12"/>
      <w:r w:rsidRPr="00566E2C">
        <w:rPr>
          <w:rFonts w:ascii="Book Antiqua" w:hAnsi="Book Antiqua"/>
          <w:color w:val="000000"/>
          <w:kern w:val="0"/>
          <w:sz w:val="24"/>
          <w:szCs w:val="24"/>
        </w:rPr>
        <w:t xml:space="preserve"> Cangzhou </w:t>
      </w:r>
      <w:r w:rsidR="00FB2A00" w:rsidRPr="00566E2C">
        <w:rPr>
          <w:rFonts w:ascii="Book Antiqua" w:hAnsi="Book Antiqua"/>
          <w:color w:val="000000"/>
          <w:kern w:val="0"/>
          <w:sz w:val="24"/>
          <w:szCs w:val="24"/>
        </w:rPr>
        <w:t xml:space="preserve">City Science </w:t>
      </w:r>
      <w:r w:rsidRPr="00566E2C">
        <w:rPr>
          <w:rFonts w:ascii="Book Antiqua" w:hAnsi="Book Antiqua"/>
          <w:color w:val="000000"/>
          <w:kern w:val="0"/>
          <w:sz w:val="24"/>
          <w:szCs w:val="24"/>
        </w:rPr>
        <w:t>and</w:t>
      </w:r>
      <w:r w:rsidR="00FB2A00" w:rsidRPr="00566E2C">
        <w:rPr>
          <w:rFonts w:ascii="Book Antiqua" w:hAnsi="Book Antiqua"/>
          <w:color w:val="000000"/>
          <w:kern w:val="0"/>
          <w:sz w:val="24"/>
          <w:szCs w:val="24"/>
        </w:rPr>
        <w:t xml:space="preserve"> Technology Plan Project</w:t>
      </w:r>
      <w:r w:rsidRPr="00566E2C">
        <w:rPr>
          <w:rFonts w:ascii="Book Antiqua" w:hAnsi="Book Antiqua"/>
          <w:color w:val="000000"/>
          <w:kern w:val="0"/>
          <w:sz w:val="24"/>
          <w:szCs w:val="24"/>
        </w:rPr>
        <w:t>s</w:t>
      </w:r>
      <w:r w:rsidR="001D6E50">
        <w:rPr>
          <w:rFonts w:ascii="Book Antiqua" w:hAnsi="Book Antiqua" w:hint="eastAsia"/>
          <w:color w:val="000000"/>
          <w:kern w:val="0"/>
          <w:sz w:val="24"/>
          <w:szCs w:val="24"/>
        </w:rPr>
        <w:t>, No.</w:t>
      </w:r>
      <w:r w:rsidR="00F54EC9">
        <w:rPr>
          <w:rFonts w:ascii="Book Antiqua" w:hAnsi="Book Antiqua" w:hint="eastAsia"/>
          <w:color w:val="000000"/>
          <w:kern w:val="0"/>
          <w:sz w:val="24"/>
          <w:szCs w:val="24"/>
        </w:rPr>
        <w:t xml:space="preserve"> </w:t>
      </w:r>
      <w:r w:rsidR="001D6E50">
        <w:rPr>
          <w:rFonts w:ascii="Book Antiqua" w:hAnsi="Book Antiqua"/>
          <w:color w:val="000000"/>
          <w:kern w:val="0"/>
          <w:sz w:val="24"/>
          <w:szCs w:val="24"/>
        </w:rPr>
        <w:t>151302138</w:t>
      </w:r>
      <w:r w:rsidR="001D6E50">
        <w:rPr>
          <w:rFonts w:ascii="Book Antiqua" w:hAnsi="Book Antiqua" w:hint="eastAsia"/>
          <w:color w:val="000000"/>
          <w:kern w:val="0"/>
          <w:sz w:val="24"/>
          <w:szCs w:val="24"/>
        </w:rPr>
        <w:t>.</w:t>
      </w:r>
    </w:p>
    <w:p w:rsidR="001D6E50" w:rsidRPr="001D6E50" w:rsidRDefault="001D6E50" w:rsidP="001D6E50">
      <w:pPr>
        <w:spacing w:line="360" w:lineRule="auto"/>
        <w:rPr>
          <w:rFonts w:ascii="Book Antiqua" w:hAnsi="Book Antiqua"/>
          <w:b/>
          <w:sz w:val="24"/>
        </w:rPr>
      </w:pPr>
    </w:p>
    <w:p w:rsidR="00566E2C" w:rsidRPr="00484F59" w:rsidRDefault="00566E2C" w:rsidP="001D6E50">
      <w:pPr>
        <w:autoSpaceDE w:val="0"/>
        <w:autoSpaceDN w:val="0"/>
        <w:adjustRightInd w:val="0"/>
        <w:spacing w:line="360" w:lineRule="auto"/>
        <w:rPr>
          <w:rFonts w:ascii="Book Antiqua" w:hAnsi="Book Antiqua"/>
          <w:b/>
          <w:bCs/>
          <w:iCs/>
          <w:color w:val="000000"/>
          <w:kern w:val="0"/>
          <w:sz w:val="24"/>
        </w:rPr>
      </w:pPr>
      <w:bookmarkStart w:id="16" w:name="OLE_LINK4"/>
      <w:bookmarkStart w:id="17" w:name="OLE_LINK5"/>
      <w:bookmarkStart w:id="18" w:name="OLE_LINK379"/>
      <w:bookmarkStart w:id="19" w:name="OLE_LINK380"/>
      <w:bookmarkStart w:id="20" w:name="OLE_LINK534"/>
      <w:bookmarkStart w:id="21" w:name="OLE_LINK498"/>
      <w:bookmarkStart w:id="22" w:name="OLE_LINK499"/>
      <w:bookmarkStart w:id="23" w:name="OLE_LINK513"/>
      <w:bookmarkStart w:id="24" w:name="OLE_LINK521"/>
      <w:r>
        <w:rPr>
          <w:rFonts w:ascii="Book Antiqua" w:hAnsi="Book Antiqua" w:hint="eastAsia"/>
          <w:b/>
          <w:bCs/>
          <w:iCs/>
          <w:color w:val="000000"/>
          <w:kern w:val="0"/>
          <w:sz w:val="24"/>
        </w:rPr>
        <w:lastRenderedPageBreak/>
        <w:t>Institutional review board</w:t>
      </w:r>
      <w:r w:rsidRPr="0017781A">
        <w:rPr>
          <w:rFonts w:ascii="Book Antiqua" w:hAnsi="Book Antiqua"/>
          <w:b/>
          <w:bCs/>
          <w:iCs/>
          <w:kern w:val="0"/>
          <w:sz w:val="24"/>
        </w:rPr>
        <w:t xml:space="preserve"> </w:t>
      </w:r>
      <w:r w:rsidRPr="00753939">
        <w:rPr>
          <w:rFonts w:ascii="Book Antiqua" w:hAnsi="Book Antiqua"/>
          <w:b/>
          <w:bCs/>
          <w:iCs/>
          <w:kern w:val="0"/>
          <w:sz w:val="24"/>
        </w:rPr>
        <w:t>statement</w:t>
      </w:r>
      <w:r w:rsidRPr="00484F59">
        <w:rPr>
          <w:rFonts w:ascii="Book Antiqua" w:hAnsi="Book Antiqua" w:hint="eastAsia"/>
          <w:b/>
          <w:bCs/>
          <w:iCs/>
          <w:color w:val="000000"/>
          <w:kern w:val="0"/>
          <w:sz w:val="24"/>
        </w:rPr>
        <w:t>:</w:t>
      </w:r>
      <w:r w:rsidR="001D6E50" w:rsidRPr="001D6E50">
        <w:rPr>
          <w:rFonts w:ascii="Book Antiqua" w:hAnsi="Book Antiqua" w:hint="eastAsia"/>
          <w:bCs/>
          <w:iCs/>
          <w:color w:val="000000"/>
          <w:kern w:val="0"/>
          <w:sz w:val="24"/>
        </w:rPr>
        <w:t xml:space="preserve"> </w:t>
      </w:r>
      <w:r w:rsidR="001D6E50" w:rsidRPr="001D6E50">
        <w:rPr>
          <w:rFonts w:ascii="Book Antiqua" w:hAnsi="Book Antiqua"/>
          <w:bCs/>
          <w:iCs/>
          <w:color w:val="000000"/>
          <w:kern w:val="0"/>
          <w:sz w:val="24"/>
        </w:rPr>
        <w:t xml:space="preserve">This </w:t>
      </w:r>
      <w:r w:rsidR="001D6E50" w:rsidRPr="001D6E50">
        <w:rPr>
          <w:rFonts w:ascii="Book Antiqua" w:hAnsi="Book Antiqua" w:hint="eastAsia"/>
          <w:bCs/>
          <w:iCs/>
          <w:color w:val="000000"/>
          <w:kern w:val="0"/>
          <w:sz w:val="24"/>
        </w:rPr>
        <w:t xml:space="preserve">study was reviewed and approved by the </w:t>
      </w:r>
      <w:r w:rsidR="001D6E50" w:rsidRPr="001D6E50">
        <w:rPr>
          <w:rFonts w:ascii="Book Antiqua" w:hAnsi="Book Antiqua"/>
          <w:color w:val="000000"/>
          <w:kern w:val="0"/>
          <w:sz w:val="24"/>
          <w:szCs w:val="24"/>
        </w:rPr>
        <w:t>Cangzhou Clinical Medical School of Hebei Medical University</w:t>
      </w:r>
      <w:r w:rsidR="001D6E50" w:rsidRPr="001D6E50">
        <w:rPr>
          <w:rFonts w:ascii="Book Antiqua" w:hAnsi="Book Antiqua" w:hint="eastAsia"/>
          <w:color w:val="000000"/>
          <w:kern w:val="0"/>
          <w:sz w:val="24"/>
          <w:szCs w:val="24"/>
        </w:rPr>
        <w:t xml:space="preserve"> </w:t>
      </w:r>
      <w:r w:rsidR="001D6E50" w:rsidRPr="001D6E50">
        <w:rPr>
          <w:rFonts w:ascii="Book Antiqua" w:hAnsi="Book Antiqua" w:hint="eastAsia"/>
          <w:bCs/>
          <w:iCs/>
          <w:color w:val="000000"/>
          <w:kern w:val="0"/>
          <w:sz w:val="24"/>
        </w:rPr>
        <w:t>Institutional review board</w:t>
      </w:r>
      <w:r w:rsidR="001D6E50" w:rsidRPr="001D6E50">
        <w:rPr>
          <w:rFonts w:ascii="Book Antiqua" w:hAnsi="Book Antiqua"/>
          <w:bCs/>
          <w:iCs/>
          <w:kern w:val="0"/>
          <w:sz w:val="24"/>
        </w:rPr>
        <w:t xml:space="preserve"> statement</w:t>
      </w:r>
      <w:r w:rsidR="001D6E50" w:rsidRPr="001D6E50">
        <w:rPr>
          <w:rFonts w:ascii="Book Antiqua" w:hAnsi="Book Antiqua" w:hint="eastAsia"/>
          <w:bCs/>
          <w:iCs/>
          <w:kern w:val="0"/>
          <w:sz w:val="24"/>
        </w:rPr>
        <w:t>.</w:t>
      </w:r>
    </w:p>
    <w:bookmarkEnd w:id="16"/>
    <w:bookmarkEnd w:id="17"/>
    <w:p w:rsidR="00566E2C" w:rsidRPr="001D6E50" w:rsidRDefault="001D6E50" w:rsidP="001D6E50">
      <w:pPr>
        <w:spacing w:line="360" w:lineRule="auto"/>
        <w:rPr>
          <w:rFonts w:ascii="Book Antiqua" w:hAnsi="Book Antiqua"/>
          <w:sz w:val="24"/>
        </w:rPr>
      </w:pPr>
      <w:r>
        <w:rPr>
          <w:rFonts w:ascii="Book Antiqua" w:hAnsi="Book Antiqua" w:hint="eastAsia"/>
          <w:b/>
          <w:bCs/>
          <w:iCs/>
          <w:color w:val="000000"/>
          <w:sz w:val="24"/>
        </w:rPr>
        <w:t xml:space="preserve"> </w:t>
      </w:r>
    </w:p>
    <w:p w:rsidR="00566E2C" w:rsidRPr="00BB4403" w:rsidRDefault="00566E2C" w:rsidP="001D6E50">
      <w:pPr>
        <w:autoSpaceDE w:val="0"/>
        <w:autoSpaceDN w:val="0"/>
        <w:adjustRightInd w:val="0"/>
        <w:spacing w:line="360" w:lineRule="auto"/>
        <w:rPr>
          <w:rFonts w:ascii="Book Antiqua" w:hAnsi="Book Antiqua" w:cs="TimesNewRomanPS-BoldItalicMT"/>
          <w:b/>
          <w:bCs/>
          <w:iCs/>
          <w:color w:val="000000"/>
          <w:kern w:val="0"/>
          <w:sz w:val="24"/>
        </w:rPr>
      </w:pPr>
      <w:bookmarkStart w:id="25" w:name="OLE_LINK526"/>
      <w:bookmarkStart w:id="26" w:name="OLE_LINK527"/>
      <w:r w:rsidRPr="00BB4403">
        <w:rPr>
          <w:rFonts w:ascii="Book Antiqua" w:hAnsi="Book Antiqua" w:cs="TimesNewRomanPS-BoldItalicMT"/>
          <w:b/>
          <w:bCs/>
          <w:iCs/>
          <w:color w:val="000000"/>
          <w:kern w:val="0"/>
          <w:sz w:val="24"/>
        </w:rPr>
        <w:t>Conflict-of-interest</w:t>
      </w:r>
      <w:r w:rsidRPr="00E93877">
        <w:rPr>
          <w:rFonts w:ascii="Book Antiqua" w:hAnsi="Book Antiqua"/>
          <w:b/>
          <w:bCs/>
          <w:iCs/>
          <w:kern w:val="0"/>
          <w:sz w:val="24"/>
        </w:rPr>
        <w:t xml:space="preserve"> </w:t>
      </w:r>
      <w:r w:rsidRPr="00753939">
        <w:rPr>
          <w:rFonts w:ascii="Book Antiqua" w:hAnsi="Book Antiqua"/>
          <w:b/>
          <w:bCs/>
          <w:iCs/>
          <w:kern w:val="0"/>
          <w:sz w:val="24"/>
        </w:rPr>
        <w:t>statement</w:t>
      </w:r>
      <w:r w:rsidRPr="00BB4403">
        <w:rPr>
          <w:rFonts w:ascii="Book Antiqua" w:hAnsi="Book Antiqua" w:cs="TimesNewRomanPS-BoldItalicMT" w:hint="eastAsia"/>
          <w:b/>
          <w:bCs/>
          <w:iCs/>
          <w:color w:val="000000"/>
          <w:sz w:val="24"/>
        </w:rPr>
        <w:t>:</w:t>
      </w:r>
      <w:r w:rsidR="001D6E50" w:rsidRPr="001D6E50">
        <w:rPr>
          <w:rFonts w:ascii="Book Antiqua" w:hAnsi="Book Antiqua"/>
          <w:kern w:val="0"/>
          <w:sz w:val="24"/>
        </w:rPr>
        <w:t xml:space="preserve"> </w:t>
      </w:r>
      <w:r w:rsidR="001D6E50" w:rsidRPr="00620464">
        <w:rPr>
          <w:rFonts w:ascii="Book Antiqua" w:hAnsi="Book Antiqua"/>
          <w:kern w:val="0"/>
          <w:sz w:val="24"/>
        </w:rPr>
        <w:t>No potential conflicts of interest relevant to this article were reported.</w:t>
      </w:r>
    </w:p>
    <w:bookmarkEnd w:id="18"/>
    <w:bookmarkEnd w:id="19"/>
    <w:bookmarkEnd w:id="20"/>
    <w:bookmarkEnd w:id="25"/>
    <w:bookmarkEnd w:id="26"/>
    <w:p w:rsidR="00566E2C" w:rsidRPr="001D6E50" w:rsidRDefault="00566E2C" w:rsidP="001D6E50">
      <w:pPr>
        <w:autoSpaceDE w:val="0"/>
        <w:autoSpaceDN w:val="0"/>
        <w:adjustRightInd w:val="0"/>
        <w:spacing w:line="360" w:lineRule="auto"/>
        <w:rPr>
          <w:rFonts w:ascii="Book Antiqua" w:hAnsi="Book Antiqua" w:cs="TimesNewRomanPS-BoldItalicMT"/>
          <w:b/>
          <w:bCs/>
          <w:iCs/>
          <w:kern w:val="0"/>
          <w:sz w:val="24"/>
        </w:rPr>
      </w:pPr>
      <w:r>
        <w:rPr>
          <w:rFonts w:ascii="Book Antiqua" w:hAnsi="Book Antiqua" w:cs="TimesNewRomanPS-BoldItalicMT" w:hint="eastAsia"/>
          <w:b/>
          <w:bCs/>
          <w:iCs/>
          <w:kern w:val="0"/>
          <w:sz w:val="24"/>
        </w:rPr>
        <w:t xml:space="preserve"> </w:t>
      </w:r>
    </w:p>
    <w:p w:rsidR="001D6E50" w:rsidRPr="00BA640E" w:rsidRDefault="00566E2C" w:rsidP="001D6E50">
      <w:pPr>
        <w:autoSpaceDE w:val="0"/>
        <w:autoSpaceDN w:val="0"/>
        <w:adjustRightInd w:val="0"/>
        <w:spacing w:line="360" w:lineRule="auto"/>
        <w:rPr>
          <w:rFonts w:ascii="Book Antiqua" w:hAnsi="Book Antiqua"/>
          <w:b/>
          <w:bCs/>
          <w:iCs/>
          <w:kern w:val="0"/>
          <w:sz w:val="24"/>
        </w:rPr>
      </w:pPr>
      <w:r w:rsidRPr="00BB4403">
        <w:rPr>
          <w:rFonts w:ascii="Book Antiqua" w:hAnsi="Book Antiqua" w:cs="TimesNewRomanPS-BoldItalicMT"/>
          <w:b/>
          <w:bCs/>
          <w:iCs/>
          <w:color w:val="000000"/>
          <w:kern w:val="0"/>
          <w:sz w:val="24"/>
        </w:rPr>
        <w:t>Data sharing</w:t>
      </w:r>
      <w:r w:rsidRPr="00E93877">
        <w:rPr>
          <w:rFonts w:ascii="Book Antiqua" w:hAnsi="Book Antiqua"/>
          <w:b/>
          <w:bCs/>
          <w:iCs/>
          <w:kern w:val="0"/>
          <w:sz w:val="24"/>
        </w:rPr>
        <w:t xml:space="preserve"> </w:t>
      </w:r>
      <w:r w:rsidRPr="00753939">
        <w:rPr>
          <w:rFonts w:ascii="Book Antiqua" w:hAnsi="Book Antiqua"/>
          <w:b/>
          <w:bCs/>
          <w:iCs/>
          <w:kern w:val="0"/>
          <w:sz w:val="24"/>
        </w:rPr>
        <w:t>statement</w:t>
      </w:r>
      <w:r w:rsidRPr="00BB4403">
        <w:rPr>
          <w:rFonts w:ascii="Book Antiqua" w:hAnsi="Book Antiqua" w:cs="TimesNewRomanPS-BoldItalicMT" w:hint="eastAsia"/>
          <w:b/>
          <w:bCs/>
          <w:iCs/>
          <w:color w:val="000000"/>
          <w:sz w:val="24"/>
        </w:rPr>
        <w:t>:</w:t>
      </w:r>
      <w:r w:rsidR="001D6E50" w:rsidRPr="001D6E50">
        <w:rPr>
          <w:rFonts w:ascii="Book Antiqua" w:hAnsi="Book Antiqua"/>
          <w:color w:val="000000"/>
          <w:sz w:val="24"/>
        </w:rPr>
        <w:t xml:space="preserve"> </w:t>
      </w:r>
      <w:r w:rsidR="001D6E50" w:rsidRPr="00BA640E">
        <w:rPr>
          <w:rFonts w:ascii="Book Antiqua" w:hAnsi="Book Antiqua"/>
          <w:color w:val="000000"/>
          <w:sz w:val="24"/>
        </w:rPr>
        <w:t>No additional data are available.</w:t>
      </w:r>
    </w:p>
    <w:bookmarkEnd w:id="21"/>
    <w:bookmarkEnd w:id="22"/>
    <w:bookmarkEnd w:id="23"/>
    <w:bookmarkEnd w:id="24"/>
    <w:p w:rsidR="00566E2C" w:rsidRDefault="00566E2C" w:rsidP="001D6E50">
      <w:pPr>
        <w:spacing w:line="360" w:lineRule="auto"/>
        <w:rPr>
          <w:rFonts w:ascii="Book Antiqua" w:hAnsi="Book Antiqua"/>
          <w:b/>
          <w:color w:val="000000"/>
          <w:kern w:val="0"/>
          <w:sz w:val="24"/>
        </w:rPr>
      </w:pPr>
    </w:p>
    <w:p w:rsidR="00566E2C" w:rsidRPr="00164EDB" w:rsidRDefault="00566E2C" w:rsidP="001D6E50">
      <w:pPr>
        <w:spacing w:line="360" w:lineRule="auto"/>
        <w:rPr>
          <w:rFonts w:ascii="Book Antiqua" w:hAnsi="Book Antiqua"/>
          <w:b/>
          <w:color w:val="000000"/>
          <w:kern w:val="0"/>
          <w:sz w:val="24"/>
        </w:rPr>
      </w:pPr>
      <w:r w:rsidRPr="00164EDB">
        <w:rPr>
          <w:rFonts w:ascii="Book Antiqua" w:hAnsi="Book Antiqua"/>
          <w:b/>
          <w:color w:val="000000"/>
          <w:kern w:val="0"/>
          <w:sz w:val="24"/>
        </w:rPr>
        <w:t xml:space="preserve">Open-Access: </w:t>
      </w:r>
      <w:r w:rsidRPr="00164EDB">
        <w:rPr>
          <w:rFonts w:ascii="Book Antiqua" w:hAnsi="Book Antiqua"/>
          <w:color w:val="000000"/>
          <w:kern w:val="0"/>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3"/>
    <w:bookmarkEnd w:id="14"/>
    <w:bookmarkEnd w:id="15"/>
    <w:p w:rsidR="00566E2C" w:rsidRPr="00712F63" w:rsidRDefault="00566E2C" w:rsidP="001D6E50">
      <w:pPr>
        <w:spacing w:line="360" w:lineRule="auto"/>
        <w:rPr>
          <w:rFonts w:ascii="Book Antiqua" w:hAnsi="Book Antiqua" w:cs="Arial Unicode MS"/>
          <w:color w:val="000000"/>
          <w:sz w:val="24"/>
        </w:rPr>
      </w:pPr>
    </w:p>
    <w:p w:rsidR="00566E2C" w:rsidRPr="000D1F92" w:rsidRDefault="00566E2C" w:rsidP="001D6E50">
      <w:pPr>
        <w:spacing w:line="360" w:lineRule="auto"/>
        <w:rPr>
          <w:rFonts w:ascii="Book Antiqua" w:hAnsi="Book Antiqua" w:cs="Arial Unicode MS"/>
          <w:color w:val="000000"/>
          <w:sz w:val="24"/>
        </w:rPr>
      </w:pPr>
      <w:r w:rsidRPr="000D1F92">
        <w:rPr>
          <w:rFonts w:ascii="Book Antiqua" w:hAnsi="Book Antiqua" w:cs="Arial Unicode MS"/>
          <w:b/>
          <w:color w:val="000000"/>
          <w:sz w:val="24"/>
        </w:rPr>
        <w:t>Manuscript source:</w:t>
      </w:r>
      <w:r w:rsidRPr="000D1F92">
        <w:rPr>
          <w:rFonts w:ascii="Book Antiqua" w:hAnsi="Book Antiqua" w:cs="Arial Unicode MS"/>
          <w:color w:val="000000"/>
          <w:sz w:val="24"/>
        </w:rPr>
        <w:t xml:space="preserve"> </w:t>
      </w:r>
      <w:r w:rsidR="002424F4" w:rsidRPr="002424F4">
        <w:rPr>
          <w:rFonts w:ascii="Book Antiqua" w:hAnsi="Book Antiqua" w:cs="Arial Unicode MS"/>
          <w:color w:val="000000"/>
          <w:sz w:val="24"/>
        </w:rPr>
        <w:t>Unsolicited manuscript</w:t>
      </w:r>
    </w:p>
    <w:p w:rsidR="00566E2C" w:rsidRDefault="00566E2C" w:rsidP="001D6E50">
      <w:pPr>
        <w:spacing w:line="360" w:lineRule="auto"/>
        <w:rPr>
          <w:rFonts w:ascii="Book Antiqua" w:hAnsi="Book Antiqua" w:cs="Arial Unicode MS"/>
          <w:color w:val="000000"/>
          <w:sz w:val="24"/>
        </w:rPr>
      </w:pPr>
      <w:r>
        <w:rPr>
          <w:rFonts w:ascii="Book Antiqua" w:hAnsi="Book Antiqua" w:cs="Arial Unicode MS" w:hint="eastAsia"/>
          <w:b/>
          <w:color w:val="000000"/>
          <w:sz w:val="24"/>
        </w:rPr>
        <w:t xml:space="preserve"> </w:t>
      </w:r>
    </w:p>
    <w:p w:rsidR="00D03341" w:rsidRPr="00566E2C" w:rsidRDefault="00566E2C" w:rsidP="001D6E50">
      <w:pPr>
        <w:spacing w:line="360" w:lineRule="auto"/>
        <w:rPr>
          <w:rFonts w:ascii="Book Antiqua" w:hAnsi="Book Antiqua"/>
          <w:b/>
          <w:color w:val="000000"/>
          <w:sz w:val="24"/>
        </w:rPr>
      </w:pPr>
      <w:bookmarkStart w:id="27" w:name="OLE_LINK535"/>
      <w:bookmarkStart w:id="28" w:name="OLE_LINK536"/>
      <w:r w:rsidRPr="00712F63">
        <w:rPr>
          <w:rFonts w:ascii="Book Antiqua" w:hAnsi="Book Antiqua"/>
          <w:b/>
          <w:color w:val="000000"/>
          <w:sz w:val="24"/>
        </w:rPr>
        <w:t>Correspondence to:</w:t>
      </w:r>
      <w:bookmarkEnd w:id="27"/>
      <w:bookmarkEnd w:id="28"/>
      <w:r>
        <w:rPr>
          <w:rFonts w:ascii="Book Antiqua" w:hAnsi="Book Antiqua" w:hint="eastAsia"/>
          <w:b/>
          <w:color w:val="000000"/>
          <w:sz w:val="24"/>
        </w:rPr>
        <w:t xml:space="preserve"> </w:t>
      </w:r>
      <w:r w:rsidR="00F54EC9">
        <w:rPr>
          <w:rFonts w:ascii="Book Antiqua" w:hAnsi="Book Antiqua" w:hint="eastAsia"/>
          <w:b/>
          <w:color w:val="000000"/>
          <w:sz w:val="24"/>
        </w:rPr>
        <w:t xml:space="preserve">Dr. </w:t>
      </w:r>
      <w:r w:rsidR="00D03341" w:rsidRPr="00566E2C">
        <w:rPr>
          <w:rFonts w:ascii="Book Antiqua" w:hAnsi="Book Antiqua"/>
          <w:b/>
          <w:color w:val="000000"/>
          <w:kern w:val="0"/>
          <w:sz w:val="24"/>
          <w:szCs w:val="24"/>
        </w:rPr>
        <w:t>Guo-Tao Y</w:t>
      </w:r>
      <w:r w:rsidRPr="00566E2C">
        <w:rPr>
          <w:rFonts w:ascii="Book Antiqua" w:hAnsi="Book Antiqua"/>
          <w:b/>
          <w:color w:val="000000"/>
          <w:kern w:val="0"/>
          <w:sz w:val="24"/>
          <w:szCs w:val="24"/>
        </w:rPr>
        <w:t>ang</w:t>
      </w:r>
      <w:r w:rsidR="00D03341" w:rsidRPr="00566E2C">
        <w:rPr>
          <w:rFonts w:ascii="Book Antiqua" w:hAnsi="Book Antiqua"/>
          <w:b/>
          <w:color w:val="000000"/>
          <w:kern w:val="0"/>
          <w:sz w:val="24"/>
          <w:szCs w:val="24"/>
        </w:rPr>
        <w:t>,</w:t>
      </w:r>
      <w:r>
        <w:rPr>
          <w:rFonts w:ascii="Book Antiqua" w:hAnsi="Book Antiqua" w:cs="Arial" w:hint="eastAsia"/>
          <w:b/>
          <w:bCs/>
          <w:color w:val="2B2B2B"/>
          <w:sz w:val="24"/>
          <w:szCs w:val="24"/>
          <w:shd w:val="clear" w:color="auto" w:fill="F8F8F8"/>
        </w:rPr>
        <w:t xml:space="preserve"> </w:t>
      </w:r>
      <w:r w:rsidR="00D03341" w:rsidRPr="00566E2C">
        <w:rPr>
          <w:rFonts w:ascii="Book Antiqua" w:hAnsi="Book Antiqua"/>
          <w:color w:val="000000"/>
          <w:kern w:val="0"/>
          <w:sz w:val="24"/>
          <w:szCs w:val="24"/>
        </w:rPr>
        <w:t xml:space="preserve">Department of Third Neurology, Cangzhou Central Hospital, Cangzhou </w:t>
      </w:r>
      <w:r w:rsidR="00411179" w:rsidRPr="00566E2C">
        <w:rPr>
          <w:rFonts w:ascii="Book Antiqua" w:hAnsi="Book Antiqua"/>
          <w:color w:val="000000"/>
          <w:kern w:val="0"/>
          <w:sz w:val="24"/>
          <w:szCs w:val="24"/>
        </w:rPr>
        <w:t xml:space="preserve">Clinical Medical School </w:t>
      </w:r>
      <w:r w:rsidR="00D03341" w:rsidRPr="00566E2C">
        <w:rPr>
          <w:rFonts w:ascii="Book Antiqua" w:hAnsi="Book Antiqua"/>
          <w:color w:val="000000"/>
          <w:kern w:val="0"/>
          <w:sz w:val="24"/>
          <w:szCs w:val="24"/>
        </w:rPr>
        <w:t>of Hebei Medical University,</w:t>
      </w:r>
      <w:r w:rsidR="001D6E50" w:rsidRPr="001D6E50">
        <w:rPr>
          <w:rFonts w:ascii="Book Antiqua" w:hAnsi="Book Antiqua"/>
          <w:color w:val="000000"/>
          <w:kern w:val="0"/>
          <w:sz w:val="24"/>
          <w:szCs w:val="24"/>
        </w:rPr>
        <w:t xml:space="preserve"> </w:t>
      </w:r>
      <w:r w:rsidR="001D6E50">
        <w:rPr>
          <w:rFonts w:ascii="Book Antiqua" w:hAnsi="Book Antiqua" w:hint="eastAsia"/>
          <w:color w:val="000000"/>
          <w:kern w:val="0"/>
          <w:sz w:val="24"/>
          <w:szCs w:val="24"/>
        </w:rPr>
        <w:t xml:space="preserve">Cangzhou </w:t>
      </w:r>
      <w:r w:rsidR="001D6E50" w:rsidRPr="00566E2C">
        <w:rPr>
          <w:rFonts w:ascii="Book Antiqua" w:hAnsi="Book Antiqua"/>
          <w:color w:val="000000"/>
          <w:kern w:val="0"/>
          <w:sz w:val="24"/>
          <w:szCs w:val="24"/>
        </w:rPr>
        <w:t>061001</w:t>
      </w:r>
      <w:r w:rsidR="001D6E50">
        <w:rPr>
          <w:rFonts w:ascii="Book Antiqua" w:hAnsi="Book Antiqua" w:hint="eastAsia"/>
          <w:color w:val="000000"/>
          <w:kern w:val="0"/>
          <w:sz w:val="24"/>
          <w:szCs w:val="24"/>
        </w:rPr>
        <w:t xml:space="preserve">, </w:t>
      </w:r>
      <w:r w:rsidR="00D03341" w:rsidRPr="00566E2C">
        <w:rPr>
          <w:rFonts w:ascii="Book Antiqua" w:hAnsi="Book Antiqua"/>
          <w:color w:val="000000"/>
          <w:kern w:val="0"/>
          <w:sz w:val="24"/>
          <w:szCs w:val="24"/>
        </w:rPr>
        <w:t>Hebei Province,</w:t>
      </w:r>
      <w:r w:rsidR="001D6E50">
        <w:rPr>
          <w:rFonts w:ascii="Book Antiqua" w:hAnsi="Book Antiqua" w:hint="eastAsia"/>
          <w:color w:val="000000"/>
          <w:kern w:val="0"/>
          <w:sz w:val="24"/>
          <w:szCs w:val="24"/>
        </w:rPr>
        <w:t xml:space="preserve"> China.</w:t>
      </w:r>
      <w:r w:rsidR="001D6E50" w:rsidRPr="001D6E50">
        <w:t xml:space="preserve"> </w:t>
      </w:r>
      <w:hyperlink r:id="rId7" w:history="1">
        <w:r w:rsidR="001D6E50" w:rsidRPr="00B90A29">
          <w:rPr>
            <w:rStyle w:val="Hyperlink"/>
            <w:rFonts w:ascii="Book Antiqua" w:hAnsi="Book Antiqua"/>
            <w:kern w:val="0"/>
            <w:sz w:val="24"/>
            <w:szCs w:val="24"/>
          </w:rPr>
          <w:t>yangguotaotao@yeah.net</w:t>
        </w:r>
      </w:hyperlink>
    </w:p>
    <w:p w:rsidR="00D03341" w:rsidRPr="00566E2C" w:rsidRDefault="001D6E50" w:rsidP="001D6E50">
      <w:pPr>
        <w:spacing w:line="360" w:lineRule="auto"/>
        <w:rPr>
          <w:rFonts w:ascii="Book Antiqua" w:hAnsi="Book Antiqua"/>
          <w:color w:val="000000"/>
          <w:kern w:val="0"/>
          <w:sz w:val="24"/>
          <w:szCs w:val="24"/>
        </w:rPr>
      </w:pPr>
      <w:r w:rsidRPr="001D6E50">
        <w:rPr>
          <w:rFonts w:ascii="Book Antiqua" w:hAnsi="Book Antiqua" w:hint="eastAsia"/>
          <w:b/>
          <w:color w:val="000000"/>
          <w:kern w:val="0"/>
          <w:sz w:val="24"/>
          <w:szCs w:val="24"/>
        </w:rPr>
        <w:t>Tele</w:t>
      </w:r>
      <w:r w:rsidRPr="001D6E50">
        <w:rPr>
          <w:rFonts w:ascii="Book Antiqua" w:hAnsi="Book Antiqua"/>
          <w:b/>
          <w:color w:val="000000"/>
          <w:kern w:val="0"/>
          <w:sz w:val="24"/>
          <w:szCs w:val="24"/>
        </w:rPr>
        <w:t>p</w:t>
      </w:r>
      <w:r w:rsidR="00D03341" w:rsidRPr="001D6E50">
        <w:rPr>
          <w:rFonts w:ascii="Book Antiqua" w:hAnsi="Book Antiqua"/>
          <w:b/>
          <w:color w:val="000000"/>
          <w:kern w:val="0"/>
          <w:sz w:val="24"/>
          <w:szCs w:val="24"/>
        </w:rPr>
        <w:t>hone</w:t>
      </w:r>
      <w:r w:rsidR="00D03341" w:rsidRPr="00566E2C">
        <w:rPr>
          <w:rFonts w:ascii="Book Antiqua" w:hAnsi="Book Antiqua"/>
          <w:color w:val="000000"/>
          <w:kern w:val="0"/>
          <w:sz w:val="24"/>
          <w:szCs w:val="24"/>
        </w:rPr>
        <w:t>:</w:t>
      </w:r>
      <w:r>
        <w:rPr>
          <w:rFonts w:ascii="Book Antiqua" w:hAnsi="Book Antiqua" w:hint="eastAsia"/>
          <w:color w:val="000000"/>
          <w:kern w:val="0"/>
          <w:sz w:val="24"/>
          <w:szCs w:val="24"/>
        </w:rPr>
        <w:t xml:space="preserve"> </w:t>
      </w:r>
      <w:r>
        <w:rPr>
          <w:rFonts w:ascii="Book Antiqua" w:hAnsi="Book Antiqua"/>
          <w:color w:val="000000"/>
          <w:kern w:val="0"/>
          <w:sz w:val="24"/>
          <w:szCs w:val="24"/>
        </w:rPr>
        <w:t>+86-</w:t>
      </w:r>
      <w:r w:rsidR="00D03341" w:rsidRPr="00566E2C">
        <w:rPr>
          <w:rFonts w:ascii="Book Antiqua" w:hAnsi="Book Antiqua"/>
          <w:color w:val="000000"/>
          <w:kern w:val="0"/>
          <w:sz w:val="24"/>
          <w:szCs w:val="24"/>
        </w:rPr>
        <w:t>317-2179510</w:t>
      </w:r>
    </w:p>
    <w:p w:rsidR="00D03341" w:rsidRPr="00566E2C" w:rsidRDefault="00D03341" w:rsidP="001D6E50">
      <w:pPr>
        <w:spacing w:line="360" w:lineRule="auto"/>
        <w:rPr>
          <w:rFonts w:ascii="Book Antiqua" w:hAnsi="Book Antiqua"/>
          <w:color w:val="000000"/>
          <w:kern w:val="0"/>
          <w:sz w:val="24"/>
          <w:szCs w:val="24"/>
        </w:rPr>
      </w:pPr>
      <w:r w:rsidRPr="001D6E50">
        <w:rPr>
          <w:rFonts w:ascii="Book Antiqua" w:hAnsi="Book Antiqua"/>
          <w:b/>
          <w:color w:val="000000"/>
          <w:kern w:val="0"/>
          <w:sz w:val="24"/>
          <w:szCs w:val="24"/>
        </w:rPr>
        <w:t>Fax</w:t>
      </w:r>
      <w:r w:rsidR="001D6E50">
        <w:rPr>
          <w:rFonts w:ascii="Book Antiqua" w:hAnsi="Book Antiqua"/>
          <w:color w:val="000000"/>
          <w:kern w:val="0"/>
          <w:sz w:val="24"/>
          <w:szCs w:val="24"/>
        </w:rPr>
        <w:t>: +86-</w:t>
      </w:r>
      <w:r w:rsidRPr="00566E2C">
        <w:rPr>
          <w:rFonts w:ascii="Book Antiqua" w:hAnsi="Book Antiqua"/>
          <w:color w:val="000000"/>
          <w:kern w:val="0"/>
          <w:sz w:val="24"/>
          <w:szCs w:val="24"/>
        </w:rPr>
        <w:t>317-2179510</w:t>
      </w:r>
    </w:p>
    <w:p w:rsidR="00566E2C" w:rsidRPr="00566E2C" w:rsidRDefault="00566E2C" w:rsidP="001D6E50">
      <w:pPr>
        <w:spacing w:line="360" w:lineRule="auto"/>
        <w:rPr>
          <w:rFonts w:ascii="Book Antiqua" w:hAnsi="Book Antiqua"/>
          <w:color w:val="000000"/>
          <w:kern w:val="0"/>
          <w:sz w:val="24"/>
          <w:szCs w:val="24"/>
        </w:rPr>
      </w:pPr>
    </w:p>
    <w:p w:rsidR="00566E2C" w:rsidRPr="001D6E50" w:rsidRDefault="00566E2C" w:rsidP="001D6E50">
      <w:pPr>
        <w:spacing w:line="360" w:lineRule="auto"/>
        <w:rPr>
          <w:rFonts w:ascii="Book Antiqua" w:hAnsi="Book Antiqua"/>
          <w:sz w:val="24"/>
        </w:rPr>
      </w:pPr>
      <w:bookmarkStart w:id="29" w:name="OLE_LINK476"/>
      <w:bookmarkStart w:id="30" w:name="OLE_LINK477"/>
      <w:bookmarkStart w:id="31" w:name="OLE_LINK117"/>
      <w:bookmarkStart w:id="32" w:name="OLE_LINK528"/>
      <w:bookmarkStart w:id="33" w:name="OLE_LINK557"/>
      <w:r>
        <w:rPr>
          <w:rFonts w:ascii="Book Antiqua" w:hAnsi="Book Antiqua"/>
          <w:b/>
          <w:sz w:val="24"/>
        </w:rPr>
        <w:t>Received:</w:t>
      </w:r>
      <w:r w:rsidR="001D6E50">
        <w:rPr>
          <w:rFonts w:ascii="Book Antiqua" w:hAnsi="Book Antiqua" w:hint="eastAsia"/>
          <w:b/>
          <w:sz w:val="24"/>
        </w:rPr>
        <w:t xml:space="preserve"> </w:t>
      </w:r>
      <w:r w:rsidR="001D6E50" w:rsidRPr="001D6E50">
        <w:rPr>
          <w:rFonts w:ascii="Book Antiqua" w:hAnsi="Book Antiqua" w:hint="eastAsia"/>
          <w:sz w:val="24"/>
        </w:rPr>
        <w:t>December 1, 2016</w:t>
      </w:r>
    </w:p>
    <w:p w:rsidR="00566E2C" w:rsidRPr="001D6E50" w:rsidRDefault="00566E2C" w:rsidP="001D6E50">
      <w:pPr>
        <w:spacing w:line="360" w:lineRule="auto"/>
        <w:rPr>
          <w:rFonts w:ascii="Book Antiqua" w:hAnsi="Book Antiqua"/>
          <w:sz w:val="24"/>
        </w:rPr>
      </w:pPr>
      <w:r w:rsidRPr="009659DA">
        <w:rPr>
          <w:rFonts w:ascii="Book Antiqua" w:hAnsi="Book Antiqua" w:hint="eastAsia"/>
          <w:b/>
          <w:sz w:val="24"/>
        </w:rPr>
        <w:t>Peer-review started</w:t>
      </w:r>
      <w:r>
        <w:rPr>
          <w:rFonts w:ascii="Book Antiqua" w:hAnsi="Book Antiqua"/>
          <w:b/>
          <w:sz w:val="24"/>
        </w:rPr>
        <w:t>:</w:t>
      </w:r>
      <w:r w:rsidR="001D6E50" w:rsidRPr="001D6E50">
        <w:rPr>
          <w:rFonts w:ascii="Book Antiqua" w:hAnsi="Book Antiqua" w:hint="eastAsia"/>
          <w:sz w:val="24"/>
        </w:rPr>
        <w:t xml:space="preserve"> December </w:t>
      </w:r>
      <w:r w:rsidR="001D6E50">
        <w:rPr>
          <w:rFonts w:ascii="Book Antiqua" w:hAnsi="Book Antiqua" w:hint="eastAsia"/>
          <w:sz w:val="24"/>
        </w:rPr>
        <w:t>2</w:t>
      </w:r>
      <w:r w:rsidR="001D6E50" w:rsidRPr="001D6E50">
        <w:rPr>
          <w:rFonts w:ascii="Book Antiqua" w:hAnsi="Book Antiqua" w:hint="eastAsia"/>
          <w:sz w:val="24"/>
        </w:rPr>
        <w:t>, 2016</w:t>
      </w:r>
    </w:p>
    <w:p w:rsidR="00566E2C" w:rsidRDefault="00566E2C" w:rsidP="001D6E50">
      <w:pPr>
        <w:spacing w:line="360" w:lineRule="auto"/>
        <w:rPr>
          <w:rFonts w:ascii="Book Antiqua" w:hAnsi="Book Antiqua"/>
          <w:b/>
          <w:sz w:val="24"/>
        </w:rPr>
      </w:pPr>
      <w:r w:rsidRPr="009659DA">
        <w:rPr>
          <w:rFonts w:ascii="Book Antiqua" w:hAnsi="Book Antiqua"/>
          <w:b/>
          <w:sz w:val="24"/>
        </w:rPr>
        <w:t>First decision:</w:t>
      </w:r>
      <w:r w:rsidR="001D6E50" w:rsidRPr="001D6E50">
        <w:rPr>
          <w:rFonts w:ascii="Book Antiqua" w:hAnsi="Book Antiqua" w:hint="eastAsia"/>
          <w:sz w:val="24"/>
        </w:rPr>
        <w:t xml:space="preserve"> December </w:t>
      </w:r>
      <w:r w:rsidR="001D6E50">
        <w:rPr>
          <w:rFonts w:ascii="Book Antiqua" w:hAnsi="Book Antiqua" w:hint="eastAsia"/>
          <w:sz w:val="24"/>
        </w:rPr>
        <w:t>28</w:t>
      </w:r>
      <w:r w:rsidR="001D6E50" w:rsidRPr="001D6E50">
        <w:rPr>
          <w:rFonts w:ascii="Book Antiqua" w:hAnsi="Book Antiqua" w:hint="eastAsia"/>
          <w:sz w:val="24"/>
        </w:rPr>
        <w:t>, 2016</w:t>
      </w:r>
    </w:p>
    <w:p w:rsidR="00566E2C" w:rsidRPr="001D6E50" w:rsidRDefault="00566E2C" w:rsidP="001D6E50">
      <w:pPr>
        <w:spacing w:line="360" w:lineRule="auto"/>
        <w:rPr>
          <w:rFonts w:ascii="Book Antiqua" w:hAnsi="Book Antiqua"/>
          <w:sz w:val="24"/>
        </w:rPr>
      </w:pPr>
      <w:r>
        <w:rPr>
          <w:rFonts w:ascii="Book Antiqua" w:hAnsi="Book Antiqua"/>
          <w:b/>
          <w:sz w:val="24"/>
        </w:rPr>
        <w:lastRenderedPageBreak/>
        <w:t>Revised:</w:t>
      </w:r>
      <w:r w:rsidR="001D6E50" w:rsidRPr="001D6E50">
        <w:rPr>
          <w:rFonts w:ascii="Book Antiqua" w:hAnsi="Book Antiqua" w:hint="eastAsia"/>
          <w:sz w:val="24"/>
        </w:rPr>
        <w:t xml:space="preserve"> February 15, 2017</w:t>
      </w:r>
    </w:p>
    <w:p w:rsidR="00566E2C" w:rsidRPr="00597C96" w:rsidRDefault="00566E2C" w:rsidP="001D6E50">
      <w:pPr>
        <w:spacing w:line="360" w:lineRule="auto"/>
        <w:rPr>
          <w:rFonts w:ascii="Book Antiqua" w:hAnsi="Book Antiqua"/>
          <w:color w:val="000000"/>
          <w:sz w:val="24"/>
        </w:rPr>
      </w:pPr>
      <w:r>
        <w:rPr>
          <w:rFonts w:ascii="Book Antiqua" w:hAnsi="Book Antiqua"/>
          <w:b/>
          <w:sz w:val="24"/>
        </w:rPr>
        <w:t>Accepted:</w:t>
      </w:r>
      <w:bookmarkStart w:id="34" w:name="OLE_LINK118"/>
      <w:r w:rsidR="00597C96" w:rsidRPr="00597C96">
        <w:rPr>
          <w:rFonts w:ascii="Book Antiqua" w:hAnsi="Book Antiqua"/>
          <w:color w:val="000000"/>
          <w:sz w:val="24"/>
        </w:rPr>
        <w:t xml:space="preserve"> </w:t>
      </w:r>
      <w:r w:rsidR="00597C96">
        <w:rPr>
          <w:rFonts w:ascii="Book Antiqua" w:hAnsi="Book Antiqua"/>
          <w:color w:val="000000"/>
          <w:sz w:val="24"/>
        </w:rPr>
        <w:t>March 2, 2017</w:t>
      </w:r>
      <w:bookmarkStart w:id="35" w:name="_GoBack"/>
      <w:bookmarkEnd w:id="34"/>
      <w:bookmarkEnd w:id="35"/>
      <w:r>
        <w:rPr>
          <w:rFonts w:ascii="Book Antiqua" w:hAnsi="Book Antiqua" w:hint="eastAsia"/>
          <w:b/>
          <w:sz w:val="24"/>
        </w:rPr>
        <w:t xml:space="preserve">  </w:t>
      </w:r>
    </w:p>
    <w:p w:rsidR="00566E2C" w:rsidRDefault="00566E2C" w:rsidP="001D6E50">
      <w:pPr>
        <w:spacing w:line="360" w:lineRule="auto"/>
        <w:rPr>
          <w:rFonts w:ascii="Book Antiqua" w:hAnsi="Book Antiqua"/>
          <w:b/>
          <w:sz w:val="24"/>
        </w:rPr>
      </w:pPr>
      <w:r w:rsidRPr="009659DA">
        <w:rPr>
          <w:rFonts w:ascii="Book Antiqua" w:hAnsi="Book Antiqua"/>
          <w:b/>
          <w:sz w:val="24"/>
        </w:rPr>
        <w:t>Article in press:</w:t>
      </w:r>
    </w:p>
    <w:p w:rsidR="00566E2C" w:rsidRPr="00ED7CB9" w:rsidRDefault="00566E2C" w:rsidP="001D6E50">
      <w:pPr>
        <w:spacing w:line="360" w:lineRule="auto"/>
        <w:rPr>
          <w:rFonts w:ascii="Book Antiqua" w:hAnsi="Book Antiqua"/>
          <w:b/>
          <w:sz w:val="24"/>
        </w:rPr>
      </w:pPr>
      <w:r>
        <w:rPr>
          <w:rFonts w:ascii="Book Antiqua" w:hAnsi="Book Antiqua"/>
          <w:b/>
          <w:sz w:val="24"/>
        </w:rPr>
        <w:t>Published online:</w:t>
      </w:r>
    </w:p>
    <w:bookmarkEnd w:id="29"/>
    <w:bookmarkEnd w:id="30"/>
    <w:bookmarkEnd w:id="31"/>
    <w:bookmarkEnd w:id="32"/>
    <w:bookmarkEnd w:id="33"/>
    <w:p w:rsidR="00D03341" w:rsidRPr="00566E2C" w:rsidRDefault="00D03341" w:rsidP="001D6E50">
      <w:pPr>
        <w:spacing w:line="360" w:lineRule="auto"/>
        <w:rPr>
          <w:rFonts w:ascii="Book Antiqua" w:hAnsi="Book Antiqua"/>
          <w:b/>
          <w:sz w:val="24"/>
          <w:szCs w:val="24"/>
        </w:rPr>
      </w:pPr>
    </w:p>
    <w:p w:rsidR="00D03341" w:rsidRPr="00566E2C" w:rsidRDefault="00566E2C" w:rsidP="001D6E50">
      <w:pPr>
        <w:spacing w:line="360" w:lineRule="auto"/>
        <w:rPr>
          <w:rFonts w:ascii="Book Antiqua" w:hAnsi="Book Antiqua"/>
          <w:b/>
          <w:sz w:val="24"/>
          <w:szCs w:val="24"/>
        </w:rPr>
      </w:pPr>
      <w:r>
        <w:rPr>
          <w:rFonts w:ascii="Book Antiqua" w:hAnsi="Book Antiqua"/>
          <w:b/>
          <w:sz w:val="24"/>
          <w:szCs w:val="24"/>
        </w:rPr>
        <w:br w:type="page"/>
      </w:r>
      <w:r w:rsidR="00D03341" w:rsidRPr="00566E2C">
        <w:rPr>
          <w:rFonts w:ascii="Book Antiqua" w:hAnsi="Book Antiqua"/>
          <w:b/>
          <w:sz w:val="24"/>
          <w:szCs w:val="24"/>
        </w:rPr>
        <w:lastRenderedPageBreak/>
        <w:t xml:space="preserve">Abstract </w:t>
      </w:r>
    </w:p>
    <w:p w:rsidR="001D6E50" w:rsidRPr="001D6E50" w:rsidRDefault="00566E2C" w:rsidP="001D6E50">
      <w:pPr>
        <w:spacing w:line="360" w:lineRule="auto"/>
        <w:rPr>
          <w:rFonts w:ascii="Book Antiqua" w:hAnsi="Book Antiqua"/>
          <w:b/>
          <w:i/>
          <w:sz w:val="24"/>
          <w:szCs w:val="24"/>
        </w:rPr>
      </w:pPr>
      <w:r w:rsidRPr="001D6E50">
        <w:rPr>
          <w:rFonts w:ascii="Book Antiqua" w:hAnsi="Book Antiqua" w:hint="eastAsia"/>
          <w:b/>
          <w:i/>
          <w:sz w:val="24"/>
          <w:szCs w:val="24"/>
        </w:rPr>
        <w:t>AIM</w:t>
      </w:r>
    </w:p>
    <w:p w:rsidR="00566E2C" w:rsidRDefault="00566E2C" w:rsidP="001D6E50">
      <w:pPr>
        <w:spacing w:line="360" w:lineRule="auto"/>
        <w:rPr>
          <w:rFonts w:ascii="Book Antiqua" w:hAnsi="Book Antiqua"/>
          <w:sz w:val="24"/>
          <w:szCs w:val="24"/>
        </w:rPr>
      </w:pPr>
      <w:r w:rsidRPr="00566E2C">
        <w:rPr>
          <w:rFonts w:ascii="Book Antiqua" w:hAnsi="Book Antiqua"/>
          <w:sz w:val="24"/>
          <w:szCs w:val="24"/>
        </w:rPr>
        <w:t xml:space="preserve">To </w:t>
      </w:r>
      <w:r w:rsidR="00D03341" w:rsidRPr="00566E2C">
        <w:rPr>
          <w:rFonts w:ascii="Book Antiqua" w:hAnsi="Book Antiqua"/>
          <w:sz w:val="24"/>
          <w:szCs w:val="24"/>
        </w:rPr>
        <w:t xml:space="preserve">investigate the effects of nesfatin-1 on gastric function in obeserats. </w:t>
      </w:r>
    </w:p>
    <w:p w:rsidR="00566E2C" w:rsidRPr="00566E2C" w:rsidRDefault="00566E2C" w:rsidP="001D6E50">
      <w:pPr>
        <w:spacing w:line="360" w:lineRule="auto"/>
        <w:rPr>
          <w:rFonts w:ascii="Book Antiqua" w:hAnsi="Book Antiqua"/>
          <w:sz w:val="24"/>
          <w:szCs w:val="24"/>
        </w:rPr>
      </w:pPr>
    </w:p>
    <w:p w:rsidR="001D6E50" w:rsidRPr="001D6E50" w:rsidRDefault="001D6E50" w:rsidP="001D6E50">
      <w:pPr>
        <w:spacing w:line="360" w:lineRule="auto"/>
        <w:rPr>
          <w:rFonts w:ascii="Book Antiqua" w:hAnsi="Book Antiqua"/>
          <w:b/>
          <w:i/>
          <w:sz w:val="24"/>
          <w:szCs w:val="24"/>
        </w:rPr>
      </w:pPr>
      <w:r w:rsidRPr="001D6E50">
        <w:rPr>
          <w:rFonts w:ascii="Book Antiqua" w:hAnsi="Book Antiqua"/>
          <w:b/>
          <w:i/>
          <w:sz w:val="24"/>
          <w:szCs w:val="24"/>
        </w:rPr>
        <w:t>METHODS</w:t>
      </w:r>
    </w:p>
    <w:p w:rsidR="001D6E50" w:rsidRDefault="00D03341" w:rsidP="001D6E50">
      <w:pPr>
        <w:spacing w:line="360" w:lineRule="auto"/>
        <w:rPr>
          <w:rFonts w:ascii="Book Antiqua" w:hAnsi="Book Antiqua"/>
          <w:sz w:val="24"/>
          <w:szCs w:val="24"/>
        </w:rPr>
      </w:pPr>
      <w:r w:rsidRPr="00566E2C">
        <w:rPr>
          <w:rFonts w:ascii="Book Antiqua" w:hAnsi="Book Antiqua"/>
          <w:sz w:val="24"/>
          <w:szCs w:val="24"/>
        </w:rPr>
        <w:t xml:space="preserve">The obeseratmodel was induced by high-fat diet. </w:t>
      </w:r>
      <w:bookmarkStart w:id="36" w:name="OLE_LINK33"/>
      <w:r w:rsidRPr="00566E2C">
        <w:rPr>
          <w:rFonts w:ascii="Book Antiqua" w:hAnsi="Book Antiqua"/>
          <w:sz w:val="24"/>
          <w:szCs w:val="24"/>
        </w:rPr>
        <w:t>Then,the gastric emptying rate</w:t>
      </w:r>
      <w:bookmarkEnd w:id="36"/>
      <w:r w:rsidRPr="00566E2C">
        <w:rPr>
          <w:rFonts w:ascii="Book Antiqua" w:hAnsi="Book Antiqua"/>
          <w:sz w:val="24"/>
          <w:szCs w:val="24"/>
        </w:rPr>
        <w:t xml:space="preserve"> and gastric acid secretory capacity of rats were determined after rats were treated with different drug concentrations of nesfatin-1and administrations routes. Based on this, the expression of H+/K+-ATPase was measured using RT-PCR and western blot to preliminarily explore the mechanism of gastric acid secretionchanges. </w:t>
      </w:r>
    </w:p>
    <w:p w:rsidR="001D6E50" w:rsidRDefault="001D6E50" w:rsidP="001D6E50">
      <w:pPr>
        <w:spacing w:line="360" w:lineRule="auto"/>
        <w:rPr>
          <w:rFonts w:ascii="Book Antiqua" w:hAnsi="Book Antiqua"/>
          <w:sz w:val="24"/>
          <w:szCs w:val="24"/>
        </w:rPr>
      </w:pPr>
    </w:p>
    <w:p w:rsidR="001D6E50" w:rsidRPr="001D6E50" w:rsidRDefault="001D6E50" w:rsidP="001D6E50">
      <w:pPr>
        <w:spacing w:line="360" w:lineRule="auto"/>
        <w:rPr>
          <w:rFonts w:ascii="Book Antiqua" w:hAnsi="Book Antiqua"/>
          <w:b/>
          <w:i/>
          <w:sz w:val="24"/>
          <w:szCs w:val="24"/>
        </w:rPr>
      </w:pPr>
      <w:r w:rsidRPr="001D6E50">
        <w:rPr>
          <w:rFonts w:ascii="Book Antiqua" w:hAnsi="Book Antiqua"/>
          <w:b/>
          <w:i/>
          <w:sz w:val="24"/>
          <w:szCs w:val="24"/>
        </w:rPr>
        <w:t>RESULTS</w:t>
      </w:r>
    </w:p>
    <w:p w:rsidR="001D6E50" w:rsidRDefault="00D03341" w:rsidP="001D6E50">
      <w:pPr>
        <w:spacing w:line="360" w:lineRule="auto"/>
        <w:rPr>
          <w:rFonts w:ascii="Book Antiqua" w:hAnsi="Book Antiqua"/>
          <w:b/>
          <w:sz w:val="24"/>
          <w:szCs w:val="24"/>
        </w:rPr>
      </w:pPr>
      <w:r w:rsidRPr="00566E2C">
        <w:rPr>
          <w:rFonts w:ascii="Book Antiqua" w:hAnsi="Book Antiqua"/>
          <w:sz w:val="24"/>
          <w:szCs w:val="24"/>
        </w:rPr>
        <w:t>Body weight, body length and Lee’s index of rats significantly increased in the high-fat diet-inducedobeserat model. At two hoursafter the lateral intracerebroventricular injection of Nsfactin-1, the gastric emptying rate and gastric acid secretory capacity of rats decreased. At four hoursafter injection, both were restored to normal levels. In addition, the expression of H+/K+-ATPase decreasedandmoved in line with changes ingastric acid secretory capacity.</w:t>
      </w:r>
      <w:r w:rsidR="001D6E50">
        <w:rPr>
          <w:rFonts w:ascii="Book Antiqua" w:hAnsi="Book Antiqua" w:hint="eastAsia"/>
          <w:b/>
          <w:sz w:val="24"/>
          <w:szCs w:val="24"/>
        </w:rPr>
        <w:t xml:space="preserve"> </w:t>
      </w:r>
      <w:r w:rsidR="001D6E50" w:rsidRPr="00566E2C">
        <w:rPr>
          <w:rFonts w:ascii="Book Antiqua" w:hAnsi="Book Antiqua"/>
          <w:sz w:val="24"/>
          <w:szCs w:val="24"/>
        </w:rPr>
        <w:t xml:space="preserve">This </w:t>
      </w:r>
      <w:r w:rsidR="001D6E50" w:rsidRPr="00566E2C">
        <w:rPr>
          <w:rFonts w:ascii="Book Antiqua" w:hAnsi="Book Antiqua"/>
          <w:i/>
          <w:sz w:val="24"/>
          <w:szCs w:val="24"/>
        </w:rPr>
        <w:t xml:space="preserve">in vivo </w:t>
      </w:r>
      <w:r w:rsidR="001D6E50" w:rsidRPr="00566E2C">
        <w:rPr>
          <w:rFonts w:ascii="Book Antiqua" w:hAnsi="Book Antiqua"/>
          <w:sz w:val="24"/>
          <w:szCs w:val="24"/>
        </w:rPr>
        <w:t>experiment revealed that the intracerebroventricular injection of nesfactin-1, instead of intravenous injection, could suppress gastric function in obese rats. Moreover, its effect on the gastric emptying and gastric acid secretory capacity of rats is dose-dependent</w:t>
      </w:r>
      <w:bookmarkStart w:id="37" w:name="OLE_LINK10"/>
      <w:bookmarkStart w:id="38" w:name="OLE_LINK11"/>
      <w:r w:rsidR="001D6E50" w:rsidRPr="00566E2C">
        <w:rPr>
          <w:rFonts w:ascii="Book Antiqua" w:hAnsi="Book Antiqua"/>
          <w:sz w:val="24"/>
          <w:szCs w:val="24"/>
        </w:rPr>
        <w:t>within a certain amount of time</w:t>
      </w:r>
      <w:bookmarkEnd w:id="37"/>
      <w:bookmarkEnd w:id="38"/>
      <w:r w:rsidR="001D6E50" w:rsidRPr="00566E2C">
        <w:rPr>
          <w:rFonts w:ascii="Book Antiqua" w:hAnsi="Book Antiqua"/>
          <w:sz w:val="24"/>
          <w:szCs w:val="24"/>
        </w:rPr>
        <w:t>.</w:t>
      </w:r>
    </w:p>
    <w:p w:rsidR="001D6E50" w:rsidRDefault="001D6E50" w:rsidP="001D6E50">
      <w:pPr>
        <w:spacing w:line="360" w:lineRule="auto"/>
        <w:rPr>
          <w:rFonts w:ascii="Book Antiqua" w:hAnsi="Book Antiqua"/>
          <w:b/>
          <w:sz w:val="24"/>
          <w:szCs w:val="24"/>
        </w:rPr>
      </w:pPr>
    </w:p>
    <w:p w:rsidR="001D6E50" w:rsidRPr="001D6E50" w:rsidRDefault="001D6E50" w:rsidP="001D6E50">
      <w:pPr>
        <w:spacing w:line="360" w:lineRule="auto"/>
        <w:rPr>
          <w:rFonts w:ascii="Book Antiqua" w:hAnsi="Book Antiqua"/>
          <w:b/>
          <w:i/>
          <w:sz w:val="24"/>
          <w:szCs w:val="24"/>
        </w:rPr>
      </w:pPr>
      <w:r w:rsidRPr="001D6E50">
        <w:rPr>
          <w:rFonts w:ascii="Book Antiqua" w:hAnsi="Book Antiqua"/>
          <w:b/>
          <w:i/>
          <w:sz w:val="24"/>
          <w:szCs w:val="24"/>
        </w:rPr>
        <w:t>CONCLUSION</w:t>
      </w:r>
    </w:p>
    <w:p w:rsidR="00D03341" w:rsidRDefault="00D03341" w:rsidP="001D6E50">
      <w:pPr>
        <w:spacing w:line="360" w:lineRule="auto"/>
        <w:rPr>
          <w:rFonts w:ascii="Book Antiqua" w:hAnsi="Book Antiqua"/>
          <w:sz w:val="24"/>
          <w:szCs w:val="24"/>
        </w:rPr>
      </w:pPr>
      <w:r w:rsidRPr="00566E2C">
        <w:rPr>
          <w:rFonts w:ascii="Book Antiqua" w:hAnsi="Book Antiqua"/>
          <w:sz w:val="24"/>
          <w:szCs w:val="24"/>
        </w:rPr>
        <w:t>Through this research, we provide a theoretical basis for further studies on potential anti-obesity drug,</w:t>
      </w:r>
      <w:r w:rsidR="001D6E50">
        <w:rPr>
          <w:rFonts w:ascii="Book Antiqua" w:hAnsi="Book Antiqua" w:hint="eastAsia"/>
          <w:sz w:val="24"/>
          <w:szCs w:val="24"/>
        </w:rPr>
        <w:t xml:space="preserve"> </w:t>
      </w:r>
      <w:r w:rsidRPr="00566E2C">
        <w:rPr>
          <w:rFonts w:ascii="Book Antiqua" w:hAnsi="Book Antiqua"/>
          <w:sz w:val="24"/>
          <w:szCs w:val="24"/>
        </w:rPr>
        <w:t>nesfatin-1.</w:t>
      </w:r>
    </w:p>
    <w:p w:rsidR="00566E2C" w:rsidRPr="00566E2C" w:rsidRDefault="00566E2C" w:rsidP="001D6E50">
      <w:pPr>
        <w:spacing w:line="360" w:lineRule="auto"/>
        <w:rPr>
          <w:rFonts w:ascii="Book Antiqua" w:hAnsi="Book Antiqua"/>
          <w:sz w:val="24"/>
          <w:szCs w:val="24"/>
        </w:rPr>
      </w:pPr>
    </w:p>
    <w:p w:rsidR="00D03341" w:rsidRDefault="00D03341" w:rsidP="001D6E50">
      <w:pPr>
        <w:spacing w:line="360" w:lineRule="auto"/>
        <w:rPr>
          <w:rFonts w:ascii="Book Antiqua" w:hAnsi="Book Antiqua"/>
          <w:sz w:val="24"/>
          <w:szCs w:val="24"/>
        </w:rPr>
      </w:pPr>
      <w:r w:rsidRPr="00566E2C">
        <w:rPr>
          <w:rFonts w:ascii="Book Antiqua" w:hAnsi="Book Antiqua"/>
          <w:b/>
          <w:sz w:val="24"/>
          <w:szCs w:val="24"/>
        </w:rPr>
        <w:t>Key</w:t>
      </w:r>
      <w:r w:rsidR="001D6E50">
        <w:rPr>
          <w:rFonts w:ascii="Book Antiqua" w:hAnsi="Book Antiqua" w:hint="eastAsia"/>
          <w:b/>
          <w:sz w:val="24"/>
          <w:szCs w:val="24"/>
        </w:rPr>
        <w:t xml:space="preserve"> </w:t>
      </w:r>
      <w:r w:rsidRPr="00566E2C">
        <w:rPr>
          <w:rFonts w:ascii="Book Antiqua" w:hAnsi="Book Antiqua"/>
          <w:b/>
          <w:sz w:val="24"/>
          <w:szCs w:val="24"/>
        </w:rPr>
        <w:t>words:</w:t>
      </w:r>
      <w:r w:rsidRPr="00566E2C">
        <w:rPr>
          <w:rFonts w:ascii="Book Antiqua" w:hAnsi="Book Antiqua"/>
          <w:sz w:val="24"/>
          <w:szCs w:val="24"/>
        </w:rPr>
        <w:t xml:space="preserve"> </w:t>
      </w:r>
      <w:r w:rsidR="001D6E50" w:rsidRPr="00566E2C">
        <w:rPr>
          <w:rFonts w:ascii="Book Antiqua" w:hAnsi="Book Antiqua"/>
          <w:sz w:val="24"/>
          <w:szCs w:val="24"/>
        </w:rPr>
        <w:t>Obesity</w:t>
      </w:r>
      <w:r w:rsidRPr="00566E2C">
        <w:rPr>
          <w:rFonts w:ascii="Book Antiqua" w:hAnsi="Book Antiqua"/>
          <w:sz w:val="24"/>
          <w:szCs w:val="24"/>
        </w:rPr>
        <w:t xml:space="preserve">; </w:t>
      </w:r>
      <w:r w:rsidR="001D6E50" w:rsidRPr="00566E2C">
        <w:rPr>
          <w:rFonts w:ascii="Book Antiqua" w:hAnsi="Book Antiqua"/>
          <w:sz w:val="24"/>
          <w:szCs w:val="24"/>
        </w:rPr>
        <w:t>Nesfatin</w:t>
      </w:r>
      <w:r w:rsidRPr="00566E2C">
        <w:rPr>
          <w:rFonts w:ascii="Book Antiqua" w:hAnsi="Book Antiqua"/>
          <w:sz w:val="24"/>
          <w:szCs w:val="24"/>
        </w:rPr>
        <w:t>-1; H</w:t>
      </w:r>
      <w:r w:rsidRPr="00566E2C">
        <w:rPr>
          <w:rFonts w:ascii="Book Antiqua" w:hAnsi="Book Antiqua"/>
          <w:sz w:val="24"/>
          <w:szCs w:val="24"/>
          <w:vertAlign w:val="superscript"/>
        </w:rPr>
        <w:t>+</w:t>
      </w:r>
      <w:r w:rsidRPr="00566E2C">
        <w:rPr>
          <w:rFonts w:ascii="Book Antiqua" w:hAnsi="Book Antiqua"/>
          <w:sz w:val="24"/>
          <w:szCs w:val="24"/>
        </w:rPr>
        <w:t>/K</w:t>
      </w:r>
      <w:r w:rsidRPr="00566E2C">
        <w:rPr>
          <w:rFonts w:ascii="Book Antiqua" w:hAnsi="Book Antiqua"/>
          <w:sz w:val="24"/>
          <w:szCs w:val="24"/>
          <w:vertAlign w:val="superscript"/>
        </w:rPr>
        <w:t>+</w:t>
      </w:r>
      <w:r w:rsidRPr="00566E2C">
        <w:rPr>
          <w:rFonts w:ascii="Book Antiqua" w:hAnsi="Book Antiqua"/>
          <w:sz w:val="24"/>
          <w:szCs w:val="24"/>
        </w:rPr>
        <w:t>-ATPase</w:t>
      </w:r>
    </w:p>
    <w:p w:rsidR="00566E2C" w:rsidRPr="00566E2C" w:rsidRDefault="00566E2C" w:rsidP="001D6E50">
      <w:pPr>
        <w:spacing w:line="360" w:lineRule="auto"/>
        <w:rPr>
          <w:rFonts w:ascii="Book Antiqua" w:hAnsi="Book Antiqua"/>
          <w:sz w:val="24"/>
          <w:szCs w:val="24"/>
        </w:rPr>
      </w:pPr>
    </w:p>
    <w:p w:rsidR="00566E2C" w:rsidRDefault="00566E2C" w:rsidP="001D6E50">
      <w:pPr>
        <w:spacing w:line="360" w:lineRule="auto"/>
        <w:rPr>
          <w:rFonts w:ascii="Book Antiqua" w:hAnsi="Book Antiqua" w:cs="Arial"/>
          <w:sz w:val="24"/>
        </w:rPr>
      </w:pPr>
      <w:bookmarkStart w:id="39" w:name="OLE_LINK55"/>
      <w:bookmarkStart w:id="40" w:name="OLE_LINK56"/>
      <w:bookmarkStart w:id="41" w:name="OLE_LINK105"/>
      <w:bookmarkStart w:id="42" w:name="OLE_LINK116"/>
      <w:bookmarkStart w:id="43" w:name="OLE_LINK89"/>
      <w:r w:rsidRPr="0071780A">
        <w:rPr>
          <w:rFonts w:ascii="Book Antiqua" w:hAnsi="Book Antiqua"/>
          <w:b/>
          <w:sz w:val="24"/>
        </w:rPr>
        <w:t>©</w:t>
      </w:r>
      <w:bookmarkEnd w:id="39"/>
      <w:bookmarkEnd w:id="40"/>
      <w:r w:rsidRPr="0071780A">
        <w:rPr>
          <w:rFonts w:ascii="Book Antiqua" w:hAnsi="Book Antiqua" w:hint="eastAsia"/>
          <w:b/>
          <w:sz w:val="24"/>
        </w:rPr>
        <w:t xml:space="preserve"> </w:t>
      </w:r>
      <w:r w:rsidRPr="0071780A">
        <w:rPr>
          <w:rFonts w:ascii="Book Antiqua" w:hAnsi="Book Antiqua" w:cs="Arial"/>
          <w:b/>
          <w:sz w:val="24"/>
        </w:rPr>
        <w:t>The Author(s) 201</w:t>
      </w:r>
      <w:r w:rsidR="001D6E50">
        <w:rPr>
          <w:rFonts w:ascii="Book Antiqua" w:hAnsi="Book Antiqua" w:cs="Arial" w:hint="eastAsia"/>
          <w:b/>
          <w:sz w:val="24"/>
        </w:rPr>
        <w:t>7</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41"/>
    <w:bookmarkEnd w:id="42"/>
    <w:bookmarkEnd w:id="43"/>
    <w:p w:rsidR="00D03341" w:rsidRPr="00566E2C" w:rsidRDefault="00D03341" w:rsidP="001D6E50">
      <w:pPr>
        <w:spacing w:line="360" w:lineRule="auto"/>
        <w:rPr>
          <w:rFonts w:ascii="Book Antiqua" w:hAnsi="Book Antiqua"/>
          <w:sz w:val="24"/>
          <w:szCs w:val="24"/>
        </w:rPr>
      </w:pPr>
    </w:p>
    <w:p w:rsidR="00D03341" w:rsidRDefault="00D03341" w:rsidP="001D6E50">
      <w:pPr>
        <w:spacing w:line="360" w:lineRule="auto"/>
        <w:rPr>
          <w:rFonts w:ascii="Book Antiqua" w:hAnsi="Book Antiqua"/>
          <w:sz w:val="24"/>
          <w:szCs w:val="24"/>
        </w:rPr>
      </w:pPr>
      <w:r w:rsidRPr="00566E2C">
        <w:rPr>
          <w:rFonts w:ascii="Book Antiqua" w:hAnsi="Book Antiqua"/>
          <w:b/>
          <w:sz w:val="24"/>
          <w:szCs w:val="24"/>
        </w:rPr>
        <w:t>Core tip:</w:t>
      </w:r>
      <w:r w:rsidR="00566E2C">
        <w:rPr>
          <w:rFonts w:ascii="Book Antiqua" w:hAnsi="Book Antiqua" w:hint="eastAsia"/>
          <w:b/>
          <w:sz w:val="24"/>
          <w:szCs w:val="24"/>
        </w:rPr>
        <w:t xml:space="preserve"> </w:t>
      </w:r>
      <w:r w:rsidRPr="00566E2C">
        <w:rPr>
          <w:rFonts w:ascii="Book Antiqua" w:hAnsi="Book Antiqua"/>
          <w:sz w:val="24"/>
          <w:szCs w:val="24"/>
        </w:rPr>
        <w:t xml:space="preserve">The high-fat diet-induced fat obese rat model was used to study the effects of nesfatin-1 on the gastric function. We found that the intracerebroventricular injection of nesfactin-1, instead of intravenous injection, could suppress gastric function in a dose-dependent manner within a certain amount of time. What’s more, the expression of </w:t>
      </w:r>
      <w:r w:rsidRPr="00566E2C">
        <w:rPr>
          <w:rFonts w:ascii="Book Antiqua" w:hAnsi="Book Antiqua"/>
          <w:bCs/>
          <w:color w:val="252525"/>
          <w:sz w:val="24"/>
          <w:szCs w:val="24"/>
          <w:shd w:val="clear" w:color="auto" w:fill="FFFFFF"/>
        </w:rPr>
        <w:t>H</w:t>
      </w:r>
      <w:r w:rsidRPr="00566E2C">
        <w:rPr>
          <w:rFonts w:ascii="Book Antiqua" w:hAnsi="Book Antiqua"/>
          <w:bCs/>
          <w:color w:val="252525"/>
          <w:sz w:val="24"/>
          <w:szCs w:val="24"/>
          <w:shd w:val="clear" w:color="auto" w:fill="FFFFFF"/>
          <w:vertAlign w:val="superscript"/>
        </w:rPr>
        <w:t>+</w:t>
      </w:r>
      <w:r w:rsidRPr="00566E2C">
        <w:rPr>
          <w:rFonts w:ascii="Book Antiqua" w:hAnsi="Book Antiqua"/>
          <w:bCs/>
          <w:color w:val="252525"/>
          <w:sz w:val="24"/>
          <w:szCs w:val="24"/>
          <w:shd w:val="clear" w:color="auto" w:fill="FFFFFF"/>
        </w:rPr>
        <w:t>/K</w:t>
      </w:r>
      <w:r w:rsidRPr="00566E2C">
        <w:rPr>
          <w:rFonts w:ascii="Book Antiqua" w:hAnsi="Book Antiqua"/>
          <w:bCs/>
          <w:color w:val="252525"/>
          <w:sz w:val="24"/>
          <w:szCs w:val="24"/>
          <w:shd w:val="clear" w:color="auto" w:fill="FFFFFF"/>
          <w:vertAlign w:val="superscript"/>
        </w:rPr>
        <w:t>+</w:t>
      </w:r>
      <w:r w:rsidRPr="00566E2C">
        <w:rPr>
          <w:rStyle w:val="apple-converted-space"/>
          <w:rFonts w:ascii="Book Antiqua" w:hAnsi="Book Antiqua"/>
          <w:bCs/>
          <w:color w:val="252525"/>
          <w:sz w:val="24"/>
          <w:szCs w:val="24"/>
          <w:shd w:val="clear" w:color="auto" w:fill="FFFFFF"/>
        </w:rPr>
        <w:t> </w:t>
      </w:r>
      <w:r w:rsidRPr="00566E2C">
        <w:rPr>
          <w:rFonts w:ascii="Book Antiqua" w:hAnsi="Book Antiqua"/>
          <w:bCs/>
          <w:color w:val="252525"/>
          <w:sz w:val="24"/>
          <w:szCs w:val="24"/>
          <w:shd w:val="clear" w:color="auto" w:fill="FFFFFF"/>
        </w:rPr>
        <w:t xml:space="preserve">ATPase was down-regulated which may explained the mechanisms of the decrease of </w:t>
      </w:r>
      <w:r w:rsidRPr="00566E2C">
        <w:rPr>
          <w:rFonts w:ascii="Book Antiqua" w:hAnsi="Book Antiqua"/>
          <w:sz w:val="24"/>
          <w:szCs w:val="24"/>
        </w:rPr>
        <w:t xml:space="preserve">gastric acid secretory. </w:t>
      </w:r>
    </w:p>
    <w:p w:rsidR="00566E2C" w:rsidRPr="00566E2C" w:rsidRDefault="00566E2C" w:rsidP="001D6E50">
      <w:pPr>
        <w:spacing w:line="360" w:lineRule="auto"/>
        <w:rPr>
          <w:rFonts w:ascii="Book Antiqua" w:hAnsi="Book Antiqua"/>
          <w:b/>
          <w:sz w:val="24"/>
          <w:szCs w:val="24"/>
        </w:rPr>
      </w:pPr>
    </w:p>
    <w:p w:rsidR="00566E2C" w:rsidRPr="001D6E50" w:rsidRDefault="001D6E50" w:rsidP="001D6E50">
      <w:pPr>
        <w:widowControl/>
        <w:shd w:val="clear" w:color="auto" w:fill="FFFFFF"/>
        <w:spacing w:line="360" w:lineRule="auto"/>
        <w:rPr>
          <w:rFonts w:ascii="Book Antiqua" w:hAnsi="Book Antiqua"/>
          <w:color w:val="000000"/>
          <w:kern w:val="0"/>
          <w:sz w:val="24"/>
          <w:szCs w:val="24"/>
        </w:rPr>
      </w:pPr>
      <w:bookmarkStart w:id="44" w:name="OLE_LINK130"/>
      <w:bookmarkStart w:id="45" w:name="OLE_LINK134"/>
      <w:bookmarkStart w:id="46" w:name="OLE_LINK455"/>
      <w:bookmarkStart w:id="47" w:name="OLE_LINK464"/>
      <w:bookmarkStart w:id="48" w:name="OLE_LINK73"/>
      <w:bookmarkStart w:id="49" w:name="OLE_LINK74"/>
      <w:bookmarkStart w:id="50" w:name="OLE_LINK424"/>
      <w:bookmarkStart w:id="51" w:name="OLE_LINK425"/>
      <w:r w:rsidRPr="00566E2C">
        <w:rPr>
          <w:rFonts w:ascii="Book Antiqua" w:hAnsi="Book Antiqua"/>
          <w:color w:val="000000"/>
          <w:kern w:val="0"/>
          <w:sz w:val="24"/>
          <w:szCs w:val="24"/>
        </w:rPr>
        <w:t>Yang</w:t>
      </w:r>
      <w:r>
        <w:rPr>
          <w:rFonts w:ascii="Book Antiqua" w:hAnsi="Book Antiqua" w:hint="eastAsia"/>
          <w:color w:val="000000"/>
          <w:kern w:val="0"/>
          <w:sz w:val="24"/>
          <w:szCs w:val="24"/>
        </w:rPr>
        <w:t xml:space="preserve"> GT, </w:t>
      </w:r>
      <w:r w:rsidRPr="00566E2C">
        <w:rPr>
          <w:rFonts w:ascii="Book Antiqua" w:hAnsi="Book Antiqua"/>
          <w:color w:val="000000"/>
          <w:kern w:val="0"/>
          <w:sz w:val="24"/>
          <w:szCs w:val="24"/>
        </w:rPr>
        <w:t>Zhao</w:t>
      </w:r>
      <w:r>
        <w:rPr>
          <w:rFonts w:ascii="Book Antiqua" w:hAnsi="Book Antiqua" w:hint="eastAsia"/>
          <w:color w:val="000000"/>
          <w:kern w:val="0"/>
          <w:sz w:val="24"/>
          <w:szCs w:val="24"/>
        </w:rPr>
        <w:t xml:space="preserve"> HY, </w:t>
      </w:r>
      <w:r w:rsidRPr="00566E2C">
        <w:rPr>
          <w:rFonts w:ascii="Book Antiqua" w:hAnsi="Book Antiqua"/>
          <w:color w:val="000000"/>
          <w:kern w:val="0"/>
          <w:sz w:val="24"/>
          <w:szCs w:val="24"/>
        </w:rPr>
        <w:t>Kong</w:t>
      </w:r>
      <w:r>
        <w:rPr>
          <w:rFonts w:ascii="Book Antiqua" w:hAnsi="Book Antiqua" w:hint="eastAsia"/>
          <w:color w:val="000000"/>
          <w:kern w:val="0"/>
          <w:sz w:val="24"/>
          <w:szCs w:val="24"/>
        </w:rPr>
        <w:t xml:space="preserve"> Y, </w:t>
      </w:r>
      <w:r w:rsidRPr="00566E2C">
        <w:rPr>
          <w:rFonts w:ascii="Book Antiqua" w:hAnsi="Book Antiqua"/>
          <w:color w:val="000000"/>
          <w:kern w:val="0"/>
          <w:sz w:val="24"/>
          <w:szCs w:val="24"/>
        </w:rPr>
        <w:t>Sun</w:t>
      </w:r>
      <w:r>
        <w:rPr>
          <w:rFonts w:ascii="Book Antiqua" w:hAnsi="Book Antiqua" w:hint="eastAsia"/>
          <w:color w:val="000000"/>
          <w:kern w:val="0"/>
          <w:sz w:val="24"/>
          <w:szCs w:val="24"/>
        </w:rPr>
        <w:t xml:space="preserve"> NN, </w:t>
      </w:r>
      <w:r w:rsidRPr="00566E2C">
        <w:rPr>
          <w:rFonts w:ascii="Book Antiqua" w:hAnsi="Book Antiqua"/>
          <w:color w:val="000000"/>
          <w:kern w:val="0"/>
          <w:sz w:val="24"/>
          <w:szCs w:val="24"/>
        </w:rPr>
        <w:t>Dong</w:t>
      </w:r>
      <w:r>
        <w:rPr>
          <w:rFonts w:ascii="Book Antiqua" w:hAnsi="Book Antiqua" w:hint="eastAsia"/>
          <w:color w:val="000000"/>
          <w:kern w:val="0"/>
          <w:sz w:val="24"/>
          <w:szCs w:val="24"/>
        </w:rPr>
        <w:t xml:space="preserve"> AQ. </w:t>
      </w:r>
      <w:r w:rsidRPr="001D6E50">
        <w:rPr>
          <w:rFonts w:ascii="Book Antiqua" w:hAnsi="Book Antiqua"/>
          <w:color w:val="000000"/>
          <w:kern w:val="0"/>
          <w:sz w:val="24"/>
          <w:szCs w:val="24"/>
        </w:rPr>
        <w:t>Study of the effects of nesfatin-1 on gastric function in obeserats</w:t>
      </w:r>
      <w:r>
        <w:rPr>
          <w:rFonts w:ascii="Book Antiqua" w:hAnsi="Book Antiqua" w:hint="eastAsia"/>
          <w:color w:val="000000"/>
          <w:kern w:val="0"/>
          <w:sz w:val="24"/>
          <w:szCs w:val="24"/>
        </w:rPr>
        <w:t xml:space="preserve">. </w:t>
      </w:r>
      <w:r w:rsidRPr="001D6E50">
        <w:rPr>
          <w:rFonts w:ascii="Book Antiqua" w:hAnsi="Book Antiqua" w:cs="SimSun" w:hint="eastAsia"/>
          <w:b/>
          <w:i/>
          <w:color w:val="000000"/>
          <w:sz w:val="24"/>
          <w:szCs w:val="24"/>
        </w:rPr>
        <w:t xml:space="preserve"> </w:t>
      </w:r>
      <w:r w:rsidR="00566E2C" w:rsidRPr="00712F63">
        <w:rPr>
          <w:rFonts w:ascii="Book Antiqua" w:hAnsi="Book Antiqua"/>
          <w:i/>
          <w:sz w:val="24"/>
        </w:rPr>
        <w:t>World J Gastroenterol</w:t>
      </w:r>
      <w:r w:rsidR="00566E2C" w:rsidRPr="00712F63">
        <w:rPr>
          <w:rFonts w:ascii="Book Antiqua" w:hAnsi="Book Antiqua"/>
          <w:sz w:val="24"/>
        </w:rPr>
        <w:t xml:space="preserve"> 201</w:t>
      </w:r>
      <w:r>
        <w:rPr>
          <w:rFonts w:ascii="Book Antiqua" w:hAnsi="Book Antiqua" w:hint="eastAsia"/>
          <w:sz w:val="24"/>
        </w:rPr>
        <w:t>7</w:t>
      </w:r>
      <w:r w:rsidR="00566E2C" w:rsidRPr="00712F63">
        <w:rPr>
          <w:rFonts w:ascii="Book Antiqua" w:hAnsi="Book Antiqua"/>
          <w:sz w:val="24"/>
        </w:rPr>
        <w:t xml:space="preserve">; </w:t>
      </w:r>
      <w:bookmarkStart w:id="52" w:name="OLE_LINK1689"/>
      <w:bookmarkStart w:id="53" w:name="OLE_LINK1298"/>
      <w:bookmarkStart w:id="54" w:name="OLE_LINK1297"/>
      <w:r w:rsidR="00566E2C" w:rsidRPr="00712F63">
        <w:rPr>
          <w:rFonts w:ascii="Book Antiqua" w:hAnsi="Book Antiqua"/>
          <w:sz w:val="24"/>
        </w:rPr>
        <w:t>In press</w:t>
      </w:r>
      <w:bookmarkEnd w:id="52"/>
      <w:bookmarkEnd w:id="53"/>
      <w:bookmarkEnd w:id="54"/>
    </w:p>
    <w:bookmarkEnd w:id="44"/>
    <w:bookmarkEnd w:id="45"/>
    <w:bookmarkEnd w:id="46"/>
    <w:bookmarkEnd w:id="47"/>
    <w:bookmarkEnd w:id="48"/>
    <w:bookmarkEnd w:id="49"/>
    <w:bookmarkEnd w:id="50"/>
    <w:bookmarkEnd w:id="51"/>
    <w:p w:rsidR="00566E2C" w:rsidRDefault="00566E2C" w:rsidP="001D6E50">
      <w:pPr>
        <w:spacing w:line="360" w:lineRule="auto"/>
        <w:rPr>
          <w:rFonts w:ascii="Book Antiqua" w:hAnsi="Book Antiqua"/>
          <w:sz w:val="24"/>
          <w:szCs w:val="24"/>
        </w:rPr>
      </w:pPr>
    </w:p>
    <w:p w:rsidR="00566E2C" w:rsidRPr="00712F63" w:rsidRDefault="001D6E50" w:rsidP="001D6E50">
      <w:pPr>
        <w:spacing w:line="360" w:lineRule="auto"/>
        <w:rPr>
          <w:rFonts w:ascii="Book Antiqua" w:hAnsi="Book Antiqua"/>
          <w:b/>
          <w:sz w:val="24"/>
        </w:rPr>
      </w:pPr>
      <w:r>
        <w:rPr>
          <w:rFonts w:ascii="Book Antiqua" w:hAnsi="Book Antiqua"/>
          <w:b/>
          <w:sz w:val="24"/>
        </w:rPr>
        <w:br w:type="page"/>
      </w:r>
      <w:r w:rsidR="00566E2C" w:rsidRPr="00712F63">
        <w:rPr>
          <w:rFonts w:ascii="Book Antiqua" w:hAnsi="Book Antiqua"/>
          <w:b/>
          <w:sz w:val="24"/>
        </w:rPr>
        <w:lastRenderedPageBreak/>
        <w:t>INTRODUCTION</w:t>
      </w:r>
    </w:p>
    <w:p w:rsidR="00D03341" w:rsidRPr="00566E2C" w:rsidRDefault="00D03341" w:rsidP="001D6E50">
      <w:pPr>
        <w:spacing w:line="360" w:lineRule="auto"/>
        <w:rPr>
          <w:rFonts w:ascii="Book Antiqua" w:hAnsi="Book Antiqua"/>
          <w:sz w:val="24"/>
          <w:szCs w:val="24"/>
        </w:rPr>
      </w:pPr>
      <w:r w:rsidRPr="00566E2C">
        <w:rPr>
          <w:rFonts w:ascii="Book Antiqua" w:hAnsi="Book Antiqua"/>
          <w:sz w:val="24"/>
          <w:szCs w:val="24"/>
        </w:rPr>
        <w:t>Obesity is a global public health priority. With the improvement of people’s living standard, the number of obese Chinese has grown at 38.1% annually over the past years</w:t>
      </w:r>
      <w:r w:rsidRPr="00566E2C">
        <w:rPr>
          <w:rFonts w:ascii="Book Antiqua" w:hAnsi="Book Antiqua"/>
          <w:noProof/>
          <w:sz w:val="24"/>
          <w:szCs w:val="24"/>
          <w:vertAlign w:val="superscript"/>
        </w:rPr>
        <w:t>[1-4]</w:t>
      </w:r>
      <w:r w:rsidRPr="00566E2C">
        <w:rPr>
          <w:rFonts w:ascii="Book Antiqua" w:hAnsi="Book Antiqua"/>
          <w:sz w:val="24"/>
          <w:szCs w:val="24"/>
        </w:rPr>
        <w:t>.</w:t>
      </w:r>
      <w:r w:rsidR="00FB2A00">
        <w:rPr>
          <w:rFonts w:ascii="Book Antiqua" w:hAnsi="Book Antiqua" w:hint="eastAsia"/>
          <w:sz w:val="24"/>
          <w:szCs w:val="24"/>
        </w:rPr>
        <w:t xml:space="preserve"> </w:t>
      </w:r>
      <w:r w:rsidRPr="00566E2C">
        <w:rPr>
          <w:rFonts w:ascii="Book Antiqua" w:hAnsi="Book Antiqua"/>
          <w:sz w:val="24"/>
          <w:szCs w:val="24"/>
        </w:rPr>
        <w:t>Thus, it is significant to carry out studies on mechanisms linked to obesity.</w:t>
      </w:r>
      <w:r w:rsidR="00FB2A00">
        <w:rPr>
          <w:rFonts w:ascii="Book Antiqua" w:hAnsi="Book Antiqua" w:hint="eastAsia"/>
          <w:sz w:val="24"/>
          <w:szCs w:val="24"/>
        </w:rPr>
        <w:t xml:space="preserve"> </w:t>
      </w:r>
      <w:r w:rsidRPr="00566E2C">
        <w:rPr>
          <w:rFonts w:ascii="Book Antiqua" w:hAnsi="Book Antiqua"/>
          <w:sz w:val="24"/>
          <w:szCs w:val="24"/>
        </w:rPr>
        <w:t>Nesfatin-1, a new anorectic peptide found in 2006, has been proven</w:t>
      </w:r>
      <w:r w:rsidR="00360F76">
        <w:rPr>
          <w:rFonts w:ascii="Book Antiqua" w:hAnsi="Book Antiqua" w:hint="eastAsia"/>
          <w:sz w:val="24"/>
          <w:szCs w:val="24"/>
        </w:rPr>
        <w:t xml:space="preserve"> </w:t>
      </w:r>
      <w:r w:rsidRPr="00566E2C">
        <w:rPr>
          <w:rFonts w:ascii="Book Antiqua" w:hAnsi="Book Antiqua"/>
          <w:sz w:val="24"/>
          <w:szCs w:val="24"/>
        </w:rPr>
        <w:t>as an inhibitor of food intake</w:t>
      </w:r>
      <w:r w:rsidRPr="00566E2C">
        <w:rPr>
          <w:rFonts w:ascii="Book Antiqua" w:hAnsi="Book Antiqua"/>
          <w:noProof/>
          <w:sz w:val="24"/>
          <w:szCs w:val="24"/>
          <w:vertAlign w:val="superscript"/>
        </w:rPr>
        <w:t>[5-8]</w:t>
      </w:r>
      <w:r w:rsidRPr="00566E2C">
        <w:rPr>
          <w:rFonts w:ascii="Book Antiqua" w:hAnsi="Book Antiqua"/>
          <w:sz w:val="24"/>
          <w:szCs w:val="24"/>
        </w:rPr>
        <w:t>. Nesfatin-1 can be expressed in peripheral organs such as</w:t>
      </w:r>
      <w:r w:rsidR="00360F76">
        <w:rPr>
          <w:rFonts w:ascii="Book Antiqua" w:hAnsi="Book Antiqua" w:hint="eastAsia"/>
          <w:sz w:val="24"/>
          <w:szCs w:val="24"/>
        </w:rPr>
        <w:t xml:space="preserve"> </w:t>
      </w:r>
      <w:r w:rsidRPr="00566E2C">
        <w:rPr>
          <w:rFonts w:ascii="Book Antiqua" w:hAnsi="Book Antiqua"/>
          <w:sz w:val="24"/>
          <w:szCs w:val="24"/>
        </w:rPr>
        <w:t>the gastrointestinal tract, and plays a role in the regulation of many physiological processes such as carbohydrate metabolism, im</w:t>
      </w:r>
      <w:r w:rsidR="001D6E50">
        <w:rPr>
          <w:rFonts w:ascii="Book Antiqua" w:hAnsi="Book Antiqua"/>
          <w:sz w:val="24"/>
          <w:szCs w:val="24"/>
        </w:rPr>
        <w:t>munity, and the digestive tract</w:t>
      </w:r>
      <w:r w:rsidRPr="00566E2C">
        <w:rPr>
          <w:rFonts w:ascii="Book Antiqua" w:hAnsi="Book Antiqua"/>
          <w:noProof/>
          <w:sz w:val="24"/>
          <w:szCs w:val="24"/>
          <w:vertAlign w:val="superscript"/>
        </w:rPr>
        <w:t>[9-13]</w:t>
      </w:r>
      <w:r w:rsidRPr="00566E2C">
        <w:rPr>
          <w:rFonts w:ascii="Book Antiqua" w:hAnsi="Book Antiqua"/>
          <w:sz w:val="24"/>
          <w:szCs w:val="24"/>
        </w:rPr>
        <w:t>. Studies</w:t>
      </w:r>
      <w:r w:rsidR="00360F76">
        <w:rPr>
          <w:rFonts w:ascii="Book Antiqua" w:hAnsi="Book Antiqua" w:hint="eastAsia"/>
          <w:sz w:val="24"/>
          <w:szCs w:val="24"/>
        </w:rPr>
        <w:t xml:space="preserve"> </w:t>
      </w:r>
      <w:r w:rsidRPr="00566E2C">
        <w:rPr>
          <w:rFonts w:ascii="Book Antiqua" w:hAnsi="Book Antiqua"/>
          <w:sz w:val="24"/>
          <w:szCs w:val="24"/>
        </w:rPr>
        <w:t>have shown that nesfatin-1 mRNA, together with Ghrelin somatostatin and histidine decarboxylase, which regulates gastric acid secretion</w:t>
      </w:r>
      <w:r w:rsidR="00360F76">
        <w:rPr>
          <w:rFonts w:ascii="Book Antiqua" w:hAnsi="Book Antiqua" w:hint="eastAsia"/>
          <w:sz w:val="24"/>
          <w:szCs w:val="24"/>
        </w:rPr>
        <w:t xml:space="preserve"> </w:t>
      </w:r>
      <w:r w:rsidRPr="00566E2C">
        <w:rPr>
          <w:rFonts w:ascii="Book Antiqua" w:hAnsi="Book Antiqua"/>
          <w:sz w:val="24"/>
          <w:szCs w:val="24"/>
        </w:rPr>
        <w:t>,are co-expressed in oxyntic glands in the fundus of the stomach. That comes to mean that Nesfati-1 may be also involved in gastric acid secretion</w:t>
      </w:r>
      <w:r w:rsidRPr="00566E2C">
        <w:rPr>
          <w:rFonts w:ascii="Book Antiqua" w:hAnsi="Book Antiqua"/>
          <w:noProof/>
          <w:sz w:val="24"/>
          <w:szCs w:val="24"/>
          <w:vertAlign w:val="superscript"/>
        </w:rPr>
        <w:t>[14-16]</w:t>
      </w:r>
      <w:r w:rsidRPr="00566E2C">
        <w:rPr>
          <w:rFonts w:ascii="Book Antiqua" w:hAnsi="Book Antiqua"/>
          <w:sz w:val="24"/>
          <w:szCs w:val="24"/>
        </w:rPr>
        <w:t xml:space="preserve">. </w:t>
      </w:r>
      <w:r w:rsidRPr="00566E2C">
        <w:rPr>
          <w:rFonts w:ascii="Book Antiqua" w:hAnsi="Book Antiqua"/>
          <w:i/>
          <w:sz w:val="24"/>
          <w:szCs w:val="24"/>
        </w:rPr>
        <w:t>In vitro</w:t>
      </w:r>
      <w:r w:rsidRPr="00566E2C">
        <w:rPr>
          <w:rFonts w:ascii="Book Antiqua" w:hAnsi="Book Antiqua"/>
          <w:sz w:val="24"/>
          <w:szCs w:val="24"/>
        </w:rPr>
        <w:t xml:space="preserve"> studies have shown that nesfatin-1 can inhibit the expression of </w:t>
      </w:r>
      <w:r w:rsidRPr="00566E2C">
        <w:rPr>
          <w:rFonts w:ascii="Book Antiqua" w:hAnsi="Book Antiqua"/>
          <w:bCs/>
          <w:color w:val="252525"/>
          <w:sz w:val="24"/>
          <w:szCs w:val="24"/>
          <w:shd w:val="clear" w:color="auto" w:fill="FFFFFF"/>
        </w:rPr>
        <w:t>H</w:t>
      </w:r>
      <w:r w:rsidRPr="00566E2C">
        <w:rPr>
          <w:rFonts w:ascii="Book Antiqua" w:hAnsi="Book Antiqua"/>
          <w:bCs/>
          <w:color w:val="252525"/>
          <w:sz w:val="24"/>
          <w:szCs w:val="24"/>
          <w:shd w:val="clear" w:color="auto" w:fill="FFFFFF"/>
          <w:vertAlign w:val="superscript"/>
        </w:rPr>
        <w:t>+</w:t>
      </w:r>
      <w:r w:rsidRPr="00566E2C">
        <w:rPr>
          <w:rFonts w:ascii="Book Antiqua" w:hAnsi="Book Antiqua"/>
          <w:bCs/>
          <w:color w:val="252525"/>
          <w:sz w:val="24"/>
          <w:szCs w:val="24"/>
          <w:shd w:val="clear" w:color="auto" w:fill="FFFFFF"/>
        </w:rPr>
        <w:t>/K</w:t>
      </w:r>
      <w:r w:rsidRPr="00566E2C">
        <w:rPr>
          <w:rFonts w:ascii="Book Antiqua" w:hAnsi="Book Antiqua"/>
          <w:bCs/>
          <w:color w:val="252525"/>
          <w:sz w:val="24"/>
          <w:szCs w:val="24"/>
          <w:shd w:val="clear" w:color="auto" w:fill="FFFFFF"/>
          <w:vertAlign w:val="superscript"/>
        </w:rPr>
        <w:t>+</w:t>
      </w:r>
      <w:r w:rsidRPr="00566E2C">
        <w:rPr>
          <w:rStyle w:val="apple-converted-space"/>
          <w:rFonts w:ascii="Book Antiqua" w:hAnsi="Book Antiqua"/>
          <w:bCs/>
          <w:color w:val="252525"/>
          <w:sz w:val="24"/>
          <w:szCs w:val="24"/>
          <w:shd w:val="clear" w:color="auto" w:fill="FFFFFF"/>
        </w:rPr>
        <w:t> </w:t>
      </w:r>
      <w:r w:rsidRPr="00566E2C">
        <w:rPr>
          <w:rFonts w:ascii="Book Antiqua" w:hAnsi="Book Antiqua"/>
          <w:bCs/>
          <w:color w:val="252525"/>
          <w:sz w:val="24"/>
          <w:szCs w:val="24"/>
          <w:shd w:val="clear" w:color="auto" w:fill="FFFFFF"/>
        </w:rPr>
        <w:t>ATPase to</w:t>
      </w:r>
      <w:r w:rsidR="00360F76">
        <w:rPr>
          <w:rFonts w:ascii="Book Antiqua" w:hAnsi="Book Antiqua" w:hint="eastAsia"/>
          <w:bCs/>
          <w:color w:val="252525"/>
          <w:sz w:val="24"/>
          <w:szCs w:val="24"/>
          <w:shd w:val="clear" w:color="auto" w:fill="FFFFFF"/>
        </w:rPr>
        <w:t xml:space="preserve"> </w:t>
      </w:r>
      <w:r w:rsidRPr="00566E2C">
        <w:rPr>
          <w:rFonts w:ascii="Book Antiqua" w:hAnsi="Book Antiqua"/>
          <w:sz w:val="24"/>
          <w:szCs w:val="24"/>
        </w:rPr>
        <w:t xml:space="preserve">block gastric acid secretion induced by histamine, as oxyntic cells of </w:t>
      </w:r>
      <w:r w:rsidR="001D6E50">
        <w:rPr>
          <w:rFonts w:ascii="Book Antiqua" w:hAnsi="Book Antiqua"/>
          <w:sz w:val="24"/>
          <w:szCs w:val="24"/>
        </w:rPr>
        <w:t>the glands secrete gastric acid</w:t>
      </w:r>
      <w:r w:rsidR="001D6E50">
        <w:rPr>
          <w:rFonts w:ascii="Book Antiqua" w:hAnsi="Book Antiqua"/>
          <w:noProof/>
          <w:sz w:val="24"/>
          <w:szCs w:val="24"/>
          <w:vertAlign w:val="superscript"/>
        </w:rPr>
        <w:t>[17,</w:t>
      </w:r>
      <w:r w:rsidRPr="00566E2C">
        <w:rPr>
          <w:rFonts w:ascii="Book Antiqua" w:hAnsi="Book Antiqua"/>
          <w:noProof/>
          <w:sz w:val="24"/>
          <w:szCs w:val="24"/>
          <w:vertAlign w:val="superscript"/>
        </w:rPr>
        <w:t>18]</w:t>
      </w:r>
      <w:r w:rsidRPr="00566E2C">
        <w:rPr>
          <w:rFonts w:ascii="Book Antiqua" w:hAnsi="Book Antiqua"/>
          <w:sz w:val="24"/>
          <w:szCs w:val="24"/>
        </w:rPr>
        <w:t>. Researchers have also found that the lateral intracerebroventricular injection of nesfatin-1 can reduce the ga</w:t>
      </w:r>
      <w:r w:rsidR="001D6E50">
        <w:rPr>
          <w:rFonts w:ascii="Book Antiqua" w:hAnsi="Book Antiqua"/>
          <w:sz w:val="24"/>
          <w:szCs w:val="24"/>
        </w:rPr>
        <w:t>strointestinal mobility of rats</w:t>
      </w:r>
      <w:r w:rsidRPr="00566E2C">
        <w:rPr>
          <w:rFonts w:ascii="Book Antiqua" w:hAnsi="Book Antiqua"/>
          <w:noProof/>
          <w:sz w:val="24"/>
          <w:szCs w:val="24"/>
          <w:vertAlign w:val="superscript"/>
        </w:rPr>
        <w:t>[19]</w:t>
      </w:r>
      <w:r w:rsidRPr="00566E2C">
        <w:rPr>
          <w:rFonts w:ascii="Book Antiqua" w:hAnsi="Book Antiqua"/>
          <w:sz w:val="24"/>
          <w:szCs w:val="24"/>
        </w:rPr>
        <w:t>. However, the clinical use of nesfatin-1 is limited, since</w:t>
      </w:r>
      <w:r w:rsidR="00360F76">
        <w:rPr>
          <w:rFonts w:ascii="Book Antiqua" w:hAnsi="Book Antiqua" w:hint="eastAsia"/>
          <w:sz w:val="24"/>
          <w:szCs w:val="24"/>
        </w:rPr>
        <w:t xml:space="preserve"> </w:t>
      </w:r>
      <w:r w:rsidRPr="00566E2C">
        <w:rPr>
          <w:rFonts w:ascii="Book Antiqua" w:hAnsi="Book Antiqua"/>
          <w:sz w:val="24"/>
          <w:szCs w:val="24"/>
        </w:rPr>
        <w:t>it remains unknown whether the routes of administration of nesfatin-1 influence gastric emptying, and how and when this would</w:t>
      </w:r>
      <w:r w:rsidR="00360F76">
        <w:rPr>
          <w:rFonts w:ascii="Book Antiqua" w:hAnsi="Book Antiqua" w:hint="eastAsia"/>
          <w:sz w:val="24"/>
          <w:szCs w:val="24"/>
        </w:rPr>
        <w:t xml:space="preserve"> </w:t>
      </w:r>
      <w:r w:rsidRPr="00566E2C">
        <w:rPr>
          <w:rFonts w:ascii="Book Antiqua" w:hAnsi="Book Antiqua"/>
          <w:sz w:val="24"/>
          <w:szCs w:val="24"/>
        </w:rPr>
        <w:t>affect gastric functions. Therefore, the present study focuses on the effects of the routes of drug administration and drug concentration on gastric functions, as well as the potential mechanisms, in order to provide a preliminary theoretical basis for further studies for determining hownesfatin-1 acts and the development of possible drugs for the treatment of obesity.</w:t>
      </w:r>
    </w:p>
    <w:p w:rsidR="00D03341" w:rsidRPr="00566E2C" w:rsidRDefault="00D03341" w:rsidP="001D6E50">
      <w:pPr>
        <w:spacing w:line="360" w:lineRule="auto"/>
        <w:ind w:firstLineChars="200" w:firstLine="480"/>
        <w:rPr>
          <w:rFonts w:ascii="Book Antiqua" w:hAnsi="Book Antiqua"/>
          <w:sz w:val="24"/>
          <w:szCs w:val="24"/>
        </w:rPr>
      </w:pPr>
    </w:p>
    <w:p w:rsidR="001D6E50" w:rsidRDefault="001D6E50" w:rsidP="001D6E50">
      <w:pPr>
        <w:spacing w:line="360" w:lineRule="auto"/>
        <w:rPr>
          <w:rFonts w:ascii="Book Antiqua" w:hAnsi="Book Antiqua"/>
          <w:b/>
          <w:sz w:val="24"/>
          <w:szCs w:val="24"/>
        </w:rPr>
      </w:pPr>
      <w:r w:rsidRPr="001D6E50">
        <w:rPr>
          <w:rFonts w:ascii="Book Antiqua" w:hAnsi="Book Antiqua"/>
          <w:b/>
          <w:sz w:val="24"/>
          <w:szCs w:val="24"/>
        </w:rPr>
        <w:t>MATERIALS AND METHODS</w:t>
      </w:r>
    </w:p>
    <w:p w:rsidR="00D03341" w:rsidRPr="001D6E50" w:rsidRDefault="00D03341" w:rsidP="001D6E50">
      <w:pPr>
        <w:spacing w:line="360" w:lineRule="auto"/>
        <w:rPr>
          <w:rFonts w:ascii="Book Antiqua" w:hAnsi="Book Antiqua"/>
          <w:b/>
          <w:i/>
          <w:sz w:val="24"/>
          <w:szCs w:val="24"/>
        </w:rPr>
      </w:pPr>
      <w:r w:rsidRPr="001D6E50">
        <w:rPr>
          <w:rFonts w:ascii="Book Antiqua" w:hAnsi="Book Antiqua"/>
          <w:b/>
          <w:i/>
          <w:sz w:val="24"/>
          <w:szCs w:val="24"/>
        </w:rPr>
        <w:t xml:space="preserve">Materials </w:t>
      </w:r>
    </w:p>
    <w:p w:rsidR="00D03341" w:rsidRDefault="00D03341" w:rsidP="001D6E50">
      <w:pPr>
        <w:spacing w:line="360" w:lineRule="auto"/>
        <w:rPr>
          <w:rFonts w:ascii="Book Antiqua" w:hAnsi="Book Antiqua"/>
          <w:bCs/>
          <w:color w:val="252525"/>
          <w:sz w:val="24"/>
          <w:szCs w:val="24"/>
          <w:shd w:val="clear" w:color="auto" w:fill="FFFFFF"/>
        </w:rPr>
      </w:pPr>
      <w:r w:rsidRPr="00566E2C">
        <w:rPr>
          <w:rFonts w:ascii="Book Antiqua" w:hAnsi="Book Antiqua"/>
          <w:sz w:val="24"/>
          <w:szCs w:val="24"/>
        </w:rPr>
        <w:t>Healthy and weaned Sprague Dawley (SD) rats, weighing 50</w:t>
      </w:r>
      <w:r w:rsidR="001D6E50">
        <w:rPr>
          <w:rFonts w:ascii="Book Antiqua" w:hAnsi="Book Antiqua" w:hint="eastAsia"/>
          <w:sz w:val="24"/>
          <w:szCs w:val="24"/>
        </w:rPr>
        <w:t xml:space="preserve"> </w:t>
      </w:r>
      <w:r w:rsidRPr="00566E2C">
        <w:rPr>
          <w:rFonts w:ascii="Book Antiqua" w:hAnsi="Book Antiqua"/>
          <w:sz w:val="24"/>
          <w:szCs w:val="24"/>
        </w:rPr>
        <w:t xml:space="preserve">g, were provided by the experimental animal center of Anhui Medical University </w:t>
      </w:r>
      <w:r w:rsidRPr="00566E2C">
        <w:rPr>
          <w:rFonts w:ascii="Book Antiqua" w:hAnsi="Book Antiqua"/>
          <w:sz w:val="24"/>
          <w:szCs w:val="24"/>
        </w:rPr>
        <w:lastRenderedPageBreak/>
        <w:t>(Permit number: SYXK (e) 2012-002). Animals were housed in a controlled environment in collective cages (five rats in each cage) at 23</w:t>
      </w:r>
      <w:r w:rsidR="001D6E50">
        <w:rPr>
          <w:rFonts w:ascii="Book Antiqua" w:hAnsi="Book Antiqua" w:hint="eastAsia"/>
          <w:sz w:val="24"/>
          <w:szCs w:val="24"/>
        </w:rPr>
        <w:t xml:space="preserve"> </w:t>
      </w:r>
      <w:r w:rsidRPr="00566E2C">
        <w:rPr>
          <w:rFonts w:ascii="Book Antiqua" w:hAnsi="Book Antiqua"/>
          <w:sz w:val="24"/>
          <w:szCs w:val="24"/>
        </w:rPr>
        <w:t>±</w:t>
      </w:r>
      <w:r w:rsidR="001D6E50">
        <w:rPr>
          <w:rFonts w:ascii="Book Antiqua" w:hAnsi="Book Antiqua" w:hint="eastAsia"/>
          <w:sz w:val="24"/>
          <w:szCs w:val="24"/>
        </w:rPr>
        <w:t xml:space="preserve"> </w:t>
      </w:r>
      <w:r w:rsidRPr="00566E2C">
        <w:rPr>
          <w:rFonts w:ascii="Book Antiqua" w:hAnsi="Book Antiqua"/>
          <w:sz w:val="24"/>
          <w:szCs w:val="24"/>
        </w:rPr>
        <w:t>2</w:t>
      </w:r>
      <w:r w:rsidRPr="00566E2C">
        <w:rPr>
          <w:rFonts w:ascii="Book Antiqua" w:hAnsi="Book Antiqua"/>
          <w:sz w:val="24"/>
          <w:szCs w:val="24"/>
        </w:rPr>
        <w:sym w:font="Symbol" w:char="F0B0"/>
      </w:r>
      <w:r w:rsidRPr="00566E2C">
        <w:rPr>
          <w:rFonts w:ascii="Book Antiqua" w:hAnsi="Book Antiqua"/>
          <w:sz w:val="24"/>
          <w:szCs w:val="24"/>
        </w:rPr>
        <w:t>C</w:t>
      </w:r>
      <w:r w:rsidR="00360F76">
        <w:rPr>
          <w:rFonts w:ascii="Book Antiqua" w:hAnsi="Book Antiqua" w:hint="eastAsia"/>
          <w:sz w:val="24"/>
          <w:szCs w:val="24"/>
        </w:rPr>
        <w:t xml:space="preserve"> </w:t>
      </w:r>
      <w:r w:rsidRPr="00566E2C">
        <w:rPr>
          <w:rFonts w:ascii="Book Antiqua" w:hAnsi="Book Antiqua"/>
          <w:sz w:val="24"/>
          <w:szCs w:val="24"/>
        </w:rPr>
        <w:t>with</w:t>
      </w:r>
      <w:r w:rsidR="00360F76">
        <w:rPr>
          <w:rFonts w:ascii="Book Antiqua" w:hAnsi="Book Antiqua" w:hint="eastAsia"/>
          <w:sz w:val="24"/>
          <w:szCs w:val="24"/>
        </w:rPr>
        <w:t xml:space="preserve"> </w:t>
      </w:r>
      <w:r w:rsidR="00360F76">
        <w:rPr>
          <w:rFonts w:ascii="Book Antiqua" w:hAnsi="Book Antiqua"/>
          <w:sz w:val="24"/>
          <w:szCs w:val="24"/>
        </w:rPr>
        <w:t>a 12-h</w:t>
      </w:r>
      <w:r w:rsidRPr="00566E2C">
        <w:rPr>
          <w:rFonts w:ascii="Book Antiqua" w:hAnsi="Book Antiqua"/>
          <w:sz w:val="24"/>
          <w:szCs w:val="24"/>
        </w:rPr>
        <w:t xml:space="preserve"> light/dark cycle. Rats were allowed to acclimate to these conditions for a week before being randomized into experimental groups. Phenol red was purchased from TiangenBiotech (Beijing). Five mg of</w:t>
      </w:r>
      <w:r w:rsidR="00360F76">
        <w:rPr>
          <w:rFonts w:ascii="Book Antiqua" w:hAnsi="Book Antiqua" w:hint="eastAsia"/>
          <w:sz w:val="24"/>
          <w:szCs w:val="24"/>
        </w:rPr>
        <w:t xml:space="preserve"> </w:t>
      </w:r>
      <w:r w:rsidRPr="00566E2C">
        <w:rPr>
          <w:rFonts w:ascii="Book Antiqua" w:hAnsi="Book Antiqua"/>
          <w:sz w:val="24"/>
          <w:szCs w:val="24"/>
        </w:rPr>
        <w:t>phenol red was dissolved in1.5% methylcellulose to produce the methylcellulose-phenol red solution (100</w:t>
      </w:r>
      <w:r w:rsidR="001D6E50">
        <w:rPr>
          <w:rFonts w:ascii="Book Antiqua" w:hAnsi="Book Antiqua" w:hint="eastAsia"/>
          <w:sz w:val="24"/>
          <w:szCs w:val="24"/>
        </w:rPr>
        <w:t xml:space="preserve"> </w:t>
      </w:r>
      <w:r w:rsidRPr="00566E2C">
        <w:rPr>
          <w:rFonts w:ascii="Book Antiqua" w:hAnsi="Book Antiqua"/>
          <w:sz w:val="24"/>
          <w:szCs w:val="24"/>
        </w:rPr>
        <w:t>m</w:t>
      </w:r>
      <w:r w:rsidR="001D6E50" w:rsidRPr="00566E2C">
        <w:rPr>
          <w:rFonts w:ascii="Book Antiqua" w:hAnsi="Book Antiqua"/>
          <w:sz w:val="24"/>
          <w:szCs w:val="24"/>
        </w:rPr>
        <w:t>L</w:t>
      </w:r>
      <w:r w:rsidRPr="00566E2C">
        <w:rPr>
          <w:rFonts w:ascii="Book Antiqua" w:hAnsi="Book Antiqua"/>
          <w:sz w:val="24"/>
          <w:szCs w:val="24"/>
        </w:rPr>
        <w:t>, 50</w:t>
      </w:r>
      <w:r w:rsidR="001D6E50">
        <w:rPr>
          <w:rFonts w:ascii="Book Antiqua" w:hAnsi="Book Antiqua" w:hint="eastAsia"/>
          <w:sz w:val="24"/>
          <w:szCs w:val="24"/>
        </w:rPr>
        <w:t xml:space="preserve"> </w:t>
      </w:r>
      <w:r w:rsidRPr="00566E2C">
        <w:rPr>
          <w:rFonts w:ascii="Book Antiqua" w:hAnsi="Book Antiqua"/>
          <w:sz w:val="24"/>
          <w:szCs w:val="24"/>
        </w:rPr>
        <w:t>mg/d</w:t>
      </w:r>
      <w:r w:rsidR="001D6E50" w:rsidRPr="00566E2C">
        <w:rPr>
          <w:rFonts w:ascii="Book Antiqua" w:hAnsi="Book Antiqua"/>
          <w:sz w:val="24"/>
          <w:szCs w:val="24"/>
        </w:rPr>
        <w:t>L</w:t>
      </w:r>
      <w:r w:rsidRPr="00566E2C">
        <w:rPr>
          <w:rFonts w:ascii="Book Antiqua" w:hAnsi="Book Antiqua"/>
          <w:sz w:val="24"/>
          <w:szCs w:val="24"/>
        </w:rPr>
        <w:t>). Anti-nesfatin-1 polyclonal antibody (H-003-22) was obtained from American Phoenix Pharmaceuticals</w:t>
      </w:r>
      <w:r w:rsidR="001D6E50">
        <w:rPr>
          <w:rFonts w:ascii="Book Antiqua" w:hAnsi="Book Antiqua" w:hint="eastAsia"/>
          <w:sz w:val="24"/>
          <w:szCs w:val="24"/>
        </w:rPr>
        <w:t xml:space="preserve"> </w:t>
      </w:r>
      <w:r w:rsidRPr="00566E2C">
        <w:rPr>
          <w:rFonts w:ascii="Book Antiqua" w:hAnsi="Book Antiqua"/>
          <w:sz w:val="24"/>
          <w:szCs w:val="24"/>
        </w:rPr>
        <w:t>(</w:t>
      </w:r>
      <w:r w:rsidR="001D6E50" w:rsidRPr="001D6E50">
        <w:rPr>
          <w:rFonts w:ascii="Book Antiqua" w:hAnsi="Book Antiqua"/>
          <w:sz w:val="24"/>
          <w:szCs w:val="24"/>
        </w:rPr>
        <w:t>United States</w:t>
      </w:r>
      <w:r w:rsidRPr="00566E2C">
        <w:rPr>
          <w:rFonts w:ascii="Book Antiqua" w:hAnsi="Book Antiqua"/>
          <w:sz w:val="24"/>
          <w:szCs w:val="24"/>
        </w:rPr>
        <w:t>), Rabbit anti-rat histone polyclonal antibody (ab125260) was purchased from Abcam</w:t>
      </w:r>
      <w:r w:rsidR="001D6E50">
        <w:rPr>
          <w:rFonts w:ascii="Book Antiqua" w:hAnsi="Book Antiqua" w:hint="eastAsia"/>
          <w:sz w:val="24"/>
          <w:szCs w:val="24"/>
        </w:rPr>
        <w:t xml:space="preserve"> </w:t>
      </w:r>
      <w:r w:rsidRPr="00566E2C">
        <w:rPr>
          <w:rFonts w:ascii="Book Antiqua" w:hAnsi="Book Antiqua"/>
          <w:sz w:val="24"/>
          <w:szCs w:val="24"/>
        </w:rPr>
        <w:t>(</w:t>
      </w:r>
      <w:r w:rsidR="001D6E50" w:rsidRPr="001D6E50">
        <w:rPr>
          <w:rFonts w:ascii="Book Antiqua" w:hAnsi="Book Antiqua"/>
          <w:sz w:val="24"/>
          <w:szCs w:val="24"/>
        </w:rPr>
        <w:t>United States</w:t>
      </w:r>
      <w:r w:rsidRPr="00566E2C">
        <w:rPr>
          <w:rFonts w:ascii="Book Antiqua" w:hAnsi="Book Antiqua"/>
          <w:sz w:val="24"/>
          <w:szCs w:val="24"/>
        </w:rPr>
        <w:t xml:space="preserve">), and Rabbit anti-rat </w:t>
      </w:r>
      <w:r w:rsidRPr="00566E2C">
        <w:rPr>
          <w:rFonts w:ascii="Book Antiqua" w:hAnsi="Book Antiqua"/>
          <w:bCs/>
          <w:color w:val="252525"/>
          <w:sz w:val="24"/>
          <w:szCs w:val="24"/>
          <w:shd w:val="clear" w:color="auto" w:fill="FFFFFF"/>
        </w:rPr>
        <w:t>H</w:t>
      </w:r>
      <w:r w:rsidRPr="00566E2C">
        <w:rPr>
          <w:rFonts w:ascii="Book Antiqua" w:hAnsi="Book Antiqua"/>
          <w:bCs/>
          <w:color w:val="252525"/>
          <w:sz w:val="24"/>
          <w:szCs w:val="24"/>
          <w:shd w:val="clear" w:color="auto" w:fill="FFFFFF"/>
          <w:vertAlign w:val="superscript"/>
        </w:rPr>
        <w:t>+</w:t>
      </w:r>
      <w:r w:rsidRPr="00566E2C">
        <w:rPr>
          <w:rFonts w:ascii="Book Antiqua" w:hAnsi="Book Antiqua"/>
          <w:bCs/>
          <w:color w:val="252525"/>
          <w:sz w:val="24"/>
          <w:szCs w:val="24"/>
          <w:shd w:val="clear" w:color="auto" w:fill="FFFFFF"/>
        </w:rPr>
        <w:t>/K</w:t>
      </w:r>
      <w:r w:rsidRPr="00566E2C">
        <w:rPr>
          <w:rFonts w:ascii="Book Antiqua" w:hAnsi="Book Antiqua"/>
          <w:bCs/>
          <w:color w:val="252525"/>
          <w:sz w:val="24"/>
          <w:szCs w:val="24"/>
          <w:shd w:val="clear" w:color="auto" w:fill="FFFFFF"/>
          <w:vertAlign w:val="superscript"/>
        </w:rPr>
        <w:t>+</w:t>
      </w:r>
      <w:r w:rsidRPr="00566E2C">
        <w:rPr>
          <w:rStyle w:val="apple-converted-space"/>
          <w:rFonts w:ascii="Book Antiqua" w:hAnsi="Book Antiqua"/>
          <w:bCs/>
          <w:color w:val="252525"/>
          <w:sz w:val="24"/>
          <w:szCs w:val="24"/>
          <w:shd w:val="clear" w:color="auto" w:fill="FFFFFF"/>
        </w:rPr>
        <w:t> </w:t>
      </w:r>
      <w:r w:rsidRPr="00566E2C">
        <w:rPr>
          <w:rFonts w:ascii="Book Antiqua" w:hAnsi="Book Antiqua"/>
          <w:bCs/>
          <w:color w:val="252525"/>
          <w:sz w:val="24"/>
          <w:szCs w:val="24"/>
          <w:shd w:val="clear" w:color="auto" w:fill="FFFFFF"/>
        </w:rPr>
        <w:t xml:space="preserve">ATPase subunit-βantibody and rabbit </w:t>
      </w:r>
      <w:r w:rsidRPr="00566E2C">
        <w:rPr>
          <w:rFonts w:ascii="Book Antiqua" w:hAnsi="Book Antiqua"/>
          <w:sz w:val="24"/>
          <w:szCs w:val="24"/>
        </w:rPr>
        <w:t xml:space="preserve">anti-rat </w:t>
      </w:r>
      <w:r w:rsidRPr="00566E2C">
        <w:rPr>
          <w:rFonts w:ascii="Book Antiqua" w:hAnsi="Book Antiqua"/>
          <w:bCs/>
          <w:color w:val="252525"/>
          <w:sz w:val="24"/>
          <w:szCs w:val="24"/>
          <w:shd w:val="clear" w:color="auto" w:fill="FFFFFF"/>
        </w:rPr>
        <w:t>H</w:t>
      </w:r>
      <w:r w:rsidRPr="00566E2C">
        <w:rPr>
          <w:rFonts w:ascii="Book Antiqua" w:hAnsi="Book Antiqua"/>
          <w:bCs/>
          <w:color w:val="252525"/>
          <w:sz w:val="24"/>
          <w:szCs w:val="24"/>
          <w:shd w:val="clear" w:color="auto" w:fill="FFFFFF"/>
          <w:vertAlign w:val="superscript"/>
        </w:rPr>
        <w:t>+</w:t>
      </w:r>
      <w:r w:rsidRPr="00566E2C">
        <w:rPr>
          <w:rFonts w:ascii="Book Antiqua" w:hAnsi="Book Antiqua"/>
          <w:bCs/>
          <w:color w:val="252525"/>
          <w:sz w:val="24"/>
          <w:szCs w:val="24"/>
          <w:shd w:val="clear" w:color="auto" w:fill="FFFFFF"/>
        </w:rPr>
        <w:t>/K</w:t>
      </w:r>
      <w:r w:rsidRPr="00566E2C">
        <w:rPr>
          <w:rFonts w:ascii="Book Antiqua" w:hAnsi="Book Antiqua"/>
          <w:bCs/>
          <w:color w:val="252525"/>
          <w:sz w:val="24"/>
          <w:szCs w:val="24"/>
          <w:shd w:val="clear" w:color="auto" w:fill="FFFFFF"/>
          <w:vertAlign w:val="superscript"/>
        </w:rPr>
        <w:t>+</w:t>
      </w:r>
      <w:r w:rsidRPr="00566E2C">
        <w:rPr>
          <w:rStyle w:val="apple-converted-space"/>
          <w:rFonts w:ascii="Book Antiqua" w:hAnsi="Book Antiqua"/>
          <w:bCs/>
          <w:color w:val="252525"/>
          <w:sz w:val="24"/>
          <w:szCs w:val="24"/>
          <w:shd w:val="clear" w:color="auto" w:fill="FFFFFF"/>
        </w:rPr>
        <w:t> </w:t>
      </w:r>
      <w:r w:rsidRPr="00566E2C">
        <w:rPr>
          <w:rFonts w:ascii="Book Antiqua" w:hAnsi="Book Antiqua"/>
          <w:bCs/>
          <w:color w:val="252525"/>
          <w:sz w:val="24"/>
          <w:szCs w:val="24"/>
          <w:shd w:val="clear" w:color="auto" w:fill="FFFFFF"/>
        </w:rPr>
        <w:t>ATPase subunit-αantibody were obtained from Merk</w:t>
      </w:r>
      <w:r w:rsidR="00360F76">
        <w:rPr>
          <w:rFonts w:ascii="Book Antiqua" w:hAnsi="Book Antiqua" w:hint="eastAsia"/>
          <w:bCs/>
          <w:color w:val="252525"/>
          <w:sz w:val="24"/>
          <w:szCs w:val="24"/>
          <w:shd w:val="clear" w:color="auto" w:fill="FFFFFF"/>
        </w:rPr>
        <w:t xml:space="preserve"> </w:t>
      </w:r>
      <w:r w:rsidRPr="00566E2C">
        <w:rPr>
          <w:rFonts w:ascii="Book Antiqua" w:hAnsi="Book Antiqua"/>
          <w:bCs/>
          <w:color w:val="252525"/>
          <w:sz w:val="24"/>
          <w:szCs w:val="24"/>
          <w:shd w:val="clear" w:color="auto" w:fill="FFFFFF"/>
        </w:rPr>
        <w:t>(Germany). These experiments were approved by the institute, and all efforts were made to minimize animal suffering.</w:t>
      </w:r>
    </w:p>
    <w:p w:rsidR="001D6E50" w:rsidRPr="001D6E50" w:rsidRDefault="001D6E50" w:rsidP="001D6E50">
      <w:pPr>
        <w:spacing w:line="360" w:lineRule="auto"/>
        <w:rPr>
          <w:rFonts w:ascii="Book Antiqua" w:hAnsi="Book Antiqua"/>
          <w:b/>
          <w:i/>
          <w:sz w:val="24"/>
          <w:szCs w:val="24"/>
        </w:rPr>
      </w:pPr>
    </w:p>
    <w:p w:rsidR="00D03341" w:rsidRPr="001D6E50" w:rsidRDefault="00D03341" w:rsidP="001D6E50">
      <w:pPr>
        <w:spacing w:line="360" w:lineRule="auto"/>
        <w:rPr>
          <w:rFonts w:ascii="Book Antiqua" w:hAnsi="Book Antiqua"/>
          <w:b/>
          <w:i/>
          <w:sz w:val="24"/>
          <w:szCs w:val="24"/>
        </w:rPr>
      </w:pPr>
      <w:r w:rsidRPr="001D6E50">
        <w:rPr>
          <w:rFonts w:ascii="Book Antiqua" w:hAnsi="Book Antiqua"/>
          <w:b/>
          <w:i/>
          <w:sz w:val="24"/>
          <w:szCs w:val="24"/>
        </w:rPr>
        <w:t xml:space="preserve">Methods </w:t>
      </w:r>
    </w:p>
    <w:p w:rsidR="00D03341" w:rsidRDefault="00D03341" w:rsidP="001D6E50">
      <w:pPr>
        <w:spacing w:line="360" w:lineRule="auto"/>
        <w:rPr>
          <w:rFonts w:ascii="Book Antiqua" w:hAnsi="Book Antiqua"/>
          <w:sz w:val="24"/>
          <w:szCs w:val="24"/>
        </w:rPr>
      </w:pPr>
      <w:r w:rsidRPr="001D6E50">
        <w:rPr>
          <w:rFonts w:ascii="Book Antiqua" w:hAnsi="Book Antiqua"/>
          <w:b/>
          <w:sz w:val="24"/>
          <w:szCs w:val="24"/>
        </w:rPr>
        <w:t>Animals</w:t>
      </w:r>
      <w:r w:rsidR="001D6E50" w:rsidRPr="001D6E50">
        <w:rPr>
          <w:rFonts w:ascii="Book Antiqua" w:hAnsi="Book Antiqua" w:hint="eastAsia"/>
          <w:b/>
          <w:sz w:val="24"/>
          <w:szCs w:val="24"/>
        </w:rPr>
        <w:t xml:space="preserve">: </w:t>
      </w:r>
      <w:r w:rsidRPr="00566E2C">
        <w:rPr>
          <w:rFonts w:ascii="Book Antiqua" w:hAnsi="Book Antiqua"/>
          <w:sz w:val="24"/>
          <w:szCs w:val="24"/>
        </w:rPr>
        <w:t>After an adjustable feeding period of one week, 155 rats were randomly assigned into two</w:t>
      </w:r>
      <w:r w:rsidR="00360F76">
        <w:rPr>
          <w:rFonts w:ascii="Book Antiqua" w:hAnsi="Book Antiqua" w:hint="eastAsia"/>
          <w:sz w:val="24"/>
          <w:szCs w:val="24"/>
        </w:rPr>
        <w:t xml:space="preserve"> </w:t>
      </w:r>
      <w:r w:rsidRPr="00566E2C">
        <w:rPr>
          <w:rFonts w:ascii="Book Antiqua" w:hAnsi="Book Antiqua"/>
          <w:sz w:val="24"/>
          <w:szCs w:val="24"/>
        </w:rPr>
        <w:t>groups: control group (five</w:t>
      </w:r>
      <w:r w:rsidR="00360F76">
        <w:rPr>
          <w:rFonts w:ascii="Book Antiqua" w:hAnsi="Book Antiqua" w:hint="eastAsia"/>
          <w:sz w:val="24"/>
          <w:szCs w:val="24"/>
        </w:rPr>
        <w:t xml:space="preserve"> </w:t>
      </w:r>
      <w:r w:rsidRPr="00566E2C">
        <w:rPr>
          <w:rFonts w:ascii="Book Antiqua" w:hAnsi="Book Antiqua"/>
          <w:sz w:val="24"/>
          <w:szCs w:val="24"/>
        </w:rPr>
        <w:t>normal rats), and high-fat diet group (300 obeserats). In the control group, rats were fed with basic forage. In the high-fat diet group, rats were fed with high-fat forage (15</w:t>
      </w:r>
      <w:r w:rsidR="001D6E50">
        <w:rPr>
          <w:rFonts w:ascii="Book Antiqua" w:hAnsi="Book Antiqua" w:hint="eastAsia"/>
          <w:sz w:val="24"/>
          <w:szCs w:val="24"/>
        </w:rPr>
        <w:t xml:space="preserve"> </w:t>
      </w:r>
      <w:r w:rsidRPr="00566E2C">
        <w:rPr>
          <w:rFonts w:ascii="Book Antiqua" w:hAnsi="Book Antiqua"/>
          <w:sz w:val="24"/>
          <w:szCs w:val="24"/>
        </w:rPr>
        <w:t>g of lard, 50</w:t>
      </w:r>
      <w:r w:rsidR="001D6E50">
        <w:rPr>
          <w:rFonts w:ascii="Book Antiqua" w:hAnsi="Book Antiqua" w:hint="eastAsia"/>
          <w:sz w:val="24"/>
          <w:szCs w:val="24"/>
        </w:rPr>
        <w:t xml:space="preserve"> </w:t>
      </w:r>
      <w:r w:rsidRPr="00566E2C">
        <w:rPr>
          <w:rFonts w:ascii="Book Antiqua" w:hAnsi="Book Antiqua"/>
          <w:sz w:val="24"/>
          <w:szCs w:val="24"/>
        </w:rPr>
        <w:t>g of egg yolk, 15</w:t>
      </w:r>
      <w:r w:rsidR="001D6E50">
        <w:rPr>
          <w:rFonts w:ascii="Book Antiqua" w:hAnsi="Book Antiqua" w:hint="eastAsia"/>
          <w:sz w:val="24"/>
          <w:szCs w:val="24"/>
        </w:rPr>
        <w:t xml:space="preserve"> </w:t>
      </w:r>
      <w:r w:rsidRPr="00566E2C">
        <w:rPr>
          <w:rFonts w:ascii="Book Antiqua" w:hAnsi="Book Antiqua"/>
          <w:sz w:val="24"/>
          <w:szCs w:val="24"/>
        </w:rPr>
        <w:t>g of whole milk and 10 drops of concentrated cod liver oil were add</w:t>
      </w:r>
      <w:r w:rsidR="00FB2A00">
        <w:rPr>
          <w:rFonts w:ascii="Book Antiqua" w:hAnsi="Book Antiqua"/>
          <w:sz w:val="24"/>
          <w:szCs w:val="24"/>
        </w:rPr>
        <w:t>ed into a per 100</w:t>
      </w:r>
      <w:r w:rsidR="00360F76">
        <w:rPr>
          <w:rFonts w:ascii="Book Antiqua" w:hAnsi="Book Antiqua" w:hint="eastAsia"/>
          <w:sz w:val="24"/>
          <w:szCs w:val="24"/>
        </w:rPr>
        <w:t xml:space="preserve"> </w:t>
      </w:r>
      <w:r w:rsidR="00FB2A00">
        <w:rPr>
          <w:rFonts w:ascii="Book Antiqua" w:hAnsi="Book Antiqua"/>
          <w:sz w:val="24"/>
          <w:szCs w:val="24"/>
        </w:rPr>
        <w:t>g basic forage</w:t>
      </w:r>
      <w:r w:rsidRPr="00566E2C">
        <w:rPr>
          <w:rFonts w:ascii="Book Antiqua" w:hAnsi="Book Antiqua"/>
          <w:sz w:val="24"/>
          <w:szCs w:val="24"/>
        </w:rPr>
        <w:t>). In order to assess the feasibility of the obeserat model, body length and body weight changes of rats</w:t>
      </w:r>
      <w:r w:rsidR="00360F76">
        <w:rPr>
          <w:rFonts w:ascii="Book Antiqua" w:hAnsi="Book Antiqua" w:hint="eastAsia"/>
          <w:sz w:val="24"/>
          <w:szCs w:val="24"/>
        </w:rPr>
        <w:t xml:space="preserve"> </w:t>
      </w:r>
      <w:r w:rsidRPr="00566E2C">
        <w:rPr>
          <w:rFonts w:ascii="Book Antiqua" w:hAnsi="Book Antiqua"/>
          <w:sz w:val="24"/>
          <w:szCs w:val="24"/>
        </w:rPr>
        <w:t>were recorded. Then, Lee’s index and serum triglyceride levels</w:t>
      </w:r>
      <w:r w:rsidR="00360F76">
        <w:rPr>
          <w:rFonts w:ascii="Book Antiqua" w:hAnsi="Book Antiqua" w:hint="eastAsia"/>
          <w:sz w:val="24"/>
          <w:szCs w:val="24"/>
        </w:rPr>
        <w:t xml:space="preserve"> </w:t>
      </w:r>
      <w:r w:rsidRPr="00566E2C">
        <w:rPr>
          <w:rFonts w:ascii="Book Antiqua" w:hAnsi="Book Antiqua"/>
          <w:sz w:val="24"/>
          <w:szCs w:val="24"/>
        </w:rPr>
        <w:t>were calculated after feeding for</w:t>
      </w:r>
      <w:r w:rsidR="00360F76">
        <w:rPr>
          <w:rFonts w:ascii="Book Antiqua" w:hAnsi="Book Antiqua" w:hint="eastAsia"/>
          <w:sz w:val="24"/>
          <w:szCs w:val="24"/>
        </w:rPr>
        <w:t xml:space="preserve"> </w:t>
      </w:r>
      <w:r w:rsidRPr="00566E2C">
        <w:rPr>
          <w:rFonts w:ascii="Book Antiqua" w:hAnsi="Book Antiqua"/>
          <w:sz w:val="24"/>
          <w:szCs w:val="24"/>
        </w:rPr>
        <w:t>six</w:t>
      </w:r>
      <w:r w:rsidR="00360F76">
        <w:rPr>
          <w:rFonts w:ascii="Book Antiqua" w:hAnsi="Book Antiqua" w:hint="eastAsia"/>
          <w:sz w:val="24"/>
          <w:szCs w:val="24"/>
        </w:rPr>
        <w:t xml:space="preserve"> </w:t>
      </w:r>
      <w:r w:rsidRPr="00566E2C">
        <w:rPr>
          <w:rFonts w:ascii="Book Antiqua" w:hAnsi="Book Antiqua"/>
          <w:sz w:val="24"/>
          <w:szCs w:val="24"/>
        </w:rPr>
        <w:t>weeks.</w:t>
      </w:r>
    </w:p>
    <w:p w:rsidR="001D6E50" w:rsidRPr="00566E2C" w:rsidRDefault="001D6E50" w:rsidP="001D6E50">
      <w:pPr>
        <w:spacing w:line="360" w:lineRule="auto"/>
        <w:rPr>
          <w:rFonts w:ascii="Book Antiqua" w:hAnsi="Book Antiqua"/>
          <w:sz w:val="24"/>
          <w:szCs w:val="24"/>
        </w:rPr>
      </w:pPr>
    </w:p>
    <w:p w:rsidR="00D03341" w:rsidRDefault="00D03341" w:rsidP="001D6E50">
      <w:pPr>
        <w:spacing w:line="360" w:lineRule="auto"/>
        <w:rPr>
          <w:rFonts w:ascii="Book Antiqua" w:hAnsi="Book Antiqua"/>
          <w:sz w:val="24"/>
          <w:szCs w:val="24"/>
        </w:rPr>
      </w:pPr>
      <w:r w:rsidRPr="001D6E50">
        <w:rPr>
          <w:rFonts w:ascii="Book Antiqua" w:hAnsi="Book Antiqua"/>
          <w:b/>
          <w:sz w:val="24"/>
          <w:szCs w:val="24"/>
        </w:rPr>
        <w:t>Implantation of the cannula into the lateral ventricle</w:t>
      </w:r>
      <w:r w:rsidR="001D6E50" w:rsidRPr="001D6E50">
        <w:rPr>
          <w:rFonts w:ascii="Book Antiqua" w:hAnsi="Book Antiqua" w:hint="eastAsia"/>
          <w:b/>
          <w:sz w:val="24"/>
          <w:szCs w:val="24"/>
        </w:rPr>
        <w:t xml:space="preserve">: </w:t>
      </w:r>
      <w:r w:rsidRPr="00566E2C">
        <w:rPr>
          <w:rFonts w:ascii="Book Antiqua" w:hAnsi="Book Antiqua"/>
          <w:sz w:val="24"/>
          <w:szCs w:val="24"/>
        </w:rPr>
        <w:t>Each rat was anesthetized using 7% chloral hydrate (0.5</w:t>
      </w:r>
      <w:r w:rsidR="001D6E50">
        <w:rPr>
          <w:rFonts w:ascii="Book Antiqua" w:hAnsi="Book Antiqua" w:hint="eastAsia"/>
          <w:sz w:val="24"/>
          <w:szCs w:val="24"/>
        </w:rPr>
        <w:t xml:space="preserve"> </w:t>
      </w:r>
      <w:r w:rsidRPr="00566E2C">
        <w:rPr>
          <w:rFonts w:ascii="Book Antiqua" w:hAnsi="Book Antiqua"/>
          <w:sz w:val="24"/>
          <w:szCs w:val="24"/>
        </w:rPr>
        <w:t>m</w:t>
      </w:r>
      <w:r w:rsidR="001D6E50" w:rsidRPr="00566E2C">
        <w:rPr>
          <w:rFonts w:ascii="Book Antiqua" w:hAnsi="Book Antiqua"/>
          <w:sz w:val="24"/>
          <w:szCs w:val="24"/>
        </w:rPr>
        <w:t>L</w:t>
      </w:r>
      <w:r w:rsidRPr="00566E2C">
        <w:rPr>
          <w:rFonts w:ascii="Book Antiqua" w:hAnsi="Book Antiqua"/>
          <w:sz w:val="24"/>
          <w:szCs w:val="24"/>
        </w:rPr>
        <w:t>/100</w:t>
      </w:r>
      <w:r w:rsidR="001D6E50">
        <w:rPr>
          <w:rFonts w:ascii="Book Antiqua" w:hAnsi="Book Antiqua" w:hint="eastAsia"/>
          <w:sz w:val="24"/>
          <w:szCs w:val="24"/>
        </w:rPr>
        <w:t xml:space="preserve"> </w:t>
      </w:r>
      <w:r w:rsidRPr="00566E2C">
        <w:rPr>
          <w:rFonts w:ascii="Book Antiqua" w:hAnsi="Book Antiqua"/>
          <w:sz w:val="24"/>
          <w:szCs w:val="24"/>
        </w:rPr>
        <w:t>g) by intraperitoneal injection. Then, the fur on the head was shaved, and each rat was placed on the</w:t>
      </w:r>
      <w:r w:rsidR="00360F76">
        <w:rPr>
          <w:rFonts w:ascii="Book Antiqua" w:hAnsi="Book Antiqua" w:hint="eastAsia"/>
          <w:sz w:val="24"/>
          <w:szCs w:val="24"/>
        </w:rPr>
        <w:t xml:space="preserve"> </w:t>
      </w:r>
      <w:r w:rsidRPr="00566E2C">
        <w:rPr>
          <w:rFonts w:ascii="Book Antiqua" w:hAnsi="Book Antiqua"/>
          <w:sz w:val="24"/>
          <w:szCs w:val="24"/>
        </w:rPr>
        <w:t>stereotaxic</w:t>
      </w:r>
      <w:r w:rsidR="00C26AEE">
        <w:rPr>
          <w:rFonts w:ascii="Book Antiqua" w:hAnsi="Book Antiqua" w:hint="eastAsia"/>
          <w:sz w:val="24"/>
          <w:szCs w:val="24"/>
        </w:rPr>
        <w:t xml:space="preserve"> </w:t>
      </w:r>
      <w:r w:rsidRPr="00566E2C">
        <w:rPr>
          <w:rFonts w:ascii="Book Antiqua" w:hAnsi="Book Antiqua"/>
          <w:sz w:val="24"/>
          <w:szCs w:val="24"/>
        </w:rPr>
        <w:t xml:space="preserve">apparatus. According to the Paxinos-Watoson Rat Brain in </w:t>
      </w:r>
      <w:r w:rsidR="00885481" w:rsidRPr="00566E2C">
        <w:rPr>
          <w:rFonts w:ascii="Book Antiqua" w:hAnsi="Book Antiqua"/>
          <w:sz w:val="24"/>
          <w:szCs w:val="24"/>
        </w:rPr>
        <w:t>stereotaxic coordinates</w:t>
      </w:r>
      <w:r w:rsidRPr="00566E2C">
        <w:rPr>
          <w:rFonts w:ascii="Book Antiqua" w:hAnsi="Book Antiqua"/>
          <w:sz w:val="24"/>
          <w:szCs w:val="24"/>
        </w:rPr>
        <w:t xml:space="preserve">, an incision was made on the skin above the animal’s </w:t>
      </w:r>
      <w:r w:rsidRPr="00566E2C">
        <w:rPr>
          <w:rFonts w:ascii="Book Antiqua" w:hAnsi="Book Antiqua"/>
          <w:sz w:val="24"/>
          <w:szCs w:val="24"/>
        </w:rPr>
        <w:lastRenderedPageBreak/>
        <w:t>skull, and a hole was drilled</w:t>
      </w:r>
      <w:r w:rsidR="00E11C90">
        <w:rPr>
          <w:rFonts w:ascii="Book Antiqua" w:hAnsi="Book Antiqua" w:hint="eastAsia"/>
          <w:sz w:val="24"/>
          <w:szCs w:val="24"/>
        </w:rPr>
        <w:t xml:space="preserve"> </w:t>
      </w:r>
      <w:r w:rsidRPr="00566E2C">
        <w:rPr>
          <w:rFonts w:ascii="Book Antiqua" w:hAnsi="Book Antiqua"/>
          <w:sz w:val="24"/>
          <w:szCs w:val="24"/>
        </w:rPr>
        <w:t>on</w:t>
      </w:r>
      <w:r w:rsidR="0071066B">
        <w:rPr>
          <w:rFonts w:ascii="Book Antiqua" w:hAnsi="Book Antiqua" w:hint="eastAsia"/>
          <w:sz w:val="24"/>
          <w:szCs w:val="24"/>
        </w:rPr>
        <w:t xml:space="preserve"> </w:t>
      </w:r>
      <w:r w:rsidRPr="00566E2C">
        <w:rPr>
          <w:rFonts w:ascii="Book Antiqua" w:hAnsi="Book Antiqua"/>
          <w:sz w:val="24"/>
          <w:szCs w:val="24"/>
        </w:rPr>
        <w:t>the skull. A</w:t>
      </w:r>
      <w:r w:rsidR="00B402DD">
        <w:rPr>
          <w:rFonts w:ascii="Book Antiqua" w:hAnsi="Book Antiqua" w:hint="eastAsia"/>
          <w:sz w:val="24"/>
          <w:szCs w:val="24"/>
        </w:rPr>
        <w:t xml:space="preserve"> </w:t>
      </w:r>
      <w:r w:rsidRPr="00566E2C">
        <w:rPr>
          <w:rFonts w:ascii="Book Antiqua" w:hAnsi="Book Antiqua"/>
          <w:sz w:val="24"/>
          <w:szCs w:val="24"/>
        </w:rPr>
        <w:t>thin catheter was slowly inserted into the right-cerebral ventricle and was fixed with bone cement</w:t>
      </w:r>
      <w:r w:rsidR="001D6E50">
        <w:rPr>
          <w:rFonts w:ascii="Book Antiqua" w:hAnsi="Book Antiqua"/>
          <w:noProof/>
          <w:sz w:val="24"/>
          <w:szCs w:val="24"/>
          <w:vertAlign w:val="superscript"/>
        </w:rPr>
        <w:t>[20,</w:t>
      </w:r>
      <w:r w:rsidRPr="00566E2C">
        <w:rPr>
          <w:rFonts w:ascii="Book Antiqua" w:hAnsi="Book Antiqua"/>
          <w:noProof/>
          <w:sz w:val="24"/>
          <w:szCs w:val="24"/>
          <w:vertAlign w:val="superscript"/>
        </w:rPr>
        <w:t>21]</w:t>
      </w:r>
      <w:r w:rsidRPr="00566E2C">
        <w:rPr>
          <w:rFonts w:ascii="Book Antiqua" w:hAnsi="Book Antiqua"/>
          <w:sz w:val="24"/>
          <w:szCs w:val="24"/>
        </w:rPr>
        <w:t>. After</w:t>
      </w:r>
      <w:r w:rsidR="00E11C90">
        <w:rPr>
          <w:rFonts w:ascii="Book Antiqua" w:hAnsi="Book Antiqua" w:hint="eastAsia"/>
          <w:sz w:val="24"/>
          <w:szCs w:val="24"/>
        </w:rPr>
        <w:t xml:space="preserve"> </w:t>
      </w:r>
      <w:r w:rsidRPr="00566E2C">
        <w:rPr>
          <w:rFonts w:ascii="Book Antiqua" w:hAnsi="Book Antiqua"/>
          <w:sz w:val="24"/>
          <w:szCs w:val="24"/>
        </w:rPr>
        <w:t xml:space="preserve">surgery, each rat was fed </w:t>
      </w:r>
      <w:r w:rsidR="00E11C90">
        <w:rPr>
          <w:rFonts w:ascii="Book Antiqua" w:hAnsi="Book Antiqua"/>
          <w:sz w:val="24"/>
          <w:szCs w:val="24"/>
        </w:rPr>
        <w:t>separately and provided with 15</w:t>
      </w:r>
      <w:r w:rsidRPr="00566E2C">
        <w:rPr>
          <w:rFonts w:ascii="Book Antiqua" w:hAnsi="Book Antiqua"/>
          <w:sz w:val="24"/>
          <w:szCs w:val="24"/>
        </w:rPr>
        <w:t>000 units of penicillin to avoid infection. Follow-up experiments were carried out after they were fed normally for one</w:t>
      </w:r>
      <w:r w:rsidR="00E11C90">
        <w:rPr>
          <w:rFonts w:ascii="Book Antiqua" w:hAnsi="Book Antiqua" w:hint="eastAsia"/>
          <w:sz w:val="24"/>
          <w:szCs w:val="24"/>
        </w:rPr>
        <w:t xml:space="preserve"> </w:t>
      </w:r>
      <w:r w:rsidRPr="00566E2C">
        <w:rPr>
          <w:rFonts w:ascii="Book Antiqua" w:hAnsi="Book Antiqua"/>
          <w:sz w:val="24"/>
          <w:szCs w:val="24"/>
        </w:rPr>
        <w:t>week, when the stress reaction was reduced.</w:t>
      </w:r>
    </w:p>
    <w:p w:rsidR="001D6E50" w:rsidRPr="00566E2C" w:rsidRDefault="001D6E50" w:rsidP="001D6E50">
      <w:pPr>
        <w:spacing w:line="360" w:lineRule="auto"/>
        <w:rPr>
          <w:rFonts w:ascii="Book Antiqua" w:hAnsi="Book Antiqua"/>
          <w:sz w:val="24"/>
          <w:szCs w:val="24"/>
        </w:rPr>
      </w:pPr>
    </w:p>
    <w:p w:rsidR="00D03341" w:rsidRDefault="00D03341" w:rsidP="001D6E50">
      <w:pPr>
        <w:spacing w:line="360" w:lineRule="auto"/>
        <w:rPr>
          <w:rFonts w:ascii="Book Antiqua" w:hAnsi="Book Antiqua"/>
          <w:sz w:val="24"/>
          <w:szCs w:val="24"/>
        </w:rPr>
      </w:pPr>
      <w:r w:rsidRPr="001D6E50">
        <w:rPr>
          <w:rFonts w:ascii="Book Antiqua" w:hAnsi="Book Antiqua"/>
          <w:b/>
          <w:sz w:val="24"/>
          <w:szCs w:val="24"/>
        </w:rPr>
        <w:t>Experimental grouping</w:t>
      </w:r>
      <w:r w:rsidR="001D6E50" w:rsidRPr="001D6E50">
        <w:rPr>
          <w:rFonts w:ascii="Book Antiqua" w:hAnsi="Book Antiqua" w:hint="eastAsia"/>
          <w:b/>
          <w:sz w:val="24"/>
          <w:szCs w:val="24"/>
        </w:rPr>
        <w:t>:</w:t>
      </w:r>
      <w:r w:rsidR="001D6E50">
        <w:rPr>
          <w:rFonts w:ascii="Book Antiqua" w:hAnsi="Book Antiqua" w:hint="eastAsia"/>
          <w:sz w:val="24"/>
          <w:szCs w:val="24"/>
        </w:rPr>
        <w:t xml:space="preserve"> </w:t>
      </w:r>
      <w:r w:rsidRPr="00566E2C">
        <w:rPr>
          <w:rFonts w:ascii="Book Antiqua" w:hAnsi="Book Antiqua"/>
          <w:sz w:val="24"/>
          <w:szCs w:val="24"/>
        </w:rPr>
        <w:t>The 300 obeserats that had a cannula placed in the right lateral-cerebral ventricle were further randomly assigned into two groups: intracerebroventricular injection group, and</w:t>
      </w:r>
      <w:r w:rsidR="004E5E0E">
        <w:rPr>
          <w:rFonts w:ascii="Book Antiqua" w:hAnsi="Book Antiqua" w:hint="eastAsia"/>
          <w:sz w:val="24"/>
          <w:szCs w:val="24"/>
        </w:rPr>
        <w:t xml:space="preserve"> </w:t>
      </w:r>
      <w:r w:rsidRPr="00566E2C">
        <w:rPr>
          <w:rFonts w:ascii="Book Antiqua" w:hAnsi="Book Antiqua"/>
          <w:sz w:val="24"/>
          <w:szCs w:val="24"/>
        </w:rPr>
        <w:t>intravenous injection group. The treatment dose was as follows: intracerebroventricular injection group, 0μg/5μL ofnesfatin-1, 0.5μg/5μL ofnesfatin-1, and 1.0μg/5μL ofnesfatin-1; intravenous injection group, 0μg/5μLof nesfatin-1, 0.5μg/5μL ofnesfatin-1, 1.0</w:t>
      </w:r>
      <w:r w:rsidR="001D6E50">
        <w:rPr>
          <w:rFonts w:ascii="Book Antiqua" w:hAnsi="Book Antiqua" w:hint="eastAsia"/>
          <w:sz w:val="24"/>
          <w:szCs w:val="24"/>
        </w:rPr>
        <w:t xml:space="preserve"> </w:t>
      </w:r>
      <w:r w:rsidRPr="00566E2C">
        <w:rPr>
          <w:rFonts w:ascii="Book Antiqua" w:hAnsi="Book Antiqua"/>
          <w:sz w:val="24"/>
          <w:szCs w:val="24"/>
        </w:rPr>
        <w:t>μg/5</w:t>
      </w:r>
      <w:r w:rsidR="001D6E50">
        <w:rPr>
          <w:rFonts w:ascii="Book Antiqua" w:hAnsi="Book Antiqua" w:hint="eastAsia"/>
          <w:sz w:val="24"/>
          <w:szCs w:val="24"/>
        </w:rPr>
        <w:t xml:space="preserve"> </w:t>
      </w:r>
      <w:r w:rsidRPr="00566E2C">
        <w:rPr>
          <w:rFonts w:ascii="Book Antiqua" w:hAnsi="Book Antiqua"/>
          <w:sz w:val="24"/>
          <w:szCs w:val="24"/>
        </w:rPr>
        <w:t>μL</w:t>
      </w:r>
      <w:r w:rsidR="001D6E50">
        <w:rPr>
          <w:rFonts w:ascii="Book Antiqua" w:hAnsi="Book Antiqua" w:hint="eastAsia"/>
          <w:sz w:val="24"/>
          <w:szCs w:val="24"/>
        </w:rPr>
        <w:t xml:space="preserve"> </w:t>
      </w:r>
      <w:r w:rsidRPr="00566E2C">
        <w:rPr>
          <w:rFonts w:ascii="Book Antiqua" w:hAnsi="Book Antiqua"/>
          <w:sz w:val="24"/>
          <w:szCs w:val="24"/>
        </w:rPr>
        <w:t>of nesfatin-1. Each group comprised of</w:t>
      </w:r>
      <w:r w:rsidR="001D6E50">
        <w:rPr>
          <w:rFonts w:ascii="Book Antiqua" w:hAnsi="Book Antiqua" w:hint="eastAsia"/>
          <w:sz w:val="24"/>
          <w:szCs w:val="24"/>
        </w:rPr>
        <w:t xml:space="preserve"> </w:t>
      </w:r>
      <w:r w:rsidRPr="00566E2C">
        <w:rPr>
          <w:rFonts w:ascii="Book Antiqua" w:hAnsi="Book Antiqua"/>
          <w:sz w:val="24"/>
          <w:szCs w:val="24"/>
        </w:rPr>
        <w:t>150 rats. Gastrointestinal mobility and gastric acid secretion in</w:t>
      </w:r>
      <w:r w:rsidR="004E5E0E">
        <w:rPr>
          <w:rFonts w:ascii="Book Antiqua" w:hAnsi="Book Antiqua" w:hint="eastAsia"/>
          <w:sz w:val="24"/>
          <w:szCs w:val="24"/>
        </w:rPr>
        <w:t xml:space="preserve"> </w:t>
      </w:r>
      <w:r w:rsidRPr="00566E2C">
        <w:rPr>
          <w:rFonts w:ascii="Book Antiqua" w:hAnsi="Book Antiqua"/>
          <w:sz w:val="24"/>
          <w:szCs w:val="24"/>
        </w:rPr>
        <w:t>rats were measured at 1, 2, 3 and 4</w:t>
      </w:r>
      <w:r w:rsidR="001D6E50">
        <w:rPr>
          <w:rFonts w:ascii="Book Antiqua" w:hAnsi="Book Antiqua" w:hint="eastAsia"/>
          <w:sz w:val="24"/>
          <w:szCs w:val="24"/>
        </w:rPr>
        <w:t xml:space="preserve"> </w:t>
      </w:r>
      <w:r w:rsidR="001D6E50">
        <w:rPr>
          <w:rFonts w:ascii="Book Antiqua" w:hAnsi="Book Antiqua"/>
          <w:sz w:val="24"/>
          <w:szCs w:val="24"/>
        </w:rPr>
        <w:t>h</w:t>
      </w:r>
      <w:r w:rsidR="001D6E50" w:rsidRPr="00566E2C">
        <w:rPr>
          <w:rFonts w:ascii="Book Antiqua" w:hAnsi="Book Antiqua"/>
          <w:sz w:val="24"/>
          <w:szCs w:val="24"/>
        </w:rPr>
        <w:t xml:space="preserve"> </w:t>
      </w:r>
      <w:r w:rsidRPr="00566E2C">
        <w:rPr>
          <w:rFonts w:ascii="Book Antiqua" w:hAnsi="Book Antiqua"/>
          <w:sz w:val="24"/>
          <w:szCs w:val="24"/>
        </w:rPr>
        <w:t>after drug administration.</w:t>
      </w:r>
    </w:p>
    <w:p w:rsidR="001D6E50" w:rsidRPr="00566E2C" w:rsidRDefault="001D6E50" w:rsidP="001D6E50">
      <w:pPr>
        <w:spacing w:line="360" w:lineRule="auto"/>
        <w:rPr>
          <w:rFonts w:ascii="Book Antiqua" w:hAnsi="Book Antiqua"/>
          <w:sz w:val="24"/>
          <w:szCs w:val="24"/>
        </w:rPr>
      </w:pPr>
    </w:p>
    <w:p w:rsidR="00D03341" w:rsidRPr="00566E2C" w:rsidRDefault="00D03341" w:rsidP="001D6E50">
      <w:pPr>
        <w:spacing w:line="360" w:lineRule="auto"/>
        <w:rPr>
          <w:rFonts w:ascii="Book Antiqua" w:hAnsi="Book Antiqua"/>
          <w:sz w:val="24"/>
          <w:szCs w:val="24"/>
        </w:rPr>
      </w:pPr>
      <w:r w:rsidRPr="001D6E50">
        <w:rPr>
          <w:rFonts w:ascii="Book Antiqua" w:hAnsi="Book Antiqua"/>
          <w:b/>
          <w:sz w:val="24"/>
          <w:szCs w:val="24"/>
        </w:rPr>
        <w:t>Determination of gastrointestinal mobility</w:t>
      </w:r>
      <w:r w:rsidR="001D6E50" w:rsidRPr="001D6E50">
        <w:rPr>
          <w:rFonts w:ascii="Book Antiqua" w:hAnsi="Book Antiqua" w:hint="eastAsia"/>
          <w:b/>
          <w:sz w:val="24"/>
          <w:szCs w:val="24"/>
        </w:rPr>
        <w:t xml:space="preserve">: </w:t>
      </w:r>
      <w:r w:rsidRPr="00566E2C">
        <w:rPr>
          <w:rFonts w:ascii="Book Antiqua" w:hAnsi="Book Antiqua"/>
          <w:sz w:val="24"/>
          <w:szCs w:val="24"/>
        </w:rPr>
        <w:t>Rats received intragastric administration of 2</w:t>
      </w:r>
      <w:r w:rsidR="001D6E50">
        <w:rPr>
          <w:rFonts w:ascii="Book Antiqua" w:hAnsi="Book Antiqua" w:hint="eastAsia"/>
          <w:sz w:val="24"/>
          <w:szCs w:val="24"/>
        </w:rPr>
        <w:t xml:space="preserve"> </w:t>
      </w:r>
      <w:r w:rsidRPr="00566E2C">
        <w:rPr>
          <w:rFonts w:ascii="Book Antiqua" w:hAnsi="Book Antiqua"/>
          <w:sz w:val="24"/>
          <w:szCs w:val="24"/>
        </w:rPr>
        <w:t>m</w:t>
      </w:r>
      <w:r w:rsidR="001D6E50" w:rsidRPr="00566E2C">
        <w:rPr>
          <w:rFonts w:ascii="Book Antiqua" w:hAnsi="Book Antiqua"/>
          <w:sz w:val="24"/>
          <w:szCs w:val="24"/>
        </w:rPr>
        <w:t>L</w:t>
      </w:r>
      <w:r w:rsidRPr="00566E2C">
        <w:rPr>
          <w:rFonts w:ascii="Book Antiqua" w:hAnsi="Book Antiqua"/>
          <w:sz w:val="24"/>
          <w:szCs w:val="24"/>
        </w:rPr>
        <w:t xml:space="preserve"> of</w:t>
      </w:r>
      <w:r w:rsidR="004E5E0E">
        <w:rPr>
          <w:rFonts w:ascii="Book Antiqua" w:hAnsi="Book Antiqua" w:hint="eastAsia"/>
          <w:sz w:val="24"/>
          <w:szCs w:val="24"/>
        </w:rPr>
        <w:t xml:space="preserve"> </w:t>
      </w:r>
      <w:r w:rsidRPr="00566E2C">
        <w:rPr>
          <w:rFonts w:ascii="Book Antiqua" w:hAnsi="Book Antiqua"/>
          <w:sz w:val="24"/>
          <w:szCs w:val="24"/>
        </w:rPr>
        <w:t>phenol red. After 20</w:t>
      </w:r>
      <w:r w:rsidR="001D6E50">
        <w:rPr>
          <w:rFonts w:ascii="Book Antiqua" w:hAnsi="Book Antiqua" w:hint="eastAsia"/>
          <w:sz w:val="24"/>
          <w:szCs w:val="24"/>
        </w:rPr>
        <w:t xml:space="preserve"> min</w:t>
      </w:r>
      <w:r w:rsidRPr="00566E2C">
        <w:rPr>
          <w:rFonts w:ascii="Book Antiqua" w:hAnsi="Book Antiqua"/>
          <w:sz w:val="24"/>
          <w:szCs w:val="24"/>
        </w:rPr>
        <w:t>, the rats were anesthetized using diethyl ether and sacrificed. Then, the stomach was cut along the greater curvature,</w:t>
      </w:r>
      <w:r w:rsidR="001D6E50">
        <w:rPr>
          <w:rFonts w:ascii="Book Antiqua" w:hAnsi="Book Antiqua" w:hint="eastAsia"/>
          <w:sz w:val="24"/>
          <w:szCs w:val="24"/>
        </w:rPr>
        <w:t xml:space="preserve"> </w:t>
      </w:r>
      <w:r w:rsidRPr="00566E2C">
        <w:rPr>
          <w:rFonts w:ascii="Book Antiqua" w:hAnsi="Book Antiqua"/>
          <w:sz w:val="24"/>
          <w:szCs w:val="24"/>
        </w:rPr>
        <w:t>washed with distilled water to collect the stomach contents, and diluted with water to 20</w:t>
      </w:r>
      <w:r w:rsidR="001D6E50">
        <w:rPr>
          <w:rFonts w:ascii="Book Antiqua" w:hAnsi="Book Antiqua" w:hint="eastAsia"/>
          <w:sz w:val="24"/>
          <w:szCs w:val="24"/>
        </w:rPr>
        <w:t xml:space="preserve"> </w:t>
      </w:r>
      <w:r w:rsidRPr="00566E2C">
        <w:rPr>
          <w:rFonts w:ascii="Book Antiqua" w:hAnsi="Book Antiqua"/>
          <w:sz w:val="24"/>
          <w:szCs w:val="24"/>
        </w:rPr>
        <w:t>m</w:t>
      </w:r>
      <w:r w:rsidR="001D6E50" w:rsidRPr="00566E2C">
        <w:rPr>
          <w:rFonts w:ascii="Book Antiqua" w:hAnsi="Book Antiqua"/>
          <w:sz w:val="24"/>
          <w:szCs w:val="24"/>
        </w:rPr>
        <w:t>L</w:t>
      </w:r>
      <w:r w:rsidRPr="00566E2C">
        <w:rPr>
          <w:rFonts w:ascii="Book Antiqua" w:hAnsi="Book Antiqua"/>
          <w:sz w:val="24"/>
          <w:szCs w:val="24"/>
        </w:rPr>
        <w:t>. Next, 20</w:t>
      </w:r>
      <w:r w:rsidR="001D6E50">
        <w:rPr>
          <w:rFonts w:ascii="Book Antiqua" w:hAnsi="Book Antiqua" w:hint="eastAsia"/>
          <w:sz w:val="24"/>
          <w:szCs w:val="24"/>
        </w:rPr>
        <w:t xml:space="preserve"> </w:t>
      </w:r>
      <w:r w:rsidRPr="00566E2C">
        <w:rPr>
          <w:rFonts w:ascii="Book Antiqua" w:hAnsi="Book Antiqua"/>
          <w:sz w:val="24"/>
          <w:szCs w:val="24"/>
        </w:rPr>
        <w:t>m</w:t>
      </w:r>
      <w:r w:rsidR="001D6E50" w:rsidRPr="00566E2C">
        <w:rPr>
          <w:rFonts w:ascii="Book Antiqua" w:hAnsi="Book Antiqua"/>
          <w:sz w:val="24"/>
          <w:szCs w:val="24"/>
        </w:rPr>
        <w:t>L</w:t>
      </w:r>
      <w:r w:rsidRPr="00566E2C">
        <w:rPr>
          <w:rFonts w:ascii="Book Antiqua" w:hAnsi="Book Antiqua"/>
          <w:sz w:val="24"/>
          <w:szCs w:val="24"/>
        </w:rPr>
        <w:t xml:space="preserve"> of 0.5</w:t>
      </w:r>
      <w:r w:rsidR="001D6E50">
        <w:rPr>
          <w:rFonts w:ascii="Book Antiqua" w:hAnsi="Book Antiqua" w:hint="eastAsia"/>
          <w:sz w:val="24"/>
          <w:szCs w:val="24"/>
        </w:rPr>
        <w:t xml:space="preserve"> </w:t>
      </w:r>
      <w:r w:rsidRPr="00566E2C">
        <w:rPr>
          <w:rFonts w:ascii="Book Antiqua" w:hAnsi="Book Antiqua"/>
          <w:sz w:val="24"/>
          <w:szCs w:val="24"/>
        </w:rPr>
        <w:t>mol/L of</w:t>
      </w:r>
      <w:r w:rsidR="004E5E0E">
        <w:rPr>
          <w:rFonts w:ascii="Book Antiqua" w:hAnsi="Book Antiqua" w:hint="eastAsia"/>
          <w:sz w:val="24"/>
          <w:szCs w:val="24"/>
        </w:rPr>
        <w:t xml:space="preserve"> </w:t>
      </w:r>
      <w:r w:rsidRPr="00566E2C">
        <w:rPr>
          <w:rFonts w:ascii="Book Antiqua" w:hAnsi="Book Antiqua"/>
          <w:sz w:val="24"/>
          <w:szCs w:val="24"/>
        </w:rPr>
        <w:t>NaOH was added into the suspension before standing for 0.5hours at room temperature. Then, 0.5</w:t>
      </w:r>
      <w:r w:rsidR="001D6E50">
        <w:rPr>
          <w:rFonts w:ascii="Book Antiqua" w:hAnsi="Book Antiqua" w:hint="eastAsia"/>
          <w:sz w:val="24"/>
          <w:szCs w:val="24"/>
        </w:rPr>
        <w:t xml:space="preserve"> </w:t>
      </w:r>
      <w:r w:rsidRPr="00566E2C">
        <w:rPr>
          <w:rFonts w:ascii="Book Antiqua" w:hAnsi="Book Antiqua"/>
          <w:sz w:val="24"/>
          <w:szCs w:val="24"/>
        </w:rPr>
        <w:t>m</w:t>
      </w:r>
      <w:r w:rsidR="001D6E50" w:rsidRPr="00566E2C">
        <w:rPr>
          <w:rFonts w:ascii="Book Antiqua" w:hAnsi="Book Antiqua"/>
          <w:sz w:val="24"/>
          <w:szCs w:val="24"/>
        </w:rPr>
        <w:t>L</w:t>
      </w:r>
      <w:r w:rsidRPr="00566E2C">
        <w:rPr>
          <w:rFonts w:ascii="Book Antiqua" w:hAnsi="Book Antiqua"/>
          <w:sz w:val="24"/>
          <w:szCs w:val="24"/>
        </w:rPr>
        <w:t xml:space="preserve"> of</w:t>
      </w:r>
      <w:r w:rsidR="004E5E0E">
        <w:rPr>
          <w:rFonts w:ascii="Book Antiqua" w:hAnsi="Book Antiqua" w:hint="eastAsia"/>
          <w:sz w:val="24"/>
          <w:szCs w:val="24"/>
        </w:rPr>
        <w:t xml:space="preserve"> </w:t>
      </w:r>
      <w:r w:rsidRPr="00566E2C">
        <w:rPr>
          <w:rFonts w:ascii="Book Antiqua" w:hAnsi="Book Antiqua"/>
          <w:sz w:val="24"/>
          <w:szCs w:val="24"/>
        </w:rPr>
        <w:t>trichloroacetic acid (200</w:t>
      </w:r>
      <w:r w:rsidR="004E5E0E">
        <w:rPr>
          <w:rFonts w:ascii="Book Antiqua" w:hAnsi="Book Antiqua" w:hint="eastAsia"/>
          <w:sz w:val="24"/>
          <w:szCs w:val="24"/>
        </w:rPr>
        <w:t xml:space="preserve"> </w:t>
      </w:r>
      <w:r w:rsidRPr="00566E2C">
        <w:rPr>
          <w:rFonts w:ascii="Book Antiqua" w:hAnsi="Book Antiqua"/>
          <w:sz w:val="24"/>
          <w:szCs w:val="24"/>
        </w:rPr>
        <w:t>g/L) was added into 2.5</w:t>
      </w:r>
      <w:r w:rsidR="001D6E50">
        <w:rPr>
          <w:rFonts w:ascii="Book Antiqua" w:hAnsi="Book Antiqua" w:hint="eastAsia"/>
          <w:sz w:val="24"/>
          <w:szCs w:val="24"/>
        </w:rPr>
        <w:t xml:space="preserve"> </w:t>
      </w:r>
      <w:r w:rsidRPr="00566E2C">
        <w:rPr>
          <w:rFonts w:ascii="Book Antiqua" w:hAnsi="Book Antiqua"/>
          <w:sz w:val="24"/>
          <w:szCs w:val="24"/>
        </w:rPr>
        <w:t>m</w:t>
      </w:r>
      <w:r w:rsidR="001D6E50" w:rsidRPr="00566E2C">
        <w:rPr>
          <w:rFonts w:ascii="Book Antiqua" w:hAnsi="Book Antiqua"/>
          <w:sz w:val="24"/>
          <w:szCs w:val="24"/>
        </w:rPr>
        <w:t>L</w:t>
      </w:r>
      <w:r w:rsidRPr="00566E2C">
        <w:rPr>
          <w:rFonts w:ascii="Book Antiqua" w:hAnsi="Book Antiqua"/>
          <w:sz w:val="24"/>
          <w:szCs w:val="24"/>
        </w:rPr>
        <w:t xml:space="preserve"> of the supernatant to remove the proteins. T</w:t>
      </w:r>
      <w:r w:rsidR="001D6E50">
        <w:rPr>
          <w:rFonts w:ascii="Book Antiqua" w:hAnsi="Book Antiqua"/>
          <w:sz w:val="24"/>
          <w:szCs w:val="24"/>
        </w:rPr>
        <w:t>he mixture was centrifuged at 3</w:t>
      </w:r>
      <w:r w:rsidRPr="00566E2C">
        <w:rPr>
          <w:rFonts w:ascii="Book Antiqua" w:hAnsi="Book Antiqua"/>
          <w:sz w:val="24"/>
          <w:szCs w:val="24"/>
        </w:rPr>
        <w:t>500 rpm for 10</w:t>
      </w:r>
      <w:r w:rsidR="001D6E50">
        <w:rPr>
          <w:rFonts w:ascii="Book Antiqua" w:hAnsi="Book Antiqua" w:hint="eastAsia"/>
          <w:sz w:val="24"/>
          <w:szCs w:val="24"/>
        </w:rPr>
        <w:t xml:space="preserve"> min</w:t>
      </w:r>
      <w:r w:rsidRPr="00566E2C">
        <w:rPr>
          <w:rFonts w:ascii="Book Antiqua" w:hAnsi="Book Antiqua"/>
          <w:sz w:val="24"/>
          <w:szCs w:val="24"/>
        </w:rPr>
        <w:t>. The absorbance of the supernatant was measured at 560</w:t>
      </w:r>
      <w:r w:rsidR="001D6E50">
        <w:rPr>
          <w:rFonts w:ascii="Book Antiqua" w:hAnsi="Book Antiqua" w:hint="eastAsia"/>
          <w:sz w:val="24"/>
          <w:szCs w:val="24"/>
        </w:rPr>
        <w:t xml:space="preserve"> </w:t>
      </w:r>
      <w:r w:rsidRPr="00566E2C">
        <w:rPr>
          <w:rFonts w:ascii="Book Antiqua" w:hAnsi="Book Antiqua"/>
          <w:sz w:val="24"/>
          <w:szCs w:val="24"/>
        </w:rPr>
        <w:t>m</w:t>
      </w:r>
      <w:r w:rsidR="001D6E50" w:rsidRPr="00566E2C">
        <w:rPr>
          <w:rFonts w:ascii="Book Antiqua" w:hAnsi="Book Antiqua"/>
          <w:sz w:val="24"/>
          <w:szCs w:val="24"/>
        </w:rPr>
        <w:t>L</w:t>
      </w:r>
      <w:r w:rsidRPr="00566E2C">
        <w:rPr>
          <w:rFonts w:ascii="Book Antiqua" w:hAnsi="Book Antiqua"/>
          <w:sz w:val="24"/>
          <w:szCs w:val="24"/>
        </w:rPr>
        <w:t>. Gastric emptying rate was determined using the following formula: gastric emptying rate = (1- measured phenol red absorbance/ standard phenol red absorbance) × 100%</w:t>
      </w:r>
      <w:r w:rsidRPr="00566E2C">
        <w:rPr>
          <w:rFonts w:ascii="Book Antiqua" w:hAnsi="Book Antiqua"/>
          <w:noProof/>
          <w:sz w:val="24"/>
          <w:szCs w:val="24"/>
          <w:vertAlign w:val="superscript"/>
        </w:rPr>
        <w:t>[22]</w:t>
      </w:r>
      <w:r w:rsidRPr="00566E2C">
        <w:rPr>
          <w:rFonts w:ascii="Book Antiqua" w:hAnsi="Book Antiqua"/>
          <w:sz w:val="24"/>
          <w:szCs w:val="24"/>
        </w:rPr>
        <w:t>.</w:t>
      </w:r>
    </w:p>
    <w:p w:rsidR="00D03341" w:rsidRPr="00566E2C" w:rsidRDefault="00D03341" w:rsidP="001D6E50">
      <w:pPr>
        <w:spacing w:line="360" w:lineRule="auto"/>
        <w:ind w:firstLineChars="200" w:firstLine="480"/>
        <w:rPr>
          <w:rFonts w:ascii="Book Antiqua" w:hAnsi="Book Antiqua"/>
          <w:sz w:val="24"/>
          <w:szCs w:val="24"/>
        </w:rPr>
      </w:pPr>
    </w:p>
    <w:p w:rsidR="00D03341" w:rsidRDefault="00D03341" w:rsidP="001D6E50">
      <w:pPr>
        <w:spacing w:line="360" w:lineRule="auto"/>
        <w:rPr>
          <w:rFonts w:ascii="Book Antiqua" w:hAnsi="Book Antiqua"/>
          <w:sz w:val="24"/>
          <w:szCs w:val="24"/>
        </w:rPr>
      </w:pPr>
      <w:r w:rsidRPr="001D6E50">
        <w:rPr>
          <w:rFonts w:ascii="Book Antiqua" w:hAnsi="Book Antiqua"/>
          <w:b/>
          <w:sz w:val="24"/>
          <w:szCs w:val="24"/>
        </w:rPr>
        <w:t>Determination of gastric acid secretion</w:t>
      </w:r>
      <w:r w:rsidR="001D6E50" w:rsidRPr="001D6E50">
        <w:rPr>
          <w:rFonts w:ascii="Book Antiqua" w:hAnsi="Book Antiqua" w:hint="eastAsia"/>
          <w:b/>
          <w:sz w:val="24"/>
          <w:szCs w:val="24"/>
        </w:rPr>
        <w:t xml:space="preserve">: </w:t>
      </w:r>
      <w:r w:rsidRPr="00566E2C">
        <w:rPr>
          <w:rFonts w:ascii="Book Antiqua" w:hAnsi="Book Antiqua"/>
          <w:sz w:val="24"/>
          <w:szCs w:val="24"/>
        </w:rPr>
        <w:t xml:space="preserve">The principle of acid-base titrations </w:t>
      </w:r>
      <w:r w:rsidRPr="00566E2C">
        <w:rPr>
          <w:rFonts w:ascii="Book Antiqua" w:hAnsi="Book Antiqua"/>
          <w:sz w:val="24"/>
          <w:szCs w:val="24"/>
        </w:rPr>
        <w:lastRenderedPageBreak/>
        <w:t>was applied to determine the gastric acid secretion. As previously described, gastric juice was collected from</w:t>
      </w:r>
      <w:r w:rsidR="004E5E0E">
        <w:rPr>
          <w:rFonts w:ascii="Book Antiqua" w:hAnsi="Book Antiqua" w:hint="eastAsia"/>
          <w:sz w:val="24"/>
          <w:szCs w:val="24"/>
        </w:rPr>
        <w:t xml:space="preserve"> </w:t>
      </w:r>
      <w:r w:rsidRPr="00566E2C">
        <w:rPr>
          <w:rFonts w:ascii="Book Antiqua" w:hAnsi="Book Antiqua"/>
          <w:sz w:val="24"/>
          <w:szCs w:val="24"/>
        </w:rPr>
        <w:t>the stomach of rats. Then, 0.5</w:t>
      </w:r>
      <w:r w:rsidR="001D6E50">
        <w:rPr>
          <w:rFonts w:ascii="Book Antiqua" w:hAnsi="Book Antiqua" w:hint="eastAsia"/>
          <w:sz w:val="24"/>
          <w:szCs w:val="24"/>
        </w:rPr>
        <w:t xml:space="preserve"> </w:t>
      </w:r>
      <w:r w:rsidRPr="00566E2C">
        <w:rPr>
          <w:rFonts w:ascii="Book Antiqua" w:hAnsi="Book Antiqua"/>
          <w:sz w:val="24"/>
          <w:szCs w:val="24"/>
        </w:rPr>
        <w:t>m</w:t>
      </w:r>
      <w:r w:rsidR="001D6E50" w:rsidRPr="00566E2C">
        <w:rPr>
          <w:rFonts w:ascii="Book Antiqua" w:hAnsi="Book Antiqua"/>
          <w:sz w:val="24"/>
          <w:szCs w:val="24"/>
        </w:rPr>
        <w:t>L</w:t>
      </w:r>
      <w:r w:rsidRPr="00566E2C">
        <w:rPr>
          <w:rFonts w:ascii="Book Antiqua" w:hAnsi="Book Antiqua"/>
          <w:sz w:val="24"/>
          <w:szCs w:val="24"/>
        </w:rPr>
        <w:t xml:space="preserve"> of the gastric acid was pipetted into a clean beaker containing 2</w:t>
      </w:r>
      <w:r w:rsidR="001D6E50" w:rsidRPr="001D6E50">
        <w:rPr>
          <w:rFonts w:ascii="Book Antiqua" w:hAnsi="Book Antiqua"/>
          <w:sz w:val="24"/>
          <w:szCs w:val="24"/>
        </w:rPr>
        <w:t xml:space="preserve"> </w:t>
      </w:r>
      <w:r w:rsidR="001D6E50" w:rsidRPr="00566E2C">
        <w:rPr>
          <w:rFonts w:ascii="Book Antiqua" w:hAnsi="Book Antiqua"/>
          <w:sz w:val="24"/>
          <w:szCs w:val="24"/>
        </w:rPr>
        <w:t>mL</w:t>
      </w:r>
      <w:r w:rsidRPr="00566E2C">
        <w:rPr>
          <w:rFonts w:ascii="Book Antiqua" w:hAnsi="Book Antiqua"/>
          <w:sz w:val="24"/>
          <w:szCs w:val="24"/>
        </w:rPr>
        <w:t xml:space="preserve"> of distilled water. Next, two drops of phenolphthalein was added, swirled gently to mix well, titrated by slowly adding the</w:t>
      </w:r>
      <w:r w:rsidR="001D6E50">
        <w:rPr>
          <w:rFonts w:ascii="Book Antiqua" w:hAnsi="Book Antiqua" w:hint="eastAsia"/>
          <w:sz w:val="24"/>
          <w:szCs w:val="24"/>
        </w:rPr>
        <w:t xml:space="preserve"> </w:t>
      </w:r>
      <w:r w:rsidRPr="00566E2C">
        <w:rPr>
          <w:rFonts w:ascii="Book Antiqua" w:hAnsi="Book Antiqua"/>
          <w:sz w:val="24"/>
          <w:szCs w:val="24"/>
        </w:rPr>
        <w:t>NaOH solution (0.5</w:t>
      </w:r>
      <w:r w:rsidR="001D6E50">
        <w:rPr>
          <w:rFonts w:ascii="Book Antiqua" w:hAnsi="Book Antiqua" w:hint="eastAsia"/>
          <w:sz w:val="24"/>
          <w:szCs w:val="24"/>
        </w:rPr>
        <w:t xml:space="preserve"> </w:t>
      </w:r>
      <w:r w:rsidRPr="00566E2C">
        <w:rPr>
          <w:rFonts w:ascii="Book Antiqua" w:hAnsi="Book Antiqua"/>
          <w:sz w:val="24"/>
          <w:szCs w:val="24"/>
        </w:rPr>
        <w:t>mol/L), and the beaker was swirled. The titration ended when the solution turned into a faint and persistent color. The volume of NaOH dispensed</w:t>
      </w:r>
      <w:r w:rsidR="004E5E0E">
        <w:rPr>
          <w:rFonts w:ascii="Book Antiqua" w:hAnsi="Book Antiqua" w:hint="eastAsia"/>
          <w:sz w:val="24"/>
          <w:szCs w:val="24"/>
        </w:rPr>
        <w:t xml:space="preserve"> </w:t>
      </w:r>
      <w:r w:rsidRPr="00566E2C">
        <w:rPr>
          <w:rFonts w:ascii="Book Antiqua" w:hAnsi="Book Antiqua"/>
          <w:sz w:val="24"/>
          <w:szCs w:val="24"/>
        </w:rPr>
        <w:t xml:space="preserve">was recorded: volume of gastric acid secretion= (C [NaOH] </w:t>
      </w:r>
      <w:r w:rsidRPr="00566E2C">
        <w:rPr>
          <w:rFonts w:ascii="Book Antiqua" w:hAnsi="Book Antiqua"/>
          <w:sz w:val="24"/>
          <w:szCs w:val="24"/>
        </w:rPr>
        <w:sym w:font="Symbol" w:char="F0B4"/>
      </w:r>
      <w:r w:rsidRPr="00566E2C">
        <w:rPr>
          <w:rFonts w:ascii="Book Antiqua" w:hAnsi="Book Antiqua"/>
          <w:sz w:val="24"/>
          <w:szCs w:val="24"/>
        </w:rPr>
        <w:t xml:space="preserve">V [NaOH] </w:t>
      </w:r>
      <w:r w:rsidRPr="00566E2C">
        <w:rPr>
          <w:rFonts w:ascii="Book Antiqua" w:hAnsi="Book Antiqua"/>
          <w:sz w:val="24"/>
          <w:szCs w:val="24"/>
        </w:rPr>
        <w:sym w:font="Symbol" w:char="F0B4"/>
      </w:r>
      <w:r w:rsidRPr="00566E2C">
        <w:rPr>
          <w:rFonts w:ascii="Book Antiqua" w:hAnsi="Book Antiqua"/>
          <w:sz w:val="24"/>
          <w:szCs w:val="24"/>
        </w:rPr>
        <w:t>V [gastric juice] /0.5mL).</w:t>
      </w:r>
    </w:p>
    <w:p w:rsidR="001D6E50" w:rsidRPr="001D6E50" w:rsidRDefault="001D6E50" w:rsidP="001D6E50">
      <w:pPr>
        <w:spacing w:line="360" w:lineRule="auto"/>
        <w:rPr>
          <w:rFonts w:ascii="Book Antiqua" w:hAnsi="Book Antiqua"/>
          <w:b/>
          <w:sz w:val="24"/>
          <w:szCs w:val="24"/>
        </w:rPr>
      </w:pPr>
    </w:p>
    <w:p w:rsidR="00D03341" w:rsidRPr="00566E2C" w:rsidRDefault="00D03341" w:rsidP="001D6E50">
      <w:pPr>
        <w:spacing w:line="360" w:lineRule="auto"/>
        <w:rPr>
          <w:rFonts w:ascii="Book Antiqua" w:hAnsi="Book Antiqua"/>
          <w:sz w:val="24"/>
          <w:szCs w:val="24"/>
        </w:rPr>
      </w:pPr>
      <w:r w:rsidRPr="001D6E50">
        <w:rPr>
          <w:rFonts w:ascii="Book Antiqua" w:hAnsi="Book Antiqua"/>
          <w:b/>
          <w:sz w:val="24"/>
          <w:szCs w:val="24"/>
        </w:rPr>
        <w:t xml:space="preserve">Real-time polymerase chain </w:t>
      </w:r>
      <w:r w:rsidR="001D6E50" w:rsidRPr="001D6E50">
        <w:rPr>
          <w:rFonts w:ascii="Book Antiqua" w:hAnsi="Book Antiqua"/>
          <w:b/>
          <w:sz w:val="24"/>
          <w:szCs w:val="24"/>
        </w:rPr>
        <w:t>reaction</w:t>
      </w:r>
      <w:r w:rsidR="001D6E50" w:rsidRPr="001D6E50">
        <w:rPr>
          <w:rFonts w:ascii="Book Antiqua" w:hAnsi="Book Antiqua" w:hint="eastAsia"/>
          <w:b/>
          <w:sz w:val="24"/>
          <w:szCs w:val="24"/>
        </w:rPr>
        <w:t>:</w:t>
      </w:r>
      <w:r w:rsidR="001D6E50">
        <w:rPr>
          <w:rFonts w:ascii="Book Antiqua" w:hAnsi="Book Antiqua" w:hint="eastAsia"/>
          <w:sz w:val="24"/>
          <w:szCs w:val="24"/>
        </w:rPr>
        <w:t xml:space="preserve"> </w:t>
      </w:r>
      <w:bookmarkStart w:id="55" w:name="OLE_LINK12"/>
      <w:r w:rsidRPr="00566E2C">
        <w:rPr>
          <w:rFonts w:ascii="Book Antiqua" w:hAnsi="Book Antiqua"/>
          <w:sz w:val="24"/>
          <w:szCs w:val="24"/>
        </w:rPr>
        <w:t>Twenty mg of gastric mucosal tissues were randomly obtained from different parts.</w:t>
      </w:r>
      <w:bookmarkEnd w:id="55"/>
      <w:r w:rsidRPr="00566E2C">
        <w:rPr>
          <w:rFonts w:ascii="Book Antiqua" w:hAnsi="Book Antiqua"/>
          <w:sz w:val="24"/>
          <w:szCs w:val="24"/>
        </w:rPr>
        <w:t xml:space="preserve"> Total RNA was extracted using TRIZOL Reagent and was converted into cDNAs by reverse transcription. With β-actin as the internal control gene, target gene fragments were amplified by real-time </w:t>
      </w:r>
      <w:r w:rsidR="001D6E50" w:rsidRPr="001D6E50">
        <w:rPr>
          <w:rFonts w:ascii="Book Antiqua" w:hAnsi="Book Antiqua"/>
          <w:sz w:val="24"/>
          <w:szCs w:val="24"/>
        </w:rPr>
        <w:t>polymerase chain reaction (PCR)</w:t>
      </w:r>
      <w:r w:rsidRPr="00566E2C">
        <w:rPr>
          <w:rFonts w:ascii="Book Antiqua" w:hAnsi="Book Antiqua"/>
          <w:sz w:val="24"/>
          <w:szCs w:val="24"/>
        </w:rPr>
        <w:t>. Five μL</w:t>
      </w:r>
      <w:r w:rsidR="004E5E0E">
        <w:rPr>
          <w:rFonts w:ascii="Book Antiqua" w:hAnsi="Book Antiqua" w:hint="eastAsia"/>
          <w:sz w:val="24"/>
          <w:szCs w:val="24"/>
        </w:rPr>
        <w:t xml:space="preserve"> </w:t>
      </w:r>
      <w:r w:rsidRPr="00566E2C">
        <w:rPr>
          <w:rFonts w:ascii="Book Antiqua" w:hAnsi="Book Antiqua"/>
          <w:sz w:val="24"/>
          <w:szCs w:val="24"/>
        </w:rPr>
        <w:t>of RT-PCR products were subjected to 2% agarose gel electrophoresis. The absorbance of the target gene strands was detected. The relative mRNA expression level of H</w:t>
      </w:r>
      <w:r w:rsidRPr="00566E2C">
        <w:rPr>
          <w:rFonts w:ascii="Book Antiqua" w:hAnsi="Book Antiqua"/>
          <w:sz w:val="24"/>
          <w:szCs w:val="24"/>
          <w:vertAlign w:val="superscript"/>
        </w:rPr>
        <w:t>+</w:t>
      </w:r>
      <w:r w:rsidRPr="00566E2C">
        <w:rPr>
          <w:rFonts w:ascii="Book Antiqua" w:hAnsi="Book Antiqua"/>
          <w:sz w:val="24"/>
          <w:szCs w:val="24"/>
        </w:rPr>
        <w:t>/K</w:t>
      </w:r>
      <w:r w:rsidRPr="00566E2C">
        <w:rPr>
          <w:rFonts w:ascii="Book Antiqua" w:hAnsi="Book Antiqua"/>
          <w:sz w:val="24"/>
          <w:szCs w:val="24"/>
          <w:vertAlign w:val="superscript"/>
        </w:rPr>
        <w:t>+</w:t>
      </w:r>
      <w:r w:rsidRPr="00566E2C">
        <w:rPr>
          <w:rFonts w:ascii="Book Antiqua" w:hAnsi="Book Antiqua"/>
          <w:sz w:val="24"/>
          <w:szCs w:val="24"/>
        </w:rPr>
        <w:t>-ATP was determined as the ratio of the absorbance of the target gene to that of β-actin.</w:t>
      </w:r>
    </w:p>
    <w:p w:rsidR="00D03341" w:rsidRDefault="00D03341" w:rsidP="001D6E50">
      <w:pPr>
        <w:spacing w:line="360" w:lineRule="auto"/>
        <w:ind w:firstLineChars="200" w:firstLine="480"/>
        <w:rPr>
          <w:rFonts w:ascii="Book Antiqua" w:hAnsi="Book Antiqua"/>
          <w:sz w:val="24"/>
          <w:szCs w:val="24"/>
        </w:rPr>
      </w:pPr>
      <w:r w:rsidRPr="00566E2C">
        <w:rPr>
          <w:rFonts w:ascii="Book Antiqua" w:hAnsi="Book Antiqua"/>
          <w:sz w:val="24"/>
          <w:szCs w:val="24"/>
        </w:rPr>
        <w:t>The real-time PCR primers are as follows:</w:t>
      </w:r>
      <w:r w:rsidR="004E5E0E">
        <w:rPr>
          <w:rFonts w:ascii="Book Antiqua" w:hAnsi="Book Antiqua" w:hint="eastAsia"/>
          <w:sz w:val="24"/>
          <w:szCs w:val="24"/>
        </w:rPr>
        <w:t xml:space="preserve"> </w:t>
      </w:r>
      <w:r w:rsidRPr="00566E2C">
        <w:rPr>
          <w:rFonts w:ascii="Book Antiqua" w:hAnsi="Book Antiqua"/>
          <w:sz w:val="24"/>
          <w:szCs w:val="24"/>
        </w:rPr>
        <w:t>H</w:t>
      </w:r>
      <w:r w:rsidRPr="00566E2C">
        <w:rPr>
          <w:rFonts w:ascii="Book Antiqua" w:hAnsi="Book Antiqua"/>
          <w:sz w:val="24"/>
          <w:szCs w:val="24"/>
          <w:vertAlign w:val="superscript"/>
        </w:rPr>
        <w:t>+</w:t>
      </w:r>
      <w:r w:rsidRPr="00566E2C">
        <w:rPr>
          <w:rFonts w:ascii="Book Antiqua" w:hAnsi="Book Antiqua"/>
          <w:sz w:val="24"/>
          <w:szCs w:val="24"/>
        </w:rPr>
        <w:t>/K</w:t>
      </w:r>
      <w:r w:rsidRPr="00566E2C">
        <w:rPr>
          <w:rFonts w:ascii="Book Antiqua" w:hAnsi="Book Antiqua"/>
          <w:sz w:val="24"/>
          <w:szCs w:val="24"/>
          <w:vertAlign w:val="superscript"/>
        </w:rPr>
        <w:t>+</w:t>
      </w:r>
      <w:r w:rsidRPr="00566E2C">
        <w:rPr>
          <w:rFonts w:ascii="Book Antiqua" w:hAnsi="Book Antiqua"/>
          <w:sz w:val="24"/>
          <w:szCs w:val="24"/>
        </w:rPr>
        <w:t>-ATPase, 5'-CTCTGCTTTGCGGGACTT-3' (forward), 5'-CCTTGGCTGTGATGGGAT-3'(reverse);β-actin, 5’-AGCTGAGAGGGAAATCGTGCG 3’(forward),5’-GTGCCACCAGACAGCACTGTG-3’ (reverse).</w:t>
      </w:r>
    </w:p>
    <w:p w:rsidR="001D6E50" w:rsidRPr="00566E2C" w:rsidRDefault="001D6E50" w:rsidP="001D6E50">
      <w:pPr>
        <w:spacing w:line="360" w:lineRule="auto"/>
        <w:ind w:firstLineChars="200" w:firstLine="480"/>
        <w:rPr>
          <w:rFonts w:ascii="Book Antiqua" w:hAnsi="Book Antiqua"/>
          <w:sz w:val="24"/>
          <w:szCs w:val="24"/>
        </w:rPr>
      </w:pPr>
    </w:p>
    <w:p w:rsidR="00D03341" w:rsidRDefault="00D03341" w:rsidP="001D6E50">
      <w:pPr>
        <w:spacing w:line="360" w:lineRule="auto"/>
        <w:rPr>
          <w:rFonts w:ascii="Book Antiqua" w:hAnsi="Book Antiqua"/>
          <w:sz w:val="24"/>
          <w:szCs w:val="24"/>
        </w:rPr>
      </w:pPr>
      <w:r w:rsidRPr="001D6E50">
        <w:rPr>
          <w:rFonts w:ascii="Book Antiqua" w:hAnsi="Book Antiqua"/>
          <w:b/>
          <w:sz w:val="24"/>
          <w:szCs w:val="24"/>
        </w:rPr>
        <w:t>Western blot</w:t>
      </w:r>
      <w:r w:rsidR="001D6E50" w:rsidRPr="001D6E50">
        <w:rPr>
          <w:rFonts w:ascii="Book Antiqua" w:hAnsi="Book Antiqua" w:hint="eastAsia"/>
          <w:b/>
          <w:sz w:val="24"/>
          <w:szCs w:val="24"/>
        </w:rPr>
        <w:t>:</w:t>
      </w:r>
      <w:r w:rsidR="001D6E50">
        <w:rPr>
          <w:rFonts w:ascii="Book Antiqua" w:hAnsi="Book Antiqua" w:hint="eastAsia"/>
          <w:sz w:val="24"/>
          <w:szCs w:val="24"/>
        </w:rPr>
        <w:t xml:space="preserve"> </w:t>
      </w:r>
      <w:bookmarkStart w:id="56" w:name="OLE_LINK14"/>
      <w:r w:rsidRPr="00566E2C">
        <w:rPr>
          <w:rFonts w:ascii="Book Antiqua" w:hAnsi="Book Antiqua"/>
          <w:sz w:val="24"/>
          <w:szCs w:val="24"/>
        </w:rPr>
        <w:t>Twenty mg of gastric mucosal tissues were randomly obtained</w:t>
      </w:r>
      <w:r w:rsidR="00F75E9A">
        <w:rPr>
          <w:rFonts w:ascii="Book Antiqua" w:hAnsi="Book Antiqua" w:hint="eastAsia"/>
          <w:sz w:val="24"/>
          <w:szCs w:val="24"/>
        </w:rPr>
        <w:t xml:space="preserve"> </w:t>
      </w:r>
      <w:r w:rsidRPr="00566E2C">
        <w:rPr>
          <w:rFonts w:ascii="Book Antiqua" w:hAnsi="Book Antiqua"/>
          <w:sz w:val="24"/>
          <w:szCs w:val="24"/>
        </w:rPr>
        <w:t>from different parts,</w:t>
      </w:r>
      <w:r w:rsidR="00F75E9A">
        <w:rPr>
          <w:rFonts w:ascii="Book Antiqua" w:hAnsi="Book Antiqua" w:hint="eastAsia"/>
          <w:sz w:val="24"/>
          <w:szCs w:val="24"/>
        </w:rPr>
        <w:t xml:space="preserve"> </w:t>
      </w:r>
      <w:r w:rsidRPr="00566E2C">
        <w:rPr>
          <w:rFonts w:ascii="Book Antiqua" w:hAnsi="Book Antiqua"/>
          <w:sz w:val="24"/>
          <w:szCs w:val="24"/>
        </w:rPr>
        <w:t>and total proteins were extracted of the samples.</w:t>
      </w:r>
      <w:r w:rsidR="00F75E9A">
        <w:rPr>
          <w:rFonts w:ascii="Book Antiqua" w:hAnsi="Book Antiqua" w:hint="eastAsia"/>
          <w:sz w:val="24"/>
          <w:szCs w:val="24"/>
        </w:rPr>
        <w:t xml:space="preserve"> </w:t>
      </w:r>
      <w:r w:rsidRPr="00566E2C">
        <w:rPr>
          <w:rFonts w:ascii="Book Antiqua" w:hAnsi="Book Antiqua"/>
          <w:sz w:val="24"/>
          <w:szCs w:val="24"/>
        </w:rPr>
        <w:t>Protein concentrations were detected using the BCA method. Protein extracts containing the same quality were subjected to SDS-PAGE using 12% polyacrylamide gel, followed by western blotting. Each membrane was blocked in 5% skim milk for two hours</w:t>
      </w:r>
      <w:r w:rsidR="00F75E9A">
        <w:rPr>
          <w:rFonts w:ascii="Book Antiqua" w:hAnsi="Book Antiqua" w:hint="eastAsia"/>
          <w:sz w:val="24"/>
          <w:szCs w:val="24"/>
        </w:rPr>
        <w:t xml:space="preserve"> </w:t>
      </w:r>
      <w:r w:rsidRPr="00566E2C">
        <w:rPr>
          <w:rFonts w:ascii="Book Antiqua" w:hAnsi="Book Antiqua"/>
          <w:sz w:val="24"/>
          <w:szCs w:val="24"/>
        </w:rPr>
        <w:t xml:space="preserve">at room temperature. Then, the </w:t>
      </w:r>
      <w:r w:rsidRPr="00566E2C">
        <w:rPr>
          <w:rFonts w:ascii="Book Antiqua" w:hAnsi="Book Antiqua"/>
          <w:sz w:val="24"/>
          <w:szCs w:val="24"/>
        </w:rPr>
        <w:lastRenderedPageBreak/>
        <w:t>membrane was incubated for one hour</w:t>
      </w:r>
      <w:r w:rsidR="00F75E9A">
        <w:rPr>
          <w:rFonts w:ascii="Book Antiqua" w:hAnsi="Book Antiqua" w:hint="eastAsia"/>
          <w:sz w:val="24"/>
          <w:szCs w:val="24"/>
        </w:rPr>
        <w:t xml:space="preserve"> </w:t>
      </w:r>
      <w:r w:rsidRPr="00566E2C">
        <w:rPr>
          <w:rFonts w:ascii="Book Antiqua" w:hAnsi="Book Antiqua"/>
          <w:sz w:val="24"/>
          <w:szCs w:val="24"/>
        </w:rPr>
        <w:t>at room temperature with anti-H</w:t>
      </w:r>
      <w:r w:rsidRPr="00566E2C">
        <w:rPr>
          <w:rFonts w:ascii="Book Antiqua" w:hAnsi="Book Antiqua"/>
          <w:sz w:val="24"/>
          <w:szCs w:val="24"/>
          <w:vertAlign w:val="superscript"/>
        </w:rPr>
        <w:t>+</w:t>
      </w:r>
      <w:r w:rsidRPr="00566E2C">
        <w:rPr>
          <w:rFonts w:ascii="Book Antiqua" w:hAnsi="Book Antiqua"/>
          <w:sz w:val="24"/>
          <w:szCs w:val="24"/>
        </w:rPr>
        <w:t>/K</w:t>
      </w:r>
      <w:r w:rsidRPr="00566E2C">
        <w:rPr>
          <w:rFonts w:ascii="Book Antiqua" w:hAnsi="Book Antiqua"/>
          <w:sz w:val="24"/>
          <w:szCs w:val="24"/>
          <w:vertAlign w:val="superscript"/>
        </w:rPr>
        <w:t>+</w:t>
      </w:r>
      <w:r w:rsidRPr="00566E2C">
        <w:rPr>
          <w:rFonts w:ascii="Book Antiqua" w:hAnsi="Book Antiqua"/>
          <w:sz w:val="24"/>
          <w:szCs w:val="24"/>
        </w:rPr>
        <w:t>-ATPase antibody. After washing</w:t>
      </w:r>
      <w:r w:rsidR="00F75E9A">
        <w:rPr>
          <w:rFonts w:ascii="Book Antiqua" w:hAnsi="Book Antiqua" w:hint="eastAsia"/>
          <w:sz w:val="24"/>
          <w:szCs w:val="24"/>
        </w:rPr>
        <w:t xml:space="preserve"> </w:t>
      </w:r>
      <w:r w:rsidRPr="00566E2C">
        <w:rPr>
          <w:rFonts w:ascii="Book Antiqua" w:hAnsi="Book Antiqua"/>
          <w:sz w:val="24"/>
          <w:szCs w:val="24"/>
        </w:rPr>
        <w:t>with PBST for three</w:t>
      </w:r>
      <w:r w:rsidR="00F75E9A">
        <w:rPr>
          <w:rFonts w:ascii="Book Antiqua" w:hAnsi="Book Antiqua" w:hint="eastAsia"/>
          <w:sz w:val="24"/>
          <w:szCs w:val="24"/>
        </w:rPr>
        <w:t xml:space="preserve"> </w:t>
      </w:r>
      <w:r w:rsidRPr="00566E2C">
        <w:rPr>
          <w:rFonts w:ascii="Book Antiqua" w:hAnsi="Book Antiqua"/>
          <w:sz w:val="24"/>
          <w:szCs w:val="24"/>
        </w:rPr>
        <w:t>times at</w:t>
      </w:r>
      <w:r w:rsidR="00F75E9A">
        <w:rPr>
          <w:rFonts w:ascii="Book Antiqua" w:hAnsi="Book Antiqua" w:hint="eastAsia"/>
          <w:sz w:val="24"/>
          <w:szCs w:val="24"/>
        </w:rPr>
        <w:t xml:space="preserve"> </w:t>
      </w:r>
      <w:r w:rsidRPr="00566E2C">
        <w:rPr>
          <w:rFonts w:ascii="Book Antiqua" w:hAnsi="Book Antiqua"/>
          <w:sz w:val="24"/>
          <w:szCs w:val="24"/>
        </w:rPr>
        <w:t>five minutes</w:t>
      </w:r>
      <w:r w:rsidR="00F75E9A">
        <w:rPr>
          <w:rFonts w:ascii="Book Antiqua" w:hAnsi="Book Antiqua" w:hint="eastAsia"/>
          <w:sz w:val="24"/>
          <w:szCs w:val="24"/>
        </w:rPr>
        <w:t xml:space="preserve"> </w:t>
      </w:r>
      <w:r w:rsidRPr="00566E2C">
        <w:rPr>
          <w:rFonts w:ascii="Book Antiqua" w:hAnsi="Book Antiqua"/>
          <w:sz w:val="24"/>
          <w:szCs w:val="24"/>
        </w:rPr>
        <w:t>each time, each membrane was incubated with a corresponding secondary fluorescein-labeled antibody for one hour</w:t>
      </w:r>
      <w:r w:rsidR="00F75E9A">
        <w:rPr>
          <w:rFonts w:ascii="Book Antiqua" w:hAnsi="Book Antiqua" w:hint="eastAsia"/>
          <w:sz w:val="24"/>
          <w:szCs w:val="24"/>
        </w:rPr>
        <w:t xml:space="preserve"> </w:t>
      </w:r>
      <w:r w:rsidRPr="00566E2C">
        <w:rPr>
          <w:rFonts w:ascii="Book Antiqua" w:hAnsi="Book Antiqua"/>
          <w:sz w:val="24"/>
          <w:szCs w:val="24"/>
        </w:rPr>
        <w:t>at room temperature. Then, the bands were visualized and imaged using the</w:t>
      </w:r>
      <w:r w:rsidR="00F75E9A">
        <w:rPr>
          <w:rFonts w:ascii="Book Antiqua" w:hAnsi="Book Antiqua" w:hint="eastAsia"/>
          <w:sz w:val="24"/>
          <w:szCs w:val="24"/>
        </w:rPr>
        <w:t xml:space="preserve"> </w:t>
      </w:r>
      <w:r w:rsidRPr="00566E2C">
        <w:rPr>
          <w:rFonts w:ascii="Book Antiqua" w:hAnsi="Book Antiqua"/>
          <w:sz w:val="24"/>
          <w:szCs w:val="24"/>
        </w:rPr>
        <w:t>Odyssey infrared imaging system (LI-COR, Germany).</w:t>
      </w:r>
    </w:p>
    <w:p w:rsidR="001D6E50" w:rsidRPr="00566E2C" w:rsidRDefault="001D6E50" w:rsidP="001D6E50">
      <w:pPr>
        <w:spacing w:line="360" w:lineRule="auto"/>
        <w:rPr>
          <w:rFonts w:ascii="Book Antiqua" w:hAnsi="Book Antiqua"/>
          <w:sz w:val="24"/>
          <w:szCs w:val="24"/>
        </w:rPr>
      </w:pPr>
    </w:p>
    <w:bookmarkEnd w:id="56"/>
    <w:p w:rsidR="00D03341" w:rsidRPr="001D6E50" w:rsidRDefault="00D03341" w:rsidP="001D6E50">
      <w:pPr>
        <w:spacing w:line="360" w:lineRule="auto"/>
        <w:rPr>
          <w:rFonts w:ascii="Book Antiqua" w:hAnsi="Book Antiqua"/>
          <w:b/>
          <w:i/>
          <w:sz w:val="24"/>
          <w:szCs w:val="24"/>
        </w:rPr>
      </w:pPr>
      <w:r w:rsidRPr="001D6E50">
        <w:rPr>
          <w:rFonts w:ascii="Book Antiqua" w:hAnsi="Book Antiqua"/>
          <w:b/>
          <w:i/>
          <w:sz w:val="24"/>
          <w:szCs w:val="24"/>
        </w:rPr>
        <w:t>Statistical analysis</w:t>
      </w:r>
    </w:p>
    <w:p w:rsidR="00D03341" w:rsidRPr="00566E2C" w:rsidRDefault="00D03341" w:rsidP="001D6E50">
      <w:pPr>
        <w:spacing w:line="360" w:lineRule="auto"/>
        <w:rPr>
          <w:rFonts w:ascii="Book Antiqua" w:hAnsi="Book Antiqua"/>
          <w:sz w:val="24"/>
          <w:szCs w:val="24"/>
        </w:rPr>
      </w:pPr>
      <w:r w:rsidRPr="00566E2C">
        <w:rPr>
          <w:rFonts w:ascii="Book Antiqua" w:hAnsi="Book Antiqua"/>
          <w:sz w:val="24"/>
          <w:szCs w:val="24"/>
        </w:rPr>
        <w:t>Statistical analysis was performed using SPSS Statistics version 20. Data were expressed as means ±</w:t>
      </w:r>
      <w:r w:rsidR="001D6E50">
        <w:rPr>
          <w:rFonts w:ascii="Book Antiqua" w:hAnsi="Book Antiqua" w:hint="eastAsia"/>
          <w:sz w:val="24"/>
          <w:szCs w:val="24"/>
        </w:rPr>
        <w:t xml:space="preserve"> </w:t>
      </w:r>
      <w:r w:rsidR="001D6E50">
        <w:rPr>
          <w:rFonts w:ascii="Book Antiqua" w:hAnsi="Book Antiqua"/>
          <w:sz w:val="24"/>
          <w:szCs w:val="24"/>
        </w:rPr>
        <w:t>SD</w:t>
      </w:r>
      <w:r w:rsidRPr="00566E2C">
        <w:rPr>
          <w:rFonts w:ascii="Book Antiqua" w:hAnsi="Book Antiqua"/>
          <w:sz w:val="24"/>
          <w:szCs w:val="24"/>
        </w:rPr>
        <w:t>. Comparisons of categorical variables were carried out using one-way ANOVA. Dunnett’s</w:t>
      </w:r>
      <w:r w:rsidR="001D6E50">
        <w:rPr>
          <w:rFonts w:ascii="Book Antiqua" w:hAnsi="Book Antiqua" w:hint="eastAsia"/>
          <w:sz w:val="24"/>
          <w:szCs w:val="24"/>
        </w:rPr>
        <w:t xml:space="preserve"> </w:t>
      </w:r>
      <w:r w:rsidRPr="001D6E50">
        <w:rPr>
          <w:rFonts w:ascii="Book Antiqua" w:hAnsi="Book Antiqua"/>
          <w:i/>
          <w:sz w:val="24"/>
          <w:szCs w:val="24"/>
        </w:rPr>
        <w:t>t</w:t>
      </w:r>
      <w:r w:rsidRPr="00566E2C">
        <w:rPr>
          <w:rFonts w:ascii="Book Antiqua" w:hAnsi="Book Antiqua"/>
          <w:sz w:val="24"/>
          <w:szCs w:val="24"/>
        </w:rPr>
        <w:t xml:space="preserve">-test was employed to further analyze the differences between groups. </w:t>
      </w:r>
      <w:r w:rsidRPr="00566E2C">
        <w:rPr>
          <w:rFonts w:ascii="Book Antiqua" w:hAnsi="Book Antiqua"/>
          <w:i/>
          <w:sz w:val="24"/>
          <w:szCs w:val="24"/>
        </w:rPr>
        <w:t>P</w:t>
      </w:r>
      <w:r w:rsidR="001D6E50">
        <w:rPr>
          <w:rFonts w:ascii="Book Antiqua" w:hAnsi="Book Antiqua" w:hint="eastAsia"/>
          <w:i/>
          <w:sz w:val="24"/>
          <w:szCs w:val="24"/>
        </w:rPr>
        <w:t xml:space="preserve"> </w:t>
      </w:r>
      <w:r w:rsidRPr="00566E2C">
        <w:rPr>
          <w:rFonts w:ascii="Book Antiqua" w:hAnsi="Book Antiqua"/>
          <w:sz w:val="24"/>
          <w:szCs w:val="24"/>
        </w:rPr>
        <w:t>&lt;</w:t>
      </w:r>
      <w:r w:rsidR="001D6E50">
        <w:rPr>
          <w:rFonts w:ascii="Book Antiqua" w:hAnsi="Book Antiqua" w:hint="eastAsia"/>
          <w:sz w:val="24"/>
          <w:szCs w:val="24"/>
        </w:rPr>
        <w:t xml:space="preserve"> </w:t>
      </w:r>
      <w:r w:rsidRPr="00566E2C">
        <w:rPr>
          <w:rFonts w:ascii="Book Antiqua" w:hAnsi="Book Antiqua"/>
          <w:sz w:val="24"/>
          <w:szCs w:val="24"/>
        </w:rPr>
        <w:t>0.05 was considered statistically significant.</w:t>
      </w:r>
    </w:p>
    <w:p w:rsidR="00D03341" w:rsidRPr="00566E2C" w:rsidRDefault="00D03341" w:rsidP="001D6E50">
      <w:pPr>
        <w:spacing w:line="360" w:lineRule="auto"/>
        <w:rPr>
          <w:rFonts w:ascii="Book Antiqua" w:hAnsi="Book Antiqua"/>
          <w:sz w:val="24"/>
          <w:szCs w:val="24"/>
        </w:rPr>
      </w:pPr>
    </w:p>
    <w:p w:rsidR="00D03341" w:rsidRPr="001D6E50" w:rsidRDefault="001D6E50" w:rsidP="001D6E50">
      <w:pPr>
        <w:spacing w:line="360" w:lineRule="auto"/>
        <w:rPr>
          <w:rFonts w:ascii="Book Antiqua" w:hAnsi="Book Antiqua"/>
          <w:b/>
          <w:sz w:val="24"/>
          <w:szCs w:val="24"/>
        </w:rPr>
      </w:pPr>
      <w:r w:rsidRPr="001D6E50">
        <w:rPr>
          <w:rFonts w:ascii="Book Antiqua" w:hAnsi="Book Antiqua"/>
          <w:b/>
          <w:sz w:val="24"/>
          <w:szCs w:val="24"/>
        </w:rPr>
        <w:t>RESULTS</w:t>
      </w:r>
    </w:p>
    <w:p w:rsidR="00D03341" w:rsidRPr="001D6E50" w:rsidRDefault="00D03341" w:rsidP="001D6E50">
      <w:pPr>
        <w:spacing w:line="360" w:lineRule="auto"/>
        <w:rPr>
          <w:rFonts w:ascii="Book Antiqua" w:hAnsi="Book Antiqua"/>
          <w:b/>
          <w:i/>
          <w:sz w:val="24"/>
          <w:szCs w:val="24"/>
        </w:rPr>
      </w:pPr>
      <w:bookmarkStart w:id="57" w:name="OLE_LINK17"/>
      <w:bookmarkStart w:id="58" w:name="OLE_LINK23"/>
      <w:r w:rsidRPr="001D6E50">
        <w:rPr>
          <w:rFonts w:ascii="Book Antiqua" w:hAnsi="Book Antiqua"/>
          <w:b/>
          <w:i/>
          <w:sz w:val="24"/>
          <w:szCs w:val="24"/>
        </w:rPr>
        <w:t>Establishment of theobeserat model</w:t>
      </w:r>
      <w:bookmarkEnd w:id="57"/>
      <w:bookmarkEnd w:id="58"/>
    </w:p>
    <w:p w:rsidR="00D03341" w:rsidRPr="00566E2C" w:rsidRDefault="00D03341" w:rsidP="001D6E50">
      <w:pPr>
        <w:spacing w:line="360" w:lineRule="auto"/>
        <w:rPr>
          <w:rFonts w:ascii="Book Antiqua" w:hAnsi="Book Antiqua"/>
          <w:sz w:val="24"/>
          <w:szCs w:val="24"/>
        </w:rPr>
      </w:pPr>
      <w:r w:rsidRPr="00566E2C">
        <w:rPr>
          <w:rFonts w:ascii="Book Antiqua" w:hAnsi="Book Antiqua"/>
          <w:sz w:val="24"/>
          <w:szCs w:val="24"/>
        </w:rPr>
        <w:t>As shown in Table</w:t>
      </w:r>
      <w:r w:rsidR="00FB2A00">
        <w:rPr>
          <w:rFonts w:ascii="Book Antiqua" w:hAnsi="Book Antiqua" w:hint="eastAsia"/>
          <w:sz w:val="24"/>
          <w:szCs w:val="24"/>
        </w:rPr>
        <w:t xml:space="preserve"> </w:t>
      </w:r>
      <w:r w:rsidRPr="00566E2C">
        <w:rPr>
          <w:rFonts w:ascii="Book Antiqua" w:hAnsi="Book Antiqua"/>
          <w:sz w:val="24"/>
          <w:szCs w:val="24"/>
        </w:rPr>
        <w:t>1, the body weight, body length, Lee’s index and triglyceride level of rats were much higher in the high-fat diet group than in the control group; and</w:t>
      </w:r>
      <w:r w:rsidR="00736FCE">
        <w:rPr>
          <w:rFonts w:ascii="Book Antiqua" w:hAnsi="Book Antiqua" w:hint="eastAsia"/>
          <w:sz w:val="24"/>
          <w:szCs w:val="24"/>
        </w:rPr>
        <w:t xml:space="preserve"> </w:t>
      </w:r>
      <w:r w:rsidRPr="00566E2C">
        <w:rPr>
          <w:rFonts w:ascii="Book Antiqua" w:hAnsi="Book Antiqua"/>
          <w:sz w:val="24"/>
          <w:szCs w:val="24"/>
        </w:rPr>
        <w:t>the differences were considered statistically significant (</w:t>
      </w:r>
      <w:r w:rsidRPr="00566E2C">
        <w:rPr>
          <w:rFonts w:ascii="Book Antiqua" w:hAnsi="Book Antiqua"/>
          <w:i/>
          <w:sz w:val="24"/>
          <w:szCs w:val="24"/>
        </w:rPr>
        <w:t>P</w:t>
      </w:r>
      <w:r w:rsidR="001D6E50">
        <w:rPr>
          <w:rFonts w:ascii="Book Antiqua" w:hAnsi="Book Antiqua" w:hint="eastAsia"/>
          <w:i/>
          <w:sz w:val="24"/>
          <w:szCs w:val="24"/>
        </w:rPr>
        <w:t xml:space="preserve"> </w:t>
      </w:r>
      <w:r w:rsidRPr="00566E2C">
        <w:rPr>
          <w:rFonts w:ascii="Book Antiqua" w:hAnsi="Book Antiqua"/>
          <w:sz w:val="24"/>
          <w:szCs w:val="24"/>
        </w:rPr>
        <w:t>&lt;</w:t>
      </w:r>
      <w:r w:rsidR="001D6E50">
        <w:rPr>
          <w:rFonts w:ascii="Book Antiqua" w:hAnsi="Book Antiqua" w:hint="eastAsia"/>
          <w:sz w:val="24"/>
          <w:szCs w:val="24"/>
        </w:rPr>
        <w:t xml:space="preserve"> </w:t>
      </w:r>
      <w:r w:rsidRPr="00566E2C">
        <w:rPr>
          <w:rFonts w:ascii="Book Antiqua" w:hAnsi="Book Antiqua"/>
          <w:sz w:val="24"/>
          <w:szCs w:val="24"/>
        </w:rPr>
        <w:t xml:space="preserve">0.05). </w:t>
      </w:r>
    </w:p>
    <w:p w:rsidR="00D03341" w:rsidRPr="00566E2C" w:rsidRDefault="00D03341" w:rsidP="001D6E50">
      <w:pPr>
        <w:spacing w:line="360" w:lineRule="auto"/>
        <w:rPr>
          <w:rFonts w:ascii="Book Antiqua" w:hAnsi="Book Antiqua"/>
          <w:sz w:val="24"/>
          <w:szCs w:val="24"/>
        </w:rPr>
      </w:pPr>
    </w:p>
    <w:p w:rsidR="00D03341" w:rsidRPr="001D6E50" w:rsidRDefault="00D03341" w:rsidP="001D6E50">
      <w:pPr>
        <w:spacing w:line="360" w:lineRule="auto"/>
        <w:rPr>
          <w:rFonts w:ascii="Book Antiqua" w:hAnsi="Book Antiqua"/>
          <w:b/>
          <w:i/>
          <w:sz w:val="24"/>
          <w:szCs w:val="24"/>
        </w:rPr>
      </w:pPr>
      <w:r w:rsidRPr="001D6E50">
        <w:rPr>
          <w:rFonts w:ascii="Book Antiqua" w:hAnsi="Book Antiqua"/>
          <w:b/>
          <w:i/>
          <w:sz w:val="24"/>
          <w:szCs w:val="24"/>
        </w:rPr>
        <w:t>Changes in gastric acid secretion and gastrointestinal mobility</w:t>
      </w:r>
    </w:p>
    <w:p w:rsidR="00D03341" w:rsidRDefault="00D03341" w:rsidP="001D6E50">
      <w:pPr>
        <w:spacing w:line="360" w:lineRule="auto"/>
        <w:rPr>
          <w:rFonts w:ascii="Book Antiqua" w:hAnsi="Book Antiqua"/>
          <w:sz w:val="24"/>
          <w:szCs w:val="24"/>
        </w:rPr>
      </w:pPr>
      <w:r w:rsidRPr="00566E2C">
        <w:rPr>
          <w:rFonts w:ascii="Book Antiqua" w:hAnsi="Book Antiqua"/>
          <w:sz w:val="24"/>
          <w:szCs w:val="24"/>
        </w:rPr>
        <w:t>Changes in gastric acid secretion and gastrointestinal mobility are shown in Figures 1 and 2.  The gastric acid secretory capacity and gastrointestinal mobility of rats that received nesfatin-1 by intravenous injection did not significantly change at each drug dosage and time point. Each group was</w:t>
      </w:r>
      <w:r w:rsidR="00736FCE">
        <w:rPr>
          <w:rFonts w:ascii="Book Antiqua" w:hAnsi="Book Antiqua" w:hint="eastAsia"/>
          <w:sz w:val="24"/>
          <w:szCs w:val="24"/>
        </w:rPr>
        <w:t xml:space="preserve"> </w:t>
      </w:r>
      <w:r w:rsidRPr="00566E2C">
        <w:rPr>
          <w:rFonts w:ascii="Book Antiqua" w:hAnsi="Book Antiqua"/>
          <w:sz w:val="24"/>
          <w:szCs w:val="24"/>
        </w:rPr>
        <w:t>presented as a gray value histogram (</w:t>
      </w:r>
      <w:r w:rsidR="001D6E50" w:rsidRPr="00566E2C">
        <w:rPr>
          <w:rFonts w:ascii="Book Antiqua" w:hAnsi="Book Antiqua"/>
          <w:sz w:val="24"/>
          <w:szCs w:val="24"/>
        </w:rPr>
        <w:t xml:space="preserve">Figures </w:t>
      </w:r>
      <w:r w:rsidRPr="00566E2C">
        <w:rPr>
          <w:rFonts w:ascii="Book Antiqua" w:hAnsi="Book Antiqua"/>
          <w:sz w:val="24"/>
          <w:szCs w:val="24"/>
        </w:rPr>
        <w:t>1A and 2A). However, the intracerebroventricular</w:t>
      </w:r>
      <w:r w:rsidR="00736FCE">
        <w:rPr>
          <w:rFonts w:ascii="Book Antiqua" w:hAnsi="Book Antiqua" w:hint="eastAsia"/>
          <w:sz w:val="24"/>
          <w:szCs w:val="24"/>
        </w:rPr>
        <w:t xml:space="preserve"> </w:t>
      </w:r>
      <w:r w:rsidRPr="00566E2C">
        <w:rPr>
          <w:rFonts w:ascii="Book Antiqua" w:hAnsi="Book Antiqua"/>
          <w:sz w:val="24"/>
          <w:szCs w:val="24"/>
        </w:rPr>
        <w:t>administration of nesfatin-1 induced</w:t>
      </w:r>
      <w:r w:rsidR="00736FCE">
        <w:rPr>
          <w:rFonts w:ascii="Book Antiqua" w:hAnsi="Book Antiqua" w:hint="eastAsia"/>
          <w:sz w:val="24"/>
          <w:szCs w:val="24"/>
        </w:rPr>
        <w:t xml:space="preserve"> </w:t>
      </w:r>
      <w:r w:rsidRPr="00566E2C">
        <w:rPr>
          <w:rFonts w:ascii="Book Antiqua" w:hAnsi="Book Antiqua"/>
          <w:sz w:val="24"/>
          <w:szCs w:val="24"/>
        </w:rPr>
        <w:t xml:space="preserve">a great difference in the gastric acid secretion of rats. The gastric acid secretion level did not significantly change at any of the time points after the administration of </w:t>
      </w:r>
      <w:r w:rsidRPr="00566E2C">
        <w:rPr>
          <w:rFonts w:ascii="Book Antiqua" w:hAnsi="Book Antiqua"/>
          <w:sz w:val="24"/>
          <w:szCs w:val="24"/>
        </w:rPr>
        <w:lastRenderedPageBreak/>
        <w:t>nesfatin-1 at a dose of 0</w:t>
      </w:r>
      <w:r w:rsidR="001D6E50">
        <w:rPr>
          <w:rFonts w:ascii="Book Antiqua" w:hAnsi="Book Antiqua" w:hint="eastAsia"/>
          <w:sz w:val="24"/>
          <w:szCs w:val="24"/>
        </w:rPr>
        <w:t xml:space="preserve"> </w:t>
      </w:r>
      <w:r w:rsidRPr="00566E2C">
        <w:rPr>
          <w:rFonts w:ascii="Book Antiqua" w:hAnsi="Book Antiqua"/>
          <w:sz w:val="24"/>
          <w:szCs w:val="24"/>
        </w:rPr>
        <w:t>μg/5μL. However, the secretion levels of rats injected with nesfatin-1 at adose of 0.5</w:t>
      </w:r>
      <w:r w:rsidR="001D6E50">
        <w:rPr>
          <w:rFonts w:ascii="Book Antiqua" w:hAnsi="Book Antiqua" w:hint="eastAsia"/>
          <w:sz w:val="24"/>
          <w:szCs w:val="24"/>
        </w:rPr>
        <w:t xml:space="preserve"> </w:t>
      </w:r>
      <w:r w:rsidRPr="00566E2C">
        <w:rPr>
          <w:rFonts w:ascii="Book Antiqua" w:hAnsi="Book Antiqua"/>
          <w:sz w:val="24"/>
          <w:szCs w:val="24"/>
        </w:rPr>
        <w:t>μg/5μL and 1.0</w:t>
      </w:r>
      <w:r w:rsidR="001D6E50">
        <w:rPr>
          <w:rFonts w:ascii="Book Antiqua" w:hAnsi="Book Antiqua" w:hint="eastAsia"/>
          <w:sz w:val="24"/>
          <w:szCs w:val="24"/>
        </w:rPr>
        <w:t xml:space="preserve"> </w:t>
      </w:r>
      <w:r w:rsidRPr="00566E2C">
        <w:rPr>
          <w:rFonts w:ascii="Book Antiqua" w:hAnsi="Book Antiqua"/>
          <w:sz w:val="24"/>
          <w:szCs w:val="24"/>
        </w:rPr>
        <w:t>μg/5μLinitially decreased,</w:t>
      </w:r>
      <w:r w:rsidR="00736FCE">
        <w:rPr>
          <w:rFonts w:ascii="Book Antiqua" w:hAnsi="Book Antiqua" w:hint="eastAsia"/>
          <w:sz w:val="24"/>
          <w:szCs w:val="24"/>
        </w:rPr>
        <w:t xml:space="preserve"> </w:t>
      </w:r>
      <w:r w:rsidRPr="00566E2C">
        <w:rPr>
          <w:rFonts w:ascii="Book Antiqua" w:hAnsi="Book Antiqua"/>
          <w:sz w:val="24"/>
          <w:szCs w:val="24"/>
        </w:rPr>
        <w:t>returned to normal levels, and went to the lowest level at two hours</w:t>
      </w:r>
      <w:r w:rsidR="00736FCE">
        <w:rPr>
          <w:rFonts w:ascii="Book Antiqua" w:hAnsi="Book Antiqua" w:hint="eastAsia"/>
          <w:sz w:val="24"/>
          <w:szCs w:val="24"/>
        </w:rPr>
        <w:t xml:space="preserve"> </w:t>
      </w:r>
      <w:r w:rsidRPr="00566E2C">
        <w:rPr>
          <w:rFonts w:ascii="Book Antiqua" w:hAnsi="Book Antiqua"/>
          <w:sz w:val="24"/>
          <w:szCs w:val="24"/>
        </w:rPr>
        <w:t xml:space="preserve">after administration (refer to the white and black value histogram in </w:t>
      </w:r>
      <w:r w:rsidR="001D6E50" w:rsidRPr="00566E2C">
        <w:rPr>
          <w:rFonts w:ascii="Book Antiqua" w:hAnsi="Book Antiqua"/>
          <w:sz w:val="24"/>
          <w:szCs w:val="24"/>
        </w:rPr>
        <w:t>Fig</w:t>
      </w:r>
      <w:r w:rsidR="001D6E50">
        <w:rPr>
          <w:rFonts w:ascii="Book Antiqua" w:hAnsi="Book Antiqua" w:hint="eastAsia"/>
          <w:sz w:val="24"/>
          <w:szCs w:val="24"/>
        </w:rPr>
        <w:t>ure</w:t>
      </w:r>
      <w:r w:rsidR="001D6E50" w:rsidRPr="00566E2C">
        <w:rPr>
          <w:rFonts w:ascii="Book Antiqua" w:hAnsi="Book Antiqua"/>
          <w:sz w:val="24"/>
          <w:szCs w:val="24"/>
        </w:rPr>
        <w:t xml:space="preserve"> </w:t>
      </w:r>
      <w:r w:rsidRPr="00566E2C">
        <w:rPr>
          <w:rFonts w:ascii="Book Antiqua" w:hAnsi="Book Antiqua"/>
          <w:sz w:val="24"/>
          <w:szCs w:val="24"/>
        </w:rPr>
        <w:t>1B). Changes in gastric emptying revealed</w:t>
      </w:r>
      <w:r w:rsidR="00736FCE">
        <w:rPr>
          <w:rFonts w:ascii="Book Antiqua" w:hAnsi="Book Antiqua" w:hint="eastAsia"/>
          <w:sz w:val="24"/>
          <w:szCs w:val="24"/>
        </w:rPr>
        <w:t xml:space="preserve"> </w:t>
      </w:r>
      <w:r w:rsidRPr="00566E2C">
        <w:rPr>
          <w:rFonts w:ascii="Book Antiqua" w:hAnsi="Book Antiqua"/>
          <w:sz w:val="24"/>
          <w:szCs w:val="24"/>
        </w:rPr>
        <w:t>similarities as it reached the lowest level at two hours</w:t>
      </w:r>
      <w:r w:rsidR="00736FCE">
        <w:rPr>
          <w:rFonts w:ascii="Book Antiqua" w:hAnsi="Book Antiqua" w:hint="eastAsia"/>
          <w:sz w:val="24"/>
          <w:szCs w:val="24"/>
        </w:rPr>
        <w:t xml:space="preserve"> </w:t>
      </w:r>
      <w:r w:rsidRPr="00566E2C">
        <w:rPr>
          <w:rFonts w:ascii="Book Antiqua" w:hAnsi="Book Antiqua"/>
          <w:sz w:val="24"/>
          <w:szCs w:val="24"/>
        </w:rPr>
        <w:t>after administration, and this returned</w:t>
      </w:r>
      <w:r w:rsidR="00736FCE">
        <w:rPr>
          <w:rFonts w:ascii="Book Antiqua" w:hAnsi="Book Antiqua" w:hint="eastAsia"/>
          <w:sz w:val="24"/>
          <w:szCs w:val="24"/>
        </w:rPr>
        <w:t xml:space="preserve"> </w:t>
      </w:r>
      <w:r w:rsidRPr="00566E2C">
        <w:rPr>
          <w:rFonts w:ascii="Book Antiqua" w:hAnsi="Book Antiqua"/>
          <w:sz w:val="24"/>
          <w:szCs w:val="24"/>
        </w:rPr>
        <w:t>to normal levels at four hours</w:t>
      </w:r>
      <w:r w:rsidR="00736FCE">
        <w:rPr>
          <w:rFonts w:ascii="Book Antiqua" w:hAnsi="Book Antiqua" w:hint="eastAsia"/>
          <w:sz w:val="24"/>
          <w:szCs w:val="24"/>
        </w:rPr>
        <w:t xml:space="preserve"> </w:t>
      </w:r>
      <w:r w:rsidRPr="00566E2C">
        <w:rPr>
          <w:rFonts w:ascii="Book Antiqua" w:hAnsi="Book Antiqua"/>
          <w:sz w:val="24"/>
          <w:szCs w:val="24"/>
        </w:rPr>
        <w:t>after administration (Fig</w:t>
      </w:r>
      <w:r w:rsidR="001D6E50">
        <w:rPr>
          <w:rFonts w:ascii="Book Antiqua" w:hAnsi="Book Antiqua" w:hint="eastAsia"/>
          <w:sz w:val="24"/>
          <w:szCs w:val="24"/>
        </w:rPr>
        <w:t>ure</w:t>
      </w:r>
      <w:r w:rsidRPr="00566E2C">
        <w:rPr>
          <w:rFonts w:ascii="Book Antiqua" w:hAnsi="Book Antiqua"/>
          <w:sz w:val="24"/>
          <w:szCs w:val="24"/>
        </w:rPr>
        <w:t xml:space="preserve"> 2B).</w:t>
      </w:r>
    </w:p>
    <w:p w:rsidR="001D6E50" w:rsidRPr="001D6E50" w:rsidRDefault="001D6E50" w:rsidP="001D6E50">
      <w:pPr>
        <w:spacing w:line="360" w:lineRule="auto"/>
        <w:rPr>
          <w:rFonts w:ascii="Book Antiqua" w:hAnsi="Book Antiqua"/>
          <w:i/>
          <w:sz w:val="24"/>
          <w:szCs w:val="24"/>
        </w:rPr>
      </w:pPr>
    </w:p>
    <w:p w:rsidR="00D03341" w:rsidRPr="001D6E50" w:rsidRDefault="00D03341" w:rsidP="001D6E50">
      <w:pPr>
        <w:spacing w:line="360" w:lineRule="auto"/>
        <w:rPr>
          <w:rFonts w:ascii="Book Antiqua" w:hAnsi="Book Antiqua"/>
          <w:b/>
          <w:i/>
          <w:sz w:val="24"/>
          <w:szCs w:val="24"/>
        </w:rPr>
      </w:pPr>
      <w:r w:rsidRPr="001D6E50">
        <w:rPr>
          <w:rFonts w:ascii="Book Antiqua" w:hAnsi="Book Antiqua"/>
          <w:b/>
          <w:i/>
          <w:sz w:val="24"/>
          <w:szCs w:val="24"/>
        </w:rPr>
        <w:t>Changes in H</w:t>
      </w:r>
      <w:r w:rsidRPr="001D6E50">
        <w:rPr>
          <w:rFonts w:ascii="Book Antiqua" w:hAnsi="Book Antiqua"/>
          <w:b/>
          <w:i/>
          <w:sz w:val="24"/>
          <w:szCs w:val="24"/>
          <w:vertAlign w:val="superscript"/>
        </w:rPr>
        <w:t>+</w:t>
      </w:r>
      <w:r w:rsidRPr="001D6E50">
        <w:rPr>
          <w:rFonts w:ascii="Book Antiqua" w:hAnsi="Book Antiqua"/>
          <w:b/>
          <w:i/>
          <w:sz w:val="24"/>
          <w:szCs w:val="24"/>
        </w:rPr>
        <w:t>/K</w:t>
      </w:r>
      <w:r w:rsidRPr="001D6E50">
        <w:rPr>
          <w:rFonts w:ascii="Book Antiqua" w:hAnsi="Book Antiqua"/>
          <w:b/>
          <w:i/>
          <w:sz w:val="24"/>
          <w:szCs w:val="24"/>
          <w:vertAlign w:val="superscript"/>
        </w:rPr>
        <w:t>+</w:t>
      </w:r>
      <w:r w:rsidRPr="001D6E50">
        <w:rPr>
          <w:rFonts w:ascii="Book Antiqua" w:hAnsi="Book Antiqua"/>
          <w:b/>
          <w:i/>
          <w:sz w:val="24"/>
          <w:szCs w:val="24"/>
        </w:rPr>
        <w:t>-ATPase expression level in the gastric mucosa</w:t>
      </w:r>
    </w:p>
    <w:p w:rsidR="00D03341" w:rsidRPr="00566E2C" w:rsidRDefault="00D03341" w:rsidP="001D6E50">
      <w:pPr>
        <w:spacing w:line="360" w:lineRule="auto"/>
        <w:rPr>
          <w:rFonts w:ascii="Book Antiqua" w:hAnsi="Book Antiqua"/>
          <w:sz w:val="24"/>
          <w:szCs w:val="24"/>
        </w:rPr>
      </w:pPr>
      <w:r w:rsidRPr="00566E2C">
        <w:rPr>
          <w:rFonts w:ascii="Book Antiqua" w:hAnsi="Book Antiqua"/>
          <w:sz w:val="24"/>
          <w:szCs w:val="24"/>
        </w:rPr>
        <w:t xml:space="preserve">In order to further investigate the potential mechanism of gastric acid secretion induced by intracerebroventricularly administered nesfatin-1, gastric mucosal tissues that receiving 1.0μg/5μL ofnesfatin-1 were obtained to study the expression of </w:t>
      </w:r>
      <w:bookmarkStart w:id="59" w:name="OLE_LINK16"/>
      <w:r w:rsidRPr="00566E2C">
        <w:rPr>
          <w:rFonts w:ascii="Book Antiqua" w:hAnsi="Book Antiqua"/>
          <w:sz w:val="24"/>
          <w:szCs w:val="24"/>
        </w:rPr>
        <w:t>H</w:t>
      </w:r>
      <w:r w:rsidRPr="00566E2C">
        <w:rPr>
          <w:rFonts w:ascii="Book Antiqua" w:hAnsi="Book Antiqua"/>
          <w:sz w:val="24"/>
          <w:szCs w:val="24"/>
          <w:vertAlign w:val="superscript"/>
        </w:rPr>
        <w:t>+</w:t>
      </w:r>
      <w:r w:rsidRPr="00566E2C">
        <w:rPr>
          <w:rFonts w:ascii="Book Antiqua" w:hAnsi="Book Antiqua"/>
          <w:sz w:val="24"/>
          <w:szCs w:val="24"/>
        </w:rPr>
        <w:t>/K</w:t>
      </w:r>
      <w:r w:rsidRPr="00566E2C">
        <w:rPr>
          <w:rFonts w:ascii="Book Antiqua" w:hAnsi="Book Antiqua"/>
          <w:sz w:val="24"/>
          <w:szCs w:val="24"/>
          <w:vertAlign w:val="superscript"/>
        </w:rPr>
        <w:t>+</w:t>
      </w:r>
      <w:r w:rsidRPr="00566E2C">
        <w:rPr>
          <w:rFonts w:ascii="Book Antiqua" w:hAnsi="Book Antiqua"/>
          <w:sz w:val="24"/>
          <w:szCs w:val="24"/>
        </w:rPr>
        <w:t>-ATPase</w:t>
      </w:r>
      <w:bookmarkEnd w:id="59"/>
      <w:r w:rsidRPr="00566E2C">
        <w:rPr>
          <w:rFonts w:ascii="Book Antiqua" w:hAnsi="Book Antiqua"/>
          <w:sz w:val="24"/>
          <w:szCs w:val="24"/>
        </w:rPr>
        <w:t>. A</w:t>
      </w:r>
      <w:r w:rsidR="00736FCE">
        <w:rPr>
          <w:rFonts w:ascii="Book Antiqua" w:hAnsi="Book Antiqua" w:hint="eastAsia"/>
          <w:sz w:val="24"/>
          <w:szCs w:val="24"/>
        </w:rPr>
        <w:t xml:space="preserve"> </w:t>
      </w:r>
      <w:r w:rsidRPr="00566E2C">
        <w:rPr>
          <w:rFonts w:ascii="Book Antiqua" w:hAnsi="Book Antiqua"/>
          <w:sz w:val="24"/>
          <w:szCs w:val="24"/>
        </w:rPr>
        <w:t>similar tendency was observed in the mRNA expression of H</w:t>
      </w:r>
      <w:r w:rsidRPr="00566E2C">
        <w:rPr>
          <w:rFonts w:ascii="Book Antiqua" w:hAnsi="Book Antiqua"/>
          <w:sz w:val="24"/>
          <w:szCs w:val="24"/>
          <w:vertAlign w:val="superscript"/>
        </w:rPr>
        <w:t>+</w:t>
      </w:r>
      <w:r w:rsidRPr="00566E2C">
        <w:rPr>
          <w:rFonts w:ascii="Book Antiqua" w:hAnsi="Book Antiqua"/>
          <w:sz w:val="24"/>
          <w:szCs w:val="24"/>
        </w:rPr>
        <w:t>/K</w:t>
      </w:r>
      <w:r w:rsidRPr="00566E2C">
        <w:rPr>
          <w:rFonts w:ascii="Book Antiqua" w:hAnsi="Book Antiqua"/>
          <w:sz w:val="24"/>
          <w:szCs w:val="24"/>
          <w:vertAlign w:val="superscript"/>
        </w:rPr>
        <w:t>+</w:t>
      </w:r>
      <w:r w:rsidRPr="00566E2C">
        <w:rPr>
          <w:rFonts w:ascii="Book Antiqua" w:hAnsi="Book Antiqua"/>
          <w:sz w:val="24"/>
          <w:szCs w:val="24"/>
        </w:rPr>
        <w:t>-ATPase detected by RT-PCR and western blot. The data revealed that intracerebroventricularly injected nesfatin-1 significantly decreased mRNA expression levels at two hours</w:t>
      </w:r>
      <w:r w:rsidR="00DE37C1">
        <w:rPr>
          <w:rFonts w:ascii="Book Antiqua" w:hAnsi="Book Antiqua" w:hint="eastAsia"/>
          <w:sz w:val="24"/>
          <w:szCs w:val="24"/>
        </w:rPr>
        <w:t xml:space="preserve"> </w:t>
      </w:r>
      <w:r w:rsidRPr="00566E2C">
        <w:rPr>
          <w:rFonts w:ascii="Book Antiqua" w:hAnsi="Book Antiqua"/>
          <w:sz w:val="24"/>
          <w:szCs w:val="24"/>
        </w:rPr>
        <w:t>after administration. The difference was statistically significant (</w:t>
      </w:r>
      <w:r w:rsidRPr="00566E2C">
        <w:rPr>
          <w:rFonts w:ascii="Book Antiqua" w:hAnsi="Book Antiqua"/>
          <w:i/>
          <w:sz w:val="24"/>
          <w:szCs w:val="24"/>
        </w:rPr>
        <w:t>P</w:t>
      </w:r>
      <w:r w:rsidR="001D6E50">
        <w:rPr>
          <w:rFonts w:ascii="Book Antiqua" w:hAnsi="Book Antiqua" w:hint="eastAsia"/>
          <w:i/>
          <w:sz w:val="24"/>
          <w:szCs w:val="24"/>
        </w:rPr>
        <w:t xml:space="preserve"> </w:t>
      </w:r>
      <w:r w:rsidRPr="00566E2C">
        <w:rPr>
          <w:rFonts w:ascii="Book Antiqua" w:hAnsi="Book Antiqua"/>
          <w:sz w:val="24"/>
          <w:szCs w:val="24"/>
        </w:rPr>
        <w:t>=</w:t>
      </w:r>
      <w:r w:rsidR="001D6E50">
        <w:rPr>
          <w:rFonts w:ascii="Book Antiqua" w:hAnsi="Book Antiqua" w:hint="eastAsia"/>
          <w:sz w:val="24"/>
          <w:szCs w:val="24"/>
        </w:rPr>
        <w:t xml:space="preserve"> </w:t>
      </w:r>
      <w:r w:rsidRPr="00566E2C">
        <w:rPr>
          <w:rFonts w:ascii="Book Antiqua" w:hAnsi="Book Antiqua"/>
          <w:sz w:val="24"/>
          <w:szCs w:val="24"/>
        </w:rPr>
        <w:t>0.000). In addition, at four hours</w:t>
      </w:r>
      <w:r w:rsidR="00DE37C1">
        <w:rPr>
          <w:rFonts w:ascii="Book Antiqua" w:hAnsi="Book Antiqua" w:hint="eastAsia"/>
          <w:sz w:val="24"/>
          <w:szCs w:val="24"/>
        </w:rPr>
        <w:t xml:space="preserve"> </w:t>
      </w:r>
      <w:r w:rsidRPr="00566E2C">
        <w:rPr>
          <w:rFonts w:ascii="Book Antiqua" w:hAnsi="Book Antiqua"/>
          <w:sz w:val="24"/>
          <w:szCs w:val="24"/>
        </w:rPr>
        <w:t>after the injection, the mRNA expression</w:t>
      </w:r>
      <w:r w:rsidR="00DE37C1">
        <w:rPr>
          <w:rFonts w:ascii="Book Antiqua" w:hAnsi="Book Antiqua" w:hint="eastAsia"/>
          <w:sz w:val="24"/>
          <w:szCs w:val="24"/>
        </w:rPr>
        <w:t xml:space="preserve"> </w:t>
      </w:r>
      <w:r w:rsidRPr="00566E2C">
        <w:rPr>
          <w:rFonts w:ascii="Book Antiqua" w:hAnsi="Book Antiqua"/>
          <w:sz w:val="24"/>
          <w:szCs w:val="24"/>
        </w:rPr>
        <w:t>returned to normal levels (</w:t>
      </w:r>
      <w:r w:rsidR="001D6E50" w:rsidRPr="00566E2C">
        <w:rPr>
          <w:rFonts w:ascii="Book Antiqua" w:hAnsi="Book Antiqua"/>
          <w:i/>
          <w:sz w:val="24"/>
          <w:szCs w:val="24"/>
        </w:rPr>
        <w:t>P</w:t>
      </w:r>
      <w:r w:rsidR="001D6E50">
        <w:rPr>
          <w:rFonts w:ascii="Book Antiqua" w:hAnsi="Book Antiqua" w:hint="eastAsia"/>
          <w:i/>
          <w:sz w:val="24"/>
          <w:szCs w:val="24"/>
        </w:rPr>
        <w:t xml:space="preserve"> </w:t>
      </w:r>
      <w:r w:rsidRPr="00566E2C">
        <w:rPr>
          <w:rFonts w:ascii="Book Antiqua" w:hAnsi="Book Antiqua"/>
          <w:sz w:val="24"/>
          <w:szCs w:val="24"/>
        </w:rPr>
        <w:t>=</w:t>
      </w:r>
      <w:r w:rsidR="001D6E50">
        <w:rPr>
          <w:rFonts w:ascii="Book Antiqua" w:hAnsi="Book Antiqua" w:hint="eastAsia"/>
          <w:sz w:val="24"/>
          <w:szCs w:val="24"/>
        </w:rPr>
        <w:t xml:space="preserve"> </w:t>
      </w:r>
      <w:r w:rsidRPr="00566E2C">
        <w:rPr>
          <w:rFonts w:ascii="Book Antiqua" w:hAnsi="Book Antiqua"/>
          <w:sz w:val="24"/>
          <w:szCs w:val="24"/>
        </w:rPr>
        <w:t>0.792). The tendency of</w:t>
      </w:r>
      <w:r w:rsidR="00DE37C1">
        <w:rPr>
          <w:rFonts w:ascii="Book Antiqua" w:hAnsi="Book Antiqua" w:hint="eastAsia"/>
          <w:sz w:val="24"/>
          <w:szCs w:val="24"/>
        </w:rPr>
        <w:t xml:space="preserve"> </w:t>
      </w:r>
      <w:r w:rsidRPr="00566E2C">
        <w:rPr>
          <w:rFonts w:ascii="Book Antiqua" w:hAnsi="Book Antiqua"/>
          <w:sz w:val="24"/>
          <w:szCs w:val="24"/>
        </w:rPr>
        <w:t>the protein level ofH</w:t>
      </w:r>
      <w:r w:rsidRPr="00566E2C">
        <w:rPr>
          <w:rFonts w:ascii="Book Antiqua" w:hAnsi="Book Antiqua"/>
          <w:sz w:val="24"/>
          <w:szCs w:val="24"/>
          <w:vertAlign w:val="superscript"/>
        </w:rPr>
        <w:t>+</w:t>
      </w:r>
      <w:r w:rsidRPr="00566E2C">
        <w:rPr>
          <w:rFonts w:ascii="Book Antiqua" w:hAnsi="Book Antiqua"/>
          <w:sz w:val="24"/>
          <w:szCs w:val="24"/>
        </w:rPr>
        <w:t>/K</w:t>
      </w:r>
      <w:r w:rsidRPr="00566E2C">
        <w:rPr>
          <w:rFonts w:ascii="Book Antiqua" w:hAnsi="Book Antiqua"/>
          <w:sz w:val="24"/>
          <w:szCs w:val="24"/>
          <w:vertAlign w:val="superscript"/>
        </w:rPr>
        <w:t>+</w:t>
      </w:r>
      <w:r w:rsidRPr="00566E2C">
        <w:rPr>
          <w:rFonts w:ascii="Book Antiqua" w:hAnsi="Book Antiqua"/>
          <w:sz w:val="24"/>
          <w:szCs w:val="24"/>
        </w:rPr>
        <w:t>-ATPase was similar</w:t>
      </w:r>
      <w:r w:rsidR="00FB2A00">
        <w:rPr>
          <w:rFonts w:ascii="Book Antiqua" w:hAnsi="Book Antiqua" w:hint="eastAsia"/>
          <w:sz w:val="24"/>
          <w:szCs w:val="24"/>
        </w:rPr>
        <w:t xml:space="preserve"> (</w:t>
      </w:r>
      <w:r w:rsidR="00FB2A00">
        <w:rPr>
          <w:rFonts w:ascii="Book Antiqua" w:hAnsi="Book Antiqua"/>
          <w:sz w:val="24"/>
          <w:szCs w:val="24"/>
        </w:rPr>
        <w:t xml:space="preserve">Figures </w:t>
      </w:r>
      <w:r w:rsidR="00FB2A00">
        <w:rPr>
          <w:rFonts w:ascii="Book Antiqua" w:hAnsi="Book Antiqua" w:hint="eastAsia"/>
          <w:sz w:val="24"/>
          <w:szCs w:val="24"/>
        </w:rPr>
        <w:t>3 and 4)</w:t>
      </w:r>
      <w:r w:rsidRPr="00566E2C">
        <w:rPr>
          <w:rFonts w:ascii="Book Antiqua" w:hAnsi="Book Antiqua"/>
          <w:sz w:val="24"/>
          <w:szCs w:val="24"/>
        </w:rPr>
        <w:t>.</w:t>
      </w:r>
    </w:p>
    <w:p w:rsidR="001D6E50" w:rsidRPr="00FB2A00" w:rsidRDefault="001D6E50" w:rsidP="001D6E50">
      <w:pPr>
        <w:spacing w:line="360" w:lineRule="auto"/>
        <w:rPr>
          <w:rFonts w:ascii="Book Antiqua" w:hAnsi="Book Antiqua"/>
          <w:sz w:val="24"/>
          <w:szCs w:val="24"/>
        </w:rPr>
      </w:pPr>
    </w:p>
    <w:p w:rsidR="00D03341" w:rsidRPr="001D6E50" w:rsidRDefault="001D6E50" w:rsidP="001D6E50">
      <w:pPr>
        <w:spacing w:line="360" w:lineRule="auto"/>
        <w:rPr>
          <w:rFonts w:ascii="Book Antiqua" w:hAnsi="Book Antiqua"/>
          <w:b/>
          <w:sz w:val="24"/>
          <w:szCs w:val="24"/>
        </w:rPr>
      </w:pPr>
      <w:r w:rsidRPr="001D6E50">
        <w:rPr>
          <w:rFonts w:ascii="Book Antiqua" w:hAnsi="Book Antiqua"/>
          <w:b/>
          <w:sz w:val="24"/>
          <w:szCs w:val="24"/>
        </w:rPr>
        <w:t>DISCUSSION</w:t>
      </w:r>
    </w:p>
    <w:p w:rsidR="00D03341" w:rsidRDefault="00D03341" w:rsidP="001D6E50">
      <w:pPr>
        <w:spacing w:line="360" w:lineRule="auto"/>
        <w:rPr>
          <w:rFonts w:ascii="Book Antiqua" w:hAnsi="Book Antiqua"/>
          <w:sz w:val="24"/>
          <w:szCs w:val="24"/>
        </w:rPr>
      </w:pPr>
      <w:r w:rsidRPr="00566E2C">
        <w:rPr>
          <w:rFonts w:ascii="Book Antiqua" w:hAnsi="Book Antiqua"/>
          <w:sz w:val="24"/>
          <w:szCs w:val="24"/>
        </w:rPr>
        <w:t>Due to lifestyle changes, obesity has become a major global public health issue that puzzles many countries</w:t>
      </w:r>
      <w:r w:rsidRPr="00566E2C">
        <w:rPr>
          <w:rFonts w:ascii="Book Antiqua" w:hAnsi="Book Antiqua"/>
          <w:noProof/>
          <w:sz w:val="24"/>
          <w:szCs w:val="24"/>
          <w:vertAlign w:val="superscript"/>
        </w:rPr>
        <w:t>[23]</w:t>
      </w:r>
      <w:r w:rsidRPr="00566E2C">
        <w:rPr>
          <w:rFonts w:ascii="Book Antiqua" w:hAnsi="Book Antiqua"/>
          <w:sz w:val="24"/>
          <w:szCs w:val="24"/>
        </w:rPr>
        <w:t>. As shown in many epidemiologic studies, the morbidity of diabetes and cardiac disease in obesity is higher than that in the normal population; which can bring about heavy financial burden in the society and family. Therefore, the study of o</w:t>
      </w:r>
      <w:r w:rsidR="001D6E50">
        <w:rPr>
          <w:rFonts w:ascii="Book Antiqua" w:hAnsi="Book Antiqua"/>
          <w:sz w:val="24"/>
          <w:szCs w:val="24"/>
        </w:rPr>
        <w:t>besity is of great significance</w:t>
      </w:r>
      <w:r w:rsidRPr="00566E2C">
        <w:rPr>
          <w:rFonts w:ascii="Book Antiqua" w:hAnsi="Book Antiqua"/>
          <w:noProof/>
          <w:sz w:val="24"/>
          <w:szCs w:val="24"/>
          <w:vertAlign w:val="superscript"/>
        </w:rPr>
        <w:t>[24-27]</w:t>
      </w:r>
      <w:r w:rsidRPr="00566E2C">
        <w:rPr>
          <w:rFonts w:ascii="Book Antiqua" w:hAnsi="Book Antiqua"/>
          <w:sz w:val="24"/>
          <w:szCs w:val="24"/>
        </w:rPr>
        <w:t>. There is an apparent correlation between obesity and dieting status, and a person’s</w:t>
      </w:r>
      <w:r w:rsidR="00DE37C1">
        <w:rPr>
          <w:rFonts w:ascii="Book Antiqua" w:hAnsi="Book Antiqua" w:hint="eastAsia"/>
          <w:sz w:val="24"/>
          <w:szCs w:val="24"/>
        </w:rPr>
        <w:t xml:space="preserve"> </w:t>
      </w:r>
      <w:r w:rsidRPr="00566E2C">
        <w:rPr>
          <w:rFonts w:ascii="Book Antiqua" w:hAnsi="Book Antiqua"/>
          <w:sz w:val="24"/>
          <w:szCs w:val="24"/>
        </w:rPr>
        <w:t>dietary behavior is tightly controlled by neural and humoral factors</w:t>
      </w:r>
      <w:r w:rsidRPr="00566E2C">
        <w:rPr>
          <w:rFonts w:ascii="Book Antiqua" w:hAnsi="Book Antiqua"/>
          <w:noProof/>
          <w:sz w:val="24"/>
          <w:szCs w:val="24"/>
          <w:vertAlign w:val="superscript"/>
        </w:rPr>
        <w:t>[28-30]</w:t>
      </w:r>
      <w:r w:rsidRPr="00566E2C">
        <w:rPr>
          <w:rFonts w:ascii="Book Antiqua" w:hAnsi="Book Antiqua"/>
          <w:sz w:val="24"/>
          <w:szCs w:val="24"/>
        </w:rPr>
        <w:t xml:space="preserve">. In 2006, Japanese scholars found a peptide involved in </w:t>
      </w:r>
      <w:r w:rsidRPr="00566E2C">
        <w:rPr>
          <w:rFonts w:ascii="Book Antiqua" w:hAnsi="Book Antiqua"/>
          <w:sz w:val="24"/>
          <w:szCs w:val="24"/>
        </w:rPr>
        <w:lastRenderedPageBreak/>
        <w:t>the regulation of energy homeostasis, and in food</w:t>
      </w:r>
      <w:r w:rsidR="00DE37C1">
        <w:rPr>
          <w:rFonts w:ascii="Book Antiqua" w:hAnsi="Book Antiqua" w:hint="eastAsia"/>
          <w:sz w:val="24"/>
          <w:szCs w:val="24"/>
        </w:rPr>
        <w:t xml:space="preserve"> </w:t>
      </w:r>
      <w:r w:rsidRPr="00566E2C">
        <w:rPr>
          <w:rFonts w:ascii="Book Antiqua" w:hAnsi="Book Antiqua"/>
          <w:sz w:val="24"/>
          <w:szCs w:val="24"/>
        </w:rPr>
        <w:t>and water intake; and this peptide can regulate feeding behavior through the neuro</w:t>
      </w:r>
      <w:r w:rsidR="00B3521E">
        <w:rPr>
          <w:rFonts w:ascii="Book Antiqua" w:hAnsi="Book Antiqua" w:hint="eastAsia"/>
          <w:sz w:val="24"/>
          <w:szCs w:val="24"/>
        </w:rPr>
        <w:t xml:space="preserve"> </w:t>
      </w:r>
      <w:r w:rsidRPr="00566E2C">
        <w:rPr>
          <w:rFonts w:ascii="Book Antiqua" w:hAnsi="Book Antiqua"/>
          <w:sz w:val="24"/>
          <w:szCs w:val="24"/>
        </w:rPr>
        <w:t>humoral</w:t>
      </w:r>
      <w:r w:rsidR="00DE37C1">
        <w:rPr>
          <w:rFonts w:ascii="Book Antiqua" w:hAnsi="Book Antiqua" w:hint="eastAsia"/>
          <w:sz w:val="24"/>
          <w:szCs w:val="24"/>
        </w:rPr>
        <w:t xml:space="preserve"> </w:t>
      </w:r>
      <w:r w:rsidRPr="00566E2C">
        <w:rPr>
          <w:rFonts w:ascii="Book Antiqua" w:hAnsi="Book Antiqua"/>
          <w:sz w:val="24"/>
          <w:szCs w:val="24"/>
        </w:rPr>
        <w:t>system</w:t>
      </w:r>
      <w:r w:rsidRPr="00566E2C">
        <w:rPr>
          <w:rFonts w:ascii="Book Antiqua" w:hAnsi="Book Antiqua"/>
          <w:noProof/>
          <w:sz w:val="24"/>
          <w:szCs w:val="24"/>
          <w:vertAlign w:val="superscript"/>
        </w:rPr>
        <w:t>[31-34]</w:t>
      </w:r>
      <w:r w:rsidRPr="00566E2C">
        <w:rPr>
          <w:rFonts w:ascii="Book Antiqua" w:hAnsi="Book Antiqua"/>
          <w:sz w:val="24"/>
          <w:szCs w:val="24"/>
        </w:rPr>
        <w:t>. This project systematically studied the effects of drug-delivery methods</w:t>
      </w:r>
      <w:r w:rsidR="00DE37C1">
        <w:rPr>
          <w:rFonts w:ascii="Book Antiqua" w:hAnsi="Book Antiqua" w:hint="eastAsia"/>
          <w:sz w:val="24"/>
          <w:szCs w:val="24"/>
        </w:rPr>
        <w:t xml:space="preserve"> </w:t>
      </w:r>
      <w:r w:rsidRPr="00566E2C">
        <w:rPr>
          <w:rFonts w:ascii="Book Antiqua" w:hAnsi="Book Antiqua"/>
          <w:sz w:val="24"/>
          <w:szCs w:val="24"/>
        </w:rPr>
        <w:t>and drug concentration on gastric functions, as well as</w:t>
      </w:r>
      <w:r w:rsidR="00DE37C1">
        <w:rPr>
          <w:rFonts w:ascii="Book Antiqua" w:hAnsi="Book Antiqua" w:hint="eastAsia"/>
          <w:sz w:val="24"/>
          <w:szCs w:val="24"/>
        </w:rPr>
        <w:t xml:space="preserve"> </w:t>
      </w:r>
      <w:r w:rsidRPr="00566E2C">
        <w:rPr>
          <w:rFonts w:ascii="Book Antiqua" w:hAnsi="Book Antiqua"/>
          <w:sz w:val="24"/>
          <w:szCs w:val="24"/>
        </w:rPr>
        <w:t xml:space="preserve">the molecular mechanisms involved in changes in gastric acid secretory capacity. This research can provide a preliminary theoretical basis for the design of anti-obesity drugs.  </w:t>
      </w:r>
    </w:p>
    <w:p w:rsidR="001D6E50" w:rsidRPr="00566E2C" w:rsidRDefault="001D6E50" w:rsidP="001D6E50">
      <w:pPr>
        <w:spacing w:line="360" w:lineRule="auto"/>
        <w:rPr>
          <w:rFonts w:ascii="Book Antiqua" w:hAnsi="Book Antiqua"/>
          <w:sz w:val="24"/>
          <w:szCs w:val="24"/>
        </w:rPr>
      </w:pPr>
    </w:p>
    <w:p w:rsidR="00D03341" w:rsidRPr="001D6E50" w:rsidRDefault="00D03341" w:rsidP="001D6E50">
      <w:pPr>
        <w:spacing w:line="360" w:lineRule="auto"/>
        <w:rPr>
          <w:rFonts w:ascii="Book Antiqua" w:hAnsi="Book Antiqua"/>
          <w:b/>
          <w:i/>
          <w:sz w:val="24"/>
          <w:szCs w:val="24"/>
        </w:rPr>
      </w:pPr>
      <w:r w:rsidRPr="001D6E50">
        <w:rPr>
          <w:rFonts w:ascii="Book Antiqua" w:hAnsi="Book Antiqua"/>
          <w:b/>
          <w:i/>
          <w:sz w:val="24"/>
          <w:szCs w:val="24"/>
        </w:rPr>
        <w:t>Establishment of the rat model with nutritional obesity</w:t>
      </w:r>
    </w:p>
    <w:p w:rsidR="00D03341" w:rsidRDefault="00D03341" w:rsidP="001D6E50">
      <w:pPr>
        <w:spacing w:line="360" w:lineRule="auto"/>
        <w:rPr>
          <w:rFonts w:ascii="Book Antiqua" w:hAnsi="Book Antiqua"/>
          <w:sz w:val="24"/>
          <w:szCs w:val="24"/>
        </w:rPr>
      </w:pPr>
      <w:r w:rsidRPr="00566E2C">
        <w:rPr>
          <w:rFonts w:ascii="Book Antiqua" w:hAnsi="Book Antiqua"/>
          <w:sz w:val="24"/>
          <w:szCs w:val="24"/>
        </w:rPr>
        <w:t>Given the fact that the main reason of obesity is always eating too much food containing calories, it is of great significant to establish a rat model that</w:t>
      </w:r>
      <w:r w:rsidR="004E448A">
        <w:rPr>
          <w:rFonts w:ascii="Book Antiqua" w:hAnsi="Book Antiqua" w:hint="eastAsia"/>
          <w:sz w:val="24"/>
          <w:szCs w:val="24"/>
        </w:rPr>
        <w:t xml:space="preserve"> </w:t>
      </w:r>
      <w:r w:rsidRPr="00566E2C">
        <w:rPr>
          <w:rFonts w:ascii="Book Antiqua" w:hAnsi="Book Antiqua"/>
          <w:sz w:val="24"/>
          <w:szCs w:val="24"/>
        </w:rPr>
        <w:t>has the s</w:t>
      </w:r>
      <w:r w:rsidR="001D6E50">
        <w:rPr>
          <w:rFonts w:ascii="Book Antiqua" w:hAnsi="Book Antiqua"/>
          <w:sz w:val="24"/>
          <w:szCs w:val="24"/>
        </w:rPr>
        <w:t>ame reason of obesity as humans</w:t>
      </w:r>
      <w:r w:rsidRPr="00566E2C">
        <w:rPr>
          <w:rFonts w:ascii="Book Antiqua" w:hAnsi="Book Antiqua"/>
          <w:noProof/>
          <w:sz w:val="24"/>
          <w:szCs w:val="24"/>
          <w:vertAlign w:val="superscript"/>
        </w:rPr>
        <w:t>[35-37]</w:t>
      </w:r>
      <w:r w:rsidRPr="00566E2C">
        <w:rPr>
          <w:rFonts w:ascii="Book Antiqua" w:hAnsi="Book Antiqua"/>
          <w:sz w:val="24"/>
          <w:szCs w:val="24"/>
        </w:rPr>
        <w:t>. Based on the diet characteristics of some individuals (which is high in fat and sugar), the obese rat model establish in six weeks by adding moderate amounts of sugar, fat and protein into rats fed diets. Results</w:t>
      </w:r>
      <w:r w:rsidR="004E448A">
        <w:rPr>
          <w:rFonts w:ascii="Book Antiqua" w:hAnsi="Book Antiqua" w:hint="eastAsia"/>
          <w:sz w:val="24"/>
          <w:szCs w:val="24"/>
        </w:rPr>
        <w:t xml:space="preserve"> </w:t>
      </w:r>
      <w:r w:rsidRPr="00566E2C">
        <w:rPr>
          <w:rFonts w:ascii="Book Antiqua" w:hAnsi="Book Antiqua"/>
          <w:sz w:val="24"/>
          <w:szCs w:val="24"/>
        </w:rPr>
        <w:t>revealed that body weight, body length, Lee’s index and postprandial triglyceride levels significantly increased in the obese</w:t>
      </w:r>
      <w:r w:rsidR="004E448A">
        <w:rPr>
          <w:rFonts w:ascii="Book Antiqua" w:hAnsi="Book Antiqua" w:hint="eastAsia"/>
          <w:sz w:val="24"/>
          <w:szCs w:val="24"/>
        </w:rPr>
        <w:t xml:space="preserve"> </w:t>
      </w:r>
      <w:r w:rsidRPr="00566E2C">
        <w:rPr>
          <w:rFonts w:ascii="Book Antiqua" w:hAnsi="Book Antiqua"/>
          <w:sz w:val="24"/>
          <w:szCs w:val="24"/>
        </w:rPr>
        <w:t xml:space="preserve">rat model induced by the high-fat diet. This indicates that the model was successfully established. </w:t>
      </w:r>
    </w:p>
    <w:p w:rsidR="001D6E50" w:rsidRPr="001D6E50" w:rsidRDefault="001D6E50" w:rsidP="001D6E50">
      <w:pPr>
        <w:spacing w:line="360" w:lineRule="auto"/>
        <w:rPr>
          <w:rFonts w:ascii="Book Antiqua" w:hAnsi="Book Antiqua"/>
          <w:i/>
          <w:sz w:val="24"/>
          <w:szCs w:val="24"/>
        </w:rPr>
      </w:pPr>
    </w:p>
    <w:p w:rsidR="00D03341" w:rsidRPr="001D6E50" w:rsidRDefault="00D03341" w:rsidP="001D6E50">
      <w:pPr>
        <w:spacing w:line="360" w:lineRule="auto"/>
        <w:rPr>
          <w:rFonts w:ascii="Book Antiqua" w:hAnsi="Book Antiqua"/>
          <w:b/>
          <w:i/>
          <w:sz w:val="24"/>
          <w:szCs w:val="24"/>
        </w:rPr>
      </w:pPr>
      <w:r w:rsidRPr="001D6E50">
        <w:rPr>
          <w:rFonts w:ascii="Book Antiqua" w:hAnsi="Book Antiqua"/>
          <w:b/>
          <w:i/>
          <w:sz w:val="24"/>
          <w:szCs w:val="24"/>
        </w:rPr>
        <w:t xml:space="preserve">Effects of the manner of drug delivery on the gastric emptying rate and gastric acid secretory capacity of obese rats </w:t>
      </w:r>
    </w:p>
    <w:p w:rsidR="00D03341" w:rsidRPr="00566E2C" w:rsidRDefault="00D03341" w:rsidP="001D6E50">
      <w:pPr>
        <w:spacing w:line="360" w:lineRule="auto"/>
        <w:rPr>
          <w:rFonts w:ascii="Book Antiqua" w:hAnsi="Book Antiqua"/>
          <w:sz w:val="24"/>
          <w:szCs w:val="24"/>
        </w:rPr>
      </w:pPr>
      <w:r w:rsidRPr="00566E2C">
        <w:rPr>
          <w:rFonts w:ascii="Book Antiqua" w:hAnsi="Book Antiqua"/>
          <w:sz w:val="24"/>
          <w:szCs w:val="24"/>
        </w:rPr>
        <w:t>The precursor of nesfatin-1, NMCB-2, can be hydrolyzed into three pieces by the action of prohormone convertase, including nesfatin-1, nesfatin-2 and nesfatin-3</w:t>
      </w:r>
      <w:r w:rsidRPr="00566E2C">
        <w:rPr>
          <w:rFonts w:ascii="Book Antiqua" w:hAnsi="Book Antiqua"/>
          <w:noProof/>
          <w:sz w:val="24"/>
          <w:szCs w:val="24"/>
          <w:vertAlign w:val="superscript"/>
        </w:rPr>
        <w:t>[38-41]</w:t>
      </w:r>
      <w:r w:rsidRPr="00566E2C">
        <w:rPr>
          <w:rFonts w:ascii="Book Antiqua" w:hAnsi="Book Antiqua"/>
          <w:sz w:val="24"/>
          <w:szCs w:val="24"/>
        </w:rPr>
        <w:t>. The research carried by Pan W revealed that the permeation of nesfatin-1 between the blood and brain was a non-saturable process. Furthermore, Atsuchi K found that the vagal nerve may be involved in the process of the effect of nesfatin-1 on gastric functions</w:t>
      </w:r>
      <w:r w:rsidR="001D6E50">
        <w:rPr>
          <w:rFonts w:ascii="Book Antiqua" w:hAnsi="Book Antiqua"/>
          <w:noProof/>
          <w:sz w:val="24"/>
          <w:szCs w:val="24"/>
          <w:vertAlign w:val="superscript"/>
        </w:rPr>
        <w:t>[42,</w:t>
      </w:r>
      <w:r w:rsidRPr="00566E2C">
        <w:rPr>
          <w:rFonts w:ascii="Book Antiqua" w:hAnsi="Book Antiqua"/>
          <w:noProof/>
          <w:sz w:val="24"/>
          <w:szCs w:val="24"/>
          <w:vertAlign w:val="superscript"/>
        </w:rPr>
        <w:t>43]</w:t>
      </w:r>
      <w:r w:rsidRPr="00566E2C">
        <w:rPr>
          <w:rFonts w:ascii="Book Antiqua" w:hAnsi="Book Antiqua"/>
          <w:sz w:val="24"/>
          <w:szCs w:val="24"/>
        </w:rPr>
        <w:t xml:space="preserve">. However, our study revealed that the intravenous injection of nesfactin-1 had no significant impact on the volume of gastric juice and the gastric emptying rate. This indicate that nesfatin-1 in the brain took effect on gastric function </w:t>
      </w:r>
      <w:r w:rsidRPr="00566E2C">
        <w:rPr>
          <w:rFonts w:ascii="Book Antiqua" w:hAnsi="Book Antiqua"/>
          <w:i/>
          <w:sz w:val="24"/>
          <w:szCs w:val="24"/>
        </w:rPr>
        <w:t>via</w:t>
      </w:r>
      <w:r w:rsidRPr="00566E2C">
        <w:rPr>
          <w:rFonts w:ascii="Book Antiqua" w:hAnsi="Book Antiqua"/>
          <w:sz w:val="24"/>
          <w:szCs w:val="24"/>
        </w:rPr>
        <w:t xml:space="preserve"> some method that</w:t>
      </w:r>
      <w:r w:rsidR="000F218E">
        <w:rPr>
          <w:rFonts w:ascii="Book Antiqua" w:hAnsi="Book Antiqua" w:hint="eastAsia"/>
          <w:sz w:val="24"/>
          <w:szCs w:val="24"/>
        </w:rPr>
        <w:t xml:space="preserve"> </w:t>
      </w:r>
      <w:r w:rsidRPr="00566E2C">
        <w:rPr>
          <w:rFonts w:ascii="Book Antiqua" w:hAnsi="Book Antiqua"/>
          <w:sz w:val="24"/>
          <w:szCs w:val="24"/>
        </w:rPr>
        <w:t xml:space="preserve">include the nervous system, rather than crossing the blood-brain </w:t>
      </w:r>
      <w:r w:rsidRPr="00566E2C">
        <w:rPr>
          <w:rFonts w:ascii="Book Antiqua" w:hAnsi="Book Antiqua"/>
          <w:sz w:val="24"/>
          <w:szCs w:val="24"/>
        </w:rPr>
        <w:lastRenderedPageBreak/>
        <w:t xml:space="preserve">barrier and taking effect. </w:t>
      </w:r>
    </w:p>
    <w:p w:rsidR="001D6E50" w:rsidRPr="001D6E50" w:rsidRDefault="001D6E50" w:rsidP="001D6E50">
      <w:pPr>
        <w:spacing w:line="360" w:lineRule="auto"/>
        <w:rPr>
          <w:rFonts w:ascii="Book Antiqua" w:hAnsi="Book Antiqua"/>
          <w:i/>
          <w:sz w:val="24"/>
          <w:szCs w:val="24"/>
        </w:rPr>
      </w:pPr>
    </w:p>
    <w:p w:rsidR="00D03341" w:rsidRPr="001D6E50" w:rsidRDefault="00D03341" w:rsidP="001D6E50">
      <w:pPr>
        <w:spacing w:line="360" w:lineRule="auto"/>
        <w:rPr>
          <w:rFonts w:ascii="Book Antiqua" w:hAnsi="Book Antiqua"/>
          <w:b/>
          <w:i/>
          <w:sz w:val="24"/>
          <w:szCs w:val="24"/>
        </w:rPr>
      </w:pPr>
      <w:r w:rsidRPr="001D6E50">
        <w:rPr>
          <w:rFonts w:ascii="Book Antiqua" w:hAnsi="Book Antiqua"/>
          <w:b/>
          <w:i/>
          <w:sz w:val="24"/>
          <w:szCs w:val="24"/>
        </w:rPr>
        <w:t>Changes in</w:t>
      </w:r>
      <w:r w:rsidR="001B7B51">
        <w:rPr>
          <w:rFonts w:ascii="Book Antiqua" w:hAnsi="Book Antiqua" w:hint="eastAsia"/>
          <w:b/>
          <w:i/>
          <w:sz w:val="24"/>
          <w:szCs w:val="24"/>
        </w:rPr>
        <w:t xml:space="preserve"> </w:t>
      </w:r>
      <w:r w:rsidRPr="001D6E50">
        <w:rPr>
          <w:rFonts w:ascii="Book Antiqua" w:hAnsi="Book Antiqua"/>
          <w:b/>
          <w:i/>
          <w:sz w:val="24"/>
          <w:szCs w:val="24"/>
        </w:rPr>
        <w:t xml:space="preserve">the gastric empting rate and gastrointestinal mobility of obeserats after nesfatin-1treatment </w:t>
      </w:r>
    </w:p>
    <w:p w:rsidR="00D03341" w:rsidRPr="00566E2C" w:rsidRDefault="00D03341" w:rsidP="001D6E50">
      <w:pPr>
        <w:spacing w:line="360" w:lineRule="auto"/>
        <w:rPr>
          <w:rFonts w:ascii="Book Antiqua" w:hAnsi="Book Antiqua"/>
          <w:sz w:val="24"/>
          <w:szCs w:val="24"/>
        </w:rPr>
      </w:pPr>
      <w:r w:rsidRPr="00566E2C">
        <w:rPr>
          <w:rFonts w:ascii="Book Antiqua" w:hAnsi="Book Antiqua"/>
          <w:sz w:val="24"/>
          <w:szCs w:val="24"/>
        </w:rPr>
        <w:t>Studies have found that the central administration of nesfatin-1 results in the inhibition of gastrointestinal mobility in rats in a dose-dependent manner. In addition, the administration of nesfatin-1 antibody promote food intake</w:t>
      </w:r>
      <w:r w:rsidR="001D6E50">
        <w:rPr>
          <w:rFonts w:ascii="Book Antiqua" w:hAnsi="Book Antiqua"/>
          <w:noProof/>
          <w:sz w:val="24"/>
          <w:szCs w:val="24"/>
          <w:vertAlign w:val="superscript"/>
        </w:rPr>
        <w:t>[44,</w:t>
      </w:r>
      <w:r w:rsidRPr="00566E2C">
        <w:rPr>
          <w:rFonts w:ascii="Book Antiqua" w:hAnsi="Book Antiqua"/>
          <w:noProof/>
          <w:sz w:val="24"/>
          <w:szCs w:val="24"/>
          <w:vertAlign w:val="superscript"/>
        </w:rPr>
        <w:t>45]</w:t>
      </w:r>
      <w:r w:rsidRPr="00566E2C">
        <w:rPr>
          <w:rFonts w:ascii="Book Antiqua" w:hAnsi="Book Antiqua"/>
          <w:sz w:val="24"/>
          <w:szCs w:val="24"/>
        </w:rPr>
        <w:t>. This</w:t>
      </w:r>
      <w:r w:rsidR="001B7B51">
        <w:rPr>
          <w:rFonts w:ascii="Book Antiqua" w:hAnsi="Book Antiqua" w:hint="eastAsia"/>
          <w:sz w:val="24"/>
          <w:szCs w:val="24"/>
        </w:rPr>
        <w:t xml:space="preserve"> </w:t>
      </w:r>
      <w:r w:rsidRPr="00566E2C">
        <w:rPr>
          <w:rFonts w:ascii="Book Antiqua" w:hAnsi="Book Antiqua"/>
          <w:sz w:val="24"/>
          <w:szCs w:val="24"/>
        </w:rPr>
        <w:t>means that nesfatin-1can obviously reduce food intake. Our study further revealed that the intracerebroventricular</w:t>
      </w:r>
      <w:r w:rsidR="001B7B51">
        <w:rPr>
          <w:rFonts w:ascii="Book Antiqua" w:hAnsi="Book Antiqua" w:hint="eastAsia"/>
          <w:sz w:val="24"/>
          <w:szCs w:val="24"/>
        </w:rPr>
        <w:t xml:space="preserve"> </w:t>
      </w:r>
      <w:r w:rsidRPr="00566E2C">
        <w:rPr>
          <w:rFonts w:ascii="Book Antiqua" w:hAnsi="Book Antiqua"/>
          <w:sz w:val="24"/>
          <w:szCs w:val="24"/>
        </w:rPr>
        <w:t>injection of nesfatin-1, rather than its</w:t>
      </w:r>
      <w:r w:rsidR="001B7B51">
        <w:rPr>
          <w:rFonts w:ascii="Book Antiqua" w:hAnsi="Book Antiqua" w:hint="eastAsia"/>
          <w:sz w:val="24"/>
          <w:szCs w:val="24"/>
        </w:rPr>
        <w:t xml:space="preserve"> </w:t>
      </w:r>
      <w:r w:rsidRPr="00566E2C">
        <w:rPr>
          <w:rFonts w:ascii="Book Antiqua" w:hAnsi="Book Antiqua"/>
          <w:sz w:val="24"/>
          <w:szCs w:val="24"/>
        </w:rPr>
        <w:t xml:space="preserve">intravenous injection, can slow down intestinal peristalsis and suppress gastric emptying and gastric acid production. Moreover, these effects are dependent on the drug dosage within a certain amount of time. </w:t>
      </w:r>
    </w:p>
    <w:p w:rsidR="00D03341" w:rsidRDefault="00D03341" w:rsidP="001D6E50">
      <w:pPr>
        <w:spacing w:line="360" w:lineRule="auto"/>
        <w:ind w:firstLineChars="200" w:firstLine="480"/>
        <w:rPr>
          <w:rFonts w:ascii="Book Antiqua" w:hAnsi="Book Antiqua"/>
          <w:sz w:val="24"/>
          <w:szCs w:val="24"/>
        </w:rPr>
      </w:pPr>
      <w:r w:rsidRPr="00566E2C">
        <w:rPr>
          <w:rFonts w:ascii="Book Antiqua" w:hAnsi="Book Antiqua"/>
          <w:sz w:val="24"/>
          <w:szCs w:val="24"/>
        </w:rPr>
        <w:t>Previous studies have shown that a delay in gastric emptying leads to increased stomach content, affecting food intake</w:t>
      </w:r>
      <w:r w:rsidRPr="00566E2C">
        <w:rPr>
          <w:rFonts w:ascii="Book Antiqua" w:hAnsi="Book Antiqua"/>
          <w:noProof/>
          <w:sz w:val="24"/>
          <w:szCs w:val="24"/>
          <w:vertAlign w:val="superscript"/>
        </w:rPr>
        <w:t>[46]</w:t>
      </w:r>
      <w:r w:rsidRPr="00566E2C">
        <w:rPr>
          <w:rFonts w:ascii="Book Antiqua" w:hAnsi="Book Antiqua"/>
          <w:sz w:val="24"/>
          <w:szCs w:val="24"/>
        </w:rPr>
        <w:t xml:space="preserve">. Hence, we postulate that nesfatin-1 may cause food refusal by affecting gastrointestinal peristalsis. Nesfatin-1 suppress gastric emptying and secretion of gastric acid within certain amounts of time, which can prolong food stay in the stomach, slow down food digestion and induce satiety. All this leads to food refusal. </w:t>
      </w:r>
    </w:p>
    <w:p w:rsidR="001D6E50" w:rsidRPr="00566E2C" w:rsidRDefault="001D6E50" w:rsidP="001D6E50">
      <w:pPr>
        <w:spacing w:line="360" w:lineRule="auto"/>
        <w:ind w:firstLineChars="200" w:firstLine="480"/>
        <w:rPr>
          <w:rFonts w:ascii="Book Antiqua" w:hAnsi="Book Antiqua"/>
          <w:sz w:val="24"/>
          <w:szCs w:val="24"/>
        </w:rPr>
      </w:pPr>
    </w:p>
    <w:p w:rsidR="00D03341" w:rsidRPr="001D6E50" w:rsidRDefault="00D03341" w:rsidP="001D6E50">
      <w:pPr>
        <w:spacing w:line="360" w:lineRule="auto"/>
        <w:rPr>
          <w:rFonts w:ascii="Book Antiqua" w:hAnsi="Book Antiqua"/>
          <w:b/>
          <w:i/>
          <w:sz w:val="24"/>
          <w:szCs w:val="24"/>
        </w:rPr>
      </w:pPr>
      <w:r w:rsidRPr="001D6E50">
        <w:rPr>
          <w:rFonts w:ascii="Book Antiqua" w:hAnsi="Book Antiqua"/>
          <w:b/>
          <w:i/>
          <w:sz w:val="24"/>
          <w:szCs w:val="24"/>
        </w:rPr>
        <w:t>Mechanism of the inhibition of gastric acid secretion</w:t>
      </w:r>
    </w:p>
    <w:p w:rsidR="00D03341" w:rsidRPr="00566E2C" w:rsidRDefault="00D03341" w:rsidP="001D6E50">
      <w:pPr>
        <w:spacing w:line="360" w:lineRule="auto"/>
        <w:rPr>
          <w:rFonts w:ascii="Book Antiqua" w:hAnsi="Book Antiqua"/>
          <w:sz w:val="24"/>
          <w:szCs w:val="24"/>
        </w:rPr>
      </w:pPr>
      <w:r w:rsidRPr="00566E2C">
        <w:rPr>
          <w:rFonts w:ascii="Book Antiqua" w:hAnsi="Book Antiqua"/>
          <w:sz w:val="24"/>
          <w:szCs w:val="24"/>
        </w:rPr>
        <w:t>H+/K+-ATPase, a key enzyme in gastric acid production, promotes the secretion of gastric acid through phosphorylation in the process of extracellular K</w:t>
      </w:r>
      <w:r w:rsidRPr="00566E2C">
        <w:rPr>
          <w:rFonts w:ascii="Book Antiqua" w:hAnsi="Book Antiqua"/>
          <w:sz w:val="24"/>
          <w:szCs w:val="24"/>
          <w:vertAlign w:val="superscript"/>
        </w:rPr>
        <w:t>+</w:t>
      </w:r>
      <w:r w:rsidRPr="00566E2C">
        <w:rPr>
          <w:rFonts w:ascii="Book Antiqua" w:hAnsi="Book Antiqua"/>
          <w:sz w:val="24"/>
          <w:szCs w:val="24"/>
        </w:rPr>
        <w:t xml:space="preserve"> and intracellular H</w:t>
      </w:r>
      <w:r w:rsidRPr="00566E2C">
        <w:rPr>
          <w:rFonts w:ascii="Book Antiqua" w:hAnsi="Book Antiqua"/>
          <w:sz w:val="24"/>
          <w:szCs w:val="24"/>
          <w:vertAlign w:val="superscript"/>
        </w:rPr>
        <w:t>+</w:t>
      </w:r>
      <w:r w:rsidRPr="00566E2C">
        <w:rPr>
          <w:rFonts w:ascii="Book Antiqua" w:hAnsi="Book Antiqua"/>
          <w:sz w:val="24"/>
          <w:szCs w:val="24"/>
        </w:rPr>
        <w:t xml:space="preserve"> transmembrane transport</w:t>
      </w:r>
      <w:r w:rsidR="001D6E50">
        <w:rPr>
          <w:rFonts w:ascii="Book Antiqua" w:hAnsi="Book Antiqua"/>
          <w:noProof/>
          <w:sz w:val="24"/>
          <w:szCs w:val="24"/>
          <w:vertAlign w:val="superscript"/>
        </w:rPr>
        <w:t>[47,</w:t>
      </w:r>
      <w:r w:rsidRPr="00566E2C">
        <w:rPr>
          <w:rFonts w:ascii="Book Antiqua" w:hAnsi="Book Antiqua"/>
          <w:noProof/>
          <w:sz w:val="24"/>
          <w:szCs w:val="24"/>
          <w:vertAlign w:val="superscript"/>
        </w:rPr>
        <w:t>48]</w:t>
      </w:r>
      <w:r w:rsidRPr="00566E2C">
        <w:rPr>
          <w:rFonts w:ascii="Book Antiqua" w:hAnsi="Book Antiqua"/>
          <w:sz w:val="24"/>
          <w:szCs w:val="24"/>
        </w:rPr>
        <w:t>. The H</w:t>
      </w:r>
      <w:r w:rsidRPr="00566E2C">
        <w:rPr>
          <w:rFonts w:ascii="Book Antiqua" w:hAnsi="Book Antiqua"/>
          <w:sz w:val="24"/>
          <w:szCs w:val="24"/>
          <w:vertAlign w:val="superscript"/>
        </w:rPr>
        <w:t>+</w:t>
      </w:r>
      <w:r w:rsidRPr="00566E2C">
        <w:rPr>
          <w:rFonts w:ascii="Book Antiqua" w:hAnsi="Book Antiqua"/>
          <w:sz w:val="24"/>
          <w:szCs w:val="24"/>
        </w:rPr>
        <w:t>/K</w:t>
      </w:r>
      <w:r w:rsidRPr="00566E2C">
        <w:rPr>
          <w:rFonts w:ascii="Book Antiqua" w:hAnsi="Book Antiqua"/>
          <w:sz w:val="24"/>
          <w:szCs w:val="24"/>
          <w:vertAlign w:val="superscript"/>
        </w:rPr>
        <w:t>+</w:t>
      </w:r>
      <w:r w:rsidRPr="00566E2C">
        <w:rPr>
          <w:rFonts w:ascii="Book Antiqua" w:hAnsi="Book Antiqua"/>
          <w:sz w:val="24"/>
          <w:szCs w:val="24"/>
        </w:rPr>
        <w:t>-ATPase serves as a key point in the signal transduction pathway</w:t>
      </w:r>
      <w:r w:rsidR="00903CE8">
        <w:rPr>
          <w:rFonts w:ascii="Book Antiqua" w:hAnsi="Book Antiqua" w:hint="eastAsia"/>
          <w:sz w:val="24"/>
          <w:szCs w:val="24"/>
        </w:rPr>
        <w:t xml:space="preserve"> </w:t>
      </w:r>
      <w:r w:rsidRPr="00566E2C">
        <w:rPr>
          <w:rFonts w:ascii="Book Antiqua" w:hAnsi="Book Antiqua"/>
          <w:sz w:val="24"/>
          <w:szCs w:val="24"/>
        </w:rPr>
        <w:t>for regulating gastric acid secretion. Its expression levels in cells located in the gastric mucosal gland have a direct effect on gastric acid production</w:t>
      </w:r>
      <w:r w:rsidR="001D6E50">
        <w:rPr>
          <w:rFonts w:ascii="Book Antiqua" w:hAnsi="Book Antiqua"/>
          <w:noProof/>
          <w:sz w:val="24"/>
          <w:szCs w:val="24"/>
          <w:vertAlign w:val="superscript"/>
        </w:rPr>
        <w:t>[49,</w:t>
      </w:r>
      <w:r w:rsidRPr="00566E2C">
        <w:rPr>
          <w:rFonts w:ascii="Book Antiqua" w:hAnsi="Book Antiqua"/>
          <w:noProof/>
          <w:sz w:val="24"/>
          <w:szCs w:val="24"/>
          <w:vertAlign w:val="superscript"/>
        </w:rPr>
        <w:t>50]</w:t>
      </w:r>
      <w:r w:rsidRPr="00566E2C">
        <w:rPr>
          <w:rFonts w:ascii="Book Antiqua" w:hAnsi="Book Antiqua"/>
          <w:sz w:val="24"/>
          <w:szCs w:val="24"/>
        </w:rPr>
        <w:t>. Therefore, in the present study, we observed the expression levels of H</w:t>
      </w:r>
      <w:r w:rsidRPr="00566E2C">
        <w:rPr>
          <w:rFonts w:ascii="Book Antiqua" w:hAnsi="Book Antiqua"/>
          <w:sz w:val="24"/>
          <w:szCs w:val="24"/>
          <w:vertAlign w:val="superscript"/>
        </w:rPr>
        <w:t>+</w:t>
      </w:r>
      <w:r w:rsidRPr="00566E2C">
        <w:rPr>
          <w:rFonts w:ascii="Book Antiqua" w:hAnsi="Book Antiqua"/>
          <w:sz w:val="24"/>
          <w:szCs w:val="24"/>
        </w:rPr>
        <w:t>/K</w:t>
      </w:r>
      <w:r w:rsidRPr="00566E2C">
        <w:rPr>
          <w:rFonts w:ascii="Book Antiqua" w:hAnsi="Book Antiqua"/>
          <w:sz w:val="24"/>
          <w:szCs w:val="24"/>
          <w:vertAlign w:val="superscript"/>
        </w:rPr>
        <w:t>+</w:t>
      </w:r>
      <w:r w:rsidRPr="00566E2C">
        <w:rPr>
          <w:rFonts w:ascii="Book Antiqua" w:hAnsi="Book Antiqua"/>
          <w:sz w:val="24"/>
          <w:szCs w:val="24"/>
        </w:rPr>
        <w:t xml:space="preserve">-ATPase to preliminarily explore the potential mechanism of centrally administered nesfatin-1 on gastric acid secretion. Western bolt and RT-PCR analyses demonstrated that the protein and mRNA expression levels of </w:t>
      </w:r>
      <w:r w:rsidRPr="00566E2C">
        <w:rPr>
          <w:rFonts w:ascii="Book Antiqua" w:hAnsi="Book Antiqua"/>
          <w:sz w:val="24"/>
          <w:szCs w:val="24"/>
        </w:rPr>
        <w:lastRenderedPageBreak/>
        <w:t>H+/K+-ATPase decreased after the</w:t>
      </w:r>
      <w:r w:rsidR="00903CE8">
        <w:rPr>
          <w:rFonts w:ascii="Book Antiqua" w:hAnsi="Book Antiqua" w:hint="eastAsia"/>
          <w:sz w:val="24"/>
          <w:szCs w:val="24"/>
        </w:rPr>
        <w:t xml:space="preserve"> </w:t>
      </w:r>
      <w:r w:rsidRPr="00566E2C">
        <w:rPr>
          <w:rFonts w:ascii="Book Antiqua" w:hAnsi="Book Antiqua"/>
          <w:sz w:val="24"/>
          <w:szCs w:val="24"/>
        </w:rPr>
        <w:t>intracerebroventricular</w:t>
      </w:r>
      <w:r w:rsidR="00903CE8">
        <w:rPr>
          <w:rFonts w:ascii="Book Antiqua" w:hAnsi="Book Antiqua" w:hint="eastAsia"/>
          <w:sz w:val="24"/>
          <w:szCs w:val="24"/>
        </w:rPr>
        <w:t xml:space="preserve"> </w:t>
      </w:r>
      <w:r w:rsidRPr="00566E2C">
        <w:rPr>
          <w:rFonts w:ascii="Book Antiqua" w:hAnsi="Book Antiqua"/>
          <w:sz w:val="24"/>
          <w:szCs w:val="24"/>
        </w:rPr>
        <w:t>injection of nesfatin-1. These levels returned to normal at four hours, and moved in line with the changes in gastric acid production. Our study revealed that centrally administered nesfatin-1 may inhibit the expression of H</w:t>
      </w:r>
      <w:r w:rsidRPr="00566E2C">
        <w:rPr>
          <w:rFonts w:ascii="Book Antiqua" w:hAnsi="Book Antiqua"/>
          <w:sz w:val="24"/>
          <w:szCs w:val="24"/>
          <w:vertAlign w:val="superscript"/>
        </w:rPr>
        <w:t>+</w:t>
      </w:r>
      <w:r w:rsidRPr="00566E2C">
        <w:rPr>
          <w:rFonts w:ascii="Book Antiqua" w:hAnsi="Book Antiqua"/>
          <w:sz w:val="24"/>
          <w:szCs w:val="24"/>
        </w:rPr>
        <w:t>/K</w:t>
      </w:r>
      <w:r w:rsidRPr="00566E2C">
        <w:rPr>
          <w:rFonts w:ascii="Book Antiqua" w:hAnsi="Book Antiqua"/>
          <w:sz w:val="24"/>
          <w:szCs w:val="24"/>
          <w:vertAlign w:val="superscript"/>
        </w:rPr>
        <w:t>+</w:t>
      </w:r>
      <w:r w:rsidRPr="00566E2C">
        <w:rPr>
          <w:rFonts w:ascii="Book Antiqua" w:hAnsi="Book Antiqua"/>
          <w:sz w:val="24"/>
          <w:szCs w:val="24"/>
        </w:rPr>
        <w:t>-ATPase in gastric mucosal tissues, suppressing the secretion of gastric acid.</w:t>
      </w:r>
    </w:p>
    <w:p w:rsidR="00D03341" w:rsidRPr="00566E2C" w:rsidRDefault="00D03341" w:rsidP="001D6E50">
      <w:pPr>
        <w:spacing w:line="360" w:lineRule="auto"/>
        <w:ind w:firstLineChars="200" w:firstLine="480"/>
        <w:rPr>
          <w:rFonts w:ascii="Book Antiqua" w:hAnsi="Book Antiqua"/>
          <w:sz w:val="24"/>
          <w:szCs w:val="24"/>
        </w:rPr>
      </w:pPr>
      <w:r w:rsidRPr="00566E2C">
        <w:rPr>
          <w:rFonts w:ascii="Book Antiqua" w:hAnsi="Book Antiqua"/>
          <w:sz w:val="24"/>
          <w:szCs w:val="24"/>
        </w:rPr>
        <w:t>In the meantime, due to the</w:t>
      </w:r>
      <w:r w:rsidR="00903CE8">
        <w:rPr>
          <w:rFonts w:ascii="Book Antiqua" w:hAnsi="Book Antiqua" w:hint="eastAsia"/>
          <w:sz w:val="24"/>
          <w:szCs w:val="24"/>
        </w:rPr>
        <w:t xml:space="preserve"> </w:t>
      </w:r>
      <w:r w:rsidRPr="00566E2C">
        <w:rPr>
          <w:rFonts w:ascii="Book Antiqua" w:hAnsi="Book Antiqua"/>
          <w:sz w:val="24"/>
          <w:szCs w:val="24"/>
        </w:rPr>
        <w:t>limited time, we were</w:t>
      </w:r>
      <w:r w:rsidR="00903CE8">
        <w:rPr>
          <w:rFonts w:ascii="Book Antiqua" w:hAnsi="Book Antiqua" w:hint="eastAsia"/>
          <w:sz w:val="24"/>
          <w:szCs w:val="24"/>
        </w:rPr>
        <w:t xml:space="preserve"> </w:t>
      </w:r>
      <w:r w:rsidRPr="00566E2C">
        <w:rPr>
          <w:rFonts w:ascii="Book Antiqua" w:hAnsi="Book Antiqua"/>
          <w:sz w:val="24"/>
          <w:szCs w:val="24"/>
        </w:rPr>
        <w:t>not able explore the relationship between gastric mobility and the vagus nerve, even though centrally administered nesfatin-1 has been reported to play a role in the regulation of gastrointestinal function through the vagus nerve. Further studies are needed to investigate whether the central administration of nesfatin-1 affects the expression of H</w:t>
      </w:r>
      <w:r w:rsidRPr="00566E2C">
        <w:rPr>
          <w:rFonts w:ascii="Book Antiqua" w:hAnsi="Book Antiqua"/>
          <w:sz w:val="24"/>
          <w:szCs w:val="24"/>
          <w:vertAlign w:val="superscript"/>
        </w:rPr>
        <w:t>+</w:t>
      </w:r>
      <w:r w:rsidRPr="00566E2C">
        <w:rPr>
          <w:rFonts w:ascii="Book Antiqua" w:hAnsi="Book Antiqua"/>
          <w:sz w:val="24"/>
          <w:szCs w:val="24"/>
        </w:rPr>
        <w:t>/K</w:t>
      </w:r>
      <w:r w:rsidRPr="00566E2C">
        <w:rPr>
          <w:rFonts w:ascii="Book Antiqua" w:hAnsi="Book Antiqua"/>
          <w:sz w:val="24"/>
          <w:szCs w:val="24"/>
          <w:vertAlign w:val="superscript"/>
        </w:rPr>
        <w:t>+</w:t>
      </w:r>
      <w:r w:rsidRPr="00566E2C">
        <w:rPr>
          <w:rFonts w:ascii="Book Antiqua" w:hAnsi="Book Antiqua"/>
          <w:sz w:val="24"/>
          <w:szCs w:val="24"/>
        </w:rPr>
        <w:t>-ATPase through the vagus nerve.</w:t>
      </w:r>
    </w:p>
    <w:p w:rsidR="00D03341" w:rsidRDefault="00D03341" w:rsidP="001D6E50">
      <w:pPr>
        <w:spacing w:line="360" w:lineRule="auto"/>
        <w:ind w:firstLineChars="200" w:firstLine="480"/>
        <w:rPr>
          <w:rFonts w:ascii="Book Antiqua" w:hAnsi="Book Antiqua"/>
          <w:sz w:val="24"/>
          <w:szCs w:val="24"/>
        </w:rPr>
      </w:pPr>
      <w:r w:rsidRPr="00566E2C">
        <w:rPr>
          <w:rFonts w:ascii="Book Antiqua" w:hAnsi="Book Antiqua"/>
          <w:sz w:val="24"/>
          <w:szCs w:val="24"/>
        </w:rPr>
        <w:t xml:space="preserve">Overall, our </w:t>
      </w:r>
      <w:r w:rsidRPr="00566E2C">
        <w:rPr>
          <w:rFonts w:ascii="Book Antiqua" w:hAnsi="Book Antiqua"/>
          <w:i/>
          <w:sz w:val="24"/>
          <w:szCs w:val="24"/>
        </w:rPr>
        <w:t xml:space="preserve">in vivo </w:t>
      </w:r>
      <w:r w:rsidRPr="00566E2C">
        <w:rPr>
          <w:rFonts w:ascii="Book Antiqua" w:hAnsi="Book Antiqua"/>
          <w:sz w:val="24"/>
          <w:szCs w:val="24"/>
        </w:rPr>
        <w:t>experiment demonstrates</w:t>
      </w:r>
      <w:r w:rsidR="00903CE8">
        <w:rPr>
          <w:rFonts w:ascii="Book Antiqua" w:hAnsi="Book Antiqua" w:hint="eastAsia"/>
          <w:sz w:val="24"/>
          <w:szCs w:val="24"/>
        </w:rPr>
        <w:t xml:space="preserve"> </w:t>
      </w:r>
      <w:r w:rsidRPr="00566E2C">
        <w:rPr>
          <w:rFonts w:ascii="Book Antiqua" w:hAnsi="Book Antiqua"/>
          <w:sz w:val="24"/>
          <w:szCs w:val="24"/>
        </w:rPr>
        <w:t>that the central administration of nesfatin-1, rather than its</w:t>
      </w:r>
      <w:r w:rsidR="00903CE8">
        <w:rPr>
          <w:rFonts w:ascii="Book Antiqua" w:hAnsi="Book Antiqua" w:hint="eastAsia"/>
          <w:sz w:val="24"/>
          <w:szCs w:val="24"/>
        </w:rPr>
        <w:t xml:space="preserve"> </w:t>
      </w:r>
      <w:r w:rsidRPr="00566E2C">
        <w:rPr>
          <w:rFonts w:ascii="Book Antiqua" w:hAnsi="Book Antiqua"/>
          <w:sz w:val="24"/>
          <w:szCs w:val="24"/>
        </w:rPr>
        <w:t>peripheral administration, had an effect on gastrointestinal functions in obeserats. Centrally administered nesfatin-1 inhibited gastric mobility and gastric acid secretion in a dose-independent manner over a period of time. This study provides</w:t>
      </w:r>
      <w:r w:rsidR="00903CE8">
        <w:rPr>
          <w:rFonts w:ascii="Book Antiqua" w:hAnsi="Book Antiqua" w:hint="eastAsia"/>
          <w:sz w:val="24"/>
          <w:szCs w:val="24"/>
        </w:rPr>
        <w:t xml:space="preserve"> </w:t>
      </w:r>
      <w:r w:rsidRPr="00566E2C">
        <w:rPr>
          <w:rFonts w:ascii="Book Antiqua" w:hAnsi="Book Antiqua"/>
          <w:sz w:val="24"/>
          <w:szCs w:val="24"/>
        </w:rPr>
        <w:t>a preliminary theoretical basis for the development of nesfatin-1 for the treatment of obesity.</w:t>
      </w:r>
    </w:p>
    <w:p w:rsidR="001D6E50" w:rsidRPr="00903CE8" w:rsidRDefault="001D6E50" w:rsidP="001D6E50">
      <w:pPr>
        <w:spacing w:line="360" w:lineRule="auto"/>
        <w:ind w:firstLineChars="200" w:firstLine="480"/>
        <w:rPr>
          <w:rFonts w:ascii="Book Antiqua" w:hAnsi="Book Antiqua"/>
          <w:sz w:val="24"/>
          <w:szCs w:val="24"/>
        </w:rPr>
      </w:pPr>
    </w:p>
    <w:p w:rsidR="00D03341" w:rsidRPr="00566E2C" w:rsidRDefault="00D03341" w:rsidP="001D6E50">
      <w:pPr>
        <w:autoSpaceDE w:val="0"/>
        <w:autoSpaceDN w:val="0"/>
        <w:adjustRightInd w:val="0"/>
        <w:spacing w:line="360" w:lineRule="auto"/>
        <w:rPr>
          <w:rFonts w:ascii="Book Antiqua" w:hAnsi="Book Antiqua"/>
          <w:b/>
          <w:caps/>
          <w:sz w:val="24"/>
          <w:szCs w:val="24"/>
        </w:rPr>
      </w:pPr>
      <w:r w:rsidRPr="00566E2C">
        <w:rPr>
          <w:rFonts w:ascii="Book Antiqua" w:hAnsi="Book Antiqua"/>
          <w:b/>
          <w:caps/>
          <w:sz w:val="24"/>
          <w:szCs w:val="24"/>
        </w:rPr>
        <w:t>comments</w:t>
      </w:r>
    </w:p>
    <w:p w:rsidR="00D03341" w:rsidRPr="001D6E50" w:rsidRDefault="00D03341" w:rsidP="001D6E50">
      <w:pPr>
        <w:spacing w:line="360" w:lineRule="auto"/>
        <w:rPr>
          <w:rFonts w:ascii="Book Antiqua" w:hAnsi="Book Antiqua"/>
          <w:b/>
          <w:i/>
          <w:sz w:val="24"/>
          <w:szCs w:val="24"/>
        </w:rPr>
      </w:pPr>
      <w:r w:rsidRPr="001D6E50">
        <w:rPr>
          <w:rFonts w:ascii="Book Antiqua" w:hAnsi="Book Antiqua"/>
          <w:b/>
          <w:i/>
          <w:sz w:val="24"/>
          <w:szCs w:val="24"/>
        </w:rPr>
        <w:t>Background</w:t>
      </w:r>
    </w:p>
    <w:p w:rsidR="00D03341" w:rsidRDefault="00D03341" w:rsidP="001D6E50">
      <w:pPr>
        <w:spacing w:line="360" w:lineRule="auto"/>
        <w:rPr>
          <w:rFonts w:ascii="Book Antiqua" w:hAnsi="Book Antiqua"/>
          <w:sz w:val="24"/>
          <w:szCs w:val="24"/>
        </w:rPr>
      </w:pPr>
      <w:r w:rsidRPr="00566E2C">
        <w:rPr>
          <w:rFonts w:ascii="Book Antiqua" w:hAnsi="Book Antiqua"/>
          <w:sz w:val="24"/>
          <w:szCs w:val="24"/>
        </w:rPr>
        <w:t>Obesity has become a major global public health issue that can bring about heavy financial burden in the society and family.</w:t>
      </w:r>
      <w:r w:rsidR="00FB2A00">
        <w:rPr>
          <w:rFonts w:ascii="Book Antiqua" w:hAnsi="Book Antiqua" w:hint="eastAsia"/>
          <w:sz w:val="24"/>
          <w:szCs w:val="24"/>
        </w:rPr>
        <w:t xml:space="preserve"> </w:t>
      </w:r>
      <w:r w:rsidRPr="00566E2C">
        <w:rPr>
          <w:rFonts w:ascii="Book Antiqua" w:hAnsi="Book Antiqua"/>
          <w:sz w:val="24"/>
          <w:szCs w:val="24"/>
        </w:rPr>
        <w:t>Nesfatin-1, a new anorectic peptide,</w:t>
      </w:r>
      <w:r w:rsidR="00903CE8">
        <w:rPr>
          <w:rFonts w:ascii="Book Antiqua" w:hAnsi="Book Antiqua" w:hint="eastAsia"/>
          <w:sz w:val="24"/>
          <w:szCs w:val="24"/>
        </w:rPr>
        <w:t xml:space="preserve"> </w:t>
      </w:r>
      <w:r w:rsidRPr="00566E2C">
        <w:rPr>
          <w:rFonts w:ascii="Book Antiqua" w:hAnsi="Book Antiqua"/>
          <w:sz w:val="24"/>
          <w:szCs w:val="24"/>
        </w:rPr>
        <w:t>has been proven as an inhibitor of food intake which has the potential to be used in the treatment of obesity. However, the clinical use of nesfatin-1 is limited, since it remains unknown whether the routes of administration of nesfatin-1 influence gastric emptying, and how and when this would affect gastric functions.</w:t>
      </w:r>
    </w:p>
    <w:p w:rsidR="001D6E50" w:rsidRPr="00566E2C" w:rsidRDefault="001D6E50" w:rsidP="001D6E50">
      <w:pPr>
        <w:spacing w:line="360" w:lineRule="auto"/>
        <w:rPr>
          <w:rFonts w:ascii="Book Antiqua" w:hAnsi="Book Antiqua"/>
          <w:sz w:val="24"/>
          <w:szCs w:val="24"/>
        </w:rPr>
      </w:pPr>
    </w:p>
    <w:p w:rsidR="00D03341" w:rsidRPr="00566E2C" w:rsidRDefault="00D03341" w:rsidP="001D6E50">
      <w:pPr>
        <w:spacing w:line="360" w:lineRule="auto"/>
        <w:rPr>
          <w:rFonts w:ascii="Book Antiqua" w:hAnsi="Book Antiqua"/>
          <w:b/>
          <w:bCs/>
          <w:i/>
          <w:sz w:val="24"/>
          <w:szCs w:val="24"/>
        </w:rPr>
      </w:pPr>
      <w:r w:rsidRPr="00566E2C">
        <w:rPr>
          <w:rFonts w:ascii="Book Antiqua" w:hAnsi="Book Antiqua"/>
          <w:b/>
          <w:bCs/>
          <w:i/>
          <w:sz w:val="24"/>
          <w:szCs w:val="24"/>
        </w:rPr>
        <w:t>Research frontiers</w:t>
      </w:r>
    </w:p>
    <w:p w:rsidR="00D03341" w:rsidRDefault="00D03341" w:rsidP="001D6E50">
      <w:pPr>
        <w:spacing w:line="360" w:lineRule="auto"/>
        <w:rPr>
          <w:rFonts w:ascii="Book Antiqua" w:hAnsi="Book Antiqua"/>
          <w:bCs/>
          <w:sz w:val="24"/>
          <w:szCs w:val="24"/>
        </w:rPr>
      </w:pPr>
      <w:r w:rsidRPr="00566E2C">
        <w:rPr>
          <w:rFonts w:ascii="Book Antiqua" w:hAnsi="Book Antiqua"/>
          <w:bCs/>
          <w:sz w:val="24"/>
          <w:szCs w:val="24"/>
        </w:rPr>
        <w:lastRenderedPageBreak/>
        <w:t>Nesfatin-1 plays a role in the regulation of many physiological processes such as carbohydrate metabolism, im</w:t>
      </w:r>
      <w:r w:rsidR="001D6E50">
        <w:rPr>
          <w:rFonts w:ascii="Book Antiqua" w:hAnsi="Book Antiqua"/>
          <w:bCs/>
          <w:sz w:val="24"/>
          <w:szCs w:val="24"/>
        </w:rPr>
        <w:t>munity, and the digestive tract</w:t>
      </w:r>
      <w:r w:rsidRPr="001D6E50">
        <w:rPr>
          <w:rFonts w:ascii="Book Antiqua" w:hAnsi="Book Antiqua"/>
          <w:bCs/>
          <w:sz w:val="24"/>
          <w:szCs w:val="24"/>
          <w:vertAlign w:val="superscript"/>
        </w:rPr>
        <w:t>[9-13]</w:t>
      </w:r>
      <w:r w:rsidRPr="00566E2C">
        <w:rPr>
          <w:rFonts w:ascii="Book Antiqua" w:hAnsi="Book Antiqua"/>
          <w:bCs/>
          <w:sz w:val="24"/>
          <w:szCs w:val="24"/>
        </w:rPr>
        <w:t xml:space="preserve">. Studies have shown that nesfatin-1 mRNA, together with Ghrelin somatostatin and histidine decarboxylase, which regulates gastric acid secretion, are co-expressed in oxyntic glands in the fundus of the stomach. </w:t>
      </w:r>
      <w:r w:rsidRPr="00566E2C">
        <w:rPr>
          <w:rFonts w:ascii="Book Antiqua" w:hAnsi="Book Antiqua"/>
          <w:bCs/>
          <w:i/>
          <w:sz w:val="24"/>
          <w:szCs w:val="24"/>
        </w:rPr>
        <w:t xml:space="preserve">In vitro </w:t>
      </w:r>
      <w:r w:rsidRPr="00566E2C">
        <w:rPr>
          <w:rFonts w:ascii="Book Antiqua" w:hAnsi="Book Antiqua"/>
          <w:bCs/>
          <w:sz w:val="24"/>
          <w:szCs w:val="24"/>
        </w:rPr>
        <w:t>studies have shown that nesfatin-1 can inhibit the expression of H+/K+ ATPase to bl</w:t>
      </w:r>
      <w:r w:rsidR="001D6E50">
        <w:rPr>
          <w:rFonts w:ascii="Book Antiqua" w:hAnsi="Book Antiqua"/>
          <w:bCs/>
          <w:sz w:val="24"/>
          <w:szCs w:val="24"/>
        </w:rPr>
        <w:t>ock gastric acid secretion</w:t>
      </w:r>
      <w:r w:rsidR="001D6E50" w:rsidRPr="001D6E50">
        <w:rPr>
          <w:rFonts w:ascii="Book Antiqua" w:hAnsi="Book Antiqua"/>
          <w:bCs/>
          <w:sz w:val="24"/>
          <w:szCs w:val="24"/>
          <w:vertAlign w:val="superscript"/>
        </w:rPr>
        <w:t>[17,</w:t>
      </w:r>
      <w:r w:rsidRPr="001D6E50">
        <w:rPr>
          <w:rFonts w:ascii="Book Antiqua" w:hAnsi="Book Antiqua"/>
          <w:bCs/>
          <w:sz w:val="24"/>
          <w:szCs w:val="24"/>
          <w:vertAlign w:val="superscript"/>
        </w:rPr>
        <w:t>18]</w:t>
      </w:r>
      <w:r w:rsidRPr="00566E2C">
        <w:rPr>
          <w:rFonts w:ascii="Book Antiqua" w:hAnsi="Book Antiqua"/>
          <w:bCs/>
          <w:sz w:val="24"/>
          <w:szCs w:val="24"/>
        </w:rPr>
        <w:t>. Researchers have also found that the lateral intracerebroventricular injection of nesfatin-1 can reduce the ga</w:t>
      </w:r>
      <w:r w:rsidR="001D6E50">
        <w:rPr>
          <w:rFonts w:ascii="Book Antiqua" w:hAnsi="Book Antiqua"/>
          <w:bCs/>
          <w:sz w:val="24"/>
          <w:szCs w:val="24"/>
        </w:rPr>
        <w:t>strointestinal mobility of rats</w:t>
      </w:r>
      <w:r w:rsidRPr="001D6E50">
        <w:rPr>
          <w:rFonts w:ascii="Book Antiqua" w:hAnsi="Book Antiqua"/>
          <w:bCs/>
          <w:sz w:val="24"/>
          <w:szCs w:val="24"/>
          <w:vertAlign w:val="superscript"/>
        </w:rPr>
        <w:t>[19]</w:t>
      </w:r>
      <w:r w:rsidRPr="00566E2C">
        <w:rPr>
          <w:rFonts w:ascii="Book Antiqua" w:hAnsi="Book Antiqua"/>
          <w:bCs/>
          <w:sz w:val="24"/>
          <w:szCs w:val="24"/>
        </w:rPr>
        <w:t>.</w:t>
      </w:r>
    </w:p>
    <w:p w:rsidR="001D6E50" w:rsidRPr="00566E2C" w:rsidRDefault="001D6E50" w:rsidP="001D6E50">
      <w:pPr>
        <w:spacing w:line="360" w:lineRule="auto"/>
        <w:rPr>
          <w:rFonts w:ascii="Book Antiqua" w:hAnsi="Book Antiqua"/>
          <w:bCs/>
          <w:sz w:val="24"/>
          <w:szCs w:val="24"/>
        </w:rPr>
      </w:pPr>
    </w:p>
    <w:p w:rsidR="00D03341" w:rsidRPr="00566E2C" w:rsidRDefault="00D03341" w:rsidP="001D6E50">
      <w:pPr>
        <w:spacing w:line="360" w:lineRule="auto"/>
        <w:rPr>
          <w:rFonts w:ascii="Book Antiqua" w:hAnsi="Book Antiqua"/>
          <w:b/>
          <w:bCs/>
          <w:i/>
          <w:sz w:val="24"/>
          <w:szCs w:val="24"/>
        </w:rPr>
      </w:pPr>
      <w:r w:rsidRPr="00566E2C">
        <w:rPr>
          <w:rFonts w:ascii="Book Antiqua" w:hAnsi="Book Antiqua"/>
          <w:b/>
          <w:bCs/>
          <w:i/>
          <w:sz w:val="24"/>
          <w:szCs w:val="24"/>
        </w:rPr>
        <w:t>Innovations and breakthroughs</w:t>
      </w:r>
    </w:p>
    <w:p w:rsidR="00D03341" w:rsidRDefault="00D03341" w:rsidP="001D6E50">
      <w:pPr>
        <w:spacing w:line="360" w:lineRule="auto"/>
        <w:rPr>
          <w:rFonts w:ascii="Book Antiqua" w:hAnsi="Book Antiqua"/>
          <w:sz w:val="24"/>
          <w:szCs w:val="24"/>
        </w:rPr>
      </w:pPr>
      <w:r w:rsidRPr="00566E2C">
        <w:rPr>
          <w:rFonts w:ascii="Book Antiqua" w:hAnsi="Book Antiqua"/>
          <w:sz w:val="24"/>
          <w:szCs w:val="24"/>
        </w:rPr>
        <w:t xml:space="preserve">This </w:t>
      </w:r>
      <w:r w:rsidRPr="00566E2C">
        <w:rPr>
          <w:rFonts w:ascii="Book Antiqua" w:hAnsi="Book Antiqua"/>
          <w:i/>
          <w:sz w:val="24"/>
          <w:szCs w:val="24"/>
        </w:rPr>
        <w:t>in vivo</w:t>
      </w:r>
      <w:r w:rsidRPr="00566E2C">
        <w:rPr>
          <w:rFonts w:ascii="Book Antiqua" w:hAnsi="Book Antiqua"/>
          <w:sz w:val="24"/>
          <w:szCs w:val="24"/>
        </w:rPr>
        <w:t xml:space="preserve"> experiment revealed that the intracerebroventricular injection of nesfactin-1could suppress gastric function in obese rats. Moreover, its effect on the gastric emptying and gastric acid secretory capacity of rats is dose-dependent within a certain amount of time. Furthermore, the intracerebroventricular injection of nesfactin-1could also suppress the expression of H+/K+ ATPase</w:t>
      </w:r>
      <w:r w:rsidR="00FB2A00">
        <w:rPr>
          <w:rFonts w:ascii="Book Antiqua" w:hAnsi="Book Antiqua" w:hint="eastAsia"/>
          <w:sz w:val="24"/>
          <w:szCs w:val="24"/>
        </w:rPr>
        <w:t xml:space="preserve"> </w:t>
      </w:r>
      <w:r w:rsidRPr="00566E2C">
        <w:rPr>
          <w:rFonts w:ascii="Book Antiqua" w:hAnsi="Book Antiqua"/>
          <w:i/>
          <w:sz w:val="24"/>
          <w:szCs w:val="24"/>
        </w:rPr>
        <w:t>in vivo</w:t>
      </w:r>
      <w:r w:rsidRPr="00566E2C">
        <w:rPr>
          <w:rFonts w:ascii="Book Antiqua" w:hAnsi="Book Antiqua"/>
          <w:sz w:val="24"/>
          <w:szCs w:val="24"/>
        </w:rPr>
        <w:t xml:space="preserve">, which may be the mechanisms of the decrease of gastric acid secretory. </w:t>
      </w:r>
    </w:p>
    <w:p w:rsidR="001D6E50" w:rsidRPr="00566E2C" w:rsidRDefault="001D6E50" w:rsidP="001D6E50">
      <w:pPr>
        <w:spacing w:line="360" w:lineRule="auto"/>
        <w:rPr>
          <w:rFonts w:ascii="Book Antiqua" w:hAnsi="Book Antiqua"/>
          <w:sz w:val="24"/>
          <w:szCs w:val="24"/>
        </w:rPr>
      </w:pPr>
    </w:p>
    <w:p w:rsidR="00D03341" w:rsidRPr="00566E2C" w:rsidRDefault="00D03341" w:rsidP="001D6E50">
      <w:pPr>
        <w:spacing w:line="360" w:lineRule="auto"/>
        <w:rPr>
          <w:rFonts w:ascii="Book Antiqua" w:hAnsi="Book Antiqua"/>
          <w:sz w:val="24"/>
          <w:szCs w:val="24"/>
        </w:rPr>
      </w:pPr>
      <w:r w:rsidRPr="00566E2C">
        <w:rPr>
          <w:rFonts w:ascii="Book Antiqua" w:hAnsi="Book Antiqua"/>
          <w:b/>
          <w:bCs/>
          <w:i/>
          <w:sz w:val="24"/>
          <w:szCs w:val="24"/>
        </w:rPr>
        <w:t>Applications</w:t>
      </w:r>
    </w:p>
    <w:p w:rsidR="00D03341" w:rsidRDefault="00D03341" w:rsidP="001D6E50">
      <w:pPr>
        <w:spacing w:line="360" w:lineRule="auto"/>
        <w:rPr>
          <w:rFonts w:ascii="Book Antiqua" w:hAnsi="Book Antiqua"/>
          <w:sz w:val="24"/>
          <w:szCs w:val="24"/>
        </w:rPr>
      </w:pPr>
      <w:r w:rsidRPr="00566E2C">
        <w:rPr>
          <w:rFonts w:ascii="Book Antiqua" w:hAnsi="Book Antiqua"/>
          <w:sz w:val="24"/>
          <w:szCs w:val="24"/>
        </w:rPr>
        <w:t>The study demonstrated</w:t>
      </w:r>
      <w:r w:rsidR="00903CE8">
        <w:rPr>
          <w:rFonts w:ascii="Book Antiqua" w:hAnsi="Book Antiqua" w:hint="eastAsia"/>
          <w:sz w:val="24"/>
          <w:szCs w:val="24"/>
        </w:rPr>
        <w:t xml:space="preserve"> </w:t>
      </w:r>
      <w:r w:rsidRPr="00566E2C">
        <w:rPr>
          <w:rFonts w:ascii="Book Antiqua" w:hAnsi="Book Antiqua"/>
          <w:sz w:val="24"/>
          <w:szCs w:val="24"/>
        </w:rPr>
        <w:t xml:space="preserve">the intracerebroventricular injection of nesfactin-1 could successful suppress gastric function in obese rats, which means it have the potential to be used to treat obesity. If further researches find the exact molecular mechanism of nesfactin-1, obesity may be also cured someday. </w:t>
      </w:r>
    </w:p>
    <w:p w:rsidR="001D6E50" w:rsidRPr="00566E2C" w:rsidRDefault="001D6E50" w:rsidP="001D6E50">
      <w:pPr>
        <w:spacing w:line="360" w:lineRule="auto"/>
        <w:rPr>
          <w:rFonts w:ascii="Book Antiqua" w:hAnsi="Book Antiqua"/>
          <w:sz w:val="24"/>
          <w:szCs w:val="24"/>
        </w:rPr>
      </w:pPr>
    </w:p>
    <w:p w:rsidR="00D03341" w:rsidRPr="00566E2C" w:rsidRDefault="00D03341" w:rsidP="001D6E50">
      <w:pPr>
        <w:spacing w:line="360" w:lineRule="auto"/>
        <w:rPr>
          <w:rFonts w:ascii="Book Antiqua" w:hAnsi="Book Antiqua"/>
          <w:b/>
          <w:bCs/>
          <w:i/>
          <w:sz w:val="24"/>
          <w:szCs w:val="24"/>
        </w:rPr>
      </w:pPr>
      <w:r w:rsidRPr="00566E2C">
        <w:rPr>
          <w:rFonts w:ascii="Book Antiqua" w:hAnsi="Book Antiqua"/>
          <w:b/>
          <w:bCs/>
          <w:i/>
          <w:sz w:val="24"/>
          <w:szCs w:val="24"/>
        </w:rPr>
        <w:t>Peer- review</w:t>
      </w:r>
    </w:p>
    <w:p w:rsidR="00D03341" w:rsidRDefault="00D03341" w:rsidP="001D6E50">
      <w:pPr>
        <w:spacing w:line="360" w:lineRule="auto"/>
        <w:rPr>
          <w:rFonts w:ascii="Book Antiqua" w:hAnsi="Book Antiqua"/>
          <w:sz w:val="24"/>
          <w:szCs w:val="24"/>
        </w:rPr>
      </w:pPr>
      <w:r w:rsidRPr="00566E2C">
        <w:rPr>
          <w:rFonts w:ascii="Book Antiqua" w:hAnsi="Book Antiqua"/>
          <w:sz w:val="24"/>
          <w:szCs w:val="24"/>
        </w:rPr>
        <w:t>Although</w:t>
      </w:r>
      <w:r w:rsidR="00903CE8">
        <w:rPr>
          <w:rFonts w:ascii="Book Antiqua" w:hAnsi="Book Antiqua" w:hint="eastAsia"/>
          <w:sz w:val="24"/>
          <w:szCs w:val="24"/>
        </w:rPr>
        <w:t xml:space="preserve"> </w:t>
      </w:r>
      <w:r w:rsidRPr="00566E2C">
        <w:rPr>
          <w:rFonts w:ascii="Book Antiqua" w:hAnsi="Book Antiqua"/>
          <w:sz w:val="24"/>
          <w:szCs w:val="24"/>
        </w:rPr>
        <w:t>obesity</w:t>
      </w:r>
      <w:r w:rsidR="00D8396F">
        <w:rPr>
          <w:rFonts w:ascii="Book Antiqua" w:hAnsi="Book Antiqua" w:hint="eastAsia"/>
          <w:sz w:val="24"/>
          <w:szCs w:val="24"/>
        </w:rPr>
        <w:t xml:space="preserve"> </w:t>
      </w:r>
      <w:r w:rsidRPr="00566E2C">
        <w:rPr>
          <w:rFonts w:ascii="Book Antiqua" w:hAnsi="Book Antiqua"/>
          <w:sz w:val="24"/>
          <w:szCs w:val="24"/>
        </w:rPr>
        <w:t xml:space="preserve">is a major global public health issue, there is still no cure for obesity. This study revealed that the intracerebroventricular injection of nesfactin-1 could successful suppress gastric function in dose-dependent manner within a certain amount of time. A preliminary theoretical basis for </w:t>
      </w:r>
      <w:r w:rsidRPr="00566E2C">
        <w:rPr>
          <w:rFonts w:ascii="Book Antiqua" w:hAnsi="Book Antiqua"/>
          <w:sz w:val="24"/>
          <w:szCs w:val="24"/>
        </w:rPr>
        <w:lastRenderedPageBreak/>
        <w:t>the development of nesfatin-1 for the treatment of obesity is provided by this research.</w:t>
      </w:r>
    </w:p>
    <w:p w:rsidR="001D6E50" w:rsidRPr="00566E2C" w:rsidRDefault="001D6E50" w:rsidP="001D6E50">
      <w:pPr>
        <w:spacing w:line="360" w:lineRule="auto"/>
        <w:rPr>
          <w:rFonts w:ascii="Book Antiqua" w:hAnsi="Book Antiqua"/>
          <w:sz w:val="24"/>
          <w:szCs w:val="24"/>
        </w:rPr>
      </w:pPr>
    </w:p>
    <w:p w:rsidR="00D33399" w:rsidRDefault="00D33399" w:rsidP="002C2C67">
      <w:pPr>
        <w:spacing w:line="360" w:lineRule="auto"/>
        <w:rPr>
          <w:rFonts w:ascii="Book Antiqua" w:hAnsi="Book Antiqua"/>
          <w:noProof/>
          <w:sz w:val="24"/>
          <w:szCs w:val="24"/>
        </w:rPr>
      </w:pPr>
      <w:r>
        <w:rPr>
          <w:rFonts w:ascii="Book Antiqua" w:hAnsi="Book Antiqua"/>
          <w:sz w:val="24"/>
          <w:szCs w:val="24"/>
        </w:rPr>
        <w:br w:type="page"/>
      </w:r>
      <w:r w:rsidRPr="00566E2C">
        <w:rPr>
          <w:rFonts w:ascii="Book Antiqua" w:hAnsi="Book Antiqua"/>
          <w:b/>
          <w:sz w:val="24"/>
          <w:szCs w:val="24"/>
        </w:rPr>
        <w:lastRenderedPageBreak/>
        <w:t>REFERENCE</w:t>
      </w:r>
      <w:r>
        <w:rPr>
          <w:rFonts w:ascii="Book Antiqua" w:hAnsi="Book Antiqua"/>
          <w:b/>
          <w:sz w:val="24"/>
          <w:szCs w:val="24"/>
        </w:rPr>
        <w:t>S</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1 </w:t>
      </w:r>
      <w:r w:rsidRPr="003B75A0">
        <w:rPr>
          <w:rFonts w:ascii="Book Antiqua" w:hAnsi="Book Antiqua" w:cs="SimSun"/>
          <w:b/>
          <w:bCs/>
          <w:kern w:val="0"/>
          <w:sz w:val="24"/>
          <w:szCs w:val="24"/>
        </w:rPr>
        <w:t>Guo Y</w:t>
      </w:r>
      <w:r w:rsidRPr="003B75A0">
        <w:rPr>
          <w:rFonts w:ascii="Book Antiqua" w:hAnsi="Book Antiqua" w:cs="SimSun"/>
          <w:kern w:val="0"/>
          <w:sz w:val="24"/>
          <w:szCs w:val="24"/>
        </w:rPr>
        <w:t>, Yue XJ, Li HH, Song ZX, Yan HQ, Zhang P, Gui YK, Chang L, Li T. Overweight and Obesity in Young Adulthood and the Risk of Stroke: a Meta-analysis. </w:t>
      </w:r>
      <w:r w:rsidRPr="003B75A0">
        <w:rPr>
          <w:rFonts w:ascii="Book Antiqua" w:hAnsi="Book Antiqua" w:cs="SimSun"/>
          <w:i/>
          <w:iCs/>
          <w:kern w:val="0"/>
          <w:sz w:val="24"/>
          <w:szCs w:val="24"/>
        </w:rPr>
        <w:t>J Stroke Cerebrovasc Dis</w:t>
      </w:r>
      <w:r w:rsidRPr="003B75A0">
        <w:rPr>
          <w:rFonts w:ascii="Book Antiqua" w:hAnsi="Book Antiqua" w:cs="SimSun"/>
          <w:kern w:val="0"/>
          <w:sz w:val="24"/>
          <w:szCs w:val="24"/>
        </w:rPr>
        <w:t> 2016; </w:t>
      </w:r>
      <w:r w:rsidRPr="003B75A0">
        <w:rPr>
          <w:rFonts w:ascii="Book Antiqua" w:hAnsi="Book Antiqua" w:cs="SimSun"/>
          <w:b/>
          <w:bCs/>
          <w:kern w:val="0"/>
          <w:sz w:val="24"/>
          <w:szCs w:val="24"/>
        </w:rPr>
        <w:t>25</w:t>
      </w:r>
      <w:r w:rsidRPr="003B75A0">
        <w:rPr>
          <w:rFonts w:ascii="Book Antiqua" w:hAnsi="Book Antiqua" w:cs="SimSun"/>
          <w:kern w:val="0"/>
          <w:sz w:val="24"/>
          <w:szCs w:val="24"/>
        </w:rPr>
        <w:t>: 2995-3004 [PMID: 27618195 DOI: 10.1016/j.jstrokecerebrovasdis.2016.08.018]</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2 </w:t>
      </w:r>
      <w:r w:rsidRPr="003B75A0">
        <w:rPr>
          <w:rFonts w:ascii="Book Antiqua" w:hAnsi="Book Antiqua" w:cs="SimSun"/>
          <w:b/>
          <w:bCs/>
          <w:kern w:val="0"/>
          <w:sz w:val="24"/>
          <w:szCs w:val="24"/>
        </w:rPr>
        <w:t>Li Z</w:t>
      </w:r>
      <w:r w:rsidRPr="003B75A0">
        <w:rPr>
          <w:rFonts w:ascii="Book Antiqua" w:hAnsi="Book Antiqua" w:cs="SimSun"/>
          <w:kern w:val="0"/>
          <w:sz w:val="24"/>
          <w:szCs w:val="24"/>
        </w:rPr>
        <w:t>, Guo X, Liu Y, Zhang N, Chang Y, Chen Y, Sun Y, Abraham MR. Metabolism rather than obesity is associated with ischemic stroke: a cross-sectional study in rural Northeastern China. </w:t>
      </w:r>
      <w:r w:rsidRPr="003B75A0">
        <w:rPr>
          <w:rFonts w:ascii="Book Antiqua" w:hAnsi="Book Antiqua" w:cs="SimSun"/>
          <w:i/>
          <w:iCs/>
          <w:kern w:val="0"/>
          <w:sz w:val="24"/>
          <w:szCs w:val="24"/>
        </w:rPr>
        <w:t>Springerplus</w:t>
      </w:r>
      <w:r w:rsidRPr="003B75A0">
        <w:rPr>
          <w:rFonts w:ascii="Book Antiqua" w:hAnsi="Book Antiqua" w:cs="SimSun"/>
          <w:kern w:val="0"/>
          <w:sz w:val="24"/>
          <w:szCs w:val="24"/>
        </w:rPr>
        <w:t> 2016; </w:t>
      </w:r>
      <w:r w:rsidRPr="003B75A0">
        <w:rPr>
          <w:rFonts w:ascii="Book Antiqua" w:hAnsi="Book Antiqua" w:cs="SimSun"/>
          <w:b/>
          <w:bCs/>
          <w:kern w:val="0"/>
          <w:sz w:val="24"/>
          <w:szCs w:val="24"/>
        </w:rPr>
        <w:t>5</w:t>
      </w:r>
      <w:r w:rsidRPr="003B75A0">
        <w:rPr>
          <w:rFonts w:ascii="Book Antiqua" w:hAnsi="Book Antiqua" w:cs="SimSun"/>
          <w:kern w:val="0"/>
          <w:sz w:val="24"/>
          <w:szCs w:val="24"/>
        </w:rPr>
        <w:t>: 1419 [PMID: 27625973 DOI: 10.1186/s40064-016-3088-2]</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3 </w:t>
      </w:r>
      <w:r w:rsidRPr="003B75A0">
        <w:rPr>
          <w:rFonts w:ascii="Book Antiqua" w:hAnsi="Book Antiqua" w:cs="SimSun"/>
          <w:b/>
          <w:bCs/>
          <w:kern w:val="0"/>
          <w:sz w:val="24"/>
          <w:szCs w:val="24"/>
        </w:rPr>
        <w:t>Tao XG</w:t>
      </w:r>
      <w:r w:rsidRPr="003B75A0">
        <w:rPr>
          <w:rFonts w:ascii="Book Antiqua" w:hAnsi="Book Antiqua" w:cs="SimSun"/>
          <w:kern w:val="0"/>
          <w:sz w:val="24"/>
          <w:szCs w:val="24"/>
        </w:rPr>
        <w:t>, Su PY, Yuspeh L, Lavin RA, Kalia-Satwah N, Bernacki EJ. Is Obesity Associated With Adverse Workers' Compensation Claims Outcomes? </w:t>
      </w:r>
      <w:r w:rsidRPr="003B75A0">
        <w:rPr>
          <w:rFonts w:ascii="Book Antiqua" w:hAnsi="Book Antiqua" w:cs="SimSun"/>
          <w:i/>
          <w:iCs/>
          <w:kern w:val="0"/>
          <w:sz w:val="24"/>
          <w:szCs w:val="24"/>
        </w:rPr>
        <w:t>J Occup Environ Med</w:t>
      </w:r>
      <w:r w:rsidRPr="003B75A0">
        <w:rPr>
          <w:rFonts w:ascii="Book Antiqua" w:hAnsi="Book Antiqua" w:cs="SimSun"/>
          <w:kern w:val="0"/>
          <w:sz w:val="24"/>
          <w:szCs w:val="24"/>
        </w:rPr>
        <w:t> 2016; </w:t>
      </w:r>
      <w:r w:rsidRPr="003B75A0">
        <w:rPr>
          <w:rFonts w:ascii="Book Antiqua" w:hAnsi="Book Antiqua" w:cs="SimSun"/>
          <w:b/>
          <w:bCs/>
          <w:kern w:val="0"/>
          <w:sz w:val="24"/>
          <w:szCs w:val="24"/>
        </w:rPr>
        <w:t>58</w:t>
      </w:r>
      <w:r w:rsidRPr="003B75A0">
        <w:rPr>
          <w:rFonts w:ascii="Book Antiqua" w:hAnsi="Book Antiqua" w:cs="SimSun"/>
          <w:kern w:val="0"/>
          <w:sz w:val="24"/>
          <w:szCs w:val="24"/>
        </w:rPr>
        <w:t>: 880-884 [PMID: 27608149 DOI: 10.1097/JOM.0000000000000834]</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4 </w:t>
      </w:r>
      <w:r w:rsidRPr="003B75A0">
        <w:rPr>
          <w:rFonts w:ascii="Book Antiqua" w:hAnsi="Book Antiqua" w:cs="SimSun"/>
          <w:b/>
          <w:bCs/>
          <w:kern w:val="0"/>
          <w:sz w:val="24"/>
          <w:szCs w:val="24"/>
        </w:rPr>
        <w:t>Zhang T</w:t>
      </w:r>
      <w:r w:rsidRPr="003B75A0">
        <w:rPr>
          <w:rFonts w:ascii="Book Antiqua" w:hAnsi="Book Antiqua" w:cs="SimSun"/>
          <w:kern w:val="0"/>
          <w:sz w:val="24"/>
          <w:szCs w:val="24"/>
        </w:rPr>
        <w:t>, Cai L, Ma L, Jing J, Chen Y, Ma J. The prevalence of obesity and influence of early life and behavioral factors on obesity in Chinese children in Guangzhou. </w:t>
      </w:r>
      <w:r w:rsidRPr="003B75A0">
        <w:rPr>
          <w:rFonts w:ascii="Book Antiqua" w:hAnsi="Book Antiqua" w:cs="SimSun"/>
          <w:i/>
          <w:iCs/>
          <w:kern w:val="0"/>
          <w:sz w:val="24"/>
          <w:szCs w:val="24"/>
        </w:rPr>
        <w:t>BMC Public Health</w:t>
      </w:r>
      <w:r w:rsidRPr="003B75A0">
        <w:rPr>
          <w:rFonts w:ascii="Book Antiqua" w:hAnsi="Book Antiqua" w:cs="SimSun"/>
          <w:kern w:val="0"/>
          <w:sz w:val="24"/>
          <w:szCs w:val="24"/>
        </w:rPr>
        <w:t> 2016; </w:t>
      </w:r>
      <w:r w:rsidRPr="003B75A0">
        <w:rPr>
          <w:rFonts w:ascii="Book Antiqua" w:hAnsi="Book Antiqua" w:cs="SimSun"/>
          <w:b/>
          <w:bCs/>
          <w:kern w:val="0"/>
          <w:sz w:val="24"/>
          <w:szCs w:val="24"/>
        </w:rPr>
        <w:t>16</w:t>
      </w:r>
      <w:r w:rsidRPr="003B75A0">
        <w:rPr>
          <w:rFonts w:ascii="Book Antiqua" w:hAnsi="Book Antiqua" w:cs="SimSun"/>
          <w:kern w:val="0"/>
          <w:sz w:val="24"/>
          <w:szCs w:val="24"/>
        </w:rPr>
        <w:t>: 954 [PMID: 27613102 DOI: 10.1186/s12889-016-3599-3]</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5 </w:t>
      </w:r>
      <w:r w:rsidRPr="003B75A0">
        <w:rPr>
          <w:rFonts w:ascii="Book Antiqua" w:hAnsi="Book Antiqua" w:cs="SimSun"/>
          <w:b/>
          <w:bCs/>
          <w:kern w:val="0"/>
          <w:sz w:val="24"/>
          <w:szCs w:val="24"/>
        </w:rPr>
        <w:t>Algul S</w:t>
      </w:r>
      <w:r w:rsidRPr="003B75A0">
        <w:rPr>
          <w:rFonts w:ascii="Book Antiqua" w:hAnsi="Book Antiqua" w:cs="SimSun"/>
          <w:kern w:val="0"/>
          <w:sz w:val="24"/>
          <w:szCs w:val="24"/>
        </w:rPr>
        <w:t>, Ozkan Y, Ozcelik O. Serum nesfatin-1 levels in patients with different glucose tolerance levels. </w:t>
      </w:r>
      <w:r w:rsidRPr="003B75A0">
        <w:rPr>
          <w:rFonts w:ascii="Book Antiqua" w:hAnsi="Book Antiqua" w:cs="SimSun"/>
          <w:i/>
          <w:iCs/>
          <w:kern w:val="0"/>
          <w:sz w:val="24"/>
          <w:szCs w:val="24"/>
        </w:rPr>
        <w:t>Physiol Res</w:t>
      </w:r>
      <w:r w:rsidRPr="003B75A0">
        <w:rPr>
          <w:rFonts w:ascii="Book Antiqua" w:hAnsi="Book Antiqua" w:cs="SimSun"/>
          <w:kern w:val="0"/>
          <w:sz w:val="24"/>
          <w:szCs w:val="24"/>
        </w:rPr>
        <w:t> 2016; </w:t>
      </w:r>
      <w:r w:rsidRPr="003B75A0">
        <w:rPr>
          <w:rFonts w:ascii="Book Antiqua" w:hAnsi="Book Antiqua" w:cs="SimSun"/>
          <w:b/>
          <w:bCs/>
          <w:kern w:val="0"/>
          <w:sz w:val="24"/>
          <w:szCs w:val="24"/>
        </w:rPr>
        <w:t>65</w:t>
      </w:r>
      <w:r w:rsidRPr="003B75A0">
        <w:rPr>
          <w:rFonts w:ascii="Book Antiqua" w:hAnsi="Book Antiqua" w:cs="SimSun"/>
          <w:kern w:val="0"/>
          <w:sz w:val="24"/>
          <w:szCs w:val="24"/>
        </w:rPr>
        <w:t>: 979-985 [PMID: 27539099]</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6 </w:t>
      </w:r>
      <w:r w:rsidRPr="003B75A0">
        <w:rPr>
          <w:rFonts w:ascii="Book Antiqua" w:hAnsi="Book Antiqua" w:cs="SimSun"/>
          <w:b/>
          <w:bCs/>
          <w:kern w:val="0"/>
          <w:sz w:val="24"/>
          <w:szCs w:val="24"/>
        </w:rPr>
        <w:t>Gulcicek OB</w:t>
      </w:r>
      <w:r w:rsidRPr="003B75A0">
        <w:rPr>
          <w:rFonts w:ascii="Book Antiqua" w:hAnsi="Book Antiqua" w:cs="SimSun"/>
          <w:kern w:val="0"/>
          <w:sz w:val="24"/>
          <w:szCs w:val="24"/>
        </w:rPr>
        <w:t>, Solmaz A, Yi</w:t>
      </w:r>
      <w:r w:rsidRPr="003B75A0">
        <w:rPr>
          <w:rFonts w:ascii="Book Antiqua" w:eastAsia="MS Mincho" w:hAnsi="Book Antiqua" w:cs="MS Mincho"/>
          <w:kern w:val="0"/>
          <w:sz w:val="24"/>
          <w:szCs w:val="24"/>
        </w:rPr>
        <w:t>ğ</w:t>
      </w:r>
      <w:r w:rsidRPr="003B75A0">
        <w:rPr>
          <w:rFonts w:ascii="Book Antiqua" w:hAnsi="Book Antiqua" w:cs="SimSun"/>
          <w:kern w:val="0"/>
          <w:sz w:val="24"/>
          <w:szCs w:val="24"/>
        </w:rPr>
        <w:t>itba</w:t>
      </w:r>
      <w:r w:rsidRPr="003B75A0">
        <w:rPr>
          <w:rFonts w:ascii="Book Antiqua" w:eastAsia="MS Mincho" w:hAnsi="Book Antiqua" w:cs="MS Mincho"/>
          <w:kern w:val="0"/>
          <w:sz w:val="24"/>
          <w:szCs w:val="24"/>
        </w:rPr>
        <w:t>ş</w:t>
      </w:r>
      <w:r w:rsidRPr="003B75A0">
        <w:rPr>
          <w:rFonts w:ascii="Book Antiqua" w:hAnsi="Book Antiqua" w:cs="SimSun"/>
          <w:kern w:val="0"/>
          <w:sz w:val="24"/>
          <w:szCs w:val="24"/>
        </w:rPr>
        <w:t xml:space="preserve"> H, Ercetin C, Yavuz E, Ozdogan K, Arici S, Akkalp AK, Sarac T, Çelebi F, Celik A. Comparison of the Effects of Glutamine, Curcumin, and Nesfatin-1 on the Gastric Serosal Surface Neomucosa Formation: An Experimental Rodent Model. </w:t>
      </w:r>
      <w:r w:rsidRPr="003B75A0">
        <w:rPr>
          <w:rFonts w:ascii="Book Antiqua" w:hAnsi="Book Antiqua" w:cs="SimSun"/>
          <w:i/>
          <w:iCs/>
          <w:kern w:val="0"/>
          <w:sz w:val="24"/>
          <w:szCs w:val="24"/>
        </w:rPr>
        <w:t>Gastroenterol Res Pract</w:t>
      </w:r>
      <w:r w:rsidRPr="003B75A0">
        <w:rPr>
          <w:rFonts w:ascii="Book Antiqua" w:hAnsi="Book Antiqua" w:cs="SimSun"/>
          <w:kern w:val="0"/>
          <w:sz w:val="24"/>
          <w:szCs w:val="24"/>
        </w:rPr>
        <w:t> 2016; </w:t>
      </w:r>
      <w:r w:rsidRPr="003B75A0">
        <w:rPr>
          <w:rFonts w:ascii="Book Antiqua" w:hAnsi="Book Antiqua" w:cs="SimSun"/>
          <w:b/>
          <w:bCs/>
          <w:kern w:val="0"/>
          <w:sz w:val="24"/>
          <w:szCs w:val="24"/>
        </w:rPr>
        <w:t>2016</w:t>
      </w:r>
      <w:r w:rsidRPr="003B75A0">
        <w:rPr>
          <w:rFonts w:ascii="Book Antiqua" w:hAnsi="Book Antiqua" w:cs="SimSun"/>
          <w:kern w:val="0"/>
          <w:sz w:val="24"/>
          <w:szCs w:val="24"/>
        </w:rPr>
        <w:t>: 2081962 [PMID: 27525002 DOI: 10.1155/2016/2081962]</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7 </w:t>
      </w:r>
      <w:r w:rsidRPr="003B75A0">
        <w:rPr>
          <w:rFonts w:ascii="Book Antiqua" w:hAnsi="Book Antiqua" w:cs="SimSun"/>
          <w:b/>
          <w:bCs/>
          <w:kern w:val="0"/>
          <w:sz w:val="24"/>
          <w:szCs w:val="24"/>
        </w:rPr>
        <w:t>Prinz P</w:t>
      </w:r>
      <w:r w:rsidRPr="003B75A0">
        <w:rPr>
          <w:rFonts w:ascii="Book Antiqua" w:hAnsi="Book Antiqua" w:cs="SimSun"/>
          <w:kern w:val="0"/>
          <w:sz w:val="24"/>
          <w:szCs w:val="24"/>
        </w:rPr>
        <w:t>, Stengel A. Expression and regulation of peripheral NUCB2/nesfatin-1. </w:t>
      </w:r>
      <w:r w:rsidRPr="003B75A0">
        <w:rPr>
          <w:rFonts w:ascii="Book Antiqua" w:hAnsi="Book Antiqua" w:cs="SimSun"/>
          <w:i/>
          <w:iCs/>
          <w:kern w:val="0"/>
          <w:sz w:val="24"/>
          <w:szCs w:val="24"/>
        </w:rPr>
        <w:t>Curr Opin Pharmacol</w:t>
      </w:r>
      <w:r w:rsidRPr="003B75A0">
        <w:rPr>
          <w:rFonts w:ascii="Book Antiqua" w:hAnsi="Book Antiqua" w:cs="SimSun"/>
          <w:kern w:val="0"/>
          <w:sz w:val="24"/>
          <w:szCs w:val="24"/>
        </w:rPr>
        <w:t> 2016; </w:t>
      </w:r>
      <w:r w:rsidRPr="003B75A0">
        <w:rPr>
          <w:rFonts w:ascii="Book Antiqua" w:hAnsi="Book Antiqua" w:cs="SimSun"/>
          <w:b/>
          <w:bCs/>
          <w:kern w:val="0"/>
          <w:sz w:val="24"/>
          <w:szCs w:val="24"/>
        </w:rPr>
        <w:t>31</w:t>
      </w:r>
      <w:r w:rsidRPr="003B75A0">
        <w:rPr>
          <w:rFonts w:ascii="Book Antiqua" w:hAnsi="Book Antiqua" w:cs="SimSun"/>
          <w:kern w:val="0"/>
          <w:sz w:val="24"/>
          <w:szCs w:val="24"/>
        </w:rPr>
        <w:t>: 25-30 [PMID: 27589697 DOI: 10.1016/j.coph.2016.08.012]</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lastRenderedPageBreak/>
        <w:t>8 </w:t>
      </w:r>
      <w:r w:rsidRPr="003B75A0">
        <w:rPr>
          <w:rFonts w:ascii="Book Antiqua" w:hAnsi="Book Antiqua" w:cs="SimSun"/>
          <w:b/>
          <w:bCs/>
          <w:kern w:val="0"/>
          <w:sz w:val="24"/>
          <w:szCs w:val="24"/>
        </w:rPr>
        <w:t>Prinz P</w:t>
      </w:r>
      <w:r w:rsidRPr="003B75A0">
        <w:rPr>
          <w:rFonts w:ascii="Book Antiqua" w:hAnsi="Book Antiqua" w:cs="SimSun"/>
          <w:kern w:val="0"/>
          <w:sz w:val="24"/>
          <w:szCs w:val="24"/>
        </w:rPr>
        <w:t>, Stengel A. Nesfatin-1: current status as a peripheral hormone and future prospects. </w:t>
      </w:r>
      <w:r w:rsidRPr="003B75A0">
        <w:rPr>
          <w:rFonts w:ascii="Book Antiqua" w:hAnsi="Book Antiqua" w:cs="SimSun"/>
          <w:i/>
          <w:iCs/>
          <w:kern w:val="0"/>
          <w:sz w:val="24"/>
          <w:szCs w:val="24"/>
        </w:rPr>
        <w:t>Curr Opin Pharmacol</w:t>
      </w:r>
      <w:r w:rsidRPr="003B75A0">
        <w:rPr>
          <w:rFonts w:ascii="Book Antiqua" w:hAnsi="Book Antiqua" w:cs="SimSun"/>
          <w:kern w:val="0"/>
          <w:sz w:val="24"/>
          <w:szCs w:val="24"/>
        </w:rPr>
        <w:t> 2016; </w:t>
      </w:r>
      <w:r w:rsidRPr="003B75A0">
        <w:rPr>
          <w:rFonts w:ascii="Book Antiqua" w:hAnsi="Book Antiqua" w:cs="SimSun"/>
          <w:b/>
          <w:bCs/>
          <w:kern w:val="0"/>
          <w:sz w:val="24"/>
          <w:szCs w:val="24"/>
        </w:rPr>
        <w:t>31</w:t>
      </w:r>
      <w:r w:rsidRPr="003B75A0">
        <w:rPr>
          <w:rFonts w:ascii="Book Antiqua" w:hAnsi="Book Antiqua" w:cs="SimSun"/>
          <w:kern w:val="0"/>
          <w:sz w:val="24"/>
          <w:szCs w:val="24"/>
        </w:rPr>
        <w:t>: 19-24 [PMID: 27589696 DOI: 10.1016/j.coph.2016.08.011]</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9 </w:t>
      </w:r>
      <w:r w:rsidRPr="003B75A0">
        <w:rPr>
          <w:rFonts w:ascii="Book Antiqua" w:hAnsi="Book Antiqua" w:cs="SimSun"/>
          <w:b/>
          <w:bCs/>
          <w:kern w:val="0"/>
          <w:sz w:val="24"/>
          <w:szCs w:val="24"/>
        </w:rPr>
        <w:t>Xiao C</w:t>
      </w:r>
      <w:r w:rsidRPr="003B75A0">
        <w:rPr>
          <w:rFonts w:ascii="Book Antiqua" w:hAnsi="Book Antiqua" w:cs="SimSun"/>
          <w:kern w:val="0"/>
          <w:sz w:val="24"/>
          <w:szCs w:val="24"/>
        </w:rPr>
        <w:t>, Liu J, Tang Y, Chen J, Wu X, Bi F, Zhang J. Expression, purification, and characterization of mouse nesfatin-1 in Escherichia coli. </w:t>
      </w:r>
      <w:r w:rsidRPr="003B75A0">
        <w:rPr>
          <w:rFonts w:ascii="Book Antiqua" w:hAnsi="Book Antiqua" w:cs="SimSun"/>
          <w:i/>
          <w:iCs/>
          <w:kern w:val="0"/>
          <w:sz w:val="24"/>
          <w:szCs w:val="24"/>
        </w:rPr>
        <w:t>Biotechnol Appl Biochem</w:t>
      </w:r>
      <w:r w:rsidRPr="003B75A0">
        <w:rPr>
          <w:rFonts w:ascii="Book Antiqua" w:hAnsi="Book Antiqua" w:cs="SimSun"/>
          <w:kern w:val="0"/>
          <w:sz w:val="24"/>
          <w:szCs w:val="24"/>
        </w:rPr>
        <w:t> 2017; </w:t>
      </w:r>
      <w:r w:rsidRPr="003B75A0">
        <w:rPr>
          <w:rFonts w:ascii="Book Antiqua" w:hAnsi="Book Antiqua" w:cs="SimSun"/>
          <w:b/>
          <w:bCs/>
          <w:kern w:val="0"/>
          <w:sz w:val="24"/>
          <w:szCs w:val="24"/>
        </w:rPr>
        <w:t>64</w:t>
      </w:r>
      <w:r w:rsidRPr="003B75A0">
        <w:rPr>
          <w:rFonts w:ascii="Book Antiqua" w:hAnsi="Book Antiqua" w:cs="SimSun"/>
          <w:kern w:val="0"/>
          <w:sz w:val="24"/>
          <w:szCs w:val="24"/>
        </w:rPr>
        <w:t>: 43-49 [PMID: 26592736 DOI: 10.1002/bab.1458]</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10 </w:t>
      </w:r>
      <w:r w:rsidRPr="003B75A0">
        <w:rPr>
          <w:rFonts w:ascii="Book Antiqua" w:hAnsi="Book Antiqua" w:cs="SimSun"/>
          <w:b/>
          <w:bCs/>
          <w:kern w:val="0"/>
          <w:sz w:val="24"/>
          <w:szCs w:val="24"/>
        </w:rPr>
        <w:t>Blanco AM</w:t>
      </w:r>
      <w:r w:rsidRPr="003B75A0">
        <w:rPr>
          <w:rFonts w:ascii="Book Antiqua" w:hAnsi="Book Antiqua" w:cs="SimSun"/>
          <w:kern w:val="0"/>
          <w:sz w:val="24"/>
          <w:szCs w:val="24"/>
        </w:rPr>
        <w:t>, Bertucci JI, Delgado MJ, Valenciano AI, Unniappan S. Tissue-specific expression of ghrelinergic and NUCB2/nesfatin-1 systems in goldfish (Carassius auratus) is modulated by macronutrient composition of diets. </w:t>
      </w:r>
      <w:r w:rsidRPr="003B75A0">
        <w:rPr>
          <w:rFonts w:ascii="Book Antiqua" w:hAnsi="Book Antiqua" w:cs="SimSun"/>
          <w:i/>
          <w:iCs/>
          <w:kern w:val="0"/>
          <w:sz w:val="24"/>
          <w:szCs w:val="24"/>
        </w:rPr>
        <w:t>Comp Biochem Physiol A Mol Integr Physiol</w:t>
      </w:r>
      <w:r w:rsidRPr="003B75A0">
        <w:rPr>
          <w:rFonts w:ascii="Book Antiqua" w:hAnsi="Book Antiqua" w:cs="SimSun"/>
          <w:kern w:val="0"/>
          <w:sz w:val="24"/>
          <w:szCs w:val="24"/>
        </w:rPr>
        <w:t> 2016; </w:t>
      </w:r>
      <w:r w:rsidRPr="003B75A0">
        <w:rPr>
          <w:rFonts w:ascii="Book Antiqua" w:hAnsi="Book Antiqua" w:cs="SimSun"/>
          <w:b/>
          <w:bCs/>
          <w:kern w:val="0"/>
          <w:sz w:val="24"/>
          <w:szCs w:val="24"/>
        </w:rPr>
        <w:t>195</w:t>
      </w:r>
      <w:r w:rsidRPr="003B75A0">
        <w:rPr>
          <w:rFonts w:ascii="Book Antiqua" w:hAnsi="Book Antiqua" w:cs="SimSun"/>
          <w:kern w:val="0"/>
          <w:sz w:val="24"/>
          <w:szCs w:val="24"/>
        </w:rPr>
        <w:t>: 1-9 [PMID: 26805937 DOI: 10.1016/j.cbpa.2016.01.016]</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11 </w:t>
      </w:r>
      <w:r w:rsidRPr="003B75A0">
        <w:rPr>
          <w:rFonts w:ascii="Book Antiqua" w:hAnsi="Book Antiqua" w:cs="SimSun"/>
          <w:b/>
          <w:bCs/>
          <w:kern w:val="0"/>
          <w:sz w:val="24"/>
          <w:szCs w:val="24"/>
        </w:rPr>
        <w:t>Burgos JR</w:t>
      </w:r>
      <w:r w:rsidRPr="003B75A0">
        <w:rPr>
          <w:rFonts w:ascii="Book Antiqua" w:hAnsi="Book Antiqua" w:cs="SimSun"/>
          <w:kern w:val="0"/>
          <w:sz w:val="24"/>
          <w:szCs w:val="24"/>
        </w:rPr>
        <w:t>, Iresjö BM, Smedh U. MCG101-induced cancer anorexia-cachexia features altered expression of hypothalamic Nucb2 and Cartpt and increased plasma levels of cocaine- and amphetamine-regulated transcript peptides. </w:t>
      </w:r>
      <w:r w:rsidRPr="003B75A0">
        <w:rPr>
          <w:rFonts w:ascii="Book Antiqua" w:hAnsi="Book Antiqua" w:cs="SimSun"/>
          <w:i/>
          <w:iCs/>
          <w:kern w:val="0"/>
          <w:sz w:val="24"/>
          <w:szCs w:val="24"/>
        </w:rPr>
        <w:t>Oncol Rep</w:t>
      </w:r>
      <w:r w:rsidRPr="003B75A0">
        <w:rPr>
          <w:rFonts w:ascii="Book Antiqua" w:hAnsi="Book Antiqua" w:cs="SimSun"/>
          <w:kern w:val="0"/>
          <w:sz w:val="24"/>
          <w:szCs w:val="24"/>
        </w:rPr>
        <w:t> 2016; </w:t>
      </w:r>
      <w:r w:rsidRPr="003B75A0">
        <w:rPr>
          <w:rFonts w:ascii="Book Antiqua" w:hAnsi="Book Antiqua" w:cs="SimSun"/>
          <w:b/>
          <w:bCs/>
          <w:kern w:val="0"/>
          <w:sz w:val="24"/>
          <w:szCs w:val="24"/>
        </w:rPr>
        <w:t>35</w:t>
      </w:r>
      <w:r w:rsidRPr="003B75A0">
        <w:rPr>
          <w:rFonts w:ascii="Book Antiqua" w:hAnsi="Book Antiqua" w:cs="SimSun"/>
          <w:kern w:val="0"/>
          <w:sz w:val="24"/>
          <w:szCs w:val="24"/>
        </w:rPr>
        <w:t>: 2425-2430 [PMID: 26780979 DOI: 10.3892/or.2016.4558]</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12 </w:t>
      </w:r>
      <w:r w:rsidRPr="003B75A0">
        <w:rPr>
          <w:rFonts w:ascii="Book Antiqua" w:hAnsi="Book Antiqua" w:cs="SimSun"/>
          <w:b/>
          <w:bCs/>
          <w:kern w:val="0"/>
          <w:sz w:val="24"/>
          <w:szCs w:val="24"/>
        </w:rPr>
        <w:t>Cao X</w:t>
      </w:r>
      <w:r w:rsidRPr="003B75A0">
        <w:rPr>
          <w:rFonts w:ascii="Book Antiqua" w:hAnsi="Book Antiqua" w:cs="SimSun"/>
          <w:kern w:val="0"/>
          <w:sz w:val="24"/>
          <w:szCs w:val="24"/>
        </w:rPr>
        <w:t>, Zhou X, Cao Y, Liu XM, Zhou LH. Expression of NUCB2/nesfatin-1 in the taste buds of rats. </w:t>
      </w:r>
      <w:r w:rsidRPr="003B75A0">
        <w:rPr>
          <w:rFonts w:ascii="Book Antiqua" w:hAnsi="Book Antiqua" w:cs="SimSun"/>
          <w:i/>
          <w:iCs/>
          <w:kern w:val="0"/>
          <w:sz w:val="24"/>
          <w:szCs w:val="24"/>
        </w:rPr>
        <w:t>Endocr J</w:t>
      </w:r>
      <w:r w:rsidRPr="003B75A0">
        <w:rPr>
          <w:rFonts w:ascii="Book Antiqua" w:hAnsi="Book Antiqua" w:cs="SimSun"/>
          <w:kern w:val="0"/>
          <w:sz w:val="24"/>
          <w:szCs w:val="24"/>
        </w:rPr>
        <w:t> 2016; </w:t>
      </w:r>
      <w:r w:rsidRPr="003B75A0">
        <w:rPr>
          <w:rFonts w:ascii="Book Antiqua" w:hAnsi="Book Antiqua" w:cs="SimSun"/>
          <w:b/>
          <w:bCs/>
          <w:kern w:val="0"/>
          <w:sz w:val="24"/>
          <w:szCs w:val="24"/>
        </w:rPr>
        <w:t>63</w:t>
      </w:r>
      <w:r w:rsidRPr="003B75A0">
        <w:rPr>
          <w:rFonts w:ascii="Book Antiqua" w:hAnsi="Book Antiqua" w:cs="SimSun"/>
          <w:kern w:val="0"/>
          <w:sz w:val="24"/>
          <w:szCs w:val="24"/>
        </w:rPr>
        <w:t>: 37-45 [PMID: 26522144 DOI: 10.1507/endocrj.EJ15-0489]</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13 </w:t>
      </w:r>
      <w:r w:rsidRPr="003B75A0">
        <w:rPr>
          <w:rFonts w:ascii="Book Antiqua" w:hAnsi="Book Antiqua" w:cs="SimSun"/>
          <w:b/>
          <w:bCs/>
          <w:kern w:val="0"/>
          <w:sz w:val="24"/>
          <w:szCs w:val="24"/>
        </w:rPr>
        <w:t>Jiang S</w:t>
      </w:r>
      <w:r w:rsidRPr="003B75A0">
        <w:rPr>
          <w:rFonts w:ascii="Book Antiqua" w:hAnsi="Book Antiqua" w:cs="SimSun"/>
          <w:kern w:val="0"/>
          <w:sz w:val="24"/>
          <w:szCs w:val="24"/>
        </w:rPr>
        <w:t>, Zhou W, Zhang X, Wang D, Zhu H, Hong M, Gong Y, Ye J, Fang F. Developmental expression and distribution of nesfatin-1/NUCB2 in the canine digestive system. </w:t>
      </w:r>
      <w:r w:rsidRPr="003B75A0">
        <w:rPr>
          <w:rFonts w:ascii="Book Antiqua" w:hAnsi="Book Antiqua" w:cs="SimSun"/>
          <w:i/>
          <w:iCs/>
          <w:kern w:val="0"/>
          <w:sz w:val="24"/>
          <w:szCs w:val="24"/>
        </w:rPr>
        <w:t>Acta Histochem</w:t>
      </w:r>
      <w:r w:rsidRPr="003B75A0">
        <w:rPr>
          <w:rFonts w:ascii="Book Antiqua" w:hAnsi="Book Antiqua" w:cs="SimSun"/>
          <w:kern w:val="0"/>
          <w:sz w:val="24"/>
          <w:szCs w:val="24"/>
        </w:rPr>
        <w:t> 2016; </w:t>
      </w:r>
      <w:r w:rsidRPr="003B75A0">
        <w:rPr>
          <w:rFonts w:ascii="Book Antiqua" w:hAnsi="Book Antiqua" w:cs="SimSun"/>
          <w:b/>
          <w:bCs/>
          <w:kern w:val="0"/>
          <w:sz w:val="24"/>
          <w:szCs w:val="24"/>
        </w:rPr>
        <w:t>118</w:t>
      </w:r>
      <w:r w:rsidRPr="003B75A0">
        <w:rPr>
          <w:rFonts w:ascii="Book Antiqua" w:hAnsi="Book Antiqua" w:cs="SimSun"/>
          <w:kern w:val="0"/>
          <w:sz w:val="24"/>
          <w:szCs w:val="24"/>
        </w:rPr>
        <w:t>: 90-96 [PMID: 26643216 DOI: 10.1016/j.acthis.2015.11.010]</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14 </w:t>
      </w:r>
      <w:r w:rsidRPr="003B75A0">
        <w:rPr>
          <w:rFonts w:ascii="Book Antiqua" w:hAnsi="Book Antiqua" w:cs="SimSun"/>
          <w:b/>
          <w:bCs/>
          <w:kern w:val="0"/>
          <w:sz w:val="24"/>
          <w:szCs w:val="24"/>
        </w:rPr>
        <w:t>Chen X</w:t>
      </w:r>
      <w:r w:rsidRPr="003B75A0">
        <w:rPr>
          <w:rFonts w:ascii="Book Antiqua" w:hAnsi="Book Antiqua" w:cs="SimSun"/>
          <w:kern w:val="0"/>
          <w:sz w:val="24"/>
          <w:szCs w:val="24"/>
        </w:rPr>
        <w:t>, Shu X, Cong ZK, Jiang ZY, Jiang H. Nesfatin-1 acts on the dopaminergic reward pathway to inhibit food intake. </w:t>
      </w:r>
      <w:r w:rsidRPr="003B75A0">
        <w:rPr>
          <w:rFonts w:ascii="Book Antiqua" w:hAnsi="Book Antiqua" w:cs="SimSun"/>
          <w:i/>
          <w:iCs/>
          <w:kern w:val="0"/>
          <w:sz w:val="24"/>
          <w:szCs w:val="24"/>
        </w:rPr>
        <w:t>Neuropeptides</w:t>
      </w:r>
      <w:r w:rsidRPr="003B75A0">
        <w:rPr>
          <w:rFonts w:ascii="Book Antiqua" w:hAnsi="Book Antiqua" w:cs="SimSun"/>
          <w:kern w:val="0"/>
          <w:sz w:val="24"/>
          <w:szCs w:val="24"/>
        </w:rPr>
        <w:t> 2015; </w:t>
      </w:r>
      <w:r w:rsidRPr="003B75A0">
        <w:rPr>
          <w:rFonts w:ascii="Book Antiqua" w:hAnsi="Book Antiqua" w:cs="SimSun"/>
          <w:b/>
          <w:bCs/>
          <w:kern w:val="0"/>
          <w:sz w:val="24"/>
          <w:szCs w:val="24"/>
        </w:rPr>
        <w:t>53</w:t>
      </w:r>
      <w:r w:rsidRPr="003B75A0">
        <w:rPr>
          <w:rFonts w:ascii="Book Antiqua" w:hAnsi="Book Antiqua" w:cs="SimSun"/>
          <w:kern w:val="0"/>
          <w:sz w:val="24"/>
          <w:szCs w:val="24"/>
        </w:rPr>
        <w:t>: 45-50 [PMID: 26299312 DOI: 10.1016/j.npep.2015.07.004]</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15 </w:t>
      </w:r>
      <w:r w:rsidRPr="003B75A0">
        <w:rPr>
          <w:rFonts w:ascii="Book Antiqua" w:hAnsi="Book Antiqua" w:cs="SimSun"/>
          <w:b/>
          <w:bCs/>
          <w:kern w:val="0"/>
          <w:sz w:val="24"/>
          <w:szCs w:val="24"/>
        </w:rPr>
        <w:t>Ozturk CC</w:t>
      </w:r>
      <w:r w:rsidRPr="003B75A0">
        <w:rPr>
          <w:rFonts w:ascii="Book Antiqua" w:hAnsi="Book Antiqua" w:cs="SimSun"/>
          <w:kern w:val="0"/>
          <w:sz w:val="24"/>
          <w:szCs w:val="24"/>
        </w:rPr>
        <w:t>, Oktay S, Yuksel M, Akakin D, Yarat A, Kasimay Cakir O. Anti-inflammatory effects of nesfatin-1 in rats with acetic acid - induced colitis and underlying mechanisms. </w:t>
      </w:r>
      <w:r w:rsidRPr="003B75A0">
        <w:rPr>
          <w:rFonts w:ascii="Book Antiqua" w:hAnsi="Book Antiqua" w:cs="SimSun"/>
          <w:i/>
          <w:iCs/>
          <w:kern w:val="0"/>
          <w:sz w:val="24"/>
          <w:szCs w:val="24"/>
        </w:rPr>
        <w:t>J Physiol Pharmacol</w:t>
      </w:r>
      <w:r w:rsidRPr="003B75A0">
        <w:rPr>
          <w:rFonts w:ascii="Book Antiqua" w:hAnsi="Book Antiqua" w:cs="SimSun"/>
          <w:kern w:val="0"/>
          <w:sz w:val="24"/>
          <w:szCs w:val="24"/>
        </w:rPr>
        <w:t> 2015; </w:t>
      </w:r>
      <w:r w:rsidRPr="003B75A0">
        <w:rPr>
          <w:rFonts w:ascii="Book Antiqua" w:hAnsi="Book Antiqua" w:cs="SimSun"/>
          <w:b/>
          <w:bCs/>
          <w:kern w:val="0"/>
          <w:sz w:val="24"/>
          <w:szCs w:val="24"/>
        </w:rPr>
        <w:t>66</w:t>
      </w:r>
      <w:r w:rsidRPr="003B75A0">
        <w:rPr>
          <w:rFonts w:ascii="Book Antiqua" w:hAnsi="Book Antiqua" w:cs="SimSun"/>
          <w:kern w:val="0"/>
          <w:sz w:val="24"/>
          <w:szCs w:val="24"/>
        </w:rPr>
        <w:t>: 741-750 [PMID: 26579580]</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lastRenderedPageBreak/>
        <w:t>16 </w:t>
      </w:r>
      <w:r w:rsidRPr="003B75A0">
        <w:rPr>
          <w:rFonts w:ascii="Book Antiqua" w:hAnsi="Book Antiqua" w:cs="SimSun"/>
          <w:b/>
          <w:bCs/>
          <w:kern w:val="0"/>
          <w:sz w:val="24"/>
          <w:szCs w:val="24"/>
        </w:rPr>
        <w:t>Watanabe A</w:t>
      </w:r>
      <w:r w:rsidRPr="003B75A0">
        <w:rPr>
          <w:rFonts w:ascii="Book Antiqua" w:hAnsi="Book Antiqua" w:cs="SimSun"/>
          <w:kern w:val="0"/>
          <w:sz w:val="24"/>
          <w:szCs w:val="24"/>
        </w:rPr>
        <w:t>, Mochiki E, Kimura A, Kogure N, Yanai M, Ogawa A, Toyomasu Y, Ogata K, Ohno T, Suzuki H, Kuwano H. Nesfatin-1 suppresses gastric contractions and inhibits interdigestive migrating contractions in conscious dogs. </w:t>
      </w:r>
      <w:r w:rsidRPr="003B75A0">
        <w:rPr>
          <w:rFonts w:ascii="Book Antiqua" w:hAnsi="Book Antiqua" w:cs="SimSun"/>
          <w:i/>
          <w:iCs/>
          <w:kern w:val="0"/>
          <w:sz w:val="24"/>
          <w:szCs w:val="24"/>
        </w:rPr>
        <w:t>Dig Dis Sci</w:t>
      </w:r>
      <w:r w:rsidRPr="003B75A0">
        <w:rPr>
          <w:rFonts w:ascii="Book Antiqua" w:hAnsi="Book Antiqua" w:cs="SimSun"/>
          <w:kern w:val="0"/>
          <w:sz w:val="24"/>
          <w:szCs w:val="24"/>
        </w:rPr>
        <w:t> 2015; </w:t>
      </w:r>
      <w:r w:rsidRPr="003B75A0">
        <w:rPr>
          <w:rFonts w:ascii="Book Antiqua" w:hAnsi="Book Antiqua" w:cs="SimSun"/>
          <w:b/>
          <w:bCs/>
          <w:kern w:val="0"/>
          <w:sz w:val="24"/>
          <w:szCs w:val="24"/>
        </w:rPr>
        <w:t>60</w:t>
      </w:r>
      <w:r w:rsidRPr="003B75A0">
        <w:rPr>
          <w:rFonts w:ascii="Book Antiqua" w:hAnsi="Book Antiqua" w:cs="SimSun"/>
          <w:kern w:val="0"/>
          <w:sz w:val="24"/>
          <w:szCs w:val="24"/>
        </w:rPr>
        <w:t>: 1595-1602 [PMID: 25563722 DOI: 10.1007/s10620-014-3505-8]</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17 </w:t>
      </w:r>
      <w:r w:rsidRPr="003B75A0">
        <w:rPr>
          <w:rFonts w:ascii="Book Antiqua" w:hAnsi="Book Antiqua" w:cs="SimSun"/>
          <w:b/>
          <w:bCs/>
          <w:kern w:val="0"/>
          <w:sz w:val="24"/>
          <w:szCs w:val="24"/>
        </w:rPr>
        <w:t>Jia FY</w:t>
      </w:r>
      <w:r w:rsidRPr="003B75A0">
        <w:rPr>
          <w:rFonts w:ascii="Book Antiqua" w:hAnsi="Book Antiqua" w:cs="SimSun"/>
          <w:kern w:val="0"/>
          <w:sz w:val="24"/>
          <w:szCs w:val="24"/>
        </w:rPr>
        <w:t>, Li XL, Li TN, Wu J, Xie BY, Lin L. Role of nesfatin-1 in a rat model of visceral hypersensitivity. </w:t>
      </w:r>
      <w:r w:rsidRPr="003B75A0">
        <w:rPr>
          <w:rFonts w:ascii="Book Antiqua" w:hAnsi="Book Antiqua" w:cs="SimSun"/>
          <w:i/>
          <w:iCs/>
          <w:kern w:val="0"/>
          <w:sz w:val="24"/>
          <w:szCs w:val="24"/>
        </w:rPr>
        <w:t>World J Gastroenterol</w:t>
      </w:r>
      <w:r w:rsidRPr="003B75A0">
        <w:rPr>
          <w:rFonts w:ascii="Book Antiqua" w:hAnsi="Book Antiqua" w:cs="SimSun"/>
          <w:kern w:val="0"/>
          <w:sz w:val="24"/>
          <w:szCs w:val="24"/>
        </w:rPr>
        <w:t> 2013; </w:t>
      </w:r>
      <w:r w:rsidRPr="003B75A0">
        <w:rPr>
          <w:rFonts w:ascii="Book Antiqua" w:hAnsi="Book Antiqua" w:cs="SimSun"/>
          <w:b/>
          <w:bCs/>
          <w:kern w:val="0"/>
          <w:sz w:val="24"/>
          <w:szCs w:val="24"/>
        </w:rPr>
        <w:t>19</w:t>
      </w:r>
      <w:r w:rsidRPr="003B75A0">
        <w:rPr>
          <w:rFonts w:ascii="Book Antiqua" w:hAnsi="Book Antiqua" w:cs="SimSun"/>
          <w:kern w:val="0"/>
          <w:sz w:val="24"/>
          <w:szCs w:val="24"/>
        </w:rPr>
        <w:t>: 3487-3493 [PMID: 23801843 DOI: 10.3748/wjg.v19.i22.3487]</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18 </w:t>
      </w:r>
      <w:r w:rsidRPr="003B75A0">
        <w:rPr>
          <w:rFonts w:ascii="Book Antiqua" w:hAnsi="Book Antiqua" w:cs="SimSun"/>
          <w:b/>
          <w:bCs/>
          <w:kern w:val="0"/>
          <w:sz w:val="24"/>
          <w:szCs w:val="24"/>
        </w:rPr>
        <w:t>Mohan H</w:t>
      </w:r>
      <w:r w:rsidRPr="003B75A0">
        <w:rPr>
          <w:rFonts w:ascii="Book Antiqua" w:hAnsi="Book Antiqua" w:cs="SimSun"/>
          <w:kern w:val="0"/>
          <w:sz w:val="24"/>
          <w:szCs w:val="24"/>
        </w:rPr>
        <w:t>, Unniappan S. Phylogenetic aspects of nucleobindin-2/nesfatin-1. </w:t>
      </w:r>
      <w:r w:rsidRPr="003B75A0">
        <w:rPr>
          <w:rFonts w:ascii="Book Antiqua" w:hAnsi="Book Antiqua" w:cs="SimSun"/>
          <w:i/>
          <w:iCs/>
          <w:kern w:val="0"/>
          <w:sz w:val="24"/>
          <w:szCs w:val="24"/>
        </w:rPr>
        <w:t>Curr Pharm Des</w:t>
      </w:r>
      <w:r w:rsidRPr="003B75A0">
        <w:rPr>
          <w:rFonts w:ascii="Book Antiqua" w:hAnsi="Book Antiqua" w:cs="SimSun"/>
          <w:kern w:val="0"/>
          <w:sz w:val="24"/>
          <w:szCs w:val="24"/>
        </w:rPr>
        <w:t> 2013; </w:t>
      </w:r>
      <w:r w:rsidRPr="003B75A0">
        <w:rPr>
          <w:rFonts w:ascii="Book Antiqua" w:hAnsi="Book Antiqua" w:cs="SimSun"/>
          <w:b/>
          <w:bCs/>
          <w:kern w:val="0"/>
          <w:sz w:val="24"/>
          <w:szCs w:val="24"/>
        </w:rPr>
        <w:t>19</w:t>
      </w:r>
      <w:r w:rsidRPr="003B75A0">
        <w:rPr>
          <w:rFonts w:ascii="Book Antiqua" w:hAnsi="Book Antiqua" w:cs="SimSun"/>
          <w:kern w:val="0"/>
          <w:sz w:val="24"/>
          <w:szCs w:val="24"/>
        </w:rPr>
        <w:t>: 6929-6934 [PMID: 23537083]</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19 </w:t>
      </w:r>
      <w:r w:rsidRPr="003B75A0">
        <w:rPr>
          <w:rFonts w:ascii="Book Antiqua" w:hAnsi="Book Antiqua" w:cs="SimSun"/>
          <w:b/>
          <w:bCs/>
          <w:kern w:val="0"/>
          <w:sz w:val="24"/>
          <w:szCs w:val="24"/>
        </w:rPr>
        <w:t>Tian ZB</w:t>
      </w:r>
      <w:r w:rsidRPr="003B75A0">
        <w:rPr>
          <w:rFonts w:ascii="Book Antiqua" w:hAnsi="Book Antiqua" w:cs="SimSun"/>
          <w:kern w:val="0"/>
          <w:sz w:val="24"/>
          <w:szCs w:val="24"/>
        </w:rPr>
        <w:t>, Deng RJ, Sun GR, Wei LZ, Kong XJ, Ding XL, Jing X, Zhang CP, Ge YL. Expression of gastrointestinal nesfatin-1 and gastric emptying in ventromedial hypothalamic nucleus- and ventrolateral hypothalamic nucleus-lesioned rats. </w:t>
      </w:r>
      <w:r w:rsidRPr="003B75A0">
        <w:rPr>
          <w:rFonts w:ascii="Book Antiqua" w:hAnsi="Book Antiqua" w:cs="SimSun"/>
          <w:i/>
          <w:iCs/>
          <w:kern w:val="0"/>
          <w:sz w:val="24"/>
          <w:szCs w:val="24"/>
        </w:rPr>
        <w:t>World J Gastroenterol</w:t>
      </w:r>
      <w:r w:rsidRPr="003B75A0">
        <w:rPr>
          <w:rFonts w:ascii="Book Antiqua" w:hAnsi="Book Antiqua" w:cs="SimSun"/>
          <w:kern w:val="0"/>
          <w:sz w:val="24"/>
          <w:szCs w:val="24"/>
        </w:rPr>
        <w:t> 2014; </w:t>
      </w:r>
      <w:r w:rsidRPr="003B75A0">
        <w:rPr>
          <w:rFonts w:ascii="Book Antiqua" w:hAnsi="Book Antiqua" w:cs="SimSun"/>
          <w:b/>
          <w:bCs/>
          <w:kern w:val="0"/>
          <w:sz w:val="24"/>
          <w:szCs w:val="24"/>
        </w:rPr>
        <w:t>20</w:t>
      </w:r>
      <w:r w:rsidRPr="003B75A0">
        <w:rPr>
          <w:rFonts w:ascii="Book Antiqua" w:hAnsi="Book Antiqua" w:cs="SimSun"/>
          <w:kern w:val="0"/>
          <w:sz w:val="24"/>
          <w:szCs w:val="24"/>
        </w:rPr>
        <w:t>: 6897-6905 [PMID: 24944480 DOI: 10.3748/wjg.v20.i22.6897]</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20 </w:t>
      </w:r>
      <w:r w:rsidRPr="003B75A0">
        <w:rPr>
          <w:rFonts w:ascii="Book Antiqua" w:hAnsi="Book Antiqua" w:cs="SimSun"/>
          <w:b/>
          <w:bCs/>
          <w:kern w:val="0"/>
          <w:sz w:val="24"/>
          <w:szCs w:val="24"/>
        </w:rPr>
        <w:t>Peredery O</w:t>
      </w:r>
      <w:r w:rsidRPr="003B75A0">
        <w:rPr>
          <w:rFonts w:ascii="Book Antiqua" w:hAnsi="Book Antiqua" w:cs="SimSun"/>
          <w:kern w:val="0"/>
          <w:sz w:val="24"/>
          <w:szCs w:val="24"/>
        </w:rPr>
        <w:t>, Persinger MA, Parker G, Mastrosov L. Temporal changes in neuronal dropout following inductions of lithium/pilocarpine seizures in the rat. </w:t>
      </w:r>
      <w:r w:rsidRPr="003B75A0">
        <w:rPr>
          <w:rFonts w:ascii="Book Antiqua" w:hAnsi="Book Antiqua" w:cs="SimSun"/>
          <w:i/>
          <w:iCs/>
          <w:kern w:val="0"/>
          <w:sz w:val="24"/>
          <w:szCs w:val="24"/>
        </w:rPr>
        <w:t>Brain Res</w:t>
      </w:r>
      <w:r w:rsidRPr="003B75A0">
        <w:rPr>
          <w:rFonts w:ascii="Book Antiqua" w:hAnsi="Book Antiqua" w:cs="SimSun"/>
          <w:kern w:val="0"/>
          <w:sz w:val="24"/>
          <w:szCs w:val="24"/>
        </w:rPr>
        <w:t> 2000; </w:t>
      </w:r>
      <w:r w:rsidRPr="003B75A0">
        <w:rPr>
          <w:rFonts w:ascii="Book Antiqua" w:hAnsi="Book Antiqua" w:cs="SimSun"/>
          <w:b/>
          <w:bCs/>
          <w:kern w:val="0"/>
          <w:sz w:val="24"/>
          <w:szCs w:val="24"/>
        </w:rPr>
        <w:t>881</w:t>
      </w:r>
      <w:r w:rsidRPr="003B75A0">
        <w:rPr>
          <w:rFonts w:ascii="Book Antiqua" w:hAnsi="Book Antiqua" w:cs="SimSun"/>
          <w:kern w:val="0"/>
          <w:sz w:val="24"/>
          <w:szCs w:val="24"/>
        </w:rPr>
        <w:t>: 9-17 [PMID: 11033088]</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21 </w:t>
      </w:r>
      <w:r w:rsidRPr="003B75A0">
        <w:rPr>
          <w:rFonts w:ascii="Book Antiqua" w:hAnsi="Book Antiqua" w:cs="SimSun"/>
          <w:b/>
          <w:bCs/>
          <w:kern w:val="0"/>
          <w:sz w:val="24"/>
          <w:szCs w:val="24"/>
        </w:rPr>
        <w:t>Figini M</w:t>
      </w:r>
      <w:r w:rsidRPr="003B75A0">
        <w:rPr>
          <w:rFonts w:ascii="Book Antiqua" w:hAnsi="Book Antiqua" w:cs="SimSun"/>
          <w:kern w:val="0"/>
          <w:sz w:val="24"/>
          <w:szCs w:val="24"/>
        </w:rPr>
        <w:t>, Zucca I, Aquino D, Pennacchio P, Nava S, Di Marzio A, Preti MG, Baselli G, Spreafico R, Frassoni C. In vivo DTI tractography of the rat brain: an atlas of the main tracts in Paxinos space with histological comparison. </w:t>
      </w:r>
      <w:r w:rsidRPr="003B75A0">
        <w:rPr>
          <w:rFonts w:ascii="Book Antiqua" w:hAnsi="Book Antiqua" w:cs="SimSun"/>
          <w:i/>
          <w:iCs/>
          <w:kern w:val="0"/>
          <w:sz w:val="24"/>
          <w:szCs w:val="24"/>
        </w:rPr>
        <w:t>Magn Reson Imaging</w:t>
      </w:r>
      <w:r w:rsidRPr="003B75A0">
        <w:rPr>
          <w:rFonts w:ascii="Book Antiqua" w:hAnsi="Book Antiqua" w:cs="SimSun"/>
          <w:kern w:val="0"/>
          <w:sz w:val="24"/>
          <w:szCs w:val="24"/>
        </w:rPr>
        <w:t> 2015; </w:t>
      </w:r>
      <w:r w:rsidRPr="003B75A0">
        <w:rPr>
          <w:rFonts w:ascii="Book Antiqua" w:hAnsi="Book Antiqua" w:cs="SimSun"/>
          <w:b/>
          <w:bCs/>
          <w:kern w:val="0"/>
          <w:sz w:val="24"/>
          <w:szCs w:val="24"/>
        </w:rPr>
        <w:t>33</w:t>
      </w:r>
      <w:r w:rsidRPr="003B75A0">
        <w:rPr>
          <w:rFonts w:ascii="Book Antiqua" w:hAnsi="Book Antiqua" w:cs="SimSun"/>
          <w:kern w:val="0"/>
          <w:sz w:val="24"/>
          <w:szCs w:val="24"/>
        </w:rPr>
        <w:t>: 296-303 [PMID: 25482578 DOI: 10.1016/j.mri.2014.11.001]</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22 </w:t>
      </w:r>
      <w:r w:rsidRPr="003B75A0">
        <w:rPr>
          <w:rFonts w:ascii="Book Antiqua" w:hAnsi="Book Antiqua" w:cs="SimSun"/>
          <w:b/>
          <w:bCs/>
          <w:kern w:val="0"/>
          <w:sz w:val="24"/>
          <w:szCs w:val="24"/>
        </w:rPr>
        <w:t>Sobczak M</w:t>
      </w:r>
      <w:r w:rsidRPr="003B75A0">
        <w:rPr>
          <w:rFonts w:ascii="Book Antiqua" w:hAnsi="Book Antiqua" w:cs="SimSun"/>
          <w:kern w:val="0"/>
          <w:sz w:val="24"/>
          <w:szCs w:val="24"/>
        </w:rPr>
        <w:t>, Cami-Kobeci G, Sa</w:t>
      </w:r>
      <w:r w:rsidRPr="003B75A0">
        <w:rPr>
          <w:rFonts w:ascii="Book Antiqua" w:eastAsia="MS Mincho" w:hAnsi="Book Antiqua" w:cs="MS Mincho"/>
          <w:kern w:val="0"/>
          <w:sz w:val="24"/>
          <w:szCs w:val="24"/>
        </w:rPr>
        <w:t>ł</w:t>
      </w:r>
      <w:r w:rsidRPr="003B75A0">
        <w:rPr>
          <w:rFonts w:ascii="Book Antiqua" w:hAnsi="Book Antiqua" w:cs="SimSun"/>
          <w:kern w:val="0"/>
          <w:sz w:val="24"/>
          <w:szCs w:val="24"/>
        </w:rPr>
        <w:t>aga M, Husbands SM, Fichna J. Novel mixed NOP/MOP agonist BU08070 alleviates pain and inhibits gastrointestinal motility in mouse models mimicking diarrhea-predominant irritable bowel syndrome symptoms. </w:t>
      </w:r>
      <w:r w:rsidRPr="003B75A0">
        <w:rPr>
          <w:rFonts w:ascii="Book Antiqua" w:hAnsi="Book Antiqua" w:cs="SimSun"/>
          <w:i/>
          <w:iCs/>
          <w:kern w:val="0"/>
          <w:sz w:val="24"/>
          <w:szCs w:val="24"/>
        </w:rPr>
        <w:t>Eur J Pharmacol</w:t>
      </w:r>
      <w:r w:rsidRPr="003B75A0">
        <w:rPr>
          <w:rFonts w:ascii="Book Antiqua" w:hAnsi="Book Antiqua" w:cs="SimSun"/>
          <w:kern w:val="0"/>
          <w:sz w:val="24"/>
          <w:szCs w:val="24"/>
        </w:rPr>
        <w:t> 2014; </w:t>
      </w:r>
      <w:r w:rsidRPr="003B75A0">
        <w:rPr>
          <w:rFonts w:ascii="Book Antiqua" w:hAnsi="Book Antiqua" w:cs="SimSun"/>
          <w:b/>
          <w:bCs/>
          <w:kern w:val="0"/>
          <w:sz w:val="24"/>
          <w:szCs w:val="24"/>
        </w:rPr>
        <w:t>736</w:t>
      </w:r>
      <w:r w:rsidRPr="003B75A0">
        <w:rPr>
          <w:rFonts w:ascii="Book Antiqua" w:hAnsi="Book Antiqua" w:cs="SimSun"/>
          <w:kern w:val="0"/>
          <w:sz w:val="24"/>
          <w:szCs w:val="24"/>
        </w:rPr>
        <w:t>: 63-69 [PMID: 24815321 DOI: 10.1016/j.ejphar.2014.04.038]</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lastRenderedPageBreak/>
        <w:t>23 </w:t>
      </w:r>
      <w:r w:rsidRPr="003B75A0">
        <w:rPr>
          <w:rFonts w:ascii="Book Antiqua" w:hAnsi="Book Antiqua" w:cs="SimSun"/>
          <w:b/>
          <w:bCs/>
          <w:kern w:val="0"/>
          <w:sz w:val="24"/>
          <w:szCs w:val="24"/>
        </w:rPr>
        <w:t>Novotny R</w:t>
      </w:r>
      <w:r w:rsidRPr="003B75A0">
        <w:rPr>
          <w:rFonts w:ascii="Book Antiqua" w:hAnsi="Book Antiqua" w:cs="SimSun"/>
          <w:kern w:val="0"/>
          <w:sz w:val="24"/>
          <w:szCs w:val="24"/>
        </w:rPr>
        <w:t>, Li F, Fialkowski MK, Bersamin A, Tufa A, Deenik J, Coleman P, Guerrero RL, Wilkens LR. Prevalence of obesity and acanthosis nigricans among young children in the children's healthy living program in the United States Affiliated Pacific. </w:t>
      </w:r>
      <w:r w:rsidRPr="003B75A0">
        <w:rPr>
          <w:rFonts w:ascii="Book Antiqua" w:hAnsi="Book Antiqua" w:cs="SimSun"/>
          <w:i/>
          <w:iCs/>
          <w:kern w:val="0"/>
          <w:sz w:val="24"/>
          <w:szCs w:val="24"/>
        </w:rPr>
        <w:t>Medicine (Baltimore)</w:t>
      </w:r>
      <w:r w:rsidRPr="003B75A0">
        <w:rPr>
          <w:rFonts w:ascii="Book Antiqua" w:hAnsi="Book Antiqua" w:cs="SimSun"/>
          <w:kern w:val="0"/>
          <w:sz w:val="24"/>
          <w:szCs w:val="24"/>
        </w:rPr>
        <w:t> 2016; </w:t>
      </w:r>
      <w:r w:rsidRPr="003B75A0">
        <w:rPr>
          <w:rFonts w:ascii="Book Antiqua" w:hAnsi="Book Antiqua" w:cs="SimSun"/>
          <w:b/>
          <w:bCs/>
          <w:kern w:val="0"/>
          <w:sz w:val="24"/>
          <w:szCs w:val="24"/>
        </w:rPr>
        <w:t>95</w:t>
      </w:r>
      <w:r w:rsidRPr="003B75A0">
        <w:rPr>
          <w:rFonts w:ascii="Book Antiqua" w:hAnsi="Book Antiqua" w:cs="SimSun"/>
          <w:kern w:val="0"/>
          <w:sz w:val="24"/>
          <w:szCs w:val="24"/>
        </w:rPr>
        <w:t>: e4711 [PMID: 27631218 DOI: 10.1097/MD.0000000000004711]</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24 </w:t>
      </w:r>
      <w:r w:rsidRPr="003B75A0">
        <w:rPr>
          <w:rFonts w:ascii="Book Antiqua" w:hAnsi="Book Antiqua" w:cs="SimSun"/>
          <w:b/>
          <w:bCs/>
          <w:kern w:val="0"/>
          <w:sz w:val="24"/>
          <w:szCs w:val="24"/>
        </w:rPr>
        <w:t>Armstrong SC</w:t>
      </w:r>
      <w:r w:rsidRPr="003B75A0">
        <w:rPr>
          <w:rFonts w:ascii="Book Antiqua" w:hAnsi="Book Antiqua" w:cs="SimSun"/>
          <w:kern w:val="0"/>
          <w:sz w:val="24"/>
          <w:szCs w:val="24"/>
        </w:rPr>
        <w:t>, Skinner AC. Defining "Success" in Childhood Obesity Interventions in Primary Care. </w:t>
      </w:r>
      <w:r w:rsidRPr="003B75A0">
        <w:rPr>
          <w:rFonts w:ascii="Book Antiqua" w:hAnsi="Book Antiqua" w:cs="SimSun"/>
          <w:i/>
          <w:iCs/>
          <w:kern w:val="0"/>
          <w:sz w:val="24"/>
          <w:szCs w:val="24"/>
        </w:rPr>
        <w:t>Pediatrics</w:t>
      </w:r>
      <w:r w:rsidRPr="003B75A0">
        <w:rPr>
          <w:rFonts w:ascii="Book Antiqua" w:hAnsi="Book Antiqua" w:cs="SimSun"/>
          <w:kern w:val="0"/>
          <w:sz w:val="24"/>
          <w:szCs w:val="24"/>
        </w:rPr>
        <w:t> 2016; </w:t>
      </w:r>
      <w:r w:rsidRPr="003B75A0">
        <w:rPr>
          <w:rFonts w:ascii="Book Antiqua" w:hAnsi="Book Antiqua" w:cs="SimSun"/>
          <w:b/>
          <w:bCs/>
          <w:kern w:val="0"/>
          <w:sz w:val="24"/>
          <w:szCs w:val="24"/>
        </w:rPr>
        <w:t>138</w:t>
      </w:r>
      <w:r w:rsidRPr="003B75A0">
        <w:rPr>
          <w:rFonts w:ascii="Book Antiqua" w:hAnsi="Book Antiqua" w:cs="SimSun"/>
          <w:kern w:val="0"/>
          <w:sz w:val="24"/>
          <w:szCs w:val="24"/>
        </w:rPr>
        <w:t>: [PMID: 27621411 DOI: 10.1542/peds.2016-2497]</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25 </w:t>
      </w:r>
      <w:r w:rsidRPr="003B75A0">
        <w:rPr>
          <w:rFonts w:ascii="Book Antiqua" w:hAnsi="Book Antiqua" w:cs="SimSun"/>
          <w:b/>
          <w:bCs/>
          <w:kern w:val="0"/>
          <w:sz w:val="24"/>
          <w:szCs w:val="24"/>
        </w:rPr>
        <w:t>Macia E</w:t>
      </w:r>
      <w:r w:rsidRPr="003B75A0">
        <w:rPr>
          <w:rFonts w:ascii="Book Antiqua" w:hAnsi="Book Antiqua" w:cs="SimSun"/>
          <w:kern w:val="0"/>
          <w:sz w:val="24"/>
          <w:szCs w:val="24"/>
        </w:rPr>
        <w:t>, Gueye L, Duboz P. Hypertension and Obesity in Dakar, Senegal. </w:t>
      </w:r>
      <w:r w:rsidRPr="003B75A0">
        <w:rPr>
          <w:rFonts w:ascii="Book Antiqua" w:hAnsi="Book Antiqua" w:cs="SimSun"/>
          <w:i/>
          <w:iCs/>
          <w:kern w:val="0"/>
          <w:sz w:val="24"/>
          <w:szCs w:val="24"/>
        </w:rPr>
        <w:t>PLoS One</w:t>
      </w:r>
      <w:r w:rsidRPr="003B75A0">
        <w:rPr>
          <w:rFonts w:ascii="Book Antiqua" w:hAnsi="Book Antiqua" w:cs="SimSun"/>
          <w:kern w:val="0"/>
          <w:sz w:val="24"/>
          <w:szCs w:val="24"/>
        </w:rPr>
        <w:t> 2016; </w:t>
      </w:r>
      <w:r w:rsidRPr="003B75A0">
        <w:rPr>
          <w:rFonts w:ascii="Book Antiqua" w:hAnsi="Book Antiqua" w:cs="SimSun"/>
          <w:b/>
          <w:bCs/>
          <w:kern w:val="0"/>
          <w:sz w:val="24"/>
          <w:szCs w:val="24"/>
        </w:rPr>
        <w:t>11</w:t>
      </w:r>
      <w:r w:rsidRPr="003B75A0">
        <w:rPr>
          <w:rFonts w:ascii="Book Antiqua" w:hAnsi="Book Antiqua" w:cs="SimSun"/>
          <w:kern w:val="0"/>
          <w:sz w:val="24"/>
          <w:szCs w:val="24"/>
        </w:rPr>
        <w:t>: e0161544 [PMID: 27622534 DOI: 10.1371/journal.pone.0161544]</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26 </w:t>
      </w:r>
      <w:r w:rsidRPr="003B75A0">
        <w:rPr>
          <w:rFonts w:ascii="Book Antiqua" w:hAnsi="Book Antiqua" w:cs="SimSun"/>
          <w:b/>
          <w:bCs/>
          <w:kern w:val="0"/>
          <w:sz w:val="24"/>
          <w:szCs w:val="24"/>
        </w:rPr>
        <w:t>Ruhstaller KE</w:t>
      </w:r>
      <w:r w:rsidRPr="003B75A0">
        <w:rPr>
          <w:rFonts w:ascii="Book Antiqua" w:hAnsi="Book Antiqua" w:cs="SimSun"/>
          <w:kern w:val="0"/>
          <w:sz w:val="24"/>
          <w:szCs w:val="24"/>
        </w:rPr>
        <w:t>, Elovitz MA, Stringer M, Eppersonmd CN, Durnwald CP. Obesity and the Association with Maternal Mental Health Symptoms. </w:t>
      </w:r>
      <w:r w:rsidRPr="003B75A0">
        <w:rPr>
          <w:rFonts w:ascii="Book Antiqua" w:hAnsi="Book Antiqua" w:cs="SimSun"/>
          <w:i/>
          <w:iCs/>
          <w:kern w:val="0"/>
          <w:sz w:val="24"/>
          <w:szCs w:val="24"/>
        </w:rPr>
        <w:t>J Matern Fetal Neonatal Med</w:t>
      </w:r>
      <w:r w:rsidRPr="003B75A0">
        <w:rPr>
          <w:rFonts w:ascii="Book Antiqua" w:hAnsi="Book Antiqua" w:cs="SimSun"/>
          <w:kern w:val="0"/>
          <w:sz w:val="24"/>
          <w:szCs w:val="24"/>
        </w:rPr>
        <w:t> 2016; </w:t>
      </w:r>
      <w:r>
        <w:rPr>
          <w:rFonts w:ascii="Book Antiqua" w:hAnsi="Book Antiqua" w:cs="SimSun"/>
          <w:kern w:val="0"/>
          <w:sz w:val="24"/>
          <w:szCs w:val="24"/>
        </w:rPr>
        <w:t>Epub ahead of print</w:t>
      </w:r>
      <w:r>
        <w:rPr>
          <w:rFonts w:ascii="Book Antiqua" w:hAnsi="Book Antiqua" w:cs="SimSun" w:hint="eastAsia"/>
          <w:kern w:val="0"/>
          <w:sz w:val="24"/>
          <w:szCs w:val="24"/>
        </w:rPr>
        <w:t xml:space="preserve"> </w:t>
      </w:r>
      <w:r w:rsidRPr="003B75A0">
        <w:rPr>
          <w:rFonts w:ascii="Book Antiqua" w:hAnsi="Book Antiqua" w:cs="SimSun"/>
          <w:kern w:val="0"/>
          <w:sz w:val="24"/>
          <w:szCs w:val="24"/>
        </w:rPr>
        <w:t xml:space="preserve">[PMID: </w:t>
      </w:r>
      <w:bookmarkStart w:id="60" w:name="OLE_LINK103"/>
      <w:bookmarkStart w:id="61" w:name="OLE_LINK104"/>
      <w:r w:rsidRPr="003B75A0">
        <w:rPr>
          <w:rFonts w:ascii="Book Antiqua" w:hAnsi="Book Antiqua" w:cs="SimSun"/>
          <w:kern w:val="0"/>
          <w:sz w:val="24"/>
          <w:szCs w:val="24"/>
        </w:rPr>
        <w:t xml:space="preserve">27623338 </w:t>
      </w:r>
      <w:bookmarkEnd w:id="60"/>
      <w:bookmarkEnd w:id="61"/>
      <w:r w:rsidRPr="003B75A0">
        <w:rPr>
          <w:rFonts w:ascii="Book Antiqua" w:hAnsi="Book Antiqua" w:cs="SimSun"/>
          <w:kern w:val="0"/>
          <w:sz w:val="24"/>
          <w:szCs w:val="24"/>
        </w:rPr>
        <w:t>DOI: 10.1080/14767058.2016.1229766]</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27 </w:t>
      </w:r>
      <w:r w:rsidRPr="003B75A0">
        <w:rPr>
          <w:rFonts w:ascii="Book Antiqua" w:hAnsi="Book Antiqua" w:cs="SimSun"/>
          <w:b/>
          <w:bCs/>
          <w:kern w:val="0"/>
          <w:sz w:val="24"/>
          <w:szCs w:val="24"/>
        </w:rPr>
        <w:t>Trayhurn P</w:t>
      </w:r>
      <w:r w:rsidRPr="003B75A0">
        <w:rPr>
          <w:rFonts w:ascii="Book Antiqua" w:hAnsi="Book Antiqua" w:cs="SimSun"/>
          <w:kern w:val="0"/>
          <w:sz w:val="24"/>
          <w:szCs w:val="24"/>
        </w:rPr>
        <w:t>. Origins and early development of the concept that brown adipose tissue thermogenesis is linked to energy balance and obesity. </w:t>
      </w:r>
      <w:r w:rsidRPr="003B75A0">
        <w:rPr>
          <w:rFonts w:ascii="Book Antiqua" w:hAnsi="Book Antiqua" w:cs="SimSun"/>
          <w:i/>
          <w:iCs/>
          <w:kern w:val="0"/>
          <w:sz w:val="24"/>
          <w:szCs w:val="24"/>
        </w:rPr>
        <w:t>Biochimie</w:t>
      </w:r>
      <w:r w:rsidRPr="003B75A0">
        <w:rPr>
          <w:rFonts w:ascii="Book Antiqua" w:hAnsi="Book Antiqua" w:cs="SimSun"/>
          <w:kern w:val="0"/>
          <w:sz w:val="24"/>
          <w:szCs w:val="24"/>
        </w:rPr>
        <w:t> 2017; </w:t>
      </w:r>
      <w:r w:rsidRPr="003B75A0">
        <w:rPr>
          <w:rFonts w:ascii="Book Antiqua" w:hAnsi="Book Antiqua" w:cs="SimSun"/>
          <w:b/>
          <w:bCs/>
          <w:kern w:val="0"/>
          <w:sz w:val="24"/>
          <w:szCs w:val="24"/>
        </w:rPr>
        <w:t>134</w:t>
      </w:r>
      <w:r w:rsidRPr="003B75A0">
        <w:rPr>
          <w:rFonts w:ascii="Book Antiqua" w:hAnsi="Book Antiqua" w:cs="SimSun"/>
          <w:kern w:val="0"/>
          <w:sz w:val="24"/>
          <w:szCs w:val="24"/>
        </w:rPr>
        <w:t>: 62-70 [PMID: 27621146 DOI: 10.1016/j.biochi.2016.09.007]</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28 </w:t>
      </w:r>
      <w:r w:rsidRPr="003B75A0">
        <w:rPr>
          <w:rFonts w:ascii="Book Antiqua" w:hAnsi="Book Antiqua" w:cs="SimSun"/>
          <w:b/>
          <w:bCs/>
          <w:kern w:val="0"/>
          <w:sz w:val="24"/>
          <w:szCs w:val="24"/>
        </w:rPr>
        <w:t>Fetissov SO</w:t>
      </w:r>
      <w:r w:rsidRPr="003B75A0">
        <w:rPr>
          <w:rFonts w:ascii="Book Antiqua" w:hAnsi="Book Antiqua" w:cs="SimSun"/>
          <w:kern w:val="0"/>
          <w:sz w:val="24"/>
          <w:szCs w:val="24"/>
        </w:rPr>
        <w:t>. Role of the gut microbiota in host appetite control: bacterial growth to animal feeding behaviour. </w:t>
      </w:r>
      <w:r w:rsidRPr="003B75A0">
        <w:rPr>
          <w:rFonts w:ascii="Book Antiqua" w:hAnsi="Book Antiqua" w:cs="SimSun"/>
          <w:i/>
          <w:iCs/>
          <w:kern w:val="0"/>
          <w:sz w:val="24"/>
          <w:szCs w:val="24"/>
        </w:rPr>
        <w:t>Nat Rev Endocrinol</w:t>
      </w:r>
      <w:r w:rsidRPr="003B75A0">
        <w:rPr>
          <w:rFonts w:ascii="Book Antiqua" w:hAnsi="Book Antiqua" w:cs="SimSun"/>
          <w:kern w:val="0"/>
          <w:sz w:val="24"/>
          <w:szCs w:val="24"/>
        </w:rPr>
        <w:t> 2017; </w:t>
      </w:r>
      <w:r w:rsidRPr="003B75A0">
        <w:rPr>
          <w:rFonts w:ascii="Book Antiqua" w:hAnsi="Book Antiqua" w:cs="SimSun"/>
          <w:b/>
          <w:bCs/>
          <w:kern w:val="0"/>
          <w:sz w:val="24"/>
          <w:szCs w:val="24"/>
        </w:rPr>
        <w:t>13</w:t>
      </w:r>
      <w:r w:rsidRPr="003B75A0">
        <w:rPr>
          <w:rFonts w:ascii="Book Antiqua" w:hAnsi="Book Antiqua" w:cs="SimSun"/>
          <w:kern w:val="0"/>
          <w:sz w:val="24"/>
          <w:szCs w:val="24"/>
        </w:rPr>
        <w:t>: 11-25 [PMID: 27616451 DOI: 10.1038/nrendo.2016.150]</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29 </w:t>
      </w:r>
      <w:r w:rsidRPr="003B75A0">
        <w:rPr>
          <w:rFonts w:ascii="Book Antiqua" w:hAnsi="Book Antiqua" w:cs="SimSun"/>
          <w:b/>
          <w:bCs/>
          <w:kern w:val="0"/>
          <w:sz w:val="24"/>
          <w:szCs w:val="24"/>
        </w:rPr>
        <w:t>Luchterhand KM</w:t>
      </w:r>
      <w:r w:rsidRPr="003B75A0">
        <w:rPr>
          <w:rFonts w:ascii="Book Antiqua" w:hAnsi="Book Antiqua" w:cs="SimSun"/>
          <w:kern w:val="0"/>
          <w:sz w:val="24"/>
          <w:szCs w:val="24"/>
        </w:rPr>
        <w:t>, Silva PR, Chebel RC, Endres MI. Association between Prepartum Feeding Behavior and Periparturient Health Disorders in Dairy Cows. </w:t>
      </w:r>
      <w:r w:rsidRPr="003B75A0">
        <w:rPr>
          <w:rFonts w:ascii="Book Antiqua" w:hAnsi="Book Antiqua" w:cs="SimSun"/>
          <w:i/>
          <w:iCs/>
          <w:kern w:val="0"/>
          <w:sz w:val="24"/>
          <w:szCs w:val="24"/>
        </w:rPr>
        <w:t>Front Vet Sci</w:t>
      </w:r>
      <w:r w:rsidRPr="003B75A0">
        <w:rPr>
          <w:rFonts w:ascii="Book Antiqua" w:hAnsi="Book Antiqua" w:cs="SimSun"/>
          <w:kern w:val="0"/>
          <w:sz w:val="24"/>
          <w:szCs w:val="24"/>
        </w:rPr>
        <w:t> 2016; </w:t>
      </w:r>
      <w:r w:rsidRPr="003B75A0">
        <w:rPr>
          <w:rFonts w:ascii="Book Antiqua" w:hAnsi="Book Antiqua" w:cs="SimSun"/>
          <w:b/>
          <w:bCs/>
          <w:kern w:val="0"/>
          <w:sz w:val="24"/>
          <w:szCs w:val="24"/>
        </w:rPr>
        <w:t>3</w:t>
      </w:r>
      <w:r w:rsidRPr="003B75A0">
        <w:rPr>
          <w:rFonts w:ascii="Book Antiqua" w:hAnsi="Book Antiqua" w:cs="SimSun"/>
          <w:kern w:val="0"/>
          <w:sz w:val="24"/>
          <w:szCs w:val="24"/>
        </w:rPr>
        <w:t>: 65 [PMID: 27597948 DOI: 10.3389/fvets.2016.00065]</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30 </w:t>
      </w:r>
      <w:r w:rsidRPr="003B75A0">
        <w:rPr>
          <w:rFonts w:ascii="Book Antiqua" w:hAnsi="Book Antiqua" w:cs="SimSun"/>
          <w:b/>
          <w:bCs/>
          <w:kern w:val="0"/>
          <w:sz w:val="24"/>
          <w:szCs w:val="24"/>
        </w:rPr>
        <w:t>Mignon-Grasteau S</w:t>
      </w:r>
      <w:r w:rsidRPr="003B75A0">
        <w:rPr>
          <w:rFonts w:ascii="Book Antiqua" w:hAnsi="Book Antiqua" w:cs="SimSun"/>
          <w:kern w:val="0"/>
          <w:sz w:val="24"/>
          <w:szCs w:val="24"/>
        </w:rPr>
        <w:t xml:space="preserve">, Chantry-Darmon C, Boscher MY, Sellier N, Le Bihan-Duval E, Bertin A. Genetic Determinism of Fearfulness, General Activity and Feeding Behavior in Chickens and Its Relationship with </w:t>
      </w:r>
      <w:r w:rsidRPr="003B75A0">
        <w:rPr>
          <w:rFonts w:ascii="Book Antiqua" w:hAnsi="Book Antiqua" w:cs="SimSun"/>
          <w:kern w:val="0"/>
          <w:sz w:val="24"/>
          <w:szCs w:val="24"/>
        </w:rPr>
        <w:lastRenderedPageBreak/>
        <w:t>Digestive Efficiency. </w:t>
      </w:r>
      <w:r w:rsidRPr="003B75A0">
        <w:rPr>
          <w:rFonts w:ascii="Book Antiqua" w:hAnsi="Book Antiqua" w:cs="SimSun"/>
          <w:i/>
          <w:iCs/>
          <w:kern w:val="0"/>
          <w:sz w:val="24"/>
          <w:szCs w:val="24"/>
        </w:rPr>
        <w:t>Behav Genet</w:t>
      </w:r>
      <w:r w:rsidRPr="003B75A0">
        <w:rPr>
          <w:rFonts w:ascii="Book Antiqua" w:hAnsi="Book Antiqua" w:cs="SimSun"/>
          <w:kern w:val="0"/>
          <w:sz w:val="24"/>
          <w:szCs w:val="24"/>
        </w:rPr>
        <w:t> 2017; </w:t>
      </w:r>
      <w:r w:rsidRPr="003B75A0">
        <w:rPr>
          <w:rFonts w:ascii="Book Antiqua" w:hAnsi="Book Antiqua" w:cs="SimSun"/>
          <w:b/>
          <w:bCs/>
          <w:kern w:val="0"/>
          <w:sz w:val="24"/>
          <w:szCs w:val="24"/>
        </w:rPr>
        <w:t>47</w:t>
      </w:r>
      <w:r w:rsidRPr="003B75A0">
        <w:rPr>
          <w:rFonts w:ascii="Book Antiqua" w:hAnsi="Book Antiqua" w:cs="SimSun"/>
          <w:kern w:val="0"/>
          <w:sz w:val="24"/>
          <w:szCs w:val="24"/>
        </w:rPr>
        <w:t>: 114-124 [PMID: 27604231 DOI: 10.1007/s10519-016-9807-1]</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31 </w:t>
      </w:r>
      <w:r w:rsidRPr="003B75A0">
        <w:rPr>
          <w:rFonts w:ascii="Book Antiqua" w:hAnsi="Book Antiqua" w:cs="SimSun"/>
          <w:b/>
          <w:bCs/>
          <w:kern w:val="0"/>
          <w:sz w:val="24"/>
          <w:szCs w:val="24"/>
        </w:rPr>
        <w:t>Li Z</w:t>
      </w:r>
      <w:r w:rsidRPr="003B75A0">
        <w:rPr>
          <w:rFonts w:ascii="Book Antiqua" w:hAnsi="Book Antiqua" w:cs="SimSun"/>
          <w:kern w:val="0"/>
          <w:sz w:val="24"/>
          <w:szCs w:val="24"/>
        </w:rPr>
        <w:t>, Mulholland M, Zhang W. Regulation of gastric nesfatin-1/NUCB2. </w:t>
      </w:r>
      <w:r w:rsidRPr="003B75A0">
        <w:rPr>
          <w:rFonts w:ascii="Book Antiqua" w:hAnsi="Book Antiqua" w:cs="SimSun"/>
          <w:i/>
          <w:iCs/>
          <w:kern w:val="0"/>
          <w:sz w:val="24"/>
          <w:szCs w:val="24"/>
        </w:rPr>
        <w:t>Curr Pharm Des</w:t>
      </w:r>
      <w:r w:rsidRPr="003B75A0">
        <w:rPr>
          <w:rFonts w:ascii="Book Antiqua" w:hAnsi="Book Antiqua" w:cs="SimSun"/>
          <w:kern w:val="0"/>
          <w:sz w:val="24"/>
          <w:szCs w:val="24"/>
        </w:rPr>
        <w:t> 2013; </w:t>
      </w:r>
      <w:r w:rsidRPr="003B75A0">
        <w:rPr>
          <w:rFonts w:ascii="Book Antiqua" w:hAnsi="Book Antiqua" w:cs="SimSun"/>
          <w:b/>
          <w:bCs/>
          <w:kern w:val="0"/>
          <w:sz w:val="24"/>
          <w:szCs w:val="24"/>
        </w:rPr>
        <w:t>19</w:t>
      </w:r>
      <w:r w:rsidRPr="003B75A0">
        <w:rPr>
          <w:rFonts w:ascii="Book Antiqua" w:hAnsi="Book Antiqua" w:cs="SimSun"/>
          <w:kern w:val="0"/>
          <w:sz w:val="24"/>
          <w:szCs w:val="24"/>
        </w:rPr>
        <w:t>: 6981-6985 [PMID: 23537086]</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32 </w:t>
      </w:r>
      <w:r w:rsidRPr="003B75A0">
        <w:rPr>
          <w:rFonts w:ascii="Book Antiqua" w:hAnsi="Book Antiqua" w:cs="SimSun"/>
          <w:b/>
          <w:bCs/>
          <w:kern w:val="0"/>
          <w:sz w:val="24"/>
          <w:szCs w:val="24"/>
        </w:rPr>
        <w:t>Sedbazar U</w:t>
      </w:r>
      <w:r w:rsidRPr="003B75A0">
        <w:rPr>
          <w:rFonts w:ascii="Book Antiqua" w:hAnsi="Book Antiqua" w:cs="SimSun"/>
          <w:kern w:val="0"/>
          <w:sz w:val="24"/>
          <w:szCs w:val="24"/>
        </w:rPr>
        <w:t>, Maejima Y, Nakata M, Mori M, Yada T. Paraventricular NUCB2/nesfatin-1 rises in synchrony with feeding suppression during early light phase in rats. </w:t>
      </w:r>
      <w:r w:rsidRPr="003B75A0">
        <w:rPr>
          <w:rFonts w:ascii="Book Antiqua" w:hAnsi="Book Antiqua" w:cs="SimSun"/>
          <w:i/>
          <w:iCs/>
          <w:kern w:val="0"/>
          <w:sz w:val="24"/>
          <w:szCs w:val="24"/>
        </w:rPr>
        <w:t>Biochem Biophys Res Commun</w:t>
      </w:r>
      <w:r w:rsidRPr="003B75A0">
        <w:rPr>
          <w:rFonts w:ascii="Book Antiqua" w:hAnsi="Book Antiqua" w:cs="SimSun"/>
          <w:kern w:val="0"/>
          <w:sz w:val="24"/>
          <w:szCs w:val="24"/>
        </w:rPr>
        <w:t> 2013; </w:t>
      </w:r>
      <w:r w:rsidRPr="003B75A0">
        <w:rPr>
          <w:rFonts w:ascii="Book Antiqua" w:hAnsi="Book Antiqua" w:cs="SimSun"/>
          <w:b/>
          <w:bCs/>
          <w:kern w:val="0"/>
          <w:sz w:val="24"/>
          <w:szCs w:val="24"/>
        </w:rPr>
        <w:t>434</w:t>
      </w:r>
      <w:r w:rsidRPr="003B75A0">
        <w:rPr>
          <w:rFonts w:ascii="Book Antiqua" w:hAnsi="Book Antiqua" w:cs="SimSun"/>
          <w:kern w:val="0"/>
          <w:sz w:val="24"/>
          <w:szCs w:val="24"/>
        </w:rPr>
        <w:t>: 434-438 [PMID: 23583201 DOI: 10.1016/j.bbrc.2013.03.090]</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33 </w:t>
      </w:r>
      <w:r w:rsidRPr="003B75A0">
        <w:rPr>
          <w:rFonts w:ascii="Book Antiqua" w:hAnsi="Book Antiqua" w:cs="SimSun"/>
          <w:b/>
          <w:bCs/>
          <w:kern w:val="0"/>
          <w:sz w:val="24"/>
          <w:szCs w:val="24"/>
        </w:rPr>
        <w:t>Stengel A</w:t>
      </w:r>
      <w:r w:rsidRPr="003B75A0">
        <w:rPr>
          <w:rFonts w:ascii="Book Antiqua" w:hAnsi="Book Antiqua" w:cs="SimSun"/>
          <w:kern w:val="0"/>
          <w:sz w:val="24"/>
          <w:szCs w:val="24"/>
        </w:rPr>
        <w:t>, Taché Y. New Developments On NUBC2/Nesfatin-1. </w:t>
      </w:r>
      <w:r w:rsidRPr="003B75A0">
        <w:rPr>
          <w:rFonts w:ascii="Book Antiqua" w:hAnsi="Book Antiqua" w:cs="SimSun"/>
          <w:i/>
          <w:iCs/>
          <w:kern w:val="0"/>
          <w:sz w:val="24"/>
          <w:szCs w:val="24"/>
        </w:rPr>
        <w:t>Curr Pharm Des</w:t>
      </w:r>
      <w:r w:rsidRPr="003B75A0">
        <w:rPr>
          <w:rFonts w:ascii="Book Antiqua" w:hAnsi="Book Antiqua" w:cs="SimSun"/>
          <w:kern w:val="0"/>
          <w:sz w:val="24"/>
          <w:szCs w:val="24"/>
        </w:rPr>
        <w:t xml:space="preserve"> 2013; Epub ahead of print [PMID: </w:t>
      </w:r>
      <w:bookmarkStart w:id="62" w:name="OLE_LINK106"/>
      <w:r w:rsidRPr="003B75A0">
        <w:rPr>
          <w:rFonts w:ascii="Book Antiqua" w:hAnsi="Book Antiqua" w:cs="SimSun"/>
          <w:kern w:val="0"/>
          <w:sz w:val="24"/>
          <w:szCs w:val="24"/>
        </w:rPr>
        <w:t>23537089</w:t>
      </w:r>
      <w:bookmarkEnd w:id="62"/>
      <w:r w:rsidRPr="003B75A0">
        <w:rPr>
          <w:rFonts w:ascii="Book Antiqua" w:hAnsi="Book Antiqua" w:cs="SimSun"/>
          <w:kern w:val="0"/>
          <w:sz w:val="24"/>
          <w:szCs w:val="24"/>
        </w:rPr>
        <w:t>]</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34 </w:t>
      </w:r>
      <w:r w:rsidRPr="003B75A0">
        <w:rPr>
          <w:rFonts w:ascii="Book Antiqua" w:hAnsi="Book Antiqua" w:cs="SimSun"/>
          <w:b/>
          <w:bCs/>
          <w:kern w:val="0"/>
          <w:sz w:val="24"/>
          <w:szCs w:val="24"/>
        </w:rPr>
        <w:t>Stengel A</w:t>
      </w:r>
      <w:r w:rsidRPr="003B75A0">
        <w:rPr>
          <w:rFonts w:ascii="Book Antiqua" w:hAnsi="Book Antiqua" w:cs="SimSun"/>
          <w:kern w:val="0"/>
          <w:sz w:val="24"/>
          <w:szCs w:val="24"/>
        </w:rPr>
        <w:t>, Taché Y. Role of brain NUCB2/nesfatin-1 in the regulation of food intake. </w:t>
      </w:r>
      <w:r w:rsidRPr="003B75A0">
        <w:rPr>
          <w:rFonts w:ascii="Book Antiqua" w:hAnsi="Book Antiqua" w:cs="SimSun"/>
          <w:i/>
          <w:iCs/>
          <w:kern w:val="0"/>
          <w:sz w:val="24"/>
          <w:szCs w:val="24"/>
        </w:rPr>
        <w:t>Curr Pharm Des</w:t>
      </w:r>
      <w:r w:rsidRPr="003B75A0">
        <w:rPr>
          <w:rFonts w:ascii="Book Antiqua" w:hAnsi="Book Antiqua" w:cs="SimSun"/>
          <w:kern w:val="0"/>
          <w:sz w:val="24"/>
          <w:szCs w:val="24"/>
        </w:rPr>
        <w:t> 2013; </w:t>
      </w:r>
      <w:r w:rsidRPr="003B75A0">
        <w:rPr>
          <w:rFonts w:ascii="Book Antiqua" w:hAnsi="Book Antiqua" w:cs="SimSun"/>
          <w:b/>
          <w:bCs/>
          <w:kern w:val="0"/>
          <w:sz w:val="24"/>
          <w:szCs w:val="24"/>
        </w:rPr>
        <w:t>19</w:t>
      </w:r>
      <w:r w:rsidRPr="003B75A0">
        <w:rPr>
          <w:rFonts w:ascii="Book Antiqua" w:hAnsi="Book Antiqua" w:cs="SimSun"/>
          <w:kern w:val="0"/>
          <w:sz w:val="24"/>
          <w:szCs w:val="24"/>
        </w:rPr>
        <w:t>: 6955-6959 [PMID: 23537088]</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35 </w:t>
      </w:r>
      <w:r w:rsidRPr="003B75A0">
        <w:rPr>
          <w:rFonts w:ascii="Book Antiqua" w:hAnsi="Book Antiqua" w:cs="SimSun"/>
          <w:b/>
          <w:bCs/>
          <w:kern w:val="0"/>
          <w:sz w:val="24"/>
          <w:szCs w:val="24"/>
        </w:rPr>
        <w:t>Gzielo K</w:t>
      </w:r>
      <w:r w:rsidRPr="003B75A0">
        <w:rPr>
          <w:rFonts w:ascii="Book Antiqua" w:hAnsi="Book Antiqua" w:cs="SimSun"/>
          <w:kern w:val="0"/>
          <w:sz w:val="24"/>
          <w:szCs w:val="24"/>
        </w:rPr>
        <w:t>, Kielbinski M, Ploszaj J, Janeczko K, Gazdzinski SP, Setkowicz Z. Long-Term Consumption of High-Fat Diet in Rats: Effects on Microglial and Astrocytic Morphology and Neuronal Nitric Oxide Synthase Expression. </w:t>
      </w:r>
      <w:r w:rsidRPr="003B75A0">
        <w:rPr>
          <w:rFonts w:ascii="Book Antiqua" w:hAnsi="Book Antiqua" w:cs="SimSun"/>
          <w:i/>
          <w:iCs/>
          <w:kern w:val="0"/>
          <w:sz w:val="24"/>
          <w:szCs w:val="24"/>
        </w:rPr>
        <w:t>Cell Mol Neurobiol</w:t>
      </w:r>
      <w:r w:rsidRPr="003B75A0">
        <w:rPr>
          <w:rFonts w:ascii="Book Antiqua" w:hAnsi="Book Antiqua" w:cs="SimSun"/>
          <w:kern w:val="0"/>
          <w:sz w:val="24"/>
          <w:szCs w:val="24"/>
        </w:rPr>
        <w:t> 2016; Epub ahead of print [PMID: 27541371 DOI: 10.1007/s10571-016-0417-5]</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36 </w:t>
      </w:r>
      <w:r w:rsidRPr="003B75A0">
        <w:rPr>
          <w:rFonts w:ascii="Book Antiqua" w:hAnsi="Book Antiqua" w:cs="SimSun"/>
          <w:b/>
          <w:bCs/>
          <w:kern w:val="0"/>
          <w:sz w:val="24"/>
          <w:szCs w:val="24"/>
        </w:rPr>
        <w:t>Lee JH</w:t>
      </w:r>
      <w:r w:rsidRPr="003B75A0">
        <w:rPr>
          <w:rFonts w:ascii="Book Antiqua" w:hAnsi="Book Antiqua" w:cs="SimSun"/>
          <w:kern w:val="0"/>
          <w:sz w:val="24"/>
          <w:szCs w:val="24"/>
        </w:rPr>
        <w:t>, Lee JJ, Cho WK, Yim NH, Kim HK, Yun B, Ma JY. KBH-1, an herbal composition, improves hepatic steatosis and leptin resistance in high-fat diet-induced obese rats. </w:t>
      </w:r>
      <w:r w:rsidRPr="003B75A0">
        <w:rPr>
          <w:rFonts w:ascii="Book Antiqua" w:hAnsi="Book Antiqua" w:cs="SimSun"/>
          <w:i/>
          <w:iCs/>
          <w:kern w:val="0"/>
          <w:sz w:val="24"/>
          <w:szCs w:val="24"/>
        </w:rPr>
        <w:t>BMC Complement Altern Med</w:t>
      </w:r>
      <w:r w:rsidRPr="003B75A0">
        <w:rPr>
          <w:rFonts w:ascii="Book Antiqua" w:hAnsi="Book Antiqua" w:cs="SimSun"/>
          <w:kern w:val="0"/>
          <w:sz w:val="24"/>
          <w:szCs w:val="24"/>
        </w:rPr>
        <w:t> 2016; </w:t>
      </w:r>
      <w:r w:rsidRPr="003B75A0">
        <w:rPr>
          <w:rFonts w:ascii="Book Antiqua" w:hAnsi="Book Antiqua" w:cs="SimSun"/>
          <w:b/>
          <w:bCs/>
          <w:kern w:val="0"/>
          <w:sz w:val="24"/>
          <w:szCs w:val="24"/>
        </w:rPr>
        <w:t>16</w:t>
      </w:r>
      <w:r w:rsidRPr="003B75A0">
        <w:rPr>
          <w:rFonts w:ascii="Book Antiqua" w:hAnsi="Book Antiqua" w:cs="SimSun"/>
          <w:kern w:val="0"/>
          <w:sz w:val="24"/>
          <w:szCs w:val="24"/>
        </w:rPr>
        <w:t>: 355 [PMID: 27618865 DOI: 10.1186/s12906-016-1265-z]</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37 </w:t>
      </w:r>
      <w:r w:rsidRPr="003B75A0">
        <w:rPr>
          <w:rFonts w:ascii="Book Antiqua" w:hAnsi="Book Antiqua" w:cs="SimSun"/>
          <w:b/>
          <w:bCs/>
          <w:kern w:val="0"/>
          <w:sz w:val="24"/>
          <w:szCs w:val="24"/>
        </w:rPr>
        <w:t>Torres-Villalobos G</w:t>
      </w:r>
      <w:r w:rsidRPr="003B75A0">
        <w:rPr>
          <w:rFonts w:ascii="Book Antiqua" w:hAnsi="Book Antiqua" w:cs="SimSun"/>
          <w:kern w:val="0"/>
          <w:sz w:val="24"/>
          <w:szCs w:val="24"/>
        </w:rPr>
        <w:t>, Hamdan-Pérez N, Díaz-Villaseñor A, Tovar AR, Torre-Villalvazo I, Ordaz-Nava G, Morán-Ramos S, Noriega LG, Martínez-Benítez B, López-Garibay A, Torres-Landa S, Ceballos-Cantú JC, Tovar-Palacio C, Figueroa-Juárez E, Hiriart M, Medina-Santillán R, Castillo-Hernández C, Torres N. Autologous subcutaneous adipose tissue transplants improve adipose tissue metabolism and reduce insulin resistance and fatty liver in diet-induced obesity rats. </w:t>
      </w:r>
      <w:r w:rsidRPr="003B75A0">
        <w:rPr>
          <w:rFonts w:ascii="Book Antiqua" w:hAnsi="Book Antiqua" w:cs="SimSun"/>
          <w:i/>
          <w:iCs/>
          <w:kern w:val="0"/>
          <w:sz w:val="24"/>
          <w:szCs w:val="24"/>
        </w:rPr>
        <w:t>Physiol Rep</w:t>
      </w:r>
      <w:r w:rsidRPr="003B75A0">
        <w:rPr>
          <w:rFonts w:ascii="Book Antiqua" w:hAnsi="Book Antiqua" w:cs="SimSun"/>
          <w:kern w:val="0"/>
          <w:sz w:val="24"/>
          <w:szCs w:val="24"/>
        </w:rPr>
        <w:t> 2016; </w:t>
      </w:r>
      <w:r w:rsidRPr="003B75A0">
        <w:rPr>
          <w:rFonts w:ascii="Book Antiqua" w:hAnsi="Book Antiqua" w:cs="SimSun"/>
          <w:b/>
          <w:bCs/>
          <w:kern w:val="0"/>
          <w:sz w:val="24"/>
          <w:szCs w:val="24"/>
        </w:rPr>
        <w:t>4</w:t>
      </w:r>
      <w:r w:rsidRPr="003B75A0">
        <w:rPr>
          <w:rFonts w:ascii="Book Antiqua" w:hAnsi="Book Antiqua" w:cs="SimSun"/>
          <w:kern w:val="0"/>
          <w:sz w:val="24"/>
          <w:szCs w:val="24"/>
        </w:rPr>
        <w:t>: [PMID: 27582062 DOI: 10.14814/phy2.12909]</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lastRenderedPageBreak/>
        <w:t>38 </w:t>
      </w:r>
      <w:r w:rsidRPr="003B75A0">
        <w:rPr>
          <w:rFonts w:ascii="Book Antiqua" w:hAnsi="Book Antiqua" w:cs="SimSun"/>
          <w:b/>
          <w:bCs/>
          <w:kern w:val="0"/>
          <w:sz w:val="24"/>
          <w:szCs w:val="24"/>
        </w:rPr>
        <w:t>Feijóo-Bandín S</w:t>
      </w:r>
      <w:r w:rsidRPr="003B75A0">
        <w:rPr>
          <w:rFonts w:ascii="Book Antiqua" w:hAnsi="Book Antiqua" w:cs="SimSun"/>
          <w:kern w:val="0"/>
          <w:sz w:val="24"/>
          <w:szCs w:val="24"/>
        </w:rPr>
        <w:t>, Rodríguez-Penas D, García-Rúa V, Mosquera-Leal A, Otero MF, Pereira E, Rubio J, Martínez I, Seoane LM, Gualillo O, Calaza M, García-Caballero T, Portolés M, Roselló-Lletí E, Diéguez C, Rivera M, González-Juanatey JR, Lago F. Nesfatin-1 in human and murine cardiomyocytes: synthesis, secretion, and mobilization of GLUT-4. </w:t>
      </w:r>
      <w:r w:rsidRPr="003B75A0">
        <w:rPr>
          <w:rFonts w:ascii="Book Antiqua" w:hAnsi="Book Antiqua" w:cs="SimSun"/>
          <w:i/>
          <w:iCs/>
          <w:kern w:val="0"/>
          <w:sz w:val="24"/>
          <w:szCs w:val="24"/>
        </w:rPr>
        <w:t>Endocrinology</w:t>
      </w:r>
      <w:r w:rsidRPr="003B75A0">
        <w:rPr>
          <w:rFonts w:ascii="Book Antiqua" w:hAnsi="Book Antiqua" w:cs="SimSun"/>
          <w:kern w:val="0"/>
          <w:sz w:val="24"/>
          <w:szCs w:val="24"/>
        </w:rPr>
        <w:t> 2013; </w:t>
      </w:r>
      <w:r w:rsidRPr="003B75A0">
        <w:rPr>
          <w:rFonts w:ascii="Book Antiqua" w:hAnsi="Book Antiqua" w:cs="SimSun"/>
          <w:b/>
          <w:bCs/>
          <w:kern w:val="0"/>
          <w:sz w:val="24"/>
          <w:szCs w:val="24"/>
        </w:rPr>
        <w:t>154</w:t>
      </w:r>
      <w:r w:rsidRPr="003B75A0">
        <w:rPr>
          <w:rFonts w:ascii="Book Antiqua" w:hAnsi="Book Antiqua" w:cs="SimSun"/>
          <w:kern w:val="0"/>
          <w:sz w:val="24"/>
          <w:szCs w:val="24"/>
        </w:rPr>
        <w:t>: 4757-4767 [PMID: 24064358 DOI: 10.1210/en.2013-1497]</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39 </w:t>
      </w:r>
      <w:r w:rsidRPr="003B75A0">
        <w:rPr>
          <w:rFonts w:ascii="Book Antiqua" w:hAnsi="Book Antiqua" w:cs="SimSun"/>
          <w:b/>
          <w:bCs/>
          <w:kern w:val="0"/>
          <w:sz w:val="24"/>
          <w:szCs w:val="24"/>
        </w:rPr>
        <w:t>Nakata M</w:t>
      </w:r>
      <w:r w:rsidRPr="003B75A0">
        <w:rPr>
          <w:rFonts w:ascii="Book Antiqua" w:hAnsi="Book Antiqua" w:cs="SimSun"/>
          <w:kern w:val="0"/>
          <w:sz w:val="24"/>
          <w:szCs w:val="24"/>
        </w:rPr>
        <w:t>, Yada T. Role of NUCB2/nesfatin-1 in glucose control: diverse functions in islets, adipocytes and brain. </w:t>
      </w:r>
      <w:r w:rsidRPr="003B75A0">
        <w:rPr>
          <w:rFonts w:ascii="Book Antiqua" w:hAnsi="Book Antiqua" w:cs="SimSun"/>
          <w:i/>
          <w:iCs/>
          <w:kern w:val="0"/>
          <w:sz w:val="24"/>
          <w:szCs w:val="24"/>
        </w:rPr>
        <w:t>Curr Pharm Des</w:t>
      </w:r>
      <w:r w:rsidRPr="003B75A0">
        <w:rPr>
          <w:rFonts w:ascii="Book Antiqua" w:hAnsi="Book Antiqua" w:cs="SimSun"/>
          <w:kern w:val="0"/>
          <w:sz w:val="24"/>
          <w:szCs w:val="24"/>
        </w:rPr>
        <w:t> 2013; </w:t>
      </w:r>
      <w:r w:rsidRPr="003B75A0">
        <w:rPr>
          <w:rFonts w:ascii="Book Antiqua" w:hAnsi="Book Antiqua" w:cs="SimSun"/>
          <w:b/>
          <w:bCs/>
          <w:kern w:val="0"/>
          <w:sz w:val="24"/>
          <w:szCs w:val="24"/>
        </w:rPr>
        <w:t>19</w:t>
      </w:r>
      <w:r w:rsidRPr="003B75A0">
        <w:rPr>
          <w:rFonts w:ascii="Book Antiqua" w:hAnsi="Book Antiqua" w:cs="SimSun"/>
          <w:kern w:val="0"/>
          <w:sz w:val="24"/>
          <w:szCs w:val="24"/>
        </w:rPr>
        <w:t>: 6960-6965 [PMID: 23537085]</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40 </w:t>
      </w:r>
      <w:r w:rsidRPr="003B75A0">
        <w:rPr>
          <w:rFonts w:ascii="Book Antiqua" w:hAnsi="Book Antiqua" w:cs="SimSun"/>
          <w:b/>
          <w:bCs/>
          <w:kern w:val="0"/>
          <w:sz w:val="24"/>
          <w:szCs w:val="24"/>
        </w:rPr>
        <w:t>Vas S</w:t>
      </w:r>
      <w:r w:rsidRPr="003B75A0">
        <w:rPr>
          <w:rFonts w:ascii="Book Antiqua" w:hAnsi="Book Antiqua" w:cs="SimSun"/>
          <w:kern w:val="0"/>
          <w:sz w:val="24"/>
          <w:szCs w:val="24"/>
        </w:rPr>
        <w:t>, Ádori C, Könczöl K, Kátai Z, Pap D, Papp RS, Bagdy G, Palkovits M, Tóth ZE. Nesfatin-1/NUCB2 as a potential new element of sleep regulation in rats. </w:t>
      </w:r>
      <w:r w:rsidRPr="003B75A0">
        <w:rPr>
          <w:rFonts w:ascii="Book Antiqua" w:hAnsi="Book Antiqua" w:cs="SimSun"/>
          <w:i/>
          <w:iCs/>
          <w:kern w:val="0"/>
          <w:sz w:val="24"/>
          <w:szCs w:val="24"/>
        </w:rPr>
        <w:t>PLoS One</w:t>
      </w:r>
      <w:r w:rsidRPr="003B75A0">
        <w:rPr>
          <w:rFonts w:ascii="Book Antiqua" w:hAnsi="Book Antiqua" w:cs="SimSun"/>
          <w:kern w:val="0"/>
          <w:sz w:val="24"/>
          <w:szCs w:val="24"/>
        </w:rPr>
        <w:t> 2013; </w:t>
      </w:r>
      <w:r w:rsidRPr="003B75A0">
        <w:rPr>
          <w:rFonts w:ascii="Book Antiqua" w:hAnsi="Book Antiqua" w:cs="SimSun"/>
          <w:b/>
          <w:bCs/>
          <w:kern w:val="0"/>
          <w:sz w:val="24"/>
          <w:szCs w:val="24"/>
        </w:rPr>
        <w:t>8</w:t>
      </w:r>
      <w:r w:rsidRPr="003B75A0">
        <w:rPr>
          <w:rFonts w:ascii="Book Antiqua" w:hAnsi="Book Antiqua" w:cs="SimSun"/>
          <w:kern w:val="0"/>
          <w:sz w:val="24"/>
          <w:szCs w:val="24"/>
        </w:rPr>
        <w:t>: e59809 [PMID: 23560056 DOI: 10.1371/journal.pone.0059809]</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41 </w:t>
      </w:r>
      <w:r w:rsidRPr="003B75A0">
        <w:rPr>
          <w:rFonts w:ascii="Book Antiqua" w:hAnsi="Book Antiqua" w:cs="SimSun"/>
          <w:b/>
          <w:bCs/>
          <w:kern w:val="0"/>
          <w:sz w:val="24"/>
          <w:szCs w:val="24"/>
        </w:rPr>
        <w:t>Yosten GL</w:t>
      </w:r>
      <w:r w:rsidRPr="003B75A0">
        <w:rPr>
          <w:rFonts w:ascii="Book Antiqua" w:hAnsi="Book Antiqua" w:cs="SimSun"/>
          <w:kern w:val="0"/>
          <w:sz w:val="24"/>
          <w:szCs w:val="24"/>
        </w:rPr>
        <w:t>, Samson WK. Cardiovascular and antidipsogenic effects of nesfatin-1. </w:t>
      </w:r>
      <w:r w:rsidRPr="003B75A0">
        <w:rPr>
          <w:rFonts w:ascii="Book Antiqua" w:hAnsi="Book Antiqua" w:cs="SimSun"/>
          <w:i/>
          <w:iCs/>
          <w:kern w:val="0"/>
          <w:sz w:val="24"/>
          <w:szCs w:val="24"/>
        </w:rPr>
        <w:t>Curr Pharm Des</w:t>
      </w:r>
      <w:r w:rsidRPr="003B75A0">
        <w:rPr>
          <w:rFonts w:ascii="Book Antiqua" w:hAnsi="Book Antiqua" w:cs="SimSun"/>
          <w:kern w:val="0"/>
          <w:sz w:val="24"/>
          <w:szCs w:val="24"/>
        </w:rPr>
        <w:t> 2013; </w:t>
      </w:r>
      <w:r w:rsidRPr="003B75A0">
        <w:rPr>
          <w:rFonts w:ascii="Book Antiqua" w:hAnsi="Book Antiqua" w:cs="SimSun"/>
          <w:b/>
          <w:bCs/>
          <w:kern w:val="0"/>
          <w:sz w:val="24"/>
          <w:szCs w:val="24"/>
        </w:rPr>
        <w:t>19</w:t>
      </w:r>
      <w:r w:rsidRPr="003B75A0">
        <w:rPr>
          <w:rFonts w:ascii="Book Antiqua" w:hAnsi="Book Antiqua" w:cs="SimSun"/>
          <w:kern w:val="0"/>
          <w:sz w:val="24"/>
          <w:szCs w:val="24"/>
        </w:rPr>
        <w:t>: 6973-6975 [PMID: 23537087]</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42 </w:t>
      </w:r>
      <w:r w:rsidRPr="003B75A0">
        <w:rPr>
          <w:rFonts w:ascii="Book Antiqua" w:hAnsi="Book Antiqua" w:cs="SimSun"/>
          <w:b/>
          <w:bCs/>
          <w:kern w:val="0"/>
          <w:sz w:val="24"/>
          <w:szCs w:val="24"/>
        </w:rPr>
        <w:t>Pan W</w:t>
      </w:r>
      <w:r w:rsidRPr="003B75A0">
        <w:rPr>
          <w:rFonts w:ascii="Book Antiqua" w:hAnsi="Book Antiqua" w:cs="SimSun"/>
          <w:kern w:val="0"/>
          <w:sz w:val="24"/>
          <w:szCs w:val="24"/>
        </w:rPr>
        <w:t>, Hsuchou H, Kastin AJ. Nesfatin-1 crosses the blood-brain barrier without saturation. </w:t>
      </w:r>
      <w:r w:rsidRPr="003B75A0">
        <w:rPr>
          <w:rFonts w:ascii="Book Antiqua" w:hAnsi="Book Antiqua" w:cs="SimSun"/>
          <w:i/>
          <w:iCs/>
          <w:kern w:val="0"/>
          <w:sz w:val="24"/>
          <w:szCs w:val="24"/>
        </w:rPr>
        <w:t>Peptides</w:t>
      </w:r>
      <w:r w:rsidRPr="003B75A0">
        <w:rPr>
          <w:rFonts w:ascii="Book Antiqua" w:hAnsi="Book Antiqua" w:cs="SimSun"/>
          <w:kern w:val="0"/>
          <w:sz w:val="24"/>
          <w:szCs w:val="24"/>
        </w:rPr>
        <w:t> 2007; </w:t>
      </w:r>
      <w:r w:rsidRPr="003B75A0">
        <w:rPr>
          <w:rFonts w:ascii="Book Antiqua" w:hAnsi="Book Antiqua" w:cs="SimSun"/>
          <w:b/>
          <w:bCs/>
          <w:kern w:val="0"/>
          <w:sz w:val="24"/>
          <w:szCs w:val="24"/>
        </w:rPr>
        <w:t>28</w:t>
      </w:r>
      <w:r w:rsidRPr="003B75A0">
        <w:rPr>
          <w:rFonts w:ascii="Book Antiqua" w:hAnsi="Book Antiqua" w:cs="SimSun"/>
          <w:kern w:val="0"/>
          <w:sz w:val="24"/>
          <w:szCs w:val="24"/>
        </w:rPr>
        <w:t>: 2223-2228 [PMID: 17950952 DOI: 10.1016/j.peptides.2007.09.005]</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43 </w:t>
      </w:r>
      <w:r w:rsidRPr="003B75A0">
        <w:rPr>
          <w:rFonts w:ascii="Book Antiqua" w:hAnsi="Book Antiqua" w:cs="SimSun"/>
          <w:b/>
          <w:bCs/>
          <w:kern w:val="0"/>
          <w:sz w:val="24"/>
          <w:szCs w:val="24"/>
        </w:rPr>
        <w:t>Atsuchi K</w:t>
      </w:r>
      <w:r w:rsidRPr="003B75A0">
        <w:rPr>
          <w:rFonts w:ascii="Book Antiqua" w:hAnsi="Book Antiqua" w:cs="SimSun"/>
          <w:kern w:val="0"/>
          <w:sz w:val="24"/>
          <w:szCs w:val="24"/>
        </w:rPr>
        <w:t>, Asakawa A, Ushikai M, Ataka K, Tsai M, Koyama K, Sato Y, Kato I, Fujimiya M, Inui A. Centrally administered nesfatin-1 inhibits feeding behaviour and gastroduodenal motility in mice. </w:t>
      </w:r>
      <w:r w:rsidRPr="003B75A0">
        <w:rPr>
          <w:rFonts w:ascii="Book Antiqua" w:hAnsi="Book Antiqua" w:cs="SimSun"/>
          <w:i/>
          <w:iCs/>
          <w:kern w:val="0"/>
          <w:sz w:val="24"/>
          <w:szCs w:val="24"/>
        </w:rPr>
        <w:t>Neuroreport</w:t>
      </w:r>
      <w:r w:rsidRPr="003B75A0">
        <w:rPr>
          <w:rFonts w:ascii="Book Antiqua" w:hAnsi="Book Antiqua" w:cs="SimSun"/>
          <w:kern w:val="0"/>
          <w:sz w:val="24"/>
          <w:szCs w:val="24"/>
        </w:rPr>
        <w:t> 2010; </w:t>
      </w:r>
      <w:r w:rsidRPr="003B75A0">
        <w:rPr>
          <w:rFonts w:ascii="Book Antiqua" w:hAnsi="Book Antiqua" w:cs="SimSun"/>
          <w:b/>
          <w:bCs/>
          <w:kern w:val="0"/>
          <w:sz w:val="24"/>
          <w:szCs w:val="24"/>
        </w:rPr>
        <w:t>21</w:t>
      </w:r>
      <w:r w:rsidRPr="003B75A0">
        <w:rPr>
          <w:rFonts w:ascii="Book Antiqua" w:hAnsi="Book Antiqua" w:cs="SimSun"/>
          <w:kern w:val="0"/>
          <w:sz w:val="24"/>
          <w:szCs w:val="24"/>
        </w:rPr>
        <w:t>: 1008-1011 [PMID: 20827224 DOI: 10.1097/WNR.0b013e32833f7b96]</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44 </w:t>
      </w:r>
      <w:r w:rsidRPr="003B75A0">
        <w:rPr>
          <w:rFonts w:ascii="Book Antiqua" w:hAnsi="Book Antiqua" w:cs="SimSun"/>
          <w:b/>
          <w:bCs/>
          <w:kern w:val="0"/>
          <w:sz w:val="24"/>
          <w:szCs w:val="24"/>
        </w:rPr>
        <w:t>Oh-I S</w:t>
      </w:r>
      <w:r w:rsidRPr="003B75A0">
        <w:rPr>
          <w:rFonts w:ascii="Book Antiqua" w:hAnsi="Book Antiqua" w:cs="SimSun"/>
          <w:kern w:val="0"/>
          <w:sz w:val="24"/>
          <w:szCs w:val="24"/>
        </w:rPr>
        <w:t>, Shimizu H, Satoh T, Okada S, Adachi S, Inoue K, Eguchi H, Yamamoto M, Imaki T, Hashimoto K, Tsuchiya T, Monden T, Horiguchi K, Yamada M, Mori M. Identification of nesfatin-1 as a satiety molecule in the hypothalamus. </w:t>
      </w:r>
      <w:r w:rsidRPr="003B75A0">
        <w:rPr>
          <w:rFonts w:ascii="Book Antiqua" w:hAnsi="Book Antiqua" w:cs="SimSun"/>
          <w:i/>
          <w:iCs/>
          <w:kern w:val="0"/>
          <w:sz w:val="24"/>
          <w:szCs w:val="24"/>
        </w:rPr>
        <w:t>Nature</w:t>
      </w:r>
      <w:r w:rsidRPr="003B75A0">
        <w:rPr>
          <w:rFonts w:ascii="Book Antiqua" w:hAnsi="Book Antiqua" w:cs="SimSun"/>
          <w:kern w:val="0"/>
          <w:sz w:val="24"/>
          <w:szCs w:val="24"/>
        </w:rPr>
        <w:t> 2006; </w:t>
      </w:r>
      <w:r w:rsidRPr="003B75A0">
        <w:rPr>
          <w:rFonts w:ascii="Book Antiqua" w:hAnsi="Book Antiqua" w:cs="SimSun"/>
          <w:b/>
          <w:bCs/>
          <w:kern w:val="0"/>
          <w:sz w:val="24"/>
          <w:szCs w:val="24"/>
        </w:rPr>
        <w:t>443</w:t>
      </w:r>
      <w:r w:rsidRPr="003B75A0">
        <w:rPr>
          <w:rFonts w:ascii="Book Antiqua" w:hAnsi="Book Antiqua" w:cs="SimSun"/>
          <w:kern w:val="0"/>
          <w:sz w:val="24"/>
          <w:szCs w:val="24"/>
        </w:rPr>
        <w:t>: 709-712 [PMID: 17036007 DOI: 10.1038/nature05162]</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45 </w:t>
      </w:r>
      <w:r w:rsidRPr="003B75A0">
        <w:rPr>
          <w:rFonts w:ascii="Book Antiqua" w:hAnsi="Book Antiqua" w:cs="SimSun"/>
          <w:b/>
          <w:bCs/>
          <w:kern w:val="0"/>
          <w:sz w:val="24"/>
          <w:szCs w:val="24"/>
        </w:rPr>
        <w:t>Senin LL</w:t>
      </w:r>
      <w:r w:rsidRPr="003B75A0">
        <w:rPr>
          <w:rFonts w:ascii="Book Antiqua" w:hAnsi="Book Antiqua" w:cs="SimSun"/>
          <w:kern w:val="0"/>
          <w:sz w:val="24"/>
          <w:szCs w:val="24"/>
        </w:rPr>
        <w:t xml:space="preserve">, Al-Massadi O, Barja-Fernandez S, Folgueira C, Castelao C, Tovar SA, Leis R, Lago F, Baltar J, Baamonde I, Dieguez C, Casanueva FF, Seoane </w:t>
      </w:r>
      <w:r w:rsidRPr="003B75A0">
        <w:rPr>
          <w:rFonts w:ascii="Book Antiqua" w:hAnsi="Book Antiqua" w:cs="SimSun"/>
          <w:kern w:val="0"/>
          <w:sz w:val="24"/>
          <w:szCs w:val="24"/>
        </w:rPr>
        <w:lastRenderedPageBreak/>
        <w:t>LM. Regulation of NUCB2/nesfatin-1 production in rat's stomach and adipose tissue is dependent on age, testosterone levels and lactating status. </w:t>
      </w:r>
      <w:r w:rsidRPr="003B75A0">
        <w:rPr>
          <w:rFonts w:ascii="Book Antiqua" w:hAnsi="Book Antiqua" w:cs="SimSun"/>
          <w:i/>
          <w:iCs/>
          <w:kern w:val="0"/>
          <w:sz w:val="24"/>
          <w:szCs w:val="24"/>
        </w:rPr>
        <w:t>Mol Cell Endocrinol</w:t>
      </w:r>
      <w:r w:rsidRPr="003B75A0">
        <w:rPr>
          <w:rFonts w:ascii="Book Antiqua" w:hAnsi="Book Antiqua" w:cs="SimSun"/>
          <w:kern w:val="0"/>
          <w:sz w:val="24"/>
          <w:szCs w:val="24"/>
        </w:rPr>
        <w:t> 2015; </w:t>
      </w:r>
      <w:r w:rsidRPr="003B75A0">
        <w:rPr>
          <w:rFonts w:ascii="Book Antiqua" w:hAnsi="Book Antiqua" w:cs="SimSun"/>
          <w:b/>
          <w:bCs/>
          <w:kern w:val="0"/>
          <w:sz w:val="24"/>
          <w:szCs w:val="24"/>
        </w:rPr>
        <w:t>411</w:t>
      </w:r>
      <w:r w:rsidRPr="003B75A0">
        <w:rPr>
          <w:rFonts w:ascii="Book Antiqua" w:hAnsi="Book Antiqua" w:cs="SimSun"/>
          <w:kern w:val="0"/>
          <w:sz w:val="24"/>
          <w:szCs w:val="24"/>
        </w:rPr>
        <w:t>: 105-112 [PMID: 25916958 DOI: 10.1016/j.mce.2015.04.016]</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46 </w:t>
      </w:r>
      <w:r w:rsidRPr="003B75A0">
        <w:rPr>
          <w:rFonts w:ascii="Book Antiqua" w:hAnsi="Book Antiqua" w:cs="SimSun"/>
          <w:b/>
          <w:bCs/>
          <w:kern w:val="0"/>
          <w:sz w:val="24"/>
          <w:szCs w:val="24"/>
        </w:rPr>
        <w:t>Duggan JP</w:t>
      </w:r>
      <w:r w:rsidRPr="003B75A0">
        <w:rPr>
          <w:rFonts w:ascii="Book Antiqua" w:hAnsi="Book Antiqua" w:cs="SimSun"/>
          <w:kern w:val="0"/>
          <w:sz w:val="24"/>
          <w:szCs w:val="24"/>
        </w:rPr>
        <w:t>, Booth DA. Obesity, overeating, and rapid gastric emptying in rats with ventromedial hypothalamic lesions. </w:t>
      </w:r>
      <w:r w:rsidRPr="003B75A0">
        <w:rPr>
          <w:rFonts w:ascii="Book Antiqua" w:hAnsi="Book Antiqua" w:cs="SimSun"/>
          <w:i/>
          <w:iCs/>
          <w:kern w:val="0"/>
          <w:sz w:val="24"/>
          <w:szCs w:val="24"/>
        </w:rPr>
        <w:t>Science</w:t>
      </w:r>
      <w:r w:rsidRPr="003B75A0">
        <w:rPr>
          <w:rFonts w:ascii="Book Antiqua" w:hAnsi="Book Antiqua" w:cs="SimSun"/>
          <w:kern w:val="0"/>
          <w:sz w:val="24"/>
          <w:szCs w:val="24"/>
        </w:rPr>
        <w:t> 1986; </w:t>
      </w:r>
      <w:r w:rsidRPr="003B75A0">
        <w:rPr>
          <w:rFonts w:ascii="Book Antiqua" w:hAnsi="Book Antiqua" w:cs="SimSun"/>
          <w:b/>
          <w:bCs/>
          <w:kern w:val="0"/>
          <w:sz w:val="24"/>
          <w:szCs w:val="24"/>
        </w:rPr>
        <w:t>231</w:t>
      </w:r>
      <w:r w:rsidRPr="003B75A0">
        <w:rPr>
          <w:rFonts w:ascii="Book Antiqua" w:hAnsi="Book Antiqua" w:cs="SimSun"/>
          <w:kern w:val="0"/>
          <w:sz w:val="24"/>
          <w:szCs w:val="24"/>
        </w:rPr>
        <w:t>: 609-611 [PMID: 3511527]</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47 </w:t>
      </w:r>
      <w:r w:rsidRPr="003B75A0">
        <w:rPr>
          <w:rFonts w:ascii="Book Antiqua" w:hAnsi="Book Antiqua" w:cs="SimSun"/>
          <w:b/>
          <w:bCs/>
          <w:kern w:val="0"/>
          <w:sz w:val="24"/>
          <w:szCs w:val="24"/>
        </w:rPr>
        <w:t>Qin H</w:t>
      </w:r>
      <w:r w:rsidRPr="003B75A0">
        <w:rPr>
          <w:rFonts w:ascii="Book Antiqua" w:hAnsi="Book Antiqua" w:cs="SimSun"/>
          <w:kern w:val="0"/>
          <w:sz w:val="24"/>
          <w:szCs w:val="24"/>
        </w:rPr>
        <w:t>, Zhang Y, Wang R, Du X, Li L, Du H. Puerarin Suppresses Na+-K+-ATPase-Mediated Systemic Inflammation and CD36 Expression, and Alleviates Cardiac Lipotoxicity In Vitro and In Vivo. </w:t>
      </w:r>
      <w:r w:rsidRPr="003B75A0">
        <w:rPr>
          <w:rFonts w:ascii="Book Antiqua" w:hAnsi="Book Antiqua" w:cs="SimSun"/>
          <w:i/>
          <w:iCs/>
          <w:kern w:val="0"/>
          <w:sz w:val="24"/>
          <w:szCs w:val="24"/>
        </w:rPr>
        <w:t>J Cardiovasc Pharmacol</w:t>
      </w:r>
      <w:r w:rsidRPr="003B75A0">
        <w:rPr>
          <w:rFonts w:ascii="Book Antiqua" w:hAnsi="Book Antiqua" w:cs="SimSun"/>
          <w:kern w:val="0"/>
          <w:sz w:val="24"/>
          <w:szCs w:val="24"/>
        </w:rPr>
        <w:t> 2016; </w:t>
      </w:r>
      <w:r w:rsidRPr="003B75A0">
        <w:rPr>
          <w:rFonts w:ascii="Book Antiqua" w:hAnsi="Book Antiqua" w:cs="SimSun"/>
          <w:b/>
          <w:bCs/>
          <w:kern w:val="0"/>
          <w:sz w:val="24"/>
          <w:szCs w:val="24"/>
        </w:rPr>
        <w:t>68</w:t>
      </w:r>
      <w:r w:rsidRPr="003B75A0">
        <w:rPr>
          <w:rFonts w:ascii="Book Antiqua" w:hAnsi="Book Antiqua" w:cs="SimSun"/>
          <w:kern w:val="0"/>
          <w:sz w:val="24"/>
          <w:szCs w:val="24"/>
        </w:rPr>
        <w:t>: 465-472 [PMID: 27606935 DOI: 10.1097/FJC.0000000000000431]</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48 </w:t>
      </w:r>
      <w:r w:rsidRPr="003B75A0">
        <w:rPr>
          <w:rFonts w:ascii="Book Antiqua" w:hAnsi="Book Antiqua" w:cs="SimSun"/>
          <w:b/>
          <w:bCs/>
          <w:kern w:val="0"/>
          <w:sz w:val="24"/>
          <w:szCs w:val="24"/>
        </w:rPr>
        <w:t>Walter C</w:t>
      </w:r>
      <w:r w:rsidRPr="003B75A0">
        <w:rPr>
          <w:rFonts w:ascii="Book Antiqua" w:hAnsi="Book Antiqua" w:cs="SimSun"/>
          <w:kern w:val="0"/>
          <w:sz w:val="24"/>
          <w:szCs w:val="24"/>
        </w:rPr>
        <w:t>, Tanfous MB, Igoudjil K, Salhi A, Escher G, Crambert G. H,K-ATPase type 2 contributes to salt-sensitive hypertension induced by K(+) restriction. </w:t>
      </w:r>
      <w:r w:rsidRPr="003B75A0">
        <w:rPr>
          <w:rFonts w:ascii="Book Antiqua" w:hAnsi="Book Antiqua" w:cs="SimSun"/>
          <w:i/>
          <w:iCs/>
          <w:kern w:val="0"/>
          <w:sz w:val="24"/>
          <w:szCs w:val="24"/>
        </w:rPr>
        <w:t>Pflugers Arch</w:t>
      </w:r>
      <w:r w:rsidRPr="003B75A0">
        <w:rPr>
          <w:rFonts w:ascii="Book Antiqua" w:hAnsi="Book Antiqua" w:cs="SimSun"/>
          <w:kern w:val="0"/>
          <w:sz w:val="24"/>
          <w:szCs w:val="24"/>
        </w:rPr>
        <w:t> 2016; </w:t>
      </w:r>
      <w:r w:rsidRPr="003B75A0">
        <w:rPr>
          <w:rFonts w:ascii="Book Antiqua" w:hAnsi="Book Antiqua" w:cs="SimSun"/>
          <w:b/>
          <w:bCs/>
          <w:kern w:val="0"/>
          <w:sz w:val="24"/>
          <w:szCs w:val="24"/>
        </w:rPr>
        <w:t>468</w:t>
      </w:r>
      <w:r w:rsidRPr="003B75A0">
        <w:rPr>
          <w:rFonts w:ascii="Book Antiqua" w:hAnsi="Book Antiqua" w:cs="SimSun"/>
          <w:kern w:val="0"/>
          <w:sz w:val="24"/>
          <w:szCs w:val="24"/>
        </w:rPr>
        <w:t>: 1673-1683 [PMID: 27562425 DOI: 10.1007/s00424-016-1872-z]</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49 </w:t>
      </w:r>
      <w:r w:rsidRPr="003B75A0">
        <w:rPr>
          <w:rFonts w:ascii="Book Antiqua" w:hAnsi="Book Antiqua" w:cs="SimSun"/>
          <w:b/>
          <w:bCs/>
          <w:kern w:val="0"/>
          <w:sz w:val="24"/>
          <w:szCs w:val="24"/>
        </w:rPr>
        <w:t>Miyazaki H</w:t>
      </w:r>
      <w:r w:rsidRPr="003B75A0">
        <w:rPr>
          <w:rFonts w:ascii="Book Antiqua" w:hAnsi="Book Antiqua" w:cs="SimSun"/>
          <w:kern w:val="0"/>
          <w:sz w:val="24"/>
          <w:szCs w:val="24"/>
        </w:rPr>
        <w:t>, Wangemann P, Marcus DC. The gastric H,K-ATPase in stria vascularis contributes to pH regulation of cochlear endolymph but not to K secretion. </w:t>
      </w:r>
      <w:r w:rsidRPr="003B75A0">
        <w:rPr>
          <w:rFonts w:ascii="Book Antiqua" w:hAnsi="Book Antiqua" w:cs="SimSun"/>
          <w:i/>
          <w:iCs/>
          <w:kern w:val="0"/>
          <w:sz w:val="24"/>
          <w:szCs w:val="24"/>
        </w:rPr>
        <w:t>BMC Physiol</w:t>
      </w:r>
      <w:r w:rsidRPr="003B75A0">
        <w:rPr>
          <w:rFonts w:ascii="Book Antiqua" w:hAnsi="Book Antiqua" w:cs="SimSun"/>
          <w:kern w:val="0"/>
          <w:sz w:val="24"/>
          <w:szCs w:val="24"/>
        </w:rPr>
        <w:t> 2016; </w:t>
      </w:r>
      <w:r w:rsidRPr="003B75A0">
        <w:rPr>
          <w:rFonts w:ascii="Book Antiqua" w:hAnsi="Book Antiqua" w:cs="SimSun"/>
          <w:b/>
          <w:bCs/>
          <w:kern w:val="0"/>
          <w:sz w:val="24"/>
          <w:szCs w:val="24"/>
        </w:rPr>
        <w:t>17</w:t>
      </w:r>
      <w:r w:rsidRPr="003B75A0">
        <w:rPr>
          <w:rFonts w:ascii="Book Antiqua" w:hAnsi="Book Antiqua" w:cs="SimSun"/>
          <w:kern w:val="0"/>
          <w:sz w:val="24"/>
          <w:szCs w:val="24"/>
        </w:rPr>
        <w:t>: 1 [PMID: 27515813 DOI: 10.1186/s12899-016-0024-1]</w:t>
      </w:r>
    </w:p>
    <w:p w:rsidR="002C2C67" w:rsidRPr="003B75A0" w:rsidRDefault="002C2C67" w:rsidP="002C2C67">
      <w:pPr>
        <w:widowControl/>
        <w:spacing w:line="360" w:lineRule="auto"/>
        <w:rPr>
          <w:rFonts w:ascii="Book Antiqua" w:hAnsi="Book Antiqua" w:cs="SimSun"/>
          <w:kern w:val="0"/>
          <w:sz w:val="24"/>
          <w:szCs w:val="24"/>
        </w:rPr>
      </w:pPr>
      <w:r w:rsidRPr="003B75A0">
        <w:rPr>
          <w:rFonts w:ascii="Book Antiqua" w:hAnsi="Book Antiqua" w:cs="SimSun"/>
          <w:kern w:val="0"/>
          <w:sz w:val="24"/>
          <w:szCs w:val="24"/>
        </w:rPr>
        <w:t>50 </w:t>
      </w:r>
      <w:r w:rsidRPr="003B75A0">
        <w:rPr>
          <w:rFonts w:ascii="Book Antiqua" w:hAnsi="Book Antiqua" w:cs="SimSun"/>
          <w:b/>
          <w:bCs/>
          <w:kern w:val="0"/>
          <w:sz w:val="24"/>
          <w:szCs w:val="24"/>
        </w:rPr>
        <w:t>Wyckelsma VL</w:t>
      </w:r>
      <w:r w:rsidRPr="003B75A0">
        <w:rPr>
          <w:rFonts w:ascii="Book Antiqua" w:hAnsi="Book Antiqua" w:cs="SimSun"/>
          <w:kern w:val="0"/>
          <w:sz w:val="24"/>
          <w:szCs w:val="24"/>
        </w:rPr>
        <w:t>, McKenna MJ. Effects of Age on Na(+),</w:t>
      </w:r>
      <w:r w:rsidR="00FB2A00">
        <w:rPr>
          <w:rFonts w:ascii="Book Antiqua" w:hAnsi="Book Antiqua" w:cs="SimSun" w:hint="eastAsia"/>
          <w:kern w:val="0"/>
          <w:sz w:val="24"/>
          <w:szCs w:val="24"/>
        </w:rPr>
        <w:t xml:space="preserve"> </w:t>
      </w:r>
      <w:r w:rsidRPr="003B75A0">
        <w:rPr>
          <w:rFonts w:ascii="Book Antiqua" w:hAnsi="Book Antiqua" w:cs="SimSun"/>
          <w:kern w:val="0"/>
          <w:sz w:val="24"/>
          <w:szCs w:val="24"/>
        </w:rPr>
        <w:t>K(+)-ATPase Expression in Human and Rodent Skeletal Muscle. </w:t>
      </w:r>
      <w:r w:rsidRPr="003B75A0">
        <w:rPr>
          <w:rFonts w:ascii="Book Antiqua" w:hAnsi="Book Antiqua" w:cs="SimSun"/>
          <w:i/>
          <w:iCs/>
          <w:kern w:val="0"/>
          <w:sz w:val="24"/>
          <w:szCs w:val="24"/>
        </w:rPr>
        <w:t>Front Physiol</w:t>
      </w:r>
      <w:r w:rsidRPr="003B75A0">
        <w:rPr>
          <w:rFonts w:ascii="Book Antiqua" w:hAnsi="Book Antiqua" w:cs="SimSun"/>
          <w:kern w:val="0"/>
          <w:sz w:val="24"/>
          <w:szCs w:val="24"/>
        </w:rPr>
        <w:t> 2016; </w:t>
      </w:r>
      <w:r w:rsidRPr="003B75A0">
        <w:rPr>
          <w:rFonts w:ascii="Book Antiqua" w:hAnsi="Book Antiqua" w:cs="SimSun"/>
          <w:b/>
          <w:bCs/>
          <w:kern w:val="0"/>
          <w:sz w:val="24"/>
          <w:szCs w:val="24"/>
        </w:rPr>
        <w:t>7</w:t>
      </w:r>
      <w:r w:rsidRPr="003B75A0">
        <w:rPr>
          <w:rFonts w:ascii="Book Antiqua" w:hAnsi="Book Antiqua" w:cs="SimSun"/>
          <w:kern w:val="0"/>
          <w:sz w:val="24"/>
          <w:szCs w:val="24"/>
        </w:rPr>
        <w:t>: 316 [PMID: 27531982 DOI: 10.3389/fphys.2016.00316]</w:t>
      </w:r>
    </w:p>
    <w:p w:rsidR="00D33399" w:rsidRPr="00566E2C" w:rsidRDefault="00D33399" w:rsidP="00D33399">
      <w:pPr>
        <w:pStyle w:val="EndNoteBibliography"/>
        <w:spacing w:line="360" w:lineRule="auto"/>
        <w:rPr>
          <w:rFonts w:ascii="Book Antiqua" w:hAnsi="Book Antiqua"/>
          <w:noProof/>
          <w:sz w:val="24"/>
          <w:szCs w:val="24"/>
        </w:rPr>
      </w:pPr>
    </w:p>
    <w:p w:rsidR="00D33399" w:rsidRPr="008E0A88" w:rsidRDefault="00D33399" w:rsidP="00D33399">
      <w:pPr>
        <w:pStyle w:val="ListParagraph"/>
        <w:spacing w:line="360" w:lineRule="auto"/>
        <w:ind w:right="120" w:firstLineChars="0" w:firstLine="0"/>
        <w:rPr>
          <w:rFonts w:ascii="Book Antiqua" w:eastAsia="SimSun" w:hAnsi="Book Antiqua"/>
          <w:b/>
          <w:bCs/>
          <w:color w:val="000000"/>
          <w:lang w:eastAsia="zh-CN"/>
        </w:rPr>
      </w:pPr>
      <w:bookmarkStart w:id="63" w:name="OLE_LINK86"/>
      <w:bookmarkStart w:id="64" w:name="OLE_LINK88"/>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004E2B33" w:rsidRPr="004E2B33">
        <w:rPr>
          <w:rFonts w:ascii="Book Antiqua" w:hAnsi="Book Antiqua"/>
          <w:bCs/>
          <w:color w:val="000000"/>
        </w:rPr>
        <w:t>Arredondo</w:t>
      </w:r>
      <w:r w:rsidR="004E2B33" w:rsidRPr="00A901BF">
        <w:rPr>
          <w:rFonts w:ascii="Book Antiqua" w:eastAsia="SimSun" w:hAnsi="Book Antiqua" w:hint="eastAsia"/>
          <w:bCs/>
          <w:color w:val="000000"/>
          <w:lang w:eastAsia="zh-CN"/>
        </w:rPr>
        <w:t xml:space="preserve"> </w:t>
      </w:r>
      <w:r w:rsidR="004E2B33" w:rsidRPr="004E2B33">
        <w:rPr>
          <w:rFonts w:ascii="Book Antiqua" w:hAnsi="Book Antiqua"/>
          <w:bCs/>
          <w:color w:val="000000"/>
        </w:rPr>
        <w:t>M</w:t>
      </w:r>
      <w:r w:rsidR="004E2B33" w:rsidRPr="00A901BF">
        <w:rPr>
          <w:rFonts w:ascii="Book Antiqua" w:eastAsia="SimSun" w:hAnsi="Book Antiqua" w:hint="eastAsia"/>
          <w:bCs/>
          <w:color w:val="000000"/>
          <w:lang w:eastAsia="zh-CN"/>
        </w:rPr>
        <w:t>,</w:t>
      </w:r>
      <w:r w:rsidRPr="00712F63">
        <w:rPr>
          <w:rFonts w:ascii="Book Antiqua" w:hAnsi="Book Antiqua"/>
          <w:bCs/>
          <w:color w:val="000000"/>
        </w:rPr>
        <w:t xml:space="preserve"> </w:t>
      </w:r>
      <w:r w:rsidR="004E2B33" w:rsidRPr="004E2B33">
        <w:rPr>
          <w:rFonts w:ascii="Book Antiqua" w:hAnsi="Book Antiqua"/>
          <w:bCs/>
          <w:color w:val="000000"/>
        </w:rPr>
        <w:t>Berger</w:t>
      </w:r>
      <w:r w:rsidR="004E2B33" w:rsidRPr="00A901BF">
        <w:rPr>
          <w:rFonts w:ascii="Book Antiqua" w:eastAsia="SimSun" w:hAnsi="Book Antiqua" w:hint="eastAsia"/>
          <w:bCs/>
          <w:color w:val="000000"/>
          <w:lang w:eastAsia="zh-CN"/>
        </w:rPr>
        <w:t xml:space="preserve"> </w:t>
      </w:r>
      <w:r w:rsidR="004E2B33" w:rsidRPr="00A901BF">
        <w:rPr>
          <w:rFonts w:ascii="Book Antiqua" w:eastAsia="SimSun" w:hAnsi="Book Antiqua"/>
          <w:bCs/>
          <w:color w:val="000000"/>
          <w:lang w:eastAsia="zh-CN"/>
        </w:rPr>
        <w:t>BM</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009F2E4D" w:rsidRPr="00A901BF">
        <w:rPr>
          <w:rFonts w:ascii="Book Antiqua" w:eastAsia="SimSun" w:hAnsi="Book Antiqua" w:hint="eastAsia"/>
          <w:b/>
          <w:bCs/>
          <w:color w:val="000000"/>
          <w:lang w:eastAsia="zh-CN"/>
        </w:rPr>
        <w:t xml:space="preserve"> </w:t>
      </w:r>
      <w:r w:rsidRPr="00712F63">
        <w:rPr>
          <w:rFonts w:ascii="Book Antiqua" w:hAnsi="Book Antiqua"/>
          <w:b/>
          <w:bCs/>
          <w:color w:val="000000"/>
        </w:rPr>
        <w:t>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rsidR="008D106C" w:rsidRDefault="008D106C" w:rsidP="00D33399">
      <w:pPr>
        <w:shd w:val="clear" w:color="auto" w:fill="FFFFFF"/>
        <w:snapToGrid w:val="0"/>
        <w:spacing w:line="360" w:lineRule="auto"/>
        <w:rPr>
          <w:rFonts w:ascii="Book Antiqua" w:hAnsi="Book Antiqua" w:cs="Helvetica"/>
          <w:b/>
          <w:sz w:val="24"/>
        </w:rPr>
      </w:pPr>
    </w:p>
    <w:p w:rsidR="00D33399" w:rsidRPr="008F0DB6" w:rsidRDefault="00D33399" w:rsidP="00D33399">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D33399" w:rsidRPr="008F0DB6" w:rsidRDefault="00D33399" w:rsidP="00D33399">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 xml:space="preserve">Country of origin: </w:t>
      </w:r>
      <w:r w:rsidR="009F2E4D" w:rsidRPr="009F2E4D">
        <w:rPr>
          <w:rFonts w:ascii="Book Antiqua" w:hAnsi="Book Antiqua" w:cs="Helvetica" w:hint="eastAsia"/>
          <w:sz w:val="24"/>
        </w:rPr>
        <w:t>China</w:t>
      </w:r>
    </w:p>
    <w:p w:rsidR="00D33399" w:rsidRPr="008F0DB6" w:rsidRDefault="00D33399" w:rsidP="00D33399">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rsidR="00D33399" w:rsidRPr="008F0DB6" w:rsidRDefault="00D33399" w:rsidP="00D33399">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rsidR="00D33399" w:rsidRPr="008F0DB6" w:rsidRDefault="00D33399" w:rsidP="00D33399">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lastRenderedPageBreak/>
        <w:t xml:space="preserve">Grade B (Very good): </w:t>
      </w:r>
      <w:r w:rsidR="009F2E4D">
        <w:rPr>
          <w:rFonts w:ascii="Book Antiqua" w:hAnsi="Book Antiqua" w:cs="Helvetica" w:hint="eastAsia"/>
          <w:sz w:val="24"/>
        </w:rPr>
        <w:t>B</w:t>
      </w:r>
    </w:p>
    <w:p w:rsidR="00D33399" w:rsidRPr="008F0DB6" w:rsidRDefault="00D33399" w:rsidP="00D33399">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009F2E4D">
        <w:rPr>
          <w:rFonts w:ascii="Book Antiqua" w:hAnsi="Book Antiqua" w:cs="Helvetica" w:hint="eastAsia"/>
          <w:sz w:val="24"/>
        </w:rPr>
        <w:t>C</w:t>
      </w:r>
    </w:p>
    <w:p w:rsidR="00D33399" w:rsidRPr="008F0DB6" w:rsidRDefault="00D33399" w:rsidP="00D33399">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D33399" w:rsidRPr="008F0DB6" w:rsidRDefault="00D33399" w:rsidP="00D33399">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bookmarkEnd w:id="63"/>
    <w:bookmarkEnd w:id="64"/>
    <w:p w:rsidR="00D03341" w:rsidRPr="001D6E50" w:rsidRDefault="001D6E50" w:rsidP="001D6E50">
      <w:pPr>
        <w:spacing w:line="360" w:lineRule="auto"/>
        <w:rPr>
          <w:rFonts w:ascii="Book Antiqua" w:hAnsi="Book Antiqua"/>
          <w:b/>
          <w:sz w:val="24"/>
          <w:szCs w:val="24"/>
        </w:rPr>
      </w:pPr>
      <w:r>
        <w:rPr>
          <w:rFonts w:ascii="Book Antiqua" w:hAnsi="Book Antiqua"/>
          <w:sz w:val="24"/>
          <w:szCs w:val="24"/>
        </w:rPr>
        <w:br w:type="page"/>
      </w:r>
      <w:r w:rsidRPr="001D6E50">
        <w:rPr>
          <w:rFonts w:ascii="Book Antiqua" w:hAnsi="Book Antiqua"/>
          <w:b/>
          <w:sz w:val="24"/>
          <w:szCs w:val="24"/>
        </w:rPr>
        <w:lastRenderedPageBreak/>
        <w:t>Table</w:t>
      </w:r>
      <w:r w:rsidR="009F2E4D">
        <w:rPr>
          <w:rFonts w:ascii="Book Antiqua" w:hAnsi="Book Antiqua" w:hint="eastAsia"/>
          <w:b/>
          <w:sz w:val="24"/>
          <w:szCs w:val="24"/>
        </w:rPr>
        <w:t xml:space="preserve"> </w:t>
      </w:r>
      <w:r w:rsidRPr="001D6E50">
        <w:rPr>
          <w:rFonts w:ascii="Book Antiqua" w:hAnsi="Book Antiqua"/>
          <w:b/>
          <w:sz w:val="24"/>
          <w:szCs w:val="24"/>
        </w:rPr>
        <w:t>1</w:t>
      </w:r>
      <w:r w:rsidRPr="001D6E50">
        <w:rPr>
          <w:rFonts w:ascii="Book Antiqua" w:hAnsi="Book Antiqua" w:hint="eastAsia"/>
          <w:b/>
          <w:sz w:val="24"/>
          <w:szCs w:val="24"/>
        </w:rPr>
        <w:t xml:space="preserve"> </w:t>
      </w:r>
      <w:r w:rsidRPr="001D6E50">
        <w:rPr>
          <w:rFonts w:ascii="Book Antiqua" w:hAnsi="Book Antiqua"/>
          <w:b/>
          <w:sz w:val="24"/>
          <w:szCs w:val="24"/>
        </w:rPr>
        <w:t>High-fat diet-induced obese rat model</w:t>
      </w:r>
    </w:p>
    <w:p w:rsidR="00D03341" w:rsidRPr="00566E2C" w:rsidRDefault="00D03341" w:rsidP="001D6E50">
      <w:pPr>
        <w:spacing w:line="360" w:lineRule="auto"/>
        <w:jc w:val="center"/>
        <w:rPr>
          <w:rFonts w:ascii="Book Antiqua" w:hAnsi="Book Antiqua"/>
          <w:sz w:val="24"/>
          <w:szCs w:val="24"/>
        </w:rPr>
      </w:pPr>
    </w:p>
    <w:tbl>
      <w:tblPr>
        <w:tblW w:w="9073" w:type="dxa"/>
        <w:tblInd w:w="-601" w:type="dxa"/>
        <w:tblBorders>
          <w:top w:val="single" w:sz="12" w:space="0" w:color="auto"/>
          <w:bottom w:val="single" w:sz="12" w:space="0" w:color="auto"/>
        </w:tblBorders>
        <w:tblLayout w:type="fixed"/>
        <w:tblLook w:val="00A0" w:firstRow="1" w:lastRow="0" w:firstColumn="1" w:lastColumn="0" w:noHBand="0" w:noVBand="0"/>
      </w:tblPr>
      <w:tblGrid>
        <w:gridCol w:w="1702"/>
        <w:gridCol w:w="1797"/>
        <w:gridCol w:w="1530"/>
        <w:gridCol w:w="1620"/>
        <w:gridCol w:w="1949"/>
        <w:gridCol w:w="475"/>
      </w:tblGrid>
      <w:tr w:rsidR="00D03341" w:rsidRPr="00566E2C" w:rsidTr="009F2E4D">
        <w:trPr>
          <w:trHeight w:val="270"/>
        </w:trPr>
        <w:tc>
          <w:tcPr>
            <w:tcW w:w="1702" w:type="dxa"/>
            <w:tcBorders>
              <w:top w:val="single" w:sz="4" w:space="0" w:color="auto"/>
              <w:bottom w:val="single" w:sz="4" w:space="0" w:color="auto"/>
            </w:tcBorders>
          </w:tcPr>
          <w:p w:rsidR="00D03341" w:rsidRPr="001D6E50" w:rsidRDefault="00D03341" w:rsidP="001D6E50">
            <w:pPr>
              <w:widowControl/>
              <w:spacing w:line="360" w:lineRule="auto"/>
              <w:jc w:val="left"/>
              <w:rPr>
                <w:rFonts w:ascii="Book Antiqua" w:hAnsi="Book Antiqua"/>
                <w:b/>
                <w:color w:val="000000"/>
                <w:kern w:val="0"/>
                <w:sz w:val="24"/>
                <w:szCs w:val="24"/>
              </w:rPr>
            </w:pPr>
            <w:r w:rsidRPr="001D6E50">
              <w:rPr>
                <w:rFonts w:ascii="Book Antiqua" w:hAnsi="Book Antiqua"/>
                <w:b/>
                <w:color w:val="000000"/>
                <w:kern w:val="0"/>
                <w:sz w:val="24"/>
                <w:szCs w:val="24"/>
              </w:rPr>
              <w:t>Group</w:t>
            </w:r>
          </w:p>
        </w:tc>
        <w:tc>
          <w:tcPr>
            <w:tcW w:w="1797" w:type="dxa"/>
            <w:tcBorders>
              <w:top w:val="single" w:sz="4" w:space="0" w:color="auto"/>
              <w:bottom w:val="single" w:sz="4" w:space="0" w:color="auto"/>
            </w:tcBorders>
          </w:tcPr>
          <w:p w:rsidR="00D03341" w:rsidRPr="001D6E50" w:rsidRDefault="00D03341" w:rsidP="001D6E50">
            <w:pPr>
              <w:widowControl/>
              <w:spacing w:line="360" w:lineRule="auto"/>
              <w:jc w:val="center"/>
              <w:rPr>
                <w:rFonts w:ascii="Book Antiqua" w:hAnsi="Book Antiqua"/>
                <w:b/>
                <w:color w:val="000000"/>
                <w:kern w:val="0"/>
                <w:sz w:val="24"/>
                <w:szCs w:val="24"/>
              </w:rPr>
            </w:pPr>
            <w:r w:rsidRPr="001D6E50">
              <w:rPr>
                <w:rFonts w:ascii="Book Antiqua" w:hAnsi="Book Antiqua"/>
                <w:b/>
                <w:color w:val="000000"/>
                <w:kern w:val="0"/>
                <w:sz w:val="24"/>
                <w:szCs w:val="24"/>
              </w:rPr>
              <w:t>Body weight (g)</w:t>
            </w:r>
          </w:p>
        </w:tc>
        <w:tc>
          <w:tcPr>
            <w:tcW w:w="1530" w:type="dxa"/>
            <w:tcBorders>
              <w:top w:val="single" w:sz="4" w:space="0" w:color="auto"/>
              <w:bottom w:val="single" w:sz="4" w:space="0" w:color="auto"/>
            </w:tcBorders>
          </w:tcPr>
          <w:p w:rsidR="00D03341" w:rsidRPr="001D6E50" w:rsidRDefault="00D03341" w:rsidP="001D6E50">
            <w:pPr>
              <w:widowControl/>
              <w:spacing w:line="360" w:lineRule="auto"/>
              <w:jc w:val="center"/>
              <w:rPr>
                <w:rFonts w:ascii="Book Antiqua" w:hAnsi="Book Antiqua"/>
                <w:b/>
                <w:color w:val="000000"/>
                <w:kern w:val="0"/>
                <w:sz w:val="24"/>
                <w:szCs w:val="24"/>
              </w:rPr>
            </w:pPr>
            <w:r w:rsidRPr="001D6E50">
              <w:rPr>
                <w:rFonts w:ascii="Book Antiqua" w:hAnsi="Book Antiqua"/>
                <w:b/>
                <w:color w:val="000000"/>
                <w:kern w:val="0"/>
                <w:sz w:val="24"/>
                <w:szCs w:val="24"/>
              </w:rPr>
              <w:t>Body length (cm)</w:t>
            </w:r>
          </w:p>
        </w:tc>
        <w:tc>
          <w:tcPr>
            <w:tcW w:w="1620" w:type="dxa"/>
            <w:tcBorders>
              <w:top w:val="single" w:sz="4" w:space="0" w:color="auto"/>
              <w:bottom w:val="single" w:sz="4" w:space="0" w:color="auto"/>
            </w:tcBorders>
          </w:tcPr>
          <w:p w:rsidR="00D03341" w:rsidRPr="001D6E50" w:rsidRDefault="00D03341" w:rsidP="001D6E50">
            <w:pPr>
              <w:widowControl/>
              <w:spacing w:line="360" w:lineRule="auto"/>
              <w:jc w:val="center"/>
              <w:rPr>
                <w:rFonts w:ascii="Book Antiqua" w:hAnsi="Book Antiqua"/>
                <w:b/>
                <w:color w:val="000000"/>
                <w:kern w:val="0"/>
                <w:sz w:val="24"/>
                <w:szCs w:val="24"/>
              </w:rPr>
            </w:pPr>
            <w:r w:rsidRPr="001D6E50">
              <w:rPr>
                <w:rFonts w:ascii="Book Antiqua" w:hAnsi="Book Antiqua"/>
                <w:b/>
                <w:color w:val="000000"/>
                <w:kern w:val="0"/>
                <w:sz w:val="24"/>
                <w:szCs w:val="24"/>
              </w:rPr>
              <w:t>Lee’s index</w:t>
            </w:r>
          </w:p>
        </w:tc>
        <w:tc>
          <w:tcPr>
            <w:tcW w:w="2424" w:type="dxa"/>
            <w:gridSpan w:val="2"/>
            <w:tcBorders>
              <w:top w:val="single" w:sz="4" w:space="0" w:color="auto"/>
            </w:tcBorders>
          </w:tcPr>
          <w:p w:rsidR="00D03341" w:rsidRPr="001D6E50" w:rsidRDefault="00D03341" w:rsidP="001D6E50">
            <w:pPr>
              <w:widowControl/>
              <w:spacing w:line="360" w:lineRule="auto"/>
              <w:jc w:val="center"/>
              <w:rPr>
                <w:rFonts w:ascii="Book Antiqua" w:hAnsi="Book Antiqua"/>
                <w:b/>
                <w:color w:val="000000"/>
                <w:kern w:val="0"/>
                <w:sz w:val="24"/>
                <w:szCs w:val="24"/>
              </w:rPr>
            </w:pPr>
            <w:r w:rsidRPr="001D6E50">
              <w:rPr>
                <w:rFonts w:ascii="Book Antiqua" w:hAnsi="Book Antiqua"/>
                <w:b/>
                <w:color w:val="000000"/>
                <w:kern w:val="0"/>
                <w:sz w:val="24"/>
                <w:szCs w:val="24"/>
              </w:rPr>
              <w:t>Triglyceride (mmol/L)</w:t>
            </w:r>
          </w:p>
        </w:tc>
      </w:tr>
      <w:tr w:rsidR="00D03341" w:rsidRPr="00566E2C" w:rsidTr="009F2E4D">
        <w:trPr>
          <w:trHeight w:val="270"/>
        </w:trPr>
        <w:tc>
          <w:tcPr>
            <w:tcW w:w="1702" w:type="dxa"/>
            <w:tcBorders>
              <w:top w:val="single" w:sz="4" w:space="0" w:color="auto"/>
              <w:bottom w:val="nil"/>
            </w:tcBorders>
          </w:tcPr>
          <w:p w:rsidR="00D03341" w:rsidRPr="00566E2C" w:rsidRDefault="00D03341" w:rsidP="001D6E50">
            <w:pPr>
              <w:widowControl/>
              <w:spacing w:line="360" w:lineRule="auto"/>
              <w:jc w:val="left"/>
              <w:rPr>
                <w:rFonts w:ascii="Book Antiqua" w:hAnsi="Book Antiqua"/>
                <w:color w:val="000000"/>
                <w:kern w:val="0"/>
                <w:sz w:val="24"/>
                <w:szCs w:val="24"/>
              </w:rPr>
            </w:pPr>
            <w:r w:rsidRPr="00566E2C">
              <w:rPr>
                <w:rFonts w:ascii="Book Antiqua" w:hAnsi="Book Antiqua"/>
                <w:color w:val="000000"/>
                <w:kern w:val="0"/>
                <w:sz w:val="24"/>
                <w:szCs w:val="24"/>
              </w:rPr>
              <w:t>Control (</w:t>
            </w:r>
            <w:r w:rsidRPr="00566E2C">
              <w:rPr>
                <w:rFonts w:ascii="Book Antiqua" w:hAnsi="Book Antiqua"/>
                <w:i/>
                <w:color w:val="000000"/>
                <w:kern w:val="0"/>
                <w:sz w:val="24"/>
                <w:szCs w:val="24"/>
              </w:rPr>
              <w:t>n</w:t>
            </w:r>
            <w:r w:rsidR="001D6E50">
              <w:rPr>
                <w:rFonts w:ascii="Book Antiqua" w:hAnsi="Book Antiqua" w:hint="eastAsia"/>
                <w:i/>
                <w:color w:val="000000"/>
                <w:kern w:val="0"/>
                <w:sz w:val="24"/>
                <w:szCs w:val="24"/>
              </w:rPr>
              <w:t xml:space="preserve"> </w:t>
            </w:r>
            <w:r w:rsidRPr="00566E2C">
              <w:rPr>
                <w:rFonts w:ascii="Book Antiqua" w:hAnsi="Book Antiqua"/>
                <w:color w:val="000000"/>
                <w:kern w:val="0"/>
                <w:sz w:val="24"/>
                <w:szCs w:val="24"/>
              </w:rPr>
              <w:t>=</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5)</w:t>
            </w:r>
          </w:p>
        </w:tc>
        <w:tc>
          <w:tcPr>
            <w:tcW w:w="1797" w:type="dxa"/>
            <w:tcBorders>
              <w:top w:val="single" w:sz="4" w:space="0" w:color="auto"/>
              <w:bottom w:val="nil"/>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329.76</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65.23</w:t>
            </w:r>
          </w:p>
        </w:tc>
        <w:tc>
          <w:tcPr>
            <w:tcW w:w="1530" w:type="dxa"/>
            <w:tcBorders>
              <w:top w:val="single" w:sz="4" w:space="0" w:color="auto"/>
              <w:bottom w:val="nil"/>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19.8</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0.8</w:t>
            </w:r>
          </w:p>
        </w:tc>
        <w:tc>
          <w:tcPr>
            <w:tcW w:w="1620" w:type="dxa"/>
            <w:tcBorders>
              <w:top w:val="single" w:sz="4" w:space="0" w:color="auto"/>
              <w:bottom w:val="nil"/>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335.59</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12.87</w:t>
            </w:r>
          </w:p>
        </w:tc>
        <w:tc>
          <w:tcPr>
            <w:tcW w:w="1949" w:type="dxa"/>
            <w:tcBorders>
              <w:top w:val="single" w:sz="4" w:space="0" w:color="auto"/>
              <w:bottom w:val="nil"/>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1.22</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0.24</w:t>
            </w:r>
          </w:p>
        </w:tc>
        <w:tc>
          <w:tcPr>
            <w:tcW w:w="475" w:type="dxa"/>
            <w:vAlign w:val="center"/>
          </w:tcPr>
          <w:p w:rsidR="00D03341" w:rsidRPr="00566E2C" w:rsidRDefault="00D03341" w:rsidP="001D6E50">
            <w:pPr>
              <w:widowControl/>
              <w:spacing w:line="360" w:lineRule="auto"/>
              <w:jc w:val="center"/>
              <w:rPr>
                <w:rFonts w:ascii="Book Antiqua" w:hAnsi="Book Antiqua"/>
                <w:color w:val="000000"/>
                <w:kern w:val="0"/>
                <w:sz w:val="24"/>
                <w:szCs w:val="24"/>
              </w:rPr>
            </w:pPr>
          </w:p>
        </w:tc>
      </w:tr>
      <w:tr w:rsidR="00D03341" w:rsidRPr="00566E2C" w:rsidTr="009F2E4D">
        <w:trPr>
          <w:trHeight w:val="270"/>
        </w:trPr>
        <w:tc>
          <w:tcPr>
            <w:tcW w:w="1702" w:type="dxa"/>
            <w:tcBorders>
              <w:top w:val="nil"/>
            </w:tcBorders>
          </w:tcPr>
          <w:p w:rsidR="00D03341" w:rsidRPr="00566E2C" w:rsidRDefault="00D03341" w:rsidP="001D6E50">
            <w:pPr>
              <w:widowControl/>
              <w:spacing w:line="360" w:lineRule="auto"/>
              <w:jc w:val="left"/>
              <w:rPr>
                <w:rFonts w:ascii="Book Antiqua" w:hAnsi="Book Antiqua"/>
                <w:color w:val="000000"/>
                <w:kern w:val="0"/>
                <w:sz w:val="24"/>
                <w:szCs w:val="24"/>
              </w:rPr>
            </w:pPr>
            <w:r w:rsidRPr="00566E2C">
              <w:rPr>
                <w:rFonts w:ascii="Book Antiqua" w:hAnsi="Book Antiqua"/>
                <w:color w:val="000000"/>
                <w:kern w:val="0"/>
                <w:sz w:val="24"/>
                <w:szCs w:val="24"/>
              </w:rPr>
              <w:t>High-fat diet (</w:t>
            </w:r>
            <w:r w:rsidRPr="00566E2C">
              <w:rPr>
                <w:rFonts w:ascii="Book Antiqua" w:hAnsi="Book Antiqua"/>
                <w:i/>
                <w:color w:val="000000"/>
                <w:kern w:val="0"/>
                <w:sz w:val="24"/>
                <w:szCs w:val="24"/>
              </w:rPr>
              <w:t>n</w:t>
            </w:r>
            <w:r w:rsidR="001D6E50">
              <w:rPr>
                <w:rFonts w:ascii="Book Antiqua" w:hAnsi="Book Antiqua" w:hint="eastAsia"/>
                <w:i/>
                <w:color w:val="000000"/>
                <w:kern w:val="0"/>
                <w:sz w:val="24"/>
                <w:szCs w:val="24"/>
              </w:rPr>
              <w:t xml:space="preserve"> </w:t>
            </w:r>
            <w:r w:rsidRPr="00566E2C">
              <w:rPr>
                <w:rFonts w:ascii="Book Antiqua" w:hAnsi="Book Antiqua"/>
                <w:color w:val="000000"/>
                <w:kern w:val="0"/>
                <w:sz w:val="24"/>
                <w:szCs w:val="24"/>
              </w:rPr>
              <w:t>=</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40)</w:t>
            </w:r>
          </w:p>
        </w:tc>
        <w:tc>
          <w:tcPr>
            <w:tcW w:w="1797" w:type="dxa"/>
            <w:tcBorders>
              <w:top w:val="nil"/>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410</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53.34</w:t>
            </w:r>
          </w:p>
        </w:tc>
        <w:tc>
          <w:tcPr>
            <w:tcW w:w="1530" w:type="dxa"/>
            <w:tcBorders>
              <w:top w:val="nil"/>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21.02</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1.0</w:t>
            </w:r>
          </w:p>
        </w:tc>
        <w:tc>
          <w:tcPr>
            <w:tcW w:w="1620" w:type="dxa"/>
            <w:tcBorders>
              <w:top w:val="nil"/>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357.40</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13.98</w:t>
            </w:r>
          </w:p>
        </w:tc>
        <w:tc>
          <w:tcPr>
            <w:tcW w:w="1949" w:type="dxa"/>
            <w:tcBorders>
              <w:top w:val="nil"/>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1.56</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w:t>
            </w:r>
            <w:r w:rsidR="001D6E50">
              <w:rPr>
                <w:rFonts w:ascii="Book Antiqua" w:hAnsi="Book Antiqua" w:hint="eastAsia"/>
                <w:color w:val="000000"/>
                <w:kern w:val="0"/>
                <w:sz w:val="24"/>
                <w:szCs w:val="24"/>
              </w:rPr>
              <w:t xml:space="preserve"> </w:t>
            </w:r>
            <w:r w:rsidRPr="00566E2C">
              <w:rPr>
                <w:rFonts w:ascii="Book Antiqua" w:hAnsi="Book Antiqua"/>
                <w:color w:val="000000"/>
                <w:kern w:val="0"/>
                <w:sz w:val="24"/>
                <w:szCs w:val="24"/>
              </w:rPr>
              <w:t>0.26</w:t>
            </w:r>
          </w:p>
        </w:tc>
        <w:tc>
          <w:tcPr>
            <w:tcW w:w="475" w:type="dxa"/>
            <w:vAlign w:val="center"/>
          </w:tcPr>
          <w:p w:rsidR="00D03341" w:rsidRPr="00566E2C" w:rsidRDefault="00D03341" w:rsidP="001D6E50">
            <w:pPr>
              <w:widowControl/>
              <w:spacing w:line="360" w:lineRule="auto"/>
              <w:jc w:val="center"/>
              <w:rPr>
                <w:rFonts w:ascii="Book Antiqua" w:hAnsi="Book Antiqua"/>
                <w:color w:val="000000"/>
                <w:kern w:val="0"/>
                <w:sz w:val="24"/>
                <w:szCs w:val="24"/>
              </w:rPr>
            </w:pPr>
          </w:p>
        </w:tc>
      </w:tr>
      <w:tr w:rsidR="00D03341" w:rsidRPr="00566E2C" w:rsidTr="009F2E4D">
        <w:trPr>
          <w:trHeight w:val="270"/>
        </w:trPr>
        <w:tc>
          <w:tcPr>
            <w:tcW w:w="1702" w:type="dxa"/>
          </w:tcPr>
          <w:p w:rsidR="00D03341" w:rsidRPr="00566E2C" w:rsidRDefault="00D03341" w:rsidP="001D6E50">
            <w:pPr>
              <w:widowControl/>
              <w:spacing w:line="360" w:lineRule="auto"/>
              <w:jc w:val="left"/>
              <w:rPr>
                <w:rFonts w:ascii="Book Antiqua" w:hAnsi="Book Antiqua"/>
                <w:i/>
                <w:color w:val="000000"/>
                <w:kern w:val="0"/>
                <w:sz w:val="24"/>
                <w:szCs w:val="24"/>
              </w:rPr>
            </w:pPr>
            <w:r w:rsidRPr="00566E2C">
              <w:rPr>
                <w:rFonts w:ascii="Book Antiqua" w:hAnsi="Book Antiqua"/>
                <w:i/>
                <w:color w:val="000000"/>
                <w:kern w:val="0"/>
                <w:sz w:val="24"/>
                <w:szCs w:val="24"/>
              </w:rPr>
              <w:t>t</w:t>
            </w:r>
          </w:p>
        </w:tc>
        <w:tc>
          <w:tcPr>
            <w:tcW w:w="1797" w:type="dxa"/>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-3.101</w:t>
            </w:r>
          </w:p>
        </w:tc>
        <w:tc>
          <w:tcPr>
            <w:tcW w:w="1530" w:type="dxa"/>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-2.616</w:t>
            </w:r>
          </w:p>
        </w:tc>
        <w:tc>
          <w:tcPr>
            <w:tcW w:w="1620" w:type="dxa"/>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-3.125</w:t>
            </w:r>
          </w:p>
        </w:tc>
        <w:tc>
          <w:tcPr>
            <w:tcW w:w="1949" w:type="dxa"/>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-2.776</w:t>
            </w:r>
          </w:p>
        </w:tc>
        <w:tc>
          <w:tcPr>
            <w:tcW w:w="475" w:type="dxa"/>
            <w:vAlign w:val="center"/>
          </w:tcPr>
          <w:p w:rsidR="00D03341" w:rsidRPr="00566E2C" w:rsidRDefault="00D03341" w:rsidP="001D6E50">
            <w:pPr>
              <w:widowControl/>
              <w:spacing w:line="360" w:lineRule="auto"/>
              <w:jc w:val="center"/>
              <w:rPr>
                <w:rFonts w:ascii="Book Antiqua" w:hAnsi="Book Antiqua"/>
                <w:color w:val="000000"/>
                <w:kern w:val="0"/>
                <w:sz w:val="24"/>
                <w:szCs w:val="24"/>
              </w:rPr>
            </w:pPr>
          </w:p>
        </w:tc>
      </w:tr>
      <w:tr w:rsidR="00D03341" w:rsidRPr="00566E2C" w:rsidTr="009F2E4D">
        <w:trPr>
          <w:trHeight w:val="270"/>
        </w:trPr>
        <w:tc>
          <w:tcPr>
            <w:tcW w:w="1702" w:type="dxa"/>
            <w:tcBorders>
              <w:bottom w:val="single" w:sz="4" w:space="0" w:color="auto"/>
            </w:tcBorders>
          </w:tcPr>
          <w:p w:rsidR="00D03341" w:rsidRPr="00566E2C" w:rsidRDefault="00D03341" w:rsidP="001D6E50">
            <w:pPr>
              <w:widowControl/>
              <w:spacing w:line="360" w:lineRule="auto"/>
              <w:jc w:val="left"/>
              <w:rPr>
                <w:rFonts w:ascii="Book Antiqua" w:hAnsi="Book Antiqua"/>
                <w:i/>
                <w:color w:val="000000"/>
                <w:kern w:val="0"/>
                <w:sz w:val="24"/>
                <w:szCs w:val="24"/>
              </w:rPr>
            </w:pPr>
            <w:r w:rsidRPr="00566E2C">
              <w:rPr>
                <w:rFonts w:ascii="Book Antiqua" w:hAnsi="Book Antiqua"/>
                <w:i/>
                <w:color w:val="000000"/>
                <w:kern w:val="0"/>
                <w:sz w:val="24"/>
                <w:szCs w:val="24"/>
              </w:rPr>
              <w:t>P</w:t>
            </w:r>
          </w:p>
        </w:tc>
        <w:tc>
          <w:tcPr>
            <w:tcW w:w="1797" w:type="dxa"/>
            <w:tcBorders>
              <w:bottom w:val="single" w:sz="4" w:space="0" w:color="auto"/>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0.003</w:t>
            </w:r>
          </w:p>
        </w:tc>
        <w:tc>
          <w:tcPr>
            <w:tcW w:w="1530" w:type="dxa"/>
            <w:tcBorders>
              <w:bottom w:val="single" w:sz="4" w:space="0" w:color="auto"/>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0.012</w:t>
            </w:r>
          </w:p>
        </w:tc>
        <w:tc>
          <w:tcPr>
            <w:tcW w:w="1620" w:type="dxa"/>
            <w:tcBorders>
              <w:bottom w:val="single" w:sz="4" w:space="0" w:color="auto"/>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0.002</w:t>
            </w:r>
          </w:p>
        </w:tc>
        <w:tc>
          <w:tcPr>
            <w:tcW w:w="1949" w:type="dxa"/>
            <w:tcBorders>
              <w:bottom w:val="single" w:sz="4" w:space="0" w:color="auto"/>
            </w:tcBorders>
          </w:tcPr>
          <w:p w:rsidR="00D03341" w:rsidRPr="00566E2C" w:rsidRDefault="00D03341" w:rsidP="001D6E50">
            <w:pPr>
              <w:widowControl/>
              <w:spacing w:line="360" w:lineRule="auto"/>
              <w:jc w:val="center"/>
              <w:rPr>
                <w:rFonts w:ascii="Book Antiqua" w:hAnsi="Book Antiqua"/>
                <w:color w:val="000000"/>
                <w:kern w:val="0"/>
                <w:sz w:val="24"/>
                <w:szCs w:val="24"/>
              </w:rPr>
            </w:pPr>
            <w:r w:rsidRPr="00566E2C">
              <w:rPr>
                <w:rFonts w:ascii="Book Antiqua" w:hAnsi="Book Antiqua"/>
                <w:color w:val="000000"/>
                <w:kern w:val="0"/>
                <w:sz w:val="24"/>
                <w:szCs w:val="24"/>
              </w:rPr>
              <w:t>0.008</w:t>
            </w:r>
          </w:p>
        </w:tc>
        <w:tc>
          <w:tcPr>
            <w:tcW w:w="475" w:type="dxa"/>
            <w:tcBorders>
              <w:bottom w:val="single" w:sz="4" w:space="0" w:color="auto"/>
            </w:tcBorders>
            <w:vAlign w:val="center"/>
          </w:tcPr>
          <w:p w:rsidR="00D03341" w:rsidRPr="00566E2C" w:rsidRDefault="00D03341" w:rsidP="001D6E50">
            <w:pPr>
              <w:widowControl/>
              <w:spacing w:line="360" w:lineRule="auto"/>
              <w:jc w:val="center"/>
              <w:rPr>
                <w:rFonts w:ascii="Book Antiqua" w:hAnsi="Book Antiqua"/>
                <w:color w:val="000000"/>
                <w:kern w:val="0"/>
                <w:sz w:val="24"/>
                <w:szCs w:val="24"/>
              </w:rPr>
            </w:pPr>
          </w:p>
        </w:tc>
      </w:tr>
    </w:tbl>
    <w:p w:rsidR="000C5B81" w:rsidRDefault="000C5B81" w:rsidP="001D6E50">
      <w:pPr>
        <w:spacing w:line="360" w:lineRule="auto"/>
        <w:rPr>
          <w:rFonts w:ascii="Book Antiqua" w:hAnsi="Book Antiqua"/>
          <w:sz w:val="24"/>
          <w:szCs w:val="24"/>
        </w:rPr>
      </w:pPr>
    </w:p>
    <w:p w:rsidR="00D03341" w:rsidRPr="00566E2C" w:rsidRDefault="000C5B81" w:rsidP="001D6E50">
      <w:pPr>
        <w:spacing w:line="360" w:lineRule="auto"/>
        <w:rPr>
          <w:rFonts w:ascii="Book Antiqua" w:hAnsi="Book Antiqua"/>
          <w:sz w:val="24"/>
          <w:szCs w:val="24"/>
        </w:rPr>
      </w:pPr>
      <w:r>
        <w:rPr>
          <w:rFonts w:ascii="Book Antiqua" w:hAnsi="Book Antiqua"/>
          <w:sz w:val="24"/>
          <w:szCs w:val="24"/>
        </w:rPr>
        <w:br w:type="page"/>
      </w:r>
    </w:p>
    <w:p w:rsidR="00D03341" w:rsidRPr="00566E2C" w:rsidRDefault="001217E9" w:rsidP="001D6E50">
      <w:pPr>
        <w:spacing w:line="360" w:lineRule="auto"/>
        <w:jc w:val="cente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55168" behindDoc="0" locked="0" layoutInCell="1" allowOverlap="1">
                <wp:simplePos x="0" y="0"/>
                <wp:positionH relativeFrom="column">
                  <wp:posOffset>17780</wp:posOffset>
                </wp:positionH>
                <wp:positionV relativeFrom="paragraph">
                  <wp:posOffset>55245</wp:posOffset>
                </wp:positionV>
                <wp:extent cx="424815" cy="345440"/>
                <wp:effectExtent l="0" t="0" r="0" b="0"/>
                <wp:wrapNone/>
                <wp:docPr id="14"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B33" w:rsidRDefault="004E2B33" w:rsidP="00D92073">
                            <w:pPr>
                              <w:pStyle w:val="1"/>
                              <w:ind w:firstLineChars="0" w:firstLine="0"/>
                              <w:jc w:val="left"/>
                              <w:textAlignment w:val="baseline"/>
                              <w:rPr>
                                <w:bCs/>
                                <w:sz w:val="36"/>
                              </w:rPr>
                            </w:pPr>
                            <w:r>
                              <w:rPr>
                                <w:rFonts w:ascii="Arial" w:hAnsi="Times New Roman"/>
                                <w:bCs/>
                                <w:kern w:val="24"/>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1.4pt;margin-top:4.35pt;width:33.45pt;height:27.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" filled="f" stroked="f">
                <v:textbox>
                  <w:txbxContent>
                    <w:p w:rsidR="004E2B33" w:rsidRDefault="004E2B33" w:rsidP="00D92073">
                      <w:pPr>
                        <w:pStyle w:val="1"/>
                        <w:ind w:firstLineChars="0" w:firstLine="0"/>
                        <w:jc w:val="left"/>
                        <w:textAlignment w:val="baseline"/>
                        <w:rPr>
                          <w:bCs/>
                          <w:sz w:val="36"/>
                        </w:rPr>
                      </w:pPr>
                      <w:r>
                        <w:rPr>
                          <w:rFonts w:ascii="Arial" w:hAnsi="Times New Roman"/>
                          <w:bCs/>
                          <w:kern w:val="24"/>
                          <w:sz w:val="36"/>
                          <w:szCs w:val="36"/>
                        </w:rPr>
                        <w:t>A</w:t>
                      </w:r>
                    </w:p>
                  </w:txbxContent>
                </v:textbox>
              </v:shape>
            </w:pict>
          </mc:Fallback>
        </mc:AlternateContent>
      </w:r>
      <w:r>
        <w:rPr>
          <w:rFonts w:ascii="Book Antiqua" w:hAnsi="Book Antiqua"/>
          <w:noProof/>
          <w:sz w:val="24"/>
          <w:szCs w:val="24"/>
        </w:rPr>
        <w:drawing>
          <wp:inline distT="0" distB="0" distL="0" distR="0">
            <wp:extent cx="4533900" cy="3152775"/>
            <wp:effectExtent l="0" t="0" r="0" b="9525"/>
            <wp:docPr id="1" name="图片 7" descr="外周胃酸分泌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外周胃酸分泌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33900" cy="3152775"/>
                    </a:xfrm>
                    <a:prstGeom prst="rect">
                      <a:avLst/>
                    </a:prstGeom>
                    <a:noFill/>
                    <a:ln>
                      <a:noFill/>
                    </a:ln>
                  </pic:spPr>
                </pic:pic>
              </a:graphicData>
            </a:graphic>
          </wp:inline>
        </w:drawing>
      </w:r>
    </w:p>
    <w:p w:rsidR="00D03341" w:rsidRPr="00566E2C" w:rsidRDefault="00D03341" w:rsidP="001D6E50">
      <w:pPr>
        <w:spacing w:line="360" w:lineRule="auto"/>
        <w:jc w:val="center"/>
        <w:rPr>
          <w:rFonts w:ascii="Book Antiqua" w:hAnsi="Book Antiqua"/>
          <w:sz w:val="24"/>
          <w:szCs w:val="24"/>
        </w:rPr>
      </w:pPr>
      <w:r w:rsidRPr="00566E2C">
        <w:rPr>
          <w:rFonts w:ascii="Book Antiqua" w:hAnsi="Book Antiqua"/>
          <w:sz w:val="24"/>
          <w:szCs w:val="24"/>
        </w:rPr>
        <w:t>(Note: The differences were not statistically significant.)</w:t>
      </w:r>
    </w:p>
    <w:p w:rsidR="00D03341" w:rsidRPr="00566E2C" w:rsidRDefault="00D03341" w:rsidP="001D6E50">
      <w:pPr>
        <w:spacing w:line="360" w:lineRule="auto"/>
        <w:jc w:val="center"/>
        <w:rPr>
          <w:rFonts w:ascii="Book Antiqua" w:hAnsi="Book Antiqua"/>
          <w:sz w:val="24"/>
          <w:szCs w:val="24"/>
        </w:rPr>
      </w:pPr>
    </w:p>
    <w:p w:rsidR="00D03341" w:rsidRPr="00566E2C" w:rsidRDefault="001217E9" w:rsidP="001D6E50">
      <w:pPr>
        <w:spacing w:line="360" w:lineRule="auto"/>
        <w:jc w:val="cente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56192" behindDoc="0" locked="0" layoutInCell="1" allowOverlap="1">
                <wp:simplePos x="0" y="0"/>
                <wp:positionH relativeFrom="column">
                  <wp:posOffset>3237230</wp:posOffset>
                </wp:positionH>
                <wp:positionV relativeFrom="paragraph">
                  <wp:posOffset>1510665</wp:posOffset>
                </wp:positionV>
                <wp:extent cx="243205" cy="106680"/>
                <wp:effectExtent l="8255" t="28575" r="24765" b="36195"/>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98045">
                          <a:off x="0" y="0"/>
                          <a:ext cx="243205" cy="106680"/>
                        </a:xfrm>
                        <a:prstGeom prst="notchedRightArrow">
                          <a:avLst>
                            <a:gd name="adj1" fmla="val 50000"/>
                            <a:gd name="adj2" fmla="val 56994"/>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4C08A1"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3" o:spid="_x0000_s1026" type="#_x0000_t94" style="position:absolute;margin-left:254.9pt;margin-top:118.95pt;width:19.15pt;height:8.4pt;rotation:10702078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" fillcolor="red" strokeweight=".25pt"/>
            </w:pict>
          </mc:Fallback>
        </mc:AlternateContent>
      </w:r>
      <w:r>
        <w:rPr>
          <w:rFonts w:ascii="Book Antiqua" w:hAnsi="Book Antiqua"/>
          <w:noProof/>
          <w:sz w:val="24"/>
          <w:szCs w:val="24"/>
        </w:rPr>
        <mc:AlternateContent>
          <mc:Choice Requires="wps">
            <w:drawing>
              <wp:anchor distT="0" distB="0" distL="114300" distR="114300" simplePos="0" relativeHeight="251657216" behindDoc="0" locked="0" layoutInCell="1" allowOverlap="1">
                <wp:simplePos x="0" y="0"/>
                <wp:positionH relativeFrom="column">
                  <wp:posOffset>175895</wp:posOffset>
                </wp:positionH>
                <wp:positionV relativeFrom="paragraph">
                  <wp:posOffset>34925</wp:posOffset>
                </wp:positionV>
                <wp:extent cx="424815" cy="345440"/>
                <wp:effectExtent l="4445" t="635"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B33" w:rsidRDefault="004E2B33" w:rsidP="00D92073">
                            <w:pPr>
                              <w:pStyle w:val="1"/>
                              <w:ind w:firstLineChars="0" w:firstLine="0"/>
                              <w:jc w:val="left"/>
                              <w:textAlignment w:val="baseline"/>
                              <w:rPr>
                                <w:bCs/>
                                <w:sz w:val="36"/>
                              </w:rPr>
                            </w:pPr>
                            <w:r>
                              <w:rPr>
                                <w:rFonts w:ascii="Arial" w:hAnsi="Times New Roman"/>
                                <w:bCs/>
                                <w:kern w:val="24"/>
                                <w:sz w:val="36"/>
                                <w:szCs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3.85pt;margin-top:2.75pt;width:33.45pt;height:27.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53Q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" filled="f" stroked="f">
                <v:textbox>
                  <w:txbxContent>
                    <w:p w:rsidR="004E2B33" w:rsidRDefault="004E2B33" w:rsidP="00D92073">
                      <w:pPr>
                        <w:pStyle w:val="1"/>
                        <w:ind w:firstLineChars="0" w:firstLine="0"/>
                        <w:jc w:val="left"/>
                        <w:textAlignment w:val="baseline"/>
                        <w:rPr>
                          <w:bCs/>
                          <w:sz w:val="36"/>
                        </w:rPr>
                      </w:pPr>
                      <w:r>
                        <w:rPr>
                          <w:rFonts w:ascii="Arial" w:hAnsi="Times New Roman"/>
                          <w:bCs/>
                          <w:kern w:val="24"/>
                          <w:sz w:val="36"/>
                          <w:szCs w:val="36"/>
                        </w:rPr>
                        <w:t>B</w:t>
                      </w:r>
                    </w:p>
                  </w:txbxContent>
                </v:textbox>
              </v:shape>
            </w:pict>
          </mc:Fallback>
        </mc:AlternateContent>
      </w:r>
      <w:r>
        <w:rPr>
          <w:rFonts w:ascii="Book Antiqua" w:hAnsi="Book Antiqua"/>
          <w:noProof/>
          <w:sz w:val="24"/>
          <w:szCs w:val="24"/>
        </w:rPr>
        <w:drawing>
          <wp:inline distT="0" distB="0" distL="0" distR="0">
            <wp:extent cx="4124325" cy="34480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4325" cy="3448050"/>
                    </a:xfrm>
                    <a:prstGeom prst="rect">
                      <a:avLst/>
                    </a:prstGeom>
                    <a:noFill/>
                    <a:ln>
                      <a:noFill/>
                    </a:ln>
                  </pic:spPr>
                </pic:pic>
              </a:graphicData>
            </a:graphic>
          </wp:inline>
        </w:drawing>
      </w:r>
    </w:p>
    <w:p w:rsidR="00D03341" w:rsidRPr="00566E2C" w:rsidRDefault="0080095A" w:rsidP="001D6E50">
      <w:pPr>
        <w:spacing w:line="360" w:lineRule="auto"/>
        <w:jc w:val="center"/>
        <w:rPr>
          <w:rFonts w:ascii="Book Antiqua" w:hAnsi="Book Antiqua"/>
          <w:sz w:val="24"/>
          <w:szCs w:val="24"/>
        </w:rPr>
      </w:pPr>
      <w:r>
        <w:rPr>
          <w:rFonts w:ascii="Book Antiqua" w:hAnsi="Book Antiqua" w:hint="eastAsia"/>
          <w:sz w:val="24"/>
          <w:szCs w:val="24"/>
        </w:rPr>
        <w:t xml:space="preserve"> </w:t>
      </w:r>
    </w:p>
    <w:p w:rsidR="0040566B" w:rsidRDefault="00D03341" w:rsidP="001D6E50">
      <w:pPr>
        <w:spacing w:line="360" w:lineRule="auto"/>
        <w:rPr>
          <w:rFonts w:ascii="Book Antiqua" w:hAnsi="Book Antiqua"/>
          <w:color w:val="000000"/>
          <w:sz w:val="24"/>
          <w:szCs w:val="24"/>
        </w:rPr>
      </w:pPr>
      <w:r w:rsidRPr="000C5B81">
        <w:rPr>
          <w:rFonts w:ascii="Book Antiqua" w:hAnsi="Book Antiqua"/>
          <w:b/>
          <w:sz w:val="24"/>
          <w:szCs w:val="24"/>
        </w:rPr>
        <w:t>Figure</w:t>
      </w:r>
      <w:r w:rsidR="00FB2A00">
        <w:rPr>
          <w:rFonts w:ascii="Book Antiqua" w:hAnsi="Book Antiqua" w:hint="eastAsia"/>
          <w:b/>
          <w:sz w:val="24"/>
          <w:szCs w:val="24"/>
        </w:rPr>
        <w:t xml:space="preserve"> </w:t>
      </w:r>
      <w:r w:rsidRPr="000C5B81">
        <w:rPr>
          <w:rFonts w:ascii="Book Antiqua" w:hAnsi="Book Antiqua"/>
          <w:b/>
          <w:sz w:val="24"/>
          <w:szCs w:val="24"/>
        </w:rPr>
        <w:t>1 Changes in gastric acid secretion in rats</w:t>
      </w:r>
      <w:r w:rsidR="000C5B81" w:rsidRPr="000C5B81">
        <w:rPr>
          <w:rFonts w:ascii="Book Antiqua" w:hAnsi="Book Antiqua" w:hint="eastAsia"/>
          <w:b/>
          <w:sz w:val="24"/>
          <w:szCs w:val="24"/>
        </w:rPr>
        <w:t>.</w:t>
      </w:r>
      <w:r w:rsidR="000C5B81">
        <w:rPr>
          <w:rFonts w:ascii="Book Antiqua" w:hAnsi="Book Antiqua"/>
          <w:sz w:val="24"/>
          <w:szCs w:val="24"/>
        </w:rPr>
        <w:t xml:space="preserve"> </w:t>
      </w:r>
      <w:r w:rsidRPr="00566E2C">
        <w:rPr>
          <w:rFonts w:ascii="Book Antiqua" w:hAnsi="Book Antiqua"/>
          <w:sz w:val="24"/>
          <w:szCs w:val="24"/>
        </w:rPr>
        <w:t xml:space="preserve">A: </w:t>
      </w:r>
      <w:r w:rsidR="00FB2A00" w:rsidRPr="00566E2C">
        <w:rPr>
          <w:rFonts w:ascii="Book Antiqua" w:hAnsi="Book Antiqua"/>
          <w:sz w:val="24"/>
          <w:szCs w:val="24"/>
        </w:rPr>
        <w:t xml:space="preserve">Intracerebroventricular </w:t>
      </w:r>
      <w:r w:rsidRPr="00566E2C">
        <w:rPr>
          <w:rFonts w:ascii="Book Antiqua" w:hAnsi="Book Antiqua"/>
          <w:sz w:val="24"/>
          <w:szCs w:val="24"/>
        </w:rPr>
        <w:t>injection</w:t>
      </w:r>
      <w:r w:rsidR="000C5B81">
        <w:rPr>
          <w:rFonts w:ascii="Book Antiqua" w:hAnsi="Book Antiqua" w:hint="eastAsia"/>
          <w:sz w:val="24"/>
          <w:szCs w:val="24"/>
        </w:rPr>
        <w:t xml:space="preserve">; </w:t>
      </w:r>
      <w:r w:rsidRPr="00566E2C">
        <w:rPr>
          <w:rFonts w:ascii="Book Antiqua" w:hAnsi="Book Antiqua"/>
          <w:sz w:val="24"/>
          <w:szCs w:val="24"/>
        </w:rPr>
        <w:t>B:</w:t>
      </w:r>
      <w:r w:rsidR="000C5B81">
        <w:rPr>
          <w:rFonts w:ascii="Book Antiqua" w:hAnsi="Book Antiqua" w:hint="eastAsia"/>
          <w:sz w:val="24"/>
          <w:szCs w:val="24"/>
        </w:rPr>
        <w:t xml:space="preserve"> </w:t>
      </w:r>
      <w:r w:rsidR="00FB2A00">
        <w:rPr>
          <w:rFonts w:ascii="Book Antiqua" w:hAnsi="Book Antiqua"/>
          <w:sz w:val="24"/>
          <w:szCs w:val="24"/>
        </w:rPr>
        <w:t xml:space="preserve">Intravenous </w:t>
      </w:r>
      <w:r w:rsidR="000C5B81">
        <w:rPr>
          <w:rFonts w:ascii="Book Antiqua" w:hAnsi="Book Antiqua"/>
          <w:sz w:val="24"/>
          <w:szCs w:val="24"/>
        </w:rPr>
        <w:t>injection</w:t>
      </w:r>
      <w:r w:rsidRPr="00566E2C">
        <w:rPr>
          <w:rFonts w:ascii="Book Antiqua" w:hAnsi="Book Antiqua"/>
          <w:sz w:val="24"/>
          <w:szCs w:val="24"/>
        </w:rPr>
        <w:t xml:space="preserve">. Rats were randomly assigned into 30 groups based on drug dosage and the representative time points after </w:t>
      </w:r>
      <w:r w:rsidRPr="00566E2C">
        <w:rPr>
          <w:rFonts w:ascii="Book Antiqua" w:hAnsi="Book Antiqua"/>
          <w:sz w:val="24"/>
          <w:szCs w:val="24"/>
        </w:rPr>
        <w:lastRenderedPageBreak/>
        <w:t>administration. In each group, 15 rats were</w:t>
      </w:r>
      <w:r w:rsidR="0040566B">
        <w:rPr>
          <w:rFonts w:ascii="Book Antiqua" w:hAnsi="Book Antiqua" w:hint="eastAsia"/>
          <w:sz w:val="24"/>
          <w:szCs w:val="24"/>
        </w:rPr>
        <w:t xml:space="preserve"> </w:t>
      </w:r>
      <w:r w:rsidRPr="00566E2C">
        <w:rPr>
          <w:rFonts w:ascii="Book Antiqua" w:hAnsi="Book Antiqua"/>
          <w:sz w:val="24"/>
          <w:szCs w:val="24"/>
        </w:rPr>
        <w:t>intracerebroventricularly</w:t>
      </w:r>
      <w:r w:rsidR="0040566B">
        <w:rPr>
          <w:rFonts w:ascii="Book Antiqua" w:hAnsi="Book Antiqua" w:hint="eastAsia"/>
          <w:sz w:val="24"/>
          <w:szCs w:val="24"/>
        </w:rPr>
        <w:t xml:space="preserve"> </w:t>
      </w:r>
      <w:r w:rsidRPr="00566E2C">
        <w:rPr>
          <w:rFonts w:ascii="Book Antiqua" w:hAnsi="Book Antiqua"/>
          <w:sz w:val="24"/>
          <w:szCs w:val="24"/>
        </w:rPr>
        <w:t>injected with the drug, while the remaining 15 rats were</w:t>
      </w:r>
      <w:r w:rsidR="0040566B">
        <w:rPr>
          <w:rFonts w:ascii="Book Antiqua" w:hAnsi="Book Antiqua" w:hint="eastAsia"/>
          <w:sz w:val="24"/>
          <w:szCs w:val="24"/>
        </w:rPr>
        <w:t xml:space="preserve"> </w:t>
      </w:r>
      <w:r w:rsidRPr="00566E2C">
        <w:rPr>
          <w:rFonts w:ascii="Book Antiqua" w:hAnsi="Book Antiqua"/>
          <w:sz w:val="24"/>
          <w:szCs w:val="24"/>
        </w:rPr>
        <w:t>intravenously</w:t>
      </w:r>
      <w:r w:rsidR="0040566B">
        <w:rPr>
          <w:rFonts w:ascii="Book Antiqua" w:hAnsi="Book Antiqua" w:hint="eastAsia"/>
          <w:sz w:val="24"/>
          <w:szCs w:val="24"/>
        </w:rPr>
        <w:t xml:space="preserve"> </w:t>
      </w:r>
      <w:r w:rsidRPr="00566E2C">
        <w:rPr>
          <w:rFonts w:ascii="Book Antiqua" w:hAnsi="Book Antiqua"/>
          <w:sz w:val="24"/>
          <w:szCs w:val="24"/>
        </w:rPr>
        <w:t>injected with the drug. X axis: drug dosage; Y axis: time points after drug administration; Z axis: gastric acid secretory capacity, which was presented as the height of the histogram with its corresponding color (capacity: black</w:t>
      </w:r>
      <w:r w:rsidR="000C5B81">
        <w:rPr>
          <w:rFonts w:ascii="Book Antiqua" w:hAnsi="Book Antiqua" w:hint="eastAsia"/>
          <w:sz w:val="24"/>
          <w:szCs w:val="24"/>
        </w:rPr>
        <w:t xml:space="preserve"> </w:t>
      </w:r>
      <w:r w:rsidRPr="00566E2C">
        <w:rPr>
          <w:rFonts w:ascii="Book Antiqua" w:hAnsi="Book Antiqua"/>
          <w:sz w:val="24"/>
          <w:szCs w:val="24"/>
        </w:rPr>
        <w:t>&lt;</w:t>
      </w:r>
      <w:r w:rsidR="000C5B81">
        <w:rPr>
          <w:rFonts w:ascii="Book Antiqua" w:hAnsi="Book Antiqua" w:hint="eastAsia"/>
          <w:sz w:val="24"/>
          <w:szCs w:val="24"/>
        </w:rPr>
        <w:t xml:space="preserve"> </w:t>
      </w:r>
      <w:r w:rsidRPr="00566E2C">
        <w:rPr>
          <w:rFonts w:ascii="Book Antiqua" w:hAnsi="Book Antiqua"/>
          <w:sz w:val="24"/>
          <w:szCs w:val="24"/>
        </w:rPr>
        <w:t>white</w:t>
      </w:r>
      <w:r w:rsidR="000C5B81">
        <w:rPr>
          <w:rFonts w:ascii="Book Antiqua" w:hAnsi="Book Antiqua" w:hint="eastAsia"/>
          <w:sz w:val="24"/>
          <w:szCs w:val="24"/>
        </w:rPr>
        <w:t xml:space="preserve"> </w:t>
      </w:r>
      <w:r w:rsidRPr="00566E2C">
        <w:rPr>
          <w:rFonts w:ascii="Book Antiqua" w:hAnsi="Book Antiqua"/>
          <w:sz w:val="24"/>
          <w:szCs w:val="24"/>
        </w:rPr>
        <w:t>&lt;</w:t>
      </w:r>
      <w:r w:rsidR="000C5B81">
        <w:rPr>
          <w:rFonts w:ascii="Book Antiqua" w:hAnsi="Book Antiqua" w:hint="eastAsia"/>
          <w:sz w:val="24"/>
          <w:szCs w:val="24"/>
        </w:rPr>
        <w:t xml:space="preserve"> </w:t>
      </w:r>
      <w:r w:rsidRPr="00566E2C">
        <w:rPr>
          <w:rFonts w:ascii="Book Antiqua" w:hAnsi="Book Antiqua"/>
          <w:sz w:val="24"/>
          <w:szCs w:val="24"/>
        </w:rPr>
        <w:t>yellow</w:t>
      </w:r>
      <w:r w:rsidR="000C5B81">
        <w:rPr>
          <w:rFonts w:ascii="Book Antiqua" w:hAnsi="Book Antiqua" w:hint="eastAsia"/>
          <w:sz w:val="24"/>
          <w:szCs w:val="24"/>
        </w:rPr>
        <w:t xml:space="preserve"> </w:t>
      </w:r>
      <w:r w:rsidRPr="00566E2C">
        <w:rPr>
          <w:rFonts w:ascii="Book Antiqua" w:hAnsi="Book Antiqua"/>
          <w:sz w:val="24"/>
          <w:szCs w:val="24"/>
        </w:rPr>
        <w:t>&lt;</w:t>
      </w:r>
      <w:r w:rsidR="000C5B81">
        <w:rPr>
          <w:rFonts w:ascii="Book Antiqua" w:hAnsi="Book Antiqua" w:hint="eastAsia"/>
          <w:sz w:val="24"/>
          <w:szCs w:val="24"/>
        </w:rPr>
        <w:t xml:space="preserve"> </w:t>
      </w:r>
      <w:r w:rsidRPr="00566E2C">
        <w:rPr>
          <w:rFonts w:ascii="Book Antiqua" w:hAnsi="Book Antiqua"/>
          <w:sz w:val="24"/>
          <w:szCs w:val="24"/>
        </w:rPr>
        <w:t>orange</w:t>
      </w:r>
      <w:r w:rsidR="000C5B81">
        <w:rPr>
          <w:rFonts w:ascii="Book Antiqua" w:hAnsi="Book Antiqua" w:hint="eastAsia"/>
          <w:sz w:val="24"/>
          <w:szCs w:val="24"/>
        </w:rPr>
        <w:t xml:space="preserve"> </w:t>
      </w:r>
      <w:r w:rsidRPr="00566E2C">
        <w:rPr>
          <w:rFonts w:ascii="Book Antiqua" w:hAnsi="Book Antiqua"/>
          <w:sz w:val="24"/>
          <w:szCs w:val="24"/>
        </w:rPr>
        <w:t>&lt;</w:t>
      </w:r>
      <w:r w:rsidR="000C5B81">
        <w:rPr>
          <w:rFonts w:ascii="Book Antiqua" w:hAnsi="Book Antiqua" w:hint="eastAsia"/>
          <w:sz w:val="24"/>
          <w:szCs w:val="24"/>
        </w:rPr>
        <w:t xml:space="preserve"> </w:t>
      </w:r>
      <w:r w:rsidRPr="00566E2C">
        <w:rPr>
          <w:rFonts w:ascii="Book Antiqua" w:hAnsi="Book Antiqua"/>
          <w:sz w:val="24"/>
          <w:szCs w:val="24"/>
        </w:rPr>
        <w:t>gray). As shown in Figure 1B, the gastric acid secretion level of rats in the 1.0μg/5μLnesfatin-1 group reached 358.85</w:t>
      </w:r>
      <w:r w:rsidR="000C5B81">
        <w:rPr>
          <w:rFonts w:ascii="Book Antiqua" w:hAnsi="Book Antiqua" w:hint="eastAsia"/>
          <w:sz w:val="24"/>
          <w:szCs w:val="24"/>
        </w:rPr>
        <w:t xml:space="preserve"> </w:t>
      </w:r>
      <w:r w:rsidRPr="00566E2C">
        <w:rPr>
          <w:rFonts w:ascii="Book Antiqua" w:hAnsi="Book Antiqua"/>
          <w:sz w:val="24"/>
          <w:szCs w:val="24"/>
        </w:rPr>
        <w:t>μmoL at two hours after intravenous</w:t>
      </w:r>
      <w:r w:rsidR="0040566B">
        <w:rPr>
          <w:rFonts w:ascii="Book Antiqua" w:hAnsi="Book Antiqua" w:hint="eastAsia"/>
          <w:sz w:val="24"/>
          <w:szCs w:val="24"/>
        </w:rPr>
        <w:t xml:space="preserve"> </w:t>
      </w:r>
      <w:r w:rsidRPr="00566E2C">
        <w:rPr>
          <w:rFonts w:ascii="Book Antiqua" w:hAnsi="Book Antiqua"/>
          <w:sz w:val="24"/>
          <w:szCs w:val="24"/>
        </w:rPr>
        <w:t>injection. This level was much lower than that in rats at zero-hour after intravenous</w:t>
      </w:r>
      <w:r w:rsidR="0040566B">
        <w:rPr>
          <w:rFonts w:ascii="Book Antiqua" w:hAnsi="Book Antiqua" w:hint="eastAsia"/>
          <w:sz w:val="24"/>
          <w:szCs w:val="24"/>
        </w:rPr>
        <w:t xml:space="preserve"> </w:t>
      </w:r>
      <w:r w:rsidRPr="00566E2C">
        <w:rPr>
          <w:rFonts w:ascii="Book Antiqua" w:hAnsi="Book Antiqua"/>
          <w:sz w:val="24"/>
          <w:szCs w:val="24"/>
        </w:rPr>
        <w:t>injection (618.27</w:t>
      </w:r>
      <w:r w:rsidR="000C5B81">
        <w:rPr>
          <w:rFonts w:ascii="Book Antiqua" w:hAnsi="Book Antiqua" w:hint="eastAsia"/>
          <w:sz w:val="24"/>
          <w:szCs w:val="24"/>
        </w:rPr>
        <w:t xml:space="preserve"> </w:t>
      </w:r>
      <w:r w:rsidRPr="00566E2C">
        <w:rPr>
          <w:rFonts w:ascii="Book Antiqua" w:hAnsi="Book Antiqua"/>
          <w:sz w:val="24"/>
          <w:szCs w:val="24"/>
        </w:rPr>
        <w:t>μmoL). The difference was statistically significant (</w:t>
      </w:r>
      <w:r w:rsidRPr="00566E2C">
        <w:rPr>
          <w:rFonts w:ascii="Book Antiqua" w:hAnsi="Book Antiqua"/>
          <w:i/>
          <w:sz w:val="24"/>
          <w:szCs w:val="24"/>
        </w:rPr>
        <w:t>P</w:t>
      </w:r>
      <w:r w:rsidR="000C5B81">
        <w:rPr>
          <w:rFonts w:ascii="Book Antiqua" w:hAnsi="Book Antiqua" w:hint="eastAsia"/>
          <w:i/>
          <w:sz w:val="24"/>
          <w:szCs w:val="24"/>
        </w:rPr>
        <w:t xml:space="preserve"> </w:t>
      </w:r>
      <w:r w:rsidRPr="00566E2C">
        <w:rPr>
          <w:rFonts w:ascii="Book Antiqua" w:hAnsi="Book Antiqua"/>
          <w:sz w:val="24"/>
          <w:szCs w:val="24"/>
        </w:rPr>
        <w:t>=</w:t>
      </w:r>
      <w:r w:rsidR="000C5B81">
        <w:rPr>
          <w:rFonts w:ascii="Book Antiqua" w:hAnsi="Book Antiqua" w:hint="eastAsia"/>
          <w:sz w:val="24"/>
          <w:szCs w:val="24"/>
        </w:rPr>
        <w:t xml:space="preserve"> </w:t>
      </w:r>
      <w:r w:rsidRPr="00566E2C">
        <w:rPr>
          <w:rFonts w:ascii="Book Antiqua" w:hAnsi="Book Antiqua"/>
          <w:sz w:val="24"/>
          <w:szCs w:val="24"/>
        </w:rPr>
        <w:t>0.000).</w:t>
      </w:r>
      <w:r w:rsidR="0080095A" w:rsidRPr="0080095A">
        <w:rPr>
          <w:rFonts w:ascii="Book Antiqua" w:hAnsi="Book Antiqua" w:hint="eastAsia"/>
          <w:color w:val="000000"/>
          <w:sz w:val="24"/>
          <w:szCs w:val="24"/>
          <w:vertAlign w:val="superscript"/>
        </w:rPr>
        <w:t xml:space="preserve"> c</w:t>
      </w:r>
      <w:r w:rsidR="0080095A" w:rsidRPr="00566E2C">
        <w:rPr>
          <w:rFonts w:ascii="Book Antiqua" w:hAnsi="Book Antiqua"/>
          <w:i/>
          <w:color w:val="000000"/>
          <w:sz w:val="24"/>
          <w:szCs w:val="24"/>
        </w:rPr>
        <w:t>P</w:t>
      </w:r>
      <w:r w:rsidR="0080095A">
        <w:rPr>
          <w:rFonts w:ascii="Book Antiqua" w:hAnsi="Book Antiqua" w:hint="eastAsia"/>
          <w:i/>
          <w:color w:val="000000"/>
          <w:sz w:val="24"/>
          <w:szCs w:val="24"/>
        </w:rPr>
        <w:t xml:space="preserve"> </w:t>
      </w:r>
      <w:r w:rsidR="0080095A" w:rsidRPr="00566E2C">
        <w:rPr>
          <w:rFonts w:ascii="Book Antiqua" w:hAnsi="Book Antiqua"/>
          <w:color w:val="000000"/>
          <w:sz w:val="24"/>
          <w:szCs w:val="24"/>
        </w:rPr>
        <w:t>&lt;</w:t>
      </w:r>
      <w:r w:rsidR="0080095A">
        <w:rPr>
          <w:rFonts w:ascii="Book Antiqua" w:hAnsi="Book Antiqua" w:hint="eastAsia"/>
          <w:color w:val="000000"/>
          <w:sz w:val="24"/>
          <w:szCs w:val="24"/>
        </w:rPr>
        <w:t xml:space="preserve"> </w:t>
      </w:r>
      <w:r w:rsidR="0080095A" w:rsidRPr="00566E2C">
        <w:rPr>
          <w:rFonts w:ascii="Book Antiqua" w:hAnsi="Book Antiqua"/>
          <w:color w:val="000000"/>
          <w:sz w:val="24"/>
          <w:szCs w:val="24"/>
        </w:rPr>
        <w:t>0.001,</w:t>
      </w:r>
      <w:r w:rsidR="0080095A">
        <w:rPr>
          <w:rFonts w:ascii="Book Antiqua" w:hAnsi="Book Antiqua" w:hint="eastAsia"/>
          <w:color w:val="000000"/>
          <w:sz w:val="24"/>
          <w:szCs w:val="24"/>
        </w:rPr>
        <w:t xml:space="preserve"> </w:t>
      </w:r>
      <w:r w:rsidR="0080095A" w:rsidRPr="0080095A">
        <w:rPr>
          <w:rFonts w:ascii="Book Antiqua" w:hAnsi="Book Antiqua" w:hint="eastAsia"/>
          <w:color w:val="000000"/>
          <w:sz w:val="24"/>
          <w:szCs w:val="24"/>
          <w:vertAlign w:val="superscript"/>
        </w:rPr>
        <w:t>b</w:t>
      </w:r>
      <w:r w:rsidR="0080095A" w:rsidRPr="00566E2C">
        <w:rPr>
          <w:rFonts w:ascii="Book Antiqua" w:hAnsi="Book Antiqua"/>
          <w:i/>
          <w:color w:val="000000"/>
          <w:sz w:val="24"/>
          <w:szCs w:val="24"/>
        </w:rPr>
        <w:t>P</w:t>
      </w:r>
      <w:r w:rsidR="0080095A">
        <w:rPr>
          <w:rFonts w:ascii="Book Antiqua" w:hAnsi="Book Antiqua" w:hint="eastAsia"/>
          <w:i/>
          <w:color w:val="000000"/>
          <w:sz w:val="24"/>
          <w:szCs w:val="24"/>
        </w:rPr>
        <w:t xml:space="preserve"> </w:t>
      </w:r>
      <w:r w:rsidR="0080095A" w:rsidRPr="00566E2C">
        <w:rPr>
          <w:rFonts w:ascii="Book Antiqua" w:hAnsi="Book Antiqua"/>
          <w:color w:val="000000"/>
          <w:sz w:val="24"/>
          <w:szCs w:val="24"/>
        </w:rPr>
        <w:t>&lt;</w:t>
      </w:r>
      <w:r w:rsidR="0080095A">
        <w:rPr>
          <w:rFonts w:ascii="Book Antiqua" w:hAnsi="Book Antiqua" w:hint="eastAsia"/>
          <w:color w:val="000000"/>
          <w:sz w:val="24"/>
          <w:szCs w:val="24"/>
        </w:rPr>
        <w:t xml:space="preserve"> </w:t>
      </w:r>
      <w:r w:rsidR="0080095A" w:rsidRPr="00566E2C">
        <w:rPr>
          <w:rFonts w:ascii="Book Antiqua" w:hAnsi="Book Antiqua"/>
          <w:color w:val="000000"/>
          <w:sz w:val="24"/>
          <w:szCs w:val="24"/>
        </w:rPr>
        <w:t>0.05; NS: No significant difference.</w:t>
      </w:r>
    </w:p>
    <w:p w:rsidR="00D03341" w:rsidRPr="00566E2C" w:rsidRDefault="0040566B" w:rsidP="001D6E50">
      <w:pPr>
        <w:spacing w:line="360" w:lineRule="auto"/>
        <w:rPr>
          <w:rFonts w:ascii="Book Antiqua" w:hAnsi="Book Antiqua"/>
          <w:sz w:val="24"/>
          <w:szCs w:val="24"/>
        </w:rPr>
      </w:pPr>
      <w:r>
        <w:rPr>
          <w:rFonts w:ascii="Book Antiqua" w:hAnsi="Book Antiqua"/>
          <w:color w:val="000000"/>
          <w:sz w:val="24"/>
          <w:szCs w:val="24"/>
        </w:rPr>
        <w:br w:type="page"/>
      </w:r>
    </w:p>
    <w:p w:rsidR="00D03341" w:rsidRPr="00566E2C" w:rsidRDefault="00D03341" w:rsidP="001D6E50">
      <w:pPr>
        <w:spacing w:line="360" w:lineRule="auto"/>
        <w:rPr>
          <w:rFonts w:ascii="Book Antiqua" w:hAnsi="Book Antiqua"/>
          <w:sz w:val="24"/>
          <w:szCs w:val="24"/>
        </w:rPr>
      </w:pPr>
    </w:p>
    <w:p w:rsidR="00D03341" w:rsidRPr="00566E2C" w:rsidRDefault="001217E9" w:rsidP="001D6E50">
      <w:pPr>
        <w:spacing w:line="360" w:lineRule="auto"/>
        <w:jc w:val="cente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58240" behindDoc="0" locked="0" layoutInCell="1" allowOverlap="1">
                <wp:simplePos x="0" y="0"/>
                <wp:positionH relativeFrom="column">
                  <wp:posOffset>514350</wp:posOffset>
                </wp:positionH>
                <wp:positionV relativeFrom="paragraph">
                  <wp:posOffset>120650</wp:posOffset>
                </wp:positionV>
                <wp:extent cx="424815" cy="345440"/>
                <wp:effectExtent l="0" t="635" r="381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B33" w:rsidRDefault="004E2B33" w:rsidP="00D92073">
                            <w:pPr>
                              <w:pStyle w:val="1"/>
                              <w:ind w:firstLineChars="0" w:firstLine="0"/>
                              <w:jc w:val="left"/>
                              <w:textAlignment w:val="baseline"/>
                              <w:rPr>
                                <w:bCs/>
                                <w:sz w:val="36"/>
                              </w:rPr>
                            </w:pPr>
                            <w:r>
                              <w:rPr>
                                <w:rFonts w:ascii="Arial" w:hAnsi="Times New Roman"/>
                                <w:bCs/>
                                <w:kern w:val="24"/>
                                <w:sz w:val="36"/>
                                <w:szCs w:val="36"/>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40.5pt;margin-top:9.5pt;width:33.45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68duA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" filled="f" stroked="f">
                <v:textbox>
                  <w:txbxContent>
                    <w:p w:rsidR="004E2B33" w:rsidRDefault="004E2B33" w:rsidP="00D92073">
                      <w:pPr>
                        <w:pStyle w:val="1"/>
                        <w:ind w:firstLineChars="0" w:firstLine="0"/>
                        <w:jc w:val="left"/>
                        <w:textAlignment w:val="baseline"/>
                        <w:rPr>
                          <w:bCs/>
                          <w:sz w:val="36"/>
                        </w:rPr>
                      </w:pPr>
                      <w:r>
                        <w:rPr>
                          <w:rFonts w:ascii="Arial" w:hAnsi="Times New Roman"/>
                          <w:bCs/>
                          <w:kern w:val="24"/>
                          <w:sz w:val="36"/>
                          <w:szCs w:val="36"/>
                        </w:rPr>
                        <w:t>A</w:t>
                      </w:r>
                    </w:p>
                  </w:txbxContent>
                </v:textbox>
              </v:shape>
            </w:pict>
          </mc:Fallback>
        </mc:AlternateContent>
      </w:r>
      <w:r>
        <w:rPr>
          <w:rFonts w:ascii="Book Antiqua" w:hAnsi="Book Antiqua"/>
          <w:noProof/>
          <w:sz w:val="24"/>
          <w:szCs w:val="24"/>
        </w:rPr>
        <w:drawing>
          <wp:inline distT="0" distB="0" distL="0" distR="0">
            <wp:extent cx="4772025" cy="3286125"/>
            <wp:effectExtent l="0" t="0" r="9525" b="9525"/>
            <wp:docPr id="3" name="图片 4" descr="外周  胃排空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外周  胃排空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72025" cy="3286125"/>
                    </a:xfrm>
                    <a:prstGeom prst="rect">
                      <a:avLst/>
                    </a:prstGeom>
                    <a:noFill/>
                    <a:ln>
                      <a:noFill/>
                    </a:ln>
                  </pic:spPr>
                </pic:pic>
              </a:graphicData>
            </a:graphic>
          </wp:inline>
        </w:drawing>
      </w:r>
    </w:p>
    <w:p w:rsidR="00D03341" w:rsidRPr="00566E2C" w:rsidRDefault="00D33399" w:rsidP="001D6E50">
      <w:pPr>
        <w:spacing w:line="360" w:lineRule="auto"/>
        <w:jc w:val="center"/>
        <w:rPr>
          <w:rFonts w:ascii="Book Antiqua" w:hAnsi="Book Antiqua"/>
          <w:sz w:val="24"/>
          <w:szCs w:val="24"/>
        </w:rPr>
      </w:pPr>
      <w:r>
        <w:rPr>
          <w:rFonts w:ascii="Book Antiqua" w:hAnsi="Book Antiqua" w:hint="eastAsia"/>
          <w:sz w:val="24"/>
          <w:szCs w:val="24"/>
        </w:rPr>
        <w:t xml:space="preserve"> </w:t>
      </w:r>
    </w:p>
    <w:p w:rsidR="00D03341" w:rsidRPr="00566E2C" w:rsidRDefault="001217E9" w:rsidP="001D6E50">
      <w:pPr>
        <w:spacing w:line="360" w:lineRule="auto"/>
        <w:jc w:val="center"/>
        <w:rPr>
          <w:rFonts w:ascii="Book Antiqua" w:hAnsi="Book Antiqua"/>
          <w:sz w:val="24"/>
          <w:szCs w:val="24"/>
        </w:rPr>
      </w:pPr>
      <w:r>
        <w:rPr>
          <w:rFonts w:ascii="Book Antiqua" w:hAnsi="Book Antiqua"/>
          <w:noProof/>
          <w:sz w:val="24"/>
          <w:szCs w:val="24"/>
        </w:rPr>
        <mc:AlternateContent>
          <mc:Choice Requires="wps">
            <w:drawing>
              <wp:anchor distT="0" distB="0" distL="114300" distR="114300" simplePos="0" relativeHeight="251659264" behindDoc="0" locked="0" layoutInCell="1" allowOverlap="1">
                <wp:simplePos x="0" y="0"/>
                <wp:positionH relativeFrom="column">
                  <wp:posOffset>3321050</wp:posOffset>
                </wp:positionH>
                <wp:positionV relativeFrom="paragraph">
                  <wp:posOffset>1634490</wp:posOffset>
                </wp:positionV>
                <wp:extent cx="243205" cy="106680"/>
                <wp:effectExtent l="15875" t="26670" r="26670" b="38100"/>
                <wp:wrapNone/>
                <wp:docPr id="10"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98045">
                          <a:off x="0" y="0"/>
                          <a:ext cx="243205" cy="106680"/>
                        </a:xfrm>
                        <a:prstGeom prst="notchedRightArrow">
                          <a:avLst>
                            <a:gd name="adj1" fmla="val 50000"/>
                            <a:gd name="adj2" fmla="val 56994"/>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62170" id="AutoShape 6" o:spid="_x0000_s1026" type="#_x0000_t94" style="position:absolute;margin-left:261.5pt;margin-top:128.7pt;width:19.15pt;height:8.4pt;rotation:1070207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" fillcolor="red" strokeweight=".25pt"/>
            </w:pict>
          </mc:Fallback>
        </mc:AlternateContent>
      </w:r>
      <w:r>
        <w:rPr>
          <w:rFonts w:ascii="Book Antiqua" w:hAnsi="Book Antiqua"/>
          <w:noProof/>
          <w:sz w:val="24"/>
          <w:szCs w:val="24"/>
        </w:rPr>
        <w:drawing>
          <wp:inline distT="0" distB="0" distL="0" distR="0">
            <wp:extent cx="4295775" cy="3733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5775" cy="3733800"/>
                    </a:xfrm>
                    <a:prstGeom prst="rect">
                      <a:avLst/>
                    </a:prstGeom>
                    <a:noFill/>
                    <a:ln>
                      <a:noFill/>
                    </a:ln>
                  </pic:spPr>
                </pic:pic>
              </a:graphicData>
            </a:graphic>
          </wp:inline>
        </w:drawing>
      </w:r>
      <w:r>
        <w:rPr>
          <w:rFonts w:ascii="Book Antiqua" w:hAnsi="Book Antiqua"/>
          <w:noProof/>
          <w:sz w:val="24"/>
          <w:szCs w:val="24"/>
        </w:rPr>
        <mc:AlternateContent>
          <mc:Choice Requires="wps">
            <w:drawing>
              <wp:anchor distT="0" distB="0" distL="114300" distR="114300" simplePos="0" relativeHeight="251660288" behindDoc="0" locked="0" layoutInCell="1" allowOverlap="1">
                <wp:simplePos x="0" y="0"/>
                <wp:positionH relativeFrom="column">
                  <wp:posOffset>123825</wp:posOffset>
                </wp:positionH>
                <wp:positionV relativeFrom="paragraph">
                  <wp:posOffset>58420</wp:posOffset>
                </wp:positionV>
                <wp:extent cx="424815" cy="345440"/>
                <wp:effectExtent l="0" t="3175" r="3810" b="381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E2B33" w:rsidRDefault="004E2B33" w:rsidP="00D92073">
                            <w:pPr>
                              <w:pStyle w:val="1"/>
                              <w:ind w:firstLineChars="0" w:firstLine="0"/>
                              <w:jc w:val="left"/>
                              <w:textAlignment w:val="baseline"/>
                              <w:rPr>
                                <w:bCs/>
                                <w:sz w:val="36"/>
                              </w:rPr>
                            </w:pPr>
                            <w:r>
                              <w:rPr>
                                <w:rFonts w:ascii="Arial" w:hAnsi="Times New Roman"/>
                                <w:bCs/>
                                <w:kern w:val="24"/>
                                <w:sz w:val="36"/>
                                <w:szCs w:val="3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9.75pt;margin-top:4.6pt;width:33.45pt;height:2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gpruAIAAL8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" filled="f" stroked="f">
                <v:textbox>
                  <w:txbxContent>
                    <w:p w:rsidR="004E2B33" w:rsidRDefault="004E2B33" w:rsidP="00D92073">
                      <w:pPr>
                        <w:pStyle w:val="1"/>
                        <w:ind w:firstLineChars="0" w:firstLine="0"/>
                        <w:jc w:val="left"/>
                        <w:textAlignment w:val="baseline"/>
                        <w:rPr>
                          <w:bCs/>
                          <w:sz w:val="36"/>
                        </w:rPr>
                      </w:pPr>
                      <w:r>
                        <w:rPr>
                          <w:rFonts w:ascii="Arial" w:hAnsi="Times New Roman"/>
                          <w:bCs/>
                          <w:kern w:val="24"/>
                          <w:sz w:val="36"/>
                          <w:szCs w:val="36"/>
                        </w:rPr>
                        <w:t>B</w:t>
                      </w:r>
                    </w:p>
                  </w:txbxContent>
                </v:textbox>
              </v:shape>
            </w:pict>
          </mc:Fallback>
        </mc:AlternateContent>
      </w:r>
    </w:p>
    <w:p w:rsidR="009F2E4D" w:rsidRDefault="00D03341" w:rsidP="001D6E50">
      <w:pPr>
        <w:spacing w:line="360" w:lineRule="auto"/>
        <w:rPr>
          <w:rFonts w:ascii="Book Antiqua" w:hAnsi="Book Antiqua"/>
          <w:sz w:val="24"/>
          <w:szCs w:val="24"/>
        </w:rPr>
      </w:pPr>
      <w:r w:rsidRPr="000C5B81">
        <w:rPr>
          <w:rFonts w:ascii="Book Antiqua" w:hAnsi="Book Antiqua"/>
          <w:b/>
          <w:sz w:val="24"/>
          <w:szCs w:val="24"/>
        </w:rPr>
        <w:t>Figure</w:t>
      </w:r>
      <w:r w:rsidR="000C5B81" w:rsidRPr="000C5B81">
        <w:rPr>
          <w:rFonts w:ascii="Book Antiqua" w:hAnsi="Book Antiqua" w:hint="eastAsia"/>
          <w:b/>
          <w:sz w:val="24"/>
          <w:szCs w:val="24"/>
        </w:rPr>
        <w:t xml:space="preserve"> </w:t>
      </w:r>
      <w:r w:rsidRPr="000C5B81">
        <w:rPr>
          <w:rFonts w:ascii="Book Antiqua" w:hAnsi="Book Antiqua"/>
          <w:b/>
          <w:sz w:val="24"/>
          <w:szCs w:val="24"/>
        </w:rPr>
        <w:t>2 Changes in gastric emptying function in rats</w:t>
      </w:r>
      <w:r w:rsidR="000C5B81" w:rsidRPr="000C5B81">
        <w:rPr>
          <w:rFonts w:ascii="Book Antiqua" w:hAnsi="Book Antiqua" w:hint="eastAsia"/>
          <w:b/>
          <w:sz w:val="24"/>
          <w:szCs w:val="24"/>
        </w:rPr>
        <w:t>.</w:t>
      </w:r>
      <w:r w:rsidR="000C5B81">
        <w:rPr>
          <w:rFonts w:ascii="Book Antiqua" w:hAnsi="Book Antiqua"/>
          <w:sz w:val="24"/>
          <w:szCs w:val="24"/>
        </w:rPr>
        <w:t xml:space="preserve"> </w:t>
      </w:r>
      <w:r w:rsidRPr="00566E2C">
        <w:rPr>
          <w:rFonts w:ascii="Book Antiqua" w:hAnsi="Book Antiqua"/>
          <w:sz w:val="24"/>
          <w:szCs w:val="24"/>
        </w:rPr>
        <w:t>A: intracerebroventricular infusion</w:t>
      </w:r>
      <w:r w:rsidR="000C5B81">
        <w:rPr>
          <w:rFonts w:ascii="Book Antiqua" w:hAnsi="Book Antiqua" w:hint="eastAsia"/>
          <w:sz w:val="24"/>
          <w:szCs w:val="24"/>
        </w:rPr>
        <w:t>;</w:t>
      </w:r>
      <w:r w:rsidR="000C5B81">
        <w:rPr>
          <w:rFonts w:ascii="Book Antiqua" w:hAnsi="Book Antiqua"/>
          <w:sz w:val="24"/>
          <w:szCs w:val="24"/>
        </w:rPr>
        <w:t xml:space="preserve"> B: intravenous injection</w:t>
      </w:r>
      <w:r w:rsidRPr="00566E2C">
        <w:rPr>
          <w:rFonts w:ascii="Book Antiqua" w:hAnsi="Book Antiqua"/>
          <w:sz w:val="24"/>
          <w:szCs w:val="24"/>
        </w:rPr>
        <w:t xml:space="preserve">. Rats were randomly assigned into 30 groups based on the drug dosage and representative time </w:t>
      </w:r>
      <w:r w:rsidRPr="00566E2C">
        <w:rPr>
          <w:rFonts w:ascii="Book Antiqua" w:hAnsi="Book Antiqua"/>
          <w:sz w:val="24"/>
          <w:szCs w:val="24"/>
        </w:rPr>
        <w:lastRenderedPageBreak/>
        <w:t>points after administration. In each group, and every 15 rats</w:t>
      </w:r>
      <w:r w:rsidR="0040566B">
        <w:rPr>
          <w:rFonts w:ascii="Book Antiqua" w:hAnsi="Book Antiqua" w:hint="eastAsia"/>
          <w:sz w:val="24"/>
          <w:szCs w:val="24"/>
        </w:rPr>
        <w:t xml:space="preserve"> </w:t>
      </w:r>
      <w:r w:rsidRPr="00566E2C">
        <w:rPr>
          <w:rFonts w:ascii="Book Antiqua" w:hAnsi="Book Antiqua"/>
          <w:sz w:val="24"/>
          <w:szCs w:val="24"/>
        </w:rPr>
        <w:t>were intracerebroventricularly injected,</w:t>
      </w:r>
      <w:r w:rsidR="0080095A">
        <w:rPr>
          <w:rFonts w:ascii="Book Antiqua" w:hAnsi="Book Antiqua" w:hint="eastAsia"/>
          <w:sz w:val="24"/>
          <w:szCs w:val="24"/>
        </w:rPr>
        <w:t xml:space="preserve"> </w:t>
      </w:r>
      <w:r w:rsidRPr="00566E2C">
        <w:rPr>
          <w:rFonts w:ascii="Book Antiqua" w:hAnsi="Book Antiqua"/>
          <w:sz w:val="24"/>
          <w:szCs w:val="24"/>
        </w:rPr>
        <w:t>while 15 rats were</w:t>
      </w:r>
      <w:r w:rsidR="0040566B">
        <w:rPr>
          <w:rFonts w:ascii="Book Antiqua" w:hAnsi="Book Antiqua" w:hint="eastAsia"/>
          <w:sz w:val="24"/>
          <w:szCs w:val="24"/>
        </w:rPr>
        <w:t xml:space="preserve"> </w:t>
      </w:r>
      <w:r w:rsidRPr="00566E2C">
        <w:rPr>
          <w:rFonts w:ascii="Book Antiqua" w:hAnsi="Book Antiqua"/>
          <w:sz w:val="24"/>
          <w:szCs w:val="24"/>
        </w:rPr>
        <w:t>intravenously injected. X axis: drug dosage; Y axis: time points after drug administration; Z axis: gastric emptying function, which was presented as the height of the histogram with</w:t>
      </w:r>
      <w:r w:rsidR="0040566B">
        <w:rPr>
          <w:rFonts w:ascii="Book Antiqua" w:hAnsi="Book Antiqua" w:hint="eastAsia"/>
          <w:sz w:val="24"/>
          <w:szCs w:val="24"/>
        </w:rPr>
        <w:t xml:space="preserve"> </w:t>
      </w:r>
      <w:r w:rsidRPr="00566E2C">
        <w:rPr>
          <w:rFonts w:ascii="Book Antiqua" w:hAnsi="Book Antiqua"/>
          <w:sz w:val="24"/>
          <w:szCs w:val="24"/>
        </w:rPr>
        <w:t>its corresponding color (capacity: black</w:t>
      </w:r>
      <w:r w:rsidR="000C5B81">
        <w:rPr>
          <w:rFonts w:ascii="Book Antiqua" w:hAnsi="Book Antiqua" w:hint="eastAsia"/>
          <w:sz w:val="24"/>
          <w:szCs w:val="24"/>
        </w:rPr>
        <w:t xml:space="preserve"> </w:t>
      </w:r>
      <w:r w:rsidRPr="00566E2C">
        <w:rPr>
          <w:rFonts w:ascii="Book Antiqua" w:hAnsi="Book Antiqua"/>
          <w:sz w:val="24"/>
          <w:szCs w:val="24"/>
        </w:rPr>
        <w:t>&lt;</w:t>
      </w:r>
      <w:r w:rsidR="000C5B81">
        <w:rPr>
          <w:rFonts w:ascii="Book Antiqua" w:hAnsi="Book Antiqua" w:hint="eastAsia"/>
          <w:sz w:val="24"/>
          <w:szCs w:val="24"/>
        </w:rPr>
        <w:t xml:space="preserve"> </w:t>
      </w:r>
      <w:r w:rsidRPr="00566E2C">
        <w:rPr>
          <w:rFonts w:ascii="Book Antiqua" w:hAnsi="Book Antiqua"/>
          <w:sz w:val="24"/>
          <w:szCs w:val="24"/>
        </w:rPr>
        <w:t>blue</w:t>
      </w:r>
      <w:r w:rsidR="000C5B81">
        <w:rPr>
          <w:rFonts w:ascii="Book Antiqua" w:hAnsi="Book Antiqua" w:hint="eastAsia"/>
          <w:sz w:val="24"/>
          <w:szCs w:val="24"/>
        </w:rPr>
        <w:t xml:space="preserve"> </w:t>
      </w:r>
      <w:r w:rsidRPr="00566E2C">
        <w:rPr>
          <w:rFonts w:ascii="Book Antiqua" w:hAnsi="Book Antiqua"/>
          <w:sz w:val="24"/>
          <w:szCs w:val="24"/>
        </w:rPr>
        <w:t>&lt;</w:t>
      </w:r>
      <w:r w:rsidR="000C5B81">
        <w:rPr>
          <w:rFonts w:ascii="Book Antiqua" w:hAnsi="Book Antiqua" w:hint="eastAsia"/>
          <w:sz w:val="24"/>
          <w:szCs w:val="24"/>
        </w:rPr>
        <w:t xml:space="preserve"> </w:t>
      </w:r>
      <w:r w:rsidRPr="00566E2C">
        <w:rPr>
          <w:rFonts w:ascii="Book Antiqua" w:hAnsi="Book Antiqua"/>
          <w:sz w:val="24"/>
          <w:szCs w:val="24"/>
        </w:rPr>
        <w:t>light blue</w:t>
      </w:r>
      <w:r w:rsidR="000C5B81">
        <w:rPr>
          <w:rFonts w:ascii="Book Antiqua" w:hAnsi="Book Antiqua" w:hint="eastAsia"/>
          <w:sz w:val="24"/>
          <w:szCs w:val="24"/>
        </w:rPr>
        <w:t xml:space="preserve"> </w:t>
      </w:r>
      <w:r w:rsidRPr="00566E2C">
        <w:rPr>
          <w:rFonts w:ascii="Book Antiqua" w:hAnsi="Book Antiqua"/>
          <w:sz w:val="24"/>
          <w:szCs w:val="24"/>
        </w:rPr>
        <w:t>&lt;</w:t>
      </w:r>
      <w:r w:rsidR="000C5B81">
        <w:rPr>
          <w:rFonts w:ascii="Book Antiqua" w:hAnsi="Book Antiqua" w:hint="eastAsia"/>
          <w:sz w:val="24"/>
          <w:szCs w:val="24"/>
        </w:rPr>
        <w:t xml:space="preserve"> </w:t>
      </w:r>
      <w:r w:rsidRPr="00566E2C">
        <w:rPr>
          <w:rFonts w:ascii="Book Antiqua" w:hAnsi="Book Antiqua"/>
          <w:sz w:val="24"/>
          <w:szCs w:val="24"/>
        </w:rPr>
        <w:t>yellow</w:t>
      </w:r>
      <w:r w:rsidR="000C5B81">
        <w:rPr>
          <w:rFonts w:ascii="Book Antiqua" w:hAnsi="Book Antiqua" w:hint="eastAsia"/>
          <w:sz w:val="24"/>
          <w:szCs w:val="24"/>
        </w:rPr>
        <w:t xml:space="preserve"> </w:t>
      </w:r>
      <w:r w:rsidRPr="00566E2C">
        <w:rPr>
          <w:rFonts w:ascii="Book Antiqua" w:hAnsi="Book Antiqua"/>
          <w:sz w:val="24"/>
          <w:szCs w:val="24"/>
        </w:rPr>
        <w:t>&lt;</w:t>
      </w:r>
      <w:r w:rsidR="000C5B81">
        <w:rPr>
          <w:rFonts w:ascii="Book Antiqua" w:hAnsi="Book Antiqua" w:hint="eastAsia"/>
          <w:sz w:val="24"/>
          <w:szCs w:val="24"/>
        </w:rPr>
        <w:t xml:space="preserve"> </w:t>
      </w:r>
      <w:r w:rsidRPr="00566E2C">
        <w:rPr>
          <w:rFonts w:ascii="Book Antiqua" w:hAnsi="Book Antiqua"/>
          <w:sz w:val="24"/>
          <w:szCs w:val="24"/>
        </w:rPr>
        <w:t>red</w:t>
      </w:r>
      <w:r w:rsidR="000C5B81">
        <w:rPr>
          <w:rFonts w:ascii="Book Antiqua" w:hAnsi="Book Antiqua" w:hint="eastAsia"/>
          <w:sz w:val="24"/>
          <w:szCs w:val="24"/>
        </w:rPr>
        <w:t xml:space="preserve"> </w:t>
      </w:r>
      <w:r w:rsidRPr="00566E2C">
        <w:rPr>
          <w:rFonts w:ascii="Book Antiqua" w:hAnsi="Book Antiqua"/>
          <w:sz w:val="24"/>
          <w:szCs w:val="24"/>
        </w:rPr>
        <w:t>&lt;</w:t>
      </w:r>
      <w:r w:rsidR="000C5B81">
        <w:rPr>
          <w:rFonts w:ascii="Book Antiqua" w:hAnsi="Book Antiqua" w:hint="eastAsia"/>
          <w:sz w:val="24"/>
          <w:szCs w:val="24"/>
        </w:rPr>
        <w:t xml:space="preserve"> </w:t>
      </w:r>
      <w:r w:rsidRPr="00566E2C">
        <w:rPr>
          <w:rFonts w:ascii="Book Antiqua" w:hAnsi="Book Antiqua"/>
          <w:sz w:val="24"/>
          <w:szCs w:val="24"/>
        </w:rPr>
        <w:t>gray). As shown in Figure 2B, the gastric emptying rate of rats in the 1.0μg/5μLnesfatin-1 group reached 46.69% at two hours after intravenous injection. This was much lower than in rats at zero-hour after intravenous injection (62.84%). The difference was statistically significant (</w:t>
      </w:r>
      <w:r w:rsidRPr="00566E2C">
        <w:rPr>
          <w:rFonts w:ascii="Book Antiqua" w:hAnsi="Book Antiqua"/>
          <w:i/>
          <w:sz w:val="24"/>
          <w:szCs w:val="24"/>
        </w:rPr>
        <w:t>P</w:t>
      </w:r>
      <w:r w:rsidR="000C5B81">
        <w:rPr>
          <w:rFonts w:ascii="Book Antiqua" w:hAnsi="Book Antiqua" w:hint="eastAsia"/>
          <w:i/>
          <w:sz w:val="24"/>
          <w:szCs w:val="24"/>
        </w:rPr>
        <w:t xml:space="preserve"> </w:t>
      </w:r>
      <w:r w:rsidRPr="00566E2C">
        <w:rPr>
          <w:rFonts w:ascii="Book Antiqua" w:hAnsi="Book Antiqua"/>
          <w:sz w:val="24"/>
          <w:szCs w:val="24"/>
        </w:rPr>
        <w:t>=</w:t>
      </w:r>
      <w:r w:rsidR="000C5B81">
        <w:rPr>
          <w:rFonts w:ascii="Book Antiqua" w:hAnsi="Book Antiqua" w:hint="eastAsia"/>
          <w:sz w:val="24"/>
          <w:szCs w:val="24"/>
        </w:rPr>
        <w:t xml:space="preserve"> </w:t>
      </w:r>
      <w:r w:rsidRPr="00566E2C">
        <w:rPr>
          <w:rFonts w:ascii="Book Antiqua" w:hAnsi="Book Antiqua"/>
          <w:sz w:val="24"/>
          <w:szCs w:val="24"/>
        </w:rPr>
        <w:t>0.024).</w:t>
      </w:r>
      <w:r w:rsidR="0080095A" w:rsidRPr="0080095A">
        <w:rPr>
          <w:rFonts w:ascii="Book Antiqua" w:hAnsi="Book Antiqua"/>
          <w:sz w:val="24"/>
          <w:szCs w:val="24"/>
        </w:rPr>
        <w:t xml:space="preserve"> </w:t>
      </w:r>
      <w:r w:rsidR="0080095A" w:rsidRPr="00566E2C">
        <w:rPr>
          <w:rFonts w:ascii="Book Antiqua" w:hAnsi="Book Antiqua"/>
          <w:sz w:val="24"/>
          <w:szCs w:val="24"/>
        </w:rPr>
        <w:t>The differences were not statistically significant</w:t>
      </w:r>
      <w:r w:rsidR="0040566B">
        <w:rPr>
          <w:rFonts w:ascii="Book Antiqua" w:hAnsi="Book Antiqua" w:hint="eastAsia"/>
          <w:sz w:val="24"/>
          <w:szCs w:val="24"/>
        </w:rPr>
        <w:t>,</w:t>
      </w:r>
      <w:r w:rsidR="0080095A">
        <w:rPr>
          <w:rFonts w:ascii="Book Antiqua" w:hAnsi="Book Antiqua"/>
          <w:sz w:val="24"/>
          <w:szCs w:val="24"/>
        </w:rPr>
        <w:t xml:space="preserve"> </w:t>
      </w:r>
      <w:r w:rsidR="0080095A">
        <w:rPr>
          <w:rFonts w:ascii="Book Antiqua" w:hAnsi="Book Antiqua" w:hint="eastAsia"/>
          <w:color w:val="000000"/>
          <w:sz w:val="24"/>
          <w:szCs w:val="24"/>
          <w:vertAlign w:val="superscript"/>
        </w:rPr>
        <w:t>c</w:t>
      </w:r>
      <w:r w:rsidR="0080095A" w:rsidRPr="00566E2C">
        <w:rPr>
          <w:rFonts w:ascii="Book Antiqua" w:hAnsi="Book Antiqua"/>
          <w:i/>
          <w:color w:val="000000"/>
          <w:sz w:val="24"/>
          <w:szCs w:val="24"/>
        </w:rPr>
        <w:t>P</w:t>
      </w:r>
      <w:r w:rsidR="0080095A">
        <w:rPr>
          <w:rFonts w:ascii="Book Antiqua" w:hAnsi="Book Antiqua" w:hint="eastAsia"/>
          <w:i/>
          <w:color w:val="000000"/>
          <w:sz w:val="24"/>
          <w:szCs w:val="24"/>
        </w:rPr>
        <w:t xml:space="preserve"> </w:t>
      </w:r>
      <w:r w:rsidR="0080095A" w:rsidRPr="00566E2C">
        <w:rPr>
          <w:rFonts w:ascii="Book Antiqua" w:hAnsi="Book Antiqua"/>
          <w:color w:val="000000"/>
          <w:sz w:val="24"/>
          <w:szCs w:val="24"/>
        </w:rPr>
        <w:t>&lt;</w:t>
      </w:r>
      <w:r w:rsidR="0080095A">
        <w:rPr>
          <w:rFonts w:ascii="Book Antiqua" w:hAnsi="Book Antiqua" w:hint="eastAsia"/>
          <w:color w:val="000000"/>
          <w:sz w:val="24"/>
          <w:szCs w:val="24"/>
        </w:rPr>
        <w:t xml:space="preserve"> </w:t>
      </w:r>
      <w:r w:rsidR="0080095A" w:rsidRPr="00566E2C">
        <w:rPr>
          <w:rFonts w:ascii="Book Antiqua" w:hAnsi="Book Antiqua"/>
          <w:color w:val="000000"/>
          <w:sz w:val="24"/>
          <w:szCs w:val="24"/>
        </w:rPr>
        <w:t>0.001,</w:t>
      </w:r>
      <w:r w:rsidR="0080095A">
        <w:rPr>
          <w:rFonts w:ascii="Book Antiqua" w:hAnsi="Book Antiqua" w:hint="eastAsia"/>
          <w:color w:val="000000"/>
          <w:sz w:val="24"/>
          <w:szCs w:val="24"/>
        </w:rPr>
        <w:t xml:space="preserve"> </w:t>
      </w:r>
      <w:r w:rsidR="0080095A">
        <w:rPr>
          <w:rFonts w:ascii="Book Antiqua" w:hAnsi="Book Antiqua" w:hint="eastAsia"/>
          <w:color w:val="000000"/>
          <w:sz w:val="24"/>
          <w:szCs w:val="24"/>
          <w:vertAlign w:val="superscript"/>
        </w:rPr>
        <w:t>b</w:t>
      </w:r>
      <w:r w:rsidR="0080095A" w:rsidRPr="00566E2C">
        <w:rPr>
          <w:rFonts w:ascii="Book Antiqua" w:hAnsi="Book Antiqua"/>
          <w:i/>
          <w:color w:val="000000"/>
          <w:sz w:val="24"/>
          <w:szCs w:val="24"/>
        </w:rPr>
        <w:t>P</w:t>
      </w:r>
      <w:r w:rsidR="0080095A">
        <w:rPr>
          <w:rFonts w:ascii="Book Antiqua" w:hAnsi="Book Antiqua" w:hint="eastAsia"/>
          <w:i/>
          <w:color w:val="000000"/>
          <w:sz w:val="24"/>
          <w:szCs w:val="24"/>
        </w:rPr>
        <w:t xml:space="preserve"> </w:t>
      </w:r>
      <w:r w:rsidR="0080095A" w:rsidRPr="00566E2C">
        <w:rPr>
          <w:rFonts w:ascii="Book Antiqua" w:hAnsi="Book Antiqua"/>
          <w:color w:val="000000"/>
          <w:sz w:val="24"/>
          <w:szCs w:val="24"/>
        </w:rPr>
        <w:t>&lt;</w:t>
      </w:r>
      <w:r w:rsidR="0080095A">
        <w:rPr>
          <w:rFonts w:ascii="Book Antiqua" w:hAnsi="Book Antiqua" w:hint="eastAsia"/>
          <w:color w:val="000000"/>
          <w:sz w:val="24"/>
          <w:szCs w:val="24"/>
        </w:rPr>
        <w:t xml:space="preserve"> </w:t>
      </w:r>
      <w:r w:rsidR="0080095A" w:rsidRPr="00566E2C">
        <w:rPr>
          <w:rFonts w:ascii="Book Antiqua" w:hAnsi="Book Antiqua"/>
          <w:color w:val="000000"/>
          <w:sz w:val="24"/>
          <w:szCs w:val="24"/>
        </w:rPr>
        <w:t xml:space="preserve">0.05; NS: No </w:t>
      </w:r>
      <w:r w:rsidR="0080095A">
        <w:rPr>
          <w:rFonts w:ascii="Book Antiqua" w:hAnsi="Book Antiqua"/>
          <w:color w:val="000000"/>
          <w:sz w:val="24"/>
          <w:szCs w:val="24"/>
        </w:rPr>
        <w:t>significant difference</w:t>
      </w:r>
      <w:r w:rsidR="0080095A" w:rsidRPr="00566E2C">
        <w:rPr>
          <w:rFonts w:ascii="Book Antiqua" w:hAnsi="Book Antiqua"/>
          <w:sz w:val="24"/>
          <w:szCs w:val="24"/>
        </w:rPr>
        <w:t>.</w:t>
      </w:r>
      <w:r w:rsidR="004E2B33" w:rsidRPr="00566E2C">
        <w:rPr>
          <w:rFonts w:ascii="Book Antiqua" w:hAnsi="Book Antiqua"/>
          <w:sz w:val="24"/>
          <w:szCs w:val="24"/>
        </w:rPr>
        <w:t xml:space="preserve"> </w:t>
      </w:r>
    </w:p>
    <w:p w:rsidR="00D03341" w:rsidRPr="00566E2C" w:rsidRDefault="009F2E4D" w:rsidP="001D6E50">
      <w:pPr>
        <w:spacing w:line="360" w:lineRule="auto"/>
        <w:rPr>
          <w:rFonts w:ascii="Book Antiqua" w:hAnsi="Book Antiqua"/>
          <w:sz w:val="24"/>
          <w:szCs w:val="24"/>
        </w:rPr>
      </w:pPr>
      <w:r>
        <w:rPr>
          <w:rFonts w:ascii="Book Antiqua" w:hAnsi="Book Antiqua"/>
          <w:sz w:val="24"/>
          <w:szCs w:val="24"/>
        </w:rPr>
        <w:br w:type="page"/>
      </w:r>
    </w:p>
    <w:p w:rsidR="00D03341" w:rsidRPr="00566E2C" w:rsidRDefault="001217E9" w:rsidP="001D6E50">
      <w:pPr>
        <w:spacing w:line="360" w:lineRule="auto"/>
        <w:ind w:firstLineChars="200" w:firstLine="480"/>
        <w:jc w:val="center"/>
        <w:rPr>
          <w:rFonts w:ascii="Book Antiqua" w:hAnsi="Book Antiqua"/>
          <w:sz w:val="24"/>
          <w:szCs w:val="24"/>
        </w:rPr>
      </w:pPr>
      <w:r>
        <w:rPr>
          <w:rFonts w:ascii="Book Antiqua" w:hAnsi="Book Antiqua"/>
          <w:noProof/>
          <w:sz w:val="24"/>
          <w:szCs w:val="24"/>
        </w:rPr>
        <w:drawing>
          <wp:inline distT="0" distB="0" distL="0" distR="0">
            <wp:extent cx="4219575" cy="819150"/>
            <wp:effectExtent l="0" t="0" r="9525" b="0"/>
            <wp:docPr id="5"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片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19575" cy="819150"/>
                    </a:xfrm>
                    <a:prstGeom prst="rect">
                      <a:avLst/>
                    </a:prstGeom>
                    <a:noFill/>
                    <a:ln>
                      <a:noFill/>
                    </a:ln>
                  </pic:spPr>
                </pic:pic>
              </a:graphicData>
            </a:graphic>
          </wp:inline>
        </w:drawing>
      </w:r>
    </w:p>
    <w:p w:rsidR="00D03341" w:rsidRPr="00566E2C" w:rsidRDefault="00D03341" w:rsidP="001D6E50">
      <w:pPr>
        <w:spacing w:line="360" w:lineRule="auto"/>
        <w:jc w:val="center"/>
        <w:rPr>
          <w:rFonts w:ascii="Book Antiqua" w:hAnsi="Book Antiqua"/>
          <w:color w:val="FF0000"/>
          <w:sz w:val="24"/>
          <w:szCs w:val="24"/>
        </w:rPr>
      </w:pPr>
    </w:p>
    <w:p w:rsidR="00D03341" w:rsidRPr="00566E2C" w:rsidRDefault="001217E9" w:rsidP="001D6E50">
      <w:pPr>
        <w:spacing w:line="360" w:lineRule="auto"/>
        <w:jc w:val="center"/>
        <w:rPr>
          <w:rFonts w:ascii="Book Antiqua" w:hAnsi="Book Antiqua"/>
          <w:sz w:val="24"/>
          <w:szCs w:val="24"/>
        </w:rPr>
      </w:pPr>
      <w:r>
        <w:rPr>
          <w:rFonts w:ascii="Book Antiqua" w:hAnsi="Book Antiqua"/>
          <w:noProof/>
          <w:sz w:val="24"/>
          <w:szCs w:val="24"/>
        </w:rPr>
        <w:drawing>
          <wp:inline distT="0" distB="0" distL="0" distR="0">
            <wp:extent cx="5267325" cy="49720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7325" cy="4972050"/>
                    </a:xfrm>
                    <a:prstGeom prst="rect">
                      <a:avLst/>
                    </a:prstGeom>
                    <a:noFill/>
                    <a:ln>
                      <a:noFill/>
                    </a:ln>
                  </pic:spPr>
                </pic:pic>
              </a:graphicData>
            </a:graphic>
          </wp:inline>
        </w:drawing>
      </w:r>
    </w:p>
    <w:p w:rsidR="00D03341" w:rsidRDefault="00D03341" w:rsidP="001D6E50">
      <w:pPr>
        <w:spacing w:line="360" w:lineRule="auto"/>
        <w:jc w:val="center"/>
        <w:rPr>
          <w:rFonts w:ascii="Book Antiqua" w:hAnsi="Book Antiqua"/>
          <w:color w:val="000000"/>
          <w:sz w:val="24"/>
          <w:szCs w:val="24"/>
        </w:rPr>
      </w:pPr>
    </w:p>
    <w:p w:rsidR="000C5B81" w:rsidRPr="0080095A" w:rsidRDefault="000C5B81" w:rsidP="001D6E50">
      <w:pPr>
        <w:spacing w:line="360" w:lineRule="auto"/>
        <w:jc w:val="center"/>
        <w:rPr>
          <w:rFonts w:ascii="Book Antiqua" w:hAnsi="Book Antiqua"/>
          <w:sz w:val="24"/>
          <w:szCs w:val="24"/>
        </w:rPr>
      </w:pPr>
    </w:p>
    <w:p w:rsidR="000C5B81" w:rsidRDefault="00D03341" w:rsidP="000C5B81">
      <w:pPr>
        <w:spacing w:line="360" w:lineRule="auto"/>
        <w:rPr>
          <w:rFonts w:ascii="Book Antiqua" w:hAnsi="Book Antiqua"/>
          <w:sz w:val="24"/>
          <w:szCs w:val="24"/>
        </w:rPr>
      </w:pPr>
      <w:r w:rsidRPr="000C5B81">
        <w:rPr>
          <w:rFonts w:ascii="Book Antiqua" w:hAnsi="Book Antiqua"/>
          <w:b/>
          <w:sz w:val="24"/>
          <w:szCs w:val="24"/>
        </w:rPr>
        <w:t>Figure 3 The</w:t>
      </w:r>
      <w:r w:rsidR="0040566B">
        <w:rPr>
          <w:rFonts w:ascii="Book Antiqua" w:hAnsi="Book Antiqua" w:hint="eastAsia"/>
          <w:b/>
          <w:sz w:val="24"/>
          <w:szCs w:val="24"/>
        </w:rPr>
        <w:t xml:space="preserve"> </w:t>
      </w:r>
      <w:r w:rsidRPr="000C5B81">
        <w:rPr>
          <w:rFonts w:ascii="Book Antiqua" w:hAnsi="Book Antiqua"/>
          <w:b/>
          <w:sz w:val="24"/>
          <w:szCs w:val="24"/>
        </w:rPr>
        <w:t>mRNA expression of H</w:t>
      </w:r>
      <w:r w:rsidRPr="000C5B81">
        <w:rPr>
          <w:rFonts w:ascii="Book Antiqua" w:hAnsi="Book Antiqua"/>
          <w:b/>
          <w:sz w:val="24"/>
          <w:szCs w:val="24"/>
          <w:vertAlign w:val="superscript"/>
        </w:rPr>
        <w:t>+</w:t>
      </w:r>
      <w:r w:rsidRPr="000C5B81">
        <w:rPr>
          <w:rFonts w:ascii="Book Antiqua" w:hAnsi="Book Antiqua"/>
          <w:b/>
          <w:sz w:val="24"/>
          <w:szCs w:val="24"/>
        </w:rPr>
        <w:t>/K</w:t>
      </w:r>
      <w:r w:rsidRPr="000C5B81">
        <w:rPr>
          <w:rFonts w:ascii="Book Antiqua" w:hAnsi="Book Antiqua"/>
          <w:b/>
          <w:sz w:val="24"/>
          <w:szCs w:val="24"/>
          <w:vertAlign w:val="superscript"/>
        </w:rPr>
        <w:t>+</w:t>
      </w:r>
      <w:r w:rsidRPr="000C5B81">
        <w:rPr>
          <w:rFonts w:ascii="Book Antiqua" w:hAnsi="Book Antiqua"/>
          <w:b/>
          <w:sz w:val="24"/>
          <w:szCs w:val="24"/>
        </w:rPr>
        <w:t>-ATPase.</w:t>
      </w:r>
      <w:r w:rsidR="000C5B81">
        <w:rPr>
          <w:rFonts w:ascii="Book Antiqua" w:hAnsi="Book Antiqua" w:hint="eastAsia"/>
          <w:sz w:val="24"/>
          <w:szCs w:val="24"/>
        </w:rPr>
        <w:t xml:space="preserve"> </w:t>
      </w:r>
      <w:r w:rsidR="000C5B81">
        <w:rPr>
          <w:rFonts w:ascii="Book Antiqua" w:hAnsi="Book Antiqua"/>
          <w:sz w:val="24"/>
          <w:szCs w:val="24"/>
        </w:rPr>
        <w:t>A: A typical RT-PCR</w:t>
      </w:r>
      <w:r w:rsidR="0040566B">
        <w:rPr>
          <w:rFonts w:ascii="Book Antiqua" w:hAnsi="Book Antiqua" w:hint="eastAsia"/>
          <w:sz w:val="24"/>
          <w:szCs w:val="24"/>
        </w:rPr>
        <w:t xml:space="preserve"> </w:t>
      </w:r>
      <w:r w:rsidR="000C5B81">
        <w:rPr>
          <w:rFonts w:ascii="Book Antiqua" w:hAnsi="Book Antiqua"/>
          <w:sz w:val="24"/>
          <w:szCs w:val="24"/>
        </w:rPr>
        <w:t>result;</w:t>
      </w:r>
      <w:r w:rsidR="000C5B81">
        <w:rPr>
          <w:rFonts w:ascii="Book Antiqua" w:hAnsi="Book Antiqua" w:hint="eastAsia"/>
          <w:sz w:val="24"/>
          <w:szCs w:val="24"/>
        </w:rPr>
        <w:t xml:space="preserve"> </w:t>
      </w:r>
      <w:r w:rsidRPr="00566E2C">
        <w:rPr>
          <w:rFonts w:ascii="Book Antiqua" w:hAnsi="Book Antiqua"/>
          <w:sz w:val="24"/>
          <w:szCs w:val="24"/>
        </w:rPr>
        <w:t>B: The mRNA expression of H+/K+-ATPase in different groups.</w:t>
      </w:r>
      <w:r w:rsidR="0080095A" w:rsidRPr="0080095A">
        <w:rPr>
          <w:rFonts w:ascii="Book Antiqua" w:hAnsi="Book Antiqua"/>
          <w:sz w:val="24"/>
          <w:szCs w:val="24"/>
        </w:rPr>
        <w:t xml:space="preserve"> </w:t>
      </w:r>
      <w:r w:rsidR="0080095A" w:rsidRPr="0080095A">
        <w:rPr>
          <w:rFonts w:ascii="Book Antiqua" w:hAnsi="Book Antiqua" w:hint="eastAsia"/>
          <w:color w:val="000000"/>
          <w:sz w:val="24"/>
          <w:szCs w:val="24"/>
          <w:vertAlign w:val="superscript"/>
        </w:rPr>
        <w:t>c</w:t>
      </w:r>
      <w:r w:rsidR="0080095A" w:rsidRPr="00566E2C">
        <w:rPr>
          <w:rFonts w:ascii="Book Antiqua" w:hAnsi="Book Antiqua"/>
          <w:i/>
          <w:color w:val="000000"/>
          <w:sz w:val="24"/>
          <w:szCs w:val="24"/>
        </w:rPr>
        <w:t>P</w:t>
      </w:r>
      <w:r w:rsidR="0080095A">
        <w:rPr>
          <w:rFonts w:ascii="Book Antiqua" w:hAnsi="Book Antiqua" w:hint="eastAsia"/>
          <w:i/>
          <w:color w:val="000000"/>
          <w:sz w:val="24"/>
          <w:szCs w:val="24"/>
        </w:rPr>
        <w:t xml:space="preserve"> </w:t>
      </w:r>
      <w:r w:rsidR="0080095A" w:rsidRPr="00566E2C">
        <w:rPr>
          <w:rFonts w:ascii="Book Antiqua" w:hAnsi="Book Antiqua"/>
          <w:color w:val="000000"/>
          <w:sz w:val="24"/>
          <w:szCs w:val="24"/>
        </w:rPr>
        <w:t>&lt;</w:t>
      </w:r>
      <w:r w:rsidR="0080095A">
        <w:rPr>
          <w:rFonts w:ascii="Book Antiqua" w:hAnsi="Book Antiqua" w:hint="eastAsia"/>
          <w:color w:val="000000"/>
          <w:sz w:val="24"/>
          <w:szCs w:val="24"/>
        </w:rPr>
        <w:t xml:space="preserve"> </w:t>
      </w:r>
      <w:r w:rsidR="0080095A" w:rsidRPr="00566E2C">
        <w:rPr>
          <w:rFonts w:ascii="Book Antiqua" w:hAnsi="Book Antiqua"/>
          <w:color w:val="000000"/>
          <w:sz w:val="24"/>
          <w:szCs w:val="24"/>
        </w:rPr>
        <w:t>0.001,</w:t>
      </w:r>
      <w:r w:rsidR="0080095A">
        <w:rPr>
          <w:rFonts w:ascii="Book Antiqua" w:hAnsi="Book Antiqua" w:hint="eastAsia"/>
          <w:color w:val="000000"/>
          <w:sz w:val="24"/>
          <w:szCs w:val="24"/>
        </w:rPr>
        <w:t xml:space="preserve"> </w:t>
      </w:r>
      <w:r w:rsidR="0080095A" w:rsidRPr="0080095A">
        <w:rPr>
          <w:rFonts w:ascii="Book Antiqua" w:hAnsi="Book Antiqua" w:hint="eastAsia"/>
          <w:color w:val="000000"/>
          <w:sz w:val="24"/>
          <w:szCs w:val="24"/>
          <w:vertAlign w:val="superscript"/>
        </w:rPr>
        <w:t>b</w:t>
      </w:r>
      <w:r w:rsidR="0080095A" w:rsidRPr="00566E2C">
        <w:rPr>
          <w:rFonts w:ascii="Book Antiqua" w:hAnsi="Book Antiqua"/>
          <w:i/>
          <w:color w:val="000000"/>
          <w:sz w:val="24"/>
          <w:szCs w:val="24"/>
        </w:rPr>
        <w:t>P</w:t>
      </w:r>
      <w:r w:rsidR="0080095A">
        <w:rPr>
          <w:rFonts w:ascii="Book Antiqua" w:hAnsi="Book Antiqua" w:hint="eastAsia"/>
          <w:i/>
          <w:color w:val="000000"/>
          <w:sz w:val="24"/>
          <w:szCs w:val="24"/>
        </w:rPr>
        <w:t xml:space="preserve"> </w:t>
      </w:r>
      <w:r w:rsidR="0080095A" w:rsidRPr="00566E2C">
        <w:rPr>
          <w:rFonts w:ascii="Book Antiqua" w:hAnsi="Book Antiqua"/>
          <w:color w:val="000000"/>
          <w:sz w:val="24"/>
          <w:szCs w:val="24"/>
        </w:rPr>
        <w:t>&lt;</w:t>
      </w:r>
      <w:r w:rsidR="0080095A">
        <w:rPr>
          <w:rFonts w:ascii="Book Antiqua" w:hAnsi="Book Antiqua" w:hint="eastAsia"/>
          <w:color w:val="000000"/>
          <w:sz w:val="24"/>
          <w:szCs w:val="24"/>
        </w:rPr>
        <w:t xml:space="preserve"> </w:t>
      </w:r>
      <w:r w:rsidR="0080095A" w:rsidRPr="00566E2C">
        <w:rPr>
          <w:rFonts w:ascii="Book Antiqua" w:hAnsi="Book Antiqua"/>
          <w:color w:val="000000"/>
          <w:sz w:val="24"/>
          <w:szCs w:val="24"/>
        </w:rPr>
        <w:t>0.05; NS: No significant difference.</w:t>
      </w:r>
    </w:p>
    <w:p w:rsidR="00D03341" w:rsidRPr="00566E2C" w:rsidRDefault="000C5B81" w:rsidP="000C5B81">
      <w:pPr>
        <w:spacing w:line="360" w:lineRule="auto"/>
        <w:jc w:val="center"/>
        <w:rPr>
          <w:rFonts w:ascii="Book Antiqua" w:hAnsi="Book Antiqua"/>
          <w:sz w:val="24"/>
          <w:szCs w:val="24"/>
        </w:rPr>
      </w:pPr>
      <w:r>
        <w:rPr>
          <w:rFonts w:ascii="Book Antiqua" w:hAnsi="Book Antiqua"/>
          <w:sz w:val="24"/>
          <w:szCs w:val="24"/>
        </w:rPr>
        <w:br w:type="page"/>
      </w:r>
    </w:p>
    <w:p w:rsidR="00D03341" w:rsidRPr="00566E2C" w:rsidRDefault="001217E9" w:rsidP="001D6E50">
      <w:pPr>
        <w:spacing w:line="360" w:lineRule="auto"/>
        <w:jc w:val="center"/>
        <w:rPr>
          <w:rFonts w:ascii="Book Antiqua" w:hAnsi="Book Antiqua"/>
          <w:sz w:val="24"/>
          <w:szCs w:val="24"/>
        </w:rPr>
      </w:pPr>
      <w:r>
        <w:rPr>
          <w:rFonts w:ascii="Book Antiqua" w:hAnsi="Book Antiqua"/>
          <w:noProof/>
          <w:sz w:val="24"/>
          <w:szCs w:val="24"/>
        </w:rPr>
        <w:drawing>
          <wp:inline distT="0" distB="0" distL="0" distR="0">
            <wp:extent cx="4314825" cy="895350"/>
            <wp:effectExtent l="0" t="0" r="9525" b="0"/>
            <wp:docPr id="7" name="Picture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片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4825" cy="895350"/>
                    </a:xfrm>
                    <a:prstGeom prst="rect">
                      <a:avLst/>
                    </a:prstGeom>
                    <a:noFill/>
                    <a:ln>
                      <a:noFill/>
                    </a:ln>
                  </pic:spPr>
                </pic:pic>
              </a:graphicData>
            </a:graphic>
          </wp:inline>
        </w:drawing>
      </w:r>
    </w:p>
    <w:p w:rsidR="00D03341" w:rsidRPr="00566E2C" w:rsidRDefault="001217E9" w:rsidP="001D6E50">
      <w:pPr>
        <w:spacing w:line="360" w:lineRule="auto"/>
        <w:jc w:val="center"/>
        <w:rPr>
          <w:rFonts w:ascii="Book Antiqua" w:hAnsi="Book Antiqua"/>
          <w:sz w:val="24"/>
          <w:szCs w:val="24"/>
        </w:rPr>
      </w:pPr>
      <w:r>
        <w:rPr>
          <w:rFonts w:ascii="Book Antiqua" w:hAnsi="Book Antiqua"/>
          <w:noProof/>
          <w:sz w:val="24"/>
          <w:szCs w:val="24"/>
        </w:rPr>
        <w:drawing>
          <wp:inline distT="0" distB="0" distL="0" distR="0">
            <wp:extent cx="3819525" cy="3543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9525" cy="3543300"/>
                    </a:xfrm>
                    <a:prstGeom prst="rect">
                      <a:avLst/>
                    </a:prstGeom>
                    <a:noFill/>
                    <a:ln>
                      <a:noFill/>
                    </a:ln>
                  </pic:spPr>
                </pic:pic>
              </a:graphicData>
            </a:graphic>
          </wp:inline>
        </w:drawing>
      </w:r>
    </w:p>
    <w:p w:rsidR="0080095A" w:rsidRPr="00566E2C" w:rsidRDefault="00D03341" w:rsidP="0080095A">
      <w:pPr>
        <w:spacing w:line="360" w:lineRule="auto"/>
        <w:rPr>
          <w:rFonts w:ascii="Book Antiqua" w:hAnsi="Book Antiqua"/>
          <w:sz w:val="24"/>
          <w:szCs w:val="24"/>
        </w:rPr>
      </w:pPr>
      <w:r w:rsidRPr="000C5B81">
        <w:rPr>
          <w:rFonts w:ascii="Book Antiqua" w:hAnsi="Book Antiqua"/>
          <w:b/>
          <w:sz w:val="24"/>
          <w:szCs w:val="24"/>
        </w:rPr>
        <w:t xml:space="preserve">Figure 4 </w:t>
      </w:r>
      <w:r w:rsidR="000C5B81" w:rsidRPr="000C5B81">
        <w:rPr>
          <w:rFonts w:ascii="Book Antiqua" w:hAnsi="Book Antiqua"/>
          <w:b/>
          <w:sz w:val="24"/>
          <w:szCs w:val="24"/>
        </w:rPr>
        <w:t xml:space="preserve">Protein </w:t>
      </w:r>
      <w:r w:rsidRPr="000C5B81">
        <w:rPr>
          <w:rFonts w:ascii="Book Antiqua" w:hAnsi="Book Antiqua"/>
          <w:b/>
          <w:sz w:val="24"/>
          <w:szCs w:val="24"/>
        </w:rPr>
        <w:t>expression of H</w:t>
      </w:r>
      <w:r w:rsidRPr="000C5B81">
        <w:rPr>
          <w:rFonts w:ascii="Book Antiqua" w:hAnsi="Book Antiqua"/>
          <w:b/>
          <w:sz w:val="24"/>
          <w:szCs w:val="24"/>
          <w:vertAlign w:val="superscript"/>
        </w:rPr>
        <w:t>+</w:t>
      </w:r>
      <w:r w:rsidRPr="000C5B81">
        <w:rPr>
          <w:rFonts w:ascii="Book Antiqua" w:hAnsi="Book Antiqua"/>
          <w:b/>
          <w:sz w:val="24"/>
          <w:szCs w:val="24"/>
        </w:rPr>
        <w:t>/K</w:t>
      </w:r>
      <w:r w:rsidRPr="000C5B81">
        <w:rPr>
          <w:rFonts w:ascii="Book Antiqua" w:hAnsi="Book Antiqua"/>
          <w:b/>
          <w:sz w:val="24"/>
          <w:szCs w:val="24"/>
          <w:vertAlign w:val="superscript"/>
        </w:rPr>
        <w:t>+</w:t>
      </w:r>
      <w:r w:rsidRPr="000C5B81">
        <w:rPr>
          <w:rFonts w:ascii="Book Antiqua" w:hAnsi="Book Antiqua"/>
          <w:b/>
          <w:sz w:val="24"/>
          <w:szCs w:val="24"/>
        </w:rPr>
        <w:t>-ATPase.</w:t>
      </w:r>
      <w:r w:rsidRPr="00566E2C">
        <w:rPr>
          <w:rFonts w:ascii="Book Antiqua" w:hAnsi="Book Antiqua"/>
          <w:sz w:val="24"/>
          <w:szCs w:val="24"/>
        </w:rPr>
        <w:t xml:space="preserve"> A: A typical of western-blot result; B: The protein expression of H+/K+-ATPase in different groups.</w:t>
      </w:r>
      <w:r w:rsidR="0080095A">
        <w:rPr>
          <w:rFonts w:ascii="Book Antiqua" w:hAnsi="Book Antiqua" w:hint="eastAsia"/>
          <w:sz w:val="24"/>
          <w:szCs w:val="24"/>
        </w:rPr>
        <w:t xml:space="preserve"> </w:t>
      </w:r>
      <w:r w:rsidR="0080095A" w:rsidRPr="0080095A">
        <w:rPr>
          <w:rFonts w:ascii="Book Antiqua" w:hAnsi="Book Antiqua" w:hint="eastAsia"/>
          <w:color w:val="000000"/>
          <w:sz w:val="24"/>
          <w:szCs w:val="24"/>
          <w:vertAlign w:val="superscript"/>
        </w:rPr>
        <w:t>c</w:t>
      </w:r>
      <w:r w:rsidR="0080095A" w:rsidRPr="00566E2C">
        <w:rPr>
          <w:rFonts w:ascii="Book Antiqua" w:hAnsi="Book Antiqua"/>
          <w:i/>
          <w:color w:val="000000"/>
          <w:sz w:val="24"/>
          <w:szCs w:val="24"/>
        </w:rPr>
        <w:t>P</w:t>
      </w:r>
      <w:r w:rsidR="0080095A">
        <w:rPr>
          <w:rFonts w:ascii="Book Antiqua" w:hAnsi="Book Antiqua" w:hint="eastAsia"/>
          <w:i/>
          <w:color w:val="000000"/>
          <w:sz w:val="24"/>
          <w:szCs w:val="24"/>
        </w:rPr>
        <w:t xml:space="preserve"> </w:t>
      </w:r>
      <w:r w:rsidR="0080095A" w:rsidRPr="00566E2C">
        <w:rPr>
          <w:rFonts w:ascii="Book Antiqua" w:hAnsi="Book Antiqua"/>
          <w:color w:val="000000"/>
          <w:sz w:val="24"/>
          <w:szCs w:val="24"/>
        </w:rPr>
        <w:t>&lt;</w:t>
      </w:r>
      <w:r w:rsidR="0080095A">
        <w:rPr>
          <w:rFonts w:ascii="Book Antiqua" w:hAnsi="Book Antiqua" w:hint="eastAsia"/>
          <w:color w:val="000000"/>
          <w:sz w:val="24"/>
          <w:szCs w:val="24"/>
        </w:rPr>
        <w:t xml:space="preserve"> </w:t>
      </w:r>
      <w:r w:rsidR="0080095A" w:rsidRPr="00566E2C">
        <w:rPr>
          <w:rFonts w:ascii="Book Antiqua" w:hAnsi="Book Antiqua"/>
          <w:color w:val="000000"/>
          <w:sz w:val="24"/>
          <w:szCs w:val="24"/>
        </w:rPr>
        <w:t>0.001,</w:t>
      </w:r>
      <w:r w:rsidR="0080095A">
        <w:rPr>
          <w:rFonts w:ascii="Book Antiqua" w:hAnsi="Book Antiqua" w:hint="eastAsia"/>
          <w:color w:val="000000"/>
          <w:sz w:val="24"/>
          <w:szCs w:val="24"/>
          <w:vertAlign w:val="superscript"/>
        </w:rPr>
        <w:t>b</w:t>
      </w:r>
      <w:r w:rsidR="0080095A" w:rsidRPr="00566E2C">
        <w:rPr>
          <w:rFonts w:ascii="Book Antiqua" w:hAnsi="Book Antiqua"/>
          <w:i/>
          <w:color w:val="000000"/>
          <w:sz w:val="24"/>
          <w:szCs w:val="24"/>
        </w:rPr>
        <w:t>P</w:t>
      </w:r>
      <w:r w:rsidR="0080095A">
        <w:rPr>
          <w:rFonts w:ascii="Book Antiqua" w:hAnsi="Book Antiqua" w:hint="eastAsia"/>
          <w:i/>
          <w:color w:val="000000"/>
          <w:sz w:val="24"/>
          <w:szCs w:val="24"/>
        </w:rPr>
        <w:t xml:space="preserve"> </w:t>
      </w:r>
      <w:r w:rsidR="0080095A" w:rsidRPr="00566E2C">
        <w:rPr>
          <w:rFonts w:ascii="Book Antiqua" w:hAnsi="Book Antiqua"/>
          <w:color w:val="000000"/>
          <w:sz w:val="24"/>
          <w:szCs w:val="24"/>
        </w:rPr>
        <w:t>&lt;</w:t>
      </w:r>
      <w:r w:rsidR="0080095A">
        <w:rPr>
          <w:rFonts w:ascii="Book Antiqua" w:hAnsi="Book Antiqua" w:hint="eastAsia"/>
          <w:color w:val="000000"/>
          <w:sz w:val="24"/>
          <w:szCs w:val="24"/>
        </w:rPr>
        <w:t xml:space="preserve"> </w:t>
      </w:r>
      <w:r w:rsidR="0080095A" w:rsidRPr="00566E2C">
        <w:rPr>
          <w:rFonts w:ascii="Book Antiqua" w:hAnsi="Book Antiqua"/>
          <w:color w:val="000000"/>
          <w:sz w:val="24"/>
          <w:szCs w:val="24"/>
        </w:rPr>
        <w:t xml:space="preserve">0.05; NS: No </w:t>
      </w:r>
      <w:r w:rsidR="0080095A">
        <w:rPr>
          <w:rFonts w:ascii="Book Antiqua" w:hAnsi="Book Antiqua"/>
          <w:color w:val="000000"/>
          <w:sz w:val="24"/>
          <w:szCs w:val="24"/>
        </w:rPr>
        <w:t>significant difference.</w:t>
      </w:r>
    </w:p>
    <w:p w:rsidR="00D03341" w:rsidRPr="00566E2C" w:rsidRDefault="00D03341" w:rsidP="000C5B81">
      <w:pPr>
        <w:spacing w:line="360" w:lineRule="auto"/>
        <w:rPr>
          <w:rFonts w:ascii="Book Antiqua" w:hAnsi="Book Antiqua"/>
          <w:sz w:val="24"/>
          <w:szCs w:val="24"/>
        </w:rPr>
      </w:pPr>
    </w:p>
    <w:p w:rsidR="00D03341" w:rsidRPr="00566E2C" w:rsidRDefault="00D03341" w:rsidP="001D6E50">
      <w:pPr>
        <w:spacing w:line="360" w:lineRule="auto"/>
        <w:rPr>
          <w:rFonts w:ascii="Book Antiqua" w:hAnsi="Book Antiqua"/>
          <w:sz w:val="24"/>
          <w:szCs w:val="24"/>
        </w:rPr>
      </w:pPr>
    </w:p>
    <w:p w:rsidR="00D03341" w:rsidRPr="00566E2C" w:rsidRDefault="00D03341" w:rsidP="001D6E50">
      <w:pPr>
        <w:spacing w:line="360" w:lineRule="auto"/>
        <w:rPr>
          <w:rFonts w:ascii="Book Antiqua" w:hAnsi="Book Antiqua"/>
          <w:sz w:val="24"/>
          <w:szCs w:val="24"/>
        </w:rPr>
      </w:pPr>
    </w:p>
    <w:p w:rsidR="00D03341" w:rsidRPr="00566E2C" w:rsidRDefault="00D03341" w:rsidP="001D6E50">
      <w:pPr>
        <w:spacing w:line="360" w:lineRule="auto"/>
        <w:rPr>
          <w:rFonts w:ascii="Book Antiqua" w:hAnsi="Book Antiqua"/>
          <w:sz w:val="24"/>
          <w:szCs w:val="24"/>
        </w:rPr>
      </w:pPr>
    </w:p>
    <w:p w:rsidR="00D03341" w:rsidRPr="00566E2C" w:rsidRDefault="00D03341" w:rsidP="001D6E50">
      <w:pPr>
        <w:spacing w:line="360" w:lineRule="auto"/>
        <w:rPr>
          <w:rFonts w:ascii="Book Antiqua" w:hAnsi="Book Antiqua"/>
          <w:sz w:val="24"/>
          <w:szCs w:val="24"/>
        </w:rPr>
      </w:pPr>
    </w:p>
    <w:sectPr w:rsidR="00D03341" w:rsidRPr="00566E2C" w:rsidSect="002934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6627" w:rsidRDefault="00E56627" w:rsidP="00E113EE">
      <w:r>
        <w:separator/>
      </w:r>
    </w:p>
  </w:endnote>
  <w:endnote w:type="continuationSeparator" w:id="0">
    <w:p w:rsidR="00E56627" w:rsidRDefault="00E56627" w:rsidP="00E113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6627" w:rsidRDefault="00E56627" w:rsidP="00E113EE">
      <w:r>
        <w:separator/>
      </w:r>
    </w:p>
  </w:footnote>
  <w:footnote w:type="continuationSeparator" w:id="0">
    <w:p w:rsidR="00E56627" w:rsidRDefault="00E56627" w:rsidP="00E113E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812CE83"/>
    <w:multiLevelType w:val="singleLevel"/>
    <w:tmpl w:val="5812CE83"/>
    <w:lvl w:ilvl="0">
      <w:start w:val="3"/>
      <w:numFmt w:val="decimal"/>
      <w:suff w:val="space"/>
      <w:lvlText w:val="%1."/>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76291"/>
    <w:rsid w:val="00027810"/>
    <w:rsid w:val="00035B78"/>
    <w:rsid w:val="00077B9C"/>
    <w:rsid w:val="00083DFE"/>
    <w:rsid w:val="000B1FE6"/>
    <w:rsid w:val="000C5B81"/>
    <w:rsid w:val="000F218E"/>
    <w:rsid w:val="00112063"/>
    <w:rsid w:val="001217E9"/>
    <w:rsid w:val="001438A5"/>
    <w:rsid w:val="0016607B"/>
    <w:rsid w:val="0016741D"/>
    <w:rsid w:val="001945BB"/>
    <w:rsid w:val="001B4448"/>
    <w:rsid w:val="001B7B51"/>
    <w:rsid w:val="001C1ED1"/>
    <w:rsid w:val="001C374D"/>
    <w:rsid w:val="001D6E50"/>
    <w:rsid w:val="00207F89"/>
    <w:rsid w:val="002424F4"/>
    <w:rsid w:val="002934F0"/>
    <w:rsid w:val="002C2C67"/>
    <w:rsid w:val="002D615C"/>
    <w:rsid w:val="002E22FF"/>
    <w:rsid w:val="002F2346"/>
    <w:rsid w:val="00341DD0"/>
    <w:rsid w:val="00360F76"/>
    <w:rsid w:val="00376291"/>
    <w:rsid w:val="003A17CC"/>
    <w:rsid w:val="003B18FA"/>
    <w:rsid w:val="003F37AB"/>
    <w:rsid w:val="0040566B"/>
    <w:rsid w:val="00411179"/>
    <w:rsid w:val="004625CF"/>
    <w:rsid w:val="00471C3E"/>
    <w:rsid w:val="00475AA2"/>
    <w:rsid w:val="00475ACF"/>
    <w:rsid w:val="004E2B33"/>
    <w:rsid w:val="004E448A"/>
    <w:rsid w:val="004E5E0E"/>
    <w:rsid w:val="00502E74"/>
    <w:rsid w:val="00521A0A"/>
    <w:rsid w:val="00566E2C"/>
    <w:rsid w:val="005807DA"/>
    <w:rsid w:val="00597C96"/>
    <w:rsid w:val="005D36A8"/>
    <w:rsid w:val="005D4FC5"/>
    <w:rsid w:val="005E01F9"/>
    <w:rsid w:val="00606AEF"/>
    <w:rsid w:val="006073BB"/>
    <w:rsid w:val="00654464"/>
    <w:rsid w:val="006562FD"/>
    <w:rsid w:val="006926D7"/>
    <w:rsid w:val="006A0D77"/>
    <w:rsid w:val="006A4E62"/>
    <w:rsid w:val="006B12E3"/>
    <w:rsid w:val="00700153"/>
    <w:rsid w:val="0071066B"/>
    <w:rsid w:val="0071155C"/>
    <w:rsid w:val="00725165"/>
    <w:rsid w:val="00731E74"/>
    <w:rsid w:val="00736FCE"/>
    <w:rsid w:val="0077623F"/>
    <w:rsid w:val="0078438C"/>
    <w:rsid w:val="00792B32"/>
    <w:rsid w:val="007B5665"/>
    <w:rsid w:val="0080095A"/>
    <w:rsid w:val="00816782"/>
    <w:rsid w:val="00836201"/>
    <w:rsid w:val="00885481"/>
    <w:rsid w:val="008969EC"/>
    <w:rsid w:val="008D106C"/>
    <w:rsid w:val="00903CE8"/>
    <w:rsid w:val="00922279"/>
    <w:rsid w:val="00997C64"/>
    <w:rsid w:val="009A0DAF"/>
    <w:rsid w:val="009A3897"/>
    <w:rsid w:val="009C1256"/>
    <w:rsid w:val="009F2E4D"/>
    <w:rsid w:val="00A114F8"/>
    <w:rsid w:val="00A12E41"/>
    <w:rsid w:val="00A12F39"/>
    <w:rsid w:val="00A24C86"/>
    <w:rsid w:val="00A45F95"/>
    <w:rsid w:val="00A67894"/>
    <w:rsid w:val="00A901BF"/>
    <w:rsid w:val="00AB365C"/>
    <w:rsid w:val="00AC36B2"/>
    <w:rsid w:val="00AE4281"/>
    <w:rsid w:val="00B3521E"/>
    <w:rsid w:val="00B402DD"/>
    <w:rsid w:val="00BA7F6F"/>
    <w:rsid w:val="00BB0153"/>
    <w:rsid w:val="00BD7599"/>
    <w:rsid w:val="00BF788F"/>
    <w:rsid w:val="00C26AEE"/>
    <w:rsid w:val="00CD1186"/>
    <w:rsid w:val="00D03341"/>
    <w:rsid w:val="00D2190C"/>
    <w:rsid w:val="00D33399"/>
    <w:rsid w:val="00D42505"/>
    <w:rsid w:val="00D433E7"/>
    <w:rsid w:val="00D53C7B"/>
    <w:rsid w:val="00D57522"/>
    <w:rsid w:val="00D8396F"/>
    <w:rsid w:val="00D92073"/>
    <w:rsid w:val="00DB6767"/>
    <w:rsid w:val="00DC32E3"/>
    <w:rsid w:val="00DC4D14"/>
    <w:rsid w:val="00DD1199"/>
    <w:rsid w:val="00DE0367"/>
    <w:rsid w:val="00DE37C1"/>
    <w:rsid w:val="00DF2724"/>
    <w:rsid w:val="00E036B9"/>
    <w:rsid w:val="00E113EE"/>
    <w:rsid w:val="00E11C90"/>
    <w:rsid w:val="00E56627"/>
    <w:rsid w:val="00E600CA"/>
    <w:rsid w:val="00EC361C"/>
    <w:rsid w:val="00ED733E"/>
    <w:rsid w:val="00F03818"/>
    <w:rsid w:val="00F25926"/>
    <w:rsid w:val="00F45E0E"/>
    <w:rsid w:val="00F54EC9"/>
    <w:rsid w:val="00F75E9A"/>
    <w:rsid w:val="00F92216"/>
    <w:rsid w:val="00FA751E"/>
    <w:rsid w:val="00FB2A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0819BD26-E330-4B4A-8C95-97FAD33A7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291"/>
    <w:pPr>
      <w:widowControl w:val="0"/>
      <w:jc w:val="both"/>
    </w:pPr>
    <w:rPr>
      <w:kern w:val="2"/>
      <w:sz w:val="21"/>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rsid w:val="00376291"/>
    <w:pPr>
      <w:jc w:val="left"/>
    </w:pPr>
  </w:style>
  <w:style w:type="character" w:customStyle="1" w:styleId="CommentTextChar">
    <w:name w:val="Comment Text Char"/>
    <w:link w:val="CommentText"/>
    <w:locked/>
    <w:rsid w:val="00376291"/>
    <w:rPr>
      <w:rFonts w:cs="Times New Roman"/>
    </w:rPr>
  </w:style>
  <w:style w:type="paragraph" w:styleId="CommentSubject">
    <w:name w:val="annotation subject"/>
    <w:basedOn w:val="CommentText"/>
    <w:next w:val="CommentText"/>
    <w:link w:val="CommentSubjectChar"/>
    <w:uiPriority w:val="99"/>
    <w:rsid w:val="00376291"/>
    <w:rPr>
      <w:b/>
      <w:bCs/>
    </w:rPr>
  </w:style>
  <w:style w:type="character" w:customStyle="1" w:styleId="CommentSubjectChar">
    <w:name w:val="Comment Subject Char"/>
    <w:link w:val="CommentSubject"/>
    <w:uiPriority w:val="99"/>
    <w:locked/>
    <w:rsid w:val="00376291"/>
    <w:rPr>
      <w:rFonts w:cs="Times New Roman"/>
      <w:b/>
      <w:bCs/>
    </w:rPr>
  </w:style>
  <w:style w:type="paragraph" w:styleId="BalloonText">
    <w:name w:val="Balloon Text"/>
    <w:basedOn w:val="Normal"/>
    <w:link w:val="BalloonTextChar"/>
    <w:uiPriority w:val="99"/>
    <w:rsid w:val="00376291"/>
    <w:rPr>
      <w:sz w:val="18"/>
      <w:szCs w:val="18"/>
    </w:rPr>
  </w:style>
  <w:style w:type="character" w:customStyle="1" w:styleId="BalloonTextChar">
    <w:name w:val="Balloon Text Char"/>
    <w:link w:val="BalloonText"/>
    <w:uiPriority w:val="99"/>
    <w:locked/>
    <w:rsid w:val="00376291"/>
    <w:rPr>
      <w:rFonts w:cs="Times New Roman"/>
      <w:sz w:val="18"/>
      <w:szCs w:val="18"/>
    </w:rPr>
  </w:style>
  <w:style w:type="paragraph" w:styleId="Footer">
    <w:name w:val="footer"/>
    <w:basedOn w:val="Normal"/>
    <w:link w:val="FooterChar"/>
    <w:uiPriority w:val="99"/>
    <w:rsid w:val="00376291"/>
    <w:pPr>
      <w:tabs>
        <w:tab w:val="center" w:pos="4153"/>
        <w:tab w:val="right" w:pos="8306"/>
      </w:tabs>
      <w:snapToGrid w:val="0"/>
      <w:jc w:val="left"/>
    </w:pPr>
    <w:rPr>
      <w:sz w:val="18"/>
      <w:szCs w:val="18"/>
    </w:rPr>
  </w:style>
  <w:style w:type="character" w:customStyle="1" w:styleId="FooterChar">
    <w:name w:val="Footer Char"/>
    <w:link w:val="Footer"/>
    <w:uiPriority w:val="99"/>
    <w:locked/>
    <w:rsid w:val="00376291"/>
    <w:rPr>
      <w:rFonts w:cs="Times New Roman"/>
      <w:sz w:val="18"/>
      <w:szCs w:val="18"/>
    </w:rPr>
  </w:style>
  <w:style w:type="paragraph" w:styleId="Header">
    <w:name w:val="header"/>
    <w:basedOn w:val="Normal"/>
    <w:link w:val="HeaderChar"/>
    <w:uiPriority w:val="99"/>
    <w:rsid w:val="0037629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376291"/>
    <w:rPr>
      <w:rFonts w:cs="Times New Roman"/>
      <w:sz w:val="18"/>
      <w:szCs w:val="18"/>
    </w:rPr>
  </w:style>
  <w:style w:type="character" w:styleId="Hyperlink">
    <w:name w:val="Hyperlink"/>
    <w:uiPriority w:val="99"/>
    <w:rsid w:val="00376291"/>
    <w:rPr>
      <w:rFonts w:cs="Times New Roman"/>
      <w:color w:val="0000FF"/>
      <w:u w:val="single"/>
    </w:rPr>
  </w:style>
  <w:style w:type="character" w:styleId="CommentReference">
    <w:name w:val="annotation reference"/>
    <w:rsid w:val="00376291"/>
    <w:rPr>
      <w:rFonts w:cs="Times New Roman"/>
      <w:sz w:val="21"/>
      <w:szCs w:val="21"/>
    </w:rPr>
  </w:style>
  <w:style w:type="paragraph" w:customStyle="1" w:styleId="EndNoteBibliographyTitle">
    <w:name w:val="EndNote Bibliography Title"/>
    <w:basedOn w:val="Normal"/>
    <w:link w:val="EndNoteBibliographyTitleChar"/>
    <w:uiPriority w:val="99"/>
    <w:rsid w:val="00376291"/>
    <w:pPr>
      <w:jc w:val="center"/>
    </w:pPr>
    <w:rPr>
      <w:sz w:val="20"/>
    </w:rPr>
  </w:style>
  <w:style w:type="character" w:customStyle="1" w:styleId="EndNoteBibliographyTitleChar">
    <w:name w:val="EndNote Bibliography Title Char"/>
    <w:link w:val="EndNoteBibliographyTitle"/>
    <w:uiPriority w:val="99"/>
    <w:locked/>
    <w:rsid w:val="00376291"/>
    <w:rPr>
      <w:rFonts w:ascii="Calibri" w:hAnsi="Calibri" w:cs="Times New Roman"/>
      <w:sz w:val="20"/>
    </w:rPr>
  </w:style>
  <w:style w:type="paragraph" w:customStyle="1" w:styleId="EndNoteBibliography">
    <w:name w:val="EndNote Bibliography"/>
    <w:basedOn w:val="Normal"/>
    <w:link w:val="EndNoteBibliographyChar"/>
    <w:uiPriority w:val="99"/>
    <w:rsid w:val="00376291"/>
    <w:rPr>
      <w:sz w:val="20"/>
    </w:rPr>
  </w:style>
  <w:style w:type="character" w:customStyle="1" w:styleId="EndNoteBibliographyChar">
    <w:name w:val="EndNote Bibliography Char"/>
    <w:link w:val="EndNoteBibliography"/>
    <w:uiPriority w:val="99"/>
    <w:locked/>
    <w:rsid w:val="00376291"/>
    <w:rPr>
      <w:rFonts w:ascii="Calibri" w:hAnsi="Calibri" w:cs="Times New Roman"/>
      <w:sz w:val="20"/>
    </w:rPr>
  </w:style>
  <w:style w:type="paragraph" w:customStyle="1" w:styleId="1">
    <w:name w:val="列出段落1"/>
    <w:basedOn w:val="Normal"/>
    <w:uiPriority w:val="99"/>
    <w:rsid w:val="00376291"/>
    <w:pPr>
      <w:spacing w:line="400" w:lineRule="exact"/>
      <w:ind w:firstLineChars="200" w:firstLine="420"/>
    </w:pPr>
    <w:rPr>
      <w:sz w:val="24"/>
    </w:rPr>
  </w:style>
  <w:style w:type="paragraph" w:customStyle="1" w:styleId="10">
    <w:name w:val="修订1"/>
    <w:hidden/>
    <w:uiPriority w:val="99"/>
    <w:semiHidden/>
    <w:rsid w:val="00376291"/>
    <w:rPr>
      <w:kern w:val="2"/>
      <w:sz w:val="21"/>
      <w:szCs w:val="22"/>
    </w:rPr>
  </w:style>
  <w:style w:type="character" w:customStyle="1" w:styleId="apple-converted-space">
    <w:name w:val="apple-converted-space"/>
    <w:uiPriority w:val="99"/>
    <w:rsid w:val="00376291"/>
    <w:rPr>
      <w:rFonts w:cs="Times New Roman"/>
    </w:rPr>
  </w:style>
  <w:style w:type="character" w:customStyle="1" w:styleId="highlight">
    <w:name w:val="highlight"/>
    <w:uiPriority w:val="99"/>
    <w:rsid w:val="00376291"/>
    <w:rPr>
      <w:rFonts w:cs="Times New Roman"/>
    </w:rPr>
  </w:style>
  <w:style w:type="paragraph" w:customStyle="1" w:styleId="2">
    <w:name w:val="列出段落2"/>
    <w:basedOn w:val="Normal"/>
    <w:uiPriority w:val="99"/>
    <w:rsid w:val="00F03818"/>
    <w:pPr>
      <w:spacing w:line="400" w:lineRule="exact"/>
      <w:ind w:firstLineChars="200" w:firstLine="420"/>
    </w:pPr>
    <w:rPr>
      <w:sz w:val="24"/>
    </w:rPr>
  </w:style>
  <w:style w:type="character" w:styleId="PlaceholderText">
    <w:name w:val="Placeholder Text"/>
    <w:uiPriority w:val="99"/>
    <w:semiHidden/>
    <w:rsid w:val="00F03818"/>
    <w:rPr>
      <w:rFonts w:cs="Times New Roman"/>
      <w:color w:val="808080"/>
    </w:rPr>
  </w:style>
  <w:style w:type="paragraph" w:styleId="NormalWeb">
    <w:name w:val="Normal (Web)"/>
    <w:basedOn w:val="Normal"/>
    <w:uiPriority w:val="99"/>
    <w:unhideWhenUsed/>
    <w:rsid w:val="00566E2C"/>
    <w:pPr>
      <w:widowControl/>
      <w:spacing w:before="100" w:beforeAutospacing="1" w:after="100" w:afterAutospacing="1"/>
      <w:jc w:val="left"/>
    </w:pPr>
    <w:rPr>
      <w:rFonts w:ascii="Times New Roman" w:eastAsia="Times New Roman" w:hAnsi="Times New Roman"/>
      <w:kern w:val="0"/>
      <w:sz w:val="24"/>
      <w:szCs w:val="24"/>
      <w:lang w:val="it-IT" w:eastAsia="it-IT"/>
    </w:rPr>
  </w:style>
  <w:style w:type="character" w:styleId="Strong">
    <w:name w:val="Strong"/>
    <w:uiPriority w:val="22"/>
    <w:qFormat/>
    <w:locked/>
    <w:rsid w:val="00566E2C"/>
    <w:rPr>
      <w:b/>
      <w:bCs/>
    </w:rPr>
  </w:style>
  <w:style w:type="paragraph" w:styleId="ListParagraph">
    <w:name w:val="List Paragraph"/>
    <w:basedOn w:val="Normal"/>
    <w:uiPriority w:val="34"/>
    <w:qFormat/>
    <w:rsid w:val="00D33399"/>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3940781">
      <w:marLeft w:val="0"/>
      <w:marRight w:val="0"/>
      <w:marTop w:val="0"/>
      <w:marBottom w:val="0"/>
      <w:divBdr>
        <w:top w:val="none" w:sz="0" w:space="0" w:color="auto"/>
        <w:left w:val="none" w:sz="0" w:space="0" w:color="auto"/>
        <w:bottom w:val="none" w:sz="0" w:space="0" w:color="auto"/>
        <w:right w:val="none" w:sz="0" w:space="0" w:color="auto"/>
      </w:divBdr>
    </w:div>
    <w:div w:id="753940782">
      <w:marLeft w:val="0"/>
      <w:marRight w:val="0"/>
      <w:marTop w:val="0"/>
      <w:marBottom w:val="0"/>
      <w:divBdr>
        <w:top w:val="none" w:sz="0" w:space="0" w:color="auto"/>
        <w:left w:val="none" w:sz="0" w:space="0" w:color="auto"/>
        <w:bottom w:val="none" w:sz="0" w:space="0" w:color="auto"/>
        <w:right w:val="none" w:sz="0" w:space="0" w:color="auto"/>
      </w:divBdr>
    </w:div>
    <w:div w:id="75394078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yangguotaotao@yeah.net"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5810</Words>
  <Characters>33120</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ausu</dc:creator>
  <cp:keywords/>
  <dc:description/>
  <cp:lastModifiedBy>LS Ma</cp:lastModifiedBy>
  <cp:revision>2</cp:revision>
  <dcterms:created xsi:type="dcterms:W3CDTF">2017-03-02T01:12:00Z</dcterms:created>
  <dcterms:modified xsi:type="dcterms:W3CDTF">2017-03-02T01:12:00Z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ofread by">
    <vt:lpwstr>makeru27@yahoo.com</vt:lpwstr>
  </property>
</Properties>
</file>