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33C04" w14:textId="7487F577" w:rsidR="007F0E3B" w:rsidRPr="00EC4C5D" w:rsidRDefault="007F0E3B" w:rsidP="00EC4C5D">
      <w:pPr>
        <w:spacing w:after="0" w:line="360" w:lineRule="auto"/>
        <w:jc w:val="both"/>
        <w:rPr>
          <w:rFonts w:ascii="Book Antiqua" w:hAnsi="Book Antiqua" w:cs="Helvetica"/>
          <w:b/>
          <w:sz w:val="24"/>
          <w:szCs w:val="24"/>
          <w:lang w:val="en-US"/>
        </w:rPr>
      </w:pPr>
      <w:r w:rsidRPr="00EC4C5D">
        <w:rPr>
          <w:rFonts w:ascii="Book Antiqua" w:hAnsi="Book Antiqua" w:cs="Helvetica"/>
          <w:b/>
          <w:sz w:val="24"/>
          <w:szCs w:val="24"/>
          <w:lang w:val="en-US"/>
        </w:rPr>
        <w:t xml:space="preserve">Name of Journal: </w:t>
      </w:r>
      <w:r w:rsidRPr="00EC4C5D">
        <w:rPr>
          <w:rFonts w:ascii="Book Antiqua" w:hAnsi="Book Antiqua" w:cs="Helvetica"/>
          <w:b/>
          <w:i/>
          <w:sz w:val="24"/>
          <w:szCs w:val="24"/>
          <w:lang w:val="en-US"/>
        </w:rPr>
        <w:t xml:space="preserve">World Journal of </w:t>
      </w:r>
      <w:r w:rsidRPr="00EC4C5D">
        <w:rPr>
          <w:rFonts w:ascii="Book Antiqua" w:hAnsi="Book Antiqua"/>
          <w:b/>
          <w:i/>
          <w:iCs/>
          <w:sz w:val="24"/>
          <w:szCs w:val="24"/>
        </w:rPr>
        <w:t>Clinical Oncology</w:t>
      </w:r>
    </w:p>
    <w:p w14:paraId="3DF2382D" w14:textId="4BC13BE0" w:rsidR="007F0E3B" w:rsidRPr="00EC4C5D" w:rsidRDefault="007F0E3B" w:rsidP="00EC4C5D">
      <w:pPr>
        <w:spacing w:after="0" w:line="360" w:lineRule="auto"/>
        <w:jc w:val="both"/>
        <w:rPr>
          <w:rFonts w:ascii="Book Antiqua" w:hAnsi="Book Antiqua" w:cs="Helvetica"/>
          <w:b/>
          <w:sz w:val="24"/>
          <w:szCs w:val="24"/>
          <w:lang w:val="en-US" w:eastAsia="zh-CN"/>
        </w:rPr>
      </w:pPr>
      <w:r w:rsidRPr="00EC4C5D">
        <w:rPr>
          <w:rFonts w:ascii="Book Antiqua" w:hAnsi="Book Antiqua" w:cs="Helvetica"/>
          <w:b/>
          <w:sz w:val="24"/>
          <w:szCs w:val="24"/>
          <w:lang w:val="en-US"/>
        </w:rPr>
        <w:t xml:space="preserve">ESPS Manuscript NO: </w:t>
      </w:r>
      <w:r w:rsidRPr="00EC4C5D">
        <w:rPr>
          <w:rFonts w:ascii="Book Antiqua" w:hAnsi="Book Antiqua" w:cs="Helvetica"/>
          <w:b/>
          <w:sz w:val="24"/>
          <w:szCs w:val="24"/>
          <w:lang w:val="en-US" w:eastAsia="zh-CN"/>
        </w:rPr>
        <w:t>31780</w:t>
      </w:r>
    </w:p>
    <w:p w14:paraId="15965227" w14:textId="546593CC" w:rsidR="007F0E3B" w:rsidRPr="00EC4C5D" w:rsidRDefault="007F0E3B" w:rsidP="00EC4C5D">
      <w:pPr>
        <w:spacing w:after="0" w:line="360" w:lineRule="auto"/>
        <w:jc w:val="both"/>
        <w:rPr>
          <w:rFonts w:ascii="Book Antiqua" w:hAnsi="Book Antiqua" w:cs="Helvetica"/>
          <w:b/>
          <w:sz w:val="24"/>
          <w:szCs w:val="24"/>
          <w:lang w:val="en-US" w:eastAsia="zh-CN"/>
        </w:rPr>
      </w:pPr>
      <w:r w:rsidRPr="00EC4C5D">
        <w:rPr>
          <w:rFonts w:ascii="Book Antiqua" w:hAnsi="Book Antiqua" w:cs="Helvetica"/>
          <w:b/>
          <w:sz w:val="24"/>
          <w:szCs w:val="24"/>
          <w:lang w:val="en-US"/>
        </w:rPr>
        <w:t>Manuscript Type:</w:t>
      </w:r>
      <w:r w:rsidRPr="00EC4C5D">
        <w:rPr>
          <w:rFonts w:ascii="Book Antiqua" w:hAnsi="Book Antiqua"/>
          <w:sz w:val="24"/>
          <w:szCs w:val="24"/>
        </w:rPr>
        <w:t xml:space="preserve"> </w:t>
      </w:r>
      <w:r w:rsidRPr="00EC4C5D">
        <w:rPr>
          <w:rFonts w:ascii="Book Antiqua" w:hAnsi="Book Antiqua" w:cs="Helvetica"/>
          <w:b/>
          <w:sz w:val="24"/>
          <w:szCs w:val="24"/>
          <w:lang w:val="en-US"/>
        </w:rPr>
        <w:t>Editorial</w:t>
      </w:r>
    </w:p>
    <w:p w14:paraId="641177F0" w14:textId="77777777" w:rsidR="007F0E3B" w:rsidRPr="00EC4C5D" w:rsidRDefault="007F0E3B" w:rsidP="00EC4C5D">
      <w:pPr>
        <w:spacing w:after="0" w:line="360" w:lineRule="auto"/>
        <w:jc w:val="both"/>
        <w:rPr>
          <w:rFonts w:ascii="Book Antiqua" w:hAnsi="Book Antiqua" w:cs="Helvetica"/>
          <w:b/>
          <w:sz w:val="24"/>
          <w:szCs w:val="24"/>
          <w:lang w:val="en-US" w:eastAsia="zh-CN"/>
        </w:rPr>
      </w:pPr>
    </w:p>
    <w:p w14:paraId="2AB660B9" w14:textId="76BC33AC" w:rsidR="005750BB" w:rsidRPr="00EC4C5D" w:rsidRDefault="005750BB" w:rsidP="00EC4C5D">
      <w:pPr>
        <w:spacing w:after="0" w:line="360" w:lineRule="auto"/>
        <w:jc w:val="both"/>
        <w:rPr>
          <w:rFonts w:ascii="Book Antiqua" w:hAnsi="Book Antiqua" w:cs="Helvetica"/>
          <w:b/>
          <w:sz w:val="24"/>
          <w:szCs w:val="24"/>
          <w:lang w:val="en-US"/>
        </w:rPr>
      </w:pPr>
      <w:r w:rsidRPr="00EC4C5D">
        <w:rPr>
          <w:rFonts w:ascii="Book Antiqua" w:hAnsi="Book Antiqua" w:cs="Helvetica"/>
          <w:b/>
          <w:sz w:val="24"/>
          <w:szCs w:val="24"/>
          <w:lang w:val="en-US"/>
        </w:rPr>
        <w:t xml:space="preserve">Translating new data to </w:t>
      </w:r>
      <w:r w:rsidR="00607953" w:rsidRPr="00EC4C5D">
        <w:rPr>
          <w:rFonts w:ascii="Book Antiqua" w:hAnsi="Book Antiqua" w:cs="Helvetica"/>
          <w:b/>
          <w:sz w:val="24"/>
          <w:szCs w:val="24"/>
          <w:lang w:val="en-US"/>
        </w:rPr>
        <w:t xml:space="preserve">the </w:t>
      </w:r>
      <w:r w:rsidRPr="00EC4C5D">
        <w:rPr>
          <w:rFonts w:ascii="Book Antiqua" w:hAnsi="Book Antiqua" w:cs="Helvetica"/>
          <w:b/>
          <w:sz w:val="24"/>
          <w:szCs w:val="24"/>
          <w:lang w:val="en-US"/>
        </w:rPr>
        <w:t xml:space="preserve">daily practice in second line </w:t>
      </w:r>
      <w:r w:rsidR="00EB50B3" w:rsidRPr="00EC4C5D">
        <w:rPr>
          <w:rFonts w:ascii="Book Antiqua" w:hAnsi="Book Antiqua" w:cs="Helvetica"/>
          <w:b/>
          <w:sz w:val="24"/>
          <w:szCs w:val="24"/>
          <w:lang w:val="en-US"/>
        </w:rPr>
        <w:t xml:space="preserve">treatment of </w:t>
      </w:r>
      <w:r w:rsidRPr="00EC4C5D">
        <w:rPr>
          <w:rFonts w:ascii="Book Antiqua" w:hAnsi="Book Antiqua" w:cs="Helvetica"/>
          <w:b/>
          <w:sz w:val="24"/>
          <w:szCs w:val="24"/>
          <w:lang w:val="en-US"/>
        </w:rPr>
        <w:t>renal cell carcinoma</w:t>
      </w:r>
      <w:r w:rsidR="00465570" w:rsidRPr="00EC4C5D">
        <w:rPr>
          <w:rFonts w:ascii="Book Antiqua" w:hAnsi="Book Antiqua" w:cs="Helvetica"/>
          <w:b/>
          <w:sz w:val="24"/>
          <w:szCs w:val="24"/>
          <w:lang w:val="en-US"/>
        </w:rPr>
        <w:t xml:space="preserve">: </w:t>
      </w:r>
      <w:r w:rsidR="004317B1">
        <w:rPr>
          <w:rFonts w:ascii="Book Antiqua" w:hAnsi="Book Antiqua" w:cs="Helvetica" w:hint="eastAsia"/>
          <w:b/>
          <w:sz w:val="24"/>
          <w:szCs w:val="24"/>
          <w:lang w:val="en-US" w:eastAsia="zh-CN"/>
        </w:rPr>
        <w:t>T</w:t>
      </w:r>
      <w:r w:rsidR="00465570" w:rsidRPr="00EC4C5D">
        <w:rPr>
          <w:rFonts w:ascii="Book Antiqua" w:hAnsi="Book Antiqua" w:cs="Helvetica"/>
          <w:b/>
          <w:sz w:val="24"/>
          <w:szCs w:val="24"/>
          <w:lang w:val="en-US"/>
        </w:rPr>
        <w:t>he role of tumor grow</w:t>
      </w:r>
      <w:r w:rsidR="003E5EEB" w:rsidRPr="00EC4C5D">
        <w:rPr>
          <w:rFonts w:ascii="Book Antiqua" w:hAnsi="Book Antiqua" w:cs="Helvetica"/>
          <w:b/>
          <w:sz w:val="24"/>
          <w:szCs w:val="24"/>
          <w:lang w:val="en-US"/>
        </w:rPr>
        <w:t>th</w:t>
      </w:r>
      <w:r w:rsidR="00465570" w:rsidRPr="00EC4C5D">
        <w:rPr>
          <w:rFonts w:ascii="Book Antiqua" w:hAnsi="Book Antiqua" w:cs="Helvetica"/>
          <w:b/>
          <w:sz w:val="24"/>
          <w:szCs w:val="24"/>
          <w:lang w:val="en-US"/>
        </w:rPr>
        <w:t xml:space="preserve"> rate</w:t>
      </w:r>
    </w:p>
    <w:p w14:paraId="462F2A51" w14:textId="77777777" w:rsidR="00EC4C5D" w:rsidRDefault="00EC4C5D" w:rsidP="00EC4C5D">
      <w:pPr>
        <w:spacing w:after="0" w:line="360" w:lineRule="auto"/>
        <w:jc w:val="both"/>
        <w:rPr>
          <w:rFonts w:ascii="Book Antiqua" w:hAnsi="Book Antiqua" w:cs="Helvetica"/>
          <w:b/>
          <w:sz w:val="24"/>
          <w:szCs w:val="24"/>
          <w:lang w:val="en-US" w:eastAsia="zh-CN"/>
        </w:rPr>
      </w:pPr>
    </w:p>
    <w:p w14:paraId="47A79EF8" w14:textId="0C73283C" w:rsidR="00681207" w:rsidRPr="00EC4C5D" w:rsidRDefault="00EC4C5D" w:rsidP="00EC4C5D">
      <w:pPr>
        <w:spacing w:after="0" w:line="360" w:lineRule="auto"/>
        <w:jc w:val="both"/>
        <w:rPr>
          <w:rFonts w:ascii="Book Antiqua" w:hAnsi="Book Antiqua" w:cs="Helvetica"/>
          <w:sz w:val="24"/>
          <w:szCs w:val="24"/>
          <w:lang w:val="en-US"/>
        </w:rPr>
      </w:pPr>
      <w:r w:rsidRPr="00EC4C5D">
        <w:rPr>
          <w:rFonts w:ascii="Book Antiqua" w:hAnsi="Book Antiqua" w:cs="Helvetica"/>
          <w:sz w:val="24"/>
          <w:szCs w:val="24"/>
        </w:rPr>
        <w:t>Grande</w:t>
      </w:r>
      <w:r w:rsidRPr="00EC4C5D">
        <w:rPr>
          <w:rFonts w:ascii="Book Antiqua" w:hAnsi="Book Antiqua" w:cs="Helvetica"/>
          <w:sz w:val="24"/>
          <w:szCs w:val="24"/>
          <w:lang w:val="en-US"/>
        </w:rPr>
        <w:t xml:space="preserve"> </w:t>
      </w:r>
      <w:r>
        <w:rPr>
          <w:rFonts w:ascii="Book Antiqua" w:hAnsi="Book Antiqua" w:cs="Helvetica" w:hint="eastAsia"/>
          <w:sz w:val="24"/>
          <w:szCs w:val="24"/>
          <w:lang w:val="en-US" w:eastAsia="zh-CN"/>
        </w:rPr>
        <w:t xml:space="preserve">E </w:t>
      </w:r>
      <w:r w:rsidRPr="00EC4C5D">
        <w:rPr>
          <w:rFonts w:ascii="Book Antiqua" w:hAnsi="Book Antiqua" w:cs="Helvetica" w:hint="eastAsia"/>
          <w:i/>
          <w:sz w:val="24"/>
          <w:szCs w:val="24"/>
          <w:lang w:val="en-US" w:eastAsia="zh-CN"/>
        </w:rPr>
        <w:t>et al</w:t>
      </w:r>
      <w:r>
        <w:rPr>
          <w:rFonts w:ascii="Book Antiqua" w:hAnsi="Book Antiqua" w:cs="Helvetica" w:hint="eastAsia"/>
          <w:sz w:val="24"/>
          <w:szCs w:val="24"/>
          <w:lang w:val="en-US" w:eastAsia="zh-CN"/>
        </w:rPr>
        <w:t xml:space="preserve">. </w:t>
      </w:r>
      <w:r w:rsidR="00681207" w:rsidRPr="00EC4C5D">
        <w:rPr>
          <w:rFonts w:ascii="Book Antiqua" w:hAnsi="Book Antiqua" w:cs="Helvetica"/>
          <w:sz w:val="24"/>
          <w:szCs w:val="24"/>
          <w:lang w:val="en-US"/>
        </w:rPr>
        <w:t xml:space="preserve">Current second line </w:t>
      </w:r>
      <w:r w:rsidR="00EB50B3" w:rsidRPr="00EC4C5D">
        <w:rPr>
          <w:rFonts w:ascii="Book Antiqua" w:hAnsi="Book Antiqua" w:cs="Helvetica"/>
          <w:sz w:val="24"/>
          <w:szCs w:val="24"/>
          <w:lang w:val="en-US"/>
        </w:rPr>
        <w:t xml:space="preserve">treatment </w:t>
      </w:r>
      <w:r w:rsidR="00681207" w:rsidRPr="00EC4C5D">
        <w:rPr>
          <w:rFonts w:ascii="Book Antiqua" w:hAnsi="Book Antiqua" w:cs="Helvetica"/>
          <w:sz w:val="24"/>
          <w:szCs w:val="24"/>
          <w:lang w:val="en-US"/>
        </w:rPr>
        <w:t>of metastatic RCC patients</w:t>
      </w:r>
    </w:p>
    <w:p w14:paraId="1A774EC7" w14:textId="77777777" w:rsidR="00EC4C5D" w:rsidRDefault="00EC4C5D" w:rsidP="00EC4C5D">
      <w:pPr>
        <w:spacing w:after="0" w:line="360" w:lineRule="auto"/>
        <w:jc w:val="both"/>
        <w:rPr>
          <w:rFonts w:ascii="Book Antiqua" w:hAnsi="Book Antiqua" w:cs="Helvetica"/>
          <w:b/>
          <w:sz w:val="24"/>
          <w:szCs w:val="24"/>
          <w:lang w:eastAsia="zh-CN"/>
        </w:rPr>
      </w:pPr>
    </w:p>
    <w:p w14:paraId="4DB57FFF" w14:textId="77777777" w:rsidR="005750BB" w:rsidRPr="002466FD" w:rsidRDefault="006624A3" w:rsidP="00EC4C5D">
      <w:pPr>
        <w:spacing w:after="0" w:line="360" w:lineRule="auto"/>
        <w:jc w:val="both"/>
        <w:rPr>
          <w:rFonts w:ascii="Book Antiqua" w:hAnsi="Book Antiqua" w:cs="Helvetica"/>
          <w:b/>
          <w:sz w:val="24"/>
          <w:szCs w:val="24"/>
        </w:rPr>
      </w:pPr>
      <w:r w:rsidRPr="002466FD">
        <w:rPr>
          <w:rFonts w:ascii="Book Antiqua" w:hAnsi="Book Antiqua" w:cs="Helvetica"/>
          <w:b/>
          <w:sz w:val="24"/>
          <w:szCs w:val="24"/>
        </w:rPr>
        <w:t>Enrique Grande, Olga Martínez-Sáez, Pablo Gajate Borau, Teresa Alonso-Gordoa</w:t>
      </w:r>
    </w:p>
    <w:p w14:paraId="46FC2A2F" w14:textId="77777777" w:rsidR="00704EC0" w:rsidRDefault="00704EC0" w:rsidP="00EC4C5D">
      <w:pPr>
        <w:spacing w:after="0" w:line="360" w:lineRule="auto"/>
        <w:jc w:val="both"/>
        <w:rPr>
          <w:rFonts w:ascii="Book Antiqua" w:hAnsi="Book Antiqua" w:cs="Helvetica"/>
          <w:sz w:val="24"/>
          <w:szCs w:val="24"/>
          <w:lang w:eastAsia="zh-CN"/>
        </w:rPr>
      </w:pPr>
    </w:p>
    <w:p w14:paraId="1391E87B" w14:textId="4E28454F" w:rsidR="002466FD" w:rsidRPr="002466FD" w:rsidRDefault="002466FD" w:rsidP="002466FD">
      <w:pPr>
        <w:spacing w:after="0" w:line="360" w:lineRule="auto"/>
        <w:jc w:val="both"/>
        <w:rPr>
          <w:rFonts w:ascii="Book Antiqua" w:hAnsi="Book Antiqua" w:cs="Helvetica"/>
          <w:b/>
          <w:sz w:val="24"/>
          <w:szCs w:val="24"/>
          <w:lang w:eastAsia="zh-CN"/>
        </w:rPr>
      </w:pPr>
      <w:r w:rsidRPr="002466FD">
        <w:rPr>
          <w:rFonts w:ascii="Book Antiqua" w:hAnsi="Book Antiqua" w:cs="Helvetica"/>
          <w:b/>
          <w:sz w:val="24"/>
          <w:szCs w:val="24"/>
        </w:rPr>
        <w:t>Enrique Grande, Olga Martínez-Sáez, Pablo Gajate Borau, Teresa Alonso-Gordoa</w:t>
      </w:r>
      <w:r>
        <w:rPr>
          <w:rFonts w:ascii="Book Antiqua" w:hAnsi="Book Antiqua" w:cs="Helvetica" w:hint="eastAsia"/>
          <w:b/>
          <w:sz w:val="24"/>
          <w:szCs w:val="24"/>
          <w:lang w:eastAsia="zh-CN"/>
        </w:rPr>
        <w:t xml:space="preserve">, </w:t>
      </w:r>
      <w:r w:rsidRPr="00EC4C5D">
        <w:rPr>
          <w:rFonts w:ascii="Book Antiqua" w:hAnsi="Book Antiqua" w:cs="Helvetica"/>
          <w:sz w:val="24"/>
          <w:szCs w:val="24"/>
        </w:rPr>
        <w:t xml:space="preserve">Medical Oncology Department, Ramon y Cajal University Hospital, </w:t>
      </w:r>
      <w:r w:rsidRPr="00EC4C5D">
        <w:rPr>
          <w:rFonts w:ascii="Book Antiqua" w:hAnsi="Book Antiqua" w:cs="Helvetica"/>
          <w:sz w:val="24"/>
          <w:szCs w:val="24"/>
          <w:lang w:val="es-ES_tradnl"/>
        </w:rPr>
        <w:t>28029</w:t>
      </w:r>
      <w:r>
        <w:rPr>
          <w:rFonts w:ascii="Book Antiqua" w:hAnsi="Book Antiqua" w:cs="Helvetica" w:hint="eastAsia"/>
          <w:sz w:val="24"/>
          <w:szCs w:val="24"/>
          <w:lang w:val="es-ES_tradnl" w:eastAsia="zh-CN"/>
        </w:rPr>
        <w:t xml:space="preserve"> </w:t>
      </w:r>
      <w:r w:rsidRPr="00EC4C5D">
        <w:rPr>
          <w:rFonts w:ascii="Book Antiqua" w:hAnsi="Book Antiqua" w:cs="Helvetica"/>
          <w:sz w:val="24"/>
          <w:szCs w:val="24"/>
        </w:rPr>
        <w:t>Madrid</w:t>
      </w:r>
      <w:r>
        <w:rPr>
          <w:rFonts w:ascii="Book Antiqua" w:hAnsi="Book Antiqua" w:cs="Helvetica" w:hint="eastAsia"/>
          <w:sz w:val="24"/>
          <w:szCs w:val="24"/>
          <w:lang w:eastAsia="zh-CN"/>
        </w:rPr>
        <w:t>,</w:t>
      </w:r>
      <w:r w:rsidRPr="00EC4C5D">
        <w:rPr>
          <w:rFonts w:ascii="Book Antiqua" w:hAnsi="Book Antiqua" w:cs="Helvetica"/>
          <w:sz w:val="24"/>
          <w:szCs w:val="24"/>
        </w:rPr>
        <w:t xml:space="preserve"> Spain</w:t>
      </w:r>
    </w:p>
    <w:p w14:paraId="3008CC8D" w14:textId="77777777" w:rsidR="00CB3EDE" w:rsidRPr="00EC4C5D" w:rsidRDefault="00CB3EDE" w:rsidP="00EC4C5D">
      <w:pPr>
        <w:spacing w:after="0" w:line="360" w:lineRule="auto"/>
        <w:jc w:val="both"/>
        <w:rPr>
          <w:rFonts w:ascii="Book Antiqua" w:hAnsi="Book Antiqua" w:cs="Helvetica"/>
          <w:sz w:val="24"/>
          <w:szCs w:val="24"/>
          <w:lang w:val="en-US" w:eastAsia="zh-CN"/>
        </w:rPr>
      </w:pPr>
    </w:p>
    <w:p w14:paraId="5C9C1C28" w14:textId="77777777" w:rsidR="006707CE" w:rsidRPr="00EC4C5D" w:rsidRDefault="00CB3EDE" w:rsidP="00EC4C5D">
      <w:pPr>
        <w:spacing w:after="0" w:line="360" w:lineRule="auto"/>
        <w:jc w:val="both"/>
        <w:rPr>
          <w:rFonts w:ascii="Book Antiqua" w:hAnsi="Book Antiqua" w:cs="Helvetica"/>
          <w:sz w:val="24"/>
          <w:szCs w:val="24"/>
          <w:lang w:val="en-US"/>
        </w:rPr>
      </w:pPr>
      <w:r w:rsidRPr="00EC4C5D">
        <w:rPr>
          <w:rFonts w:ascii="Book Antiqua" w:hAnsi="Book Antiqua" w:cs="Helvetica"/>
          <w:b/>
          <w:sz w:val="24"/>
          <w:szCs w:val="24"/>
          <w:lang w:val="en-US"/>
        </w:rPr>
        <w:t>Author contributions:</w:t>
      </w:r>
      <w:r w:rsidRPr="00EC4C5D">
        <w:rPr>
          <w:rFonts w:ascii="Book Antiqua" w:hAnsi="Book Antiqua" w:cs="Helvetica"/>
          <w:sz w:val="24"/>
          <w:szCs w:val="24"/>
          <w:lang w:val="en-US"/>
        </w:rPr>
        <w:t xml:space="preserve"> All authors contributed to this manuscript.</w:t>
      </w:r>
    </w:p>
    <w:p w14:paraId="5FFF8F33" w14:textId="77777777" w:rsidR="009D0DC8" w:rsidRDefault="009D0DC8" w:rsidP="00EC4C5D">
      <w:pPr>
        <w:spacing w:after="0" w:line="360" w:lineRule="auto"/>
        <w:jc w:val="both"/>
        <w:rPr>
          <w:rFonts w:ascii="Book Antiqua" w:hAnsi="Book Antiqua" w:cs="Helvetica"/>
          <w:b/>
          <w:sz w:val="24"/>
          <w:szCs w:val="24"/>
          <w:lang w:val="en-US" w:eastAsia="zh-CN"/>
        </w:rPr>
      </w:pPr>
    </w:p>
    <w:p w14:paraId="39B37CC7" w14:textId="1A3A60CE" w:rsidR="00CB3EDE" w:rsidRPr="009D0DC8" w:rsidRDefault="009D0DC8" w:rsidP="00EC4C5D">
      <w:pPr>
        <w:spacing w:after="0" w:line="360" w:lineRule="auto"/>
        <w:jc w:val="both"/>
        <w:rPr>
          <w:rFonts w:ascii="Book Antiqua" w:hAnsi="Book Antiqua" w:cs="Helvetica"/>
          <w:sz w:val="24"/>
          <w:szCs w:val="24"/>
        </w:rPr>
      </w:pPr>
      <w:r w:rsidRPr="009D0DC8">
        <w:rPr>
          <w:rFonts w:ascii="Book Antiqua" w:hAnsi="Book Antiqua"/>
          <w:b/>
          <w:color w:val="000000"/>
          <w:sz w:val="24"/>
          <w:szCs w:val="24"/>
        </w:rPr>
        <w:t>Conflict-of-interest statement</w:t>
      </w:r>
      <w:r w:rsidRPr="009D0DC8">
        <w:rPr>
          <w:rFonts w:ascii="Book Antiqua" w:hAnsi="Book Antiqua"/>
          <w:b/>
          <w:sz w:val="24"/>
          <w:szCs w:val="24"/>
        </w:rPr>
        <w:t>:</w:t>
      </w:r>
      <w:r w:rsidRPr="009D0DC8">
        <w:rPr>
          <w:rFonts w:ascii="Book Antiqua" w:eastAsia="宋体" w:hAnsi="Book Antiqua" w:cs="TimesNewRomanPS-BoldItalicMT"/>
          <w:b/>
          <w:bCs/>
          <w:iCs/>
          <w:color w:val="000000"/>
          <w:sz w:val="24"/>
          <w:szCs w:val="24"/>
          <w:lang w:eastAsia="zh-CN"/>
        </w:rPr>
        <w:t xml:space="preserve"> </w:t>
      </w:r>
      <w:r w:rsidRPr="009D0DC8">
        <w:rPr>
          <w:rFonts w:ascii="Book Antiqua" w:hAnsi="Book Antiqua" w:cs="Helvetica"/>
          <w:sz w:val="24"/>
          <w:szCs w:val="24"/>
        </w:rPr>
        <w:t>Enrique Grande</w:t>
      </w:r>
      <w:r w:rsidR="003D44A7" w:rsidRPr="009D0DC8">
        <w:rPr>
          <w:rFonts w:ascii="Book Antiqua" w:hAnsi="Book Antiqua" w:cs="Helvetica"/>
          <w:sz w:val="24"/>
          <w:szCs w:val="24"/>
          <w:lang w:val="en-US"/>
        </w:rPr>
        <w:t xml:space="preserve"> has served as advisor and delivered lectures for Pfizer, IPSEN, and Eisai</w:t>
      </w:r>
      <w:r w:rsidRPr="009D0DC8">
        <w:rPr>
          <w:rFonts w:ascii="Book Antiqua" w:hAnsi="Book Antiqua" w:cs="Helvetica" w:hint="eastAsia"/>
          <w:sz w:val="24"/>
          <w:szCs w:val="24"/>
          <w:lang w:val="en-US" w:eastAsia="zh-CN"/>
        </w:rPr>
        <w:t>;</w:t>
      </w:r>
      <w:r w:rsidR="001A67AB" w:rsidRPr="009D0DC8">
        <w:rPr>
          <w:rFonts w:ascii="Book Antiqua" w:hAnsi="Book Antiqua" w:cs="Helvetica"/>
          <w:sz w:val="24"/>
          <w:szCs w:val="24"/>
          <w:lang w:val="en-US"/>
        </w:rPr>
        <w:t xml:space="preserve"> </w:t>
      </w:r>
      <w:r w:rsidRPr="009D0DC8">
        <w:rPr>
          <w:rFonts w:ascii="Book Antiqua" w:hAnsi="Book Antiqua" w:cs="Helvetica"/>
          <w:sz w:val="24"/>
          <w:szCs w:val="24"/>
        </w:rPr>
        <w:t>Olga Martínez-Sáez, Pablo Gajate Borau, Teresa Alonso-Gordoa</w:t>
      </w:r>
      <w:r w:rsidRPr="009D0DC8">
        <w:rPr>
          <w:rFonts w:ascii="Book Antiqua" w:hAnsi="Book Antiqua" w:cs="Helvetica" w:hint="eastAsia"/>
          <w:sz w:val="24"/>
          <w:szCs w:val="24"/>
          <w:lang w:eastAsia="zh-CN"/>
        </w:rPr>
        <w:t xml:space="preserve"> </w:t>
      </w:r>
      <w:r w:rsidR="001A67AB" w:rsidRPr="009D0DC8">
        <w:rPr>
          <w:rFonts w:ascii="Book Antiqua" w:hAnsi="Book Antiqua" w:cs="Helvetica"/>
          <w:sz w:val="24"/>
          <w:szCs w:val="24"/>
          <w:lang w:val="en-US"/>
        </w:rPr>
        <w:t>declares no conflict of interest related to this publication.</w:t>
      </w:r>
    </w:p>
    <w:p w14:paraId="6A258EBC" w14:textId="77777777" w:rsidR="009D0DC8" w:rsidRPr="00F07DA2" w:rsidRDefault="009D0DC8" w:rsidP="00EC4C5D">
      <w:pPr>
        <w:spacing w:after="0" w:line="360" w:lineRule="auto"/>
        <w:jc w:val="both"/>
        <w:rPr>
          <w:rFonts w:ascii="Book Antiqua" w:hAnsi="Book Antiqua" w:cs="Helvetica"/>
          <w:b/>
          <w:sz w:val="24"/>
          <w:szCs w:val="24"/>
          <w:lang w:val="en-US" w:eastAsia="zh-CN"/>
        </w:rPr>
      </w:pPr>
    </w:p>
    <w:p w14:paraId="1D4FA1C3" w14:textId="77777777" w:rsidR="00F07DA2" w:rsidRPr="00F07DA2" w:rsidRDefault="00F07DA2" w:rsidP="00F07DA2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F07DA2">
        <w:rPr>
          <w:rFonts w:ascii="Book Antiqua" w:hAnsi="Book Antiqua"/>
          <w:b/>
          <w:sz w:val="24"/>
          <w:szCs w:val="24"/>
        </w:rPr>
        <w:t xml:space="preserve">Open-Access: </w:t>
      </w:r>
      <w:r w:rsidRPr="00F07DA2">
        <w:rPr>
          <w:rFonts w:ascii="Book Antiqua" w:hAnsi="Book Antiqua"/>
          <w:sz w:val="24"/>
          <w:szCs w:val="24"/>
        </w:rPr>
        <w:t>This article is an open-access article which was selected by</w:t>
      </w:r>
      <w:r w:rsidRPr="00F07DA2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Pr="00F07DA2">
        <w:rPr>
          <w:rFonts w:ascii="Book Antiqua" w:hAnsi="Book Antiqua"/>
          <w:sz w:val="24"/>
          <w:szCs w:val="24"/>
        </w:rPr>
        <w:t>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0"/>
      <w:bookmarkEnd w:id="1"/>
      <w:bookmarkEnd w:id="2"/>
      <w:bookmarkEnd w:id="3"/>
    </w:p>
    <w:p w14:paraId="667E7B5E" w14:textId="77777777" w:rsidR="00F07DA2" w:rsidRDefault="00F07DA2" w:rsidP="00EC4C5D">
      <w:pPr>
        <w:spacing w:after="0" w:line="360" w:lineRule="auto"/>
        <w:jc w:val="both"/>
        <w:rPr>
          <w:rFonts w:ascii="Book Antiqua" w:hAnsi="Book Antiqua" w:cs="Helvetica"/>
          <w:b/>
          <w:sz w:val="24"/>
          <w:szCs w:val="24"/>
          <w:lang w:val="en-US" w:eastAsia="zh-CN"/>
        </w:rPr>
      </w:pPr>
    </w:p>
    <w:p w14:paraId="304C4951" w14:textId="5AC8BBCD" w:rsidR="00F07DA2" w:rsidRPr="00F07DA2" w:rsidRDefault="00F07DA2" w:rsidP="00EC4C5D">
      <w:pPr>
        <w:spacing w:after="0" w:line="360" w:lineRule="auto"/>
        <w:jc w:val="both"/>
        <w:rPr>
          <w:rFonts w:ascii="Book Antiqua" w:hAnsi="Book Antiqua" w:cs="Helvetica"/>
          <w:b/>
          <w:sz w:val="24"/>
          <w:szCs w:val="24"/>
          <w:lang w:val="en-US" w:eastAsia="zh-CN"/>
        </w:rPr>
      </w:pPr>
      <w:r w:rsidRPr="00F07DA2">
        <w:rPr>
          <w:rFonts w:ascii="Book Antiqua" w:hAnsi="Book Antiqua" w:cs="Helvetica"/>
          <w:b/>
          <w:sz w:val="24"/>
          <w:szCs w:val="24"/>
          <w:lang w:val="en-US" w:eastAsia="zh-CN"/>
        </w:rPr>
        <w:t xml:space="preserve">Manuscript source: </w:t>
      </w:r>
      <w:r w:rsidRPr="00F07DA2">
        <w:rPr>
          <w:rFonts w:ascii="Book Antiqua" w:hAnsi="Book Antiqua" w:cs="Helvetica"/>
          <w:sz w:val="24"/>
          <w:szCs w:val="24"/>
          <w:lang w:val="en-US" w:eastAsia="zh-CN"/>
        </w:rPr>
        <w:t>Invited manuscript</w:t>
      </w:r>
    </w:p>
    <w:p w14:paraId="148D0CDA" w14:textId="6E21BE07" w:rsidR="00F07DA2" w:rsidRDefault="00F07DA2" w:rsidP="00EC4C5D">
      <w:pPr>
        <w:spacing w:after="0" w:line="360" w:lineRule="auto"/>
        <w:jc w:val="both"/>
        <w:rPr>
          <w:rFonts w:ascii="Book Antiqua" w:hAnsi="Book Antiqua" w:cs="Helvetica"/>
          <w:sz w:val="24"/>
          <w:szCs w:val="24"/>
          <w:lang w:val="en-US" w:eastAsia="zh-CN"/>
        </w:rPr>
      </w:pPr>
      <w:r w:rsidRPr="00F07DA2">
        <w:rPr>
          <w:rFonts w:ascii="Book Antiqua" w:hAnsi="Book Antiqua"/>
          <w:b/>
          <w:sz w:val="24"/>
          <w:szCs w:val="24"/>
        </w:rPr>
        <w:lastRenderedPageBreak/>
        <w:t>Correspondence to:</w:t>
      </w:r>
      <w:r w:rsidRPr="00F07DA2">
        <w:rPr>
          <w:rFonts w:ascii="Book Antiqua" w:eastAsia="宋体" w:hAnsi="Book Antiqua" w:cs="Arial"/>
          <w:b/>
          <w:bCs/>
          <w:sz w:val="24"/>
          <w:szCs w:val="24"/>
          <w:lang w:eastAsia="zh-CN"/>
        </w:rPr>
        <w:t xml:space="preserve"> </w:t>
      </w:r>
      <w:r w:rsidR="00CB3EDE" w:rsidRPr="00F07DA2">
        <w:rPr>
          <w:rFonts w:ascii="Book Antiqua" w:hAnsi="Book Antiqua" w:cs="Helvetica"/>
          <w:b/>
          <w:sz w:val="24"/>
          <w:szCs w:val="24"/>
          <w:lang w:val="en-US"/>
        </w:rPr>
        <w:t xml:space="preserve">Enrique Grande, MD, PhD, </w:t>
      </w:r>
      <w:r w:rsidR="00CB3EDE" w:rsidRPr="00EC4C5D">
        <w:rPr>
          <w:rFonts w:ascii="Book Antiqua" w:hAnsi="Book Antiqua" w:cs="Helvetica"/>
          <w:sz w:val="24"/>
          <w:szCs w:val="24"/>
          <w:lang w:val="en-US"/>
        </w:rPr>
        <w:t xml:space="preserve">Medical Oncology Department, </w:t>
      </w:r>
      <w:r w:rsidRPr="00EC4C5D">
        <w:rPr>
          <w:rFonts w:ascii="Book Antiqua" w:hAnsi="Book Antiqua" w:cs="Helvetica"/>
          <w:sz w:val="24"/>
          <w:szCs w:val="24"/>
        </w:rPr>
        <w:t>Ramon y Cajal University Hospital,</w:t>
      </w:r>
      <w:r w:rsidRPr="00F07DA2">
        <w:rPr>
          <w:rFonts w:ascii="Book Antiqua" w:hAnsi="Book Antiqua" w:cs="Helvetica"/>
          <w:sz w:val="24"/>
          <w:szCs w:val="24"/>
          <w:lang w:val="es-ES_tradnl"/>
        </w:rPr>
        <w:t xml:space="preserve"> </w:t>
      </w:r>
      <w:r w:rsidRPr="00EC4C5D">
        <w:rPr>
          <w:rFonts w:ascii="Book Antiqua" w:hAnsi="Book Antiqua" w:cs="Helvetica"/>
          <w:sz w:val="24"/>
          <w:szCs w:val="24"/>
          <w:lang w:val="es-ES_tradnl"/>
        </w:rPr>
        <w:t>Ctra. Colmenar Viejo km</w:t>
      </w:r>
      <w:r>
        <w:rPr>
          <w:rFonts w:ascii="Book Antiqua" w:hAnsi="Book Antiqua" w:cs="Helvetica" w:hint="eastAsia"/>
          <w:sz w:val="24"/>
          <w:szCs w:val="24"/>
          <w:lang w:val="es-ES_tradnl" w:eastAsia="zh-CN"/>
        </w:rPr>
        <w:t xml:space="preserve"> </w:t>
      </w:r>
      <w:r w:rsidRPr="00EC4C5D">
        <w:rPr>
          <w:rFonts w:ascii="Book Antiqua" w:hAnsi="Book Antiqua" w:cs="Helvetica"/>
          <w:sz w:val="24"/>
          <w:szCs w:val="24"/>
          <w:lang w:val="es-ES_tradnl"/>
        </w:rPr>
        <w:t>9100, 28029 Madrid</w:t>
      </w:r>
      <w:r>
        <w:rPr>
          <w:rFonts w:ascii="Book Antiqua" w:hAnsi="Book Antiqua" w:cs="Helvetica" w:hint="eastAsia"/>
          <w:sz w:val="24"/>
          <w:szCs w:val="24"/>
          <w:lang w:val="es-ES_tradnl" w:eastAsia="zh-CN"/>
        </w:rPr>
        <w:t>,</w:t>
      </w:r>
      <w:r w:rsidRPr="00EC4C5D">
        <w:rPr>
          <w:rFonts w:ascii="Book Antiqua" w:hAnsi="Book Antiqua" w:cs="Helvetica"/>
          <w:sz w:val="24"/>
          <w:szCs w:val="24"/>
          <w:lang w:val="es-ES_tradnl"/>
        </w:rPr>
        <w:t xml:space="preserve"> Spain. egrande@oncologiahrc.com</w:t>
      </w:r>
    </w:p>
    <w:p w14:paraId="2CA6C7DC" w14:textId="667D3E8C" w:rsidR="00CF7A7F" w:rsidRPr="00EC4C5D" w:rsidRDefault="00F07DA2" w:rsidP="00EC4C5D">
      <w:pPr>
        <w:spacing w:after="0" w:line="360" w:lineRule="auto"/>
        <w:jc w:val="both"/>
        <w:rPr>
          <w:rFonts w:ascii="Book Antiqua" w:hAnsi="Book Antiqua" w:cs="Helvetica"/>
          <w:sz w:val="24"/>
          <w:szCs w:val="24"/>
          <w:lang w:val="en-US" w:eastAsia="zh-CN"/>
        </w:rPr>
      </w:pPr>
      <w:r w:rsidRPr="00F07DA2">
        <w:rPr>
          <w:rFonts w:ascii="Book Antiqua" w:hAnsi="Book Antiqua" w:cs="Helvetica"/>
          <w:b/>
          <w:sz w:val="24"/>
          <w:szCs w:val="24"/>
          <w:lang w:val="en-US"/>
        </w:rPr>
        <w:t>Telephone:</w:t>
      </w:r>
      <w:r>
        <w:rPr>
          <w:rFonts w:ascii="Book Antiqua" w:hAnsi="Book Antiqua" w:cs="Helvetica"/>
          <w:sz w:val="24"/>
          <w:szCs w:val="24"/>
          <w:lang w:val="en-US"/>
        </w:rPr>
        <w:t xml:space="preserve"> +34</w:t>
      </w:r>
      <w:r>
        <w:rPr>
          <w:rFonts w:ascii="Book Antiqua" w:hAnsi="Book Antiqua" w:cs="Helvetica" w:hint="eastAsia"/>
          <w:sz w:val="24"/>
          <w:szCs w:val="24"/>
          <w:lang w:val="en-US" w:eastAsia="zh-CN"/>
        </w:rPr>
        <w:t>-</w:t>
      </w:r>
      <w:r>
        <w:rPr>
          <w:rFonts w:ascii="Book Antiqua" w:hAnsi="Book Antiqua" w:cs="Helvetica"/>
          <w:sz w:val="24"/>
          <w:szCs w:val="24"/>
          <w:lang w:val="en-US"/>
        </w:rPr>
        <w:t>91</w:t>
      </w:r>
      <w:r>
        <w:rPr>
          <w:rFonts w:ascii="Book Antiqua" w:hAnsi="Book Antiqua" w:cs="Helvetica" w:hint="eastAsia"/>
          <w:sz w:val="24"/>
          <w:szCs w:val="24"/>
          <w:lang w:val="en-US" w:eastAsia="zh-CN"/>
        </w:rPr>
        <w:t>-</w:t>
      </w:r>
      <w:r>
        <w:rPr>
          <w:rFonts w:ascii="Book Antiqua" w:hAnsi="Book Antiqua" w:cs="Helvetica"/>
          <w:sz w:val="24"/>
          <w:szCs w:val="24"/>
          <w:lang w:val="en-US"/>
        </w:rPr>
        <w:t>3368263</w:t>
      </w:r>
    </w:p>
    <w:p w14:paraId="154E12B9" w14:textId="6DD55BF8" w:rsidR="00CB3EDE" w:rsidRPr="00EC4C5D" w:rsidRDefault="00F07DA2" w:rsidP="00EC4C5D">
      <w:pPr>
        <w:spacing w:after="0" w:line="360" w:lineRule="auto"/>
        <w:jc w:val="both"/>
        <w:rPr>
          <w:rFonts w:ascii="Book Antiqua" w:hAnsi="Book Antiqua" w:cs="Helvetica"/>
          <w:sz w:val="24"/>
          <w:szCs w:val="24"/>
          <w:lang w:val="en-US" w:eastAsia="zh-CN"/>
        </w:rPr>
      </w:pPr>
      <w:r w:rsidRPr="00F07DA2">
        <w:rPr>
          <w:rFonts w:ascii="Book Antiqua" w:hAnsi="Book Antiqua" w:cs="Helvetica"/>
          <w:b/>
          <w:sz w:val="24"/>
          <w:szCs w:val="24"/>
          <w:lang w:val="en-US"/>
        </w:rPr>
        <w:t xml:space="preserve">Fax: </w:t>
      </w:r>
      <w:r>
        <w:rPr>
          <w:rFonts w:ascii="Book Antiqua" w:hAnsi="Book Antiqua" w:cs="Helvetica"/>
          <w:sz w:val="24"/>
          <w:szCs w:val="24"/>
          <w:lang w:val="en-US"/>
        </w:rPr>
        <w:t>+34</w:t>
      </w:r>
      <w:r>
        <w:rPr>
          <w:rFonts w:ascii="Book Antiqua" w:hAnsi="Book Antiqua" w:cs="Helvetica" w:hint="eastAsia"/>
          <w:sz w:val="24"/>
          <w:szCs w:val="24"/>
          <w:lang w:val="en-US" w:eastAsia="zh-CN"/>
        </w:rPr>
        <w:t>-</w:t>
      </w:r>
      <w:r>
        <w:rPr>
          <w:rFonts w:ascii="Book Antiqua" w:hAnsi="Book Antiqua" w:cs="Helvetica"/>
          <w:sz w:val="24"/>
          <w:szCs w:val="24"/>
          <w:lang w:val="en-US"/>
        </w:rPr>
        <w:t>91</w:t>
      </w:r>
      <w:r>
        <w:rPr>
          <w:rFonts w:ascii="Book Antiqua" w:hAnsi="Book Antiqua" w:cs="Helvetica" w:hint="eastAsia"/>
          <w:sz w:val="24"/>
          <w:szCs w:val="24"/>
          <w:lang w:val="en-US" w:eastAsia="zh-CN"/>
        </w:rPr>
        <w:t>-</w:t>
      </w:r>
      <w:r>
        <w:rPr>
          <w:rFonts w:ascii="Book Antiqua" w:hAnsi="Book Antiqua" w:cs="Helvetica"/>
          <w:sz w:val="24"/>
          <w:szCs w:val="24"/>
          <w:lang w:val="en-US"/>
        </w:rPr>
        <w:t>3368263</w:t>
      </w:r>
    </w:p>
    <w:p w14:paraId="6F3107D7" w14:textId="77777777" w:rsidR="00CB3EDE" w:rsidRPr="00EC4C5D" w:rsidRDefault="00CB3EDE" w:rsidP="00EC4C5D">
      <w:pPr>
        <w:spacing w:after="0" w:line="360" w:lineRule="auto"/>
        <w:jc w:val="both"/>
        <w:rPr>
          <w:rFonts w:ascii="Book Antiqua" w:hAnsi="Book Antiqua" w:cs="Helvetica"/>
          <w:sz w:val="24"/>
          <w:szCs w:val="24"/>
          <w:lang w:val="en-US"/>
        </w:rPr>
      </w:pPr>
    </w:p>
    <w:p w14:paraId="647C3117" w14:textId="738B769E" w:rsidR="00AA37B3" w:rsidRPr="00AA37B3" w:rsidRDefault="00AA37B3" w:rsidP="00AA37B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A37B3">
        <w:rPr>
          <w:rFonts w:ascii="Book Antiqua" w:hAnsi="Book Antiqua"/>
          <w:b/>
          <w:sz w:val="24"/>
          <w:szCs w:val="24"/>
        </w:rPr>
        <w:t>Received:</w:t>
      </w:r>
      <w:r w:rsidRPr="00AA37B3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Pr="00AA37B3">
        <w:rPr>
          <w:rFonts w:ascii="Book Antiqua" w:eastAsia="宋体" w:hAnsi="Book Antiqua" w:hint="eastAsia"/>
          <w:sz w:val="24"/>
          <w:szCs w:val="24"/>
          <w:lang w:eastAsia="zh-CN"/>
        </w:rPr>
        <w:t>December 6, 2016</w:t>
      </w:r>
    </w:p>
    <w:p w14:paraId="0B742E41" w14:textId="5A14D1B0" w:rsidR="00AA37B3" w:rsidRPr="00AA37B3" w:rsidRDefault="00AA37B3" w:rsidP="00AA37B3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AA37B3">
        <w:rPr>
          <w:rFonts w:ascii="Book Antiqua" w:hAnsi="Book Antiqua"/>
          <w:b/>
          <w:sz w:val="24"/>
          <w:szCs w:val="24"/>
        </w:rPr>
        <w:t>Peer-review started:</w:t>
      </w:r>
      <w:r w:rsidRPr="00AA37B3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Pr="00AA37B3">
        <w:rPr>
          <w:rFonts w:ascii="Book Antiqua" w:eastAsia="宋体" w:hAnsi="Book Antiqua" w:hint="eastAsia"/>
          <w:sz w:val="24"/>
          <w:szCs w:val="24"/>
          <w:lang w:eastAsia="zh-CN"/>
        </w:rPr>
        <w:t xml:space="preserve">December 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7</w:t>
      </w:r>
      <w:r w:rsidRPr="00AA37B3">
        <w:rPr>
          <w:rFonts w:ascii="Book Antiqua" w:eastAsia="宋体" w:hAnsi="Book Antiqua" w:hint="eastAsia"/>
          <w:sz w:val="24"/>
          <w:szCs w:val="24"/>
          <w:lang w:eastAsia="zh-CN"/>
        </w:rPr>
        <w:t>, 2016</w:t>
      </w:r>
    </w:p>
    <w:p w14:paraId="031F2080" w14:textId="53A4E508" w:rsidR="00AA37B3" w:rsidRPr="00AA37B3" w:rsidRDefault="00AA37B3" w:rsidP="00AA37B3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  <w:r w:rsidRPr="00AA37B3">
        <w:rPr>
          <w:rFonts w:ascii="Book Antiqua" w:hAnsi="Book Antiqua"/>
          <w:b/>
          <w:sz w:val="24"/>
          <w:szCs w:val="24"/>
        </w:rPr>
        <w:t>First decision:</w:t>
      </w:r>
      <w:r w:rsidRPr="00AA37B3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Pr="00AA37B3">
        <w:rPr>
          <w:rFonts w:ascii="Book Antiqua" w:eastAsia="宋体" w:hAnsi="Book Antiqua" w:hint="eastAsia"/>
          <w:sz w:val="24"/>
          <w:szCs w:val="24"/>
          <w:lang w:eastAsia="zh-CN"/>
        </w:rPr>
        <w:t>February 15, 2017</w:t>
      </w:r>
    </w:p>
    <w:p w14:paraId="5C2E7A68" w14:textId="240B510B" w:rsidR="00AA37B3" w:rsidRPr="00AA37B3" w:rsidRDefault="00AA37B3" w:rsidP="00AA37B3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  <w:r w:rsidRPr="00AA37B3">
        <w:rPr>
          <w:rFonts w:ascii="Book Antiqua" w:hAnsi="Book Antiqua"/>
          <w:b/>
          <w:sz w:val="24"/>
          <w:szCs w:val="24"/>
        </w:rPr>
        <w:t xml:space="preserve">Revised: </w:t>
      </w:r>
      <w:r w:rsidRPr="00AA37B3">
        <w:rPr>
          <w:rFonts w:ascii="Book Antiqua" w:eastAsia="宋体" w:hAnsi="Book Antiqua" w:hint="eastAsia"/>
          <w:sz w:val="24"/>
          <w:szCs w:val="24"/>
          <w:lang w:eastAsia="zh-CN"/>
        </w:rPr>
        <w:t xml:space="preserve">February 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26</w:t>
      </w:r>
      <w:r w:rsidRPr="00AA37B3">
        <w:rPr>
          <w:rFonts w:ascii="Book Antiqua" w:eastAsia="宋体" w:hAnsi="Book Antiqua" w:hint="eastAsia"/>
          <w:sz w:val="24"/>
          <w:szCs w:val="24"/>
          <w:lang w:eastAsia="zh-CN"/>
        </w:rPr>
        <w:t>, 2017</w:t>
      </w:r>
    </w:p>
    <w:p w14:paraId="7E1AD28E" w14:textId="4541E62D" w:rsidR="00AA37B3" w:rsidRPr="00AA37B3" w:rsidRDefault="00AA37B3" w:rsidP="00AA37B3">
      <w:pPr>
        <w:rPr>
          <w:rFonts w:ascii="Book Antiqua" w:hAnsi="Book Antiqua"/>
          <w:color w:val="000000"/>
          <w:sz w:val="24"/>
          <w:szCs w:val="24"/>
        </w:rPr>
      </w:pPr>
      <w:proofErr w:type="spellStart"/>
      <w:r w:rsidRPr="00AA37B3">
        <w:rPr>
          <w:rFonts w:ascii="Book Antiqua" w:hAnsi="Book Antiqua"/>
          <w:b/>
          <w:sz w:val="24"/>
          <w:szCs w:val="24"/>
        </w:rPr>
        <w:t>Accepted</w:t>
      </w:r>
      <w:proofErr w:type="spellEnd"/>
      <w:r w:rsidRPr="00AA37B3">
        <w:rPr>
          <w:rFonts w:ascii="Book Antiqua" w:hAnsi="Book Antiqua"/>
          <w:b/>
          <w:sz w:val="24"/>
          <w:szCs w:val="24"/>
        </w:rPr>
        <w:t>:</w:t>
      </w:r>
      <w:bookmarkStart w:id="4" w:name="OLE_LINK98"/>
      <w:bookmarkStart w:id="5" w:name="OLE_LINK99"/>
      <w:bookmarkStart w:id="6" w:name="OLE_LINK104"/>
      <w:bookmarkStart w:id="7" w:name="OLE_LINK110"/>
      <w:bookmarkStart w:id="8" w:name="OLE_LINK111"/>
      <w:bookmarkStart w:id="9" w:name="OLE_LINK115"/>
      <w:bookmarkStart w:id="10" w:name="OLE_LINK116"/>
      <w:r w:rsidRPr="00AA37B3">
        <w:rPr>
          <w:rFonts w:ascii="Book Antiqua" w:hAnsi="Book Antiqua"/>
          <w:color w:val="000000"/>
          <w:sz w:val="24"/>
          <w:szCs w:val="24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proofErr w:type="spellStart"/>
      <w:r w:rsidR="001C2E20" w:rsidRPr="001C2E20">
        <w:rPr>
          <w:rFonts w:ascii="Book Antiqua" w:hAnsi="Book Antiqua"/>
          <w:color w:val="000000"/>
          <w:sz w:val="24"/>
          <w:szCs w:val="24"/>
        </w:rPr>
        <w:t>March</w:t>
      </w:r>
      <w:proofErr w:type="spellEnd"/>
      <w:r w:rsidR="001C2E20" w:rsidRPr="001C2E20">
        <w:rPr>
          <w:rFonts w:ascii="Book Antiqua" w:hAnsi="Book Antiqua"/>
          <w:color w:val="000000"/>
          <w:sz w:val="24"/>
          <w:szCs w:val="24"/>
        </w:rPr>
        <w:t xml:space="preserve"> 12, 2017</w:t>
      </w:r>
      <w:bookmarkStart w:id="11" w:name="_GoBack"/>
      <w:bookmarkEnd w:id="11"/>
    </w:p>
    <w:p w14:paraId="660C7C35" w14:textId="77777777" w:rsidR="00AA37B3" w:rsidRPr="00AA37B3" w:rsidRDefault="00AA37B3" w:rsidP="00AA37B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AA37B3">
        <w:rPr>
          <w:rFonts w:ascii="Book Antiqua" w:hAnsi="Book Antiqua"/>
          <w:b/>
          <w:sz w:val="24"/>
          <w:szCs w:val="24"/>
        </w:rPr>
        <w:t>Article in press:</w:t>
      </w:r>
    </w:p>
    <w:p w14:paraId="0805E961" w14:textId="77777777" w:rsidR="00AA37B3" w:rsidRPr="00AA37B3" w:rsidRDefault="00AA37B3" w:rsidP="00AA37B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AA37B3">
        <w:rPr>
          <w:rFonts w:ascii="Book Antiqua" w:hAnsi="Book Antiqua"/>
          <w:b/>
          <w:sz w:val="24"/>
          <w:szCs w:val="24"/>
        </w:rPr>
        <w:t xml:space="preserve">Published online: </w:t>
      </w:r>
    </w:p>
    <w:p w14:paraId="4706ABA1" w14:textId="77777777" w:rsidR="00CB3EDE" w:rsidRPr="00AA37B3" w:rsidRDefault="00CB3EDE" w:rsidP="00EC4C5D">
      <w:pPr>
        <w:spacing w:after="0" w:line="360" w:lineRule="auto"/>
        <w:jc w:val="both"/>
        <w:rPr>
          <w:rFonts w:ascii="Book Antiqua" w:hAnsi="Book Antiqua" w:cs="Helvetica"/>
          <w:sz w:val="24"/>
          <w:szCs w:val="24"/>
          <w:lang w:val="en-US"/>
        </w:rPr>
      </w:pPr>
    </w:p>
    <w:p w14:paraId="65F32850" w14:textId="77777777" w:rsidR="00CB3EDE" w:rsidRPr="00AA37B3" w:rsidRDefault="00CB3EDE" w:rsidP="00EC4C5D">
      <w:pPr>
        <w:spacing w:after="0" w:line="360" w:lineRule="auto"/>
        <w:jc w:val="both"/>
        <w:rPr>
          <w:rFonts w:ascii="Book Antiqua" w:hAnsi="Book Antiqua" w:cs="Helvetica"/>
          <w:sz w:val="24"/>
          <w:szCs w:val="24"/>
          <w:lang w:val="en-US"/>
        </w:rPr>
      </w:pPr>
    </w:p>
    <w:p w14:paraId="3C5E6353" w14:textId="77777777" w:rsidR="00704EC0" w:rsidRPr="00AA37B3" w:rsidRDefault="00704EC0" w:rsidP="00EC4C5D">
      <w:pPr>
        <w:spacing w:after="0" w:line="360" w:lineRule="auto"/>
        <w:jc w:val="both"/>
        <w:rPr>
          <w:rFonts w:ascii="Book Antiqua" w:hAnsi="Book Antiqua" w:cs="Helvetica"/>
          <w:b/>
          <w:sz w:val="24"/>
          <w:szCs w:val="24"/>
          <w:lang w:val="en-US"/>
        </w:rPr>
      </w:pPr>
      <w:r w:rsidRPr="00AA37B3">
        <w:rPr>
          <w:rFonts w:ascii="Book Antiqua" w:hAnsi="Book Antiqua" w:cs="Helvetica"/>
          <w:b/>
          <w:sz w:val="24"/>
          <w:szCs w:val="24"/>
          <w:lang w:val="en-US"/>
        </w:rPr>
        <w:br w:type="page"/>
      </w:r>
    </w:p>
    <w:p w14:paraId="0C152DF7" w14:textId="77777777" w:rsidR="006707CE" w:rsidRPr="00EC4C5D" w:rsidRDefault="00CB3EDE" w:rsidP="00EC4C5D">
      <w:pPr>
        <w:spacing w:after="0" w:line="360" w:lineRule="auto"/>
        <w:jc w:val="both"/>
        <w:rPr>
          <w:rFonts w:ascii="Book Antiqua" w:hAnsi="Book Antiqua" w:cs="Helvetica"/>
          <w:b/>
          <w:sz w:val="24"/>
          <w:szCs w:val="24"/>
          <w:lang w:val="en-US"/>
        </w:rPr>
      </w:pPr>
      <w:r w:rsidRPr="00EC4C5D">
        <w:rPr>
          <w:rFonts w:ascii="Book Antiqua" w:hAnsi="Book Antiqua" w:cs="Helvetica"/>
          <w:b/>
          <w:sz w:val="24"/>
          <w:szCs w:val="24"/>
          <w:lang w:val="en-US"/>
        </w:rPr>
        <w:lastRenderedPageBreak/>
        <w:t>Abstract</w:t>
      </w:r>
    </w:p>
    <w:p w14:paraId="239102CC" w14:textId="62E88C76" w:rsidR="001646E2" w:rsidRPr="00EC4C5D" w:rsidRDefault="00ED53B4" w:rsidP="00EC4C5D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EC4C5D">
        <w:rPr>
          <w:rFonts w:ascii="Book Antiqua" w:hAnsi="Book Antiqua" w:cs="Cheltenham-BookCond"/>
          <w:sz w:val="24"/>
          <w:szCs w:val="24"/>
          <w:lang w:val="en-US"/>
        </w:rPr>
        <w:t xml:space="preserve">The therapeutic </w:t>
      </w:r>
      <w:r w:rsidR="00407EB1" w:rsidRPr="00EC4C5D">
        <w:rPr>
          <w:rFonts w:ascii="Book Antiqua" w:hAnsi="Book Antiqua" w:cs="Cheltenham-BookCond"/>
          <w:sz w:val="24"/>
          <w:szCs w:val="24"/>
          <w:lang w:val="en-US"/>
        </w:rPr>
        <w:t>options for patients with metastatic renal cell carcinoma (</w:t>
      </w:r>
      <w:proofErr w:type="spellStart"/>
      <w:r w:rsidR="00407EB1" w:rsidRPr="00EC4C5D">
        <w:rPr>
          <w:rFonts w:ascii="Book Antiqua" w:hAnsi="Book Antiqua" w:cs="Cheltenham-BookCond"/>
          <w:sz w:val="24"/>
          <w:szCs w:val="24"/>
          <w:lang w:val="en-US"/>
        </w:rPr>
        <w:t>mRCC</w:t>
      </w:r>
      <w:proofErr w:type="spellEnd"/>
      <w:r w:rsidR="00407EB1" w:rsidRPr="00EC4C5D">
        <w:rPr>
          <w:rFonts w:ascii="Book Antiqua" w:hAnsi="Book Antiqua" w:cs="Cheltenham-BookCond"/>
          <w:sz w:val="24"/>
          <w:szCs w:val="24"/>
          <w:lang w:val="en-US"/>
        </w:rPr>
        <w:t>) have</w:t>
      </w:r>
      <w:r w:rsidRPr="00EC4C5D">
        <w:rPr>
          <w:rFonts w:ascii="Book Antiqua" w:hAnsi="Book Antiqua" w:cs="Cheltenham-BookCond"/>
          <w:sz w:val="24"/>
          <w:szCs w:val="24"/>
          <w:lang w:val="en-US"/>
        </w:rPr>
        <w:t xml:space="preserve"> completely changed during the last ten years. </w:t>
      </w:r>
      <w:r w:rsidR="00C9565B" w:rsidRPr="00EC4C5D">
        <w:rPr>
          <w:rFonts w:ascii="Book Antiqua" w:hAnsi="Book Antiqua"/>
          <w:sz w:val="24"/>
          <w:szCs w:val="24"/>
          <w:lang w:val="en-US"/>
        </w:rPr>
        <w:t xml:space="preserve">With </w:t>
      </w:r>
      <w:r w:rsidR="00407EB1" w:rsidRPr="00EC4C5D">
        <w:rPr>
          <w:rFonts w:ascii="Book Antiqua" w:hAnsi="Book Antiqua"/>
          <w:sz w:val="24"/>
          <w:szCs w:val="24"/>
          <w:lang w:val="en-US"/>
        </w:rPr>
        <w:t>the sequential use of</w:t>
      </w:r>
      <w:r w:rsidR="00B45C44" w:rsidRPr="00EC4C5D">
        <w:rPr>
          <w:rFonts w:ascii="Book Antiqua" w:hAnsi="Book Antiqua"/>
          <w:sz w:val="24"/>
          <w:szCs w:val="24"/>
          <w:lang w:val="en-US"/>
        </w:rPr>
        <w:t xml:space="preserve"> targeted therapies</w:t>
      </w:r>
      <w:r w:rsidR="00C72550" w:rsidRPr="00EC4C5D">
        <w:rPr>
          <w:rFonts w:ascii="Book Antiqua" w:hAnsi="Book Antiqua"/>
          <w:sz w:val="24"/>
          <w:szCs w:val="24"/>
          <w:lang w:val="en-US"/>
        </w:rPr>
        <w:t>,</w:t>
      </w:r>
      <w:r w:rsidRPr="00EC4C5D">
        <w:rPr>
          <w:rFonts w:ascii="Book Antiqua" w:hAnsi="Book Antiqua"/>
          <w:sz w:val="24"/>
          <w:szCs w:val="24"/>
          <w:lang w:val="en-US"/>
        </w:rPr>
        <w:t xml:space="preserve"> </w:t>
      </w:r>
      <w:r w:rsidR="00C9565B" w:rsidRPr="00EC4C5D">
        <w:rPr>
          <w:rFonts w:ascii="Book Antiqua" w:hAnsi="Book Antiqua"/>
          <w:sz w:val="24"/>
          <w:szCs w:val="24"/>
          <w:lang w:val="en-US"/>
        </w:rPr>
        <w:t xml:space="preserve">median </w:t>
      </w:r>
      <w:r w:rsidR="00407EB1" w:rsidRPr="00EC4C5D">
        <w:rPr>
          <w:rFonts w:ascii="Book Antiqua" w:hAnsi="Book Antiqua"/>
          <w:sz w:val="24"/>
          <w:szCs w:val="24"/>
          <w:lang w:val="en-US"/>
        </w:rPr>
        <w:t>overall survival</w:t>
      </w:r>
      <w:r w:rsidR="00C9565B" w:rsidRPr="00EC4C5D">
        <w:rPr>
          <w:rFonts w:ascii="Book Antiqua" w:hAnsi="Book Antiqua"/>
          <w:sz w:val="24"/>
          <w:szCs w:val="24"/>
          <w:lang w:val="en-US"/>
        </w:rPr>
        <w:t xml:space="preserve"> </w:t>
      </w:r>
      <w:r w:rsidRPr="00EC4C5D">
        <w:rPr>
          <w:rFonts w:ascii="Book Antiqua" w:hAnsi="Book Antiqua"/>
          <w:sz w:val="24"/>
          <w:szCs w:val="24"/>
          <w:lang w:val="en-US"/>
        </w:rPr>
        <w:t xml:space="preserve">has </w:t>
      </w:r>
      <w:r w:rsidR="00407EB1" w:rsidRPr="00EC4C5D">
        <w:rPr>
          <w:rFonts w:ascii="Book Antiqua" w:hAnsi="Book Antiqua"/>
          <w:sz w:val="24"/>
          <w:szCs w:val="24"/>
          <w:lang w:val="en-US"/>
        </w:rPr>
        <w:t xml:space="preserve">increased </w:t>
      </w:r>
      <w:r w:rsidR="00BE5DBF" w:rsidRPr="00EC4C5D">
        <w:rPr>
          <w:rFonts w:ascii="Book Antiqua" w:hAnsi="Book Antiqua"/>
          <w:sz w:val="24"/>
          <w:szCs w:val="24"/>
          <w:lang w:val="en-US"/>
        </w:rPr>
        <w:t xml:space="preserve">in daily practice and now it is not uncommon to </w:t>
      </w:r>
      <w:r w:rsidR="00607953" w:rsidRPr="00EC4C5D">
        <w:rPr>
          <w:rFonts w:ascii="Book Antiqua" w:hAnsi="Book Antiqua"/>
          <w:sz w:val="24"/>
          <w:szCs w:val="24"/>
          <w:lang w:val="en-US"/>
        </w:rPr>
        <w:t xml:space="preserve">see </w:t>
      </w:r>
      <w:r w:rsidR="000B0789" w:rsidRPr="00EC4C5D">
        <w:rPr>
          <w:rFonts w:ascii="Book Antiqua" w:hAnsi="Book Antiqua"/>
          <w:sz w:val="24"/>
          <w:szCs w:val="24"/>
          <w:lang w:val="en-US"/>
        </w:rPr>
        <w:t xml:space="preserve">patients </w:t>
      </w:r>
      <w:r w:rsidR="00607953" w:rsidRPr="00EC4C5D">
        <w:rPr>
          <w:rFonts w:ascii="Book Antiqua" w:hAnsi="Book Antiqua"/>
          <w:sz w:val="24"/>
          <w:szCs w:val="24"/>
          <w:lang w:val="en-US"/>
        </w:rPr>
        <w:t>surviving</w:t>
      </w:r>
      <w:r w:rsidR="00A057CC" w:rsidRPr="00EC4C5D">
        <w:rPr>
          <w:rFonts w:ascii="Book Antiqua" w:hAnsi="Book Antiqua"/>
          <w:sz w:val="24"/>
          <w:szCs w:val="24"/>
          <w:lang w:val="en-US"/>
        </w:rPr>
        <w:t xml:space="preserve"> kidney cancer </w:t>
      </w:r>
      <w:r w:rsidR="00607953" w:rsidRPr="00EC4C5D">
        <w:rPr>
          <w:rFonts w:ascii="Book Antiqua" w:hAnsi="Book Antiqua"/>
          <w:sz w:val="24"/>
          <w:szCs w:val="24"/>
          <w:lang w:val="en-US"/>
        </w:rPr>
        <w:t xml:space="preserve">for </w:t>
      </w:r>
      <w:r w:rsidR="00A057CC" w:rsidRPr="00EC4C5D">
        <w:rPr>
          <w:rFonts w:ascii="Book Antiqua" w:hAnsi="Book Antiqua"/>
          <w:sz w:val="24"/>
          <w:szCs w:val="24"/>
          <w:lang w:val="en-US"/>
        </w:rPr>
        <w:t xml:space="preserve">more than </w:t>
      </w:r>
      <w:r w:rsidR="00BE5DBF" w:rsidRPr="00EC4C5D">
        <w:rPr>
          <w:rFonts w:ascii="Book Antiqua" w:hAnsi="Book Antiqua"/>
          <w:sz w:val="24"/>
          <w:szCs w:val="24"/>
          <w:lang w:val="en-US"/>
        </w:rPr>
        <w:t>four to five years</w:t>
      </w:r>
      <w:r w:rsidRPr="00EC4C5D">
        <w:rPr>
          <w:rFonts w:ascii="Book Antiqua" w:hAnsi="Book Antiqua"/>
          <w:sz w:val="24"/>
          <w:szCs w:val="24"/>
          <w:lang w:val="en-US"/>
        </w:rPr>
        <w:t>.</w:t>
      </w:r>
      <w:r w:rsidR="00C9565B" w:rsidRPr="00EC4C5D">
        <w:rPr>
          <w:rFonts w:ascii="Book Antiqua" w:hAnsi="Book Antiqua"/>
          <w:sz w:val="24"/>
          <w:szCs w:val="24"/>
          <w:lang w:val="en-US"/>
        </w:rPr>
        <w:t xml:space="preserve"> </w:t>
      </w:r>
      <w:r w:rsidR="00C5154B" w:rsidRPr="00EC4C5D">
        <w:rPr>
          <w:rFonts w:ascii="Book Antiqua" w:hAnsi="Book Antiqua"/>
          <w:sz w:val="24"/>
          <w:szCs w:val="24"/>
          <w:lang w:val="en-US"/>
        </w:rPr>
        <w:t xml:space="preserve">Once treatment fails </w:t>
      </w:r>
      <w:r w:rsidR="00607953" w:rsidRPr="00EC4C5D">
        <w:rPr>
          <w:rFonts w:ascii="Book Antiqua" w:hAnsi="Book Antiqua"/>
          <w:sz w:val="24"/>
          <w:szCs w:val="24"/>
          <w:lang w:val="en-US"/>
        </w:rPr>
        <w:t xml:space="preserve">with the </w:t>
      </w:r>
      <w:r w:rsidR="00C5154B" w:rsidRPr="00EC4C5D">
        <w:rPr>
          <w:rFonts w:ascii="Book Antiqua" w:hAnsi="Book Antiqua"/>
          <w:sz w:val="24"/>
          <w:szCs w:val="24"/>
          <w:lang w:val="en-US"/>
        </w:rPr>
        <w:t xml:space="preserve">first line </w:t>
      </w:r>
      <w:r w:rsidR="00C9565B" w:rsidRPr="00EC4C5D">
        <w:rPr>
          <w:rFonts w:ascii="Book Antiqua" w:hAnsi="Book Antiqua"/>
          <w:sz w:val="24"/>
          <w:szCs w:val="24"/>
          <w:lang w:val="en-US"/>
        </w:rPr>
        <w:t>targeted t</w:t>
      </w:r>
      <w:r w:rsidR="00407EB1" w:rsidRPr="00EC4C5D">
        <w:rPr>
          <w:rFonts w:ascii="Book Antiqua" w:hAnsi="Book Antiqua"/>
          <w:sz w:val="24"/>
          <w:szCs w:val="24"/>
          <w:lang w:val="en-US"/>
        </w:rPr>
        <w:t>herapy</w:t>
      </w:r>
      <w:r w:rsidR="00BE5DBF" w:rsidRPr="00EC4C5D">
        <w:rPr>
          <w:rFonts w:ascii="Book Antiqua" w:hAnsi="Book Antiqua"/>
          <w:sz w:val="24"/>
          <w:szCs w:val="24"/>
          <w:lang w:val="en-US"/>
        </w:rPr>
        <w:t>,</w:t>
      </w:r>
      <w:r w:rsidR="00407EB1" w:rsidRPr="00EC4C5D">
        <w:rPr>
          <w:rFonts w:ascii="Book Antiqua" w:hAnsi="Book Antiqua"/>
          <w:sz w:val="24"/>
          <w:szCs w:val="24"/>
          <w:lang w:val="en-US"/>
        </w:rPr>
        <w:t xml:space="preserve"> </w:t>
      </w:r>
      <w:r w:rsidR="00AF0D0E" w:rsidRPr="00EC4C5D">
        <w:rPr>
          <w:rFonts w:ascii="Book Antiqua" w:hAnsi="Book Antiqua"/>
          <w:sz w:val="24"/>
          <w:szCs w:val="24"/>
          <w:lang w:val="en-US"/>
        </w:rPr>
        <w:t>h</w:t>
      </w:r>
      <w:r w:rsidR="00BE5DBF" w:rsidRPr="00EC4C5D">
        <w:rPr>
          <w:rFonts w:ascii="Book Antiqua" w:hAnsi="Book Antiqua"/>
          <w:sz w:val="24"/>
          <w:szCs w:val="24"/>
          <w:lang w:val="en-US"/>
        </w:rPr>
        <w:t xml:space="preserve">ead to head comparisons have shown that </w:t>
      </w:r>
      <w:proofErr w:type="spellStart"/>
      <w:r w:rsidR="00BE5DBF" w:rsidRPr="00EC4C5D">
        <w:rPr>
          <w:rFonts w:ascii="Book Antiqua" w:hAnsi="Book Antiqua"/>
          <w:sz w:val="24"/>
          <w:szCs w:val="24"/>
          <w:lang w:val="en-US"/>
        </w:rPr>
        <w:t>cabozantinib</w:t>
      </w:r>
      <w:proofErr w:type="spellEnd"/>
      <w:r w:rsidR="00BE5DBF" w:rsidRPr="00EC4C5D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="00BE5DBF" w:rsidRPr="00EC4C5D">
        <w:rPr>
          <w:rFonts w:ascii="Book Antiqua" w:hAnsi="Book Antiqua"/>
          <w:sz w:val="24"/>
          <w:szCs w:val="24"/>
          <w:lang w:val="en-US"/>
        </w:rPr>
        <w:t>nivolumab</w:t>
      </w:r>
      <w:proofErr w:type="spellEnd"/>
      <w:r w:rsidR="00BE5DBF" w:rsidRPr="00EC4C5D">
        <w:rPr>
          <w:rFonts w:ascii="Book Antiqua" w:hAnsi="Book Antiqua"/>
          <w:sz w:val="24"/>
          <w:szCs w:val="24"/>
          <w:lang w:val="en-US"/>
        </w:rPr>
        <w:t xml:space="preserve"> and t</w:t>
      </w:r>
      <w:r w:rsidR="00AF0D0E" w:rsidRPr="00EC4C5D">
        <w:rPr>
          <w:rFonts w:ascii="Book Antiqua" w:hAnsi="Book Antiqua"/>
          <w:sz w:val="24"/>
          <w:szCs w:val="24"/>
          <w:lang w:val="en-US"/>
        </w:rPr>
        <w:t xml:space="preserve">he combination of </w:t>
      </w:r>
      <w:proofErr w:type="spellStart"/>
      <w:r w:rsidR="00AF0D0E" w:rsidRPr="00EC4C5D">
        <w:rPr>
          <w:rFonts w:ascii="Book Antiqua" w:hAnsi="Book Antiqua"/>
          <w:sz w:val="24"/>
          <w:szCs w:val="24"/>
          <w:lang w:val="en-US"/>
        </w:rPr>
        <w:t>lenvatinib</w:t>
      </w:r>
      <w:proofErr w:type="spellEnd"/>
      <w:r w:rsidR="00AF0D0E" w:rsidRPr="00EC4C5D">
        <w:rPr>
          <w:rFonts w:ascii="Book Antiqua" w:hAnsi="Book Antiqua"/>
          <w:sz w:val="24"/>
          <w:szCs w:val="24"/>
          <w:lang w:val="en-US"/>
        </w:rPr>
        <w:t xml:space="preserve"> plus</w:t>
      </w:r>
      <w:r w:rsidR="00BE5DBF" w:rsidRPr="00EC4C5D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BE5DBF" w:rsidRPr="00EC4C5D">
        <w:rPr>
          <w:rFonts w:ascii="Book Antiqua" w:hAnsi="Book Antiqua"/>
          <w:sz w:val="24"/>
          <w:szCs w:val="24"/>
          <w:lang w:val="en-US"/>
        </w:rPr>
        <w:t>everolimus</w:t>
      </w:r>
      <w:proofErr w:type="spellEnd"/>
      <w:r w:rsidR="00BE5DBF" w:rsidRPr="00EC4C5D">
        <w:rPr>
          <w:rFonts w:ascii="Book Antiqua" w:hAnsi="Book Antiqua"/>
          <w:sz w:val="24"/>
          <w:szCs w:val="24"/>
          <w:lang w:val="en-US"/>
        </w:rPr>
        <w:t xml:space="preserve"> are more </w:t>
      </w:r>
      <w:r w:rsidR="00AF0D0E" w:rsidRPr="00EC4C5D">
        <w:rPr>
          <w:rFonts w:ascii="Book Antiqua" w:hAnsi="Book Antiqua"/>
          <w:sz w:val="24"/>
          <w:szCs w:val="24"/>
          <w:lang w:val="en-US"/>
        </w:rPr>
        <w:t>effective</w:t>
      </w:r>
      <w:r w:rsidR="00BE5DBF" w:rsidRPr="00EC4C5D">
        <w:rPr>
          <w:rFonts w:ascii="Book Antiqua" w:hAnsi="Book Antiqua"/>
          <w:sz w:val="24"/>
          <w:szCs w:val="24"/>
          <w:lang w:val="en-US"/>
        </w:rPr>
        <w:t xml:space="preserve"> than </w:t>
      </w:r>
      <w:proofErr w:type="spellStart"/>
      <w:r w:rsidR="00BE5DBF" w:rsidRPr="00EC4C5D">
        <w:rPr>
          <w:rFonts w:ascii="Book Antiqua" w:hAnsi="Book Antiqua"/>
          <w:sz w:val="24"/>
          <w:szCs w:val="24"/>
          <w:lang w:val="en-US"/>
        </w:rPr>
        <w:t>everolimus</w:t>
      </w:r>
      <w:proofErr w:type="spellEnd"/>
      <w:r w:rsidR="00BE5DBF" w:rsidRPr="00EC4C5D">
        <w:rPr>
          <w:rFonts w:ascii="Book Antiqua" w:hAnsi="Book Antiqua"/>
          <w:sz w:val="24"/>
          <w:szCs w:val="24"/>
          <w:lang w:val="en-US"/>
        </w:rPr>
        <w:t xml:space="preserve"> alone and that </w:t>
      </w:r>
      <w:proofErr w:type="spellStart"/>
      <w:r w:rsidR="00BE5DBF" w:rsidRPr="00EC4C5D">
        <w:rPr>
          <w:rFonts w:ascii="Book Antiqua" w:hAnsi="Book Antiqua"/>
          <w:sz w:val="24"/>
          <w:szCs w:val="24"/>
          <w:lang w:val="en-US"/>
        </w:rPr>
        <w:t>axitinib</w:t>
      </w:r>
      <w:proofErr w:type="spellEnd"/>
      <w:r w:rsidR="00BE5DBF" w:rsidRPr="00EC4C5D">
        <w:rPr>
          <w:rFonts w:ascii="Book Antiqua" w:hAnsi="Book Antiqua"/>
          <w:sz w:val="24"/>
          <w:szCs w:val="24"/>
          <w:lang w:val="en-US"/>
        </w:rPr>
        <w:t xml:space="preserve"> is more active than </w:t>
      </w:r>
      <w:proofErr w:type="spellStart"/>
      <w:r w:rsidR="00BE5DBF" w:rsidRPr="00EC4C5D">
        <w:rPr>
          <w:rFonts w:ascii="Book Antiqua" w:hAnsi="Book Antiqua"/>
          <w:sz w:val="24"/>
          <w:szCs w:val="24"/>
          <w:lang w:val="en-US"/>
        </w:rPr>
        <w:t>sorafenib</w:t>
      </w:r>
      <w:proofErr w:type="spellEnd"/>
      <w:r w:rsidR="00BE5DBF" w:rsidRPr="00EC4C5D">
        <w:rPr>
          <w:rFonts w:ascii="Book Antiqua" w:hAnsi="Book Antiqua"/>
          <w:sz w:val="24"/>
          <w:szCs w:val="24"/>
          <w:lang w:val="en-US"/>
        </w:rPr>
        <w:t xml:space="preserve">. Unfortunately, it is very unlikely that we </w:t>
      </w:r>
      <w:r w:rsidR="00063A4F" w:rsidRPr="00EC4C5D">
        <w:rPr>
          <w:rFonts w:ascii="Book Antiqua" w:hAnsi="Book Antiqua"/>
          <w:sz w:val="24"/>
          <w:szCs w:val="24"/>
          <w:lang w:val="en-US"/>
        </w:rPr>
        <w:t xml:space="preserve">will ever </w:t>
      </w:r>
      <w:r w:rsidR="00BE5DBF" w:rsidRPr="00EC4C5D">
        <w:rPr>
          <w:rFonts w:ascii="Book Antiqua" w:hAnsi="Book Antiqua"/>
          <w:sz w:val="24"/>
          <w:szCs w:val="24"/>
          <w:lang w:val="en-US"/>
        </w:rPr>
        <w:t xml:space="preserve">have prospective data </w:t>
      </w:r>
      <w:r w:rsidR="00607953" w:rsidRPr="00EC4C5D">
        <w:rPr>
          <w:rFonts w:ascii="Book Antiqua" w:hAnsi="Book Antiqua"/>
          <w:sz w:val="24"/>
          <w:szCs w:val="24"/>
          <w:lang w:val="en-US"/>
        </w:rPr>
        <w:t xml:space="preserve">comparing </w:t>
      </w:r>
      <w:r w:rsidR="00BE5DBF" w:rsidRPr="00EC4C5D">
        <w:rPr>
          <w:rFonts w:ascii="Book Antiqua" w:hAnsi="Book Antiqua"/>
          <w:sz w:val="24"/>
          <w:szCs w:val="24"/>
          <w:lang w:val="en-US"/>
        </w:rPr>
        <w:t xml:space="preserve">the activity of </w:t>
      </w:r>
      <w:proofErr w:type="spellStart"/>
      <w:r w:rsidR="00BE5DBF" w:rsidRPr="00EC4C5D">
        <w:rPr>
          <w:rFonts w:ascii="Book Antiqua" w:hAnsi="Book Antiqua"/>
          <w:sz w:val="24"/>
          <w:szCs w:val="24"/>
          <w:lang w:val="en-US"/>
        </w:rPr>
        <w:t>axitinib</w:t>
      </w:r>
      <w:proofErr w:type="spellEnd"/>
      <w:r w:rsidR="00BE5DBF" w:rsidRPr="00EC4C5D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="00BE5DBF" w:rsidRPr="00EC4C5D">
        <w:rPr>
          <w:rFonts w:ascii="Book Antiqua" w:hAnsi="Book Antiqua"/>
          <w:sz w:val="24"/>
          <w:szCs w:val="24"/>
          <w:lang w:val="en-US"/>
        </w:rPr>
        <w:t>cabozantinib</w:t>
      </w:r>
      <w:proofErr w:type="spellEnd"/>
      <w:r w:rsidR="00BE5DBF" w:rsidRPr="00EC4C5D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="00FA62B7" w:rsidRPr="00EC4C5D">
        <w:rPr>
          <w:rFonts w:ascii="Book Antiqua" w:hAnsi="Book Antiqua"/>
          <w:sz w:val="24"/>
          <w:szCs w:val="24"/>
          <w:lang w:val="en-US"/>
        </w:rPr>
        <w:t>lenvatinib</w:t>
      </w:r>
      <w:proofErr w:type="spellEnd"/>
      <w:r w:rsidR="00FA62B7" w:rsidRPr="00EC4C5D">
        <w:rPr>
          <w:rFonts w:ascii="Book Antiqua" w:hAnsi="Book Antiqua"/>
          <w:sz w:val="24"/>
          <w:szCs w:val="24"/>
          <w:lang w:val="en-US"/>
        </w:rPr>
        <w:t xml:space="preserve"> </w:t>
      </w:r>
      <w:r w:rsidR="00BE5DBF" w:rsidRPr="00EC4C5D">
        <w:rPr>
          <w:rFonts w:ascii="Book Antiqua" w:hAnsi="Book Antiqua"/>
          <w:sz w:val="24"/>
          <w:szCs w:val="24"/>
          <w:lang w:val="en-US"/>
        </w:rPr>
        <w:t xml:space="preserve">or </w:t>
      </w:r>
      <w:proofErr w:type="spellStart"/>
      <w:r w:rsidR="00FA62B7" w:rsidRPr="00EC4C5D">
        <w:rPr>
          <w:rFonts w:ascii="Book Antiqua" w:hAnsi="Book Antiqua"/>
          <w:sz w:val="24"/>
          <w:szCs w:val="24"/>
          <w:lang w:val="en-US"/>
        </w:rPr>
        <w:t>nivolumab</w:t>
      </w:r>
      <w:proofErr w:type="spellEnd"/>
      <w:r w:rsidR="00BE5DBF" w:rsidRPr="00EC4C5D">
        <w:rPr>
          <w:rFonts w:ascii="Book Antiqua" w:hAnsi="Book Antiqua"/>
          <w:sz w:val="24"/>
          <w:szCs w:val="24"/>
          <w:lang w:val="en-US"/>
        </w:rPr>
        <w:t xml:space="preserve">. </w:t>
      </w:r>
      <w:r w:rsidR="00BE5DBF" w:rsidRPr="00EC4C5D">
        <w:rPr>
          <w:rFonts w:ascii="Book Antiqua" w:hAnsi="Book Antiqua" w:cs="Cheltenham-BookCond"/>
          <w:sz w:val="24"/>
          <w:szCs w:val="24"/>
          <w:lang w:val="en-US"/>
        </w:rPr>
        <w:t>It is fr</w:t>
      </w:r>
      <w:r w:rsidR="00DD41C5" w:rsidRPr="00EC4C5D">
        <w:rPr>
          <w:rFonts w:ascii="Book Antiqua" w:hAnsi="Book Antiqua" w:cs="Cheltenham-BookCond"/>
          <w:sz w:val="24"/>
          <w:szCs w:val="24"/>
          <w:lang w:val="en-US"/>
        </w:rPr>
        <w:t>ustrating to observe the lack</w:t>
      </w:r>
      <w:r w:rsidR="00BE5DBF" w:rsidRPr="00EC4C5D">
        <w:rPr>
          <w:rFonts w:ascii="Book Antiqua" w:hAnsi="Book Antiqua" w:cs="Cheltenham-BookCond"/>
          <w:sz w:val="24"/>
          <w:szCs w:val="24"/>
          <w:lang w:val="en-US"/>
        </w:rPr>
        <w:t xml:space="preserve"> of biomarkers </w:t>
      </w:r>
      <w:r w:rsidR="00063A4F" w:rsidRPr="00EC4C5D">
        <w:rPr>
          <w:rFonts w:ascii="Book Antiqua" w:hAnsi="Book Antiqua" w:cs="Cheltenham-BookCond"/>
          <w:sz w:val="24"/>
          <w:szCs w:val="24"/>
          <w:lang w:val="en-US"/>
        </w:rPr>
        <w:t xml:space="preserve">that </w:t>
      </w:r>
      <w:r w:rsidR="00BE5DBF" w:rsidRPr="00EC4C5D">
        <w:rPr>
          <w:rFonts w:ascii="Book Antiqua" w:hAnsi="Book Antiqua" w:cs="Cheltenham-BookCond"/>
          <w:sz w:val="24"/>
          <w:szCs w:val="24"/>
          <w:lang w:val="en-US"/>
        </w:rPr>
        <w:t>we have in this field</w:t>
      </w:r>
      <w:r w:rsidRPr="00EC4C5D">
        <w:rPr>
          <w:rFonts w:ascii="Book Antiqua" w:hAnsi="Book Antiqua" w:cs="Cheltenham-BookCond"/>
          <w:sz w:val="24"/>
          <w:szCs w:val="24"/>
          <w:lang w:val="en-US"/>
        </w:rPr>
        <w:t xml:space="preserve">, thus there </w:t>
      </w:r>
      <w:r w:rsidR="004B2872" w:rsidRPr="00EC4C5D">
        <w:rPr>
          <w:rFonts w:ascii="Book Antiqua" w:hAnsi="Book Antiqua" w:cs="Cheltenham-BookCond"/>
          <w:sz w:val="24"/>
          <w:szCs w:val="24"/>
          <w:lang w:val="en-US"/>
        </w:rPr>
        <w:t>is no</w:t>
      </w:r>
      <w:r w:rsidR="00407EB1" w:rsidRPr="00EC4C5D">
        <w:rPr>
          <w:rFonts w:ascii="Book Antiqua" w:hAnsi="Book Antiqua" w:cs="Cheltenham-BookCond"/>
          <w:sz w:val="24"/>
          <w:szCs w:val="24"/>
          <w:lang w:val="en-US"/>
        </w:rPr>
        <w:t xml:space="preserve"> </w:t>
      </w:r>
      <w:r w:rsidRPr="00EC4C5D">
        <w:rPr>
          <w:rFonts w:ascii="Book Antiqua" w:hAnsi="Book Antiqua" w:cs="Cheltenham-BookCond"/>
          <w:sz w:val="24"/>
          <w:szCs w:val="24"/>
          <w:lang w:val="en-US"/>
        </w:rPr>
        <w:t xml:space="preserve">firm recommendation </w:t>
      </w:r>
      <w:r w:rsidR="00E61EEB" w:rsidRPr="00EC4C5D">
        <w:rPr>
          <w:rFonts w:ascii="Book Antiqua" w:hAnsi="Book Antiqua" w:cs="Cheltenham-BookCond"/>
          <w:sz w:val="24"/>
          <w:szCs w:val="24"/>
          <w:lang w:val="en-US"/>
        </w:rPr>
        <w:t>about</w:t>
      </w:r>
      <w:r w:rsidR="00607953" w:rsidRPr="00EC4C5D">
        <w:rPr>
          <w:rFonts w:ascii="Book Antiqua" w:hAnsi="Book Antiqua" w:cs="Cheltenham-BookCond"/>
          <w:sz w:val="24"/>
          <w:szCs w:val="24"/>
          <w:lang w:val="en-US"/>
        </w:rPr>
        <w:t xml:space="preserve"> </w:t>
      </w:r>
      <w:r w:rsidRPr="00EC4C5D">
        <w:rPr>
          <w:rFonts w:ascii="Book Antiqua" w:hAnsi="Book Antiqua" w:cs="Cheltenham-BookCond"/>
          <w:sz w:val="24"/>
          <w:szCs w:val="24"/>
          <w:lang w:val="en-US"/>
        </w:rPr>
        <w:t xml:space="preserve">the optimal sequence of treatment in </w:t>
      </w:r>
      <w:r w:rsidR="00607953" w:rsidRPr="00EC4C5D">
        <w:rPr>
          <w:rFonts w:ascii="Book Antiqua" w:hAnsi="Book Antiqua" w:cs="Cheltenham-BookCond"/>
          <w:sz w:val="24"/>
          <w:szCs w:val="24"/>
          <w:lang w:val="en-US"/>
        </w:rPr>
        <w:t xml:space="preserve">the </w:t>
      </w:r>
      <w:r w:rsidRPr="00EC4C5D">
        <w:rPr>
          <w:rFonts w:ascii="Book Antiqua" w:hAnsi="Book Antiqua" w:cs="Cheltenham-BookCond"/>
          <w:sz w:val="24"/>
          <w:szCs w:val="24"/>
          <w:lang w:val="en-US"/>
        </w:rPr>
        <w:t xml:space="preserve">second line. </w:t>
      </w:r>
      <w:r w:rsidR="005F1093" w:rsidRPr="00EC4C5D">
        <w:rPr>
          <w:rFonts w:ascii="Book Antiqua" w:hAnsi="Book Antiqua" w:cs="Cheltenham-BookCond"/>
          <w:sz w:val="24"/>
          <w:szCs w:val="24"/>
          <w:lang w:val="en-US"/>
        </w:rPr>
        <w:t xml:space="preserve">In </w:t>
      </w:r>
      <w:r w:rsidR="00607953" w:rsidRPr="00EC4C5D">
        <w:rPr>
          <w:rFonts w:ascii="Book Antiqua" w:hAnsi="Book Antiqua" w:cs="Cheltenham-BookCond"/>
          <w:sz w:val="24"/>
          <w:szCs w:val="24"/>
          <w:lang w:val="en-US"/>
        </w:rPr>
        <w:t xml:space="preserve">the </w:t>
      </w:r>
      <w:r w:rsidR="005F1093" w:rsidRPr="00EC4C5D">
        <w:rPr>
          <w:rFonts w:ascii="Book Antiqua" w:hAnsi="Book Antiqua" w:cs="Cheltenham-BookCond"/>
          <w:sz w:val="24"/>
          <w:szCs w:val="24"/>
          <w:lang w:val="en-US"/>
        </w:rPr>
        <w:t>absence of reliable biomarkers</w:t>
      </w:r>
      <w:r w:rsidR="00C72550" w:rsidRPr="00EC4C5D">
        <w:rPr>
          <w:rFonts w:ascii="Book Antiqua" w:hAnsi="Book Antiqua" w:cs="Cheltenham-BookCond"/>
          <w:sz w:val="24"/>
          <w:szCs w:val="24"/>
          <w:lang w:val="en-US"/>
        </w:rPr>
        <w:t>, there are</w:t>
      </w:r>
      <w:r w:rsidR="00615571" w:rsidRPr="00EC4C5D">
        <w:rPr>
          <w:rFonts w:ascii="Book Antiqua" w:hAnsi="Book Antiqua" w:cs="Cheltenham-BookCond"/>
          <w:sz w:val="24"/>
          <w:szCs w:val="24"/>
          <w:lang w:val="en-US"/>
        </w:rPr>
        <w:t xml:space="preserve"> several clinical endpoints that can help </w:t>
      </w:r>
      <w:r w:rsidR="00AF0D0E" w:rsidRPr="00EC4C5D">
        <w:rPr>
          <w:rFonts w:ascii="Book Antiqua" w:hAnsi="Book Antiqua" w:cs="Cheltenham-BookCond"/>
          <w:sz w:val="24"/>
          <w:szCs w:val="24"/>
          <w:lang w:val="en-US"/>
        </w:rPr>
        <w:t xml:space="preserve">physicians </w:t>
      </w:r>
      <w:r w:rsidR="00607953" w:rsidRPr="00EC4C5D">
        <w:rPr>
          <w:rFonts w:ascii="Book Antiqua" w:hAnsi="Book Antiqua" w:cs="Cheltenham-BookCond"/>
          <w:sz w:val="24"/>
          <w:szCs w:val="24"/>
          <w:lang w:val="en-US"/>
        </w:rPr>
        <w:t xml:space="preserve">to make </w:t>
      </w:r>
      <w:r w:rsidR="00E61EEB" w:rsidRPr="00EC4C5D">
        <w:rPr>
          <w:rFonts w:ascii="Book Antiqua" w:hAnsi="Book Antiqua" w:cs="Cheltenham-BookCond"/>
          <w:sz w:val="24"/>
          <w:szCs w:val="24"/>
          <w:lang w:val="en-US"/>
        </w:rPr>
        <w:t>decisions</w:t>
      </w:r>
      <w:r w:rsidR="00615571" w:rsidRPr="00EC4C5D">
        <w:rPr>
          <w:rFonts w:ascii="Book Antiqua" w:hAnsi="Book Antiqua" w:cs="Cheltenham-BookCond"/>
          <w:sz w:val="24"/>
          <w:szCs w:val="24"/>
          <w:lang w:val="en-US"/>
        </w:rPr>
        <w:t xml:space="preserve"> </w:t>
      </w:r>
      <w:r w:rsidR="00DD41C5" w:rsidRPr="00EC4C5D">
        <w:rPr>
          <w:rFonts w:ascii="Book Antiqua" w:hAnsi="Book Antiqua" w:cs="Cheltenham-BookCond"/>
          <w:sz w:val="24"/>
          <w:szCs w:val="24"/>
          <w:lang w:val="en-US"/>
        </w:rPr>
        <w:t xml:space="preserve">for an </w:t>
      </w:r>
      <w:r w:rsidR="001646E2" w:rsidRPr="00EC4C5D">
        <w:rPr>
          <w:rFonts w:ascii="Book Antiqua" w:hAnsi="Book Antiqua" w:cs="Cheltenham-BookCond"/>
          <w:sz w:val="24"/>
          <w:szCs w:val="24"/>
          <w:lang w:val="en-US"/>
        </w:rPr>
        <w:t xml:space="preserve">individual patient, </w:t>
      </w:r>
      <w:r w:rsidR="00977DA0" w:rsidRPr="00EC4C5D">
        <w:rPr>
          <w:rFonts w:ascii="Book Antiqua" w:hAnsi="Book Antiqua" w:cs="Cheltenham-BookCond"/>
          <w:sz w:val="24"/>
          <w:szCs w:val="24"/>
          <w:lang w:val="en-US"/>
        </w:rPr>
        <w:t>such</w:t>
      </w:r>
      <w:r w:rsidR="00DD41C5" w:rsidRPr="00EC4C5D">
        <w:rPr>
          <w:rFonts w:ascii="Book Antiqua" w:hAnsi="Book Antiqua" w:cs="Cheltenham-BookCond"/>
          <w:sz w:val="24"/>
          <w:szCs w:val="24"/>
          <w:lang w:val="en-US"/>
        </w:rPr>
        <w:t xml:space="preserve"> </w:t>
      </w:r>
      <w:r w:rsidR="001646E2" w:rsidRPr="00EC4C5D">
        <w:rPr>
          <w:rFonts w:ascii="Book Antiqua" w:hAnsi="Book Antiqua" w:cs="Cheltenham-BookCond"/>
          <w:sz w:val="24"/>
          <w:szCs w:val="24"/>
          <w:lang w:val="en-US"/>
        </w:rPr>
        <w:t xml:space="preserve">as </w:t>
      </w:r>
      <w:r w:rsidR="001646E2" w:rsidRPr="00EC4C5D">
        <w:rPr>
          <w:rFonts w:ascii="Book Antiqua" w:hAnsi="Book Antiqua" w:cs="AdvOTf133f9cb"/>
          <w:sz w:val="24"/>
          <w:szCs w:val="24"/>
          <w:lang w:val="en-US"/>
        </w:rPr>
        <w:t>the</w:t>
      </w:r>
      <w:r w:rsidR="001646E2" w:rsidRPr="00EC4C5D">
        <w:rPr>
          <w:rFonts w:ascii="Book Antiqua" w:hAnsi="Book Antiqua" w:cs="AdvP4DF60E"/>
          <w:sz w:val="24"/>
          <w:szCs w:val="24"/>
          <w:lang w:val="en-US"/>
        </w:rPr>
        <w:t xml:space="preserve"> tumor burden, </w:t>
      </w:r>
      <w:r w:rsidR="001646E2" w:rsidRPr="00EC4C5D">
        <w:rPr>
          <w:rFonts w:ascii="Book Antiqua" w:hAnsi="Book Antiqua"/>
          <w:sz w:val="24"/>
          <w:szCs w:val="24"/>
          <w:lang w:val="en-US"/>
        </w:rPr>
        <w:t>t</w:t>
      </w:r>
      <w:r w:rsidR="001646E2" w:rsidRPr="00EC4C5D">
        <w:rPr>
          <w:rFonts w:ascii="Book Antiqua" w:hAnsi="Book Antiqua" w:cs="AdvMyriadPro-R"/>
          <w:sz w:val="24"/>
          <w:szCs w:val="24"/>
          <w:lang w:val="en-US"/>
        </w:rPr>
        <w:t xml:space="preserve">he expected response rate </w:t>
      </w:r>
      <w:r w:rsidR="00AC6BC7" w:rsidRPr="00EC4C5D">
        <w:rPr>
          <w:rFonts w:ascii="Book Antiqua" w:hAnsi="Book Antiqua" w:cs="AdvMyriadPro-R"/>
          <w:sz w:val="24"/>
          <w:szCs w:val="24"/>
          <w:lang w:val="en-US"/>
        </w:rPr>
        <w:t>and</w:t>
      </w:r>
      <w:r w:rsidR="001646E2" w:rsidRPr="00EC4C5D">
        <w:rPr>
          <w:rFonts w:ascii="Book Antiqua" w:hAnsi="Book Antiqua" w:cs="AdvMyriadPro-R"/>
          <w:sz w:val="24"/>
          <w:szCs w:val="24"/>
          <w:lang w:val="en-US"/>
        </w:rPr>
        <w:t xml:space="preserve"> </w:t>
      </w:r>
      <w:r w:rsidR="001646E2" w:rsidRPr="00EC4C5D">
        <w:rPr>
          <w:rFonts w:ascii="Book Antiqua" w:hAnsi="Book Antiqua"/>
          <w:sz w:val="24"/>
          <w:szCs w:val="24"/>
          <w:lang w:val="en-US"/>
        </w:rPr>
        <w:t>t</w:t>
      </w:r>
      <w:r w:rsidR="001646E2" w:rsidRPr="00EC4C5D">
        <w:rPr>
          <w:rFonts w:ascii="Book Antiqua" w:hAnsi="Book Antiqua" w:cs="AdvMyriadPro-R"/>
          <w:sz w:val="24"/>
          <w:szCs w:val="24"/>
          <w:lang w:val="en-US"/>
        </w:rPr>
        <w:t>he time to achieve the response</w:t>
      </w:r>
      <w:r w:rsidR="00AC6BC7" w:rsidRPr="00EC4C5D">
        <w:rPr>
          <w:rFonts w:ascii="Book Antiqua" w:hAnsi="Book Antiqua" w:cs="AdvMyriadPro-R"/>
          <w:sz w:val="24"/>
          <w:szCs w:val="24"/>
          <w:lang w:val="en-US"/>
        </w:rPr>
        <w:t xml:space="preserve"> to each agent</w:t>
      </w:r>
      <w:r w:rsidR="001646E2" w:rsidRPr="00EC4C5D">
        <w:rPr>
          <w:rFonts w:ascii="Book Antiqua" w:hAnsi="Book Antiqua" w:cs="AdvMyriadPro-R"/>
          <w:sz w:val="24"/>
          <w:szCs w:val="24"/>
          <w:lang w:val="en-US"/>
        </w:rPr>
        <w:t xml:space="preserve">, the </w:t>
      </w:r>
      <w:r w:rsidR="00AC6BC7" w:rsidRPr="00EC4C5D">
        <w:rPr>
          <w:rFonts w:ascii="Book Antiqua" w:hAnsi="Book Antiqua" w:cs="AdvMyriadPro-R"/>
          <w:sz w:val="24"/>
          <w:szCs w:val="24"/>
          <w:lang w:val="en-US"/>
        </w:rPr>
        <w:t xml:space="preserve">prior </w:t>
      </w:r>
      <w:r w:rsidR="001646E2" w:rsidRPr="00EC4C5D">
        <w:rPr>
          <w:rFonts w:ascii="Book Antiqua" w:hAnsi="Book Antiqua" w:cs="AdvOTf133f9cb"/>
          <w:sz w:val="24"/>
          <w:szCs w:val="24"/>
          <w:lang w:val="en-US"/>
        </w:rPr>
        <w:t xml:space="preserve">response </w:t>
      </w:r>
      <w:r w:rsidR="001646E2" w:rsidRPr="00EC4C5D">
        <w:rPr>
          <w:rFonts w:ascii="Book Antiqua" w:hAnsi="Book Antiqua" w:cs="AdvMyriadPro-R"/>
          <w:sz w:val="24"/>
          <w:szCs w:val="24"/>
          <w:lang w:val="en-US"/>
        </w:rPr>
        <w:t xml:space="preserve">to </w:t>
      </w:r>
      <w:r w:rsidR="00AC6BC7" w:rsidRPr="00EC4C5D">
        <w:rPr>
          <w:rFonts w:ascii="Book Antiqua" w:hAnsi="Book Antiqua" w:cs="AdvOTf133f9cb"/>
          <w:sz w:val="24"/>
          <w:szCs w:val="24"/>
          <w:lang w:val="en-US"/>
        </w:rPr>
        <w:t>the agent administered</w:t>
      </w:r>
      <w:r w:rsidR="001646E2" w:rsidRPr="00EC4C5D">
        <w:rPr>
          <w:rFonts w:ascii="Book Antiqua" w:hAnsi="Book Antiqua" w:cs="AdvMyriadPro-R"/>
          <w:sz w:val="24"/>
          <w:szCs w:val="24"/>
          <w:lang w:val="en-US"/>
        </w:rPr>
        <w:t>, the toxicity profile of the different compounds</w:t>
      </w:r>
      <w:r w:rsidR="00407EB1" w:rsidRPr="00EC4C5D">
        <w:rPr>
          <w:rFonts w:ascii="Book Antiqua" w:hAnsi="Book Antiqua" w:cs="AdvMyriadPro-R"/>
          <w:sz w:val="24"/>
          <w:szCs w:val="24"/>
          <w:lang w:val="en-US"/>
        </w:rPr>
        <w:t xml:space="preserve"> and</w:t>
      </w:r>
      <w:r w:rsidR="001646E2" w:rsidRPr="00EC4C5D">
        <w:rPr>
          <w:rFonts w:ascii="Book Antiqua" w:hAnsi="Book Antiqua" w:cs="AdvMyriadPro-R"/>
          <w:sz w:val="24"/>
          <w:szCs w:val="24"/>
          <w:lang w:val="en-US"/>
        </w:rPr>
        <w:t xml:space="preserve"> patient preference</w:t>
      </w:r>
      <w:r w:rsidR="00AC6BC7" w:rsidRPr="00EC4C5D">
        <w:rPr>
          <w:rFonts w:ascii="Book Antiqua" w:hAnsi="Book Antiqua" w:cs="AdvMyriadPro-R"/>
          <w:sz w:val="24"/>
          <w:szCs w:val="24"/>
          <w:lang w:val="en-US"/>
        </w:rPr>
        <w:t xml:space="preserve">. Here, we </w:t>
      </w:r>
      <w:r w:rsidR="005F1093" w:rsidRPr="00EC4C5D">
        <w:rPr>
          <w:rFonts w:ascii="Book Antiqua" w:hAnsi="Book Antiqua" w:cs="AdvMyriadPro-R"/>
          <w:sz w:val="24"/>
          <w:szCs w:val="24"/>
          <w:lang w:val="en-US"/>
        </w:rPr>
        <w:t>propose the introduction of the</w:t>
      </w:r>
      <w:r w:rsidR="00AC6BC7" w:rsidRPr="00EC4C5D">
        <w:rPr>
          <w:rFonts w:ascii="Book Antiqua" w:hAnsi="Book Antiqua" w:cs="AdvMyriadPro-R"/>
          <w:sz w:val="24"/>
          <w:szCs w:val="24"/>
          <w:lang w:val="en-US"/>
        </w:rPr>
        <w:t xml:space="preserve"> </w:t>
      </w:r>
      <w:r w:rsidR="005750BB" w:rsidRPr="00EC4C5D">
        <w:rPr>
          <w:rFonts w:ascii="Book Antiqua" w:hAnsi="Book Antiqua" w:cs="AdvMyriadPro-R"/>
          <w:sz w:val="24"/>
          <w:szCs w:val="24"/>
          <w:lang w:val="en-US"/>
        </w:rPr>
        <w:t>tumor-grow</w:t>
      </w:r>
      <w:r w:rsidR="003E5EEB" w:rsidRPr="00EC4C5D">
        <w:rPr>
          <w:rFonts w:ascii="Book Antiqua" w:hAnsi="Book Antiqua" w:cs="AdvMyriadPro-R"/>
          <w:sz w:val="24"/>
          <w:szCs w:val="24"/>
          <w:lang w:val="en-US"/>
        </w:rPr>
        <w:t>th</w:t>
      </w:r>
      <w:r w:rsidR="001646E2" w:rsidRPr="00EC4C5D">
        <w:rPr>
          <w:rFonts w:ascii="Book Antiqua" w:hAnsi="Book Antiqua" w:cs="AdvMyriadPro-R"/>
          <w:sz w:val="24"/>
          <w:szCs w:val="24"/>
          <w:lang w:val="en-US"/>
        </w:rPr>
        <w:t xml:space="preserve"> rate (TGR</w:t>
      </w:r>
      <w:r w:rsidR="001646E2" w:rsidRPr="00EC4C5D">
        <w:rPr>
          <w:rFonts w:ascii="Book Antiqua" w:hAnsi="Book Antiqua" w:cs="AdvP4DF60E"/>
          <w:sz w:val="24"/>
          <w:szCs w:val="24"/>
          <w:lang w:val="en-US"/>
        </w:rPr>
        <w:t>)</w:t>
      </w:r>
      <w:r w:rsidR="005F1093" w:rsidRPr="00EC4C5D">
        <w:rPr>
          <w:rFonts w:ascii="Book Antiqua" w:hAnsi="Book Antiqua" w:cs="AdvP4DF60E"/>
          <w:sz w:val="24"/>
          <w:szCs w:val="24"/>
          <w:lang w:val="en-US"/>
        </w:rPr>
        <w:t xml:space="preserve"> during first-line treatment as</w:t>
      </w:r>
      <w:r w:rsidR="001646E2" w:rsidRPr="00EC4C5D">
        <w:rPr>
          <w:rFonts w:ascii="Book Antiqua" w:hAnsi="Book Antiqua" w:cs="AdvP4DF60E"/>
          <w:sz w:val="24"/>
          <w:szCs w:val="24"/>
          <w:lang w:val="en-US"/>
        </w:rPr>
        <w:t xml:space="preserve"> a new tool </w:t>
      </w:r>
      <w:r w:rsidR="005F1093" w:rsidRPr="00EC4C5D">
        <w:rPr>
          <w:rFonts w:ascii="Book Antiqua" w:hAnsi="Book Antiqua" w:cs="AdvP4DF60E"/>
          <w:sz w:val="24"/>
          <w:szCs w:val="24"/>
          <w:lang w:val="en-US"/>
        </w:rPr>
        <w:t xml:space="preserve">to be used to select </w:t>
      </w:r>
      <w:r w:rsidR="00607953" w:rsidRPr="00EC4C5D">
        <w:rPr>
          <w:rFonts w:ascii="Book Antiqua" w:hAnsi="Book Antiqua" w:cs="AdvP4DF60E"/>
          <w:sz w:val="24"/>
          <w:szCs w:val="24"/>
          <w:lang w:val="en-US"/>
        </w:rPr>
        <w:t xml:space="preserve">the </w:t>
      </w:r>
      <w:r w:rsidR="005F1093" w:rsidRPr="00EC4C5D">
        <w:rPr>
          <w:rFonts w:ascii="Book Antiqua" w:hAnsi="Book Antiqua" w:cs="AdvP4DF60E"/>
          <w:sz w:val="24"/>
          <w:szCs w:val="24"/>
          <w:lang w:val="en-US"/>
        </w:rPr>
        <w:t>second line strategy</w:t>
      </w:r>
      <w:r w:rsidR="001646E2" w:rsidRPr="00EC4C5D">
        <w:rPr>
          <w:rFonts w:ascii="Book Antiqua" w:hAnsi="Book Antiqua" w:cs="AdvP4DF60E"/>
          <w:sz w:val="24"/>
          <w:szCs w:val="24"/>
          <w:lang w:val="en-US"/>
        </w:rPr>
        <w:t xml:space="preserve"> in </w:t>
      </w:r>
      <w:proofErr w:type="spellStart"/>
      <w:r w:rsidR="00455405" w:rsidRPr="00EC4C5D">
        <w:rPr>
          <w:rFonts w:ascii="Book Antiqua" w:hAnsi="Book Antiqua" w:cs="AdvP4DF60E"/>
          <w:sz w:val="24"/>
          <w:szCs w:val="24"/>
          <w:lang w:val="en-US"/>
        </w:rPr>
        <w:t>mRCC</w:t>
      </w:r>
      <w:proofErr w:type="spellEnd"/>
      <w:r w:rsidR="001646E2" w:rsidRPr="00EC4C5D">
        <w:rPr>
          <w:rFonts w:ascii="Book Antiqua" w:hAnsi="Book Antiqua" w:cs="AdvP4DF60E"/>
          <w:sz w:val="24"/>
          <w:szCs w:val="24"/>
          <w:lang w:val="en-US"/>
        </w:rPr>
        <w:t xml:space="preserve">. The </w:t>
      </w:r>
      <w:r w:rsidR="005F1093" w:rsidRPr="00EC4C5D">
        <w:rPr>
          <w:rFonts w:ascii="Book Antiqua" w:hAnsi="Book Antiqua" w:cs="AdvP4DF60E"/>
          <w:sz w:val="24"/>
          <w:szCs w:val="24"/>
          <w:lang w:val="en-US"/>
        </w:rPr>
        <w:t xml:space="preserve">rapidness of </w:t>
      </w:r>
      <w:r w:rsidR="001646E2" w:rsidRPr="00EC4C5D">
        <w:rPr>
          <w:rFonts w:ascii="Book Antiqua" w:hAnsi="Book Antiqua" w:cs="AdvP4DF60E"/>
          <w:sz w:val="24"/>
          <w:szCs w:val="24"/>
          <w:lang w:val="en-US"/>
        </w:rPr>
        <w:t xml:space="preserve">TGR before the onset of the treatment reflects the </w:t>
      </w:r>
      <w:r w:rsidR="004B2872" w:rsidRPr="00EC4C5D">
        <w:rPr>
          <w:rFonts w:ascii="Book Antiqua" w:hAnsi="Book Antiqua" w:cs="AdvP4DF60E"/>
          <w:sz w:val="24"/>
          <w:szCs w:val="24"/>
          <w:lang w:val="en-US"/>
        </w:rPr>
        <w:t>variability between</w:t>
      </w:r>
      <w:r w:rsidR="001646E2" w:rsidRPr="00EC4C5D">
        <w:rPr>
          <w:rFonts w:ascii="Book Antiqua" w:hAnsi="Book Antiqua" w:cs="AdvP4DF60E"/>
          <w:sz w:val="24"/>
          <w:szCs w:val="24"/>
          <w:lang w:val="en-US"/>
        </w:rPr>
        <w:t xml:space="preserve"> patients in terms of tumor growth kinetics</w:t>
      </w:r>
      <w:r w:rsidR="00407EB1" w:rsidRPr="00EC4C5D">
        <w:rPr>
          <w:rFonts w:ascii="Book Antiqua" w:hAnsi="Book Antiqua" w:cs="AdvP4DF60E"/>
          <w:sz w:val="24"/>
          <w:szCs w:val="24"/>
          <w:lang w:val="en-US"/>
        </w:rPr>
        <w:t xml:space="preserve"> and it could be a surrogate </w:t>
      </w:r>
      <w:r w:rsidR="00607953" w:rsidRPr="00EC4C5D">
        <w:rPr>
          <w:rFonts w:ascii="Book Antiqua" w:hAnsi="Book Antiqua" w:cs="AdvP4DF60E"/>
          <w:sz w:val="24"/>
          <w:szCs w:val="24"/>
          <w:lang w:val="en-US"/>
        </w:rPr>
        <w:t xml:space="preserve">marker </w:t>
      </w:r>
      <w:r w:rsidR="00407EB1" w:rsidRPr="00EC4C5D">
        <w:rPr>
          <w:rFonts w:ascii="Book Antiqua" w:hAnsi="Book Antiqua" w:cs="AdvP4DF60E"/>
          <w:sz w:val="24"/>
          <w:szCs w:val="24"/>
          <w:lang w:val="en-US"/>
        </w:rPr>
        <w:t xml:space="preserve">of </w:t>
      </w:r>
      <w:r w:rsidR="004B2872" w:rsidRPr="00EC4C5D">
        <w:rPr>
          <w:rFonts w:ascii="Book Antiqua" w:hAnsi="Book Antiqua" w:cs="AdvP4DF60E"/>
          <w:sz w:val="24"/>
          <w:szCs w:val="24"/>
          <w:lang w:val="en-US"/>
        </w:rPr>
        <w:t xml:space="preserve">tumor </w:t>
      </w:r>
      <w:r w:rsidR="00407EB1" w:rsidRPr="00EC4C5D">
        <w:rPr>
          <w:rFonts w:ascii="Book Antiqua" w:hAnsi="Book Antiqua" w:cs="AdvP4DF60E"/>
          <w:sz w:val="24"/>
          <w:szCs w:val="24"/>
          <w:lang w:val="en-US"/>
        </w:rPr>
        <w:t xml:space="preserve">aggressiveness </w:t>
      </w:r>
      <w:r w:rsidR="004B2872" w:rsidRPr="00EC4C5D">
        <w:rPr>
          <w:rFonts w:ascii="Book Antiqua" w:hAnsi="Book Antiqua" w:cs="AdvP4DF60E"/>
          <w:sz w:val="24"/>
          <w:szCs w:val="24"/>
          <w:lang w:val="en-US"/>
        </w:rPr>
        <w:t>that may guide treatment decisions</w:t>
      </w:r>
      <w:r w:rsidR="008C5DFE" w:rsidRPr="00EC4C5D">
        <w:rPr>
          <w:rFonts w:ascii="Book Antiqua" w:hAnsi="Book Antiqua" w:cs="AdvP4DF60E"/>
          <w:sz w:val="24"/>
          <w:szCs w:val="24"/>
          <w:lang w:val="en-US"/>
        </w:rPr>
        <w:t xml:space="preserve">. </w:t>
      </w:r>
    </w:p>
    <w:p w14:paraId="643C9188" w14:textId="77777777" w:rsidR="00D13149" w:rsidRDefault="00D13149" w:rsidP="00EC4C5D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14:paraId="0D250A14" w14:textId="0B388421" w:rsidR="00C9565B" w:rsidRPr="00EC4C5D" w:rsidRDefault="00C60764" w:rsidP="00EC4C5D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EC4C5D">
        <w:rPr>
          <w:rFonts w:ascii="Book Antiqua" w:hAnsi="Book Antiqua"/>
          <w:b/>
          <w:sz w:val="24"/>
          <w:szCs w:val="24"/>
          <w:lang w:val="en-US"/>
        </w:rPr>
        <w:t>Key</w:t>
      </w:r>
      <w:r w:rsidR="00A524BD">
        <w:rPr>
          <w:rFonts w:ascii="Book Antiqua" w:hAnsi="Book Antiqua" w:hint="eastAsia"/>
          <w:b/>
          <w:sz w:val="24"/>
          <w:szCs w:val="24"/>
          <w:lang w:val="en-US" w:eastAsia="zh-CN"/>
        </w:rPr>
        <w:t xml:space="preserve"> </w:t>
      </w:r>
      <w:r w:rsidRPr="00EC4C5D">
        <w:rPr>
          <w:rFonts w:ascii="Book Antiqua" w:hAnsi="Book Antiqua"/>
          <w:b/>
          <w:sz w:val="24"/>
          <w:szCs w:val="24"/>
          <w:lang w:val="en-US"/>
        </w:rPr>
        <w:t xml:space="preserve">words: </w:t>
      </w:r>
      <w:proofErr w:type="spellStart"/>
      <w:r w:rsidR="00A524BD">
        <w:rPr>
          <w:rFonts w:ascii="Book Antiqua" w:hAnsi="Book Antiqua" w:hint="eastAsia"/>
          <w:sz w:val="24"/>
          <w:szCs w:val="24"/>
          <w:lang w:val="en-US" w:eastAsia="zh-CN"/>
        </w:rPr>
        <w:t>A</w:t>
      </w:r>
      <w:r w:rsidR="00336412" w:rsidRPr="00EC4C5D">
        <w:rPr>
          <w:rFonts w:ascii="Book Antiqua" w:hAnsi="Book Antiqua"/>
          <w:sz w:val="24"/>
          <w:szCs w:val="24"/>
          <w:lang w:val="en-US"/>
        </w:rPr>
        <w:t>xitinib</w:t>
      </w:r>
      <w:proofErr w:type="spellEnd"/>
      <w:r w:rsidR="00A524BD">
        <w:rPr>
          <w:rFonts w:ascii="Book Antiqua" w:hAnsi="Book Antiqua" w:hint="eastAsia"/>
          <w:sz w:val="24"/>
          <w:szCs w:val="24"/>
          <w:lang w:val="en-US" w:eastAsia="zh-CN"/>
        </w:rPr>
        <w:t>;</w:t>
      </w:r>
      <w:r w:rsidR="00336412" w:rsidRPr="00EC4C5D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A524BD">
        <w:rPr>
          <w:rFonts w:ascii="Book Antiqua" w:hAnsi="Book Antiqua" w:hint="eastAsia"/>
          <w:sz w:val="24"/>
          <w:szCs w:val="24"/>
          <w:lang w:val="en-US" w:eastAsia="zh-CN"/>
        </w:rPr>
        <w:t>E</w:t>
      </w:r>
      <w:r w:rsidR="00336412" w:rsidRPr="00EC4C5D">
        <w:rPr>
          <w:rFonts w:ascii="Book Antiqua" w:hAnsi="Book Antiqua"/>
          <w:sz w:val="24"/>
          <w:szCs w:val="24"/>
          <w:lang w:val="en-US"/>
        </w:rPr>
        <w:t>verolimus</w:t>
      </w:r>
      <w:proofErr w:type="spellEnd"/>
      <w:r w:rsidR="00A524BD">
        <w:rPr>
          <w:rFonts w:ascii="Book Antiqua" w:hAnsi="Book Antiqua" w:hint="eastAsia"/>
          <w:sz w:val="24"/>
          <w:szCs w:val="24"/>
          <w:lang w:val="en-US" w:eastAsia="zh-CN"/>
        </w:rPr>
        <w:t>;</w:t>
      </w:r>
      <w:r w:rsidR="00336412" w:rsidRPr="00EC4C5D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A524BD">
        <w:rPr>
          <w:rFonts w:ascii="Book Antiqua" w:hAnsi="Book Antiqua" w:hint="eastAsia"/>
          <w:sz w:val="24"/>
          <w:szCs w:val="24"/>
          <w:lang w:val="en-US" w:eastAsia="zh-CN"/>
        </w:rPr>
        <w:t>C</w:t>
      </w:r>
      <w:r w:rsidR="00336412" w:rsidRPr="00EC4C5D">
        <w:rPr>
          <w:rFonts w:ascii="Book Antiqua" w:hAnsi="Book Antiqua"/>
          <w:sz w:val="24"/>
          <w:szCs w:val="24"/>
          <w:lang w:val="en-US"/>
        </w:rPr>
        <w:t>abozantinib</w:t>
      </w:r>
      <w:proofErr w:type="spellEnd"/>
      <w:r w:rsidR="00A524BD">
        <w:rPr>
          <w:rFonts w:ascii="Book Antiqua" w:hAnsi="Book Antiqua" w:hint="eastAsia"/>
          <w:sz w:val="24"/>
          <w:szCs w:val="24"/>
          <w:lang w:val="en-US" w:eastAsia="zh-CN"/>
        </w:rPr>
        <w:t>;</w:t>
      </w:r>
      <w:r w:rsidR="00336412" w:rsidRPr="00EC4C5D">
        <w:rPr>
          <w:rFonts w:ascii="Book Antiqua" w:hAnsi="Book Antiqua"/>
          <w:sz w:val="24"/>
          <w:szCs w:val="24"/>
          <w:lang w:val="en-US"/>
        </w:rPr>
        <w:t xml:space="preserve"> </w:t>
      </w:r>
      <w:r w:rsidR="00A524BD">
        <w:rPr>
          <w:rFonts w:ascii="Book Antiqua" w:hAnsi="Book Antiqua" w:hint="eastAsia"/>
          <w:sz w:val="24"/>
          <w:szCs w:val="24"/>
          <w:lang w:val="en-US" w:eastAsia="zh-CN"/>
        </w:rPr>
        <w:t>K</w:t>
      </w:r>
      <w:r w:rsidR="00336412" w:rsidRPr="00EC4C5D">
        <w:rPr>
          <w:rFonts w:ascii="Book Antiqua" w:hAnsi="Book Antiqua"/>
          <w:sz w:val="24"/>
          <w:szCs w:val="24"/>
          <w:lang w:val="en-US"/>
        </w:rPr>
        <w:t xml:space="preserve">idney </w:t>
      </w:r>
      <w:r w:rsidRPr="00EC4C5D">
        <w:rPr>
          <w:rFonts w:ascii="Book Antiqua" w:hAnsi="Book Antiqua"/>
          <w:sz w:val="24"/>
          <w:szCs w:val="24"/>
          <w:lang w:val="en-US"/>
        </w:rPr>
        <w:t>cancer</w:t>
      </w:r>
      <w:r w:rsidR="00A524BD">
        <w:rPr>
          <w:rFonts w:ascii="Book Antiqua" w:hAnsi="Book Antiqua" w:hint="eastAsia"/>
          <w:sz w:val="24"/>
          <w:szCs w:val="24"/>
          <w:lang w:val="en-US" w:eastAsia="zh-CN"/>
        </w:rPr>
        <w:t>;</w:t>
      </w:r>
      <w:r w:rsidRPr="00EC4C5D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A524BD">
        <w:rPr>
          <w:rFonts w:ascii="Book Antiqua" w:hAnsi="Book Antiqua" w:hint="eastAsia"/>
          <w:sz w:val="24"/>
          <w:szCs w:val="24"/>
          <w:lang w:val="en-US" w:eastAsia="zh-CN"/>
        </w:rPr>
        <w:t>N</w:t>
      </w:r>
      <w:r w:rsidR="00336412" w:rsidRPr="00EC4C5D">
        <w:rPr>
          <w:rFonts w:ascii="Book Antiqua" w:hAnsi="Book Antiqua"/>
          <w:sz w:val="24"/>
          <w:szCs w:val="24"/>
          <w:lang w:val="en-US"/>
        </w:rPr>
        <w:t>ivolumab</w:t>
      </w:r>
      <w:proofErr w:type="spellEnd"/>
      <w:r w:rsidR="00A524BD">
        <w:rPr>
          <w:rFonts w:ascii="Book Antiqua" w:hAnsi="Book Antiqua" w:hint="eastAsia"/>
          <w:sz w:val="24"/>
          <w:szCs w:val="24"/>
          <w:lang w:val="en-US" w:eastAsia="zh-CN"/>
        </w:rPr>
        <w:t>;</w:t>
      </w:r>
      <w:r w:rsidR="00336412" w:rsidRPr="00EC4C5D">
        <w:rPr>
          <w:rFonts w:ascii="Book Antiqua" w:hAnsi="Book Antiqua"/>
          <w:sz w:val="24"/>
          <w:szCs w:val="24"/>
          <w:lang w:val="en-US"/>
        </w:rPr>
        <w:t xml:space="preserve"> </w:t>
      </w:r>
      <w:r w:rsidR="00A524BD">
        <w:rPr>
          <w:rFonts w:ascii="Book Antiqua" w:hAnsi="Book Antiqua" w:hint="eastAsia"/>
          <w:sz w:val="24"/>
          <w:szCs w:val="24"/>
          <w:lang w:val="en-US" w:eastAsia="zh-CN"/>
        </w:rPr>
        <w:t>R</w:t>
      </w:r>
      <w:r w:rsidR="00336412" w:rsidRPr="00EC4C5D">
        <w:rPr>
          <w:rFonts w:ascii="Book Antiqua" w:hAnsi="Book Antiqua"/>
          <w:sz w:val="24"/>
          <w:szCs w:val="24"/>
          <w:lang w:val="en-US"/>
        </w:rPr>
        <w:t>enal cell</w:t>
      </w:r>
      <w:r w:rsidR="009F0C72">
        <w:rPr>
          <w:rFonts w:ascii="Book Antiqua" w:hAnsi="Book Antiqua" w:hint="eastAsia"/>
          <w:sz w:val="24"/>
          <w:szCs w:val="24"/>
          <w:lang w:val="en-US" w:eastAsia="zh-CN"/>
        </w:rPr>
        <w:t>;</w:t>
      </w:r>
      <w:r w:rsidR="00336412" w:rsidRPr="00EC4C5D">
        <w:rPr>
          <w:rFonts w:ascii="Book Antiqua" w:hAnsi="Book Antiqua"/>
          <w:sz w:val="24"/>
          <w:szCs w:val="24"/>
          <w:lang w:val="en-US"/>
        </w:rPr>
        <w:t xml:space="preserve"> </w:t>
      </w:r>
      <w:r w:rsidR="00A524BD">
        <w:rPr>
          <w:rFonts w:ascii="Book Antiqua" w:hAnsi="Book Antiqua" w:hint="eastAsia"/>
          <w:sz w:val="24"/>
          <w:szCs w:val="24"/>
          <w:lang w:val="en-US" w:eastAsia="zh-CN"/>
        </w:rPr>
        <w:t>S</w:t>
      </w:r>
      <w:r w:rsidR="00336412" w:rsidRPr="00EC4C5D">
        <w:rPr>
          <w:rFonts w:ascii="Book Antiqua" w:hAnsi="Book Antiqua"/>
          <w:sz w:val="24"/>
          <w:szCs w:val="24"/>
          <w:lang w:val="en-US"/>
        </w:rPr>
        <w:t>equence</w:t>
      </w:r>
      <w:r w:rsidR="00A524BD">
        <w:rPr>
          <w:rFonts w:ascii="Book Antiqua" w:hAnsi="Book Antiqua" w:hint="eastAsia"/>
          <w:sz w:val="24"/>
          <w:szCs w:val="24"/>
          <w:lang w:val="en-US" w:eastAsia="zh-CN"/>
        </w:rPr>
        <w:t>;</w:t>
      </w:r>
      <w:r w:rsidR="00336412" w:rsidRPr="00EC4C5D">
        <w:rPr>
          <w:rFonts w:ascii="Book Antiqua" w:hAnsi="Book Antiqua"/>
          <w:sz w:val="24"/>
          <w:szCs w:val="24"/>
          <w:lang w:val="en-US"/>
        </w:rPr>
        <w:t xml:space="preserve"> </w:t>
      </w:r>
      <w:r w:rsidR="00A524BD">
        <w:rPr>
          <w:rFonts w:ascii="Book Antiqua" w:hAnsi="Book Antiqua" w:hint="eastAsia"/>
          <w:sz w:val="24"/>
          <w:szCs w:val="24"/>
          <w:lang w:val="en-US" w:eastAsia="zh-CN"/>
        </w:rPr>
        <w:t>S</w:t>
      </w:r>
      <w:r w:rsidRPr="00EC4C5D">
        <w:rPr>
          <w:rFonts w:ascii="Book Antiqua" w:hAnsi="Book Antiqua"/>
          <w:sz w:val="24"/>
          <w:szCs w:val="24"/>
          <w:lang w:val="en-US"/>
        </w:rPr>
        <w:t>econd line</w:t>
      </w:r>
      <w:r w:rsidR="00A524BD">
        <w:rPr>
          <w:rFonts w:ascii="Book Antiqua" w:hAnsi="Book Antiqua" w:hint="eastAsia"/>
          <w:sz w:val="24"/>
          <w:szCs w:val="24"/>
          <w:lang w:val="en-US" w:eastAsia="zh-CN"/>
        </w:rPr>
        <w:t>;</w:t>
      </w:r>
      <w:r w:rsidRPr="00EC4C5D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A524BD">
        <w:rPr>
          <w:rFonts w:ascii="Book Antiqua" w:hAnsi="Book Antiqua" w:hint="eastAsia"/>
          <w:sz w:val="24"/>
          <w:szCs w:val="24"/>
          <w:lang w:val="en-US" w:eastAsia="zh-CN"/>
        </w:rPr>
        <w:t>S</w:t>
      </w:r>
      <w:r w:rsidR="00336412" w:rsidRPr="00EC4C5D">
        <w:rPr>
          <w:rFonts w:ascii="Book Antiqua" w:hAnsi="Book Antiqua"/>
          <w:sz w:val="24"/>
          <w:szCs w:val="24"/>
          <w:lang w:val="en-US"/>
        </w:rPr>
        <w:t>orafenib</w:t>
      </w:r>
      <w:proofErr w:type="spellEnd"/>
      <w:r w:rsidR="00A524BD">
        <w:rPr>
          <w:rFonts w:ascii="Book Antiqua" w:hAnsi="Book Antiqua" w:hint="eastAsia"/>
          <w:sz w:val="24"/>
          <w:szCs w:val="24"/>
          <w:lang w:val="en-US" w:eastAsia="zh-CN"/>
        </w:rPr>
        <w:t>;</w:t>
      </w:r>
      <w:r w:rsidR="00336412" w:rsidRPr="00EC4C5D">
        <w:rPr>
          <w:rFonts w:ascii="Book Antiqua" w:hAnsi="Book Antiqua"/>
          <w:sz w:val="24"/>
          <w:szCs w:val="24"/>
          <w:lang w:val="en-US"/>
        </w:rPr>
        <w:t xml:space="preserve"> </w:t>
      </w:r>
      <w:r w:rsidR="00A524BD">
        <w:rPr>
          <w:rFonts w:ascii="Book Antiqua" w:hAnsi="Book Antiqua" w:hint="eastAsia"/>
          <w:sz w:val="24"/>
          <w:szCs w:val="24"/>
          <w:lang w:val="en-US" w:eastAsia="zh-CN"/>
        </w:rPr>
        <w:t>T</w:t>
      </w:r>
      <w:r w:rsidRPr="00EC4C5D">
        <w:rPr>
          <w:rFonts w:ascii="Book Antiqua" w:hAnsi="Book Antiqua"/>
          <w:sz w:val="24"/>
          <w:szCs w:val="24"/>
          <w:lang w:val="en-US"/>
        </w:rPr>
        <w:t>umor-grow</w:t>
      </w:r>
      <w:r w:rsidR="003E5EEB" w:rsidRPr="00EC4C5D">
        <w:rPr>
          <w:rFonts w:ascii="Book Antiqua" w:hAnsi="Book Antiqua"/>
          <w:sz w:val="24"/>
          <w:szCs w:val="24"/>
          <w:lang w:val="en-US"/>
        </w:rPr>
        <w:t>th</w:t>
      </w:r>
      <w:r w:rsidRPr="00EC4C5D">
        <w:rPr>
          <w:rFonts w:ascii="Book Antiqua" w:hAnsi="Book Antiqua"/>
          <w:sz w:val="24"/>
          <w:szCs w:val="24"/>
          <w:lang w:val="en-US"/>
        </w:rPr>
        <w:t xml:space="preserve"> rate</w:t>
      </w:r>
    </w:p>
    <w:p w14:paraId="61005D0F" w14:textId="77777777" w:rsidR="00901A6D" w:rsidRDefault="00901A6D" w:rsidP="00EC4C5D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14:paraId="23FB27EC" w14:textId="77777777" w:rsidR="009F0C72" w:rsidRPr="009F0C72" w:rsidRDefault="009F0C72" w:rsidP="009F0C72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12" w:name="OLE_LINK13"/>
      <w:bookmarkStart w:id="13" w:name="OLE_LINK14"/>
      <w:r w:rsidRPr="009F0C72">
        <w:rPr>
          <w:rFonts w:ascii="Book Antiqua" w:hAnsi="Book Antiqua"/>
          <w:sz w:val="24"/>
          <w:szCs w:val="24"/>
        </w:rPr>
        <w:t xml:space="preserve">© </w:t>
      </w:r>
      <w:bookmarkStart w:id="14" w:name="OLE_LINK6"/>
      <w:bookmarkStart w:id="15" w:name="OLE_LINK7"/>
      <w:bookmarkStart w:id="16" w:name="OLE_LINK8"/>
      <w:r w:rsidRPr="009F0C72">
        <w:rPr>
          <w:rFonts w:ascii="Book Antiqua" w:hAnsi="Book Antiqua"/>
          <w:b/>
          <w:sz w:val="24"/>
          <w:szCs w:val="24"/>
        </w:rPr>
        <w:t>The Author(s) 201</w:t>
      </w:r>
      <w:r w:rsidRPr="009F0C72">
        <w:rPr>
          <w:rFonts w:ascii="Book Antiqua" w:eastAsia="宋体" w:hAnsi="Book Antiqua" w:hint="eastAsia"/>
          <w:b/>
          <w:sz w:val="24"/>
          <w:szCs w:val="24"/>
          <w:lang w:eastAsia="zh-CN"/>
        </w:rPr>
        <w:t>7</w:t>
      </w:r>
      <w:r w:rsidRPr="009F0C72">
        <w:rPr>
          <w:rFonts w:ascii="Book Antiqua" w:hAnsi="Book Antiqua"/>
          <w:sz w:val="24"/>
          <w:szCs w:val="24"/>
        </w:rPr>
        <w:t>. Published by Baishideng Publishing Group Inc. All rights reserved.</w:t>
      </w:r>
    </w:p>
    <w:bookmarkEnd w:id="12"/>
    <w:bookmarkEnd w:id="13"/>
    <w:bookmarkEnd w:id="14"/>
    <w:bookmarkEnd w:id="15"/>
    <w:bookmarkEnd w:id="16"/>
    <w:p w14:paraId="34D6800C" w14:textId="77777777" w:rsidR="009F0C72" w:rsidRPr="00EC4C5D" w:rsidRDefault="009F0C72" w:rsidP="00EC4C5D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14:paraId="7DF145EA" w14:textId="548DE004" w:rsidR="00293314" w:rsidRPr="00EC4C5D" w:rsidRDefault="00293314" w:rsidP="00EC4C5D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EC4C5D">
        <w:rPr>
          <w:rFonts w:ascii="Book Antiqua" w:hAnsi="Book Antiqua"/>
          <w:b/>
          <w:sz w:val="24"/>
          <w:szCs w:val="24"/>
          <w:lang w:val="en-US"/>
        </w:rPr>
        <w:t>Core tip:</w:t>
      </w:r>
      <w:r w:rsidR="00D13149">
        <w:rPr>
          <w:rFonts w:ascii="Book Antiqua" w:hAnsi="Book Antiqua" w:hint="eastAsia"/>
          <w:b/>
          <w:sz w:val="24"/>
          <w:szCs w:val="24"/>
          <w:lang w:val="en-US" w:eastAsia="zh-CN"/>
        </w:rPr>
        <w:t xml:space="preserve"> </w:t>
      </w:r>
      <w:r w:rsidRPr="00EC4C5D">
        <w:rPr>
          <w:rFonts w:ascii="Book Antiqua" w:hAnsi="Book Antiqua"/>
          <w:sz w:val="24"/>
          <w:szCs w:val="24"/>
          <w:lang w:val="en-US"/>
        </w:rPr>
        <w:t xml:space="preserve">The landscape of renal cell carcinoma has dramatically changed in the last decade. Today, at least 6 agents are approved after failure </w:t>
      </w:r>
      <w:r w:rsidR="00FC2127" w:rsidRPr="00EC4C5D">
        <w:rPr>
          <w:rFonts w:ascii="Book Antiqua" w:hAnsi="Book Antiqua"/>
          <w:sz w:val="24"/>
          <w:szCs w:val="24"/>
          <w:lang w:val="en-US"/>
        </w:rPr>
        <w:t>with</w:t>
      </w:r>
      <w:r w:rsidRPr="00EC4C5D">
        <w:rPr>
          <w:rFonts w:ascii="Book Antiqua" w:hAnsi="Book Antiqua"/>
          <w:sz w:val="24"/>
          <w:szCs w:val="24"/>
          <w:lang w:val="en-US"/>
        </w:rPr>
        <w:t xml:space="preserve"> cytokines, </w:t>
      </w:r>
      <w:proofErr w:type="spellStart"/>
      <w:r w:rsidRPr="00EC4C5D">
        <w:rPr>
          <w:rFonts w:ascii="Book Antiqua" w:hAnsi="Book Antiqua"/>
          <w:sz w:val="24"/>
          <w:szCs w:val="24"/>
          <w:lang w:val="en-US"/>
        </w:rPr>
        <w:lastRenderedPageBreak/>
        <w:t>sunitinib</w:t>
      </w:r>
      <w:proofErr w:type="spellEnd"/>
      <w:r w:rsidRPr="00EC4C5D">
        <w:rPr>
          <w:rFonts w:ascii="Book Antiqua" w:hAnsi="Book Antiqua"/>
          <w:sz w:val="24"/>
          <w:szCs w:val="24"/>
          <w:lang w:val="en-US"/>
        </w:rPr>
        <w:t xml:space="preserve"> or </w:t>
      </w:r>
      <w:proofErr w:type="spellStart"/>
      <w:r w:rsidRPr="00EC4C5D">
        <w:rPr>
          <w:rFonts w:ascii="Book Antiqua" w:hAnsi="Book Antiqua"/>
          <w:sz w:val="24"/>
          <w:szCs w:val="24"/>
          <w:lang w:val="en-US"/>
        </w:rPr>
        <w:t>pazopanib</w:t>
      </w:r>
      <w:proofErr w:type="spellEnd"/>
      <w:r w:rsidRPr="00EC4C5D">
        <w:rPr>
          <w:rFonts w:ascii="Book Antiqua" w:hAnsi="Book Antiqua"/>
          <w:sz w:val="24"/>
          <w:szCs w:val="24"/>
          <w:lang w:val="en-US"/>
        </w:rPr>
        <w:t xml:space="preserve"> </w:t>
      </w:r>
      <w:r w:rsidR="00DD41C5" w:rsidRPr="00EC4C5D">
        <w:rPr>
          <w:rFonts w:ascii="Book Antiqua" w:hAnsi="Book Antiqua"/>
          <w:sz w:val="24"/>
          <w:szCs w:val="24"/>
          <w:lang w:val="en-US"/>
        </w:rPr>
        <w:t>in first line treatment. Lack</w:t>
      </w:r>
      <w:r w:rsidRPr="00EC4C5D">
        <w:rPr>
          <w:rFonts w:ascii="Book Antiqua" w:hAnsi="Book Antiqua"/>
          <w:sz w:val="24"/>
          <w:szCs w:val="24"/>
          <w:lang w:val="en-US"/>
        </w:rPr>
        <w:t xml:space="preserve"> of reliable biomarkers to select the best treatment in daily practice is somewhat frustrating. Therefore, our decision</w:t>
      </w:r>
      <w:r w:rsidR="00DD41C5" w:rsidRPr="00EC4C5D">
        <w:rPr>
          <w:rFonts w:ascii="Book Antiqua" w:hAnsi="Book Antiqua"/>
          <w:sz w:val="24"/>
          <w:szCs w:val="24"/>
          <w:lang w:val="en-US"/>
        </w:rPr>
        <w:t>s</w:t>
      </w:r>
      <w:r w:rsidRPr="00EC4C5D">
        <w:rPr>
          <w:rFonts w:ascii="Book Antiqua" w:hAnsi="Book Antiqua"/>
          <w:sz w:val="24"/>
          <w:szCs w:val="24"/>
          <w:lang w:val="en-US"/>
        </w:rPr>
        <w:t xml:space="preserve"> in real practice are based on safety profile</w:t>
      </w:r>
      <w:r w:rsidR="00DD41C5" w:rsidRPr="00EC4C5D">
        <w:rPr>
          <w:rFonts w:ascii="Book Antiqua" w:hAnsi="Book Antiqua"/>
          <w:sz w:val="24"/>
          <w:szCs w:val="24"/>
          <w:lang w:val="en-US"/>
        </w:rPr>
        <w:t>s</w:t>
      </w:r>
      <w:r w:rsidRPr="00EC4C5D">
        <w:rPr>
          <w:rFonts w:ascii="Book Antiqua" w:hAnsi="Book Antiqua"/>
          <w:sz w:val="24"/>
          <w:szCs w:val="24"/>
          <w:lang w:val="en-US"/>
        </w:rPr>
        <w:t xml:space="preserve">, </w:t>
      </w:r>
      <w:r w:rsidR="00465570" w:rsidRPr="00EC4C5D">
        <w:rPr>
          <w:rFonts w:ascii="Book Antiqua" w:hAnsi="Book Antiqua"/>
          <w:sz w:val="24"/>
          <w:szCs w:val="24"/>
          <w:lang w:val="en-US"/>
        </w:rPr>
        <w:t>patient</w:t>
      </w:r>
      <w:r w:rsidR="007D2CA3" w:rsidRPr="00EC4C5D">
        <w:rPr>
          <w:rFonts w:ascii="Book Antiqua" w:hAnsi="Book Antiqua"/>
          <w:sz w:val="24"/>
          <w:szCs w:val="24"/>
          <w:lang w:val="en-US"/>
        </w:rPr>
        <w:t xml:space="preserve">´ </w:t>
      </w:r>
      <w:r w:rsidRPr="00EC4C5D">
        <w:rPr>
          <w:rFonts w:ascii="Book Antiqua" w:hAnsi="Book Antiqua"/>
          <w:sz w:val="24"/>
          <w:szCs w:val="24"/>
          <w:lang w:val="en-US"/>
        </w:rPr>
        <w:t>co</w:t>
      </w:r>
      <w:r w:rsidR="00FC2127" w:rsidRPr="00EC4C5D">
        <w:rPr>
          <w:rFonts w:ascii="Book Antiqua" w:hAnsi="Book Antiqua"/>
          <w:sz w:val="24"/>
          <w:szCs w:val="24"/>
          <w:lang w:val="en-US"/>
        </w:rPr>
        <w:t>-</w:t>
      </w:r>
      <w:r w:rsidRPr="00EC4C5D">
        <w:rPr>
          <w:rFonts w:ascii="Book Antiqua" w:hAnsi="Book Antiqua"/>
          <w:sz w:val="24"/>
          <w:szCs w:val="24"/>
          <w:lang w:val="en-US"/>
        </w:rPr>
        <w:t xml:space="preserve">morbidities and physician experience or preference. </w:t>
      </w:r>
      <w:r w:rsidR="00CF7A7F" w:rsidRPr="00EC4C5D">
        <w:rPr>
          <w:rFonts w:ascii="Book Antiqua" w:hAnsi="Book Antiqua"/>
          <w:sz w:val="24"/>
          <w:szCs w:val="24"/>
          <w:lang w:val="en-US"/>
        </w:rPr>
        <w:t xml:space="preserve">Here we debate the pros and cons of the </w:t>
      </w:r>
      <w:r w:rsidR="007D2CA3" w:rsidRPr="00EC4C5D">
        <w:rPr>
          <w:rFonts w:ascii="Book Antiqua" w:hAnsi="Book Antiqua"/>
          <w:sz w:val="24"/>
          <w:szCs w:val="24"/>
          <w:lang w:val="en-US"/>
        </w:rPr>
        <w:t>TGR</w:t>
      </w:r>
      <w:r w:rsidR="00CF7A7F" w:rsidRPr="00EC4C5D">
        <w:rPr>
          <w:rFonts w:ascii="Book Antiqua" w:hAnsi="Book Antiqua"/>
          <w:sz w:val="24"/>
          <w:szCs w:val="24"/>
          <w:lang w:val="en-US"/>
        </w:rPr>
        <w:t xml:space="preserve"> as a tool to select second line systemic treatment after failure to </w:t>
      </w:r>
      <w:r w:rsidR="003D2518" w:rsidRPr="00EC4C5D">
        <w:rPr>
          <w:rFonts w:ascii="Book Antiqua" w:hAnsi="Book Antiqua"/>
          <w:sz w:val="24"/>
          <w:szCs w:val="24"/>
          <w:lang w:val="en-US"/>
        </w:rPr>
        <w:t>a prior tyrosine kinase-</w:t>
      </w:r>
      <w:r w:rsidR="00CF7A7F" w:rsidRPr="00EC4C5D">
        <w:rPr>
          <w:rFonts w:ascii="Book Antiqua" w:hAnsi="Book Antiqua"/>
          <w:sz w:val="24"/>
          <w:szCs w:val="24"/>
          <w:lang w:val="en-US"/>
        </w:rPr>
        <w:t xml:space="preserve">inhibitor in patients with advanced renal cell carcinoma. </w:t>
      </w:r>
    </w:p>
    <w:p w14:paraId="1E482939" w14:textId="77777777" w:rsidR="00D13149" w:rsidRDefault="00D13149" w:rsidP="00EC4C5D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14:paraId="1A2F51DA" w14:textId="65D45CD7" w:rsidR="003D2518" w:rsidRPr="00B60C81" w:rsidRDefault="003D2518" w:rsidP="00EC4C5D">
      <w:pPr>
        <w:spacing w:after="0" w:line="360" w:lineRule="auto"/>
        <w:jc w:val="both"/>
        <w:rPr>
          <w:rFonts w:ascii="Book Antiqua" w:hAnsi="Book Antiqua" w:cs="Helvetica"/>
          <w:sz w:val="24"/>
          <w:szCs w:val="24"/>
          <w:lang w:val="en-US" w:eastAsia="zh-CN"/>
        </w:rPr>
      </w:pPr>
      <w:r w:rsidRPr="00EC4C5D">
        <w:rPr>
          <w:rFonts w:ascii="Book Antiqua" w:hAnsi="Book Antiqua" w:cs="Helvetica"/>
          <w:sz w:val="24"/>
          <w:szCs w:val="24"/>
          <w:lang w:val="en-US"/>
        </w:rPr>
        <w:t xml:space="preserve">Grande E, </w:t>
      </w:r>
      <w:proofErr w:type="spellStart"/>
      <w:r w:rsidRPr="00EC4C5D">
        <w:rPr>
          <w:rFonts w:ascii="Book Antiqua" w:hAnsi="Book Antiqua" w:cs="Helvetica"/>
          <w:sz w:val="24"/>
          <w:szCs w:val="24"/>
          <w:lang w:val="en-US"/>
        </w:rPr>
        <w:t>Martínez-Sáez</w:t>
      </w:r>
      <w:proofErr w:type="spellEnd"/>
      <w:r w:rsidRPr="00EC4C5D">
        <w:rPr>
          <w:rFonts w:ascii="Book Antiqua" w:hAnsi="Book Antiqua" w:cs="Helvetica"/>
          <w:sz w:val="24"/>
          <w:szCs w:val="24"/>
          <w:lang w:val="en-US"/>
        </w:rPr>
        <w:t xml:space="preserve"> O, </w:t>
      </w:r>
      <w:proofErr w:type="spellStart"/>
      <w:r w:rsidRPr="00EC4C5D">
        <w:rPr>
          <w:rFonts w:ascii="Book Antiqua" w:hAnsi="Book Antiqua" w:cs="Helvetica"/>
          <w:sz w:val="24"/>
          <w:szCs w:val="24"/>
          <w:lang w:val="en-US"/>
        </w:rPr>
        <w:t>Gajate-Borau</w:t>
      </w:r>
      <w:proofErr w:type="spellEnd"/>
      <w:r w:rsidRPr="00EC4C5D">
        <w:rPr>
          <w:rFonts w:ascii="Book Antiqua" w:hAnsi="Book Antiqua" w:cs="Helvetica"/>
          <w:sz w:val="24"/>
          <w:szCs w:val="24"/>
          <w:lang w:val="en-US"/>
        </w:rPr>
        <w:t xml:space="preserve"> P, Alonso-</w:t>
      </w:r>
      <w:proofErr w:type="spellStart"/>
      <w:r w:rsidRPr="00EC4C5D">
        <w:rPr>
          <w:rFonts w:ascii="Book Antiqua" w:hAnsi="Book Antiqua" w:cs="Helvetica"/>
          <w:sz w:val="24"/>
          <w:szCs w:val="24"/>
          <w:lang w:val="en-US"/>
        </w:rPr>
        <w:t>Gordoa</w:t>
      </w:r>
      <w:proofErr w:type="spellEnd"/>
      <w:r w:rsidRPr="00EC4C5D">
        <w:rPr>
          <w:rFonts w:ascii="Book Antiqua" w:hAnsi="Book Antiqua" w:cs="Helvetica"/>
          <w:sz w:val="24"/>
          <w:szCs w:val="24"/>
          <w:lang w:val="en-US"/>
        </w:rPr>
        <w:t xml:space="preserve"> T.</w:t>
      </w:r>
      <w:r w:rsidR="008D7CAE" w:rsidRPr="00EC4C5D">
        <w:rPr>
          <w:rFonts w:ascii="Book Antiqua" w:hAnsi="Book Antiqua" w:cs="Helvetica"/>
          <w:sz w:val="24"/>
          <w:szCs w:val="24"/>
          <w:lang w:val="en-US"/>
        </w:rPr>
        <w:t xml:space="preserve"> Translating new data to daily practice in second line renal cell carcinoma</w:t>
      </w:r>
      <w:r w:rsidR="00465570" w:rsidRPr="00EC4C5D">
        <w:rPr>
          <w:rFonts w:ascii="Book Antiqua" w:hAnsi="Book Antiqua" w:cs="Helvetica"/>
          <w:sz w:val="24"/>
          <w:szCs w:val="24"/>
          <w:lang w:val="en-US"/>
        </w:rPr>
        <w:t xml:space="preserve">: </w:t>
      </w:r>
      <w:r w:rsidR="00C80CA5">
        <w:rPr>
          <w:rFonts w:ascii="Book Antiqua" w:hAnsi="Book Antiqua" w:cs="Helvetica" w:hint="eastAsia"/>
          <w:sz w:val="24"/>
          <w:szCs w:val="24"/>
          <w:lang w:val="en-US" w:eastAsia="zh-CN"/>
        </w:rPr>
        <w:t>T</w:t>
      </w:r>
      <w:r w:rsidR="00465570" w:rsidRPr="00EC4C5D">
        <w:rPr>
          <w:rFonts w:ascii="Book Antiqua" w:hAnsi="Book Antiqua" w:cs="Helvetica"/>
          <w:sz w:val="24"/>
          <w:szCs w:val="24"/>
          <w:lang w:val="en-US"/>
        </w:rPr>
        <w:t>he role of tumor grow</w:t>
      </w:r>
      <w:r w:rsidR="003E5EEB" w:rsidRPr="00EC4C5D">
        <w:rPr>
          <w:rFonts w:ascii="Book Antiqua" w:hAnsi="Book Antiqua" w:cs="Helvetica"/>
          <w:sz w:val="24"/>
          <w:szCs w:val="24"/>
          <w:lang w:val="en-US"/>
        </w:rPr>
        <w:t>th</w:t>
      </w:r>
      <w:r w:rsidR="00C80CA5">
        <w:rPr>
          <w:rFonts w:ascii="Book Antiqua" w:hAnsi="Book Antiqua" w:cs="Helvetica"/>
          <w:sz w:val="24"/>
          <w:szCs w:val="24"/>
          <w:lang w:val="en-US"/>
        </w:rPr>
        <w:t xml:space="preserve"> rate</w:t>
      </w:r>
      <w:r w:rsidR="00C80CA5">
        <w:rPr>
          <w:rFonts w:ascii="Book Antiqua" w:hAnsi="Book Antiqua" w:cs="Helvetica" w:hint="eastAsia"/>
          <w:sz w:val="24"/>
          <w:szCs w:val="24"/>
          <w:lang w:val="en-US" w:eastAsia="zh-CN"/>
        </w:rPr>
        <w:t>.</w:t>
      </w:r>
      <w:r w:rsidR="00B60C81" w:rsidRPr="00B60C81">
        <w:rPr>
          <w:rFonts w:ascii="Book Antiqua" w:hAnsi="Book Antiqua"/>
          <w:i/>
          <w:iCs/>
          <w:sz w:val="24"/>
          <w:szCs w:val="24"/>
        </w:rPr>
        <w:t xml:space="preserve"> </w:t>
      </w:r>
      <w:r w:rsidR="00B60C81" w:rsidRPr="00C341A0">
        <w:rPr>
          <w:rFonts w:ascii="Book Antiqua" w:hAnsi="Book Antiqua"/>
          <w:i/>
          <w:iCs/>
          <w:sz w:val="24"/>
          <w:szCs w:val="24"/>
        </w:rPr>
        <w:t>World J Clin Oncol</w:t>
      </w:r>
      <w:r w:rsidR="00B60C81">
        <w:rPr>
          <w:rFonts w:ascii="Book Antiqua" w:hAnsi="Book Antiqua" w:hint="eastAsia"/>
          <w:iCs/>
          <w:sz w:val="24"/>
          <w:szCs w:val="24"/>
          <w:lang w:eastAsia="zh-CN"/>
        </w:rPr>
        <w:t xml:space="preserve"> 2017; In press</w:t>
      </w:r>
    </w:p>
    <w:p w14:paraId="2463D364" w14:textId="77777777" w:rsidR="00293314" w:rsidRPr="00EC4C5D" w:rsidRDefault="00293314" w:rsidP="00EC4C5D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14:paraId="24B169D6" w14:textId="77777777" w:rsidR="00933DA2" w:rsidRPr="00EC4C5D" w:rsidRDefault="00933DA2" w:rsidP="00EC4C5D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EC4C5D">
        <w:rPr>
          <w:rFonts w:ascii="Book Antiqua" w:hAnsi="Book Antiqua"/>
          <w:b/>
          <w:sz w:val="24"/>
          <w:szCs w:val="24"/>
          <w:lang w:val="en-US"/>
        </w:rPr>
        <w:br w:type="page"/>
      </w:r>
    </w:p>
    <w:p w14:paraId="45B6DAD8" w14:textId="787F54D4" w:rsidR="00A40502" w:rsidRPr="00EC4C5D" w:rsidRDefault="003A109A" w:rsidP="00EC4C5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dvMyriadPro-R"/>
          <w:sz w:val="24"/>
          <w:szCs w:val="24"/>
          <w:lang w:val="en-US"/>
        </w:rPr>
      </w:pPr>
      <w:r w:rsidRPr="00EC4C5D">
        <w:rPr>
          <w:rFonts w:ascii="Book Antiqua" w:hAnsi="Book Antiqua" w:cs="Times New Roman"/>
          <w:sz w:val="24"/>
          <w:szCs w:val="24"/>
          <w:lang w:val="en-US"/>
        </w:rPr>
        <w:lastRenderedPageBreak/>
        <w:t xml:space="preserve">The increased knowledge about the </w:t>
      </w:r>
      <w:r w:rsidR="007D569F" w:rsidRPr="00EC4C5D">
        <w:rPr>
          <w:rFonts w:ascii="Book Antiqua" w:hAnsi="Book Antiqua"/>
          <w:sz w:val="24"/>
          <w:szCs w:val="24"/>
          <w:lang w:val="en-US"/>
        </w:rPr>
        <w:t xml:space="preserve">underlying pathogenesis </w:t>
      </w:r>
      <w:r w:rsidRPr="00EC4C5D">
        <w:rPr>
          <w:rFonts w:ascii="Book Antiqua" w:hAnsi="Book Antiqua" w:cs="Times New Roman"/>
          <w:sz w:val="24"/>
          <w:szCs w:val="24"/>
          <w:lang w:val="en-US"/>
        </w:rPr>
        <w:t xml:space="preserve">of </w:t>
      </w:r>
      <w:r w:rsidR="00A13403" w:rsidRPr="00EC4C5D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AE3D5D" w:rsidRPr="00EC4C5D">
        <w:rPr>
          <w:rFonts w:ascii="Book Antiqua" w:hAnsi="Book Antiqua" w:cs="Cheltenham-BookCond"/>
          <w:sz w:val="24"/>
          <w:szCs w:val="24"/>
          <w:lang w:val="en-US"/>
        </w:rPr>
        <w:t>metastatic renal cell carcinoma (</w:t>
      </w:r>
      <w:proofErr w:type="spellStart"/>
      <w:r w:rsidR="00AE3D5D" w:rsidRPr="00EC4C5D">
        <w:rPr>
          <w:rFonts w:ascii="Book Antiqua" w:hAnsi="Book Antiqua" w:cs="Cheltenham-BookCond"/>
          <w:sz w:val="24"/>
          <w:szCs w:val="24"/>
          <w:lang w:val="en-US"/>
        </w:rPr>
        <w:t>mRCC</w:t>
      </w:r>
      <w:proofErr w:type="spellEnd"/>
      <w:r w:rsidR="00AE3D5D" w:rsidRPr="00EC4C5D">
        <w:rPr>
          <w:rFonts w:ascii="Book Antiqua" w:hAnsi="Book Antiqua" w:cs="Cheltenham-BookCond"/>
          <w:sz w:val="24"/>
          <w:szCs w:val="24"/>
          <w:lang w:val="en-US"/>
        </w:rPr>
        <w:t>)</w:t>
      </w:r>
      <w:r w:rsidR="00A13403" w:rsidRPr="00EC4C5D">
        <w:rPr>
          <w:rFonts w:ascii="Book Antiqua" w:hAnsi="Book Antiqua" w:cs="Times New Roman"/>
          <w:sz w:val="24"/>
          <w:szCs w:val="24"/>
          <w:lang w:val="en-US"/>
        </w:rPr>
        <w:t xml:space="preserve"> has </w:t>
      </w:r>
      <w:r w:rsidR="00480A64" w:rsidRPr="00EC4C5D">
        <w:rPr>
          <w:rFonts w:ascii="Book Antiqua" w:hAnsi="Book Antiqua" w:cs="Times New Roman"/>
          <w:sz w:val="24"/>
          <w:szCs w:val="24"/>
          <w:lang w:val="en-US"/>
        </w:rPr>
        <w:t>led</w:t>
      </w:r>
      <w:r w:rsidR="00A13403" w:rsidRPr="00EC4C5D">
        <w:rPr>
          <w:rFonts w:ascii="Book Antiqua" w:hAnsi="Book Antiqua" w:cs="Times New Roman"/>
          <w:sz w:val="24"/>
          <w:szCs w:val="24"/>
          <w:lang w:val="en-US"/>
        </w:rPr>
        <w:t xml:space="preserve"> to the development of new therapeutic drugs that have completely changed patient prognosis. </w:t>
      </w:r>
      <w:r w:rsidR="00D82186" w:rsidRPr="00EC4C5D">
        <w:rPr>
          <w:rFonts w:ascii="Book Antiqua" w:hAnsi="Book Antiqua" w:cs="Times New Roman"/>
          <w:sz w:val="24"/>
          <w:szCs w:val="24"/>
          <w:lang w:val="en-US"/>
        </w:rPr>
        <w:t>Th</w:t>
      </w:r>
      <w:r w:rsidR="003E5EEB" w:rsidRPr="00EC4C5D">
        <w:rPr>
          <w:rFonts w:ascii="Book Antiqua" w:hAnsi="Book Antiqua" w:cs="Times New Roman"/>
          <w:sz w:val="24"/>
          <w:szCs w:val="24"/>
          <w:lang w:val="en-US"/>
        </w:rPr>
        <w:t>e</w:t>
      </w:r>
      <w:r w:rsidR="00D82186" w:rsidRPr="00EC4C5D">
        <w:rPr>
          <w:rFonts w:ascii="Book Antiqua" w:hAnsi="Book Antiqua" w:cs="Times New Roman"/>
          <w:sz w:val="24"/>
          <w:szCs w:val="24"/>
          <w:lang w:val="en-US"/>
        </w:rPr>
        <w:t xml:space="preserve">se drugs </w:t>
      </w:r>
      <w:r w:rsidR="00D02AA2" w:rsidRPr="00EC4C5D">
        <w:rPr>
          <w:rFonts w:ascii="Book Antiqua" w:hAnsi="Book Antiqua" w:cs="Times New Roman"/>
          <w:sz w:val="24"/>
          <w:szCs w:val="24"/>
          <w:lang w:val="en-US"/>
        </w:rPr>
        <w:t xml:space="preserve">are </w:t>
      </w:r>
      <w:r w:rsidR="00D82186" w:rsidRPr="00EC4C5D">
        <w:rPr>
          <w:rFonts w:ascii="Book Antiqua" w:hAnsi="Book Antiqua" w:cs="Times New Roman"/>
          <w:sz w:val="24"/>
          <w:szCs w:val="24"/>
          <w:lang w:val="en-US"/>
        </w:rPr>
        <w:t>target</w:t>
      </w:r>
      <w:r w:rsidR="00D02AA2" w:rsidRPr="00EC4C5D">
        <w:rPr>
          <w:rFonts w:ascii="Book Antiqua" w:hAnsi="Book Antiqua" w:cs="Times New Roman"/>
          <w:sz w:val="24"/>
          <w:szCs w:val="24"/>
          <w:lang w:val="en-US"/>
        </w:rPr>
        <w:t>ing</w:t>
      </w:r>
      <w:r w:rsidR="00D82186" w:rsidRPr="00EC4C5D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F45FF" w:rsidRPr="00EC4C5D">
        <w:rPr>
          <w:rFonts w:ascii="Book Antiqua" w:hAnsi="Book Antiqua"/>
          <w:sz w:val="24"/>
          <w:szCs w:val="24"/>
          <w:lang w:val="en-US"/>
        </w:rPr>
        <w:t>the vascular endothelial growth factor</w:t>
      </w:r>
      <w:r w:rsidR="00A13403" w:rsidRPr="00EC4C5D">
        <w:rPr>
          <w:rFonts w:ascii="Book Antiqua" w:hAnsi="Book Antiqua"/>
          <w:sz w:val="24"/>
          <w:szCs w:val="24"/>
          <w:lang w:val="en-US"/>
        </w:rPr>
        <w:t xml:space="preserve"> receptor</w:t>
      </w:r>
      <w:r w:rsidR="008F45FF" w:rsidRPr="00EC4C5D">
        <w:rPr>
          <w:rFonts w:ascii="Book Antiqua" w:hAnsi="Book Antiqua"/>
          <w:sz w:val="24"/>
          <w:szCs w:val="24"/>
          <w:lang w:val="en-US"/>
        </w:rPr>
        <w:t xml:space="preserve"> (VEGF</w:t>
      </w:r>
      <w:r w:rsidR="00A13403" w:rsidRPr="00EC4C5D">
        <w:rPr>
          <w:rFonts w:ascii="Book Antiqua" w:hAnsi="Book Antiqua"/>
          <w:sz w:val="24"/>
          <w:szCs w:val="24"/>
          <w:lang w:val="en-US"/>
        </w:rPr>
        <w:t>R</w:t>
      </w:r>
      <w:r w:rsidR="008F45FF" w:rsidRPr="00EC4C5D">
        <w:rPr>
          <w:rFonts w:ascii="Book Antiqua" w:hAnsi="Book Antiqua"/>
          <w:sz w:val="24"/>
          <w:szCs w:val="24"/>
          <w:lang w:val="en-US"/>
        </w:rPr>
        <w:t>)</w:t>
      </w:r>
      <w:r w:rsidR="00D82186" w:rsidRPr="00EC4C5D">
        <w:rPr>
          <w:rFonts w:ascii="Book Antiqua" w:hAnsi="Book Antiqua"/>
          <w:sz w:val="24"/>
          <w:szCs w:val="24"/>
          <w:lang w:val="en-US"/>
        </w:rPr>
        <w:t xml:space="preserve"> axis,</w:t>
      </w:r>
      <w:r w:rsidR="008F45FF" w:rsidRPr="00EC4C5D">
        <w:rPr>
          <w:rFonts w:ascii="Book Antiqua" w:hAnsi="Book Antiqua"/>
          <w:sz w:val="24"/>
          <w:szCs w:val="24"/>
          <w:lang w:val="en-US"/>
        </w:rPr>
        <w:t xml:space="preserve"> </w:t>
      </w:r>
      <w:r w:rsidR="008F45FF" w:rsidRPr="00EC4C5D">
        <w:rPr>
          <w:rFonts w:ascii="Book Antiqua" w:hAnsi="Book Antiqua" w:cs="AdvTT7c3c51d9"/>
          <w:sz w:val="24"/>
          <w:szCs w:val="24"/>
          <w:lang w:val="en-US"/>
        </w:rPr>
        <w:t>the mammalian target of rapamycin (</w:t>
      </w:r>
      <w:proofErr w:type="spellStart"/>
      <w:r w:rsidR="008F45FF" w:rsidRPr="00EC4C5D">
        <w:rPr>
          <w:rFonts w:ascii="Book Antiqua" w:hAnsi="Book Antiqua" w:cs="AdvTT7c3c51d9"/>
          <w:sz w:val="24"/>
          <w:szCs w:val="24"/>
          <w:lang w:val="en-US"/>
        </w:rPr>
        <w:t>mTOR</w:t>
      </w:r>
      <w:proofErr w:type="spellEnd"/>
      <w:r w:rsidR="008F45FF" w:rsidRPr="00EC4C5D">
        <w:rPr>
          <w:rFonts w:ascii="Book Antiqua" w:hAnsi="Book Antiqua" w:cs="AdvTT7c3c51d9"/>
          <w:sz w:val="24"/>
          <w:szCs w:val="24"/>
          <w:lang w:val="en-US"/>
        </w:rPr>
        <w:t xml:space="preserve">) </w:t>
      </w:r>
      <w:r w:rsidR="00B7730C" w:rsidRPr="00EC4C5D">
        <w:rPr>
          <w:rFonts w:ascii="Book Antiqua" w:hAnsi="Book Antiqua" w:cs="AdvTT7c3c51d9"/>
          <w:sz w:val="24"/>
          <w:szCs w:val="24"/>
          <w:lang w:val="en-US"/>
        </w:rPr>
        <w:t>pathway</w:t>
      </w:r>
      <w:r w:rsidR="00D82186" w:rsidRPr="00EC4C5D">
        <w:rPr>
          <w:rFonts w:ascii="Book Antiqua" w:hAnsi="Book Antiqua" w:cs="AdvTT7c3c51d9"/>
          <w:sz w:val="24"/>
          <w:szCs w:val="24"/>
          <w:lang w:val="en-US"/>
        </w:rPr>
        <w:t xml:space="preserve"> or the immune system and tumor cell interaction</w:t>
      </w:r>
      <w:r w:rsidR="003E5EEB" w:rsidRPr="00EC4C5D">
        <w:rPr>
          <w:rFonts w:ascii="Book Antiqua" w:hAnsi="Book Antiqua" w:cs="AdvTT7c3c51d9"/>
          <w:sz w:val="24"/>
          <w:szCs w:val="24"/>
          <w:lang w:val="en-US"/>
        </w:rPr>
        <w:t>s</w:t>
      </w:r>
      <w:r w:rsidR="00D82186" w:rsidRPr="00EC4C5D">
        <w:rPr>
          <w:rFonts w:ascii="Book Antiqua" w:hAnsi="Book Antiqua" w:cs="AdvTT7c3c51d9"/>
          <w:sz w:val="24"/>
          <w:szCs w:val="24"/>
          <w:lang w:val="en-US"/>
        </w:rPr>
        <w:t xml:space="preserve"> (PD1/PDL1)</w:t>
      </w:r>
      <w:r w:rsidRPr="00EC4C5D">
        <w:rPr>
          <w:rFonts w:ascii="Book Antiqua" w:hAnsi="Book Antiqua"/>
          <w:sz w:val="24"/>
          <w:szCs w:val="24"/>
          <w:lang w:val="en-US"/>
        </w:rPr>
        <w:t xml:space="preserve">. </w:t>
      </w:r>
      <w:r w:rsidR="006D7841" w:rsidRPr="00EC4C5D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 xml:space="preserve">The </w:t>
      </w:r>
      <w:r w:rsidR="00D82186" w:rsidRPr="00EC4C5D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 xml:space="preserve">number of patients </w:t>
      </w:r>
      <w:r w:rsidR="00B34D1B" w:rsidRPr="00EC4C5D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 xml:space="preserve">that are </w:t>
      </w:r>
      <w:r w:rsidR="00D82186" w:rsidRPr="00EC4C5D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>candidate</w:t>
      </w:r>
      <w:r w:rsidR="003E5EEB" w:rsidRPr="00EC4C5D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>s</w:t>
      </w:r>
      <w:r w:rsidR="00D82186" w:rsidRPr="00EC4C5D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 xml:space="preserve"> for</w:t>
      </w:r>
      <w:r w:rsidR="00291215" w:rsidRPr="00EC4C5D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 xml:space="preserve"> a</w:t>
      </w:r>
      <w:r w:rsidR="006D7841" w:rsidRPr="00EC4C5D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 xml:space="preserve"> second line</w:t>
      </w:r>
      <w:r w:rsidR="00D82186" w:rsidRPr="00EC4C5D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 xml:space="preserve"> therapy</w:t>
      </w:r>
      <w:r w:rsidR="006D7841" w:rsidRPr="00EC4C5D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 xml:space="preserve"> </w:t>
      </w:r>
      <w:r w:rsidR="00D82186" w:rsidRPr="00EC4C5D">
        <w:rPr>
          <w:rFonts w:ascii="Book Antiqua" w:hAnsi="Book Antiqua" w:cs="AdvMyriadPro-R"/>
          <w:sz w:val="24"/>
          <w:szCs w:val="24"/>
          <w:lang w:val="en-US"/>
        </w:rPr>
        <w:t>after</w:t>
      </w:r>
      <w:r w:rsidR="00270190" w:rsidRPr="00EC4C5D">
        <w:rPr>
          <w:rFonts w:ascii="Book Antiqua" w:hAnsi="Book Antiqua" w:cs="AdvMyriadPro-R"/>
          <w:sz w:val="24"/>
          <w:szCs w:val="24"/>
          <w:lang w:val="en-US"/>
        </w:rPr>
        <w:t xml:space="preserve"> progressing on a firs</w:t>
      </w:r>
      <w:r w:rsidR="004B2872" w:rsidRPr="00EC4C5D">
        <w:rPr>
          <w:rFonts w:ascii="Book Antiqua" w:hAnsi="Book Antiqua" w:cs="AdvMyriadPro-R"/>
          <w:sz w:val="24"/>
          <w:szCs w:val="24"/>
          <w:lang w:val="en-US"/>
        </w:rPr>
        <w:t xml:space="preserve">t </w:t>
      </w:r>
      <w:r w:rsidR="00270190" w:rsidRPr="00EC4C5D">
        <w:rPr>
          <w:rFonts w:ascii="Book Antiqua" w:hAnsi="Book Antiqua" w:cs="AdvMyriadPro-R"/>
          <w:sz w:val="24"/>
          <w:szCs w:val="24"/>
          <w:lang w:val="en-US"/>
        </w:rPr>
        <w:t>line</w:t>
      </w:r>
      <w:r w:rsidR="00270190" w:rsidRPr="00EC4C5D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 xml:space="preserve"> </w:t>
      </w:r>
      <w:r w:rsidR="006D7841" w:rsidRPr="00EC4C5D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>varies from 52% to 79%</w:t>
      </w:r>
      <w:r w:rsidR="00AE3D5D" w:rsidRPr="00AE3D5D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[1]</w:t>
      </w:r>
      <w:r w:rsidR="00291215" w:rsidRPr="00EC4C5D">
        <w:rPr>
          <w:rFonts w:ascii="Book Antiqua" w:hAnsi="Book Antiqua" w:cs="AdvMyriadPro-R"/>
          <w:sz w:val="24"/>
          <w:szCs w:val="24"/>
          <w:lang w:val="en-US"/>
        </w:rPr>
        <w:t xml:space="preserve">. </w:t>
      </w:r>
      <w:r w:rsidR="00F16E6A" w:rsidRPr="00EC4C5D">
        <w:rPr>
          <w:rFonts w:ascii="Book Antiqua" w:hAnsi="Book Antiqua" w:cs="AdvMyriadPro-R"/>
          <w:sz w:val="24"/>
          <w:szCs w:val="24"/>
          <w:lang w:val="en-US"/>
        </w:rPr>
        <w:t xml:space="preserve">The second line treatment is </w:t>
      </w:r>
      <w:r w:rsidR="004B2872" w:rsidRPr="00EC4C5D">
        <w:rPr>
          <w:rFonts w:ascii="Book Antiqua" w:hAnsi="Book Antiqua" w:cs="AdvMyriadPro-R"/>
          <w:sz w:val="24"/>
          <w:szCs w:val="24"/>
          <w:lang w:val="en-US"/>
        </w:rPr>
        <w:t>determinant</w:t>
      </w:r>
      <w:r w:rsidR="00F16E6A" w:rsidRPr="00EC4C5D">
        <w:rPr>
          <w:rFonts w:ascii="Book Antiqua" w:hAnsi="Book Antiqua" w:cs="AdvMyriadPro-R"/>
          <w:sz w:val="24"/>
          <w:szCs w:val="24"/>
          <w:lang w:val="en-US"/>
        </w:rPr>
        <w:t xml:space="preserve"> </w:t>
      </w:r>
      <w:r w:rsidR="004B2872" w:rsidRPr="00EC4C5D">
        <w:rPr>
          <w:rFonts w:ascii="Book Antiqua" w:hAnsi="Book Antiqua" w:cs="AdvMyriadPro-R"/>
          <w:sz w:val="24"/>
          <w:szCs w:val="24"/>
          <w:lang w:val="en-US"/>
        </w:rPr>
        <w:t xml:space="preserve">in </w:t>
      </w:r>
      <w:proofErr w:type="spellStart"/>
      <w:r w:rsidR="004B2872" w:rsidRPr="00EC4C5D">
        <w:rPr>
          <w:rFonts w:ascii="Book Antiqua" w:hAnsi="Book Antiqua" w:cs="AdvMyriadPro-R"/>
          <w:sz w:val="24"/>
          <w:szCs w:val="24"/>
          <w:lang w:val="en-US"/>
        </w:rPr>
        <w:t>m</w:t>
      </w:r>
      <w:r w:rsidR="00F16E6A" w:rsidRPr="00EC4C5D">
        <w:rPr>
          <w:rFonts w:ascii="Book Antiqua" w:hAnsi="Book Antiqua" w:cs="AdvMyriadPro-R"/>
          <w:sz w:val="24"/>
          <w:szCs w:val="24"/>
          <w:lang w:val="en-US"/>
        </w:rPr>
        <w:t>RCC</w:t>
      </w:r>
      <w:proofErr w:type="spellEnd"/>
      <w:r w:rsidR="00F16E6A" w:rsidRPr="00EC4C5D">
        <w:rPr>
          <w:rFonts w:ascii="Book Antiqua" w:hAnsi="Book Antiqua" w:cs="AdvMyriadPro-R"/>
          <w:sz w:val="24"/>
          <w:szCs w:val="24"/>
          <w:lang w:val="en-US"/>
        </w:rPr>
        <w:t xml:space="preserve"> as patients can </w:t>
      </w:r>
      <w:r w:rsidR="00FE08F3" w:rsidRPr="00EC4C5D">
        <w:rPr>
          <w:rFonts w:ascii="Book Antiqua" w:hAnsi="Book Antiqua" w:cs="AdvMyriadPro-R"/>
          <w:sz w:val="24"/>
          <w:szCs w:val="24"/>
          <w:lang w:val="en-US"/>
        </w:rPr>
        <w:t>also benefit from an improvement in</w:t>
      </w:r>
      <w:r w:rsidR="00D82186" w:rsidRPr="00EC4C5D">
        <w:rPr>
          <w:rFonts w:ascii="Book Antiqua" w:hAnsi="Book Antiqua" w:cs="AdvMyriadPro-R"/>
          <w:sz w:val="24"/>
          <w:szCs w:val="24"/>
          <w:lang w:val="en-US"/>
        </w:rPr>
        <w:t xml:space="preserve"> </w:t>
      </w:r>
      <w:r w:rsidR="00764D70" w:rsidRPr="00EC4C5D">
        <w:rPr>
          <w:rFonts w:ascii="Book Antiqua" w:hAnsi="Book Antiqua" w:cs="AdvMyriadPro-R"/>
          <w:sz w:val="24"/>
          <w:szCs w:val="24"/>
          <w:lang w:val="en-US"/>
        </w:rPr>
        <w:t>overall survival (</w:t>
      </w:r>
      <w:r w:rsidR="00D82186" w:rsidRPr="00EC4C5D">
        <w:rPr>
          <w:rFonts w:ascii="Book Antiqua" w:hAnsi="Book Antiqua" w:cs="AdvMyriadPro-R"/>
          <w:sz w:val="24"/>
          <w:szCs w:val="24"/>
          <w:lang w:val="en-US"/>
        </w:rPr>
        <w:t>OS</w:t>
      </w:r>
      <w:r w:rsidR="00764D70" w:rsidRPr="00EC4C5D">
        <w:rPr>
          <w:rFonts w:ascii="Book Antiqua" w:hAnsi="Book Antiqua" w:cs="AdvMyriadPro-R"/>
          <w:sz w:val="24"/>
          <w:szCs w:val="24"/>
          <w:lang w:val="en-US"/>
        </w:rPr>
        <w:t>)</w:t>
      </w:r>
      <w:r w:rsidR="00D82186" w:rsidRPr="00EC4C5D">
        <w:rPr>
          <w:rFonts w:ascii="Book Antiqua" w:hAnsi="Book Antiqua" w:cs="AdvMyriadPro-R"/>
          <w:sz w:val="24"/>
          <w:szCs w:val="24"/>
          <w:lang w:val="en-US"/>
        </w:rPr>
        <w:t xml:space="preserve"> </w:t>
      </w:r>
      <w:r w:rsidR="00FE08F3" w:rsidRPr="00EC4C5D">
        <w:rPr>
          <w:rFonts w:ascii="Book Antiqua" w:hAnsi="Book Antiqua" w:cs="AdvMyriadPro-R"/>
          <w:sz w:val="24"/>
          <w:szCs w:val="24"/>
          <w:lang w:val="en-US"/>
        </w:rPr>
        <w:t xml:space="preserve">already </w:t>
      </w:r>
      <w:r w:rsidR="00F16E6A" w:rsidRPr="00EC4C5D">
        <w:rPr>
          <w:rFonts w:ascii="Book Antiqua" w:hAnsi="Book Antiqua" w:cs="AdvMyriadPro-R"/>
          <w:sz w:val="24"/>
          <w:szCs w:val="24"/>
          <w:lang w:val="en-US"/>
        </w:rPr>
        <w:t>achieve</w:t>
      </w:r>
      <w:r w:rsidR="00FE08F3" w:rsidRPr="00EC4C5D">
        <w:rPr>
          <w:rFonts w:ascii="Book Antiqua" w:hAnsi="Book Antiqua" w:cs="AdvMyriadPro-R"/>
          <w:sz w:val="24"/>
          <w:szCs w:val="24"/>
          <w:lang w:val="en-US"/>
        </w:rPr>
        <w:t>d</w:t>
      </w:r>
      <w:r w:rsidR="00F16E6A" w:rsidRPr="00EC4C5D">
        <w:rPr>
          <w:rFonts w:ascii="Book Antiqua" w:hAnsi="Book Antiqua" w:cs="AdvMyriadPro-R"/>
          <w:sz w:val="24"/>
          <w:szCs w:val="24"/>
          <w:lang w:val="en-US"/>
        </w:rPr>
        <w:t xml:space="preserve"> </w:t>
      </w:r>
      <w:r w:rsidR="00FE08F3" w:rsidRPr="00EC4C5D">
        <w:rPr>
          <w:rFonts w:ascii="Book Antiqua" w:hAnsi="Book Antiqua" w:cs="AdvMyriadPro-R"/>
          <w:sz w:val="24"/>
          <w:szCs w:val="24"/>
          <w:lang w:val="en-US"/>
        </w:rPr>
        <w:t>with first line choice</w:t>
      </w:r>
      <w:r w:rsidR="00F16E6A" w:rsidRPr="00EC4C5D">
        <w:rPr>
          <w:rFonts w:ascii="Book Antiqua" w:hAnsi="Book Antiqua" w:cs="AdvMyriadPro-R"/>
          <w:sz w:val="24"/>
          <w:szCs w:val="24"/>
          <w:lang w:val="en-US"/>
        </w:rPr>
        <w:t xml:space="preserve"> </w:t>
      </w:r>
      <w:r w:rsidR="00FE08F3" w:rsidRPr="00EC4C5D">
        <w:rPr>
          <w:rFonts w:ascii="Book Antiqua" w:hAnsi="Book Antiqua" w:cs="AdvMyriadPro-R"/>
          <w:sz w:val="24"/>
          <w:szCs w:val="24"/>
          <w:lang w:val="en-US"/>
        </w:rPr>
        <w:t xml:space="preserve">and expand their chances for a longer therapeutic sequence. </w:t>
      </w:r>
      <w:r w:rsidR="00021868" w:rsidRPr="00EC4C5D">
        <w:rPr>
          <w:rFonts w:ascii="Book Antiqua" w:hAnsi="Book Antiqua" w:cs="AdvMyriadPro-R"/>
          <w:sz w:val="24"/>
          <w:szCs w:val="24"/>
          <w:lang w:val="en-US"/>
        </w:rPr>
        <w:t>In this regard, a large registry-based experience in the U</w:t>
      </w:r>
      <w:r w:rsidR="00AE3D5D">
        <w:rPr>
          <w:rFonts w:ascii="Book Antiqua" w:hAnsi="Book Antiqua" w:cs="AdvMyriadPro-R" w:hint="eastAsia"/>
          <w:sz w:val="24"/>
          <w:szCs w:val="24"/>
          <w:lang w:val="en-US" w:eastAsia="zh-CN"/>
        </w:rPr>
        <w:t>nited Kingdom</w:t>
      </w:r>
      <w:r w:rsidR="00021868" w:rsidRPr="00EC4C5D">
        <w:rPr>
          <w:rFonts w:ascii="Book Antiqua" w:hAnsi="Book Antiqua" w:cs="AdvMyriadPro-R"/>
          <w:sz w:val="24"/>
          <w:szCs w:val="24"/>
          <w:lang w:val="en-US"/>
        </w:rPr>
        <w:t xml:space="preserve"> has shown that those patients </w:t>
      </w:r>
      <w:r w:rsidR="008F7D07" w:rsidRPr="00EC4C5D">
        <w:rPr>
          <w:rFonts w:ascii="Book Antiqua" w:hAnsi="Book Antiqua" w:cs="AdvMyriadPro-R"/>
          <w:sz w:val="24"/>
          <w:szCs w:val="24"/>
          <w:lang w:val="en-US"/>
        </w:rPr>
        <w:t>who received a second line treatment</w:t>
      </w:r>
      <w:r w:rsidR="00021868" w:rsidRPr="00EC4C5D">
        <w:rPr>
          <w:rFonts w:ascii="Book Antiqua" w:hAnsi="Book Antiqua" w:cs="AdvMyriadPro-R"/>
          <w:sz w:val="24"/>
          <w:szCs w:val="24"/>
          <w:lang w:val="en-US"/>
        </w:rPr>
        <w:t xml:space="preserve"> lived longer (33 </w:t>
      </w:r>
      <w:proofErr w:type="spellStart"/>
      <w:r w:rsidR="00021868" w:rsidRPr="00EC4C5D">
        <w:rPr>
          <w:rFonts w:ascii="Book Antiqua" w:hAnsi="Book Antiqua" w:cs="AdvMyriadPro-R"/>
          <w:sz w:val="24"/>
          <w:szCs w:val="24"/>
          <w:lang w:val="en-US"/>
        </w:rPr>
        <w:t>mo</w:t>
      </w:r>
      <w:proofErr w:type="spellEnd"/>
      <w:r w:rsidR="00021868" w:rsidRPr="00EC4C5D">
        <w:rPr>
          <w:rFonts w:ascii="Book Antiqua" w:hAnsi="Book Antiqua" w:cs="AdvMyriadPro-R"/>
          <w:sz w:val="24"/>
          <w:szCs w:val="24"/>
          <w:lang w:val="en-US"/>
        </w:rPr>
        <w:t xml:space="preserve">; ranging from 30.8-35.2) than those who did not receive further treatment after first line (20.9 </w:t>
      </w:r>
      <w:proofErr w:type="spellStart"/>
      <w:r w:rsidR="00021868" w:rsidRPr="00EC4C5D">
        <w:rPr>
          <w:rFonts w:ascii="Book Antiqua" w:hAnsi="Book Antiqua" w:cs="AdvMyriadPro-R"/>
          <w:sz w:val="24"/>
          <w:szCs w:val="24"/>
          <w:lang w:val="en-US"/>
        </w:rPr>
        <w:t>m</w:t>
      </w:r>
      <w:r w:rsidR="00A43AFE" w:rsidRPr="00EC4C5D">
        <w:rPr>
          <w:rFonts w:ascii="Book Antiqua" w:hAnsi="Book Antiqua" w:cs="AdvMyriadPro-R"/>
          <w:sz w:val="24"/>
          <w:szCs w:val="24"/>
          <w:lang w:val="en-US"/>
        </w:rPr>
        <w:t>o</w:t>
      </w:r>
      <w:proofErr w:type="spellEnd"/>
      <w:r w:rsidR="00A43AFE" w:rsidRPr="00EC4C5D">
        <w:rPr>
          <w:rFonts w:ascii="Book Antiqua" w:hAnsi="Book Antiqua" w:cs="AdvMyriadPro-R"/>
          <w:sz w:val="24"/>
          <w:szCs w:val="24"/>
          <w:lang w:val="en-US"/>
        </w:rPr>
        <w:t>; ranging from 16.4-25.3)</w:t>
      </w:r>
      <w:r w:rsidR="00AE3D5D" w:rsidRPr="00AE3D5D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[</w:t>
      </w:r>
      <w:r w:rsidR="00AE3D5D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2</w:t>
      </w:r>
      <w:r w:rsidR="00AE3D5D" w:rsidRPr="00AE3D5D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]</w:t>
      </w:r>
      <w:r w:rsidR="00A43AFE" w:rsidRPr="00EC4C5D">
        <w:rPr>
          <w:rFonts w:ascii="Book Antiqua" w:hAnsi="Book Antiqua" w:cs="AdvMyriadPro-R"/>
          <w:sz w:val="24"/>
          <w:szCs w:val="24"/>
          <w:lang w:val="en-US"/>
        </w:rPr>
        <w:t xml:space="preserve">. </w:t>
      </w:r>
      <w:r w:rsidR="00F3159C" w:rsidRPr="00EC4C5D">
        <w:rPr>
          <w:rFonts w:ascii="Book Antiqua" w:hAnsi="Book Antiqua"/>
          <w:sz w:val="24"/>
          <w:szCs w:val="24"/>
          <w:lang w:val="en-US"/>
        </w:rPr>
        <w:t>Fortunately, o</w:t>
      </w:r>
      <w:r w:rsidR="00DA38EA" w:rsidRPr="00EC4C5D">
        <w:rPr>
          <w:rFonts w:ascii="Book Antiqua" w:hAnsi="Book Antiqua"/>
          <w:sz w:val="24"/>
          <w:szCs w:val="24"/>
          <w:lang w:val="en-US"/>
        </w:rPr>
        <w:t xml:space="preserve">ptions for second line therapy </w:t>
      </w:r>
      <w:r w:rsidR="00FE08F3" w:rsidRPr="00EC4C5D">
        <w:rPr>
          <w:rFonts w:ascii="Book Antiqua" w:hAnsi="Book Antiqua"/>
          <w:sz w:val="24"/>
          <w:szCs w:val="24"/>
          <w:lang w:val="en-US"/>
        </w:rPr>
        <w:t>have multiplied</w:t>
      </w:r>
      <w:r w:rsidR="00093AE9" w:rsidRPr="00EC4C5D">
        <w:rPr>
          <w:rFonts w:ascii="Book Antiqua" w:hAnsi="Book Antiqua"/>
          <w:sz w:val="24"/>
          <w:szCs w:val="24"/>
          <w:lang w:val="en-US"/>
        </w:rPr>
        <w:t xml:space="preserve"> with the recent approval of</w:t>
      </w:r>
      <w:r w:rsidR="00270190" w:rsidRPr="00EC4C5D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270190" w:rsidRPr="00EC4C5D">
        <w:rPr>
          <w:rFonts w:ascii="Book Antiqua" w:hAnsi="Book Antiqua"/>
          <w:sz w:val="24"/>
          <w:szCs w:val="24"/>
          <w:lang w:val="en-US"/>
        </w:rPr>
        <w:t>nivolumab</w:t>
      </w:r>
      <w:proofErr w:type="spellEnd"/>
      <w:r w:rsidR="00270190" w:rsidRPr="00EC4C5D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="00270190" w:rsidRPr="00EC4C5D">
        <w:rPr>
          <w:rFonts w:ascii="Book Antiqua" w:hAnsi="Book Antiqua"/>
          <w:sz w:val="24"/>
          <w:szCs w:val="24"/>
          <w:lang w:val="en-US"/>
        </w:rPr>
        <w:t>cabozantinib</w:t>
      </w:r>
      <w:proofErr w:type="spellEnd"/>
      <w:r w:rsidR="00270190" w:rsidRPr="00EC4C5D">
        <w:rPr>
          <w:rFonts w:ascii="Book Antiqua" w:hAnsi="Book Antiqua"/>
          <w:sz w:val="24"/>
          <w:szCs w:val="24"/>
          <w:lang w:val="en-US"/>
        </w:rPr>
        <w:t xml:space="preserve"> and</w:t>
      </w:r>
      <w:r w:rsidR="007D569F" w:rsidRPr="00EC4C5D">
        <w:rPr>
          <w:rFonts w:ascii="Book Antiqua" w:hAnsi="Book Antiqua"/>
          <w:sz w:val="24"/>
          <w:szCs w:val="24"/>
          <w:lang w:val="en-US"/>
        </w:rPr>
        <w:t xml:space="preserve"> </w:t>
      </w:r>
      <w:r w:rsidR="00270190" w:rsidRPr="00EC4C5D">
        <w:rPr>
          <w:rFonts w:ascii="Book Antiqua" w:hAnsi="Book Antiqua"/>
          <w:sz w:val="24"/>
          <w:szCs w:val="24"/>
          <w:lang w:val="en-US"/>
        </w:rPr>
        <w:t xml:space="preserve">the combination of </w:t>
      </w:r>
      <w:proofErr w:type="spellStart"/>
      <w:r w:rsidR="007D569F" w:rsidRPr="00EC4C5D">
        <w:rPr>
          <w:rFonts w:ascii="Book Antiqua" w:hAnsi="Book Antiqua"/>
          <w:sz w:val="24"/>
          <w:szCs w:val="24"/>
          <w:lang w:val="en-US"/>
        </w:rPr>
        <w:t>everolimus</w:t>
      </w:r>
      <w:proofErr w:type="spellEnd"/>
      <w:r w:rsidR="007D569F" w:rsidRPr="00EC4C5D">
        <w:rPr>
          <w:rFonts w:ascii="Book Antiqua" w:hAnsi="Book Antiqua"/>
          <w:sz w:val="24"/>
          <w:szCs w:val="24"/>
          <w:lang w:val="en-US"/>
        </w:rPr>
        <w:t xml:space="preserve"> with </w:t>
      </w:r>
      <w:proofErr w:type="spellStart"/>
      <w:proofErr w:type="gramStart"/>
      <w:r w:rsidR="007D569F" w:rsidRPr="00EC4C5D">
        <w:rPr>
          <w:rFonts w:ascii="Book Antiqua" w:hAnsi="Book Antiqua"/>
          <w:sz w:val="24"/>
          <w:szCs w:val="24"/>
          <w:lang w:val="en-US"/>
        </w:rPr>
        <w:t>lenvatinib</w:t>
      </w:r>
      <w:proofErr w:type="spellEnd"/>
      <w:r w:rsidR="00AE3D5D" w:rsidRPr="00AE3D5D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[</w:t>
      </w:r>
      <w:proofErr w:type="gramEnd"/>
      <w:r w:rsidR="00AE3D5D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3-6</w:t>
      </w:r>
      <w:r w:rsidR="00AE3D5D" w:rsidRPr="00AE3D5D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]</w:t>
      </w:r>
      <w:r w:rsidR="007D569F" w:rsidRPr="00EC4C5D">
        <w:rPr>
          <w:rFonts w:ascii="Book Antiqua" w:hAnsi="Book Antiqua"/>
          <w:sz w:val="24"/>
          <w:szCs w:val="24"/>
          <w:lang w:val="en-US"/>
        </w:rPr>
        <w:t>.</w:t>
      </w:r>
      <w:r w:rsidR="007D569F" w:rsidRPr="00EC4C5D">
        <w:rPr>
          <w:rFonts w:ascii="Book Antiqua" w:hAnsi="Book Antiqua" w:cs="AdvMyriadPro-R"/>
          <w:sz w:val="24"/>
          <w:szCs w:val="24"/>
          <w:lang w:val="en-US"/>
        </w:rPr>
        <w:t xml:space="preserve"> However,</w:t>
      </w:r>
      <w:r w:rsidR="00107FAA" w:rsidRPr="00EC4C5D">
        <w:rPr>
          <w:rFonts w:ascii="Book Antiqua" w:hAnsi="Book Antiqua" w:cs="AdvMyriadPro-R"/>
          <w:sz w:val="24"/>
          <w:szCs w:val="24"/>
          <w:lang w:val="en-US"/>
        </w:rPr>
        <w:t xml:space="preserve"> </w:t>
      </w:r>
      <w:r w:rsidR="00BE4E42" w:rsidRPr="00EC4C5D">
        <w:rPr>
          <w:rFonts w:ascii="Book Antiqua" w:hAnsi="Book Antiqua" w:cs="Times New Roman"/>
          <w:sz w:val="24"/>
          <w:szCs w:val="24"/>
          <w:lang w:val="en-US"/>
        </w:rPr>
        <w:t xml:space="preserve">there are no head-to-head comparisons between </w:t>
      </w:r>
      <w:r w:rsidR="001D311B" w:rsidRPr="00EC4C5D">
        <w:rPr>
          <w:rFonts w:ascii="Book Antiqua" w:hAnsi="Book Antiqua" w:cs="Times New Roman"/>
          <w:sz w:val="24"/>
          <w:szCs w:val="24"/>
          <w:lang w:val="en-US"/>
        </w:rPr>
        <w:t>them</w:t>
      </w:r>
      <w:r w:rsidR="00270190" w:rsidRPr="00EC4C5D">
        <w:rPr>
          <w:rFonts w:ascii="Book Antiqua" w:hAnsi="Book Antiqua" w:cs="Times New Roman"/>
          <w:sz w:val="24"/>
          <w:szCs w:val="24"/>
          <w:lang w:val="en-US"/>
        </w:rPr>
        <w:t xml:space="preserve"> and </w:t>
      </w:r>
      <w:r w:rsidR="008F7D07" w:rsidRPr="00EC4C5D">
        <w:rPr>
          <w:rFonts w:ascii="Book Antiqua" w:hAnsi="Book Antiqua" w:cs="Times New Roman"/>
          <w:sz w:val="24"/>
          <w:szCs w:val="24"/>
          <w:lang w:val="en-US"/>
        </w:rPr>
        <w:t>no</w:t>
      </w:r>
      <w:r w:rsidR="00ED38FD" w:rsidRPr="00EC4C5D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D38FD" w:rsidRPr="00EC4C5D">
        <w:rPr>
          <w:rFonts w:ascii="Book Antiqua" w:hAnsi="Book Antiqua"/>
          <w:sz w:val="24"/>
          <w:szCs w:val="24"/>
          <w:lang w:val="en-US"/>
        </w:rPr>
        <w:t xml:space="preserve">predictive </w:t>
      </w:r>
      <w:r w:rsidR="00270190" w:rsidRPr="00EC4C5D">
        <w:rPr>
          <w:rFonts w:ascii="Book Antiqua" w:hAnsi="Book Antiqua"/>
          <w:sz w:val="24"/>
          <w:szCs w:val="24"/>
          <w:lang w:val="en-US"/>
        </w:rPr>
        <w:t>biomarker</w:t>
      </w:r>
      <w:r w:rsidR="00ED38FD" w:rsidRPr="00EC4C5D">
        <w:rPr>
          <w:rFonts w:ascii="Book Antiqua" w:hAnsi="Book Antiqua"/>
          <w:sz w:val="24"/>
          <w:szCs w:val="24"/>
          <w:lang w:val="en-US"/>
        </w:rPr>
        <w:t xml:space="preserve"> </w:t>
      </w:r>
      <w:r w:rsidR="008F7D07" w:rsidRPr="00EC4C5D">
        <w:rPr>
          <w:rFonts w:ascii="Book Antiqua" w:hAnsi="Book Antiqua"/>
          <w:sz w:val="24"/>
          <w:szCs w:val="24"/>
          <w:lang w:val="en-US"/>
        </w:rPr>
        <w:t>has been validated</w:t>
      </w:r>
      <w:r w:rsidR="00ED38FD" w:rsidRPr="00EC4C5D">
        <w:rPr>
          <w:rFonts w:ascii="Book Antiqua" w:hAnsi="Book Antiqua"/>
          <w:sz w:val="24"/>
          <w:szCs w:val="24"/>
          <w:lang w:val="en-US"/>
        </w:rPr>
        <w:t xml:space="preserve"> </w:t>
      </w:r>
      <w:r w:rsidR="008F7D07" w:rsidRPr="00EC4C5D">
        <w:rPr>
          <w:rFonts w:ascii="Book Antiqua" w:hAnsi="Book Antiqua"/>
          <w:sz w:val="24"/>
          <w:szCs w:val="24"/>
          <w:lang w:val="en-US"/>
        </w:rPr>
        <w:t>for the second line treatment decision</w:t>
      </w:r>
      <w:r w:rsidR="005B7910" w:rsidRPr="00EC4C5D">
        <w:rPr>
          <w:rFonts w:ascii="Book Antiqua" w:hAnsi="Book Antiqua"/>
          <w:sz w:val="24"/>
          <w:szCs w:val="24"/>
          <w:lang w:val="en-US"/>
        </w:rPr>
        <w:t xml:space="preserve"> </w:t>
      </w:r>
      <w:proofErr w:type="gramStart"/>
      <w:r w:rsidR="005B7910" w:rsidRPr="00EC4C5D">
        <w:rPr>
          <w:rFonts w:ascii="Book Antiqua" w:hAnsi="Book Antiqua"/>
          <w:sz w:val="24"/>
          <w:szCs w:val="24"/>
          <w:lang w:val="en-US"/>
        </w:rPr>
        <w:t>making</w:t>
      </w:r>
      <w:r w:rsidR="00AE3D5D" w:rsidRPr="00AE3D5D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[</w:t>
      </w:r>
      <w:proofErr w:type="gramEnd"/>
      <w:r w:rsidR="00AE3D5D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7</w:t>
      </w:r>
      <w:r w:rsidR="00AE3D5D" w:rsidRPr="00AE3D5D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]</w:t>
      </w:r>
      <w:r w:rsidR="00270190" w:rsidRPr="00EC4C5D">
        <w:rPr>
          <w:rFonts w:ascii="Book Antiqua" w:hAnsi="Book Antiqua" w:cs="Times New Roman"/>
          <w:sz w:val="24"/>
          <w:szCs w:val="24"/>
          <w:lang w:val="en-US"/>
        </w:rPr>
        <w:t>.</w:t>
      </w:r>
      <w:r w:rsidR="00ED38FD" w:rsidRPr="00EC4C5D">
        <w:rPr>
          <w:rFonts w:ascii="Book Antiqua" w:hAnsi="Book Antiqua"/>
          <w:sz w:val="24"/>
          <w:szCs w:val="24"/>
          <w:lang w:val="en-US"/>
        </w:rPr>
        <w:t xml:space="preserve"> B</w:t>
      </w:r>
      <w:r w:rsidR="007D569F" w:rsidRPr="00EC4C5D">
        <w:rPr>
          <w:rFonts w:ascii="Book Antiqua" w:hAnsi="Book Antiqua" w:cs="AdvMyriadPro-R"/>
          <w:sz w:val="24"/>
          <w:szCs w:val="24"/>
          <w:lang w:val="en-US"/>
        </w:rPr>
        <w:t>eside</w:t>
      </w:r>
      <w:r w:rsidR="003E5EEB" w:rsidRPr="00EC4C5D">
        <w:rPr>
          <w:rFonts w:ascii="Book Antiqua" w:hAnsi="Book Antiqua" w:cs="AdvMyriadPro-R"/>
          <w:sz w:val="24"/>
          <w:szCs w:val="24"/>
          <w:lang w:val="en-US"/>
        </w:rPr>
        <w:t>s,</w:t>
      </w:r>
      <w:r w:rsidR="007D569F" w:rsidRPr="00EC4C5D">
        <w:rPr>
          <w:rFonts w:ascii="Book Antiqua" w:hAnsi="Book Antiqua" w:cs="AdvMyriadPro-R"/>
          <w:sz w:val="24"/>
          <w:szCs w:val="24"/>
          <w:lang w:val="en-US"/>
        </w:rPr>
        <w:t xml:space="preserve"> the </w:t>
      </w:r>
      <w:r w:rsidR="00107FAA" w:rsidRPr="00EC4C5D">
        <w:rPr>
          <w:rFonts w:ascii="Book Antiqua" w:hAnsi="Book Antiqua" w:cs="Times New Roman"/>
          <w:sz w:val="24"/>
          <w:szCs w:val="24"/>
          <w:lang w:val="en-US"/>
        </w:rPr>
        <w:t>uncertainty regarding</w:t>
      </w:r>
      <w:r w:rsidR="00B86992" w:rsidRPr="00EC4C5D">
        <w:rPr>
          <w:rFonts w:ascii="Book Antiqua" w:hAnsi="Book Antiqua" w:cs="Times New Roman"/>
          <w:sz w:val="24"/>
          <w:szCs w:val="24"/>
          <w:lang w:val="en-US"/>
        </w:rPr>
        <w:t xml:space="preserve"> the</w:t>
      </w:r>
      <w:r w:rsidR="00107FAA" w:rsidRPr="00EC4C5D">
        <w:rPr>
          <w:rFonts w:ascii="Book Antiqua" w:hAnsi="Book Antiqua" w:cs="Times New Roman"/>
          <w:sz w:val="24"/>
          <w:szCs w:val="24"/>
          <w:lang w:val="en-US"/>
        </w:rPr>
        <w:t xml:space="preserve"> optimal </w:t>
      </w:r>
      <w:r w:rsidR="007D569F" w:rsidRPr="00EC4C5D">
        <w:rPr>
          <w:rFonts w:ascii="Book Antiqua" w:hAnsi="Book Antiqua" w:cs="AdvMyriadPro-R"/>
          <w:sz w:val="24"/>
          <w:szCs w:val="24"/>
          <w:lang w:val="en-US"/>
        </w:rPr>
        <w:t>therapeutic sequence</w:t>
      </w:r>
      <w:r w:rsidR="00B86992" w:rsidRPr="00EC4C5D">
        <w:rPr>
          <w:rFonts w:ascii="Book Antiqua" w:hAnsi="Book Antiqua" w:cs="AdvMyriadPro-R"/>
          <w:sz w:val="24"/>
          <w:szCs w:val="24"/>
          <w:lang w:val="en-US"/>
        </w:rPr>
        <w:t>,</w:t>
      </w:r>
      <w:r w:rsidR="007D569F" w:rsidRPr="00EC4C5D">
        <w:rPr>
          <w:rFonts w:ascii="Book Antiqua" w:hAnsi="Book Antiqua" w:cs="AdvMyriadPro-R"/>
          <w:sz w:val="24"/>
          <w:szCs w:val="24"/>
          <w:lang w:val="en-US"/>
        </w:rPr>
        <w:t xml:space="preserve"> there is an urgent need for </w:t>
      </w:r>
      <w:r w:rsidR="00B86992" w:rsidRPr="00EC4C5D">
        <w:rPr>
          <w:rFonts w:ascii="Book Antiqua" w:hAnsi="Book Antiqua" w:cs="AdvMyriadPro-R"/>
          <w:sz w:val="24"/>
          <w:szCs w:val="24"/>
          <w:lang w:val="en-US"/>
        </w:rPr>
        <w:t xml:space="preserve">developing </w:t>
      </w:r>
      <w:r w:rsidR="007D569F" w:rsidRPr="00EC4C5D">
        <w:rPr>
          <w:rFonts w:ascii="Book Antiqua" w:hAnsi="Book Antiqua" w:cs="AdvMyriadPro-R"/>
          <w:sz w:val="24"/>
          <w:szCs w:val="24"/>
          <w:lang w:val="en-US"/>
        </w:rPr>
        <w:t xml:space="preserve">prognostic and predictive </w:t>
      </w:r>
      <w:r w:rsidR="008F7D07" w:rsidRPr="00EC4C5D">
        <w:rPr>
          <w:rFonts w:ascii="Book Antiqua" w:hAnsi="Book Antiqua" w:cs="AdvMyriadPro-R"/>
          <w:sz w:val="24"/>
          <w:szCs w:val="24"/>
          <w:lang w:val="en-US"/>
        </w:rPr>
        <w:t>variables</w:t>
      </w:r>
      <w:r w:rsidR="007D569F" w:rsidRPr="00EC4C5D">
        <w:rPr>
          <w:rFonts w:ascii="Book Antiqua" w:hAnsi="Book Antiqua" w:cs="AdvMyriadPro-R"/>
          <w:sz w:val="24"/>
          <w:szCs w:val="24"/>
          <w:lang w:val="en-US"/>
        </w:rPr>
        <w:t xml:space="preserve">, in order to select </w:t>
      </w:r>
      <w:r w:rsidR="00B86992" w:rsidRPr="00EC4C5D">
        <w:rPr>
          <w:rFonts w:ascii="Book Antiqua" w:hAnsi="Book Antiqua" w:cs="AdvMyriadPro-R"/>
          <w:sz w:val="24"/>
          <w:szCs w:val="24"/>
          <w:lang w:val="en-US"/>
        </w:rPr>
        <w:t xml:space="preserve">patients who </w:t>
      </w:r>
      <w:r w:rsidR="00A40502" w:rsidRPr="00EC4C5D">
        <w:rPr>
          <w:rFonts w:ascii="Book Antiqua" w:hAnsi="Book Antiqua" w:cs="AdvMyriadPro-R"/>
          <w:sz w:val="24"/>
          <w:szCs w:val="24"/>
          <w:lang w:val="en-US"/>
        </w:rPr>
        <w:t>will</w:t>
      </w:r>
      <w:r w:rsidR="007D569F" w:rsidRPr="00EC4C5D">
        <w:rPr>
          <w:rFonts w:ascii="Book Antiqua" w:hAnsi="Book Antiqua" w:cs="AdvMyriadPro-R"/>
          <w:sz w:val="24"/>
          <w:szCs w:val="24"/>
          <w:lang w:val="en-US"/>
        </w:rPr>
        <w:t xml:space="preserve"> benefit from a</w:t>
      </w:r>
      <w:r w:rsidR="00A40502" w:rsidRPr="00EC4C5D">
        <w:rPr>
          <w:rFonts w:ascii="Book Antiqua" w:hAnsi="Book Antiqua" w:cs="AdvMyriadPro-R"/>
          <w:sz w:val="24"/>
          <w:szCs w:val="24"/>
          <w:lang w:val="en-US"/>
        </w:rPr>
        <w:t xml:space="preserve"> specific</w:t>
      </w:r>
      <w:r w:rsidR="00DA38EA" w:rsidRPr="00EC4C5D">
        <w:rPr>
          <w:rFonts w:ascii="Book Antiqua" w:hAnsi="Book Antiqua" w:cs="AdvMyriadPro-R"/>
          <w:sz w:val="24"/>
          <w:szCs w:val="24"/>
          <w:lang w:val="en-US"/>
        </w:rPr>
        <w:t xml:space="preserve"> second </w:t>
      </w:r>
      <w:r w:rsidR="007D569F" w:rsidRPr="00EC4C5D">
        <w:rPr>
          <w:rFonts w:ascii="Book Antiqua" w:hAnsi="Book Antiqua" w:cs="AdvMyriadPro-R"/>
          <w:sz w:val="24"/>
          <w:szCs w:val="24"/>
          <w:lang w:val="en-US"/>
        </w:rPr>
        <w:t xml:space="preserve">line </w:t>
      </w:r>
      <w:proofErr w:type="gramStart"/>
      <w:r w:rsidR="007D569F" w:rsidRPr="00EC4C5D">
        <w:rPr>
          <w:rFonts w:ascii="Book Antiqua" w:hAnsi="Book Antiqua" w:cs="AdvMyriadPro-R"/>
          <w:sz w:val="24"/>
          <w:szCs w:val="24"/>
          <w:lang w:val="en-US"/>
        </w:rPr>
        <w:t>treatment</w:t>
      </w:r>
      <w:r w:rsidR="00444902" w:rsidRPr="00AE3D5D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[</w:t>
      </w:r>
      <w:proofErr w:type="gramEnd"/>
      <w:r w:rsidR="00444902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8</w:t>
      </w:r>
      <w:r w:rsidR="00444902" w:rsidRPr="00AE3D5D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]</w:t>
      </w:r>
      <w:r w:rsidR="00A40502" w:rsidRPr="00EC4C5D">
        <w:rPr>
          <w:rFonts w:ascii="Book Antiqua" w:hAnsi="Book Antiqua" w:cs="AdvMyriadPro-R"/>
          <w:sz w:val="24"/>
          <w:szCs w:val="24"/>
          <w:lang w:val="en-US"/>
        </w:rPr>
        <w:t xml:space="preserve">. </w:t>
      </w:r>
    </w:p>
    <w:p w14:paraId="12F67121" w14:textId="1C01BD87" w:rsidR="00901A6D" w:rsidRPr="00EC4C5D" w:rsidRDefault="001D311B" w:rsidP="00CB64D9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AdvMyriadPro-R"/>
          <w:sz w:val="24"/>
          <w:szCs w:val="24"/>
          <w:lang w:val="en-US"/>
        </w:rPr>
      </w:pPr>
      <w:r w:rsidRPr="00EC4C5D">
        <w:rPr>
          <w:rFonts w:ascii="Book Antiqua" w:hAnsi="Book Antiqua" w:cs="AdvMyriadPro-R"/>
          <w:sz w:val="24"/>
          <w:szCs w:val="24"/>
          <w:lang w:val="en-US"/>
        </w:rPr>
        <w:t>There are some</w:t>
      </w:r>
      <w:r w:rsidR="002963EF" w:rsidRPr="00EC4C5D">
        <w:rPr>
          <w:rFonts w:ascii="Book Antiqua" w:hAnsi="Book Antiqua" w:cs="AdvMyriadPro-R"/>
          <w:sz w:val="24"/>
          <w:szCs w:val="24"/>
          <w:lang w:val="en-US"/>
        </w:rPr>
        <w:t xml:space="preserve"> clinical and economic-derived</w:t>
      </w:r>
      <w:r w:rsidRPr="00EC4C5D">
        <w:rPr>
          <w:rFonts w:ascii="Book Antiqua" w:hAnsi="Book Antiqua" w:cs="AdvMyriadPro-R"/>
          <w:sz w:val="24"/>
          <w:szCs w:val="24"/>
          <w:lang w:val="en-US"/>
        </w:rPr>
        <w:t xml:space="preserve"> factors</w:t>
      </w:r>
      <w:r w:rsidR="002963EF" w:rsidRPr="00EC4C5D">
        <w:rPr>
          <w:rFonts w:ascii="Book Antiqua" w:hAnsi="Book Antiqua" w:cs="AdvMyriadPro-R"/>
          <w:sz w:val="24"/>
          <w:szCs w:val="24"/>
          <w:lang w:val="en-US"/>
        </w:rPr>
        <w:t xml:space="preserve"> coming from the pivotal trials of each </w:t>
      </w:r>
      <w:r w:rsidR="00DB1D77" w:rsidRPr="00EC4C5D">
        <w:rPr>
          <w:rFonts w:ascii="Book Antiqua" w:hAnsi="Book Antiqua" w:cs="AdvMyriadPro-R"/>
          <w:sz w:val="24"/>
          <w:szCs w:val="24"/>
          <w:lang w:val="en-US"/>
        </w:rPr>
        <w:t>agent</w:t>
      </w:r>
      <w:r w:rsidRPr="00EC4C5D">
        <w:rPr>
          <w:rFonts w:ascii="Book Antiqua" w:hAnsi="Book Antiqua" w:cs="AdvMyriadPro-R"/>
          <w:sz w:val="24"/>
          <w:szCs w:val="24"/>
          <w:lang w:val="en-US"/>
        </w:rPr>
        <w:t xml:space="preserve"> that could be considered </w:t>
      </w:r>
      <w:r w:rsidR="002963EF" w:rsidRPr="00EC4C5D">
        <w:rPr>
          <w:rFonts w:ascii="Book Antiqua" w:hAnsi="Book Antiqua" w:cs="AdvMyriadPro-R"/>
          <w:sz w:val="24"/>
          <w:szCs w:val="24"/>
          <w:lang w:val="en-US"/>
        </w:rPr>
        <w:t>at the time of</w:t>
      </w:r>
      <w:r w:rsidRPr="00EC4C5D">
        <w:rPr>
          <w:rFonts w:ascii="Book Antiqua" w:hAnsi="Book Antiqua" w:cs="AdvMyriadPro-R"/>
          <w:sz w:val="24"/>
          <w:szCs w:val="24"/>
          <w:lang w:val="en-US"/>
        </w:rPr>
        <w:t xml:space="preserve"> second line treatment decision</w:t>
      </w:r>
      <w:r w:rsidR="00DD41C5" w:rsidRPr="00EC4C5D">
        <w:rPr>
          <w:rFonts w:ascii="Book Antiqua" w:hAnsi="Book Antiqua" w:cs="AdvMyriadPro-R"/>
          <w:sz w:val="24"/>
          <w:szCs w:val="24"/>
          <w:lang w:val="en-US"/>
        </w:rPr>
        <w:t>s</w:t>
      </w:r>
      <w:r w:rsidR="009C4FA5" w:rsidRPr="00EC4C5D">
        <w:rPr>
          <w:rFonts w:ascii="Book Antiqua" w:hAnsi="Book Antiqua" w:cs="AdvMyriadPro-R"/>
          <w:sz w:val="24"/>
          <w:szCs w:val="24"/>
          <w:lang w:val="en-US"/>
        </w:rPr>
        <w:t xml:space="preserve"> (</w:t>
      </w:r>
      <w:r w:rsidR="00CB64D9">
        <w:rPr>
          <w:rFonts w:ascii="Book Antiqua" w:hAnsi="Book Antiqua" w:cs="AdvMyriadPro-R" w:hint="eastAsia"/>
          <w:sz w:val="24"/>
          <w:szCs w:val="24"/>
          <w:lang w:val="en-US" w:eastAsia="zh-CN"/>
        </w:rPr>
        <w:t>T</w:t>
      </w:r>
      <w:r w:rsidR="009C4FA5" w:rsidRPr="00EC4C5D">
        <w:rPr>
          <w:rFonts w:ascii="Book Antiqua" w:hAnsi="Book Antiqua" w:cs="AdvMyriadPro-R"/>
          <w:sz w:val="24"/>
          <w:szCs w:val="24"/>
          <w:lang w:val="en-US"/>
        </w:rPr>
        <w:t>able 1)</w:t>
      </w:r>
      <w:r w:rsidRPr="00EC4C5D">
        <w:rPr>
          <w:rFonts w:ascii="Book Antiqua" w:hAnsi="Book Antiqua" w:cs="AdvMyriadPro-R"/>
          <w:sz w:val="24"/>
          <w:szCs w:val="24"/>
          <w:lang w:val="en-US"/>
        </w:rPr>
        <w:t xml:space="preserve">. The </w:t>
      </w:r>
      <w:r w:rsidR="00FA73A7" w:rsidRPr="00EC4C5D">
        <w:rPr>
          <w:rFonts w:ascii="Book Antiqua" w:hAnsi="Book Antiqua" w:cs="AdvP4DF60E"/>
          <w:sz w:val="24"/>
          <w:szCs w:val="24"/>
          <w:lang w:val="en-US"/>
        </w:rPr>
        <w:t>patient’s tumor burden</w:t>
      </w:r>
      <w:r w:rsidRPr="00EC4C5D">
        <w:rPr>
          <w:rFonts w:ascii="Book Antiqua" w:hAnsi="Book Antiqua" w:cs="AdvP4DF60E"/>
          <w:sz w:val="24"/>
          <w:szCs w:val="24"/>
          <w:lang w:val="en-US"/>
        </w:rPr>
        <w:t xml:space="preserve"> has been suggested from retrospective data as being strongly correlated with</w:t>
      </w:r>
      <w:r w:rsidR="00FA73A7" w:rsidRPr="00EC4C5D">
        <w:rPr>
          <w:rFonts w:ascii="Book Antiqua" w:hAnsi="Book Antiqua" w:cs="AdvP4DF60E"/>
          <w:sz w:val="24"/>
          <w:szCs w:val="24"/>
          <w:lang w:val="en-US"/>
        </w:rPr>
        <w:t xml:space="preserve"> </w:t>
      </w:r>
      <w:r w:rsidRPr="00EC4C5D">
        <w:rPr>
          <w:rFonts w:ascii="Book Antiqua" w:hAnsi="Book Antiqua" w:cs="AdvP4DF60E"/>
          <w:sz w:val="24"/>
          <w:szCs w:val="24"/>
          <w:lang w:val="en-US"/>
        </w:rPr>
        <w:t>the progression free survival (</w:t>
      </w:r>
      <w:r w:rsidR="00FA73A7" w:rsidRPr="00EC4C5D">
        <w:rPr>
          <w:rFonts w:ascii="Book Antiqua" w:hAnsi="Book Antiqua" w:cs="AdvP4DF60E"/>
          <w:sz w:val="24"/>
          <w:szCs w:val="24"/>
          <w:lang w:val="en-US"/>
        </w:rPr>
        <w:t>PFS</w:t>
      </w:r>
      <w:r w:rsidRPr="00EC4C5D">
        <w:rPr>
          <w:rFonts w:ascii="Book Antiqua" w:hAnsi="Book Antiqua" w:cs="AdvP4DF60E"/>
          <w:sz w:val="24"/>
          <w:szCs w:val="24"/>
          <w:lang w:val="en-US"/>
        </w:rPr>
        <w:t>)</w:t>
      </w:r>
      <w:r w:rsidR="00FA73A7" w:rsidRPr="00EC4C5D">
        <w:rPr>
          <w:rFonts w:ascii="Book Antiqua" w:hAnsi="Book Antiqua" w:cs="AdvP4DF60E"/>
          <w:sz w:val="24"/>
          <w:szCs w:val="24"/>
          <w:lang w:val="en-US"/>
        </w:rPr>
        <w:t xml:space="preserve"> and OS in patients with </w:t>
      </w:r>
      <w:proofErr w:type="spellStart"/>
      <w:proofErr w:type="gramStart"/>
      <w:r w:rsidR="004B2872" w:rsidRPr="00EC4C5D">
        <w:rPr>
          <w:rFonts w:ascii="Book Antiqua" w:hAnsi="Book Antiqua" w:cs="AdvP4DF60E"/>
          <w:sz w:val="24"/>
          <w:szCs w:val="24"/>
          <w:lang w:val="en-US"/>
        </w:rPr>
        <w:t>m</w:t>
      </w:r>
      <w:r w:rsidR="00FA73A7" w:rsidRPr="00EC4C5D">
        <w:rPr>
          <w:rFonts w:ascii="Book Antiqua" w:hAnsi="Book Antiqua" w:cs="AdvP4DF60E"/>
          <w:sz w:val="24"/>
          <w:szCs w:val="24"/>
          <w:lang w:val="en-US"/>
        </w:rPr>
        <w:t>RCC</w:t>
      </w:r>
      <w:proofErr w:type="spellEnd"/>
      <w:r w:rsidR="00CB64D9" w:rsidRPr="00AE3D5D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[</w:t>
      </w:r>
      <w:proofErr w:type="gramEnd"/>
      <w:r w:rsidR="00CB64D9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9-12</w:t>
      </w:r>
      <w:r w:rsidR="00CB64D9" w:rsidRPr="00AE3D5D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]</w:t>
      </w:r>
      <w:r w:rsidR="00D774EA" w:rsidRPr="00EC4C5D">
        <w:rPr>
          <w:rFonts w:ascii="Book Antiqua" w:hAnsi="Book Antiqua"/>
          <w:sz w:val="24"/>
          <w:szCs w:val="24"/>
          <w:lang w:val="en-US"/>
        </w:rPr>
        <w:t>. T</w:t>
      </w:r>
      <w:r w:rsidR="00A40502" w:rsidRPr="00EC4C5D">
        <w:rPr>
          <w:rFonts w:ascii="Book Antiqua" w:hAnsi="Book Antiqua" w:cs="AdvMyriadPro-R"/>
          <w:sz w:val="24"/>
          <w:szCs w:val="24"/>
          <w:lang w:val="en-US"/>
        </w:rPr>
        <w:t xml:space="preserve">he </w:t>
      </w:r>
      <w:r w:rsidR="008B1231" w:rsidRPr="00EC4C5D">
        <w:rPr>
          <w:rFonts w:ascii="Book Antiqua" w:hAnsi="Book Antiqua" w:cs="AdvMyriadPro-R"/>
          <w:sz w:val="24"/>
          <w:szCs w:val="24"/>
          <w:lang w:val="en-US"/>
        </w:rPr>
        <w:t xml:space="preserve">expected </w:t>
      </w:r>
      <w:r w:rsidR="00A40502" w:rsidRPr="00EC4C5D">
        <w:rPr>
          <w:rFonts w:ascii="Book Antiqua" w:hAnsi="Book Antiqua" w:cs="AdvMyriadPro-R"/>
          <w:sz w:val="24"/>
          <w:szCs w:val="24"/>
          <w:lang w:val="en-US"/>
        </w:rPr>
        <w:t>response rate</w:t>
      </w:r>
      <w:r w:rsidR="00D774EA" w:rsidRPr="00EC4C5D">
        <w:rPr>
          <w:rFonts w:ascii="Book Antiqua" w:hAnsi="Book Antiqua" w:cs="AdvMyriadPro-R"/>
          <w:sz w:val="24"/>
          <w:szCs w:val="24"/>
          <w:lang w:val="en-US"/>
        </w:rPr>
        <w:t xml:space="preserve"> </w:t>
      </w:r>
      <w:r w:rsidRPr="00EC4C5D">
        <w:rPr>
          <w:rFonts w:ascii="Book Antiqua" w:hAnsi="Book Antiqua" w:cs="AdvMyriadPro-R"/>
          <w:sz w:val="24"/>
          <w:szCs w:val="24"/>
          <w:lang w:val="en-US"/>
        </w:rPr>
        <w:t xml:space="preserve">from </w:t>
      </w:r>
      <w:r w:rsidR="00B234CF" w:rsidRPr="00EC4C5D">
        <w:rPr>
          <w:rFonts w:ascii="Book Antiqua" w:hAnsi="Book Antiqua" w:cs="AdvMyriadPro-R"/>
          <w:sz w:val="24"/>
          <w:szCs w:val="24"/>
          <w:lang w:val="en-US"/>
        </w:rPr>
        <w:t>the approved drugs</w:t>
      </w:r>
      <w:r w:rsidRPr="00EC4C5D">
        <w:rPr>
          <w:rFonts w:ascii="Book Antiqua" w:hAnsi="Book Antiqua" w:cs="AdvMyriadPro-R"/>
          <w:sz w:val="24"/>
          <w:szCs w:val="24"/>
          <w:lang w:val="en-US"/>
        </w:rPr>
        <w:t xml:space="preserve"> has been reported to be different between </w:t>
      </w:r>
      <w:proofErr w:type="spellStart"/>
      <w:r w:rsidR="00A43AFE" w:rsidRPr="00EC4C5D">
        <w:rPr>
          <w:rFonts w:ascii="Book Antiqua" w:hAnsi="Book Antiqua" w:cs="AdvMyriadPro-R"/>
          <w:sz w:val="24"/>
          <w:szCs w:val="24"/>
          <w:lang w:val="en-US"/>
        </w:rPr>
        <w:t>c</w:t>
      </w:r>
      <w:r w:rsidRPr="00EC4C5D">
        <w:rPr>
          <w:rFonts w:ascii="Book Antiqua" w:hAnsi="Book Antiqua" w:cs="AdvMyriadPro-R"/>
          <w:sz w:val="24"/>
          <w:szCs w:val="24"/>
          <w:lang w:val="en-US"/>
        </w:rPr>
        <w:t>abozantinib</w:t>
      </w:r>
      <w:proofErr w:type="spellEnd"/>
      <w:r w:rsidRPr="00EC4C5D">
        <w:rPr>
          <w:rFonts w:ascii="Book Antiqua" w:hAnsi="Book Antiqua" w:cs="AdvMyriadPro-R"/>
          <w:sz w:val="24"/>
          <w:szCs w:val="24"/>
          <w:lang w:val="en-US"/>
        </w:rPr>
        <w:t xml:space="preserve">, </w:t>
      </w:r>
      <w:proofErr w:type="spellStart"/>
      <w:r w:rsidRPr="00EC4C5D">
        <w:rPr>
          <w:rFonts w:ascii="Book Antiqua" w:hAnsi="Book Antiqua" w:cs="AdvMyriadPro-R"/>
          <w:sz w:val="24"/>
          <w:szCs w:val="24"/>
          <w:lang w:val="en-US"/>
        </w:rPr>
        <w:t>nivolumab</w:t>
      </w:r>
      <w:proofErr w:type="spellEnd"/>
      <w:r w:rsidRPr="00EC4C5D">
        <w:rPr>
          <w:rFonts w:ascii="Book Antiqua" w:hAnsi="Book Antiqua" w:cs="AdvMyriadPro-R"/>
          <w:sz w:val="24"/>
          <w:szCs w:val="24"/>
          <w:lang w:val="en-US"/>
        </w:rPr>
        <w:t xml:space="preserve"> and</w:t>
      </w:r>
      <w:r w:rsidR="00A40502" w:rsidRPr="00EC4C5D">
        <w:rPr>
          <w:rFonts w:ascii="Book Antiqua" w:hAnsi="Book Antiqua" w:cs="AdvMyriadPro-R"/>
          <w:sz w:val="24"/>
          <w:szCs w:val="24"/>
          <w:lang w:val="en-US"/>
        </w:rPr>
        <w:t xml:space="preserve"> </w:t>
      </w:r>
      <w:proofErr w:type="spellStart"/>
      <w:r w:rsidR="00A40502" w:rsidRPr="00EC4C5D">
        <w:rPr>
          <w:rFonts w:ascii="Book Antiqua" w:hAnsi="Book Antiqua" w:cs="AdvMyriadPro-R"/>
          <w:sz w:val="24"/>
          <w:szCs w:val="24"/>
          <w:lang w:val="en-US"/>
        </w:rPr>
        <w:t>axit</w:t>
      </w:r>
      <w:r w:rsidR="00D774EA" w:rsidRPr="00EC4C5D">
        <w:rPr>
          <w:rFonts w:ascii="Book Antiqua" w:hAnsi="Book Antiqua" w:cs="AdvMyriadPro-R"/>
          <w:sz w:val="24"/>
          <w:szCs w:val="24"/>
          <w:lang w:val="en-US"/>
        </w:rPr>
        <w:t>i</w:t>
      </w:r>
      <w:r w:rsidR="00A40502" w:rsidRPr="00EC4C5D">
        <w:rPr>
          <w:rFonts w:ascii="Book Antiqua" w:hAnsi="Book Antiqua" w:cs="AdvMyriadPro-R"/>
          <w:sz w:val="24"/>
          <w:szCs w:val="24"/>
          <w:lang w:val="en-US"/>
        </w:rPr>
        <w:t>nib</w:t>
      </w:r>
      <w:proofErr w:type="spellEnd"/>
      <w:r w:rsidRPr="00EC4C5D">
        <w:rPr>
          <w:rFonts w:ascii="Book Antiqua" w:hAnsi="Book Antiqua" w:cs="AdvMyriadPro-R"/>
          <w:sz w:val="24"/>
          <w:szCs w:val="24"/>
          <w:lang w:val="en-US"/>
        </w:rPr>
        <w:t xml:space="preserve"> </w:t>
      </w:r>
      <w:r w:rsidR="00B234CF" w:rsidRPr="00EC4C5D">
        <w:rPr>
          <w:rFonts w:ascii="Book Antiqua" w:hAnsi="Book Antiqua" w:cs="AdvMyriadPro-R"/>
          <w:sz w:val="24"/>
          <w:szCs w:val="24"/>
          <w:lang w:val="en-US"/>
        </w:rPr>
        <w:t>that achieve</w:t>
      </w:r>
      <w:r w:rsidR="00D774EA" w:rsidRPr="00EC4C5D">
        <w:rPr>
          <w:rFonts w:ascii="Book Antiqua" w:hAnsi="Book Antiqua" w:cs="AdvMyriadPro-R"/>
          <w:sz w:val="24"/>
          <w:szCs w:val="24"/>
          <w:lang w:val="en-US"/>
        </w:rPr>
        <w:t xml:space="preserve"> </w:t>
      </w:r>
      <w:r w:rsidR="00585F9A" w:rsidRPr="00EC4C5D">
        <w:rPr>
          <w:rFonts w:ascii="Book Antiqua" w:hAnsi="Book Antiqua" w:cs="AdvMyriadPro-R"/>
          <w:sz w:val="24"/>
          <w:szCs w:val="24"/>
          <w:lang w:val="en-US"/>
        </w:rPr>
        <w:t xml:space="preserve">an </w:t>
      </w:r>
      <w:r w:rsidR="0095603A" w:rsidRPr="00EC4C5D">
        <w:rPr>
          <w:rFonts w:ascii="Book Antiqua" w:hAnsi="Book Antiqua" w:cs="AdvMyriadPro-R"/>
          <w:sz w:val="24"/>
          <w:szCs w:val="24"/>
          <w:lang w:val="en-US"/>
        </w:rPr>
        <w:t>overal</w:t>
      </w:r>
      <w:r w:rsidR="00B3753A" w:rsidRPr="00EC4C5D">
        <w:rPr>
          <w:rFonts w:ascii="Book Antiqua" w:hAnsi="Book Antiqua" w:cs="AdvMyriadPro-R"/>
          <w:sz w:val="24"/>
          <w:szCs w:val="24"/>
          <w:lang w:val="en-US"/>
        </w:rPr>
        <w:t>l response rate (ORR) of 17</w:t>
      </w:r>
      <w:r w:rsidR="00870D7B">
        <w:rPr>
          <w:rFonts w:ascii="Book Antiqua" w:hAnsi="Book Antiqua" w:cs="AdvMyriadPro-R" w:hint="eastAsia"/>
          <w:sz w:val="24"/>
          <w:szCs w:val="24"/>
          <w:lang w:val="en-US" w:eastAsia="zh-CN"/>
        </w:rPr>
        <w:t>%</w:t>
      </w:r>
      <w:r w:rsidR="00585F9A" w:rsidRPr="00EC4C5D">
        <w:rPr>
          <w:rFonts w:ascii="Book Antiqua" w:hAnsi="Book Antiqua" w:cs="AdvMyriadPro-R"/>
          <w:sz w:val="24"/>
          <w:szCs w:val="24"/>
          <w:lang w:val="en-US"/>
        </w:rPr>
        <w:t xml:space="preserve"> to </w:t>
      </w:r>
      <w:r w:rsidR="00B3753A" w:rsidRPr="00EC4C5D">
        <w:rPr>
          <w:rFonts w:ascii="Book Antiqua" w:hAnsi="Book Antiqua" w:cs="AdvMyriadPro-R"/>
          <w:sz w:val="24"/>
          <w:szCs w:val="24"/>
          <w:lang w:val="en-US"/>
        </w:rPr>
        <w:t>22</w:t>
      </w:r>
      <w:r w:rsidR="00DA38EA" w:rsidRPr="00EC4C5D">
        <w:rPr>
          <w:rFonts w:ascii="Book Antiqua" w:hAnsi="Book Antiqua" w:cs="AdvMyriadPro-R"/>
          <w:sz w:val="24"/>
          <w:szCs w:val="24"/>
          <w:lang w:val="en-US"/>
        </w:rPr>
        <w:t>%</w:t>
      </w:r>
      <w:r w:rsidR="00D774EA" w:rsidRPr="00EC4C5D">
        <w:rPr>
          <w:rFonts w:ascii="Book Antiqua" w:hAnsi="Book Antiqua" w:cs="AdvMyriadPro-R"/>
          <w:sz w:val="24"/>
          <w:szCs w:val="24"/>
          <w:lang w:val="en-US"/>
        </w:rPr>
        <w:t xml:space="preserve">, </w:t>
      </w:r>
      <w:r w:rsidR="009D4906" w:rsidRPr="00EC4C5D">
        <w:rPr>
          <w:rFonts w:ascii="Book Antiqua" w:hAnsi="Book Antiqua" w:cs="AdvMyriadPro-R"/>
          <w:sz w:val="24"/>
          <w:szCs w:val="24"/>
          <w:lang w:val="en-US"/>
        </w:rPr>
        <w:t>unlike</w:t>
      </w:r>
      <w:r w:rsidR="00585F9A" w:rsidRPr="00EC4C5D">
        <w:rPr>
          <w:rFonts w:ascii="Book Antiqua" w:hAnsi="Book Antiqua" w:cs="AdvMyriadPro-R"/>
          <w:sz w:val="24"/>
          <w:szCs w:val="24"/>
          <w:lang w:val="en-US"/>
        </w:rPr>
        <w:t xml:space="preserve"> </w:t>
      </w:r>
      <w:r w:rsidR="00D774EA" w:rsidRPr="00EC4C5D">
        <w:rPr>
          <w:rFonts w:ascii="Book Antiqua" w:hAnsi="Book Antiqua" w:cs="AdvMyriadPro-R"/>
          <w:sz w:val="24"/>
          <w:szCs w:val="24"/>
          <w:lang w:val="en-US"/>
        </w:rPr>
        <w:t>the combination of</w:t>
      </w:r>
      <w:r w:rsidR="00A40502" w:rsidRPr="00EC4C5D">
        <w:rPr>
          <w:rFonts w:ascii="Book Antiqua" w:hAnsi="Book Antiqua" w:cs="AdvMyriadPro-R"/>
          <w:sz w:val="24"/>
          <w:szCs w:val="24"/>
          <w:lang w:val="en-US"/>
        </w:rPr>
        <w:t xml:space="preserve"> </w:t>
      </w:r>
      <w:proofErr w:type="spellStart"/>
      <w:r w:rsidR="00D774EA" w:rsidRPr="00EC4C5D">
        <w:rPr>
          <w:rFonts w:ascii="Book Antiqua" w:hAnsi="Book Antiqua" w:cs="AdvMyriadPro-R"/>
          <w:sz w:val="24"/>
          <w:szCs w:val="24"/>
          <w:lang w:val="en-US"/>
        </w:rPr>
        <w:t>everolim</w:t>
      </w:r>
      <w:r w:rsidR="00DA38EA" w:rsidRPr="00EC4C5D">
        <w:rPr>
          <w:rFonts w:ascii="Book Antiqua" w:hAnsi="Book Antiqua" w:cs="AdvMyriadPro-R"/>
          <w:sz w:val="24"/>
          <w:szCs w:val="24"/>
          <w:lang w:val="en-US"/>
        </w:rPr>
        <w:t>us</w:t>
      </w:r>
      <w:proofErr w:type="spellEnd"/>
      <w:r w:rsidR="00DA38EA" w:rsidRPr="00EC4C5D">
        <w:rPr>
          <w:rFonts w:ascii="Book Antiqua" w:hAnsi="Book Antiqua" w:cs="AdvMyriadPro-R"/>
          <w:sz w:val="24"/>
          <w:szCs w:val="24"/>
          <w:lang w:val="en-US"/>
        </w:rPr>
        <w:t xml:space="preserve"> with </w:t>
      </w:r>
      <w:proofErr w:type="spellStart"/>
      <w:r w:rsidR="00DA38EA" w:rsidRPr="00EC4C5D">
        <w:rPr>
          <w:rFonts w:ascii="Book Antiqua" w:hAnsi="Book Antiqua" w:cs="AdvMyriadPro-R"/>
          <w:sz w:val="24"/>
          <w:szCs w:val="24"/>
          <w:lang w:val="en-US"/>
        </w:rPr>
        <w:t>lenvatinib</w:t>
      </w:r>
      <w:proofErr w:type="spellEnd"/>
      <w:r w:rsidR="00DA38EA" w:rsidRPr="00EC4C5D">
        <w:rPr>
          <w:rFonts w:ascii="Book Antiqua" w:hAnsi="Book Antiqua" w:cs="AdvMyriadPro-R"/>
          <w:sz w:val="24"/>
          <w:szCs w:val="24"/>
          <w:lang w:val="en-US"/>
        </w:rPr>
        <w:t xml:space="preserve"> </w:t>
      </w:r>
      <w:r w:rsidR="00585F9A" w:rsidRPr="00EC4C5D">
        <w:rPr>
          <w:rFonts w:ascii="Book Antiqua" w:hAnsi="Book Antiqua" w:cs="AdvMyriadPro-R"/>
          <w:sz w:val="24"/>
          <w:szCs w:val="24"/>
          <w:lang w:val="en-US"/>
        </w:rPr>
        <w:t xml:space="preserve">that </w:t>
      </w:r>
      <w:r w:rsidR="00B234CF" w:rsidRPr="00EC4C5D">
        <w:rPr>
          <w:rFonts w:ascii="Book Antiqua" w:hAnsi="Book Antiqua" w:cs="AdvMyriadPro-R"/>
          <w:sz w:val="24"/>
          <w:szCs w:val="24"/>
          <w:lang w:val="en-US"/>
        </w:rPr>
        <w:t>has been reported to be of</w:t>
      </w:r>
      <w:r w:rsidR="00585F9A" w:rsidRPr="00EC4C5D">
        <w:rPr>
          <w:rFonts w:ascii="Book Antiqua" w:hAnsi="Book Antiqua" w:cs="AdvMyriadPro-R"/>
          <w:sz w:val="24"/>
          <w:szCs w:val="24"/>
          <w:lang w:val="en-US"/>
        </w:rPr>
        <w:t xml:space="preserve"> </w:t>
      </w:r>
      <w:r w:rsidR="00223C2D" w:rsidRPr="00EC4C5D">
        <w:rPr>
          <w:rFonts w:ascii="Book Antiqua" w:hAnsi="Book Antiqua" w:cs="AdvMyriadPro-R"/>
          <w:sz w:val="24"/>
          <w:szCs w:val="24"/>
          <w:lang w:val="en-US"/>
        </w:rPr>
        <w:t>35</w:t>
      </w:r>
      <w:r w:rsidR="00DA38EA" w:rsidRPr="00EC4C5D">
        <w:rPr>
          <w:rFonts w:ascii="Book Antiqua" w:hAnsi="Book Antiqua" w:cs="AdvMyriadPro-R"/>
          <w:sz w:val="24"/>
          <w:szCs w:val="24"/>
          <w:lang w:val="en-US"/>
        </w:rPr>
        <w:t>%</w:t>
      </w:r>
      <w:r w:rsidR="00585F9A" w:rsidRPr="00EC4C5D">
        <w:rPr>
          <w:rFonts w:ascii="Book Antiqua" w:hAnsi="Book Antiqua" w:cs="AdvMyriadPro-R"/>
          <w:sz w:val="24"/>
          <w:szCs w:val="24"/>
          <w:lang w:val="en-US"/>
        </w:rPr>
        <w:t xml:space="preserve"> in the phase II </w:t>
      </w:r>
      <w:r w:rsidR="00223C2D" w:rsidRPr="00EC4C5D">
        <w:rPr>
          <w:rFonts w:ascii="Book Antiqua" w:hAnsi="Book Antiqua" w:cs="AdvMyriadPro-R"/>
          <w:sz w:val="24"/>
          <w:szCs w:val="24"/>
          <w:lang w:val="en-US"/>
        </w:rPr>
        <w:t xml:space="preserve">pivotal </w:t>
      </w:r>
      <w:proofErr w:type="gramStart"/>
      <w:r w:rsidR="00585F9A" w:rsidRPr="00EC4C5D">
        <w:rPr>
          <w:rFonts w:ascii="Book Antiqua" w:hAnsi="Book Antiqua" w:cs="AdvMyriadPro-R"/>
          <w:sz w:val="24"/>
          <w:szCs w:val="24"/>
          <w:lang w:val="en-US"/>
        </w:rPr>
        <w:t>trial</w:t>
      </w:r>
      <w:r w:rsidR="00870D7B" w:rsidRPr="00AE3D5D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[</w:t>
      </w:r>
      <w:proofErr w:type="gramEnd"/>
      <w:r w:rsidR="00870D7B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3-6</w:t>
      </w:r>
      <w:r w:rsidR="00870D7B" w:rsidRPr="00AE3D5D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]</w:t>
      </w:r>
      <w:r w:rsidR="00D774EA" w:rsidRPr="00EC4C5D">
        <w:rPr>
          <w:rFonts w:ascii="Book Antiqua" w:hAnsi="Book Antiqua" w:cs="AdvMyriadPro-R"/>
          <w:sz w:val="24"/>
          <w:szCs w:val="24"/>
          <w:lang w:val="en-US"/>
        </w:rPr>
        <w:t>.</w:t>
      </w:r>
      <w:r w:rsidR="00585F9A" w:rsidRPr="00EC4C5D">
        <w:rPr>
          <w:rFonts w:ascii="Book Antiqua" w:hAnsi="Book Antiqua"/>
          <w:sz w:val="24"/>
          <w:szCs w:val="24"/>
          <w:lang w:val="en-US"/>
        </w:rPr>
        <w:t xml:space="preserve"> </w:t>
      </w:r>
      <w:r w:rsidR="00223C2D" w:rsidRPr="00EC4C5D">
        <w:rPr>
          <w:rFonts w:ascii="Book Antiqua" w:hAnsi="Book Antiqua"/>
          <w:sz w:val="24"/>
          <w:szCs w:val="24"/>
          <w:lang w:val="en-US"/>
        </w:rPr>
        <w:t>Moreover, t</w:t>
      </w:r>
      <w:r w:rsidR="00D774EA" w:rsidRPr="00EC4C5D">
        <w:rPr>
          <w:rFonts w:ascii="Book Antiqua" w:hAnsi="Book Antiqua" w:cs="AdvMyriadPro-R"/>
          <w:sz w:val="24"/>
          <w:szCs w:val="24"/>
          <w:lang w:val="en-US"/>
        </w:rPr>
        <w:t xml:space="preserve">he time </w:t>
      </w:r>
      <w:r w:rsidR="00B234CF" w:rsidRPr="00EC4C5D">
        <w:rPr>
          <w:rFonts w:ascii="Book Antiqua" w:hAnsi="Book Antiqua" w:cs="AdvMyriadPro-R"/>
          <w:sz w:val="24"/>
          <w:szCs w:val="24"/>
          <w:lang w:val="en-US"/>
        </w:rPr>
        <w:t>required</w:t>
      </w:r>
      <w:r w:rsidR="00FA3C9C" w:rsidRPr="00EC4C5D">
        <w:rPr>
          <w:rFonts w:ascii="Book Antiqua" w:hAnsi="Book Antiqua" w:cs="AdvMyriadPro-R"/>
          <w:sz w:val="24"/>
          <w:szCs w:val="24"/>
          <w:lang w:val="en-US"/>
        </w:rPr>
        <w:t xml:space="preserve"> </w:t>
      </w:r>
      <w:r w:rsidR="00D774EA" w:rsidRPr="00EC4C5D">
        <w:rPr>
          <w:rFonts w:ascii="Book Antiqua" w:hAnsi="Book Antiqua" w:cs="AdvMyriadPro-R"/>
          <w:sz w:val="24"/>
          <w:szCs w:val="24"/>
          <w:lang w:val="en-US"/>
        </w:rPr>
        <w:t xml:space="preserve">to </w:t>
      </w:r>
      <w:r w:rsidR="001376AD" w:rsidRPr="00EC4C5D">
        <w:rPr>
          <w:rFonts w:ascii="Book Antiqua" w:hAnsi="Book Antiqua" w:cs="AdvMyriadPro-R"/>
          <w:sz w:val="24"/>
          <w:szCs w:val="24"/>
          <w:lang w:val="en-US"/>
        </w:rPr>
        <w:t xml:space="preserve">achieve </w:t>
      </w:r>
      <w:r w:rsidR="00585F9A" w:rsidRPr="00EC4C5D">
        <w:rPr>
          <w:rFonts w:ascii="Book Antiqua" w:hAnsi="Book Antiqua" w:cs="AdvMyriadPro-R"/>
          <w:sz w:val="24"/>
          <w:szCs w:val="24"/>
          <w:lang w:val="en-US"/>
        </w:rPr>
        <w:t>a tumor</w:t>
      </w:r>
      <w:r w:rsidR="001376AD" w:rsidRPr="00EC4C5D">
        <w:rPr>
          <w:rFonts w:ascii="Book Antiqua" w:hAnsi="Book Antiqua" w:cs="AdvMyriadPro-R"/>
          <w:sz w:val="24"/>
          <w:szCs w:val="24"/>
          <w:lang w:val="en-US"/>
        </w:rPr>
        <w:t xml:space="preserve"> </w:t>
      </w:r>
      <w:r w:rsidR="00D774EA" w:rsidRPr="00EC4C5D">
        <w:rPr>
          <w:rFonts w:ascii="Book Antiqua" w:hAnsi="Book Antiqua" w:cs="AdvMyriadPro-R"/>
          <w:sz w:val="24"/>
          <w:szCs w:val="24"/>
          <w:lang w:val="en-US"/>
        </w:rPr>
        <w:t xml:space="preserve">response </w:t>
      </w:r>
      <w:r w:rsidR="00585F9A" w:rsidRPr="00EC4C5D">
        <w:rPr>
          <w:rFonts w:ascii="Book Antiqua" w:hAnsi="Book Antiqua" w:cs="AdvMyriadPro-R"/>
          <w:sz w:val="24"/>
          <w:szCs w:val="24"/>
          <w:lang w:val="en-US"/>
        </w:rPr>
        <w:t>is a major concern for</w:t>
      </w:r>
      <w:r w:rsidR="00D774EA" w:rsidRPr="00EC4C5D">
        <w:rPr>
          <w:rFonts w:ascii="Book Antiqua" w:hAnsi="Book Antiqua" w:cs="AdvMyriadPro-R"/>
          <w:sz w:val="24"/>
          <w:szCs w:val="24"/>
          <w:lang w:val="en-US"/>
        </w:rPr>
        <w:t xml:space="preserve"> heavily </w:t>
      </w:r>
      <w:r w:rsidR="001376AD" w:rsidRPr="00EC4C5D">
        <w:rPr>
          <w:rFonts w:ascii="Book Antiqua" w:hAnsi="Book Antiqua" w:cs="AdvMyriadPro-R"/>
          <w:sz w:val="24"/>
          <w:szCs w:val="24"/>
          <w:lang w:val="en-US"/>
        </w:rPr>
        <w:t>symptomatic</w:t>
      </w:r>
      <w:r w:rsidR="00DA38EA" w:rsidRPr="00EC4C5D">
        <w:rPr>
          <w:rFonts w:ascii="Book Antiqua" w:hAnsi="Book Antiqua" w:cs="AdvMyriadPro-R"/>
          <w:sz w:val="24"/>
          <w:szCs w:val="24"/>
          <w:lang w:val="en-US"/>
        </w:rPr>
        <w:t xml:space="preserve"> patients</w:t>
      </w:r>
      <w:r w:rsidR="00D774EA" w:rsidRPr="00EC4C5D">
        <w:rPr>
          <w:rFonts w:ascii="Book Antiqua" w:hAnsi="Book Antiqua" w:cs="AdvMyriadPro-R"/>
          <w:sz w:val="24"/>
          <w:szCs w:val="24"/>
          <w:lang w:val="en-US"/>
        </w:rPr>
        <w:t xml:space="preserve"> </w:t>
      </w:r>
      <w:r w:rsidR="00B234CF" w:rsidRPr="00EC4C5D">
        <w:rPr>
          <w:rFonts w:ascii="Book Antiqua" w:hAnsi="Book Antiqua" w:cs="AdvMyriadPro-R"/>
          <w:sz w:val="24"/>
          <w:szCs w:val="24"/>
          <w:lang w:val="en-US"/>
        </w:rPr>
        <w:t xml:space="preserve">that need </w:t>
      </w:r>
      <w:r w:rsidR="00D774EA" w:rsidRPr="00EC4C5D">
        <w:rPr>
          <w:rFonts w:ascii="Book Antiqua" w:hAnsi="Book Antiqua" w:cs="AdvMyriadPro-R"/>
          <w:sz w:val="24"/>
          <w:szCs w:val="24"/>
          <w:lang w:val="en-US"/>
        </w:rPr>
        <w:t>an early tumor control.</w:t>
      </w:r>
      <w:r w:rsidR="00D774EA" w:rsidRPr="00EC4C5D">
        <w:rPr>
          <w:rFonts w:ascii="Book Antiqua" w:hAnsi="Book Antiqua"/>
          <w:sz w:val="24"/>
          <w:szCs w:val="24"/>
          <w:lang w:val="en-US"/>
        </w:rPr>
        <w:t xml:space="preserve"> </w:t>
      </w:r>
      <w:r w:rsidR="00585F9A" w:rsidRPr="00EC4C5D">
        <w:rPr>
          <w:rFonts w:ascii="Book Antiqua" w:hAnsi="Book Antiqua" w:cs="AdvOTf133f9cb"/>
          <w:sz w:val="24"/>
          <w:szCs w:val="24"/>
          <w:lang w:val="en-US"/>
        </w:rPr>
        <w:t>P</w:t>
      </w:r>
      <w:r w:rsidR="007C5165" w:rsidRPr="00EC4C5D">
        <w:rPr>
          <w:rFonts w:ascii="Book Antiqua" w:hAnsi="Book Antiqua" w:cs="AdvOTf133f9cb"/>
          <w:sz w:val="24"/>
          <w:szCs w:val="24"/>
          <w:lang w:val="en-US"/>
        </w:rPr>
        <w:t xml:space="preserve">rior tolerance and </w:t>
      </w:r>
      <w:r w:rsidR="007C5165" w:rsidRPr="00EC4C5D">
        <w:rPr>
          <w:rFonts w:ascii="Book Antiqua" w:hAnsi="Book Antiqua" w:cs="AdvOTf133f9cb"/>
          <w:sz w:val="24"/>
          <w:szCs w:val="24"/>
          <w:lang w:val="en-US"/>
        </w:rPr>
        <w:lastRenderedPageBreak/>
        <w:t xml:space="preserve">duration of response </w:t>
      </w:r>
      <w:r w:rsidR="00A40502" w:rsidRPr="00EC4C5D">
        <w:rPr>
          <w:rFonts w:ascii="Book Antiqua" w:hAnsi="Book Antiqua" w:cs="AdvMyriadPro-R"/>
          <w:sz w:val="24"/>
          <w:szCs w:val="24"/>
          <w:lang w:val="en-US"/>
        </w:rPr>
        <w:t>to</w:t>
      </w:r>
      <w:r w:rsidR="00585F9A" w:rsidRPr="00EC4C5D">
        <w:rPr>
          <w:rFonts w:ascii="Book Antiqua" w:hAnsi="Book Antiqua" w:cs="AdvMyriadPro-R"/>
          <w:sz w:val="24"/>
          <w:szCs w:val="24"/>
          <w:lang w:val="en-US"/>
        </w:rPr>
        <w:t xml:space="preserve"> </w:t>
      </w:r>
      <w:r w:rsidR="00A40502" w:rsidRPr="00EC4C5D">
        <w:rPr>
          <w:rFonts w:ascii="Book Antiqua" w:hAnsi="Book Antiqua" w:cs="AdvMyriadPro-R"/>
          <w:sz w:val="24"/>
          <w:szCs w:val="24"/>
          <w:lang w:val="en-US"/>
        </w:rPr>
        <w:t>first line</w:t>
      </w:r>
      <w:r w:rsidR="00585F9A" w:rsidRPr="00EC4C5D">
        <w:rPr>
          <w:rFonts w:ascii="Book Antiqua" w:hAnsi="Book Antiqua" w:cs="AdvMyriadPro-R"/>
          <w:sz w:val="24"/>
          <w:szCs w:val="24"/>
          <w:lang w:val="en-US"/>
        </w:rPr>
        <w:t xml:space="preserve"> treatment</w:t>
      </w:r>
      <w:r w:rsidR="00D774EA" w:rsidRPr="00EC4C5D">
        <w:rPr>
          <w:rFonts w:ascii="Book Antiqua" w:hAnsi="Book Antiqua" w:cs="AdvMyriadPro-R"/>
          <w:sz w:val="24"/>
          <w:szCs w:val="24"/>
          <w:lang w:val="en-US"/>
        </w:rPr>
        <w:t xml:space="preserve"> </w:t>
      </w:r>
      <w:r w:rsidR="00585F9A" w:rsidRPr="00EC4C5D">
        <w:rPr>
          <w:rFonts w:ascii="Book Antiqua" w:hAnsi="Book Antiqua" w:cs="AdvMyriadPro-R"/>
          <w:sz w:val="24"/>
          <w:szCs w:val="24"/>
          <w:lang w:val="en-US"/>
        </w:rPr>
        <w:t xml:space="preserve">may identify those patients harboring a kidney tumor that greatly </w:t>
      </w:r>
      <w:r w:rsidR="00D774EA" w:rsidRPr="00EC4C5D">
        <w:rPr>
          <w:rFonts w:ascii="Book Antiqua" w:hAnsi="Book Antiqua" w:cs="AdvMyriadPro-R"/>
          <w:sz w:val="24"/>
          <w:szCs w:val="24"/>
          <w:lang w:val="en-US"/>
        </w:rPr>
        <w:t>benefit</w:t>
      </w:r>
      <w:r w:rsidR="00585F9A" w:rsidRPr="00EC4C5D">
        <w:rPr>
          <w:rFonts w:ascii="Book Antiqua" w:hAnsi="Book Antiqua" w:cs="AdvMyriadPro-R"/>
          <w:sz w:val="24"/>
          <w:szCs w:val="24"/>
          <w:lang w:val="en-US"/>
        </w:rPr>
        <w:t>s</w:t>
      </w:r>
      <w:r w:rsidR="00D774EA" w:rsidRPr="00EC4C5D">
        <w:rPr>
          <w:rFonts w:ascii="Book Antiqua" w:hAnsi="Book Antiqua" w:cs="AdvMyriadPro-R"/>
          <w:sz w:val="24"/>
          <w:szCs w:val="24"/>
          <w:lang w:val="en-US"/>
        </w:rPr>
        <w:t xml:space="preserve"> </w:t>
      </w:r>
      <w:r w:rsidR="0095603A" w:rsidRPr="00EC4C5D">
        <w:rPr>
          <w:rFonts w:ascii="Book Antiqua" w:hAnsi="Book Antiqua" w:cs="AdvMyriadPro-R"/>
          <w:sz w:val="24"/>
          <w:szCs w:val="24"/>
          <w:lang w:val="en-US"/>
        </w:rPr>
        <w:t xml:space="preserve">from the </w:t>
      </w:r>
      <w:proofErr w:type="spellStart"/>
      <w:r w:rsidR="0095603A" w:rsidRPr="00EC4C5D">
        <w:rPr>
          <w:rFonts w:ascii="Book Antiqua" w:hAnsi="Book Antiqua" w:cs="AdvMyriadPro-R"/>
          <w:sz w:val="24"/>
          <w:szCs w:val="24"/>
          <w:lang w:val="en-US"/>
        </w:rPr>
        <w:t>angiogen</w:t>
      </w:r>
      <w:r w:rsidR="00B234CF" w:rsidRPr="00EC4C5D">
        <w:rPr>
          <w:rFonts w:ascii="Book Antiqua" w:hAnsi="Book Antiqua" w:cs="AdvMyriadPro-R"/>
          <w:sz w:val="24"/>
          <w:szCs w:val="24"/>
          <w:lang w:val="en-US"/>
        </w:rPr>
        <w:t>ic</w:t>
      </w:r>
      <w:proofErr w:type="spellEnd"/>
      <w:r w:rsidR="00B234CF" w:rsidRPr="00EC4C5D">
        <w:rPr>
          <w:rFonts w:ascii="Book Antiqua" w:hAnsi="Book Antiqua" w:cs="AdvMyriadPro-R"/>
          <w:sz w:val="24"/>
          <w:szCs w:val="24"/>
          <w:lang w:val="en-US"/>
        </w:rPr>
        <w:t xml:space="preserve"> blockad</w:t>
      </w:r>
      <w:r w:rsidR="00D774EA" w:rsidRPr="00EC4C5D">
        <w:rPr>
          <w:rFonts w:ascii="Book Antiqua" w:hAnsi="Book Antiqua" w:cs="AdvMyriadPro-R"/>
          <w:sz w:val="24"/>
          <w:szCs w:val="24"/>
          <w:lang w:val="en-US"/>
        </w:rPr>
        <w:t>e</w:t>
      </w:r>
      <w:r w:rsidR="004160FB" w:rsidRPr="00EC4C5D">
        <w:rPr>
          <w:rFonts w:ascii="Book Antiqua" w:hAnsi="Book Antiqua" w:cs="AdvMyriadPro-R"/>
          <w:sz w:val="24"/>
          <w:szCs w:val="24"/>
          <w:lang w:val="en-US"/>
        </w:rPr>
        <w:t xml:space="preserve"> (a</w:t>
      </w:r>
      <w:r w:rsidR="004B2872" w:rsidRPr="00EC4C5D">
        <w:rPr>
          <w:rFonts w:ascii="Book Antiqua" w:hAnsi="Book Antiqua" w:cs="AdvMyriadPro-R"/>
          <w:sz w:val="24"/>
          <w:szCs w:val="24"/>
          <w:lang w:val="en-US"/>
        </w:rPr>
        <w:t>n</w:t>
      </w:r>
      <w:r w:rsidR="004160FB" w:rsidRPr="00EC4C5D">
        <w:rPr>
          <w:rFonts w:ascii="Book Antiqua" w:hAnsi="Book Antiqua" w:cs="AdvMyriadPro-R"/>
          <w:sz w:val="24"/>
          <w:szCs w:val="24"/>
          <w:lang w:val="en-US"/>
        </w:rPr>
        <w:t>giogenesis addiction</w:t>
      </w:r>
      <w:r w:rsidR="00F364C0" w:rsidRPr="00EC4C5D">
        <w:rPr>
          <w:rFonts w:ascii="Book Antiqua" w:hAnsi="Book Antiqua" w:cs="AdvMyriadPro-R"/>
          <w:sz w:val="24"/>
          <w:szCs w:val="24"/>
          <w:lang w:val="en-US"/>
        </w:rPr>
        <w:t>)</w:t>
      </w:r>
      <w:r w:rsidR="00585F9A" w:rsidRPr="00EC4C5D">
        <w:rPr>
          <w:rFonts w:ascii="Book Antiqua" w:hAnsi="Book Antiqua" w:cs="AdvMyriadPro-R"/>
          <w:sz w:val="24"/>
          <w:szCs w:val="24"/>
          <w:lang w:val="en-US"/>
        </w:rPr>
        <w:t xml:space="preserve">, but may limit the decision in primary refractory </w:t>
      </w:r>
      <w:proofErr w:type="gramStart"/>
      <w:r w:rsidR="00585F9A" w:rsidRPr="00EC4C5D">
        <w:rPr>
          <w:rFonts w:ascii="Book Antiqua" w:hAnsi="Book Antiqua" w:cs="AdvMyriadPro-R"/>
          <w:sz w:val="24"/>
          <w:szCs w:val="24"/>
          <w:lang w:val="en-US"/>
        </w:rPr>
        <w:t>patients</w:t>
      </w:r>
      <w:r w:rsidR="00870D7B" w:rsidRPr="00AE3D5D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[</w:t>
      </w:r>
      <w:proofErr w:type="gramEnd"/>
      <w:r w:rsidR="00870D7B" w:rsidRPr="00AE3D5D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1</w:t>
      </w:r>
      <w:r w:rsidR="00870D7B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3,14</w:t>
      </w:r>
      <w:r w:rsidR="00870D7B" w:rsidRPr="00AE3D5D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]</w:t>
      </w:r>
      <w:r w:rsidR="007C5165" w:rsidRPr="00EC4C5D">
        <w:rPr>
          <w:rFonts w:ascii="Book Antiqua" w:hAnsi="Book Antiqua" w:cs="Cheltenham-BookCond"/>
          <w:sz w:val="24"/>
          <w:szCs w:val="24"/>
          <w:lang w:val="en-US"/>
        </w:rPr>
        <w:t xml:space="preserve">. </w:t>
      </w:r>
      <w:r w:rsidR="0095603A" w:rsidRPr="00EC4C5D">
        <w:rPr>
          <w:rFonts w:ascii="Book Antiqua" w:hAnsi="Book Antiqua" w:cs="AdvMyriadPro-R"/>
          <w:sz w:val="24"/>
          <w:szCs w:val="24"/>
          <w:lang w:val="en-US"/>
        </w:rPr>
        <w:t xml:space="preserve">Finally, we also propose the </w:t>
      </w:r>
      <w:r w:rsidR="00DA38EA" w:rsidRPr="00EC4C5D">
        <w:rPr>
          <w:rFonts w:ascii="Book Antiqua" w:hAnsi="Book Antiqua" w:cs="AdvMyriadPro-R"/>
          <w:sz w:val="24"/>
          <w:szCs w:val="24"/>
          <w:lang w:val="en-US"/>
        </w:rPr>
        <w:t xml:space="preserve">assessment of the </w:t>
      </w:r>
      <w:r w:rsidR="00901A6D" w:rsidRPr="00EC4C5D">
        <w:rPr>
          <w:rFonts w:ascii="Book Antiqua" w:hAnsi="Book Antiqua" w:cs="AdvMyriadPro-R"/>
          <w:sz w:val="24"/>
          <w:szCs w:val="24"/>
          <w:lang w:val="en-US"/>
        </w:rPr>
        <w:t>tumor-</w:t>
      </w:r>
      <w:r w:rsidR="0095603A" w:rsidRPr="00EC4C5D">
        <w:rPr>
          <w:rFonts w:ascii="Book Antiqua" w:hAnsi="Book Antiqua" w:cs="AdvMyriadPro-R"/>
          <w:sz w:val="24"/>
          <w:szCs w:val="24"/>
          <w:lang w:val="en-US"/>
        </w:rPr>
        <w:t>grow</w:t>
      </w:r>
      <w:r w:rsidR="003E5EEB" w:rsidRPr="00EC4C5D">
        <w:rPr>
          <w:rFonts w:ascii="Book Antiqua" w:hAnsi="Book Antiqua" w:cs="AdvMyriadPro-R"/>
          <w:sz w:val="24"/>
          <w:szCs w:val="24"/>
          <w:lang w:val="en-US"/>
        </w:rPr>
        <w:t>th</w:t>
      </w:r>
      <w:r w:rsidR="0095603A" w:rsidRPr="00EC4C5D">
        <w:rPr>
          <w:rFonts w:ascii="Book Antiqua" w:hAnsi="Book Antiqua" w:cs="AdvMyriadPro-R"/>
          <w:sz w:val="24"/>
          <w:szCs w:val="24"/>
          <w:lang w:val="en-US"/>
        </w:rPr>
        <w:t xml:space="preserve"> rate (TGR), a</w:t>
      </w:r>
      <w:r w:rsidR="00B234CF" w:rsidRPr="00EC4C5D">
        <w:rPr>
          <w:rFonts w:ascii="Book Antiqua" w:hAnsi="Book Antiqua" w:cs="AdvMyriadPro-R"/>
          <w:sz w:val="24"/>
          <w:szCs w:val="24"/>
          <w:lang w:val="en-US"/>
        </w:rPr>
        <w:t>s a</w:t>
      </w:r>
      <w:r w:rsidR="0095603A" w:rsidRPr="00EC4C5D">
        <w:rPr>
          <w:rFonts w:ascii="Book Antiqua" w:hAnsi="Book Antiqua" w:cs="AdvMyriadPro-R"/>
          <w:sz w:val="24"/>
          <w:szCs w:val="24"/>
          <w:lang w:val="en-US"/>
        </w:rPr>
        <w:t xml:space="preserve"> </w:t>
      </w:r>
      <w:r w:rsidR="00901A6D" w:rsidRPr="00EC4C5D">
        <w:rPr>
          <w:rFonts w:ascii="Book Antiqua" w:hAnsi="Book Antiqua" w:cs="AdvMyriadPro-R"/>
          <w:sz w:val="24"/>
          <w:szCs w:val="24"/>
          <w:lang w:val="en-US"/>
        </w:rPr>
        <w:t>novel</w:t>
      </w:r>
      <w:r w:rsidR="0095603A" w:rsidRPr="00EC4C5D">
        <w:rPr>
          <w:rFonts w:ascii="Book Antiqua" w:hAnsi="Book Antiqua" w:cs="AdvMyriadPro-R"/>
          <w:sz w:val="24"/>
          <w:szCs w:val="24"/>
          <w:lang w:val="en-US"/>
        </w:rPr>
        <w:t xml:space="preserve"> outcome measure </w:t>
      </w:r>
      <w:r w:rsidR="00A40502" w:rsidRPr="00EC4C5D">
        <w:rPr>
          <w:rFonts w:ascii="Book Antiqua" w:hAnsi="Book Antiqua" w:cs="AdvMyriadPro-R"/>
          <w:sz w:val="24"/>
          <w:szCs w:val="24"/>
          <w:lang w:val="en-US"/>
        </w:rPr>
        <w:t xml:space="preserve">that could help </w:t>
      </w:r>
      <w:r w:rsidR="00901A6D" w:rsidRPr="00EC4C5D">
        <w:rPr>
          <w:rFonts w:ascii="Book Antiqua" w:hAnsi="Book Antiqua" w:cs="AdvMyriadPro-R"/>
          <w:sz w:val="24"/>
          <w:szCs w:val="24"/>
          <w:lang w:val="en-US"/>
        </w:rPr>
        <w:t>in the therapeutic sequence decision in</w:t>
      </w:r>
      <w:r w:rsidR="00E61174" w:rsidRPr="00EC4C5D">
        <w:rPr>
          <w:rFonts w:ascii="Book Antiqua" w:hAnsi="Book Antiqua" w:cs="AdvMyriadPro-R"/>
          <w:sz w:val="24"/>
          <w:szCs w:val="24"/>
          <w:lang w:val="en-US"/>
        </w:rPr>
        <w:t xml:space="preserve"> </w:t>
      </w:r>
      <w:r w:rsidR="00901A6D" w:rsidRPr="00EC4C5D">
        <w:rPr>
          <w:rFonts w:ascii="Book Antiqua" w:hAnsi="Book Antiqua" w:cs="AdvMyriadPro-R"/>
          <w:sz w:val="24"/>
          <w:szCs w:val="24"/>
          <w:lang w:val="en-US"/>
        </w:rPr>
        <w:t xml:space="preserve">the </w:t>
      </w:r>
      <w:proofErr w:type="spellStart"/>
      <w:r w:rsidR="00E61174" w:rsidRPr="00EC4C5D">
        <w:rPr>
          <w:rFonts w:ascii="Book Antiqua" w:hAnsi="Book Antiqua" w:cs="AdvMyriadPro-R"/>
          <w:sz w:val="24"/>
          <w:szCs w:val="24"/>
          <w:lang w:val="en-US"/>
        </w:rPr>
        <w:t>m</w:t>
      </w:r>
      <w:r w:rsidR="006F2631" w:rsidRPr="00EC4C5D">
        <w:rPr>
          <w:rFonts w:ascii="Book Antiqua" w:hAnsi="Book Antiqua" w:cs="AdvMyriadPro-R"/>
          <w:sz w:val="24"/>
          <w:szCs w:val="24"/>
          <w:lang w:val="en-US"/>
        </w:rPr>
        <w:t>RCC</w:t>
      </w:r>
      <w:proofErr w:type="spellEnd"/>
      <w:r w:rsidR="006F2631" w:rsidRPr="00EC4C5D">
        <w:rPr>
          <w:rFonts w:ascii="Book Antiqua" w:hAnsi="Book Antiqua" w:cs="AdvMyriadPro-R"/>
          <w:sz w:val="24"/>
          <w:szCs w:val="24"/>
          <w:lang w:val="en-US"/>
        </w:rPr>
        <w:t xml:space="preserve"> setting</w:t>
      </w:r>
      <w:r w:rsidR="0095603A" w:rsidRPr="00EC4C5D">
        <w:rPr>
          <w:rFonts w:ascii="Book Antiqua" w:hAnsi="Book Antiqua" w:cs="AdvMyriadPro-R"/>
          <w:sz w:val="24"/>
          <w:szCs w:val="24"/>
          <w:lang w:val="en-US"/>
        </w:rPr>
        <w:t>.</w:t>
      </w:r>
    </w:p>
    <w:p w14:paraId="135EBE9B" w14:textId="137D1DB6" w:rsidR="00B1533B" w:rsidRPr="00EC4C5D" w:rsidRDefault="004160FB" w:rsidP="00E61EC8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AdvMyriadPro-R"/>
          <w:sz w:val="24"/>
          <w:szCs w:val="24"/>
          <w:lang w:val="en-US"/>
        </w:rPr>
      </w:pPr>
      <w:r w:rsidRPr="00EC4C5D">
        <w:rPr>
          <w:rFonts w:ascii="Book Antiqua" w:hAnsi="Book Antiqua" w:cs="AdvP4DF60E"/>
          <w:sz w:val="24"/>
          <w:szCs w:val="24"/>
          <w:lang w:val="en-US"/>
        </w:rPr>
        <w:t xml:space="preserve">Several authors have discussed that </w:t>
      </w:r>
      <w:r w:rsidR="000A027D" w:rsidRPr="00EC4C5D">
        <w:rPr>
          <w:rFonts w:ascii="Book Antiqua" w:hAnsi="Book Antiqua" w:cs="AdvP4DF60E"/>
          <w:sz w:val="24"/>
          <w:szCs w:val="24"/>
          <w:lang w:val="en-US"/>
        </w:rPr>
        <w:t xml:space="preserve">the </w:t>
      </w:r>
      <w:r w:rsidR="00937737" w:rsidRPr="00EC4C5D">
        <w:rPr>
          <w:rFonts w:ascii="Book Antiqua" w:hAnsi="Book Antiqua" w:cs="AdvP4DF60E"/>
          <w:sz w:val="24"/>
          <w:szCs w:val="24"/>
          <w:lang w:val="en-US"/>
        </w:rPr>
        <w:t>Response Evaluation Criteria in Solid Tumo</w:t>
      </w:r>
      <w:r w:rsidR="00C57398" w:rsidRPr="00EC4C5D">
        <w:rPr>
          <w:rFonts w:ascii="Book Antiqua" w:hAnsi="Book Antiqua" w:cs="AdvP4DF60E"/>
          <w:sz w:val="24"/>
          <w:szCs w:val="24"/>
          <w:lang w:val="en-US"/>
        </w:rPr>
        <w:t xml:space="preserve">rs (RECIST) may </w:t>
      </w:r>
      <w:r w:rsidRPr="00EC4C5D">
        <w:rPr>
          <w:rFonts w:ascii="Book Antiqua" w:hAnsi="Book Antiqua" w:cs="AdvP4DF60E"/>
          <w:sz w:val="24"/>
          <w:szCs w:val="24"/>
          <w:lang w:val="en-US"/>
        </w:rPr>
        <w:t>be inadequate to completely</w:t>
      </w:r>
      <w:r w:rsidR="00937737" w:rsidRPr="00EC4C5D">
        <w:rPr>
          <w:rFonts w:ascii="Book Antiqua" w:hAnsi="Book Antiqua" w:cs="AdvP4DF60E"/>
          <w:sz w:val="24"/>
          <w:szCs w:val="24"/>
          <w:lang w:val="en-US"/>
        </w:rPr>
        <w:t xml:space="preserve"> evaluate the respons</w:t>
      </w:r>
      <w:r w:rsidR="00E61174" w:rsidRPr="00EC4C5D">
        <w:rPr>
          <w:rFonts w:ascii="Book Antiqua" w:hAnsi="Book Antiqua" w:cs="AdvP4DF60E"/>
          <w:sz w:val="24"/>
          <w:szCs w:val="24"/>
          <w:lang w:val="en-US"/>
        </w:rPr>
        <w:t xml:space="preserve">e of targeted therapies in </w:t>
      </w:r>
      <w:proofErr w:type="spellStart"/>
      <w:r w:rsidR="00E61174" w:rsidRPr="00EC4C5D">
        <w:rPr>
          <w:rFonts w:ascii="Book Antiqua" w:hAnsi="Book Antiqua" w:cs="AdvP4DF60E"/>
          <w:sz w:val="24"/>
          <w:szCs w:val="24"/>
          <w:lang w:val="en-US"/>
        </w:rPr>
        <w:t>m</w:t>
      </w:r>
      <w:r w:rsidR="00C57398" w:rsidRPr="00EC4C5D">
        <w:rPr>
          <w:rFonts w:ascii="Book Antiqua" w:hAnsi="Book Antiqua" w:cs="AdvP4DF60E"/>
          <w:sz w:val="24"/>
          <w:szCs w:val="24"/>
          <w:lang w:val="en-US"/>
        </w:rPr>
        <w:t>R</w:t>
      </w:r>
      <w:r w:rsidR="00011625" w:rsidRPr="00EC4C5D">
        <w:rPr>
          <w:rFonts w:ascii="Book Antiqua" w:hAnsi="Book Antiqua" w:cs="AdvP4DF60E"/>
          <w:sz w:val="24"/>
          <w:szCs w:val="24"/>
          <w:lang w:val="en-US"/>
        </w:rPr>
        <w:t>CC</w:t>
      </w:r>
      <w:proofErr w:type="spellEnd"/>
      <w:r w:rsidR="00011625" w:rsidRPr="00EC4C5D">
        <w:rPr>
          <w:rFonts w:ascii="Book Antiqua" w:hAnsi="Book Antiqua" w:cs="AdvP4DF60E"/>
          <w:sz w:val="24"/>
          <w:szCs w:val="24"/>
          <w:lang w:val="en-US"/>
        </w:rPr>
        <w:t xml:space="preserve"> as </w:t>
      </w:r>
      <w:r w:rsidR="00EF31D1" w:rsidRPr="00EC4C5D">
        <w:rPr>
          <w:rFonts w:ascii="Book Antiqua" w:hAnsi="Book Antiqua" w:cs="AdvP4DF60E"/>
          <w:sz w:val="24"/>
          <w:szCs w:val="24"/>
          <w:lang w:val="en-US"/>
        </w:rPr>
        <w:t>often induce long</w:t>
      </w:r>
      <w:r w:rsidR="000A027D" w:rsidRPr="00EC4C5D">
        <w:rPr>
          <w:rFonts w:ascii="Book Antiqua" w:hAnsi="Book Antiqua" w:cs="AdvP4DF60E"/>
          <w:sz w:val="24"/>
          <w:szCs w:val="24"/>
          <w:lang w:val="en-US"/>
        </w:rPr>
        <w:t>-</w:t>
      </w:r>
      <w:r w:rsidR="00EF31D1" w:rsidRPr="00EC4C5D">
        <w:rPr>
          <w:rFonts w:ascii="Book Antiqua" w:hAnsi="Book Antiqua" w:cs="AdvP4DF60E"/>
          <w:sz w:val="24"/>
          <w:szCs w:val="24"/>
          <w:lang w:val="en-US"/>
        </w:rPr>
        <w:t>lasting stable disease rather than tumor shrinkage</w:t>
      </w:r>
      <w:r w:rsidR="00E61EC8" w:rsidRPr="00AE3D5D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[1</w:t>
      </w:r>
      <w:r w:rsidR="00E61EC8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5-18</w:t>
      </w:r>
      <w:r w:rsidR="00E61EC8" w:rsidRPr="00AE3D5D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]</w:t>
      </w:r>
      <w:r w:rsidR="00495865" w:rsidRPr="00EC4C5D">
        <w:rPr>
          <w:rFonts w:ascii="Book Antiqua" w:hAnsi="Book Antiqua" w:cs="AdvMyriadPro-R"/>
          <w:sz w:val="24"/>
          <w:szCs w:val="24"/>
          <w:lang w:val="en-US"/>
        </w:rPr>
        <w:t xml:space="preserve">. In addition, these criteria </w:t>
      </w:r>
      <w:r w:rsidR="00154F1D" w:rsidRPr="00EC4C5D">
        <w:rPr>
          <w:rFonts w:ascii="Book Antiqua" w:hAnsi="Book Antiqua" w:cs="AdvMyriadPro-R"/>
          <w:sz w:val="24"/>
          <w:szCs w:val="24"/>
          <w:lang w:val="en-US"/>
        </w:rPr>
        <w:t>do not take into account</w:t>
      </w:r>
      <w:r w:rsidR="00EA5719" w:rsidRPr="00EC4C5D">
        <w:rPr>
          <w:rFonts w:ascii="Book Antiqua" w:hAnsi="Book Antiqua" w:cs="AdvMyriadPro-R"/>
          <w:sz w:val="24"/>
          <w:szCs w:val="24"/>
          <w:lang w:val="en-US"/>
        </w:rPr>
        <w:t xml:space="preserve"> tumo</w:t>
      </w:r>
      <w:r w:rsidR="00495865" w:rsidRPr="00EC4C5D">
        <w:rPr>
          <w:rFonts w:ascii="Book Antiqua" w:hAnsi="Book Antiqua" w:cs="AdvMyriadPro-R"/>
          <w:sz w:val="24"/>
          <w:szCs w:val="24"/>
          <w:lang w:val="en-US"/>
        </w:rPr>
        <w:t>r growth kinetics, and might</w:t>
      </w:r>
      <w:r w:rsidR="00476991" w:rsidRPr="00EC4C5D">
        <w:rPr>
          <w:rFonts w:ascii="Book Antiqua" w:hAnsi="Book Antiqua" w:cs="AdvMyriadPro-R"/>
          <w:sz w:val="24"/>
          <w:szCs w:val="24"/>
          <w:lang w:val="en-US"/>
        </w:rPr>
        <w:t xml:space="preserve"> </w:t>
      </w:r>
      <w:r w:rsidR="00495865" w:rsidRPr="00EC4C5D">
        <w:rPr>
          <w:rFonts w:ascii="Book Antiqua" w:hAnsi="Book Antiqua" w:cs="AdvMyriadPro-R"/>
          <w:sz w:val="24"/>
          <w:szCs w:val="24"/>
          <w:lang w:val="en-US"/>
        </w:rPr>
        <w:t xml:space="preserve">not be relevant in slow-growing </w:t>
      </w:r>
      <w:proofErr w:type="gramStart"/>
      <w:r w:rsidR="00495865" w:rsidRPr="00EC4C5D">
        <w:rPr>
          <w:rFonts w:ascii="Book Antiqua" w:hAnsi="Book Antiqua" w:cs="AdvMyriadPro-R"/>
          <w:sz w:val="24"/>
          <w:szCs w:val="24"/>
          <w:lang w:val="en-US"/>
        </w:rPr>
        <w:t>diseases</w:t>
      </w:r>
      <w:r w:rsidR="00E61EC8" w:rsidRPr="00AE3D5D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[</w:t>
      </w:r>
      <w:proofErr w:type="gramEnd"/>
      <w:r w:rsidR="00E61EC8" w:rsidRPr="00AE3D5D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1</w:t>
      </w:r>
      <w:r w:rsidR="00E61EC8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9,20</w:t>
      </w:r>
      <w:r w:rsidR="00E61EC8" w:rsidRPr="00AE3D5D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]</w:t>
      </w:r>
      <w:r w:rsidR="00476991" w:rsidRPr="00EC4C5D">
        <w:rPr>
          <w:rFonts w:ascii="Book Antiqua" w:hAnsi="Book Antiqua" w:cs="AdvMyriadPro-R"/>
          <w:sz w:val="24"/>
          <w:szCs w:val="24"/>
          <w:lang w:val="en-US"/>
        </w:rPr>
        <w:t>.</w:t>
      </w:r>
      <w:r w:rsidR="00B1533B" w:rsidRPr="00EC4C5D">
        <w:rPr>
          <w:rFonts w:ascii="Book Antiqua" w:hAnsi="Book Antiqua" w:cs="AdvMyriadPro-R"/>
          <w:sz w:val="24"/>
          <w:szCs w:val="24"/>
          <w:lang w:val="en-US"/>
        </w:rPr>
        <w:t xml:space="preserve"> Therefore, </w:t>
      </w:r>
      <w:r w:rsidR="00B1533B" w:rsidRPr="00EC4C5D">
        <w:rPr>
          <w:rFonts w:ascii="Book Antiqua" w:hAnsi="Book Antiqua" w:cs="AdvP4DF60E"/>
          <w:sz w:val="24"/>
          <w:szCs w:val="24"/>
          <w:lang w:val="en-US"/>
        </w:rPr>
        <w:t xml:space="preserve">alternate modalities to assess the drug response have been proposed to overcome the </w:t>
      </w:r>
      <w:r w:rsidR="008D5B0B" w:rsidRPr="00EC4C5D">
        <w:rPr>
          <w:rFonts w:ascii="Book Antiqua" w:hAnsi="Book Antiqua" w:cs="AdvP4DF60E"/>
          <w:sz w:val="24"/>
          <w:szCs w:val="24"/>
          <w:lang w:val="en-US"/>
        </w:rPr>
        <w:t>limitations</w:t>
      </w:r>
      <w:r w:rsidR="00B1533B" w:rsidRPr="00EC4C5D">
        <w:rPr>
          <w:rFonts w:ascii="Book Antiqua" w:hAnsi="Book Antiqua" w:cs="AdvP4DF60E"/>
          <w:sz w:val="24"/>
          <w:szCs w:val="24"/>
          <w:lang w:val="en-US"/>
        </w:rPr>
        <w:t xml:space="preserve"> of </w:t>
      </w:r>
      <w:r w:rsidR="000A027D" w:rsidRPr="00EC4C5D">
        <w:rPr>
          <w:rFonts w:ascii="Book Antiqua" w:hAnsi="Book Antiqua" w:cs="AdvP4DF60E"/>
          <w:sz w:val="24"/>
          <w:szCs w:val="24"/>
          <w:lang w:val="en-US"/>
        </w:rPr>
        <w:t xml:space="preserve">the </w:t>
      </w:r>
      <w:r w:rsidR="00B1533B" w:rsidRPr="00EC4C5D">
        <w:rPr>
          <w:rFonts w:ascii="Book Antiqua" w:hAnsi="Book Antiqua" w:cs="AdvP4DF60E"/>
          <w:sz w:val="24"/>
          <w:szCs w:val="24"/>
          <w:lang w:val="en-US"/>
        </w:rPr>
        <w:t>RECIST</w:t>
      </w:r>
      <w:r w:rsidR="000A027D" w:rsidRPr="00EC4C5D">
        <w:rPr>
          <w:rFonts w:ascii="Book Antiqua" w:hAnsi="Book Antiqua" w:cs="AdvP4DF60E"/>
          <w:sz w:val="24"/>
          <w:szCs w:val="24"/>
          <w:lang w:val="en-US"/>
        </w:rPr>
        <w:t xml:space="preserve"> criteria</w:t>
      </w:r>
      <w:r w:rsidR="00211FE2" w:rsidRPr="00EC4C5D">
        <w:rPr>
          <w:rFonts w:ascii="Book Antiqua" w:hAnsi="Book Antiqua" w:cs="AdvP4DF60E"/>
          <w:sz w:val="24"/>
          <w:szCs w:val="24"/>
          <w:lang w:val="en-US"/>
        </w:rPr>
        <w:t xml:space="preserve">, such as Choi, SACT, MASS, ETPIC or </w:t>
      </w:r>
      <w:proofErr w:type="spellStart"/>
      <w:r w:rsidR="00211FE2" w:rsidRPr="00EC4C5D">
        <w:rPr>
          <w:rFonts w:ascii="Book Antiqua" w:hAnsi="Book Antiqua" w:cs="AdvP4DF60E"/>
          <w:sz w:val="24"/>
          <w:szCs w:val="24"/>
          <w:lang w:val="en-US"/>
        </w:rPr>
        <w:t>iRECIST</w:t>
      </w:r>
      <w:proofErr w:type="spellEnd"/>
      <w:r w:rsidR="00B1533B" w:rsidRPr="00EC4C5D">
        <w:rPr>
          <w:rFonts w:ascii="Book Antiqua" w:hAnsi="Book Antiqua" w:cs="AdvP4DF60E"/>
          <w:sz w:val="24"/>
          <w:szCs w:val="24"/>
          <w:lang w:val="en-US"/>
        </w:rPr>
        <w:t xml:space="preserve">. </w:t>
      </w:r>
      <w:r w:rsidR="008D5B0B" w:rsidRPr="00EC4C5D">
        <w:rPr>
          <w:rFonts w:ascii="Book Antiqua" w:hAnsi="Book Antiqua" w:cs="AdvMyriadPro-R"/>
          <w:sz w:val="24"/>
          <w:szCs w:val="24"/>
          <w:lang w:val="en-US"/>
        </w:rPr>
        <w:t>These</w:t>
      </w:r>
      <w:r w:rsidR="000A027D" w:rsidRPr="00EC4C5D">
        <w:rPr>
          <w:rFonts w:ascii="Book Antiqua" w:hAnsi="Book Antiqua" w:cs="AdvMyriadPro-R"/>
          <w:sz w:val="24"/>
          <w:szCs w:val="24"/>
          <w:lang w:val="en-US"/>
        </w:rPr>
        <w:t xml:space="preserve"> approaches include the </w:t>
      </w:r>
      <w:r w:rsidR="008D5B0B" w:rsidRPr="00EC4C5D">
        <w:rPr>
          <w:rFonts w:ascii="Book Antiqua" w:hAnsi="Book Antiqua" w:cs="AdvMyriadPro-R"/>
          <w:sz w:val="24"/>
          <w:szCs w:val="24"/>
          <w:lang w:val="en-US"/>
        </w:rPr>
        <w:t>tumor perfusion</w:t>
      </w:r>
      <w:r w:rsidR="000A027D" w:rsidRPr="00EC4C5D">
        <w:rPr>
          <w:rFonts w:ascii="Book Antiqua" w:hAnsi="Book Antiqua" w:cs="AdvMyriadPro-R"/>
          <w:sz w:val="24"/>
          <w:szCs w:val="24"/>
          <w:lang w:val="en-US"/>
        </w:rPr>
        <w:t xml:space="preserve"> evaluation</w:t>
      </w:r>
      <w:r w:rsidR="006F2631" w:rsidRPr="00EC4C5D">
        <w:rPr>
          <w:rFonts w:ascii="Book Antiqua" w:hAnsi="Book Antiqua" w:cs="AdvMyriadPro-R"/>
          <w:sz w:val="24"/>
          <w:szCs w:val="24"/>
          <w:lang w:val="en-US"/>
        </w:rPr>
        <w:t>,</w:t>
      </w:r>
      <w:r w:rsidR="009C6E69" w:rsidRPr="00EC4C5D">
        <w:rPr>
          <w:rFonts w:ascii="Book Antiqua" w:hAnsi="Book Antiqua" w:cs="AdvMyriadPro-R"/>
          <w:sz w:val="24"/>
          <w:szCs w:val="24"/>
          <w:lang w:val="en-US"/>
        </w:rPr>
        <w:t xml:space="preserve"> </w:t>
      </w:r>
      <w:r w:rsidR="00D35096" w:rsidRPr="001A6B64">
        <w:rPr>
          <w:rFonts w:ascii="Book Antiqua" w:hAnsi="Book Antiqua" w:cs="AdvP4DF60E"/>
          <w:i/>
          <w:sz w:val="24"/>
          <w:szCs w:val="24"/>
          <w:lang w:val="en-US"/>
        </w:rPr>
        <w:t xml:space="preserve">via </w:t>
      </w:r>
      <w:r w:rsidR="00011625" w:rsidRPr="00EC4C5D">
        <w:rPr>
          <w:rFonts w:ascii="Book Antiqua" w:hAnsi="Book Antiqua" w:cs="AdvP4DF60E"/>
          <w:sz w:val="24"/>
          <w:szCs w:val="24"/>
          <w:lang w:val="en-US"/>
        </w:rPr>
        <w:t xml:space="preserve">the use of </w:t>
      </w:r>
      <w:r w:rsidR="009C6E69" w:rsidRPr="00EC4C5D">
        <w:rPr>
          <w:rFonts w:ascii="Book Antiqua" w:hAnsi="Book Antiqua" w:cs="AdvP4DF60E"/>
          <w:sz w:val="24"/>
          <w:szCs w:val="24"/>
          <w:lang w:val="en-US"/>
        </w:rPr>
        <w:t>CT response assessment combining reduction in both</w:t>
      </w:r>
      <w:r w:rsidR="00B234CF" w:rsidRPr="00EC4C5D">
        <w:rPr>
          <w:rFonts w:ascii="Book Antiqua" w:hAnsi="Book Antiqua" w:cs="AdvP4DF60E"/>
          <w:sz w:val="24"/>
          <w:szCs w:val="24"/>
          <w:lang w:val="en-US"/>
        </w:rPr>
        <w:t>,</w:t>
      </w:r>
      <w:r w:rsidR="009C6E69" w:rsidRPr="00EC4C5D">
        <w:rPr>
          <w:rFonts w:ascii="Book Antiqua" w:hAnsi="Book Antiqua" w:cs="AdvP4DF60E"/>
          <w:sz w:val="24"/>
          <w:szCs w:val="24"/>
          <w:lang w:val="en-US"/>
        </w:rPr>
        <w:t xml:space="preserve"> size and arterial phase density</w:t>
      </w:r>
      <w:r w:rsidR="006F2631" w:rsidRPr="00EC4C5D">
        <w:rPr>
          <w:rFonts w:ascii="Book Antiqua" w:hAnsi="Book Antiqua" w:cs="AdvP4DF60E"/>
          <w:sz w:val="24"/>
          <w:szCs w:val="24"/>
          <w:lang w:val="en-US"/>
        </w:rPr>
        <w:t>,</w:t>
      </w:r>
      <w:r w:rsidR="00211FE2" w:rsidRPr="00EC4C5D">
        <w:rPr>
          <w:rFonts w:ascii="Book Antiqua" w:hAnsi="Book Antiqua" w:cs="AdvP4DF60E"/>
          <w:sz w:val="24"/>
          <w:szCs w:val="24"/>
          <w:lang w:val="en-US"/>
        </w:rPr>
        <w:t xml:space="preserve"> </w:t>
      </w:r>
      <w:r w:rsidR="009C6E69" w:rsidRPr="001A6B64">
        <w:rPr>
          <w:rFonts w:ascii="Book Antiqua" w:hAnsi="Book Antiqua" w:cs="AdvP4DF60E"/>
          <w:sz w:val="24"/>
          <w:szCs w:val="24"/>
          <w:lang w:val="en-US"/>
        </w:rPr>
        <w:t xml:space="preserve">changes in tumor CT texture </w:t>
      </w:r>
      <w:r w:rsidR="009C6E69" w:rsidRPr="00EC4C5D">
        <w:rPr>
          <w:rFonts w:ascii="Book Antiqua" w:hAnsi="Book Antiqua" w:cs="AdvMyriadPro-R"/>
          <w:sz w:val="24"/>
          <w:szCs w:val="24"/>
          <w:lang w:val="en-US"/>
        </w:rPr>
        <w:t>or metabolis</w:t>
      </w:r>
      <w:r w:rsidR="00476991" w:rsidRPr="00EC4C5D">
        <w:rPr>
          <w:rFonts w:ascii="Book Antiqua" w:hAnsi="Book Antiqua" w:cs="AdvMyriadPro-R"/>
          <w:sz w:val="24"/>
          <w:szCs w:val="24"/>
          <w:lang w:val="en-US"/>
        </w:rPr>
        <w:t>m</w:t>
      </w:r>
      <w:r w:rsidR="00211FE2" w:rsidRPr="00EC4C5D">
        <w:rPr>
          <w:rFonts w:ascii="Book Antiqua" w:hAnsi="Book Antiqua" w:cs="AdvMyriadPro-R"/>
          <w:sz w:val="24"/>
          <w:szCs w:val="24"/>
          <w:lang w:val="en-US"/>
        </w:rPr>
        <w:t xml:space="preserve"> or the immune component evaluation</w:t>
      </w:r>
      <w:r w:rsidR="008D5B0B" w:rsidRPr="00EC4C5D">
        <w:rPr>
          <w:rFonts w:ascii="Book Antiqua" w:hAnsi="Book Antiqua" w:cs="AdvMyriadPro-R"/>
          <w:sz w:val="24"/>
          <w:szCs w:val="24"/>
          <w:lang w:val="en-US"/>
        </w:rPr>
        <w:t xml:space="preserve">. However, </w:t>
      </w:r>
      <w:r w:rsidR="000B42FE" w:rsidRPr="00EC4C5D">
        <w:rPr>
          <w:rFonts w:ascii="Book Antiqua" w:hAnsi="Book Antiqua" w:cs="AdvMyriadPro-R"/>
          <w:sz w:val="24"/>
          <w:szCs w:val="24"/>
          <w:lang w:val="en-US"/>
        </w:rPr>
        <w:t xml:space="preserve">none of them </w:t>
      </w:r>
      <w:r w:rsidR="00D35096" w:rsidRPr="00EC4C5D">
        <w:rPr>
          <w:rFonts w:ascii="Book Antiqua" w:hAnsi="Book Antiqua" w:cs="AdvMyriadPro-R"/>
          <w:sz w:val="24"/>
          <w:szCs w:val="24"/>
          <w:lang w:val="en-US"/>
        </w:rPr>
        <w:t>appea</w:t>
      </w:r>
      <w:r w:rsidR="00766173" w:rsidRPr="00EC4C5D">
        <w:rPr>
          <w:rFonts w:ascii="Book Antiqua" w:hAnsi="Book Antiqua" w:cs="AdvMyriadPro-R"/>
          <w:sz w:val="24"/>
          <w:szCs w:val="24"/>
          <w:lang w:val="en-US"/>
        </w:rPr>
        <w:t>r</w:t>
      </w:r>
      <w:r w:rsidR="00016CF8" w:rsidRPr="00EC4C5D">
        <w:rPr>
          <w:rFonts w:ascii="Book Antiqua" w:hAnsi="Book Antiqua" w:cs="AdvMyriadPro-R"/>
          <w:sz w:val="24"/>
          <w:szCs w:val="24"/>
          <w:lang w:val="en-US"/>
        </w:rPr>
        <w:t xml:space="preserve"> to be an adequate surrogate of response or clinical outcome for its </w:t>
      </w:r>
      <w:r w:rsidR="000B42FE" w:rsidRPr="00EC4C5D">
        <w:rPr>
          <w:rFonts w:ascii="Book Antiqua" w:hAnsi="Book Antiqua" w:cs="AdvMyriadPro-R"/>
          <w:sz w:val="24"/>
          <w:szCs w:val="24"/>
          <w:lang w:val="en-US"/>
        </w:rPr>
        <w:t xml:space="preserve">application </w:t>
      </w:r>
      <w:r w:rsidR="00B1533B" w:rsidRPr="00EC4C5D">
        <w:rPr>
          <w:rFonts w:ascii="Book Antiqua" w:hAnsi="Book Antiqua" w:cs="AdvP4DF60E"/>
          <w:sz w:val="24"/>
          <w:szCs w:val="24"/>
          <w:lang w:val="en-US"/>
        </w:rPr>
        <w:t xml:space="preserve">in routine </w:t>
      </w:r>
      <w:r w:rsidR="000B42FE" w:rsidRPr="00EC4C5D">
        <w:rPr>
          <w:rFonts w:ascii="Book Antiqua" w:hAnsi="Book Antiqua" w:cs="AdvP4DF60E"/>
          <w:sz w:val="24"/>
          <w:szCs w:val="24"/>
          <w:lang w:val="en-US"/>
        </w:rPr>
        <w:t xml:space="preserve">clinical </w:t>
      </w:r>
      <w:proofErr w:type="gramStart"/>
      <w:r w:rsidR="00B1533B" w:rsidRPr="00EC4C5D">
        <w:rPr>
          <w:rFonts w:ascii="Book Antiqua" w:hAnsi="Book Antiqua" w:cs="AdvP4DF60E"/>
          <w:sz w:val="24"/>
          <w:szCs w:val="24"/>
          <w:lang w:val="en-US"/>
        </w:rPr>
        <w:t>practice</w:t>
      </w:r>
      <w:r w:rsidR="001A6B64" w:rsidRPr="00AE3D5D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[</w:t>
      </w:r>
      <w:proofErr w:type="gramEnd"/>
      <w:r w:rsidR="001A6B64" w:rsidRPr="00AE3D5D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1</w:t>
      </w:r>
      <w:r w:rsidR="001A6B64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6,</w:t>
      </w:r>
      <w:r w:rsidR="001E6ACC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18,</w:t>
      </w:r>
      <w:r w:rsidR="001A6B64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21</w:t>
      </w:r>
      <w:r w:rsidR="001E6ACC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,</w:t>
      </w:r>
      <w:r w:rsidR="001A6B64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2</w:t>
      </w:r>
      <w:r w:rsidR="001E6ACC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2</w:t>
      </w:r>
      <w:r w:rsidR="001A6B64" w:rsidRPr="00AE3D5D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]</w:t>
      </w:r>
      <w:r w:rsidR="006F2631" w:rsidRPr="00EC4C5D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>.</w:t>
      </w:r>
      <w:r w:rsidR="00B1533B" w:rsidRPr="00EC4C5D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 xml:space="preserve"> </w:t>
      </w:r>
    </w:p>
    <w:p w14:paraId="34C2FBF4" w14:textId="264F83FB" w:rsidR="001372F0" w:rsidRPr="00EC4C5D" w:rsidRDefault="006F2631" w:rsidP="00B15F3B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AdvMyriadPro-R"/>
          <w:sz w:val="24"/>
          <w:szCs w:val="24"/>
          <w:lang w:val="en-US"/>
        </w:rPr>
      </w:pPr>
      <w:r w:rsidRPr="00EC4C5D">
        <w:rPr>
          <w:rFonts w:ascii="Book Antiqua" w:hAnsi="Book Antiqua" w:cs="AdvMyriadPro-R"/>
          <w:sz w:val="24"/>
          <w:szCs w:val="24"/>
          <w:lang w:val="en-US"/>
        </w:rPr>
        <w:t xml:space="preserve">TGR provides a dynamic and quantitative evaluation of tumor </w:t>
      </w:r>
      <w:r w:rsidR="00D12748" w:rsidRPr="00EC4C5D">
        <w:rPr>
          <w:rFonts w:ascii="Book Antiqua" w:hAnsi="Book Antiqua" w:cs="AdvMyriadPro-R"/>
          <w:sz w:val="24"/>
          <w:szCs w:val="24"/>
          <w:lang w:val="en-US"/>
        </w:rPr>
        <w:t>kinetics;</w:t>
      </w:r>
      <w:r w:rsidR="002909DD" w:rsidRPr="00EC4C5D">
        <w:rPr>
          <w:rFonts w:ascii="Book Antiqua" w:hAnsi="Book Antiqua" w:cs="AdvMyriadPro-R"/>
          <w:sz w:val="24"/>
          <w:szCs w:val="24"/>
          <w:lang w:val="en-US"/>
        </w:rPr>
        <w:t xml:space="preserve"> </w:t>
      </w:r>
      <w:r w:rsidR="00D12748" w:rsidRPr="00EC4C5D">
        <w:rPr>
          <w:rFonts w:ascii="Book Antiqua" w:hAnsi="Book Antiqua" w:cs="AdvP4DF60E"/>
          <w:sz w:val="24"/>
          <w:szCs w:val="24"/>
          <w:lang w:val="en-US"/>
        </w:rPr>
        <w:t>it estimates</w:t>
      </w:r>
      <w:r w:rsidR="002909DD" w:rsidRPr="00EC4C5D">
        <w:rPr>
          <w:rFonts w:ascii="Book Antiqua" w:hAnsi="Book Antiqua" w:cs="AdvP4DF60E"/>
          <w:sz w:val="24"/>
          <w:szCs w:val="24"/>
          <w:lang w:val="en-US"/>
        </w:rPr>
        <w:t xml:space="preserve"> the </w:t>
      </w:r>
      <w:r w:rsidR="00486BB7" w:rsidRPr="00EC4C5D">
        <w:rPr>
          <w:rFonts w:ascii="Book Antiqua" w:hAnsi="Book Antiqua" w:cs="AdvMyriadPro-R"/>
          <w:sz w:val="24"/>
          <w:szCs w:val="24"/>
          <w:lang w:val="en-GB"/>
        </w:rPr>
        <w:t xml:space="preserve">percentage </w:t>
      </w:r>
      <w:r w:rsidR="00D12748" w:rsidRPr="00EC4C5D">
        <w:rPr>
          <w:rFonts w:ascii="Book Antiqua" w:hAnsi="Book Antiqua" w:cs="AdvMyriadPro-R"/>
          <w:sz w:val="24"/>
          <w:szCs w:val="24"/>
          <w:lang w:val="en-GB"/>
        </w:rPr>
        <w:t xml:space="preserve">of </w:t>
      </w:r>
      <w:r w:rsidR="00486BB7" w:rsidRPr="00EC4C5D">
        <w:rPr>
          <w:rFonts w:ascii="Book Antiqua" w:hAnsi="Book Antiqua" w:cs="AdvMyriadPro-R"/>
          <w:sz w:val="24"/>
          <w:szCs w:val="24"/>
          <w:lang w:val="en-GB"/>
        </w:rPr>
        <w:t xml:space="preserve">change in </w:t>
      </w:r>
      <w:r w:rsidR="002909DD" w:rsidRPr="00EC4C5D">
        <w:rPr>
          <w:rFonts w:ascii="Book Antiqua" w:hAnsi="Book Antiqua" w:cs="AdvP4DF60E"/>
          <w:sz w:val="24"/>
          <w:szCs w:val="24"/>
          <w:lang w:val="en-US"/>
        </w:rPr>
        <w:t xml:space="preserve">the tumor volume </w:t>
      </w:r>
      <w:r w:rsidR="00FC369F" w:rsidRPr="00EC4C5D">
        <w:rPr>
          <w:rFonts w:ascii="Book Antiqua" w:hAnsi="Book Antiqua" w:cs="AdvP4DF60E"/>
          <w:sz w:val="24"/>
          <w:szCs w:val="24"/>
          <w:lang w:val="en-US"/>
        </w:rPr>
        <w:t>over one month</w:t>
      </w:r>
      <w:r w:rsidRPr="00EC4C5D">
        <w:rPr>
          <w:rFonts w:ascii="Book Antiqua" w:hAnsi="Book Antiqua" w:cs="AdvMyriadPro-R"/>
          <w:sz w:val="24"/>
          <w:szCs w:val="24"/>
          <w:lang w:val="en-US"/>
        </w:rPr>
        <w:t xml:space="preserve">. </w:t>
      </w:r>
      <w:r w:rsidR="00D12748" w:rsidRPr="00EC4C5D">
        <w:rPr>
          <w:rFonts w:ascii="Book Antiqua" w:hAnsi="Book Antiqua" w:cs="AdvMyriadPro-R"/>
          <w:sz w:val="24"/>
          <w:szCs w:val="24"/>
          <w:lang w:val="en-US"/>
        </w:rPr>
        <w:t>TGR</w:t>
      </w:r>
      <w:r w:rsidRPr="00EC4C5D">
        <w:rPr>
          <w:rFonts w:ascii="Book Antiqua" w:hAnsi="Book Antiqua" w:cs="AdvMyriadPro-R"/>
          <w:sz w:val="24"/>
          <w:szCs w:val="24"/>
          <w:lang w:val="en-US"/>
        </w:rPr>
        <w:t xml:space="preserve"> </w:t>
      </w:r>
      <w:r w:rsidR="008D5B0B" w:rsidRPr="00EC4C5D">
        <w:rPr>
          <w:rFonts w:ascii="Book Antiqua" w:hAnsi="Book Antiqua" w:cs="AdvMyriadPro-R"/>
          <w:sz w:val="24"/>
          <w:szCs w:val="24"/>
          <w:lang w:val="en-US"/>
        </w:rPr>
        <w:t>is usually defined as the ratio between the slope of tumor growth before the initiation of treatment and the slope of tumor growth during treatment</w:t>
      </w:r>
      <w:r w:rsidR="002909DD" w:rsidRPr="00EC4C5D">
        <w:rPr>
          <w:rFonts w:ascii="Book Antiqua" w:hAnsi="Book Antiqua" w:cs="AdvMyriadPro-R"/>
          <w:sz w:val="24"/>
          <w:szCs w:val="24"/>
          <w:lang w:val="en-US"/>
        </w:rPr>
        <w:t xml:space="preserve">, </w:t>
      </w:r>
      <w:r w:rsidR="00D12748" w:rsidRPr="00EC4C5D">
        <w:rPr>
          <w:rFonts w:ascii="Book Antiqua" w:hAnsi="Book Antiqua" w:cs="AdvMyriadPro-R"/>
          <w:sz w:val="24"/>
          <w:szCs w:val="24"/>
          <w:lang w:val="en-US"/>
        </w:rPr>
        <w:t xml:space="preserve">and </w:t>
      </w:r>
      <w:r w:rsidR="002909DD" w:rsidRPr="00EC4C5D">
        <w:rPr>
          <w:rFonts w:ascii="Book Antiqua" w:hAnsi="Book Antiqua" w:cs="AdvMyriadPro-R"/>
          <w:sz w:val="24"/>
          <w:szCs w:val="24"/>
          <w:lang w:val="en-US"/>
        </w:rPr>
        <w:t xml:space="preserve">between the nadir and disease </w:t>
      </w:r>
      <w:proofErr w:type="gramStart"/>
      <w:r w:rsidR="002909DD" w:rsidRPr="00EC4C5D">
        <w:rPr>
          <w:rFonts w:ascii="Book Antiqua" w:hAnsi="Book Antiqua" w:cs="AdvMyriadPro-R"/>
          <w:sz w:val="24"/>
          <w:szCs w:val="24"/>
          <w:lang w:val="en-US"/>
        </w:rPr>
        <w:t>progression</w:t>
      </w:r>
      <w:r w:rsidR="00B15F3B" w:rsidRPr="00AE3D5D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[</w:t>
      </w:r>
      <w:proofErr w:type="gramEnd"/>
      <w:r w:rsidR="00B15F3B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9,2</w:t>
      </w:r>
      <w:r w:rsidR="00E64BC3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3</w:t>
      </w:r>
      <w:r w:rsidR="00B15F3B" w:rsidRPr="00AE3D5D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]</w:t>
      </w:r>
      <w:r w:rsidR="002909DD" w:rsidRPr="00EC4C5D">
        <w:rPr>
          <w:rFonts w:ascii="Book Antiqua" w:hAnsi="Book Antiqua" w:cs="AdvP4DF60E"/>
          <w:sz w:val="24"/>
          <w:szCs w:val="24"/>
          <w:lang w:val="en-US"/>
        </w:rPr>
        <w:t>.</w:t>
      </w:r>
      <w:r w:rsidR="00EC4C5D">
        <w:rPr>
          <w:rFonts w:ascii="Book Antiqua" w:hAnsi="Book Antiqua" w:cs="AdvP4DF60E"/>
          <w:sz w:val="24"/>
          <w:szCs w:val="24"/>
          <w:lang w:val="en-US"/>
        </w:rPr>
        <w:t xml:space="preserve"> </w:t>
      </w:r>
      <w:r w:rsidR="00D863D2" w:rsidRPr="00EC4C5D">
        <w:rPr>
          <w:rFonts w:ascii="Book Antiqua" w:hAnsi="Book Antiqua" w:cs="AdvP4DF60E"/>
          <w:sz w:val="24"/>
          <w:szCs w:val="24"/>
          <w:lang w:val="en-US"/>
        </w:rPr>
        <w:t>We can calculate</w:t>
      </w:r>
      <w:r w:rsidR="000B42FE" w:rsidRPr="00EC4C5D">
        <w:rPr>
          <w:rFonts w:ascii="Book Antiqua" w:hAnsi="Book Antiqua" w:cs="AdvP4DF60E"/>
          <w:sz w:val="24"/>
          <w:szCs w:val="24"/>
          <w:lang w:val="en-US"/>
        </w:rPr>
        <w:t xml:space="preserve"> </w:t>
      </w:r>
      <w:r w:rsidR="00486BB7" w:rsidRPr="00EC4C5D">
        <w:rPr>
          <w:rFonts w:ascii="Book Antiqua" w:hAnsi="Book Antiqua" w:cs="AdvMyriadPro-R"/>
          <w:sz w:val="24"/>
          <w:szCs w:val="24"/>
          <w:lang w:val="en-GB"/>
        </w:rPr>
        <w:t>TGR according to the formula</w:t>
      </w:r>
      <w:r w:rsidR="004961EE" w:rsidRPr="00EC4C5D">
        <w:rPr>
          <w:rFonts w:ascii="Book Antiqua" w:hAnsi="Book Antiqua" w:cs="AdvMyriadPro-R"/>
          <w:sz w:val="24"/>
          <w:szCs w:val="24"/>
          <w:lang w:val="en-GB"/>
        </w:rPr>
        <w:t xml:space="preserve"> shown</w:t>
      </w:r>
      <w:r w:rsidR="006F1273" w:rsidRPr="00EC4C5D">
        <w:rPr>
          <w:rFonts w:ascii="Book Antiqua" w:hAnsi="Book Antiqua" w:cs="AdvMyriadPro-R"/>
          <w:sz w:val="24"/>
          <w:szCs w:val="24"/>
          <w:lang w:val="en-GB"/>
        </w:rPr>
        <w:t xml:space="preserve"> in </w:t>
      </w:r>
      <w:r w:rsidR="00C50CAC">
        <w:rPr>
          <w:rFonts w:ascii="Book Antiqua" w:hAnsi="Book Antiqua" w:cs="AdvMyriadPro-R" w:hint="eastAsia"/>
          <w:sz w:val="24"/>
          <w:szCs w:val="24"/>
          <w:lang w:val="en-GB" w:eastAsia="zh-CN"/>
        </w:rPr>
        <w:t>F</w:t>
      </w:r>
      <w:r w:rsidR="006F1273" w:rsidRPr="00EC4C5D">
        <w:rPr>
          <w:rFonts w:ascii="Book Antiqua" w:hAnsi="Book Antiqua" w:cs="AdvMyriadPro-R"/>
          <w:sz w:val="24"/>
          <w:szCs w:val="24"/>
          <w:lang w:val="en-GB"/>
        </w:rPr>
        <w:t>igure 1</w:t>
      </w:r>
      <w:r w:rsidR="00C50CAC" w:rsidRPr="00AE3D5D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[</w:t>
      </w:r>
      <w:r w:rsidR="00C50CAC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2</w:t>
      </w:r>
      <w:r w:rsidR="00E64BC3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4</w:t>
      </w:r>
      <w:r w:rsidR="00C50CAC" w:rsidRPr="00AE3D5D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]</w:t>
      </w:r>
      <w:r w:rsidR="004961EE" w:rsidRPr="00EC4C5D">
        <w:rPr>
          <w:rFonts w:ascii="Book Antiqua" w:hAnsi="Book Antiqua" w:cs="AdvMyriadPro-R"/>
          <w:sz w:val="24"/>
          <w:szCs w:val="24"/>
          <w:lang w:val="en-GB"/>
        </w:rPr>
        <w:t>.</w:t>
      </w:r>
      <w:r w:rsidR="004961EE" w:rsidRPr="00EC4C5D">
        <w:rPr>
          <w:rFonts w:ascii="Book Antiqua" w:hAnsi="Book Antiqua" w:cs="AdvMyriadPro-R"/>
          <w:sz w:val="24"/>
          <w:szCs w:val="24"/>
          <w:lang w:val="en-US"/>
        </w:rPr>
        <w:t xml:space="preserve"> </w:t>
      </w:r>
      <w:r w:rsidR="006F1273" w:rsidRPr="00EC4C5D">
        <w:rPr>
          <w:rFonts w:ascii="Book Antiqua" w:hAnsi="Book Antiqua" w:cs="AdvMyriadPro-R"/>
          <w:sz w:val="24"/>
          <w:szCs w:val="24"/>
          <w:lang w:val="en-US"/>
        </w:rPr>
        <w:t>T</w:t>
      </w:r>
      <w:r w:rsidR="00815265" w:rsidRPr="00EC4C5D">
        <w:rPr>
          <w:rFonts w:ascii="Book Antiqua" w:hAnsi="Book Antiqua" w:cs="AdvMyriadPro-R"/>
          <w:sz w:val="24"/>
          <w:szCs w:val="24"/>
          <w:lang w:val="en-US"/>
        </w:rPr>
        <w:t>he tumo</w:t>
      </w:r>
      <w:r w:rsidR="00FC369F" w:rsidRPr="00EC4C5D">
        <w:rPr>
          <w:rFonts w:ascii="Book Antiqua" w:hAnsi="Book Antiqua" w:cs="AdvMyriadPro-R"/>
          <w:sz w:val="24"/>
          <w:szCs w:val="24"/>
          <w:lang w:val="en-US"/>
        </w:rPr>
        <w:t xml:space="preserve">r size </w:t>
      </w:r>
      <w:r w:rsidR="006F1273" w:rsidRPr="00EC4C5D">
        <w:rPr>
          <w:rFonts w:ascii="Book Antiqua" w:hAnsi="Book Antiqua" w:cs="AdvMyriadPro-R"/>
          <w:sz w:val="24"/>
          <w:szCs w:val="24"/>
          <w:lang w:val="en-US"/>
        </w:rPr>
        <w:t>is</w:t>
      </w:r>
      <w:r w:rsidR="00FC369F" w:rsidRPr="00EC4C5D">
        <w:rPr>
          <w:rFonts w:ascii="Book Antiqua" w:hAnsi="Book Antiqua" w:cs="AdvMyriadPro-R"/>
          <w:sz w:val="24"/>
          <w:szCs w:val="24"/>
          <w:lang w:val="en-US"/>
        </w:rPr>
        <w:t xml:space="preserve"> defined using </w:t>
      </w:r>
      <w:r w:rsidR="000B42FE" w:rsidRPr="00EC4C5D">
        <w:rPr>
          <w:rFonts w:ascii="Book Antiqua" w:hAnsi="Book Antiqua" w:cs="AdvMyriadPro-R"/>
          <w:sz w:val="24"/>
          <w:szCs w:val="24"/>
          <w:lang w:val="en-US"/>
        </w:rPr>
        <w:t xml:space="preserve">the </w:t>
      </w:r>
      <w:r w:rsidR="00FC369F" w:rsidRPr="00EC4C5D">
        <w:rPr>
          <w:rFonts w:ascii="Book Antiqua" w:hAnsi="Book Antiqua" w:cs="AdvMyriadPro-R"/>
          <w:sz w:val="24"/>
          <w:szCs w:val="24"/>
          <w:lang w:val="en-US"/>
        </w:rPr>
        <w:t xml:space="preserve">sum of the longest diameters </w:t>
      </w:r>
      <w:r w:rsidR="001372F0" w:rsidRPr="00EC4C5D">
        <w:rPr>
          <w:rFonts w:ascii="Book Antiqua" w:hAnsi="Book Antiqua" w:cs="AdvMyriadPro-R"/>
          <w:sz w:val="24"/>
          <w:szCs w:val="24"/>
          <w:lang w:val="en-US"/>
        </w:rPr>
        <w:t>(SLD) of target lesions only, without considering</w:t>
      </w:r>
      <w:r w:rsidR="00FC369F" w:rsidRPr="00EC4C5D">
        <w:rPr>
          <w:rFonts w:ascii="Book Antiqua" w:hAnsi="Book Antiqua" w:cs="AdvMyriadPro-R"/>
          <w:sz w:val="24"/>
          <w:szCs w:val="24"/>
          <w:lang w:val="en-US"/>
        </w:rPr>
        <w:t xml:space="preserve"> </w:t>
      </w:r>
      <w:r w:rsidR="001372F0" w:rsidRPr="00EC4C5D">
        <w:rPr>
          <w:rFonts w:ascii="Book Antiqua" w:hAnsi="Book Antiqua" w:cs="AdvMyriadPro-R"/>
          <w:sz w:val="24"/>
          <w:szCs w:val="24"/>
          <w:lang w:val="en-US"/>
        </w:rPr>
        <w:t>non-target and new lesions</w:t>
      </w:r>
      <w:r w:rsidR="00FC369F" w:rsidRPr="00EC4C5D">
        <w:rPr>
          <w:rFonts w:ascii="Book Antiqua" w:hAnsi="Book Antiqua" w:cs="AdvMyriadPro-R"/>
          <w:sz w:val="24"/>
          <w:szCs w:val="24"/>
          <w:lang w:val="en-US"/>
        </w:rPr>
        <w:t>.</w:t>
      </w:r>
      <w:r w:rsidR="000B42FE" w:rsidRPr="00EC4C5D">
        <w:rPr>
          <w:rFonts w:ascii="Book Antiqua" w:hAnsi="Book Antiqua" w:cs="AdvMyriadPro-R"/>
          <w:sz w:val="24"/>
          <w:szCs w:val="24"/>
          <w:lang w:val="en-US"/>
        </w:rPr>
        <w:t xml:space="preserve"> </w:t>
      </w:r>
      <w:r w:rsidR="00D863D2" w:rsidRPr="00EC4C5D">
        <w:rPr>
          <w:rFonts w:ascii="Book Antiqua" w:hAnsi="Book Antiqua" w:cs="AdvMyriadPro-R"/>
          <w:sz w:val="24"/>
          <w:szCs w:val="24"/>
          <w:lang w:val="en-US"/>
        </w:rPr>
        <w:t xml:space="preserve">However, </w:t>
      </w:r>
      <w:r w:rsidR="00D863D2" w:rsidRPr="00EC4C5D">
        <w:rPr>
          <w:rFonts w:ascii="Book Antiqua" w:hAnsi="Book Antiqua" w:cs="AdvP4DF60E"/>
          <w:sz w:val="24"/>
          <w:szCs w:val="24"/>
          <w:lang w:val="en-US"/>
        </w:rPr>
        <w:t>t</w:t>
      </w:r>
      <w:r w:rsidR="005B79BF" w:rsidRPr="00EC4C5D">
        <w:rPr>
          <w:rFonts w:ascii="Book Antiqua" w:hAnsi="Book Antiqua" w:cs="AdvP4DF60E"/>
          <w:sz w:val="24"/>
          <w:szCs w:val="24"/>
          <w:lang w:val="en-US"/>
        </w:rPr>
        <w:t xml:space="preserve">he assessment of the TGR </w:t>
      </w:r>
      <w:r w:rsidR="00D863D2" w:rsidRPr="00EC4C5D">
        <w:rPr>
          <w:rFonts w:ascii="Book Antiqua" w:hAnsi="Book Antiqua" w:cs="AdvP4DF60E"/>
          <w:sz w:val="24"/>
          <w:szCs w:val="24"/>
          <w:lang w:val="en-US"/>
        </w:rPr>
        <w:t xml:space="preserve">in clinical practice </w:t>
      </w:r>
      <w:r w:rsidR="005B79BF" w:rsidRPr="00EC4C5D">
        <w:rPr>
          <w:rFonts w:ascii="Book Antiqua" w:hAnsi="Book Antiqua" w:cs="AdvP4DF60E"/>
          <w:sz w:val="24"/>
          <w:szCs w:val="24"/>
          <w:lang w:val="en-US"/>
        </w:rPr>
        <w:t xml:space="preserve">is </w:t>
      </w:r>
      <w:r w:rsidR="00B069AF" w:rsidRPr="00EC4C5D">
        <w:rPr>
          <w:rFonts w:ascii="Book Antiqua" w:hAnsi="Book Antiqua" w:cs="AdvP4DF60E"/>
          <w:sz w:val="24"/>
          <w:szCs w:val="24"/>
          <w:lang w:val="en-US"/>
        </w:rPr>
        <w:t xml:space="preserve">easier </w:t>
      </w:r>
      <w:r w:rsidR="00D863D2" w:rsidRPr="00EC4C5D">
        <w:rPr>
          <w:rFonts w:ascii="Book Antiqua" w:hAnsi="Book Antiqua" w:cs="AdvP4DF60E"/>
          <w:sz w:val="24"/>
          <w:szCs w:val="24"/>
          <w:lang w:val="en-US"/>
        </w:rPr>
        <w:t>as there are i</w:t>
      </w:r>
      <w:r w:rsidR="005B79BF" w:rsidRPr="00EC4C5D">
        <w:rPr>
          <w:rFonts w:ascii="Book Antiqua" w:hAnsi="Book Antiqua" w:cs="AdvP4DF60E"/>
          <w:sz w:val="24"/>
          <w:szCs w:val="24"/>
          <w:lang w:val="en-US"/>
        </w:rPr>
        <w:t>nternet tools</w:t>
      </w:r>
      <w:r w:rsidR="00D863D2" w:rsidRPr="00EC4C5D">
        <w:rPr>
          <w:rFonts w:ascii="Book Antiqua" w:hAnsi="Book Antiqua" w:cs="AdvP4DF60E"/>
          <w:sz w:val="24"/>
          <w:szCs w:val="24"/>
          <w:lang w:val="en-US"/>
        </w:rPr>
        <w:t xml:space="preserve"> </w:t>
      </w:r>
      <w:r w:rsidR="00751FAD" w:rsidRPr="00EC4C5D">
        <w:rPr>
          <w:rFonts w:ascii="Book Antiqua" w:hAnsi="Book Antiqua" w:cs="AdvP4DF60E"/>
          <w:sz w:val="24"/>
          <w:szCs w:val="24"/>
          <w:lang w:val="en-US"/>
        </w:rPr>
        <w:t xml:space="preserve">available </w:t>
      </w:r>
      <w:r w:rsidR="005B79BF" w:rsidRPr="00EC4C5D">
        <w:rPr>
          <w:rFonts w:ascii="Book Antiqua" w:hAnsi="Book Antiqua" w:cs="AdvP4DF60E"/>
          <w:sz w:val="24"/>
          <w:szCs w:val="24"/>
          <w:lang w:val="en-US"/>
        </w:rPr>
        <w:t>(</w:t>
      </w:r>
      <w:hyperlink r:id="rId9" w:history="1">
        <w:r w:rsidR="004F1F33" w:rsidRPr="00EC4C5D">
          <w:rPr>
            <w:rStyle w:val="Hyperlink"/>
            <w:rFonts w:ascii="Book Antiqua" w:hAnsi="Book Antiqua"/>
            <w:color w:val="auto"/>
            <w:sz w:val="24"/>
            <w:szCs w:val="24"/>
            <w:lang w:val="en-US"/>
          </w:rPr>
          <w:t>http://ec2-54-218-32-173.us-west-2.compute.amazonaws.com:3838/tgrShiny/</w:t>
        </w:r>
      </w:hyperlink>
      <w:r w:rsidR="004F1F33" w:rsidRPr="00EC4C5D">
        <w:rPr>
          <w:rFonts w:ascii="Book Antiqua" w:hAnsi="Book Antiqua"/>
          <w:sz w:val="24"/>
          <w:szCs w:val="24"/>
          <w:lang w:val="en-US"/>
        </w:rPr>
        <w:t xml:space="preserve"> or http://www.gustaveroussy.fr/doc/tgr_calculator/index_en.html</w:t>
      </w:r>
      <w:r w:rsidR="005B79BF" w:rsidRPr="00EC4C5D">
        <w:rPr>
          <w:rFonts w:ascii="Book Antiqua" w:hAnsi="Book Antiqua" w:cs="AdvP4DF60E"/>
          <w:sz w:val="24"/>
          <w:szCs w:val="24"/>
          <w:lang w:val="en-US"/>
        </w:rPr>
        <w:t>).</w:t>
      </w:r>
    </w:p>
    <w:p w14:paraId="37488999" w14:textId="196BC879" w:rsidR="00011625" w:rsidRPr="00EC4C5D" w:rsidRDefault="00F840B8" w:rsidP="002B0326">
      <w:pPr>
        <w:spacing w:after="0" w:line="360" w:lineRule="auto"/>
        <w:ind w:firstLineChars="100" w:firstLine="240"/>
        <w:jc w:val="both"/>
        <w:rPr>
          <w:rFonts w:ascii="Book Antiqua" w:hAnsi="Book Antiqua" w:cs="AdvMyriadPro-R"/>
          <w:sz w:val="24"/>
          <w:szCs w:val="24"/>
          <w:lang w:val="en-US"/>
        </w:rPr>
      </w:pPr>
      <w:r w:rsidRPr="00EC4C5D">
        <w:rPr>
          <w:rFonts w:ascii="Book Antiqua" w:hAnsi="Book Antiqua" w:cs="AdvMyriadPro-R"/>
          <w:sz w:val="24"/>
          <w:szCs w:val="24"/>
          <w:lang w:val="en-US"/>
        </w:rPr>
        <w:t xml:space="preserve">Current evidence from phase I studies in solid tumors and from phase III studies in </w:t>
      </w:r>
      <w:proofErr w:type="spellStart"/>
      <w:r w:rsidRPr="00EC4C5D">
        <w:rPr>
          <w:rFonts w:ascii="Book Antiqua" w:hAnsi="Book Antiqua" w:cs="AdvMyriadPro-R"/>
          <w:sz w:val="24"/>
          <w:szCs w:val="24"/>
          <w:lang w:val="en-US"/>
        </w:rPr>
        <w:t>mRCC</w:t>
      </w:r>
      <w:proofErr w:type="spellEnd"/>
      <w:r w:rsidRPr="00EC4C5D">
        <w:rPr>
          <w:rFonts w:ascii="Book Antiqua" w:hAnsi="Book Antiqua" w:cs="AdvMyriadPro-R"/>
          <w:sz w:val="24"/>
          <w:szCs w:val="24"/>
          <w:lang w:val="en-US"/>
        </w:rPr>
        <w:t xml:space="preserve"> (TARGET and RECORD trials) and metastatic neuroendocrine </w:t>
      </w:r>
      <w:r w:rsidRPr="00EC4C5D">
        <w:rPr>
          <w:rFonts w:ascii="Book Antiqua" w:hAnsi="Book Antiqua" w:cs="AdvMyriadPro-R"/>
          <w:sz w:val="24"/>
          <w:szCs w:val="24"/>
          <w:lang w:val="en-US"/>
        </w:rPr>
        <w:lastRenderedPageBreak/>
        <w:t>tumors (NETs) (CLARINET trial), although retrospective, show a significant association between prior TGR before the onset of the second line approach with the expected PFS and OS with the later systemic treatment administered</w:t>
      </w:r>
      <w:r w:rsidR="002B0326" w:rsidRPr="00AE3D5D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[</w:t>
      </w:r>
      <w:r w:rsidR="002B0326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9,2</w:t>
      </w:r>
      <w:r w:rsidR="00E64BC3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4</w:t>
      </w:r>
      <w:r w:rsidR="002B0326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-2</w:t>
      </w:r>
      <w:r w:rsidR="00E64BC3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8</w:t>
      </w:r>
      <w:r w:rsidR="002B0326" w:rsidRPr="00AE3D5D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]</w:t>
      </w:r>
      <w:r w:rsidRPr="00EC4C5D">
        <w:rPr>
          <w:rFonts w:ascii="Book Antiqua" w:hAnsi="Book Antiqua" w:cs="AdvMyriadPro-R"/>
          <w:sz w:val="24"/>
          <w:szCs w:val="24"/>
          <w:lang w:val="en-US"/>
        </w:rPr>
        <w:t>.</w:t>
      </w:r>
      <w:r w:rsidRPr="00EC4C5D">
        <w:rPr>
          <w:rFonts w:ascii="Book Antiqua" w:hAnsi="Book Antiqua"/>
          <w:sz w:val="24"/>
          <w:szCs w:val="24"/>
          <w:lang w:val="en-US"/>
        </w:rPr>
        <w:t xml:space="preserve"> </w:t>
      </w:r>
      <w:r w:rsidRPr="00EC4C5D">
        <w:rPr>
          <w:rFonts w:ascii="Book Antiqua" w:hAnsi="Book Antiqua" w:cs="AdvMyriadPro-R"/>
          <w:sz w:val="24"/>
          <w:szCs w:val="24"/>
          <w:lang w:val="en-US"/>
        </w:rPr>
        <w:t>Moreover, TGR could be an important tool in the evaluation of prognosis during treatment and after the discontinuation of VEGFR ta</w:t>
      </w:r>
      <w:r w:rsidR="002B0326">
        <w:rPr>
          <w:rFonts w:ascii="Book Antiqua" w:hAnsi="Book Antiqua" w:cs="AdvMyriadPro-R"/>
          <w:sz w:val="24"/>
          <w:szCs w:val="24"/>
          <w:lang w:val="en-US"/>
        </w:rPr>
        <w:t xml:space="preserve">rgeted agents. </w:t>
      </w:r>
      <w:proofErr w:type="spellStart"/>
      <w:r w:rsidR="002B0326">
        <w:rPr>
          <w:rFonts w:ascii="Book Antiqua" w:hAnsi="Book Antiqua" w:cs="AdvMyriadPro-R"/>
          <w:sz w:val="24"/>
          <w:szCs w:val="24"/>
          <w:lang w:val="en-US"/>
        </w:rPr>
        <w:t>Iacovelli</w:t>
      </w:r>
      <w:proofErr w:type="spellEnd"/>
      <w:r w:rsidR="002B0326">
        <w:rPr>
          <w:rFonts w:ascii="Book Antiqua" w:hAnsi="Book Antiqua" w:cs="AdvMyriadPro-R"/>
          <w:sz w:val="24"/>
          <w:szCs w:val="24"/>
          <w:lang w:val="en-US"/>
        </w:rPr>
        <w:t xml:space="preserve"> </w:t>
      </w:r>
      <w:r w:rsidR="002B0326" w:rsidRPr="00E64BC3">
        <w:rPr>
          <w:rFonts w:ascii="Book Antiqua" w:hAnsi="Book Antiqua" w:cs="AdvMyriadPro-R"/>
          <w:i/>
          <w:sz w:val="24"/>
          <w:szCs w:val="24"/>
          <w:lang w:val="en-US"/>
        </w:rPr>
        <w:t>et al</w:t>
      </w:r>
      <w:r w:rsidR="002B0326" w:rsidRPr="00AE3D5D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[</w:t>
      </w:r>
      <w:r w:rsidR="00E64BC3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29</w:t>
      </w:r>
      <w:r w:rsidR="002B0326" w:rsidRPr="00AE3D5D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]</w:t>
      </w:r>
      <w:r w:rsidRPr="00EC4C5D">
        <w:rPr>
          <w:rFonts w:ascii="Book Antiqua" w:hAnsi="Book Antiqua" w:cs="AdvMyriadPro-R"/>
          <w:sz w:val="24"/>
          <w:szCs w:val="24"/>
          <w:lang w:val="en-US"/>
        </w:rPr>
        <w:t xml:space="preserve"> showed that those patients with a higher than median TGR during treatment </w:t>
      </w:r>
      <w:r w:rsidR="00AB374A" w:rsidRPr="00EC4C5D">
        <w:rPr>
          <w:rFonts w:ascii="Book Antiqua" w:hAnsi="Book Antiqua" w:cs="AdvMyriadPro-R"/>
          <w:sz w:val="24"/>
          <w:szCs w:val="24"/>
          <w:lang w:val="en-US"/>
        </w:rPr>
        <w:t>had a</w:t>
      </w:r>
      <w:r w:rsidR="00616DE4" w:rsidRPr="00EC4C5D">
        <w:rPr>
          <w:rFonts w:ascii="Book Antiqua" w:hAnsi="Book Antiqua" w:cs="AdvMyriadPro-R"/>
          <w:sz w:val="24"/>
          <w:szCs w:val="24"/>
          <w:lang w:val="en-US"/>
        </w:rPr>
        <w:t xml:space="preserve"> </w:t>
      </w:r>
      <w:r w:rsidR="002F6452" w:rsidRPr="00EC4C5D">
        <w:rPr>
          <w:rFonts w:ascii="Book Antiqua" w:hAnsi="Book Antiqua" w:cs="AdvMyriadPro-R"/>
          <w:sz w:val="24"/>
          <w:szCs w:val="24"/>
          <w:lang w:val="en-US"/>
        </w:rPr>
        <w:t xml:space="preserve">significantly </w:t>
      </w:r>
      <w:r w:rsidR="00616DE4" w:rsidRPr="00EC4C5D">
        <w:rPr>
          <w:rFonts w:ascii="Book Antiqua" w:hAnsi="Book Antiqua" w:cs="AdvMyriadPro-R"/>
          <w:sz w:val="24"/>
          <w:szCs w:val="24"/>
          <w:lang w:val="en-US"/>
        </w:rPr>
        <w:t>shorter OS</w:t>
      </w:r>
      <w:r w:rsidR="00117C24" w:rsidRPr="00EC4C5D">
        <w:rPr>
          <w:rFonts w:ascii="Book Antiqua" w:hAnsi="Book Antiqua" w:cs="AdvMyriadPro-R"/>
          <w:sz w:val="24"/>
          <w:szCs w:val="24"/>
          <w:lang w:val="en-US"/>
        </w:rPr>
        <w:t xml:space="preserve"> and</w:t>
      </w:r>
      <w:r w:rsidR="00951CE1" w:rsidRPr="00EC4C5D">
        <w:rPr>
          <w:rFonts w:ascii="Book Antiqua" w:hAnsi="Book Antiqua" w:cs="AdvMyriadPro-R"/>
          <w:sz w:val="24"/>
          <w:szCs w:val="24"/>
          <w:lang w:val="en-US"/>
        </w:rPr>
        <w:t xml:space="preserve">, </w:t>
      </w:r>
      <w:r w:rsidR="002F6452" w:rsidRPr="00EC4C5D">
        <w:rPr>
          <w:rFonts w:ascii="Book Antiqua" w:hAnsi="Book Antiqua" w:cs="AdvMyriadPro-R"/>
          <w:sz w:val="24"/>
          <w:szCs w:val="24"/>
          <w:lang w:val="en-US"/>
        </w:rPr>
        <w:t>indeed</w:t>
      </w:r>
      <w:r w:rsidR="00951CE1" w:rsidRPr="00EC4C5D">
        <w:rPr>
          <w:rFonts w:ascii="Book Antiqua" w:hAnsi="Book Antiqua" w:cs="AdvMyriadPro-R"/>
          <w:sz w:val="24"/>
          <w:szCs w:val="24"/>
          <w:lang w:val="en-US"/>
        </w:rPr>
        <w:t xml:space="preserve">, </w:t>
      </w:r>
      <w:r w:rsidR="007C41F3" w:rsidRPr="00EC4C5D">
        <w:rPr>
          <w:rFonts w:ascii="Book Antiqua" w:hAnsi="Book Antiqua" w:cs="AdvMyriadPro-R"/>
          <w:sz w:val="24"/>
          <w:szCs w:val="24"/>
          <w:lang w:val="en-US"/>
        </w:rPr>
        <w:t xml:space="preserve">those patients with </w:t>
      </w:r>
      <w:r w:rsidR="008D5B0B" w:rsidRPr="00EC4C5D">
        <w:rPr>
          <w:rFonts w:ascii="Book Antiqua" w:hAnsi="Book Antiqua" w:cs="AdvMyriadPro-R"/>
          <w:sz w:val="24"/>
          <w:szCs w:val="24"/>
          <w:lang w:val="en-US"/>
        </w:rPr>
        <w:t>lower than the</w:t>
      </w:r>
      <w:r w:rsidR="00616DE4" w:rsidRPr="00EC4C5D">
        <w:rPr>
          <w:rFonts w:ascii="Book Antiqua" w:hAnsi="Book Antiqua" w:cs="AdvMyriadPro-R"/>
          <w:sz w:val="24"/>
          <w:szCs w:val="24"/>
          <w:lang w:val="en-US"/>
        </w:rPr>
        <w:t xml:space="preserve"> </w:t>
      </w:r>
      <w:r w:rsidR="008D5B0B" w:rsidRPr="00EC4C5D">
        <w:rPr>
          <w:rFonts w:ascii="Book Antiqua" w:hAnsi="Book Antiqua" w:cs="AdvMyriadPro-R"/>
          <w:sz w:val="24"/>
          <w:szCs w:val="24"/>
          <w:lang w:val="en-US"/>
        </w:rPr>
        <w:t xml:space="preserve">median </w:t>
      </w:r>
      <w:r w:rsidR="00616DE4" w:rsidRPr="00EC4C5D">
        <w:rPr>
          <w:rFonts w:ascii="Book Antiqua" w:hAnsi="Book Antiqua" w:cs="AdvMyriadPro-R"/>
          <w:sz w:val="24"/>
          <w:szCs w:val="24"/>
          <w:lang w:val="en-US"/>
        </w:rPr>
        <w:t>TGR</w:t>
      </w:r>
      <w:r w:rsidR="008D5B0B" w:rsidRPr="00EC4C5D">
        <w:rPr>
          <w:rFonts w:ascii="Book Antiqua" w:hAnsi="Book Antiqua" w:cs="AdvMyriadPro-R"/>
          <w:sz w:val="24"/>
          <w:szCs w:val="24"/>
          <w:lang w:val="en-US"/>
        </w:rPr>
        <w:t xml:space="preserve"> after dis</w:t>
      </w:r>
      <w:r w:rsidR="00616DE4" w:rsidRPr="00EC4C5D">
        <w:rPr>
          <w:rFonts w:ascii="Book Antiqua" w:hAnsi="Book Antiqua" w:cs="AdvMyriadPro-R"/>
          <w:sz w:val="24"/>
          <w:szCs w:val="24"/>
          <w:lang w:val="en-US"/>
        </w:rPr>
        <w:t>continuation had</w:t>
      </w:r>
      <w:r w:rsidR="008D5B0B" w:rsidRPr="00EC4C5D">
        <w:rPr>
          <w:rFonts w:ascii="Book Antiqua" w:hAnsi="Book Antiqua" w:cs="AdvMyriadPro-R"/>
          <w:sz w:val="24"/>
          <w:szCs w:val="24"/>
          <w:lang w:val="en-US"/>
        </w:rPr>
        <w:t xml:space="preserve"> </w:t>
      </w:r>
      <w:r w:rsidR="00616DE4" w:rsidRPr="00EC4C5D">
        <w:rPr>
          <w:rFonts w:ascii="Book Antiqua" w:hAnsi="Book Antiqua" w:cs="AdvMyriadPro-R"/>
          <w:sz w:val="24"/>
          <w:szCs w:val="24"/>
          <w:lang w:val="en-US"/>
        </w:rPr>
        <w:t>longer OS</w:t>
      </w:r>
      <w:r w:rsidR="008D5B0B" w:rsidRPr="00EC4C5D">
        <w:rPr>
          <w:rFonts w:ascii="Book Antiqua" w:hAnsi="Book Antiqua" w:cs="AdvMyriadPro-R"/>
          <w:sz w:val="24"/>
          <w:szCs w:val="24"/>
          <w:lang w:val="en-US"/>
        </w:rPr>
        <w:t>, as</w:t>
      </w:r>
      <w:r w:rsidR="00616DE4" w:rsidRPr="00EC4C5D">
        <w:rPr>
          <w:rFonts w:ascii="Book Antiqua" w:hAnsi="Book Antiqua" w:cs="AdvMyriadPro-R"/>
          <w:sz w:val="24"/>
          <w:szCs w:val="24"/>
          <w:lang w:val="en-US"/>
        </w:rPr>
        <w:t xml:space="preserve"> </w:t>
      </w:r>
      <w:r w:rsidR="008D5B0B" w:rsidRPr="00EC4C5D">
        <w:rPr>
          <w:rFonts w:ascii="Book Antiqua" w:hAnsi="Book Antiqua" w:cs="AdvMyriadPro-R"/>
          <w:sz w:val="24"/>
          <w:szCs w:val="24"/>
          <w:lang w:val="en-US"/>
        </w:rPr>
        <w:t xml:space="preserve">compared to </w:t>
      </w:r>
      <w:r w:rsidR="00616DE4" w:rsidRPr="00EC4C5D">
        <w:rPr>
          <w:rFonts w:ascii="Book Antiqua" w:hAnsi="Book Antiqua" w:cs="AdvMyriadPro-R"/>
          <w:sz w:val="24"/>
          <w:szCs w:val="24"/>
          <w:lang w:val="en-US"/>
        </w:rPr>
        <w:t>TGR</w:t>
      </w:r>
      <w:r w:rsidR="00476991" w:rsidRPr="00EC4C5D">
        <w:rPr>
          <w:rFonts w:ascii="Book Antiqua" w:hAnsi="Book Antiqua" w:cs="AdvMyriadPro-R"/>
          <w:sz w:val="24"/>
          <w:szCs w:val="24"/>
          <w:lang w:val="en-US"/>
        </w:rPr>
        <w:t xml:space="preserve"> after discon</w:t>
      </w:r>
      <w:r w:rsidR="008D5B0B" w:rsidRPr="00EC4C5D">
        <w:rPr>
          <w:rFonts w:ascii="Book Antiqua" w:hAnsi="Book Antiqua" w:cs="AdvMyriadPro-R"/>
          <w:sz w:val="24"/>
          <w:szCs w:val="24"/>
          <w:lang w:val="en-US"/>
        </w:rPr>
        <w:t>tinuation great</w:t>
      </w:r>
      <w:r w:rsidR="00616DE4" w:rsidRPr="00EC4C5D">
        <w:rPr>
          <w:rFonts w:ascii="Book Antiqua" w:hAnsi="Book Antiqua" w:cs="AdvMyriadPro-R"/>
          <w:sz w:val="24"/>
          <w:szCs w:val="24"/>
          <w:lang w:val="en-US"/>
        </w:rPr>
        <w:t>er than or equal to the median. Therefore, it would be possible to use TGR as a possible surrogate for tumor aggressiveness</w:t>
      </w:r>
      <w:r w:rsidR="002F6452" w:rsidRPr="00EC4C5D">
        <w:rPr>
          <w:rFonts w:ascii="Book Antiqua" w:hAnsi="Book Antiqua" w:cs="AdvMyriadPro-R"/>
          <w:sz w:val="24"/>
          <w:szCs w:val="24"/>
          <w:lang w:val="en-US"/>
        </w:rPr>
        <w:t xml:space="preserve"> and survival</w:t>
      </w:r>
      <w:r w:rsidR="00616DE4" w:rsidRPr="00EC4C5D">
        <w:rPr>
          <w:rFonts w:ascii="Book Antiqua" w:hAnsi="Book Antiqua" w:cs="AdvMyriadPro-R"/>
          <w:sz w:val="24"/>
          <w:szCs w:val="24"/>
          <w:lang w:val="en-US"/>
        </w:rPr>
        <w:t xml:space="preserve"> in </w:t>
      </w:r>
      <w:proofErr w:type="spellStart"/>
      <w:r w:rsidR="00616DE4" w:rsidRPr="00EC4C5D">
        <w:rPr>
          <w:rFonts w:ascii="Book Antiqua" w:hAnsi="Book Antiqua" w:cs="AdvMyriadPro-R"/>
          <w:sz w:val="24"/>
          <w:szCs w:val="24"/>
          <w:lang w:val="en-US"/>
        </w:rPr>
        <w:t>mRCC</w:t>
      </w:r>
      <w:proofErr w:type="spellEnd"/>
      <w:r w:rsidR="00616DE4" w:rsidRPr="00EC4C5D">
        <w:rPr>
          <w:rFonts w:ascii="Book Antiqua" w:hAnsi="Book Antiqua" w:cs="AdvMyriadPro-R"/>
          <w:sz w:val="24"/>
          <w:szCs w:val="24"/>
          <w:lang w:val="en-US"/>
        </w:rPr>
        <w:t xml:space="preserve"> patients </w:t>
      </w:r>
      <w:r w:rsidR="007C41F3" w:rsidRPr="00EC4C5D">
        <w:rPr>
          <w:rFonts w:ascii="Book Antiqua" w:hAnsi="Book Antiqua" w:cs="AdvMyriadPro-R"/>
          <w:sz w:val="24"/>
          <w:szCs w:val="24"/>
          <w:lang w:val="en-US"/>
        </w:rPr>
        <w:t xml:space="preserve">while </w:t>
      </w:r>
      <w:r w:rsidR="00616DE4" w:rsidRPr="00EC4C5D">
        <w:rPr>
          <w:rFonts w:ascii="Book Antiqua" w:hAnsi="Book Antiqua" w:cs="AdvMyriadPro-R"/>
          <w:sz w:val="24"/>
          <w:szCs w:val="24"/>
          <w:lang w:val="en-US"/>
        </w:rPr>
        <w:t xml:space="preserve">on VEGFR-directed </w:t>
      </w:r>
      <w:r w:rsidR="004F1F33" w:rsidRPr="00EC4C5D">
        <w:rPr>
          <w:rFonts w:ascii="Book Antiqua" w:hAnsi="Book Antiqua" w:cs="AdvMyriadPro-R"/>
          <w:sz w:val="24"/>
          <w:szCs w:val="24"/>
          <w:lang w:val="en-US"/>
        </w:rPr>
        <w:t>TKI</w:t>
      </w:r>
      <w:r w:rsidR="007C41F3" w:rsidRPr="00EC4C5D">
        <w:rPr>
          <w:rFonts w:ascii="Book Antiqua" w:hAnsi="Book Antiqua" w:cs="AdvMyriadPro-R"/>
          <w:sz w:val="24"/>
          <w:szCs w:val="24"/>
          <w:lang w:val="en-US"/>
        </w:rPr>
        <w:t xml:space="preserve"> in </w:t>
      </w:r>
      <w:r w:rsidR="00AB374A" w:rsidRPr="00EC4C5D">
        <w:rPr>
          <w:rFonts w:ascii="Book Antiqua" w:hAnsi="Book Antiqua" w:cs="AdvMyriadPro-R"/>
          <w:sz w:val="24"/>
          <w:szCs w:val="24"/>
          <w:lang w:val="en-US"/>
        </w:rPr>
        <w:t xml:space="preserve">the </w:t>
      </w:r>
      <w:r w:rsidR="007C41F3" w:rsidRPr="00EC4C5D">
        <w:rPr>
          <w:rFonts w:ascii="Book Antiqua" w:hAnsi="Book Antiqua" w:cs="AdvMyriadPro-R"/>
          <w:sz w:val="24"/>
          <w:szCs w:val="24"/>
          <w:lang w:val="en-US"/>
        </w:rPr>
        <w:t>first line</w:t>
      </w:r>
      <w:r w:rsidR="00616DE4" w:rsidRPr="00EC4C5D">
        <w:rPr>
          <w:rFonts w:ascii="Book Antiqua" w:hAnsi="Book Antiqua" w:cs="AdvMyriadPro-R"/>
          <w:sz w:val="24"/>
          <w:szCs w:val="24"/>
          <w:lang w:val="en-US"/>
        </w:rPr>
        <w:t xml:space="preserve">. </w:t>
      </w:r>
      <w:r w:rsidR="00437A3D" w:rsidRPr="00EC4C5D">
        <w:rPr>
          <w:rFonts w:ascii="Book Antiqua" w:hAnsi="Book Antiqua" w:cs="AdvMyriadPro-R"/>
          <w:sz w:val="24"/>
          <w:szCs w:val="24"/>
          <w:lang w:val="en-US"/>
        </w:rPr>
        <w:t>In the post</w:t>
      </w:r>
      <w:r w:rsidR="009A28DB" w:rsidRPr="00EC4C5D">
        <w:rPr>
          <w:rFonts w:ascii="Book Antiqua" w:hAnsi="Book Antiqua" w:cs="AdvMyriadPro-R"/>
          <w:sz w:val="24"/>
          <w:szCs w:val="24"/>
          <w:lang w:val="en-US"/>
        </w:rPr>
        <w:t xml:space="preserve"> </w:t>
      </w:r>
      <w:r w:rsidR="00437A3D" w:rsidRPr="00EC4C5D">
        <w:rPr>
          <w:rFonts w:ascii="Book Antiqua" w:hAnsi="Book Antiqua" w:cs="AdvMyriadPro-R"/>
          <w:sz w:val="24"/>
          <w:szCs w:val="24"/>
          <w:lang w:val="en-US"/>
        </w:rPr>
        <w:t>hoc analysis from the CLARINET trial, TGR seem</w:t>
      </w:r>
      <w:r w:rsidR="007C41F3" w:rsidRPr="00EC4C5D">
        <w:rPr>
          <w:rFonts w:ascii="Book Antiqua" w:hAnsi="Book Antiqua" w:cs="AdvMyriadPro-R"/>
          <w:sz w:val="24"/>
          <w:szCs w:val="24"/>
          <w:lang w:val="en-US"/>
        </w:rPr>
        <w:t>ed</w:t>
      </w:r>
      <w:r w:rsidR="00437A3D" w:rsidRPr="00EC4C5D">
        <w:rPr>
          <w:rFonts w:ascii="Book Antiqua" w:hAnsi="Book Antiqua" w:cs="AdvMyriadPro-R"/>
          <w:sz w:val="24"/>
          <w:szCs w:val="24"/>
          <w:lang w:val="en-US"/>
        </w:rPr>
        <w:t xml:space="preserve"> to provide more precise information to predict pretreatment progression </w:t>
      </w:r>
      <w:r w:rsidR="00E61EEB" w:rsidRPr="00EC4C5D">
        <w:rPr>
          <w:rFonts w:ascii="Book Antiqua" w:hAnsi="Book Antiqua" w:cs="AdvMyriadPro-R"/>
          <w:sz w:val="24"/>
          <w:szCs w:val="24"/>
          <w:lang w:val="en-US"/>
        </w:rPr>
        <w:t>regarding</w:t>
      </w:r>
      <w:r w:rsidR="00AB374A" w:rsidRPr="00EC4C5D">
        <w:rPr>
          <w:rFonts w:ascii="Book Antiqua" w:hAnsi="Book Antiqua" w:cs="AdvMyriadPro-R"/>
          <w:sz w:val="24"/>
          <w:szCs w:val="24"/>
          <w:lang w:val="en-US"/>
        </w:rPr>
        <w:t xml:space="preserve"> actively growing </w:t>
      </w:r>
      <w:r w:rsidR="00437A3D" w:rsidRPr="00EC4C5D">
        <w:rPr>
          <w:rFonts w:ascii="Book Antiqua" w:hAnsi="Book Antiqua" w:cs="AdvMyriadPro-R"/>
          <w:sz w:val="24"/>
          <w:szCs w:val="24"/>
          <w:lang w:val="en-US"/>
        </w:rPr>
        <w:t xml:space="preserve">tumors, but considered </w:t>
      </w:r>
      <w:r w:rsidR="00AB374A" w:rsidRPr="00EC4C5D">
        <w:rPr>
          <w:rFonts w:ascii="Book Antiqua" w:hAnsi="Book Antiqua" w:cs="AdvMyriadPro-R"/>
          <w:sz w:val="24"/>
          <w:szCs w:val="24"/>
          <w:lang w:val="en-US"/>
        </w:rPr>
        <w:t xml:space="preserve">as </w:t>
      </w:r>
      <w:r w:rsidR="00437A3D" w:rsidRPr="00EC4C5D">
        <w:rPr>
          <w:rFonts w:ascii="Book Antiqua" w:hAnsi="Book Antiqua" w:cs="AdvMyriadPro-R"/>
          <w:sz w:val="24"/>
          <w:szCs w:val="24"/>
          <w:lang w:val="en-US"/>
        </w:rPr>
        <w:t>stable disease by RECIST criteria</w:t>
      </w:r>
      <w:r w:rsidR="00582674" w:rsidRPr="00EC4C5D">
        <w:rPr>
          <w:rFonts w:ascii="Book Antiqua" w:hAnsi="Book Antiqua" w:cs="AdvMyriadPro-R"/>
          <w:sz w:val="24"/>
          <w:szCs w:val="24"/>
          <w:lang w:val="en-US"/>
        </w:rPr>
        <w:t>,</w:t>
      </w:r>
      <w:r w:rsidR="00437A3D" w:rsidRPr="00EC4C5D">
        <w:rPr>
          <w:rFonts w:ascii="Book Antiqua" w:hAnsi="Book Antiqua" w:cs="AdvMyriadPro-R"/>
          <w:sz w:val="24"/>
          <w:szCs w:val="24"/>
          <w:lang w:val="en-US"/>
        </w:rPr>
        <w:t xml:space="preserve"> and </w:t>
      </w:r>
      <w:r w:rsidR="00582674" w:rsidRPr="00EC4C5D">
        <w:rPr>
          <w:rFonts w:ascii="Book Antiqua" w:hAnsi="Book Antiqua" w:cs="AdvMyriadPro-R"/>
          <w:sz w:val="24"/>
          <w:szCs w:val="24"/>
          <w:lang w:val="en-US"/>
        </w:rPr>
        <w:t>more sensitive to detect</w:t>
      </w:r>
      <w:r w:rsidR="00437A3D" w:rsidRPr="00EC4C5D">
        <w:rPr>
          <w:rFonts w:ascii="Book Antiqua" w:hAnsi="Book Antiqua" w:cs="AdvMyriadPro-R"/>
          <w:sz w:val="24"/>
          <w:szCs w:val="24"/>
          <w:lang w:val="en-US"/>
        </w:rPr>
        <w:t xml:space="preserve"> early antitumor activity from treatment compared with RECIST criteria</w:t>
      </w:r>
      <w:r w:rsidR="00C20175" w:rsidRPr="00AE3D5D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[</w:t>
      </w:r>
      <w:r w:rsidR="00C20175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2</w:t>
      </w:r>
      <w:r w:rsidR="00E64BC3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8</w:t>
      </w:r>
      <w:r w:rsidR="00C20175" w:rsidRPr="00AE3D5D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]</w:t>
      </w:r>
      <w:r w:rsidR="00437A3D" w:rsidRPr="00EC4C5D">
        <w:rPr>
          <w:rFonts w:ascii="Book Antiqua" w:hAnsi="Book Antiqua" w:cs="AdvMyriadPro-R"/>
          <w:sz w:val="24"/>
          <w:szCs w:val="24"/>
          <w:lang w:val="en-US"/>
        </w:rPr>
        <w:t xml:space="preserve">. </w:t>
      </w:r>
      <w:r w:rsidR="001111E4" w:rsidRPr="00EC4C5D">
        <w:rPr>
          <w:rFonts w:ascii="Book Antiqua" w:hAnsi="Book Antiqua" w:cs="AdvMyriadPro-R"/>
          <w:sz w:val="24"/>
          <w:szCs w:val="24"/>
          <w:lang w:val="en-US"/>
        </w:rPr>
        <w:t>We consider</w:t>
      </w:r>
      <w:r w:rsidR="00616DE4" w:rsidRPr="00EC4C5D">
        <w:rPr>
          <w:rFonts w:ascii="Book Antiqua" w:hAnsi="Book Antiqua" w:cs="AdvMyriadPro-R"/>
          <w:sz w:val="24"/>
          <w:szCs w:val="24"/>
          <w:lang w:val="en-US"/>
        </w:rPr>
        <w:t xml:space="preserve"> that</w:t>
      </w:r>
      <w:r w:rsidR="006722E6" w:rsidRPr="00EC4C5D">
        <w:rPr>
          <w:rFonts w:ascii="Book Antiqua" w:hAnsi="Book Antiqua" w:cs="AdvMyriadPro-R"/>
          <w:sz w:val="24"/>
          <w:szCs w:val="24"/>
          <w:lang w:val="en-US"/>
        </w:rPr>
        <w:t xml:space="preserve"> the</w:t>
      </w:r>
      <w:r w:rsidR="00616DE4" w:rsidRPr="00EC4C5D">
        <w:rPr>
          <w:rFonts w:ascii="Book Antiqua" w:hAnsi="Book Antiqua" w:cs="AdvMyriadPro-R"/>
          <w:sz w:val="24"/>
          <w:szCs w:val="24"/>
          <w:lang w:val="en-US"/>
        </w:rPr>
        <w:t xml:space="preserve"> </w:t>
      </w:r>
      <w:r w:rsidR="00951CE1" w:rsidRPr="00EC4C5D">
        <w:rPr>
          <w:rFonts w:ascii="Book Antiqua" w:hAnsi="Book Antiqua" w:cs="AdvMyriadPro-R"/>
          <w:sz w:val="24"/>
          <w:szCs w:val="24"/>
          <w:lang w:val="en-US"/>
        </w:rPr>
        <w:t>addition</w:t>
      </w:r>
      <w:r w:rsidR="00751FAD" w:rsidRPr="00EC4C5D">
        <w:rPr>
          <w:rFonts w:ascii="Book Antiqua" w:hAnsi="Book Antiqua" w:cs="AdvMyriadPro-R"/>
          <w:sz w:val="24"/>
          <w:szCs w:val="24"/>
          <w:lang w:val="en-US"/>
        </w:rPr>
        <w:t xml:space="preserve"> of TGR in the assessment of individual patients undergoing targeted therapies may help clinicians </w:t>
      </w:r>
      <w:r w:rsidR="001111E4" w:rsidRPr="00EC4C5D">
        <w:rPr>
          <w:rFonts w:ascii="Book Antiqua" w:hAnsi="Book Antiqua" w:cs="AdvMyriadPro-R"/>
          <w:sz w:val="24"/>
          <w:szCs w:val="24"/>
          <w:lang w:val="en-US"/>
        </w:rPr>
        <w:t>to know</w:t>
      </w:r>
      <w:r w:rsidR="00751FAD" w:rsidRPr="00EC4C5D">
        <w:rPr>
          <w:rFonts w:ascii="Book Antiqua" w:hAnsi="Book Antiqua" w:cs="AdvMyriadPro-R"/>
          <w:sz w:val="24"/>
          <w:szCs w:val="24"/>
          <w:lang w:val="en-US"/>
        </w:rPr>
        <w:t xml:space="preserve"> if a given agent </w:t>
      </w:r>
      <w:r w:rsidR="001111E4" w:rsidRPr="00EC4C5D">
        <w:rPr>
          <w:rFonts w:ascii="Book Antiqua" w:hAnsi="Book Antiqua" w:cs="AdvMyriadPro-R"/>
          <w:sz w:val="24"/>
          <w:szCs w:val="24"/>
          <w:lang w:val="en-US"/>
        </w:rPr>
        <w:t xml:space="preserve">is </w:t>
      </w:r>
      <w:r w:rsidR="004961EE" w:rsidRPr="00EC4C5D">
        <w:rPr>
          <w:rFonts w:ascii="Book Antiqua" w:hAnsi="Book Antiqua" w:cs="AdvMyriadPro-R"/>
          <w:sz w:val="24"/>
          <w:szCs w:val="24"/>
          <w:lang w:val="en-US"/>
        </w:rPr>
        <w:t>modifying</w:t>
      </w:r>
      <w:r w:rsidR="001111E4" w:rsidRPr="00EC4C5D">
        <w:rPr>
          <w:rFonts w:ascii="Book Antiqua" w:hAnsi="Book Antiqua" w:cs="AdvMyriadPro-R"/>
          <w:sz w:val="24"/>
          <w:szCs w:val="24"/>
          <w:lang w:val="en-US"/>
        </w:rPr>
        <w:t xml:space="preserve"> or not the course of the disease and </w:t>
      </w:r>
      <w:r w:rsidR="00F065A9" w:rsidRPr="00EC4C5D">
        <w:rPr>
          <w:rFonts w:ascii="Book Antiqua" w:hAnsi="Book Antiqua" w:cs="AdvMyriadPro-R"/>
          <w:sz w:val="24"/>
          <w:szCs w:val="24"/>
          <w:lang w:val="en-US"/>
        </w:rPr>
        <w:t>guide the decision of</w:t>
      </w:r>
      <w:r w:rsidR="001111E4" w:rsidRPr="00EC4C5D">
        <w:rPr>
          <w:rFonts w:ascii="Book Antiqua" w:hAnsi="Book Antiqua" w:cs="AdvMyriadPro-R"/>
          <w:sz w:val="24"/>
          <w:szCs w:val="24"/>
          <w:lang w:val="en-US"/>
        </w:rPr>
        <w:t xml:space="preserve"> </w:t>
      </w:r>
      <w:r w:rsidR="00616DE4" w:rsidRPr="00EC4C5D">
        <w:rPr>
          <w:rFonts w:ascii="Book Antiqua" w:hAnsi="Book Antiqua" w:cs="AdvMyriadPro-R"/>
          <w:sz w:val="24"/>
          <w:szCs w:val="24"/>
          <w:lang w:val="en-US"/>
        </w:rPr>
        <w:t>which agent would be prefe</w:t>
      </w:r>
      <w:r w:rsidR="001111E4" w:rsidRPr="00EC4C5D">
        <w:rPr>
          <w:rFonts w:ascii="Book Antiqua" w:hAnsi="Book Antiqua" w:cs="AdvMyriadPro-R"/>
          <w:sz w:val="24"/>
          <w:szCs w:val="24"/>
          <w:lang w:val="en-US"/>
        </w:rPr>
        <w:t>r</w:t>
      </w:r>
      <w:r w:rsidR="00616DE4" w:rsidRPr="00EC4C5D">
        <w:rPr>
          <w:rFonts w:ascii="Book Antiqua" w:hAnsi="Book Antiqua" w:cs="AdvMyriadPro-R"/>
          <w:sz w:val="24"/>
          <w:szCs w:val="24"/>
          <w:lang w:val="en-US"/>
        </w:rPr>
        <w:t>r</w:t>
      </w:r>
      <w:r w:rsidR="001111E4" w:rsidRPr="00EC4C5D">
        <w:rPr>
          <w:rFonts w:ascii="Book Antiqua" w:hAnsi="Book Antiqua" w:cs="AdvMyriadPro-R"/>
          <w:sz w:val="24"/>
          <w:szCs w:val="24"/>
          <w:lang w:val="en-US"/>
        </w:rPr>
        <w:t>ed</w:t>
      </w:r>
      <w:r w:rsidR="00616DE4" w:rsidRPr="00EC4C5D">
        <w:rPr>
          <w:rFonts w:ascii="Book Antiqua" w:hAnsi="Book Antiqua" w:cs="AdvMyriadPro-R"/>
          <w:sz w:val="24"/>
          <w:szCs w:val="24"/>
          <w:lang w:val="en-US"/>
        </w:rPr>
        <w:t xml:space="preserve"> in the subsequent line.</w:t>
      </w:r>
      <w:r w:rsidR="001111E4" w:rsidRPr="00EC4C5D">
        <w:rPr>
          <w:rFonts w:ascii="Book Antiqua" w:hAnsi="Book Antiqua" w:cs="AdvMyriadPro-R"/>
          <w:sz w:val="24"/>
          <w:szCs w:val="24"/>
          <w:lang w:val="en-US"/>
        </w:rPr>
        <w:t xml:space="preserve"> </w:t>
      </w:r>
      <w:r w:rsidR="00FF55F7" w:rsidRPr="00EC4C5D">
        <w:rPr>
          <w:rFonts w:ascii="Book Antiqua" w:hAnsi="Book Antiqua" w:cs="AdvMyriadPro-R"/>
          <w:sz w:val="24"/>
          <w:szCs w:val="24"/>
          <w:lang w:val="en-US"/>
        </w:rPr>
        <w:t>However,</w:t>
      </w:r>
      <w:r w:rsidR="00154F1D" w:rsidRPr="00EC4C5D">
        <w:rPr>
          <w:rFonts w:ascii="Book Antiqua" w:hAnsi="Book Antiqua" w:cs="AdvMyriadPro-R"/>
          <w:sz w:val="24"/>
          <w:szCs w:val="24"/>
          <w:lang w:val="en-US"/>
        </w:rPr>
        <w:t xml:space="preserve"> </w:t>
      </w:r>
      <w:r w:rsidR="00607286" w:rsidRPr="00EC4C5D">
        <w:rPr>
          <w:rFonts w:ascii="Book Antiqua" w:hAnsi="Book Antiqua" w:cs="AdvMyriadPro-R"/>
          <w:sz w:val="24"/>
          <w:szCs w:val="24"/>
          <w:lang w:val="en-US"/>
        </w:rPr>
        <w:t xml:space="preserve">for </w:t>
      </w:r>
      <w:r w:rsidR="00FF55F7" w:rsidRPr="00EC4C5D">
        <w:rPr>
          <w:rFonts w:ascii="Book Antiqua" w:hAnsi="Book Antiqua" w:cs="AdvMyriadPro-R"/>
          <w:sz w:val="24"/>
          <w:szCs w:val="24"/>
          <w:lang w:val="en-US"/>
        </w:rPr>
        <w:t xml:space="preserve">the use of TGR in </w:t>
      </w:r>
      <w:r w:rsidR="00DE490E" w:rsidRPr="00EC4C5D">
        <w:rPr>
          <w:rFonts w:ascii="Book Antiqua" w:hAnsi="Book Antiqua" w:cs="AdvMyriadPro-R"/>
          <w:sz w:val="24"/>
          <w:szCs w:val="24"/>
          <w:lang w:val="en-US"/>
        </w:rPr>
        <w:t xml:space="preserve">the </w:t>
      </w:r>
      <w:r w:rsidR="00FF55F7" w:rsidRPr="00EC4C5D">
        <w:rPr>
          <w:rFonts w:ascii="Book Antiqua" w:hAnsi="Book Antiqua" w:cs="AdvMyriadPro-R"/>
          <w:sz w:val="24"/>
          <w:szCs w:val="24"/>
          <w:lang w:val="en-US"/>
        </w:rPr>
        <w:t xml:space="preserve">clinical </w:t>
      </w:r>
      <w:r w:rsidR="00DE490E" w:rsidRPr="00EC4C5D">
        <w:rPr>
          <w:rFonts w:ascii="Book Antiqua" w:hAnsi="Book Antiqua" w:cs="AdvMyriadPro-R"/>
          <w:sz w:val="24"/>
          <w:szCs w:val="24"/>
          <w:lang w:val="en-US"/>
        </w:rPr>
        <w:t>setting</w:t>
      </w:r>
      <w:r w:rsidR="004961EE" w:rsidRPr="00EC4C5D">
        <w:rPr>
          <w:rFonts w:ascii="Book Antiqua" w:hAnsi="Book Antiqua" w:cs="AdvMyriadPro-R"/>
          <w:sz w:val="24"/>
          <w:szCs w:val="24"/>
          <w:lang w:val="en-US"/>
        </w:rPr>
        <w:t>,</w:t>
      </w:r>
      <w:r w:rsidR="00DE490E" w:rsidRPr="00EC4C5D">
        <w:rPr>
          <w:rFonts w:ascii="Book Antiqua" w:hAnsi="Book Antiqua" w:cs="AdvMyriadPro-R"/>
          <w:sz w:val="24"/>
          <w:szCs w:val="24"/>
          <w:lang w:val="en-US"/>
        </w:rPr>
        <w:t xml:space="preserve"> a prospective clinical trial </w:t>
      </w:r>
      <w:r w:rsidR="00607286" w:rsidRPr="00EC4C5D">
        <w:rPr>
          <w:rFonts w:ascii="Book Antiqua" w:hAnsi="Book Antiqua" w:cs="AdvMyriadPro-R"/>
          <w:sz w:val="24"/>
          <w:szCs w:val="24"/>
          <w:lang w:val="en-US"/>
        </w:rPr>
        <w:t xml:space="preserve">for its validation </w:t>
      </w:r>
      <w:r w:rsidR="007C41F3" w:rsidRPr="00EC4C5D">
        <w:rPr>
          <w:rFonts w:ascii="Book Antiqua" w:hAnsi="Book Antiqua" w:cs="AdvMyriadPro-R"/>
          <w:sz w:val="24"/>
          <w:szCs w:val="24"/>
          <w:lang w:val="en-US"/>
        </w:rPr>
        <w:t>would be</w:t>
      </w:r>
      <w:r w:rsidR="00DE490E" w:rsidRPr="00EC4C5D">
        <w:rPr>
          <w:rFonts w:ascii="Book Antiqua" w:hAnsi="Book Antiqua" w:cs="AdvMyriadPro-R"/>
          <w:sz w:val="24"/>
          <w:szCs w:val="24"/>
          <w:lang w:val="en-US"/>
        </w:rPr>
        <w:t xml:space="preserve"> needed</w:t>
      </w:r>
      <w:r w:rsidR="0037539A" w:rsidRPr="00AE3D5D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[</w:t>
      </w:r>
      <w:r w:rsidR="0037539A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2</w:t>
      </w:r>
      <w:r w:rsidR="00E64BC3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3</w:t>
      </w:r>
      <w:r w:rsidR="0037539A" w:rsidRPr="00AE3D5D">
        <w:rPr>
          <w:rFonts w:ascii="Book Antiqua" w:hAnsi="Book Antiqua" w:cs="AdvMyriadPro-R" w:hint="eastAsia"/>
          <w:sz w:val="24"/>
          <w:szCs w:val="24"/>
          <w:vertAlign w:val="superscript"/>
          <w:lang w:val="en-US" w:eastAsia="zh-CN"/>
        </w:rPr>
        <w:t>]</w:t>
      </w:r>
      <w:r w:rsidR="00DE490E" w:rsidRPr="00EC4C5D">
        <w:rPr>
          <w:rFonts w:ascii="Book Antiqua" w:hAnsi="Book Antiqua" w:cs="AdvMyriadPro-R"/>
          <w:sz w:val="24"/>
          <w:szCs w:val="24"/>
          <w:lang w:val="en-US"/>
        </w:rPr>
        <w:t>.</w:t>
      </w:r>
    </w:p>
    <w:p w14:paraId="74D370C5" w14:textId="5AE2B4D6" w:rsidR="00011625" w:rsidRPr="00EC4C5D" w:rsidRDefault="00004C55" w:rsidP="004F71B6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AdvMyriadPro-R"/>
          <w:sz w:val="24"/>
          <w:szCs w:val="24"/>
          <w:lang w:val="en-US"/>
        </w:rPr>
      </w:pPr>
      <w:r w:rsidRPr="00EC4C5D">
        <w:rPr>
          <w:rFonts w:ascii="Book Antiqua" w:hAnsi="Book Antiqua" w:cs="AdvMyriadPro-R"/>
          <w:sz w:val="24"/>
          <w:szCs w:val="24"/>
          <w:lang w:val="en-US"/>
        </w:rPr>
        <w:t>Considering all aspects previously discussed, patients</w:t>
      </w:r>
      <w:r w:rsidR="007C41F3" w:rsidRPr="00EC4C5D">
        <w:rPr>
          <w:rFonts w:ascii="Book Antiqua" w:hAnsi="Book Antiqua" w:cs="AdvMyriadPro-R"/>
          <w:sz w:val="24"/>
          <w:szCs w:val="24"/>
          <w:lang w:val="en-US"/>
        </w:rPr>
        <w:t xml:space="preserve"> with </w:t>
      </w:r>
      <w:proofErr w:type="spellStart"/>
      <w:r w:rsidR="00767B0E" w:rsidRPr="00EC4C5D">
        <w:rPr>
          <w:rFonts w:ascii="Book Antiqua" w:hAnsi="Book Antiqua" w:cs="AdvMyriadPro-R"/>
          <w:sz w:val="24"/>
          <w:szCs w:val="24"/>
          <w:lang w:val="en-US"/>
        </w:rPr>
        <w:t>m</w:t>
      </w:r>
      <w:r w:rsidR="007C41F3" w:rsidRPr="00EC4C5D">
        <w:rPr>
          <w:rFonts w:ascii="Book Antiqua" w:hAnsi="Book Antiqua" w:cs="AdvMyriadPro-R"/>
          <w:sz w:val="24"/>
          <w:szCs w:val="24"/>
          <w:lang w:val="en-US"/>
        </w:rPr>
        <w:t>RCC</w:t>
      </w:r>
      <w:proofErr w:type="spellEnd"/>
      <w:r w:rsidR="007C41F3" w:rsidRPr="00EC4C5D">
        <w:rPr>
          <w:rFonts w:ascii="Book Antiqua" w:hAnsi="Book Antiqua" w:cs="AdvMyriadPro-R"/>
          <w:sz w:val="24"/>
          <w:szCs w:val="24"/>
          <w:lang w:val="en-US"/>
        </w:rPr>
        <w:t xml:space="preserve"> that are candidate for a second line treatment</w:t>
      </w:r>
      <w:r w:rsidRPr="00EC4C5D">
        <w:rPr>
          <w:rFonts w:ascii="Book Antiqua" w:hAnsi="Book Antiqua" w:cs="AdvMyriadPro-R"/>
          <w:sz w:val="24"/>
          <w:szCs w:val="24"/>
          <w:lang w:val="en-US"/>
        </w:rPr>
        <w:t xml:space="preserve"> </w:t>
      </w:r>
      <w:r w:rsidR="00211FE2" w:rsidRPr="00EC4C5D">
        <w:rPr>
          <w:rFonts w:ascii="Book Antiqua" w:hAnsi="Book Antiqua" w:cs="AdvMyriadPro-R"/>
          <w:sz w:val="24"/>
          <w:szCs w:val="24"/>
          <w:lang w:val="en-US"/>
        </w:rPr>
        <w:t>could</w:t>
      </w:r>
      <w:r w:rsidRPr="00EC4C5D">
        <w:rPr>
          <w:rFonts w:ascii="Book Antiqua" w:hAnsi="Book Antiqua" w:cs="AdvMyriadPro-R"/>
          <w:sz w:val="24"/>
          <w:szCs w:val="24"/>
          <w:lang w:val="en-US"/>
        </w:rPr>
        <w:t xml:space="preserve"> be </w:t>
      </w:r>
      <w:r w:rsidR="007C41F3" w:rsidRPr="00EC4C5D">
        <w:rPr>
          <w:rFonts w:ascii="Book Antiqua" w:hAnsi="Book Antiqua" w:cs="AdvMyriadPro-R"/>
          <w:sz w:val="24"/>
          <w:szCs w:val="24"/>
          <w:lang w:val="en-US"/>
        </w:rPr>
        <w:t xml:space="preserve">differentiated into four main subgroups </w:t>
      </w:r>
      <w:r w:rsidR="00293774" w:rsidRPr="00EC4C5D">
        <w:rPr>
          <w:rFonts w:ascii="Book Antiqua" w:hAnsi="Book Antiqua" w:cs="AdvMyriadPro-R"/>
          <w:sz w:val="24"/>
          <w:szCs w:val="24"/>
          <w:lang w:val="en-US"/>
        </w:rPr>
        <w:t>(</w:t>
      </w:r>
      <w:r w:rsidR="004F71B6">
        <w:rPr>
          <w:rFonts w:ascii="Book Antiqua" w:hAnsi="Book Antiqua" w:cs="AdvMyriadPro-R" w:hint="eastAsia"/>
          <w:sz w:val="24"/>
          <w:szCs w:val="24"/>
          <w:lang w:val="en-US" w:eastAsia="zh-CN"/>
        </w:rPr>
        <w:t>F</w:t>
      </w:r>
      <w:r w:rsidR="00CF75E9" w:rsidRPr="00EC4C5D">
        <w:rPr>
          <w:rFonts w:ascii="Book Antiqua" w:hAnsi="Book Antiqua" w:cs="AdvMyriadPro-R"/>
          <w:sz w:val="24"/>
          <w:szCs w:val="24"/>
          <w:lang w:val="en-US"/>
        </w:rPr>
        <w:t>igure 2</w:t>
      </w:r>
      <w:r w:rsidR="00293774" w:rsidRPr="00EC4C5D">
        <w:rPr>
          <w:rFonts w:ascii="Book Antiqua" w:hAnsi="Book Antiqua" w:cs="AdvMyriadPro-R"/>
          <w:sz w:val="24"/>
          <w:szCs w:val="24"/>
          <w:lang w:val="en-US"/>
        </w:rPr>
        <w:t>)</w:t>
      </w:r>
      <w:r w:rsidR="00FB7B1A" w:rsidRPr="00EC4C5D">
        <w:rPr>
          <w:rFonts w:ascii="Book Antiqua" w:hAnsi="Book Antiqua" w:cs="AdvMyriadPro-R"/>
          <w:sz w:val="24"/>
          <w:szCs w:val="24"/>
          <w:lang w:val="en-US"/>
        </w:rPr>
        <w:t>. P</w:t>
      </w:r>
      <w:r w:rsidR="00011625" w:rsidRPr="00EC4C5D">
        <w:rPr>
          <w:rFonts w:ascii="Book Antiqua" w:hAnsi="Book Antiqua" w:cs="AdvMyriadPro-R"/>
          <w:sz w:val="24"/>
          <w:szCs w:val="24"/>
          <w:lang w:val="en-US"/>
        </w:rPr>
        <w:t xml:space="preserve">atients with florid symptoms, high tumor burden, short time to response to the first line (PFS less than 6 </w:t>
      </w:r>
      <w:proofErr w:type="spellStart"/>
      <w:r w:rsidR="00011625" w:rsidRPr="00EC4C5D">
        <w:rPr>
          <w:rFonts w:ascii="Book Antiqua" w:hAnsi="Book Antiqua" w:cs="AdvMyriadPro-R"/>
          <w:sz w:val="24"/>
          <w:szCs w:val="24"/>
          <w:lang w:val="en-US"/>
        </w:rPr>
        <w:t>mo</w:t>
      </w:r>
      <w:proofErr w:type="spellEnd"/>
      <w:r w:rsidR="00011625" w:rsidRPr="00EC4C5D">
        <w:rPr>
          <w:rFonts w:ascii="Book Antiqua" w:hAnsi="Book Antiqua" w:cs="AdvMyriadPro-R"/>
          <w:sz w:val="24"/>
          <w:szCs w:val="24"/>
          <w:lang w:val="en-US"/>
        </w:rPr>
        <w:t xml:space="preserve">, so called, early </w:t>
      </w:r>
      <w:proofErr w:type="spellStart"/>
      <w:r w:rsidR="00011625" w:rsidRPr="00EC4C5D">
        <w:rPr>
          <w:rFonts w:ascii="Book Antiqua" w:hAnsi="Book Antiqua" w:cs="AdvMyriadPro-R"/>
          <w:sz w:val="24"/>
          <w:szCs w:val="24"/>
          <w:lang w:val="en-US"/>
        </w:rPr>
        <w:t>progressors</w:t>
      </w:r>
      <w:proofErr w:type="spellEnd"/>
      <w:r w:rsidR="00011625" w:rsidRPr="00EC4C5D">
        <w:rPr>
          <w:rFonts w:ascii="Book Antiqua" w:hAnsi="Book Antiqua" w:cs="AdvMyriadPro-R"/>
          <w:sz w:val="24"/>
          <w:szCs w:val="24"/>
          <w:lang w:val="en-US"/>
        </w:rPr>
        <w:t xml:space="preserve">) and high TGR, in which we would need an early and </w:t>
      </w:r>
      <w:r w:rsidR="00FB7B1A" w:rsidRPr="00EC4C5D">
        <w:rPr>
          <w:rFonts w:ascii="Book Antiqua" w:hAnsi="Book Antiqua" w:cs="AdvMyriadPro-R"/>
          <w:sz w:val="24"/>
          <w:szCs w:val="24"/>
          <w:lang w:val="en-US"/>
        </w:rPr>
        <w:t>high</w:t>
      </w:r>
      <w:r w:rsidR="00011625" w:rsidRPr="00EC4C5D">
        <w:rPr>
          <w:rFonts w:ascii="Book Antiqua" w:hAnsi="Book Antiqua" w:cs="AdvMyriadPro-R"/>
          <w:sz w:val="24"/>
          <w:szCs w:val="24"/>
          <w:lang w:val="en-US"/>
        </w:rPr>
        <w:t xml:space="preserve"> response, the combination of </w:t>
      </w:r>
      <w:proofErr w:type="spellStart"/>
      <w:r w:rsidR="00011625" w:rsidRPr="00EC4C5D">
        <w:rPr>
          <w:rFonts w:ascii="Book Antiqua" w:hAnsi="Book Antiqua" w:cs="AdvMyriadPro-R"/>
          <w:sz w:val="24"/>
          <w:szCs w:val="24"/>
          <w:lang w:val="en-US"/>
        </w:rPr>
        <w:t>everolimus</w:t>
      </w:r>
      <w:proofErr w:type="spellEnd"/>
      <w:r w:rsidR="00011625" w:rsidRPr="00EC4C5D">
        <w:rPr>
          <w:rFonts w:ascii="Book Antiqua" w:hAnsi="Book Antiqua" w:cs="AdvMyriadPro-R"/>
          <w:sz w:val="24"/>
          <w:szCs w:val="24"/>
          <w:lang w:val="en-US"/>
        </w:rPr>
        <w:t xml:space="preserve"> with </w:t>
      </w:r>
      <w:proofErr w:type="spellStart"/>
      <w:r w:rsidR="00011625" w:rsidRPr="00EC4C5D">
        <w:rPr>
          <w:rFonts w:ascii="Book Antiqua" w:hAnsi="Book Antiqua" w:cs="AdvMyriadPro-R"/>
          <w:sz w:val="24"/>
          <w:szCs w:val="24"/>
          <w:lang w:val="en-US"/>
        </w:rPr>
        <w:t>lenvatinib</w:t>
      </w:r>
      <w:proofErr w:type="spellEnd"/>
      <w:r w:rsidR="00FB7B1A" w:rsidRPr="00EC4C5D">
        <w:rPr>
          <w:rFonts w:ascii="Book Antiqua" w:hAnsi="Book Antiqua" w:cs="AdvMyriadPro-R"/>
          <w:sz w:val="24"/>
          <w:szCs w:val="24"/>
          <w:lang w:val="en-US"/>
        </w:rPr>
        <w:t xml:space="preserve"> should be considered, as we </w:t>
      </w:r>
      <w:r w:rsidR="00011625" w:rsidRPr="00EC4C5D">
        <w:rPr>
          <w:rFonts w:ascii="Book Antiqua" w:hAnsi="Book Antiqua" w:cs="AdvMyriadPro-R"/>
          <w:sz w:val="24"/>
          <w:szCs w:val="24"/>
          <w:lang w:val="en-US"/>
        </w:rPr>
        <w:t>will target several mechanism</w:t>
      </w:r>
      <w:r w:rsidR="008D51A9" w:rsidRPr="00EC4C5D">
        <w:rPr>
          <w:rFonts w:ascii="Book Antiqua" w:hAnsi="Book Antiqua" w:cs="AdvMyriadPro-R"/>
          <w:sz w:val="24"/>
          <w:szCs w:val="24"/>
          <w:lang w:val="en-US"/>
        </w:rPr>
        <w:t>s</w:t>
      </w:r>
      <w:r w:rsidR="00011625" w:rsidRPr="00EC4C5D">
        <w:rPr>
          <w:rFonts w:ascii="Book Antiqua" w:hAnsi="Book Antiqua" w:cs="AdvMyriadPro-R"/>
          <w:sz w:val="24"/>
          <w:szCs w:val="24"/>
          <w:lang w:val="en-US"/>
        </w:rPr>
        <w:t xml:space="preserve"> of action (VEGFR, </w:t>
      </w:r>
      <w:r w:rsidR="00161B04" w:rsidRPr="00EC4C5D">
        <w:rPr>
          <w:rFonts w:ascii="Book Antiqua" w:hAnsi="Book Antiqua" w:cs="AdvMyriadPro-R"/>
          <w:sz w:val="24"/>
          <w:szCs w:val="24"/>
          <w:lang w:val="en-US"/>
        </w:rPr>
        <w:t xml:space="preserve">fibroblast growing factor receptor, </w:t>
      </w:r>
      <w:r w:rsidR="00011625" w:rsidRPr="00EC4C5D">
        <w:rPr>
          <w:rFonts w:ascii="Book Antiqua" w:hAnsi="Book Antiqua" w:cs="AdvMyriadPro-R"/>
          <w:sz w:val="24"/>
          <w:szCs w:val="24"/>
          <w:lang w:val="en-US"/>
        </w:rPr>
        <w:t>FGFR</w:t>
      </w:r>
      <w:r w:rsidR="00161B04" w:rsidRPr="00EC4C5D">
        <w:rPr>
          <w:rFonts w:ascii="Book Antiqua" w:hAnsi="Book Antiqua" w:cs="AdvMyriadPro-R"/>
          <w:sz w:val="24"/>
          <w:szCs w:val="24"/>
          <w:lang w:val="en-US"/>
        </w:rPr>
        <w:t>,</w:t>
      </w:r>
      <w:r w:rsidR="00011625" w:rsidRPr="00EC4C5D">
        <w:rPr>
          <w:rFonts w:ascii="Book Antiqua" w:hAnsi="Book Antiqua" w:cs="AdvMyriadPro-R"/>
          <w:sz w:val="24"/>
          <w:szCs w:val="24"/>
          <w:lang w:val="en-US"/>
        </w:rPr>
        <w:t xml:space="preserve"> and m-TOR pathways). In such patients</w:t>
      </w:r>
      <w:r w:rsidR="008D51A9" w:rsidRPr="00EC4C5D">
        <w:rPr>
          <w:rFonts w:ascii="Book Antiqua" w:hAnsi="Book Antiqua" w:cs="AdvMyriadPro-R"/>
          <w:sz w:val="24"/>
          <w:szCs w:val="24"/>
          <w:lang w:val="en-US"/>
        </w:rPr>
        <w:t>,</w:t>
      </w:r>
      <w:r w:rsidR="00011625" w:rsidRPr="00EC4C5D">
        <w:rPr>
          <w:rFonts w:ascii="Book Antiqua" w:hAnsi="Book Antiqua" w:cs="AdvMyriadPro-R"/>
          <w:sz w:val="24"/>
          <w:szCs w:val="24"/>
          <w:lang w:val="en-US"/>
        </w:rPr>
        <w:t xml:space="preserve"> the expected benefit outweighs the increased toxicity of the combination</w:t>
      </w:r>
      <w:r w:rsidR="00FB7B1A" w:rsidRPr="00EC4C5D">
        <w:rPr>
          <w:rFonts w:ascii="Book Antiqua" w:hAnsi="Book Antiqua" w:cs="AdvMyriadPro-R"/>
          <w:sz w:val="24"/>
          <w:szCs w:val="24"/>
          <w:lang w:val="en-US"/>
        </w:rPr>
        <w:t xml:space="preserve"> therapy</w:t>
      </w:r>
      <w:r w:rsidR="00011625" w:rsidRPr="00EC4C5D">
        <w:rPr>
          <w:rFonts w:ascii="Book Antiqua" w:hAnsi="Book Antiqua" w:cs="AdvMyriadPro-R"/>
          <w:sz w:val="24"/>
          <w:szCs w:val="24"/>
          <w:lang w:val="en-US"/>
        </w:rPr>
        <w:t xml:space="preserve">. </w:t>
      </w:r>
      <w:r w:rsidR="00F663D5" w:rsidRPr="00EC4C5D">
        <w:rPr>
          <w:rFonts w:ascii="Book Antiqua" w:hAnsi="Book Antiqua" w:cs="AdvMyriadPro-R"/>
          <w:sz w:val="24"/>
          <w:szCs w:val="24"/>
          <w:lang w:val="en-US"/>
        </w:rPr>
        <w:t>In</w:t>
      </w:r>
      <w:r w:rsidR="00011625" w:rsidRPr="00EC4C5D">
        <w:rPr>
          <w:rFonts w:ascii="Book Antiqua" w:hAnsi="Book Antiqua" w:cs="AdvMyriadPro-R"/>
          <w:sz w:val="24"/>
          <w:szCs w:val="24"/>
          <w:lang w:val="en-US"/>
        </w:rPr>
        <w:t xml:space="preserve"> </w:t>
      </w:r>
      <w:r w:rsidR="00FB7B1A" w:rsidRPr="00EC4C5D">
        <w:rPr>
          <w:rFonts w:ascii="Book Antiqua" w:hAnsi="Book Antiqua" w:cs="AdvMyriadPro-R"/>
          <w:sz w:val="24"/>
          <w:szCs w:val="24"/>
          <w:lang w:val="en-US"/>
        </w:rPr>
        <w:t xml:space="preserve">those </w:t>
      </w:r>
      <w:r w:rsidR="00011625" w:rsidRPr="00EC4C5D">
        <w:rPr>
          <w:rFonts w:ascii="Book Antiqua" w:hAnsi="Book Antiqua" w:cs="AdvMyriadPro-R"/>
          <w:sz w:val="24"/>
          <w:szCs w:val="24"/>
          <w:lang w:val="en-US"/>
        </w:rPr>
        <w:t>patient</w:t>
      </w:r>
      <w:r w:rsidR="00F663D5" w:rsidRPr="00EC4C5D">
        <w:rPr>
          <w:rFonts w:ascii="Book Antiqua" w:hAnsi="Book Antiqua" w:cs="AdvMyriadPro-R"/>
          <w:sz w:val="24"/>
          <w:szCs w:val="24"/>
          <w:lang w:val="en-US"/>
        </w:rPr>
        <w:t>s</w:t>
      </w:r>
      <w:r w:rsidR="00011625" w:rsidRPr="00EC4C5D">
        <w:rPr>
          <w:rFonts w:ascii="Book Antiqua" w:hAnsi="Book Antiqua" w:cs="AdvMyriadPro-R"/>
          <w:sz w:val="24"/>
          <w:szCs w:val="24"/>
          <w:lang w:val="en-US"/>
        </w:rPr>
        <w:t xml:space="preserve"> with </w:t>
      </w:r>
      <w:r w:rsidR="00305EC4" w:rsidRPr="00EC4C5D">
        <w:rPr>
          <w:rFonts w:ascii="Book Antiqua" w:hAnsi="Book Antiqua" w:cs="AdvMyriadPro-R"/>
          <w:sz w:val="24"/>
          <w:szCs w:val="24"/>
          <w:lang w:val="en-US"/>
        </w:rPr>
        <w:t xml:space="preserve">a </w:t>
      </w:r>
      <w:r w:rsidR="00011625" w:rsidRPr="00EC4C5D">
        <w:rPr>
          <w:rFonts w:ascii="Book Antiqua" w:hAnsi="Book Antiqua" w:cs="AdvMyriadPro-R"/>
          <w:sz w:val="24"/>
          <w:szCs w:val="24"/>
          <w:lang w:val="en-US"/>
        </w:rPr>
        <w:t xml:space="preserve">long response to first antiangiogenic drug (PFS more than 18 </w:t>
      </w:r>
      <w:proofErr w:type="spellStart"/>
      <w:r w:rsidR="00011625" w:rsidRPr="00EC4C5D">
        <w:rPr>
          <w:rFonts w:ascii="Book Antiqua" w:hAnsi="Book Antiqua" w:cs="AdvMyriadPro-R"/>
          <w:sz w:val="24"/>
          <w:szCs w:val="24"/>
          <w:lang w:val="en-US"/>
        </w:rPr>
        <w:t>mo</w:t>
      </w:r>
      <w:proofErr w:type="spellEnd"/>
      <w:r w:rsidR="00011625" w:rsidRPr="00EC4C5D">
        <w:rPr>
          <w:rFonts w:ascii="Book Antiqua" w:hAnsi="Book Antiqua" w:cs="AdvMyriadPro-R"/>
          <w:sz w:val="24"/>
          <w:szCs w:val="24"/>
          <w:lang w:val="en-US"/>
        </w:rPr>
        <w:t>, so called angiogenesis addicts) and low</w:t>
      </w:r>
      <w:r w:rsidR="003035D2" w:rsidRPr="00EC4C5D">
        <w:rPr>
          <w:rFonts w:ascii="Book Antiqua" w:hAnsi="Book Antiqua" w:cs="AdvMyriadPro-R"/>
          <w:sz w:val="24"/>
          <w:szCs w:val="24"/>
          <w:lang w:val="en-US"/>
        </w:rPr>
        <w:t xml:space="preserve"> or intermediate</w:t>
      </w:r>
      <w:r w:rsidR="00011625" w:rsidRPr="00EC4C5D">
        <w:rPr>
          <w:rFonts w:ascii="Book Antiqua" w:hAnsi="Book Antiqua" w:cs="AdvMyriadPro-R"/>
          <w:sz w:val="24"/>
          <w:szCs w:val="24"/>
          <w:lang w:val="en-US"/>
        </w:rPr>
        <w:t xml:space="preserve"> TGR, the use</w:t>
      </w:r>
      <w:r w:rsidR="00F663D5" w:rsidRPr="00EC4C5D">
        <w:rPr>
          <w:rFonts w:ascii="Book Antiqua" w:hAnsi="Book Antiqua" w:cs="AdvMyriadPro-R"/>
          <w:sz w:val="24"/>
          <w:szCs w:val="24"/>
          <w:lang w:val="en-US"/>
        </w:rPr>
        <w:t xml:space="preserve"> of</w:t>
      </w:r>
      <w:r w:rsidR="00011625" w:rsidRPr="00EC4C5D">
        <w:rPr>
          <w:rFonts w:ascii="Book Antiqua" w:hAnsi="Book Antiqua" w:cs="AdvMyriadPro-R"/>
          <w:sz w:val="24"/>
          <w:szCs w:val="24"/>
          <w:lang w:val="en-US"/>
        </w:rPr>
        <w:t xml:space="preserve"> </w:t>
      </w:r>
      <w:proofErr w:type="spellStart"/>
      <w:r w:rsidR="00011625" w:rsidRPr="00EC4C5D">
        <w:rPr>
          <w:rFonts w:ascii="Book Antiqua" w:hAnsi="Book Antiqua" w:cs="AdvMyriadPro-R"/>
          <w:sz w:val="24"/>
          <w:szCs w:val="24"/>
          <w:lang w:val="en-US"/>
        </w:rPr>
        <w:lastRenderedPageBreak/>
        <w:t>cabozantinib</w:t>
      </w:r>
      <w:proofErr w:type="spellEnd"/>
      <w:r w:rsidR="00305EC4" w:rsidRPr="00EC4C5D">
        <w:rPr>
          <w:rFonts w:ascii="Book Antiqua" w:hAnsi="Book Antiqua" w:cs="AdvMyriadPro-R"/>
          <w:sz w:val="24"/>
          <w:szCs w:val="24"/>
          <w:lang w:val="en-US"/>
        </w:rPr>
        <w:t xml:space="preserve"> may be considered</w:t>
      </w:r>
      <w:r w:rsidR="00011625" w:rsidRPr="00EC4C5D">
        <w:rPr>
          <w:rFonts w:ascii="Book Antiqua" w:hAnsi="Book Antiqua" w:cs="AdvMyriadPro-R"/>
          <w:sz w:val="24"/>
          <w:szCs w:val="24"/>
          <w:lang w:val="en-US"/>
        </w:rPr>
        <w:t>.</w:t>
      </w:r>
      <w:r w:rsidR="00305EC4" w:rsidRPr="00EC4C5D">
        <w:rPr>
          <w:rFonts w:ascii="Book Antiqua" w:hAnsi="Book Antiqua" w:cs="AdvMyriadPro-R"/>
          <w:sz w:val="24"/>
          <w:szCs w:val="24"/>
          <w:lang w:val="en-US"/>
        </w:rPr>
        <w:t xml:space="preserve"> </w:t>
      </w:r>
      <w:r w:rsidR="00E61EEB" w:rsidRPr="00EC4C5D">
        <w:rPr>
          <w:rFonts w:ascii="Book Antiqua" w:hAnsi="Book Antiqua" w:cs="AdvMyriadPro-R"/>
          <w:sz w:val="24"/>
          <w:szCs w:val="24"/>
          <w:lang w:val="en-US"/>
        </w:rPr>
        <w:t>Regarding</w:t>
      </w:r>
      <w:r w:rsidR="00036A50" w:rsidRPr="00EC4C5D">
        <w:rPr>
          <w:rFonts w:ascii="Book Antiqua" w:hAnsi="Book Antiqua" w:cs="AdvMyriadPro-R"/>
          <w:sz w:val="24"/>
          <w:szCs w:val="24"/>
          <w:lang w:val="en-US"/>
        </w:rPr>
        <w:t xml:space="preserve"> </w:t>
      </w:r>
      <w:r w:rsidR="003035D2" w:rsidRPr="00EC4C5D">
        <w:rPr>
          <w:rFonts w:ascii="Book Antiqua" w:hAnsi="Book Antiqua" w:cs="AdvMyriadPro-R"/>
          <w:sz w:val="24"/>
          <w:szCs w:val="24"/>
          <w:lang w:val="en-US"/>
        </w:rPr>
        <w:t xml:space="preserve">those patients that are not responding radiographically but are stable for the advanced disease for a long </w:t>
      </w:r>
      <w:r w:rsidR="00E61EEB" w:rsidRPr="00EC4C5D">
        <w:rPr>
          <w:rFonts w:ascii="Book Antiqua" w:hAnsi="Book Antiqua" w:cs="AdvMyriadPro-R"/>
          <w:sz w:val="24"/>
          <w:szCs w:val="24"/>
          <w:lang w:val="en-US"/>
        </w:rPr>
        <w:t>period</w:t>
      </w:r>
      <w:r w:rsidR="003035D2" w:rsidRPr="00EC4C5D">
        <w:rPr>
          <w:rFonts w:ascii="Book Antiqua" w:hAnsi="Book Antiqua" w:cs="AdvMyriadPro-R"/>
          <w:sz w:val="24"/>
          <w:szCs w:val="24"/>
          <w:lang w:val="en-US"/>
        </w:rPr>
        <w:t xml:space="preserve"> with a very low TGR (increase of less than 4% in the sum of the longest diameters per month) and </w:t>
      </w:r>
      <w:r w:rsidR="0093589B" w:rsidRPr="00EC4C5D">
        <w:rPr>
          <w:rFonts w:ascii="Book Antiqua" w:hAnsi="Book Antiqua" w:cs="AdvMyriadPro-R"/>
          <w:sz w:val="24"/>
          <w:szCs w:val="24"/>
          <w:lang w:val="en-US"/>
        </w:rPr>
        <w:t xml:space="preserve">have </w:t>
      </w:r>
      <w:r w:rsidR="003035D2" w:rsidRPr="00EC4C5D">
        <w:rPr>
          <w:rFonts w:ascii="Book Antiqua" w:hAnsi="Book Antiqua" w:cs="AdvMyriadPro-R"/>
          <w:sz w:val="24"/>
          <w:szCs w:val="24"/>
          <w:lang w:val="en-US"/>
        </w:rPr>
        <w:t>an adequate tolerability</w:t>
      </w:r>
      <w:r w:rsidR="00767B0E" w:rsidRPr="00EC4C5D">
        <w:rPr>
          <w:rFonts w:ascii="Book Antiqua" w:hAnsi="Book Antiqua" w:cs="AdvMyriadPro-R"/>
          <w:sz w:val="24"/>
          <w:szCs w:val="24"/>
          <w:lang w:val="en-US"/>
        </w:rPr>
        <w:t>,</w:t>
      </w:r>
      <w:r w:rsidR="003035D2" w:rsidRPr="00EC4C5D">
        <w:rPr>
          <w:rFonts w:ascii="Book Antiqua" w:hAnsi="Book Antiqua" w:cs="AdvMyriadPro-R"/>
          <w:sz w:val="24"/>
          <w:szCs w:val="24"/>
          <w:lang w:val="en-US"/>
        </w:rPr>
        <w:t xml:space="preserve"> we propose that </w:t>
      </w:r>
      <w:proofErr w:type="spellStart"/>
      <w:r w:rsidR="003035D2" w:rsidRPr="00EC4C5D">
        <w:rPr>
          <w:rFonts w:ascii="Book Antiqua" w:hAnsi="Book Antiqua" w:cs="AdvMyriadPro-R"/>
          <w:sz w:val="24"/>
          <w:szCs w:val="24"/>
          <w:lang w:val="en-US"/>
        </w:rPr>
        <w:t>axitinib</w:t>
      </w:r>
      <w:proofErr w:type="spellEnd"/>
      <w:r w:rsidR="003035D2" w:rsidRPr="00EC4C5D">
        <w:rPr>
          <w:rFonts w:ascii="Book Antiqua" w:hAnsi="Book Antiqua" w:cs="AdvMyriadPro-R"/>
          <w:sz w:val="24"/>
          <w:szCs w:val="24"/>
          <w:lang w:val="en-US"/>
        </w:rPr>
        <w:t xml:space="preserve"> could be a reliable option </w:t>
      </w:r>
      <w:r w:rsidR="0093589B" w:rsidRPr="00EC4C5D">
        <w:rPr>
          <w:rFonts w:ascii="Book Antiqua" w:hAnsi="Book Antiqua" w:cs="AdvMyriadPro-R"/>
          <w:sz w:val="24"/>
          <w:szCs w:val="24"/>
          <w:lang w:val="en-US"/>
        </w:rPr>
        <w:t>to prolong</w:t>
      </w:r>
      <w:r w:rsidR="003035D2" w:rsidRPr="00EC4C5D">
        <w:rPr>
          <w:rFonts w:ascii="Book Antiqua" w:hAnsi="Book Antiqua" w:cs="AdvMyriadPro-R"/>
          <w:sz w:val="24"/>
          <w:szCs w:val="24"/>
          <w:lang w:val="en-US"/>
        </w:rPr>
        <w:t xml:space="preserve"> the clinical benefit. Finally, for</w:t>
      </w:r>
      <w:r w:rsidR="00011625" w:rsidRPr="00EC4C5D">
        <w:rPr>
          <w:rFonts w:ascii="Book Antiqua" w:hAnsi="Book Antiqua" w:cs="AdvMyriadPro-R"/>
          <w:sz w:val="24"/>
          <w:szCs w:val="24"/>
          <w:lang w:val="en-US"/>
        </w:rPr>
        <w:t xml:space="preserve"> patients with </w:t>
      </w:r>
      <w:r w:rsidR="008D51A9" w:rsidRPr="00EC4C5D">
        <w:rPr>
          <w:rFonts w:ascii="Book Antiqua" w:hAnsi="Book Antiqua" w:cs="AdvMyriadPro-R"/>
          <w:sz w:val="24"/>
          <w:szCs w:val="24"/>
          <w:lang w:val="en-US"/>
        </w:rPr>
        <w:t>an interval free of progression with firs</w:t>
      </w:r>
      <w:r w:rsidR="003035D2" w:rsidRPr="00EC4C5D">
        <w:rPr>
          <w:rFonts w:ascii="Book Antiqua" w:hAnsi="Book Antiqua" w:cs="AdvMyriadPro-R"/>
          <w:sz w:val="24"/>
          <w:szCs w:val="24"/>
          <w:lang w:val="en-US"/>
        </w:rPr>
        <w:t>t</w:t>
      </w:r>
      <w:r w:rsidR="008D51A9" w:rsidRPr="00EC4C5D">
        <w:rPr>
          <w:rFonts w:ascii="Book Antiqua" w:hAnsi="Book Antiqua" w:cs="AdvMyriadPro-R"/>
          <w:sz w:val="24"/>
          <w:szCs w:val="24"/>
          <w:lang w:val="en-US"/>
        </w:rPr>
        <w:t xml:space="preserve"> line treatment </w:t>
      </w:r>
      <w:r w:rsidR="00011625" w:rsidRPr="00EC4C5D">
        <w:rPr>
          <w:rFonts w:ascii="Book Antiqua" w:hAnsi="Book Antiqua" w:cs="AdvMyriadPro-R"/>
          <w:sz w:val="24"/>
          <w:szCs w:val="24"/>
          <w:lang w:val="en-US"/>
        </w:rPr>
        <w:t xml:space="preserve">between 6 and 18 </w:t>
      </w:r>
      <w:proofErr w:type="spellStart"/>
      <w:r w:rsidR="00011625" w:rsidRPr="00EC4C5D">
        <w:rPr>
          <w:rFonts w:ascii="Book Antiqua" w:hAnsi="Book Antiqua" w:cs="AdvMyriadPro-R"/>
          <w:sz w:val="24"/>
          <w:szCs w:val="24"/>
          <w:lang w:val="en-US"/>
        </w:rPr>
        <w:t>mo</w:t>
      </w:r>
      <w:proofErr w:type="spellEnd"/>
      <w:r w:rsidR="00E3003F" w:rsidRPr="00EC4C5D">
        <w:rPr>
          <w:rFonts w:ascii="Book Antiqua" w:hAnsi="Book Antiqua" w:cs="AdvMyriadPro-R"/>
          <w:sz w:val="24"/>
          <w:szCs w:val="24"/>
          <w:lang w:val="en-US"/>
        </w:rPr>
        <w:t>, as considered intermediate</w:t>
      </w:r>
      <w:r w:rsidR="003035D2" w:rsidRPr="00EC4C5D">
        <w:rPr>
          <w:rFonts w:ascii="Book Antiqua" w:hAnsi="Book Antiqua" w:cs="AdvMyriadPro-R"/>
          <w:sz w:val="24"/>
          <w:szCs w:val="24"/>
          <w:lang w:val="en-US"/>
        </w:rPr>
        <w:t>-</w:t>
      </w:r>
      <w:proofErr w:type="spellStart"/>
      <w:r w:rsidR="00E3003F" w:rsidRPr="00EC4C5D">
        <w:rPr>
          <w:rFonts w:ascii="Book Antiqua" w:hAnsi="Book Antiqua" w:cs="AdvMyriadPro-R"/>
          <w:sz w:val="24"/>
          <w:szCs w:val="24"/>
          <w:lang w:val="en-US"/>
        </w:rPr>
        <w:t>progressors</w:t>
      </w:r>
      <w:proofErr w:type="spellEnd"/>
      <w:r w:rsidR="00E3003F" w:rsidRPr="00EC4C5D">
        <w:rPr>
          <w:rFonts w:ascii="Book Antiqua" w:hAnsi="Book Antiqua" w:cs="AdvMyriadPro-R"/>
          <w:sz w:val="24"/>
          <w:szCs w:val="24"/>
          <w:lang w:val="en-US"/>
        </w:rPr>
        <w:t>,</w:t>
      </w:r>
      <w:r w:rsidR="00011625" w:rsidRPr="00EC4C5D">
        <w:rPr>
          <w:rFonts w:ascii="Book Antiqua" w:hAnsi="Book Antiqua" w:cs="AdvMyriadPro-R"/>
          <w:sz w:val="24"/>
          <w:szCs w:val="24"/>
          <w:lang w:val="en-US"/>
        </w:rPr>
        <w:t xml:space="preserve"> </w:t>
      </w:r>
      <w:proofErr w:type="spellStart"/>
      <w:r w:rsidR="00011625" w:rsidRPr="00EC4C5D">
        <w:rPr>
          <w:rFonts w:ascii="Book Antiqua" w:hAnsi="Book Antiqua" w:cs="AdvMyriadPro-R"/>
          <w:sz w:val="24"/>
          <w:szCs w:val="24"/>
          <w:lang w:val="en-US"/>
        </w:rPr>
        <w:t>nivolumab</w:t>
      </w:r>
      <w:proofErr w:type="spellEnd"/>
      <w:r w:rsidR="00305EC4" w:rsidRPr="00EC4C5D">
        <w:rPr>
          <w:rFonts w:ascii="Book Antiqua" w:hAnsi="Book Antiqua" w:cs="AdvMyriadPro-R"/>
          <w:sz w:val="24"/>
          <w:szCs w:val="24"/>
          <w:lang w:val="en-US"/>
        </w:rPr>
        <w:t xml:space="preserve"> may be the treatment of </w:t>
      </w:r>
      <w:r w:rsidR="00036A50" w:rsidRPr="00EC4C5D">
        <w:rPr>
          <w:rFonts w:ascii="Book Antiqua" w:hAnsi="Book Antiqua" w:cs="AdvMyriadPro-R"/>
          <w:sz w:val="24"/>
          <w:szCs w:val="24"/>
          <w:lang w:val="en-US"/>
        </w:rPr>
        <w:t xml:space="preserve">choice </w:t>
      </w:r>
      <w:r w:rsidR="00E3003F" w:rsidRPr="00EC4C5D">
        <w:rPr>
          <w:rFonts w:ascii="Book Antiqua" w:hAnsi="Book Antiqua" w:cs="AdvMyriadPro-R"/>
          <w:sz w:val="24"/>
          <w:szCs w:val="24"/>
          <w:lang w:val="en-US"/>
        </w:rPr>
        <w:t>as an inhibitor of an actionable immune target by introducing a different mechanism of action</w:t>
      </w:r>
      <w:r w:rsidR="00930407" w:rsidRPr="00EC4C5D">
        <w:rPr>
          <w:rFonts w:ascii="Book Antiqua" w:hAnsi="Book Antiqua" w:cs="AdvMyriadPro-R"/>
          <w:sz w:val="24"/>
          <w:szCs w:val="24"/>
          <w:lang w:val="en-US"/>
        </w:rPr>
        <w:t xml:space="preserve"> against tumor growth</w:t>
      </w:r>
      <w:r w:rsidR="00E3003F" w:rsidRPr="00EC4C5D">
        <w:rPr>
          <w:rFonts w:ascii="Book Antiqua" w:hAnsi="Book Antiqua" w:cs="AdvMyriadPro-R"/>
          <w:sz w:val="24"/>
          <w:szCs w:val="24"/>
          <w:lang w:val="en-US"/>
        </w:rPr>
        <w:t>.</w:t>
      </w:r>
    </w:p>
    <w:p w14:paraId="6E9A2CA0" w14:textId="2E231ADA" w:rsidR="00455405" w:rsidRPr="00EC4C5D" w:rsidRDefault="00DA6E7E" w:rsidP="004F71B6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US"/>
        </w:rPr>
      </w:pPr>
      <w:r w:rsidRPr="00EC4C5D">
        <w:rPr>
          <w:rFonts w:ascii="Book Antiqua" w:hAnsi="Book Antiqua" w:cs="AdvMyriadPro-R"/>
          <w:sz w:val="24"/>
          <w:szCs w:val="24"/>
          <w:lang w:val="en-US"/>
        </w:rPr>
        <w:t>Lastly, we highlight the upcoming availability of</w:t>
      </w:r>
      <w:r w:rsidR="00E61BDC" w:rsidRPr="00EC4C5D">
        <w:rPr>
          <w:rFonts w:ascii="Book Antiqua" w:hAnsi="Book Antiqua" w:cs="AdvMyriadPro-R"/>
          <w:sz w:val="24"/>
          <w:szCs w:val="24"/>
          <w:lang w:val="en-US"/>
        </w:rPr>
        <w:t xml:space="preserve"> novel immune agents such as </w:t>
      </w:r>
      <w:proofErr w:type="spellStart"/>
      <w:r w:rsidR="00E61BDC" w:rsidRPr="00EC4C5D">
        <w:rPr>
          <w:rFonts w:ascii="Book Antiqua" w:hAnsi="Book Antiqua" w:cs="AdvMyriadPro-R"/>
          <w:sz w:val="24"/>
          <w:szCs w:val="24"/>
          <w:lang w:val="en-US"/>
        </w:rPr>
        <w:t>ipilimumab</w:t>
      </w:r>
      <w:proofErr w:type="spellEnd"/>
      <w:r w:rsidR="00E61BDC" w:rsidRPr="00EC4C5D">
        <w:rPr>
          <w:rFonts w:ascii="Book Antiqua" w:hAnsi="Book Antiqua" w:cs="AdvMyriadPro-R"/>
          <w:sz w:val="24"/>
          <w:szCs w:val="24"/>
          <w:lang w:val="en-US"/>
        </w:rPr>
        <w:t xml:space="preserve">, </w:t>
      </w:r>
      <w:proofErr w:type="spellStart"/>
      <w:r w:rsidR="00E61BDC" w:rsidRPr="00EC4C5D">
        <w:rPr>
          <w:rFonts w:ascii="Book Antiqua" w:hAnsi="Book Antiqua" w:cs="AdvMyriadPro-R"/>
          <w:sz w:val="24"/>
          <w:szCs w:val="24"/>
          <w:lang w:val="en-US"/>
        </w:rPr>
        <w:t>atezolizumab</w:t>
      </w:r>
      <w:proofErr w:type="spellEnd"/>
      <w:r w:rsidR="00E61BDC" w:rsidRPr="00EC4C5D">
        <w:rPr>
          <w:rFonts w:ascii="Book Antiqua" w:hAnsi="Book Antiqua" w:cs="AdvMyriadPro-R"/>
          <w:sz w:val="24"/>
          <w:szCs w:val="24"/>
          <w:lang w:val="en-US"/>
        </w:rPr>
        <w:t xml:space="preserve">, </w:t>
      </w:r>
      <w:proofErr w:type="spellStart"/>
      <w:r w:rsidR="00E61BDC" w:rsidRPr="00EC4C5D">
        <w:rPr>
          <w:rFonts w:ascii="Book Antiqua" w:hAnsi="Book Antiqua" w:cs="AdvMyriadPro-R"/>
          <w:sz w:val="24"/>
          <w:szCs w:val="24"/>
          <w:lang w:val="en-US"/>
        </w:rPr>
        <w:t>pembrolizumab</w:t>
      </w:r>
      <w:proofErr w:type="spellEnd"/>
      <w:r w:rsidR="00E61BDC" w:rsidRPr="00EC4C5D">
        <w:rPr>
          <w:rFonts w:ascii="Book Antiqua" w:hAnsi="Book Antiqua" w:cs="AdvMyriadPro-R"/>
          <w:sz w:val="24"/>
          <w:szCs w:val="24"/>
          <w:lang w:val="en-US"/>
        </w:rPr>
        <w:t xml:space="preserve"> </w:t>
      </w:r>
      <w:r w:rsidRPr="00EC4C5D">
        <w:rPr>
          <w:rFonts w:ascii="Book Antiqua" w:hAnsi="Book Antiqua" w:cs="AdvMyriadPro-R"/>
          <w:sz w:val="24"/>
          <w:szCs w:val="24"/>
          <w:lang w:val="en-US"/>
        </w:rPr>
        <w:t xml:space="preserve">either as single agent or in combination </w:t>
      </w:r>
      <w:r w:rsidR="00E61BDC" w:rsidRPr="00EC4C5D">
        <w:rPr>
          <w:rFonts w:ascii="Book Antiqua" w:hAnsi="Book Antiqua" w:cs="AdvMyriadPro-R"/>
          <w:sz w:val="24"/>
          <w:szCs w:val="24"/>
          <w:lang w:val="en-US"/>
        </w:rPr>
        <w:t xml:space="preserve">that might impact in the first line setting of patients with advanced RCC. Therefore, it is very likely that second line landscape of metastatic RCC may change shortly. </w:t>
      </w:r>
      <w:r w:rsidR="00612649" w:rsidRPr="00EC4C5D">
        <w:rPr>
          <w:rFonts w:ascii="Book Antiqua" w:hAnsi="Book Antiqua" w:cs="AdvMyriadPro-R"/>
          <w:sz w:val="24"/>
          <w:szCs w:val="24"/>
          <w:lang w:val="en-US"/>
        </w:rPr>
        <w:t>Adaptation to the clinic of the amount of new data that are expected in a short term promises to be challenge.</w:t>
      </w:r>
    </w:p>
    <w:p w14:paraId="2BAEE818" w14:textId="214A0696" w:rsidR="00F663D5" w:rsidRPr="00EC4C5D" w:rsidRDefault="00292C82" w:rsidP="004F71B6">
      <w:pPr>
        <w:spacing w:after="0" w:line="360" w:lineRule="auto"/>
        <w:ind w:firstLineChars="100" w:firstLine="240"/>
        <w:jc w:val="both"/>
        <w:rPr>
          <w:rFonts w:ascii="Book Antiqua" w:hAnsi="Book Antiqua" w:cs="AdvP4DF60E"/>
          <w:sz w:val="24"/>
          <w:szCs w:val="24"/>
          <w:lang w:val="en-US"/>
        </w:rPr>
      </w:pPr>
      <w:r w:rsidRPr="00EC4C5D">
        <w:rPr>
          <w:rFonts w:ascii="Book Antiqua" w:hAnsi="Book Antiqua"/>
          <w:sz w:val="24"/>
          <w:szCs w:val="24"/>
          <w:lang w:val="en-US"/>
        </w:rPr>
        <w:t>In conclusion, p</w:t>
      </w:r>
      <w:r w:rsidR="001E0B7A" w:rsidRPr="00EC4C5D">
        <w:rPr>
          <w:rFonts w:ascii="Book Antiqua" w:hAnsi="Book Antiqua"/>
          <w:sz w:val="24"/>
          <w:szCs w:val="24"/>
          <w:lang w:val="en-US"/>
        </w:rPr>
        <w:t xml:space="preserve">atients </w:t>
      </w:r>
      <w:r w:rsidR="006D725C" w:rsidRPr="00EC4C5D">
        <w:rPr>
          <w:rFonts w:ascii="Book Antiqua" w:hAnsi="Book Antiqua"/>
          <w:sz w:val="24"/>
          <w:szCs w:val="24"/>
          <w:lang w:val="en-US"/>
        </w:rPr>
        <w:t xml:space="preserve">with </w:t>
      </w:r>
      <w:proofErr w:type="spellStart"/>
      <w:r w:rsidR="00767B0E" w:rsidRPr="00EC4C5D">
        <w:rPr>
          <w:rFonts w:ascii="Book Antiqua" w:hAnsi="Book Antiqua"/>
          <w:sz w:val="24"/>
          <w:szCs w:val="24"/>
          <w:lang w:val="en-US"/>
        </w:rPr>
        <w:t>m</w:t>
      </w:r>
      <w:r w:rsidR="006D725C" w:rsidRPr="00EC4C5D">
        <w:rPr>
          <w:rFonts w:ascii="Book Antiqua" w:hAnsi="Book Antiqua"/>
          <w:sz w:val="24"/>
          <w:szCs w:val="24"/>
          <w:lang w:val="en-US"/>
        </w:rPr>
        <w:t>RCC</w:t>
      </w:r>
      <w:proofErr w:type="spellEnd"/>
      <w:r w:rsidR="006D725C" w:rsidRPr="00EC4C5D">
        <w:rPr>
          <w:rFonts w:ascii="Book Antiqua" w:hAnsi="Book Antiqua"/>
          <w:sz w:val="24"/>
          <w:szCs w:val="24"/>
          <w:lang w:val="en-US"/>
        </w:rPr>
        <w:t xml:space="preserve"> </w:t>
      </w:r>
      <w:r w:rsidR="001E0B7A" w:rsidRPr="00EC4C5D">
        <w:rPr>
          <w:rFonts w:ascii="Book Antiqua" w:hAnsi="Book Antiqua"/>
          <w:sz w:val="24"/>
          <w:szCs w:val="24"/>
          <w:lang w:val="en-US"/>
        </w:rPr>
        <w:t>receiving a second</w:t>
      </w:r>
      <w:r w:rsidR="00F7326E" w:rsidRPr="00EC4C5D">
        <w:rPr>
          <w:rFonts w:ascii="Book Antiqua" w:hAnsi="Book Antiqua"/>
          <w:sz w:val="24"/>
          <w:szCs w:val="24"/>
          <w:lang w:val="en-US"/>
        </w:rPr>
        <w:t xml:space="preserve"> </w:t>
      </w:r>
      <w:r w:rsidR="001E0B7A" w:rsidRPr="00EC4C5D">
        <w:rPr>
          <w:rFonts w:ascii="Book Antiqua" w:hAnsi="Book Antiqua"/>
          <w:sz w:val="24"/>
          <w:szCs w:val="24"/>
          <w:lang w:val="en-US"/>
        </w:rPr>
        <w:t>line treatment achieve a median OS of more than 2 years</w:t>
      </w:r>
      <w:r w:rsidR="006D725C" w:rsidRPr="00EC4C5D">
        <w:rPr>
          <w:rFonts w:ascii="Book Antiqua" w:hAnsi="Book Antiqua"/>
          <w:sz w:val="24"/>
          <w:szCs w:val="24"/>
          <w:lang w:val="en-US"/>
        </w:rPr>
        <w:t xml:space="preserve"> with novel agents</w:t>
      </w:r>
      <w:r w:rsidR="001E0B7A" w:rsidRPr="00EC4C5D">
        <w:rPr>
          <w:rFonts w:ascii="Book Antiqua" w:hAnsi="Book Antiqua"/>
          <w:sz w:val="24"/>
          <w:szCs w:val="24"/>
          <w:lang w:val="en-US"/>
        </w:rPr>
        <w:t xml:space="preserve">. </w:t>
      </w:r>
      <w:r w:rsidRPr="00EC4C5D">
        <w:rPr>
          <w:rFonts w:ascii="Book Antiqua" w:hAnsi="Book Antiqua"/>
          <w:sz w:val="24"/>
          <w:szCs w:val="24"/>
          <w:lang w:val="en-US"/>
        </w:rPr>
        <w:t xml:space="preserve">Thus, the optimal treatment selection in this setting </w:t>
      </w:r>
      <w:r w:rsidR="00261D64" w:rsidRPr="00EC4C5D">
        <w:rPr>
          <w:rFonts w:ascii="Book Antiqua" w:hAnsi="Book Antiqua"/>
          <w:sz w:val="24"/>
          <w:szCs w:val="24"/>
          <w:lang w:val="en-US"/>
        </w:rPr>
        <w:t>allows</w:t>
      </w:r>
      <w:r w:rsidR="004912C1" w:rsidRPr="00EC4C5D">
        <w:rPr>
          <w:rFonts w:ascii="Book Antiqua" w:hAnsi="Book Antiqua"/>
          <w:sz w:val="24"/>
          <w:szCs w:val="24"/>
          <w:lang w:val="en-US"/>
        </w:rPr>
        <w:t xml:space="preserve"> us</w:t>
      </w:r>
      <w:r w:rsidR="00261D64" w:rsidRPr="00EC4C5D">
        <w:rPr>
          <w:rFonts w:ascii="Book Antiqua" w:hAnsi="Book Antiqua"/>
          <w:sz w:val="24"/>
          <w:szCs w:val="24"/>
          <w:lang w:val="en-US"/>
        </w:rPr>
        <w:t xml:space="preserve"> </w:t>
      </w:r>
      <w:r w:rsidR="0091603D" w:rsidRPr="00EC4C5D">
        <w:rPr>
          <w:rFonts w:ascii="Book Antiqua" w:hAnsi="Book Antiqua"/>
          <w:sz w:val="24"/>
          <w:szCs w:val="24"/>
          <w:lang w:val="en-US"/>
        </w:rPr>
        <w:t>to provide</w:t>
      </w:r>
      <w:r w:rsidR="00F30B8B" w:rsidRPr="00EC4C5D">
        <w:rPr>
          <w:rFonts w:ascii="Book Antiqua" w:hAnsi="Book Antiqua"/>
          <w:sz w:val="24"/>
          <w:szCs w:val="24"/>
          <w:lang w:val="en-US"/>
        </w:rPr>
        <w:t xml:space="preserve"> the</w:t>
      </w:r>
      <w:r w:rsidR="0091603D" w:rsidRPr="00EC4C5D">
        <w:rPr>
          <w:rFonts w:ascii="Book Antiqua" w:hAnsi="Book Antiqua"/>
          <w:sz w:val="24"/>
          <w:szCs w:val="24"/>
          <w:lang w:val="en-US"/>
        </w:rPr>
        <w:t xml:space="preserve"> maximal clinical benefit</w:t>
      </w:r>
      <w:r w:rsidRPr="00EC4C5D">
        <w:rPr>
          <w:rFonts w:ascii="Book Antiqua" w:hAnsi="Book Antiqua"/>
          <w:sz w:val="24"/>
          <w:szCs w:val="24"/>
          <w:lang w:val="en-US"/>
        </w:rPr>
        <w:t xml:space="preserve"> to our patients, but with no definitive biomarker to guide </w:t>
      </w:r>
      <w:r w:rsidR="00717DC0" w:rsidRPr="00EC4C5D">
        <w:rPr>
          <w:rFonts w:ascii="Book Antiqua" w:hAnsi="Book Antiqua"/>
          <w:sz w:val="24"/>
          <w:szCs w:val="24"/>
          <w:lang w:val="en-US"/>
        </w:rPr>
        <w:t>our</w:t>
      </w:r>
      <w:r w:rsidRPr="00EC4C5D">
        <w:rPr>
          <w:rFonts w:ascii="Book Antiqua" w:hAnsi="Book Antiqua"/>
          <w:sz w:val="24"/>
          <w:szCs w:val="24"/>
          <w:lang w:val="en-US"/>
        </w:rPr>
        <w:t xml:space="preserve"> decision. </w:t>
      </w:r>
      <w:r w:rsidR="00717DC0" w:rsidRPr="00EC4C5D">
        <w:rPr>
          <w:rFonts w:ascii="Book Antiqua" w:hAnsi="Book Antiqua" w:cs="AdvOTf133f9cb"/>
          <w:sz w:val="24"/>
          <w:szCs w:val="24"/>
          <w:lang w:val="en-US"/>
        </w:rPr>
        <w:t>In this setting, w</w:t>
      </w:r>
      <w:r w:rsidR="008B1231" w:rsidRPr="00EC4C5D">
        <w:rPr>
          <w:rFonts w:ascii="Book Antiqua" w:hAnsi="Book Antiqua" w:cs="AdvOTf133f9cb"/>
          <w:sz w:val="24"/>
          <w:szCs w:val="24"/>
          <w:lang w:val="en-US"/>
        </w:rPr>
        <w:t xml:space="preserve">e </w:t>
      </w:r>
      <w:r w:rsidR="00717DC0" w:rsidRPr="00EC4C5D">
        <w:rPr>
          <w:rFonts w:ascii="Book Antiqua" w:hAnsi="Book Antiqua" w:cs="AdvOTf133f9cb"/>
          <w:sz w:val="24"/>
          <w:szCs w:val="24"/>
          <w:lang w:val="en-US"/>
        </w:rPr>
        <w:t xml:space="preserve">have </w:t>
      </w:r>
      <w:r w:rsidR="008B1231" w:rsidRPr="00EC4C5D">
        <w:rPr>
          <w:rFonts w:ascii="Book Antiqua" w:hAnsi="Book Antiqua" w:cs="AdvOTf133f9cb"/>
          <w:sz w:val="24"/>
          <w:szCs w:val="24"/>
          <w:lang w:val="en-US"/>
        </w:rPr>
        <w:t>consider</w:t>
      </w:r>
      <w:r w:rsidR="00717DC0" w:rsidRPr="00EC4C5D">
        <w:rPr>
          <w:rFonts w:ascii="Book Antiqua" w:hAnsi="Book Antiqua" w:cs="AdvOTf133f9cb"/>
          <w:sz w:val="24"/>
          <w:szCs w:val="24"/>
          <w:lang w:val="en-US"/>
        </w:rPr>
        <w:t>ed</w:t>
      </w:r>
      <w:r w:rsidR="008B1231" w:rsidRPr="00EC4C5D">
        <w:rPr>
          <w:rFonts w:ascii="Book Antiqua" w:hAnsi="Book Antiqua" w:cs="AdvOTf133f9cb"/>
          <w:sz w:val="24"/>
          <w:szCs w:val="24"/>
          <w:lang w:val="en-US"/>
        </w:rPr>
        <w:t xml:space="preserve"> </w:t>
      </w:r>
      <w:r w:rsidR="00717DC0" w:rsidRPr="00EC4C5D">
        <w:rPr>
          <w:rFonts w:ascii="Book Antiqua" w:hAnsi="Book Antiqua" w:cs="AdvOTf133f9cb"/>
          <w:sz w:val="24"/>
          <w:szCs w:val="24"/>
          <w:lang w:val="en-US"/>
        </w:rPr>
        <w:t>some</w:t>
      </w:r>
      <w:r w:rsidR="008B1231" w:rsidRPr="00EC4C5D">
        <w:rPr>
          <w:rFonts w:ascii="Book Antiqua" w:hAnsi="Book Antiqua" w:cs="AdvOTf133f9cb"/>
          <w:sz w:val="24"/>
          <w:szCs w:val="24"/>
          <w:lang w:val="en-US"/>
        </w:rPr>
        <w:t xml:space="preserve"> relevant</w:t>
      </w:r>
      <w:r w:rsidR="00F30B8B" w:rsidRPr="00EC4C5D">
        <w:rPr>
          <w:rFonts w:ascii="Book Antiqua" w:hAnsi="Book Antiqua" w:cs="AdvOTf133f9cb"/>
          <w:sz w:val="24"/>
          <w:szCs w:val="24"/>
          <w:lang w:val="en-US"/>
        </w:rPr>
        <w:t xml:space="preserve"> </w:t>
      </w:r>
      <w:r w:rsidR="00875654" w:rsidRPr="00EC4C5D">
        <w:rPr>
          <w:rFonts w:ascii="Book Antiqua" w:hAnsi="Book Antiqua" w:cs="AdvOTf133f9cb"/>
          <w:sz w:val="24"/>
          <w:szCs w:val="24"/>
          <w:lang w:val="en-US"/>
        </w:rPr>
        <w:t xml:space="preserve">clinical </w:t>
      </w:r>
      <w:r w:rsidR="00F30B8B" w:rsidRPr="00EC4C5D">
        <w:rPr>
          <w:rFonts w:ascii="Book Antiqua" w:hAnsi="Book Antiqua" w:cs="AdvOTf133f9cb"/>
          <w:sz w:val="24"/>
          <w:szCs w:val="24"/>
          <w:lang w:val="en-US"/>
        </w:rPr>
        <w:t xml:space="preserve">parameters before choosing a certain agent </w:t>
      </w:r>
      <w:r w:rsidR="00F840B8" w:rsidRPr="00EC4C5D">
        <w:rPr>
          <w:rFonts w:ascii="Book Antiqua" w:hAnsi="Book Antiqua" w:cs="AdvOTf133f9cb"/>
          <w:sz w:val="24"/>
          <w:szCs w:val="24"/>
          <w:lang w:val="en-US"/>
        </w:rPr>
        <w:t xml:space="preserve">such as the </w:t>
      </w:r>
      <w:r w:rsidR="00F840B8" w:rsidRPr="00EC4C5D">
        <w:rPr>
          <w:rFonts w:ascii="Book Antiqua" w:hAnsi="Book Antiqua" w:cs="AdvP4DF60E"/>
          <w:sz w:val="24"/>
          <w:szCs w:val="24"/>
          <w:lang w:val="en-US"/>
        </w:rPr>
        <w:t xml:space="preserve">patient’s tumor burden, </w:t>
      </w:r>
      <w:r w:rsidR="00F840B8" w:rsidRPr="00EC4C5D">
        <w:rPr>
          <w:rFonts w:ascii="Book Antiqua" w:hAnsi="Book Antiqua"/>
          <w:sz w:val="24"/>
          <w:szCs w:val="24"/>
          <w:lang w:val="en-US"/>
        </w:rPr>
        <w:t>t</w:t>
      </w:r>
      <w:r w:rsidR="00F840B8" w:rsidRPr="00EC4C5D">
        <w:rPr>
          <w:rFonts w:ascii="Book Antiqua" w:hAnsi="Book Antiqua" w:cs="AdvMyriadPro-R"/>
          <w:sz w:val="24"/>
          <w:szCs w:val="24"/>
          <w:lang w:val="en-US"/>
        </w:rPr>
        <w:t xml:space="preserve">he expected response rate to the different drugs and </w:t>
      </w:r>
      <w:r w:rsidR="00F840B8" w:rsidRPr="00EC4C5D">
        <w:rPr>
          <w:rFonts w:ascii="Book Antiqua" w:hAnsi="Book Antiqua"/>
          <w:sz w:val="24"/>
          <w:szCs w:val="24"/>
          <w:lang w:val="en-US"/>
        </w:rPr>
        <w:t>t</w:t>
      </w:r>
      <w:r w:rsidR="00F840B8" w:rsidRPr="00EC4C5D">
        <w:rPr>
          <w:rFonts w:ascii="Book Antiqua" w:hAnsi="Book Antiqua" w:cs="AdvMyriadPro-R"/>
          <w:sz w:val="24"/>
          <w:szCs w:val="24"/>
          <w:lang w:val="en-US"/>
        </w:rPr>
        <w:t xml:space="preserve">he time to achieve this response, the </w:t>
      </w:r>
      <w:r w:rsidR="00F840B8" w:rsidRPr="00EC4C5D">
        <w:rPr>
          <w:rFonts w:ascii="Book Antiqua" w:hAnsi="Book Antiqua" w:cs="AdvOTf133f9cb"/>
          <w:sz w:val="24"/>
          <w:szCs w:val="24"/>
          <w:lang w:val="en-US"/>
        </w:rPr>
        <w:t xml:space="preserve">prior response </w:t>
      </w:r>
      <w:r w:rsidR="00F840B8" w:rsidRPr="00EC4C5D">
        <w:rPr>
          <w:rFonts w:ascii="Book Antiqua" w:hAnsi="Book Antiqua" w:cs="AdvMyriadPro-R"/>
          <w:sz w:val="24"/>
          <w:szCs w:val="24"/>
          <w:lang w:val="en-US"/>
        </w:rPr>
        <w:t xml:space="preserve">to previous </w:t>
      </w:r>
      <w:r w:rsidR="00F840B8" w:rsidRPr="00EC4C5D">
        <w:rPr>
          <w:rFonts w:ascii="Book Antiqua" w:hAnsi="Book Antiqua" w:cs="AdvOTf133f9cb"/>
          <w:sz w:val="24"/>
          <w:szCs w:val="24"/>
          <w:lang w:val="en-US"/>
        </w:rPr>
        <w:t>VEGFR-TKIs</w:t>
      </w:r>
      <w:r w:rsidR="00F840B8" w:rsidRPr="00EC4C5D">
        <w:rPr>
          <w:rFonts w:ascii="Book Antiqua" w:hAnsi="Book Antiqua" w:cs="AdvMyriadPro-R"/>
          <w:sz w:val="24"/>
          <w:szCs w:val="24"/>
          <w:lang w:val="en-US"/>
        </w:rPr>
        <w:t>, the toxicity profile of each agent and the patient preference</w:t>
      </w:r>
      <w:r w:rsidR="00F30B8B" w:rsidRPr="00EC4C5D">
        <w:rPr>
          <w:rFonts w:ascii="Book Antiqua" w:hAnsi="Book Antiqua" w:cs="AdvMyriadPro-R"/>
          <w:sz w:val="24"/>
          <w:szCs w:val="24"/>
          <w:lang w:val="en-US"/>
        </w:rPr>
        <w:t xml:space="preserve">. </w:t>
      </w:r>
      <w:r w:rsidR="00E61EEB" w:rsidRPr="00EC4C5D">
        <w:rPr>
          <w:rFonts w:ascii="Book Antiqua" w:hAnsi="Book Antiqua" w:cs="AdvMyriadPro-R"/>
          <w:sz w:val="24"/>
          <w:szCs w:val="24"/>
          <w:lang w:val="en-US"/>
        </w:rPr>
        <w:t>Thus,</w:t>
      </w:r>
      <w:r w:rsidR="00767B0E" w:rsidRPr="00EC4C5D">
        <w:rPr>
          <w:rFonts w:ascii="Book Antiqua" w:hAnsi="Book Antiqua" w:cs="AdvMyriadPro-R"/>
          <w:sz w:val="24"/>
          <w:szCs w:val="24"/>
          <w:lang w:val="en-US"/>
        </w:rPr>
        <w:t xml:space="preserve"> </w:t>
      </w:r>
      <w:r w:rsidR="00F30B8B" w:rsidRPr="00EC4C5D">
        <w:rPr>
          <w:rFonts w:ascii="Book Antiqua" w:hAnsi="Book Antiqua" w:cs="AdvMyriadPro-R"/>
          <w:sz w:val="24"/>
          <w:szCs w:val="24"/>
          <w:lang w:val="en-US"/>
        </w:rPr>
        <w:t xml:space="preserve">we </w:t>
      </w:r>
      <w:r w:rsidR="00717DC0" w:rsidRPr="00EC4C5D">
        <w:rPr>
          <w:rFonts w:ascii="Book Antiqua" w:hAnsi="Book Antiqua" w:cs="AdvMyriadPro-R"/>
          <w:sz w:val="24"/>
          <w:szCs w:val="24"/>
          <w:lang w:val="en-US"/>
        </w:rPr>
        <w:t>propose</w:t>
      </w:r>
      <w:r w:rsidR="00F663D5" w:rsidRPr="00EC4C5D">
        <w:rPr>
          <w:rFonts w:ascii="Book Antiqua" w:hAnsi="Book Antiqua" w:cs="AdvMyriadPro-R"/>
          <w:sz w:val="24"/>
          <w:szCs w:val="24"/>
          <w:lang w:val="en-US"/>
        </w:rPr>
        <w:t xml:space="preserve"> the employment of the</w:t>
      </w:r>
      <w:r w:rsidR="00F30B8B" w:rsidRPr="00EC4C5D">
        <w:rPr>
          <w:rFonts w:ascii="Book Antiqua" w:hAnsi="Book Antiqua" w:cs="AdvMyriadPro-R"/>
          <w:sz w:val="24"/>
          <w:szCs w:val="24"/>
          <w:lang w:val="en-US"/>
        </w:rPr>
        <w:t xml:space="preserve"> </w:t>
      </w:r>
      <w:r w:rsidR="008B1231" w:rsidRPr="00EC4C5D">
        <w:rPr>
          <w:rFonts w:ascii="Book Antiqua" w:hAnsi="Book Antiqua" w:cs="AdvMyriadPro-R"/>
          <w:sz w:val="24"/>
          <w:szCs w:val="24"/>
          <w:lang w:val="en-US"/>
        </w:rPr>
        <w:t>TGR</w:t>
      </w:r>
      <w:r w:rsidR="00767B0E" w:rsidRPr="00EC4C5D">
        <w:rPr>
          <w:rFonts w:ascii="Book Antiqua" w:hAnsi="Book Antiqua" w:cs="AdvMyriadPro-R"/>
          <w:sz w:val="24"/>
          <w:szCs w:val="24"/>
          <w:lang w:val="en-US"/>
        </w:rPr>
        <w:t xml:space="preserve"> as</w:t>
      </w:r>
      <w:r w:rsidR="00F30B8B" w:rsidRPr="00EC4C5D">
        <w:rPr>
          <w:rFonts w:ascii="Book Antiqua" w:hAnsi="Book Antiqua" w:cs="AdvMyriadPro-R"/>
          <w:sz w:val="24"/>
          <w:szCs w:val="24"/>
          <w:lang w:val="en-US"/>
        </w:rPr>
        <w:t xml:space="preserve"> </w:t>
      </w:r>
      <w:r w:rsidR="0024226C" w:rsidRPr="00EC4C5D">
        <w:rPr>
          <w:rFonts w:ascii="Book Antiqua" w:hAnsi="Book Antiqua" w:cs="AdvP4DF612"/>
          <w:sz w:val="24"/>
          <w:szCs w:val="24"/>
          <w:lang w:val="en-US"/>
        </w:rPr>
        <w:t xml:space="preserve">a new tool that could </w:t>
      </w:r>
      <w:r w:rsidR="0024226C" w:rsidRPr="00EC4C5D">
        <w:rPr>
          <w:rFonts w:ascii="Book Antiqua" w:hAnsi="Book Antiqua" w:cs="AdvP4DF60E"/>
          <w:sz w:val="24"/>
          <w:szCs w:val="24"/>
          <w:lang w:val="en-US"/>
        </w:rPr>
        <w:t xml:space="preserve">provide useful information </w:t>
      </w:r>
      <w:r w:rsidR="00717DC0" w:rsidRPr="00EC4C5D">
        <w:rPr>
          <w:rFonts w:ascii="Book Antiqua" w:hAnsi="Book Antiqua" w:cs="AdvP4DF60E"/>
          <w:sz w:val="24"/>
          <w:szCs w:val="24"/>
          <w:lang w:val="en-US"/>
        </w:rPr>
        <w:t>in</w:t>
      </w:r>
      <w:r w:rsidR="0024226C" w:rsidRPr="00EC4C5D">
        <w:rPr>
          <w:rFonts w:ascii="Book Antiqua" w:hAnsi="Book Antiqua" w:cs="AdvP4DF60E"/>
          <w:sz w:val="24"/>
          <w:szCs w:val="24"/>
          <w:lang w:val="en-US"/>
        </w:rPr>
        <w:t xml:space="preserve"> the management of </w:t>
      </w:r>
      <w:proofErr w:type="spellStart"/>
      <w:r w:rsidR="0024226C" w:rsidRPr="00EC4C5D">
        <w:rPr>
          <w:rFonts w:ascii="Book Antiqua" w:hAnsi="Book Antiqua" w:cs="AdvP4DF60E"/>
          <w:sz w:val="24"/>
          <w:szCs w:val="24"/>
          <w:lang w:val="en-US"/>
        </w:rPr>
        <w:t>mRCC</w:t>
      </w:r>
      <w:proofErr w:type="spellEnd"/>
      <w:r w:rsidR="0024226C" w:rsidRPr="00EC4C5D">
        <w:rPr>
          <w:rFonts w:ascii="Book Antiqua" w:hAnsi="Book Antiqua" w:cs="AdvP4DF60E"/>
          <w:sz w:val="24"/>
          <w:szCs w:val="24"/>
          <w:lang w:val="en-US"/>
        </w:rPr>
        <w:t xml:space="preserve"> patients</w:t>
      </w:r>
      <w:r w:rsidR="00A83D45" w:rsidRPr="00EC4C5D">
        <w:rPr>
          <w:rFonts w:ascii="Book Antiqua" w:hAnsi="Book Antiqua" w:cs="AdvP4DF60E"/>
          <w:sz w:val="24"/>
          <w:szCs w:val="24"/>
          <w:lang w:val="en-US"/>
        </w:rPr>
        <w:t xml:space="preserve"> </w:t>
      </w:r>
      <w:r w:rsidR="00767B0E" w:rsidRPr="00EC4C5D">
        <w:rPr>
          <w:rFonts w:ascii="Book Antiqua" w:hAnsi="Book Antiqua" w:cs="AdvP4DF60E"/>
          <w:sz w:val="24"/>
          <w:szCs w:val="24"/>
          <w:lang w:val="en-US"/>
        </w:rPr>
        <w:t>in addition to</w:t>
      </w:r>
      <w:r w:rsidR="00A83D45" w:rsidRPr="00EC4C5D">
        <w:rPr>
          <w:rFonts w:ascii="Book Antiqua" w:hAnsi="Book Antiqua" w:cs="AdvP4DF60E"/>
          <w:sz w:val="24"/>
          <w:szCs w:val="24"/>
          <w:lang w:val="en-US"/>
        </w:rPr>
        <w:t xml:space="preserve"> clinical features that could better fit with one of the </w:t>
      </w:r>
      <w:r w:rsidR="00767B0E" w:rsidRPr="00EC4C5D">
        <w:rPr>
          <w:rFonts w:ascii="Book Antiqua" w:hAnsi="Book Antiqua" w:cs="AdvP4DF60E"/>
          <w:sz w:val="24"/>
          <w:szCs w:val="24"/>
          <w:lang w:val="en-US"/>
        </w:rPr>
        <w:t xml:space="preserve">therapeutic </w:t>
      </w:r>
      <w:r w:rsidR="00A83D45" w:rsidRPr="00EC4C5D">
        <w:rPr>
          <w:rFonts w:ascii="Book Antiqua" w:hAnsi="Book Antiqua" w:cs="AdvP4DF60E"/>
          <w:sz w:val="24"/>
          <w:szCs w:val="24"/>
          <w:lang w:val="en-US"/>
        </w:rPr>
        <w:t>alternatives</w:t>
      </w:r>
      <w:r w:rsidR="004F71B6">
        <w:rPr>
          <w:rFonts w:ascii="Book Antiqua" w:hAnsi="Book Antiqua" w:cs="AdvP4DF60E" w:hint="eastAsia"/>
          <w:sz w:val="24"/>
          <w:szCs w:val="24"/>
          <w:lang w:val="en-US" w:eastAsia="zh-CN"/>
        </w:rPr>
        <w:t xml:space="preserve"> </w:t>
      </w:r>
      <w:r w:rsidR="004F71B6" w:rsidRPr="00EC4C5D">
        <w:rPr>
          <w:rFonts w:ascii="Book Antiqua" w:hAnsi="Book Antiqua" w:cs="AdvP4DF60E"/>
          <w:sz w:val="24"/>
          <w:szCs w:val="24"/>
          <w:lang w:val="en-US"/>
        </w:rPr>
        <w:t>(Figure 3)</w:t>
      </w:r>
      <w:r w:rsidR="00F663D5" w:rsidRPr="00EC4C5D">
        <w:rPr>
          <w:rFonts w:ascii="Book Antiqua" w:hAnsi="Book Antiqua" w:cs="AdvP4DF60E"/>
          <w:sz w:val="24"/>
          <w:szCs w:val="24"/>
          <w:lang w:val="en-US"/>
        </w:rPr>
        <w:t>.</w:t>
      </w:r>
      <w:r w:rsidR="00A83D45" w:rsidRPr="00EC4C5D">
        <w:rPr>
          <w:rFonts w:ascii="Book Antiqua" w:hAnsi="Book Antiqua" w:cs="AdvP4DF60E"/>
          <w:sz w:val="24"/>
          <w:szCs w:val="24"/>
          <w:lang w:val="en-US"/>
        </w:rPr>
        <w:t xml:space="preserve"> </w:t>
      </w:r>
      <w:r w:rsidR="0024226C" w:rsidRPr="00EC4C5D">
        <w:rPr>
          <w:rFonts w:ascii="Book Antiqua" w:hAnsi="Book Antiqua" w:cs="AdvMyriadPro-R"/>
          <w:sz w:val="24"/>
          <w:szCs w:val="24"/>
          <w:lang w:val="en-US"/>
        </w:rPr>
        <w:t xml:space="preserve">TGR </w:t>
      </w:r>
      <w:r w:rsidR="00DC04ED" w:rsidRPr="00EC4C5D">
        <w:rPr>
          <w:rFonts w:ascii="Book Antiqua" w:hAnsi="Book Antiqua" w:cs="AdvMyriadPro-R"/>
          <w:sz w:val="24"/>
          <w:szCs w:val="24"/>
          <w:lang w:val="en-US"/>
        </w:rPr>
        <w:t>may represent</w:t>
      </w:r>
      <w:r w:rsidR="0024226C" w:rsidRPr="00EC4C5D">
        <w:rPr>
          <w:rFonts w:ascii="Book Antiqua" w:hAnsi="Book Antiqua" w:cs="AdvMyriadPro-R"/>
          <w:sz w:val="24"/>
          <w:szCs w:val="24"/>
          <w:lang w:val="en-US"/>
        </w:rPr>
        <w:t xml:space="preserve"> </w:t>
      </w:r>
      <w:r w:rsidR="00875654" w:rsidRPr="00EC4C5D">
        <w:rPr>
          <w:rFonts w:ascii="Book Antiqua" w:hAnsi="Book Antiqua" w:cs="AdvMyriadPro-R"/>
          <w:sz w:val="24"/>
          <w:szCs w:val="24"/>
          <w:lang w:val="en-US"/>
        </w:rPr>
        <w:t>a surrogate</w:t>
      </w:r>
      <w:r w:rsidR="00F663D5" w:rsidRPr="00EC4C5D">
        <w:rPr>
          <w:rFonts w:ascii="Book Antiqua" w:hAnsi="Book Antiqua" w:cs="AdvMyriadPro-R"/>
          <w:sz w:val="24"/>
          <w:szCs w:val="24"/>
          <w:lang w:val="en-US"/>
        </w:rPr>
        <w:t xml:space="preserve"> of</w:t>
      </w:r>
      <w:r w:rsidR="0024226C" w:rsidRPr="00EC4C5D">
        <w:rPr>
          <w:rFonts w:ascii="Book Antiqua" w:hAnsi="Book Antiqua" w:cs="AdvMyriadPro-R"/>
          <w:sz w:val="24"/>
          <w:szCs w:val="24"/>
          <w:lang w:val="en-US"/>
        </w:rPr>
        <w:t xml:space="preserve"> </w:t>
      </w:r>
      <w:r w:rsidR="00875654" w:rsidRPr="00EC4C5D">
        <w:rPr>
          <w:rFonts w:ascii="Book Antiqua" w:hAnsi="Book Antiqua" w:cs="AdvMyriadPro-R"/>
          <w:sz w:val="24"/>
          <w:szCs w:val="24"/>
          <w:lang w:val="en-US"/>
        </w:rPr>
        <w:t xml:space="preserve">tumor </w:t>
      </w:r>
      <w:r w:rsidR="0024226C" w:rsidRPr="00EC4C5D">
        <w:rPr>
          <w:rFonts w:ascii="Book Antiqua" w:hAnsi="Book Antiqua" w:cs="AdvMyriadPro-R"/>
          <w:sz w:val="24"/>
          <w:szCs w:val="24"/>
          <w:lang w:val="en-US"/>
        </w:rPr>
        <w:t>aggressiveness</w:t>
      </w:r>
      <w:r w:rsidR="00875654" w:rsidRPr="00EC4C5D">
        <w:rPr>
          <w:rFonts w:ascii="Book Antiqua" w:hAnsi="Book Antiqua" w:cs="AdvMyriadPro-R"/>
          <w:sz w:val="24"/>
          <w:szCs w:val="24"/>
          <w:lang w:val="en-US"/>
        </w:rPr>
        <w:t>,</w:t>
      </w:r>
      <w:r w:rsidR="00F663D5" w:rsidRPr="00EC4C5D">
        <w:rPr>
          <w:rFonts w:ascii="Book Antiqua" w:hAnsi="Book Antiqua" w:cs="AdvMyriadPro-R"/>
          <w:sz w:val="24"/>
          <w:szCs w:val="24"/>
          <w:lang w:val="en-US"/>
        </w:rPr>
        <w:t xml:space="preserve"> </w:t>
      </w:r>
      <w:r w:rsidR="00875654" w:rsidRPr="00EC4C5D">
        <w:rPr>
          <w:rFonts w:ascii="Book Antiqua" w:hAnsi="Book Antiqua" w:cs="AdvMyriadPro-R"/>
          <w:sz w:val="24"/>
          <w:szCs w:val="24"/>
          <w:lang w:val="en-US"/>
        </w:rPr>
        <w:t xml:space="preserve">a relevant parameter </w:t>
      </w:r>
      <w:r w:rsidR="0024226C" w:rsidRPr="00EC4C5D">
        <w:rPr>
          <w:rFonts w:ascii="Book Antiqua" w:hAnsi="Book Antiqua" w:cs="AdvMyriadPro-R"/>
          <w:sz w:val="24"/>
          <w:szCs w:val="24"/>
          <w:lang w:val="en-US"/>
        </w:rPr>
        <w:t xml:space="preserve">before </w:t>
      </w:r>
      <w:r w:rsidR="00875654" w:rsidRPr="00EC4C5D">
        <w:rPr>
          <w:rFonts w:ascii="Book Antiqua" w:hAnsi="Book Antiqua" w:cs="AdvMyriadPro-R"/>
          <w:sz w:val="24"/>
          <w:szCs w:val="24"/>
          <w:lang w:val="en-US"/>
        </w:rPr>
        <w:t>choosing</w:t>
      </w:r>
      <w:r w:rsidR="0024226C" w:rsidRPr="00EC4C5D">
        <w:rPr>
          <w:rFonts w:ascii="Book Antiqua" w:hAnsi="Book Antiqua" w:cs="AdvMyriadPro-R"/>
          <w:sz w:val="24"/>
          <w:szCs w:val="24"/>
          <w:lang w:val="en-US"/>
        </w:rPr>
        <w:t xml:space="preserve"> a treatment</w:t>
      </w:r>
      <w:r w:rsidR="00DC04ED" w:rsidRPr="00EC4C5D">
        <w:rPr>
          <w:rFonts w:ascii="Book Antiqua" w:hAnsi="Book Antiqua" w:cs="AdvMyriadPro-R"/>
          <w:sz w:val="24"/>
          <w:szCs w:val="24"/>
          <w:lang w:val="en-US"/>
        </w:rPr>
        <w:t xml:space="preserve"> and an early biomarker for treatment response and evaluation of the ability to interfere in the natural history of the tumor growth</w:t>
      </w:r>
      <w:r w:rsidR="0024226C" w:rsidRPr="00EC4C5D">
        <w:rPr>
          <w:rFonts w:ascii="Book Antiqua" w:hAnsi="Book Antiqua" w:cs="AdvMyriadPro-R"/>
          <w:sz w:val="24"/>
          <w:szCs w:val="24"/>
          <w:lang w:val="en-US"/>
        </w:rPr>
        <w:t>.</w:t>
      </w:r>
      <w:r w:rsidR="0024226C" w:rsidRPr="00EC4C5D">
        <w:rPr>
          <w:rFonts w:ascii="Book Antiqua" w:hAnsi="Book Antiqua" w:cs="AdvOTf133f9cb"/>
          <w:sz w:val="24"/>
          <w:szCs w:val="24"/>
          <w:lang w:val="en-US"/>
        </w:rPr>
        <w:t xml:space="preserve"> </w:t>
      </w:r>
      <w:r w:rsidR="00161BA2" w:rsidRPr="00EC4C5D">
        <w:rPr>
          <w:rFonts w:ascii="Book Antiqua" w:hAnsi="Book Antiqua" w:cs="AdvP4DF60E"/>
          <w:sz w:val="24"/>
          <w:szCs w:val="24"/>
          <w:lang w:val="en-US"/>
        </w:rPr>
        <w:t xml:space="preserve">TGR </w:t>
      </w:r>
      <w:r w:rsidR="00DC04ED" w:rsidRPr="00EC4C5D">
        <w:rPr>
          <w:rFonts w:ascii="Book Antiqua" w:hAnsi="Book Antiqua" w:cs="AdvP4DF60E"/>
          <w:sz w:val="24"/>
          <w:szCs w:val="24"/>
          <w:lang w:val="en-US"/>
        </w:rPr>
        <w:t>could be a valuable endpoint for</w:t>
      </w:r>
      <w:r w:rsidR="00161BA2" w:rsidRPr="00EC4C5D">
        <w:rPr>
          <w:rFonts w:ascii="Book Antiqua" w:hAnsi="Book Antiqua" w:cs="AdvP4DF60E"/>
          <w:sz w:val="24"/>
          <w:szCs w:val="24"/>
          <w:lang w:val="en-US"/>
        </w:rPr>
        <w:t xml:space="preserve"> clinical use</w:t>
      </w:r>
      <w:r w:rsidR="00DC04ED" w:rsidRPr="00EC4C5D">
        <w:rPr>
          <w:rFonts w:ascii="Book Antiqua" w:hAnsi="Book Antiqua" w:cs="AdvP4DF60E"/>
          <w:sz w:val="24"/>
          <w:szCs w:val="24"/>
          <w:lang w:val="en-US"/>
        </w:rPr>
        <w:t xml:space="preserve"> in</w:t>
      </w:r>
      <w:r w:rsidR="00161BA2" w:rsidRPr="00EC4C5D">
        <w:rPr>
          <w:rFonts w:ascii="Book Antiqua" w:hAnsi="Book Antiqua" w:cs="AdvP4DF60E"/>
          <w:sz w:val="24"/>
          <w:szCs w:val="24"/>
          <w:lang w:val="en-US"/>
        </w:rPr>
        <w:t xml:space="preserve"> </w:t>
      </w:r>
      <w:r w:rsidR="00717DC0" w:rsidRPr="00EC4C5D">
        <w:rPr>
          <w:rFonts w:ascii="Book Antiqua" w:hAnsi="Book Antiqua" w:cs="AdvP4DF60E"/>
          <w:sz w:val="24"/>
          <w:szCs w:val="24"/>
          <w:lang w:val="en-US"/>
        </w:rPr>
        <w:t xml:space="preserve">treatment </w:t>
      </w:r>
      <w:r w:rsidR="00E3003F" w:rsidRPr="00EC4C5D">
        <w:rPr>
          <w:rFonts w:ascii="Book Antiqua" w:hAnsi="Book Antiqua" w:cs="AdvP4DF60E"/>
          <w:sz w:val="24"/>
          <w:szCs w:val="24"/>
          <w:lang w:val="en-US"/>
        </w:rPr>
        <w:t>decision-making</w:t>
      </w:r>
      <w:r w:rsidR="00F663D5" w:rsidRPr="00EC4C5D">
        <w:rPr>
          <w:rFonts w:ascii="Book Antiqua" w:hAnsi="Book Antiqua" w:cs="AdvP4DF60E"/>
          <w:sz w:val="24"/>
          <w:szCs w:val="24"/>
          <w:lang w:val="en-US"/>
        </w:rPr>
        <w:t xml:space="preserve"> </w:t>
      </w:r>
      <w:r w:rsidR="00717DC0" w:rsidRPr="00EC4C5D">
        <w:rPr>
          <w:rFonts w:ascii="Book Antiqua" w:hAnsi="Book Antiqua" w:cs="AdvP4DF60E"/>
          <w:sz w:val="24"/>
          <w:szCs w:val="24"/>
          <w:lang w:val="en-US"/>
        </w:rPr>
        <w:t xml:space="preserve">favoring patients with </w:t>
      </w:r>
      <w:proofErr w:type="spellStart"/>
      <w:r w:rsidR="00717DC0" w:rsidRPr="00EC4C5D">
        <w:rPr>
          <w:rFonts w:ascii="Book Antiqua" w:hAnsi="Book Antiqua" w:cs="AdvP4DF60E"/>
          <w:sz w:val="24"/>
          <w:szCs w:val="24"/>
          <w:lang w:val="en-US"/>
        </w:rPr>
        <w:t>mRCC</w:t>
      </w:r>
      <w:proofErr w:type="spellEnd"/>
      <w:r w:rsidR="00F663D5" w:rsidRPr="00EC4C5D">
        <w:rPr>
          <w:rFonts w:ascii="Book Antiqua" w:hAnsi="Book Antiqua" w:cs="AdvP4DF60E"/>
          <w:sz w:val="24"/>
          <w:szCs w:val="24"/>
          <w:lang w:val="en-US"/>
        </w:rPr>
        <w:t xml:space="preserve">, </w:t>
      </w:r>
      <w:r w:rsidR="00455405" w:rsidRPr="00EC4C5D">
        <w:rPr>
          <w:rFonts w:ascii="Book Antiqua" w:hAnsi="Book Antiqua" w:cs="AdvP4DF60E"/>
          <w:sz w:val="24"/>
          <w:szCs w:val="24"/>
          <w:lang w:val="en-US"/>
        </w:rPr>
        <w:t xml:space="preserve">with </w:t>
      </w:r>
      <w:r w:rsidR="00DC04ED" w:rsidRPr="00EC4C5D">
        <w:rPr>
          <w:rFonts w:ascii="Book Antiqua" w:hAnsi="Book Antiqua" w:cs="AdvP4DF60E"/>
          <w:sz w:val="24"/>
          <w:szCs w:val="24"/>
          <w:lang w:val="en-US"/>
        </w:rPr>
        <w:lastRenderedPageBreak/>
        <w:t xml:space="preserve">more reliable information about </w:t>
      </w:r>
      <w:r w:rsidR="00F663D5" w:rsidRPr="00EC4C5D">
        <w:rPr>
          <w:rFonts w:ascii="Book Antiqua" w:hAnsi="Book Antiqua" w:cs="AdvP4DF60E"/>
          <w:sz w:val="24"/>
          <w:szCs w:val="24"/>
          <w:lang w:val="en-US"/>
        </w:rPr>
        <w:t xml:space="preserve">prognosis and </w:t>
      </w:r>
      <w:r w:rsidR="00DC04ED" w:rsidRPr="00EC4C5D">
        <w:rPr>
          <w:rFonts w:ascii="Book Antiqua" w:hAnsi="Book Antiqua" w:cs="AdvP4DF60E"/>
          <w:sz w:val="24"/>
          <w:szCs w:val="24"/>
          <w:lang w:val="en-US"/>
        </w:rPr>
        <w:t>evaluation of</w:t>
      </w:r>
      <w:r w:rsidR="00161BA2" w:rsidRPr="00EC4C5D">
        <w:rPr>
          <w:rFonts w:ascii="Book Antiqua" w:hAnsi="Book Antiqua" w:cs="AdvP4DF60E"/>
          <w:sz w:val="24"/>
          <w:szCs w:val="24"/>
          <w:lang w:val="en-US"/>
        </w:rPr>
        <w:t xml:space="preserve"> response </w:t>
      </w:r>
      <w:r w:rsidR="00F663D5" w:rsidRPr="00EC4C5D">
        <w:rPr>
          <w:rFonts w:ascii="Book Antiqua" w:hAnsi="Book Antiqua" w:cs="AdvP4DF60E"/>
          <w:sz w:val="24"/>
          <w:szCs w:val="24"/>
          <w:lang w:val="en-US"/>
        </w:rPr>
        <w:t>to molecular target</w:t>
      </w:r>
      <w:r w:rsidR="00717DC0" w:rsidRPr="00EC4C5D">
        <w:rPr>
          <w:rFonts w:ascii="Book Antiqua" w:hAnsi="Book Antiqua" w:cs="AdvP4DF60E"/>
          <w:sz w:val="24"/>
          <w:szCs w:val="24"/>
          <w:lang w:val="en-US"/>
        </w:rPr>
        <w:t>ed</w:t>
      </w:r>
      <w:r w:rsidR="00F663D5" w:rsidRPr="00EC4C5D">
        <w:rPr>
          <w:rFonts w:ascii="Book Antiqua" w:hAnsi="Book Antiqua" w:cs="AdvP4DF60E"/>
          <w:sz w:val="24"/>
          <w:szCs w:val="24"/>
          <w:lang w:val="en-US"/>
        </w:rPr>
        <w:t xml:space="preserve"> agents</w:t>
      </w:r>
      <w:r w:rsidR="006722E6" w:rsidRPr="00EC4C5D">
        <w:rPr>
          <w:rFonts w:ascii="Book Antiqua" w:hAnsi="Book Antiqua" w:cs="AdvMyriadPro-R"/>
          <w:sz w:val="24"/>
          <w:szCs w:val="24"/>
          <w:lang w:val="en-US"/>
        </w:rPr>
        <w:t>.</w:t>
      </w:r>
    </w:p>
    <w:p w14:paraId="700A9ED5" w14:textId="77777777" w:rsidR="00455405" w:rsidRDefault="00455405" w:rsidP="00EC4C5D">
      <w:pPr>
        <w:spacing w:after="0" w:line="360" w:lineRule="auto"/>
        <w:jc w:val="both"/>
        <w:rPr>
          <w:rFonts w:ascii="Book Antiqua" w:hAnsi="Book Antiqua" w:cs="AdvMyriadPro-R"/>
          <w:b/>
          <w:sz w:val="24"/>
          <w:szCs w:val="24"/>
          <w:lang w:val="en-US" w:eastAsia="zh-CN"/>
        </w:rPr>
      </w:pPr>
    </w:p>
    <w:p w14:paraId="2FEB669C" w14:textId="77777777" w:rsidR="004F71B6" w:rsidRDefault="004F71B6" w:rsidP="00EC4C5D">
      <w:pPr>
        <w:spacing w:after="0" w:line="360" w:lineRule="auto"/>
        <w:jc w:val="both"/>
        <w:rPr>
          <w:rFonts w:ascii="Book Antiqua" w:hAnsi="Book Antiqua" w:cs="AdvMyriadPro-R"/>
          <w:b/>
          <w:sz w:val="24"/>
          <w:szCs w:val="24"/>
          <w:lang w:val="en-US" w:eastAsia="zh-CN"/>
        </w:rPr>
      </w:pPr>
    </w:p>
    <w:p w14:paraId="74CC3866" w14:textId="77777777" w:rsidR="004F71B6" w:rsidRDefault="004F71B6" w:rsidP="00EC4C5D">
      <w:pPr>
        <w:spacing w:after="0" w:line="360" w:lineRule="auto"/>
        <w:jc w:val="both"/>
        <w:rPr>
          <w:rFonts w:ascii="Book Antiqua" w:hAnsi="Book Antiqua" w:cs="AdvMyriadPro-R"/>
          <w:b/>
          <w:sz w:val="24"/>
          <w:szCs w:val="24"/>
          <w:lang w:val="en-US" w:eastAsia="zh-CN"/>
        </w:rPr>
      </w:pPr>
    </w:p>
    <w:p w14:paraId="599C9711" w14:textId="77777777" w:rsidR="004F71B6" w:rsidRDefault="004F71B6" w:rsidP="00EC4C5D">
      <w:pPr>
        <w:spacing w:after="0" w:line="360" w:lineRule="auto"/>
        <w:jc w:val="both"/>
        <w:rPr>
          <w:rFonts w:ascii="Book Antiqua" w:hAnsi="Book Antiqua" w:cs="AdvMyriadPro-R"/>
          <w:b/>
          <w:sz w:val="24"/>
          <w:szCs w:val="24"/>
          <w:lang w:val="en-US" w:eastAsia="zh-CN"/>
        </w:rPr>
      </w:pPr>
    </w:p>
    <w:p w14:paraId="675C444F" w14:textId="77777777" w:rsidR="004F71B6" w:rsidRDefault="004F71B6" w:rsidP="00EC4C5D">
      <w:pPr>
        <w:spacing w:after="0" w:line="360" w:lineRule="auto"/>
        <w:jc w:val="both"/>
        <w:rPr>
          <w:rFonts w:ascii="Book Antiqua" w:hAnsi="Book Antiqua" w:cs="AdvMyriadPro-R"/>
          <w:b/>
          <w:sz w:val="24"/>
          <w:szCs w:val="24"/>
          <w:lang w:val="en-US" w:eastAsia="zh-CN"/>
        </w:rPr>
      </w:pPr>
    </w:p>
    <w:p w14:paraId="59B5826F" w14:textId="77777777" w:rsidR="004F71B6" w:rsidRDefault="004F71B6" w:rsidP="00EC4C5D">
      <w:pPr>
        <w:spacing w:after="0" w:line="360" w:lineRule="auto"/>
        <w:jc w:val="both"/>
        <w:rPr>
          <w:rFonts w:ascii="Book Antiqua" w:hAnsi="Book Antiqua" w:cs="AdvMyriadPro-R"/>
          <w:b/>
          <w:sz w:val="24"/>
          <w:szCs w:val="24"/>
          <w:lang w:val="en-US" w:eastAsia="zh-CN"/>
        </w:rPr>
      </w:pPr>
    </w:p>
    <w:p w14:paraId="2359C035" w14:textId="77777777" w:rsidR="004F71B6" w:rsidRDefault="004F71B6" w:rsidP="00EC4C5D">
      <w:pPr>
        <w:spacing w:after="0" w:line="360" w:lineRule="auto"/>
        <w:jc w:val="both"/>
        <w:rPr>
          <w:rFonts w:ascii="Book Antiqua" w:hAnsi="Book Antiqua" w:cs="AdvMyriadPro-R"/>
          <w:b/>
          <w:sz w:val="24"/>
          <w:szCs w:val="24"/>
          <w:lang w:val="en-US" w:eastAsia="zh-CN"/>
        </w:rPr>
      </w:pPr>
    </w:p>
    <w:p w14:paraId="452F699A" w14:textId="77777777" w:rsidR="004F71B6" w:rsidRDefault="004F71B6" w:rsidP="00EC4C5D">
      <w:pPr>
        <w:spacing w:after="0" w:line="360" w:lineRule="auto"/>
        <w:jc w:val="both"/>
        <w:rPr>
          <w:rFonts w:ascii="Book Antiqua" w:hAnsi="Book Antiqua" w:cs="AdvMyriadPro-R"/>
          <w:b/>
          <w:sz w:val="24"/>
          <w:szCs w:val="24"/>
          <w:lang w:val="en-US" w:eastAsia="zh-CN"/>
        </w:rPr>
      </w:pPr>
    </w:p>
    <w:p w14:paraId="46F30333" w14:textId="77777777" w:rsidR="004F71B6" w:rsidRDefault="004F71B6" w:rsidP="00EC4C5D">
      <w:pPr>
        <w:spacing w:after="0" w:line="360" w:lineRule="auto"/>
        <w:jc w:val="both"/>
        <w:rPr>
          <w:rFonts w:ascii="Book Antiqua" w:hAnsi="Book Antiqua" w:cs="AdvMyriadPro-R"/>
          <w:b/>
          <w:sz w:val="24"/>
          <w:szCs w:val="24"/>
          <w:lang w:val="en-US" w:eastAsia="zh-CN"/>
        </w:rPr>
      </w:pPr>
    </w:p>
    <w:p w14:paraId="73CE9597" w14:textId="77777777" w:rsidR="004F71B6" w:rsidRDefault="004F71B6" w:rsidP="00EC4C5D">
      <w:pPr>
        <w:spacing w:after="0" w:line="360" w:lineRule="auto"/>
        <w:jc w:val="both"/>
        <w:rPr>
          <w:rFonts w:ascii="Book Antiqua" w:hAnsi="Book Antiqua" w:cs="AdvMyriadPro-R"/>
          <w:b/>
          <w:sz w:val="24"/>
          <w:szCs w:val="24"/>
          <w:lang w:val="en-US" w:eastAsia="zh-CN"/>
        </w:rPr>
      </w:pPr>
    </w:p>
    <w:p w14:paraId="574DA86E" w14:textId="77777777" w:rsidR="004F71B6" w:rsidRDefault="004F71B6" w:rsidP="00EC4C5D">
      <w:pPr>
        <w:spacing w:after="0" w:line="360" w:lineRule="auto"/>
        <w:jc w:val="both"/>
        <w:rPr>
          <w:rFonts w:ascii="Book Antiqua" w:hAnsi="Book Antiqua" w:cs="AdvMyriadPro-R"/>
          <w:b/>
          <w:sz w:val="24"/>
          <w:szCs w:val="24"/>
          <w:lang w:val="en-US" w:eastAsia="zh-CN"/>
        </w:rPr>
      </w:pPr>
    </w:p>
    <w:p w14:paraId="5943776D" w14:textId="77777777" w:rsidR="004F71B6" w:rsidRDefault="004F71B6" w:rsidP="00EC4C5D">
      <w:pPr>
        <w:spacing w:after="0" w:line="360" w:lineRule="auto"/>
        <w:jc w:val="both"/>
        <w:rPr>
          <w:rFonts w:ascii="Book Antiqua" w:hAnsi="Book Antiqua" w:cs="AdvMyriadPro-R"/>
          <w:b/>
          <w:sz w:val="24"/>
          <w:szCs w:val="24"/>
          <w:lang w:val="en-US" w:eastAsia="zh-CN"/>
        </w:rPr>
      </w:pPr>
    </w:p>
    <w:p w14:paraId="0C4966EB" w14:textId="77777777" w:rsidR="004F71B6" w:rsidRDefault="004F71B6" w:rsidP="00EC4C5D">
      <w:pPr>
        <w:spacing w:after="0" w:line="360" w:lineRule="auto"/>
        <w:jc w:val="both"/>
        <w:rPr>
          <w:rFonts w:ascii="Book Antiqua" w:hAnsi="Book Antiqua" w:cs="AdvMyriadPro-R"/>
          <w:b/>
          <w:sz w:val="24"/>
          <w:szCs w:val="24"/>
          <w:lang w:val="en-US" w:eastAsia="zh-CN"/>
        </w:rPr>
      </w:pPr>
    </w:p>
    <w:p w14:paraId="76FE026F" w14:textId="77777777" w:rsidR="004F71B6" w:rsidRDefault="004F71B6" w:rsidP="00EC4C5D">
      <w:pPr>
        <w:spacing w:after="0" w:line="360" w:lineRule="auto"/>
        <w:jc w:val="both"/>
        <w:rPr>
          <w:rFonts w:ascii="Book Antiqua" w:hAnsi="Book Antiqua" w:cs="AdvMyriadPro-R"/>
          <w:b/>
          <w:sz w:val="24"/>
          <w:szCs w:val="24"/>
          <w:lang w:val="en-US" w:eastAsia="zh-CN"/>
        </w:rPr>
      </w:pPr>
    </w:p>
    <w:p w14:paraId="09B05DF4" w14:textId="77777777" w:rsidR="004F71B6" w:rsidRDefault="004F71B6" w:rsidP="00EC4C5D">
      <w:pPr>
        <w:spacing w:after="0" w:line="360" w:lineRule="auto"/>
        <w:jc w:val="both"/>
        <w:rPr>
          <w:rFonts w:ascii="Book Antiqua" w:hAnsi="Book Antiqua" w:cs="AdvMyriadPro-R"/>
          <w:b/>
          <w:sz w:val="24"/>
          <w:szCs w:val="24"/>
          <w:lang w:val="en-US" w:eastAsia="zh-CN"/>
        </w:rPr>
      </w:pPr>
    </w:p>
    <w:p w14:paraId="4E111642" w14:textId="77777777" w:rsidR="004F71B6" w:rsidRDefault="004F71B6" w:rsidP="00EC4C5D">
      <w:pPr>
        <w:spacing w:after="0" w:line="360" w:lineRule="auto"/>
        <w:jc w:val="both"/>
        <w:rPr>
          <w:rFonts w:ascii="Book Antiqua" w:hAnsi="Book Antiqua" w:cs="AdvMyriadPro-R"/>
          <w:b/>
          <w:sz w:val="24"/>
          <w:szCs w:val="24"/>
          <w:lang w:val="en-US" w:eastAsia="zh-CN"/>
        </w:rPr>
      </w:pPr>
    </w:p>
    <w:p w14:paraId="008FB9CC" w14:textId="77777777" w:rsidR="004F71B6" w:rsidRDefault="004F71B6" w:rsidP="00EC4C5D">
      <w:pPr>
        <w:spacing w:after="0" w:line="360" w:lineRule="auto"/>
        <w:jc w:val="both"/>
        <w:rPr>
          <w:rFonts w:ascii="Book Antiqua" w:hAnsi="Book Antiqua" w:cs="AdvMyriadPro-R"/>
          <w:b/>
          <w:sz w:val="24"/>
          <w:szCs w:val="24"/>
          <w:lang w:val="en-US" w:eastAsia="zh-CN"/>
        </w:rPr>
      </w:pPr>
    </w:p>
    <w:p w14:paraId="24D77617" w14:textId="77777777" w:rsidR="004F71B6" w:rsidRDefault="004F71B6" w:rsidP="00EC4C5D">
      <w:pPr>
        <w:spacing w:after="0" w:line="360" w:lineRule="auto"/>
        <w:jc w:val="both"/>
        <w:rPr>
          <w:rFonts w:ascii="Book Antiqua" w:hAnsi="Book Antiqua" w:cs="AdvMyriadPro-R"/>
          <w:b/>
          <w:sz w:val="24"/>
          <w:szCs w:val="24"/>
          <w:lang w:val="en-US" w:eastAsia="zh-CN"/>
        </w:rPr>
      </w:pPr>
    </w:p>
    <w:p w14:paraId="78DA25EC" w14:textId="77777777" w:rsidR="004F71B6" w:rsidRDefault="004F71B6" w:rsidP="00EC4C5D">
      <w:pPr>
        <w:spacing w:after="0" w:line="360" w:lineRule="auto"/>
        <w:jc w:val="both"/>
        <w:rPr>
          <w:rFonts w:ascii="Book Antiqua" w:hAnsi="Book Antiqua" w:cs="AdvMyriadPro-R"/>
          <w:b/>
          <w:sz w:val="24"/>
          <w:szCs w:val="24"/>
          <w:lang w:val="en-US" w:eastAsia="zh-CN"/>
        </w:rPr>
      </w:pPr>
    </w:p>
    <w:p w14:paraId="63EDC4B5" w14:textId="77777777" w:rsidR="004F71B6" w:rsidRDefault="004F71B6" w:rsidP="00EC4C5D">
      <w:pPr>
        <w:spacing w:after="0" w:line="360" w:lineRule="auto"/>
        <w:jc w:val="both"/>
        <w:rPr>
          <w:rFonts w:ascii="Book Antiqua" w:hAnsi="Book Antiqua" w:cs="AdvMyriadPro-R"/>
          <w:b/>
          <w:sz w:val="24"/>
          <w:szCs w:val="24"/>
          <w:lang w:val="en-US" w:eastAsia="zh-CN"/>
        </w:rPr>
      </w:pPr>
    </w:p>
    <w:p w14:paraId="33A0407A" w14:textId="77777777" w:rsidR="004F71B6" w:rsidRDefault="004F71B6" w:rsidP="00EC4C5D">
      <w:pPr>
        <w:spacing w:after="0" w:line="360" w:lineRule="auto"/>
        <w:jc w:val="both"/>
        <w:rPr>
          <w:rFonts w:ascii="Book Antiqua" w:hAnsi="Book Antiqua" w:cs="AdvMyriadPro-R"/>
          <w:b/>
          <w:sz w:val="24"/>
          <w:szCs w:val="24"/>
          <w:lang w:val="en-US" w:eastAsia="zh-CN"/>
        </w:rPr>
      </w:pPr>
    </w:p>
    <w:p w14:paraId="25D6514D" w14:textId="77777777" w:rsidR="004F71B6" w:rsidRDefault="004F71B6" w:rsidP="00EC4C5D">
      <w:pPr>
        <w:spacing w:after="0" w:line="360" w:lineRule="auto"/>
        <w:jc w:val="both"/>
        <w:rPr>
          <w:rFonts w:ascii="Book Antiqua" w:hAnsi="Book Antiqua" w:cs="AdvMyriadPro-R"/>
          <w:b/>
          <w:sz w:val="24"/>
          <w:szCs w:val="24"/>
          <w:lang w:val="en-US" w:eastAsia="zh-CN"/>
        </w:rPr>
      </w:pPr>
    </w:p>
    <w:p w14:paraId="29F9CDAB" w14:textId="77777777" w:rsidR="004F71B6" w:rsidRDefault="004F71B6" w:rsidP="00EC4C5D">
      <w:pPr>
        <w:spacing w:after="0" w:line="360" w:lineRule="auto"/>
        <w:jc w:val="both"/>
        <w:rPr>
          <w:rFonts w:ascii="Book Antiqua" w:hAnsi="Book Antiqua" w:cs="AdvMyriadPro-R"/>
          <w:b/>
          <w:sz w:val="24"/>
          <w:szCs w:val="24"/>
          <w:lang w:val="en-US" w:eastAsia="zh-CN"/>
        </w:rPr>
      </w:pPr>
    </w:p>
    <w:p w14:paraId="6F53D2AA" w14:textId="77777777" w:rsidR="004F71B6" w:rsidRDefault="004F71B6" w:rsidP="00EC4C5D">
      <w:pPr>
        <w:spacing w:after="0" w:line="360" w:lineRule="auto"/>
        <w:jc w:val="both"/>
        <w:rPr>
          <w:rFonts w:ascii="Book Antiqua" w:hAnsi="Book Antiqua" w:cs="AdvMyriadPro-R"/>
          <w:b/>
          <w:sz w:val="24"/>
          <w:szCs w:val="24"/>
          <w:lang w:val="en-US" w:eastAsia="zh-CN"/>
        </w:rPr>
      </w:pPr>
    </w:p>
    <w:p w14:paraId="7DC5B0C6" w14:textId="77777777" w:rsidR="004F71B6" w:rsidRDefault="004F71B6" w:rsidP="00EC4C5D">
      <w:pPr>
        <w:spacing w:after="0" w:line="360" w:lineRule="auto"/>
        <w:jc w:val="both"/>
        <w:rPr>
          <w:rFonts w:ascii="Book Antiqua" w:hAnsi="Book Antiqua" w:cs="AdvMyriadPro-R"/>
          <w:b/>
          <w:sz w:val="24"/>
          <w:szCs w:val="24"/>
          <w:lang w:val="en-US" w:eastAsia="zh-CN"/>
        </w:rPr>
      </w:pPr>
    </w:p>
    <w:p w14:paraId="241BA739" w14:textId="77777777" w:rsidR="004F71B6" w:rsidRDefault="004F71B6" w:rsidP="00EC4C5D">
      <w:pPr>
        <w:spacing w:after="0" w:line="360" w:lineRule="auto"/>
        <w:jc w:val="both"/>
        <w:rPr>
          <w:rFonts w:ascii="Book Antiqua" w:hAnsi="Book Antiqua" w:cs="AdvMyriadPro-R"/>
          <w:b/>
          <w:sz w:val="24"/>
          <w:szCs w:val="24"/>
          <w:lang w:val="en-US" w:eastAsia="zh-CN"/>
        </w:rPr>
      </w:pPr>
    </w:p>
    <w:p w14:paraId="53EB02F5" w14:textId="77777777" w:rsidR="004F71B6" w:rsidRPr="00EC4C5D" w:rsidRDefault="004F71B6" w:rsidP="00EC4C5D">
      <w:pPr>
        <w:spacing w:after="0" w:line="360" w:lineRule="auto"/>
        <w:jc w:val="both"/>
        <w:rPr>
          <w:rFonts w:ascii="Book Antiqua" w:hAnsi="Book Antiqua" w:cs="AdvMyriadPro-R"/>
          <w:b/>
          <w:sz w:val="24"/>
          <w:szCs w:val="24"/>
          <w:lang w:val="en-US" w:eastAsia="zh-CN"/>
        </w:rPr>
      </w:pPr>
    </w:p>
    <w:p w14:paraId="627C4178" w14:textId="3BD3832C" w:rsidR="00803E9E" w:rsidRPr="00DD0514" w:rsidRDefault="004F71B6" w:rsidP="00DD0514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DD0514">
        <w:rPr>
          <w:rFonts w:ascii="Book Antiqua" w:hAnsi="Book Antiqua" w:cs="AdvMyriadPro-R"/>
          <w:b/>
          <w:sz w:val="24"/>
          <w:szCs w:val="24"/>
        </w:rPr>
        <w:t>REFERENCES</w:t>
      </w:r>
    </w:p>
    <w:p w14:paraId="27FB5AE0" w14:textId="77777777" w:rsidR="00DD0514" w:rsidRPr="00DD0514" w:rsidRDefault="00DD0514" w:rsidP="00DD051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1 </w:t>
      </w:r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Levy A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Menard J,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Albiges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Loriot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Y, Di Palma M,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Fizazi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K,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Escudier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B. Second line treatment of metastatic renal cell carcinoma: The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Institut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Gustave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Roussy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experience with targeted therapies in 251 consecutive patients. </w:t>
      </w:r>
      <w:proofErr w:type="spellStart"/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Eur</w:t>
      </w:r>
      <w:proofErr w:type="spellEnd"/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J Cancer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49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1898-1904 [PMID: 23490648]</w:t>
      </w:r>
    </w:p>
    <w:p w14:paraId="70DA121F" w14:textId="77777777" w:rsidR="00DD0514" w:rsidRPr="00DD0514" w:rsidRDefault="00DD0514" w:rsidP="00DD051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2 </w:t>
      </w:r>
      <w:proofErr w:type="spellStart"/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Wagstaff</w:t>
      </w:r>
      <w:proofErr w:type="spellEnd"/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J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Jones R, Hawkins R,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Porfiri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Pickering L,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Bahl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Brown J, Buchan S. Treatment patterns and clinical outcomes in patients with renal cell carcinoma in the UK: insights from the RECCORD registry. </w:t>
      </w:r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Ann </w:t>
      </w:r>
      <w:proofErr w:type="spellStart"/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Oncol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2016; </w:t>
      </w:r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27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159-165 [PMID: 26489444 DOI: 10.1093/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annonc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/mdv504]</w:t>
      </w:r>
    </w:p>
    <w:p w14:paraId="78F62BCA" w14:textId="77777777" w:rsidR="00DD0514" w:rsidRPr="00DD0514" w:rsidRDefault="00DD0514" w:rsidP="00DD051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3 </w:t>
      </w:r>
      <w:proofErr w:type="spellStart"/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Motzer</w:t>
      </w:r>
      <w:proofErr w:type="spellEnd"/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RJ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Escudier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B, McDermott DF, George S, Hammers HJ, Srinivas S,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Tykodi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SS,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Sosman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JA,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Procopio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Plimack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ER, Castellano D, Choueiri TK, Gurney H,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Donskov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F, Bono P,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Wagstaff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Gauler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TC, Ueda T, Tomita Y, Schutz FA,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Kollmannsberger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Larkin J,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Ravaud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Simon JS, Xu LA, Waxman IM, Sharma P.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Nivolumab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versus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Everolimus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in Advanced Renal-Cell Carcinoma. </w:t>
      </w:r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N </w:t>
      </w:r>
      <w:proofErr w:type="spellStart"/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Engl</w:t>
      </w:r>
      <w:proofErr w:type="spellEnd"/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J Med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2015; </w:t>
      </w:r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373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1803-1813 [PMID: 26406148 DOI: 10.1056/NEJMoa1510665]</w:t>
      </w:r>
    </w:p>
    <w:p w14:paraId="16FAE03E" w14:textId="77777777" w:rsidR="00DD0514" w:rsidRPr="00DD0514" w:rsidRDefault="00DD0514" w:rsidP="00DD051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4 </w:t>
      </w:r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Choueiri TK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Escudier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B, Powles T, Mainwaring PN,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Rini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BI,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Donskov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F, Hammers H, Hutson TE, Lee JL,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Peltola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K, Roth BJ,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Bjarnason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GA,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Géczi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Keam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Maroto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Heng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DY,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Schmidinger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Kantoff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PW,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Borgman-Hagey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Hessel C,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Scheffold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Schwab GM,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Tannir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NM,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Motzer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RJ. </w:t>
      </w:r>
      <w:proofErr w:type="spellStart"/>
      <w:proofErr w:type="gram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Cabozantinib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versus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Everolimus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in Advanced Renal-Cell Carcinoma.</w:t>
      </w:r>
      <w:proofErr w:type="gram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N </w:t>
      </w:r>
      <w:proofErr w:type="spellStart"/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Engl</w:t>
      </w:r>
      <w:proofErr w:type="spellEnd"/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J Med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2015; </w:t>
      </w:r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373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1814-1823 [PMID: 26406150 DOI: 10.1056/NEJMoa1510016]</w:t>
      </w:r>
    </w:p>
    <w:p w14:paraId="317967BE" w14:textId="77777777" w:rsidR="00DD0514" w:rsidRPr="00DD0514" w:rsidRDefault="00DD0514" w:rsidP="00DD051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5 </w:t>
      </w:r>
      <w:proofErr w:type="spellStart"/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Motzer</w:t>
      </w:r>
      <w:proofErr w:type="spellEnd"/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RJ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Hutson TE, Glen H, Michaelson MD, Molina A,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Eisen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Jassem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Zolnierek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Maroto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JP,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Mellado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Melichar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Tomasek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Kremer A, Kim HJ, Wood K,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Dutcus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Larkin J.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Lenvatinib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everolimus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and the combination in patients with metastatic renal cell carcinoma: a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randomised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phase 2, open-label,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multicentre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trial. </w:t>
      </w:r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Lancet </w:t>
      </w:r>
      <w:proofErr w:type="spellStart"/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Oncol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2015; </w:t>
      </w:r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16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1473-1482 [PMID: 26482279 DOI: 10.1016/S1470-2045(15)00290-9]</w:t>
      </w:r>
    </w:p>
    <w:p w14:paraId="198DA6DD" w14:textId="77777777" w:rsidR="00DD0514" w:rsidRPr="00DD0514" w:rsidRDefault="00DD0514" w:rsidP="00DD051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6 </w:t>
      </w:r>
      <w:proofErr w:type="spellStart"/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Escudier</w:t>
      </w:r>
      <w:proofErr w:type="spellEnd"/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B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Michaelson MD,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Motzer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RJ, Hutson TE, Clark JI, Lim HY,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Porfiri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Zalewski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Kannourakis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Staehler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Tarazi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Rosbrook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Cisar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Hariharan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Kim S,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Rini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BI.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Axitinib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versus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sorafenib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in advanced renal cell carcinoma: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subanalyses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by prior therapy from a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randomised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phase III trial. </w:t>
      </w:r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Br J Cancer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2014; </w:t>
      </w:r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110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2821-2828 [PMID: 24823696 DOI: 10.1038/bjc.2014.244]</w:t>
      </w:r>
    </w:p>
    <w:p w14:paraId="6A4720A8" w14:textId="77777777" w:rsidR="00DD0514" w:rsidRPr="00DD0514" w:rsidRDefault="00DD0514" w:rsidP="00DD051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7 </w:t>
      </w:r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Modi PK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Farber NJ, Singer EA. Precision Oncology: Identifying Predictive Biomarkers for the Treatment of Metastatic Renal Cell Carcinoma. </w:t>
      </w:r>
      <w:proofErr w:type="spellStart"/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Transl</w:t>
      </w:r>
      <w:proofErr w:type="spellEnd"/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Cancer Res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2016; </w:t>
      </w:r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5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S76-S80 [PMID: 27540511 DOI: 10.21037/tcr.2016.06.05]</w:t>
      </w:r>
    </w:p>
    <w:p w14:paraId="45BCCBF6" w14:textId="77777777" w:rsidR="00DD0514" w:rsidRPr="00DD0514" w:rsidRDefault="00DD0514" w:rsidP="00DD051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8 </w:t>
      </w:r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Sacré A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Barthélémy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Korenbaum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Burgy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Wolter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Dumez H,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Lerut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Loyson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Joniau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Oyen R,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Debruyne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PR,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Schöffski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Beuselinck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B. Prognostic factors in second-line targeted therapy for metastatic clear-cell renal cell carcinoma after progression on an anti-vascular endothelial growth factor receptor tyrosine kinase inhibitor. </w:t>
      </w:r>
      <w:proofErr w:type="spellStart"/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Acta</w:t>
      </w:r>
      <w:proofErr w:type="spellEnd"/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Oncol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2016; </w:t>
      </w:r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55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329-340 [PMID: 26494607 DOI: 10.3109/0284186X.2015.1099731]</w:t>
      </w:r>
    </w:p>
    <w:p w14:paraId="76E96AAA" w14:textId="77777777" w:rsidR="00DD0514" w:rsidRPr="00DD0514" w:rsidRDefault="00DD0514" w:rsidP="00DD051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9 </w:t>
      </w:r>
      <w:proofErr w:type="spellStart"/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Staehler</w:t>
      </w:r>
      <w:proofErr w:type="spellEnd"/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M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Haseke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Stadler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Zilinberg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Nordhaus C,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Nuhn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Khoder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WY, Karl A,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Stief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CG. The growth rate of large renal masses opposes active surveillance. </w:t>
      </w:r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BJU </w:t>
      </w:r>
      <w:proofErr w:type="spellStart"/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Int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2010; </w:t>
      </w:r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105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928-931 [PMID: 19751265 DOI: 10.1111/j.1464-410X.2009.08840.x]</w:t>
      </w:r>
    </w:p>
    <w:p w14:paraId="73ADF4D7" w14:textId="77777777" w:rsidR="00DD0514" w:rsidRPr="00DD0514" w:rsidRDefault="00DD0514" w:rsidP="00DD051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10 </w:t>
      </w:r>
      <w:proofErr w:type="spellStart"/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Iacovelli</w:t>
      </w:r>
      <w:proofErr w:type="spellEnd"/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R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Lanoy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Albiges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Escudier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B.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Tumour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burden is an independent prognostic factor in metastatic renal cell carcinoma. </w:t>
      </w:r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BJU </w:t>
      </w:r>
      <w:proofErr w:type="spellStart"/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Int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2012; </w:t>
      </w:r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110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1747-1753 [PMID: 23106948 DOI: 10.1111/j.1464-410X.2012.11518.x]</w:t>
      </w:r>
    </w:p>
    <w:p w14:paraId="7396CA52" w14:textId="77777777" w:rsidR="00DD0514" w:rsidRPr="00DD0514" w:rsidRDefault="00DD0514" w:rsidP="00DD051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11 </w:t>
      </w:r>
      <w:proofErr w:type="spellStart"/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Basappa</w:t>
      </w:r>
      <w:proofErr w:type="spellEnd"/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NS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Elson P,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Golshayan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AR, Wood L, Garcia JA,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Dreicer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Rini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BI. The impact of tumor burden characteristics in patients with metastatic renal cell carcinoma treated with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sunitinib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 </w:t>
      </w:r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Cancer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2011; </w:t>
      </w:r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117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1183-1189 [PMID: 20960527 DOI: 10.1002/cncr.25713]</w:t>
      </w:r>
    </w:p>
    <w:p w14:paraId="7ADCB37B" w14:textId="2CF5E102" w:rsidR="00DD0514" w:rsidRPr="00DD0514" w:rsidRDefault="00DD0514" w:rsidP="00DD051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12 </w:t>
      </w:r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Stein WD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Huang H,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Menefee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Edgerly M,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Kotz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H, Dwyer A, Yang J, Bates SE. Other paradigms: growth rate constants and tumor burden determined using computed tomography data correlate strongly with the overall survival of patients with renal cell carcinoma. </w:t>
      </w:r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Cancer J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="00EE7282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2009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; </w:t>
      </w:r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15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441-447 [PMID: 19826366 DOI: 10.1097/PPO.0b013e3181be1b90]</w:t>
      </w:r>
    </w:p>
    <w:p w14:paraId="7FDE7416" w14:textId="77777777" w:rsidR="00DD0514" w:rsidRPr="00DD0514" w:rsidRDefault="00DD0514" w:rsidP="00DD051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13 </w:t>
      </w:r>
      <w:proofErr w:type="spellStart"/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Stukalin</w:t>
      </w:r>
      <w:proofErr w:type="spellEnd"/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I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Alimohamed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Heng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DY. Contemporary Treatment of Metastatic Renal Cell Carcinoma. </w:t>
      </w:r>
      <w:proofErr w:type="spellStart"/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Oncol</w:t>
      </w:r>
      <w:proofErr w:type="spellEnd"/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Rev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2016; </w:t>
      </w:r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10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295 [PMID: 27471582 DOI: 10.4081/oncol.2016.295]</w:t>
      </w:r>
    </w:p>
    <w:p w14:paraId="14185A52" w14:textId="77777777" w:rsidR="00DD0514" w:rsidRPr="00DD0514" w:rsidRDefault="00DD0514" w:rsidP="00DD051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14 </w:t>
      </w:r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Malouf GG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Flippot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Khayat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D. Therapeutic Strategies for Patients With Metastatic Renal Cell Carcinoma in Whom First-Line Vascular Endothelial Growth Factor Receptor-Directed Therapies Fail. </w:t>
      </w:r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Oncol</w:t>
      </w:r>
      <w:proofErr w:type="spellEnd"/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Pract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2016; </w:t>
      </w:r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12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412-420 [PMID: 27170687 DOI: 10.1200/JOP.2016.011809]</w:t>
      </w:r>
    </w:p>
    <w:p w14:paraId="054DA5AE" w14:textId="77777777" w:rsidR="00DD0514" w:rsidRPr="00DD0514" w:rsidRDefault="00DD0514" w:rsidP="00DD051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15 </w:t>
      </w:r>
      <w:proofErr w:type="spellStart"/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Ratain</w:t>
      </w:r>
      <w:proofErr w:type="spellEnd"/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MJ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Eckhardt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SG. Phase II studies of modern drugs directed against new targets: if you are fazed, too, then resist RECIST. </w:t>
      </w:r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Oncol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2004; </w:t>
      </w:r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22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4442-4445 [PMID: 15483011 DOI: 10.1200/JCO.2004.07.960]</w:t>
      </w:r>
    </w:p>
    <w:p w14:paraId="0ED9A5EF" w14:textId="77777777" w:rsidR="00DD0514" w:rsidRPr="00DD0514" w:rsidRDefault="00DD0514" w:rsidP="00DD051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16 </w:t>
      </w:r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Benjamin RS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Choi H,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Macapinlac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HA, Burgess MA, Patel SR, Chen LL,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Podoloff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DA,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Charnsangavej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C.</w:t>
      </w:r>
      <w:proofErr w:type="gram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We should desist using RECIST, at least in GIST. </w:t>
      </w:r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Oncol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2007; </w:t>
      </w:r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25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1760-1764 [PMID: 17470866 DOI: 10.1200/JCO.2006.07.3411]</w:t>
      </w:r>
    </w:p>
    <w:p w14:paraId="4EBF6B42" w14:textId="77777777" w:rsidR="00DD0514" w:rsidRPr="00DD0514" w:rsidRDefault="00DD0514" w:rsidP="00DD051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17 </w:t>
      </w:r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Maitland ML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Schwartz LH,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Ratain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MJ. Time to tumor growth: a model end point and new metric system for oncology clinical trials. </w:t>
      </w:r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Oncol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31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2070-2072 [PMID: 23650409 DOI: 10.1200/JCO.2013.49.3635]</w:t>
      </w:r>
    </w:p>
    <w:p w14:paraId="2082ADFA" w14:textId="77777777" w:rsidR="00DD0514" w:rsidRPr="00DD0514" w:rsidRDefault="00DD0514" w:rsidP="00DD051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18 </w:t>
      </w:r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Nathan PD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Vinayan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Stott D,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Juttla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Goh V. CT response assessment combining reduction in both size and arterial phase density correlates with time to progression in metastatic renal cancer patients treated with targeted therapies. </w:t>
      </w:r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Cancer </w:t>
      </w:r>
      <w:proofErr w:type="spellStart"/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Biol</w:t>
      </w:r>
      <w:proofErr w:type="spellEnd"/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Ther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2010; </w:t>
      </w:r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9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15-19 [PMID: 20009542 DOI: 10.4161/cbt.9.1.10340]</w:t>
      </w:r>
    </w:p>
    <w:p w14:paraId="505911FB" w14:textId="77777777" w:rsidR="00DD0514" w:rsidRPr="00DD0514" w:rsidRDefault="00DD0514" w:rsidP="00DD051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19 </w:t>
      </w:r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Le Tourneau C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Servois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V,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Diéras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V,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Ollivier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Tresca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Paoletti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X.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Tumour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growth kinetics assessment: added value to RECIST in cancer patients treated with molecularly targeted agents. </w:t>
      </w:r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Br J Cancer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2012; </w:t>
      </w:r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106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854-857 [PMID: 22281665 DOI: 10.1038/bjc.2012.10]</w:t>
      </w:r>
    </w:p>
    <w:p w14:paraId="0413B2F0" w14:textId="77777777" w:rsidR="00DD0514" w:rsidRPr="00DD0514" w:rsidRDefault="00DD0514" w:rsidP="00DD051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20 </w:t>
      </w:r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Gomez-Roca C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Koscielny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Ribrag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V,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Dromain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Marzouk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Bidault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Bahleda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Ferté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Massard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Soria JC. </w:t>
      </w:r>
      <w:proofErr w:type="spellStart"/>
      <w:proofErr w:type="gram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Tumour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growth rates and RECIST criteria in early drug development.</w:t>
      </w:r>
      <w:proofErr w:type="gram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Eur</w:t>
      </w:r>
      <w:proofErr w:type="spellEnd"/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J Cancer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2011; </w:t>
      </w:r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47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2512-2516 [PMID: 21763126 DOI: 10.1016/j.ejca.2011.06.012]</w:t>
      </w:r>
    </w:p>
    <w:p w14:paraId="02C4521F" w14:textId="77777777" w:rsidR="00DD0514" w:rsidRPr="00DD0514" w:rsidRDefault="00DD0514" w:rsidP="00DD051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21 </w:t>
      </w:r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Goh V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Ganeshan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B, Nathan P,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Juttla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JK,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Vinayan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Miles KA. Assessment of response to tyrosine kinase inhibitors in metastatic renal cell cancer: CT texture as a predictive biomarker. </w:t>
      </w:r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Radiology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2011; </w:t>
      </w:r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261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165-171 [PMID: 21813743 DOI: 10.1148/radiol.11110264]</w:t>
      </w:r>
    </w:p>
    <w:p w14:paraId="408F13D4" w14:textId="11C9F09D" w:rsidR="00DD0514" w:rsidRPr="00DD0514" w:rsidRDefault="00DD0514" w:rsidP="00DD051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</w:t>
      </w:r>
      <w:r w:rsidR="00EE7282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2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Frampas</w:t>
      </w:r>
      <w:proofErr w:type="spellEnd"/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E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Lassau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N, Zappa M,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Vullierme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MP,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Koscielny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Vilgrain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V. Advanced Hepatocellular Carcinoma: early evaluation of response to targeted therapy and prognostic value of Perfusion CT and Dynamic Contrast Enhanced-Ultrasound. Preliminary results. </w:t>
      </w:r>
      <w:proofErr w:type="spellStart"/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Eur</w:t>
      </w:r>
      <w:proofErr w:type="spellEnd"/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J </w:t>
      </w:r>
      <w:proofErr w:type="spellStart"/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Radiol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82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e205-e211 [PMID: 23273822 DOI: 10.1016/j.ejrad.2012.12.004]</w:t>
      </w:r>
    </w:p>
    <w:p w14:paraId="4BF87812" w14:textId="79014E76" w:rsidR="00DD0514" w:rsidRPr="00DD0514" w:rsidRDefault="00DD0514" w:rsidP="00DD051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2</w:t>
      </w:r>
      <w:r w:rsidR="00EE7282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3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Milella</w:t>
      </w:r>
      <w:proofErr w:type="spellEnd"/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M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 Optimizing clinical benefit</w:t>
      </w:r>
      <w:proofErr w:type="gram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with targeted treatment in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mRCC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"Tumor growth rate" as an alternative clinical endpoint. </w:t>
      </w:r>
      <w:proofErr w:type="spellStart"/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Crit</w:t>
      </w:r>
      <w:proofErr w:type="spellEnd"/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Rev </w:t>
      </w:r>
      <w:proofErr w:type="spellStart"/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Oncol</w:t>
      </w:r>
      <w:proofErr w:type="spellEnd"/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Hematol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2016; </w:t>
      </w:r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102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73-81 [PMID: 27129438 DOI: 10.1016/j.critrevonc.2016.03.019]</w:t>
      </w:r>
    </w:p>
    <w:p w14:paraId="16232308" w14:textId="1493BAE8" w:rsidR="00DD0514" w:rsidRPr="00DD0514" w:rsidRDefault="00DD0514" w:rsidP="00DD051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</w:t>
      </w:r>
      <w:r w:rsidR="00EE7282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4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r w:rsidR="00EE7282" w:rsidRPr="00EE728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[No authors listed]</w:t>
      </w:r>
      <w:r w:rsidR="00EE7282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 xml:space="preserve">. 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Tumor Growth Rate (TGR) as an Indicator of Antitumor Activity With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Lanreotide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Autogel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/Depot (LAN) Versus Placebo (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Pbo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) in Intestinal/Pancreatic NET: Post Hoc Analysis of CLARINET Data. </w:t>
      </w:r>
      <w:proofErr w:type="spellStart"/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Adv</w:t>
      </w:r>
      <w:proofErr w:type="spellEnd"/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Hematol</w:t>
      </w:r>
      <w:proofErr w:type="spellEnd"/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Oncol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2016; </w:t>
      </w:r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14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6-7 [PMID: 27168103]</w:t>
      </w:r>
    </w:p>
    <w:p w14:paraId="5D03B13D" w14:textId="66BD961A" w:rsidR="00DD0514" w:rsidRPr="00DD0514" w:rsidRDefault="00DD0514" w:rsidP="00DD051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</w:t>
      </w:r>
      <w:r w:rsidR="00EE7282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5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Ferté</w:t>
      </w:r>
      <w:proofErr w:type="spellEnd"/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C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Koscielny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Albiges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Rocher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L, Soria JC,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Iacovelli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Loriot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Y,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Fizazi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K,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Escudier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B. Tumor growth rate provides useful information to evaluate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sorafenib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and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everolimus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treatment in metastatic renal cell carcinoma patients: an integrated analysis of the TARGET and RECORD phase 3 trial data. </w:t>
      </w:r>
      <w:proofErr w:type="spellStart"/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Eur</w:t>
      </w:r>
      <w:proofErr w:type="spellEnd"/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Urol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2014; </w:t>
      </w:r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65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713-720 [PMID: 23993162 DOI: 10.1016/j.eururo.2013.08.010]</w:t>
      </w:r>
    </w:p>
    <w:p w14:paraId="71B34800" w14:textId="7DF6D373" w:rsidR="00DD0514" w:rsidRPr="00DD0514" w:rsidRDefault="00DD0514" w:rsidP="00DD051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</w:t>
      </w:r>
      <w:r w:rsidR="00EE7282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6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Burotto</w:t>
      </w:r>
      <w:proofErr w:type="spellEnd"/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M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Wilkerson J, Stein W,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Motzer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R, Bates S,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Fojo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T. Continuing a cancer treatment despite tumor growth may be valuable: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sunitinib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in renal cell carcinoma as example. </w:t>
      </w:r>
      <w:proofErr w:type="spellStart"/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PLoS</w:t>
      </w:r>
      <w:proofErr w:type="spellEnd"/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One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2014; </w:t>
      </w:r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9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e96316 [PMID: 24796484 DOI: 10.1371/journal.pone.0096316]</w:t>
      </w:r>
    </w:p>
    <w:p w14:paraId="05DE15D9" w14:textId="7DB97D6A" w:rsidR="00DD0514" w:rsidRPr="00DD0514" w:rsidRDefault="00DD0514" w:rsidP="00DD051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</w:t>
      </w:r>
      <w:r w:rsidR="00EE7282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7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Stein WD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Yang J, Bates SE,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Fojo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T. Bevacizumab reduces the growth rate constants of renal carcinomas: a novel algorithm suggests early discontinuation of bevacizumab resulted in a lack of survival advantage. </w:t>
      </w:r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Oncologist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2008; </w:t>
      </w:r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13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1055-1062 [PMID: 18827177 DOI: 10.1634/theoncologist.2008-0016]</w:t>
      </w:r>
    </w:p>
    <w:p w14:paraId="33F8E440" w14:textId="2982FDCE" w:rsidR="00DD0514" w:rsidRPr="00DD0514" w:rsidRDefault="00DD0514" w:rsidP="00DD051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</w:t>
      </w:r>
      <w:r w:rsidR="00EE7282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8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Zhang J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Kang SK, Wang L,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Touijer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Hricak</w:t>
      </w:r>
      <w:proofErr w:type="spellEnd"/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H. Distribution of renal tumor growth rates determined by using serial volumetric CT measurements. </w:t>
      </w:r>
      <w:r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Radiology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2009; </w:t>
      </w:r>
      <w:r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250</w:t>
      </w:r>
      <w:r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137-144 [PMID: 19092093 DOI: 10.1148/radiol.2501071712]</w:t>
      </w:r>
    </w:p>
    <w:p w14:paraId="6E592A7D" w14:textId="1A4B096D" w:rsidR="00DD0514" w:rsidRPr="00DD0514" w:rsidRDefault="00EE7282" w:rsidP="00DD051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29</w:t>
      </w:r>
      <w:r w:rsidR="00DD0514"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="00DD0514"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Iacovelli</w:t>
      </w:r>
      <w:proofErr w:type="spellEnd"/>
      <w:r w:rsidR="00DD0514"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R</w:t>
      </w:r>
      <w:r w:rsidR="00DD0514"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="00DD0514"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Massari</w:t>
      </w:r>
      <w:proofErr w:type="spellEnd"/>
      <w:r w:rsidR="00DD0514"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F, </w:t>
      </w:r>
      <w:proofErr w:type="spellStart"/>
      <w:r w:rsidR="00DD0514"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Albiges</w:t>
      </w:r>
      <w:proofErr w:type="spellEnd"/>
      <w:r w:rsidR="00DD0514"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L, </w:t>
      </w:r>
      <w:proofErr w:type="spellStart"/>
      <w:r w:rsidR="00DD0514"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Loriot</w:t>
      </w:r>
      <w:proofErr w:type="spellEnd"/>
      <w:r w:rsidR="00DD0514"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Y, </w:t>
      </w:r>
      <w:proofErr w:type="spellStart"/>
      <w:r w:rsidR="00DD0514"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Massard</w:t>
      </w:r>
      <w:proofErr w:type="spellEnd"/>
      <w:r w:rsidR="00DD0514"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</w:t>
      </w:r>
      <w:proofErr w:type="spellStart"/>
      <w:r w:rsidR="00DD0514"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Fizazi</w:t>
      </w:r>
      <w:proofErr w:type="spellEnd"/>
      <w:r w:rsidR="00DD0514"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K, </w:t>
      </w:r>
      <w:proofErr w:type="spellStart"/>
      <w:r w:rsidR="00DD0514"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Escudier</w:t>
      </w:r>
      <w:proofErr w:type="spellEnd"/>
      <w:r w:rsidR="00DD0514"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B. Evidence and Clinical Relevance of Tumor Flare in Patients Who Discontinue Tyrosine Kinase Inhibitors for Treatment of Metastatic Renal Cell Carcinoma. </w:t>
      </w:r>
      <w:proofErr w:type="spellStart"/>
      <w:r w:rsidR="00DD0514"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Eur</w:t>
      </w:r>
      <w:proofErr w:type="spellEnd"/>
      <w:r w:rsidR="00DD0514"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="00DD0514" w:rsidRPr="00DD0514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Urol</w:t>
      </w:r>
      <w:proofErr w:type="spellEnd"/>
      <w:r w:rsidR="00DD0514"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2015; </w:t>
      </w:r>
      <w:r w:rsidR="00DD0514" w:rsidRPr="00DD0514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68</w:t>
      </w:r>
      <w:r w:rsidR="00DD0514" w:rsidRPr="00DD0514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154-160 [PMID: 25466943 DOI: 10.1016/j.eururo.2014.10.034]</w:t>
      </w:r>
    </w:p>
    <w:p w14:paraId="40FBE2A5" w14:textId="77777777" w:rsidR="00BA2963" w:rsidRDefault="00BA2963" w:rsidP="00BA2963">
      <w:pPr>
        <w:spacing w:after="0" w:line="360" w:lineRule="auto"/>
        <w:jc w:val="right"/>
        <w:rPr>
          <w:rFonts w:ascii="Book Antiqua" w:hAnsi="Book Antiqua"/>
          <w:b/>
          <w:lang w:eastAsia="zh-CN"/>
        </w:rPr>
      </w:pPr>
    </w:p>
    <w:p w14:paraId="7A02F60C" w14:textId="54B11F97" w:rsidR="00BA2963" w:rsidRPr="001E75B0" w:rsidRDefault="00BA2963" w:rsidP="001E75B0">
      <w:pPr>
        <w:wordWrap w:val="0"/>
        <w:spacing w:after="0"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1E75B0">
        <w:rPr>
          <w:rFonts w:ascii="Book Antiqua" w:hAnsi="Book Antiqua"/>
          <w:b/>
          <w:sz w:val="24"/>
          <w:szCs w:val="24"/>
        </w:rPr>
        <w:t>P- Reviewer:</w:t>
      </w:r>
      <w:r w:rsidR="001E75B0" w:rsidRPr="001E75B0">
        <w:rPr>
          <w:rFonts w:ascii="Book Antiqua" w:hAnsi="Book Antiqua"/>
          <w:sz w:val="24"/>
          <w:szCs w:val="24"/>
          <w:lang w:eastAsia="zh-CN"/>
        </w:rPr>
        <w:t xml:space="preserve"> Desai</w:t>
      </w:r>
      <w:r w:rsidR="001E75B0" w:rsidRPr="001E75B0">
        <w:rPr>
          <w:rFonts w:ascii="Book Antiqua" w:hAnsi="Book Antiqua" w:hint="eastAsia"/>
          <w:sz w:val="24"/>
          <w:szCs w:val="24"/>
          <w:lang w:eastAsia="zh-CN"/>
        </w:rPr>
        <w:t xml:space="preserve"> DJ, </w:t>
      </w:r>
      <w:r w:rsidR="001E75B0">
        <w:rPr>
          <w:rFonts w:ascii="Book Antiqua" w:hAnsi="Book Antiqua"/>
          <w:sz w:val="24"/>
          <w:szCs w:val="24"/>
          <w:lang w:eastAsia="zh-CN"/>
        </w:rPr>
        <w:t>Iqbal</w:t>
      </w:r>
      <w:r w:rsidR="001E75B0" w:rsidRPr="001E75B0">
        <w:rPr>
          <w:rFonts w:ascii="Book Antiqua" w:hAnsi="Book Antiqua"/>
          <w:sz w:val="24"/>
          <w:szCs w:val="24"/>
          <w:lang w:eastAsia="zh-CN"/>
        </w:rPr>
        <w:t xml:space="preserve"> M</w:t>
      </w:r>
      <w:r w:rsidR="001E75B0" w:rsidRPr="001E75B0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1E75B0">
        <w:rPr>
          <w:rFonts w:ascii="Book Antiqua" w:hAnsi="Book Antiqua"/>
          <w:b/>
          <w:sz w:val="24"/>
          <w:szCs w:val="24"/>
        </w:rPr>
        <w:t>S- Editor:</w:t>
      </w:r>
      <w:r w:rsidRPr="001E75B0">
        <w:rPr>
          <w:rFonts w:ascii="Book Antiqua" w:hAnsi="Book Antiqua"/>
          <w:sz w:val="24"/>
          <w:szCs w:val="24"/>
        </w:rPr>
        <w:t xml:space="preserve"> </w:t>
      </w:r>
      <w:r w:rsidR="001E75B0" w:rsidRPr="001E75B0">
        <w:rPr>
          <w:rFonts w:ascii="Book Antiqua" w:hAnsi="Book Antiqua" w:hint="eastAsia"/>
          <w:sz w:val="24"/>
          <w:szCs w:val="24"/>
          <w:lang w:eastAsia="zh-CN"/>
        </w:rPr>
        <w:t xml:space="preserve">Song XX </w:t>
      </w:r>
      <w:r w:rsidRPr="001E75B0">
        <w:rPr>
          <w:rFonts w:ascii="Book Antiqua" w:hAnsi="Book Antiqua"/>
          <w:b/>
          <w:sz w:val="24"/>
          <w:szCs w:val="24"/>
        </w:rPr>
        <w:t>L- Editor:</w:t>
      </w:r>
      <w:r w:rsidRPr="001E75B0">
        <w:rPr>
          <w:rFonts w:ascii="Book Antiqua" w:hAnsi="Book Antiqua"/>
          <w:sz w:val="24"/>
          <w:szCs w:val="24"/>
        </w:rPr>
        <w:t xml:space="preserve"> </w:t>
      </w:r>
      <w:r w:rsidRPr="001E75B0">
        <w:rPr>
          <w:rFonts w:ascii="Book Antiqua" w:hAnsi="Book Antiqua"/>
          <w:b/>
          <w:sz w:val="24"/>
          <w:szCs w:val="24"/>
        </w:rPr>
        <w:t>E- Editor:</w:t>
      </w:r>
    </w:p>
    <w:p w14:paraId="6AC27D88" w14:textId="77777777" w:rsidR="000E06DB" w:rsidRDefault="000E06DB" w:rsidP="00BA2963">
      <w:pPr>
        <w:spacing w:after="0" w:line="360" w:lineRule="auto"/>
        <w:rPr>
          <w:rFonts w:ascii="Book Antiqua" w:hAnsi="Book Antiqua"/>
          <w:b/>
          <w:sz w:val="24"/>
          <w:szCs w:val="24"/>
          <w:lang w:eastAsia="zh-CN"/>
        </w:rPr>
      </w:pPr>
    </w:p>
    <w:p w14:paraId="5E322E24" w14:textId="77777777" w:rsidR="00BA2963" w:rsidRDefault="00BA2963" w:rsidP="00BA2963">
      <w:pPr>
        <w:spacing w:after="0" w:line="360" w:lineRule="auto"/>
        <w:rPr>
          <w:rFonts w:ascii="Book Antiqua" w:hAnsi="Book Antiqua"/>
          <w:b/>
          <w:sz w:val="24"/>
          <w:szCs w:val="24"/>
          <w:lang w:eastAsia="zh-CN"/>
        </w:rPr>
      </w:pPr>
    </w:p>
    <w:p w14:paraId="46210926" w14:textId="77777777" w:rsidR="00BA2963" w:rsidRDefault="00BA2963" w:rsidP="00BA2963">
      <w:pPr>
        <w:spacing w:after="0" w:line="360" w:lineRule="auto"/>
        <w:rPr>
          <w:rFonts w:ascii="Book Antiqua" w:hAnsi="Book Antiqua"/>
          <w:b/>
          <w:sz w:val="24"/>
          <w:szCs w:val="24"/>
          <w:lang w:eastAsia="zh-CN"/>
        </w:rPr>
      </w:pPr>
    </w:p>
    <w:p w14:paraId="7C68CA1F" w14:textId="77777777" w:rsidR="00BA2963" w:rsidRDefault="00BA2963" w:rsidP="00BA2963">
      <w:pPr>
        <w:spacing w:after="0" w:line="360" w:lineRule="auto"/>
        <w:rPr>
          <w:rFonts w:ascii="Book Antiqua" w:hAnsi="Book Antiqua"/>
          <w:b/>
          <w:sz w:val="24"/>
          <w:szCs w:val="24"/>
          <w:lang w:eastAsia="zh-CN"/>
        </w:rPr>
      </w:pPr>
    </w:p>
    <w:p w14:paraId="5B1F06DD" w14:textId="77777777" w:rsidR="00BA2963" w:rsidRDefault="00BA2963" w:rsidP="00BA2963">
      <w:pPr>
        <w:spacing w:after="0" w:line="360" w:lineRule="auto"/>
        <w:rPr>
          <w:rFonts w:ascii="Book Antiqua" w:hAnsi="Book Antiqua"/>
          <w:b/>
          <w:sz w:val="24"/>
          <w:szCs w:val="24"/>
          <w:lang w:eastAsia="zh-CN"/>
        </w:rPr>
      </w:pPr>
    </w:p>
    <w:p w14:paraId="50573303" w14:textId="77777777" w:rsidR="00BA2963" w:rsidRDefault="00BA2963" w:rsidP="00BA2963">
      <w:pPr>
        <w:spacing w:after="0" w:line="360" w:lineRule="auto"/>
        <w:rPr>
          <w:rFonts w:ascii="Book Antiqua" w:hAnsi="Book Antiqua"/>
          <w:b/>
          <w:sz w:val="24"/>
          <w:szCs w:val="24"/>
          <w:lang w:eastAsia="zh-CN"/>
        </w:rPr>
      </w:pPr>
    </w:p>
    <w:p w14:paraId="3C4CD50E" w14:textId="77777777" w:rsidR="00BA2963" w:rsidRDefault="00BA2963" w:rsidP="00BA2963">
      <w:pPr>
        <w:spacing w:after="0" w:line="360" w:lineRule="auto"/>
        <w:rPr>
          <w:rFonts w:ascii="Book Antiqua" w:hAnsi="Book Antiqua"/>
          <w:b/>
          <w:sz w:val="24"/>
          <w:szCs w:val="24"/>
          <w:lang w:eastAsia="zh-CN"/>
        </w:rPr>
      </w:pPr>
    </w:p>
    <w:p w14:paraId="6A964131" w14:textId="77777777" w:rsidR="00BA2963" w:rsidRDefault="00BA2963" w:rsidP="00BA2963">
      <w:pPr>
        <w:spacing w:after="0" w:line="360" w:lineRule="auto"/>
        <w:rPr>
          <w:rFonts w:ascii="Book Antiqua" w:hAnsi="Book Antiqua"/>
          <w:b/>
          <w:sz w:val="24"/>
          <w:szCs w:val="24"/>
          <w:lang w:eastAsia="zh-CN"/>
        </w:rPr>
      </w:pPr>
    </w:p>
    <w:p w14:paraId="214FDD1A" w14:textId="77777777" w:rsidR="00BA2963" w:rsidRDefault="00BA2963" w:rsidP="00BA2963">
      <w:pPr>
        <w:spacing w:after="0" w:line="360" w:lineRule="auto"/>
        <w:rPr>
          <w:rFonts w:ascii="Book Antiqua" w:hAnsi="Book Antiqua"/>
          <w:b/>
          <w:sz w:val="24"/>
          <w:szCs w:val="24"/>
          <w:lang w:eastAsia="zh-CN"/>
        </w:rPr>
      </w:pPr>
    </w:p>
    <w:p w14:paraId="0FE2024B" w14:textId="77777777" w:rsidR="00BA2963" w:rsidRDefault="00BA2963" w:rsidP="00BA2963">
      <w:pPr>
        <w:spacing w:after="0" w:line="360" w:lineRule="auto"/>
        <w:rPr>
          <w:rFonts w:ascii="Book Antiqua" w:hAnsi="Book Antiqua"/>
          <w:b/>
          <w:sz w:val="24"/>
          <w:szCs w:val="24"/>
          <w:lang w:eastAsia="zh-CN"/>
        </w:rPr>
      </w:pPr>
    </w:p>
    <w:p w14:paraId="6C7EB489" w14:textId="77777777" w:rsidR="00BA2963" w:rsidRDefault="00BA2963" w:rsidP="00BA2963">
      <w:pPr>
        <w:spacing w:after="0" w:line="360" w:lineRule="auto"/>
        <w:rPr>
          <w:rFonts w:ascii="Book Antiqua" w:hAnsi="Book Antiqua"/>
          <w:b/>
          <w:sz w:val="24"/>
          <w:szCs w:val="24"/>
          <w:lang w:eastAsia="zh-CN"/>
        </w:rPr>
      </w:pPr>
    </w:p>
    <w:p w14:paraId="53E0DBF0" w14:textId="77777777" w:rsidR="00BA2963" w:rsidRDefault="00BA2963" w:rsidP="00BA2963">
      <w:pPr>
        <w:spacing w:after="0" w:line="360" w:lineRule="auto"/>
        <w:rPr>
          <w:rFonts w:ascii="Book Antiqua" w:hAnsi="Book Antiqua"/>
          <w:b/>
          <w:sz w:val="24"/>
          <w:szCs w:val="24"/>
          <w:lang w:eastAsia="zh-CN"/>
        </w:rPr>
      </w:pPr>
    </w:p>
    <w:p w14:paraId="74625CE0" w14:textId="77777777" w:rsidR="00BA2963" w:rsidRDefault="00BA2963" w:rsidP="00BA2963">
      <w:pPr>
        <w:spacing w:after="0" w:line="360" w:lineRule="auto"/>
        <w:rPr>
          <w:rFonts w:ascii="Book Antiqua" w:hAnsi="Book Antiqua"/>
          <w:b/>
          <w:sz w:val="24"/>
          <w:szCs w:val="24"/>
          <w:lang w:eastAsia="zh-CN"/>
        </w:rPr>
      </w:pPr>
    </w:p>
    <w:p w14:paraId="7C9203A5" w14:textId="77777777" w:rsidR="00BA2963" w:rsidRDefault="00BA2963" w:rsidP="00BA2963">
      <w:pPr>
        <w:spacing w:after="0" w:line="360" w:lineRule="auto"/>
        <w:rPr>
          <w:rFonts w:ascii="Book Antiqua" w:hAnsi="Book Antiqua"/>
          <w:b/>
          <w:sz w:val="24"/>
          <w:szCs w:val="24"/>
          <w:lang w:eastAsia="zh-CN"/>
        </w:rPr>
      </w:pPr>
    </w:p>
    <w:p w14:paraId="08A2BDF7" w14:textId="77777777" w:rsidR="00BA2963" w:rsidRDefault="00BA2963" w:rsidP="00BA2963">
      <w:pPr>
        <w:spacing w:after="0" w:line="360" w:lineRule="auto"/>
        <w:rPr>
          <w:rFonts w:ascii="Book Antiqua" w:hAnsi="Book Antiqua"/>
          <w:b/>
          <w:sz w:val="24"/>
          <w:szCs w:val="24"/>
          <w:lang w:eastAsia="zh-CN"/>
        </w:rPr>
      </w:pPr>
    </w:p>
    <w:p w14:paraId="665E6B4B" w14:textId="77777777" w:rsidR="00BA2963" w:rsidRDefault="00BA2963" w:rsidP="00BA2963">
      <w:pPr>
        <w:spacing w:after="0" w:line="360" w:lineRule="auto"/>
        <w:rPr>
          <w:rFonts w:ascii="Book Antiqua" w:hAnsi="Book Antiqua"/>
          <w:b/>
          <w:sz w:val="24"/>
          <w:szCs w:val="24"/>
          <w:lang w:eastAsia="zh-CN"/>
        </w:rPr>
      </w:pPr>
    </w:p>
    <w:p w14:paraId="4F470FC9" w14:textId="77777777" w:rsidR="00BA2963" w:rsidRDefault="00BA2963" w:rsidP="00BA2963">
      <w:pPr>
        <w:spacing w:after="0" w:line="360" w:lineRule="auto"/>
        <w:rPr>
          <w:rFonts w:ascii="Book Antiqua" w:hAnsi="Book Antiqua"/>
          <w:b/>
          <w:sz w:val="24"/>
          <w:szCs w:val="24"/>
          <w:lang w:eastAsia="zh-CN"/>
        </w:rPr>
      </w:pPr>
    </w:p>
    <w:p w14:paraId="1A32AF95" w14:textId="77777777" w:rsidR="00BA2963" w:rsidRPr="00BA2963" w:rsidRDefault="00BA2963" w:rsidP="00BA2963">
      <w:pPr>
        <w:spacing w:after="0" w:line="360" w:lineRule="auto"/>
        <w:rPr>
          <w:rFonts w:ascii="Book Antiqua" w:hAnsi="Book Antiqua"/>
          <w:b/>
          <w:sz w:val="24"/>
          <w:szCs w:val="24"/>
          <w:lang w:eastAsia="zh-CN"/>
        </w:rPr>
      </w:pPr>
    </w:p>
    <w:p w14:paraId="74356F4D" w14:textId="77777777" w:rsidR="00BA2963" w:rsidRPr="00BA2963" w:rsidRDefault="00BA2963" w:rsidP="00BA2963">
      <w:pPr>
        <w:spacing w:after="0" w:line="360" w:lineRule="auto"/>
        <w:rPr>
          <w:rFonts w:ascii="Book Antiqua" w:hAnsi="Book Antiqua"/>
          <w:b/>
          <w:sz w:val="24"/>
          <w:szCs w:val="24"/>
          <w:lang w:eastAsia="zh-CN"/>
        </w:rPr>
      </w:pPr>
    </w:p>
    <w:p w14:paraId="3066D66B" w14:textId="62DC4D45" w:rsidR="004F71B6" w:rsidRPr="004F71B6" w:rsidRDefault="004F71B6" w:rsidP="00EC4C5D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  <w:r w:rsidRPr="004F71B6">
        <w:rPr>
          <w:rFonts w:ascii="Book Antiqua" w:hAnsi="Book Antiqua"/>
          <w:b/>
          <w:noProof/>
          <w:sz w:val="24"/>
          <w:szCs w:val="24"/>
          <w:lang w:val="en-US"/>
        </w:rPr>
        <w:drawing>
          <wp:inline distT="0" distB="0" distL="0" distR="0" wp14:anchorId="388D4B06" wp14:editId="68649516">
            <wp:extent cx="2342841" cy="1757131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43044" cy="175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6F5A0" w14:textId="550BBED0" w:rsidR="004F71B6" w:rsidRPr="00EC4C5D" w:rsidRDefault="004F71B6" w:rsidP="004F71B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EC4C5D">
        <w:rPr>
          <w:rFonts w:ascii="Book Antiqua" w:hAnsi="Book Antiqua"/>
          <w:b/>
          <w:sz w:val="24"/>
          <w:szCs w:val="24"/>
          <w:lang w:val="en-US"/>
        </w:rPr>
        <w:t>Figure 1</w:t>
      </w:r>
      <w:r w:rsidRPr="00EC4C5D">
        <w:rPr>
          <w:rFonts w:ascii="Book Antiqua" w:hAnsi="Book Antiqua"/>
          <w:sz w:val="24"/>
          <w:szCs w:val="24"/>
          <w:lang w:val="en-US"/>
        </w:rPr>
        <w:t xml:space="preserve"> </w:t>
      </w:r>
      <w:r w:rsidRPr="004F71B6">
        <w:rPr>
          <w:rFonts w:ascii="Book Antiqua" w:hAnsi="Book Antiqua"/>
          <w:b/>
          <w:sz w:val="24"/>
          <w:szCs w:val="24"/>
          <w:lang w:val="en-US"/>
        </w:rPr>
        <w:t>Tumor growth rate calculation formula</w:t>
      </w:r>
      <w:r w:rsidRPr="004F71B6">
        <w:rPr>
          <w:rFonts w:ascii="Book Antiqua" w:hAnsi="Book Antiqua" w:hint="eastAsia"/>
          <w:b/>
          <w:sz w:val="24"/>
          <w:szCs w:val="24"/>
          <w:lang w:val="en-US" w:eastAsia="zh-CN"/>
        </w:rPr>
        <w:t>.</w:t>
      </w:r>
    </w:p>
    <w:p w14:paraId="5949CE98" w14:textId="77777777" w:rsidR="004F71B6" w:rsidRDefault="004F71B6" w:rsidP="004F71B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3EA40914" w14:textId="77777777" w:rsidR="004F71B6" w:rsidRDefault="004F71B6" w:rsidP="004F71B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35FD241A" w14:textId="77777777" w:rsidR="004F71B6" w:rsidRDefault="004F71B6" w:rsidP="004F71B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4B5EB922" w14:textId="77777777" w:rsidR="004F71B6" w:rsidRDefault="004F71B6" w:rsidP="004F71B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0BF13654" w14:textId="77777777" w:rsidR="004F71B6" w:rsidRDefault="004F71B6" w:rsidP="004F71B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3FBDFA59" w14:textId="77777777" w:rsidR="004F71B6" w:rsidRDefault="004F71B6" w:rsidP="004F71B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763A0D42" w14:textId="77777777" w:rsidR="004F71B6" w:rsidRDefault="004F71B6" w:rsidP="004F71B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2C1B9084" w14:textId="77777777" w:rsidR="004F71B6" w:rsidRDefault="004F71B6" w:rsidP="004F71B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3883F53D" w14:textId="77777777" w:rsidR="004F71B6" w:rsidRDefault="004F71B6" w:rsidP="004F71B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39640478" w14:textId="77777777" w:rsidR="004F71B6" w:rsidRDefault="004F71B6" w:rsidP="004F71B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4D0C4B3B" w14:textId="77777777" w:rsidR="004F71B6" w:rsidRDefault="004F71B6" w:rsidP="004F71B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6BAEF5E4" w14:textId="77777777" w:rsidR="004F71B6" w:rsidRDefault="004F71B6" w:rsidP="004F71B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321C1567" w14:textId="77777777" w:rsidR="004F71B6" w:rsidRDefault="004F71B6" w:rsidP="004F71B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7A6DE7B5" w14:textId="77777777" w:rsidR="004F71B6" w:rsidRDefault="004F71B6" w:rsidP="004F71B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655EFC0B" w14:textId="77777777" w:rsidR="004F71B6" w:rsidRDefault="004F71B6" w:rsidP="004F71B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07F8246A" w14:textId="77777777" w:rsidR="004F71B6" w:rsidRDefault="004F71B6" w:rsidP="004F71B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5599B7FF" w14:textId="77777777" w:rsidR="004F71B6" w:rsidRDefault="004F71B6" w:rsidP="004F71B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0534820A" w14:textId="77777777" w:rsidR="004F71B6" w:rsidRDefault="004F71B6" w:rsidP="004F71B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4A6D6949" w14:textId="77777777" w:rsidR="004F71B6" w:rsidRDefault="004F71B6" w:rsidP="004F71B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626D0370" w14:textId="77777777" w:rsidR="004F71B6" w:rsidRDefault="004F71B6" w:rsidP="004F71B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0B29CB70" w14:textId="77777777" w:rsidR="004F71B6" w:rsidRDefault="004F71B6" w:rsidP="004F71B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5D6E42CE" w14:textId="77777777" w:rsidR="004F71B6" w:rsidRDefault="004F71B6" w:rsidP="004F71B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6A05BEBC" w14:textId="77777777" w:rsidR="004F71B6" w:rsidRDefault="004F71B6" w:rsidP="004F71B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797333B2" w14:textId="77777777" w:rsidR="004F71B6" w:rsidRDefault="004F71B6" w:rsidP="004F71B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5393281A" w14:textId="4DF3A0AD" w:rsidR="004F71B6" w:rsidRPr="00EC4C5D" w:rsidRDefault="004F71B6" w:rsidP="004F71B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4F71B6">
        <w:rPr>
          <w:rFonts w:ascii="Book Antiqua" w:hAnsi="Book Antiqua"/>
          <w:noProof/>
          <w:sz w:val="24"/>
          <w:szCs w:val="24"/>
          <w:lang w:val="en-US"/>
        </w:rPr>
        <w:drawing>
          <wp:inline distT="0" distB="0" distL="0" distR="0" wp14:anchorId="1667E3B1" wp14:editId="2A96C4C9">
            <wp:extent cx="3657917" cy="274343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78464" w14:textId="41BD0B54" w:rsidR="004F71B6" w:rsidRPr="00EC4C5D" w:rsidRDefault="004F71B6" w:rsidP="004F71B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EC4C5D">
        <w:rPr>
          <w:rFonts w:ascii="Book Antiqua" w:hAnsi="Book Antiqua"/>
          <w:b/>
          <w:sz w:val="24"/>
          <w:szCs w:val="24"/>
          <w:lang w:val="en-US"/>
        </w:rPr>
        <w:t>Figure 2</w:t>
      </w:r>
      <w:r w:rsidRPr="00EC4C5D">
        <w:rPr>
          <w:rFonts w:ascii="Book Antiqua" w:hAnsi="Book Antiqua"/>
          <w:sz w:val="24"/>
          <w:szCs w:val="24"/>
          <w:lang w:val="en-US"/>
        </w:rPr>
        <w:t xml:space="preserve"> </w:t>
      </w:r>
      <w:r w:rsidRPr="00070A3E">
        <w:rPr>
          <w:rFonts w:ascii="Book Antiqua" w:hAnsi="Book Antiqua"/>
          <w:b/>
          <w:sz w:val="24"/>
          <w:szCs w:val="24"/>
          <w:lang w:val="en-US"/>
        </w:rPr>
        <w:t xml:space="preserve">Hypothetical representation of different groups of patients and their patterns of response to first line treatment: Primary refractory patients with early progression and high </w:t>
      </w:r>
      <w:r w:rsidR="00070A3E" w:rsidRPr="00070A3E">
        <w:rPr>
          <w:rFonts w:ascii="Book Antiqua" w:hAnsi="Book Antiqua"/>
          <w:b/>
          <w:sz w:val="24"/>
          <w:szCs w:val="24"/>
          <w:lang w:val="en-US"/>
        </w:rPr>
        <w:t>tumor growth rate</w:t>
      </w:r>
      <w:r w:rsidRPr="00070A3E">
        <w:rPr>
          <w:rFonts w:ascii="Book Antiqua" w:hAnsi="Book Antiqua"/>
          <w:b/>
          <w:sz w:val="24"/>
          <w:szCs w:val="24"/>
          <w:lang w:val="en-US"/>
        </w:rPr>
        <w:t xml:space="preserve">, intermediate </w:t>
      </w:r>
      <w:proofErr w:type="spellStart"/>
      <w:r w:rsidRPr="00070A3E">
        <w:rPr>
          <w:rFonts w:ascii="Book Antiqua" w:hAnsi="Book Antiqua"/>
          <w:b/>
          <w:sz w:val="24"/>
          <w:szCs w:val="24"/>
          <w:lang w:val="en-US"/>
        </w:rPr>
        <w:t>progressors</w:t>
      </w:r>
      <w:proofErr w:type="spellEnd"/>
      <w:r w:rsidRPr="00070A3E">
        <w:rPr>
          <w:rFonts w:ascii="Book Antiqua" w:hAnsi="Book Antiqua"/>
          <w:b/>
          <w:sz w:val="24"/>
          <w:szCs w:val="24"/>
          <w:lang w:val="en-US"/>
        </w:rPr>
        <w:t xml:space="preserve"> with </w:t>
      </w:r>
      <w:r w:rsidRPr="00070A3E">
        <w:rPr>
          <w:rFonts w:ascii="Book Antiqua" w:hAnsi="Book Antiqua"/>
          <w:b/>
          <w:sz w:val="24"/>
          <w:szCs w:val="24"/>
          <w:lang w:val="en-US"/>
        </w:rPr>
        <w:lastRenderedPageBreak/>
        <w:t xml:space="preserve">intermediate </w:t>
      </w:r>
      <w:r w:rsidR="00070A3E" w:rsidRPr="00070A3E">
        <w:rPr>
          <w:rFonts w:ascii="Book Antiqua" w:hAnsi="Book Antiqua"/>
          <w:b/>
          <w:sz w:val="24"/>
          <w:szCs w:val="24"/>
          <w:lang w:val="en-US"/>
        </w:rPr>
        <w:t>tumor growth rate</w:t>
      </w:r>
      <w:r w:rsidRPr="00070A3E">
        <w:rPr>
          <w:rFonts w:ascii="Book Antiqua" w:hAnsi="Book Antiqua"/>
          <w:b/>
          <w:sz w:val="24"/>
          <w:szCs w:val="24"/>
          <w:lang w:val="en-US"/>
        </w:rPr>
        <w:t xml:space="preserve">, very slow </w:t>
      </w:r>
      <w:proofErr w:type="spellStart"/>
      <w:r w:rsidRPr="00070A3E">
        <w:rPr>
          <w:rFonts w:ascii="Book Antiqua" w:hAnsi="Book Antiqua"/>
          <w:b/>
          <w:sz w:val="24"/>
          <w:szCs w:val="24"/>
          <w:lang w:val="en-US"/>
        </w:rPr>
        <w:t>progressors</w:t>
      </w:r>
      <w:proofErr w:type="spellEnd"/>
      <w:r w:rsidRPr="00070A3E">
        <w:rPr>
          <w:rFonts w:ascii="Book Antiqua" w:hAnsi="Book Antiqua"/>
          <w:b/>
          <w:sz w:val="24"/>
          <w:szCs w:val="24"/>
          <w:lang w:val="en-US"/>
        </w:rPr>
        <w:t xml:space="preserve"> with low </w:t>
      </w:r>
      <w:r w:rsidR="00070A3E" w:rsidRPr="00070A3E">
        <w:rPr>
          <w:rFonts w:ascii="Book Antiqua" w:hAnsi="Book Antiqua"/>
          <w:b/>
          <w:sz w:val="24"/>
          <w:szCs w:val="24"/>
          <w:lang w:val="en-US"/>
        </w:rPr>
        <w:t>tumor growth rate</w:t>
      </w:r>
      <w:r w:rsidRPr="00070A3E">
        <w:rPr>
          <w:rFonts w:ascii="Book Antiqua" w:hAnsi="Book Antiqua"/>
          <w:b/>
          <w:sz w:val="24"/>
          <w:szCs w:val="24"/>
          <w:lang w:val="en-US"/>
        </w:rPr>
        <w:t xml:space="preserve"> and late </w:t>
      </w:r>
      <w:proofErr w:type="spellStart"/>
      <w:r w:rsidRPr="00070A3E">
        <w:rPr>
          <w:rFonts w:ascii="Book Antiqua" w:hAnsi="Book Antiqua"/>
          <w:b/>
          <w:sz w:val="24"/>
          <w:szCs w:val="24"/>
          <w:lang w:val="en-US"/>
        </w:rPr>
        <w:t>progressors</w:t>
      </w:r>
      <w:proofErr w:type="spellEnd"/>
      <w:r w:rsidRPr="00070A3E">
        <w:rPr>
          <w:rFonts w:ascii="Book Antiqua" w:hAnsi="Book Antiqua"/>
          <w:b/>
          <w:sz w:val="24"/>
          <w:szCs w:val="24"/>
          <w:lang w:val="en-US"/>
        </w:rPr>
        <w:t xml:space="preserve"> with high </w:t>
      </w:r>
      <w:r w:rsidR="00070A3E" w:rsidRPr="00070A3E">
        <w:rPr>
          <w:rFonts w:ascii="Book Antiqua" w:hAnsi="Book Antiqua"/>
          <w:b/>
          <w:sz w:val="24"/>
          <w:szCs w:val="24"/>
          <w:lang w:val="en-US"/>
        </w:rPr>
        <w:t>tumor growth rate</w:t>
      </w:r>
      <w:r w:rsidRPr="00070A3E">
        <w:rPr>
          <w:rFonts w:ascii="Book Antiqua" w:hAnsi="Book Antiqua"/>
          <w:b/>
          <w:sz w:val="24"/>
          <w:szCs w:val="24"/>
          <w:lang w:val="en-US"/>
        </w:rPr>
        <w:t xml:space="preserve">. </w:t>
      </w:r>
    </w:p>
    <w:p w14:paraId="0CEEF51B" w14:textId="77777777" w:rsidR="004F71B6" w:rsidRPr="00EC4C5D" w:rsidRDefault="004F71B6" w:rsidP="004F71B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14:paraId="463DBB30" w14:textId="77777777" w:rsidR="004F71B6" w:rsidRDefault="004F71B6" w:rsidP="004F71B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7FBF6EC7" w14:textId="77777777" w:rsidR="008E38E9" w:rsidRDefault="008E38E9" w:rsidP="004F71B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6E09BD67" w14:textId="77777777" w:rsidR="008E38E9" w:rsidRDefault="008E38E9" w:rsidP="004F71B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06B41507" w14:textId="77777777" w:rsidR="008E38E9" w:rsidRDefault="008E38E9" w:rsidP="004F71B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459763B7" w14:textId="77777777" w:rsidR="008E38E9" w:rsidRDefault="008E38E9" w:rsidP="004F71B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5BD949D5" w14:textId="77777777" w:rsidR="008E38E9" w:rsidRDefault="008E38E9" w:rsidP="004F71B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39F24EDD" w14:textId="77777777" w:rsidR="008E38E9" w:rsidRDefault="008E38E9" w:rsidP="004F71B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1FC85000" w14:textId="77777777" w:rsidR="008E38E9" w:rsidRDefault="008E38E9" w:rsidP="004F71B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62B1D010" w14:textId="77777777" w:rsidR="008E38E9" w:rsidRDefault="008E38E9" w:rsidP="004F71B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5A87DB44" w14:textId="77777777" w:rsidR="008E38E9" w:rsidRDefault="008E38E9" w:rsidP="004F71B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28F3974C" w14:textId="77777777" w:rsidR="008E38E9" w:rsidRDefault="008E38E9" w:rsidP="004F71B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23FFFF0D" w14:textId="77777777" w:rsidR="008E38E9" w:rsidRDefault="008E38E9" w:rsidP="004F71B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2EE8514B" w14:textId="77777777" w:rsidR="008E38E9" w:rsidRDefault="008E38E9" w:rsidP="004F71B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21836D3C" w14:textId="77777777" w:rsidR="008E38E9" w:rsidRDefault="008E38E9" w:rsidP="004F71B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4A02591C" w14:textId="77777777" w:rsidR="008E38E9" w:rsidRDefault="008E38E9" w:rsidP="004F71B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5721577E" w14:textId="0C56466C" w:rsidR="008E38E9" w:rsidRDefault="008E38E9" w:rsidP="004F71B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8E38E9">
        <w:rPr>
          <w:rFonts w:ascii="Book Antiqua" w:hAnsi="Book Antiqua"/>
          <w:noProof/>
          <w:sz w:val="24"/>
          <w:szCs w:val="24"/>
          <w:lang w:val="en-US"/>
        </w:rPr>
        <w:drawing>
          <wp:inline distT="0" distB="0" distL="0" distR="0" wp14:anchorId="64D84EFC" wp14:editId="595B0AC3">
            <wp:extent cx="3657917" cy="274343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30AFC" w14:textId="2FCCC4E3" w:rsidR="004F71B6" w:rsidRPr="00140E35" w:rsidRDefault="008E38E9" w:rsidP="004F71B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b/>
          <w:sz w:val="24"/>
          <w:szCs w:val="24"/>
          <w:lang w:val="en-US"/>
        </w:rPr>
        <w:t>Figure 3</w:t>
      </w:r>
      <w:r w:rsidR="004F71B6" w:rsidRPr="00EC4C5D">
        <w:rPr>
          <w:rFonts w:ascii="Book Antiqua" w:hAnsi="Book Antiqua"/>
          <w:sz w:val="24"/>
          <w:szCs w:val="24"/>
          <w:lang w:val="en-US"/>
        </w:rPr>
        <w:t xml:space="preserve"> </w:t>
      </w:r>
      <w:r w:rsidR="004F71B6" w:rsidRPr="008E38E9">
        <w:rPr>
          <w:rFonts w:ascii="Book Antiqua" w:hAnsi="Book Antiqua"/>
          <w:b/>
          <w:sz w:val="24"/>
          <w:szCs w:val="24"/>
          <w:lang w:val="en-US"/>
        </w:rPr>
        <w:t xml:space="preserve">Adapting the study data to our clinic. </w:t>
      </w:r>
      <w:proofErr w:type="gramStart"/>
      <w:r w:rsidR="004F71B6" w:rsidRPr="00140E35">
        <w:rPr>
          <w:rFonts w:ascii="Book Antiqua" w:hAnsi="Book Antiqua"/>
          <w:sz w:val="24"/>
          <w:szCs w:val="24"/>
          <w:lang w:val="en-US"/>
        </w:rPr>
        <w:t xml:space="preserve">A proposed algorithm to treat second line </w:t>
      </w:r>
      <w:r w:rsidR="00140E35" w:rsidRPr="00140E35">
        <w:rPr>
          <w:rFonts w:ascii="Book Antiqua" w:hAnsi="Book Antiqua" w:cs="Cheltenham-BookCond"/>
          <w:sz w:val="24"/>
          <w:szCs w:val="24"/>
          <w:lang w:val="en-US"/>
        </w:rPr>
        <w:t>metastatic renal cell carcinoma</w:t>
      </w:r>
      <w:r w:rsidR="004F71B6" w:rsidRPr="00140E35">
        <w:rPr>
          <w:rFonts w:ascii="Book Antiqua" w:hAnsi="Book Antiqua"/>
          <w:sz w:val="24"/>
          <w:szCs w:val="24"/>
          <w:lang w:val="en-US"/>
        </w:rPr>
        <w:t xml:space="preserve"> patients according to </w:t>
      </w:r>
      <w:r w:rsidRPr="00140E35">
        <w:rPr>
          <w:rFonts w:ascii="Book Antiqua" w:hAnsi="Book Antiqua"/>
          <w:sz w:val="24"/>
          <w:szCs w:val="24"/>
          <w:lang w:val="en-US"/>
        </w:rPr>
        <w:t>tumor growth rate</w:t>
      </w:r>
      <w:r w:rsidR="004F71B6" w:rsidRPr="00140E35">
        <w:rPr>
          <w:rFonts w:ascii="Book Antiqua" w:hAnsi="Book Antiqua"/>
          <w:sz w:val="24"/>
          <w:szCs w:val="24"/>
          <w:lang w:val="en-US"/>
        </w:rPr>
        <w:t xml:space="preserve"> and patients’ characteristics.</w:t>
      </w:r>
      <w:proofErr w:type="gramEnd"/>
    </w:p>
    <w:p w14:paraId="2C094AA0" w14:textId="77777777" w:rsidR="004F71B6" w:rsidRPr="00EC4C5D" w:rsidRDefault="004F71B6" w:rsidP="004F71B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14:paraId="7B80B73C" w14:textId="77777777" w:rsidR="004F71B6" w:rsidRPr="00EC4C5D" w:rsidRDefault="004F71B6" w:rsidP="004F71B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14:paraId="035D3115" w14:textId="77777777" w:rsidR="004F71B6" w:rsidRPr="004F71B6" w:rsidRDefault="004F71B6" w:rsidP="00EC4C5D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14:paraId="743C9638" w14:textId="77777777" w:rsidR="004F71B6" w:rsidRDefault="004F71B6" w:rsidP="00EC4C5D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14:paraId="405E4DFF" w14:textId="77777777" w:rsidR="00102269" w:rsidRDefault="00102269" w:rsidP="00EC4C5D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14:paraId="7CE3123D" w14:textId="77777777" w:rsidR="00102269" w:rsidRDefault="00102269" w:rsidP="00EC4C5D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14:paraId="2E3FAFDD" w14:textId="77777777" w:rsidR="00102269" w:rsidRDefault="00102269" w:rsidP="00EC4C5D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14:paraId="5C4A74F2" w14:textId="77777777" w:rsidR="00102269" w:rsidRDefault="00102269" w:rsidP="00EC4C5D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14:paraId="2F754294" w14:textId="77777777" w:rsidR="00102269" w:rsidRDefault="00102269" w:rsidP="00EC4C5D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14:paraId="4087F95D" w14:textId="77777777" w:rsidR="00102269" w:rsidRDefault="00102269" w:rsidP="00EC4C5D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14:paraId="3B763735" w14:textId="77777777" w:rsidR="00102269" w:rsidRDefault="00102269" w:rsidP="00EC4C5D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14:paraId="4130BE9A" w14:textId="77777777" w:rsidR="00102269" w:rsidRDefault="00102269" w:rsidP="00EC4C5D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14:paraId="060CE554" w14:textId="77777777" w:rsidR="00102269" w:rsidRDefault="00102269" w:rsidP="00EC4C5D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14:paraId="37C670A7" w14:textId="77777777" w:rsidR="00102269" w:rsidRDefault="00102269" w:rsidP="00EC4C5D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14:paraId="52DC85CB" w14:textId="77777777" w:rsidR="00102269" w:rsidRDefault="00102269" w:rsidP="00EC4C5D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14:paraId="71058F64" w14:textId="77777777" w:rsidR="00102269" w:rsidRDefault="00102269" w:rsidP="00EC4C5D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14:paraId="7D5AD693" w14:textId="77777777" w:rsidR="00102269" w:rsidRDefault="00102269" w:rsidP="00EC4C5D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14:paraId="535BC9E5" w14:textId="77777777" w:rsidR="004F71B6" w:rsidRDefault="004F71B6" w:rsidP="00EC4C5D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14:paraId="5F2ADE44" w14:textId="681579B7" w:rsidR="00102269" w:rsidRDefault="00102269" w:rsidP="00EC4C5D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>
        <w:rPr>
          <w:rFonts w:ascii="Book Antiqua" w:hAnsi="Book Antiqua"/>
          <w:b/>
          <w:sz w:val="24"/>
          <w:szCs w:val="24"/>
          <w:lang w:val="en-US"/>
        </w:rPr>
        <w:t>Table 1</w:t>
      </w:r>
      <w:r w:rsidR="009C4FA5" w:rsidRPr="00EC4C5D">
        <w:rPr>
          <w:rFonts w:ascii="Book Antiqua" w:hAnsi="Book Antiqua"/>
          <w:sz w:val="24"/>
          <w:szCs w:val="24"/>
          <w:lang w:val="en-US"/>
        </w:rPr>
        <w:t xml:space="preserve"> </w:t>
      </w:r>
      <w:r w:rsidR="009C4FA5" w:rsidRPr="00AB6B93">
        <w:rPr>
          <w:rFonts w:ascii="Book Antiqua" w:hAnsi="Book Antiqua"/>
          <w:b/>
          <w:sz w:val="24"/>
          <w:szCs w:val="24"/>
          <w:lang w:val="en-US"/>
        </w:rPr>
        <w:t xml:space="preserve">Phase III clinical </w:t>
      </w:r>
      <w:r w:rsidR="006E6E83" w:rsidRPr="00AB6B93">
        <w:rPr>
          <w:rFonts w:ascii="Book Antiqua" w:hAnsi="Book Antiqua"/>
          <w:b/>
          <w:sz w:val="24"/>
          <w:szCs w:val="24"/>
          <w:lang w:val="en-US"/>
        </w:rPr>
        <w:t>trials evaluating approved drugs in second and subs</w:t>
      </w:r>
      <w:r w:rsidRPr="00AB6B93">
        <w:rPr>
          <w:rFonts w:ascii="Book Antiqua" w:hAnsi="Book Antiqua"/>
          <w:b/>
          <w:sz w:val="24"/>
          <w:szCs w:val="24"/>
          <w:lang w:val="en-US"/>
        </w:rPr>
        <w:t xml:space="preserve">equent treatment lines for </w:t>
      </w:r>
      <w:r w:rsidRPr="00AB6B93">
        <w:rPr>
          <w:rFonts w:ascii="Book Antiqua" w:hAnsi="Book Antiqua" w:cs="Cheltenham-BookCond"/>
          <w:b/>
          <w:sz w:val="24"/>
          <w:szCs w:val="24"/>
          <w:lang w:val="en-US"/>
        </w:rPr>
        <w:t>metastatic renal cell carcinoma</w:t>
      </w:r>
    </w:p>
    <w:tbl>
      <w:tblPr>
        <w:tblW w:w="6264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1225"/>
        <w:gridCol w:w="1709"/>
        <w:gridCol w:w="1470"/>
        <w:gridCol w:w="1470"/>
      </w:tblGrid>
      <w:tr w:rsidR="006F1A1C" w:rsidRPr="00047468" w14:paraId="4DCA7869" w14:textId="77777777" w:rsidTr="00047468">
        <w:trPr>
          <w:trHeight w:val="1260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6EE2C24" w14:textId="77777777" w:rsidR="006F1A1C" w:rsidRPr="006F1A1C" w:rsidRDefault="006F1A1C" w:rsidP="006F1A1C">
            <w:pPr>
              <w:spacing w:after="0" w:line="240" w:lineRule="auto"/>
              <w:rPr>
                <w:rFonts w:ascii="Book Antiqua" w:eastAsia="宋体" w:hAnsi="Book Antiqua" w:cs="Arial"/>
                <w:sz w:val="36"/>
                <w:szCs w:val="36"/>
                <w:lang w:val="en-US" w:eastAsia="zh-CN"/>
              </w:rPr>
            </w:pPr>
            <w:r w:rsidRPr="006F1A1C">
              <w:rPr>
                <w:rFonts w:ascii="Book Antiqua" w:eastAsia="宋体" w:hAnsi="Book Antiqua" w:cs="Arial"/>
                <w:sz w:val="36"/>
                <w:szCs w:val="36"/>
                <w:lang w:val="en-US" w:eastAsia="zh-CN"/>
              </w:rPr>
              <w:t xml:space="preserve">　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204ABB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6F1A1C">
              <w:rPr>
                <w:rFonts w:ascii="Book Antiqua" w:eastAsia="宋体" w:hAnsi="Book Antiqua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Axitinib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DF9FC2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6F1A1C">
              <w:rPr>
                <w:rFonts w:ascii="Book Antiqua" w:eastAsia="宋体" w:hAnsi="Book Antiqua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Cabozantinib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009551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6F1A1C">
              <w:rPr>
                <w:rFonts w:ascii="Book Antiqua" w:eastAsia="宋体" w:hAnsi="Book Antiqua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Lenvatinib</w:t>
            </w:r>
            <w:proofErr w:type="spellEnd"/>
            <w:r w:rsidRPr="006F1A1C">
              <w:rPr>
                <w:rFonts w:ascii="Book Antiqua" w:eastAsia="宋体" w:hAnsi="Book Antiqua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+ </w:t>
            </w:r>
            <w:proofErr w:type="spellStart"/>
            <w:r w:rsidRPr="006F1A1C">
              <w:rPr>
                <w:rFonts w:ascii="Book Antiqua" w:eastAsia="宋体" w:hAnsi="Book Antiqua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Everolimus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6D14FA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6F1A1C">
              <w:rPr>
                <w:rFonts w:ascii="Book Antiqua" w:eastAsia="宋体" w:hAnsi="Book Antiqua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Nivolumab</w:t>
            </w:r>
            <w:proofErr w:type="spellEnd"/>
          </w:p>
        </w:tc>
      </w:tr>
      <w:tr w:rsidR="006F1A1C" w:rsidRPr="00047468" w14:paraId="03A2E286" w14:textId="77777777" w:rsidTr="00047468">
        <w:trPr>
          <w:trHeight w:val="648"/>
        </w:trPr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7A39D2" w14:textId="782F8070" w:rsidR="006F1A1C" w:rsidRPr="006F1A1C" w:rsidRDefault="006F1A1C" w:rsidP="00047468">
            <w:pPr>
              <w:spacing w:after="0" w:line="240" w:lineRule="auto"/>
              <w:rPr>
                <w:rFonts w:ascii="Book Antiqua" w:eastAsia="宋体" w:hAnsi="Book Antiqua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Trial </w:t>
            </w:r>
            <w:r w:rsidR="00047468">
              <w:rPr>
                <w:rFonts w:ascii="Book Antiqua" w:eastAsia="宋体" w:hAnsi="Book Antiqua" w:cs="宋体"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d</w:t>
            </w:r>
            <w:r w:rsidRPr="006F1A1C">
              <w:rPr>
                <w:rFonts w:ascii="Book Antiqua" w:eastAsia="宋体" w:hAnsi="Book Antiqua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esign</w:t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B0919C9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Phase III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72F0E75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Phase III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34A8190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Phase II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C5929BB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Phase III</w:t>
            </w:r>
          </w:p>
        </w:tc>
      </w:tr>
      <w:tr w:rsidR="006F1A1C" w:rsidRPr="00047468" w14:paraId="28A51CE7" w14:textId="77777777" w:rsidTr="00047468">
        <w:trPr>
          <w:trHeight w:val="324"/>
        </w:trPr>
        <w:tc>
          <w:tcPr>
            <w:tcW w:w="1709" w:type="dxa"/>
            <w:shd w:val="clear" w:color="auto" w:fill="auto"/>
            <w:vAlign w:val="center"/>
            <w:hideMark/>
          </w:tcPr>
          <w:p w14:paraId="1AD8DE43" w14:textId="77777777" w:rsidR="006F1A1C" w:rsidRPr="006F1A1C" w:rsidRDefault="006F1A1C" w:rsidP="006F1A1C">
            <w:pPr>
              <w:spacing w:after="0" w:line="240" w:lineRule="auto"/>
              <w:rPr>
                <w:rFonts w:ascii="Book Antiqua" w:eastAsia="宋体" w:hAnsi="Book Antiqua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Size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0CD370EE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361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14:paraId="26A023F8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330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909BD6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EB74A2B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410</w:t>
            </w:r>
          </w:p>
        </w:tc>
      </w:tr>
      <w:tr w:rsidR="006F1A1C" w:rsidRPr="00047468" w14:paraId="3E4876A2" w14:textId="77777777" w:rsidTr="00047468">
        <w:trPr>
          <w:trHeight w:val="612"/>
        </w:trPr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14:paraId="6152961E" w14:textId="50175D97" w:rsidR="006F1A1C" w:rsidRPr="006F1A1C" w:rsidRDefault="006F1A1C" w:rsidP="00047468">
            <w:pPr>
              <w:spacing w:after="0" w:line="240" w:lineRule="auto"/>
              <w:rPr>
                <w:rFonts w:ascii="Book Antiqua" w:eastAsia="宋体" w:hAnsi="Book Antiqua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Patient </w:t>
            </w:r>
            <w:r w:rsidR="00047468">
              <w:rPr>
                <w:rFonts w:ascii="Book Antiqua" w:eastAsia="宋体" w:hAnsi="Book Antiqua" w:cs="宋体"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p</w:t>
            </w:r>
            <w:r w:rsidRPr="006F1A1C">
              <w:rPr>
                <w:rFonts w:ascii="Book Antiqua" w:eastAsia="宋体" w:hAnsi="Book Antiqua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opulation</w:t>
            </w:r>
          </w:p>
        </w:tc>
        <w:tc>
          <w:tcPr>
            <w:tcW w:w="966" w:type="dxa"/>
            <w:vMerge w:val="restart"/>
            <w:shd w:val="clear" w:color="auto" w:fill="auto"/>
            <w:vAlign w:val="center"/>
            <w:hideMark/>
          </w:tcPr>
          <w:p w14:paraId="3855F2B0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2</w:t>
            </w: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vertAlign w:val="superscript"/>
                <w:lang w:val="en-US" w:eastAsia="zh-CN"/>
              </w:rPr>
              <w:t>nd</w:t>
            </w: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 xml:space="preserve"> Line (100%)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14:paraId="544C1218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2L- 71%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55EF97D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2</w:t>
            </w: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vertAlign w:val="superscript"/>
                <w:lang w:val="en-US" w:eastAsia="zh-CN"/>
              </w:rPr>
              <w:t>nd</w:t>
            </w: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 xml:space="preserve"> Line (100%)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795F0ED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2L- 72%</w:t>
            </w:r>
          </w:p>
        </w:tc>
      </w:tr>
      <w:tr w:rsidR="00047468" w:rsidRPr="00047468" w14:paraId="19FFBE69" w14:textId="77777777" w:rsidTr="00047468">
        <w:trPr>
          <w:trHeight w:val="324"/>
        </w:trPr>
        <w:tc>
          <w:tcPr>
            <w:tcW w:w="1709" w:type="dxa"/>
            <w:vMerge/>
            <w:shd w:val="clear" w:color="auto" w:fill="auto"/>
            <w:vAlign w:val="center"/>
            <w:hideMark/>
          </w:tcPr>
          <w:p w14:paraId="7CFC0A14" w14:textId="77777777" w:rsidR="006F1A1C" w:rsidRPr="006F1A1C" w:rsidRDefault="006F1A1C" w:rsidP="006F1A1C">
            <w:pPr>
              <w:spacing w:after="0" w:line="240" w:lineRule="auto"/>
              <w:rPr>
                <w:rFonts w:ascii="Book Antiqua" w:eastAsia="宋体" w:hAnsi="Book Antiqua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  <w:hideMark/>
          </w:tcPr>
          <w:p w14:paraId="6C1B8A50" w14:textId="77777777" w:rsidR="006F1A1C" w:rsidRPr="006F1A1C" w:rsidRDefault="006F1A1C" w:rsidP="006F1A1C">
            <w:pPr>
              <w:spacing w:after="0" w:line="240" w:lineRule="auto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14:paraId="77961239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3L- 29%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3461BF4" w14:textId="77777777" w:rsidR="006F1A1C" w:rsidRPr="006F1A1C" w:rsidRDefault="006F1A1C" w:rsidP="006F1A1C">
            <w:pPr>
              <w:spacing w:after="0" w:line="240" w:lineRule="auto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3AB343C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3L- 28%</w:t>
            </w:r>
          </w:p>
        </w:tc>
      </w:tr>
      <w:tr w:rsidR="006F1A1C" w:rsidRPr="00047468" w14:paraId="66608D4F" w14:textId="77777777" w:rsidTr="00047468">
        <w:trPr>
          <w:trHeight w:val="624"/>
        </w:trPr>
        <w:tc>
          <w:tcPr>
            <w:tcW w:w="1709" w:type="dxa"/>
            <w:shd w:val="clear" w:color="auto" w:fill="auto"/>
            <w:vAlign w:val="center"/>
            <w:hideMark/>
          </w:tcPr>
          <w:p w14:paraId="0338891B" w14:textId="77777777" w:rsidR="006F1A1C" w:rsidRPr="006F1A1C" w:rsidRDefault="006F1A1C" w:rsidP="006F1A1C">
            <w:pPr>
              <w:spacing w:after="0" w:line="240" w:lineRule="auto"/>
              <w:rPr>
                <w:rFonts w:ascii="Book Antiqua" w:eastAsia="宋体" w:hAnsi="Book Antiqua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MSKCC risk</w:t>
            </w:r>
          </w:p>
        </w:tc>
        <w:tc>
          <w:tcPr>
            <w:tcW w:w="966" w:type="dxa"/>
            <w:vMerge w:val="restart"/>
            <w:shd w:val="clear" w:color="auto" w:fill="auto"/>
            <w:vAlign w:val="center"/>
            <w:hideMark/>
          </w:tcPr>
          <w:p w14:paraId="2AF084CF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28 / 37 / 33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  <w:hideMark/>
          </w:tcPr>
          <w:p w14:paraId="6823D549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45 / 42 / 12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1BA4B6E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24 / 37 /39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14:paraId="22EC82BF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35 /49 / 16</w:t>
            </w:r>
          </w:p>
        </w:tc>
      </w:tr>
      <w:tr w:rsidR="006F1A1C" w:rsidRPr="006F1A1C" w14:paraId="4B01DAC1" w14:textId="77777777" w:rsidTr="00047468">
        <w:trPr>
          <w:trHeight w:val="636"/>
        </w:trPr>
        <w:tc>
          <w:tcPr>
            <w:tcW w:w="1709" w:type="dxa"/>
            <w:shd w:val="clear" w:color="auto" w:fill="auto"/>
            <w:vAlign w:val="center"/>
            <w:hideMark/>
          </w:tcPr>
          <w:p w14:paraId="211A0B2F" w14:textId="77777777" w:rsidR="006F1A1C" w:rsidRPr="006F1A1C" w:rsidRDefault="006F1A1C" w:rsidP="006F1A1C">
            <w:pPr>
              <w:spacing w:after="0" w:line="240" w:lineRule="auto"/>
              <w:rPr>
                <w:rFonts w:ascii="Book Antiqua" w:eastAsia="宋体" w:hAnsi="Book Antiqua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Good/</w:t>
            </w:r>
            <w:proofErr w:type="spellStart"/>
            <w:r w:rsidRPr="006F1A1C">
              <w:rPr>
                <w:rFonts w:ascii="Book Antiqua" w:eastAsia="宋体" w:hAnsi="Book Antiqua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int</w:t>
            </w:r>
            <w:proofErr w:type="spellEnd"/>
            <w:r w:rsidRPr="006F1A1C">
              <w:rPr>
                <w:rFonts w:ascii="Book Antiqua" w:eastAsia="宋体" w:hAnsi="Book Antiqua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/poor</w:t>
            </w:r>
          </w:p>
        </w:tc>
        <w:tc>
          <w:tcPr>
            <w:tcW w:w="966" w:type="dxa"/>
            <w:vMerge/>
            <w:shd w:val="clear" w:color="auto" w:fill="auto"/>
            <w:vAlign w:val="center"/>
            <w:hideMark/>
          </w:tcPr>
          <w:p w14:paraId="7F2BCABC" w14:textId="77777777" w:rsidR="006F1A1C" w:rsidRPr="006F1A1C" w:rsidRDefault="006F1A1C" w:rsidP="006F1A1C">
            <w:pPr>
              <w:spacing w:after="0" w:line="240" w:lineRule="auto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14:paraId="4E0D8522" w14:textId="77777777" w:rsidR="006F1A1C" w:rsidRPr="006F1A1C" w:rsidRDefault="006F1A1C" w:rsidP="006F1A1C">
            <w:pPr>
              <w:spacing w:after="0" w:line="240" w:lineRule="auto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7B94656" w14:textId="77777777" w:rsidR="006F1A1C" w:rsidRPr="006F1A1C" w:rsidRDefault="006F1A1C" w:rsidP="006F1A1C">
            <w:pPr>
              <w:spacing w:after="0" w:line="240" w:lineRule="auto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shd w:val="clear" w:color="auto" w:fill="auto"/>
            <w:vAlign w:val="center"/>
            <w:hideMark/>
          </w:tcPr>
          <w:p w14:paraId="19CC3B0B" w14:textId="77777777" w:rsidR="006F1A1C" w:rsidRPr="006F1A1C" w:rsidRDefault="006F1A1C" w:rsidP="006F1A1C">
            <w:pPr>
              <w:spacing w:after="0" w:line="240" w:lineRule="auto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6F1A1C" w:rsidRPr="00047468" w14:paraId="548611C0" w14:textId="77777777" w:rsidTr="00047468">
        <w:trPr>
          <w:trHeight w:val="636"/>
        </w:trPr>
        <w:tc>
          <w:tcPr>
            <w:tcW w:w="1709" w:type="dxa"/>
            <w:shd w:val="clear" w:color="auto" w:fill="auto"/>
            <w:vAlign w:val="center"/>
            <w:hideMark/>
          </w:tcPr>
          <w:p w14:paraId="2131FC13" w14:textId="77777777" w:rsidR="006F1A1C" w:rsidRPr="006F1A1C" w:rsidRDefault="006F1A1C" w:rsidP="006F1A1C">
            <w:pPr>
              <w:spacing w:after="0" w:line="240" w:lineRule="auto"/>
              <w:rPr>
                <w:rFonts w:ascii="Book Antiqua" w:eastAsia="宋体" w:hAnsi="Book Antiqua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Comparator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15A03634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Sorafenib</w:t>
            </w:r>
            <w:proofErr w:type="spellEnd"/>
          </w:p>
        </w:tc>
        <w:tc>
          <w:tcPr>
            <w:tcW w:w="1335" w:type="dxa"/>
            <w:shd w:val="clear" w:color="auto" w:fill="auto"/>
            <w:vAlign w:val="center"/>
            <w:hideMark/>
          </w:tcPr>
          <w:p w14:paraId="3E4C1F70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Everolimus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5EEE86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Everolimus</w:t>
            </w:r>
            <w:proofErr w:type="spellEnd"/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9F12E33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Everolimus</w:t>
            </w:r>
            <w:proofErr w:type="spellEnd"/>
          </w:p>
        </w:tc>
      </w:tr>
      <w:tr w:rsidR="006F1A1C" w:rsidRPr="00047468" w14:paraId="74E09DEF" w14:textId="77777777" w:rsidTr="00047468">
        <w:trPr>
          <w:trHeight w:val="636"/>
        </w:trPr>
        <w:tc>
          <w:tcPr>
            <w:tcW w:w="1709" w:type="dxa"/>
            <w:shd w:val="clear" w:color="auto" w:fill="auto"/>
            <w:vAlign w:val="center"/>
            <w:hideMark/>
          </w:tcPr>
          <w:p w14:paraId="3663C792" w14:textId="77777777" w:rsidR="006F1A1C" w:rsidRPr="006F1A1C" w:rsidRDefault="006F1A1C" w:rsidP="006F1A1C">
            <w:pPr>
              <w:spacing w:after="0" w:line="240" w:lineRule="auto"/>
              <w:rPr>
                <w:rFonts w:ascii="Book Antiqua" w:eastAsia="宋体" w:hAnsi="Book Antiqua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ORR % (ICR)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2CEBF732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19%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14:paraId="7376F3C1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17%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7234F7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35%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966B953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22%</w:t>
            </w:r>
          </w:p>
        </w:tc>
      </w:tr>
      <w:tr w:rsidR="006F1A1C" w:rsidRPr="00047468" w14:paraId="75FEA635" w14:textId="77777777" w:rsidTr="00047468">
        <w:trPr>
          <w:trHeight w:val="1260"/>
        </w:trPr>
        <w:tc>
          <w:tcPr>
            <w:tcW w:w="1709" w:type="dxa"/>
            <w:shd w:val="clear" w:color="auto" w:fill="auto"/>
            <w:vAlign w:val="center"/>
            <w:hideMark/>
          </w:tcPr>
          <w:p w14:paraId="6817D288" w14:textId="77777777" w:rsidR="006F1A1C" w:rsidRPr="006F1A1C" w:rsidRDefault="006F1A1C" w:rsidP="006F1A1C">
            <w:pPr>
              <w:spacing w:after="0" w:line="240" w:lineRule="auto"/>
              <w:rPr>
                <w:rFonts w:ascii="Book Antiqua" w:eastAsia="宋体" w:hAnsi="Book Antiqua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b/>
                <w:bCs/>
                <w:color w:val="000000"/>
                <w:sz w:val="24"/>
                <w:szCs w:val="24"/>
                <w:lang w:val="en-US" w:eastAsia="zh-CN"/>
              </w:rPr>
              <w:lastRenderedPageBreak/>
              <w:t>Progression disease (%)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74F49D38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22%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14:paraId="67406A2C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12%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360B5A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4%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D5E4EB8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35%</w:t>
            </w:r>
          </w:p>
        </w:tc>
      </w:tr>
      <w:tr w:rsidR="006F1A1C" w:rsidRPr="00047468" w14:paraId="1602E084" w14:textId="77777777" w:rsidTr="00047468">
        <w:trPr>
          <w:trHeight w:val="636"/>
        </w:trPr>
        <w:tc>
          <w:tcPr>
            <w:tcW w:w="1709" w:type="dxa"/>
            <w:shd w:val="clear" w:color="auto" w:fill="auto"/>
            <w:vAlign w:val="center"/>
            <w:hideMark/>
          </w:tcPr>
          <w:p w14:paraId="453B3664" w14:textId="77777777" w:rsidR="006F1A1C" w:rsidRPr="006F1A1C" w:rsidRDefault="006F1A1C" w:rsidP="006F1A1C">
            <w:pPr>
              <w:spacing w:after="0" w:line="240" w:lineRule="auto"/>
              <w:rPr>
                <w:rFonts w:ascii="Book Antiqua" w:eastAsia="宋体" w:hAnsi="Book Antiqua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PFS (m)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0BA26CD4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6.7 (HR 0.66)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14:paraId="7135B3F7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7.4 (HR 0.51)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45F85A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12.8 (HR 0.40)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B5564A4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4.6 (HR 0.88)</w:t>
            </w:r>
          </w:p>
        </w:tc>
      </w:tr>
      <w:tr w:rsidR="006F1A1C" w:rsidRPr="00047468" w14:paraId="56795BCB" w14:textId="77777777" w:rsidTr="00047468">
        <w:trPr>
          <w:trHeight w:val="1572"/>
        </w:trPr>
        <w:tc>
          <w:tcPr>
            <w:tcW w:w="1709" w:type="dxa"/>
            <w:shd w:val="clear" w:color="auto" w:fill="auto"/>
            <w:vAlign w:val="center"/>
            <w:hideMark/>
          </w:tcPr>
          <w:p w14:paraId="076BE1E0" w14:textId="77777777" w:rsidR="006F1A1C" w:rsidRPr="006F1A1C" w:rsidRDefault="006F1A1C" w:rsidP="006F1A1C">
            <w:pPr>
              <w:spacing w:after="0" w:line="240" w:lineRule="auto"/>
              <w:rPr>
                <w:rFonts w:ascii="Book Antiqua" w:eastAsia="宋体" w:hAnsi="Book Antiqua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PFS (m) in pts with bone </w:t>
            </w:r>
            <w:proofErr w:type="spellStart"/>
            <w:r w:rsidRPr="006F1A1C">
              <w:rPr>
                <w:rFonts w:ascii="Book Antiqua" w:eastAsia="宋体" w:hAnsi="Book Antiqua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mets</w:t>
            </w:r>
            <w:proofErr w:type="spellEnd"/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50C51183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NR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14:paraId="333D9ED7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7.4 (HR 0.33)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03662F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NR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3740F3C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NR</w:t>
            </w:r>
          </w:p>
        </w:tc>
      </w:tr>
      <w:tr w:rsidR="006F1A1C" w:rsidRPr="00047468" w14:paraId="6E8EA588" w14:textId="77777777" w:rsidTr="00047468">
        <w:trPr>
          <w:trHeight w:val="636"/>
        </w:trPr>
        <w:tc>
          <w:tcPr>
            <w:tcW w:w="1709" w:type="dxa"/>
            <w:shd w:val="clear" w:color="auto" w:fill="auto"/>
            <w:vAlign w:val="center"/>
            <w:hideMark/>
          </w:tcPr>
          <w:p w14:paraId="08C36346" w14:textId="77777777" w:rsidR="006F1A1C" w:rsidRPr="006F1A1C" w:rsidRDefault="006F1A1C" w:rsidP="006F1A1C">
            <w:pPr>
              <w:spacing w:after="0" w:line="240" w:lineRule="auto"/>
              <w:rPr>
                <w:rFonts w:ascii="Book Antiqua" w:eastAsia="宋体" w:hAnsi="Book Antiqua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OS (m)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4AC436D1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20.1 (HR 0.96)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14:paraId="6477C737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21.4 (HR 0.66)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227A45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25.5 (HR 0.59)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FB99B7B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25.0 (HR 0.73)</w:t>
            </w:r>
          </w:p>
        </w:tc>
      </w:tr>
      <w:tr w:rsidR="006F1A1C" w:rsidRPr="00047468" w14:paraId="459038C9" w14:textId="77777777" w:rsidTr="00047468">
        <w:trPr>
          <w:trHeight w:val="948"/>
        </w:trPr>
        <w:tc>
          <w:tcPr>
            <w:tcW w:w="1709" w:type="dxa"/>
            <w:shd w:val="clear" w:color="auto" w:fill="auto"/>
            <w:vAlign w:val="center"/>
            <w:hideMark/>
          </w:tcPr>
          <w:p w14:paraId="7171492A" w14:textId="77777777" w:rsidR="006F1A1C" w:rsidRPr="006F1A1C" w:rsidRDefault="006F1A1C" w:rsidP="006F1A1C">
            <w:pPr>
              <w:spacing w:after="0" w:line="240" w:lineRule="auto"/>
              <w:rPr>
                <w:rFonts w:ascii="Book Antiqua" w:eastAsia="宋体" w:hAnsi="Book Antiqua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Dose reductions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2210CCB7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30%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14:paraId="798A5714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60%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3B88DC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71%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5FE3DA8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N/A</w:t>
            </w:r>
          </w:p>
        </w:tc>
      </w:tr>
      <w:tr w:rsidR="006F1A1C" w:rsidRPr="00047468" w14:paraId="674D3767" w14:textId="77777777" w:rsidTr="00047468">
        <w:trPr>
          <w:trHeight w:val="1260"/>
        </w:trPr>
        <w:tc>
          <w:tcPr>
            <w:tcW w:w="1709" w:type="dxa"/>
            <w:shd w:val="clear" w:color="auto" w:fill="auto"/>
            <w:vAlign w:val="center"/>
            <w:hideMark/>
          </w:tcPr>
          <w:p w14:paraId="48DF604B" w14:textId="77777777" w:rsidR="006F1A1C" w:rsidRPr="006F1A1C" w:rsidRDefault="006F1A1C" w:rsidP="006F1A1C">
            <w:pPr>
              <w:spacing w:after="0" w:line="240" w:lineRule="auto"/>
              <w:rPr>
                <w:rFonts w:ascii="Book Antiqua" w:eastAsia="宋体" w:hAnsi="Book Antiqua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Discontinuations due to AEs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3C7DFEF4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7%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14:paraId="48AAAB16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9%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7239AA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25%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71B2451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8%</w:t>
            </w:r>
          </w:p>
        </w:tc>
      </w:tr>
      <w:tr w:rsidR="006F1A1C" w:rsidRPr="00047468" w14:paraId="40F70681" w14:textId="77777777" w:rsidTr="00047468">
        <w:trPr>
          <w:trHeight w:val="948"/>
        </w:trPr>
        <w:tc>
          <w:tcPr>
            <w:tcW w:w="1709" w:type="dxa"/>
            <w:shd w:val="clear" w:color="auto" w:fill="auto"/>
            <w:vAlign w:val="center"/>
            <w:hideMark/>
          </w:tcPr>
          <w:p w14:paraId="18534D8D" w14:textId="77777777" w:rsidR="006F1A1C" w:rsidRPr="006F1A1C" w:rsidRDefault="006F1A1C" w:rsidP="006F1A1C">
            <w:pPr>
              <w:spacing w:after="0" w:line="240" w:lineRule="auto"/>
              <w:rPr>
                <w:rFonts w:ascii="Book Antiqua" w:eastAsia="宋体" w:hAnsi="Book Antiqua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Toxicity G3/4 (%)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4ED2D99D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56%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14:paraId="09F32924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68%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7DFA08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71%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BEDE857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19%</w:t>
            </w:r>
          </w:p>
        </w:tc>
      </w:tr>
      <w:tr w:rsidR="006F1A1C" w:rsidRPr="00047468" w14:paraId="3A86F13C" w14:textId="77777777" w:rsidTr="00047468">
        <w:trPr>
          <w:trHeight w:val="948"/>
        </w:trPr>
        <w:tc>
          <w:tcPr>
            <w:tcW w:w="1709" w:type="dxa"/>
            <w:shd w:val="clear" w:color="auto" w:fill="auto"/>
            <w:vAlign w:val="center"/>
            <w:hideMark/>
          </w:tcPr>
          <w:p w14:paraId="5FC165D8" w14:textId="42471CE5" w:rsidR="006F1A1C" w:rsidRPr="006F1A1C" w:rsidRDefault="006F1A1C" w:rsidP="00047468">
            <w:pPr>
              <w:spacing w:after="0" w:line="240" w:lineRule="auto"/>
              <w:rPr>
                <w:rFonts w:ascii="Book Antiqua" w:eastAsia="宋体" w:hAnsi="Book Antiqua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Average monthly </w:t>
            </w:r>
            <w:r w:rsidR="00047468">
              <w:rPr>
                <w:rFonts w:ascii="Book Antiqua" w:eastAsia="宋体" w:hAnsi="Book Antiqua" w:cs="宋体"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c</w:t>
            </w:r>
            <w:r w:rsidRPr="006F1A1C">
              <w:rPr>
                <w:rFonts w:ascii="Book Antiqua" w:eastAsia="宋体" w:hAnsi="Book Antiqua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ost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196CE74A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9,580$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14:paraId="01F1B0DE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10,229$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1AE3DB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22,461$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2A40CAD" w14:textId="77777777" w:rsidR="006F1A1C" w:rsidRPr="006F1A1C" w:rsidRDefault="006F1A1C" w:rsidP="006F1A1C">
            <w:pPr>
              <w:spacing w:after="0" w:line="240" w:lineRule="auto"/>
              <w:jc w:val="center"/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</w:pPr>
            <w:r w:rsidRPr="006F1A1C">
              <w:rPr>
                <w:rFonts w:ascii="Book Antiqua" w:eastAsia="宋体" w:hAnsi="Book Antiqua" w:cs="宋体"/>
                <w:color w:val="000000"/>
                <w:sz w:val="24"/>
                <w:szCs w:val="24"/>
                <w:lang w:val="en-US" w:eastAsia="zh-CN"/>
              </w:rPr>
              <w:t>12,435$</w:t>
            </w:r>
          </w:p>
        </w:tc>
      </w:tr>
    </w:tbl>
    <w:p w14:paraId="54BDDBDB" w14:textId="4BDFF50B" w:rsidR="00A158AA" w:rsidRPr="00EC4C5D" w:rsidRDefault="009C4FA5" w:rsidP="00EC4C5D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EC4C5D">
        <w:rPr>
          <w:rFonts w:ascii="Book Antiqua" w:hAnsi="Book Antiqua"/>
          <w:sz w:val="24"/>
          <w:szCs w:val="24"/>
          <w:lang w:val="en-US"/>
        </w:rPr>
        <w:t>MSKCC</w:t>
      </w:r>
      <w:r w:rsidR="00047468">
        <w:rPr>
          <w:rFonts w:ascii="Book Antiqua" w:hAnsi="Book Antiqua" w:hint="eastAsia"/>
          <w:sz w:val="24"/>
          <w:szCs w:val="24"/>
          <w:lang w:val="en-US" w:eastAsia="zh-CN"/>
        </w:rPr>
        <w:t>:</w:t>
      </w:r>
      <w:r w:rsidRPr="00EC4C5D">
        <w:rPr>
          <w:rFonts w:ascii="Book Antiqua" w:hAnsi="Book Antiqua"/>
          <w:sz w:val="24"/>
          <w:szCs w:val="24"/>
          <w:lang w:val="en-US"/>
        </w:rPr>
        <w:t xml:space="preserve"> Memorial Sloan Kettering Cancer Center Criteria; ORR</w:t>
      </w:r>
      <w:r w:rsidR="00047468">
        <w:rPr>
          <w:rFonts w:ascii="Book Antiqua" w:hAnsi="Book Antiqua" w:hint="eastAsia"/>
          <w:sz w:val="24"/>
          <w:szCs w:val="24"/>
          <w:lang w:val="en-US" w:eastAsia="zh-CN"/>
        </w:rPr>
        <w:t>:</w:t>
      </w:r>
      <w:r w:rsidRPr="00EC4C5D">
        <w:rPr>
          <w:rFonts w:ascii="Book Antiqua" w:hAnsi="Book Antiqua"/>
          <w:sz w:val="24"/>
          <w:szCs w:val="24"/>
          <w:lang w:val="en-US"/>
        </w:rPr>
        <w:t xml:space="preserve"> Overall </w:t>
      </w:r>
      <w:r w:rsidR="00047468" w:rsidRPr="00EC4C5D">
        <w:rPr>
          <w:rFonts w:ascii="Book Antiqua" w:hAnsi="Book Antiqua"/>
          <w:sz w:val="24"/>
          <w:szCs w:val="24"/>
          <w:lang w:val="en-US"/>
        </w:rPr>
        <w:t>response ra</w:t>
      </w:r>
      <w:r w:rsidRPr="00EC4C5D">
        <w:rPr>
          <w:rFonts w:ascii="Book Antiqua" w:hAnsi="Book Antiqua"/>
          <w:sz w:val="24"/>
          <w:szCs w:val="24"/>
          <w:lang w:val="en-US"/>
        </w:rPr>
        <w:t>te; OS</w:t>
      </w:r>
      <w:r w:rsidR="00047468">
        <w:rPr>
          <w:rFonts w:ascii="Book Antiqua" w:hAnsi="Book Antiqua" w:hint="eastAsia"/>
          <w:sz w:val="24"/>
          <w:szCs w:val="24"/>
          <w:lang w:val="en-US" w:eastAsia="zh-CN"/>
        </w:rPr>
        <w:t xml:space="preserve">: </w:t>
      </w:r>
      <w:r w:rsidRPr="00EC4C5D">
        <w:rPr>
          <w:rFonts w:ascii="Book Antiqua" w:hAnsi="Book Antiqua"/>
          <w:sz w:val="24"/>
          <w:szCs w:val="24"/>
          <w:lang w:val="en-US"/>
        </w:rPr>
        <w:t xml:space="preserve">Overall </w:t>
      </w:r>
      <w:r w:rsidR="00047468">
        <w:rPr>
          <w:rFonts w:ascii="Book Antiqua" w:hAnsi="Book Antiqua" w:hint="eastAsia"/>
          <w:sz w:val="24"/>
          <w:szCs w:val="24"/>
          <w:lang w:val="en-US" w:eastAsia="zh-CN"/>
        </w:rPr>
        <w:t>s</w:t>
      </w:r>
      <w:r w:rsidRPr="00EC4C5D">
        <w:rPr>
          <w:rFonts w:ascii="Book Antiqua" w:hAnsi="Book Antiqua"/>
          <w:sz w:val="24"/>
          <w:szCs w:val="24"/>
          <w:lang w:val="en-US"/>
        </w:rPr>
        <w:t>urvival; PFS</w:t>
      </w:r>
      <w:r w:rsidR="00047468">
        <w:rPr>
          <w:rFonts w:ascii="Book Antiqua" w:hAnsi="Book Antiqua" w:hint="eastAsia"/>
          <w:sz w:val="24"/>
          <w:szCs w:val="24"/>
          <w:lang w:val="en-US" w:eastAsia="zh-CN"/>
        </w:rPr>
        <w:t>:</w:t>
      </w:r>
      <w:r w:rsidRPr="00EC4C5D">
        <w:rPr>
          <w:rFonts w:ascii="Book Antiqua" w:hAnsi="Book Antiqua"/>
          <w:sz w:val="24"/>
          <w:szCs w:val="24"/>
          <w:lang w:val="en-US"/>
        </w:rPr>
        <w:t xml:space="preserve"> Progression </w:t>
      </w:r>
      <w:r w:rsidR="00047468" w:rsidRPr="00EC4C5D">
        <w:rPr>
          <w:rFonts w:ascii="Book Antiqua" w:hAnsi="Book Antiqua"/>
          <w:sz w:val="24"/>
          <w:szCs w:val="24"/>
          <w:lang w:val="en-US"/>
        </w:rPr>
        <w:t>free surv</w:t>
      </w:r>
      <w:r w:rsidRPr="00EC4C5D">
        <w:rPr>
          <w:rFonts w:ascii="Book Antiqua" w:hAnsi="Book Antiqua"/>
          <w:sz w:val="24"/>
          <w:szCs w:val="24"/>
          <w:lang w:val="en-US"/>
        </w:rPr>
        <w:t>ival; AE</w:t>
      </w:r>
      <w:r w:rsidR="00047468">
        <w:rPr>
          <w:rFonts w:ascii="Book Antiqua" w:hAnsi="Book Antiqua" w:hint="eastAsia"/>
          <w:sz w:val="24"/>
          <w:szCs w:val="24"/>
          <w:lang w:val="en-US" w:eastAsia="zh-CN"/>
        </w:rPr>
        <w:t>:</w:t>
      </w:r>
      <w:r w:rsidRPr="00EC4C5D">
        <w:rPr>
          <w:rFonts w:ascii="Book Antiqua" w:hAnsi="Book Antiqua"/>
          <w:sz w:val="24"/>
          <w:szCs w:val="24"/>
          <w:lang w:val="en-US"/>
        </w:rPr>
        <w:t xml:space="preserve"> Adverse </w:t>
      </w:r>
      <w:r w:rsidR="00047468">
        <w:rPr>
          <w:rFonts w:ascii="Book Antiqua" w:hAnsi="Book Antiqua" w:hint="eastAsia"/>
          <w:sz w:val="24"/>
          <w:szCs w:val="24"/>
          <w:lang w:val="en-US" w:eastAsia="zh-CN"/>
        </w:rPr>
        <w:t>e</w:t>
      </w:r>
      <w:r w:rsidRPr="00EC4C5D">
        <w:rPr>
          <w:rFonts w:ascii="Book Antiqua" w:hAnsi="Book Antiqua"/>
          <w:sz w:val="24"/>
          <w:szCs w:val="24"/>
          <w:lang w:val="en-US"/>
        </w:rPr>
        <w:t>vents.</w:t>
      </w:r>
    </w:p>
    <w:sectPr w:rsidR="00A158AA" w:rsidRPr="00EC4C5D" w:rsidSect="000A4B98">
      <w:footerReference w:type="even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9ED6F" w14:textId="77777777" w:rsidR="00507081" w:rsidRDefault="00507081" w:rsidP="00751FAD">
      <w:pPr>
        <w:spacing w:after="0" w:line="240" w:lineRule="auto"/>
      </w:pPr>
      <w:r>
        <w:separator/>
      </w:r>
    </w:p>
  </w:endnote>
  <w:endnote w:type="continuationSeparator" w:id="0">
    <w:p w14:paraId="22A4E2AA" w14:textId="77777777" w:rsidR="00507081" w:rsidRDefault="00507081" w:rsidP="0075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Cheltenham-Book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f133f9c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DF60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MyriadPro-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T7c3c51d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4DF6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4602E" w14:textId="77777777" w:rsidR="00767B0E" w:rsidRDefault="00F840B8" w:rsidP="00A134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7B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AA927C" w14:textId="77777777" w:rsidR="00767B0E" w:rsidRDefault="00767B0E" w:rsidP="00A1340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38A2F" w14:textId="77777777" w:rsidR="00767B0E" w:rsidRDefault="00F840B8" w:rsidP="00A134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7B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2E20">
      <w:rPr>
        <w:rStyle w:val="PageNumber"/>
        <w:noProof/>
      </w:rPr>
      <w:t>18</w:t>
    </w:r>
    <w:r>
      <w:rPr>
        <w:rStyle w:val="PageNumber"/>
      </w:rPr>
      <w:fldChar w:fldCharType="end"/>
    </w:r>
  </w:p>
  <w:p w14:paraId="53990BB5" w14:textId="77777777" w:rsidR="00767B0E" w:rsidRDefault="00767B0E" w:rsidP="00A134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EB9C9" w14:textId="77777777" w:rsidR="00507081" w:rsidRDefault="00507081" w:rsidP="00751FAD">
      <w:pPr>
        <w:spacing w:after="0" w:line="240" w:lineRule="auto"/>
      </w:pPr>
      <w:r>
        <w:separator/>
      </w:r>
    </w:p>
  </w:footnote>
  <w:footnote w:type="continuationSeparator" w:id="0">
    <w:p w14:paraId="317A2F03" w14:textId="77777777" w:rsidR="00507081" w:rsidRDefault="00507081" w:rsidP="00751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184B"/>
    <w:multiLevelType w:val="hybridMultilevel"/>
    <w:tmpl w:val="2DF6B5E8"/>
    <w:lvl w:ilvl="0" w:tplc="23700870">
      <w:start w:val="1"/>
      <w:numFmt w:val="decimal"/>
      <w:lvlText w:val="%1)"/>
      <w:lvlJc w:val="left"/>
      <w:pPr>
        <w:ind w:left="502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67DDB"/>
    <w:multiLevelType w:val="multilevel"/>
    <w:tmpl w:val="0D56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98244F"/>
    <w:multiLevelType w:val="hybridMultilevel"/>
    <w:tmpl w:val="1012C560"/>
    <w:lvl w:ilvl="0" w:tplc="C616EF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178F3"/>
    <w:multiLevelType w:val="hybridMultilevel"/>
    <w:tmpl w:val="B8DA1AFC"/>
    <w:lvl w:ilvl="0" w:tplc="A8181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A8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8AB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B0A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2E2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9E4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00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465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AA0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BB140B3"/>
    <w:multiLevelType w:val="hybridMultilevel"/>
    <w:tmpl w:val="8D50A0D2"/>
    <w:lvl w:ilvl="0" w:tplc="3ED6F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68D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B27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FEA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283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444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CB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6C4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12A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8760CAC"/>
    <w:multiLevelType w:val="hybridMultilevel"/>
    <w:tmpl w:val="2DF6B5E8"/>
    <w:lvl w:ilvl="0" w:tplc="2370087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9C"/>
    <w:rsid w:val="00004C55"/>
    <w:rsid w:val="0000610F"/>
    <w:rsid w:val="00011625"/>
    <w:rsid w:val="00016CF8"/>
    <w:rsid w:val="00020EAD"/>
    <w:rsid w:val="00021868"/>
    <w:rsid w:val="00035329"/>
    <w:rsid w:val="00036A50"/>
    <w:rsid w:val="00040906"/>
    <w:rsid w:val="00047468"/>
    <w:rsid w:val="000515C8"/>
    <w:rsid w:val="00063A4F"/>
    <w:rsid w:val="00067A73"/>
    <w:rsid w:val="00070A3E"/>
    <w:rsid w:val="00093AE9"/>
    <w:rsid w:val="0009478E"/>
    <w:rsid w:val="000A027D"/>
    <w:rsid w:val="000A4B98"/>
    <w:rsid w:val="000B0789"/>
    <w:rsid w:val="000B42FE"/>
    <w:rsid w:val="000E06DB"/>
    <w:rsid w:val="00102269"/>
    <w:rsid w:val="00107FAA"/>
    <w:rsid w:val="001111E4"/>
    <w:rsid w:val="00117C24"/>
    <w:rsid w:val="001372F0"/>
    <w:rsid w:val="001376AD"/>
    <w:rsid w:val="00140E35"/>
    <w:rsid w:val="0015059C"/>
    <w:rsid w:val="00154F1D"/>
    <w:rsid w:val="00161B04"/>
    <w:rsid w:val="00161BA2"/>
    <w:rsid w:val="001646E2"/>
    <w:rsid w:val="00177A36"/>
    <w:rsid w:val="001A67AB"/>
    <w:rsid w:val="001A6B64"/>
    <w:rsid w:val="001C2E20"/>
    <w:rsid w:val="001C3A65"/>
    <w:rsid w:val="001D311B"/>
    <w:rsid w:val="001E0B7A"/>
    <w:rsid w:val="001E48B4"/>
    <w:rsid w:val="001E6ACC"/>
    <w:rsid w:val="001E75B0"/>
    <w:rsid w:val="00211BF4"/>
    <w:rsid w:val="00211FE2"/>
    <w:rsid w:val="00223C2D"/>
    <w:rsid w:val="0024226C"/>
    <w:rsid w:val="00243E1B"/>
    <w:rsid w:val="00246255"/>
    <w:rsid w:val="002466FD"/>
    <w:rsid w:val="002518A8"/>
    <w:rsid w:val="0025592D"/>
    <w:rsid w:val="00261D64"/>
    <w:rsid w:val="00270190"/>
    <w:rsid w:val="0027366E"/>
    <w:rsid w:val="00284A5B"/>
    <w:rsid w:val="002909DD"/>
    <w:rsid w:val="00291215"/>
    <w:rsid w:val="00292C82"/>
    <w:rsid w:val="00293314"/>
    <w:rsid w:val="00293774"/>
    <w:rsid w:val="002963EF"/>
    <w:rsid w:val="002B0326"/>
    <w:rsid w:val="002C107D"/>
    <w:rsid w:val="002C12E0"/>
    <w:rsid w:val="002F6452"/>
    <w:rsid w:val="00301FFC"/>
    <w:rsid w:val="003035D2"/>
    <w:rsid w:val="00305EC4"/>
    <w:rsid w:val="00336412"/>
    <w:rsid w:val="00346797"/>
    <w:rsid w:val="00352C14"/>
    <w:rsid w:val="00364F99"/>
    <w:rsid w:val="0037539A"/>
    <w:rsid w:val="00387CCE"/>
    <w:rsid w:val="00390EE5"/>
    <w:rsid w:val="003A109A"/>
    <w:rsid w:val="003A192C"/>
    <w:rsid w:val="003C7369"/>
    <w:rsid w:val="003D2518"/>
    <w:rsid w:val="003D44A7"/>
    <w:rsid w:val="003D48B5"/>
    <w:rsid w:val="003D6B11"/>
    <w:rsid w:val="003E288B"/>
    <w:rsid w:val="003E5EEB"/>
    <w:rsid w:val="00404228"/>
    <w:rsid w:val="00407EB1"/>
    <w:rsid w:val="004160FB"/>
    <w:rsid w:val="004317B1"/>
    <w:rsid w:val="00437A3D"/>
    <w:rsid w:val="00444902"/>
    <w:rsid w:val="00455405"/>
    <w:rsid w:val="00465570"/>
    <w:rsid w:val="00466A8A"/>
    <w:rsid w:val="00476991"/>
    <w:rsid w:val="00480A64"/>
    <w:rsid w:val="00483025"/>
    <w:rsid w:val="00486BB7"/>
    <w:rsid w:val="004912C1"/>
    <w:rsid w:val="00495865"/>
    <w:rsid w:val="004961EE"/>
    <w:rsid w:val="004B2872"/>
    <w:rsid w:val="004C1D09"/>
    <w:rsid w:val="004F1F33"/>
    <w:rsid w:val="004F71B6"/>
    <w:rsid w:val="00506CAF"/>
    <w:rsid w:val="00507081"/>
    <w:rsid w:val="00514412"/>
    <w:rsid w:val="005750BB"/>
    <w:rsid w:val="005812A8"/>
    <w:rsid w:val="00582674"/>
    <w:rsid w:val="00585F9A"/>
    <w:rsid w:val="005936CD"/>
    <w:rsid w:val="005B7910"/>
    <w:rsid w:val="005B79BF"/>
    <w:rsid w:val="005C5789"/>
    <w:rsid w:val="005D5DD3"/>
    <w:rsid w:val="005E4592"/>
    <w:rsid w:val="005E68E7"/>
    <w:rsid w:val="005F1093"/>
    <w:rsid w:val="005F649B"/>
    <w:rsid w:val="00607286"/>
    <w:rsid w:val="00607953"/>
    <w:rsid w:val="00610CFF"/>
    <w:rsid w:val="006116B4"/>
    <w:rsid w:val="00612649"/>
    <w:rsid w:val="00615571"/>
    <w:rsid w:val="00616DE4"/>
    <w:rsid w:val="00624A3F"/>
    <w:rsid w:val="00660A60"/>
    <w:rsid w:val="006624A3"/>
    <w:rsid w:val="006707CE"/>
    <w:rsid w:val="006722E6"/>
    <w:rsid w:val="00681207"/>
    <w:rsid w:val="0069044B"/>
    <w:rsid w:val="006D725C"/>
    <w:rsid w:val="006D7841"/>
    <w:rsid w:val="006E4E5E"/>
    <w:rsid w:val="006E6E83"/>
    <w:rsid w:val="006F1273"/>
    <w:rsid w:val="006F1A1C"/>
    <w:rsid w:val="006F2631"/>
    <w:rsid w:val="00704EC0"/>
    <w:rsid w:val="00717DC0"/>
    <w:rsid w:val="00723E8F"/>
    <w:rsid w:val="00736986"/>
    <w:rsid w:val="0075002E"/>
    <w:rsid w:val="00751FAD"/>
    <w:rsid w:val="00762F6D"/>
    <w:rsid w:val="00764D70"/>
    <w:rsid w:val="00766173"/>
    <w:rsid w:val="00767B0E"/>
    <w:rsid w:val="007A53D7"/>
    <w:rsid w:val="007C41F3"/>
    <w:rsid w:val="007C5165"/>
    <w:rsid w:val="007D0C0E"/>
    <w:rsid w:val="007D2CA3"/>
    <w:rsid w:val="007D569F"/>
    <w:rsid w:val="007E466B"/>
    <w:rsid w:val="007F08CA"/>
    <w:rsid w:val="007F0E3B"/>
    <w:rsid w:val="007F709C"/>
    <w:rsid w:val="007F745A"/>
    <w:rsid w:val="00803E9E"/>
    <w:rsid w:val="00815265"/>
    <w:rsid w:val="00845A4C"/>
    <w:rsid w:val="00845C90"/>
    <w:rsid w:val="00870D7B"/>
    <w:rsid w:val="00871FA4"/>
    <w:rsid w:val="0087227B"/>
    <w:rsid w:val="00875654"/>
    <w:rsid w:val="00887585"/>
    <w:rsid w:val="008B1231"/>
    <w:rsid w:val="008B5B87"/>
    <w:rsid w:val="008B752D"/>
    <w:rsid w:val="008C5DFE"/>
    <w:rsid w:val="008D4E59"/>
    <w:rsid w:val="008D51A9"/>
    <w:rsid w:val="008D5B0B"/>
    <w:rsid w:val="008D75C5"/>
    <w:rsid w:val="008D7CAE"/>
    <w:rsid w:val="008E38E9"/>
    <w:rsid w:val="008F45FF"/>
    <w:rsid w:val="008F7D07"/>
    <w:rsid w:val="00901A6D"/>
    <w:rsid w:val="0091603D"/>
    <w:rsid w:val="00916E30"/>
    <w:rsid w:val="00930407"/>
    <w:rsid w:val="00933DA2"/>
    <w:rsid w:val="0093589B"/>
    <w:rsid w:val="00937737"/>
    <w:rsid w:val="00951CE1"/>
    <w:rsid w:val="0095603A"/>
    <w:rsid w:val="00977DA0"/>
    <w:rsid w:val="00995D16"/>
    <w:rsid w:val="00997540"/>
    <w:rsid w:val="009A28DB"/>
    <w:rsid w:val="009A35D1"/>
    <w:rsid w:val="009A5833"/>
    <w:rsid w:val="009B2D2C"/>
    <w:rsid w:val="009C4FA5"/>
    <w:rsid w:val="009C6E69"/>
    <w:rsid w:val="009D0DC8"/>
    <w:rsid w:val="009D4906"/>
    <w:rsid w:val="009F0C72"/>
    <w:rsid w:val="00A057CC"/>
    <w:rsid w:val="00A13403"/>
    <w:rsid w:val="00A158AA"/>
    <w:rsid w:val="00A24897"/>
    <w:rsid w:val="00A40502"/>
    <w:rsid w:val="00A43AFE"/>
    <w:rsid w:val="00A524BD"/>
    <w:rsid w:val="00A83D45"/>
    <w:rsid w:val="00AA37B3"/>
    <w:rsid w:val="00AB374A"/>
    <w:rsid w:val="00AB65F1"/>
    <w:rsid w:val="00AB6B93"/>
    <w:rsid w:val="00AB7DBC"/>
    <w:rsid w:val="00AC6BC7"/>
    <w:rsid w:val="00AD37D5"/>
    <w:rsid w:val="00AD49CD"/>
    <w:rsid w:val="00AE3D5D"/>
    <w:rsid w:val="00AF0D0E"/>
    <w:rsid w:val="00B05729"/>
    <w:rsid w:val="00B069AF"/>
    <w:rsid w:val="00B1533B"/>
    <w:rsid w:val="00B15F3B"/>
    <w:rsid w:val="00B234CF"/>
    <w:rsid w:val="00B30C57"/>
    <w:rsid w:val="00B34D1B"/>
    <w:rsid w:val="00B3753A"/>
    <w:rsid w:val="00B45C44"/>
    <w:rsid w:val="00B50574"/>
    <w:rsid w:val="00B5486E"/>
    <w:rsid w:val="00B55AE8"/>
    <w:rsid w:val="00B60C2D"/>
    <w:rsid w:val="00B60C81"/>
    <w:rsid w:val="00B62A38"/>
    <w:rsid w:val="00B7730C"/>
    <w:rsid w:val="00B81144"/>
    <w:rsid w:val="00B85F21"/>
    <w:rsid w:val="00B86992"/>
    <w:rsid w:val="00B86BC3"/>
    <w:rsid w:val="00B92613"/>
    <w:rsid w:val="00BA2963"/>
    <w:rsid w:val="00BB4EBC"/>
    <w:rsid w:val="00BE4E42"/>
    <w:rsid w:val="00BE5DBF"/>
    <w:rsid w:val="00C20175"/>
    <w:rsid w:val="00C50CAC"/>
    <w:rsid w:val="00C5154B"/>
    <w:rsid w:val="00C57398"/>
    <w:rsid w:val="00C60764"/>
    <w:rsid w:val="00C64E5C"/>
    <w:rsid w:val="00C72550"/>
    <w:rsid w:val="00C72FF7"/>
    <w:rsid w:val="00C80CA5"/>
    <w:rsid w:val="00C9565B"/>
    <w:rsid w:val="00CB0542"/>
    <w:rsid w:val="00CB3EDE"/>
    <w:rsid w:val="00CB4274"/>
    <w:rsid w:val="00CB5D86"/>
    <w:rsid w:val="00CB64D9"/>
    <w:rsid w:val="00CF7185"/>
    <w:rsid w:val="00CF75E9"/>
    <w:rsid w:val="00CF7A7F"/>
    <w:rsid w:val="00D02AA2"/>
    <w:rsid w:val="00D12748"/>
    <w:rsid w:val="00D13149"/>
    <w:rsid w:val="00D14578"/>
    <w:rsid w:val="00D35096"/>
    <w:rsid w:val="00D76B64"/>
    <w:rsid w:val="00D774EA"/>
    <w:rsid w:val="00D82186"/>
    <w:rsid w:val="00D84920"/>
    <w:rsid w:val="00D863D2"/>
    <w:rsid w:val="00DA0041"/>
    <w:rsid w:val="00DA38EA"/>
    <w:rsid w:val="00DA6E7E"/>
    <w:rsid w:val="00DB17A6"/>
    <w:rsid w:val="00DB195C"/>
    <w:rsid w:val="00DB1D77"/>
    <w:rsid w:val="00DC04ED"/>
    <w:rsid w:val="00DC5BD8"/>
    <w:rsid w:val="00DC6469"/>
    <w:rsid w:val="00DD0514"/>
    <w:rsid w:val="00DD41C5"/>
    <w:rsid w:val="00DD6AB4"/>
    <w:rsid w:val="00DE490E"/>
    <w:rsid w:val="00E15BE4"/>
    <w:rsid w:val="00E3003F"/>
    <w:rsid w:val="00E61174"/>
    <w:rsid w:val="00E61BDC"/>
    <w:rsid w:val="00E61EC8"/>
    <w:rsid w:val="00E61EEB"/>
    <w:rsid w:val="00E64BC3"/>
    <w:rsid w:val="00E739F9"/>
    <w:rsid w:val="00E82183"/>
    <w:rsid w:val="00E83686"/>
    <w:rsid w:val="00EA21C0"/>
    <w:rsid w:val="00EA5719"/>
    <w:rsid w:val="00EB1308"/>
    <w:rsid w:val="00EB50B3"/>
    <w:rsid w:val="00EC4C5D"/>
    <w:rsid w:val="00ED38FD"/>
    <w:rsid w:val="00ED53B4"/>
    <w:rsid w:val="00EE7282"/>
    <w:rsid w:val="00EF31D1"/>
    <w:rsid w:val="00F065A9"/>
    <w:rsid w:val="00F07DA2"/>
    <w:rsid w:val="00F16E6A"/>
    <w:rsid w:val="00F30B8B"/>
    <w:rsid w:val="00F3159C"/>
    <w:rsid w:val="00F364C0"/>
    <w:rsid w:val="00F3764E"/>
    <w:rsid w:val="00F63097"/>
    <w:rsid w:val="00F663D5"/>
    <w:rsid w:val="00F7326E"/>
    <w:rsid w:val="00F840B8"/>
    <w:rsid w:val="00F84B5A"/>
    <w:rsid w:val="00F92D56"/>
    <w:rsid w:val="00FA3C9C"/>
    <w:rsid w:val="00FA62B7"/>
    <w:rsid w:val="00FA73A7"/>
    <w:rsid w:val="00FB4F46"/>
    <w:rsid w:val="00FB711A"/>
    <w:rsid w:val="00FB7B1A"/>
    <w:rsid w:val="00FC2127"/>
    <w:rsid w:val="00FC369F"/>
    <w:rsid w:val="00FD6DC2"/>
    <w:rsid w:val="00FE08F3"/>
    <w:rsid w:val="00FF55F7"/>
    <w:rsid w:val="00FF6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CA4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B98"/>
  </w:style>
  <w:style w:type="paragraph" w:styleId="Heading1">
    <w:name w:val="heading 1"/>
    <w:basedOn w:val="Normal"/>
    <w:link w:val="Heading1Char"/>
    <w:uiPriority w:val="9"/>
    <w:qFormat/>
    <w:rsid w:val="005C5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09C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514412"/>
    <w:pPr>
      <w:tabs>
        <w:tab w:val="left" w:pos="384"/>
      </w:tabs>
      <w:spacing w:after="240" w:line="240" w:lineRule="auto"/>
      <w:ind w:left="384" w:hanging="384"/>
    </w:pPr>
  </w:style>
  <w:style w:type="paragraph" w:styleId="NormalWeb">
    <w:name w:val="Normal (Web)"/>
    <w:basedOn w:val="Normal"/>
    <w:uiPriority w:val="99"/>
    <w:semiHidden/>
    <w:unhideWhenUsed/>
    <w:rsid w:val="005C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Strong">
    <w:name w:val="Strong"/>
    <w:basedOn w:val="DefaultParagraphFont"/>
    <w:uiPriority w:val="22"/>
    <w:qFormat/>
    <w:rsid w:val="005C5789"/>
    <w:rPr>
      <w:b/>
      <w:bCs/>
    </w:rPr>
  </w:style>
  <w:style w:type="character" w:customStyle="1" w:styleId="apple-converted-space">
    <w:name w:val="apple-converted-space"/>
    <w:basedOn w:val="DefaultParagraphFont"/>
    <w:rsid w:val="005C5789"/>
  </w:style>
  <w:style w:type="character" w:styleId="Emphasis">
    <w:name w:val="Emphasis"/>
    <w:basedOn w:val="DefaultParagraphFont"/>
    <w:uiPriority w:val="20"/>
    <w:qFormat/>
    <w:rsid w:val="005C578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C578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Default">
    <w:name w:val="Default"/>
    <w:rsid w:val="00723E8F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723E8F"/>
    <w:pPr>
      <w:spacing w:line="201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2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58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F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FAD"/>
  </w:style>
  <w:style w:type="paragraph" w:styleId="Footer">
    <w:name w:val="footer"/>
    <w:basedOn w:val="Normal"/>
    <w:link w:val="FooterChar"/>
    <w:uiPriority w:val="99"/>
    <w:unhideWhenUsed/>
    <w:rsid w:val="00751F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FAD"/>
  </w:style>
  <w:style w:type="character" w:styleId="PageNumber">
    <w:name w:val="page number"/>
    <w:basedOn w:val="DefaultParagraphFont"/>
    <w:uiPriority w:val="99"/>
    <w:semiHidden/>
    <w:unhideWhenUsed/>
    <w:rsid w:val="00A13403"/>
  </w:style>
  <w:style w:type="character" w:styleId="FollowedHyperlink">
    <w:name w:val="FollowedHyperlink"/>
    <w:basedOn w:val="DefaultParagraphFont"/>
    <w:uiPriority w:val="99"/>
    <w:semiHidden/>
    <w:unhideWhenUsed/>
    <w:rsid w:val="006F127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57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72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72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7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7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B98"/>
  </w:style>
  <w:style w:type="paragraph" w:styleId="Heading1">
    <w:name w:val="heading 1"/>
    <w:basedOn w:val="Normal"/>
    <w:link w:val="Heading1Char"/>
    <w:uiPriority w:val="9"/>
    <w:qFormat/>
    <w:rsid w:val="005C5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09C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514412"/>
    <w:pPr>
      <w:tabs>
        <w:tab w:val="left" w:pos="384"/>
      </w:tabs>
      <w:spacing w:after="240" w:line="240" w:lineRule="auto"/>
      <w:ind w:left="384" w:hanging="384"/>
    </w:pPr>
  </w:style>
  <w:style w:type="paragraph" w:styleId="NormalWeb">
    <w:name w:val="Normal (Web)"/>
    <w:basedOn w:val="Normal"/>
    <w:uiPriority w:val="99"/>
    <w:semiHidden/>
    <w:unhideWhenUsed/>
    <w:rsid w:val="005C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Strong">
    <w:name w:val="Strong"/>
    <w:basedOn w:val="DefaultParagraphFont"/>
    <w:uiPriority w:val="22"/>
    <w:qFormat/>
    <w:rsid w:val="005C5789"/>
    <w:rPr>
      <w:b/>
      <w:bCs/>
    </w:rPr>
  </w:style>
  <w:style w:type="character" w:customStyle="1" w:styleId="apple-converted-space">
    <w:name w:val="apple-converted-space"/>
    <w:basedOn w:val="DefaultParagraphFont"/>
    <w:rsid w:val="005C5789"/>
  </w:style>
  <w:style w:type="character" w:styleId="Emphasis">
    <w:name w:val="Emphasis"/>
    <w:basedOn w:val="DefaultParagraphFont"/>
    <w:uiPriority w:val="20"/>
    <w:qFormat/>
    <w:rsid w:val="005C578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C578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Default">
    <w:name w:val="Default"/>
    <w:rsid w:val="00723E8F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723E8F"/>
    <w:pPr>
      <w:spacing w:line="201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2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58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F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FAD"/>
  </w:style>
  <w:style w:type="paragraph" w:styleId="Footer">
    <w:name w:val="footer"/>
    <w:basedOn w:val="Normal"/>
    <w:link w:val="FooterChar"/>
    <w:uiPriority w:val="99"/>
    <w:unhideWhenUsed/>
    <w:rsid w:val="00751F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FAD"/>
  </w:style>
  <w:style w:type="character" w:styleId="PageNumber">
    <w:name w:val="page number"/>
    <w:basedOn w:val="DefaultParagraphFont"/>
    <w:uiPriority w:val="99"/>
    <w:semiHidden/>
    <w:unhideWhenUsed/>
    <w:rsid w:val="00A13403"/>
  </w:style>
  <w:style w:type="character" w:styleId="FollowedHyperlink">
    <w:name w:val="FollowedHyperlink"/>
    <w:basedOn w:val="DefaultParagraphFont"/>
    <w:uiPriority w:val="99"/>
    <w:semiHidden/>
    <w:unhideWhenUsed/>
    <w:rsid w:val="006F127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57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72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72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7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7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2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1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9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ec2-54-218-32-173.us-west-2.compute.amazonaws.com:3838/tgrShiny/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62CE9D-0095-2F4F-AEE6-56B9582C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3668</Words>
  <Characters>20912</Characters>
  <Application>Microsoft Macintosh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Na Ma</cp:lastModifiedBy>
  <cp:revision>2</cp:revision>
  <dcterms:created xsi:type="dcterms:W3CDTF">2017-03-12T19:37:00Z</dcterms:created>
  <dcterms:modified xsi:type="dcterms:W3CDTF">2017-03-12T19:37:00Z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zotero-version="4.0.29.10"&gt;&lt;session id="OrAOdnPT"/&gt;&lt;style id="http://www.zotero.org/styles/vancouver" locale="en-US" hasBibliography="1" bibliographyStyleHasBeenSet="1"/&gt;&lt;prefs&gt;&lt;pref name="fieldType" value="Field"/&gt;&lt;pref name="store</vt:lpwstr>
  </property>
  <property fmtid="{D5CDD505-2E9C-101B-9397-08002B2CF9AE}" pid="3" name="ZOTERO_PREF_2">
    <vt:lpwstr>References" value="true"/&gt;&lt;pref name="automaticJournalAbbreviations" value="true"/&gt;&lt;pref name="noteType" value=""/&gt;&lt;/prefs&gt;&lt;/data&gt;</vt:lpwstr>
  </property>
</Properties>
</file>