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C980AC" w14:textId="0164E1B5" w:rsidR="00661F76" w:rsidRPr="00F56726" w:rsidRDefault="00661F76" w:rsidP="00A76D85">
      <w:pPr>
        <w:adjustRightInd w:val="0"/>
        <w:snapToGrid w:val="0"/>
        <w:spacing w:line="360" w:lineRule="auto"/>
        <w:jc w:val="both"/>
        <w:rPr>
          <w:rFonts w:ascii="Book Antiqua" w:eastAsia="Arial" w:hAnsi="Book Antiqua" w:cs="Arial"/>
          <w:b/>
          <w:i/>
          <w:color w:val="auto"/>
        </w:rPr>
      </w:pPr>
      <w:r w:rsidRPr="00F56726">
        <w:rPr>
          <w:rFonts w:ascii="Book Antiqua" w:eastAsia="Arial" w:hAnsi="Book Antiqua" w:cs="Arial"/>
          <w:b/>
          <w:color w:val="auto"/>
        </w:rPr>
        <w:t xml:space="preserve">Name of Journal: </w:t>
      </w:r>
      <w:r w:rsidRPr="00F56726">
        <w:rPr>
          <w:rFonts w:ascii="Book Antiqua" w:eastAsia="Arial" w:hAnsi="Book Antiqua" w:cs="Arial"/>
          <w:i/>
          <w:color w:val="auto"/>
        </w:rPr>
        <w:t>World Journal of Gastroenterology</w:t>
      </w:r>
    </w:p>
    <w:p w14:paraId="3EBC8974" w14:textId="40E76753" w:rsidR="00661F76" w:rsidRPr="009B298E" w:rsidRDefault="00661F76" w:rsidP="00A76D85">
      <w:pPr>
        <w:adjustRightInd w:val="0"/>
        <w:snapToGrid w:val="0"/>
        <w:spacing w:line="360" w:lineRule="auto"/>
        <w:jc w:val="both"/>
        <w:rPr>
          <w:rFonts w:ascii="Book Antiqua" w:hAnsi="Book Antiqua" w:cs="Arial"/>
          <w:i/>
          <w:color w:val="auto"/>
          <w:lang w:eastAsia="zh-CN"/>
        </w:rPr>
      </w:pPr>
      <w:r w:rsidRPr="00F56726">
        <w:rPr>
          <w:rFonts w:ascii="Book Antiqua" w:eastAsia="Arial" w:hAnsi="Book Antiqua" w:cs="Arial"/>
          <w:b/>
          <w:color w:val="auto"/>
        </w:rPr>
        <w:t xml:space="preserve">Manuscript NO: </w:t>
      </w:r>
      <w:r w:rsidR="009B298E">
        <w:rPr>
          <w:rFonts w:ascii="Book Antiqua" w:hAnsi="Book Antiqua" w:cs="Arial" w:hint="eastAsia"/>
          <w:color w:val="auto"/>
          <w:lang w:eastAsia="zh-CN"/>
        </w:rPr>
        <w:t>31903</w:t>
      </w:r>
    </w:p>
    <w:p w14:paraId="035CD669" w14:textId="01C74296" w:rsidR="00A76D85" w:rsidRPr="00F56726" w:rsidRDefault="00661F76" w:rsidP="00A76D85">
      <w:pPr>
        <w:adjustRightInd w:val="0"/>
        <w:snapToGrid w:val="0"/>
        <w:spacing w:line="360" w:lineRule="auto"/>
        <w:jc w:val="both"/>
        <w:rPr>
          <w:rFonts w:ascii="Book Antiqua" w:hAnsi="Book Antiqua" w:cs="Arial"/>
          <w:b/>
          <w:color w:val="auto"/>
          <w:lang w:eastAsia="zh-CN"/>
        </w:rPr>
      </w:pPr>
      <w:r w:rsidRPr="00F56726">
        <w:rPr>
          <w:rFonts w:ascii="Book Antiqua" w:eastAsia="Arial" w:hAnsi="Book Antiqua" w:cs="Arial"/>
          <w:b/>
          <w:color w:val="auto"/>
        </w:rPr>
        <w:t xml:space="preserve">Manuscript type: </w:t>
      </w:r>
      <w:bookmarkStart w:id="0" w:name="OLE_LINK3164"/>
      <w:bookmarkStart w:id="1" w:name="OLE_LINK3165"/>
      <w:bookmarkStart w:id="2" w:name="OLE_LINK70"/>
      <w:bookmarkStart w:id="3" w:name="OLE_LINK3525"/>
      <w:bookmarkStart w:id="4" w:name="OLE_LINK3894"/>
      <w:r w:rsidR="00A76D85" w:rsidRPr="00F56726">
        <w:rPr>
          <w:rFonts w:ascii="Book Antiqua" w:hAnsi="Book Antiqua"/>
          <w:b/>
          <w:color w:val="auto"/>
        </w:rPr>
        <w:t>ORIGINAL ARTICLE</w:t>
      </w:r>
      <w:bookmarkEnd w:id="0"/>
      <w:bookmarkEnd w:id="1"/>
      <w:bookmarkEnd w:id="2"/>
      <w:bookmarkEnd w:id="3"/>
      <w:bookmarkEnd w:id="4"/>
    </w:p>
    <w:p w14:paraId="01E3E052" w14:textId="77777777" w:rsidR="00A76D85" w:rsidRPr="00F56726" w:rsidRDefault="00A76D85" w:rsidP="00A76D85">
      <w:pPr>
        <w:adjustRightInd w:val="0"/>
        <w:snapToGrid w:val="0"/>
        <w:spacing w:line="360" w:lineRule="auto"/>
        <w:jc w:val="both"/>
        <w:rPr>
          <w:rFonts w:ascii="Book Antiqua" w:hAnsi="Book Antiqua" w:cs="Arial"/>
          <w:b/>
          <w:color w:val="auto"/>
          <w:lang w:eastAsia="zh-CN"/>
        </w:rPr>
      </w:pPr>
    </w:p>
    <w:p w14:paraId="742FDB57" w14:textId="172D5375" w:rsidR="00661F76" w:rsidRPr="00F56726" w:rsidRDefault="00661F76" w:rsidP="00A76D85">
      <w:pPr>
        <w:adjustRightInd w:val="0"/>
        <w:snapToGrid w:val="0"/>
        <w:spacing w:line="360" w:lineRule="auto"/>
        <w:jc w:val="both"/>
        <w:rPr>
          <w:rFonts w:ascii="Book Antiqua" w:eastAsia="Arial" w:hAnsi="Book Antiqua" w:cs="Arial"/>
          <w:color w:val="auto"/>
        </w:rPr>
      </w:pPr>
      <w:r w:rsidRPr="00F56726">
        <w:rPr>
          <w:rFonts w:ascii="Book Antiqua" w:eastAsia="Arial" w:hAnsi="Book Antiqua" w:cs="Arial"/>
          <w:b/>
          <w:i/>
          <w:color w:val="auto"/>
        </w:rPr>
        <w:t>Prospective study</w:t>
      </w:r>
      <w:r w:rsidRPr="00F56726">
        <w:rPr>
          <w:rFonts w:ascii="Book Antiqua" w:eastAsia="Arial" w:hAnsi="Book Antiqua" w:cs="Arial"/>
          <w:b/>
          <w:color w:val="auto"/>
        </w:rPr>
        <w:t xml:space="preserve"> </w:t>
      </w:r>
    </w:p>
    <w:p w14:paraId="1C3BA76B" w14:textId="4A893BA7" w:rsidR="00112D07" w:rsidRPr="00F56726" w:rsidRDefault="00E71F28" w:rsidP="00A76D85">
      <w:pPr>
        <w:adjustRightInd w:val="0"/>
        <w:snapToGrid w:val="0"/>
        <w:spacing w:line="360" w:lineRule="auto"/>
        <w:jc w:val="both"/>
        <w:rPr>
          <w:rFonts w:ascii="Book Antiqua" w:hAnsi="Book Antiqua" w:cs="Arial"/>
          <w:b/>
          <w:color w:val="auto"/>
        </w:rPr>
      </w:pPr>
      <w:bookmarkStart w:id="5" w:name="OLE_LINK4125"/>
      <w:r w:rsidRPr="00F56726">
        <w:rPr>
          <w:rFonts w:ascii="Book Antiqua" w:eastAsia="Arial" w:hAnsi="Book Antiqua" w:cs="Arial"/>
          <w:b/>
          <w:color w:val="auto"/>
        </w:rPr>
        <w:t xml:space="preserve">Chronological </w:t>
      </w:r>
      <w:r w:rsidR="00A76D85" w:rsidRPr="00F56726">
        <w:rPr>
          <w:rFonts w:ascii="Book Antiqua" w:eastAsia="Arial" w:hAnsi="Book Antiqua" w:cs="Arial"/>
          <w:b/>
          <w:color w:val="auto"/>
        </w:rPr>
        <w:t>age when health care transition skills are mastered in adolescents/young adults with inflammatory bowel disease</w:t>
      </w:r>
      <w:r w:rsidR="0059598A">
        <w:rPr>
          <w:rFonts w:ascii="Book Antiqua" w:eastAsia="Arial" w:hAnsi="Book Antiqua" w:cs="Arial"/>
          <w:b/>
          <w:color w:val="auto"/>
        </w:rPr>
        <w:t xml:space="preserve"> </w:t>
      </w:r>
    </w:p>
    <w:bookmarkEnd w:id="5"/>
    <w:p w14:paraId="13ED85AD" w14:textId="77777777" w:rsidR="00E71F28" w:rsidRPr="00F56726" w:rsidRDefault="00E71F28" w:rsidP="00A76D85">
      <w:pPr>
        <w:adjustRightInd w:val="0"/>
        <w:snapToGrid w:val="0"/>
        <w:spacing w:line="360" w:lineRule="auto"/>
        <w:jc w:val="both"/>
        <w:rPr>
          <w:rFonts w:ascii="Book Antiqua" w:hAnsi="Book Antiqua" w:cs="Arial"/>
          <w:color w:val="auto"/>
        </w:rPr>
      </w:pPr>
    </w:p>
    <w:p w14:paraId="0AC98283" w14:textId="757BFCD9" w:rsidR="00112D07" w:rsidRPr="00F56726" w:rsidRDefault="00661F76" w:rsidP="00A76D85">
      <w:pPr>
        <w:adjustRightInd w:val="0"/>
        <w:snapToGrid w:val="0"/>
        <w:spacing w:line="360" w:lineRule="auto"/>
        <w:jc w:val="both"/>
        <w:rPr>
          <w:rFonts w:ascii="Book Antiqua" w:hAnsi="Book Antiqua" w:cs="Arial"/>
          <w:color w:val="auto"/>
        </w:rPr>
      </w:pPr>
      <w:r w:rsidRPr="00F56726">
        <w:rPr>
          <w:rFonts w:ascii="Book Antiqua" w:hAnsi="Book Antiqua" w:cs="Arial"/>
          <w:color w:val="auto"/>
        </w:rPr>
        <w:t>Stollon N</w:t>
      </w:r>
      <w:r w:rsidR="0059598A">
        <w:rPr>
          <w:rFonts w:ascii="Book Antiqua" w:hAnsi="Book Antiqua" w:cs="Arial"/>
          <w:color w:val="auto"/>
        </w:rPr>
        <w:t xml:space="preserve"> </w:t>
      </w:r>
      <w:r w:rsidRPr="00F56726">
        <w:rPr>
          <w:rFonts w:ascii="Book Antiqua" w:hAnsi="Book Antiqua" w:cs="Arial"/>
          <w:i/>
          <w:color w:val="auto"/>
        </w:rPr>
        <w:t>et al.</w:t>
      </w:r>
      <w:r w:rsidR="00A603C0" w:rsidRPr="00F56726">
        <w:rPr>
          <w:rFonts w:ascii="Book Antiqua" w:eastAsia="Arial" w:hAnsi="Book Antiqua" w:cs="Arial"/>
          <w:b/>
          <w:color w:val="auto"/>
        </w:rPr>
        <w:t xml:space="preserve"> </w:t>
      </w:r>
      <w:r w:rsidR="00A603C0" w:rsidRPr="00F56726">
        <w:rPr>
          <w:rFonts w:ascii="Book Antiqua" w:eastAsia="Arial" w:hAnsi="Book Antiqua" w:cs="Arial"/>
          <w:color w:val="auto"/>
        </w:rPr>
        <w:t>Longitudinal transition readiness in IBD patients</w:t>
      </w:r>
    </w:p>
    <w:p w14:paraId="67480284" w14:textId="77777777" w:rsidR="00661F76" w:rsidRPr="00F56726" w:rsidRDefault="00661F76" w:rsidP="00A76D85">
      <w:pPr>
        <w:adjustRightInd w:val="0"/>
        <w:snapToGrid w:val="0"/>
        <w:spacing w:line="360" w:lineRule="auto"/>
        <w:jc w:val="both"/>
        <w:rPr>
          <w:rFonts w:ascii="Book Antiqua" w:eastAsia="Arial" w:hAnsi="Book Antiqua" w:cs="Arial"/>
          <w:color w:val="auto"/>
        </w:rPr>
      </w:pPr>
    </w:p>
    <w:p w14:paraId="7BEB445F" w14:textId="70C616F3" w:rsidR="00112D07" w:rsidRPr="00F56726" w:rsidRDefault="00A603C0" w:rsidP="00A76D85">
      <w:pPr>
        <w:adjustRightInd w:val="0"/>
        <w:snapToGrid w:val="0"/>
        <w:spacing w:line="360" w:lineRule="auto"/>
        <w:jc w:val="both"/>
        <w:rPr>
          <w:rFonts w:ascii="Book Antiqua" w:hAnsi="Book Antiqua" w:cs="Arial"/>
          <w:color w:val="auto"/>
          <w:lang w:eastAsia="zh-CN"/>
        </w:rPr>
      </w:pPr>
      <w:bookmarkStart w:id="6" w:name="OLE_LINK26"/>
      <w:bookmarkStart w:id="7" w:name="OLE_LINK28"/>
      <w:bookmarkStart w:id="8" w:name="OLE_LINK4126"/>
      <w:bookmarkStart w:id="9" w:name="OLE_LINK4127"/>
      <w:r w:rsidRPr="00F56726">
        <w:rPr>
          <w:rFonts w:ascii="Book Antiqua" w:eastAsia="Arial" w:hAnsi="Book Antiqua" w:cs="Arial"/>
          <w:color w:val="auto"/>
        </w:rPr>
        <w:t>Natalie Stollon</w:t>
      </w:r>
      <w:bookmarkEnd w:id="6"/>
      <w:bookmarkEnd w:id="7"/>
      <w:r w:rsidRPr="00F56726">
        <w:rPr>
          <w:rFonts w:ascii="Book Antiqua" w:eastAsia="Arial" w:hAnsi="Book Antiqua" w:cs="Arial"/>
          <w:color w:val="auto"/>
        </w:rPr>
        <w:t xml:space="preserve">, Yi Zhong, </w:t>
      </w:r>
      <w:r w:rsidR="00FE752F" w:rsidRPr="00F56726">
        <w:rPr>
          <w:rFonts w:ascii="Book Antiqua" w:eastAsia="Arial" w:hAnsi="Book Antiqua" w:cs="Arial"/>
          <w:color w:val="auto"/>
        </w:rPr>
        <w:t xml:space="preserve">Maria Ferris, </w:t>
      </w:r>
      <w:r w:rsidRPr="00F56726">
        <w:rPr>
          <w:rFonts w:ascii="Book Antiqua" w:eastAsia="Arial" w:hAnsi="Book Antiqua" w:cs="Arial"/>
          <w:color w:val="auto"/>
        </w:rPr>
        <w:t>Suneet Bhansali, Brian Pitts,</w:t>
      </w:r>
      <w:r w:rsidR="00954759" w:rsidRPr="00F56726">
        <w:rPr>
          <w:rFonts w:ascii="Book Antiqua" w:eastAsia="Arial" w:hAnsi="Book Antiqua" w:cs="Arial"/>
          <w:color w:val="auto"/>
        </w:rPr>
        <w:t xml:space="preserve"> Eniko Rak</w:t>
      </w:r>
      <w:r w:rsidR="00E67442" w:rsidRPr="00F56726">
        <w:rPr>
          <w:rFonts w:ascii="Book Antiqua" w:eastAsia="Arial" w:hAnsi="Book Antiqua" w:cs="Arial"/>
          <w:color w:val="auto"/>
        </w:rPr>
        <w:t>, Maureen Kelly, Sandra Kim</w:t>
      </w:r>
      <w:r w:rsidR="0053320B" w:rsidRPr="00F56726">
        <w:rPr>
          <w:rFonts w:ascii="Book Antiqua" w:eastAsia="Arial" w:hAnsi="Book Antiqua" w:cs="Arial"/>
          <w:color w:val="auto"/>
        </w:rPr>
        <w:t>,</w:t>
      </w:r>
      <w:r w:rsidR="00C63827" w:rsidRPr="00F56726">
        <w:rPr>
          <w:rFonts w:ascii="Book Antiqua" w:eastAsia="Arial" w:hAnsi="Book Antiqua" w:cs="Arial"/>
          <w:color w:val="auto"/>
        </w:rPr>
        <w:t xml:space="preserve"> </w:t>
      </w:r>
      <w:r w:rsidR="00277E58" w:rsidRPr="00F56726">
        <w:rPr>
          <w:rFonts w:ascii="Book Antiqua" w:eastAsia="Arial" w:hAnsi="Book Antiqua" w:cs="Arial"/>
          <w:color w:val="auto"/>
        </w:rPr>
        <w:t>M</w:t>
      </w:r>
      <w:r w:rsidR="00A76D85" w:rsidRPr="00F56726">
        <w:rPr>
          <w:rFonts w:ascii="Book Antiqua" w:eastAsia="Arial" w:hAnsi="Book Antiqua" w:cs="Arial"/>
          <w:color w:val="auto"/>
        </w:rPr>
        <w:t xml:space="preserve">iranda </w:t>
      </w:r>
      <w:bookmarkStart w:id="10" w:name="OLE_LINK4044"/>
      <w:bookmarkStart w:id="11" w:name="OLE_LINK4045"/>
      <w:r w:rsidR="00A76D85" w:rsidRPr="00F56726">
        <w:rPr>
          <w:rFonts w:ascii="Book Antiqua" w:eastAsia="Arial" w:hAnsi="Book Antiqua" w:cs="Arial"/>
          <w:color w:val="auto"/>
        </w:rPr>
        <w:t>A</w:t>
      </w:r>
      <w:r w:rsidRPr="00F56726">
        <w:rPr>
          <w:rFonts w:ascii="Book Antiqua" w:eastAsia="Arial" w:hAnsi="Book Antiqua" w:cs="Arial"/>
          <w:color w:val="auto"/>
        </w:rPr>
        <w:t>L</w:t>
      </w:r>
      <w:r w:rsidR="006149EF" w:rsidRPr="00F56726">
        <w:rPr>
          <w:rFonts w:ascii="SimSun" w:hAnsi="SimSun" w:cs="Arial" w:hint="eastAsia"/>
          <w:color w:val="auto"/>
          <w:lang w:eastAsia="zh-CN"/>
        </w:rPr>
        <w:t xml:space="preserve"> </w:t>
      </w:r>
      <w:bookmarkEnd w:id="10"/>
      <w:bookmarkEnd w:id="11"/>
      <w:r w:rsidRPr="00F56726">
        <w:rPr>
          <w:rFonts w:ascii="Book Antiqua" w:eastAsia="Arial" w:hAnsi="Book Antiqua" w:cs="Arial"/>
          <w:color w:val="auto"/>
        </w:rPr>
        <w:t>van Tilburg</w:t>
      </w:r>
    </w:p>
    <w:bookmarkEnd w:id="8"/>
    <w:bookmarkEnd w:id="9"/>
    <w:p w14:paraId="0BAAF8CF" w14:textId="77777777" w:rsidR="00112D07" w:rsidRPr="00F56726" w:rsidRDefault="00112D07" w:rsidP="00A76D85">
      <w:pPr>
        <w:adjustRightInd w:val="0"/>
        <w:snapToGrid w:val="0"/>
        <w:spacing w:line="360" w:lineRule="auto"/>
        <w:jc w:val="both"/>
        <w:rPr>
          <w:rFonts w:ascii="Book Antiqua" w:hAnsi="Book Antiqua" w:cs="Arial"/>
          <w:color w:val="auto"/>
        </w:rPr>
      </w:pPr>
    </w:p>
    <w:p w14:paraId="6403339E" w14:textId="680D4E1F" w:rsidR="00112D07" w:rsidRPr="00F56726" w:rsidRDefault="00661F76" w:rsidP="00A76D85">
      <w:pPr>
        <w:adjustRightInd w:val="0"/>
        <w:snapToGrid w:val="0"/>
        <w:spacing w:line="360" w:lineRule="auto"/>
        <w:jc w:val="both"/>
        <w:rPr>
          <w:rFonts w:ascii="Book Antiqua" w:hAnsi="Book Antiqua" w:cs="Arial"/>
          <w:color w:val="auto"/>
          <w:lang w:eastAsia="zh-CN"/>
        </w:rPr>
      </w:pPr>
      <w:r w:rsidRPr="00F56726">
        <w:rPr>
          <w:rFonts w:ascii="Book Antiqua" w:eastAsia="Arial" w:hAnsi="Book Antiqua" w:cs="Arial"/>
          <w:b/>
          <w:color w:val="auto"/>
        </w:rPr>
        <w:t>Natalie Stollon,</w:t>
      </w:r>
      <w:r w:rsidRPr="00F56726">
        <w:rPr>
          <w:rFonts w:ascii="Book Antiqua" w:eastAsia="Arial" w:hAnsi="Book Antiqua" w:cs="Arial"/>
          <w:color w:val="auto"/>
        </w:rPr>
        <w:t xml:space="preserve"> </w:t>
      </w:r>
      <w:r w:rsidR="00A603C0" w:rsidRPr="00F56726">
        <w:rPr>
          <w:rFonts w:ascii="Book Antiqua" w:eastAsia="Arial" w:hAnsi="Book Antiqua" w:cs="Arial"/>
          <w:color w:val="auto"/>
        </w:rPr>
        <w:t>University of Washington, School of Social Work</w:t>
      </w:r>
      <w:r w:rsidRPr="00F56726">
        <w:rPr>
          <w:rFonts w:ascii="Book Antiqua" w:eastAsia="Arial" w:hAnsi="Book Antiqua" w:cs="Arial"/>
          <w:color w:val="auto"/>
        </w:rPr>
        <w:t>, Seattle, WA</w:t>
      </w:r>
      <w:r w:rsidR="00434EDF" w:rsidRPr="00434EDF">
        <w:t xml:space="preserve"> </w:t>
      </w:r>
      <w:r w:rsidR="00434EDF" w:rsidRPr="00434EDF">
        <w:rPr>
          <w:rFonts w:ascii="Book Antiqua" w:eastAsia="Arial" w:hAnsi="Book Antiqua" w:cs="Arial"/>
          <w:color w:val="auto"/>
        </w:rPr>
        <w:t>98105</w:t>
      </w:r>
      <w:r w:rsidRPr="00F56726">
        <w:rPr>
          <w:rFonts w:ascii="Book Antiqua" w:eastAsia="Arial" w:hAnsi="Book Antiqua" w:cs="Arial"/>
          <w:color w:val="auto"/>
        </w:rPr>
        <w:t>, United States</w:t>
      </w:r>
    </w:p>
    <w:p w14:paraId="638E0267" w14:textId="77777777" w:rsidR="00A76D85" w:rsidRPr="00F56726" w:rsidRDefault="00A76D85" w:rsidP="00A76D85">
      <w:pPr>
        <w:adjustRightInd w:val="0"/>
        <w:snapToGrid w:val="0"/>
        <w:spacing w:line="360" w:lineRule="auto"/>
        <w:jc w:val="both"/>
        <w:rPr>
          <w:rFonts w:ascii="Book Antiqua" w:hAnsi="Book Antiqua" w:cs="Arial"/>
          <w:color w:val="auto"/>
          <w:lang w:eastAsia="zh-CN"/>
        </w:rPr>
      </w:pPr>
    </w:p>
    <w:p w14:paraId="69E026F6" w14:textId="68834418" w:rsidR="00112D07" w:rsidRPr="00F56726" w:rsidRDefault="00661F76" w:rsidP="00A76D85">
      <w:pPr>
        <w:adjustRightInd w:val="0"/>
        <w:snapToGrid w:val="0"/>
        <w:spacing w:line="360" w:lineRule="auto"/>
        <w:jc w:val="both"/>
        <w:rPr>
          <w:rFonts w:ascii="Book Antiqua" w:hAnsi="Book Antiqua" w:cs="Arial"/>
          <w:color w:val="auto"/>
          <w:lang w:eastAsia="zh-CN"/>
        </w:rPr>
      </w:pPr>
      <w:r w:rsidRPr="00F56726">
        <w:rPr>
          <w:rFonts w:ascii="Book Antiqua" w:eastAsia="Arial" w:hAnsi="Book Antiqua" w:cs="Arial"/>
          <w:b/>
          <w:color w:val="auto"/>
        </w:rPr>
        <w:t>Yi Zhong</w:t>
      </w:r>
      <w:r w:rsidRPr="00F56726">
        <w:rPr>
          <w:rFonts w:ascii="Book Antiqua" w:eastAsia="Arial" w:hAnsi="Book Antiqua" w:cs="Arial"/>
          <w:color w:val="auto"/>
        </w:rPr>
        <w:t xml:space="preserve">, </w:t>
      </w:r>
      <w:r w:rsidR="00550C25" w:rsidRPr="00F56726">
        <w:rPr>
          <w:rFonts w:ascii="Book Antiqua" w:eastAsia="Arial" w:hAnsi="Book Antiqua" w:cs="Arial"/>
          <w:color w:val="auto"/>
        </w:rPr>
        <w:t xml:space="preserve">Department of Economics, </w:t>
      </w:r>
      <w:r w:rsidR="00A603C0" w:rsidRPr="00F56726">
        <w:rPr>
          <w:rFonts w:ascii="Book Antiqua" w:eastAsia="Arial" w:hAnsi="Book Antiqua" w:cs="Arial"/>
          <w:color w:val="auto"/>
        </w:rPr>
        <w:t xml:space="preserve">University of North Carolina, </w:t>
      </w:r>
      <w:r w:rsidRPr="00F56726">
        <w:rPr>
          <w:rFonts w:ascii="Book Antiqua" w:eastAsia="Arial" w:hAnsi="Book Antiqua" w:cs="Arial"/>
          <w:color w:val="auto"/>
        </w:rPr>
        <w:t>Chapel Hill, NC</w:t>
      </w:r>
      <w:r w:rsidR="008D564A">
        <w:rPr>
          <w:rFonts w:ascii="Book Antiqua" w:hAnsi="Book Antiqua" w:cs="Arial" w:hint="eastAsia"/>
          <w:color w:val="auto"/>
          <w:lang w:eastAsia="zh-CN"/>
        </w:rPr>
        <w:t xml:space="preserve"> </w:t>
      </w:r>
      <w:r w:rsidR="008D564A" w:rsidRPr="00F56726">
        <w:rPr>
          <w:rFonts w:ascii="Book Antiqua" w:hAnsi="Book Antiqua" w:cs="Arial"/>
          <w:color w:val="auto"/>
        </w:rPr>
        <w:t>27599</w:t>
      </w:r>
      <w:r w:rsidRPr="00F56726">
        <w:rPr>
          <w:rFonts w:ascii="Book Antiqua" w:eastAsia="Arial" w:hAnsi="Book Antiqua" w:cs="Arial"/>
          <w:color w:val="auto"/>
        </w:rPr>
        <w:t>, United States</w:t>
      </w:r>
    </w:p>
    <w:p w14:paraId="2812C24E" w14:textId="77777777" w:rsidR="00A76D85" w:rsidRPr="00F56726" w:rsidRDefault="00A76D85" w:rsidP="00A76D85">
      <w:pPr>
        <w:adjustRightInd w:val="0"/>
        <w:snapToGrid w:val="0"/>
        <w:spacing w:line="360" w:lineRule="auto"/>
        <w:jc w:val="both"/>
        <w:rPr>
          <w:rFonts w:ascii="Book Antiqua" w:hAnsi="Book Antiqua" w:cs="Arial"/>
          <w:color w:val="auto"/>
          <w:lang w:eastAsia="zh-CN"/>
        </w:rPr>
      </w:pPr>
    </w:p>
    <w:p w14:paraId="5743A127" w14:textId="5A47950F" w:rsidR="00112D07" w:rsidRPr="00F56726" w:rsidRDefault="00661F76" w:rsidP="00A76D85">
      <w:pPr>
        <w:adjustRightInd w:val="0"/>
        <w:snapToGrid w:val="0"/>
        <w:spacing w:line="360" w:lineRule="auto"/>
        <w:jc w:val="both"/>
        <w:rPr>
          <w:rFonts w:ascii="Book Antiqua" w:hAnsi="Book Antiqua" w:cs="Arial"/>
          <w:color w:val="auto"/>
          <w:lang w:eastAsia="zh-CN"/>
        </w:rPr>
      </w:pPr>
      <w:r w:rsidRPr="00F56726">
        <w:rPr>
          <w:rFonts w:ascii="Book Antiqua" w:eastAsia="Arial" w:hAnsi="Book Antiqua" w:cs="Arial"/>
          <w:b/>
          <w:color w:val="auto"/>
        </w:rPr>
        <w:t>Maria Ferris, Brain Pitts, Maureen Kelly</w:t>
      </w:r>
      <w:r w:rsidRPr="00F56726">
        <w:rPr>
          <w:rFonts w:ascii="Book Antiqua" w:eastAsia="Arial" w:hAnsi="Book Antiqua" w:cs="Arial"/>
          <w:color w:val="auto"/>
        </w:rPr>
        <w:t xml:space="preserve">, </w:t>
      </w:r>
      <w:r w:rsidR="00550C25" w:rsidRPr="00F56726">
        <w:rPr>
          <w:rFonts w:ascii="Book Antiqua" w:eastAsia="Arial" w:hAnsi="Book Antiqua" w:cs="Arial"/>
          <w:color w:val="auto"/>
        </w:rPr>
        <w:t>Department of Pediatrics,</w:t>
      </w:r>
      <w:r w:rsidR="00550C25">
        <w:rPr>
          <w:rFonts w:ascii="Book Antiqua" w:hAnsi="Book Antiqua" w:cs="Arial" w:hint="eastAsia"/>
          <w:color w:val="auto"/>
          <w:lang w:eastAsia="zh-CN"/>
        </w:rPr>
        <w:t xml:space="preserve"> </w:t>
      </w:r>
      <w:r w:rsidR="00A603C0" w:rsidRPr="00F56726">
        <w:rPr>
          <w:rFonts w:ascii="Book Antiqua" w:eastAsia="Arial" w:hAnsi="Book Antiqua" w:cs="Arial"/>
          <w:color w:val="auto"/>
        </w:rPr>
        <w:t>University of North Carolina, School of Med</w:t>
      </w:r>
      <w:r w:rsidRPr="00F56726">
        <w:rPr>
          <w:rFonts w:ascii="Book Antiqua" w:eastAsia="Arial" w:hAnsi="Book Antiqua" w:cs="Arial"/>
          <w:color w:val="auto"/>
        </w:rPr>
        <w:t>icine, Chapel Hill, NC</w:t>
      </w:r>
      <w:r w:rsidR="008D564A">
        <w:rPr>
          <w:rFonts w:ascii="Book Antiqua" w:hAnsi="Book Antiqua" w:cs="Arial" w:hint="eastAsia"/>
          <w:color w:val="auto"/>
          <w:lang w:eastAsia="zh-CN"/>
        </w:rPr>
        <w:t xml:space="preserve"> </w:t>
      </w:r>
      <w:r w:rsidR="008D564A" w:rsidRPr="00F56726">
        <w:rPr>
          <w:rFonts w:ascii="Book Antiqua" w:hAnsi="Book Antiqua" w:cs="Arial"/>
          <w:color w:val="auto"/>
        </w:rPr>
        <w:t>27599</w:t>
      </w:r>
      <w:r w:rsidRPr="00F56726">
        <w:rPr>
          <w:rFonts w:ascii="Book Antiqua" w:eastAsia="Arial" w:hAnsi="Book Antiqua" w:cs="Arial"/>
          <w:color w:val="auto"/>
        </w:rPr>
        <w:t>, United States</w:t>
      </w:r>
    </w:p>
    <w:p w14:paraId="777D730F" w14:textId="77777777" w:rsidR="006149EF" w:rsidRPr="00F56726" w:rsidRDefault="006149EF" w:rsidP="00A76D85">
      <w:pPr>
        <w:adjustRightInd w:val="0"/>
        <w:snapToGrid w:val="0"/>
        <w:spacing w:line="360" w:lineRule="auto"/>
        <w:jc w:val="both"/>
        <w:rPr>
          <w:rFonts w:ascii="Book Antiqua" w:hAnsi="Book Antiqua" w:cs="Arial"/>
          <w:color w:val="auto"/>
          <w:lang w:eastAsia="zh-CN"/>
        </w:rPr>
      </w:pPr>
    </w:p>
    <w:p w14:paraId="56125B02" w14:textId="60998F33" w:rsidR="006149EF" w:rsidRPr="00F56726" w:rsidRDefault="006149EF" w:rsidP="006149EF">
      <w:pPr>
        <w:adjustRightInd w:val="0"/>
        <w:snapToGrid w:val="0"/>
        <w:spacing w:line="360" w:lineRule="auto"/>
        <w:jc w:val="both"/>
        <w:rPr>
          <w:rFonts w:ascii="Book Antiqua" w:hAnsi="Book Antiqua" w:cs="Arial"/>
          <w:color w:val="auto"/>
          <w:lang w:eastAsia="zh-CN"/>
        </w:rPr>
      </w:pPr>
      <w:r w:rsidRPr="00F56726">
        <w:rPr>
          <w:rFonts w:ascii="Book Antiqua" w:hAnsi="Book Antiqua" w:cs="Arial"/>
          <w:b/>
          <w:color w:val="auto"/>
          <w:lang w:eastAsia="zh-CN"/>
        </w:rPr>
        <w:t xml:space="preserve">Suneet Bhansali, </w:t>
      </w:r>
      <w:r w:rsidR="00A127FD" w:rsidRPr="00F56726">
        <w:rPr>
          <w:rFonts w:ascii="Book Antiqua" w:hAnsi="Book Antiqua" w:cs="Arial"/>
          <w:color w:val="auto"/>
          <w:lang w:eastAsia="zh-CN"/>
        </w:rPr>
        <w:t>Department of Pediatrics,</w:t>
      </w:r>
      <w:r w:rsidR="00A127FD">
        <w:rPr>
          <w:rFonts w:ascii="Book Antiqua" w:hAnsi="Book Antiqua" w:cs="Arial" w:hint="eastAsia"/>
          <w:color w:val="auto"/>
          <w:lang w:eastAsia="zh-CN"/>
        </w:rPr>
        <w:t xml:space="preserve"> </w:t>
      </w:r>
      <w:r w:rsidRPr="00F56726">
        <w:rPr>
          <w:rFonts w:ascii="Book Antiqua" w:hAnsi="Book Antiqua" w:cs="Arial"/>
          <w:color w:val="auto"/>
          <w:lang w:eastAsia="zh-CN"/>
        </w:rPr>
        <w:t>NYU School of Medicine, New York, NY</w:t>
      </w:r>
      <w:r w:rsidR="00285C00" w:rsidRPr="00285C00">
        <w:t xml:space="preserve"> </w:t>
      </w:r>
      <w:r w:rsidR="00285C00" w:rsidRPr="00285C00">
        <w:rPr>
          <w:rFonts w:ascii="Book Antiqua" w:hAnsi="Book Antiqua" w:cs="Arial"/>
          <w:color w:val="auto"/>
          <w:lang w:eastAsia="zh-CN"/>
        </w:rPr>
        <w:t>10016</w:t>
      </w:r>
      <w:r w:rsidRPr="00F56726">
        <w:rPr>
          <w:rFonts w:ascii="Book Antiqua" w:hAnsi="Book Antiqua" w:cs="Arial"/>
          <w:color w:val="auto"/>
          <w:lang w:eastAsia="zh-CN"/>
        </w:rPr>
        <w:t>, United States</w:t>
      </w:r>
    </w:p>
    <w:p w14:paraId="72B4ECF2" w14:textId="77777777" w:rsidR="00A76D85" w:rsidRPr="00F56726" w:rsidRDefault="00A76D85" w:rsidP="00A76D85">
      <w:pPr>
        <w:adjustRightInd w:val="0"/>
        <w:snapToGrid w:val="0"/>
        <w:spacing w:line="360" w:lineRule="auto"/>
        <w:jc w:val="both"/>
        <w:rPr>
          <w:rFonts w:ascii="Book Antiqua" w:hAnsi="Book Antiqua" w:cs="Arial"/>
          <w:color w:val="auto"/>
          <w:lang w:eastAsia="zh-CN"/>
        </w:rPr>
      </w:pPr>
    </w:p>
    <w:p w14:paraId="21086B6B" w14:textId="4B8B9A43" w:rsidR="00661F76" w:rsidRPr="00F56726" w:rsidRDefault="00661F76" w:rsidP="00A76D85">
      <w:pPr>
        <w:adjustRightInd w:val="0"/>
        <w:snapToGrid w:val="0"/>
        <w:spacing w:line="360" w:lineRule="auto"/>
        <w:jc w:val="both"/>
        <w:rPr>
          <w:rFonts w:ascii="Book Antiqua" w:hAnsi="Book Antiqua" w:cs="Arial"/>
          <w:color w:val="auto"/>
          <w:lang w:eastAsia="zh-CN"/>
        </w:rPr>
      </w:pPr>
      <w:r w:rsidRPr="00F56726">
        <w:rPr>
          <w:rFonts w:ascii="Book Antiqua" w:eastAsia="Arial" w:hAnsi="Book Antiqua" w:cs="Arial"/>
          <w:b/>
          <w:color w:val="auto"/>
        </w:rPr>
        <w:t>Eniko Rak,</w:t>
      </w:r>
      <w:r w:rsidRPr="00F56726">
        <w:rPr>
          <w:rFonts w:ascii="Book Antiqua" w:eastAsia="Arial" w:hAnsi="Book Antiqua" w:cs="Arial"/>
          <w:color w:val="auto"/>
        </w:rPr>
        <w:t xml:space="preserve"> </w:t>
      </w:r>
      <w:r w:rsidR="00550C25" w:rsidRPr="00F56726">
        <w:rPr>
          <w:rFonts w:ascii="Book Antiqua" w:eastAsia="Arial" w:hAnsi="Book Antiqua" w:cs="Arial"/>
          <w:color w:val="auto"/>
        </w:rPr>
        <w:t xml:space="preserve">Department of Allied Health Sciences, </w:t>
      </w:r>
      <w:r w:rsidR="00341B0A" w:rsidRPr="00F56726">
        <w:rPr>
          <w:rFonts w:ascii="Book Antiqua" w:eastAsia="Arial" w:hAnsi="Book Antiqua" w:cs="Arial"/>
          <w:color w:val="auto"/>
        </w:rPr>
        <w:t xml:space="preserve">University of North Carolina, School of Medicine, </w:t>
      </w:r>
      <w:r w:rsidRPr="00F56726">
        <w:rPr>
          <w:rFonts w:ascii="Book Antiqua" w:eastAsia="Arial" w:hAnsi="Book Antiqua" w:cs="Arial"/>
          <w:color w:val="auto"/>
        </w:rPr>
        <w:t>Chapel Hill, NC</w:t>
      </w:r>
      <w:r w:rsidR="008D564A">
        <w:rPr>
          <w:rFonts w:ascii="Book Antiqua" w:hAnsi="Book Antiqua" w:cs="Arial" w:hint="eastAsia"/>
          <w:color w:val="auto"/>
          <w:lang w:eastAsia="zh-CN"/>
        </w:rPr>
        <w:t xml:space="preserve"> </w:t>
      </w:r>
      <w:r w:rsidR="008D564A" w:rsidRPr="00F56726">
        <w:rPr>
          <w:rFonts w:ascii="Book Antiqua" w:hAnsi="Book Antiqua" w:cs="Arial"/>
          <w:color w:val="auto"/>
        </w:rPr>
        <w:t>27599</w:t>
      </w:r>
      <w:r w:rsidRPr="00F56726">
        <w:rPr>
          <w:rFonts w:ascii="Book Antiqua" w:eastAsia="Arial" w:hAnsi="Book Antiqua" w:cs="Arial"/>
          <w:color w:val="auto"/>
        </w:rPr>
        <w:t>, United States</w:t>
      </w:r>
    </w:p>
    <w:p w14:paraId="21F2EC1D" w14:textId="77777777" w:rsidR="00A76D85" w:rsidRPr="00F56726" w:rsidRDefault="00A76D85" w:rsidP="00A76D85">
      <w:pPr>
        <w:adjustRightInd w:val="0"/>
        <w:snapToGrid w:val="0"/>
        <w:spacing w:line="360" w:lineRule="auto"/>
        <w:jc w:val="both"/>
        <w:rPr>
          <w:rFonts w:ascii="Book Antiqua" w:hAnsi="Book Antiqua" w:cs="Arial"/>
          <w:color w:val="auto"/>
          <w:lang w:eastAsia="zh-CN"/>
        </w:rPr>
      </w:pPr>
    </w:p>
    <w:p w14:paraId="746319F8" w14:textId="3A9E2112" w:rsidR="00530B98" w:rsidRPr="00F56726" w:rsidRDefault="00661F76" w:rsidP="00A76D85">
      <w:pPr>
        <w:adjustRightInd w:val="0"/>
        <w:snapToGrid w:val="0"/>
        <w:spacing w:line="360" w:lineRule="auto"/>
        <w:jc w:val="both"/>
        <w:rPr>
          <w:rFonts w:ascii="Book Antiqua" w:eastAsia="Arial" w:hAnsi="Book Antiqua" w:cs="Arial"/>
          <w:color w:val="auto"/>
        </w:rPr>
      </w:pPr>
      <w:r w:rsidRPr="00F56726">
        <w:rPr>
          <w:rFonts w:ascii="Book Antiqua" w:eastAsia="Arial" w:hAnsi="Book Antiqua" w:cs="Arial"/>
          <w:b/>
          <w:color w:val="auto"/>
        </w:rPr>
        <w:t xml:space="preserve">Sandra Kim, </w:t>
      </w:r>
      <w:r w:rsidR="00650FD9" w:rsidRPr="00F56726">
        <w:rPr>
          <w:rFonts w:ascii="Book Antiqua" w:eastAsia="Arial" w:hAnsi="Book Antiqua" w:cs="Arial"/>
          <w:color w:val="auto"/>
        </w:rPr>
        <w:t xml:space="preserve">Department of Pediatrics, </w:t>
      </w:r>
      <w:r w:rsidR="0053320B" w:rsidRPr="00F56726">
        <w:rPr>
          <w:rFonts w:ascii="Book Antiqua" w:eastAsia="Arial" w:hAnsi="Book Antiqua" w:cs="Arial"/>
          <w:color w:val="auto"/>
        </w:rPr>
        <w:t xml:space="preserve">Children’s Hospital of Pittsburgh, </w:t>
      </w:r>
      <w:bookmarkStart w:id="12" w:name="OLE_LINK4140"/>
      <w:bookmarkStart w:id="13" w:name="OLE_LINK4141"/>
      <w:r w:rsidRPr="00F56726">
        <w:rPr>
          <w:rFonts w:ascii="Book Antiqua" w:eastAsia="Arial" w:hAnsi="Book Antiqua" w:cs="Arial"/>
          <w:color w:val="auto"/>
        </w:rPr>
        <w:t>Pittsburgh</w:t>
      </w:r>
      <w:bookmarkEnd w:id="12"/>
      <w:bookmarkEnd w:id="13"/>
      <w:r w:rsidRPr="00F56726">
        <w:rPr>
          <w:rFonts w:ascii="Book Antiqua" w:eastAsia="Arial" w:hAnsi="Book Antiqua" w:cs="Arial"/>
          <w:color w:val="auto"/>
        </w:rPr>
        <w:t xml:space="preserve">, </w:t>
      </w:r>
      <w:r w:rsidR="00597270" w:rsidRPr="00597270">
        <w:rPr>
          <w:rFonts w:ascii="Book Antiqua" w:eastAsia="Arial" w:hAnsi="Book Antiqua" w:cs="Arial"/>
          <w:color w:val="auto"/>
        </w:rPr>
        <w:t>PA 15224</w:t>
      </w:r>
      <w:r w:rsidRPr="00F56726">
        <w:rPr>
          <w:rFonts w:ascii="Book Antiqua" w:eastAsia="Arial" w:hAnsi="Book Antiqua" w:cs="Arial"/>
          <w:color w:val="auto"/>
        </w:rPr>
        <w:t>, United States</w:t>
      </w:r>
    </w:p>
    <w:p w14:paraId="4B538DB4" w14:textId="4E9DA920" w:rsidR="00112D07" w:rsidRPr="00F56726" w:rsidRDefault="00661F76"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lastRenderedPageBreak/>
        <w:t xml:space="preserve">Miranda </w:t>
      </w:r>
      <w:r w:rsidR="006149EF" w:rsidRPr="00F56726">
        <w:rPr>
          <w:rFonts w:ascii="Book Antiqua" w:eastAsia="Arial" w:hAnsi="Book Antiqua" w:cs="Arial"/>
          <w:b/>
          <w:color w:val="auto"/>
        </w:rPr>
        <w:t xml:space="preserve">AL </w:t>
      </w:r>
      <w:r w:rsidRPr="00F56726">
        <w:rPr>
          <w:rFonts w:ascii="Book Antiqua" w:eastAsia="Arial" w:hAnsi="Book Antiqua" w:cs="Arial"/>
          <w:b/>
          <w:color w:val="auto"/>
        </w:rPr>
        <w:t>van Tilburg,</w:t>
      </w:r>
      <w:r w:rsidRPr="00F56726">
        <w:rPr>
          <w:rFonts w:ascii="Book Antiqua" w:eastAsia="Arial" w:hAnsi="Book Antiqua" w:cs="Arial"/>
          <w:color w:val="auto"/>
        </w:rPr>
        <w:t xml:space="preserve"> </w:t>
      </w:r>
      <w:r w:rsidR="00142D0F" w:rsidRPr="00F56726">
        <w:rPr>
          <w:rFonts w:ascii="Book Antiqua" w:eastAsia="Arial" w:hAnsi="Book Antiqua" w:cs="Arial"/>
          <w:color w:val="auto"/>
        </w:rPr>
        <w:t>Department of Clinical Research,</w:t>
      </w:r>
      <w:r w:rsidR="00142D0F">
        <w:rPr>
          <w:rFonts w:ascii="Book Antiqua" w:hAnsi="Book Antiqua" w:cs="Arial" w:hint="eastAsia"/>
          <w:color w:val="auto"/>
          <w:lang w:eastAsia="zh-CN"/>
        </w:rPr>
        <w:t xml:space="preserve"> </w:t>
      </w:r>
      <w:r w:rsidR="001471C5" w:rsidRPr="00F56726">
        <w:rPr>
          <w:rFonts w:ascii="Book Antiqua" w:eastAsia="Arial" w:hAnsi="Book Antiqua" w:cs="Arial"/>
          <w:color w:val="auto"/>
        </w:rPr>
        <w:t xml:space="preserve">Campbell University, College of Pharmacy and Health Sciences, Buies Creek, </w:t>
      </w:r>
      <w:r w:rsidR="0039607A" w:rsidRPr="0039607A">
        <w:rPr>
          <w:rFonts w:ascii="Book Antiqua" w:eastAsia="Arial" w:hAnsi="Book Antiqua" w:cs="Arial"/>
          <w:color w:val="auto"/>
        </w:rPr>
        <w:t>NC 27506</w:t>
      </w:r>
      <w:r w:rsidR="001471C5" w:rsidRPr="00F56726">
        <w:rPr>
          <w:rFonts w:ascii="Book Antiqua" w:eastAsia="Arial" w:hAnsi="Book Antiqua" w:cs="Arial"/>
          <w:color w:val="auto"/>
        </w:rPr>
        <w:t>, United States</w:t>
      </w:r>
    </w:p>
    <w:p w14:paraId="0CBE129C" w14:textId="77777777" w:rsidR="00142D0F" w:rsidRDefault="00142D0F" w:rsidP="00A76D85">
      <w:pPr>
        <w:adjustRightInd w:val="0"/>
        <w:snapToGrid w:val="0"/>
        <w:spacing w:line="360" w:lineRule="auto"/>
        <w:jc w:val="both"/>
        <w:rPr>
          <w:rFonts w:ascii="Book Antiqua" w:hAnsi="Book Antiqua" w:cs="Arial"/>
          <w:b/>
          <w:color w:val="auto"/>
          <w:lang w:eastAsia="zh-CN"/>
        </w:rPr>
      </w:pPr>
    </w:p>
    <w:p w14:paraId="5F701944" w14:textId="357551D2" w:rsidR="00112D07" w:rsidRDefault="00142D0F" w:rsidP="00A76D85">
      <w:pPr>
        <w:adjustRightInd w:val="0"/>
        <w:snapToGrid w:val="0"/>
        <w:spacing w:line="360" w:lineRule="auto"/>
        <w:jc w:val="both"/>
        <w:rPr>
          <w:rFonts w:ascii="Book Antiqua" w:hAnsi="Book Antiqua" w:cs="Arial"/>
          <w:b/>
          <w:color w:val="auto"/>
          <w:lang w:eastAsia="zh-CN"/>
        </w:rPr>
      </w:pPr>
      <w:r w:rsidRPr="00F56726">
        <w:rPr>
          <w:rFonts w:ascii="Book Antiqua" w:eastAsia="Arial" w:hAnsi="Book Antiqua" w:cs="Arial"/>
          <w:b/>
          <w:color w:val="auto"/>
        </w:rPr>
        <w:t>Miranda AL van Tilburg,</w:t>
      </w:r>
      <w:r>
        <w:rPr>
          <w:rFonts w:ascii="Book Antiqua" w:eastAsia="Arial" w:hAnsi="Book Antiqua" w:cs="Arial"/>
          <w:color w:val="auto"/>
        </w:rPr>
        <w:t xml:space="preserve"> </w:t>
      </w:r>
      <w:r w:rsidRPr="00F56726">
        <w:rPr>
          <w:rFonts w:ascii="Book Antiqua" w:eastAsia="Arial" w:hAnsi="Book Antiqua" w:cs="Arial"/>
          <w:color w:val="auto"/>
        </w:rPr>
        <w:t>Department of Gastroenterology and Hepatology, the University of North Carolina, School of Medicine, Chapel Hill, NC</w:t>
      </w:r>
      <w:r w:rsidR="00964D2B">
        <w:rPr>
          <w:rFonts w:ascii="Book Antiqua" w:hAnsi="Book Antiqua" w:cs="Arial" w:hint="eastAsia"/>
          <w:color w:val="auto"/>
          <w:lang w:eastAsia="zh-CN"/>
        </w:rPr>
        <w:t xml:space="preserve"> </w:t>
      </w:r>
      <w:r w:rsidR="00964D2B" w:rsidRPr="00F56726">
        <w:rPr>
          <w:rFonts w:ascii="Book Antiqua" w:hAnsi="Book Antiqua" w:cs="Arial"/>
          <w:color w:val="auto"/>
        </w:rPr>
        <w:t>27599</w:t>
      </w:r>
      <w:r w:rsidRPr="00F56726">
        <w:rPr>
          <w:rFonts w:ascii="Book Antiqua" w:eastAsia="Arial" w:hAnsi="Book Antiqua" w:cs="Arial"/>
          <w:color w:val="auto"/>
        </w:rPr>
        <w:t>, United States</w:t>
      </w:r>
    </w:p>
    <w:p w14:paraId="77FF005E" w14:textId="77777777" w:rsidR="00142D0F" w:rsidRPr="00142D0F" w:rsidRDefault="00142D0F" w:rsidP="00A76D85">
      <w:pPr>
        <w:adjustRightInd w:val="0"/>
        <w:snapToGrid w:val="0"/>
        <w:spacing w:line="360" w:lineRule="auto"/>
        <w:jc w:val="both"/>
        <w:rPr>
          <w:rFonts w:ascii="Book Antiqua" w:hAnsi="Book Antiqua" w:cs="Arial"/>
          <w:color w:val="auto"/>
          <w:lang w:eastAsia="zh-CN"/>
        </w:rPr>
      </w:pPr>
    </w:p>
    <w:p w14:paraId="52FE606F" w14:textId="07054018" w:rsidR="00FB45EE"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t>Author contributions:</w:t>
      </w:r>
      <w:r w:rsidR="009D47E2" w:rsidRPr="00F56726">
        <w:rPr>
          <w:rFonts w:ascii="Book Antiqua" w:eastAsia="Arial" w:hAnsi="Book Antiqua" w:cs="Arial"/>
          <w:color w:val="auto"/>
        </w:rPr>
        <w:t xml:space="preserve"> Stollon</w:t>
      </w:r>
      <w:r w:rsidR="006149EF" w:rsidRPr="00F56726">
        <w:rPr>
          <w:rFonts w:ascii="Book Antiqua" w:hAnsi="Book Antiqua" w:cs="Arial"/>
          <w:color w:val="auto"/>
          <w:lang w:eastAsia="zh-CN"/>
        </w:rPr>
        <w:t xml:space="preserve"> N</w:t>
      </w:r>
      <w:r w:rsidR="006149EF" w:rsidRPr="00F56726">
        <w:rPr>
          <w:rFonts w:ascii="SimSun" w:hAnsi="SimSun" w:cs="Arial" w:hint="eastAsia"/>
          <w:color w:val="auto"/>
          <w:lang w:eastAsia="zh-CN"/>
        </w:rPr>
        <w:t xml:space="preserve"> </w:t>
      </w:r>
      <w:r w:rsidR="009D47E2" w:rsidRPr="00F56726">
        <w:rPr>
          <w:rFonts w:ascii="Book Antiqua" w:eastAsia="Arial" w:hAnsi="Book Antiqua" w:cs="Arial"/>
          <w:color w:val="auto"/>
        </w:rPr>
        <w:t>assisted with literature review and manuscript preparation</w:t>
      </w:r>
      <w:r w:rsidR="006149EF" w:rsidRPr="00F56726">
        <w:rPr>
          <w:rFonts w:ascii="Book Antiqua" w:hAnsi="Book Antiqua" w:cs="Arial" w:hint="eastAsia"/>
          <w:color w:val="auto"/>
          <w:lang w:eastAsia="zh-CN"/>
        </w:rPr>
        <w:t>;</w:t>
      </w:r>
      <w:r w:rsidR="009D47E2" w:rsidRPr="00F56726">
        <w:rPr>
          <w:rFonts w:ascii="Book Antiqua" w:eastAsia="Arial" w:hAnsi="Book Antiqua" w:cs="Arial"/>
          <w:color w:val="auto"/>
        </w:rPr>
        <w:t xml:space="preserve"> Zhong </w:t>
      </w:r>
      <w:r w:rsidR="006149EF" w:rsidRPr="00F56726">
        <w:rPr>
          <w:rFonts w:ascii="Book Antiqua" w:hAnsi="Book Antiqua" w:cs="Arial" w:hint="eastAsia"/>
          <w:color w:val="auto"/>
          <w:lang w:eastAsia="zh-CN"/>
        </w:rPr>
        <w:t xml:space="preserve">Y </w:t>
      </w:r>
      <w:r w:rsidR="009D47E2" w:rsidRPr="00F56726">
        <w:rPr>
          <w:rFonts w:ascii="Book Antiqua" w:eastAsia="Arial" w:hAnsi="Book Antiqua" w:cs="Arial"/>
          <w:color w:val="auto"/>
        </w:rPr>
        <w:t>was responsible for database management, performed all data analyses and assisted in manuscript preparation</w:t>
      </w:r>
      <w:r w:rsidR="006149EF" w:rsidRPr="00F56726">
        <w:rPr>
          <w:rFonts w:ascii="Book Antiqua" w:hAnsi="Book Antiqua" w:cs="Arial" w:hint="eastAsia"/>
          <w:color w:val="auto"/>
          <w:lang w:eastAsia="zh-CN"/>
        </w:rPr>
        <w:t>;</w:t>
      </w:r>
      <w:r w:rsidR="009D47E2" w:rsidRPr="00F56726">
        <w:rPr>
          <w:rFonts w:ascii="Book Antiqua" w:eastAsia="Arial" w:hAnsi="Book Antiqua" w:cs="Arial"/>
          <w:color w:val="auto"/>
        </w:rPr>
        <w:t xml:space="preserve"> </w:t>
      </w:r>
      <w:r w:rsidRPr="00F56726">
        <w:rPr>
          <w:rFonts w:ascii="Book Antiqua" w:eastAsia="Arial" w:hAnsi="Book Antiqua" w:cs="Arial"/>
          <w:color w:val="auto"/>
        </w:rPr>
        <w:t>Ferris</w:t>
      </w:r>
      <w:r w:rsidR="006149EF" w:rsidRPr="00F56726">
        <w:rPr>
          <w:rFonts w:ascii="Book Antiqua" w:hAnsi="Book Antiqua" w:cs="Arial" w:hint="eastAsia"/>
          <w:color w:val="auto"/>
          <w:lang w:eastAsia="zh-CN"/>
        </w:rPr>
        <w:t xml:space="preserve"> M</w:t>
      </w:r>
      <w:r w:rsidR="00894040" w:rsidRPr="00F56726">
        <w:rPr>
          <w:rFonts w:ascii="Book Antiqua" w:eastAsia="Arial" w:hAnsi="Book Antiqua" w:cs="Arial"/>
          <w:color w:val="auto"/>
        </w:rPr>
        <w:t>, Pitts</w:t>
      </w:r>
      <w:r w:rsidR="006149EF" w:rsidRPr="00F56726">
        <w:rPr>
          <w:rFonts w:ascii="Book Antiqua" w:hAnsi="Book Antiqua" w:cs="Arial" w:hint="eastAsia"/>
          <w:color w:val="auto"/>
          <w:lang w:eastAsia="zh-CN"/>
        </w:rPr>
        <w:t xml:space="preserve"> B</w:t>
      </w:r>
      <w:r w:rsidR="009D47E2" w:rsidRPr="00F56726">
        <w:rPr>
          <w:rFonts w:ascii="Book Antiqua" w:eastAsia="Arial" w:hAnsi="Book Antiqua" w:cs="Arial"/>
          <w:color w:val="auto"/>
        </w:rPr>
        <w:t>, Bhansali</w:t>
      </w:r>
      <w:r w:rsidR="006149EF" w:rsidRPr="00F56726">
        <w:rPr>
          <w:rFonts w:ascii="Book Antiqua" w:hAnsi="Book Antiqua" w:cs="Arial" w:hint="eastAsia"/>
          <w:color w:val="auto"/>
          <w:lang w:eastAsia="zh-CN"/>
        </w:rPr>
        <w:t xml:space="preserve"> S</w:t>
      </w:r>
      <w:r w:rsidR="009D47E2" w:rsidRPr="00F56726">
        <w:rPr>
          <w:rFonts w:ascii="Book Antiqua" w:eastAsia="Arial" w:hAnsi="Book Antiqua" w:cs="Arial"/>
          <w:color w:val="auto"/>
        </w:rPr>
        <w:t>,</w:t>
      </w:r>
      <w:r w:rsidR="00954759" w:rsidRPr="00F56726">
        <w:rPr>
          <w:rFonts w:ascii="Book Antiqua" w:eastAsia="Arial" w:hAnsi="Book Antiqua" w:cs="Arial"/>
          <w:color w:val="auto"/>
        </w:rPr>
        <w:t xml:space="preserve"> and </w:t>
      </w:r>
      <w:r w:rsidR="00894040" w:rsidRPr="00F56726">
        <w:rPr>
          <w:rFonts w:ascii="Book Antiqua" w:eastAsia="Arial" w:hAnsi="Book Antiqua" w:cs="Arial"/>
          <w:color w:val="auto"/>
        </w:rPr>
        <w:t>Rak</w:t>
      </w:r>
      <w:r w:rsidR="006149EF" w:rsidRPr="00F56726">
        <w:rPr>
          <w:rFonts w:ascii="Book Antiqua" w:hAnsi="Book Antiqua" w:cs="Arial" w:hint="eastAsia"/>
          <w:color w:val="auto"/>
          <w:lang w:eastAsia="zh-CN"/>
        </w:rPr>
        <w:t xml:space="preserve"> E</w:t>
      </w:r>
      <w:r w:rsidR="00894040" w:rsidRPr="00F56726">
        <w:rPr>
          <w:rFonts w:ascii="Book Antiqua" w:eastAsia="Arial" w:hAnsi="Book Antiqua" w:cs="Arial"/>
          <w:color w:val="auto"/>
        </w:rPr>
        <w:t xml:space="preserve"> </w:t>
      </w:r>
      <w:r w:rsidRPr="00F56726">
        <w:rPr>
          <w:rFonts w:ascii="Book Antiqua" w:eastAsia="Arial" w:hAnsi="Book Antiqua" w:cs="Arial"/>
          <w:color w:val="auto"/>
        </w:rPr>
        <w:t xml:space="preserve">assisted with the data </w:t>
      </w:r>
      <w:r w:rsidR="009D47E2" w:rsidRPr="00F56726">
        <w:rPr>
          <w:rFonts w:ascii="Book Antiqua" w:eastAsia="Arial" w:hAnsi="Book Antiqua" w:cs="Arial"/>
          <w:color w:val="auto"/>
        </w:rPr>
        <w:t xml:space="preserve">collection, </w:t>
      </w:r>
      <w:r w:rsidRPr="00F56726">
        <w:rPr>
          <w:rFonts w:ascii="Book Antiqua" w:eastAsia="Arial" w:hAnsi="Book Antiqua" w:cs="Arial"/>
          <w:color w:val="auto"/>
        </w:rPr>
        <w:t>data analysis</w:t>
      </w:r>
      <w:r w:rsidR="009D47E2" w:rsidRPr="00F56726">
        <w:rPr>
          <w:rFonts w:ascii="Book Antiqua" w:eastAsia="Arial" w:hAnsi="Book Antiqua" w:cs="Arial"/>
          <w:color w:val="auto"/>
        </w:rPr>
        <w:t>/</w:t>
      </w:r>
      <w:r w:rsidRPr="00F56726">
        <w:rPr>
          <w:rFonts w:ascii="Book Antiqua" w:eastAsia="Arial" w:hAnsi="Book Antiqua" w:cs="Arial"/>
          <w:color w:val="auto"/>
        </w:rPr>
        <w:t>interpretation as well as manuscript writing</w:t>
      </w:r>
      <w:r w:rsidR="006149EF" w:rsidRPr="00F56726">
        <w:rPr>
          <w:rFonts w:ascii="Book Antiqua" w:hAnsi="Book Antiqua" w:cs="Arial" w:hint="eastAsia"/>
          <w:color w:val="auto"/>
          <w:lang w:eastAsia="zh-CN"/>
        </w:rPr>
        <w:t>;</w:t>
      </w:r>
      <w:r w:rsidR="0059598A">
        <w:rPr>
          <w:rFonts w:ascii="Book Antiqua" w:eastAsia="Arial" w:hAnsi="Book Antiqua" w:cs="Arial"/>
          <w:color w:val="auto"/>
        </w:rPr>
        <w:t xml:space="preserve"> </w:t>
      </w:r>
      <w:r w:rsidR="009D47E2" w:rsidRPr="00F56726">
        <w:rPr>
          <w:rFonts w:ascii="Book Antiqua" w:eastAsia="Arial" w:hAnsi="Book Antiqua" w:cs="Arial"/>
          <w:color w:val="auto"/>
        </w:rPr>
        <w:t xml:space="preserve"> Kim </w:t>
      </w:r>
      <w:r w:rsidR="006149EF" w:rsidRPr="00F56726">
        <w:rPr>
          <w:rFonts w:ascii="Book Antiqua" w:hAnsi="Book Antiqua" w:cs="Arial" w:hint="eastAsia"/>
          <w:color w:val="auto"/>
          <w:lang w:eastAsia="zh-CN"/>
        </w:rPr>
        <w:t xml:space="preserve">S </w:t>
      </w:r>
      <w:r w:rsidR="009D47E2" w:rsidRPr="00F56726">
        <w:rPr>
          <w:rFonts w:ascii="Book Antiqua" w:eastAsia="Arial" w:hAnsi="Book Antiqua" w:cs="Arial"/>
          <w:color w:val="auto"/>
        </w:rPr>
        <w:t xml:space="preserve">and Kelly </w:t>
      </w:r>
      <w:r w:rsidR="006149EF" w:rsidRPr="00F56726">
        <w:rPr>
          <w:rFonts w:ascii="Book Antiqua" w:hAnsi="Book Antiqua" w:cs="Arial" w:hint="eastAsia"/>
          <w:color w:val="auto"/>
          <w:lang w:eastAsia="zh-CN"/>
        </w:rPr>
        <w:t xml:space="preserve">M </w:t>
      </w:r>
      <w:r w:rsidR="009D47E2" w:rsidRPr="00F56726">
        <w:rPr>
          <w:rFonts w:ascii="Book Antiqua" w:eastAsia="Arial" w:hAnsi="Book Antiqua" w:cs="Arial"/>
          <w:color w:val="auto"/>
        </w:rPr>
        <w:t>assisted with data collection, and manuscript preparation</w:t>
      </w:r>
      <w:r w:rsidR="006149EF" w:rsidRPr="00F56726">
        <w:rPr>
          <w:rFonts w:ascii="Book Antiqua" w:hAnsi="Book Antiqua" w:cs="Arial" w:hint="eastAsia"/>
          <w:color w:val="auto"/>
          <w:lang w:eastAsia="zh-CN"/>
        </w:rPr>
        <w:t>;</w:t>
      </w:r>
      <w:r w:rsidR="009D47E2" w:rsidRPr="00F56726">
        <w:rPr>
          <w:rFonts w:ascii="Book Antiqua" w:eastAsia="Arial" w:hAnsi="Book Antiqua" w:cs="Arial"/>
          <w:color w:val="auto"/>
        </w:rPr>
        <w:t xml:space="preserve"> </w:t>
      </w:r>
      <w:r w:rsidR="00FB45EE" w:rsidRPr="00F56726">
        <w:rPr>
          <w:rFonts w:ascii="Book Antiqua" w:eastAsia="Arial" w:hAnsi="Book Antiqua" w:cs="Arial"/>
          <w:color w:val="auto"/>
        </w:rPr>
        <w:t xml:space="preserve">van Tilburg </w:t>
      </w:r>
      <w:r w:rsidR="006149EF" w:rsidRPr="00F56726">
        <w:rPr>
          <w:rFonts w:ascii="Book Antiqua" w:hAnsi="Book Antiqua" w:cs="Arial" w:hint="eastAsia"/>
          <w:color w:val="auto"/>
          <w:lang w:eastAsia="zh-CN"/>
        </w:rPr>
        <w:t xml:space="preserve">MAL </w:t>
      </w:r>
      <w:r w:rsidR="009D47E2" w:rsidRPr="00F56726">
        <w:rPr>
          <w:rFonts w:ascii="Book Antiqua" w:eastAsia="Arial" w:hAnsi="Book Antiqua" w:cs="Arial"/>
          <w:color w:val="auto"/>
        </w:rPr>
        <w:t xml:space="preserve">was responsible for </w:t>
      </w:r>
      <w:r w:rsidR="00FB45EE" w:rsidRPr="00F56726">
        <w:rPr>
          <w:rFonts w:ascii="Book Antiqua" w:eastAsia="Arial" w:hAnsi="Book Antiqua" w:cs="Arial"/>
          <w:color w:val="auto"/>
        </w:rPr>
        <w:t xml:space="preserve">study design, </w:t>
      </w:r>
      <w:r w:rsidR="009D47E2" w:rsidRPr="00F56726">
        <w:rPr>
          <w:rFonts w:ascii="Book Antiqua" w:eastAsia="Arial" w:hAnsi="Book Antiqua" w:cs="Arial"/>
          <w:color w:val="auto"/>
        </w:rPr>
        <w:t xml:space="preserve">and assisted with </w:t>
      </w:r>
      <w:r w:rsidR="00FB45EE" w:rsidRPr="00F56726">
        <w:rPr>
          <w:rFonts w:ascii="Book Antiqua" w:eastAsia="Arial" w:hAnsi="Book Antiqua" w:cs="Arial"/>
          <w:color w:val="auto"/>
        </w:rPr>
        <w:t>data analysis</w:t>
      </w:r>
      <w:r w:rsidR="009D47E2" w:rsidRPr="00F56726">
        <w:rPr>
          <w:rFonts w:ascii="Book Antiqua" w:eastAsia="Arial" w:hAnsi="Book Antiqua" w:cs="Arial"/>
          <w:color w:val="auto"/>
        </w:rPr>
        <w:t>/</w:t>
      </w:r>
      <w:r w:rsidR="00FB45EE" w:rsidRPr="00F56726">
        <w:rPr>
          <w:rFonts w:ascii="Book Antiqua" w:eastAsia="Arial" w:hAnsi="Book Antiqua" w:cs="Arial"/>
          <w:color w:val="auto"/>
        </w:rPr>
        <w:t>interpretation as well as manuscript writing</w:t>
      </w:r>
      <w:r w:rsidR="009D47E2" w:rsidRPr="00F56726">
        <w:rPr>
          <w:rFonts w:ascii="Book Antiqua" w:eastAsia="Arial" w:hAnsi="Book Antiqua" w:cs="Arial"/>
          <w:color w:val="auto"/>
        </w:rPr>
        <w:t>.</w:t>
      </w:r>
    </w:p>
    <w:p w14:paraId="20B8EED1" w14:textId="77777777" w:rsidR="009D47E2" w:rsidRPr="00F56726" w:rsidRDefault="009D47E2" w:rsidP="00A76D85">
      <w:pPr>
        <w:adjustRightInd w:val="0"/>
        <w:snapToGrid w:val="0"/>
        <w:spacing w:line="360" w:lineRule="auto"/>
        <w:jc w:val="both"/>
        <w:rPr>
          <w:rFonts w:ascii="Book Antiqua" w:hAnsi="Book Antiqua" w:cs="Arial"/>
          <w:b/>
          <w:color w:val="auto"/>
          <w:lang w:eastAsia="zh-CN"/>
        </w:rPr>
      </w:pPr>
    </w:p>
    <w:p w14:paraId="2F2323FD" w14:textId="2F280624" w:rsidR="006149EF" w:rsidRPr="00F56726" w:rsidRDefault="006149EF" w:rsidP="00A76D85">
      <w:pPr>
        <w:adjustRightInd w:val="0"/>
        <w:snapToGrid w:val="0"/>
        <w:spacing w:line="360" w:lineRule="auto"/>
        <w:jc w:val="both"/>
        <w:rPr>
          <w:rFonts w:ascii="Book Antiqua" w:hAnsi="Book Antiqua" w:cs="Arial"/>
          <w:color w:val="auto"/>
          <w:lang w:eastAsia="zh-CN"/>
        </w:rPr>
      </w:pPr>
      <w:r w:rsidRPr="00F56726">
        <w:rPr>
          <w:rFonts w:ascii="Book Antiqua" w:hAnsi="Book Antiqua" w:cs="Arial" w:hint="eastAsia"/>
          <w:b/>
          <w:color w:val="auto"/>
          <w:lang w:eastAsia="zh-CN"/>
        </w:rPr>
        <w:t>Supported by</w:t>
      </w:r>
      <w:r w:rsidRPr="00F56726">
        <w:rPr>
          <w:rFonts w:ascii="Book Antiqua" w:hAnsi="Book Antiqua" w:cs="Arial"/>
          <w:color w:val="auto"/>
          <w:lang w:eastAsia="zh-CN"/>
        </w:rPr>
        <w:t xml:space="preserve"> the Renal Research Institute</w:t>
      </w:r>
      <w:r w:rsidRPr="00F56726">
        <w:rPr>
          <w:rFonts w:ascii="Book Antiqua" w:hAnsi="Book Antiqua" w:cs="Arial" w:hint="eastAsia"/>
          <w:color w:val="auto"/>
          <w:lang w:eastAsia="zh-CN"/>
        </w:rPr>
        <w:t xml:space="preserve"> (</w:t>
      </w:r>
      <w:r w:rsidRPr="00F56726">
        <w:rPr>
          <w:rFonts w:ascii="Book Antiqua" w:hAnsi="Book Antiqua" w:cs="Arial"/>
          <w:color w:val="auto"/>
          <w:lang w:eastAsia="zh-CN"/>
        </w:rPr>
        <w:t>partially</w:t>
      </w:r>
      <w:r w:rsidRPr="00F56726">
        <w:rPr>
          <w:rFonts w:ascii="Book Antiqua" w:hAnsi="Book Antiqua" w:cs="Arial" w:hint="eastAsia"/>
          <w:color w:val="auto"/>
          <w:lang w:eastAsia="zh-CN"/>
        </w:rPr>
        <w:t>).</w:t>
      </w:r>
    </w:p>
    <w:p w14:paraId="640678D2" w14:textId="77777777" w:rsidR="006149EF" w:rsidRPr="00F56726" w:rsidRDefault="006149EF" w:rsidP="00A76D85">
      <w:pPr>
        <w:adjustRightInd w:val="0"/>
        <w:snapToGrid w:val="0"/>
        <w:spacing w:line="360" w:lineRule="auto"/>
        <w:jc w:val="both"/>
        <w:rPr>
          <w:rFonts w:ascii="Book Antiqua" w:hAnsi="Book Antiqua" w:cs="Arial"/>
          <w:b/>
          <w:color w:val="auto"/>
          <w:lang w:eastAsia="zh-CN"/>
        </w:rPr>
      </w:pPr>
    </w:p>
    <w:p w14:paraId="07B7C882" w14:textId="43517ADE"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t xml:space="preserve">Institutional </w:t>
      </w:r>
      <w:r w:rsidR="006149EF" w:rsidRPr="00F56726">
        <w:rPr>
          <w:rFonts w:ascii="Book Antiqua" w:eastAsia="Arial" w:hAnsi="Book Antiqua" w:cs="Arial"/>
          <w:b/>
          <w:color w:val="auto"/>
        </w:rPr>
        <w:t xml:space="preserve">review board statement: </w:t>
      </w:r>
      <w:r w:rsidRPr="00F56726">
        <w:rPr>
          <w:rFonts w:ascii="Book Antiqua" w:eastAsia="Arial" w:hAnsi="Book Antiqua" w:cs="Arial"/>
          <w:color w:val="auto"/>
        </w:rPr>
        <w:t>The study was reviewed and approved by the UNC Institutional Review Board</w:t>
      </w:r>
      <w:r w:rsidR="009D47E2" w:rsidRPr="00F56726">
        <w:rPr>
          <w:rFonts w:ascii="Book Antiqua" w:eastAsia="Arial" w:hAnsi="Book Antiqua" w:cs="Arial"/>
          <w:color w:val="auto"/>
        </w:rPr>
        <w:t xml:space="preserve"> (Chapel Hill, NC)</w:t>
      </w:r>
      <w:r w:rsidRPr="00F56726">
        <w:rPr>
          <w:rFonts w:ascii="Book Antiqua" w:eastAsia="Arial" w:hAnsi="Book Antiqua" w:cs="Arial"/>
          <w:color w:val="auto"/>
        </w:rPr>
        <w:t>.</w:t>
      </w:r>
    </w:p>
    <w:p w14:paraId="71AE9D91" w14:textId="77777777" w:rsidR="009D47E2" w:rsidRPr="00F56726" w:rsidRDefault="009D47E2" w:rsidP="00A76D85">
      <w:pPr>
        <w:adjustRightInd w:val="0"/>
        <w:snapToGrid w:val="0"/>
        <w:spacing w:line="360" w:lineRule="auto"/>
        <w:jc w:val="both"/>
        <w:rPr>
          <w:rFonts w:ascii="Book Antiqua" w:eastAsia="Arial" w:hAnsi="Book Antiqua" w:cs="Arial"/>
          <w:b/>
          <w:color w:val="auto"/>
        </w:rPr>
      </w:pPr>
    </w:p>
    <w:p w14:paraId="30F71C34"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t>Informed consent statement:</w:t>
      </w:r>
      <w:r w:rsidRPr="00F56726">
        <w:rPr>
          <w:rFonts w:ascii="Book Antiqua" w:eastAsia="Arial" w:hAnsi="Book Antiqua" w:cs="Arial"/>
          <w:color w:val="auto"/>
        </w:rPr>
        <w:t xml:space="preserve"> All study participants, or their legal guardian, provided informed written consent prior to study enrollment.</w:t>
      </w:r>
    </w:p>
    <w:p w14:paraId="52DFB51E" w14:textId="77777777" w:rsidR="009D47E2" w:rsidRPr="00F56726" w:rsidRDefault="009D47E2" w:rsidP="00A76D85">
      <w:pPr>
        <w:adjustRightInd w:val="0"/>
        <w:snapToGrid w:val="0"/>
        <w:spacing w:line="360" w:lineRule="auto"/>
        <w:jc w:val="both"/>
        <w:rPr>
          <w:rFonts w:ascii="Book Antiqua" w:eastAsia="Arial" w:hAnsi="Book Antiqua" w:cs="Arial"/>
          <w:b/>
          <w:color w:val="auto"/>
        </w:rPr>
      </w:pPr>
    </w:p>
    <w:p w14:paraId="470AAF1B" w14:textId="5D7B3F62" w:rsidR="00112D07" w:rsidRPr="00F56726" w:rsidRDefault="00A603C0" w:rsidP="00A76D85">
      <w:pPr>
        <w:adjustRightInd w:val="0"/>
        <w:snapToGrid w:val="0"/>
        <w:spacing w:line="360" w:lineRule="auto"/>
        <w:jc w:val="both"/>
        <w:rPr>
          <w:rFonts w:ascii="Book Antiqua" w:hAnsi="Book Antiqua" w:cs="Arial"/>
          <w:color w:val="auto"/>
          <w:lang w:eastAsia="zh-CN"/>
        </w:rPr>
      </w:pPr>
      <w:r w:rsidRPr="00F56726">
        <w:rPr>
          <w:rFonts w:ascii="Book Antiqua" w:eastAsia="Arial" w:hAnsi="Book Antiqua" w:cs="Arial"/>
          <w:b/>
          <w:color w:val="auto"/>
        </w:rPr>
        <w:t>Conflict</w:t>
      </w:r>
      <w:r w:rsidR="006149EF" w:rsidRPr="00F56726">
        <w:rPr>
          <w:rFonts w:ascii="Book Antiqua" w:hAnsi="Book Antiqua" w:cs="Arial" w:hint="eastAsia"/>
          <w:b/>
          <w:color w:val="auto"/>
          <w:lang w:eastAsia="zh-CN"/>
        </w:rPr>
        <w:t>-</w:t>
      </w:r>
      <w:r w:rsidRPr="00F56726">
        <w:rPr>
          <w:rFonts w:ascii="Book Antiqua" w:eastAsia="Arial" w:hAnsi="Book Antiqua" w:cs="Arial"/>
          <w:b/>
          <w:color w:val="auto"/>
        </w:rPr>
        <w:t>of</w:t>
      </w:r>
      <w:r w:rsidR="006149EF" w:rsidRPr="00F56726">
        <w:rPr>
          <w:rFonts w:ascii="Book Antiqua" w:hAnsi="Book Antiqua" w:cs="Arial" w:hint="eastAsia"/>
          <w:b/>
          <w:color w:val="auto"/>
          <w:lang w:eastAsia="zh-CN"/>
        </w:rPr>
        <w:t>-</w:t>
      </w:r>
      <w:r w:rsidRPr="00F56726">
        <w:rPr>
          <w:rFonts w:ascii="Book Antiqua" w:eastAsia="Arial" w:hAnsi="Book Antiqua" w:cs="Arial"/>
          <w:b/>
          <w:color w:val="auto"/>
        </w:rPr>
        <w:t>interest statement:</w:t>
      </w:r>
      <w:r w:rsidRPr="00F56726">
        <w:rPr>
          <w:rFonts w:ascii="Book Antiqua" w:eastAsia="Arial" w:hAnsi="Book Antiqua" w:cs="Arial"/>
          <w:color w:val="auto"/>
        </w:rPr>
        <w:t xml:space="preserve"> None of the authors have any COI related to this paper</w:t>
      </w:r>
      <w:r w:rsidR="006149EF" w:rsidRPr="00F56726">
        <w:rPr>
          <w:rFonts w:ascii="Book Antiqua" w:hAnsi="Book Antiqua" w:cs="Arial" w:hint="eastAsia"/>
          <w:color w:val="auto"/>
          <w:lang w:eastAsia="zh-CN"/>
        </w:rPr>
        <w:t>.</w:t>
      </w:r>
    </w:p>
    <w:p w14:paraId="6B3419E3" w14:textId="77777777" w:rsidR="009D47E2" w:rsidRPr="00F56726" w:rsidRDefault="009D47E2" w:rsidP="00A76D85">
      <w:pPr>
        <w:adjustRightInd w:val="0"/>
        <w:snapToGrid w:val="0"/>
        <w:spacing w:line="360" w:lineRule="auto"/>
        <w:jc w:val="both"/>
        <w:rPr>
          <w:rFonts w:ascii="Book Antiqua" w:hAnsi="Book Antiqua" w:cs="Arial"/>
          <w:b/>
          <w:color w:val="auto"/>
        </w:rPr>
      </w:pPr>
    </w:p>
    <w:p w14:paraId="69A0A76C" w14:textId="5C3B8D2F" w:rsidR="009D47E2" w:rsidRPr="00F56726" w:rsidRDefault="009D47E2" w:rsidP="00A76D85">
      <w:pPr>
        <w:adjustRightInd w:val="0"/>
        <w:snapToGrid w:val="0"/>
        <w:spacing w:line="360" w:lineRule="auto"/>
        <w:jc w:val="both"/>
        <w:rPr>
          <w:rFonts w:ascii="Book Antiqua" w:hAnsi="Book Antiqua" w:cs="Arial"/>
          <w:color w:val="auto"/>
          <w:lang w:eastAsia="zh-CN"/>
        </w:rPr>
      </w:pPr>
      <w:r w:rsidRPr="00F56726">
        <w:rPr>
          <w:rFonts w:ascii="Book Antiqua" w:hAnsi="Book Antiqua" w:cs="Arial"/>
          <w:b/>
          <w:color w:val="auto"/>
        </w:rPr>
        <w:t xml:space="preserve">Data sharing statement: </w:t>
      </w:r>
      <w:r w:rsidRPr="00F56726">
        <w:rPr>
          <w:rFonts w:ascii="Book Antiqua" w:hAnsi="Book Antiqua" w:cs="Arial"/>
          <w:color w:val="auto"/>
        </w:rPr>
        <w:t>There is no additional data available</w:t>
      </w:r>
      <w:r w:rsidR="006149EF" w:rsidRPr="00F56726">
        <w:rPr>
          <w:rFonts w:ascii="Book Antiqua" w:hAnsi="Book Antiqua" w:cs="Arial" w:hint="eastAsia"/>
          <w:color w:val="auto"/>
          <w:lang w:eastAsia="zh-CN"/>
        </w:rPr>
        <w:t>.</w:t>
      </w:r>
    </w:p>
    <w:p w14:paraId="48D1F913" w14:textId="77777777" w:rsidR="009D47E2" w:rsidRPr="00F56726" w:rsidRDefault="009D47E2" w:rsidP="00A76D85">
      <w:pPr>
        <w:adjustRightInd w:val="0"/>
        <w:snapToGrid w:val="0"/>
        <w:spacing w:line="360" w:lineRule="auto"/>
        <w:jc w:val="both"/>
        <w:rPr>
          <w:rFonts w:ascii="Book Antiqua" w:hAnsi="Book Antiqua" w:cs="Arial"/>
          <w:b/>
          <w:color w:val="auto"/>
          <w:lang w:eastAsia="zh-CN"/>
        </w:rPr>
      </w:pPr>
    </w:p>
    <w:p w14:paraId="4928DC37" w14:textId="77777777" w:rsidR="006149EF" w:rsidRPr="006149EF" w:rsidRDefault="006149EF" w:rsidP="006149EF">
      <w:pPr>
        <w:spacing w:line="360" w:lineRule="auto"/>
        <w:jc w:val="both"/>
        <w:rPr>
          <w:rFonts w:ascii="Book Antiqua" w:hAnsi="Book Antiqua" w:cs="SimSun"/>
          <w:color w:val="auto"/>
          <w:lang w:eastAsia="zh-CN"/>
        </w:rPr>
      </w:pPr>
      <w:bookmarkStart w:id="14" w:name="OLE_LINK441"/>
      <w:bookmarkStart w:id="15" w:name="OLE_LINK442"/>
      <w:bookmarkStart w:id="16" w:name="OLE_LINK1032"/>
      <w:bookmarkStart w:id="17" w:name="OLE_LINK1232"/>
      <w:bookmarkStart w:id="18" w:name="OLE_LINK1460"/>
      <w:bookmarkStart w:id="19" w:name="OLE_LINK1568"/>
      <w:bookmarkStart w:id="20" w:name="OLE_LINK1708"/>
      <w:bookmarkStart w:id="21" w:name="OLE_LINK1435"/>
      <w:bookmarkStart w:id="22" w:name="OLE_LINK1478"/>
      <w:bookmarkStart w:id="23" w:name="OLE_LINK1428"/>
      <w:bookmarkStart w:id="24" w:name="OLE_LINK1355"/>
      <w:bookmarkStart w:id="25" w:name="OLE_LINK1425"/>
      <w:bookmarkStart w:id="26" w:name="OLE_LINK1504"/>
      <w:bookmarkStart w:id="27" w:name="OLE_LINK1544"/>
      <w:bookmarkStart w:id="28" w:name="OLE_LINK1680"/>
      <w:bookmarkStart w:id="29" w:name="OLE_LINK1710"/>
      <w:bookmarkStart w:id="30" w:name="OLE_LINK3317"/>
      <w:bookmarkStart w:id="31" w:name="OLE_LINK22"/>
      <w:bookmarkStart w:id="32" w:name="OLE_LINK1818"/>
      <w:bookmarkStart w:id="33" w:name="OLE_LINK1684"/>
      <w:bookmarkStart w:id="34" w:name="OLE_LINK1885"/>
      <w:bookmarkStart w:id="35" w:name="OLE_LINK1799"/>
      <w:bookmarkStart w:id="36" w:name="OLE_LINK1894"/>
      <w:bookmarkStart w:id="37" w:name="OLE_LINK27"/>
      <w:bookmarkStart w:id="38" w:name="OLE_LINK732"/>
      <w:bookmarkStart w:id="39" w:name="OLE_LINK2053"/>
      <w:bookmarkStart w:id="40" w:name="OLE_LINK2096"/>
      <w:bookmarkStart w:id="41" w:name="OLE_LINK2174"/>
      <w:bookmarkStart w:id="42" w:name="OLE_LINK2108"/>
      <w:bookmarkStart w:id="43" w:name="OLE_LINK2183"/>
      <w:bookmarkStart w:id="44" w:name="OLE_LINK2328"/>
      <w:bookmarkStart w:id="45" w:name="OLE_LINK766"/>
      <w:bookmarkStart w:id="46" w:name="OLE_LINK2256"/>
      <w:bookmarkStart w:id="47" w:name="OLE_LINK38"/>
      <w:bookmarkStart w:id="48" w:name="OLE_LINK2368"/>
      <w:bookmarkStart w:id="49" w:name="OLE_LINK2351"/>
      <w:bookmarkStart w:id="50" w:name="OLE_LINK2446"/>
      <w:bookmarkStart w:id="51" w:name="OLE_LINK2509"/>
      <w:bookmarkStart w:id="52" w:name="OLE_LINK2651"/>
      <w:bookmarkStart w:id="53" w:name="OLE_LINK2842"/>
      <w:bookmarkStart w:id="54" w:name="OLE_LINK2909"/>
      <w:bookmarkStart w:id="55" w:name="OLE_LINK3004"/>
      <w:bookmarkStart w:id="56" w:name="OLE_LINK43"/>
      <w:bookmarkStart w:id="57" w:name="OLE_LINK3170"/>
      <w:bookmarkStart w:id="58" w:name="OLE_LINK3181"/>
      <w:bookmarkStart w:id="59" w:name="OLE_LINK3182"/>
      <w:bookmarkStart w:id="60" w:name="OLE_LINK3631"/>
      <w:bookmarkStart w:id="61" w:name="OLE_LINK3293"/>
      <w:bookmarkStart w:id="62" w:name="OLE_LINK71"/>
      <w:bookmarkStart w:id="63" w:name="OLE_LINK3789"/>
      <w:bookmarkStart w:id="64" w:name="OLE_LINK76"/>
      <w:bookmarkStart w:id="65" w:name="OLE_LINK102"/>
      <w:bookmarkStart w:id="66" w:name="OLE_LINK3695"/>
      <w:bookmarkStart w:id="67" w:name="OLE_LINK3733"/>
      <w:bookmarkStart w:id="68" w:name="OLE_LINK3858"/>
      <w:bookmarkStart w:id="69" w:name="OLE_LINK3870"/>
      <w:bookmarkStart w:id="70" w:name="OLE_LINK100"/>
      <w:bookmarkStart w:id="71" w:name="OLE_LINK158"/>
      <w:bookmarkStart w:id="72" w:name="OLE_LINK3928"/>
      <w:bookmarkStart w:id="73" w:name="OLE_LINK123"/>
      <w:bookmarkStart w:id="74" w:name="OLE_LINK126"/>
      <w:r w:rsidRPr="006149EF">
        <w:rPr>
          <w:rFonts w:ascii="Book Antiqua" w:hAnsi="Book Antiqua" w:cs="Times New Roman"/>
          <w:b/>
          <w:lang w:eastAsia="zh-CN"/>
        </w:rPr>
        <w:t xml:space="preserve">Open-Access: </w:t>
      </w:r>
      <w:bookmarkStart w:id="75" w:name="OLE_LINK507"/>
      <w:bookmarkStart w:id="76" w:name="OLE_LINK506"/>
      <w:bookmarkStart w:id="77" w:name="OLE_LINK496"/>
      <w:bookmarkStart w:id="78" w:name="OLE_LINK479"/>
      <w:r w:rsidRPr="006149EF">
        <w:rPr>
          <w:rFonts w:ascii="Book Antiqua" w:hAnsi="Book Antiqua" w:cs="Times New Roman"/>
          <w:kern w:val="2"/>
          <w:lang w:eastAsia="zh-CN"/>
        </w:rPr>
        <w:t xml:space="preserve">This article is an </w:t>
      </w:r>
      <w:r w:rsidRPr="006149EF">
        <w:rPr>
          <w:rFonts w:ascii="Book Antiqua" w:hAnsi="Book Antiqua" w:cs="Times New Roman"/>
          <w:color w:val="auto"/>
          <w:kern w:val="2"/>
          <w:lang w:eastAsia="zh-CN"/>
        </w:rPr>
        <w:t xml:space="preserve">open-access article which </w:t>
      </w:r>
      <w:r w:rsidRPr="006149EF">
        <w:rPr>
          <w:rFonts w:ascii="Book Antiqua" w:hAnsi="Book Antiqua" w:cs="Times New Roman"/>
          <w:kern w:val="2"/>
          <w:lang w:eastAsia="zh-CN"/>
        </w:rPr>
        <w:t>was selected by an in-house editor and fully peer-reviewed by external reviewers. It is dis</w:t>
      </w:r>
      <w:r w:rsidRPr="006149EF">
        <w:rPr>
          <w:rFonts w:ascii="Book Antiqua" w:hAnsi="Book Antiqua" w:cs="Times New Roman"/>
          <w:color w:val="auto"/>
          <w:kern w:val="2"/>
          <w:lang w:eastAsia="zh-CN"/>
        </w:rPr>
        <w:t xml:space="preserve">tributed in accordance with the Creative Commons Attribution Non Commercial (CC BY-NC 4.0) license, which permits others to distribute, remix, adapt, build upon this work non-commercially, and license their derivative works on different terms, </w:t>
      </w:r>
      <w:r w:rsidRPr="006149EF">
        <w:rPr>
          <w:rFonts w:ascii="Book Antiqua" w:hAnsi="Book Antiqua" w:cs="Times New Roman"/>
          <w:color w:val="auto"/>
          <w:kern w:val="2"/>
          <w:lang w:eastAsia="zh-CN"/>
        </w:rPr>
        <w:lastRenderedPageBreak/>
        <w:t xml:space="preserve">provided the original work is properly cited and the use is non-commercial. See: </w:t>
      </w:r>
      <w:hyperlink r:id="rId7" w:history="1">
        <w:r w:rsidRPr="00F56726">
          <w:rPr>
            <w:rFonts w:ascii="Book Antiqua" w:hAnsi="Book Antiqua" w:cs="Times New Roman"/>
            <w:color w:val="0000FF"/>
            <w:kern w:val="2"/>
            <w:u w:val="single"/>
            <w:lang w:eastAsia="zh-CN"/>
          </w:rPr>
          <w:t>http://creativecommons.org/licenses/by-nc/4.0/</w:t>
        </w:r>
      </w:hyperlink>
      <w:bookmarkEnd w:id="75"/>
      <w:bookmarkEnd w:id="76"/>
      <w:bookmarkEnd w:id="77"/>
      <w:bookmarkEnd w:id="78"/>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F950ED9" w14:textId="77777777" w:rsidR="006149EF" w:rsidRPr="006149EF" w:rsidRDefault="006149EF" w:rsidP="006149EF">
      <w:pPr>
        <w:widowControl w:val="0"/>
        <w:adjustRightInd w:val="0"/>
        <w:snapToGrid w:val="0"/>
        <w:spacing w:line="360" w:lineRule="auto"/>
        <w:jc w:val="both"/>
        <w:rPr>
          <w:rFonts w:ascii="Book Antiqua" w:hAnsi="Book Antiqua" w:cs="Times New Roman"/>
          <w:b/>
          <w:kern w:val="2"/>
          <w:lang w:eastAsia="zh-CN"/>
        </w:rPr>
      </w:pPr>
    </w:p>
    <w:p w14:paraId="546777E4" w14:textId="77777777" w:rsidR="006149EF" w:rsidRPr="00F56726" w:rsidRDefault="006149EF" w:rsidP="006149EF">
      <w:pPr>
        <w:widowControl w:val="0"/>
        <w:adjustRightInd w:val="0"/>
        <w:snapToGrid w:val="0"/>
        <w:spacing w:line="360" w:lineRule="auto"/>
        <w:jc w:val="both"/>
        <w:rPr>
          <w:rFonts w:ascii="Book Antiqua" w:hAnsi="Book Antiqua" w:cs="Times New Roman"/>
          <w:kern w:val="2"/>
          <w:lang w:eastAsia="zh-CN"/>
        </w:rPr>
      </w:pPr>
      <w:bookmarkStart w:id="79" w:name="OLE_LINK3235"/>
      <w:bookmarkStart w:id="80" w:name="OLE_LINK3173"/>
      <w:bookmarkStart w:id="81" w:name="OLE_LINK3167"/>
      <w:bookmarkStart w:id="82" w:name="OLE_LINK3166"/>
      <w:r w:rsidRPr="006149EF">
        <w:rPr>
          <w:rFonts w:ascii="Book Antiqua" w:hAnsi="Book Antiqua" w:cs="Times New Roman"/>
          <w:b/>
          <w:kern w:val="2"/>
          <w:lang w:eastAsia="zh-CN"/>
        </w:rPr>
        <w:t xml:space="preserve">Manuscript source: </w:t>
      </w:r>
      <w:r w:rsidRPr="006149EF">
        <w:rPr>
          <w:rFonts w:ascii="Book Antiqua" w:hAnsi="Book Antiqua" w:cs="Times New Roman"/>
          <w:kern w:val="2"/>
          <w:lang w:eastAsia="zh-CN"/>
        </w:rPr>
        <w:t>Invited manuscript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9"/>
      <w:bookmarkEnd w:id="80"/>
      <w:bookmarkEnd w:id="81"/>
      <w:bookmarkEnd w:id="82"/>
    </w:p>
    <w:p w14:paraId="5B2EA957" w14:textId="77777777" w:rsidR="004D6D00" w:rsidRPr="006149EF" w:rsidRDefault="004D6D00" w:rsidP="006149EF">
      <w:pPr>
        <w:widowControl w:val="0"/>
        <w:adjustRightInd w:val="0"/>
        <w:snapToGrid w:val="0"/>
        <w:spacing w:line="360" w:lineRule="auto"/>
        <w:jc w:val="both"/>
        <w:rPr>
          <w:rFonts w:ascii="Book Antiqua" w:hAnsi="Book Antiqua" w:cs="Times New Roman"/>
          <w:kern w:val="2"/>
          <w:lang w:eastAsia="zh-CN"/>
        </w:rPr>
      </w:pPr>
    </w:p>
    <w:p w14:paraId="1CC3457A" w14:textId="47D42A4F" w:rsidR="009D47E2" w:rsidRPr="00F56726" w:rsidRDefault="009D47E2" w:rsidP="00A76D85">
      <w:pPr>
        <w:adjustRightInd w:val="0"/>
        <w:snapToGrid w:val="0"/>
        <w:spacing w:line="360" w:lineRule="auto"/>
        <w:jc w:val="both"/>
        <w:rPr>
          <w:rFonts w:ascii="Book Antiqua" w:hAnsi="Book Antiqua" w:cs="Arial"/>
          <w:color w:val="auto"/>
          <w:lang w:eastAsia="zh-CN"/>
        </w:rPr>
      </w:pPr>
      <w:r w:rsidRPr="00F56726">
        <w:rPr>
          <w:rFonts w:ascii="Book Antiqua" w:hAnsi="Book Antiqua" w:cs="Arial"/>
          <w:b/>
          <w:color w:val="auto"/>
        </w:rPr>
        <w:t xml:space="preserve">Correspondence to: Miranda </w:t>
      </w:r>
      <w:r w:rsidR="006149EF" w:rsidRPr="00F56726">
        <w:rPr>
          <w:rFonts w:ascii="Book Antiqua" w:hAnsi="Book Antiqua" w:cs="Arial" w:hint="eastAsia"/>
          <w:b/>
          <w:color w:val="auto"/>
          <w:lang w:eastAsia="zh-CN"/>
        </w:rPr>
        <w:t xml:space="preserve">AL </w:t>
      </w:r>
      <w:r w:rsidRPr="00F56726">
        <w:rPr>
          <w:rFonts w:ascii="Book Antiqua" w:hAnsi="Book Antiqua" w:cs="Arial"/>
          <w:b/>
          <w:color w:val="auto"/>
        </w:rPr>
        <w:t xml:space="preserve">van Tilburg, PhD, Associate Professor </w:t>
      </w:r>
      <w:r w:rsidRPr="00EE408B">
        <w:rPr>
          <w:rFonts w:ascii="Book Antiqua" w:hAnsi="Book Antiqua" w:cs="Arial"/>
          <w:color w:val="auto"/>
        </w:rPr>
        <w:t>of Medicine,</w:t>
      </w:r>
      <w:r w:rsidRPr="00F56726">
        <w:rPr>
          <w:rFonts w:ascii="Book Antiqua" w:hAnsi="Book Antiqua" w:cs="Arial"/>
          <w:b/>
          <w:color w:val="auto"/>
        </w:rPr>
        <w:t xml:space="preserve"> </w:t>
      </w:r>
      <w:r w:rsidRPr="00F56726">
        <w:rPr>
          <w:rFonts w:ascii="Book Antiqua" w:hAnsi="Book Antiqua" w:cs="Arial"/>
          <w:color w:val="auto"/>
        </w:rPr>
        <w:t xml:space="preserve">UNC Center for Functional GI and Motility Disorders, </w:t>
      </w:r>
      <w:r w:rsidR="00DD6EFF" w:rsidRPr="00F56726">
        <w:rPr>
          <w:rFonts w:ascii="Book Antiqua" w:eastAsia="Arial" w:hAnsi="Book Antiqua" w:cs="Arial"/>
          <w:color w:val="auto"/>
        </w:rPr>
        <w:t>the University of North Carolina, School of Medicine,</w:t>
      </w:r>
      <w:r w:rsidR="00DD6EFF">
        <w:rPr>
          <w:rFonts w:ascii="Book Antiqua" w:hAnsi="Book Antiqua" w:cs="Arial" w:hint="eastAsia"/>
          <w:color w:val="auto"/>
          <w:lang w:eastAsia="zh-CN"/>
        </w:rPr>
        <w:t xml:space="preserve"> </w:t>
      </w:r>
      <w:r w:rsidRPr="00F56726">
        <w:rPr>
          <w:rFonts w:ascii="Book Antiqua" w:hAnsi="Book Antiqua" w:cs="Arial"/>
          <w:color w:val="auto"/>
        </w:rPr>
        <w:t>130 Mason Farm Rd, CB 7080, Chapel Hill</w:t>
      </w:r>
      <w:r w:rsidR="006149EF" w:rsidRPr="00F56726">
        <w:rPr>
          <w:rFonts w:ascii="Book Antiqua" w:hAnsi="Book Antiqua" w:cs="Arial" w:hint="eastAsia"/>
          <w:color w:val="auto"/>
          <w:lang w:eastAsia="zh-CN"/>
        </w:rPr>
        <w:t>,</w:t>
      </w:r>
      <w:r w:rsidRPr="00F56726">
        <w:rPr>
          <w:rFonts w:ascii="Book Antiqua" w:hAnsi="Book Antiqua" w:cs="Arial"/>
          <w:color w:val="auto"/>
        </w:rPr>
        <w:t xml:space="preserve"> NC 27599-7080</w:t>
      </w:r>
      <w:r w:rsidR="006149EF" w:rsidRPr="00F56726">
        <w:rPr>
          <w:rFonts w:ascii="Book Antiqua" w:hAnsi="Book Antiqua" w:cs="Arial" w:hint="eastAsia"/>
          <w:color w:val="auto"/>
          <w:lang w:eastAsia="zh-CN"/>
        </w:rPr>
        <w:t>,</w:t>
      </w:r>
      <w:r w:rsidR="00DC2BE4">
        <w:rPr>
          <w:rFonts w:ascii="Book Antiqua" w:hAnsi="Book Antiqua" w:cs="Arial" w:hint="eastAsia"/>
          <w:color w:val="auto"/>
          <w:lang w:eastAsia="zh-CN"/>
        </w:rPr>
        <w:t xml:space="preserve"> </w:t>
      </w:r>
      <w:r w:rsidRPr="00F56726">
        <w:rPr>
          <w:rFonts w:ascii="Book Antiqua" w:hAnsi="Book Antiqua" w:cs="Arial"/>
          <w:color w:val="auto"/>
        </w:rPr>
        <w:t>United States. tilburg@med.unc.edu</w:t>
      </w:r>
    </w:p>
    <w:p w14:paraId="0A4D20E1" w14:textId="6D514711" w:rsidR="009D47E2" w:rsidRPr="00F56726" w:rsidRDefault="009D47E2" w:rsidP="00A76D85">
      <w:pPr>
        <w:adjustRightInd w:val="0"/>
        <w:snapToGrid w:val="0"/>
        <w:spacing w:line="360" w:lineRule="auto"/>
        <w:jc w:val="both"/>
        <w:rPr>
          <w:rFonts w:ascii="Book Antiqua" w:hAnsi="Book Antiqua" w:cs="Arial"/>
          <w:color w:val="auto"/>
        </w:rPr>
      </w:pPr>
      <w:r w:rsidRPr="00F56726">
        <w:rPr>
          <w:rFonts w:ascii="Book Antiqua" w:hAnsi="Book Antiqua" w:cs="Arial"/>
          <w:b/>
          <w:color w:val="auto"/>
        </w:rPr>
        <w:t>Telephone:</w:t>
      </w:r>
      <w:r w:rsidR="004D6D00" w:rsidRPr="00F56726">
        <w:rPr>
          <w:rFonts w:ascii="Book Antiqua" w:hAnsi="Book Antiqua" w:cs="Arial"/>
          <w:color w:val="auto"/>
        </w:rPr>
        <w:t xml:space="preserve"> +1-919-843</w:t>
      </w:r>
      <w:r w:rsidRPr="00F56726">
        <w:rPr>
          <w:rFonts w:ascii="Book Antiqua" w:hAnsi="Book Antiqua" w:cs="Arial"/>
          <w:color w:val="auto"/>
        </w:rPr>
        <w:t>0688</w:t>
      </w:r>
    </w:p>
    <w:p w14:paraId="7CC5FA15" w14:textId="22CAB73C" w:rsidR="009D47E2" w:rsidRPr="00F56726" w:rsidRDefault="009D47E2" w:rsidP="00A76D85">
      <w:pPr>
        <w:adjustRightInd w:val="0"/>
        <w:snapToGrid w:val="0"/>
        <w:spacing w:line="360" w:lineRule="auto"/>
        <w:jc w:val="both"/>
        <w:rPr>
          <w:rFonts w:ascii="Book Antiqua" w:hAnsi="Book Antiqua" w:cs="Arial"/>
          <w:color w:val="auto"/>
          <w:lang w:eastAsia="zh-CN"/>
        </w:rPr>
      </w:pPr>
      <w:r w:rsidRPr="00F56726">
        <w:rPr>
          <w:rFonts w:ascii="Book Antiqua" w:hAnsi="Book Antiqua" w:cs="Arial"/>
          <w:b/>
          <w:color w:val="auto"/>
        </w:rPr>
        <w:t xml:space="preserve">Fax: </w:t>
      </w:r>
      <w:r w:rsidRPr="00F56726">
        <w:rPr>
          <w:rFonts w:ascii="Book Antiqua" w:hAnsi="Book Antiqua" w:cs="Arial"/>
          <w:color w:val="auto"/>
        </w:rPr>
        <w:t>+1-919-8432793</w:t>
      </w:r>
    </w:p>
    <w:p w14:paraId="62203D9A" w14:textId="77777777" w:rsidR="004D6D00" w:rsidRPr="00F56726" w:rsidRDefault="004D6D00" w:rsidP="00A76D85">
      <w:pPr>
        <w:adjustRightInd w:val="0"/>
        <w:snapToGrid w:val="0"/>
        <w:spacing w:line="360" w:lineRule="auto"/>
        <w:jc w:val="both"/>
        <w:rPr>
          <w:rFonts w:ascii="Book Antiqua" w:hAnsi="Book Antiqua" w:cs="Arial"/>
          <w:color w:val="auto"/>
          <w:lang w:eastAsia="zh-CN"/>
        </w:rPr>
      </w:pPr>
    </w:p>
    <w:p w14:paraId="7E4C66FB" w14:textId="5E0EF782" w:rsidR="004D6D00" w:rsidRPr="00F56726" w:rsidRDefault="004D6D00" w:rsidP="004D6D00">
      <w:pPr>
        <w:adjustRightInd w:val="0"/>
        <w:snapToGrid w:val="0"/>
        <w:spacing w:line="360" w:lineRule="auto"/>
        <w:rPr>
          <w:rFonts w:ascii="Book Antiqua" w:hAnsi="Book Antiqua"/>
          <w:b/>
          <w:bCs/>
        </w:rPr>
      </w:pPr>
      <w:bookmarkStart w:id="83" w:name="OLE_LINK1346"/>
      <w:bookmarkStart w:id="84" w:name="OLE_LINK1347"/>
      <w:bookmarkStart w:id="85" w:name="OLE_LINK1461"/>
      <w:bookmarkStart w:id="86" w:name="OLE_LINK1437"/>
      <w:bookmarkStart w:id="87" w:name="OLE_LINK1493"/>
      <w:bookmarkStart w:id="88" w:name="OLE_LINK1436"/>
      <w:bookmarkStart w:id="89" w:name="OLE_LINK1584"/>
      <w:bookmarkStart w:id="90" w:name="OLE_LINK1426"/>
      <w:bookmarkStart w:id="91" w:name="OLE_LINK1470"/>
      <w:bookmarkStart w:id="92" w:name="OLE_LINK1726"/>
      <w:bookmarkStart w:id="93" w:name="OLE_LINK1773"/>
      <w:bookmarkStart w:id="94" w:name="OLE_LINK1819"/>
      <w:bookmarkStart w:id="95" w:name="OLE_LINK1886"/>
      <w:bookmarkStart w:id="96" w:name="OLE_LINK1800"/>
      <w:bookmarkStart w:id="97" w:name="OLE_LINK1718"/>
      <w:bookmarkStart w:id="98" w:name="OLE_LINK1895"/>
      <w:bookmarkStart w:id="99" w:name="OLE_LINK1973"/>
      <w:bookmarkStart w:id="100" w:name="OLE_LINK25"/>
      <w:bookmarkStart w:id="101" w:name="OLE_LINK733"/>
      <w:bookmarkStart w:id="102" w:name="OLE_LINK2054"/>
      <w:bookmarkStart w:id="103" w:name="OLE_LINK2100"/>
      <w:bookmarkStart w:id="104" w:name="OLE_LINK767"/>
      <w:bookmarkStart w:id="105" w:name="OLE_LINK39"/>
      <w:bookmarkStart w:id="106" w:name="OLE_LINK42"/>
      <w:bookmarkStart w:id="107" w:name="OLE_LINK2412"/>
      <w:bookmarkStart w:id="108" w:name="OLE_LINK2447"/>
      <w:bookmarkStart w:id="109" w:name="OLE_LINK2378"/>
      <w:bookmarkStart w:id="110" w:name="OLE_LINK2510"/>
      <w:bookmarkStart w:id="111" w:name="OLE_LINK2774"/>
      <w:bookmarkStart w:id="112" w:name="OLE_LINK54"/>
      <w:bookmarkStart w:id="113" w:name="OLE_LINK59"/>
      <w:bookmarkStart w:id="114" w:name="OLE_LINK60"/>
      <w:bookmarkStart w:id="115" w:name="OLE_LINK3168"/>
      <w:bookmarkStart w:id="116" w:name="OLE_LINK3243"/>
      <w:bookmarkStart w:id="117" w:name="OLE_LINK3331"/>
      <w:bookmarkStart w:id="118" w:name="OLE_LINK67"/>
      <w:bookmarkStart w:id="119" w:name="OLE_LINK3303"/>
      <w:bookmarkStart w:id="120" w:name="OLE_LINK72"/>
      <w:bookmarkStart w:id="121" w:name="OLE_LINK3751"/>
      <w:bookmarkStart w:id="122" w:name="OLE_LINK3531"/>
      <w:bookmarkStart w:id="123" w:name="OLE_LINK77"/>
      <w:bookmarkStart w:id="124" w:name="OLE_LINK84"/>
      <w:bookmarkStart w:id="125" w:name="OLE_LINK207"/>
      <w:bookmarkStart w:id="126" w:name="OLE_LINK3746"/>
      <w:bookmarkStart w:id="127" w:name="OLE_LINK85"/>
      <w:bookmarkStart w:id="128" w:name="OLE_LINK91"/>
      <w:bookmarkStart w:id="129" w:name="OLE_LINK3611"/>
      <w:bookmarkStart w:id="130" w:name="OLE_LINK3884"/>
      <w:bookmarkStart w:id="131" w:name="OLE_LINK3869"/>
      <w:bookmarkStart w:id="132" w:name="OLE_LINK3946"/>
      <w:bookmarkStart w:id="133" w:name="OLE_LINK3865"/>
      <w:bookmarkStart w:id="134" w:name="OLE_LINK3962"/>
      <w:bookmarkStart w:id="135" w:name="OLE_LINK118"/>
      <w:bookmarkStart w:id="136" w:name="OLE_LINK159"/>
      <w:bookmarkStart w:id="137" w:name="OLE_LINK121"/>
      <w:bookmarkStart w:id="138" w:name="OLE_LINK3929"/>
      <w:bookmarkStart w:id="139" w:name="OLE_LINK4032"/>
      <w:bookmarkStart w:id="140" w:name="OLE_LINK127"/>
      <w:r w:rsidRPr="00F56726">
        <w:rPr>
          <w:rFonts w:ascii="Book Antiqua" w:hAnsi="Book Antiqua"/>
          <w:b/>
          <w:bCs/>
        </w:rPr>
        <w:t xml:space="preserve">Received: </w:t>
      </w:r>
      <w:r w:rsidRPr="00F56726">
        <w:rPr>
          <w:rFonts w:ascii="Book Antiqua" w:hAnsi="Book Antiqua" w:hint="eastAsia"/>
          <w:bCs/>
        </w:rPr>
        <w:t>December 1</w:t>
      </w:r>
      <w:r w:rsidRPr="00F56726">
        <w:rPr>
          <w:rFonts w:ascii="Book Antiqua" w:hAnsi="Book Antiqua" w:hint="eastAsia"/>
          <w:bCs/>
          <w:lang w:eastAsia="zh-CN"/>
        </w:rPr>
        <w:t>3</w:t>
      </w:r>
      <w:r w:rsidRPr="00F56726">
        <w:rPr>
          <w:rFonts w:ascii="Book Antiqua" w:hAnsi="Book Antiqua" w:hint="eastAsia"/>
          <w:bCs/>
        </w:rPr>
        <w:t>, 2016</w:t>
      </w:r>
    </w:p>
    <w:p w14:paraId="5417AB3C" w14:textId="0E9618DE" w:rsidR="004D6D00" w:rsidRPr="00F56726" w:rsidRDefault="004D6D00" w:rsidP="004D6D00">
      <w:pPr>
        <w:adjustRightInd w:val="0"/>
        <w:snapToGrid w:val="0"/>
        <w:spacing w:line="360" w:lineRule="auto"/>
        <w:rPr>
          <w:rFonts w:ascii="Book Antiqua" w:hAnsi="Book Antiqua"/>
          <w:bCs/>
        </w:rPr>
      </w:pPr>
      <w:r w:rsidRPr="00F56726">
        <w:rPr>
          <w:rFonts w:ascii="Book Antiqua" w:hAnsi="Book Antiqua"/>
          <w:b/>
          <w:bCs/>
        </w:rPr>
        <w:t>Peer-review started:</w:t>
      </w:r>
      <w:r w:rsidRPr="00F56726">
        <w:rPr>
          <w:rFonts w:ascii="Book Antiqua" w:hAnsi="Book Antiqua" w:hint="eastAsia"/>
          <w:bCs/>
        </w:rPr>
        <w:t xml:space="preserve"> December </w:t>
      </w:r>
      <w:r w:rsidRPr="00F56726">
        <w:rPr>
          <w:rFonts w:ascii="Book Antiqua" w:hAnsi="Book Antiqua" w:hint="eastAsia"/>
          <w:bCs/>
          <w:lang w:eastAsia="zh-CN"/>
        </w:rPr>
        <w:t>14</w:t>
      </w:r>
      <w:r w:rsidRPr="00F56726">
        <w:rPr>
          <w:rFonts w:ascii="Book Antiqua" w:hAnsi="Book Antiqua" w:hint="eastAsia"/>
          <w:bCs/>
        </w:rPr>
        <w:t>, 2016</w:t>
      </w:r>
    </w:p>
    <w:p w14:paraId="2B1106F9" w14:textId="77777777" w:rsidR="004D6D00" w:rsidRPr="00F56726" w:rsidRDefault="004D6D00" w:rsidP="004D6D00">
      <w:pPr>
        <w:adjustRightInd w:val="0"/>
        <w:snapToGrid w:val="0"/>
        <w:spacing w:line="360" w:lineRule="auto"/>
        <w:rPr>
          <w:rFonts w:ascii="Book Antiqua" w:hAnsi="Book Antiqua"/>
          <w:bCs/>
        </w:rPr>
      </w:pPr>
      <w:bookmarkStart w:id="141" w:name="OLE_LINK23"/>
      <w:bookmarkStart w:id="142" w:name="OLE_LINK24"/>
      <w:r w:rsidRPr="00F56726">
        <w:rPr>
          <w:rFonts w:ascii="Book Antiqua" w:hAnsi="Book Antiqua"/>
          <w:b/>
          <w:bCs/>
        </w:rPr>
        <w:t>First decision:</w:t>
      </w:r>
      <w:r w:rsidRPr="00F56726">
        <w:rPr>
          <w:rFonts w:ascii="Book Antiqua" w:hAnsi="Book Antiqua" w:hint="eastAsia"/>
          <w:bCs/>
        </w:rPr>
        <w:t xml:space="preserve"> January 19, 2017</w:t>
      </w:r>
    </w:p>
    <w:p w14:paraId="474540B2" w14:textId="7839D7E6" w:rsidR="004D6D00" w:rsidRPr="00F56726" w:rsidRDefault="004D6D00" w:rsidP="004D6D00">
      <w:pPr>
        <w:adjustRightInd w:val="0"/>
        <w:snapToGrid w:val="0"/>
        <w:spacing w:line="360" w:lineRule="auto"/>
        <w:rPr>
          <w:rFonts w:ascii="Book Antiqua" w:hAnsi="Book Antiqua"/>
          <w:bCs/>
        </w:rPr>
      </w:pPr>
      <w:r w:rsidRPr="00F56726">
        <w:rPr>
          <w:rFonts w:ascii="Book Antiqua" w:hAnsi="Book Antiqua"/>
          <w:b/>
          <w:bCs/>
        </w:rPr>
        <w:t>Revised:</w:t>
      </w:r>
      <w:r w:rsidRPr="00F56726">
        <w:rPr>
          <w:rFonts w:ascii="Book Antiqua" w:hAnsi="Book Antiqua" w:hint="eastAsia"/>
          <w:bCs/>
        </w:rPr>
        <w:t xml:space="preserve"> February </w:t>
      </w:r>
      <w:r w:rsidRPr="00F56726">
        <w:rPr>
          <w:rFonts w:ascii="Book Antiqua" w:hAnsi="Book Antiqua" w:hint="eastAsia"/>
          <w:bCs/>
          <w:lang w:eastAsia="zh-CN"/>
        </w:rPr>
        <w:t>4</w:t>
      </w:r>
      <w:r w:rsidRPr="00F56726">
        <w:rPr>
          <w:rFonts w:ascii="Book Antiqua" w:hAnsi="Book Antiqua" w:hint="eastAsia"/>
          <w:bCs/>
        </w:rPr>
        <w:t>, 2017</w:t>
      </w:r>
    </w:p>
    <w:p w14:paraId="46CFB605" w14:textId="4F419C66" w:rsidR="004D6D00" w:rsidRPr="00C97275" w:rsidRDefault="004D6D00" w:rsidP="00C97275">
      <w:pPr>
        <w:spacing w:line="360" w:lineRule="auto"/>
        <w:rPr>
          <w:rFonts w:ascii="Book Antiqua" w:hAnsi="Book Antiqua"/>
        </w:rPr>
      </w:pPr>
      <w:r w:rsidRPr="00F56726">
        <w:rPr>
          <w:rFonts w:ascii="Book Antiqua" w:hAnsi="Book Antiqua"/>
          <w:b/>
          <w:bCs/>
        </w:rPr>
        <w:t>Accepted:</w:t>
      </w:r>
      <w:bookmarkStart w:id="143" w:name="OLE_LINK117"/>
      <w:r w:rsidR="00C97275" w:rsidRPr="00C97275">
        <w:rPr>
          <w:rFonts w:ascii="Book Antiqua" w:hAnsi="Book Antiqua"/>
        </w:rPr>
        <w:t xml:space="preserve"> </w:t>
      </w:r>
      <w:r w:rsidR="00C97275">
        <w:rPr>
          <w:rFonts w:ascii="Book Antiqua" w:hAnsi="Book Antiqua"/>
        </w:rPr>
        <w:t>April 12, 2017</w:t>
      </w:r>
      <w:bookmarkStart w:id="144" w:name="_GoBack"/>
      <w:bookmarkEnd w:id="143"/>
      <w:bookmarkEnd w:id="144"/>
      <w:r w:rsidR="0059598A">
        <w:rPr>
          <w:rFonts w:ascii="Book Antiqua" w:hAnsi="Book Antiqua"/>
          <w:b/>
          <w:bCs/>
        </w:rPr>
        <w:t xml:space="preserve"> </w:t>
      </w:r>
    </w:p>
    <w:p w14:paraId="2986B0FD" w14:textId="77777777" w:rsidR="004D6D00" w:rsidRPr="00F56726" w:rsidRDefault="004D6D00" w:rsidP="004D6D00">
      <w:pPr>
        <w:adjustRightInd w:val="0"/>
        <w:snapToGrid w:val="0"/>
        <w:spacing w:line="360" w:lineRule="auto"/>
        <w:rPr>
          <w:rFonts w:ascii="Book Antiqua" w:hAnsi="Book Antiqua"/>
          <w:b/>
          <w:bCs/>
        </w:rPr>
      </w:pPr>
      <w:r w:rsidRPr="00F56726">
        <w:rPr>
          <w:rFonts w:ascii="Book Antiqua" w:hAnsi="Book Antiqua"/>
          <w:b/>
          <w:bCs/>
        </w:rPr>
        <w:t>Article in press:</w:t>
      </w:r>
    </w:p>
    <w:p w14:paraId="2F40A537" w14:textId="77777777" w:rsidR="004D6D00" w:rsidRPr="00F56726" w:rsidRDefault="004D6D00" w:rsidP="004D6D00">
      <w:pPr>
        <w:adjustRightInd w:val="0"/>
        <w:snapToGrid w:val="0"/>
        <w:spacing w:line="360" w:lineRule="auto"/>
        <w:rPr>
          <w:rFonts w:ascii="Book Antiqua" w:hAnsi="Book Antiqua"/>
          <w:b/>
          <w:bCs/>
        </w:rPr>
      </w:pPr>
      <w:r w:rsidRPr="00F56726">
        <w:rPr>
          <w:rFonts w:ascii="Book Antiqua" w:hAnsi="Book Antiqua"/>
          <w:b/>
          <w:bCs/>
        </w:rPr>
        <w:t xml:space="preserve">Published online: </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14:paraId="09E8227A" w14:textId="77777777" w:rsidR="004D6D00" w:rsidRPr="00F56726" w:rsidRDefault="004D6D00" w:rsidP="00A76D85">
      <w:pPr>
        <w:adjustRightInd w:val="0"/>
        <w:snapToGrid w:val="0"/>
        <w:spacing w:line="360" w:lineRule="auto"/>
        <w:jc w:val="both"/>
        <w:rPr>
          <w:rFonts w:ascii="Book Antiqua" w:hAnsi="Book Antiqua" w:cs="Arial"/>
          <w:color w:val="auto"/>
          <w:lang w:eastAsia="zh-CN"/>
        </w:rPr>
      </w:pPr>
    </w:p>
    <w:p w14:paraId="3A4D1F0D" w14:textId="77777777" w:rsidR="009D47E2" w:rsidRPr="00F56726" w:rsidRDefault="009D47E2" w:rsidP="00A76D85">
      <w:pPr>
        <w:adjustRightInd w:val="0"/>
        <w:snapToGrid w:val="0"/>
        <w:spacing w:line="360" w:lineRule="auto"/>
        <w:jc w:val="both"/>
        <w:rPr>
          <w:rFonts w:ascii="Book Antiqua" w:eastAsia="Arial" w:hAnsi="Book Antiqua" w:cs="Arial"/>
          <w:b/>
          <w:color w:val="auto"/>
        </w:rPr>
      </w:pPr>
    </w:p>
    <w:p w14:paraId="4CF99054" w14:textId="69B71164" w:rsidR="0043280D" w:rsidRPr="00F56726" w:rsidRDefault="0043280D" w:rsidP="00A76D85">
      <w:pPr>
        <w:adjustRightInd w:val="0"/>
        <w:snapToGrid w:val="0"/>
        <w:spacing w:line="360" w:lineRule="auto"/>
        <w:jc w:val="both"/>
        <w:rPr>
          <w:rFonts w:ascii="Book Antiqua" w:eastAsia="Arial" w:hAnsi="Book Antiqua" w:cs="Arial"/>
          <w:b/>
          <w:color w:val="auto"/>
        </w:rPr>
      </w:pPr>
      <w:r w:rsidRPr="00F56726">
        <w:rPr>
          <w:rFonts w:ascii="Book Antiqua" w:eastAsia="Arial" w:hAnsi="Book Antiqua" w:cs="Arial"/>
          <w:b/>
          <w:color w:val="auto"/>
        </w:rPr>
        <w:br w:type="page"/>
      </w:r>
    </w:p>
    <w:p w14:paraId="3E481D4B" w14:textId="779A0BBC"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lastRenderedPageBreak/>
        <w:t xml:space="preserve">Abstract: </w:t>
      </w:r>
    </w:p>
    <w:p w14:paraId="5E1C8AF7" w14:textId="2FE8FEE9" w:rsidR="004D6D00" w:rsidRPr="00F56726" w:rsidRDefault="004D6D00" w:rsidP="00A76D85">
      <w:pPr>
        <w:adjustRightInd w:val="0"/>
        <w:snapToGrid w:val="0"/>
        <w:spacing w:line="360" w:lineRule="auto"/>
        <w:jc w:val="both"/>
        <w:rPr>
          <w:rFonts w:ascii="Book Antiqua" w:hAnsi="Book Antiqua" w:cs="Arial"/>
          <w:i/>
          <w:color w:val="auto"/>
          <w:lang w:eastAsia="zh-CN"/>
        </w:rPr>
      </w:pPr>
      <w:r w:rsidRPr="00F56726">
        <w:rPr>
          <w:rFonts w:ascii="Book Antiqua" w:eastAsia="Arial" w:hAnsi="Book Antiqua" w:cs="Arial"/>
          <w:b/>
          <w:i/>
          <w:color w:val="auto"/>
        </w:rPr>
        <w:t>AIM</w:t>
      </w:r>
    </w:p>
    <w:p w14:paraId="2885707F" w14:textId="080BFBAD" w:rsidR="00112D07" w:rsidRPr="00F56726" w:rsidRDefault="00D3259F" w:rsidP="00A76D85">
      <w:pPr>
        <w:adjustRightInd w:val="0"/>
        <w:snapToGrid w:val="0"/>
        <w:spacing w:line="360" w:lineRule="auto"/>
        <w:jc w:val="both"/>
        <w:rPr>
          <w:rFonts w:ascii="Book Antiqua" w:hAnsi="Book Antiqua" w:cs="Arial"/>
          <w:color w:val="auto"/>
        </w:rPr>
      </w:pPr>
      <w:r w:rsidRPr="00F56726">
        <w:rPr>
          <w:rFonts w:ascii="Book Antiqua" w:hAnsi="Book Antiqua" w:cs="Arial"/>
          <w:color w:val="auto"/>
        </w:rPr>
        <w:t>T</w:t>
      </w:r>
      <w:r w:rsidR="0036367B" w:rsidRPr="00F56726">
        <w:rPr>
          <w:rFonts w:ascii="Book Antiqua" w:hAnsi="Book Antiqua" w:cs="Arial"/>
          <w:color w:val="auto"/>
        </w:rPr>
        <w:t xml:space="preserve">o </w:t>
      </w:r>
      <w:r w:rsidRPr="00F56726">
        <w:rPr>
          <w:rFonts w:ascii="Book Antiqua" w:hAnsi="Book Antiqua" w:cs="Arial"/>
          <w:color w:val="auto"/>
        </w:rPr>
        <w:t>describe the longitudinal course of acquisition of healthcare transition skills among adolescents and young adults with inflammatory bowel disease</w:t>
      </w:r>
      <w:r w:rsidR="0053320B" w:rsidRPr="00F56726">
        <w:rPr>
          <w:rFonts w:ascii="Book Antiqua" w:hAnsi="Book Antiqua" w:cs="Arial"/>
          <w:color w:val="auto"/>
        </w:rPr>
        <w:t>s</w:t>
      </w:r>
      <w:r w:rsidRPr="00F56726">
        <w:rPr>
          <w:rFonts w:ascii="Book Antiqua" w:hAnsi="Book Antiqua" w:cs="Arial"/>
          <w:color w:val="auto"/>
        </w:rPr>
        <w:t>.</w:t>
      </w:r>
    </w:p>
    <w:p w14:paraId="102AE775" w14:textId="77777777" w:rsidR="00EC73DB" w:rsidRPr="00F56726" w:rsidRDefault="00EC73DB" w:rsidP="00A76D85">
      <w:pPr>
        <w:adjustRightInd w:val="0"/>
        <w:snapToGrid w:val="0"/>
        <w:spacing w:line="360" w:lineRule="auto"/>
        <w:jc w:val="both"/>
        <w:rPr>
          <w:rFonts w:ascii="Book Antiqua" w:eastAsia="Arial" w:hAnsi="Book Antiqua" w:cs="Arial"/>
          <w:color w:val="auto"/>
        </w:rPr>
      </w:pPr>
    </w:p>
    <w:p w14:paraId="1887F3B5" w14:textId="321D01C2" w:rsidR="004D6D00" w:rsidRPr="00F56726" w:rsidRDefault="004D6D00" w:rsidP="00A76D85">
      <w:pPr>
        <w:adjustRightInd w:val="0"/>
        <w:snapToGrid w:val="0"/>
        <w:spacing w:line="360" w:lineRule="auto"/>
        <w:jc w:val="both"/>
        <w:rPr>
          <w:rFonts w:ascii="Book Antiqua" w:hAnsi="Book Antiqua" w:cs="Arial"/>
          <w:i/>
          <w:color w:val="auto"/>
          <w:lang w:eastAsia="zh-CN"/>
        </w:rPr>
      </w:pPr>
      <w:r w:rsidRPr="00F56726">
        <w:rPr>
          <w:rFonts w:ascii="Book Antiqua" w:eastAsia="Arial" w:hAnsi="Book Antiqua" w:cs="Arial"/>
          <w:b/>
          <w:i/>
          <w:color w:val="auto"/>
        </w:rPr>
        <w:t>METHODS</w:t>
      </w:r>
    </w:p>
    <w:p w14:paraId="133482E8" w14:textId="329D3009" w:rsidR="00D3259F" w:rsidRPr="00F56726" w:rsidRDefault="00763104" w:rsidP="00A76D85">
      <w:pPr>
        <w:adjustRightInd w:val="0"/>
        <w:snapToGrid w:val="0"/>
        <w:spacing w:line="360" w:lineRule="auto"/>
        <w:jc w:val="both"/>
        <w:rPr>
          <w:rFonts w:ascii="Book Antiqua" w:hAnsi="Book Antiqua" w:cs="Arial"/>
          <w:color w:val="auto"/>
        </w:rPr>
      </w:pPr>
      <w:r w:rsidRPr="00F56726">
        <w:rPr>
          <w:rFonts w:ascii="Book Antiqua" w:hAnsi="Book Antiqua" w:cs="Arial"/>
          <w:color w:val="auto"/>
        </w:rPr>
        <w:t xml:space="preserve">We recruited </w:t>
      </w:r>
      <w:r w:rsidR="00B10866" w:rsidRPr="00F56726">
        <w:rPr>
          <w:rFonts w:ascii="Book Antiqua" w:hAnsi="Book Antiqua" w:cs="Arial"/>
          <w:color w:val="auto"/>
        </w:rPr>
        <w:t>adolescents and young adults</w:t>
      </w:r>
      <w:r w:rsidR="0038035A" w:rsidRPr="00F56726">
        <w:rPr>
          <w:rFonts w:ascii="Book Antiqua" w:hAnsi="Book Antiqua" w:cs="Arial"/>
          <w:color w:val="auto"/>
        </w:rPr>
        <w:t xml:space="preserve"> (AYA)</w:t>
      </w:r>
      <w:r w:rsidR="00B10866" w:rsidRPr="00F56726">
        <w:rPr>
          <w:rFonts w:ascii="Book Antiqua" w:hAnsi="Book Antiqua" w:cs="Arial"/>
          <w:color w:val="auto"/>
        </w:rPr>
        <w:t xml:space="preserve"> with </w:t>
      </w:r>
      <w:bookmarkStart w:id="145" w:name="OLE_LINK4048"/>
      <w:bookmarkStart w:id="146" w:name="OLE_LINK4049"/>
      <w:r w:rsidR="00B10866" w:rsidRPr="00F56726">
        <w:rPr>
          <w:rFonts w:ascii="Book Antiqua" w:hAnsi="Book Antiqua" w:cs="Arial"/>
          <w:color w:val="auto"/>
        </w:rPr>
        <w:t>inf</w:t>
      </w:r>
      <w:r w:rsidR="00BC5231" w:rsidRPr="00F56726">
        <w:rPr>
          <w:rFonts w:ascii="Book Antiqua" w:hAnsi="Book Antiqua" w:cs="Arial"/>
          <w:color w:val="auto"/>
        </w:rPr>
        <w:t>lammatory bowel disease</w:t>
      </w:r>
      <w:r w:rsidR="0053320B" w:rsidRPr="00F56726">
        <w:rPr>
          <w:rFonts w:ascii="Book Antiqua" w:hAnsi="Book Antiqua" w:cs="Arial"/>
          <w:color w:val="auto"/>
        </w:rPr>
        <w:t>s</w:t>
      </w:r>
      <w:r w:rsidR="00BC5231" w:rsidRPr="00F56726">
        <w:rPr>
          <w:rFonts w:ascii="Book Antiqua" w:hAnsi="Book Antiqua" w:cs="Arial"/>
          <w:color w:val="auto"/>
        </w:rPr>
        <w:t xml:space="preserve"> </w:t>
      </w:r>
      <w:bookmarkEnd w:id="145"/>
      <w:bookmarkEnd w:id="146"/>
      <w:r w:rsidR="00BC5231" w:rsidRPr="00F56726">
        <w:rPr>
          <w:rFonts w:ascii="Book Antiqua" w:hAnsi="Book Antiqua" w:cs="Arial"/>
          <w:color w:val="auto"/>
        </w:rPr>
        <w:t xml:space="preserve">(IBD), from </w:t>
      </w:r>
      <w:r w:rsidR="00B10866" w:rsidRPr="00F56726">
        <w:rPr>
          <w:rFonts w:ascii="Book Antiqua" w:hAnsi="Book Antiqua" w:cs="Arial"/>
          <w:color w:val="auto"/>
        </w:rPr>
        <w:t xml:space="preserve">the pediatric IBD clinic at </w:t>
      </w:r>
      <w:r w:rsidR="00856E37" w:rsidRPr="00F56726">
        <w:rPr>
          <w:rFonts w:ascii="Book Antiqua" w:hAnsi="Book Antiqua" w:cs="Arial"/>
          <w:color w:val="auto"/>
        </w:rPr>
        <w:t xml:space="preserve">the </w:t>
      </w:r>
      <w:r w:rsidR="00B10866" w:rsidRPr="00F56726">
        <w:rPr>
          <w:rFonts w:ascii="Book Antiqua" w:hAnsi="Book Antiqua" w:cs="Arial"/>
          <w:color w:val="auto"/>
        </w:rPr>
        <w:t xml:space="preserve">University of North Carolina. Participants completed the </w:t>
      </w:r>
      <w:r w:rsidR="00B10866" w:rsidRPr="00F56726">
        <w:rPr>
          <w:rFonts w:ascii="Book Antiqua" w:eastAsia="Arial" w:hAnsi="Book Antiqua" w:cs="Arial"/>
          <w:color w:val="auto"/>
        </w:rPr>
        <w:t>TR</w:t>
      </w:r>
      <w:r w:rsidR="00B10866" w:rsidRPr="00F56726">
        <w:rPr>
          <w:rFonts w:ascii="Book Antiqua" w:eastAsia="Arial" w:hAnsi="Book Antiqua" w:cs="Arial"/>
          <w:color w:val="auto"/>
          <w:vertAlign w:val="subscript"/>
        </w:rPr>
        <w:t>x</w:t>
      </w:r>
      <w:r w:rsidR="00B10866" w:rsidRPr="00F56726">
        <w:rPr>
          <w:rFonts w:ascii="Book Antiqua" w:eastAsia="Arial" w:hAnsi="Book Antiqua" w:cs="Arial"/>
          <w:color w:val="auto"/>
        </w:rPr>
        <w:t>ANSITION Scale™ at least once during the study period</w:t>
      </w:r>
      <w:r w:rsidR="00FB51F2" w:rsidRPr="00F56726">
        <w:rPr>
          <w:rFonts w:ascii="Book Antiqua" w:eastAsia="Arial" w:hAnsi="Book Antiqua" w:cs="Arial"/>
          <w:color w:val="auto"/>
        </w:rPr>
        <w:t xml:space="preserve"> (2006-2015)</w:t>
      </w:r>
      <w:r w:rsidR="00B10866" w:rsidRPr="00F56726">
        <w:rPr>
          <w:rFonts w:ascii="Book Antiqua" w:eastAsia="Arial" w:hAnsi="Book Antiqua" w:cs="Arial"/>
          <w:color w:val="auto"/>
        </w:rPr>
        <w:t xml:space="preserve">. We used the electronic medical record to extract </w:t>
      </w:r>
      <w:r w:rsidR="00BC5231" w:rsidRPr="00F56726">
        <w:rPr>
          <w:rFonts w:ascii="Book Antiqua" w:eastAsia="Arial" w:hAnsi="Book Antiqua" w:cs="Arial"/>
          <w:color w:val="auto"/>
        </w:rPr>
        <w:t xml:space="preserve">participants’ </w:t>
      </w:r>
      <w:r w:rsidR="00B10866" w:rsidRPr="00F56726">
        <w:rPr>
          <w:rFonts w:ascii="Book Antiqua" w:eastAsia="Arial" w:hAnsi="Book Antiqua" w:cs="Arial"/>
          <w:color w:val="auto"/>
        </w:rPr>
        <w:t xml:space="preserve">clinical and demographic data. </w:t>
      </w:r>
      <w:r w:rsidR="00BC5231" w:rsidRPr="00F56726">
        <w:rPr>
          <w:rFonts w:ascii="Book Antiqua" w:eastAsia="Arial" w:hAnsi="Book Antiqua" w:cs="Arial"/>
          <w:color w:val="auto"/>
        </w:rPr>
        <w:t>W</w:t>
      </w:r>
      <w:r w:rsidR="00B10866" w:rsidRPr="00F56726">
        <w:rPr>
          <w:rFonts w:ascii="Book Antiqua" w:eastAsia="Arial" w:hAnsi="Book Antiqua" w:cs="Arial"/>
          <w:color w:val="auto"/>
        </w:rPr>
        <w:t xml:space="preserve">e used ordinary least square regressions </w:t>
      </w:r>
      <w:r w:rsidR="003229ED" w:rsidRPr="00F56726">
        <w:rPr>
          <w:rFonts w:ascii="Book Antiqua" w:eastAsia="Arial" w:hAnsi="Book Antiqua" w:cs="Arial"/>
          <w:color w:val="auto"/>
        </w:rPr>
        <w:t xml:space="preserve">with robust standard error clustered at patient level </w:t>
      </w:r>
      <w:r w:rsidR="00B10866" w:rsidRPr="00F56726">
        <w:rPr>
          <w:rFonts w:ascii="Book Antiqua" w:eastAsia="Arial" w:hAnsi="Book Antiqua" w:cs="Arial"/>
          <w:color w:val="auto"/>
        </w:rPr>
        <w:t>to explore the variations in the levels and growths of healthcare transition readiness.</w:t>
      </w:r>
    </w:p>
    <w:p w14:paraId="1212BE7E" w14:textId="77777777" w:rsidR="00112D07" w:rsidRPr="00F56726" w:rsidRDefault="00112D07" w:rsidP="00A76D85">
      <w:pPr>
        <w:adjustRightInd w:val="0"/>
        <w:snapToGrid w:val="0"/>
        <w:spacing w:line="360" w:lineRule="auto"/>
        <w:jc w:val="both"/>
        <w:rPr>
          <w:rFonts w:ascii="Book Antiqua" w:hAnsi="Book Antiqua" w:cs="Arial"/>
          <w:color w:val="auto"/>
        </w:rPr>
      </w:pPr>
    </w:p>
    <w:p w14:paraId="1DD9463F" w14:textId="5F0999D4" w:rsidR="004D6D00" w:rsidRPr="00F56726" w:rsidRDefault="004D6D00" w:rsidP="00A76D85">
      <w:pPr>
        <w:adjustRightInd w:val="0"/>
        <w:snapToGrid w:val="0"/>
        <w:spacing w:line="360" w:lineRule="auto"/>
        <w:jc w:val="both"/>
        <w:rPr>
          <w:rFonts w:ascii="Book Antiqua" w:hAnsi="Book Antiqua" w:cs="Arial"/>
          <w:b/>
          <w:i/>
          <w:color w:val="auto"/>
          <w:lang w:eastAsia="zh-CN"/>
        </w:rPr>
      </w:pPr>
      <w:r w:rsidRPr="00F56726">
        <w:rPr>
          <w:rFonts w:ascii="Book Antiqua" w:eastAsia="Arial" w:hAnsi="Book Antiqua" w:cs="Arial"/>
          <w:b/>
          <w:i/>
          <w:color w:val="auto"/>
        </w:rPr>
        <w:t>RESULTS</w:t>
      </w:r>
    </w:p>
    <w:p w14:paraId="0A2BF14C" w14:textId="717FD998" w:rsidR="00BC5231" w:rsidRPr="00F56726" w:rsidRDefault="00EC73DB" w:rsidP="00A76D85">
      <w:pPr>
        <w:adjustRightInd w:val="0"/>
        <w:snapToGrid w:val="0"/>
        <w:spacing w:line="360" w:lineRule="auto"/>
        <w:jc w:val="both"/>
        <w:rPr>
          <w:rFonts w:ascii="Book Antiqua" w:hAnsi="Book Antiqua" w:cs="Arial"/>
          <w:b/>
          <w:color w:val="auto"/>
        </w:rPr>
      </w:pPr>
      <w:r w:rsidRPr="00F56726">
        <w:rPr>
          <w:rFonts w:ascii="Book Antiqua" w:hAnsi="Book Antiqua" w:cs="Arial"/>
          <w:color w:val="auto"/>
        </w:rPr>
        <w:t>Our sample (</w:t>
      </w:r>
      <w:r w:rsidR="00F56726" w:rsidRPr="00F56726">
        <w:rPr>
          <w:rFonts w:ascii="Book Antiqua" w:hAnsi="Book Antiqua" w:cs="Arial"/>
          <w:i/>
          <w:color w:val="auto"/>
        </w:rPr>
        <w:t xml:space="preserve">n = </w:t>
      </w:r>
      <w:r w:rsidRPr="00F56726">
        <w:rPr>
          <w:rFonts w:ascii="Book Antiqua" w:hAnsi="Book Antiqua" w:cs="Arial"/>
          <w:color w:val="auto"/>
        </w:rPr>
        <w:t>144) ranged in age from 14-22 years. A</w:t>
      </w:r>
      <w:r w:rsidRPr="00F56726">
        <w:rPr>
          <w:rFonts w:ascii="Book Antiqua" w:eastAsia="Arial" w:hAnsi="Book Antiqua" w:cs="Arial"/>
          <w:color w:val="auto"/>
        </w:rPr>
        <w:t xml:space="preserve">ge was significantly and positively associated with both the level and growth of </w:t>
      </w:r>
      <w:r w:rsidR="00856E37" w:rsidRPr="00F56726">
        <w:rPr>
          <w:rFonts w:ascii="Book Antiqua" w:eastAsia="Arial" w:hAnsi="Book Antiqua" w:cs="Arial"/>
          <w:color w:val="auto"/>
        </w:rPr>
        <w:t>TR</w:t>
      </w:r>
      <w:r w:rsidR="00856E37" w:rsidRPr="00F56726">
        <w:rPr>
          <w:rFonts w:ascii="Book Antiqua" w:eastAsia="Arial" w:hAnsi="Book Antiqua" w:cs="Arial"/>
          <w:color w:val="auto"/>
          <w:vertAlign w:val="subscript"/>
        </w:rPr>
        <w:t>x</w:t>
      </w:r>
      <w:r w:rsidR="00856E37" w:rsidRPr="00F56726">
        <w:rPr>
          <w:rFonts w:ascii="Book Antiqua" w:eastAsia="Arial" w:hAnsi="Book Antiqua" w:cs="Arial"/>
          <w:color w:val="auto"/>
        </w:rPr>
        <w:t xml:space="preserve">ANSITION Scale™ </w:t>
      </w:r>
      <w:r w:rsidRPr="00F56726">
        <w:rPr>
          <w:rFonts w:ascii="Book Antiqua" w:eastAsia="Arial" w:hAnsi="Book Antiqua" w:cs="Arial"/>
          <w:color w:val="auto"/>
        </w:rPr>
        <w:t>scores (</w:t>
      </w:r>
      <w:r w:rsidR="00F56726" w:rsidRPr="00F56726">
        <w:rPr>
          <w:rFonts w:ascii="Book Antiqua" w:eastAsia="Arial" w:hAnsi="Book Antiqua" w:cs="Arial"/>
          <w:i/>
          <w:color w:val="auto"/>
        </w:rPr>
        <w:t xml:space="preserve">P &lt; </w:t>
      </w:r>
      <w:r w:rsidRPr="00F56726">
        <w:rPr>
          <w:rFonts w:ascii="Book Antiqua" w:eastAsia="Arial" w:hAnsi="Book Antiqua" w:cs="Arial"/>
          <w:color w:val="auto"/>
        </w:rPr>
        <w:t>0.01)</w:t>
      </w:r>
      <w:r w:rsidR="00E00937" w:rsidRPr="00F56726">
        <w:rPr>
          <w:rFonts w:ascii="Book Antiqua" w:eastAsia="Arial" w:hAnsi="Book Antiqua" w:cs="Arial"/>
          <w:color w:val="auto"/>
        </w:rPr>
        <w:t xml:space="preserve">. </w:t>
      </w:r>
      <w:r w:rsidR="001550EA" w:rsidRPr="00F56726">
        <w:rPr>
          <w:rFonts w:ascii="Book Antiqua" w:eastAsia="Arial" w:hAnsi="Book Antiqua" w:cs="Arial"/>
          <w:color w:val="auto"/>
        </w:rPr>
        <w:t>Many</w:t>
      </w:r>
      <w:r w:rsidRPr="00F56726">
        <w:rPr>
          <w:rFonts w:ascii="Book Antiqua" w:eastAsia="Arial" w:hAnsi="Book Antiqua" w:cs="Arial"/>
          <w:color w:val="auto"/>
        </w:rPr>
        <w:t xml:space="preserve"> healthcare transition </w:t>
      </w:r>
      <w:r w:rsidR="00856E37" w:rsidRPr="00F56726">
        <w:rPr>
          <w:rFonts w:ascii="Book Antiqua" w:eastAsia="Arial" w:hAnsi="Book Antiqua" w:cs="Arial"/>
          <w:color w:val="auto"/>
        </w:rPr>
        <w:t xml:space="preserve">(HCT) </w:t>
      </w:r>
      <w:r w:rsidRPr="00F56726">
        <w:rPr>
          <w:rFonts w:ascii="Book Antiqua" w:eastAsia="Arial" w:hAnsi="Book Antiqua" w:cs="Arial"/>
          <w:color w:val="auto"/>
        </w:rPr>
        <w:t>skills were acquired bet</w:t>
      </w:r>
      <w:r w:rsidR="001550EA" w:rsidRPr="00F56726">
        <w:rPr>
          <w:rFonts w:ascii="Book Antiqua" w:eastAsia="Arial" w:hAnsi="Book Antiqua" w:cs="Arial"/>
          <w:color w:val="auto"/>
        </w:rPr>
        <w:t xml:space="preserve">ween ages 12 and 14 years, but </w:t>
      </w:r>
      <w:r w:rsidRPr="00F56726">
        <w:rPr>
          <w:rFonts w:ascii="Book Antiqua" w:eastAsia="Arial" w:hAnsi="Book Antiqua" w:cs="Arial"/>
          <w:color w:val="auto"/>
        </w:rPr>
        <w:t>other</w:t>
      </w:r>
      <w:r w:rsidR="001550EA" w:rsidRPr="00F56726">
        <w:rPr>
          <w:rFonts w:ascii="Book Antiqua" w:eastAsia="Arial" w:hAnsi="Book Antiqua" w:cs="Arial"/>
          <w:color w:val="auto"/>
        </w:rPr>
        <w:t>s</w:t>
      </w:r>
      <w:r w:rsidRPr="00F56726">
        <w:rPr>
          <w:rFonts w:ascii="Book Antiqua" w:eastAsia="Arial" w:hAnsi="Book Antiqua" w:cs="Arial"/>
          <w:color w:val="auto"/>
        </w:rPr>
        <w:t xml:space="preserve"> </w:t>
      </w:r>
      <w:r w:rsidR="0053320B" w:rsidRPr="00F56726">
        <w:rPr>
          <w:rFonts w:ascii="Book Antiqua" w:eastAsia="Arial" w:hAnsi="Book Antiqua" w:cs="Arial"/>
          <w:color w:val="auto"/>
        </w:rPr>
        <w:t>were</w:t>
      </w:r>
      <w:r w:rsidRPr="00F56726">
        <w:rPr>
          <w:rFonts w:ascii="Book Antiqua" w:eastAsia="Arial" w:hAnsi="Book Antiqua" w:cs="Arial"/>
          <w:color w:val="auto"/>
        </w:rPr>
        <w:t xml:space="preserve"> </w:t>
      </w:r>
      <w:r w:rsidR="00777F60" w:rsidRPr="00F56726">
        <w:rPr>
          <w:rFonts w:ascii="Book Antiqua" w:eastAsia="Arial" w:hAnsi="Book Antiqua" w:cs="Arial"/>
          <w:color w:val="auto"/>
        </w:rPr>
        <w:t>not mastered until after age 18, including self-management skills</w:t>
      </w:r>
      <w:r w:rsidRPr="00F56726">
        <w:rPr>
          <w:rFonts w:ascii="Book Antiqua" w:eastAsia="Arial" w:hAnsi="Book Antiqua" w:cs="Arial"/>
          <w:color w:val="auto"/>
        </w:rPr>
        <w:t>.</w:t>
      </w:r>
    </w:p>
    <w:p w14:paraId="52D4A3B6" w14:textId="77777777" w:rsidR="00BC5231" w:rsidRPr="00F56726" w:rsidRDefault="00BC5231" w:rsidP="00A76D85">
      <w:pPr>
        <w:adjustRightInd w:val="0"/>
        <w:snapToGrid w:val="0"/>
        <w:spacing w:line="360" w:lineRule="auto"/>
        <w:jc w:val="both"/>
        <w:rPr>
          <w:rFonts w:ascii="Book Antiqua" w:hAnsi="Book Antiqua" w:cs="Arial"/>
          <w:color w:val="auto"/>
        </w:rPr>
      </w:pPr>
    </w:p>
    <w:p w14:paraId="0E5F3AD4" w14:textId="0338FEE3" w:rsidR="004D6D00" w:rsidRPr="00F56726" w:rsidRDefault="004D6D00" w:rsidP="00A76D85">
      <w:pPr>
        <w:adjustRightInd w:val="0"/>
        <w:snapToGrid w:val="0"/>
        <w:spacing w:line="360" w:lineRule="auto"/>
        <w:jc w:val="both"/>
        <w:rPr>
          <w:rFonts w:ascii="Book Antiqua" w:hAnsi="Book Antiqua" w:cs="Arial"/>
          <w:i/>
          <w:color w:val="auto"/>
          <w:lang w:eastAsia="zh-CN"/>
        </w:rPr>
      </w:pPr>
      <w:r w:rsidRPr="00F56726">
        <w:rPr>
          <w:rFonts w:ascii="Book Antiqua" w:eastAsia="Arial" w:hAnsi="Book Antiqua" w:cs="Arial"/>
          <w:b/>
          <w:i/>
          <w:color w:val="auto"/>
        </w:rPr>
        <w:t>CONCLUSION</w:t>
      </w:r>
    </w:p>
    <w:p w14:paraId="5F29B80D" w14:textId="76607E33" w:rsidR="00112D07" w:rsidRPr="00F56726" w:rsidRDefault="0038035A" w:rsidP="00A76D85">
      <w:pPr>
        <w:adjustRightInd w:val="0"/>
        <w:snapToGrid w:val="0"/>
        <w:spacing w:line="360" w:lineRule="auto"/>
        <w:jc w:val="both"/>
        <w:rPr>
          <w:rFonts w:ascii="Book Antiqua" w:hAnsi="Book Antiqua" w:cs="Arial"/>
          <w:color w:val="auto"/>
        </w:rPr>
      </w:pPr>
      <w:r w:rsidRPr="00F56726">
        <w:rPr>
          <w:rFonts w:ascii="Book Antiqua" w:hAnsi="Book Antiqua" w:cs="Arial"/>
          <w:color w:val="auto"/>
        </w:rPr>
        <w:t xml:space="preserve">This is one of the first studies to </w:t>
      </w:r>
      <w:r w:rsidR="00FC551E" w:rsidRPr="00F56726">
        <w:rPr>
          <w:rFonts w:ascii="Book Antiqua" w:hAnsi="Book Antiqua" w:cs="Arial"/>
          <w:color w:val="auto"/>
        </w:rPr>
        <w:t>describe</w:t>
      </w:r>
      <w:r w:rsidR="002C3C42" w:rsidRPr="00F56726">
        <w:rPr>
          <w:rFonts w:ascii="Book Antiqua" w:hAnsi="Book Antiqua" w:cs="Arial"/>
          <w:color w:val="auto"/>
        </w:rPr>
        <w:t xml:space="preserve"> the </w:t>
      </w:r>
      <w:r w:rsidR="00856E37" w:rsidRPr="00F56726">
        <w:rPr>
          <w:rFonts w:ascii="Book Antiqua" w:hAnsi="Book Antiqua" w:cs="Arial"/>
          <w:color w:val="auto"/>
        </w:rPr>
        <w:t xml:space="preserve">longitudinal </w:t>
      </w:r>
      <w:r w:rsidRPr="00F56726">
        <w:rPr>
          <w:rFonts w:ascii="Book Antiqua" w:hAnsi="Book Antiqua" w:cs="Arial"/>
          <w:color w:val="auto"/>
        </w:rPr>
        <w:t xml:space="preserve">course of </w:t>
      </w:r>
      <w:r w:rsidR="00FC551E" w:rsidRPr="00F56726">
        <w:rPr>
          <w:rFonts w:ascii="Book Antiqua" w:hAnsi="Book Antiqua" w:cs="Arial"/>
          <w:color w:val="auto"/>
        </w:rPr>
        <w:t>HCT</w:t>
      </w:r>
      <w:r w:rsidRPr="00F56726">
        <w:rPr>
          <w:rFonts w:ascii="Book Antiqua" w:hAnsi="Book Antiqua" w:cs="Arial"/>
          <w:color w:val="auto"/>
        </w:rPr>
        <w:t xml:space="preserve"> skill acquisition among A</w:t>
      </w:r>
      <w:r w:rsidR="002C3C42" w:rsidRPr="00F56726">
        <w:rPr>
          <w:rFonts w:ascii="Book Antiqua" w:hAnsi="Book Antiqua" w:cs="Arial"/>
          <w:color w:val="auto"/>
        </w:rPr>
        <w:t xml:space="preserve">YA with IBD, providing </w:t>
      </w:r>
      <w:r w:rsidR="00FC551E" w:rsidRPr="00F56726">
        <w:rPr>
          <w:rFonts w:ascii="Book Antiqua" w:hAnsi="Book Antiqua" w:cs="Arial"/>
          <w:color w:val="auto"/>
        </w:rPr>
        <w:t xml:space="preserve">benchmarks for evaluating transition interventions. </w:t>
      </w:r>
    </w:p>
    <w:p w14:paraId="733E8B46" w14:textId="77777777" w:rsidR="00AD1C4F" w:rsidRPr="00F56726" w:rsidRDefault="00AD1C4F" w:rsidP="00A76D85">
      <w:pPr>
        <w:adjustRightInd w:val="0"/>
        <w:snapToGrid w:val="0"/>
        <w:spacing w:line="360" w:lineRule="auto"/>
        <w:jc w:val="both"/>
        <w:rPr>
          <w:rFonts w:ascii="Book Antiqua" w:hAnsi="Book Antiqua" w:cs="Arial"/>
          <w:b/>
          <w:color w:val="auto"/>
        </w:rPr>
      </w:pPr>
    </w:p>
    <w:p w14:paraId="35174FF8" w14:textId="1D737FDA" w:rsidR="009D47E2" w:rsidRPr="00F56726" w:rsidRDefault="009D47E2" w:rsidP="00A76D85">
      <w:pPr>
        <w:adjustRightInd w:val="0"/>
        <w:snapToGrid w:val="0"/>
        <w:spacing w:line="360" w:lineRule="auto"/>
        <w:jc w:val="both"/>
        <w:rPr>
          <w:rFonts w:ascii="Book Antiqua" w:hAnsi="Book Antiqua" w:cs="Arial"/>
          <w:color w:val="auto"/>
        </w:rPr>
      </w:pPr>
      <w:r w:rsidRPr="00F56726">
        <w:rPr>
          <w:rFonts w:ascii="Book Antiqua" w:hAnsi="Book Antiqua" w:cs="Arial"/>
          <w:b/>
          <w:color w:val="auto"/>
        </w:rPr>
        <w:t>Key words:</w:t>
      </w:r>
      <w:r w:rsidRPr="00F56726">
        <w:rPr>
          <w:rFonts w:ascii="Book Antiqua" w:hAnsi="Book Antiqua" w:cs="Arial"/>
          <w:color w:val="auto"/>
        </w:rPr>
        <w:t xml:space="preserve"> Inflammatory </w:t>
      </w:r>
      <w:r w:rsidR="00F56726" w:rsidRPr="00F56726">
        <w:rPr>
          <w:rFonts w:ascii="Book Antiqua" w:hAnsi="Book Antiqua" w:cs="Arial"/>
          <w:color w:val="auto"/>
        </w:rPr>
        <w:t>bowel disease</w:t>
      </w:r>
      <w:r w:rsidR="00F56726" w:rsidRPr="00F56726">
        <w:rPr>
          <w:rFonts w:ascii="Book Antiqua" w:hAnsi="Book Antiqua" w:cs="Arial"/>
          <w:color w:val="auto"/>
          <w:lang w:eastAsia="zh-CN"/>
        </w:rPr>
        <w:t>;</w:t>
      </w:r>
      <w:r w:rsidR="00F56726" w:rsidRPr="00F56726">
        <w:rPr>
          <w:rFonts w:ascii="Book Antiqua" w:hAnsi="Book Antiqua" w:cs="Arial"/>
          <w:color w:val="auto"/>
        </w:rPr>
        <w:t xml:space="preserve"> </w:t>
      </w:r>
      <w:r w:rsidR="00AD1C4F" w:rsidRPr="00F56726">
        <w:rPr>
          <w:rFonts w:ascii="Book Antiqua" w:hAnsi="Book Antiqua" w:cs="Arial"/>
          <w:color w:val="auto"/>
        </w:rPr>
        <w:t xml:space="preserve">Crohn’s </w:t>
      </w:r>
      <w:r w:rsidR="00F56726" w:rsidRPr="00F56726">
        <w:rPr>
          <w:rFonts w:ascii="Book Antiqua" w:hAnsi="Book Antiqua" w:cs="Arial"/>
          <w:color w:val="auto"/>
        </w:rPr>
        <w:t>disease</w:t>
      </w:r>
      <w:r w:rsidR="00F56726" w:rsidRPr="00F56726">
        <w:rPr>
          <w:rFonts w:ascii="Book Antiqua" w:hAnsi="Book Antiqua" w:cs="Arial" w:hint="eastAsia"/>
          <w:color w:val="auto"/>
          <w:lang w:eastAsia="zh-CN"/>
        </w:rPr>
        <w:t>;</w:t>
      </w:r>
      <w:r w:rsidR="00AD1C4F" w:rsidRPr="00F56726">
        <w:rPr>
          <w:rFonts w:ascii="Book Antiqua" w:hAnsi="Book Antiqua" w:cs="Arial"/>
          <w:color w:val="auto"/>
        </w:rPr>
        <w:t xml:space="preserve"> Ulcerative </w:t>
      </w:r>
      <w:r w:rsidR="00F56726" w:rsidRPr="00F56726">
        <w:rPr>
          <w:rFonts w:ascii="Book Antiqua" w:hAnsi="Book Antiqua" w:cs="Arial"/>
          <w:color w:val="auto"/>
        </w:rPr>
        <w:t>colitis</w:t>
      </w:r>
      <w:r w:rsidR="00F56726" w:rsidRPr="00F56726">
        <w:rPr>
          <w:rFonts w:ascii="Book Antiqua" w:hAnsi="Book Antiqua" w:cs="Arial" w:hint="eastAsia"/>
          <w:color w:val="auto"/>
          <w:lang w:eastAsia="zh-CN"/>
        </w:rPr>
        <w:t>;</w:t>
      </w:r>
      <w:r w:rsidR="00AD1C4F" w:rsidRPr="00F56726">
        <w:rPr>
          <w:rFonts w:ascii="Book Antiqua" w:hAnsi="Book Antiqua" w:cs="Arial"/>
          <w:color w:val="auto"/>
        </w:rPr>
        <w:t xml:space="preserve"> Pediatrics</w:t>
      </w:r>
      <w:r w:rsidR="00F56726" w:rsidRPr="00F56726">
        <w:rPr>
          <w:rFonts w:ascii="Book Antiqua" w:hAnsi="Book Antiqua" w:cs="Arial" w:hint="eastAsia"/>
          <w:color w:val="auto"/>
          <w:lang w:eastAsia="zh-CN"/>
        </w:rPr>
        <w:t>;</w:t>
      </w:r>
      <w:r w:rsidR="00AD1C4F" w:rsidRPr="00F56726">
        <w:rPr>
          <w:rFonts w:ascii="Book Antiqua" w:hAnsi="Book Antiqua" w:cs="Arial"/>
          <w:color w:val="auto"/>
        </w:rPr>
        <w:t xml:space="preserve"> Health </w:t>
      </w:r>
      <w:r w:rsidR="00F56726" w:rsidRPr="00F56726">
        <w:rPr>
          <w:rFonts w:ascii="Book Antiqua" w:hAnsi="Book Antiqua" w:cs="Arial"/>
          <w:color w:val="auto"/>
        </w:rPr>
        <w:t>care transitioning</w:t>
      </w:r>
      <w:r w:rsidR="00F56726" w:rsidRPr="00F56726">
        <w:rPr>
          <w:rFonts w:ascii="Book Antiqua" w:hAnsi="Book Antiqua" w:cs="Arial" w:hint="eastAsia"/>
          <w:color w:val="auto"/>
          <w:lang w:eastAsia="zh-CN"/>
        </w:rPr>
        <w:t>;</w:t>
      </w:r>
      <w:r w:rsidR="00AD1C4F" w:rsidRPr="00F56726">
        <w:rPr>
          <w:rFonts w:ascii="Book Antiqua" w:hAnsi="Book Antiqua" w:cs="Arial"/>
          <w:color w:val="auto"/>
        </w:rPr>
        <w:t xml:space="preserve"> Age</w:t>
      </w:r>
    </w:p>
    <w:p w14:paraId="00A6545C" w14:textId="77777777" w:rsidR="00EC73DB" w:rsidRPr="00F56726" w:rsidRDefault="00EC73DB" w:rsidP="00A76D85">
      <w:pPr>
        <w:adjustRightInd w:val="0"/>
        <w:snapToGrid w:val="0"/>
        <w:spacing w:line="360" w:lineRule="auto"/>
        <w:jc w:val="both"/>
        <w:rPr>
          <w:rFonts w:ascii="Book Antiqua" w:hAnsi="Book Antiqua" w:cs="Arial"/>
          <w:color w:val="auto"/>
          <w:lang w:eastAsia="zh-CN"/>
        </w:rPr>
      </w:pPr>
    </w:p>
    <w:p w14:paraId="691EA179" w14:textId="77777777" w:rsidR="00F56726" w:rsidRPr="00F56726" w:rsidRDefault="00F56726" w:rsidP="00F56726">
      <w:pPr>
        <w:adjustRightInd w:val="0"/>
        <w:snapToGrid w:val="0"/>
        <w:spacing w:line="360" w:lineRule="auto"/>
        <w:jc w:val="both"/>
        <w:rPr>
          <w:rFonts w:ascii="Book Antiqua" w:hAnsi="Book Antiqua"/>
        </w:rPr>
      </w:pPr>
      <w:bookmarkStart w:id="147" w:name="OLE_LINK363"/>
      <w:bookmarkStart w:id="148" w:name="OLE_LINK364"/>
      <w:bookmarkStart w:id="149" w:name="OLE_LINK359"/>
      <w:bookmarkStart w:id="150" w:name="OLE_LINK2"/>
      <w:bookmarkStart w:id="151" w:name="OLE_LINK1037"/>
      <w:bookmarkStart w:id="152" w:name="OLE_LINK1195"/>
      <w:bookmarkStart w:id="153" w:name="OLE_LINK1140"/>
      <w:bookmarkStart w:id="154" w:name="OLE_LINK1062"/>
      <w:bookmarkStart w:id="155" w:name="OLE_LINK1327"/>
      <w:bookmarkStart w:id="156" w:name="OLE_LINK1174"/>
      <w:bookmarkStart w:id="157" w:name="OLE_LINK1348"/>
      <w:bookmarkStart w:id="158" w:name="OLE_LINK1519"/>
      <w:bookmarkStart w:id="159" w:name="OLE_LINK1571"/>
      <w:bookmarkStart w:id="160" w:name="OLE_LINK1666"/>
      <w:bookmarkStart w:id="161" w:name="OLE_LINK11"/>
      <w:bookmarkStart w:id="162" w:name="OLE_LINK1438"/>
      <w:bookmarkStart w:id="163" w:name="OLE_LINK1375"/>
      <w:bookmarkStart w:id="164" w:name="OLE_LINK1429"/>
      <w:bookmarkStart w:id="165" w:name="OLE_LINK1497"/>
      <w:bookmarkStart w:id="166" w:name="OLE_LINK1581"/>
      <w:bookmarkStart w:id="167" w:name="OLE_LINK1356"/>
      <w:bookmarkStart w:id="168" w:name="OLE_LINK1469"/>
      <w:bookmarkStart w:id="169" w:name="OLE_LINK1546"/>
      <w:bookmarkStart w:id="170" w:name="OLE_LINK1694"/>
      <w:bookmarkStart w:id="171" w:name="OLE_LINK1727"/>
      <w:bookmarkStart w:id="172" w:name="OLE_LINK1797"/>
      <w:bookmarkStart w:id="173" w:name="OLE_LINK1887"/>
      <w:bookmarkStart w:id="174" w:name="OLE_LINK1975"/>
      <w:bookmarkStart w:id="175" w:name="OLE_LINK2186"/>
      <w:bookmarkStart w:id="176" w:name="OLE_LINK768"/>
      <w:bookmarkStart w:id="177" w:name="OLE_LINK2332"/>
      <w:bookmarkStart w:id="178" w:name="OLE_LINK2353"/>
      <w:bookmarkStart w:id="179" w:name="OLE_LINK2448"/>
      <w:bookmarkStart w:id="180" w:name="OLE_LINK2467"/>
      <w:bookmarkStart w:id="181" w:name="OLE_LINK2563"/>
      <w:bookmarkStart w:id="182" w:name="OLE_LINK2608"/>
      <w:bookmarkStart w:id="183" w:name="OLE_LINK2654"/>
      <w:bookmarkStart w:id="184" w:name="OLE_LINK2695"/>
      <w:bookmarkStart w:id="185" w:name="OLE_LINK2732"/>
      <w:bookmarkStart w:id="186" w:name="OLE_LINK2658"/>
      <w:bookmarkStart w:id="187" w:name="OLE_LINK2775"/>
      <w:bookmarkStart w:id="188" w:name="OLE_LINK52"/>
      <w:bookmarkStart w:id="189" w:name="OLE_LINK2910"/>
      <w:bookmarkStart w:id="190" w:name="OLE_LINK2933"/>
      <w:bookmarkStart w:id="191" w:name="OLE_LINK3527"/>
      <w:bookmarkStart w:id="192" w:name="OLE_LINK2950"/>
      <w:bookmarkStart w:id="193" w:name="OLE_LINK3497"/>
      <w:bookmarkStart w:id="194" w:name="OLE_LINK3130"/>
      <w:bookmarkStart w:id="195" w:name="OLE_LINK3036"/>
      <w:bookmarkStart w:id="196" w:name="OLE_LINK3172"/>
      <w:bookmarkStart w:id="197" w:name="OLE_LINK3212"/>
      <w:bookmarkStart w:id="198" w:name="OLE_LINK3236"/>
      <w:bookmarkStart w:id="199" w:name="OLE_LINK66"/>
      <w:bookmarkStart w:id="200" w:name="OLE_LINK3632"/>
      <w:bookmarkStart w:id="201" w:name="OLE_LINK68"/>
      <w:bookmarkStart w:id="202" w:name="OLE_LINK73"/>
      <w:bookmarkStart w:id="203" w:name="OLE_LINK3790"/>
      <w:bookmarkStart w:id="204" w:name="OLE_LINK109"/>
      <w:bookmarkStart w:id="205" w:name="OLE_LINK3700"/>
      <w:bookmarkStart w:id="206" w:name="OLE_LINK88"/>
      <w:bookmarkStart w:id="207" w:name="OLE_LINK3612"/>
      <w:bookmarkStart w:id="208" w:name="OLE_LINK3749"/>
      <w:bookmarkStart w:id="209" w:name="OLE_LINK3760"/>
      <w:bookmarkStart w:id="210" w:name="OLE_LINK3703"/>
      <w:bookmarkStart w:id="211" w:name="OLE_LINK3825"/>
      <w:bookmarkStart w:id="212" w:name="OLE_LINK3959"/>
      <w:bookmarkStart w:id="213" w:name="OLE_LINK101"/>
      <w:bookmarkStart w:id="214" w:name="OLE_LINK3900"/>
      <w:bookmarkStart w:id="215" w:name="OLE_LINK3872"/>
      <w:bookmarkStart w:id="216" w:name="OLE_LINK3963"/>
      <w:bookmarkStart w:id="217" w:name="OLE_LINK119"/>
      <w:bookmarkStart w:id="218" w:name="OLE_LINK160"/>
      <w:bookmarkStart w:id="219" w:name="OLE_LINK146"/>
      <w:bookmarkStart w:id="220" w:name="OLE_LINK4033"/>
      <w:bookmarkStart w:id="221" w:name="OLE_LINK4096"/>
      <w:r w:rsidRPr="00F56726">
        <w:rPr>
          <w:rFonts w:ascii="Book Antiqua" w:hAnsi="Book Antiqua" w:hint="eastAsia"/>
          <w:b/>
        </w:rPr>
        <w:t>©</w:t>
      </w:r>
      <w:r w:rsidRPr="00F56726">
        <w:rPr>
          <w:rFonts w:ascii="Book Antiqua" w:hAnsi="Book Antiqua"/>
          <w:b/>
        </w:rPr>
        <w:t xml:space="preserve"> The Author(s) 201</w:t>
      </w:r>
      <w:r w:rsidRPr="00F56726">
        <w:rPr>
          <w:rFonts w:ascii="Book Antiqua" w:hAnsi="Book Antiqua" w:hint="eastAsia"/>
          <w:b/>
        </w:rPr>
        <w:t>7</w:t>
      </w:r>
      <w:r w:rsidRPr="00F56726">
        <w:rPr>
          <w:rFonts w:ascii="Book Antiqua" w:hAnsi="Book Antiqua"/>
          <w:b/>
        </w:rPr>
        <w:t>.</w:t>
      </w:r>
      <w:r w:rsidRPr="00F56726">
        <w:rPr>
          <w:rFonts w:ascii="Book Antiqua" w:hAnsi="Book Antiqua"/>
        </w:rPr>
        <w:t xml:space="preserve"> Published by Baishideng Publishing Group Inc. All rights reserved.</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14:paraId="72FC8F01" w14:textId="77777777" w:rsidR="00F56726" w:rsidRPr="00F56726" w:rsidRDefault="00F56726" w:rsidP="00A76D85">
      <w:pPr>
        <w:adjustRightInd w:val="0"/>
        <w:snapToGrid w:val="0"/>
        <w:spacing w:line="360" w:lineRule="auto"/>
        <w:jc w:val="both"/>
        <w:rPr>
          <w:rFonts w:ascii="Book Antiqua" w:hAnsi="Book Antiqua" w:cs="Arial"/>
          <w:color w:val="auto"/>
          <w:lang w:eastAsia="zh-CN"/>
        </w:rPr>
      </w:pPr>
    </w:p>
    <w:p w14:paraId="5E071E22" w14:textId="77777777" w:rsidR="00F56726" w:rsidRPr="00F56726" w:rsidRDefault="00F56726" w:rsidP="00A76D85">
      <w:pPr>
        <w:adjustRightInd w:val="0"/>
        <w:snapToGrid w:val="0"/>
        <w:spacing w:line="360" w:lineRule="auto"/>
        <w:jc w:val="both"/>
        <w:rPr>
          <w:rFonts w:ascii="Book Antiqua" w:hAnsi="Book Antiqua" w:cs="Arial"/>
          <w:color w:val="auto"/>
          <w:lang w:eastAsia="zh-CN"/>
        </w:rPr>
      </w:pPr>
    </w:p>
    <w:p w14:paraId="5E86C275" w14:textId="13DDCC6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lastRenderedPageBreak/>
        <w:t>Core tip:</w:t>
      </w:r>
      <w:r w:rsidR="00FB45EE" w:rsidRPr="00F56726">
        <w:rPr>
          <w:rFonts w:ascii="Book Antiqua" w:eastAsia="Arial" w:hAnsi="Book Antiqua" w:cs="Arial"/>
          <w:b/>
          <w:color w:val="auto"/>
        </w:rPr>
        <w:t xml:space="preserve"> </w:t>
      </w:r>
      <w:r w:rsidR="00132C54" w:rsidRPr="00F56726">
        <w:rPr>
          <w:rFonts w:ascii="Book Antiqua" w:eastAsia="Arial" w:hAnsi="Book Antiqua" w:cs="Arial"/>
          <w:color w:val="auto"/>
        </w:rPr>
        <w:t>Adolescent and young adult</w:t>
      </w:r>
      <w:r w:rsidR="0053320B" w:rsidRPr="00F56726">
        <w:rPr>
          <w:rFonts w:ascii="Book Antiqua" w:eastAsia="Arial" w:hAnsi="Book Antiqua" w:cs="Arial"/>
          <w:color w:val="auto"/>
        </w:rPr>
        <w:t xml:space="preserve"> </w:t>
      </w:r>
      <w:r w:rsidR="00FB45EE" w:rsidRPr="00F56726">
        <w:rPr>
          <w:rFonts w:ascii="Book Antiqua" w:eastAsia="Arial" w:hAnsi="Book Antiqua" w:cs="Arial"/>
          <w:color w:val="auto"/>
        </w:rPr>
        <w:t>patients</w:t>
      </w:r>
      <w:r w:rsidR="00856E37" w:rsidRPr="00F56726">
        <w:rPr>
          <w:rFonts w:ascii="Book Antiqua" w:eastAsia="Arial" w:hAnsi="Book Antiqua" w:cs="Arial"/>
          <w:color w:val="auto"/>
        </w:rPr>
        <w:t xml:space="preserve"> with </w:t>
      </w:r>
      <w:r w:rsidR="00C96B87" w:rsidRPr="00C96B87">
        <w:rPr>
          <w:rFonts w:ascii="Book Antiqua" w:eastAsia="Arial" w:hAnsi="Book Antiqua" w:cs="Arial"/>
          <w:color w:val="auto"/>
        </w:rPr>
        <w:t xml:space="preserve">inflammatory bowel diseases </w:t>
      </w:r>
      <w:r w:rsidR="00FB45EE" w:rsidRPr="00F56726">
        <w:rPr>
          <w:rFonts w:ascii="Book Antiqua" w:eastAsia="Arial" w:hAnsi="Book Antiqua" w:cs="Arial"/>
          <w:color w:val="auto"/>
        </w:rPr>
        <w:t>need to transfer from pediatric to adult care</w:t>
      </w:r>
      <w:r w:rsidR="00891F69" w:rsidRPr="00F56726">
        <w:rPr>
          <w:rFonts w:ascii="Book Antiqua" w:eastAsia="Arial" w:hAnsi="Book Antiqua" w:cs="Arial"/>
          <w:color w:val="auto"/>
        </w:rPr>
        <w:t>,</w:t>
      </w:r>
      <w:r w:rsidR="00FB45EE" w:rsidRPr="00F56726">
        <w:rPr>
          <w:rFonts w:ascii="Book Antiqua" w:eastAsia="Arial" w:hAnsi="Book Antiqua" w:cs="Arial"/>
          <w:color w:val="auto"/>
        </w:rPr>
        <w:t xml:space="preserve"> and inadequate preparation for this transfer can have</w:t>
      </w:r>
      <w:r w:rsidR="00BC64E1" w:rsidRPr="00F56726">
        <w:rPr>
          <w:rFonts w:ascii="Book Antiqua" w:eastAsia="Arial" w:hAnsi="Book Antiqua" w:cs="Arial"/>
          <w:color w:val="auto"/>
        </w:rPr>
        <w:t xml:space="preserve"> negative consequence</w:t>
      </w:r>
      <w:r w:rsidR="00856E37" w:rsidRPr="00F56726">
        <w:rPr>
          <w:rFonts w:ascii="Book Antiqua" w:eastAsia="Arial" w:hAnsi="Book Antiqua" w:cs="Arial"/>
          <w:color w:val="auto"/>
        </w:rPr>
        <w:t>s</w:t>
      </w:r>
      <w:r w:rsidR="00BC64E1" w:rsidRPr="00F56726">
        <w:rPr>
          <w:rFonts w:ascii="Book Antiqua" w:eastAsia="Arial" w:hAnsi="Book Antiqua" w:cs="Arial"/>
          <w:color w:val="auto"/>
        </w:rPr>
        <w:t>. In</w:t>
      </w:r>
      <w:r w:rsidR="00FB45EE" w:rsidRPr="00F56726">
        <w:rPr>
          <w:rFonts w:ascii="Book Antiqua" w:eastAsia="Arial" w:hAnsi="Book Antiqua" w:cs="Arial"/>
          <w:color w:val="auto"/>
        </w:rPr>
        <w:t xml:space="preserve"> the past decade</w:t>
      </w:r>
      <w:r w:rsidR="009A4395" w:rsidRPr="00F56726">
        <w:rPr>
          <w:rFonts w:ascii="Book Antiqua" w:eastAsia="Arial" w:hAnsi="Book Antiqua" w:cs="Arial"/>
          <w:color w:val="auto"/>
        </w:rPr>
        <w:t>,</w:t>
      </w:r>
      <w:r w:rsidR="00FB45EE" w:rsidRPr="00F56726">
        <w:rPr>
          <w:rFonts w:ascii="Book Antiqua" w:eastAsia="Arial" w:hAnsi="Book Antiqua" w:cs="Arial"/>
          <w:color w:val="auto"/>
        </w:rPr>
        <w:t xml:space="preserve"> the need to prepare pediatric patients for successful </w:t>
      </w:r>
      <w:r w:rsidR="00BC64E1" w:rsidRPr="00F56726">
        <w:rPr>
          <w:rFonts w:ascii="Book Antiqua" w:eastAsia="Arial" w:hAnsi="Book Antiqua" w:cs="Arial"/>
          <w:color w:val="auto"/>
        </w:rPr>
        <w:t xml:space="preserve">health care </w:t>
      </w:r>
      <w:r w:rsidR="00FB45EE" w:rsidRPr="00F56726">
        <w:rPr>
          <w:rFonts w:ascii="Book Antiqua" w:eastAsia="Arial" w:hAnsi="Book Antiqua" w:cs="Arial"/>
          <w:color w:val="auto"/>
        </w:rPr>
        <w:t>transition</w:t>
      </w:r>
      <w:r w:rsidR="00BC64E1" w:rsidRPr="00F56726">
        <w:rPr>
          <w:rFonts w:ascii="Book Antiqua" w:eastAsia="Arial" w:hAnsi="Book Antiqua" w:cs="Arial"/>
          <w:color w:val="auto"/>
        </w:rPr>
        <w:t>ing</w:t>
      </w:r>
      <w:r w:rsidR="00FB45EE" w:rsidRPr="00F56726">
        <w:rPr>
          <w:rFonts w:ascii="Book Antiqua" w:eastAsia="Arial" w:hAnsi="Book Antiqua" w:cs="Arial"/>
          <w:color w:val="auto"/>
        </w:rPr>
        <w:t xml:space="preserve"> </w:t>
      </w:r>
      <w:r w:rsidR="00BC64E1" w:rsidRPr="00F56726">
        <w:rPr>
          <w:rFonts w:ascii="Book Antiqua" w:eastAsia="Arial" w:hAnsi="Book Antiqua" w:cs="Arial"/>
          <w:color w:val="auto"/>
        </w:rPr>
        <w:t xml:space="preserve">has received </w:t>
      </w:r>
      <w:r w:rsidR="001550EA" w:rsidRPr="00F56726">
        <w:rPr>
          <w:rFonts w:ascii="Book Antiqua" w:eastAsia="Arial" w:hAnsi="Book Antiqua" w:cs="Arial"/>
          <w:color w:val="auto"/>
        </w:rPr>
        <w:t>increased</w:t>
      </w:r>
      <w:r w:rsidR="00BC64E1" w:rsidRPr="00F56726">
        <w:rPr>
          <w:rFonts w:ascii="Book Antiqua" w:eastAsia="Arial" w:hAnsi="Book Antiqua" w:cs="Arial"/>
          <w:color w:val="auto"/>
        </w:rPr>
        <w:t xml:space="preserve"> attention </w:t>
      </w:r>
      <w:r w:rsidR="00555DA9" w:rsidRPr="00F56726">
        <w:rPr>
          <w:rFonts w:ascii="Book Antiqua" w:eastAsia="Arial" w:hAnsi="Book Antiqua" w:cs="Arial"/>
          <w:color w:val="auto"/>
        </w:rPr>
        <w:t>from</w:t>
      </w:r>
      <w:r w:rsidR="00BC64E1" w:rsidRPr="00F56726">
        <w:rPr>
          <w:rFonts w:ascii="Book Antiqua" w:eastAsia="Arial" w:hAnsi="Book Antiqua" w:cs="Arial"/>
          <w:color w:val="auto"/>
        </w:rPr>
        <w:t xml:space="preserve"> researchers and clinicians</w:t>
      </w:r>
      <w:r w:rsidR="00FB45EE" w:rsidRPr="00F56726">
        <w:rPr>
          <w:rFonts w:ascii="Book Antiqua" w:eastAsia="Arial" w:hAnsi="Book Antiqua" w:cs="Arial"/>
          <w:color w:val="auto"/>
        </w:rPr>
        <w:t xml:space="preserve">. However, it was not clear at what age patients usually develop these transitioning skills. It is apparent from the current study that </w:t>
      </w:r>
      <w:r w:rsidR="00BC64E1" w:rsidRPr="00F56726">
        <w:rPr>
          <w:rFonts w:ascii="Book Antiqua" w:eastAsia="Arial" w:hAnsi="Book Antiqua" w:cs="Arial"/>
          <w:color w:val="auto"/>
        </w:rPr>
        <w:t xml:space="preserve">transition skills increase with age and that </w:t>
      </w:r>
      <w:r w:rsidR="00FB45EE" w:rsidRPr="00F56726">
        <w:rPr>
          <w:rFonts w:ascii="Book Antiqua" w:eastAsia="Arial" w:hAnsi="Book Antiqua" w:cs="Arial"/>
          <w:color w:val="auto"/>
        </w:rPr>
        <w:t xml:space="preserve">many transitioning skills are developed in early adolescence, while some </w:t>
      </w:r>
      <w:r w:rsidR="00856E37" w:rsidRPr="00F56726">
        <w:rPr>
          <w:rFonts w:ascii="Book Antiqua" w:eastAsia="Arial" w:hAnsi="Book Antiqua" w:cs="Arial"/>
          <w:color w:val="auto"/>
        </w:rPr>
        <w:t xml:space="preserve">important </w:t>
      </w:r>
      <w:r w:rsidR="00FB45EE" w:rsidRPr="00F56726">
        <w:rPr>
          <w:rFonts w:ascii="Book Antiqua" w:eastAsia="Arial" w:hAnsi="Book Antiqua" w:cs="Arial"/>
          <w:color w:val="auto"/>
        </w:rPr>
        <w:t xml:space="preserve">skills </w:t>
      </w:r>
      <w:r w:rsidR="00856E37" w:rsidRPr="00F56726">
        <w:rPr>
          <w:rFonts w:ascii="Book Antiqua" w:eastAsia="Arial" w:hAnsi="Book Antiqua" w:cs="Arial"/>
          <w:color w:val="auto"/>
        </w:rPr>
        <w:t>(</w:t>
      </w:r>
      <w:r w:rsidR="00856E37" w:rsidRPr="00C96B87">
        <w:rPr>
          <w:rFonts w:ascii="Book Antiqua" w:eastAsia="Arial" w:hAnsi="Book Antiqua" w:cs="Arial"/>
          <w:i/>
          <w:color w:val="auto"/>
        </w:rPr>
        <w:t>i.e.</w:t>
      </w:r>
      <w:r w:rsidR="00C96B87">
        <w:rPr>
          <w:rFonts w:ascii="Book Antiqua" w:hAnsi="Book Antiqua" w:cs="Arial" w:hint="eastAsia"/>
          <w:color w:val="auto"/>
          <w:lang w:eastAsia="zh-CN"/>
        </w:rPr>
        <w:t>,</w:t>
      </w:r>
      <w:r w:rsidR="00856E37" w:rsidRPr="00F56726">
        <w:rPr>
          <w:rFonts w:ascii="Book Antiqua" w:eastAsia="Arial" w:hAnsi="Book Antiqua" w:cs="Arial"/>
          <w:color w:val="auto"/>
        </w:rPr>
        <w:t xml:space="preserve"> self-management) </w:t>
      </w:r>
      <w:r w:rsidR="00FB45EE" w:rsidRPr="00F56726">
        <w:rPr>
          <w:rFonts w:ascii="Book Antiqua" w:eastAsia="Arial" w:hAnsi="Book Antiqua" w:cs="Arial"/>
          <w:color w:val="auto"/>
        </w:rPr>
        <w:t xml:space="preserve">are not mastered until early adulthood. This emphasizes the need to focus on </w:t>
      </w:r>
      <w:r w:rsidR="00BC64E1" w:rsidRPr="00F56726">
        <w:rPr>
          <w:rFonts w:ascii="Book Antiqua" w:eastAsia="Arial" w:hAnsi="Book Antiqua" w:cs="Arial"/>
          <w:color w:val="auto"/>
        </w:rPr>
        <w:t>skills that are mastered at a later age and investigate barriers and interventions to assure skills are mastered before transfer to adult care.</w:t>
      </w:r>
    </w:p>
    <w:p w14:paraId="72DEE661" w14:textId="77777777" w:rsidR="00112D07" w:rsidRPr="00F56726" w:rsidRDefault="00112D07" w:rsidP="00A76D85">
      <w:pPr>
        <w:adjustRightInd w:val="0"/>
        <w:snapToGrid w:val="0"/>
        <w:spacing w:line="360" w:lineRule="auto"/>
        <w:jc w:val="both"/>
        <w:rPr>
          <w:rFonts w:ascii="Book Antiqua" w:hAnsi="Book Antiqua" w:cs="Arial"/>
          <w:color w:val="auto"/>
        </w:rPr>
      </w:pPr>
    </w:p>
    <w:p w14:paraId="7CC84BAD" w14:textId="77777777" w:rsidR="00642DD6" w:rsidRDefault="00642DD6" w:rsidP="00642DD6">
      <w:pPr>
        <w:adjustRightInd w:val="0"/>
        <w:snapToGrid w:val="0"/>
        <w:spacing w:line="360" w:lineRule="auto"/>
        <w:jc w:val="both"/>
        <w:rPr>
          <w:rFonts w:ascii="Book Antiqua" w:hAnsi="Book Antiqua"/>
        </w:rPr>
      </w:pPr>
      <w:r w:rsidRPr="00642DD6">
        <w:rPr>
          <w:rFonts w:ascii="Book Antiqua" w:hAnsi="Book Antiqua" w:cs="Arial"/>
          <w:color w:val="auto"/>
        </w:rPr>
        <w:t>Stollon</w:t>
      </w:r>
      <w:r w:rsidRPr="00642DD6">
        <w:rPr>
          <w:rFonts w:ascii="Book Antiqua" w:hAnsi="Book Antiqua" w:cs="Arial" w:hint="eastAsia"/>
          <w:color w:val="auto"/>
          <w:lang w:eastAsia="zh-CN"/>
        </w:rPr>
        <w:t xml:space="preserve"> N</w:t>
      </w:r>
      <w:r w:rsidRPr="00642DD6">
        <w:rPr>
          <w:rFonts w:ascii="Book Antiqua" w:hAnsi="Book Antiqua" w:cs="Arial"/>
          <w:color w:val="auto"/>
        </w:rPr>
        <w:t>, Zhong</w:t>
      </w:r>
      <w:r w:rsidRPr="00642DD6">
        <w:rPr>
          <w:rFonts w:ascii="Book Antiqua" w:hAnsi="Book Antiqua" w:cs="Arial" w:hint="eastAsia"/>
          <w:color w:val="auto"/>
          <w:lang w:eastAsia="zh-CN"/>
        </w:rPr>
        <w:t xml:space="preserve"> Y</w:t>
      </w:r>
      <w:r w:rsidRPr="00642DD6">
        <w:rPr>
          <w:rFonts w:ascii="Book Antiqua" w:hAnsi="Book Antiqua" w:cs="Arial"/>
          <w:color w:val="auto"/>
        </w:rPr>
        <w:t>, Ferris</w:t>
      </w:r>
      <w:r w:rsidRPr="00642DD6">
        <w:rPr>
          <w:rFonts w:ascii="Book Antiqua" w:hAnsi="Book Antiqua" w:cs="Arial" w:hint="eastAsia"/>
          <w:color w:val="auto"/>
          <w:lang w:eastAsia="zh-CN"/>
        </w:rPr>
        <w:t xml:space="preserve"> M</w:t>
      </w:r>
      <w:r w:rsidRPr="00642DD6">
        <w:rPr>
          <w:rFonts w:ascii="Book Antiqua" w:hAnsi="Book Antiqua" w:cs="Arial"/>
          <w:color w:val="auto"/>
        </w:rPr>
        <w:t>, Bhansali</w:t>
      </w:r>
      <w:r w:rsidRPr="00642DD6">
        <w:rPr>
          <w:rFonts w:ascii="Book Antiqua" w:hAnsi="Book Antiqua" w:cs="Arial" w:hint="eastAsia"/>
          <w:color w:val="auto"/>
          <w:lang w:eastAsia="zh-CN"/>
        </w:rPr>
        <w:t xml:space="preserve"> S</w:t>
      </w:r>
      <w:r w:rsidRPr="00642DD6">
        <w:rPr>
          <w:rFonts w:ascii="Book Antiqua" w:hAnsi="Book Antiqua" w:cs="Arial"/>
          <w:color w:val="auto"/>
        </w:rPr>
        <w:t>, Pitts</w:t>
      </w:r>
      <w:r w:rsidRPr="00642DD6">
        <w:rPr>
          <w:rFonts w:ascii="Book Antiqua" w:hAnsi="Book Antiqua" w:cs="Arial" w:hint="eastAsia"/>
          <w:color w:val="auto"/>
          <w:lang w:eastAsia="zh-CN"/>
        </w:rPr>
        <w:t xml:space="preserve"> B</w:t>
      </w:r>
      <w:r w:rsidRPr="00642DD6">
        <w:rPr>
          <w:rFonts w:ascii="Book Antiqua" w:hAnsi="Book Antiqua" w:cs="Arial"/>
          <w:color w:val="auto"/>
        </w:rPr>
        <w:t>, Rak</w:t>
      </w:r>
      <w:r w:rsidRPr="00642DD6">
        <w:rPr>
          <w:rFonts w:ascii="Book Antiqua" w:hAnsi="Book Antiqua" w:cs="Arial" w:hint="eastAsia"/>
          <w:color w:val="auto"/>
          <w:lang w:eastAsia="zh-CN"/>
        </w:rPr>
        <w:t xml:space="preserve"> E</w:t>
      </w:r>
      <w:r w:rsidRPr="00642DD6">
        <w:rPr>
          <w:rFonts w:ascii="Book Antiqua" w:hAnsi="Book Antiqua" w:cs="Arial"/>
          <w:color w:val="auto"/>
        </w:rPr>
        <w:t>, Kelly</w:t>
      </w:r>
      <w:r w:rsidRPr="00642DD6">
        <w:rPr>
          <w:rFonts w:ascii="Book Antiqua" w:hAnsi="Book Antiqua" w:cs="Arial" w:hint="eastAsia"/>
          <w:color w:val="auto"/>
          <w:lang w:eastAsia="zh-CN"/>
        </w:rPr>
        <w:t xml:space="preserve"> M</w:t>
      </w:r>
      <w:r w:rsidRPr="00642DD6">
        <w:rPr>
          <w:rFonts w:ascii="Book Antiqua" w:hAnsi="Book Antiqua" w:cs="Arial"/>
          <w:color w:val="auto"/>
        </w:rPr>
        <w:t>, Kim</w:t>
      </w:r>
      <w:r w:rsidRPr="00642DD6">
        <w:rPr>
          <w:rFonts w:ascii="Book Antiqua" w:hAnsi="Book Antiqua" w:cs="Arial" w:hint="eastAsia"/>
          <w:color w:val="auto"/>
          <w:lang w:eastAsia="zh-CN"/>
        </w:rPr>
        <w:t xml:space="preserve"> S</w:t>
      </w:r>
      <w:r w:rsidRPr="00642DD6">
        <w:rPr>
          <w:rFonts w:ascii="Book Antiqua" w:hAnsi="Book Antiqua" w:cs="Arial"/>
          <w:color w:val="auto"/>
        </w:rPr>
        <w:t>, van Tilburg</w:t>
      </w:r>
      <w:r w:rsidRPr="00642DD6">
        <w:rPr>
          <w:rFonts w:ascii="Book Antiqua" w:hAnsi="Book Antiqua" w:cs="Arial" w:hint="eastAsia"/>
          <w:color w:val="auto"/>
          <w:lang w:eastAsia="zh-CN"/>
        </w:rPr>
        <w:t xml:space="preserve"> MAL. </w:t>
      </w:r>
      <w:r w:rsidRPr="00642DD6">
        <w:rPr>
          <w:rFonts w:ascii="Book Antiqua" w:hAnsi="Book Antiqua" w:cs="Arial"/>
          <w:color w:val="auto"/>
          <w:lang w:eastAsia="zh-CN"/>
        </w:rPr>
        <w:t>Chronological age when health care transition skills are mastered in adolescents/young adults with inflammatory bowel disease</w:t>
      </w:r>
      <w:r w:rsidRPr="00642DD6">
        <w:rPr>
          <w:rFonts w:ascii="Book Antiqua" w:hAnsi="Book Antiqua" w:cs="Arial" w:hint="eastAsia"/>
          <w:color w:val="auto"/>
          <w:lang w:eastAsia="zh-CN"/>
        </w:rPr>
        <w:t>.</w:t>
      </w:r>
      <w:r w:rsidRPr="00642DD6">
        <w:rPr>
          <w:rFonts w:ascii="Book Antiqua" w:hAnsi="Book Antiqua" w:cs="Arial"/>
          <w:color w:val="auto"/>
          <w:lang w:eastAsia="zh-CN"/>
        </w:rPr>
        <w:t xml:space="preserve"> </w:t>
      </w:r>
      <w:bookmarkStart w:id="222" w:name="OLE_LINK2756"/>
      <w:bookmarkStart w:id="223" w:name="OLE_LINK2349"/>
      <w:bookmarkStart w:id="224" w:name="OLE_LINK2413"/>
      <w:bookmarkStart w:id="225" w:name="OLE_LINK2287"/>
      <w:bookmarkStart w:id="226" w:name="OLE_LINK2309"/>
      <w:bookmarkStart w:id="227" w:name="OLE_LINK2329"/>
      <w:bookmarkStart w:id="228" w:name="OLE_LINK2285"/>
      <w:bookmarkStart w:id="229" w:name="OLE_LINK2245"/>
      <w:bookmarkStart w:id="230" w:name="OLE_LINK2212"/>
      <w:bookmarkStart w:id="231" w:name="OLE_LINK2178"/>
      <w:bookmarkStart w:id="232" w:name="OLE_LINK2039"/>
      <w:bookmarkStart w:id="233" w:name="OLE_LINK3369"/>
      <w:bookmarkStart w:id="234" w:name="OLE_LINK3314"/>
      <w:bookmarkStart w:id="235" w:name="OLE_LINK2028"/>
      <w:bookmarkStart w:id="236" w:name="OLE_LINK2206"/>
      <w:bookmarkStart w:id="237" w:name="OLE_LINK2158"/>
      <w:bookmarkStart w:id="238" w:name="OLE_LINK2074"/>
      <w:bookmarkStart w:id="239" w:name="OLE_LINK2176"/>
      <w:bookmarkStart w:id="240" w:name="OLE_LINK1942"/>
      <w:bookmarkStart w:id="241" w:name="OLE_LINK1917"/>
      <w:bookmarkStart w:id="242" w:name="OLE_LINK1875"/>
      <w:bookmarkStart w:id="243" w:name="OLE_LINK1869"/>
      <w:bookmarkStart w:id="244" w:name="OLE_LINK1796"/>
      <w:bookmarkStart w:id="245" w:name="OLE_LINK1719"/>
      <w:bookmarkStart w:id="246" w:name="OLE_LINK1802"/>
      <w:bookmarkStart w:id="247" w:name="OLE_LINK1369"/>
      <w:bookmarkStart w:id="248" w:name="OLE_LINK1236"/>
      <w:bookmarkStart w:id="249" w:name="OLE_LINK658"/>
      <w:bookmarkStart w:id="250" w:name="OLE_LINK699"/>
      <w:bookmarkStart w:id="251" w:name="OLE_LINK140"/>
      <w:bookmarkStart w:id="252" w:name="OLE_LINK111"/>
      <w:bookmarkStart w:id="253" w:name="OLE_LINK110"/>
      <w:bookmarkStart w:id="254" w:name="OLE_LINK47"/>
      <w:bookmarkStart w:id="255" w:name="OLE_LINK48"/>
      <w:bookmarkStart w:id="256" w:name="OLE_LINK2951"/>
      <w:bookmarkStart w:id="257" w:name="OLE_LINK3500"/>
      <w:bookmarkStart w:id="258" w:name="OLE_LINK58"/>
      <w:bookmarkStart w:id="259" w:name="OLE_LINK3037"/>
      <w:bookmarkStart w:id="260" w:name="OLE_LINK61"/>
      <w:bookmarkStart w:id="261" w:name="OLE_LINK3055"/>
      <w:bookmarkStart w:id="262" w:name="OLE_LINK3169"/>
      <w:bookmarkStart w:id="263" w:name="OLE_LINK3178"/>
      <w:bookmarkStart w:id="264" w:name="OLE_LINK3179"/>
      <w:bookmarkStart w:id="265" w:name="OLE_LINK69"/>
      <w:bookmarkStart w:id="266" w:name="OLE_LINK3294"/>
      <w:bookmarkStart w:id="267" w:name="OLE_LINK3752"/>
      <w:bookmarkStart w:id="268" w:name="OLE_LINK3534"/>
      <w:bookmarkStart w:id="269" w:name="OLE_LINK3566"/>
      <w:bookmarkStart w:id="270" w:name="OLE_LINK82"/>
      <w:bookmarkStart w:id="271" w:name="OLE_LINK105"/>
      <w:bookmarkStart w:id="272" w:name="OLE_LINK106"/>
      <w:bookmarkStart w:id="273" w:name="OLE_LINK87"/>
      <w:bookmarkStart w:id="274" w:name="OLE_LINK3747"/>
      <w:bookmarkStart w:id="275" w:name="OLE_LINK89"/>
      <w:bookmarkStart w:id="276" w:name="OLE_LINK3689"/>
      <w:bookmarkStart w:id="277" w:name="OLE_LINK3826"/>
      <w:bookmarkStart w:id="278" w:name="OLE_LINK115"/>
      <w:bookmarkStart w:id="279" w:name="OLE_LINK172"/>
      <w:bookmarkStart w:id="280" w:name="OLE_LINK98"/>
      <w:bookmarkStart w:id="281" w:name="OLE_LINK3936"/>
      <w:bookmarkStart w:id="282" w:name="OLE_LINK104"/>
      <w:bookmarkStart w:id="283" w:name="OLE_LINK3904"/>
      <w:bookmarkStart w:id="284" w:name="OLE_LINK116"/>
      <w:bookmarkStart w:id="285" w:name="OLE_LINK3927"/>
      <w:bookmarkStart w:id="286" w:name="OLE_LINK3978"/>
      <w:bookmarkStart w:id="287" w:name="OLE_LINK124"/>
      <w:bookmarkStart w:id="288" w:name="OLE_LINK4030"/>
      <w:bookmarkStart w:id="289" w:name="OLE_LINK4097"/>
      <w:bookmarkStart w:id="290" w:name="OLE_LINK148"/>
      <w:bookmarkStart w:id="291" w:name="OLE_LINK199"/>
      <w:bookmarkStart w:id="292" w:name="OLE_LINK200"/>
      <w:bookmarkStart w:id="293" w:name="OLE_LINK196"/>
      <w:bookmarkStart w:id="294" w:name="OLE_LINK341"/>
      <w:bookmarkStart w:id="295" w:name="OLE_LINK377"/>
      <w:bookmarkStart w:id="296" w:name="OLE_LINK366"/>
      <w:bookmarkStart w:id="297" w:name="OLE_LINK1038"/>
      <w:bookmarkStart w:id="298" w:name="OLE_LINK1166"/>
      <w:bookmarkStart w:id="299" w:name="OLE_LINK1175"/>
      <w:bookmarkStart w:id="300" w:name="OLE_LINK1423"/>
      <w:bookmarkStart w:id="301" w:name="OLE_LINK1440"/>
      <w:bookmarkStart w:id="302" w:name="OLE_LINK1572"/>
      <w:bookmarkStart w:id="303" w:name="OLE_LINK1388"/>
      <w:bookmarkStart w:id="304" w:name="OLE_LINK1439"/>
      <w:bookmarkStart w:id="305" w:name="OLE_LINK16"/>
      <w:bookmarkStart w:id="306" w:name="OLE_LINK1381"/>
      <w:bookmarkStart w:id="307" w:name="OLE_LINK1442"/>
      <w:bookmarkStart w:id="308" w:name="OLE_LINK1500"/>
      <w:bookmarkStart w:id="309" w:name="OLE_LINK1681"/>
      <w:bookmarkStart w:id="310" w:name="OLE_LINK1712"/>
      <w:bookmarkStart w:id="311" w:name="OLE_LINK3321"/>
      <w:bookmarkStart w:id="312" w:name="OLE_LINK747"/>
      <w:bookmarkStart w:id="313" w:name="OLE_LINK2187"/>
      <w:bookmarkStart w:id="314" w:name="OLE_LINK2564"/>
      <w:bookmarkStart w:id="315" w:name="OLE_LINK2735"/>
      <w:bookmarkStart w:id="316" w:name="OLE_LINK57"/>
      <w:bookmarkStart w:id="317" w:name="OLE_LINK55"/>
      <w:bookmarkStart w:id="318" w:name="OLE_LINK2911"/>
      <w:bookmarkStart w:id="319" w:name="OLE_LINK64"/>
      <w:bookmarkStart w:id="320" w:name="OLE_LINK3753"/>
      <w:bookmarkStart w:id="321" w:name="OLE_LINK3879"/>
      <w:r>
        <w:rPr>
          <w:rFonts w:ascii="Book Antiqua" w:hAnsi="Book Antiqua"/>
          <w:i/>
        </w:rPr>
        <w:t xml:space="preserve">World J Gastroenterol </w:t>
      </w:r>
      <w:r>
        <w:rPr>
          <w:rFonts w:ascii="Book Antiqua" w:hAnsi="Book Antiqua"/>
        </w:rPr>
        <w:t>201</w:t>
      </w:r>
      <w:r>
        <w:rPr>
          <w:rFonts w:ascii="Book Antiqua" w:hAnsi="Book Antiqua" w:hint="eastAsia"/>
        </w:rPr>
        <w:t>7</w:t>
      </w:r>
      <w:r>
        <w:rPr>
          <w:rFonts w:ascii="Book Antiqua" w:hAnsi="Book Antiqua"/>
        </w:rPr>
        <w:t>; In press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14:paraId="2B0C36C4" w14:textId="77777777" w:rsidR="00642DD6" w:rsidRPr="00E21E22" w:rsidRDefault="00642DD6" w:rsidP="00642DD6">
      <w:pPr>
        <w:adjustRightInd w:val="0"/>
        <w:snapToGrid w:val="0"/>
        <w:spacing w:line="360" w:lineRule="auto"/>
        <w:rPr>
          <w:rFonts w:ascii="Book Antiqua" w:hAnsi="Book Antiqua"/>
        </w:rPr>
      </w:pP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14:paraId="3E9CC2A2" w14:textId="3A73B4BE" w:rsidR="00642DD6" w:rsidRPr="00642DD6" w:rsidRDefault="00642DD6" w:rsidP="00642DD6">
      <w:pPr>
        <w:adjustRightInd w:val="0"/>
        <w:snapToGrid w:val="0"/>
        <w:spacing w:line="360" w:lineRule="auto"/>
        <w:jc w:val="both"/>
        <w:rPr>
          <w:rFonts w:ascii="Book Antiqua" w:hAnsi="Book Antiqua" w:cs="Arial"/>
          <w:color w:val="auto"/>
          <w:lang w:eastAsia="zh-CN"/>
        </w:rPr>
      </w:pPr>
    </w:p>
    <w:p w14:paraId="4C7D1283" w14:textId="2D6E3734" w:rsidR="00642DD6" w:rsidRPr="00642DD6" w:rsidRDefault="00642DD6" w:rsidP="00642DD6">
      <w:pPr>
        <w:adjustRightInd w:val="0"/>
        <w:snapToGrid w:val="0"/>
        <w:spacing w:line="360" w:lineRule="auto"/>
        <w:jc w:val="both"/>
        <w:rPr>
          <w:rFonts w:ascii="Book Antiqua" w:hAnsi="Book Antiqua" w:cs="Arial"/>
          <w:color w:val="auto"/>
          <w:lang w:eastAsia="zh-CN"/>
        </w:rPr>
      </w:pPr>
    </w:p>
    <w:p w14:paraId="6C391C4F" w14:textId="77777777" w:rsidR="00112D07" w:rsidRPr="00F56726" w:rsidRDefault="00112D07" w:rsidP="00A76D85">
      <w:pPr>
        <w:adjustRightInd w:val="0"/>
        <w:snapToGrid w:val="0"/>
        <w:spacing w:line="360" w:lineRule="auto"/>
        <w:jc w:val="both"/>
        <w:rPr>
          <w:rFonts w:ascii="Book Antiqua" w:hAnsi="Book Antiqua" w:cs="Arial"/>
          <w:color w:val="auto"/>
        </w:rPr>
      </w:pPr>
    </w:p>
    <w:p w14:paraId="354FF0C1" w14:textId="77777777" w:rsidR="00AD1C4F" w:rsidRPr="00F56726" w:rsidRDefault="00AD1C4F" w:rsidP="00A76D85">
      <w:pPr>
        <w:adjustRightInd w:val="0"/>
        <w:snapToGrid w:val="0"/>
        <w:spacing w:line="360" w:lineRule="auto"/>
        <w:jc w:val="both"/>
        <w:rPr>
          <w:rFonts w:ascii="Book Antiqua" w:eastAsia="Arial" w:hAnsi="Book Antiqua" w:cs="Arial"/>
          <w:b/>
          <w:color w:val="auto"/>
        </w:rPr>
      </w:pPr>
      <w:r w:rsidRPr="00F56726">
        <w:rPr>
          <w:rFonts w:ascii="Book Antiqua" w:eastAsia="Arial" w:hAnsi="Book Antiqua" w:cs="Arial"/>
          <w:b/>
          <w:color w:val="auto"/>
        </w:rPr>
        <w:br w:type="page"/>
      </w:r>
    </w:p>
    <w:p w14:paraId="022135DD" w14:textId="07B13BCE"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lastRenderedPageBreak/>
        <w:t>INTRODUCTION</w:t>
      </w:r>
    </w:p>
    <w:p w14:paraId="4F1C01D4" w14:textId="56EDA72A" w:rsidR="00112D07" w:rsidRPr="0024304F" w:rsidRDefault="00A603C0" w:rsidP="00A76D85">
      <w:pPr>
        <w:widowControl w:val="0"/>
        <w:adjustRightInd w:val="0"/>
        <w:snapToGrid w:val="0"/>
        <w:spacing w:line="360" w:lineRule="auto"/>
        <w:jc w:val="both"/>
        <w:rPr>
          <w:rFonts w:ascii="Book Antiqua" w:hAnsi="Book Antiqua" w:cs="Arial"/>
          <w:color w:val="auto"/>
          <w:lang w:eastAsia="zh-CN"/>
        </w:rPr>
      </w:pPr>
      <w:r w:rsidRPr="00F56726">
        <w:rPr>
          <w:rFonts w:ascii="Book Antiqua" w:eastAsia="Arial" w:hAnsi="Book Antiqua" w:cs="Arial"/>
          <w:color w:val="auto"/>
        </w:rPr>
        <w:t>At least 20% of inflammatory bowel disease (IBD) cases present during childhood or adolescence</w:t>
      </w:r>
      <w:r w:rsidR="0097419C" w:rsidRPr="00F56726">
        <w:rPr>
          <w:rFonts w:ascii="Book Antiqua" w:eastAsia="Arial" w:hAnsi="Book Antiqua" w:cs="Arial"/>
          <w:color w:val="auto"/>
        </w:rPr>
        <w:fldChar w:fldCharType="begin"/>
      </w:r>
      <w:r w:rsidR="0097419C" w:rsidRPr="00F56726">
        <w:rPr>
          <w:rFonts w:ascii="Book Antiqua" w:eastAsia="Arial" w:hAnsi="Book Antiqua" w:cs="Arial"/>
          <w:color w:val="auto"/>
        </w:rPr>
        <w:instrText xml:space="preserve"> ADDIN ZOTERO_ITEM CSL_CITATION {"citationID":"xn00DRTI","properties":{"formattedCitation":"{\\rtf \\super 1\\nosupersub{}}","plainCitation":"1"},"citationItems":[{"id":12057,"uris":["http://zotero.org/users/1860880/items/DFQDDGGJ"],"uri":["http://zotero.org/users/1860880/items/DFQDDGGJ"],"itemData":{"id":12057,"type":"article-journal","title":"Inflammatory bowel disease: The difference between children and adults","container-title":"Inflammatory Bowel Diseases","page":"S9-S11","volume":"14","issue":"S2","source":"Wiley Online Library","DOI":"10.1002/ibd.20560","ISSN":"1536-4844","shortTitle":"Inflammatory bowel disease","journalAbbreviation":"Inflamm Bowel Dis","language":"en","author":[{"family":"Kelsen","given":"Judith"},{"family":"Baldassano","given":"Robert N."}],"issued":{"date-parts":[["2008",10,1]]}}}],"schema":"https://github.com/citation-style-language/schema/raw/master/csl-citation.json"} </w:instrText>
      </w:r>
      <w:r w:rsidR="0097419C" w:rsidRPr="00F56726">
        <w:rPr>
          <w:rFonts w:ascii="Book Antiqua" w:eastAsia="Arial" w:hAnsi="Book Antiqua" w:cs="Arial"/>
          <w:color w:val="auto"/>
        </w:rPr>
        <w:fldChar w:fldCharType="separate"/>
      </w:r>
      <w:r w:rsidR="0097419C" w:rsidRPr="00F56726">
        <w:rPr>
          <w:rFonts w:ascii="Book Antiqua" w:eastAsia="Times New Roman" w:hAnsi="Book Antiqua" w:cs="Arial"/>
          <w:color w:val="auto"/>
          <w:vertAlign w:val="superscript"/>
        </w:rPr>
        <w:t>1</w:t>
      </w:r>
      <w:r w:rsidR="0097419C" w:rsidRPr="00F56726">
        <w:rPr>
          <w:rFonts w:ascii="Book Antiqua" w:eastAsia="Arial" w:hAnsi="Book Antiqua" w:cs="Arial"/>
          <w:color w:val="auto"/>
        </w:rPr>
        <w:fldChar w:fldCharType="end"/>
      </w:r>
      <w:r w:rsidRPr="00F56726">
        <w:rPr>
          <w:rFonts w:ascii="Book Antiqua" w:eastAsia="Arial" w:hAnsi="Book Antiqua" w:cs="Arial"/>
          <w:color w:val="auto"/>
        </w:rPr>
        <w:t>. Patients with pediatric-onset IBD tend to have more complicat</w:t>
      </w:r>
      <w:r w:rsidR="0053320B" w:rsidRPr="00F56726">
        <w:rPr>
          <w:rFonts w:ascii="Book Antiqua" w:eastAsia="Arial" w:hAnsi="Book Antiqua" w:cs="Arial"/>
          <w:color w:val="auto"/>
        </w:rPr>
        <w:t>ed disease</w:t>
      </w:r>
      <w:r w:rsidRPr="00F56726">
        <w:rPr>
          <w:rFonts w:ascii="Book Antiqua" w:eastAsia="Arial" w:hAnsi="Book Antiqua" w:cs="Arial"/>
          <w:color w:val="auto"/>
        </w:rPr>
        <w:t xml:space="preserve"> and may require more complex treatment plans than those who acquire IBD in adulthood</w:t>
      </w:r>
      <w:r w:rsidR="0024304F" w:rsidRPr="0024304F">
        <w:rPr>
          <w:rFonts w:ascii="Book Antiqua" w:hAnsi="Book Antiqua" w:cs="Arial" w:hint="eastAsia"/>
          <w:color w:val="auto"/>
          <w:vertAlign w:val="superscript"/>
          <w:lang w:eastAsia="zh-CN"/>
        </w:rPr>
        <w:t>[</w:t>
      </w:r>
      <w:r w:rsidR="0097419C" w:rsidRPr="00F56726">
        <w:rPr>
          <w:rFonts w:ascii="Book Antiqua" w:eastAsia="Arial" w:hAnsi="Book Antiqua" w:cs="Arial"/>
          <w:color w:val="auto"/>
          <w:vertAlign w:val="superscript"/>
        </w:rPr>
        <w:fldChar w:fldCharType="begin"/>
      </w:r>
      <w:r w:rsidR="0097419C" w:rsidRPr="00F56726">
        <w:rPr>
          <w:rFonts w:ascii="Book Antiqua" w:eastAsia="Arial" w:hAnsi="Book Antiqua" w:cs="Arial"/>
          <w:color w:val="auto"/>
          <w:vertAlign w:val="superscript"/>
        </w:rPr>
        <w:instrText xml:space="preserve"> ADDIN ZOTERO_ITEM CSL_CITATION {"citationID":"raWU6yYq","properties":{"formattedCitation":"{\\rtf \\super 1\\nosupersub{}}","plainCitation":"1"},"citationItems":[{"id":12057,"uris":["http://zotero.org/users/1860880/items/DFQDDGGJ"],"uri":["http://zotero.org/users/1860880/items/DFQDDGGJ"],"itemData":{"id":12057,"type":"article-journal","title":"Inflammatory bowel disease: The difference between children and adults","container-title":"Inflammatory Bowel Diseases","page":"S9-S11","volume":"14","issue":"S2","source":"Wiley Online Library","DOI":"10.1002/ibd.20560","ISSN":"1536-4844","shortTitle":"Inflammatory bowel disease","journalAbbreviation":"Inflamm Bowel Dis","language":"en","author":[{"family":"Kelsen","given":"Judith"},{"family":"Baldassano","given":"Robert N."}],"issued":{"date-parts":[["2008",10,1]]}}}],"schema":"https://github.com/citation-style-language/schema/raw/master/csl-citation.json"} </w:instrText>
      </w:r>
      <w:r w:rsidR="0097419C" w:rsidRPr="00F56726">
        <w:rPr>
          <w:rFonts w:ascii="Book Antiqua" w:eastAsia="Arial" w:hAnsi="Book Antiqua" w:cs="Arial"/>
          <w:color w:val="auto"/>
          <w:vertAlign w:val="superscript"/>
        </w:rPr>
        <w:fldChar w:fldCharType="separate"/>
      </w:r>
      <w:r w:rsidR="0097419C" w:rsidRPr="00F56726">
        <w:rPr>
          <w:rFonts w:ascii="Book Antiqua" w:eastAsia="Times New Roman" w:hAnsi="Book Antiqua" w:cs="Arial"/>
          <w:color w:val="auto"/>
          <w:vertAlign w:val="superscript"/>
        </w:rPr>
        <w:t>1</w:t>
      </w:r>
      <w:r w:rsidR="0097419C" w:rsidRPr="00F56726">
        <w:rPr>
          <w:rFonts w:ascii="Book Antiqua" w:eastAsia="Arial" w:hAnsi="Book Antiqua" w:cs="Arial"/>
          <w:color w:val="auto"/>
          <w:vertAlign w:val="superscript"/>
        </w:rPr>
        <w:fldChar w:fldCharType="end"/>
      </w:r>
      <w:r w:rsidR="0024304F">
        <w:rPr>
          <w:rFonts w:ascii="Book Antiqua" w:hAnsi="Book Antiqua" w:cs="Arial" w:hint="eastAsia"/>
          <w:color w:val="auto"/>
          <w:vertAlign w:val="superscript"/>
          <w:lang w:eastAsia="zh-CN"/>
        </w:rPr>
        <w:t>]</w:t>
      </w:r>
      <w:r w:rsidRPr="00F56726">
        <w:rPr>
          <w:rFonts w:ascii="Book Antiqua" w:eastAsia="Arial" w:hAnsi="Book Antiqua" w:cs="Arial"/>
          <w:color w:val="auto"/>
        </w:rPr>
        <w:t>. Before adolescent</w:t>
      </w:r>
      <w:r w:rsidR="0097419C" w:rsidRPr="00F56726">
        <w:rPr>
          <w:rFonts w:ascii="Book Antiqua" w:eastAsia="Arial" w:hAnsi="Book Antiqua" w:cs="Arial"/>
          <w:color w:val="auto"/>
        </w:rPr>
        <w:t>s</w:t>
      </w:r>
      <w:r w:rsidRPr="00F56726">
        <w:rPr>
          <w:rFonts w:ascii="Book Antiqua" w:eastAsia="Arial" w:hAnsi="Book Antiqua" w:cs="Arial"/>
          <w:color w:val="auto"/>
        </w:rPr>
        <w:t xml:space="preserve"> reach young adulthood, it is necessary that they are prepared to transition their healthcare to adult</w:t>
      </w:r>
      <w:r w:rsidR="00E9199A" w:rsidRPr="00F56726">
        <w:rPr>
          <w:rFonts w:ascii="Book Antiqua" w:eastAsia="Arial" w:hAnsi="Book Antiqua" w:cs="Arial"/>
          <w:color w:val="auto"/>
        </w:rPr>
        <w:t>-focused</w:t>
      </w:r>
      <w:r w:rsidRPr="00F56726">
        <w:rPr>
          <w:rFonts w:ascii="Book Antiqua" w:eastAsia="Arial" w:hAnsi="Book Antiqua" w:cs="Arial"/>
          <w:color w:val="auto"/>
        </w:rPr>
        <w:t xml:space="preserve"> gastroenterologists and other </w:t>
      </w:r>
      <w:r w:rsidR="002D1107" w:rsidRPr="00F56726">
        <w:rPr>
          <w:rFonts w:ascii="Book Antiqua" w:eastAsia="Arial" w:hAnsi="Book Antiqua" w:cs="Arial"/>
          <w:color w:val="auto"/>
        </w:rPr>
        <w:t>providers. Ideally, this health</w:t>
      </w:r>
      <w:r w:rsidRPr="00F56726">
        <w:rPr>
          <w:rFonts w:ascii="Book Antiqua" w:eastAsia="Arial" w:hAnsi="Book Antiqua" w:cs="Arial"/>
          <w:color w:val="auto"/>
        </w:rPr>
        <w:t>care transition (HCT) is “uninterrupted, coordinated, developmentally appropriate, psychosocially sound, and comprehensive”</w:t>
      </w:r>
      <w:r w:rsidR="0024304F">
        <w:rPr>
          <w:rFonts w:ascii="Book Antiqua" w:hAnsi="Book Antiqua" w:cs="Arial" w:hint="eastAsia"/>
          <w:color w:val="auto"/>
          <w:vertAlign w:val="superscript"/>
          <w:lang w:eastAsia="zh-CN"/>
        </w:rPr>
        <w:t>[2]</w:t>
      </w:r>
      <w:r w:rsidRPr="00F56726">
        <w:rPr>
          <w:rFonts w:ascii="Book Antiqua" w:eastAsia="Arial" w:hAnsi="Book Antiqua" w:cs="Arial"/>
          <w:color w:val="auto"/>
        </w:rPr>
        <w:t xml:space="preserve">, and culminates when young adults have achieved a level of mastery of certain </w:t>
      </w:r>
      <w:r w:rsidR="001550EA" w:rsidRPr="00F56726">
        <w:rPr>
          <w:rFonts w:ascii="Book Antiqua" w:eastAsia="Arial" w:hAnsi="Book Antiqua" w:cs="Arial"/>
          <w:color w:val="auto"/>
        </w:rPr>
        <w:t xml:space="preserve">disease knowledge and </w:t>
      </w:r>
      <w:r w:rsidR="002D1107" w:rsidRPr="00F56726">
        <w:rPr>
          <w:rFonts w:ascii="Book Antiqua" w:eastAsia="Arial" w:hAnsi="Book Antiqua" w:cs="Arial"/>
          <w:color w:val="auto"/>
        </w:rPr>
        <w:t>health</w:t>
      </w:r>
      <w:r w:rsidR="001550EA" w:rsidRPr="00F56726">
        <w:rPr>
          <w:rFonts w:ascii="Book Antiqua" w:eastAsia="Arial" w:hAnsi="Book Antiqua" w:cs="Arial"/>
          <w:color w:val="auto"/>
        </w:rPr>
        <w:t>care skills</w:t>
      </w:r>
      <w:r w:rsidRPr="00F56726">
        <w:rPr>
          <w:rFonts w:ascii="Book Antiqua" w:eastAsia="Arial" w:hAnsi="Book Antiqua" w:cs="Arial"/>
          <w:color w:val="auto"/>
        </w:rPr>
        <w:t>, including: understanding of their disease and treatment, and communicating independently with their healthcare providers</w:t>
      </w:r>
      <w:r w:rsidR="0024304F">
        <w:rPr>
          <w:rFonts w:ascii="Book Antiqua" w:hAnsi="Book Antiqua" w:cs="Arial" w:hint="eastAsia"/>
          <w:color w:val="auto"/>
          <w:vertAlign w:val="superscript"/>
          <w:lang w:eastAsia="zh-CN"/>
        </w:rPr>
        <w:t>[3-5]</w:t>
      </w:r>
      <w:r w:rsidR="0024304F">
        <w:rPr>
          <w:rFonts w:ascii="Book Antiqua" w:hAnsi="Book Antiqua" w:cs="Arial" w:hint="eastAsia"/>
          <w:color w:val="auto"/>
          <w:lang w:eastAsia="zh-CN"/>
        </w:rPr>
        <w:t>.</w:t>
      </w:r>
    </w:p>
    <w:p w14:paraId="007EF1BF" w14:textId="44B2745E" w:rsidR="00112D07" w:rsidRPr="00F56726" w:rsidRDefault="00A603C0" w:rsidP="0024304F">
      <w:pPr>
        <w:widowControl w:val="0"/>
        <w:adjustRightInd w:val="0"/>
        <w:snapToGrid w:val="0"/>
        <w:spacing w:line="360" w:lineRule="auto"/>
        <w:ind w:firstLineChars="100" w:firstLine="240"/>
        <w:jc w:val="both"/>
        <w:rPr>
          <w:rFonts w:ascii="Book Antiqua" w:hAnsi="Book Antiqua" w:cs="Arial"/>
          <w:color w:val="auto"/>
        </w:rPr>
      </w:pPr>
      <w:r w:rsidRPr="00F56726">
        <w:rPr>
          <w:rFonts w:ascii="Book Antiqua" w:eastAsia="Arial" w:hAnsi="Book Antiqua" w:cs="Arial"/>
          <w:color w:val="auto"/>
        </w:rPr>
        <w:t>There has been an increased emphasis on the development of HCT preparation and guidelines, both for adolescents and young adults (AYA) with chronic conditions</w:t>
      </w:r>
      <w:r w:rsidR="0024304F">
        <w:rPr>
          <w:rFonts w:ascii="Book Antiqua" w:hAnsi="Book Antiqua" w:cs="Arial" w:hint="eastAsia"/>
          <w:color w:val="auto"/>
          <w:vertAlign w:val="superscript"/>
          <w:lang w:eastAsia="zh-CN"/>
        </w:rPr>
        <w:t>[5]</w:t>
      </w:r>
      <w:r w:rsidRPr="00F56726">
        <w:rPr>
          <w:rFonts w:ascii="Book Antiqua" w:eastAsia="Arial" w:hAnsi="Book Antiqua" w:cs="Arial"/>
          <w:color w:val="auto"/>
        </w:rPr>
        <w:t>, and for AYA with IBD in particular</w:t>
      </w:r>
      <w:r w:rsidR="0024304F">
        <w:rPr>
          <w:rFonts w:ascii="Book Antiqua" w:hAnsi="Book Antiqua" w:cs="Arial" w:hint="eastAsia"/>
          <w:color w:val="auto"/>
          <w:vertAlign w:val="superscript"/>
          <w:lang w:eastAsia="zh-CN"/>
        </w:rPr>
        <w:t>[3,4]</w:t>
      </w:r>
      <w:r w:rsidRPr="00F56726">
        <w:rPr>
          <w:rFonts w:ascii="Book Antiqua" w:eastAsia="Arial" w:hAnsi="Book Antiqua" w:cs="Arial"/>
          <w:color w:val="auto"/>
        </w:rPr>
        <w:t xml:space="preserve">. Despite an increase in transition-readiness initiatives, AYA with IBD often do not achieve full healthcare independence before transfer to adult </w:t>
      </w:r>
      <w:r w:rsidR="00341B0A" w:rsidRPr="00F56726">
        <w:rPr>
          <w:rFonts w:ascii="Book Antiqua" w:eastAsia="Arial" w:hAnsi="Book Antiqua" w:cs="Arial"/>
          <w:color w:val="auto"/>
        </w:rPr>
        <w:t>providers</w:t>
      </w:r>
      <w:r w:rsidR="0024304F">
        <w:rPr>
          <w:rFonts w:ascii="Book Antiqua" w:hAnsi="Book Antiqua" w:cs="Arial" w:hint="eastAsia"/>
          <w:color w:val="auto"/>
          <w:vertAlign w:val="superscript"/>
          <w:lang w:eastAsia="zh-CN"/>
        </w:rPr>
        <w:t>[6-8]</w:t>
      </w:r>
      <w:r w:rsidR="00021E93" w:rsidRPr="00F56726">
        <w:rPr>
          <w:rFonts w:ascii="Book Antiqua" w:eastAsia="Arial" w:hAnsi="Book Antiqua" w:cs="Arial"/>
          <w:color w:val="auto"/>
        </w:rPr>
        <w:t xml:space="preserve">. There is evidence that a </w:t>
      </w:r>
      <w:r w:rsidRPr="00F56726">
        <w:rPr>
          <w:rFonts w:ascii="Book Antiqua" w:eastAsia="Arial" w:hAnsi="Book Antiqua" w:cs="Arial"/>
          <w:color w:val="auto"/>
        </w:rPr>
        <w:t>majority of adults with IBD regularly solicit assistance from a family member, friend</w:t>
      </w:r>
      <w:r w:rsidR="002D1107" w:rsidRPr="00F56726">
        <w:rPr>
          <w:rFonts w:ascii="Book Antiqua" w:eastAsia="Arial" w:hAnsi="Book Antiqua" w:cs="Arial"/>
          <w:color w:val="auto"/>
        </w:rPr>
        <w:t>,</w:t>
      </w:r>
      <w:r w:rsidRPr="00F56726">
        <w:rPr>
          <w:rFonts w:ascii="Book Antiqua" w:eastAsia="Arial" w:hAnsi="Book Antiqua" w:cs="Arial"/>
          <w:color w:val="auto"/>
        </w:rPr>
        <w:t xml:space="preserve"> or spouse with picking up medications and developing a list of questions for their physician</w:t>
      </w:r>
      <w:r w:rsidR="0024304F">
        <w:rPr>
          <w:rFonts w:ascii="Book Antiqua" w:hAnsi="Book Antiqua" w:cs="Arial" w:hint="eastAsia"/>
          <w:color w:val="auto"/>
          <w:vertAlign w:val="superscript"/>
          <w:lang w:eastAsia="zh-CN"/>
        </w:rPr>
        <w:t>[6]</w:t>
      </w:r>
      <w:r w:rsidRPr="00F56726">
        <w:rPr>
          <w:rFonts w:ascii="Book Antiqua" w:eastAsia="Arial" w:hAnsi="Book Antiqua" w:cs="Arial"/>
          <w:color w:val="auto"/>
        </w:rPr>
        <w:t>.</w:t>
      </w:r>
    </w:p>
    <w:p w14:paraId="210CDAB2" w14:textId="2FE921A8" w:rsidR="00112D07" w:rsidRPr="00F56726" w:rsidRDefault="00A603C0" w:rsidP="0024304F">
      <w:pPr>
        <w:adjustRightInd w:val="0"/>
        <w:snapToGrid w:val="0"/>
        <w:spacing w:line="360" w:lineRule="auto"/>
        <w:ind w:firstLineChars="100" w:firstLine="240"/>
        <w:jc w:val="both"/>
        <w:rPr>
          <w:rFonts w:ascii="Book Antiqua" w:hAnsi="Book Antiqua" w:cs="Arial"/>
          <w:color w:val="auto"/>
        </w:rPr>
      </w:pPr>
      <w:r w:rsidRPr="00F56726">
        <w:rPr>
          <w:rFonts w:ascii="Book Antiqua" w:eastAsia="Arial" w:hAnsi="Book Antiqua" w:cs="Arial"/>
          <w:color w:val="auto"/>
        </w:rPr>
        <w:t xml:space="preserve">Despite the current literature that illustrates a lack of mastery of HCT skills before transfer to adult care, little is known about the natural, longitudinal trajectory of HCT skill acquisition. This paper reports the findings of an observational study of AYA with IBD in a large southeastern university teaching hospital. Through administration of a standardized HCT readiness measure during routine sub-specialty clinical visits, we aimed to describe the age at which AYA with IBD naturally master HCT skills. </w:t>
      </w:r>
    </w:p>
    <w:p w14:paraId="052E9BE3" w14:textId="77777777" w:rsidR="00112D07" w:rsidRPr="00F56726" w:rsidRDefault="00112D07" w:rsidP="00A76D85">
      <w:pPr>
        <w:adjustRightInd w:val="0"/>
        <w:snapToGrid w:val="0"/>
        <w:spacing w:line="360" w:lineRule="auto"/>
        <w:jc w:val="both"/>
        <w:rPr>
          <w:rFonts w:ascii="Book Antiqua" w:hAnsi="Book Antiqua" w:cs="Arial"/>
          <w:color w:val="auto"/>
        </w:rPr>
      </w:pPr>
    </w:p>
    <w:p w14:paraId="681EFB70"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t>MATERIALS AND METHODS</w:t>
      </w:r>
    </w:p>
    <w:p w14:paraId="41E76EEB"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i/>
          <w:color w:val="auto"/>
        </w:rPr>
        <w:t>Ethical considerations</w:t>
      </w:r>
    </w:p>
    <w:p w14:paraId="6696FF1E" w14:textId="77777777" w:rsidR="00112D07" w:rsidRPr="00F56726" w:rsidRDefault="00A603C0" w:rsidP="0024304F">
      <w:pPr>
        <w:adjustRightInd w:val="0"/>
        <w:snapToGrid w:val="0"/>
        <w:spacing w:line="360" w:lineRule="auto"/>
        <w:jc w:val="both"/>
        <w:rPr>
          <w:rFonts w:ascii="Book Antiqua" w:hAnsi="Book Antiqua" w:cs="Arial"/>
          <w:color w:val="auto"/>
        </w:rPr>
      </w:pPr>
      <w:r w:rsidRPr="00F56726">
        <w:rPr>
          <w:rFonts w:ascii="Book Antiqua" w:eastAsia="Arial" w:hAnsi="Book Antiqua" w:cs="Arial"/>
          <w:color w:val="auto"/>
        </w:rPr>
        <w:t>This study was reviewed and granted approval by the Institutional Review Board at the University of North Carolina.</w:t>
      </w:r>
    </w:p>
    <w:p w14:paraId="49C60242" w14:textId="77777777" w:rsidR="00112D07" w:rsidRPr="00F56726" w:rsidRDefault="00112D07" w:rsidP="00A76D85">
      <w:pPr>
        <w:adjustRightInd w:val="0"/>
        <w:snapToGrid w:val="0"/>
        <w:spacing w:line="360" w:lineRule="auto"/>
        <w:jc w:val="both"/>
        <w:rPr>
          <w:rFonts w:ascii="Book Antiqua" w:hAnsi="Book Antiqua" w:cs="Arial"/>
          <w:color w:val="auto"/>
        </w:rPr>
      </w:pPr>
    </w:p>
    <w:p w14:paraId="4C516815"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i/>
          <w:color w:val="auto"/>
        </w:rPr>
        <w:t>Participant recruitment</w:t>
      </w:r>
    </w:p>
    <w:p w14:paraId="6A12B9C1" w14:textId="09C9FCFB" w:rsidR="00112D07" w:rsidRPr="00F56726" w:rsidRDefault="00A603C0" w:rsidP="0024304F">
      <w:pPr>
        <w:adjustRightInd w:val="0"/>
        <w:snapToGrid w:val="0"/>
        <w:spacing w:line="360" w:lineRule="auto"/>
        <w:jc w:val="both"/>
        <w:rPr>
          <w:rFonts w:ascii="Book Antiqua" w:hAnsi="Book Antiqua" w:cs="Arial"/>
          <w:color w:val="auto"/>
        </w:rPr>
      </w:pPr>
      <w:r w:rsidRPr="00F56726">
        <w:rPr>
          <w:rFonts w:ascii="Book Antiqua" w:eastAsia="Arial" w:hAnsi="Book Antiqua" w:cs="Arial"/>
          <w:color w:val="auto"/>
        </w:rPr>
        <w:lastRenderedPageBreak/>
        <w:t xml:space="preserve">Participants were recruited from the pediatric IBD clinic at the University of North Carolina between 2006 and 2015. Patients completed </w:t>
      </w:r>
      <w:r w:rsidR="0053320B" w:rsidRPr="00F56726">
        <w:rPr>
          <w:rFonts w:ascii="Book Antiqua" w:eastAsia="Arial" w:hAnsi="Book Antiqua" w:cs="Arial"/>
          <w:color w:val="auto"/>
        </w:rPr>
        <w:t xml:space="preserve">the </w:t>
      </w:r>
      <w:r w:rsidRPr="00F56726">
        <w:rPr>
          <w:rFonts w:ascii="Book Antiqua" w:eastAsia="Arial" w:hAnsi="Book Antiqua" w:cs="Arial"/>
          <w:color w:val="auto"/>
        </w:rPr>
        <w:t xml:space="preserve">questionnaire at regularly scheduled clinic visits. Patients were recruited on an ongoing basis, continuously adding to the sample size. </w:t>
      </w:r>
    </w:p>
    <w:p w14:paraId="6B6D0FEE" w14:textId="77777777" w:rsidR="00112D07" w:rsidRPr="00F56726" w:rsidRDefault="00112D07" w:rsidP="00A76D85">
      <w:pPr>
        <w:adjustRightInd w:val="0"/>
        <w:snapToGrid w:val="0"/>
        <w:spacing w:line="360" w:lineRule="auto"/>
        <w:jc w:val="both"/>
        <w:rPr>
          <w:rFonts w:ascii="Book Antiqua" w:hAnsi="Book Antiqua" w:cs="Arial"/>
          <w:color w:val="auto"/>
        </w:rPr>
      </w:pPr>
    </w:p>
    <w:p w14:paraId="00102EA3" w14:textId="77777777" w:rsidR="00FC7448" w:rsidRPr="00F56726" w:rsidRDefault="00FC7448" w:rsidP="00A76D85">
      <w:pPr>
        <w:adjustRightInd w:val="0"/>
        <w:snapToGrid w:val="0"/>
        <w:spacing w:line="360" w:lineRule="auto"/>
        <w:jc w:val="both"/>
        <w:rPr>
          <w:rFonts w:ascii="Book Antiqua" w:eastAsia="Arial" w:hAnsi="Book Antiqua" w:cs="Arial"/>
          <w:b/>
          <w:i/>
          <w:color w:val="auto"/>
        </w:rPr>
      </w:pPr>
      <w:r w:rsidRPr="00F56726">
        <w:rPr>
          <w:rFonts w:ascii="Book Antiqua" w:eastAsia="Arial" w:hAnsi="Book Antiqua" w:cs="Arial"/>
          <w:b/>
          <w:i/>
          <w:color w:val="auto"/>
        </w:rPr>
        <w:t>Clinical data abstraction</w:t>
      </w:r>
      <w:r w:rsidR="00A603C0" w:rsidRPr="00F56726">
        <w:rPr>
          <w:rFonts w:ascii="Book Antiqua" w:eastAsia="Arial" w:hAnsi="Book Antiqua" w:cs="Arial"/>
          <w:b/>
          <w:i/>
          <w:color w:val="auto"/>
        </w:rPr>
        <w:t xml:space="preserve"> </w:t>
      </w:r>
    </w:p>
    <w:p w14:paraId="5209101A" w14:textId="49D373E8" w:rsidR="00112D07" w:rsidRPr="00F56726" w:rsidRDefault="00A603C0" w:rsidP="0024304F">
      <w:pPr>
        <w:adjustRightInd w:val="0"/>
        <w:snapToGrid w:val="0"/>
        <w:spacing w:line="360" w:lineRule="auto"/>
        <w:jc w:val="both"/>
        <w:rPr>
          <w:rFonts w:ascii="Book Antiqua" w:hAnsi="Book Antiqua" w:cs="Arial"/>
          <w:color w:val="auto"/>
        </w:rPr>
      </w:pPr>
      <w:r w:rsidRPr="00F56726">
        <w:rPr>
          <w:rFonts w:ascii="Book Antiqua" w:eastAsia="Arial" w:hAnsi="Book Antiqua" w:cs="Arial"/>
          <w:color w:val="auto"/>
        </w:rPr>
        <w:t xml:space="preserve">Demographic and </w:t>
      </w:r>
      <w:r w:rsidR="00555DA9" w:rsidRPr="00F56726">
        <w:rPr>
          <w:rFonts w:ascii="Book Antiqua" w:eastAsia="Arial" w:hAnsi="Book Antiqua" w:cs="Arial"/>
          <w:color w:val="auto"/>
        </w:rPr>
        <w:t>clinical information were</w:t>
      </w:r>
      <w:r w:rsidRPr="00F56726">
        <w:rPr>
          <w:rFonts w:ascii="Book Antiqua" w:eastAsia="Arial" w:hAnsi="Book Antiqua" w:cs="Arial"/>
          <w:color w:val="auto"/>
        </w:rPr>
        <w:t xml:space="preserve"> obtained from the patients’ electronic health records</w:t>
      </w:r>
      <w:r w:rsidR="002C3C42" w:rsidRPr="00F56726">
        <w:rPr>
          <w:rFonts w:ascii="Book Antiqua" w:eastAsia="Arial" w:hAnsi="Book Antiqua" w:cs="Arial"/>
          <w:color w:val="auto"/>
        </w:rPr>
        <w:t>,</w:t>
      </w:r>
      <w:r w:rsidRPr="00F56726">
        <w:rPr>
          <w:rFonts w:ascii="Book Antiqua" w:eastAsia="Arial" w:hAnsi="Book Antiqua" w:cs="Arial"/>
          <w:color w:val="auto"/>
        </w:rPr>
        <w:t xml:space="preserve"> available since 1984.</w:t>
      </w:r>
    </w:p>
    <w:p w14:paraId="40BB8BFD" w14:textId="77777777" w:rsidR="00112D07" w:rsidRPr="00F56726" w:rsidRDefault="00112D07" w:rsidP="00A76D85">
      <w:pPr>
        <w:adjustRightInd w:val="0"/>
        <w:snapToGrid w:val="0"/>
        <w:spacing w:line="360" w:lineRule="auto"/>
        <w:jc w:val="both"/>
        <w:rPr>
          <w:rFonts w:ascii="Book Antiqua" w:hAnsi="Book Antiqua" w:cs="Arial"/>
          <w:color w:val="auto"/>
        </w:rPr>
      </w:pPr>
    </w:p>
    <w:p w14:paraId="75F63AE1"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i/>
          <w:color w:val="auto"/>
        </w:rPr>
        <w:t>Measure</w:t>
      </w:r>
    </w:p>
    <w:p w14:paraId="023DBF01" w14:textId="7A04BF2C" w:rsidR="00112D07" w:rsidRPr="0024304F" w:rsidRDefault="00A603C0" w:rsidP="0024304F">
      <w:pPr>
        <w:adjustRightInd w:val="0"/>
        <w:snapToGrid w:val="0"/>
        <w:spacing w:line="360" w:lineRule="auto"/>
        <w:jc w:val="both"/>
        <w:rPr>
          <w:rFonts w:ascii="Book Antiqua" w:hAnsi="Book Antiqua" w:cs="Arial"/>
          <w:color w:val="auto"/>
        </w:rPr>
      </w:pPr>
      <w:r w:rsidRPr="0024304F">
        <w:rPr>
          <w:rFonts w:ascii="Book Antiqua" w:eastAsia="Arial" w:hAnsi="Book Antiqua" w:cs="Arial"/>
          <w:color w:val="auto"/>
        </w:rPr>
        <w:t>The TR</w:t>
      </w:r>
      <w:r w:rsidRPr="0024304F">
        <w:rPr>
          <w:rFonts w:ascii="Book Antiqua" w:eastAsia="Arial" w:hAnsi="Book Antiqua" w:cs="Arial"/>
          <w:color w:val="auto"/>
          <w:vertAlign w:val="subscript"/>
        </w:rPr>
        <w:t>x</w:t>
      </w:r>
      <w:r w:rsidRPr="0024304F">
        <w:rPr>
          <w:rFonts w:ascii="Book Antiqua" w:eastAsia="Arial" w:hAnsi="Book Antiqua" w:cs="Arial"/>
          <w:color w:val="auto"/>
        </w:rPr>
        <w:t>ANSITION Scale™</w:t>
      </w:r>
      <w:bookmarkStart w:id="322" w:name="OLE_LINK4051"/>
      <w:bookmarkStart w:id="323" w:name="OLE_LINK4052"/>
      <w:r w:rsidR="0024304F" w:rsidRPr="0024304F">
        <w:rPr>
          <w:rFonts w:ascii="Book Antiqua" w:hAnsi="Book Antiqua" w:cs="Arial" w:hint="eastAsia"/>
          <w:color w:val="auto"/>
          <w:vertAlign w:val="superscript"/>
          <w:lang w:eastAsia="zh-CN"/>
        </w:rPr>
        <w:t>[</w:t>
      </w:r>
      <w:r w:rsidR="0097419C" w:rsidRPr="0024304F">
        <w:rPr>
          <w:rFonts w:ascii="Book Antiqua" w:eastAsia="Arial" w:hAnsi="Book Antiqua" w:cs="Arial"/>
          <w:color w:val="auto"/>
          <w:vertAlign w:val="superscript"/>
        </w:rPr>
        <w:fldChar w:fldCharType="begin"/>
      </w:r>
      <w:r w:rsidR="00021E93" w:rsidRPr="0024304F">
        <w:rPr>
          <w:rFonts w:ascii="Book Antiqua" w:eastAsia="Arial" w:hAnsi="Book Antiqua" w:cs="Arial"/>
          <w:color w:val="auto"/>
          <w:vertAlign w:val="superscript"/>
        </w:rPr>
        <w:instrText xml:space="preserve"> ADDIN ZOTERO_ITEM CSL_CITATION {"citationID":"hrhn0blq9","properties":{"formattedCitation":"{\\rtf \\super 9,10\\nosupersub{}}","plainCitation":"9,10"},"citationItems":[{"id":1127,"uris":["http://zotero.org/users/1860880/items/FTSBUCNG"],"uri":["http://zotero.org/users/1860880/items/FTSBUCNG"],"itemData":{"id":1127,"type":"article-journal","title":"Validation of the UNC TRxANSITION Scale™Version 3 Among Mexican Adolescents With Chronic Kidney Disease","container-title":"Journal of Pediatric Nursing","collection-title":"Special Issue: Health Care Transition for Adolescents and Emerging Adults with Special Health Care Needs and Disabilities","page":"e71-e81","volume":"30","issue":"5","source":"ScienceDirect","abstract":"Background\nThere is a lack of valid health care transition readiness (HCT) scales in Spanish.\nObjective\nTo provide initial validation of the UNC TRxANSITION Scale™ among Mexican adolescents and young adults (youth) with chronic kidney disease (CKD).\nMethods\nWe used the professionally translated/back translated, provider-administered UNC TRxANSITION Scale™ (Ferris et al., 2012). This 33-question scale measures HCT in ten sub-scales including knowledge about diagnosis or treatment, diet, reproductive health, school/work, insurance, ability to self-manage and looking for new health providers. Its maximum score is 10.\n\nWe enrolled 163 Mexican adolescents (48.5% females) with CKD stage ≥ 3, mean age of 15.1 years (± 2.1) and whose primary language is Spanish. There were 15 patients on hemodialysis (9.2%) and 30 transplant recipients (18.4%). Results were compared to those reported in adolescents with chronic conditions from the USA.\nResults\nOur cohort's overall median total score was 5.9. Patients ≥ 16 years old had a median total score of 6.4, whereas younger patients had median score of 5.6 (p &amp;lt; 0.05). Transplant patients had greater scores in the total and the sub-scales of medication knowledge, issues of reproduction, insurance, trade/work and adherence (p &amp;lt; 0.05). When comparing the total score (by age), results from our Mexican youth were similar to those reported in youth from the USA.\nConclusions\nIn our Mexican cohort of youth with CKD, health care transition readiness is greater in older patients and in transplant recipients. Our cohort's overall score is low, indicating the need for a health care transition preparation program. The UNC TRxANSITION Scale™ results in Mexican youth with CKD are comparable to findings in youth from the USA.","DOI":"10.1016/j.pedn.2015.06.011","ISSN":"0882-5963","journalAbbreviation":"Journal of Pediatric Nursing","author":[{"family":"Cantú-Quintanilla","given":"Guillermo"},{"family":"Ferris","given":"María"},{"family":"Otero","given":"Araceli"},{"family":"Gutiérrez-Almaraz","given":"Anabel"},{"family":"Valverde-Rosas","given":"Saúl"},{"family":"Velázquez-Jones","given":"Luis"},{"family":"Luque-Coqui","given":"Mercedes"},{"family":"Cohen","given":"Sarah"},{"family":"Medeiros","given":"Mara"}],"issued":{"date-parts":[["2015",9]]}},"label":"page"},{"id":1124,"uris":["http://zotero.org/users/1860880/items/I7IDPVEB"],"uri":["http://zotero.org/users/1860880/items/I7IDPVEB"],"itemData":{"id":1124,"type":"article-journal","title":"A Clinical Tool to Measure the Components of Health-Care Transition from Pediatric Care to Adult Care: The UNC TRxANSITION Scale","container-title":"Renal Failure","page":"744-753","volume":"34","issue":"6","source":"Taylor and Francis+NEJM","abstract":"Objective: To describe the development of the University of North Carolina (UNC) TRxANSITION Scale that measures the health-care transition and self-management skills by youth with chronic health conditions. Methods: Item and scale development of the UNC TRxANSITION Scale was informed by two theoretical models, available literature, and expert opinion interviews and feedback from youth with chronic conditions, their parents, and interdisciplinary collaboration. Through an iterative process, three versions of the scale were piloted on a total of 185 adolescents and emerging adults with different chronic illnesses. This clinically administered scale relies on a semi-structured interview format of the patient and does not rely solely on patient report, but is verified with information from the medical record to validate responses. Results: Following the item development and the three iterations of the scale, version 3 was examined in a more intensive fashion. The current version of the UNC TRxANSITION Scale comprises 33 items scattered across the following 10 domains: Type of illness, Rx=medications, Adherence, Nutrition, Self-management, Informed-reproduction, Trade/school, Insurance, Ongoing support, and New health providers. It requires approximately 7–8 min to administer. With a sample of 128 adolescents and young adults, ranging in age from 12 to 20, inter-rater reliability was strong (r = 0.71) and item-total correlation scores were moderate to high. Content and construct validity were satisfactory, and the overall score was sensitive to advancing age. The univariate linear regression yielded a beta coefficient of 1.08 (p &lt; 0.0001), indicating that the total score increased with advancing age. Specifically, there was about a one point increase in the total score for each year of age. Conclusion: The UNC TRxANSITION Scale is a disease-neutral tool that can be used in the clinical setting. Initial findings suggest that it is a reliable and valid tool that has the potential to measure health-care transition skill mastery and knowledge in a multidimensional fashion.","DOI":"10.3109/0886022X.2012.678171","ISSN":"0886-022X","shortTitle":"A Clinical Tool to Measure the Components of Health-Care Transition from Pediatric Care to Adult Care","author":[{"family":"Ferris","given":"Maria E."},{"family":"Harward","given":"Donna H."},{"family":"Bickford","given":"Kristi"},{"family":"Layton","given":"J. Bradley"},{"family":"Ferris","given":"M. Ted"},{"family":"Hogan","given":"Susan L."},{"family":"Gipson","given":"Debbie S."},{"family":"McCoy","given":"Lynn P."},{"family":"Hooper","given":"Stephen R."}],"issued":{"date-parts":[["2012",7,1]]}},"label":"page"}],"schema":"https://github.com/citation-style-language/schema/raw/master/csl-citation.json"} </w:instrText>
      </w:r>
      <w:r w:rsidR="0097419C" w:rsidRPr="0024304F">
        <w:rPr>
          <w:rFonts w:ascii="Book Antiqua" w:eastAsia="Arial" w:hAnsi="Book Antiqua" w:cs="Arial"/>
          <w:color w:val="auto"/>
          <w:vertAlign w:val="superscript"/>
        </w:rPr>
        <w:fldChar w:fldCharType="separate"/>
      </w:r>
      <w:r w:rsidR="00021E93" w:rsidRPr="0024304F">
        <w:rPr>
          <w:rFonts w:ascii="Book Antiqua" w:eastAsia="Times New Roman" w:hAnsi="Book Antiqua" w:cs="Arial"/>
          <w:color w:val="auto"/>
          <w:vertAlign w:val="superscript"/>
        </w:rPr>
        <w:t>9,10</w:t>
      </w:r>
      <w:r w:rsidR="0097419C" w:rsidRPr="0024304F">
        <w:rPr>
          <w:rFonts w:ascii="Book Antiqua" w:eastAsia="Arial" w:hAnsi="Book Antiqua" w:cs="Arial"/>
          <w:color w:val="auto"/>
          <w:vertAlign w:val="superscript"/>
        </w:rPr>
        <w:fldChar w:fldCharType="end"/>
      </w:r>
      <w:r w:rsidR="0024304F" w:rsidRPr="0024304F">
        <w:rPr>
          <w:rFonts w:ascii="Book Antiqua" w:hAnsi="Book Antiqua" w:cs="Arial" w:hint="eastAsia"/>
          <w:color w:val="auto"/>
          <w:vertAlign w:val="superscript"/>
          <w:lang w:eastAsia="zh-CN"/>
        </w:rPr>
        <w:t>]</w:t>
      </w:r>
      <w:bookmarkEnd w:id="322"/>
      <w:bookmarkEnd w:id="323"/>
      <w:r w:rsidRPr="0024304F">
        <w:rPr>
          <w:rFonts w:ascii="Book Antiqua" w:eastAsia="Arial" w:hAnsi="Book Antiqua" w:cs="Arial"/>
          <w:color w:val="auto"/>
        </w:rPr>
        <w:t xml:space="preserve"> was administered yearly by a trained professional to measure HCT knowledge and skills.</w:t>
      </w:r>
      <w:r w:rsidR="0059598A">
        <w:rPr>
          <w:rFonts w:ascii="Book Antiqua" w:eastAsia="Arial" w:hAnsi="Book Antiqua" w:cs="Arial"/>
          <w:color w:val="auto"/>
        </w:rPr>
        <w:t xml:space="preserve"> </w:t>
      </w:r>
      <w:r w:rsidRPr="0024304F">
        <w:rPr>
          <w:rFonts w:ascii="Book Antiqua" w:eastAsia="Arial" w:hAnsi="Book Antiqua" w:cs="Arial"/>
          <w:color w:val="auto"/>
        </w:rPr>
        <w:t xml:space="preserve">The </w:t>
      </w:r>
      <w:r w:rsidR="00891F69" w:rsidRPr="0024304F">
        <w:rPr>
          <w:rFonts w:ascii="Book Antiqua" w:eastAsia="Arial" w:hAnsi="Book Antiqua" w:cs="Arial"/>
          <w:color w:val="auto"/>
        </w:rPr>
        <w:t>scale has 32 questions in total</w:t>
      </w:r>
      <w:r w:rsidRPr="0024304F">
        <w:rPr>
          <w:rFonts w:ascii="Book Antiqua" w:eastAsia="Arial" w:hAnsi="Book Antiqua" w:cs="Arial"/>
          <w:color w:val="auto"/>
        </w:rPr>
        <w:t xml:space="preserve"> and examines the following 10 domains: Type of health condition, R</w:t>
      </w:r>
      <w:r w:rsidRPr="0024304F">
        <w:rPr>
          <w:rFonts w:ascii="Book Antiqua" w:eastAsia="Arial" w:hAnsi="Book Antiqua" w:cs="Arial"/>
          <w:color w:val="auto"/>
          <w:vertAlign w:val="subscript"/>
        </w:rPr>
        <w:t>x</w:t>
      </w:r>
      <w:r w:rsidRPr="0024304F">
        <w:rPr>
          <w:rFonts w:ascii="Book Antiqua" w:eastAsia="Arial" w:hAnsi="Book Antiqua" w:cs="Arial"/>
          <w:color w:val="auto"/>
        </w:rPr>
        <w:t xml:space="preserve"> knowledge of medication, Adherence, Nutrition, Self-management, Issues of reproduction, Trade/school, Insurance, Ongoing support and New healthcare providers</w:t>
      </w:r>
      <w:r w:rsidR="0024304F" w:rsidRPr="0024304F">
        <w:rPr>
          <w:rFonts w:ascii="Book Antiqua" w:eastAsia="Arial" w:hAnsi="Book Antiqua" w:cs="Arial" w:hint="eastAsia"/>
          <w:color w:val="auto"/>
          <w:vertAlign w:val="superscript"/>
        </w:rPr>
        <w:t>[</w:t>
      </w:r>
      <w:r w:rsidR="0024304F" w:rsidRPr="0024304F">
        <w:rPr>
          <w:rFonts w:ascii="Book Antiqua" w:eastAsia="Arial" w:hAnsi="Book Antiqua" w:cs="Arial"/>
          <w:color w:val="auto"/>
          <w:vertAlign w:val="superscript"/>
        </w:rPr>
        <w:fldChar w:fldCharType="begin"/>
      </w:r>
      <w:r w:rsidR="0024304F" w:rsidRPr="0024304F">
        <w:rPr>
          <w:rFonts w:ascii="Book Antiqua" w:eastAsia="Arial" w:hAnsi="Book Antiqua" w:cs="Arial"/>
          <w:color w:val="auto"/>
          <w:vertAlign w:val="superscript"/>
        </w:rPr>
        <w:instrText xml:space="preserve"> ADDIN ZOTERO_ITEM CSL_CITATION {"citationID":"hrhn0blq9","properties":{"formattedCitation":"{\\rtf \\super 9,10\\nosupersub{}}","plainCitation":"9,10"},"citationItems":[{"id":1127,"uris":["http://zotero.org/users/1860880/items/FTSBUCNG"],"uri":["http://zotero.org/users/1860880/items/FTSBUCNG"],"itemData":{"id":1127,"type":"article-journal","title":"Validation of the UNC TRxANSITION Scale™Version 3 Among Mexican Adolescents With Chronic Kidney Disease","container-title":"Journal of Pediatric Nursing","collection-title":"Special Issue: Health Care Transition for Adolescents and Emerging Adults with Special Health Care Needs and Disabilities","page":"e71-e81","volume":"30","issue":"5","source":"ScienceDirect","abstract":"Background\nThere is a lack of valid health care transition readiness (HCT) scales in Spanish.\nObjective\nTo provide initial validation of the UNC TRxANSITION Scale™ among Mexican adolescents and young adults (youth) with chronic kidney disease (CKD).\nMethods\nWe used the professionally translated/back translated, provider-administered UNC TRxANSITION Scale™ (Ferris et al., 2012). This 33-question scale measures HCT in ten sub-scales including knowledge about diagnosis or treatment, diet, reproductive health, school/work, insurance, ability to self-manage and looking for new health providers. Its maximum score is 10.\n\nWe enrolled 163 Mexican adolescents (48.5% females) with CKD stage ≥ 3, mean age of 15.1 years (± 2.1) and whose primary language is Spanish. There were 15 patients on hemodialysis (9.2%) and 30 transplant recipients (18.4%). Results were compared to those reported in adolescents with chronic conditions from the USA.\nResults\nOur cohort's overall median total score was 5.9. Patients ≥ 16 years old had a median total score of 6.4, whereas younger patients had median score of 5.6 (p &amp;lt; 0.05). Transplant patients had greater scores in the total and the sub-scales of medication knowledge, issues of reproduction, insurance, trade/work and adherence (p &amp;lt; 0.05). When comparing the total score (by age), results from our Mexican youth were similar to those reported in youth from the USA.\nConclusions\nIn our Mexican cohort of youth with CKD, health care transition readiness is greater in older patients and in transplant recipients. Our cohort's overall score is low, indicating the need for a health care transition preparation program. The UNC TRxANSITION Scale™ results in Mexican youth with CKD are comparable to findings in youth from the USA.","DOI":"10.1016/j.pedn.2015.06.011","ISSN":"0882-5963","journalAbbreviation":"Journal of Pediatric Nursing","author":[{"family":"Cantú-Quintanilla","given":"Guillermo"},{"family":"Ferris","given":"María"},{"family":"Otero","given":"Araceli"},{"family":"Gutiérrez-Almaraz","given":"Anabel"},{"family":"Valverde-Rosas","given":"Saúl"},{"family":"Velázquez-Jones","given":"Luis"},{"family":"Luque-Coqui","given":"Mercedes"},{"family":"Cohen","given":"Sarah"},{"family":"Medeiros","given":"Mara"}],"issued":{"date-parts":[["2015",9]]}},"label":"page"},{"id":1124,"uris":["http://zotero.org/users/1860880/items/I7IDPVEB"],"uri":["http://zotero.org/users/1860880/items/I7IDPVEB"],"itemData":{"id":1124,"type":"article-journal","title":"A Clinical Tool to Measure the Components of Health-Care Transition from Pediatric Care to Adult Care: The UNC TRxANSITION Scale","container-title":"Renal Failure","page":"744-753","volume":"34","issue":"6","source":"Taylor and Francis+NEJM","abstract":"Objective: To describe the development of the University of North Carolina (UNC) TRxANSITION Scale that measures the health-care transition and self-management skills by youth with chronic health conditions. Methods: Item and scale development of the UNC TRxANSITION Scale was informed by two theoretical models, available literature, and expert opinion interviews and feedback from youth with chronic conditions, their parents, and interdisciplinary collaboration. Through an iterative process, three versions of the scale were piloted on a total of 185 adolescents and emerging adults with different chronic illnesses. This clinically administered scale relies on a semi-structured interview format of the patient and does not rely solely on patient report, but is verified with information from the medical record to validate responses. Results: Following the item development and the three iterations of the scale, version 3 was examined in a more intensive fashion. The current version of the UNC TRxANSITION Scale comprises 33 items scattered across the following 10 domains: Type of illness, Rx=medications, Adherence, Nutrition, Self-management, Informed-reproduction, Trade/school, Insurance, Ongoing support, and New health providers. It requires approximately 7–8 min to administer. With a sample of 128 adolescents and young adults, ranging in age from 12 to 20, inter-rater reliability was strong (r = 0.71) and item-total correlation scores were moderate to high. Content and construct validity were satisfactory, and the overall score was sensitive to advancing age. The univariate linear regression yielded a beta coefficient of 1.08 (p &lt; 0.0001), indicating that the total score increased with advancing age. Specifically, there was about a one point increase in the total score for each year of age. Conclusion: The UNC TRxANSITION Scale is a disease-neutral tool that can be used in the clinical setting. Initial findings suggest that it is a reliable and valid tool that has the potential to measure health-care transition skill mastery and knowledge in a multidimensional fashion.","DOI":"10.3109/0886022X.2012.678171","ISSN":"0886-022X","shortTitle":"A Clinical Tool to Measure the Components of Health-Care Transition from Pediatric Care to Adult Care","author":[{"family":"Ferris","given":"Maria E."},{"family":"Harward","given":"Donna H."},{"family":"Bickford","given":"Kristi"},{"family":"Layton","given":"J. Bradley"},{"family":"Ferris","given":"M. Ted"},{"family":"Hogan","given":"Susan L."},{"family":"Gipson","given":"Debbie S."},{"family":"McCoy","given":"Lynn P."},{"family":"Hooper","given":"Stephen R."}],"issued":{"date-parts":[["2012",7,1]]}},"label":"page"}],"schema":"https://github.com/citation-style-language/schema/raw/master/csl-citation.json"} </w:instrText>
      </w:r>
      <w:r w:rsidR="0024304F" w:rsidRPr="0024304F">
        <w:rPr>
          <w:rFonts w:ascii="Book Antiqua" w:eastAsia="Arial" w:hAnsi="Book Antiqua" w:cs="Arial"/>
          <w:color w:val="auto"/>
          <w:vertAlign w:val="superscript"/>
        </w:rPr>
        <w:fldChar w:fldCharType="separate"/>
      </w:r>
      <w:r w:rsidR="0024304F" w:rsidRPr="0024304F">
        <w:rPr>
          <w:rFonts w:ascii="Book Antiqua" w:eastAsia="Arial" w:hAnsi="Book Antiqua" w:cs="Arial"/>
          <w:color w:val="auto"/>
          <w:vertAlign w:val="superscript"/>
        </w:rPr>
        <w:t>9,10</w:t>
      </w:r>
      <w:r w:rsidR="0024304F" w:rsidRPr="0024304F">
        <w:rPr>
          <w:rFonts w:ascii="Book Antiqua" w:eastAsia="Arial" w:hAnsi="Book Antiqua" w:cs="Arial"/>
          <w:color w:val="auto"/>
          <w:vertAlign w:val="superscript"/>
        </w:rPr>
        <w:fldChar w:fldCharType="end"/>
      </w:r>
      <w:r w:rsidR="0024304F" w:rsidRPr="0024304F">
        <w:rPr>
          <w:rFonts w:ascii="Book Antiqua" w:eastAsia="Arial" w:hAnsi="Book Antiqua" w:cs="Arial" w:hint="eastAsia"/>
          <w:color w:val="auto"/>
          <w:vertAlign w:val="superscript"/>
        </w:rPr>
        <w:t>]</w:t>
      </w:r>
      <w:r w:rsidR="00BD0629" w:rsidRPr="0024304F">
        <w:rPr>
          <w:rFonts w:ascii="Book Antiqua" w:eastAsia="Arial" w:hAnsi="Book Antiqua" w:cs="Arial"/>
          <w:color w:val="auto"/>
        </w:rPr>
        <w:t xml:space="preserve">. </w:t>
      </w:r>
      <w:r w:rsidRPr="0024304F">
        <w:rPr>
          <w:rFonts w:ascii="Book Antiqua" w:eastAsia="Arial" w:hAnsi="Book Antiqua" w:cs="Arial"/>
          <w:color w:val="auto"/>
        </w:rPr>
        <w:t>Participants were asked to endorse one of the following responses for each item: 1 (knows a lot), 0.5 (knows a little), and 0 (doesn’t know). The scale has good reliability and validity with AYA with chronic conditions</w:t>
      </w:r>
      <w:r w:rsidR="00BD0629" w:rsidRPr="0024304F">
        <w:rPr>
          <w:rFonts w:ascii="Book Antiqua" w:eastAsia="Arial" w:hAnsi="Book Antiqua" w:cs="Arial"/>
          <w:color w:val="auto"/>
        </w:rPr>
        <w:t>, including IBD (r</w:t>
      </w:r>
      <w:r w:rsidR="0024304F">
        <w:rPr>
          <w:rFonts w:ascii="Book Antiqua" w:hAnsi="Book Antiqua" w:cs="Arial" w:hint="eastAsia"/>
          <w:color w:val="auto"/>
          <w:lang w:eastAsia="zh-CN"/>
        </w:rPr>
        <w:t xml:space="preserve"> </w:t>
      </w:r>
      <w:r w:rsidR="00BD0629" w:rsidRPr="0024304F">
        <w:rPr>
          <w:rFonts w:ascii="Book Antiqua" w:eastAsia="Arial" w:hAnsi="Book Antiqua" w:cs="Arial"/>
          <w:color w:val="auto"/>
        </w:rPr>
        <w:t>=</w:t>
      </w:r>
      <w:r w:rsidR="0024304F">
        <w:rPr>
          <w:rFonts w:ascii="Book Antiqua" w:hAnsi="Book Antiqua" w:cs="Arial" w:hint="eastAsia"/>
          <w:color w:val="auto"/>
          <w:lang w:eastAsia="zh-CN"/>
        </w:rPr>
        <w:t xml:space="preserve"> </w:t>
      </w:r>
      <w:r w:rsidR="00BD0629" w:rsidRPr="0024304F">
        <w:rPr>
          <w:rFonts w:ascii="Book Antiqua" w:eastAsia="Arial" w:hAnsi="Book Antiqua" w:cs="Arial"/>
          <w:color w:val="auto"/>
        </w:rPr>
        <w:t>0.71)</w:t>
      </w:r>
      <w:r w:rsidR="0024304F" w:rsidRPr="0024304F">
        <w:rPr>
          <w:rFonts w:ascii="Book Antiqua" w:eastAsia="Arial" w:hAnsi="Book Antiqua" w:cs="Arial" w:hint="eastAsia"/>
          <w:color w:val="auto"/>
          <w:vertAlign w:val="superscript"/>
        </w:rPr>
        <w:t>[</w:t>
      </w:r>
      <w:r w:rsidR="0024304F" w:rsidRPr="0024304F">
        <w:rPr>
          <w:rFonts w:ascii="Book Antiqua" w:eastAsia="Arial" w:hAnsi="Book Antiqua" w:cs="Arial"/>
          <w:color w:val="auto"/>
          <w:vertAlign w:val="superscript"/>
        </w:rPr>
        <w:fldChar w:fldCharType="begin"/>
      </w:r>
      <w:r w:rsidR="0024304F" w:rsidRPr="0024304F">
        <w:rPr>
          <w:rFonts w:ascii="Book Antiqua" w:eastAsia="Arial" w:hAnsi="Book Antiqua" w:cs="Arial"/>
          <w:color w:val="auto"/>
          <w:vertAlign w:val="superscript"/>
        </w:rPr>
        <w:instrText xml:space="preserve"> ADDIN ZOTERO_ITEM CSL_CITATION {"citationID":"hrhn0blq9","properties":{"formattedCitation":"{\\rtf \\super 9,10\\nosupersub{}}","plainCitation":"9,10"},"citationItems":[{"id":1127,"uris":["http://zotero.org/users/1860880/items/FTSBUCNG"],"uri":["http://zotero.org/users/1860880/items/FTSBUCNG"],"itemData":{"id":1127,"type":"article-journal","title":"Validation of the UNC TRxANSITION Scale™Version 3 Among Mexican Adolescents With Chronic Kidney Disease","container-title":"Journal of Pediatric Nursing","collection-title":"Special Issue: Health Care Transition for Adolescents and Emerging Adults with Special Health Care Needs and Disabilities","page":"e71-e81","volume":"30","issue":"5","source":"ScienceDirect","abstract":"Background\nThere is a lack of valid health care transition readiness (HCT) scales in Spanish.\nObjective\nTo provide initial validation of the UNC TRxANSITION Scale™ among Mexican adolescents and young adults (youth) with chronic kidney disease (CKD).\nMethods\nWe used the professionally translated/back translated, provider-administered UNC TRxANSITION Scale™ (Ferris et al., 2012). This 33-question scale measures HCT in ten sub-scales including knowledge about diagnosis or treatment, diet, reproductive health, school/work, insurance, ability to self-manage and looking for new health providers. Its maximum score is 10.\n\nWe enrolled 163 Mexican adolescents (48.5% females) with CKD stage ≥ 3, mean age of 15.1 years (± 2.1) and whose primary language is Spanish. There were 15 patients on hemodialysis (9.2%) and 30 transplant recipients (18.4%). Results were compared to those reported in adolescents with chronic conditions from the USA.\nResults\nOur cohort's overall median total score was 5.9. Patients ≥ 16 years old had a median total score of 6.4, whereas younger patients had median score of 5.6 (p &amp;lt; 0.05). Transplant patients had greater scores in the total and the sub-scales of medication knowledge, issues of reproduction, insurance, trade/work and adherence (p &amp;lt; 0.05). When comparing the total score (by age), results from our Mexican youth were similar to those reported in youth from the USA.\nConclusions\nIn our Mexican cohort of youth with CKD, health care transition readiness is greater in older patients and in transplant recipients. Our cohort's overall score is low, indicating the need for a health care transition preparation program. The UNC TRxANSITION Scale™ results in Mexican youth with CKD are comparable to findings in youth from the USA.","DOI":"10.1016/j.pedn.2015.06.011","ISSN":"0882-5963","journalAbbreviation":"Journal of Pediatric Nursing","author":[{"family":"Cantú-Quintanilla","given":"Guillermo"},{"family":"Ferris","given":"María"},{"family":"Otero","given":"Araceli"},{"family":"Gutiérrez-Almaraz","given":"Anabel"},{"family":"Valverde-Rosas","given":"Saúl"},{"family":"Velázquez-Jones","given":"Luis"},{"family":"Luque-Coqui","given":"Mercedes"},{"family":"Cohen","given":"Sarah"},{"family":"Medeiros","given":"Mara"}],"issued":{"date-parts":[["2015",9]]}},"label":"page"},{"id":1124,"uris":["http://zotero.org/users/1860880/items/I7IDPVEB"],"uri":["http://zotero.org/users/1860880/items/I7IDPVEB"],"itemData":{"id":1124,"type":"article-journal","title":"A Clinical Tool to Measure the Components of Health-Care Transition from Pediatric Care to Adult Care: The UNC TRxANSITION Scale","container-title":"Renal Failure","page":"744-753","volume":"34","issue":"6","source":"Taylor and Francis+NEJM","abstract":"Objective: To describe the development of the University of North Carolina (UNC) TRxANSITION Scale that measures the health-care transition and self-management skills by youth with chronic health conditions. Methods: Item and scale development of the UNC TRxANSITION Scale was informed by two theoretical models, available literature, and expert opinion interviews and feedback from youth with chronic conditions, their parents, and interdisciplinary collaboration. Through an iterative process, three versions of the scale were piloted on a total of 185 adolescents and emerging adults with different chronic illnesses. This clinically administered scale relies on a semi-structured interview format of the patient and does not rely solely on patient report, but is verified with information from the medical record to validate responses. Results: Following the item development and the three iterations of the scale, version 3 was examined in a more intensive fashion. The current version of the UNC TRxANSITION Scale comprises 33 items scattered across the following 10 domains: Type of illness, Rx=medications, Adherence, Nutrition, Self-management, Informed-reproduction, Trade/school, Insurance, Ongoing support, and New health providers. It requires approximately 7–8 min to administer. With a sample of 128 adolescents and young adults, ranging in age from 12 to 20, inter-rater reliability was strong (r = 0.71) and item-total correlation scores were moderate to high. Content and construct validity were satisfactory, and the overall score was sensitive to advancing age. The univariate linear regression yielded a beta coefficient of 1.08 (p &lt; 0.0001), indicating that the total score increased with advancing age. Specifically, there was about a one point increase in the total score for each year of age. Conclusion: The UNC TRxANSITION Scale is a disease-neutral tool that can be used in the clinical setting. Initial findings suggest that it is a reliable and valid tool that has the potential to measure health-care transition skill mastery and knowledge in a multidimensional fashion.","DOI":"10.3109/0886022X.2012.678171","ISSN":"0886-022X","shortTitle":"A Clinical Tool to Measure the Components of Health-Care Transition from Pediatric Care to Adult Care","author":[{"family":"Ferris","given":"Maria E."},{"family":"Harward","given":"Donna H."},{"family":"Bickford","given":"Kristi"},{"family":"Layton","given":"J. Bradley"},{"family":"Ferris","given":"M. Ted"},{"family":"Hogan","given":"Susan L."},{"family":"Gipson","given":"Debbie S."},{"family":"McCoy","given":"Lynn P."},{"family":"Hooper","given":"Stephen R."}],"issued":{"date-parts":[["2012",7,1]]}},"label":"page"}],"schema":"https://github.com/citation-style-language/schema/raw/master/csl-citation.json"} </w:instrText>
      </w:r>
      <w:r w:rsidR="0024304F" w:rsidRPr="0024304F">
        <w:rPr>
          <w:rFonts w:ascii="Book Antiqua" w:eastAsia="Arial" w:hAnsi="Book Antiqua" w:cs="Arial"/>
          <w:color w:val="auto"/>
          <w:vertAlign w:val="superscript"/>
        </w:rPr>
        <w:fldChar w:fldCharType="separate"/>
      </w:r>
      <w:r w:rsidR="0024304F" w:rsidRPr="0024304F">
        <w:rPr>
          <w:rFonts w:ascii="Book Antiqua" w:eastAsia="Arial" w:hAnsi="Book Antiqua" w:cs="Arial"/>
          <w:color w:val="auto"/>
          <w:vertAlign w:val="superscript"/>
        </w:rPr>
        <w:t>9,10</w:t>
      </w:r>
      <w:r w:rsidR="0024304F" w:rsidRPr="0024304F">
        <w:rPr>
          <w:rFonts w:ascii="Book Antiqua" w:eastAsia="Arial" w:hAnsi="Book Antiqua" w:cs="Arial"/>
          <w:color w:val="auto"/>
          <w:vertAlign w:val="superscript"/>
        </w:rPr>
        <w:fldChar w:fldCharType="end"/>
      </w:r>
      <w:r w:rsidR="0024304F" w:rsidRPr="0024304F">
        <w:rPr>
          <w:rFonts w:ascii="Book Antiqua" w:eastAsia="Arial" w:hAnsi="Book Antiqua" w:cs="Arial" w:hint="eastAsia"/>
          <w:color w:val="auto"/>
          <w:vertAlign w:val="superscript"/>
        </w:rPr>
        <w:t>]</w:t>
      </w:r>
      <w:r w:rsidR="00BD0629" w:rsidRPr="0024304F">
        <w:rPr>
          <w:rFonts w:ascii="Book Antiqua" w:eastAsia="Arial" w:hAnsi="Book Antiqua" w:cs="Arial"/>
          <w:color w:val="auto"/>
        </w:rPr>
        <w:t xml:space="preserve">. </w:t>
      </w:r>
      <w:r w:rsidRPr="0024304F">
        <w:rPr>
          <w:rFonts w:ascii="Book Antiqua" w:eastAsia="Arial" w:hAnsi="Book Antiqua" w:cs="Arial"/>
          <w:color w:val="auto"/>
        </w:rPr>
        <w:t xml:space="preserve">The maximum total score is 10 and </w:t>
      </w:r>
      <w:r w:rsidR="00BB7D6C" w:rsidRPr="0024304F">
        <w:rPr>
          <w:rFonts w:ascii="Book Antiqua" w:eastAsia="Arial" w:hAnsi="Book Antiqua" w:cs="Arial"/>
          <w:color w:val="auto"/>
        </w:rPr>
        <w:t>the maximum score for each subdomain is 1. F</w:t>
      </w:r>
      <w:r w:rsidRPr="0024304F">
        <w:rPr>
          <w:rFonts w:ascii="Book Antiqua" w:eastAsia="Arial" w:hAnsi="Book Antiqua" w:cs="Arial"/>
          <w:color w:val="auto"/>
        </w:rPr>
        <w:t xml:space="preserve">or this study, we defined mastery of an HCT skill as a subdomain average score of &gt; 0.75. </w:t>
      </w:r>
    </w:p>
    <w:p w14:paraId="15D5472F" w14:textId="77777777" w:rsidR="00112D07" w:rsidRPr="00F56726" w:rsidRDefault="00112D07" w:rsidP="00A76D85">
      <w:pPr>
        <w:adjustRightInd w:val="0"/>
        <w:snapToGrid w:val="0"/>
        <w:spacing w:line="360" w:lineRule="auto"/>
        <w:jc w:val="both"/>
        <w:rPr>
          <w:rFonts w:ascii="Book Antiqua" w:hAnsi="Book Antiqua" w:cs="Arial"/>
          <w:color w:val="auto"/>
        </w:rPr>
      </w:pPr>
    </w:p>
    <w:p w14:paraId="321883EF"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i/>
          <w:color w:val="auto"/>
        </w:rPr>
        <w:t>Statistical analysis</w:t>
      </w:r>
    </w:p>
    <w:p w14:paraId="718A3898" w14:textId="06C0DF3E" w:rsidR="00112D07" w:rsidRPr="00F56726" w:rsidRDefault="00A603C0" w:rsidP="0024304F">
      <w:pPr>
        <w:adjustRightInd w:val="0"/>
        <w:snapToGrid w:val="0"/>
        <w:spacing w:line="360" w:lineRule="auto"/>
        <w:jc w:val="both"/>
        <w:rPr>
          <w:rFonts w:ascii="Book Antiqua" w:hAnsi="Book Antiqua" w:cs="Arial"/>
          <w:color w:val="auto"/>
        </w:rPr>
      </w:pPr>
      <w:r w:rsidRPr="00F56726">
        <w:rPr>
          <w:rFonts w:ascii="Book Antiqua" w:eastAsia="Arial" w:hAnsi="Book Antiqua" w:cs="Arial"/>
          <w:color w:val="auto"/>
        </w:rPr>
        <w:t>AYAs completed the TR</w:t>
      </w:r>
      <w:r w:rsidRPr="00F56726">
        <w:rPr>
          <w:rFonts w:ascii="Book Antiqua" w:eastAsia="Arial" w:hAnsi="Book Antiqua" w:cs="Arial"/>
          <w:color w:val="auto"/>
          <w:vertAlign w:val="subscript"/>
        </w:rPr>
        <w:t>x</w:t>
      </w:r>
      <w:r w:rsidRPr="00F56726">
        <w:rPr>
          <w:rFonts w:ascii="Book Antiqua" w:eastAsia="Arial" w:hAnsi="Book Antiqua" w:cs="Arial"/>
          <w:color w:val="auto"/>
        </w:rPr>
        <w:t>ANSITION Scale™ at least once</w:t>
      </w:r>
      <w:r w:rsidR="002C3C42" w:rsidRPr="00F56726">
        <w:rPr>
          <w:rFonts w:ascii="Book Antiqua" w:eastAsia="Arial" w:hAnsi="Book Antiqua" w:cs="Arial"/>
          <w:color w:val="auto"/>
        </w:rPr>
        <w:t>,</w:t>
      </w:r>
      <w:r w:rsidRPr="00F56726">
        <w:rPr>
          <w:rFonts w:ascii="Book Antiqua" w:eastAsia="Arial" w:hAnsi="Book Antiqua" w:cs="Arial"/>
          <w:color w:val="auto"/>
        </w:rPr>
        <w:t xml:space="preserve"> but possibly </w:t>
      </w:r>
      <w:r w:rsidR="00C16CBE" w:rsidRPr="00F56726">
        <w:rPr>
          <w:rFonts w:ascii="Book Antiqua" w:eastAsia="Arial" w:hAnsi="Book Antiqua" w:cs="Arial"/>
          <w:color w:val="auto"/>
        </w:rPr>
        <w:t xml:space="preserve">up to three times </w:t>
      </w:r>
      <w:r w:rsidRPr="00F56726">
        <w:rPr>
          <w:rFonts w:ascii="Book Antiqua" w:eastAsia="Arial" w:hAnsi="Book Antiqua" w:cs="Arial"/>
          <w:color w:val="auto"/>
        </w:rPr>
        <w:t>during the 2006 to 2015 period. To examine the trajectory of TR</w:t>
      </w:r>
      <w:r w:rsidRPr="00F56726">
        <w:rPr>
          <w:rFonts w:ascii="Book Antiqua" w:eastAsia="Arial" w:hAnsi="Book Antiqua" w:cs="Arial"/>
          <w:color w:val="auto"/>
          <w:vertAlign w:val="subscript"/>
        </w:rPr>
        <w:t>x</w:t>
      </w:r>
      <w:r w:rsidRPr="00F56726">
        <w:rPr>
          <w:rFonts w:ascii="Book Antiqua" w:eastAsia="Arial" w:hAnsi="Book Antiqua" w:cs="Arial"/>
          <w:color w:val="auto"/>
        </w:rPr>
        <w:t>ANSITION Scale™ total and subtotal scores, different samples were used: Sample 1 consisted of information on all patients (</w:t>
      </w:r>
      <w:r w:rsidRPr="0024304F">
        <w:rPr>
          <w:rFonts w:ascii="Book Antiqua" w:eastAsia="Arial" w:hAnsi="Book Antiqua" w:cs="Arial"/>
          <w:i/>
          <w:color w:val="auto"/>
        </w:rPr>
        <w:t>n</w:t>
      </w:r>
      <w:r w:rsidRPr="00F56726">
        <w:rPr>
          <w:rFonts w:ascii="Book Antiqua" w:eastAsia="Arial" w:hAnsi="Book Antiqua" w:cs="Arial"/>
          <w:color w:val="auto"/>
        </w:rPr>
        <w:t>) and their first observed score(s) (</w:t>
      </w:r>
      <w:r w:rsidR="00F56726" w:rsidRPr="00F56726">
        <w:rPr>
          <w:rFonts w:ascii="Book Antiqua" w:eastAsia="Arial" w:hAnsi="Book Antiqua" w:cs="Arial"/>
          <w:i/>
          <w:color w:val="auto"/>
        </w:rPr>
        <w:t xml:space="preserve">n = </w:t>
      </w:r>
      <w:r w:rsidRPr="00F56726">
        <w:rPr>
          <w:rFonts w:ascii="Book Antiqua" w:eastAsia="Arial" w:hAnsi="Book Antiqua" w:cs="Arial"/>
          <w:color w:val="auto"/>
        </w:rPr>
        <w:t>144; s</w:t>
      </w:r>
      <w:r w:rsidR="0024304F">
        <w:rPr>
          <w:rFonts w:ascii="Book Antiqua" w:hAnsi="Book Antiqua" w:cs="Arial" w:hint="eastAsia"/>
          <w:color w:val="auto"/>
          <w:lang w:eastAsia="zh-CN"/>
        </w:rPr>
        <w:t xml:space="preserve"> </w:t>
      </w:r>
      <w:r w:rsidRPr="00F56726">
        <w:rPr>
          <w:rFonts w:ascii="Book Antiqua" w:eastAsia="Arial" w:hAnsi="Book Antiqua" w:cs="Arial"/>
          <w:color w:val="auto"/>
        </w:rPr>
        <w:t>=</w:t>
      </w:r>
      <w:r w:rsidR="0024304F">
        <w:rPr>
          <w:rFonts w:ascii="Book Antiqua" w:hAnsi="Book Antiqua" w:cs="Arial" w:hint="eastAsia"/>
          <w:color w:val="auto"/>
          <w:lang w:eastAsia="zh-CN"/>
        </w:rPr>
        <w:t xml:space="preserve"> </w:t>
      </w:r>
      <w:r w:rsidRPr="00F56726">
        <w:rPr>
          <w:rFonts w:ascii="Book Antiqua" w:eastAsia="Arial" w:hAnsi="Book Antiqua" w:cs="Arial"/>
          <w:color w:val="auto"/>
        </w:rPr>
        <w:t>144). Sample 2 included information from all patients and all of their observed scores (</w:t>
      </w:r>
      <w:r w:rsidR="00F56726" w:rsidRPr="00F56726">
        <w:rPr>
          <w:rFonts w:ascii="Book Antiqua" w:eastAsia="Arial" w:hAnsi="Book Antiqua" w:cs="Arial"/>
          <w:i/>
          <w:color w:val="auto"/>
        </w:rPr>
        <w:t xml:space="preserve">n = </w:t>
      </w:r>
      <w:r w:rsidRPr="00F56726">
        <w:rPr>
          <w:rFonts w:ascii="Book Antiqua" w:eastAsia="Arial" w:hAnsi="Book Antiqua" w:cs="Arial"/>
          <w:color w:val="auto"/>
        </w:rPr>
        <w:t>144; s</w:t>
      </w:r>
      <w:r w:rsidR="0024304F">
        <w:rPr>
          <w:rFonts w:ascii="Book Antiqua" w:hAnsi="Book Antiqua" w:cs="Arial" w:hint="eastAsia"/>
          <w:color w:val="auto"/>
          <w:lang w:eastAsia="zh-CN"/>
        </w:rPr>
        <w:t xml:space="preserve"> </w:t>
      </w:r>
      <w:r w:rsidRPr="00F56726">
        <w:rPr>
          <w:rFonts w:ascii="Book Antiqua" w:eastAsia="Arial" w:hAnsi="Book Antiqua" w:cs="Arial"/>
          <w:color w:val="auto"/>
        </w:rPr>
        <w:t>=</w:t>
      </w:r>
      <w:r w:rsidR="0024304F">
        <w:rPr>
          <w:rFonts w:ascii="Book Antiqua" w:hAnsi="Book Antiqua" w:cs="Arial" w:hint="eastAsia"/>
          <w:color w:val="auto"/>
          <w:lang w:eastAsia="zh-CN"/>
        </w:rPr>
        <w:t xml:space="preserve"> </w:t>
      </w:r>
      <w:r w:rsidRPr="00F56726">
        <w:rPr>
          <w:rFonts w:ascii="Book Antiqua" w:eastAsia="Arial" w:hAnsi="Book Antiqua" w:cs="Arial"/>
          <w:color w:val="auto"/>
        </w:rPr>
        <w:t>226). Sample 3 consisted of all patients with at least two scores (</w:t>
      </w:r>
      <w:r w:rsidR="00F56726" w:rsidRPr="00F56726">
        <w:rPr>
          <w:rFonts w:ascii="Book Antiqua" w:eastAsia="Arial" w:hAnsi="Book Antiqua" w:cs="Arial"/>
          <w:i/>
          <w:color w:val="auto"/>
        </w:rPr>
        <w:t xml:space="preserve">n = </w:t>
      </w:r>
      <w:r w:rsidRPr="00F56726">
        <w:rPr>
          <w:rFonts w:ascii="Book Antiqua" w:eastAsia="Arial" w:hAnsi="Book Antiqua" w:cs="Arial"/>
          <w:color w:val="auto"/>
        </w:rPr>
        <w:t>59; s</w:t>
      </w:r>
      <w:r w:rsidR="0024304F">
        <w:rPr>
          <w:rFonts w:ascii="Book Antiqua" w:hAnsi="Book Antiqua" w:cs="Arial" w:hint="eastAsia"/>
          <w:color w:val="auto"/>
          <w:lang w:eastAsia="zh-CN"/>
        </w:rPr>
        <w:t xml:space="preserve"> </w:t>
      </w:r>
      <w:r w:rsidRPr="00F56726">
        <w:rPr>
          <w:rFonts w:ascii="Book Antiqua" w:eastAsia="Arial" w:hAnsi="Book Antiqua" w:cs="Arial"/>
          <w:color w:val="auto"/>
        </w:rPr>
        <w:t>=</w:t>
      </w:r>
      <w:r w:rsidR="0024304F">
        <w:rPr>
          <w:rFonts w:ascii="Book Antiqua" w:hAnsi="Book Antiqua" w:cs="Arial" w:hint="eastAsia"/>
          <w:color w:val="auto"/>
          <w:lang w:eastAsia="zh-CN"/>
        </w:rPr>
        <w:t xml:space="preserve"> </w:t>
      </w:r>
      <w:r w:rsidRPr="00F56726">
        <w:rPr>
          <w:rFonts w:ascii="Book Antiqua" w:eastAsia="Arial" w:hAnsi="Book Antiqua" w:cs="Arial"/>
          <w:color w:val="auto"/>
        </w:rPr>
        <w:t>141). Sample 1 was used to describe baseline sample characteristics. To illustrate the transition skills at different age stages, we calculated the average total and subtotal TR</w:t>
      </w:r>
      <w:r w:rsidRPr="00F56726">
        <w:rPr>
          <w:rFonts w:ascii="Book Antiqua" w:eastAsia="Arial" w:hAnsi="Book Antiqua" w:cs="Arial"/>
          <w:color w:val="auto"/>
          <w:vertAlign w:val="subscript"/>
        </w:rPr>
        <w:t>x</w:t>
      </w:r>
      <w:r w:rsidRPr="00F56726">
        <w:rPr>
          <w:rFonts w:ascii="Book Antiqua" w:eastAsia="Arial" w:hAnsi="Book Antiqua" w:cs="Arial"/>
          <w:color w:val="auto"/>
        </w:rPr>
        <w:t xml:space="preserve">ANSITION Scale™ score by different age groups using Sample 2. Raw wave-to-wave and adjusted yearly score changes were calculated using Sample 3. </w:t>
      </w:r>
    </w:p>
    <w:p w14:paraId="28EEC00C" w14:textId="0400D9A2" w:rsidR="00B768B8" w:rsidRPr="00F56726" w:rsidRDefault="00A603C0" w:rsidP="0024304F">
      <w:pPr>
        <w:adjustRightInd w:val="0"/>
        <w:snapToGrid w:val="0"/>
        <w:spacing w:line="360" w:lineRule="auto"/>
        <w:ind w:firstLineChars="100" w:firstLine="240"/>
        <w:jc w:val="both"/>
        <w:rPr>
          <w:rFonts w:ascii="Book Antiqua" w:hAnsi="Book Antiqua" w:cs="Arial"/>
          <w:color w:val="auto"/>
        </w:rPr>
      </w:pPr>
      <w:r w:rsidRPr="00F56726">
        <w:rPr>
          <w:rFonts w:ascii="Book Antiqua" w:eastAsia="Arial" w:hAnsi="Book Antiqua" w:cs="Arial"/>
          <w:color w:val="auto"/>
        </w:rPr>
        <w:lastRenderedPageBreak/>
        <w:t>We employed two ordinary least square (OLS) regressions to further explore the variations in the levels and growths of HCT readiness. The first regression used total TR</w:t>
      </w:r>
      <w:r w:rsidRPr="00F56726">
        <w:rPr>
          <w:rFonts w:ascii="Book Antiqua" w:eastAsia="Arial" w:hAnsi="Book Antiqua" w:cs="Arial"/>
          <w:color w:val="auto"/>
          <w:vertAlign w:val="subscript"/>
        </w:rPr>
        <w:t>x</w:t>
      </w:r>
      <w:r w:rsidRPr="00F56726">
        <w:rPr>
          <w:rFonts w:ascii="Book Antiqua" w:eastAsia="Arial" w:hAnsi="Book Antiqua" w:cs="Arial"/>
          <w:color w:val="auto"/>
        </w:rPr>
        <w:t>ANSITION Scale™ score as the dependent variable</w:t>
      </w:r>
      <w:r w:rsidR="00891F69" w:rsidRPr="00F56726">
        <w:rPr>
          <w:rFonts w:ascii="Book Antiqua" w:eastAsia="Arial" w:hAnsi="Book Antiqua" w:cs="Arial"/>
          <w:color w:val="auto"/>
        </w:rPr>
        <w:t>,</w:t>
      </w:r>
      <w:r w:rsidRPr="00F56726">
        <w:rPr>
          <w:rFonts w:ascii="Book Antiqua" w:eastAsia="Arial" w:hAnsi="Book Antiqua" w:cs="Arial"/>
          <w:color w:val="auto"/>
        </w:rPr>
        <w:t xml:space="preserve"> and the independent variables include an individual's age, gender, race, health insurance, and age at diagnosis. Using Sample 2, the estimated coefficients reflect the marginal effects of the explanatory variables on the levels of transition scores. The second regression included the lagged transition score as an additional independent variable. Conditional on the lagged transition score, the coefficients in the regression reflect the marginal effects of the explanatory variables on the growth in transition score between two scores. Sample 3 was used to estimate the second regression. We estimated robust standard errors clustered at the patient level for both regressions. All statistical analyses were performed in STATA 13.0.</w:t>
      </w:r>
    </w:p>
    <w:p w14:paraId="40AD66C4" w14:textId="77777777" w:rsidR="00B10866" w:rsidRPr="00F56726" w:rsidRDefault="00B10866" w:rsidP="00A76D85">
      <w:pPr>
        <w:adjustRightInd w:val="0"/>
        <w:snapToGrid w:val="0"/>
        <w:spacing w:line="360" w:lineRule="auto"/>
        <w:ind w:firstLine="720"/>
        <w:jc w:val="both"/>
        <w:rPr>
          <w:rFonts w:ascii="Book Antiqua" w:hAnsi="Book Antiqua" w:cs="Arial"/>
          <w:color w:val="auto"/>
        </w:rPr>
      </w:pPr>
    </w:p>
    <w:p w14:paraId="193C4B42"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t>RESULTS</w:t>
      </w:r>
    </w:p>
    <w:p w14:paraId="191647EA"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i/>
          <w:color w:val="auto"/>
        </w:rPr>
        <w:t>Sample</w:t>
      </w:r>
    </w:p>
    <w:p w14:paraId="06D19688" w14:textId="7576C664" w:rsidR="00112D07" w:rsidRPr="00F56726" w:rsidRDefault="00A603C0" w:rsidP="0024304F">
      <w:pPr>
        <w:adjustRightInd w:val="0"/>
        <w:snapToGrid w:val="0"/>
        <w:spacing w:line="360" w:lineRule="auto"/>
        <w:jc w:val="both"/>
        <w:rPr>
          <w:rFonts w:ascii="Book Antiqua" w:eastAsia="Arial" w:hAnsi="Book Antiqua" w:cs="Arial"/>
          <w:color w:val="auto"/>
        </w:rPr>
      </w:pPr>
      <w:r w:rsidRPr="00F56726">
        <w:rPr>
          <w:rFonts w:ascii="Book Antiqua" w:eastAsia="Arial" w:hAnsi="Book Antiqua" w:cs="Arial"/>
          <w:color w:val="auto"/>
        </w:rPr>
        <w:t>Our sample included a total of 256 TR</w:t>
      </w:r>
      <w:r w:rsidRPr="00F56726">
        <w:rPr>
          <w:rFonts w:ascii="Book Antiqua" w:eastAsia="Arial" w:hAnsi="Book Antiqua" w:cs="Arial"/>
          <w:color w:val="auto"/>
          <w:vertAlign w:val="subscript"/>
        </w:rPr>
        <w:t>x</w:t>
      </w:r>
      <w:r w:rsidRPr="00F56726">
        <w:rPr>
          <w:rFonts w:ascii="Book Antiqua" w:eastAsia="Arial" w:hAnsi="Book Antiqua" w:cs="Arial"/>
          <w:color w:val="auto"/>
        </w:rPr>
        <w:t>ANSITION Scale™ scores from</w:t>
      </w:r>
      <w:r w:rsidR="00BC5231" w:rsidRPr="00F56726">
        <w:rPr>
          <w:rFonts w:ascii="Book Antiqua" w:eastAsia="Arial" w:hAnsi="Book Antiqua" w:cs="Arial"/>
          <w:color w:val="auto"/>
        </w:rPr>
        <w:t xml:space="preserve"> </w:t>
      </w:r>
      <w:r w:rsidRPr="00F56726">
        <w:rPr>
          <w:rFonts w:ascii="Book Antiqua" w:eastAsia="Arial" w:hAnsi="Book Antiqua" w:cs="Arial"/>
          <w:color w:val="auto"/>
        </w:rPr>
        <w:t>144 patients with IBD ranging in ages from 12-22 yea</w:t>
      </w:r>
      <w:r w:rsidR="00B768B8" w:rsidRPr="00F56726">
        <w:rPr>
          <w:rFonts w:ascii="Book Antiqua" w:eastAsia="Arial" w:hAnsi="Book Antiqua" w:cs="Arial"/>
          <w:color w:val="auto"/>
        </w:rPr>
        <w:t>rs (mean age 15.9</w:t>
      </w:r>
      <w:r w:rsidR="0059598A">
        <w:rPr>
          <w:rFonts w:ascii="Book Antiqua" w:eastAsia="Arial" w:hAnsi="Book Antiqua" w:cs="Arial"/>
          <w:color w:val="auto"/>
        </w:rPr>
        <w:t xml:space="preserve"> </w:t>
      </w:r>
      <w:r w:rsidR="003860D1">
        <w:rPr>
          <w:rFonts w:ascii="Book Antiqua" w:eastAsia="Arial" w:hAnsi="Book Antiqua" w:cs="Arial"/>
          <w:color w:val="auto"/>
        </w:rPr>
        <w:t>±</w:t>
      </w:r>
      <w:r w:rsidR="0059598A">
        <w:rPr>
          <w:rFonts w:ascii="Book Antiqua" w:eastAsia="Arial" w:hAnsi="Book Antiqua" w:cs="Arial"/>
          <w:color w:val="auto"/>
        </w:rPr>
        <w:t xml:space="preserve"> </w:t>
      </w:r>
      <w:r w:rsidR="00B768B8" w:rsidRPr="00F56726">
        <w:rPr>
          <w:rFonts w:ascii="Book Antiqua" w:eastAsia="Arial" w:hAnsi="Book Antiqua" w:cs="Arial"/>
          <w:color w:val="auto"/>
        </w:rPr>
        <w:t xml:space="preserve">2.0 years). See Table 1 for additional information on the sample demographics. </w:t>
      </w:r>
      <w:r w:rsidR="00BC5231" w:rsidRPr="00F56726">
        <w:rPr>
          <w:rFonts w:ascii="Book Antiqua" w:eastAsia="Arial" w:hAnsi="Book Antiqua" w:cs="Arial"/>
          <w:color w:val="auto"/>
        </w:rPr>
        <w:t>Eighty-five</w:t>
      </w:r>
      <w:r w:rsidRPr="00F56726">
        <w:rPr>
          <w:rFonts w:ascii="Book Antiqua" w:eastAsia="Arial" w:hAnsi="Book Antiqua" w:cs="Arial"/>
          <w:color w:val="auto"/>
        </w:rPr>
        <w:t xml:space="preserve"> patients completed the questionnaire once, 41 completed it twice, and 18 patients completed the questionnaire three times or more. </w:t>
      </w:r>
    </w:p>
    <w:p w14:paraId="67569EF8" w14:textId="77777777" w:rsidR="00071BC2" w:rsidRPr="00F56726" w:rsidRDefault="00071BC2" w:rsidP="00A76D85">
      <w:pPr>
        <w:adjustRightInd w:val="0"/>
        <w:snapToGrid w:val="0"/>
        <w:spacing w:line="360" w:lineRule="auto"/>
        <w:ind w:firstLine="720"/>
        <w:jc w:val="both"/>
        <w:rPr>
          <w:rFonts w:ascii="Book Antiqua" w:eastAsia="Arial" w:hAnsi="Book Antiqua" w:cs="Arial"/>
          <w:color w:val="auto"/>
        </w:rPr>
      </w:pPr>
    </w:p>
    <w:p w14:paraId="628F4F4F" w14:textId="3261C578" w:rsidR="00071BC2" w:rsidRPr="00F56726" w:rsidRDefault="00071BC2"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i/>
          <w:color w:val="auto"/>
        </w:rPr>
        <w:t xml:space="preserve">Age of </w:t>
      </w:r>
      <w:r w:rsidR="0024304F" w:rsidRPr="00F56726">
        <w:rPr>
          <w:rFonts w:ascii="Book Antiqua" w:eastAsia="Arial" w:hAnsi="Book Antiqua" w:cs="Arial"/>
          <w:b/>
          <w:i/>
          <w:color w:val="auto"/>
        </w:rPr>
        <w:t>mastery</w:t>
      </w:r>
    </w:p>
    <w:p w14:paraId="2EE28615" w14:textId="6E3F9713" w:rsidR="00071BC2" w:rsidRPr="00F56726" w:rsidRDefault="00071BC2" w:rsidP="0024304F">
      <w:pPr>
        <w:adjustRightInd w:val="0"/>
        <w:snapToGrid w:val="0"/>
        <w:spacing w:line="360" w:lineRule="auto"/>
        <w:jc w:val="both"/>
        <w:rPr>
          <w:rFonts w:ascii="Book Antiqua" w:hAnsi="Book Antiqua" w:cs="Arial"/>
          <w:color w:val="auto"/>
        </w:rPr>
      </w:pPr>
      <w:r w:rsidRPr="00F56726">
        <w:rPr>
          <w:rFonts w:ascii="Book Antiqua" w:eastAsia="Arial" w:hAnsi="Book Antiqua" w:cs="Arial"/>
          <w:color w:val="auto"/>
        </w:rPr>
        <w:t xml:space="preserve">Table </w:t>
      </w:r>
      <w:r w:rsidR="004E667A" w:rsidRPr="00F56726">
        <w:rPr>
          <w:rFonts w:ascii="Book Antiqua" w:eastAsia="Arial" w:hAnsi="Book Antiqua" w:cs="Arial"/>
          <w:color w:val="auto"/>
        </w:rPr>
        <w:t>2</w:t>
      </w:r>
      <w:r w:rsidRPr="00F56726">
        <w:rPr>
          <w:rFonts w:ascii="Book Antiqua" w:eastAsia="Arial" w:hAnsi="Book Antiqua" w:cs="Arial"/>
          <w:color w:val="auto"/>
        </w:rPr>
        <w:t xml:space="preserve"> shows the TR</w:t>
      </w:r>
      <w:r w:rsidRPr="00F56726">
        <w:rPr>
          <w:rFonts w:ascii="Book Antiqua" w:eastAsia="Arial" w:hAnsi="Book Antiqua" w:cs="Arial"/>
          <w:color w:val="auto"/>
          <w:vertAlign w:val="subscript"/>
        </w:rPr>
        <w:t>x</w:t>
      </w:r>
      <w:r w:rsidRPr="00F56726">
        <w:rPr>
          <w:rFonts w:ascii="Book Antiqua" w:eastAsia="Arial" w:hAnsi="Book Antiqua" w:cs="Arial"/>
          <w:color w:val="auto"/>
        </w:rPr>
        <w:t>ANSITION</w:t>
      </w:r>
      <w:r w:rsidR="00555DA9" w:rsidRPr="00F56726">
        <w:rPr>
          <w:rFonts w:ascii="Book Antiqua" w:eastAsia="Arial" w:hAnsi="Book Antiqua" w:cs="Arial"/>
          <w:color w:val="auto"/>
        </w:rPr>
        <w:t xml:space="preserve"> Scale™ score</w:t>
      </w:r>
      <w:r w:rsidRPr="00F56726">
        <w:rPr>
          <w:rFonts w:ascii="Book Antiqua" w:eastAsia="Arial" w:hAnsi="Book Antiqua" w:cs="Arial"/>
          <w:color w:val="auto"/>
        </w:rPr>
        <w:t xml:space="preserve"> means by age. With more than 75% score on each subdomain, </w:t>
      </w:r>
      <w:r w:rsidR="00C16CBE" w:rsidRPr="00F56726">
        <w:rPr>
          <w:rFonts w:ascii="Book Antiqua" w:eastAsia="Arial" w:hAnsi="Book Antiqua" w:cs="Arial"/>
          <w:color w:val="auto"/>
        </w:rPr>
        <w:t xml:space="preserve">many </w:t>
      </w:r>
      <w:r w:rsidRPr="00F56726">
        <w:rPr>
          <w:rFonts w:ascii="Book Antiqua" w:eastAsia="Arial" w:hAnsi="Book Antiqua" w:cs="Arial"/>
          <w:color w:val="auto"/>
        </w:rPr>
        <w:t>HCT skills</w:t>
      </w:r>
      <w:r w:rsidR="004707FE" w:rsidRPr="00F56726">
        <w:rPr>
          <w:rFonts w:ascii="Book Antiqua" w:eastAsia="Arial" w:hAnsi="Book Antiqua" w:cs="Arial"/>
          <w:color w:val="auto"/>
        </w:rPr>
        <w:t xml:space="preserve"> (as measured by the subscales)</w:t>
      </w:r>
      <w:r w:rsidRPr="00F56726">
        <w:rPr>
          <w:rFonts w:ascii="Book Antiqua" w:eastAsia="Arial" w:hAnsi="Book Antiqua" w:cs="Arial"/>
          <w:color w:val="auto"/>
        </w:rPr>
        <w:t xml:space="preserve"> are mastered between the ages of 12 and 14 years (see Table </w:t>
      </w:r>
      <w:r w:rsidR="004E667A" w:rsidRPr="00F56726">
        <w:rPr>
          <w:rFonts w:ascii="Book Antiqua" w:eastAsia="Arial" w:hAnsi="Book Antiqua" w:cs="Arial"/>
          <w:color w:val="auto"/>
        </w:rPr>
        <w:t>2)</w:t>
      </w:r>
      <w:r w:rsidRPr="00F56726">
        <w:rPr>
          <w:rFonts w:ascii="Book Antiqua" w:eastAsia="Arial" w:hAnsi="Book Antiqua" w:cs="Arial"/>
          <w:color w:val="auto"/>
        </w:rPr>
        <w:t>. These are primarily skills related to knowledge, such as knowledge of Type of chronic condition, R</w:t>
      </w:r>
      <w:r w:rsidRPr="00F56726">
        <w:rPr>
          <w:rFonts w:ascii="Book Antiqua" w:eastAsia="Arial" w:hAnsi="Book Antiqua" w:cs="Arial"/>
          <w:color w:val="auto"/>
          <w:vertAlign w:val="subscript"/>
        </w:rPr>
        <w:t>x</w:t>
      </w:r>
      <w:r w:rsidRPr="00F56726">
        <w:rPr>
          <w:rFonts w:ascii="Book Antiqua" w:eastAsia="Arial" w:hAnsi="Book Antiqua" w:cs="Arial"/>
          <w:color w:val="auto"/>
        </w:rPr>
        <w:t>= medications, and Nutrition, but also include Adherence and Ongoing support. The other half of the HCT transition skills are not mastered until after the age of 18</w:t>
      </w:r>
      <w:r w:rsidR="00943E30" w:rsidRPr="00F56726">
        <w:rPr>
          <w:rFonts w:ascii="Book Antiqua" w:eastAsia="Arial" w:hAnsi="Book Antiqua" w:cs="Arial"/>
          <w:color w:val="auto"/>
        </w:rPr>
        <w:t>.</w:t>
      </w:r>
    </w:p>
    <w:p w14:paraId="31888D90" w14:textId="77777777" w:rsidR="00112D07" w:rsidRPr="00F56726" w:rsidRDefault="00112D07" w:rsidP="00A76D85">
      <w:pPr>
        <w:adjustRightInd w:val="0"/>
        <w:snapToGrid w:val="0"/>
        <w:spacing w:line="360" w:lineRule="auto"/>
        <w:jc w:val="both"/>
        <w:rPr>
          <w:rFonts w:ascii="Book Antiqua" w:hAnsi="Book Antiqua" w:cs="Arial"/>
          <w:color w:val="auto"/>
        </w:rPr>
      </w:pPr>
    </w:p>
    <w:p w14:paraId="5EABA2F4"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i/>
          <w:color w:val="auto"/>
        </w:rPr>
        <w:t>Longitudinal Gain in HCT skills</w:t>
      </w:r>
    </w:p>
    <w:p w14:paraId="79975C14" w14:textId="50586A31" w:rsidR="00112D07" w:rsidRPr="00F56726" w:rsidRDefault="00A603C0" w:rsidP="0024304F">
      <w:pPr>
        <w:adjustRightInd w:val="0"/>
        <w:snapToGrid w:val="0"/>
        <w:spacing w:line="360" w:lineRule="auto"/>
        <w:jc w:val="both"/>
        <w:rPr>
          <w:rFonts w:ascii="Book Antiqua" w:hAnsi="Book Antiqua" w:cs="Arial"/>
          <w:color w:val="auto"/>
        </w:rPr>
      </w:pPr>
      <w:r w:rsidRPr="00F56726">
        <w:rPr>
          <w:rFonts w:ascii="Book Antiqua" w:eastAsia="Arial" w:hAnsi="Book Antiqua" w:cs="Arial"/>
          <w:color w:val="auto"/>
        </w:rPr>
        <w:t xml:space="preserve">The mean </w:t>
      </w:r>
      <w:r w:rsidR="00790BF5" w:rsidRPr="00F56726">
        <w:rPr>
          <w:rFonts w:ascii="Book Antiqua" w:eastAsia="Arial" w:hAnsi="Book Antiqua" w:cs="Arial"/>
          <w:color w:val="auto"/>
        </w:rPr>
        <w:t xml:space="preserve">gain in between measurements in </w:t>
      </w:r>
      <w:r w:rsidRPr="00F56726">
        <w:rPr>
          <w:rFonts w:ascii="Book Antiqua" w:eastAsia="Arial" w:hAnsi="Book Antiqua" w:cs="Arial"/>
          <w:color w:val="auto"/>
        </w:rPr>
        <w:t>TR</w:t>
      </w:r>
      <w:r w:rsidRPr="00F56726">
        <w:rPr>
          <w:rFonts w:ascii="Book Antiqua" w:eastAsia="Arial" w:hAnsi="Book Antiqua" w:cs="Arial"/>
          <w:color w:val="auto"/>
          <w:vertAlign w:val="subscript"/>
        </w:rPr>
        <w:t>x</w:t>
      </w:r>
      <w:r w:rsidRPr="00F56726">
        <w:rPr>
          <w:rFonts w:ascii="Book Antiqua" w:eastAsia="Arial" w:hAnsi="Book Antiqua" w:cs="Arial"/>
          <w:color w:val="auto"/>
        </w:rPr>
        <w:t>ANSITION Scale™ Score</w:t>
      </w:r>
      <w:r w:rsidR="00790BF5" w:rsidRPr="00F56726">
        <w:rPr>
          <w:rFonts w:ascii="Book Antiqua" w:eastAsia="Arial" w:hAnsi="Book Antiqua" w:cs="Arial"/>
          <w:color w:val="auto"/>
        </w:rPr>
        <w:t xml:space="preserve"> was</w:t>
      </w:r>
      <w:r w:rsidRPr="00F56726">
        <w:rPr>
          <w:rFonts w:ascii="Book Antiqua" w:eastAsia="Arial" w:hAnsi="Book Antiqua" w:cs="Arial"/>
          <w:color w:val="auto"/>
        </w:rPr>
        <w:t xml:space="preserve"> 1.3 (</w:t>
      </w:r>
      <w:r w:rsidR="003860D1">
        <w:rPr>
          <w:rFonts w:ascii="Book Antiqua" w:eastAsia="Arial" w:hAnsi="Book Antiqua" w:cs="Arial"/>
          <w:color w:val="auto"/>
        </w:rPr>
        <w:t xml:space="preserve"> ±</w:t>
      </w:r>
      <w:r w:rsidR="0059598A">
        <w:rPr>
          <w:rFonts w:ascii="Book Antiqua" w:eastAsia="Arial" w:hAnsi="Book Antiqua" w:cs="Arial"/>
          <w:color w:val="auto"/>
        </w:rPr>
        <w:t xml:space="preserve"> </w:t>
      </w:r>
      <w:r w:rsidRPr="00F56726">
        <w:rPr>
          <w:rFonts w:ascii="Book Antiqua" w:eastAsia="Arial" w:hAnsi="Book Antiqua" w:cs="Arial"/>
          <w:color w:val="auto"/>
        </w:rPr>
        <w:t>1.3)</w:t>
      </w:r>
      <w:r w:rsidR="00790BF5" w:rsidRPr="00F56726">
        <w:rPr>
          <w:rFonts w:ascii="Book Antiqua" w:eastAsia="Arial" w:hAnsi="Book Antiqua" w:cs="Arial"/>
          <w:color w:val="auto"/>
        </w:rPr>
        <w:t>,</w:t>
      </w:r>
      <w:r w:rsidRPr="00F56726">
        <w:rPr>
          <w:rFonts w:ascii="Book Antiqua" w:eastAsia="Arial" w:hAnsi="Book Antiqua" w:cs="Arial"/>
          <w:color w:val="auto"/>
        </w:rPr>
        <w:t xml:space="preserve"> without adjusting the time period in-between. The mean yearly gain between two score measurements </w:t>
      </w:r>
      <w:r w:rsidR="00CD6398" w:rsidRPr="00F56726">
        <w:rPr>
          <w:rFonts w:ascii="Book Antiqua" w:eastAsia="Arial" w:hAnsi="Book Antiqua" w:cs="Arial"/>
          <w:color w:val="auto"/>
        </w:rPr>
        <w:t>was</w:t>
      </w:r>
      <w:r w:rsidRPr="00F56726">
        <w:rPr>
          <w:rFonts w:ascii="Book Antiqua" w:eastAsia="Arial" w:hAnsi="Book Antiqua" w:cs="Arial"/>
          <w:color w:val="auto"/>
        </w:rPr>
        <w:t xml:space="preserve"> </w:t>
      </w:r>
      <w:r w:rsidRPr="00F56726">
        <w:rPr>
          <w:rFonts w:ascii="Book Antiqua" w:eastAsia="Arial" w:hAnsi="Book Antiqua" w:cs="Arial"/>
          <w:color w:val="auto"/>
        </w:rPr>
        <w:lastRenderedPageBreak/>
        <w:t>1.6 (</w:t>
      </w:r>
      <w:r w:rsidR="003860D1">
        <w:rPr>
          <w:rFonts w:ascii="Book Antiqua" w:eastAsia="Arial" w:hAnsi="Book Antiqua" w:cs="Arial"/>
          <w:color w:val="auto"/>
        </w:rPr>
        <w:t xml:space="preserve"> ±</w:t>
      </w:r>
      <w:r w:rsidR="0059598A">
        <w:rPr>
          <w:rFonts w:ascii="Book Antiqua" w:eastAsia="Arial" w:hAnsi="Book Antiqua" w:cs="Arial"/>
          <w:color w:val="auto"/>
        </w:rPr>
        <w:t xml:space="preserve"> </w:t>
      </w:r>
      <w:r w:rsidRPr="00F56726">
        <w:rPr>
          <w:rFonts w:ascii="Book Antiqua" w:eastAsia="Arial" w:hAnsi="Book Antiqua" w:cs="Arial"/>
          <w:color w:val="auto"/>
        </w:rPr>
        <w:t xml:space="preserve">2.2). Overall, we observed the lowest gains over time were in </w:t>
      </w:r>
      <w:r w:rsidRPr="00F56726">
        <w:rPr>
          <w:rFonts w:ascii="Book Antiqua" w:eastAsia="Arial" w:hAnsi="Book Antiqua" w:cs="Arial"/>
          <w:b/>
          <w:color w:val="auto"/>
        </w:rPr>
        <w:t>A</w:t>
      </w:r>
      <w:r w:rsidRPr="00F56726">
        <w:rPr>
          <w:rFonts w:ascii="Book Antiqua" w:eastAsia="Arial" w:hAnsi="Book Antiqua" w:cs="Arial"/>
          <w:color w:val="auto"/>
        </w:rPr>
        <w:t xml:space="preserve">dherence and the highest gains over time in </w:t>
      </w:r>
      <w:r w:rsidRPr="00F56726">
        <w:rPr>
          <w:rFonts w:ascii="Book Antiqua" w:eastAsia="Arial" w:hAnsi="Book Antiqua" w:cs="Arial"/>
          <w:b/>
          <w:color w:val="auto"/>
        </w:rPr>
        <w:t>T</w:t>
      </w:r>
      <w:r w:rsidRPr="00F56726">
        <w:rPr>
          <w:rFonts w:ascii="Book Antiqua" w:eastAsia="Arial" w:hAnsi="Book Antiqua" w:cs="Arial"/>
          <w:color w:val="auto"/>
        </w:rPr>
        <w:t>rade/school knowledge</w:t>
      </w:r>
      <w:r w:rsidR="00BC64E1" w:rsidRPr="00F56726">
        <w:rPr>
          <w:rFonts w:ascii="Book Antiqua" w:eastAsia="Arial" w:hAnsi="Book Antiqua" w:cs="Arial"/>
          <w:color w:val="auto"/>
        </w:rPr>
        <w:t xml:space="preserve"> (S</w:t>
      </w:r>
      <w:r w:rsidR="00B768B8" w:rsidRPr="00F56726">
        <w:rPr>
          <w:rFonts w:ascii="Book Antiqua" w:eastAsia="Arial" w:hAnsi="Book Antiqua" w:cs="Arial"/>
          <w:color w:val="auto"/>
        </w:rPr>
        <w:t xml:space="preserve">ee Table </w:t>
      </w:r>
      <w:r w:rsidR="004E667A" w:rsidRPr="00F56726">
        <w:rPr>
          <w:rFonts w:ascii="Book Antiqua" w:eastAsia="Arial" w:hAnsi="Book Antiqua" w:cs="Arial"/>
          <w:color w:val="auto"/>
        </w:rPr>
        <w:t>3</w:t>
      </w:r>
      <w:r w:rsidR="00BC64E1" w:rsidRPr="00F56726">
        <w:rPr>
          <w:rFonts w:ascii="Book Antiqua" w:eastAsia="Arial" w:hAnsi="Book Antiqua" w:cs="Arial"/>
          <w:color w:val="auto"/>
        </w:rPr>
        <w:t xml:space="preserve">). </w:t>
      </w:r>
    </w:p>
    <w:p w14:paraId="3EB46B9E" w14:textId="2C59C2B6" w:rsidR="00112D07" w:rsidRPr="00F56726" w:rsidRDefault="00A603C0" w:rsidP="0024304F">
      <w:pPr>
        <w:adjustRightInd w:val="0"/>
        <w:snapToGrid w:val="0"/>
        <w:spacing w:line="360" w:lineRule="auto"/>
        <w:ind w:firstLineChars="100" w:firstLine="240"/>
        <w:jc w:val="both"/>
        <w:rPr>
          <w:rFonts w:ascii="Book Antiqua" w:eastAsia="Arial" w:hAnsi="Book Antiqua" w:cs="Arial"/>
          <w:color w:val="auto"/>
        </w:rPr>
      </w:pPr>
      <w:r w:rsidRPr="00F56726">
        <w:rPr>
          <w:rFonts w:ascii="Book Antiqua" w:eastAsia="Arial" w:hAnsi="Book Antiqua" w:cs="Arial"/>
          <w:color w:val="auto"/>
        </w:rPr>
        <w:t xml:space="preserve">We found that age was significantly and positively associated with both the level and </w:t>
      </w:r>
      <w:r w:rsidR="00C16CBE" w:rsidRPr="00F56726">
        <w:rPr>
          <w:rFonts w:ascii="Book Antiqua" w:eastAsia="Arial" w:hAnsi="Book Antiqua" w:cs="Arial"/>
          <w:color w:val="auto"/>
        </w:rPr>
        <w:t>gains in</w:t>
      </w:r>
      <w:r w:rsidRPr="00F56726">
        <w:rPr>
          <w:rFonts w:ascii="Book Antiqua" w:eastAsia="Arial" w:hAnsi="Book Antiqua" w:cs="Arial"/>
          <w:color w:val="auto"/>
        </w:rPr>
        <w:t xml:space="preserve"> transition scores (</w:t>
      </w:r>
      <w:r w:rsidR="00F56726" w:rsidRPr="00F56726">
        <w:rPr>
          <w:rFonts w:ascii="Book Antiqua" w:eastAsia="Arial" w:hAnsi="Book Antiqua" w:cs="Arial"/>
          <w:i/>
          <w:color w:val="auto"/>
        </w:rPr>
        <w:t xml:space="preserve">P &lt; </w:t>
      </w:r>
      <w:r w:rsidRPr="00F56726">
        <w:rPr>
          <w:rFonts w:ascii="Book Antiqua" w:eastAsia="Arial" w:hAnsi="Book Antiqua" w:cs="Arial"/>
          <w:color w:val="auto"/>
        </w:rPr>
        <w:t>0.01, see Table 4 and Figure 1) after adjusting for key variables. On average, females had higher transition scores</w:t>
      </w:r>
      <w:r w:rsidR="00CC429D" w:rsidRPr="00F56726">
        <w:rPr>
          <w:rFonts w:ascii="Book Antiqua" w:eastAsia="Arial" w:hAnsi="Book Antiqua" w:cs="Arial"/>
          <w:color w:val="auto"/>
        </w:rPr>
        <w:t>, when</w:t>
      </w:r>
      <w:r w:rsidRPr="00F56726">
        <w:rPr>
          <w:rFonts w:ascii="Book Antiqua" w:eastAsia="Arial" w:hAnsi="Book Antiqua" w:cs="Arial"/>
          <w:color w:val="auto"/>
        </w:rPr>
        <w:t xml:space="preserve"> compared to their male counterparts</w:t>
      </w:r>
      <w:r w:rsidR="00CC429D" w:rsidRPr="00F56726">
        <w:rPr>
          <w:rFonts w:ascii="Book Antiqua" w:eastAsia="Arial" w:hAnsi="Book Antiqua" w:cs="Arial"/>
          <w:color w:val="auto"/>
        </w:rPr>
        <w:t xml:space="preserve">. However, both males and females showed similar trends in </w:t>
      </w:r>
      <w:r w:rsidRPr="00F56726">
        <w:rPr>
          <w:rFonts w:ascii="Book Antiqua" w:eastAsia="Arial" w:hAnsi="Book Antiqua" w:cs="Arial"/>
          <w:color w:val="auto"/>
        </w:rPr>
        <w:t>gains in the score over time. African Americans had lower transition score</w:t>
      </w:r>
      <w:r w:rsidR="002C3C42" w:rsidRPr="00F56726">
        <w:rPr>
          <w:rFonts w:ascii="Book Antiqua" w:eastAsia="Arial" w:hAnsi="Book Antiqua" w:cs="Arial"/>
          <w:color w:val="auto"/>
        </w:rPr>
        <w:t>s</w:t>
      </w:r>
      <w:r w:rsidR="00C16CBE" w:rsidRPr="00F56726">
        <w:rPr>
          <w:rFonts w:ascii="Book Antiqua" w:eastAsia="Arial" w:hAnsi="Book Antiqua" w:cs="Arial"/>
          <w:color w:val="auto"/>
        </w:rPr>
        <w:t xml:space="preserve"> compared to Caucasians, </w:t>
      </w:r>
      <w:r w:rsidR="002C3C42" w:rsidRPr="00F56726">
        <w:rPr>
          <w:rFonts w:ascii="Book Antiqua" w:eastAsia="Arial" w:hAnsi="Book Antiqua" w:cs="Arial"/>
          <w:color w:val="auto"/>
        </w:rPr>
        <w:t>but</w:t>
      </w:r>
      <w:r w:rsidRPr="00F56726">
        <w:rPr>
          <w:rFonts w:ascii="Book Antiqua" w:eastAsia="Arial" w:hAnsi="Book Antiqua" w:cs="Arial"/>
          <w:color w:val="auto"/>
        </w:rPr>
        <w:t xml:space="preserve"> </w:t>
      </w:r>
      <w:r w:rsidR="007D30D8" w:rsidRPr="00F56726">
        <w:rPr>
          <w:rFonts w:ascii="Book Antiqua" w:eastAsia="Arial" w:hAnsi="Book Antiqua" w:cs="Arial"/>
          <w:color w:val="auto"/>
        </w:rPr>
        <w:t xml:space="preserve">these groups did not differ in </w:t>
      </w:r>
      <w:r w:rsidR="004415C9" w:rsidRPr="00F56726">
        <w:rPr>
          <w:rFonts w:ascii="Book Antiqua" w:eastAsia="Arial" w:hAnsi="Book Antiqua" w:cs="Arial"/>
          <w:color w:val="auto"/>
        </w:rPr>
        <w:t xml:space="preserve">gains </w:t>
      </w:r>
      <w:r w:rsidR="00C16CBE" w:rsidRPr="00F56726">
        <w:rPr>
          <w:rFonts w:ascii="Book Antiqua" w:eastAsia="Arial" w:hAnsi="Book Antiqua" w:cs="Arial"/>
          <w:color w:val="auto"/>
        </w:rPr>
        <w:t xml:space="preserve">of their </w:t>
      </w:r>
      <w:r w:rsidR="004415C9" w:rsidRPr="00F56726">
        <w:rPr>
          <w:rFonts w:ascii="Book Antiqua" w:eastAsia="Arial" w:hAnsi="Book Antiqua" w:cs="Arial"/>
          <w:color w:val="auto"/>
        </w:rPr>
        <w:t xml:space="preserve">HCT </w:t>
      </w:r>
      <w:r w:rsidR="00C16CBE" w:rsidRPr="00F56726">
        <w:rPr>
          <w:rFonts w:ascii="Book Antiqua" w:eastAsia="Arial" w:hAnsi="Book Antiqua" w:cs="Arial"/>
          <w:color w:val="auto"/>
        </w:rPr>
        <w:t xml:space="preserve">scores over time. </w:t>
      </w:r>
      <w:r w:rsidR="002C3C42" w:rsidRPr="00F56726">
        <w:rPr>
          <w:rFonts w:ascii="Book Antiqua" w:eastAsia="Arial" w:hAnsi="Book Antiqua" w:cs="Arial"/>
          <w:color w:val="auto"/>
        </w:rPr>
        <w:t>Patients of</w:t>
      </w:r>
      <w:r w:rsidRPr="00F56726">
        <w:rPr>
          <w:rFonts w:ascii="Book Antiqua" w:eastAsia="Arial" w:hAnsi="Book Antiqua" w:cs="Arial"/>
          <w:color w:val="auto"/>
        </w:rPr>
        <w:t xml:space="preserve"> other races performed worse in both level</w:t>
      </w:r>
      <w:r w:rsidR="002C3C42" w:rsidRPr="00F56726">
        <w:rPr>
          <w:rFonts w:ascii="Book Antiqua" w:eastAsia="Arial" w:hAnsi="Book Antiqua" w:cs="Arial"/>
          <w:color w:val="auto"/>
        </w:rPr>
        <w:t xml:space="preserve"> and </w:t>
      </w:r>
      <w:r w:rsidR="00C16CBE" w:rsidRPr="00F56726">
        <w:rPr>
          <w:rFonts w:ascii="Book Antiqua" w:eastAsia="Arial" w:hAnsi="Book Antiqua" w:cs="Arial"/>
          <w:color w:val="auto"/>
        </w:rPr>
        <w:t>gains in</w:t>
      </w:r>
      <w:r w:rsidR="002C3C42" w:rsidRPr="00F56726">
        <w:rPr>
          <w:rFonts w:ascii="Book Antiqua" w:eastAsia="Arial" w:hAnsi="Book Antiqua" w:cs="Arial"/>
          <w:color w:val="auto"/>
        </w:rPr>
        <w:t xml:space="preserve"> transition score </w:t>
      </w:r>
      <w:r w:rsidR="00C16CBE" w:rsidRPr="00F56726">
        <w:rPr>
          <w:rFonts w:ascii="Book Antiqua" w:eastAsia="Arial" w:hAnsi="Book Antiqua" w:cs="Arial"/>
          <w:color w:val="auto"/>
        </w:rPr>
        <w:t xml:space="preserve">over time </w:t>
      </w:r>
      <w:r w:rsidR="002C3C42" w:rsidRPr="00F56726">
        <w:rPr>
          <w:rFonts w:ascii="Book Antiqua" w:eastAsia="Arial" w:hAnsi="Book Antiqua" w:cs="Arial"/>
          <w:color w:val="auto"/>
        </w:rPr>
        <w:t xml:space="preserve">when </w:t>
      </w:r>
      <w:r w:rsidRPr="00F56726">
        <w:rPr>
          <w:rFonts w:ascii="Book Antiqua" w:eastAsia="Arial" w:hAnsi="Book Antiqua" w:cs="Arial"/>
          <w:color w:val="auto"/>
        </w:rPr>
        <w:t>compared to their Caucasian counterparts. Compared to patients with private insurance, patients with public insurance had notably lower score gains over time; and patients with no health insurance had significantly lower score levels and g</w:t>
      </w:r>
      <w:r w:rsidR="00C16CBE" w:rsidRPr="00F56726">
        <w:rPr>
          <w:rFonts w:ascii="Book Antiqua" w:eastAsia="Arial" w:hAnsi="Book Antiqua" w:cs="Arial"/>
          <w:color w:val="auto"/>
        </w:rPr>
        <w:t>ains</w:t>
      </w:r>
      <w:r w:rsidRPr="00F56726">
        <w:rPr>
          <w:rFonts w:ascii="Book Antiqua" w:eastAsia="Arial" w:hAnsi="Book Antiqua" w:cs="Arial"/>
          <w:color w:val="auto"/>
        </w:rPr>
        <w:t xml:space="preserve">. Transition score in the last period was significantly and positively associated with </w:t>
      </w:r>
      <w:r w:rsidR="00891F69" w:rsidRPr="00F56726">
        <w:rPr>
          <w:rFonts w:ascii="Book Antiqua" w:eastAsia="Arial" w:hAnsi="Book Antiqua" w:cs="Arial"/>
          <w:color w:val="auto"/>
        </w:rPr>
        <w:t xml:space="preserve">the </w:t>
      </w:r>
      <w:r w:rsidRPr="00F56726">
        <w:rPr>
          <w:rFonts w:ascii="Book Antiqua" w:eastAsia="Arial" w:hAnsi="Book Antiqua" w:cs="Arial"/>
          <w:color w:val="auto"/>
        </w:rPr>
        <w:t>score in the current period, implying consistency between an individual's score measures.</w:t>
      </w:r>
    </w:p>
    <w:p w14:paraId="2A916C15" w14:textId="77777777" w:rsidR="00112D07" w:rsidRPr="00F56726" w:rsidRDefault="00112D07" w:rsidP="00A76D85">
      <w:pPr>
        <w:adjustRightInd w:val="0"/>
        <w:snapToGrid w:val="0"/>
        <w:spacing w:line="360" w:lineRule="auto"/>
        <w:jc w:val="both"/>
        <w:rPr>
          <w:rFonts w:ascii="Book Antiqua" w:hAnsi="Book Antiqua" w:cs="Arial"/>
          <w:color w:val="auto"/>
        </w:rPr>
      </w:pPr>
    </w:p>
    <w:p w14:paraId="044CF049" w14:textId="77777777" w:rsidR="00112D07" w:rsidRPr="00F56726" w:rsidRDefault="00A603C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b/>
          <w:color w:val="auto"/>
        </w:rPr>
        <w:t>DISCUSSION</w:t>
      </w:r>
    </w:p>
    <w:p w14:paraId="63AD66D5" w14:textId="41EE24F4" w:rsidR="00833460" w:rsidRPr="00F56726" w:rsidRDefault="00833460"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color w:val="auto"/>
        </w:rPr>
        <w:t xml:space="preserve">This study’s strengths include longitudinal observations on a validated, standardized HCT readiness scale that does not rely on self-report. Clinical information was available through electronic health records. It is the first study to determine skill acquisition by age, pointing to age-appropriate HCT preparation. Our study had some limitations. Although appropriate for statistical analysis, our single center sample of 144 was relatively small, and our within age group sample sizes were even smaller. Due to the nature of clinical care, we were not able to have all participants complete the questionnaire more than once. Future studies should build in repeating measures for the majority of participants, to gather additional data on the nature of skill acquisition and the rate at which they are acquired throughout adolescence. </w:t>
      </w:r>
    </w:p>
    <w:p w14:paraId="311B2040" w14:textId="6334C353" w:rsidR="00112D07" w:rsidRPr="00F56726" w:rsidRDefault="00A603C0" w:rsidP="0024304F">
      <w:pPr>
        <w:adjustRightInd w:val="0"/>
        <w:snapToGrid w:val="0"/>
        <w:spacing w:line="360" w:lineRule="auto"/>
        <w:ind w:firstLineChars="100" w:firstLine="240"/>
        <w:jc w:val="both"/>
        <w:rPr>
          <w:rFonts w:ascii="Book Antiqua" w:eastAsia="Arial" w:hAnsi="Book Antiqua" w:cs="Arial"/>
          <w:color w:val="auto"/>
        </w:rPr>
      </w:pPr>
      <w:r w:rsidRPr="00F56726">
        <w:rPr>
          <w:rFonts w:ascii="Book Antiqua" w:eastAsia="Arial" w:hAnsi="Book Antiqua" w:cs="Arial"/>
          <w:color w:val="auto"/>
        </w:rPr>
        <w:t xml:space="preserve">This study examined the longitudinal course of HCT skills among a sample of AYA with IBD. We found that skill acquisition is positively associated with age. As well, we observed that while half of the HCT skills were mastered in early adolescence (ages 12-14), the other half were not mastered until age 18 or older. </w:t>
      </w:r>
      <w:r w:rsidR="00943E30" w:rsidRPr="00F56726">
        <w:rPr>
          <w:rFonts w:ascii="Book Antiqua" w:eastAsia="Arial" w:hAnsi="Book Antiqua" w:cs="Arial"/>
          <w:color w:val="auto"/>
        </w:rPr>
        <w:t xml:space="preserve">Some of these skills are age appropriately mastered later, such as knowing about </w:t>
      </w:r>
      <w:r w:rsidR="00943E30" w:rsidRPr="00F56726">
        <w:rPr>
          <w:rFonts w:ascii="Book Antiqua" w:eastAsia="Arial" w:hAnsi="Book Antiqua" w:cs="Arial"/>
          <w:color w:val="auto"/>
        </w:rPr>
        <w:lastRenderedPageBreak/>
        <w:t xml:space="preserve">trade/school, insurance or how to find a new health care provider. More notable is the fact that </w:t>
      </w:r>
      <w:r w:rsidRPr="00F56726">
        <w:rPr>
          <w:rFonts w:ascii="Book Antiqua" w:eastAsia="Arial" w:hAnsi="Book Antiqua" w:cs="Arial"/>
          <w:color w:val="auto"/>
        </w:rPr>
        <w:t>self-management skills were</w:t>
      </w:r>
      <w:r w:rsidR="00943E30" w:rsidRPr="00F56726">
        <w:rPr>
          <w:rFonts w:ascii="Book Antiqua" w:eastAsia="Arial" w:hAnsi="Book Antiqua" w:cs="Arial"/>
          <w:color w:val="auto"/>
        </w:rPr>
        <w:t xml:space="preserve"> not mastered by the age of 18</w:t>
      </w:r>
      <w:r w:rsidRPr="00F56726">
        <w:rPr>
          <w:rFonts w:ascii="Book Antiqua" w:eastAsia="Arial" w:hAnsi="Book Antiqua" w:cs="Arial"/>
          <w:color w:val="auto"/>
        </w:rPr>
        <w:t>.</w:t>
      </w:r>
      <w:r w:rsidR="0059598A">
        <w:rPr>
          <w:rFonts w:ascii="Book Antiqua" w:eastAsia="Arial" w:hAnsi="Book Antiqua" w:cs="Arial"/>
          <w:color w:val="auto"/>
        </w:rPr>
        <w:t xml:space="preserve"> </w:t>
      </w:r>
      <w:r w:rsidRPr="00F56726">
        <w:rPr>
          <w:rFonts w:ascii="Book Antiqua" w:eastAsia="Arial" w:hAnsi="Book Antiqua" w:cs="Arial"/>
          <w:color w:val="auto"/>
        </w:rPr>
        <w:t xml:space="preserve"> </w:t>
      </w:r>
    </w:p>
    <w:p w14:paraId="78B11369" w14:textId="07F475C7" w:rsidR="00112D07" w:rsidRPr="00F56726" w:rsidRDefault="00A603C0" w:rsidP="0024304F">
      <w:pPr>
        <w:adjustRightInd w:val="0"/>
        <w:snapToGrid w:val="0"/>
        <w:spacing w:line="360" w:lineRule="auto"/>
        <w:ind w:firstLineChars="100" w:firstLine="240"/>
        <w:jc w:val="both"/>
        <w:rPr>
          <w:rFonts w:ascii="Book Antiqua" w:eastAsia="Arial" w:hAnsi="Book Antiqua" w:cs="Arial"/>
          <w:color w:val="auto"/>
        </w:rPr>
      </w:pPr>
      <w:r w:rsidRPr="00F56726">
        <w:rPr>
          <w:rFonts w:ascii="Book Antiqua" w:eastAsia="Arial" w:hAnsi="Book Antiqua" w:cs="Arial"/>
          <w:color w:val="auto"/>
        </w:rPr>
        <w:t>Our study is one of the first to show the age at which AYA with IBD typically master HCT skills. These findings can be used in clinical care</w:t>
      </w:r>
      <w:r w:rsidR="00B86007" w:rsidRPr="00F56726">
        <w:rPr>
          <w:rFonts w:ascii="Book Antiqua" w:eastAsia="Arial" w:hAnsi="Book Antiqua" w:cs="Arial"/>
          <w:color w:val="auto"/>
        </w:rPr>
        <w:t>, in clinical settings with AYA of a similar demographic,</w:t>
      </w:r>
      <w:r w:rsidRPr="00F56726">
        <w:rPr>
          <w:rFonts w:ascii="Book Antiqua" w:eastAsia="Arial" w:hAnsi="Book Antiqua" w:cs="Arial"/>
          <w:color w:val="auto"/>
        </w:rPr>
        <w:t xml:space="preserve"> in order to benchmark AYA’s skills in relation to their peers, ensure that they are on track in their development, and as a reference point for the development of clinical interventions teaching skill mastery earlier and in a more step-wise fashion. Our results are consistent with previous literature showing a significant and positive relationship between age and skill acquisition</w:t>
      </w:r>
      <w:r w:rsidR="0024304F" w:rsidRPr="0024304F">
        <w:rPr>
          <w:rFonts w:ascii="Book Antiqua" w:hAnsi="Book Antiqua" w:cs="Arial" w:hint="eastAsia"/>
          <w:color w:val="auto"/>
          <w:vertAlign w:val="superscript"/>
          <w:lang w:eastAsia="zh-CN"/>
        </w:rPr>
        <w:t>[</w:t>
      </w:r>
      <w:r w:rsidR="005E4580" w:rsidRPr="00F56726">
        <w:rPr>
          <w:rFonts w:ascii="Book Antiqua" w:eastAsia="Arial" w:hAnsi="Book Antiqua" w:cs="Arial"/>
          <w:color w:val="auto"/>
          <w:vertAlign w:val="superscript"/>
        </w:rPr>
        <w:fldChar w:fldCharType="begin"/>
      </w:r>
      <w:r w:rsidR="0033210E" w:rsidRPr="00F56726">
        <w:rPr>
          <w:rFonts w:ascii="Book Antiqua" w:eastAsia="Arial" w:hAnsi="Book Antiqua" w:cs="Arial"/>
          <w:color w:val="auto"/>
          <w:vertAlign w:val="superscript"/>
        </w:rPr>
        <w:instrText xml:space="preserve"> ADDIN ZOTERO_ITEM CSL_CITATION {"citationID":"YpG4QEum","properties":{"formattedCitation":"{\\rtf \\super 8,11\\uc0\\u8211{}13\\nosupersub{}}","plainCitation":"8,11–13"},"citationItems":[{"id":12055,"uris":["http://zotero.org/users/1860880/items/M72NAKHP"],"uri":["http://zotero.org/users/1860880/items/M72NAKHP"],"itemData":{"id":12055,"type":"article-journal","title":"Transition Readiness Skills Acquisition in Adolescents and Young Adults with Inflammatory Bowel Disease: Findings from Integrating Assessment into Clinical Practice","container-title":"Inflammatory Bowel Diseases","page":"1125-1131","volume":"21","issue":"5","source":"CrossRef","DOI":"10.1097/MIB.0000000000000352","ISSN":"1078-0998","shortTitle":"Transition Readiness Skills Acquisition in Adolescents and Young Adults with Inflammatory Bowel Disease","language":"en","author":[{"family":"Gray","given":"Wendy N."},{"family":"Holbrook","given":"Erin"},{"family":"Morgan","given":"Pamela J."},{"family":"Saeed","given":"Shehzad A."},{"family":"Denson","given":"Lee A."},{"family":"Hommel","given":"Kevin A."}],"issued":{"date-parts":[["2015",5]]}},"label":"page"},{"id":1108,"uris":["http://zotero.org/users/1860880/items/NPD7BJFE"],"uri":["http://zotero.org/users/1860880/items/NPD7BJFE"],"itemData":{"id":1108,"type":"article-journal","title":"Self-Management of Older Adolescents with Inflammatory Bowel Disease: A Pilot Study of Behavior and Knowledge as Prelude to Transition","container-title":"Clinical Pediatrics","page":"1129-1133","volume":"49","issue":"12","source":"cpj.sagepub.com.offcampus.lib.washington.edu","abstract":"Objective: Patients gradually assume responsibility for self-management. This study sought to determine whether adolescents with inflammatory bowel disease (IBD) have developed key skills of self-management prior to the age at which many transfer to adult care. Patients and Methods: Adolescents aged 16 to 18 years old in the Children’s Hospital Boston IBD database (94 total) received a mailed survey assessing knowledge and confidence of their own health information and behaviors. Results: Respondents (43%) could name medication and dose with confidence but had very poor knowledge of important side effects. Most patients deferred responsibility mostly or completely to parents for scheduling appointments (85%), requesting refills (75%), or contacting provider between visits (74%). Conclusions: Older adolescents with IBD have good recall of medications but not of side effects. Parents remain responsible for the majority of tasks related to clinic visits and the acquisition of medications.","DOI":"10.1177/0009922810379042","ISSN":"0009-9228,","note":"PMID: 20837627","shortTitle":"Self-Management of Older Adolescents with Inflammatory Bowel Disease","journalAbbreviation":"CLIN PEDIATR","language":"en","author":[{"family":"Fishman","given":"Laurie N."},{"family":"Barendse","given":"Renée M."},{"family":"Hait","given":"Elizabeth"},{"family":"Burdick","given":"Cynthia"},{"family":"Arnold","given":"Janis"}],"issued":{"date-parts":[["2010",12,1]]}},"label":"page"},{"id":12302,"uris":["http://zotero.org/users/1860880/items/2P5MK8SX"],"uri":["http://zotero.org/users/1860880/items/2P5MK8SX"],"itemData":{"id":12302,"type":"article-journal","title":"Transition Readiness in Pediatric Patients With Inflammatory Bowel Disease: Patient Survey of Self-Management Skills","container-title":"Journal of Pediatric Gastroenterology and Nutrition","page":"36-41","volume":"60","issue":"1","source":"CrossRef","DOI":"10.1097/MPG.0000000000000555","ISSN":"0277-2116","shortTitle":"Transition Readiness in Pediatric Patients With Inflammatory Bowel Disease","language":"en","author":[{"family":"Whitfield","given":"Emily P."},{"family":"Fredericks","given":"Emily M."},{"family":"Eder","given":"Sally J."},{"family":"Shpeen","given":"Benjamin H."},{"family":"Adler","given":"Jeremy"}],"issued":{"date-parts":[["2015",1]]}},"label":"page"},{"id":12807,"uris":["http://zotero.org/users/1860880/items/8CNK26XA"],"uri":["http://zotero.org/users/1860880/items/8CNK26XA"],"itemData":{"id":12807,"type":"article-journal","title":"Clinicians poorly assess health literacy-related readiness for transition to adult care in adolescents with inflammatory bowel disease","container-title":"Clinical Gastroenterology and Hepatology: The Official Clinical Practice Journal of the American Gastroenterological Association","page":"626-632","volume":"10","issue":"6","source":"PubMed","abstract":"BACKGROUND &amp; AIMS: To prepare for the transition from pediatric to adult-oriented health care systems, adolescents must develop the ability to obtain, process, and understand basic health information; make appropriate health decisions; and interact effectively with health care professionals. However, physicians use subjective methods to determine patients' readiness for this transition. We investigated health care literacy-related readiness for transition of children and adolescents with inflammatory bowel disease (IBD) to identify determinants and compare actual levels with clinicians' opinions.\nMETHODS: The study included 74 pediatric patients with IBD ≥10 years old who were recruited from a pediatric hospital-based clinic. We evaluated their functional and interactive health literacy and recorded clinicians' perceptions of literacy and readiness for transition among pediatric patients. Relationships between health literacy measures, demographic variables, and clinician perceptions were determined.\nRESULTS: Health literacy-related readiness for transition was observed in 11% of the patients analyzed. However, clinicians found 47% of the cohort ready for the transition, on the basis of literacy standards. Health literacy-related readiness for transition was associated with older age (P &lt; .01), white race (P = .03), and low income (P &lt; .02). Agreement was poor between measures-defined and clinician-defined levels of health literacy-related readiness for transition (P = .18).\nCONCLUSIONS: Clinicians inadequately judge the health literacy-related readiness for transition to adult care of pediatric IBD patients. Improved awareness of health literacy issues among adolescents with IBD is needed among health care providers and health care systems.","DOI":"10.1016/j.cgh.2012.02.017","ISSN":"1542-7714","note":"PMID: 22387250","journalAbbreviation":"Clin. Gastroenterol. Hepatol.","language":"eng","author":[{"family":"Huang","given":"Jeannie S."},{"family":"Tobin","given":"Allison"},{"family":"Tompane","given":"Trevor"}],"issued":{"date-parts":[["2012",6]]}},"label":"page"}],"schema":"https://github.com/citation-style-language/schema/raw/master/csl-citation.json"} </w:instrText>
      </w:r>
      <w:r w:rsidR="005E4580" w:rsidRPr="00F56726">
        <w:rPr>
          <w:rFonts w:ascii="Book Antiqua" w:eastAsia="Arial" w:hAnsi="Book Antiqua" w:cs="Arial"/>
          <w:color w:val="auto"/>
          <w:vertAlign w:val="superscript"/>
        </w:rPr>
        <w:fldChar w:fldCharType="separate"/>
      </w:r>
      <w:r w:rsidR="0033210E" w:rsidRPr="00F56726">
        <w:rPr>
          <w:rFonts w:ascii="Book Antiqua" w:eastAsia="Times New Roman" w:hAnsi="Book Antiqua" w:cs="Arial"/>
          <w:color w:val="auto"/>
          <w:vertAlign w:val="superscript"/>
        </w:rPr>
        <w:t>8,11–13</w:t>
      </w:r>
      <w:r w:rsidR="005E4580" w:rsidRPr="00F56726">
        <w:rPr>
          <w:rFonts w:ascii="Book Antiqua" w:eastAsia="Arial" w:hAnsi="Book Antiqua" w:cs="Arial"/>
          <w:color w:val="auto"/>
          <w:vertAlign w:val="superscript"/>
        </w:rPr>
        <w:fldChar w:fldCharType="end"/>
      </w:r>
      <w:r w:rsidR="0024304F">
        <w:rPr>
          <w:rFonts w:ascii="Book Antiqua" w:hAnsi="Book Antiqua" w:cs="Arial" w:hint="eastAsia"/>
          <w:color w:val="auto"/>
          <w:vertAlign w:val="superscript"/>
          <w:lang w:eastAsia="zh-CN"/>
        </w:rPr>
        <w:t>]</w:t>
      </w:r>
      <w:r w:rsidRPr="00F56726">
        <w:rPr>
          <w:rFonts w:ascii="Book Antiqua" w:eastAsia="Arial" w:hAnsi="Book Antiqua" w:cs="Arial"/>
          <w:color w:val="auto"/>
        </w:rPr>
        <w:t xml:space="preserve">. </w:t>
      </w:r>
      <w:r w:rsidR="00833460" w:rsidRPr="00F56726">
        <w:rPr>
          <w:rFonts w:ascii="Book Antiqua" w:eastAsia="Arial" w:hAnsi="Book Antiqua" w:cs="Arial"/>
          <w:color w:val="auto"/>
        </w:rPr>
        <w:t>It adds to these findings, by</w:t>
      </w:r>
      <w:r w:rsidR="00C475ED" w:rsidRPr="00F56726">
        <w:rPr>
          <w:rFonts w:ascii="Book Antiqua" w:eastAsia="Arial" w:hAnsi="Book Antiqua" w:cs="Arial"/>
          <w:color w:val="auto"/>
        </w:rPr>
        <w:t xml:space="preserve"> showing age also predicts mastery of skills over time. Previous</w:t>
      </w:r>
      <w:r w:rsidRPr="00F56726">
        <w:rPr>
          <w:rFonts w:ascii="Book Antiqua" w:eastAsia="Arial" w:hAnsi="Book Antiqua" w:cs="Arial"/>
          <w:color w:val="auto"/>
        </w:rPr>
        <w:t xml:space="preserve"> studies also found that few AYA achieve mastery of HCT skills by age 18, especially in the domains of disease self-management and understanding of health insurance</w:t>
      </w:r>
      <w:r w:rsidR="0024304F" w:rsidRPr="0024304F">
        <w:rPr>
          <w:rFonts w:ascii="Book Antiqua" w:hAnsi="Book Antiqua" w:cs="Arial" w:hint="eastAsia"/>
          <w:color w:val="auto"/>
          <w:vertAlign w:val="superscript"/>
          <w:lang w:eastAsia="zh-CN"/>
        </w:rPr>
        <w:t>[</w:t>
      </w:r>
      <w:r w:rsidR="005E4580" w:rsidRPr="00F56726">
        <w:rPr>
          <w:rFonts w:ascii="Book Antiqua" w:eastAsia="Arial" w:hAnsi="Book Antiqua" w:cs="Arial"/>
          <w:color w:val="auto"/>
          <w:vertAlign w:val="superscript"/>
        </w:rPr>
        <w:fldChar w:fldCharType="begin"/>
      </w:r>
      <w:r w:rsidR="00E256DD" w:rsidRPr="00F56726">
        <w:rPr>
          <w:rFonts w:ascii="Book Antiqua" w:eastAsia="Arial" w:hAnsi="Book Antiqua" w:cs="Arial"/>
          <w:color w:val="auto"/>
          <w:vertAlign w:val="superscript"/>
        </w:rPr>
        <w:instrText xml:space="preserve"> ADDIN ZOTERO_ITEM CSL_CITATION {"citationID":"SWYiyFvX","properties":{"formattedCitation":"{\\rtf \\super 8,11,12\\nosupersub{}}","plainCitation":"8,11,12"},"citationItems":[{"id":1108,"uris":["http://zotero.org/users/1860880/items/NPD7BJFE"],"uri":["http://zotero.org/users/1860880/items/NPD7BJFE"],"itemData":{"id":1108,"type":"article-journal","title":"Self-Management of Older Adolescents with Inflammatory Bowel Disease: A Pilot Study of Behavior and Knowledge as Prelude to Transition","container-title":"Clinical Pediatrics","page":"1129-1133","volume":"49","issue":"12","source":"cpj.sagepub.com.offcampus.lib.washington.edu","abstract":"Objective: Patients gradually assume responsibility for self-management. This study sought to determine whether adolescents with inflammatory bowel disease (IBD) have developed key skills of self-management prior to the age at which many transfer to adult care. Patients and Methods: Adolescents aged 16 to 18 years old in the Children’s Hospital Boston IBD database (94 total) received a mailed survey assessing knowledge and confidence of their own health information and behaviors. Results: Respondents (43%) could name medication and dose with confidence but had very poor knowledge of important side effects. Most patients deferred responsibility mostly or completely to parents for scheduling appointments (85%), requesting refills (75%), or contacting provider between visits (74%). Conclusions: Older adolescents with IBD have good recall of medications but not of side effects. Parents remain responsible for the majority of tasks related to clinic visits and the acquisition of medications.","DOI":"10.1177/0009922810379042","ISSN":"0009-9228,","note":"PMID: 20837627","shortTitle":"Self-Management of Older Adolescents with Inflammatory Bowel Disease","journalAbbreviation":"CLIN PEDIATR","language":"en","author":[{"family":"Fishman","given":"Laurie N."},{"family":"Barendse","given":"Renée M."},{"family":"Hait","given":"Elizabeth"},{"family":"Burdick","given":"Cynthia"},{"family":"Arnold","given":"Janis"}],"issued":{"date-parts":[["2010",12,1]]}},"label":"page"},{"id":12055,"uris":["http://zotero.org/users/1860880/items/M72NAKHP"],"uri":["http://zotero.org/users/1860880/items/M72NAKHP"],"itemData":{"id":12055,"type":"article-journal","title":"Transition Readiness Skills Acquisition in Adolescents and Young Adults with Inflammatory Bowel Disease: Findings from Integrating Assessment into Clinical Practice","container-title":"Inflammatory Bowel Diseases","page":"1125-1131","volume":"21","issue":"5","source":"CrossRef","DOI":"10.1097/MIB.0000000000000352","ISSN":"1078-0998","shortTitle":"Transition Readiness Skills Acquisition in Adolescents and Young Adults with Inflammatory Bowel Disease","language":"en","author":[{"family":"Gray","given":"Wendy N."},{"family":"Holbrook","given":"Erin"},{"family":"Morgan","given":"Pamela J."},{"family":"Saeed","given":"Shehzad A."},{"family":"Denson","given":"Lee A."},{"family":"Hommel","given":"Kevin A."}],"issued":{"date-parts":[["2015",5]]}},"label":"page"},{"id":12302,"uris":["http://zotero.org/users/1860880/items/2P5MK8SX"],"uri":["http://zotero.org/users/1860880/items/2P5MK8SX"],"itemData":{"id":12302,"type":"article-journal","title":"Transition Readiness in Pediatric Patients With Inflammatory Bowel Disease: Patient Survey of Self-Management Skills","container-title":"Journal of Pediatric Gastroenterology and Nutrition","page":"36-41","volume":"60","issue":"1","source":"CrossRef","DOI":"10.1097/MPG.0000000000000555","ISSN":"0277-2116","shortTitle":"Transition Readiness in Pediatric Patients With Inflammatory Bowel Disease","language":"en","author":[{"family":"Whitfield","given":"Emily P."},{"family":"Fredericks","given":"Emily M."},{"family":"Eder","given":"Sally J."},{"family":"Shpeen","given":"Benjamin H."},{"family":"Adler","given":"Jeremy"}],"issued":{"date-parts":[["2015",1]]}},"label":"page"}],"schema":"https://github.com/citation-style-language/schema/raw/master/csl-citation.json"} </w:instrText>
      </w:r>
      <w:r w:rsidR="005E4580" w:rsidRPr="00F56726">
        <w:rPr>
          <w:rFonts w:ascii="Book Antiqua" w:eastAsia="Arial" w:hAnsi="Book Antiqua" w:cs="Arial"/>
          <w:color w:val="auto"/>
          <w:vertAlign w:val="superscript"/>
        </w:rPr>
        <w:fldChar w:fldCharType="separate"/>
      </w:r>
      <w:r w:rsidR="00E256DD" w:rsidRPr="00F56726">
        <w:rPr>
          <w:rFonts w:ascii="Book Antiqua" w:eastAsia="Times New Roman" w:hAnsi="Book Antiqua" w:cs="Arial"/>
          <w:color w:val="auto"/>
          <w:vertAlign w:val="superscript"/>
        </w:rPr>
        <w:t>8,11,12</w:t>
      </w:r>
      <w:r w:rsidR="005E4580" w:rsidRPr="00F56726">
        <w:rPr>
          <w:rFonts w:ascii="Book Antiqua" w:eastAsia="Arial" w:hAnsi="Book Antiqua" w:cs="Arial"/>
          <w:color w:val="auto"/>
          <w:vertAlign w:val="superscript"/>
        </w:rPr>
        <w:fldChar w:fldCharType="end"/>
      </w:r>
      <w:r w:rsidR="0024304F">
        <w:rPr>
          <w:rFonts w:ascii="Book Antiqua" w:hAnsi="Book Antiqua" w:cs="Arial" w:hint="eastAsia"/>
          <w:color w:val="auto"/>
          <w:vertAlign w:val="superscript"/>
          <w:lang w:eastAsia="zh-CN"/>
        </w:rPr>
        <w:t>]</w:t>
      </w:r>
      <w:r w:rsidRPr="00F56726">
        <w:rPr>
          <w:rFonts w:ascii="Book Antiqua" w:eastAsia="Arial" w:hAnsi="Book Antiqua" w:cs="Arial"/>
          <w:color w:val="auto"/>
        </w:rPr>
        <w:t>. As well, many adults with IBD continue to rely on family members to assist them with their day-to-day care, well past young adulthood</w:t>
      </w:r>
      <w:r w:rsidR="0024304F">
        <w:rPr>
          <w:rFonts w:ascii="Book Antiqua" w:hAnsi="Book Antiqua" w:cs="Arial" w:hint="eastAsia"/>
          <w:color w:val="auto"/>
          <w:vertAlign w:val="superscript"/>
          <w:lang w:eastAsia="zh-CN"/>
        </w:rPr>
        <w:t>[6]</w:t>
      </w:r>
      <w:r w:rsidRPr="00F56726">
        <w:rPr>
          <w:rFonts w:ascii="Book Antiqua" w:eastAsia="Arial" w:hAnsi="Book Antiqua" w:cs="Arial"/>
          <w:color w:val="auto"/>
        </w:rPr>
        <w:t>. While other similar studies surveyed AYA starting at age 16, our study adds to the literature by including younger adolescents (ages 12-15) and multiple longitudinal observations. By including this younger cohort, we learned that half of HCT skills are acquired by early adolescence, while the other half are not acquired until young adulthood.</w:t>
      </w:r>
    </w:p>
    <w:p w14:paraId="56A58322" w14:textId="6C990C94" w:rsidR="00B05184" w:rsidRPr="00F56726" w:rsidRDefault="002D1107" w:rsidP="0024304F">
      <w:pPr>
        <w:adjustRightInd w:val="0"/>
        <w:snapToGrid w:val="0"/>
        <w:spacing w:line="360" w:lineRule="auto"/>
        <w:ind w:firstLineChars="100" w:firstLine="240"/>
        <w:jc w:val="both"/>
        <w:rPr>
          <w:rFonts w:ascii="Book Antiqua" w:hAnsi="Book Antiqua" w:cs="Arial"/>
          <w:color w:val="auto"/>
        </w:rPr>
      </w:pPr>
      <w:r w:rsidRPr="00F56726">
        <w:rPr>
          <w:rFonts w:ascii="Book Antiqua" w:eastAsia="Arial" w:hAnsi="Book Antiqua" w:cs="Arial"/>
          <w:color w:val="auto"/>
        </w:rPr>
        <w:t>We found increased HCT transition skills among female AYA, which is consistent with</w:t>
      </w:r>
      <w:r w:rsidR="00891F69" w:rsidRPr="00F56726">
        <w:rPr>
          <w:rFonts w:ascii="Book Antiqua" w:eastAsia="Arial" w:hAnsi="Book Antiqua" w:cs="Arial"/>
          <w:color w:val="auto"/>
        </w:rPr>
        <w:t xml:space="preserve"> the</w:t>
      </w:r>
      <w:r w:rsidRPr="00F56726">
        <w:rPr>
          <w:rFonts w:ascii="Book Antiqua" w:eastAsia="Arial" w:hAnsi="Book Antiqua" w:cs="Arial"/>
          <w:color w:val="auto"/>
        </w:rPr>
        <w:t xml:space="preserve"> previous literature</w:t>
      </w:r>
      <w:r w:rsidR="0024304F" w:rsidRPr="0024304F">
        <w:rPr>
          <w:rFonts w:ascii="Book Antiqua" w:hAnsi="Book Antiqua" w:cs="Arial" w:hint="eastAsia"/>
          <w:color w:val="auto"/>
          <w:vertAlign w:val="superscript"/>
          <w:lang w:eastAsia="zh-CN"/>
        </w:rPr>
        <w:t>[</w:t>
      </w:r>
      <w:r w:rsidRPr="00F56726">
        <w:rPr>
          <w:rFonts w:ascii="Book Antiqua" w:eastAsia="Arial" w:hAnsi="Book Antiqua" w:cs="Arial"/>
          <w:color w:val="auto"/>
        </w:rPr>
        <w:fldChar w:fldCharType="begin"/>
      </w:r>
      <w:r w:rsidRPr="00F56726">
        <w:rPr>
          <w:rFonts w:ascii="Book Antiqua" w:eastAsia="Arial" w:hAnsi="Book Antiqua" w:cs="Arial"/>
          <w:color w:val="auto"/>
        </w:rPr>
        <w:instrText xml:space="preserve"> ADDIN ZOTERO_ITEM CSL_CITATION {"citationID":"0rDJz5rJ","properties":{"formattedCitation":"{\\rtf \\super 14\\nosupersub{}}","plainCitation":"14"},"citationItems":[{"id":1134,"uris":["http://zotero.org/users/1860880/items/44S5MSC9"],"uri":["http://zotero.org/users/1860880/items/44S5MSC9"],"itemData":{"id":1134,"type":"article-journal","title":"Ecological Factors Predict Transition Readiness/Self-Management in Youth With Chronic Conditions","container-title":"The Journal of Adolescent Health: Official Publication of the Society for Adolescent Medicine","page":"40-46","volume":"58","issue":"1","source":"PubMed","abstract":"PURPOSE: Health care transition readiness or self-management among adolescents and young adults (AYA) with chronic conditions may be influenced by factors related to their surrounding environment.\nMETHODS: Study participants were AYA diagnosed with a chronic condition and evaluated at pediatric- and adult-focused subspecialty clinics at the University of North Carolina Hospital Systems. All participants were administered a provider-administered self-management/transition-readiness tool, the UNC TRxANSITION Scale. Geographic area and associated characteristics (ecological factors) were identified for each participant's ZIP code using the published U.S. Census data. The Level 1 model of the hierarchical linear regression used individual-level predictors of transition readiness/self-management. The Level 2 model incorporated the ecological factors.\nRESULTS: We enrolled 511 AYA with different chronic conditions aged 12-31 years with the following characteristics: mean age of 20± 4 years, 45% white, 42% black, and 54% female. Participants represented 214 ZIP codes in or around North Carolina, USA. The Level 1 model showed that age, gender, and race were significant predictors of transition readiness/self-management. On adding the ecological factors in the Level 2 model, race was no longer significant. Participants from a geographic area with a greater percentage of females (β = .114, p = .005) and a higher median income (β = .126, p = .002) had greater overall transition readiness. Ecological factors also predicted subdomains of transition readiness/self-management.\nCONCLUSIONS: In this cohort of adolescents and young adults with different chronic conditions, ecological disparities such as sex composition, median income, and language predict self-management/transition readiness. It is important to take ecological risk factors into consideration when preparing patients for health self-management or transition.","DOI":"10.1016/j.jadohealth.2015.09.013","ISSN":"1879-1972","note":"PMID: 26707228","journalAbbreviation":"J Adolesc Health","language":"ENG","author":[{"family":"Javalkar","given":"Karina"},{"family":"Johnson","given":"Meredith"},{"family":"Kshirsagar","given":"Abhijit V."},{"family":"Ocegueda","given":"Sofia"},{"family":"Detwiler","given":"Randal K."},{"family":"Ferris","given":"Maria"}],"issued":{"date-parts":[["2016",1]]}}}],"schema":"https://github.com/citation-style-language/schema/raw/master/csl-citation.json"} </w:instrText>
      </w:r>
      <w:r w:rsidRPr="00F56726">
        <w:rPr>
          <w:rFonts w:ascii="Book Antiqua" w:eastAsia="Arial" w:hAnsi="Book Antiqua" w:cs="Arial"/>
          <w:color w:val="auto"/>
        </w:rPr>
        <w:fldChar w:fldCharType="separate"/>
      </w:r>
      <w:r w:rsidRPr="00F56726">
        <w:rPr>
          <w:rFonts w:ascii="Book Antiqua" w:eastAsia="Times New Roman" w:hAnsi="Book Antiqua" w:cs="Arial"/>
          <w:color w:val="auto"/>
          <w:vertAlign w:val="superscript"/>
        </w:rPr>
        <w:t>14</w:t>
      </w:r>
      <w:r w:rsidRPr="00F56726">
        <w:rPr>
          <w:rFonts w:ascii="Book Antiqua" w:eastAsia="Arial" w:hAnsi="Book Antiqua" w:cs="Arial"/>
          <w:color w:val="auto"/>
        </w:rPr>
        <w:fldChar w:fldCharType="end"/>
      </w:r>
      <w:r w:rsidR="0024304F" w:rsidRPr="0024304F">
        <w:rPr>
          <w:rFonts w:ascii="Book Antiqua" w:hAnsi="Book Antiqua" w:cs="Arial" w:hint="eastAsia"/>
          <w:color w:val="auto"/>
          <w:vertAlign w:val="superscript"/>
          <w:lang w:eastAsia="zh-CN"/>
        </w:rPr>
        <w:t>]</w:t>
      </w:r>
      <w:r w:rsidRPr="00F56726">
        <w:rPr>
          <w:rFonts w:ascii="Book Antiqua" w:eastAsia="Arial" w:hAnsi="Book Antiqua" w:cs="Arial"/>
          <w:color w:val="auto"/>
        </w:rPr>
        <w:t xml:space="preserve">. </w:t>
      </w:r>
      <w:r w:rsidR="00B54589" w:rsidRPr="00F56726">
        <w:rPr>
          <w:rFonts w:ascii="Book Antiqua" w:eastAsia="Arial" w:hAnsi="Book Antiqua" w:cs="Arial"/>
          <w:color w:val="auto"/>
        </w:rPr>
        <w:t xml:space="preserve">We </w:t>
      </w:r>
      <w:r w:rsidRPr="00F56726">
        <w:rPr>
          <w:rFonts w:ascii="Book Antiqua" w:eastAsia="Arial" w:hAnsi="Book Antiqua" w:cs="Arial"/>
          <w:color w:val="auto"/>
        </w:rPr>
        <w:t xml:space="preserve">also </w:t>
      </w:r>
      <w:r w:rsidR="00B05184" w:rsidRPr="00F56726">
        <w:rPr>
          <w:rFonts w:ascii="Book Antiqua" w:eastAsia="Arial" w:hAnsi="Book Antiqua" w:cs="Arial"/>
          <w:color w:val="auto"/>
        </w:rPr>
        <w:t>found significan</w:t>
      </w:r>
      <w:r w:rsidR="00054E43" w:rsidRPr="00F56726">
        <w:rPr>
          <w:rFonts w:ascii="Book Antiqua" w:eastAsia="Arial" w:hAnsi="Book Antiqua" w:cs="Arial"/>
          <w:color w:val="auto"/>
        </w:rPr>
        <w:t>tly lower gains in HCT skills among</w:t>
      </w:r>
      <w:r w:rsidR="00B05184" w:rsidRPr="00F56726">
        <w:rPr>
          <w:rFonts w:ascii="Book Antiqua" w:eastAsia="Arial" w:hAnsi="Book Antiqua" w:cs="Arial"/>
          <w:color w:val="auto"/>
        </w:rPr>
        <w:t xml:space="preserve"> AYA with public </w:t>
      </w:r>
      <w:r w:rsidR="003C4696" w:rsidRPr="00F56726">
        <w:rPr>
          <w:rFonts w:ascii="Book Antiqua" w:eastAsia="Arial" w:hAnsi="Book Antiqua" w:cs="Arial"/>
          <w:color w:val="auto"/>
        </w:rPr>
        <w:t xml:space="preserve">insurance and without insurance, </w:t>
      </w:r>
      <w:r w:rsidR="00054E43" w:rsidRPr="00F56726">
        <w:rPr>
          <w:rFonts w:ascii="Book Antiqua" w:eastAsia="Arial" w:hAnsi="Book Antiqua" w:cs="Arial"/>
          <w:color w:val="auto"/>
        </w:rPr>
        <w:t>when compared to</w:t>
      </w:r>
      <w:r w:rsidR="003C4696" w:rsidRPr="00F56726">
        <w:rPr>
          <w:rFonts w:ascii="Book Antiqua" w:eastAsia="Arial" w:hAnsi="Book Antiqua" w:cs="Arial"/>
          <w:color w:val="auto"/>
        </w:rPr>
        <w:t xml:space="preserve"> their peers with private insurance. </w:t>
      </w:r>
      <w:r w:rsidR="005D0CE8" w:rsidRPr="00F56726">
        <w:rPr>
          <w:rFonts w:ascii="Book Antiqua" w:eastAsia="Arial" w:hAnsi="Book Antiqua" w:cs="Arial"/>
          <w:color w:val="auto"/>
        </w:rPr>
        <w:t>AYA without insurance and with public insurance are most likely from low-income families. T</w:t>
      </w:r>
      <w:r w:rsidR="003C4696" w:rsidRPr="00F56726">
        <w:rPr>
          <w:rFonts w:ascii="Book Antiqua" w:eastAsia="Arial" w:hAnsi="Book Antiqua" w:cs="Arial"/>
          <w:color w:val="auto"/>
        </w:rPr>
        <w:t xml:space="preserve">his finding is consistent with previous literature showing that </w:t>
      </w:r>
      <w:r w:rsidR="00C63843" w:rsidRPr="00F56726">
        <w:rPr>
          <w:rFonts w:ascii="Book Antiqua" w:eastAsia="Arial" w:hAnsi="Book Antiqua" w:cs="Arial"/>
          <w:color w:val="auto"/>
        </w:rPr>
        <w:t>higher household income predicted increased transition readiness</w:t>
      </w:r>
      <w:r w:rsidR="003860D1" w:rsidRPr="003860D1">
        <w:rPr>
          <w:rFonts w:ascii="Book Antiqua" w:eastAsia="Arial" w:hAnsi="Book Antiqua" w:cs="Arial" w:hint="eastAsia"/>
          <w:color w:val="auto"/>
          <w:vertAlign w:val="superscript"/>
        </w:rPr>
        <w:t>[</w:t>
      </w:r>
      <w:r w:rsidR="003860D1" w:rsidRPr="003860D1">
        <w:rPr>
          <w:rFonts w:ascii="Book Antiqua" w:eastAsia="Arial" w:hAnsi="Book Antiqua" w:cs="Arial"/>
          <w:color w:val="auto"/>
        </w:rPr>
        <w:fldChar w:fldCharType="begin"/>
      </w:r>
      <w:r w:rsidR="003860D1" w:rsidRPr="003860D1">
        <w:rPr>
          <w:rFonts w:ascii="Book Antiqua" w:eastAsia="Arial" w:hAnsi="Book Antiqua" w:cs="Arial"/>
          <w:color w:val="auto"/>
        </w:rPr>
        <w:instrText xml:space="preserve"> ADDIN ZOTERO_ITEM CSL_CITATION {"citationID":"0rDJz5rJ","properties":{"formattedCitation":"{\\rtf \\super 14\\nosupersub{}}","plainCitation":"14"},"citationItems":[{"id":1134,"uris":["http://zotero.org/users/1860880/items/44S5MSC9"],"uri":["http://zotero.org/users/1860880/items/44S5MSC9"],"itemData":{"id":1134,"type":"article-journal","title":"Ecological Factors Predict Transition Readiness/Self-Management in Youth With Chronic Conditions","container-title":"The Journal of Adolescent Health: Official Publication of the Society for Adolescent Medicine","page":"40-46","volume":"58","issue":"1","source":"PubMed","abstract":"PURPOSE: Health care transition readiness or self-management among adolescents and young adults (AYA) with chronic conditions may be influenced by factors related to their surrounding environment.\nMETHODS: Study participants were AYA diagnosed with a chronic condition and evaluated at pediatric- and adult-focused subspecialty clinics at the University of North Carolina Hospital Systems. All participants were administered a provider-administered self-management/transition-readiness tool, the UNC TRxANSITION Scale. Geographic area and associated characteristics (ecological factors) were identified for each participant's ZIP code using the published U.S. Census data. The Level 1 model of the hierarchical linear regression used individual-level predictors of transition readiness/self-management. The Level 2 model incorporated the ecological factors.\nRESULTS: We enrolled 511 AYA with different chronic conditions aged 12-31 years with the following characteristics: mean age of 20± 4 years, 45% white, 42% black, and 54% female. Participants represented 214 ZIP codes in or around North Carolina, USA. The Level 1 model showed that age, gender, and race were significant predictors of transition readiness/self-management. On adding the ecological factors in the Level 2 model, race was no longer significant. Participants from a geographic area with a greater percentage of females (β = .114, p = .005) and a higher median income (β = .126, p = .002) had greater overall transition readiness. Ecological factors also predicted subdomains of transition readiness/self-management.\nCONCLUSIONS: In this cohort of adolescents and young adults with different chronic conditions, ecological disparities such as sex composition, median income, and language predict self-management/transition readiness. It is important to take ecological risk factors into consideration when preparing patients for health self-management or transition.","DOI":"10.1016/j.jadohealth.2015.09.013","ISSN":"1879-1972","note":"PMID: 26707228","journalAbbreviation":"J Adolesc Health","language":"ENG","author":[{"family":"Javalkar","given":"Karina"},{"family":"Johnson","given":"Meredith"},{"family":"Kshirsagar","given":"Abhijit V."},{"family":"Ocegueda","given":"Sofia"},{"family":"Detwiler","given":"Randal K."},{"family":"Ferris","given":"Maria"}],"issued":{"date-parts":[["2016",1]]}}}],"schema":"https://github.com/citation-style-language/schema/raw/master/csl-citation.json"} </w:instrText>
      </w:r>
      <w:r w:rsidR="003860D1" w:rsidRPr="003860D1">
        <w:rPr>
          <w:rFonts w:ascii="Book Antiqua" w:eastAsia="Arial" w:hAnsi="Book Antiqua" w:cs="Arial"/>
          <w:color w:val="auto"/>
        </w:rPr>
        <w:fldChar w:fldCharType="separate"/>
      </w:r>
      <w:r w:rsidR="003860D1" w:rsidRPr="003860D1">
        <w:rPr>
          <w:rFonts w:ascii="Book Antiqua" w:eastAsia="Arial" w:hAnsi="Book Antiqua" w:cs="Arial"/>
          <w:color w:val="auto"/>
          <w:vertAlign w:val="superscript"/>
        </w:rPr>
        <w:t>14</w:t>
      </w:r>
      <w:r w:rsidR="003860D1" w:rsidRPr="003860D1">
        <w:rPr>
          <w:rFonts w:ascii="Book Antiqua" w:eastAsia="Arial" w:hAnsi="Book Antiqua" w:cs="Arial"/>
          <w:color w:val="auto"/>
        </w:rPr>
        <w:fldChar w:fldCharType="end"/>
      </w:r>
      <w:r w:rsidR="003860D1" w:rsidRPr="003860D1">
        <w:rPr>
          <w:rFonts w:ascii="Book Antiqua" w:eastAsia="Arial" w:hAnsi="Book Antiqua" w:cs="Arial" w:hint="eastAsia"/>
          <w:color w:val="auto"/>
          <w:vertAlign w:val="superscript"/>
        </w:rPr>
        <w:t>]</w:t>
      </w:r>
      <w:r w:rsidR="00C63843" w:rsidRPr="00F56726">
        <w:rPr>
          <w:rFonts w:ascii="Book Antiqua" w:eastAsia="Arial" w:hAnsi="Book Antiqua" w:cs="Arial"/>
          <w:color w:val="auto"/>
        </w:rPr>
        <w:t xml:space="preserve">, and </w:t>
      </w:r>
      <w:r w:rsidR="00054E43" w:rsidRPr="00F56726">
        <w:rPr>
          <w:rFonts w:ascii="Book Antiqua" w:eastAsia="Arial" w:hAnsi="Book Antiqua" w:cs="Arial"/>
          <w:color w:val="auto"/>
        </w:rPr>
        <w:t xml:space="preserve">a family </w:t>
      </w:r>
      <w:r w:rsidR="00C63843" w:rsidRPr="00F56726">
        <w:rPr>
          <w:rFonts w:ascii="Book Antiqua" w:eastAsia="Arial" w:hAnsi="Book Antiqua" w:cs="Arial"/>
          <w:color w:val="auto"/>
        </w:rPr>
        <w:t xml:space="preserve">income of </w:t>
      </w:r>
      <w:r w:rsidR="003860D1">
        <w:rPr>
          <w:rFonts w:ascii="Book Antiqua" w:eastAsia="Arial" w:hAnsi="Book Antiqua" w:cs="Arial"/>
          <w:color w:val="auto"/>
          <w:u w:val="single"/>
        </w:rPr>
        <w:t>≥</w:t>
      </w:r>
      <w:r w:rsidR="003860D1">
        <w:rPr>
          <w:rFonts w:ascii="Book Antiqua" w:hAnsi="Book Antiqua" w:cs="Arial" w:hint="eastAsia"/>
          <w:color w:val="auto"/>
          <w:u w:val="single"/>
          <w:lang w:eastAsia="zh-CN"/>
        </w:rPr>
        <w:t xml:space="preserve"> </w:t>
      </w:r>
      <w:r w:rsidR="00C63843" w:rsidRPr="00F56726">
        <w:rPr>
          <w:rFonts w:ascii="Book Antiqua" w:eastAsia="Arial" w:hAnsi="Book Antiqua" w:cs="Arial"/>
          <w:color w:val="auto"/>
        </w:rPr>
        <w:t>400% of the federal poverty</w:t>
      </w:r>
      <w:r w:rsidR="00054E43" w:rsidRPr="00F56726">
        <w:rPr>
          <w:rFonts w:ascii="Book Antiqua" w:eastAsia="Arial" w:hAnsi="Book Antiqua" w:cs="Arial"/>
          <w:color w:val="auto"/>
        </w:rPr>
        <w:t xml:space="preserve"> </w:t>
      </w:r>
      <w:r w:rsidR="00033521" w:rsidRPr="00F56726">
        <w:rPr>
          <w:rFonts w:ascii="Book Antiqua" w:eastAsia="Arial" w:hAnsi="Book Antiqua" w:cs="Arial"/>
          <w:color w:val="auto"/>
        </w:rPr>
        <w:t xml:space="preserve">level </w:t>
      </w:r>
      <w:r w:rsidR="00054E43" w:rsidRPr="00F56726">
        <w:rPr>
          <w:rFonts w:ascii="Book Antiqua" w:eastAsia="Arial" w:hAnsi="Book Antiqua" w:cs="Arial"/>
          <w:color w:val="auto"/>
        </w:rPr>
        <w:t>and possession of private insurance were positively associated with AYA achieving desired transition outcomes</w:t>
      </w:r>
      <w:r w:rsidR="003860D1" w:rsidRPr="003860D1">
        <w:rPr>
          <w:rFonts w:ascii="Book Antiqua" w:hAnsi="Book Antiqua" w:cs="Arial" w:hint="eastAsia"/>
          <w:color w:val="auto"/>
          <w:vertAlign w:val="superscript"/>
          <w:lang w:eastAsia="zh-CN"/>
        </w:rPr>
        <w:t>[</w:t>
      </w:r>
      <w:r w:rsidR="00054E43" w:rsidRPr="003860D1">
        <w:rPr>
          <w:rFonts w:ascii="Book Antiqua" w:eastAsia="Arial" w:hAnsi="Book Antiqua" w:cs="Arial"/>
          <w:color w:val="auto"/>
          <w:vertAlign w:val="superscript"/>
        </w:rPr>
        <w:fldChar w:fldCharType="begin"/>
      </w:r>
      <w:r w:rsidR="0033210E" w:rsidRPr="003860D1">
        <w:rPr>
          <w:rFonts w:ascii="Book Antiqua" w:eastAsia="Arial" w:hAnsi="Book Antiqua" w:cs="Arial"/>
          <w:color w:val="auto"/>
          <w:vertAlign w:val="superscript"/>
        </w:rPr>
        <w:instrText xml:space="preserve"> ADDIN ZOTERO_ITEM CSL_CITATION {"citationID":"UC3hFycS","properties":{"formattedCitation":"{\\rtf \\super 15\\nosupersub{}}","plainCitation":"15"},"citationItems":[{"id":1138,"uris":["http://zotero.org/users/1860880/items/ZH4P8I5B"],"uri":["http://zotero.org/users/1860880/items/ZH4P8I5B"],"itemData":{"id":1138,"type":"article-journal","title":"Current Status of Transition Preparation Among Youth With Special Needs in the United States","container-title":"Pediatrics","page":"1090-1097","volume":"131","issue":"6","source":"pediatrics.aappublications.org.offcampus.lib.washington.edu","abstract":"OBJECTIVE: To examine current US performance on transition from pediatric to adult health care and discuss strategies for improvement.\nMETHODS: The 2009–2010 National Survey of Children with Special Health Care Needs is a nationally representative sample with 17 114 parent respondents who have youth with special health care needs (YSHCN) ages 12 and 18. They are asked about transition to an adult provider, changing health care needs, increasing responsibility for health care needs, and maintaining insurance coverage. We analyzed the association of selected characteristics with successful transition preparation.\nRESULTS: Overall, 40% of YSHCN meet the national transition core outcome. Several factors are associated with transition preparation, including female gender; younger age; white race; non-Hispanic ethnicity; income ≥400% of poverty; little or no impact of condition on activities; having a condition other than an emotional, behavioral, or developmental condition; having a medical home; and being privately insured.\nCONCLUSIONS: Most YSHCN are not receiving needed transition preparation. Although most providers are encouraging YSHCN to assume responsibility for their own health, far fewer are discussing transfer to an adult provider and insurance continuity. Although changes in sample design limit trend analysis, there have been no discernible improvements since this transition outcome was measured in the 2005–2006 National Survey of Children with Special Health Care Needs. The 2011 release of the American Academy of Pediatrics/American Academy of Family Physicians/American College of Physicians clinical recommendations on transition, new transition tools, and the spread of medical home should stimulate future improvements in transition performance.","DOI":"10.1542/peds.2012-3050","ISSN":"0031-4005, 1098-4275","note":"PMID: 23669518","language":"en","author":[{"family":"McManus","given":"Margaret A."},{"family":"Pollack","given":"Lauren R."},{"family":"Cooley","given":"W. Carl"},{"family":"McAllister","given":"Jeanne W."},{"family":"Lotstein","given":"Debra"},{"family":"Strickland","given":"Bonnie"},{"family":"Mann","given":"Marie Y."}],"issued":{"date-parts":[["2013",6,1]]}}}],"schema":"https://github.com/citation-style-language/schema/raw/master/csl-citation.json"} </w:instrText>
      </w:r>
      <w:r w:rsidR="00054E43" w:rsidRPr="003860D1">
        <w:rPr>
          <w:rFonts w:ascii="Book Antiqua" w:eastAsia="Arial" w:hAnsi="Book Antiqua" w:cs="Arial"/>
          <w:color w:val="auto"/>
          <w:vertAlign w:val="superscript"/>
        </w:rPr>
        <w:fldChar w:fldCharType="separate"/>
      </w:r>
      <w:r w:rsidR="0033210E" w:rsidRPr="003860D1">
        <w:rPr>
          <w:rFonts w:ascii="Book Antiqua" w:eastAsia="Times New Roman" w:hAnsi="Book Antiqua" w:cs="Arial"/>
          <w:color w:val="auto"/>
          <w:vertAlign w:val="superscript"/>
        </w:rPr>
        <w:t>15</w:t>
      </w:r>
      <w:r w:rsidR="00054E43" w:rsidRPr="003860D1">
        <w:rPr>
          <w:rFonts w:ascii="Book Antiqua" w:eastAsia="Arial" w:hAnsi="Book Antiqua" w:cs="Arial"/>
          <w:color w:val="auto"/>
          <w:vertAlign w:val="superscript"/>
        </w:rPr>
        <w:fldChar w:fldCharType="end"/>
      </w:r>
      <w:r w:rsidR="003860D1" w:rsidRPr="003860D1">
        <w:rPr>
          <w:rFonts w:ascii="Book Antiqua" w:hAnsi="Book Antiqua" w:cs="Arial" w:hint="eastAsia"/>
          <w:color w:val="auto"/>
          <w:vertAlign w:val="superscript"/>
          <w:lang w:eastAsia="zh-CN"/>
        </w:rPr>
        <w:t>]</w:t>
      </w:r>
      <w:r w:rsidR="00054E43" w:rsidRPr="00F56726">
        <w:rPr>
          <w:rFonts w:ascii="Book Antiqua" w:eastAsia="Arial" w:hAnsi="Book Antiqua" w:cs="Arial"/>
          <w:color w:val="auto"/>
        </w:rPr>
        <w:t xml:space="preserve">. </w:t>
      </w:r>
      <w:r w:rsidR="00540385" w:rsidRPr="00F56726">
        <w:rPr>
          <w:rFonts w:ascii="Book Antiqua" w:eastAsia="Arial" w:hAnsi="Book Antiqua" w:cs="Arial"/>
          <w:color w:val="auto"/>
        </w:rPr>
        <w:t xml:space="preserve">Additionally, we found disparities in HCT skill </w:t>
      </w:r>
      <w:r w:rsidR="0033210E" w:rsidRPr="00F56726">
        <w:rPr>
          <w:rFonts w:ascii="Book Antiqua" w:eastAsia="Arial" w:hAnsi="Book Antiqua" w:cs="Arial"/>
          <w:color w:val="auto"/>
        </w:rPr>
        <w:t>acquisition</w:t>
      </w:r>
      <w:r w:rsidR="00540385" w:rsidRPr="00F56726">
        <w:rPr>
          <w:rFonts w:ascii="Book Antiqua" w:eastAsia="Arial" w:hAnsi="Book Antiqua" w:cs="Arial"/>
          <w:color w:val="auto"/>
        </w:rPr>
        <w:t xml:space="preserve"> between Caucasian AYA and AYA of other races. This is consistent with previous literature highlighting racial disparities in the transition to adulthood for youth with special healthcare need</w:t>
      </w:r>
      <w:r w:rsidR="00FD7E70" w:rsidRPr="00F56726">
        <w:rPr>
          <w:rFonts w:ascii="Book Antiqua" w:eastAsia="Arial" w:hAnsi="Book Antiqua" w:cs="Arial"/>
          <w:color w:val="auto"/>
        </w:rPr>
        <w:t>s</w:t>
      </w:r>
      <w:r w:rsidR="003860D1" w:rsidRPr="003860D1">
        <w:rPr>
          <w:rFonts w:ascii="Book Antiqua" w:hAnsi="Book Antiqua" w:cs="Arial" w:hint="eastAsia"/>
          <w:color w:val="auto"/>
          <w:vertAlign w:val="superscript"/>
          <w:lang w:eastAsia="zh-CN"/>
        </w:rPr>
        <w:t>[</w:t>
      </w:r>
      <w:r w:rsidR="0033210E" w:rsidRPr="003860D1">
        <w:rPr>
          <w:rFonts w:ascii="Book Antiqua" w:eastAsia="Arial" w:hAnsi="Book Antiqua" w:cs="Arial"/>
          <w:color w:val="auto"/>
          <w:vertAlign w:val="superscript"/>
        </w:rPr>
        <w:fldChar w:fldCharType="begin"/>
      </w:r>
      <w:r w:rsidR="00E172FC" w:rsidRPr="003860D1">
        <w:rPr>
          <w:rFonts w:ascii="Book Antiqua" w:eastAsia="Arial" w:hAnsi="Book Antiqua" w:cs="Arial"/>
          <w:color w:val="auto"/>
          <w:vertAlign w:val="superscript"/>
        </w:rPr>
        <w:instrText xml:space="preserve"> ADDIN ZOTERO_ITEM CSL_CITATION {"citationID":"2jn4t5afa6","properties":{"formattedCitation":"{\\rtf \\super 13,16\\uc0\\u8211{}18\\nosupersub{}}","plainCitation":"13,16–18"},"citationItems":[{"id":12807,"uris":["http://zotero.org/users/1860880/items/8CNK26XA"],"uri":["http://zotero.org/users/1860880/items/8CNK26XA"],"itemData":{"id":12807,"type":"article-journal","title":"Clinicians poorly assess health literacy-related readiness for transition to adult care in adolescents with inflammatory bowel disease","container-title":"Clinical Gastroenterology and Hepatology: The Official Clinical Practice Journal of the American Gastroenterological Association","page":"626-632","volume":"10","issue":"6","source":"PubMed","abstract":"BACKGROUND &amp; AIMS: To prepare for the transition from pediatric to adult-oriented health care systems, adolescents must develop the ability to obtain, process, and understand basic health information; make appropriate health decisions; and interact effectively with health care professionals. However, physicians use subjective methods to determine patients' readiness for this transition. We investigated health care literacy-related readiness for transition of children and adolescents with inflammatory bowel disease (IBD) to identify determinants and compare actual levels with clinicians' opinions.\nMETHODS: The study included 74 pediatric patients with IBD ≥10 years old who were recruited from a pediatric hospital-based clinic. We evaluated their functional and interactive health literacy and recorded clinicians' perceptions of literacy and readiness for transition among pediatric patients. Relationships between health literacy measures, demographic variables, and clinician perceptions were determined.\nRESULTS: Health literacy-related readiness for transition was observed in 11% of the patients analyzed. However, clinicians found 47% of the cohort ready for the transition, on the basis of literacy standards. Health literacy-related readiness for transition was associated with older age (P &lt; .01), white race (P = .03), and low income (P &lt; .02). Agreement was poor between measures-defined and clinician-defined levels of health literacy-related readiness for transition (P = .18).\nCONCLUSIONS: Clinicians inadequately judge the health literacy-related readiness for transition to adult care of pediatric IBD patients. Improved awareness of health literacy issues among adolescents with IBD is needed among health care providers and health care systems.","DOI":"10.1016/j.cgh.2012.02.017","ISSN":"1542-7714","note":"PMID: 22387250","journalAbbreviation":"Clin. Gastroenterol. Hepatol.","language":"eng","author":[{"family":"Huang","given":"Jeannie S."},{"family":"Tobin","given":"Allison"},{"family":"Tompane","given":"Trevor"}],"issued":{"date-parts":[["2012",6]]}},"label":"page"},{"id":923,"uris":["http://zotero.org/users/1860880/items/E3Z2Z8K2"],"uri":["http://zotero.org/users/1860880/items/E3Z2Z8K2"],"itemData":{"id":923,"type":"article-journal","title":"The Transition to Adult Health Care for Youth With Special Health Care Needs: Do Racial and Ethnic Disparities Exist?","container-title":"PEDIATRICS","page":"S129-S136","volume":"126","issue":"Supplement","source":"CrossRef","DOI":"10.1542/peds.2010-1466F","ISSN":"0031-4005, 1098-4275","shortTitle":"The Transition to Adult Health Care for Youth With Special Health Care Needs","language":"en","author":[{"family":"Lotstein","given":"D. S."},{"family":"Kuo","given":"A. A."},{"family":"Strickland","given":"B."},{"family":"Tait","given":"F."}],"issued":{"date-parts":[["2010",12,1]]}},"label":"page"},{"id":924,"uris":["http://zotero.org/users/1860880/items/IFKA4KNP"],"uri":["http://zotero.org/users/1860880/items/IFKA4KNP"],"itemData":{"id":924,"type":"article-journal","title":"Receipt of Transition Services Within a Medical Home: Do Racial and Geographic Disparities Exist?","container-title":"Maternal and Child Health Journal","page":"742-752","volume":"15","issue":"6","source":"CrossRef","DOI":"10.1007/s10995-010-0635-2","ISSN":"1092-7875, 1573-6628","shortTitle":"Receipt of Transition Services Within a Medical Home","language":"en","author":[{"family":"Richmond","given":"Nicole"},{"family":"Tran","given":"Tri"},{"family":"Berry","given":"Susan"}],"issued":{"date-parts":[["2011",8]]}},"label":"page"},{"id":927,"uris":["http://zotero.org/users/1860880/items/Z3FXQRQN"],"uri":["http://zotero.org/users/1860880/items/Z3FXQRQN"],"itemData":{"id":927,"type":"article-journal","title":"Can the Medical Home Eliminate Racial and Ethnic Disparities for Transition Services Among Youth with Special Health Care Needs?","container-title":"Maternal and Child Health Journal","page":"824-833","volume":"16","issue":"4","source":"CrossRef","DOI":"10.1007/s10995-011-0785-x","ISSN":"1092-7875, 1573-6628","language":"en","author":[{"family":"Richmond","given":"Nicole E."},{"family":"Tran","given":"Tri"},{"family":"Berry","given":"Susan"}],"issued":{"date-parts":[["2012",5]]}},"label":"page"}],"schema":"https://github.com/citation-style-language/schema/raw/master/csl-citation.json"} </w:instrText>
      </w:r>
      <w:r w:rsidR="0033210E" w:rsidRPr="003860D1">
        <w:rPr>
          <w:rFonts w:ascii="Book Antiqua" w:eastAsia="Arial" w:hAnsi="Book Antiqua" w:cs="Arial"/>
          <w:color w:val="auto"/>
          <w:vertAlign w:val="superscript"/>
        </w:rPr>
        <w:fldChar w:fldCharType="separate"/>
      </w:r>
      <w:r w:rsidR="00E172FC" w:rsidRPr="003860D1">
        <w:rPr>
          <w:rFonts w:ascii="Book Antiqua" w:eastAsia="Times New Roman" w:hAnsi="Book Antiqua" w:cs="Arial"/>
          <w:color w:val="auto"/>
          <w:vertAlign w:val="superscript"/>
        </w:rPr>
        <w:t>13,16–18</w:t>
      </w:r>
      <w:r w:rsidR="0033210E" w:rsidRPr="003860D1">
        <w:rPr>
          <w:rFonts w:ascii="Book Antiqua" w:eastAsia="Arial" w:hAnsi="Book Antiqua" w:cs="Arial"/>
          <w:color w:val="auto"/>
          <w:vertAlign w:val="superscript"/>
        </w:rPr>
        <w:fldChar w:fldCharType="end"/>
      </w:r>
      <w:r w:rsidR="003860D1" w:rsidRPr="003860D1">
        <w:rPr>
          <w:rFonts w:ascii="Book Antiqua" w:hAnsi="Book Antiqua" w:cs="Arial" w:hint="eastAsia"/>
          <w:color w:val="auto"/>
          <w:vertAlign w:val="superscript"/>
          <w:lang w:eastAsia="zh-CN"/>
        </w:rPr>
        <w:t>]</w:t>
      </w:r>
      <w:r w:rsidR="00E172FC" w:rsidRPr="00F56726">
        <w:rPr>
          <w:rFonts w:ascii="Book Antiqua" w:eastAsia="Arial" w:hAnsi="Book Antiqua" w:cs="Arial"/>
          <w:color w:val="auto"/>
        </w:rPr>
        <w:t>.</w:t>
      </w:r>
      <w:r w:rsidR="0033210E" w:rsidRPr="00F56726">
        <w:rPr>
          <w:rFonts w:ascii="Book Antiqua" w:eastAsia="Arial" w:hAnsi="Book Antiqua" w:cs="Arial"/>
          <w:color w:val="auto"/>
        </w:rPr>
        <w:t xml:space="preserve"> </w:t>
      </w:r>
      <w:r w:rsidR="005D0CE8" w:rsidRPr="00F56726">
        <w:rPr>
          <w:rFonts w:ascii="Book Antiqua" w:eastAsia="Arial" w:hAnsi="Book Antiqua" w:cs="Arial"/>
          <w:color w:val="auto"/>
        </w:rPr>
        <w:t>B</w:t>
      </w:r>
      <w:r w:rsidR="00D35830" w:rsidRPr="00F56726">
        <w:rPr>
          <w:rFonts w:ascii="Book Antiqua" w:eastAsia="Arial" w:hAnsi="Book Antiqua" w:cs="Arial"/>
          <w:color w:val="auto"/>
        </w:rPr>
        <w:t>oth low-income and non-white AYA are</w:t>
      </w:r>
      <w:r w:rsidR="00DC129C" w:rsidRPr="00F56726">
        <w:rPr>
          <w:rFonts w:ascii="Book Antiqua" w:eastAsia="Arial" w:hAnsi="Book Antiqua" w:cs="Arial"/>
          <w:color w:val="auto"/>
        </w:rPr>
        <w:t xml:space="preserve"> already at </w:t>
      </w:r>
      <w:r w:rsidR="00054E43" w:rsidRPr="00F56726">
        <w:rPr>
          <w:rFonts w:ascii="Book Antiqua" w:eastAsia="Arial" w:hAnsi="Book Antiqua" w:cs="Arial"/>
          <w:color w:val="auto"/>
        </w:rPr>
        <w:t>risk for poorer h</w:t>
      </w:r>
      <w:r w:rsidR="005D0CE8" w:rsidRPr="00F56726">
        <w:rPr>
          <w:rFonts w:ascii="Book Antiqua" w:eastAsia="Arial" w:hAnsi="Book Antiqua" w:cs="Arial"/>
          <w:color w:val="auto"/>
        </w:rPr>
        <w:t xml:space="preserve">ealth outcomes than their Caucasian, </w:t>
      </w:r>
      <w:r w:rsidR="00DC129C" w:rsidRPr="00F56726">
        <w:rPr>
          <w:rFonts w:ascii="Book Antiqua" w:eastAsia="Arial" w:hAnsi="Book Antiqua" w:cs="Arial"/>
          <w:color w:val="auto"/>
        </w:rPr>
        <w:t>middle and high-</w:t>
      </w:r>
      <w:r w:rsidR="005E120A" w:rsidRPr="00F56726">
        <w:rPr>
          <w:rFonts w:ascii="Book Antiqua" w:eastAsia="Arial" w:hAnsi="Book Antiqua" w:cs="Arial"/>
          <w:color w:val="auto"/>
        </w:rPr>
        <w:t>income families</w:t>
      </w:r>
      <w:r w:rsidR="003860D1" w:rsidRPr="003860D1">
        <w:rPr>
          <w:rFonts w:ascii="Book Antiqua" w:hAnsi="Book Antiqua" w:cs="Arial" w:hint="eastAsia"/>
          <w:color w:val="auto"/>
          <w:vertAlign w:val="superscript"/>
          <w:lang w:eastAsia="zh-CN"/>
        </w:rPr>
        <w:t>[</w:t>
      </w:r>
      <w:r w:rsidR="00E7773A" w:rsidRPr="003860D1">
        <w:rPr>
          <w:rFonts w:ascii="Book Antiqua" w:eastAsia="Arial" w:hAnsi="Book Antiqua" w:cs="Arial"/>
          <w:color w:val="auto"/>
          <w:vertAlign w:val="superscript"/>
        </w:rPr>
        <w:fldChar w:fldCharType="begin"/>
      </w:r>
      <w:r w:rsidR="00E172FC" w:rsidRPr="003860D1">
        <w:rPr>
          <w:rFonts w:ascii="Book Antiqua" w:eastAsia="Arial" w:hAnsi="Book Antiqua" w:cs="Arial"/>
          <w:color w:val="auto"/>
          <w:vertAlign w:val="superscript"/>
        </w:rPr>
        <w:instrText xml:space="preserve"> ADDIN ZOTERO_ITEM CSL_CITATION {"citationID":"QBgrVJOR","properties":{"formattedCitation":"{\\rtf \\super 19\\nosupersub{}}","plainCitation":"19"},"citationItems":[{"id":1146,"uris":["http://zotero.org/users/1860880/items/6M58TNIH"],"uri":["http://zotero.org/users/1860880/items/6M58TNIH"],"itemData":{"id":1146,"type":"article-journal","title":"Socioeconomic disparities in health in the United States: what the patterns tell us","container-title":"American Journal of Public Health","page":"S186-196","volume":"100 Suppl 1","source":"PubMed","abstract":"OBJECTIVES: We aimed to describe socioeconomic disparities in the United States across multiple health indicators and socioeconomic groups.\nMETHODS: Using recent national data on 5 child (infant mortality, health status, activity limitation, healthy eating, sedentary adolescents) and 6 adult (life expectancy, health status, activity limitation, heart disease, diabetes, obesity) health indicators, we examined indicator rates across multiple income or education categories, overall and within racial/ethnic groups.\nRESULTS: Those with the lowest income and who were least educated were consistently least healthy, but for most indicators, even groups with intermediate income and education levels were less healthy than the wealthiest and most educated. Gradient patterns were seen often among non-Hispanic Blacks and Whites but less consistently among Hispanics.\nCONCLUSIONS: Health in the United States is often, though not invariably, patterned strongly along both socioeconomic and racial/ethnic lines, suggesting links between hierarchies of social advantage and health. Worse health among the most socially disadvantaged argues for policies prioritizing those groups, but pervasive gradient patterns also indicate a need to address a wider socioeconomic spectrum-which may help garner political support. Routine health reporting should examine socioeconomic and racial/ethnic disparity patterns, jointly and separately.","DOI":"10.2105/AJPH.2009.166082","ISSN":"1541-0048","note":"PMID: 20147693\nPMCID: PMC2837459","shortTitle":"Socioeconomic disparities in health in the United States","journalAbbreviation":"Am J Public Health","language":"ENG","author":[{"family":"Braveman","given":"Paula A."},{"family":"Cubbin","given":"Catherine"},{"family":"Egerter","given":"Susan"},{"family":"Williams","given":"David R."},{"family":"Pamuk","given":"Elsie"}],"issued":{"date-parts":[["2010",4,1]]}}}],"schema":"https://github.com/citation-style-language/schema/raw/master/csl-citation.json"} </w:instrText>
      </w:r>
      <w:r w:rsidR="00E7773A" w:rsidRPr="003860D1">
        <w:rPr>
          <w:rFonts w:ascii="Book Antiqua" w:eastAsia="Arial" w:hAnsi="Book Antiqua" w:cs="Arial"/>
          <w:color w:val="auto"/>
          <w:vertAlign w:val="superscript"/>
        </w:rPr>
        <w:fldChar w:fldCharType="separate"/>
      </w:r>
      <w:r w:rsidR="00E172FC" w:rsidRPr="003860D1">
        <w:rPr>
          <w:rFonts w:ascii="Book Antiqua" w:eastAsia="Times New Roman" w:hAnsi="Book Antiqua" w:cs="Arial"/>
          <w:color w:val="auto"/>
          <w:vertAlign w:val="superscript"/>
        </w:rPr>
        <w:t>19</w:t>
      </w:r>
      <w:r w:rsidR="00E7773A" w:rsidRPr="003860D1">
        <w:rPr>
          <w:rFonts w:ascii="Book Antiqua" w:eastAsia="Arial" w:hAnsi="Book Antiqua" w:cs="Arial"/>
          <w:color w:val="auto"/>
          <w:vertAlign w:val="superscript"/>
        </w:rPr>
        <w:fldChar w:fldCharType="end"/>
      </w:r>
      <w:r w:rsidR="003860D1" w:rsidRPr="003860D1">
        <w:rPr>
          <w:rFonts w:ascii="Book Antiqua" w:hAnsi="Book Antiqua" w:cs="Arial" w:hint="eastAsia"/>
          <w:color w:val="auto"/>
          <w:vertAlign w:val="superscript"/>
          <w:lang w:eastAsia="zh-CN"/>
        </w:rPr>
        <w:t>]</w:t>
      </w:r>
      <w:r w:rsidR="00054E43" w:rsidRPr="00F56726">
        <w:rPr>
          <w:rFonts w:ascii="Book Antiqua" w:eastAsia="Arial" w:hAnsi="Book Antiqua" w:cs="Arial"/>
          <w:color w:val="auto"/>
        </w:rPr>
        <w:t xml:space="preserve">. Therefore, it is critical that additional attention is paid to </w:t>
      </w:r>
      <w:r w:rsidR="00933902" w:rsidRPr="00F56726">
        <w:rPr>
          <w:rFonts w:ascii="Book Antiqua" w:eastAsia="Arial" w:hAnsi="Book Antiqua" w:cs="Arial"/>
          <w:color w:val="auto"/>
        </w:rPr>
        <w:t xml:space="preserve">ensuring that these AYA achieve mastery of HCT skills, to </w:t>
      </w:r>
      <w:r w:rsidR="00997899" w:rsidRPr="00F56726">
        <w:rPr>
          <w:rFonts w:ascii="Book Antiqua" w:eastAsia="Arial" w:hAnsi="Book Antiqua" w:cs="Arial"/>
          <w:color w:val="auto"/>
        </w:rPr>
        <w:t xml:space="preserve">assist them in remaining </w:t>
      </w:r>
      <w:r w:rsidR="00933902" w:rsidRPr="00F56726">
        <w:rPr>
          <w:rFonts w:ascii="Book Antiqua" w:eastAsia="Arial" w:hAnsi="Book Antiqua" w:cs="Arial"/>
          <w:color w:val="auto"/>
        </w:rPr>
        <w:t xml:space="preserve">as </w:t>
      </w:r>
      <w:r w:rsidR="00997899" w:rsidRPr="00F56726">
        <w:rPr>
          <w:rFonts w:ascii="Book Antiqua" w:eastAsia="Arial" w:hAnsi="Book Antiqua" w:cs="Arial"/>
          <w:color w:val="auto"/>
        </w:rPr>
        <w:t>healthy</w:t>
      </w:r>
      <w:r w:rsidR="00933902" w:rsidRPr="00F56726">
        <w:rPr>
          <w:rFonts w:ascii="Book Antiqua" w:eastAsia="Arial" w:hAnsi="Book Antiqua" w:cs="Arial"/>
          <w:color w:val="auto"/>
        </w:rPr>
        <w:t xml:space="preserve"> as possible</w:t>
      </w:r>
      <w:r w:rsidR="00997899" w:rsidRPr="00F56726">
        <w:rPr>
          <w:rFonts w:ascii="Book Antiqua" w:eastAsia="Arial" w:hAnsi="Book Antiqua" w:cs="Arial"/>
          <w:color w:val="auto"/>
        </w:rPr>
        <w:t>.</w:t>
      </w:r>
      <w:r w:rsidR="00933902" w:rsidRPr="00F56726">
        <w:rPr>
          <w:rFonts w:ascii="Book Antiqua" w:eastAsia="Arial" w:hAnsi="Book Antiqua" w:cs="Arial"/>
          <w:color w:val="auto"/>
        </w:rPr>
        <w:t xml:space="preserve"> Given the disparity in skill </w:t>
      </w:r>
      <w:r w:rsidR="00933902" w:rsidRPr="00F56726">
        <w:rPr>
          <w:rFonts w:ascii="Book Antiqua" w:eastAsia="Arial" w:hAnsi="Book Antiqua" w:cs="Arial"/>
          <w:color w:val="auto"/>
        </w:rPr>
        <w:lastRenderedPageBreak/>
        <w:t xml:space="preserve">acquisition, future studies might consider whether current methods of HCT intervention need to be adapted to meet the unique needs of low-income </w:t>
      </w:r>
      <w:r w:rsidR="0028676C" w:rsidRPr="00F56726">
        <w:rPr>
          <w:rFonts w:ascii="Book Antiqua" w:eastAsia="Arial" w:hAnsi="Book Antiqua" w:cs="Arial"/>
          <w:color w:val="auto"/>
        </w:rPr>
        <w:t xml:space="preserve">and non-white </w:t>
      </w:r>
      <w:r w:rsidR="00933902" w:rsidRPr="00F56726">
        <w:rPr>
          <w:rFonts w:ascii="Book Antiqua" w:eastAsia="Arial" w:hAnsi="Book Antiqua" w:cs="Arial"/>
          <w:color w:val="auto"/>
        </w:rPr>
        <w:t>AYA.</w:t>
      </w:r>
      <w:r w:rsidR="0059598A">
        <w:rPr>
          <w:rFonts w:ascii="Book Antiqua" w:eastAsia="Arial" w:hAnsi="Book Antiqua" w:cs="Arial"/>
          <w:color w:val="auto"/>
        </w:rPr>
        <w:t xml:space="preserve">  </w:t>
      </w:r>
    </w:p>
    <w:p w14:paraId="3C428D05" w14:textId="54C49638" w:rsidR="00112D07" w:rsidRPr="00F56726" w:rsidRDefault="00A603C0" w:rsidP="003860D1">
      <w:pPr>
        <w:adjustRightInd w:val="0"/>
        <w:snapToGrid w:val="0"/>
        <w:spacing w:line="360" w:lineRule="auto"/>
        <w:ind w:firstLineChars="100" w:firstLine="240"/>
        <w:jc w:val="both"/>
        <w:rPr>
          <w:rFonts w:ascii="Book Antiqua" w:eastAsia="Arial" w:hAnsi="Book Antiqua" w:cs="Arial"/>
          <w:color w:val="auto"/>
        </w:rPr>
      </w:pPr>
      <w:bookmarkStart w:id="324" w:name="_gjdgxs" w:colFirst="0" w:colLast="0"/>
      <w:bookmarkEnd w:id="324"/>
      <w:r w:rsidRPr="00F56726">
        <w:rPr>
          <w:rFonts w:ascii="Book Antiqua" w:eastAsia="Arial" w:hAnsi="Book Antiqua" w:cs="Arial"/>
          <w:color w:val="auto"/>
        </w:rPr>
        <w:t xml:space="preserve">From a clinical care perspective, it is crucial to account for the finding that independent disease self-management and understanding of health insurance are not mastered until after age </w:t>
      </w:r>
      <w:r w:rsidR="00943E30" w:rsidRPr="00F56726">
        <w:rPr>
          <w:rFonts w:ascii="Book Antiqua" w:eastAsia="Arial" w:hAnsi="Book Antiqua" w:cs="Arial"/>
          <w:color w:val="auto"/>
        </w:rPr>
        <w:t>18</w:t>
      </w:r>
      <w:r w:rsidRPr="00F56726">
        <w:rPr>
          <w:rFonts w:ascii="Book Antiqua" w:eastAsia="Arial" w:hAnsi="Book Antiqua" w:cs="Arial"/>
          <w:color w:val="auto"/>
        </w:rPr>
        <w:t xml:space="preserve">. </w:t>
      </w:r>
      <w:r w:rsidR="00EF669C" w:rsidRPr="00F56726">
        <w:rPr>
          <w:rFonts w:ascii="Book Antiqua" w:eastAsia="Arial" w:hAnsi="Book Antiqua" w:cs="Arial"/>
          <w:color w:val="auto"/>
        </w:rPr>
        <w:t>There is evidence that i</w:t>
      </w:r>
      <w:r w:rsidRPr="00F56726">
        <w:rPr>
          <w:rFonts w:ascii="Book Antiqua" w:eastAsia="Arial" w:hAnsi="Book Antiqua" w:cs="Arial"/>
          <w:color w:val="auto"/>
        </w:rPr>
        <w:t>n the United States,</w:t>
      </w:r>
      <w:r w:rsidR="00B81DE7" w:rsidRPr="00F56726">
        <w:rPr>
          <w:rFonts w:ascii="Book Antiqua" w:eastAsia="Arial" w:hAnsi="Book Antiqua" w:cs="Arial"/>
          <w:color w:val="auto"/>
        </w:rPr>
        <w:t xml:space="preserve"> approximately 60% of young adults ages 18 to 24 live outside the parental home</w:t>
      </w:r>
      <w:r w:rsidR="003860D1" w:rsidRPr="003860D1">
        <w:rPr>
          <w:rFonts w:ascii="Book Antiqua" w:hAnsi="Book Antiqua" w:cs="Arial" w:hint="eastAsia"/>
          <w:color w:val="auto"/>
          <w:vertAlign w:val="superscript"/>
          <w:lang w:eastAsia="zh-CN"/>
        </w:rPr>
        <w:t>[20]</w:t>
      </w:r>
      <w:r w:rsidR="00015BBC" w:rsidRPr="00F56726">
        <w:rPr>
          <w:rFonts w:ascii="Book Antiqua" w:eastAsia="Arial" w:hAnsi="Book Antiqua" w:cs="Arial"/>
          <w:color w:val="auto"/>
        </w:rPr>
        <w:t>.</w:t>
      </w:r>
      <w:r w:rsidRPr="00F56726">
        <w:rPr>
          <w:rFonts w:ascii="Book Antiqua" w:eastAsia="Arial" w:hAnsi="Book Antiqua" w:cs="Arial"/>
          <w:color w:val="auto"/>
        </w:rPr>
        <w:t xml:space="preserve"> Therefore, our finding that AYA with IBD are unlikely to be fully independent in their healthcare by the time of assumed independence presents significant challenges to </w:t>
      </w:r>
      <w:r w:rsidR="002C3C42" w:rsidRPr="00F56726">
        <w:rPr>
          <w:rFonts w:ascii="Book Antiqua" w:eastAsia="Arial" w:hAnsi="Book Antiqua" w:cs="Arial"/>
          <w:color w:val="auto"/>
        </w:rPr>
        <w:t>meeting their health care needs</w:t>
      </w:r>
      <w:r w:rsidRPr="00F56726">
        <w:rPr>
          <w:rFonts w:ascii="Book Antiqua" w:eastAsia="Arial" w:hAnsi="Book Antiqua" w:cs="Arial"/>
          <w:color w:val="auto"/>
        </w:rPr>
        <w:t xml:space="preserve">. </w:t>
      </w:r>
      <w:r w:rsidR="005345FD" w:rsidRPr="00F56726">
        <w:rPr>
          <w:rFonts w:ascii="Book Antiqua" w:eastAsia="Arial" w:hAnsi="Book Antiqua" w:cs="Arial"/>
          <w:color w:val="auto"/>
        </w:rPr>
        <w:t xml:space="preserve">Based on our findings and similar findings in studies cited above, it is important to consider whether mastery of more sophisticated concepts, such as an understanding of health insurance, are too complex for adolescents. </w:t>
      </w:r>
      <w:r w:rsidR="00F05384" w:rsidRPr="00F56726">
        <w:rPr>
          <w:rFonts w:ascii="Book Antiqua" w:eastAsia="Arial" w:hAnsi="Book Antiqua" w:cs="Arial"/>
          <w:color w:val="auto"/>
        </w:rPr>
        <w:t>In some studies, providers have identified psychological and developmental maturity as more important factors in assessing transition readiness that chronological</w:t>
      </w:r>
      <w:r w:rsidR="00833460" w:rsidRPr="00F56726">
        <w:rPr>
          <w:rFonts w:ascii="Book Antiqua" w:eastAsia="Arial" w:hAnsi="Book Antiqua" w:cs="Arial"/>
          <w:color w:val="auto"/>
        </w:rPr>
        <w:t xml:space="preserve"> age</w:t>
      </w:r>
      <w:r w:rsidR="003860D1" w:rsidRPr="003860D1">
        <w:rPr>
          <w:rFonts w:ascii="Book Antiqua" w:hAnsi="Book Antiqua" w:cs="Arial" w:hint="eastAsia"/>
          <w:color w:val="auto"/>
          <w:vertAlign w:val="superscript"/>
          <w:lang w:eastAsia="zh-CN"/>
        </w:rPr>
        <w:t>[</w:t>
      </w:r>
      <w:r w:rsidR="00F05384" w:rsidRPr="003860D1">
        <w:rPr>
          <w:rFonts w:ascii="Book Antiqua" w:eastAsia="Arial" w:hAnsi="Book Antiqua" w:cs="Arial"/>
          <w:color w:val="auto"/>
          <w:vertAlign w:val="superscript"/>
        </w:rPr>
        <w:fldChar w:fldCharType="begin"/>
      </w:r>
      <w:r w:rsidR="00E172FC" w:rsidRPr="003860D1">
        <w:rPr>
          <w:rFonts w:ascii="Book Antiqua" w:eastAsia="Arial" w:hAnsi="Book Antiqua" w:cs="Arial"/>
          <w:color w:val="auto"/>
          <w:vertAlign w:val="superscript"/>
        </w:rPr>
        <w:instrText xml:space="preserve"> ADDIN ZOTERO_ITEM CSL_CITATION {"citationID":"25nja896hk","properties":{"formattedCitation":"{\\rtf \\super 21,22\\nosupersub{}}","plainCitation":"21,22"},"citationItems":[{"id":12303,"uris":["http://zotero.org/users/1860880/items/NDFZJ6W2"],"uri":["http://zotero.org/users/1860880/items/NDFZJ6W2"],"itemData":{"id":12303,"type":"article-journal","title":"Perspectives of paediatric and adult gastroenterologists on transfer and transition care of adolescents with inflammatory bowel disease","container-title":"Internal Medicine Journal","page":"490-496","volume":"44","issue":"5","source":"Wiley Online Library","abstract":"Background\n\nProgrammes specific to inflammatory bowel disease (IBD) that facilitate transition from paediatric to adult care are currently lacking.\n\n\nAim\n\nWe aimed to explore the perceived needs of adolescents with IBD among paediatric and adult gastroenterologists and to identify barriers to effective transition.\n\n\nMethods\n\nA web-based survey of paediatric and adult gastroenterologists in Australia and New Zealand employed both ranked items (Likert scale; from 1 not important to 5 very important) and forced choice items regarding the importance of various factors in faciitating effective transition of adolescents from paediatric to adult care.\n\n\nResults\n\nResponse rate among 178 clinicians was 41%. Only 23% of respondents felt that adolescents with IBD were adequately prepared for transition to adult care. Psychological maturity (Mean = 4.3, standard deviation (SD) = 0.70) and readiness as assessed by adult caregiver (Mean = 4, SD = 0.72) were prioritised as the most important factors in determining timing of transfer. Self-efficacy and readiness as assessed by adult caregiver were considered the two most important factors to determine timing of transition by both groups of gastroenterologists. Poor medical and surgical handover (Mean = 4.10, SD = 0.8) and patients' lack of responsibility for their own care (Mean= 4.10, SD = 0.82) were perceived as major barriers to successful transition by both paediatric and adult gastroenterologists.\n\n\nConclusions\n\nDeficiencies exist in current transition care of adolescents with IBD in Australia and New Zealand. Standardising transition care practices with strategies aimed at optimising communication, patient education, self-efficacy and adherence may improve outcomes.","DOI":"10.1111/imj.12402","ISSN":"1445-5994","journalAbbreviation":"Intern Med J","language":"en","author":[{"family":"Wright","given":"E. K."},{"family":"Williams","given":"J."},{"family":"Andrews","given":"J. M."},{"family":"Day","given":"A. S."},{"family":"Gearry","given":"R. B."},{"family":"Bampton","given":"P."},{"family":"Moore","given":"D."},{"family":"Lemberg","given":"D."},{"family":"Ravikumaran","given":"R."},{"family":"Wilson","given":"J."},{"family":"Lewindon","given":"P."},{"family":"Radford-Smith","given":"G."},{"family":"Rosenbaum","given":"J."},{"family":"Catto-Smith","given":"A."},{"family":"Desmond","given":"P. V."},{"family":"Connell","given":"W. R."},{"family":"Cameron","given":"D."},{"family":"Alex","given":"G."},{"family":"Bell","given":"S. J."},{"family":"De Cruz","given":"P."}],"issued":{"date-parts":[["2014",5,1]]}},"label":"page"},{"id":1075,"uris":["http://zotero.org/users/1860880/items/W4CJF28H"],"uri":["http://zotero.org/users/1860880/items/W4CJF28H"],"itemData":{"id":1075,"type":"article-journal","title":"Barriers and Facilitators to Successful Transition from Pediatric to Adult Inflammatory Bowel Disease Care from the Perspectives of Providers:","container-title":"Inflammatory Bowel Diseases","page":"2083-2091","volume":"20","issue":"11","source":"CrossRef","DOI":"10.1097/MIB.0000000000000136","ISSN":"1078-0998","shortTitle":"Barriers and Facilitators to Successful Transition from Pediatric to Adult Inflammatory Bowel Disease Care from the Perspectives of Providers","language":"en","author":[{"family":"Paine","given":"Christine W."},{"family":"Stollon","given":"Natalie B."},{"family":"Lucas","given":"Matthew S."},{"family":"Brumley","given":"Lauren D."},{"family":"Poole","given":"Erika S."},{"family":"Peyton","given":"Tamara"},{"family":"Grant","given":"Anne W."},{"family":"Jan","given":"Sophia"},{"family":"Trachtenberg","given":"Symme"},{"family":"Zander","given":"Miriam"},{"family":"Mamula","given":"Petar"},{"family":"Bonafide","given":"Christopher P."},{"family":"Schwartz","given":"Lisa A."}],"issued":{"date-parts":[["2014",11]]}},"label":"page"}],"schema":"https://github.com/citation-style-language/schema/raw/master/csl-citation.json"} </w:instrText>
      </w:r>
      <w:r w:rsidR="00F05384" w:rsidRPr="003860D1">
        <w:rPr>
          <w:rFonts w:ascii="Book Antiqua" w:eastAsia="Arial" w:hAnsi="Book Antiqua" w:cs="Arial"/>
          <w:color w:val="auto"/>
          <w:vertAlign w:val="superscript"/>
        </w:rPr>
        <w:fldChar w:fldCharType="separate"/>
      </w:r>
      <w:r w:rsidR="00E172FC" w:rsidRPr="003860D1">
        <w:rPr>
          <w:rFonts w:ascii="Book Antiqua" w:eastAsia="Times New Roman" w:hAnsi="Book Antiqua" w:cs="Arial"/>
          <w:color w:val="auto"/>
          <w:vertAlign w:val="superscript"/>
        </w:rPr>
        <w:t>21,22</w:t>
      </w:r>
      <w:r w:rsidR="00F05384" w:rsidRPr="003860D1">
        <w:rPr>
          <w:rFonts w:ascii="Book Antiqua" w:eastAsia="Arial" w:hAnsi="Book Antiqua" w:cs="Arial"/>
          <w:color w:val="auto"/>
          <w:vertAlign w:val="superscript"/>
        </w:rPr>
        <w:fldChar w:fldCharType="end"/>
      </w:r>
      <w:r w:rsidR="003860D1" w:rsidRPr="003860D1">
        <w:rPr>
          <w:rFonts w:ascii="Book Antiqua" w:hAnsi="Book Antiqua" w:cs="Arial" w:hint="eastAsia"/>
          <w:color w:val="auto"/>
          <w:vertAlign w:val="superscript"/>
          <w:lang w:eastAsia="zh-CN"/>
        </w:rPr>
        <w:t>]</w:t>
      </w:r>
      <w:r w:rsidR="00CA4762" w:rsidRPr="00F56726">
        <w:rPr>
          <w:rFonts w:ascii="Book Antiqua" w:eastAsia="Arial" w:hAnsi="Book Antiqua" w:cs="Arial"/>
          <w:color w:val="auto"/>
        </w:rPr>
        <w:t>. Additionally, s</w:t>
      </w:r>
      <w:r w:rsidR="00691928" w:rsidRPr="00F56726">
        <w:rPr>
          <w:rFonts w:ascii="Book Antiqua" w:eastAsia="Arial" w:hAnsi="Book Antiqua" w:cs="Arial"/>
          <w:color w:val="auto"/>
        </w:rPr>
        <w:t xml:space="preserve">tudies on </w:t>
      </w:r>
      <w:r w:rsidR="002112DB" w:rsidRPr="00F56726">
        <w:rPr>
          <w:rFonts w:ascii="Book Antiqua" w:eastAsia="Arial" w:hAnsi="Book Antiqua" w:cs="Arial"/>
          <w:color w:val="auto"/>
        </w:rPr>
        <w:t>neurological</w:t>
      </w:r>
      <w:r w:rsidR="00691928" w:rsidRPr="00F56726">
        <w:rPr>
          <w:rFonts w:ascii="Book Antiqua" w:eastAsia="Arial" w:hAnsi="Book Antiqua" w:cs="Arial"/>
          <w:color w:val="auto"/>
        </w:rPr>
        <w:t xml:space="preserve"> development show that the brain does not mature until young adulthood</w:t>
      </w:r>
      <w:r w:rsidR="003860D1" w:rsidRPr="003860D1">
        <w:rPr>
          <w:rFonts w:ascii="Book Antiqua" w:hAnsi="Book Antiqua" w:cs="Arial" w:hint="eastAsia"/>
          <w:color w:val="auto"/>
          <w:vertAlign w:val="superscript"/>
          <w:lang w:eastAsia="zh-CN"/>
        </w:rPr>
        <w:t>[</w:t>
      </w:r>
      <w:r w:rsidR="002112DB" w:rsidRPr="003860D1">
        <w:rPr>
          <w:rFonts w:ascii="Book Antiqua" w:eastAsia="Arial" w:hAnsi="Book Antiqua" w:cs="Arial"/>
          <w:color w:val="auto"/>
          <w:vertAlign w:val="superscript"/>
        </w:rPr>
        <w:fldChar w:fldCharType="begin"/>
      </w:r>
      <w:r w:rsidR="00E172FC" w:rsidRPr="003860D1">
        <w:rPr>
          <w:rFonts w:ascii="Book Antiqua" w:eastAsia="Arial" w:hAnsi="Book Antiqua" w:cs="Arial"/>
          <w:color w:val="auto"/>
          <w:vertAlign w:val="superscript"/>
        </w:rPr>
        <w:instrText xml:space="preserve"> ADDIN ZOTERO_ITEM CSL_CITATION {"citationID":"1gocsfu5h6","properties":{"formattedCitation":"{\\rtf \\super 23,24\\nosupersub{}}","plainCitation":"23,24"},"citationItems":[{"id":560,"uris":["http://zotero.org/users/1860880/items/R82CSZBM"],"uri":["http://zotero.org/users/1860880/items/R82CSZBM"],"itemData":{"id":560,"type":"article-journal","title":"Dynamic mapping of human cortical development during childhood through early adulthood","container-title":"Proceedings of the National Academy of Sciences of the United States of America","page":"8174-8179","volume":"101","issue":"21","source":"proxy.library.upenn.edu:2159","abstract":"We report the dynamic anatomical sequence of human cortical gray matter development between the age of 4–21 years using quantitative four-dimensional maps and time-lapse sequences. Thirteen healthy children for whom anatomic brain MRI scans were obtained every 2 years, for 8–10 years, were studied. By using models of the cortical surface and sulcal landmarks and a statistical model for gray matter density, human cortical development could be visualized across the age range in a spatiotemporally detailed time-lapse sequence. The resulting time-lapse “movies” reveal that (i) higher-order association cortices mature only after lower-order somatosensory and visual cortices, the functions of which they integrate, are developed, and (ii) phylogenetically older brain areas mature earlier than newer ones. Direct comparison with normal cortical development may help understanding of some neurodevelopmental disorders such as childhood-onset schizophrenia or autism.","DOI":"10.1073/pnas.0402680101","ISSN":"0027-8424, 1091-6490","note":"PMID: 15148381","journalAbbreviation":"PNAS","language":"en","author":[{"family":"Gogtay","given":"Nitin"},{"family":"Giedd","given":"Jay N."},{"family":"Lusk","given":"Leslie"},{"family":"Hayashi","given":"Kiralee M."},{"family":"Greenstein","given":"Deanna"},{"family":"Vaituzis","given":"A. Catherine"},{"family":"Nugent","given":"Tom F."},{"family":"Herman","given":"David H."},{"family":"Clasen","given":"Liv S."},{"family":"Toga","given":"Arthur W."},{"family":"Rapoport","given":"Judith L."},{"family":"Thompson","given":"Paul M."}],"issued":{"date-parts":[["2004",5,25]]}},"label":"page"},{"id":208,"uris":["http://zotero.org/users/1860880/items/JMPHU6UQ"],"uri":["http://zotero.org/users/1860880/items/JMPHU6UQ"],"itemData":{"id":208,"type":"article-journal","title":"Emotional and cognitive changes during adolescence","container-title":"Current Opinion in Neurobiology","page":"251-257","volume":"17","abstract":"Adolescence is a critical period for maturation of neurobiological processes that underlie higher cognitive functions and social and emotional behavior. Recent studies have applied new advances in magnetic resonance imaging to increase understanding of the neurobiological changes that occur during the transition from childhood to early adulthood. Structural imaging data indicate progressive and regressive changes in the relative volumes of specific brain regions, although total brain volume is not significantly altered. The prefrontal cortex matures later than other regions and its development is paralleled by increased abilities in abstract reasoning, attentional shifting, response inhibition and processing speed. Changes in emotional capacity, including improvements in affective modulation and discrimination of emotional cues, are also seen during adolescence. Functional imaging studies using cognitive and affective challenges have shown that frontal cortical networks undergo developmental changes in processing. In summary, brain regions that underlie attention, reward evaluation, affective discrimination, response inhibition and goal-directed behavior undergo structural and functional re-organization throughout late childhood and early adulthood. Evidence from recent imaging studies supports a model by which the frontal cortex adopts an increasingly regulatory role. These neurobiological changes are believed to contribute, in part, to the range in cognitive and affective behavior seen during adolescence.","DOI":"10.1016/j.conb.2007.03.009","journalAbbreviation":"Curr Opin Neurobiol","author":[{"family":"Yurgelun-Todd","given":"Deborah"}],"issued":{"date-parts":[["2007"]]}},"label":"page"}],"schema":"https://github.com/citation-style-language/schema/raw/master/csl-citation.json"} </w:instrText>
      </w:r>
      <w:r w:rsidR="002112DB" w:rsidRPr="003860D1">
        <w:rPr>
          <w:rFonts w:ascii="Book Antiqua" w:eastAsia="Arial" w:hAnsi="Book Antiqua" w:cs="Arial"/>
          <w:color w:val="auto"/>
          <w:vertAlign w:val="superscript"/>
        </w:rPr>
        <w:fldChar w:fldCharType="separate"/>
      </w:r>
      <w:r w:rsidR="00E172FC" w:rsidRPr="003860D1">
        <w:rPr>
          <w:rFonts w:ascii="Book Antiqua" w:eastAsia="Times New Roman" w:hAnsi="Book Antiqua" w:cs="Arial"/>
          <w:color w:val="auto"/>
          <w:vertAlign w:val="superscript"/>
        </w:rPr>
        <w:t>23,24</w:t>
      </w:r>
      <w:r w:rsidR="002112DB" w:rsidRPr="003860D1">
        <w:rPr>
          <w:rFonts w:ascii="Book Antiqua" w:eastAsia="Arial" w:hAnsi="Book Antiqua" w:cs="Arial"/>
          <w:color w:val="auto"/>
          <w:vertAlign w:val="superscript"/>
        </w:rPr>
        <w:fldChar w:fldCharType="end"/>
      </w:r>
      <w:r w:rsidR="003860D1" w:rsidRPr="003860D1">
        <w:rPr>
          <w:rFonts w:ascii="Book Antiqua" w:hAnsi="Book Antiqua" w:cs="Arial" w:hint="eastAsia"/>
          <w:color w:val="auto"/>
          <w:vertAlign w:val="superscript"/>
          <w:lang w:eastAsia="zh-CN"/>
        </w:rPr>
        <w:t>]</w:t>
      </w:r>
      <w:r w:rsidR="00691928" w:rsidRPr="00F56726">
        <w:rPr>
          <w:rFonts w:ascii="Book Antiqua" w:eastAsia="Arial" w:hAnsi="Book Antiqua" w:cs="Arial"/>
          <w:color w:val="auto"/>
        </w:rPr>
        <w:t>. The prefrontal cortex, responsible for executive functioning and goal orientation, is one of the last to mature</w:t>
      </w:r>
      <w:r w:rsidR="003860D1" w:rsidRPr="003860D1">
        <w:rPr>
          <w:rFonts w:ascii="Book Antiqua" w:hAnsi="Book Antiqua" w:cs="Arial" w:hint="eastAsia"/>
          <w:color w:val="auto"/>
          <w:vertAlign w:val="superscript"/>
          <w:lang w:eastAsia="zh-CN"/>
        </w:rPr>
        <w:t>[</w:t>
      </w:r>
      <w:r w:rsidR="00AF08E3" w:rsidRPr="003860D1">
        <w:rPr>
          <w:rFonts w:ascii="Book Antiqua" w:eastAsia="Arial" w:hAnsi="Book Antiqua" w:cs="Arial"/>
          <w:color w:val="auto"/>
          <w:vertAlign w:val="superscript"/>
        </w:rPr>
        <w:fldChar w:fldCharType="begin"/>
      </w:r>
      <w:r w:rsidR="00E172FC" w:rsidRPr="003860D1">
        <w:rPr>
          <w:rFonts w:ascii="Book Antiqua" w:eastAsia="Arial" w:hAnsi="Book Antiqua" w:cs="Arial"/>
          <w:color w:val="auto"/>
          <w:vertAlign w:val="superscript"/>
        </w:rPr>
        <w:instrText xml:space="preserve"> ADDIN ZOTERO_ITEM CSL_CITATION {"citationID":"26h1f53olq","properties":{"formattedCitation":"{\\rtf \\super 24\\uc0\\u8211{}27\\nosupersub{}}","plainCitation":"24–27"},"citationItems":[{"id":208,"uris":["http://zotero.org/users/1860880/items/JMPHU6UQ"],"uri":["http://zotero.org/users/1860880/items/JMPHU6UQ"],"itemData":{"id":208,"type":"article-journal","title":"Emotional and cognitive changes during adolescence","container-title":"Current Opinion in Neurobiology","page":"251-257","volume":"17","abstract":"Adolescence is a critical period for maturation of neurobiological processes that underlie higher cognitive functions and social and emotional behavior. Recent studies have applied new advances in magnetic resonance imaging to increase understanding of the neurobiological changes that occur during the transition from childhood to early adulthood. Structural imaging data indicate progressive and regressive changes in the relative volumes of specific brain regions, although total brain volume is not significantly altered. The prefrontal cortex matures later than other regions and its development is paralleled by increased abilities in abstract reasoning, attentional shifting, response inhibition and processing speed. Changes in emotional capacity, including improvements in affective modulation and discrimination of emotional cues, are also seen during adolescence. Functional imaging studies using cognitive and affective challenges have shown that frontal cortical networks undergo developmental changes in processing. In summary, brain regions that underlie attention, reward evaluation, affective discrimination, response inhibition and goal-directed behavior undergo structural and functional re-organization throughout late childhood and early adulthood. Evidence from recent imaging studies supports a model by which the frontal cortex adopts an increasingly regulatory role. These neurobiological changes are believed to contribute, in part, to the range in cognitive and affective behavior seen during adolescence.","DOI":"10.1016/j.conb.2007.03.009","journalAbbreviation":"Curr Opin Neurobiol","author":[{"family":"Yurgelun-Todd","given":"Deborah"}],"issued":{"date-parts":[["2007"]]}},"label":"page"},{"id":229,"uris":["http://zotero.org/users/1860880/items/Z4DGXIH9"],"uri":["http://zotero.org/users/1860880/items/Z4DGXIH9"],"itemData":{"id":229,"type":"article-journal","title":"What has fMRI told us about the Development of Cognitive Control through Adolescence?","container-title":"Brain and Cognition","page":"101-113","volume":"72","abstract":"Cognitive control, the ability to voluntarily guide our behavior, continues to improve throughout adolescence. Below we review the literature on age-related changes in brain function related to response inhibition and working memory, which support cognitive control. Findings from studies using functional magnetic resonance imaging (fMRI) indicate that processing errors, sustaining a cognitive control state, and reaching adult levels of precision, persist through adolescence. Developmental changes in patterns of brain function suggest that core regions of the circuitry underlying cognitive control are on-line early in development. However, age-related changes in localized processes across the brain, and in establishing long range connections that support top-down modulation of behavior, more effective neural processing for optimal mature executive function. While great progress has been made in understanding the age-related changes in brain processes underlying cognitive development, there are still important challenges in developmental neuroimaging methods and the interpretation of data that need to be addressed.","DOI":"10.1016/j.bandc.2009.08.005","journalAbbreviation":"Brain Cogn","author":[{"family":"Luna","given":"Beatriz"},{"family":"Padmanabhan","given":"Aarthi"},{"family":"O'Hearn","given":"Kirsten"}]},"label":"page"},{"id":188,"uris":["http://zotero.org/users/1860880/items/2EXE38Q3"],"uri":["http://zotero.org/users/1860880/items/2EXE38Q3"],"itemData":{"id":188,"type":"article-journal","title":"Development of relational reasoning during adolescence","container-title":"Developmental Science","page":"F15-F24","volume":"13","issue":"6","abstract":"Non-linear changes in behaviour and in brain activity during adolescent development have been reported in a variety of cognitive tasks. These developmental changes are often interpreted as being a consequence of changes in brain structure, including non- linear changes in grey matter volumes, which occur during adolescence. However, very few studies have attempted to combine behavioural, functional and structural data. This multi-method approach is the one we took in the current study, which was designed to investigate developmental changes in behaviour and brain activity during relational reasoning, the simultaneous integration of multiple relations. We used a relational reasoning task known to recruit rostrolateral prefrontal cortex (RLPFC), a region that undergoes substantial structural changes during adolescence. The task was administered to female participants in a behavioural (N = 178, 7–27 years) and an fMRI study (N = 37, 11–30 years). Non-linear changes in accuracy were observed, with poorer performance during mid-adolescence. fMRI and VBM results revealed a complex picture of linear and possibly non- linear changes with age. Performance and structural changes partly accounted for changes with age in RLPFC and medial superior frontal gyrus activity but not for a decrease in activation in the anterior insula⁄frontal operculum between mid- adolescence and adulthood. These functional changes might instead reflect the maturation of neurocognitive strategies.","DOI":"10.1111/j.1467-7687.2010.01014.x","shortTitle":"Dev Sci","author":[{"family":"Dumontheil","given":"Iroise"},{"family":"Houlton","given":"Rachael"},{"family":"Christoff","given":"Kalina"},{"family":"Blakemore","given":"Sarah-Jayne"}],"issued":{"date-parts":[["2010"]]}},"label":"page"},{"id":196,"uris":["http://zotero.org/users/1860880/items/88KFUPZ9"],"uri":["http://zotero.org/users/1860880/items/88KFUPZ9"],"itemData":{"id":196,"type":"article-journal","title":"The neurobiology of adolescence: Changes in brain architecture, functional dynamics, and behavioral tendencies","container-title":"Neuroscience and Biobehavioral Reviews","page":"1704-1712","volume":"35","abstract":"Adolescence is a period of increased behavioral and psychiatric vulnerabilities. It is also a time of dramatic structural and functional neurodevelopment. In recent years studies have examined the precise nature of these brain and behavioral changes, and several hypotheses link them together. In this review we discuss this research and recent electrophysiological data from behaving rats that demonstrate reduced neuronal\ncoordination and processing efficiency in adolescents. A more comprehensive understanding of these processes will further our knowledge of adolescent behavioral vulnerabilities and the pathophysiology of mental illnesses that manifest during this period.","DOI":"10.1016/j.neubiorev.2011.04.003","journalAbbreviation":"Neurosci Biobehav Rev","author":[{"family":"Sturman","given":"David A"},{"family":"Moghaddam","given":"Bita"}],"issued":{"date-parts":[["2011"]]}},"label":"page"}],"schema":"https://github.com/citation-style-language/schema/raw/master/csl-citation.json"} </w:instrText>
      </w:r>
      <w:r w:rsidR="00AF08E3" w:rsidRPr="003860D1">
        <w:rPr>
          <w:rFonts w:ascii="Book Antiqua" w:eastAsia="Arial" w:hAnsi="Book Antiqua" w:cs="Arial"/>
          <w:color w:val="auto"/>
          <w:vertAlign w:val="superscript"/>
        </w:rPr>
        <w:fldChar w:fldCharType="separate"/>
      </w:r>
      <w:r w:rsidR="00E172FC" w:rsidRPr="003860D1">
        <w:rPr>
          <w:rFonts w:ascii="Book Antiqua" w:eastAsia="Times New Roman" w:hAnsi="Book Antiqua" w:cs="Arial"/>
          <w:color w:val="auto"/>
          <w:vertAlign w:val="superscript"/>
        </w:rPr>
        <w:t>24–27</w:t>
      </w:r>
      <w:r w:rsidR="00AF08E3" w:rsidRPr="003860D1">
        <w:rPr>
          <w:rFonts w:ascii="Book Antiqua" w:eastAsia="Arial" w:hAnsi="Book Antiqua" w:cs="Arial"/>
          <w:color w:val="auto"/>
          <w:vertAlign w:val="superscript"/>
        </w:rPr>
        <w:fldChar w:fldCharType="end"/>
      </w:r>
      <w:r w:rsidR="003860D1" w:rsidRPr="003860D1">
        <w:rPr>
          <w:rFonts w:ascii="Book Antiqua" w:hAnsi="Book Antiqua" w:cs="Arial" w:hint="eastAsia"/>
          <w:color w:val="auto"/>
          <w:vertAlign w:val="superscript"/>
          <w:lang w:eastAsia="zh-CN"/>
        </w:rPr>
        <w:t>]</w:t>
      </w:r>
      <w:r w:rsidR="00691928" w:rsidRPr="00F56726">
        <w:rPr>
          <w:rFonts w:ascii="Book Antiqua" w:eastAsia="Arial" w:hAnsi="Book Antiqua" w:cs="Arial"/>
          <w:color w:val="auto"/>
        </w:rPr>
        <w:t xml:space="preserve">. </w:t>
      </w:r>
      <w:r w:rsidR="00833460" w:rsidRPr="00F56726">
        <w:rPr>
          <w:rFonts w:ascii="Book Antiqua" w:eastAsia="Arial" w:hAnsi="Book Antiqua" w:cs="Arial"/>
          <w:color w:val="auto"/>
        </w:rPr>
        <w:t>Navigating some of the complex systems of the US healthcare system, such as health insurance and reimbursement,</w:t>
      </w:r>
      <w:r w:rsidR="00691928" w:rsidRPr="00F56726">
        <w:rPr>
          <w:rFonts w:ascii="Book Antiqua" w:eastAsia="Arial" w:hAnsi="Book Antiqua" w:cs="Arial"/>
          <w:color w:val="auto"/>
        </w:rPr>
        <w:t xml:space="preserve"> require</w:t>
      </w:r>
      <w:r w:rsidR="00833460" w:rsidRPr="00F56726">
        <w:rPr>
          <w:rFonts w:ascii="Book Antiqua" w:eastAsia="Arial" w:hAnsi="Book Antiqua" w:cs="Arial"/>
          <w:color w:val="auto"/>
        </w:rPr>
        <w:t>s</w:t>
      </w:r>
      <w:r w:rsidR="00691928" w:rsidRPr="00F56726">
        <w:rPr>
          <w:rFonts w:ascii="Book Antiqua" w:eastAsia="Arial" w:hAnsi="Book Antiqua" w:cs="Arial"/>
          <w:color w:val="auto"/>
        </w:rPr>
        <w:t xml:space="preserve"> a relatively high level of executive functioning, so it is possible that adolescents are simply not yet cognitively equipped to master these skills before they reach young adulthood. Conversely, it is possible that AYA do not develop these skills at a younger age because their parents and healthcare team do not have an expectation</w:t>
      </w:r>
      <w:r w:rsidR="005345FD" w:rsidRPr="00F56726">
        <w:rPr>
          <w:rFonts w:ascii="Book Antiqua" w:eastAsia="Arial" w:hAnsi="Book Antiqua" w:cs="Arial"/>
          <w:color w:val="auto"/>
        </w:rPr>
        <w:t xml:space="preserve"> </w:t>
      </w:r>
      <w:r w:rsidR="00691928" w:rsidRPr="00F56726">
        <w:rPr>
          <w:rFonts w:ascii="Book Antiqua" w:eastAsia="Arial" w:hAnsi="Book Antiqua" w:cs="Arial"/>
          <w:color w:val="auto"/>
        </w:rPr>
        <w:t>that adolescents participate in these</w:t>
      </w:r>
      <w:r w:rsidR="005345FD" w:rsidRPr="00F56726">
        <w:rPr>
          <w:rFonts w:ascii="Book Antiqua" w:eastAsia="Arial" w:hAnsi="Book Antiqua" w:cs="Arial"/>
          <w:color w:val="auto"/>
        </w:rPr>
        <w:t xml:space="preserve"> responsibilities. Some studies suggest that parental management of health issues may even act as a barrier to HCT skill mastery</w:t>
      </w:r>
      <w:r w:rsidR="00994BCD" w:rsidRPr="00994BCD">
        <w:rPr>
          <w:rFonts w:ascii="Book Antiqua" w:hAnsi="Book Antiqua" w:cs="Arial" w:hint="eastAsia"/>
          <w:color w:val="auto"/>
          <w:vertAlign w:val="superscript"/>
          <w:lang w:eastAsia="zh-CN"/>
        </w:rPr>
        <w:t>[</w:t>
      </w:r>
      <w:r w:rsidR="000759BF" w:rsidRPr="00994BCD">
        <w:rPr>
          <w:rFonts w:ascii="Book Antiqua" w:eastAsia="Arial" w:hAnsi="Book Antiqua" w:cs="Arial"/>
          <w:color w:val="auto"/>
          <w:vertAlign w:val="superscript"/>
        </w:rPr>
        <w:fldChar w:fldCharType="begin"/>
      </w:r>
      <w:r w:rsidR="00E172FC" w:rsidRPr="00994BCD">
        <w:rPr>
          <w:rFonts w:ascii="Book Antiqua" w:eastAsia="Arial" w:hAnsi="Book Antiqua" w:cs="Arial"/>
          <w:color w:val="auto"/>
          <w:vertAlign w:val="superscript"/>
        </w:rPr>
        <w:instrText xml:space="preserve"> ADDIN ZOTERO_ITEM CSL_CITATION {"citationID":"21odevad2","properties":{"formattedCitation":"{\\rtf \\super 22,28\\nosupersub{}}","plainCitation":"22,28"},"citationItems":[{"id":1075,"uris":["http://zotero.org/users/1860880/items/W4CJF28H"],"uri":["http://zotero.org/users/1860880/items/W4CJF28H"],"itemData":{"id":1075,"type":"article-journal","title":"Barriers and Facilitators to Successful Transition from Pediatric to Adult Inflammatory Bowel Disease Care from the Perspectives of Providers:","container-title":"Inflammatory Bowel Diseases","page":"2083-2091","volume":"20","issue":"11","source":"CrossRef","DOI":"10.1097/MIB.0000000000000136","ISSN":"1078-0998","shortTitle":"Barriers and Facilitators to Successful Transition from Pediatric to Adult Inflammatory Bowel Disease Care from the Perspectives of Providers","language":"en","author":[{"family":"Paine","given":"Christine W."},{"family":"Stollon","given":"Natalie B."},{"family":"Lucas","given":"Matthew S."},{"family":"Brumley","given":"Lauren D."},{"family":"Poole","given":"Erika S."},{"family":"Peyton","given":"Tamara"},{"family":"Grant","given":"Anne W."},{"family":"Jan","given":"Sophia"},{"family":"Trachtenberg","given":"Symme"},{"family":"Zander","given":"Miriam"},{"family":"Mamula","given":"Petar"},{"family":"Bonafide","given":"Christopher P."},{"family":"Schwartz","given":"Lisa A."}],"issued":{"date-parts":[["2014",11]]}},"label":"page"},{"id":1152,"uris":["http://zotero.org/users/1860880/items/VF6E6PKJ"],"uri":["http://zotero.org/users/1860880/items/VF6E6PKJ"],"itemData":{"id":1152,"type":"article-journal","title":"What is the perceived nature of parental care and support for young people with cystic fibrosis as they enter adult health services?","container-title":"Health &amp; Social Care in the Community","page":"21-29","volume":"18","issue":"1","source":"PubMed","abstract":"The majority of those diagnosed with cystic fibrosis (CF) now live to adulthood. In response to increased survival age, transition services have been developed to ensure smooth transfer from paediatric to adult specialist healthcare, although the majority of treatment and care continues to be delivered in the home. However, little is known about how young adults and staff conceptualise the nature of the parental role after young people have left paediatric care. The aim of this study is to explore the nature of parental support that is perceived to be available at this time. As part of a larger study of transitional care, semi-structured interviews were conducted with 50 young people with CF aged 13-24 years (32 with experience of transition and/or adult CF services) and 23 specialist healthcare professionals (14 working in adult care) across two CF centres in Southeast England. Interviews took place in young people's homes or within CF services, using a topic guide and were recorded, transcribed and analysed thematically. Four domains of perceived parental support were identified by the young people interviewed, with varying degrees of continuity into adult care: (1) Providing non-clinical practical and emotional support; (2) Acting as 'troubleshooters' in times of health-related crisis; (3) Working in partnership with offspring in ongoing disease management in the home and clinic; (4) Acting as 'protectors' of their children. Young people and service staff expressed tensions in managing parental involvement in post-paediatric consultations and the degree to which parents should be aware of their offspring's deteriorating health and social concerns. Parental anxiety and over-involvement was perceived by many young people and staff as unsupportive. We suggest that although health and social care providers are mindful of the tensions that arise for those leaving paediatric services, the place of parental support in adult care is currently contentious for these 'new' ageing populations.","DOI":"10.1111/j.1365-2524.2009.00871.x","ISSN":"1365-2524","note":"PMID: 19637994","journalAbbreviation":"Health Soc Care Community","language":"ENG","author":[{"family":"Iles","given":"Nicola"},{"family":"Lowton","given":"Karen"}],"issued":{"date-parts":[["2010",1]]}},"label":"page"}],"schema":"https://github.com/citation-style-language/schema/raw/master/csl-citation.json"} </w:instrText>
      </w:r>
      <w:r w:rsidR="000759BF" w:rsidRPr="00994BCD">
        <w:rPr>
          <w:rFonts w:ascii="Book Antiqua" w:eastAsia="Arial" w:hAnsi="Book Antiqua" w:cs="Arial"/>
          <w:color w:val="auto"/>
          <w:vertAlign w:val="superscript"/>
        </w:rPr>
        <w:fldChar w:fldCharType="separate"/>
      </w:r>
      <w:r w:rsidR="00E172FC" w:rsidRPr="00994BCD">
        <w:rPr>
          <w:rFonts w:ascii="Book Antiqua" w:eastAsia="Times New Roman" w:hAnsi="Book Antiqua" w:cs="Arial"/>
          <w:color w:val="auto"/>
          <w:vertAlign w:val="superscript"/>
        </w:rPr>
        <w:t>22,28</w:t>
      </w:r>
      <w:r w:rsidR="000759BF" w:rsidRPr="00994BCD">
        <w:rPr>
          <w:rFonts w:ascii="Book Antiqua" w:eastAsia="Arial" w:hAnsi="Book Antiqua" w:cs="Arial"/>
          <w:color w:val="auto"/>
          <w:vertAlign w:val="superscript"/>
        </w:rPr>
        <w:fldChar w:fldCharType="end"/>
      </w:r>
      <w:r w:rsidR="00994BCD" w:rsidRPr="00994BCD">
        <w:rPr>
          <w:rFonts w:ascii="Book Antiqua" w:hAnsi="Book Antiqua" w:cs="Arial" w:hint="eastAsia"/>
          <w:color w:val="auto"/>
          <w:vertAlign w:val="superscript"/>
          <w:lang w:eastAsia="zh-CN"/>
        </w:rPr>
        <w:t>]</w:t>
      </w:r>
      <w:r w:rsidR="005345FD" w:rsidRPr="00F56726">
        <w:rPr>
          <w:rFonts w:ascii="Book Antiqua" w:eastAsia="Arial" w:hAnsi="Book Antiqua" w:cs="Arial"/>
          <w:color w:val="auto"/>
        </w:rPr>
        <w:t>. This may be especially true in older adolescents, as parents can be hesitant to relinquish control of the AYA’s healthcare</w:t>
      </w:r>
      <w:r w:rsidR="003860D1" w:rsidRPr="003860D1">
        <w:rPr>
          <w:rFonts w:ascii="Book Antiqua" w:hAnsi="Book Antiqua" w:cs="Arial" w:hint="eastAsia"/>
          <w:color w:val="auto"/>
          <w:vertAlign w:val="superscript"/>
          <w:lang w:eastAsia="zh-CN"/>
        </w:rPr>
        <w:t>[</w:t>
      </w:r>
      <w:r w:rsidR="00920900" w:rsidRPr="003860D1">
        <w:rPr>
          <w:rFonts w:ascii="Book Antiqua" w:eastAsia="Arial" w:hAnsi="Book Antiqua" w:cs="Arial"/>
          <w:color w:val="auto"/>
          <w:vertAlign w:val="superscript"/>
        </w:rPr>
        <w:fldChar w:fldCharType="begin"/>
      </w:r>
      <w:r w:rsidR="00E172FC" w:rsidRPr="003860D1">
        <w:rPr>
          <w:rFonts w:ascii="Book Antiqua" w:eastAsia="Arial" w:hAnsi="Book Antiqua" w:cs="Arial"/>
          <w:color w:val="auto"/>
          <w:vertAlign w:val="superscript"/>
        </w:rPr>
        <w:instrText xml:space="preserve"> ADDIN ZOTERO_ITEM CSL_CITATION {"citationID":"pkcjp4sgo","properties":{"formattedCitation":"{\\rtf \\super 22,29\\nosupersub{}}","plainCitation":"22,29"},"citationItems":[{"id":1075,"uris":["http://zotero.org/users/1860880/items/W4CJF28H"],"uri":["http://zotero.org/users/1860880/items/W4CJF28H"],"itemData":{"id":1075,"type":"article-journal","title":"Barriers and Facilitators to Successful Transition from Pediatric to Adult Inflammatory Bowel Disease Care from the Perspectives of Providers:","container-title":"Inflammatory Bowel Diseases","page":"2083-2091","volume":"20","issue":"11","source":"CrossRef","DOI":"10.1097/MIB.0000000000000136","ISSN":"1078-0998","shortTitle":"Barriers and Facilitators to Successful Transition from Pediatric to Adult Inflammatory Bowel Disease Care from the Perspectives of Providers","language":"en","author":[{"family":"Paine","given":"Christine W."},{"family":"Stollon","given":"Natalie B."},{"family":"Lucas","given":"Matthew S."},{"family":"Brumley","given":"Lauren D."},{"family":"Poole","given":"Erika S."},{"family":"Peyton","given":"Tamara"},{"family":"Grant","given":"Anne W."},{"family":"Jan","given":"Sophia"},{"family":"Trachtenberg","given":"Symme"},{"family":"Zander","given":"Miriam"},{"family":"Mamula","given":"Petar"},{"family":"Bonafide","given":"Christopher P."},{"family":"Schwartz","given":"Lisa A."}],"issued":{"date-parts":[["2014",11]]}},"label":"page"},{"id":1148,"uris":["http://zotero.org/users/1860880/items/H5G4Q4AA"],"uri":["http://zotero.org/users/1860880/items/H5G4Q4AA"],"itemData":{"id":1148,"type":"article-journal","title":"Parenting a child with chronic illness as they transition into adulthood: A systematic review and thematic synthesis of parents' experiences","container-title":"Patient Education and Counseling","page":"[Epub ahead of print]","source":"PubMed","abstract":"OBJECTIVE: To understand how parents view and experience their role as their child with a long-term physical health condition transitions to adulthood and adult healthcare services.\nMETHODS: Five databases were systematically searched for qualitative articles examining parents' views and experiences of their child's healthcare transition. Papers were quality assessed and thematically synthesised.\nRESULTS: Thirty-two papers from six countries, spanning a 17-year period were included. Long-term conditions were diverse. Findings indicated that parents view their child's progression toward self-care as an incremental process which they seek to facilitate through up-skilling them in self-management practices. Parental perceptions of their child's readiness, wellness, competence and long-term condition impacted on the child' progression to healthcare autonomy. A lack of transitional healthcare and differences between paediatric and adult services served as barriers to effective transition. Parents were required to adjust their role, responsibilities and behaviour to support their child's growing independence.\nCONCLUSION: Parents can be key facilitators of their child's healthcare transition, supporting them to become experts in their own condition and care. To do so, they require clarification on their role and support from service providers.\nPRACTICE IMPLICATIONS: Interventions are needed which address the transitional care needs of parents as well as young people.","DOI":"10.1016/j.pec.2016.08.011","ISSN":"1873-5134","note":"PMID: 27693084","shortTitle":"Parenting a child with chronic illness as they transition into adulthood","journalAbbreviation":"Patient Educ Couns","language":"ENG","author":[{"family":"Heath","given":"Gemma"},{"family":"Farre","given":"Albert"},{"family":"Shaw","given":"Karen"}],"issued":{"date-parts":[["2016"]]}},"label":"page"}],"schema":"https://github.com/citation-style-language/schema/raw/master/csl-citation.json"} </w:instrText>
      </w:r>
      <w:r w:rsidR="00920900" w:rsidRPr="003860D1">
        <w:rPr>
          <w:rFonts w:ascii="Book Antiqua" w:eastAsia="Arial" w:hAnsi="Book Antiqua" w:cs="Arial"/>
          <w:color w:val="auto"/>
          <w:vertAlign w:val="superscript"/>
        </w:rPr>
        <w:fldChar w:fldCharType="separate"/>
      </w:r>
      <w:r w:rsidR="00E172FC" w:rsidRPr="003860D1">
        <w:rPr>
          <w:rFonts w:ascii="Book Antiqua" w:eastAsia="Times New Roman" w:hAnsi="Book Antiqua" w:cs="Arial"/>
          <w:color w:val="auto"/>
          <w:vertAlign w:val="superscript"/>
        </w:rPr>
        <w:t>22,29</w:t>
      </w:r>
      <w:r w:rsidR="00920900" w:rsidRPr="003860D1">
        <w:rPr>
          <w:rFonts w:ascii="Book Antiqua" w:eastAsia="Arial" w:hAnsi="Book Antiqua" w:cs="Arial"/>
          <w:color w:val="auto"/>
          <w:vertAlign w:val="superscript"/>
        </w:rPr>
        <w:fldChar w:fldCharType="end"/>
      </w:r>
      <w:r w:rsidR="003860D1" w:rsidRPr="003860D1">
        <w:rPr>
          <w:rFonts w:ascii="Book Antiqua" w:hAnsi="Book Antiqua" w:cs="Arial" w:hint="eastAsia"/>
          <w:color w:val="auto"/>
          <w:vertAlign w:val="superscript"/>
          <w:lang w:eastAsia="zh-CN"/>
        </w:rPr>
        <w:t>]</w:t>
      </w:r>
      <w:r w:rsidR="005345FD" w:rsidRPr="00F56726">
        <w:rPr>
          <w:rFonts w:ascii="Book Antiqua" w:eastAsia="Arial" w:hAnsi="Book Antiqua" w:cs="Arial"/>
          <w:color w:val="auto"/>
        </w:rPr>
        <w:t xml:space="preserve"> or uncertain about how to do so effectively</w:t>
      </w:r>
      <w:r w:rsidR="003860D1" w:rsidRPr="003860D1">
        <w:rPr>
          <w:rFonts w:ascii="Book Antiqua" w:hAnsi="Book Antiqua" w:cs="Arial" w:hint="eastAsia"/>
          <w:color w:val="auto"/>
          <w:vertAlign w:val="superscript"/>
          <w:lang w:eastAsia="zh-CN"/>
        </w:rPr>
        <w:t>[</w:t>
      </w:r>
      <w:r w:rsidR="00920900" w:rsidRPr="003860D1">
        <w:rPr>
          <w:rFonts w:ascii="Book Antiqua" w:eastAsia="Arial" w:hAnsi="Book Antiqua" w:cs="Arial"/>
          <w:color w:val="auto"/>
          <w:vertAlign w:val="superscript"/>
        </w:rPr>
        <w:fldChar w:fldCharType="begin"/>
      </w:r>
      <w:r w:rsidR="00E172FC" w:rsidRPr="003860D1">
        <w:rPr>
          <w:rFonts w:ascii="Book Antiqua" w:eastAsia="Arial" w:hAnsi="Book Antiqua" w:cs="Arial"/>
          <w:color w:val="auto"/>
          <w:vertAlign w:val="superscript"/>
        </w:rPr>
        <w:instrText xml:space="preserve"> ADDIN ZOTERO_ITEM CSL_CITATION {"citationID":"29dp301i0n","properties":{"formattedCitation":"{\\rtf \\super 30,31\\nosupersub{}}","plainCitation":"30,31"},"citationItems":[{"id":1094,"uris":["http://zotero.org/users/1860880/items/T86VM59V"],"uri":["http://zotero.org/users/1860880/items/T86VM59V"],"itemData":{"id":1094,"type":"article-journal","title":"From controlling to letting go: what are the psychosocial needs of parents of adolescents with a chronic illness?","container-title":"Health Education Research","page":"764-772","volume":"29","issue":"5","source":"her.oxfordjournals.org.offcampus.lib.washington.edu","abstract":"While one of the main objectives of adolescence is to achieve autonomy, for the specific population of adolescents with a chronic illness (CI), the struggle for autonomy is accentuated by the limits implied by their illness. However, little is known concerning the way their parents manage and cope with their children’s autonomy acquisition. Our aim was to identify the needs and preoccupations of parents of adolescents with CI in coping with their children’s autonomy acquisition and to determine whether mothers and fathers coped differently. Using a qualitative approach, 30 parents of adolescents with CI participated in five focus groups. Recruitment took place in five specialized pediatric clinics from our university hospital. Thematic analysis was conducted. Transcript analyses suggested four major categories of preoccupations, those regarding autonomy acquisition, giving or taking on autonomy, shared management of treatment and child’s future. Some aspects implied differences between mothers’ and fathers’ viewpoints and ways of experiencing this period of life. Letting go can be hard for the father, mother, adolescent or all three. Helping one or the other can in turn improve family functioning as a whole. Reported findings may help health professionals better assist parents in managing their child’s acquisition of autonomy.","DOI":"10.1093/her/cyu040","ISSN":"0268-1153, 1465-3648","note":"PMID: 24997206","shortTitle":"From controlling to letting go","journalAbbreviation":"Health Educ. Res.","language":"en","author":[{"family":"Akre","given":"Christina"},{"family":"Suris","given":"Joan-Carles"}],"issued":{"date-parts":[["2014",10,1]]}},"label":"page"},{"id":1156,"uris":["http://zotero.org/users/1860880/items/ZIFMEEQ9"],"uri":["http://zotero.org/users/1860880/items/ZIFMEEQ9"],"itemData":{"id":1156,"type":"article-journal","title":"Crossing the transition chasm: experiences and recommendations for improving transitional care of young adults, parents and providers","container-title":"Child: Care, Health and Development","page":"821-832","volume":"37","issue":"6","source":"PubMed","abstract":"BACKGROUND: Transition from paediatric to adult healthcare has received little attention in the Netherlands. This study aimed to: (i) map experiences with the transfer to adult care of young adults with chronic conditions; and (ii) identify recommendations for transitional care of young adults, their parents and healthcare providers.\nMETHODS: Semi-structured interviews with 24 young adults after transfer (aged 15-22 years; diagnosed with haemophilia, diabetes mellitus, spina bifida, congenital heart disorders, cystic fibrosis, juvenile rheumatoid arthritis or sickle cell disease), 24 parents and 17 healthcare providers. Thematic analysis was performed.\nRESULTS: Only the haemophilia department offered a structured transition programme, most patients had not been prepared for transition. Experiences and views of patients, parents and professionals mainly overlapped and were condensed into four core themes. Two are related to moving to adult care: (1) 'leaving paediatric care is a logical step'. Leaving familiar surroundings was harder for parents than for young adults who displayed a positive 'wait-and-see' attitude; and (2) 'transition is complicated by cultural gaps between paediatric and adult services'. Young adults and parents felt lost after transfer and recommended their peers 'to be alert and involved'. Providers also recognized the cultural chasm between both services and worried about non-compliance, lost to follow-up and lack of independence. Two other themes indicated priorities for improvement: (3) 'better patient and parent preparation' for differences between healthcare settings and for new roles and responsibilities with respect to self-management; and (4) 'more collaboration and personal links' between paediatric and adult care providers.\nCONCLUSIONS: Action is required to cross the chasm between paediatric and adult-oriented care. Preparation for transition should start early and focus on strengthening adolescents' independency without undermining parental involvement. Building bridges between services, gaining trust and investing in new personal relations is a challenge for all parties involved: transition is about responding and bonding.","DOI":"10.1111/j.1365-2214.2011.01261.x","ISSN":"1365-2214","note":"PMID: 22007982","shortTitle":"Crossing the transition chasm","journalAbbreviation":"Child Care Health Dev","language":"ENG","author":[{"family":"Staa","given":"A. L.","non-dropping-particle":"van"},{"family":"Jedeloo","given":"S."},{"family":"Meeteren","given":"J.","non-dropping-particle":"van"},{"family":"Latour","given":"J. M."}],"issued":{"date-parts":[["2011",11]]}},"label":"page"}],"schema":"https://github.com/citation-style-language/schema/raw/master/csl-citation.json"} </w:instrText>
      </w:r>
      <w:r w:rsidR="00920900" w:rsidRPr="003860D1">
        <w:rPr>
          <w:rFonts w:ascii="Book Antiqua" w:eastAsia="Arial" w:hAnsi="Book Antiqua" w:cs="Arial"/>
          <w:color w:val="auto"/>
          <w:vertAlign w:val="superscript"/>
        </w:rPr>
        <w:fldChar w:fldCharType="separate"/>
      </w:r>
      <w:r w:rsidR="00E172FC" w:rsidRPr="003860D1">
        <w:rPr>
          <w:rFonts w:ascii="Book Antiqua" w:eastAsia="Times New Roman" w:hAnsi="Book Antiqua" w:cs="Arial"/>
          <w:color w:val="auto"/>
          <w:vertAlign w:val="superscript"/>
        </w:rPr>
        <w:t>30,31</w:t>
      </w:r>
      <w:r w:rsidR="00920900" w:rsidRPr="003860D1">
        <w:rPr>
          <w:rFonts w:ascii="Book Antiqua" w:eastAsia="Arial" w:hAnsi="Book Antiqua" w:cs="Arial"/>
          <w:color w:val="auto"/>
          <w:vertAlign w:val="superscript"/>
        </w:rPr>
        <w:fldChar w:fldCharType="end"/>
      </w:r>
      <w:r w:rsidR="003860D1" w:rsidRPr="003860D1">
        <w:rPr>
          <w:rFonts w:ascii="Book Antiqua" w:hAnsi="Book Antiqua" w:cs="Arial" w:hint="eastAsia"/>
          <w:color w:val="auto"/>
          <w:vertAlign w:val="superscript"/>
          <w:lang w:eastAsia="zh-CN"/>
        </w:rPr>
        <w:t>]</w:t>
      </w:r>
      <w:r w:rsidR="005345FD" w:rsidRPr="00F56726">
        <w:rPr>
          <w:rFonts w:ascii="Book Antiqua" w:eastAsia="Arial" w:hAnsi="Book Antiqua" w:cs="Arial"/>
          <w:color w:val="auto"/>
        </w:rPr>
        <w:t xml:space="preserve">. Future studies </w:t>
      </w:r>
      <w:r w:rsidR="002112DB" w:rsidRPr="00F56726">
        <w:rPr>
          <w:rFonts w:ascii="Book Antiqua" w:eastAsia="Arial" w:hAnsi="Book Antiqua" w:cs="Arial"/>
          <w:color w:val="auto"/>
        </w:rPr>
        <w:t>may</w:t>
      </w:r>
      <w:r w:rsidR="00691928" w:rsidRPr="00F56726">
        <w:rPr>
          <w:rFonts w:ascii="Book Antiqua" w:eastAsia="Arial" w:hAnsi="Book Antiqua" w:cs="Arial"/>
          <w:color w:val="auto"/>
        </w:rPr>
        <w:t xml:space="preserve"> further examine adolescents’ capac</w:t>
      </w:r>
      <w:r w:rsidR="002112DB" w:rsidRPr="00F56726">
        <w:rPr>
          <w:rFonts w:ascii="Book Antiqua" w:eastAsia="Arial" w:hAnsi="Book Antiqua" w:cs="Arial"/>
          <w:color w:val="auto"/>
        </w:rPr>
        <w:t xml:space="preserve">ity to learn more complex HCT skills. As well, future studies </w:t>
      </w:r>
      <w:r w:rsidR="005345FD" w:rsidRPr="00F56726">
        <w:rPr>
          <w:rFonts w:ascii="Book Antiqua" w:eastAsia="Arial" w:hAnsi="Book Antiqua" w:cs="Arial"/>
          <w:color w:val="auto"/>
        </w:rPr>
        <w:t xml:space="preserve">may </w:t>
      </w:r>
      <w:r w:rsidR="002112DB" w:rsidRPr="00F56726">
        <w:rPr>
          <w:rFonts w:ascii="Book Antiqua" w:eastAsia="Arial" w:hAnsi="Book Antiqua" w:cs="Arial"/>
          <w:color w:val="auto"/>
        </w:rPr>
        <w:t>also investigate</w:t>
      </w:r>
      <w:r w:rsidR="005345FD" w:rsidRPr="00F56726">
        <w:rPr>
          <w:rFonts w:ascii="Book Antiqua" w:eastAsia="Arial" w:hAnsi="Book Antiqua" w:cs="Arial"/>
          <w:color w:val="auto"/>
        </w:rPr>
        <w:t xml:space="preserve"> the parental role further, and develop interventions to assist parents with transferring the responsibility for healthcare skills to their child during adolescence.</w:t>
      </w:r>
      <w:r w:rsidR="00F07741" w:rsidRPr="00F56726">
        <w:rPr>
          <w:rFonts w:ascii="Book Antiqua" w:eastAsia="Arial" w:hAnsi="Book Antiqua" w:cs="Arial"/>
          <w:color w:val="auto"/>
        </w:rPr>
        <w:t xml:space="preserve"> </w:t>
      </w:r>
      <w:r w:rsidRPr="00F56726">
        <w:rPr>
          <w:rFonts w:ascii="Book Antiqua" w:eastAsia="Arial" w:hAnsi="Book Antiqua" w:cs="Arial"/>
          <w:color w:val="auto"/>
        </w:rPr>
        <w:t>Future interventions should focus on assisting AYA in developing mastery of HCT transition s</w:t>
      </w:r>
      <w:r w:rsidR="002C3C42" w:rsidRPr="00F56726">
        <w:rPr>
          <w:rFonts w:ascii="Book Antiqua" w:eastAsia="Arial" w:hAnsi="Book Antiqua" w:cs="Arial"/>
          <w:color w:val="auto"/>
        </w:rPr>
        <w:t>kills before living independently</w:t>
      </w:r>
      <w:r w:rsidRPr="00F56726">
        <w:rPr>
          <w:rFonts w:ascii="Book Antiqua" w:eastAsia="Arial" w:hAnsi="Book Antiqua" w:cs="Arial"/>
          <w:color w:val="auto"/>
        </w:rPr>
        <w:t xml:space="preserve">. This </w:t>
      </w:r>
      <w:r w:rsidR="002112DB" w:rsidRPr="00F56726">
        <w:rPr>
          <w:rFonts w:ascii="Book Antiqua" w:eastAsia="Arial" w:hAnsi="Book Antiqua" w:cs="Arial"/>
          <w:color w:val="auto"/>
        </w:rPr>
        <w:t xml:space="preserve">may </w:t>
      </w:r>
      <w:r w:rsidRPr="00F56726">
        <w:rPr>
          <w:rFonts w:ascii="Book Antiqua" w:eastAsia="Arial" w:hAnsi="Book Antiqua" w:cs="Arial"/>
          <w:color w:val="auto"/>
        </w:rPr>
        <w:t>be done</w:t>
      </w:r>
      <w:r w:rsidR="002112DB" w:rsidRPr="00F56726">
        <w:rPr>
          <w:rFonts w:ascii="Book Antiqua" w:eastAsia="Arial" w:hAnsi="Book Antiqua" w:cs="Arial"/>
          <w:color w:val="auto"/>
        </w:rPr>
        <w:t xml:space="preserve"> effectively</w:t>
      </w:r>
      <w:r w:rsidRPr="00F56726">
        <w:rPr>
          <w:rFonts w:ascii="Book Antiqua" w:eastAsia="Arial" w:hAnsi="Book Antiqua" w:cs="Arial"/>
          <w:color w:val="auto"/>
        </w:rPr>
        <w:t xml:space="preserve"> by leveraging parent</w:t>
      </w:r>
      <w:r w:rsidR="000638A5" w:rsidRPr="00F56726">
        <w:rPr>
          <w:rFonts w:ascii="Book Antiqua" w:eastAsia="Arial" w:hAnsi="Book Antiqua" w:cs="Arial"/>
          <w:color w:val="auto"/>
        </w:rPr>
        <w:t>s</w:t>
      </w:r>
      <w:r w:rsidRPr="00F56726">
        <w:rPr>
          <w:rFonts w:ascii="Book Antiqua" w:eastAsia="Arial" w:hAnsi="Book Antiqua" w:cs="Arial"/>
          <w:color w:val="auto"/>
        </w:rPr>
        <w:t xml:space="preserve"> to help build these skills in their teenage children. </w:t>
      </w:r>
    </w:p>
    <w:p w14:paraId="144224CB" w14:textId="701EBC14" w:rsidR="00112D07" w:rsidRPr="00F56726" w:rsidRDefault="00A603C0" w:rsidP="003860D1">
      <w:pPr>
        <w:adjustRightInd w:val="0"/>
        <w:snapToGrid w:val="0"/>
        <w:spacing w:line="360" w:lineRule="auto"/>
        <w:ind w:firstLineChars="100" w:firstLine="240"/>
        <w:jc w:val="both"/>
        <w:rPr>
          <w:rFonts w:ascii="Book Antiqua" w:hAnsi="Book Antiqua" w:cs="Arial"/>
          <w:color w:val="auto"/>
        </w:rPr>
      </w:pPr>
      <w:r w:rsidRPr="00F56726">
        <w:rPr>
          <w:rFonts w:ascii="Book Antiqua" w:eastAsia="Arial" w:hAnsi="Book Antiqua" w:cs="Arial"/>
          <w:color w:val="auto"/>
        </w:rPr>
        <w:t xml:space="preserve">In summary, our study is one of the first to provide a description of the natural longitudinal course of HCT skill acquisition among AYA with IBD. These findings can be helpful in benchmarking </w:t>
      </w:r>
      <w:r w:rsidRPr="00F56726">
        <w:rPr>
          <w:rFonts w:ascii="Book Antiqua" w:eastAsia="Arial" w:hAnsi="Book Antiqua" w:cs="Arial"/>
          <w:color w:val="auto"/>
        </w:rPr>
        <w:lastRenderedPageBreak/>
        <w:t xml:space="preserve">clinical care and program development. Additionally, our results point to a need to better understand the </w:t>
      </w:r>
      <w:r w:rsidR="0006540F" w:rsidRPr="00F56726">
        <w:rPr>
          <w:rFonts w:ascii="Book Antiqua" w:eastAsia="Arial" w:hAnsi="Book Antiqua" w:cs="Arial"/>
          <w:color w:val="auto"/>
        </w:rPr>
        <w:t xml:space="preserve">reason for skill acquisition at </w:t>
      </w:r>
      <w:r w:rsidRPr="00F56726">
        <w:rPr>
          <w:rFonts w:ascii="Book Antiqua" w:eastAsia="Arial" w:hAnsi="Book Antiqua" w:cs="Arial"/>
          <w:color w:val="auto"/>
        </w:rPr>
        <w:t>different ages and the reasons behind such late mastery of self-management skills and</w:t>
      </w:r>
      <w:r w:rsidR="000638A5" w:rsidRPr="00F56726">
        <w:rPr>
          <w:rFonts w:ascii="Book Antiqua" w:eastAsia="Arial" w:hAnsi="Book Antiqua" w:cs="Arial"/>
          <w:color w:val="auto"/>
        </w:rPr>
        <w:t xml:space="preserve"> knowledge of</w:t>
      </w:r>
      <w:r w:rsidRPr="00F56726">
        <w:rPr>
          <w:rFonts w:ascii="Book Antiqua" w:eastAsia="Arial" w:hAnsi="Book Antiqua" w:cs="Arial"/>
          <w:color w:val="auto"/>
        </w:rPr>
        <w:t xml:space="preserve"> insurance. Further research should examine possible barriers, including parental involvement and/or lack of explicit teaching or intervention in these areas.</w:t>
      </w:r>
    </w:p>
    <w:p w14:paraId="488A31A6" w14:textId="77777777" w:rsidR="00112D07" w:rsidRPr="00F56726" w:rsidRDefault="00112D07" w:rsidP="00A76D85">
      <w:pPr>
        <w:adjustRightInd w:val="0"/>
        <w:snapToGrid w:val="0"/>
        <w:spacing w:line="360" w:lineRule="auto"/>
        <w:jc w:val="both"/>
        <w:rPr>
          <w:rFonts w:ascii="Book Antiqua" w:hAnsi="Book Antiqua" w:cs="Arial"/>
          <w:color w:val="auto"/>
        </w:rPr>
      </w:pPr>
    </w:p>
    <w:p w14:paraId="22E89FFB" w14:textId="77777777" w:rsidR="002E7D1E" w:rsidRPr="00E72F16" w:rsidRDefault="003860D1" w:rsidP="00E72F16">
      <w:pPr>
        <w:adjustRightInd w:val="0"/>
        <w:snapToGrid w:val="0"/>
        <w:spacing w:line="360" w:lineRule="auto"/>
        <w:rPr>
          <w:rFonts w:ascii="Book Antiqua" w:hAnsi="Book Antiqua" w:cs="Arial"/>
          <w:b/>
          <w:color w:val="auto"/>
          <w:lang w:eastAsia="zh-CN"/>
        </w:rPr>
      </w:pPr>
      <w:r w:rsidRPr="00E72F16">
        <w:rPr>
          <w:rFonts w:ascii="Book Antiqua" w:hAnsi="Book Antiqua" w:cs="Arial" w:hint="eastAsia"/>
          <w:b/>
          <w:color w:val="auto"/>
          <w:lang w:eastAsia="zh-CN"/>
        </w:rPr>
        <w:t>COMMENTS</w:t>
      </w:r>
      <w:bookmarkStart w:id="325" w:name="OLE_LINK614"/>
      <w:bookmarkStart w:id="326" w:name="OLE_LINK615"/>
    </w:p>
    <w:p w14:paraId="605E5A79" w14:textId="514E24D1" w:rsidR="002E7D1E" w:rsidRPr="00E72F16" w:rsidRDefault="002E7D1E" w:rsidP="00E72F16">
      <w:pPr>
        <w:adjustRightInd w:val="0"/>
        <w:snapToGrid w:val="0"/>
        <w:spacing w:line="360" w:lineRule="auto"/>
        <w:jc w:val="both"/>
        <w:rPr>
          <w:rFonts w:ascii="Book Antiqua" w:hAnsi="Book Antiqua"/>
          <w:b/>
          <w:bCs/>
          <w:i/>
          <w:lang w:eastAsia="zh-CN"/>
        </w:rPr>
      </w:pPr>
      <w:r w:rsidRPr="00E72F16">
        <w:rPr>
          <w:rFonts w:ascii="Book Antiqua" w:hAnsi="Book Antiqua"/>
          <w:b/>
          <w:bCs/>
          <w:i/>
        </w:rPr>
        <w:t>Background</w:t>
      </w:r>
    </w:p>
    <w:p w14:paraId="481D7EE0" w14:textId="4D272CAB" w:rsidR="000232D9" w:rsidRPr="00E72F16" w:rsidRDefault="000232D9" w:rsidP="00E72F16">
      <w:pPr>
        <w:spacing w:line="360" w:lineRule="auto"/>
      </w:pPr>
      <w:r w:rsidRPr="00E72F16">
        <w:rPr>
          <w:rFonts w:ascii="Book Antiqua" w:eastAsia="Arial" w:hAnsi="Book Antiqua" w:cs="Arial"/>
          <w:color w:val="auto"/>
        </w:rPr>
        <w:t>At least 20% of inflammatory bowel disease (IBD) cases present during childhood or adolescence</w:t>
      </w:r>
      <w:r w:rsidRPr="00E72F16">
        <w:rPr>
          <w:rFonts w:ascii="Book Antiqua" w:eastAsia="Arial" w:hAnsi="Book Antiqua" w:cs="Arial"/>
          <w:color w:val="auto"/>
        </w:rPr>
        <w:fldChar w:fldCharType="begin"/>
      </w:r>
      <w:r w:rsidRPr="00E72F16">
        <w:rPr>
          <w:rFonts w:ascii="Book Antiqua" w:eastAsia="Arial" w:hAnsi="Book Antiqua" w:cs="Arial"/>
          <w:color w:val="auto"/>
        </w:rPr>
        <w:instrText xml:space="preserve"> ADDIN ZOTERO_ITEM CSL_CITATION {"citationID":"xn00DRTI","properties":{"formattedCitation":"{\\rtf \\super 1\\nosupersub{}}","plainCitation":"1"},"citationItems":[{"id":12057,"uris":["http://zotero.org/users/1860880/items/DFQDDGGJ"],"uri":["http://zotero.org/users/1860880/items/DFQDDGGJ"],"itemData":{"id":12057,"type":"article-journal","title":"Inflammatory bowel disease: The difference between children and adults","container-title":"Inflammatory Bowel Diseases","page":"S9-S11","volume":"14","issue":"S2","source":"Wiley Online Library","DOI":"10.1002/ibd.20560","ISSN":"1536-4844","shortTitle":"Inflammatory bowel disease","journalAbbreviation":"Inflamm Bowel Dis","language":"en","author":[{"family":"Kelsen","given":"Judith"},{"family":"Baldassano","given":"Robert N."}],"issued":{"date-parts":[["2008",10,1]]}}}],"schema":"https://github.com/citation-style-language/schema/raw/master/csl-citation.json"} </w:instrText>
      </w:r>
      <w:r w:rsidRPr="00E72F16">
        <w:rPr>
          <w:rFonts w:ascii="Book Antiqua" w:eastAsia="Arial" w:hAnsi="Book Antiqua" w:cs="Arial"/>
          <w:color w:val="auto"/>
        </w:rPr>
        <w:fldChar w:fldCharType="separate"/>
      </w:r>
      <w:r w:rsidRPr="00E72F16">
        <w:rPr>
          <w:rFonts w:ascii="Book Antiqua" w:eastAsia="Times New Roman" w:hAnsi="Book Antiqua" w:cs="Arial"/>
          <w:color w:val="auto"/>
          <w:vertAlign w:val="superscript"/>
        </w:rPr>
        <w:t>1</w:t>
      </w:r>
      <w:r w:rsidRPr="00E72F16">
        <w:rPr>
          <w:rFonts w:ascii="Book Antiqua" w:eastAsia="Arial" w:hAnsi="Book Antiqua" w:cs="Arial"/>
          <w:color w:val="auto"/>
        </w:rPr>
        <w:fldChar w:fldCharType="end"/>
      </w:r>
      <w:r w:rsidRPr="00E72F16">
        <w:rPr>
          <w:rFonts w:ascii="Book Antiqua" w:eastAsia="Arial" w:hAnsi="Book Antiqua" w:cs="Arial"/>
          <w:color w:val="auto"/>
        </w:rPr>
        <w:t xml:space="preserve">. Patients with pediatric-onset IBD tend to have more complicated disease and may require more complex treatment plans than those who acquire IBD in adulthood. Despite the current literature that illustrates a lack of mastery of </w:t>
      </w:r>
      <w:r w:rsidR="00216324" w:rsidRPr="00E72F16">
        <w:rPr>
          <w:rFonts w:ascii="Book Antiqua" w:eastAsia="Arial" w:hAnsi="Book Antiqua" w:cs="Arial"/>
          <w:color w:val="auto"/>
        </w:rPr>
        <w:t xml:space="preserve">healthcare transition (HCT) </w:t>
      </w:r>
      <w:r w:rsidRPr="00E72F16">
        <w:rPr>
          <w:rFonts w:ascii="Book Antiqua" w:eastAsia="Arial" w:hAnsi="Book Antiqua" w:cs="Arial"/>
          <w:color w:val="auto"/>
        </w:rPr>
        <w:t>skills before transfer to adult care, little is known about the natural, longitudinal trajectory of HCT skill acquisition.</w:t>
      </w:r>
    </w:p>
    <w:p w14:paraId="12CC2612" w14:textId="77777777" w:rsidR="000232D9" w:rsidRPr="00E72F16" w:rsidRDefault="000232D9" w:rsidP="00E72F16">
      <w:pPr>
        <w:adjustRightInd w:val="0"/>
        <w:snapToGrid w:val="0"/>
        <w:spacing w:line="360" w:lineRule="auto"/>
        <w:jc w:val="both"/>
        <w:rPr>
          <w:rFonts w:ascii="Book Antiqua" w:hAnsi="Book Antiqua"/>
          <w:b/>
          <w:bCs/>
          <w:i/>
          <w:lang w:eastAsia="zh-CN"/>
        </w:rPr>
      </w:pPr>
    </w:p>
    <w:bookmarkEnd w:id="325"/>
    <w:bookmarkEnd w:id="326"/>
    <w:p w14:paraId="1EC1B43E" w14:textId="77777777" w:rsidR="002E7D1E" w:rsidRPr="00E72F16" w:rsidRDefault="002E7D1E" w:rsidP="00E72F16">
      <w:pPr>
        <w:adjustRightInd w:val="0"/>
        <w:snapToGrid w:val="0"/>
        <w:spacing w:line="360" w:lineRule="auto"/>
        <w:jc w:val="both"/>
        <w:rPr>
          <w:rFonts w:ascii="Book Antiqua" w:hAnsi="Book Antiqua"/>
          <w:b/>
          <w:bCs/>
          <w:i/>
          <w:lang w:eastAsia="zh-CN"/>
        </w:rPr>
      </w:pPr>
      <w:r w:rsidRPr="00E72F16">
        <w:rPr>
          <w:rFonts w:ascii="Book Antiqua" w:hAnsi="Book Antiqua"/>
          <w:b/>
          <w:bCs/>
          <w:i/>
        </w:rPr>
        <w:t>Research frontiers</w:t>
      </w:r>
    </w:p>
    <w:p w14:paraId="1BB134C4" w14:textId="541B6CD0" w:rsidR="00E6066F" w:rsidRPr="00E72F16" w:rsidRDefault="00E6066F" w:rsidP="00E72F16">
      <w:pPr>
        <w:adjustRightInd w:val="0"/>
        <w:snapToGrid w:val="0"/>
        <w:spacing w:line="360" w:lineRule="auto"/>
        <w:jc w:val="both"/>
        <w:rPr>
          <w:rFonts w:ascii="Book Antiqua" w:hAnsi="Book Antiqua" w:cs="Arial"/>
          <w:color w:val="auto"/>
        </w:rPr>
      </w:pPr>
      <w:r w:rsidRPr="00E72F16">
        <w:rPr>
          <w:rFonts w:ascii="Book Antiqua" w:eastAsia="Arial" w:hAnsi="Book Antiqua" w:cs="Arial"/>
          <w:color w:val="auto"/>
        </w:rPr>
        <w:t xml:space="preserve">This paper reports the findings of an observational study of AYA with IBD in a large southeastern university teaching hospital. Through administration of a standardized HCT readiness measure during routine sub-specialty clinical visits, </w:t>
      </w:r>
      <w:r w:rsidRPr="00E72F16">
        <w:rPr>
          <w:rFonts w:ascii="Book Antiqua" w:hAnsi="Book Antiqua" w:cs="Arial" w:hint="eastAsia"/>
          <w:color w:val="auto"/>
          <w:lang w:eastAsia="zh-CN"/>
        </w:rPr>
        <w:t>the authors</w:t>
      </w:r>
      <w:r w:rsidRPr="00E72F16">
        <w:rPr>
          <w:rFonts w:ascii="Book Antiqua" w:eastAsia="Arial" w:hAnsi="Book Antiqua" w:cs="Arial"/>
          <w:color w:val="auto"/>
        </w:rPr>
        <w:t xml:space="preserve"> aimed to describe the age at which AYA with IBD naturally master HCT skills. </w:t>
      </w:r>
    </w:p>
    <w:p w14:paraId="19D8756C" w14:textId="77777777" w:rsidR="00DA0D87" w:rsidRPr="00E72F16" w:rsidRDefault="00DA0D87" w:rsidP="00E72F16">
      <w:pPr>
        <w:adjustRightInd w:val="0"/>
        <w:snapToGrid w:val="0"/>
        <w:spacing w:line="360" w:lineRule="auto"/>
        <w:jc w:val="both"/>
        <w:rPr>
          <w:rFonts w:ascii="Book Antiqua" w:hAnsi="Book Antiqua"/>
          <w:b/>
          <w:bCs/>
          <w:i/>
          <w:lang w:eastAsia="zh-CN"/>
        </w:rPr>
      </w:pPr>
    </w:p>
    <w:p w14:paraId="2C1130A5" w14:textId="77777777" w:rsidR="002E7D1E" w:rsidRPr="00E72F16" w:rsidRDefault="002E7D1E" w:rsidP="00E72F16">
      <w:pPr>
        <w:adjustRightInd w:val="0"/>
        <w:snapToGrid w:val="0"/>
        <w:spacing w:line="360" w:lineRule="auto"/>
        <w:jc w:val="both"/>
        <w:rPr>
          <w:rFonts w:ascii="Book Antiqua" w:hAnsi="Book Antiqua"/>
          <w:b/>
          <w:bCs/>
          <w:i/>
          <w:lang w:eastAsia="zh-CN"/>
        </w:rPr>
      </w:pPr>
      <w:r w:rsidRPr="00E72F16">
        <w:rPr>
          <w:rFonts w:ascii="Book Antiqua" w:hAnsi="Book Antiqua"/>
          <w:b/>
          <w:bCs/>
          <w:i/>
        </w:rPr>
        <w:t xml:space="preserve">Applications </w:t>
      </w:r>
    </w:p>
    <w:p w14:paraId="201D7ACA" w14:textId="25FC66F5" w:rsidR="00DA0D87" w:rsidRPr="00E72F16" w:rsidRDefault="00DA0D87" w:rsidP="00E72F16">
      <w:pPr>
        <w:adjustRightInd w:val="0"/>
        <w:snapToGrid w:val="0"/>
        <w:spacing w:line="360" w:lineRule="auto"/>
        <w:jc w:val="both"/>
        <w:rPr>
          <w:rFonts w:ascii="Book Antiqua" w:hAnsi="Book Antiqua" w:cs="Arial"/>
          <w:color w:val="auto"/>
          <w:lang w:eastAsia="zh-CN"/>
        </w:rPr>
      </w:pPr>
      <w:r w:rsidRPr="00E72F16">
        <w:rPr>
          <w:rFonts w:ascii="Book Antiqua" w:hAnsi="Book Antiqua" w:cs="Arial"/>
          <w:color w:val="auto"/>
        </w:rPr>
        <w:t>This is one of the first studies to describe the longitudinal course of HCT skill acquisition among AYA with IBD, providing benchmarks for evaluating transition interventions.</w:t>
      </w:r>
    </w:p>
    <w:p w14:paraId="5F069B18" w14:textId="77777777" w:rsidR="00DA0D87" w:rsidRPr="00E72F16" w:rsidRDefault="00DA0D87" w:rsidP="00E72F16">
      <w:pPr>
        <w:adjustRightInd w:val="0"/>
        <w:snapToGrid w:val="0"/>
        <w:spacing w:line="360" w:lineRule="auto"/>
        <w:jc w:val="both"/>
        <w:rPr>
          <w:rFonts w:ascii="Book Antiqua" w:hAnsi="Book Antiqua"/>
          <w:b/>
          <w:bCs/>
          <w:i/>
          <w:lang w:eastAsia="zh-CN"/>
        </w:rPr>
      </w:pPr>
    </w:p>
    <w:p w14:paraId="2A83F206" w14:textId="77777777" w:rsidR="002E7D1E" w:rsidRPr="00E72F16" w:rsidRDefault="002E7D1E" w:rsidP="00E72F16">
      <w:pPr>
        <w:adjustRightInd w:val="0"/>
        <w:snapToGrid w:val="0"/>
        <w:spacing w:line="360" w:lineRule="auto"/>
        <w:jc w:val="both"/>
        <w:rPr>
          <w:rFonts w:ascii="Book Antiqua" w:hAnsi="Book Antiqua"/>
          <w:b/>
          <w:bCs/>
          <w:i/>
          <w:lang w:eastAsia="zh-CN"/>
        </w:rPr>
      </w:pPr>
      <w:r w:rsidRPr="00E72F16">
        <w:rPr>
          <w:rFonts w:ascii="Book Antiqua" w:hAnsi="Book Antiqua"/>
          <w:b/>
          <w:bCs/>
          <w:i/>
        </w:rPr>
        <w:t>Peer</w:t>
      </w:r>
      <w:r w:rsidRPr="00E72F16">
        <w:rPr>
          <w:rFonts w:ascii="Book Antiqua" w:hAnsi="Book Antiqua" w:hint="eastAsia"/>
          <w:b/>
          <w:bCs/>
          <w:i/>
          <w:lang w:eastAsia="zh-CN"/>
        </w:rPr>
        <w:t>-</w:t>
      </w:r>
      <w:r w:rsidRPr="00E72F16">
        <w:rPr>
          <w:rFonts w:ascii="Book Antiqua" w:hAnsi="Book Antiqua"/>
          <w:b/>
          <w:bCs/>
          <w:i/>
        </w:rPr>
        <w:t>review</w:t>
      </w:r>
    </w:p>
    <w:p w14:paraId="12C3B92F" w14:textId="56C5FEEC" w:rsidR="00E72F16" w:rsidRPr="00E72F16" w:rsidRDefault="00E72F16" w:rsidP="00E72F16">
      <w:pPr>
        <w:widowControl w:val="0"/>
        <w:autoSpaceDE w:val="0"/>
        <w:autoSpaceDN w:val="0"/>
        <w:adjustRightInd w:val="0"/>
        <w:spacing w:line="360" w:lineRule="auto"/>
        <w:rPr>
          <w:rFonts w:ascii="Book Antiqua" w:hAnsi="Book Antiqua" w:cs="Book Antiqua"/>
        </w:rPr>
      </w:pPr>
      <w:r w:rsidRPr="00E72F16">
        <w:rPr>
          <w:rFonts w:ascii="Book Antiqua" w:hAnsi="Book Antiqua" w:cs="Book Antiqua"/>
        </w:rPr>
        <w:t>The results particularl</w:t>
      </w:r>
      <w:r w:rsidR="0081685B">
        <w:rPr>
          <w:rFonts w:ascii="Book Antiqua" w:hAnsi="Book Antiqua" w:cs="Book Antiqua"/>
        </w:rPr>
        <w:t>y highlight</w:t>
      </w:r>
      <w:r w:rsidRPr="00E72F16">
        <w:rPr>
          <w:rFonts w:ascii="Book Antiqua" w:hAnsi="Book Antiqua" w:cs="Book Antiqua"/>
        </w:rPr>
        <w:t xml:space="preserve"> the need for young</w:t>
      </w:r>
      <w:r w:rsidRPr="00E72F16">
        <w:rPr>
          <w:rFonts w:ascii="Book Antiqua" w:hAnsi="Book Antiqua" w:cs="Book Antiqua" w:hint="eastAsia"/>
          <w:lang w:eastAsia="zh-CN"/>
        </w:rPr>
        <w:t xml:space="preserve"> </w:t>
      </w:r>
      <w:r w:rsidRPr="00E72F16">
        <w:rPr>
          <w:rFonts w:ascii="Book Antiqua" w:hAnsi="Book Antiqua" w:cs="Book Antiqua"/>
        </w:rPr>
        <w:t>person’s services to reach put at least 19-20.</w:t>
      </w:r>
    </w:p>
    <w:p w14:paraId="51DC926D" w14:textId="77777777" w:rsidR="009B298E" w:rsidRDefault="009B298E" w:rsidP="00E72F16">
      <w:pPr>
        <w:adjustRightInd w:val="0"/>
        <w:snapToGrid w:val="0"/>
        <w:spacing w:line="360" w:lineRule="auto"/>
        <w:jc w:val="both"/>
        <w:rPr>
          <w:rFonts w:ascii="Book Antiqua" w:hAnsi="Book Antiqua" w:cs="Arial"/>
          <w:b/>
          <w:color w:val="auto"/>
          <w:highlight w:val="yellow"/>
          <w:lang w:eastAsia="zh-CN"/>
        </w:rPr>
      </w:pPr>
    </w:p>
    <w:p w14:paraId="57B577D2" w14:textId="77777777" w:rsidR="009B298E" w:rsidRDefault="009B298E">
      <w:pPr>
        <w:rPr>
          <w:rFonts w:ascii="Book Antiqua" w:hAnsi="Book Antiqua" w:cs="Arial"/>
          <w:b/>
          <w:color w:val="auto"/>
          <w:highlight w:val="yellow"/>
          <w:lang w:eastAsia="zh-CN"/>
        </w:rPr>
      </w:pPr>
      <w:r>
        <w:rPr>
          <w:rFonts w:ascii="Book Antiqua" w:hAnsi="Book Antiqua" w:cs="Arial"/>
          <w:b/>
          <w:color w:val="auto"/>
          <w:highlight w:val="yellow"/>
          <w:lang w:eastAsia="zh-CN"/>
        </w:rPr>
        <w:br w:type="page"/>
      </w:r>
    </w:p>
    <w:p w14:paraId="1C34F2AB" w14:textId="77777777" w:rsidR="009B298E" w:rsidRDefault="009B298E" w:rsidP="009B298E">
      <w:pPr>
        <w:adjustRightInd w:val="0"/>
        <w:snapToGrid w:val="0"/>
        <w:spacing w:line="360" w:lineRule="auto"/>
        <w:jc w:val="both"/>
        <w:rPr>
          <w:rFonts w:ascii="Book Antiqua" w:hAnsi="Book Antiqua" w:cs="Arial"/>
          <w:b/>
          <w:color w:val="auto"/>
          <w:lang w:eastAsia="zh-CN"/>
        </w:rPr>
      </w:pPr>
      <w:r w:rsidRPr="009B298E">
        <w:rPr>
          <w:rFonts w:ascii="Book Antiqua" w:hAnsi="Book Antiqua" w:cs="Arial"/>
          <w:b/>
          <w:color w:val="auto"/>
        </w:rPr>
        <w:lastRenderedPageBreak/>
        <w:t>REFERENCES</w:t>
      </w:r>
    </w:p>
    <w:p w14:paraId="149854CD"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 xml:space="preserve">1 </w:t>
      </w:r>
      <w:r w:rsidRPr="0000111E">
        <w:rPr>
          <w:rFonts w:ascii="Book Antiqua" w:hAnsi="Book Antiqua" w:cs="SimSun"/>
          <w:b/>
          <w:lang w:eastAsia="zh-CN"/>
        </w:rPr>
        <w:t>Kelsen J</w:t>
      </w:r>
      <w:r w:rsidRPr="0000111E">
        <w:rPr>
          <w:rFonts w:ascii="Book Antiqua" w:hAnsi="Book Antiqua" w:cs="SimSun"/>
          <w:lang w:eastAsia="zh-CN"/>
        </w:rPr>
        <w:t>, Baldassano RN. Inflammatory bowel disease: The difference between children and adults.</w:t>
      </w:r>
      <w:r w:rsidRPr="0000111E">
        <w:rPr>
          <w:rFonts w:ascii="Book Antiqua" w:hAnsi="Book Antiqua" w:cs="SimSun"/>
          <w:i/>
          <w:lang w:eastAsia="zh-CN"/>
        </w:rPr>
        <w:t xml:space="preserve"> Inflamm Bowel Dis </w:t>
      </w:r>
      <w:r w:rsidRPr="0000111E">
        <w:rPr>
          <w:rFonts w:ascii="Book Antiqua" w:hAnsi="Book Antiqua" w:cs="SimSun"/>
          <w:lang w:eastAsia="zh-CN"/>
        </w:rPr>
        <w:t xml:space="preserve">2008; </w:t>
      </w:r>
      <w:r w:rsidRPr="0000111E">
        <w:rPr>
          <w:rFonts w:ascii="Book Antiqua" w:hAnsi="Book Antiqua" w:cs="SimSun"/>
          <w:b/>
          <w:lang w:eastAsia="zh-CN"/>
        </w:rPr>
        <w:t>14</w:t>
      </w:r>
      <w:r w:rsidRPr="0000111E">
        <w:rPr>
          <w:rFonts w:ascii="Book Antiqua" w:hAnsi="Book Antiqua" w:cs="SimSun"/>
          <w:lang w:eastAsia="zh-CN"/>
        </w:rPr>
        <w:t xml:space="preserve">: S9-S11 </w:t>
      </w:r>
      <w:r w:rsidRPr="0000111E">
        <w:rPr>
          <w:rFonts w:ascii="Book Antiqua" w:hAnsi="Book Antiqua" w:cs="SimSun" w:hint="eastAsia"/>
          <w:lang w:eastAsia="zh-CN"/>
        </w:rPr>
        <w:t>[</w:t>
      </w:r>
      <w:r w:rsidRPr="0000111E">
        <w:rPr>
          <w:rFonts w:ascii="Book Antiqua" w:hAnsi="Book Antiqua" w:cs="SimSun"/>
          <w:lang w:eastAsia="zh-CN"/>
        </w:rPr>
        <w:t>DOI: 10.1002/ibd.20560</w:t>
      </w:r>
      <w:r w:rsidRPr="0000111E">
        <w:rPr>
          <w:rFonts w:ascii="Book Antiqua" w:hAnsi="Book Antiqua" w:cs="SimSun" w:hint="eastAsia"/>
          <w:lang w:eastAsia="zh-CN"/>
        </w:rPr>
        <w:t>]</w:t>
      </w:r>
    </w:p>
    <w:p w14:paraId="32F9F173"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2 </w:t>
      </w:r>
      <w:r w:rsidRPr="0000111E">
        <w:rPr>
          <w:rFonts w:ascii="Book Antiqua" w:hAnsi="Book Antiqua" w:cs="SimSun"/>
          <w:b/>
          <w:bCs/>
          <w:lang w:eastAsia="zh-CN"/>
        </w:rPr>
        <w:t>Ethier KA</w:t>
      </w:r>
      <w:r w:rsidRPr="0000111E">
        <w:rPr>
          <w:rFonts w:ascii="Book Antiqua" w:hAnsi="Book Antiqua" w:cs="SimSun"/>
          <w:lang w:eastAsia="zh-CN"/>
        </w:rPr>
        <w:t>, Harper CR, Hoo E, Dittus PJ. The Longitudinal Impact of Perceptions of Parental Monitoring on Adolescent Initiation of Sexual Activity. </w:t>
      </w:r>
      <w:r w:rsidRPr="0000111E">
        <w:rPr>
          <w:rFonts w:ascii="Book Antiqua" w:hAnsi="Book Antiqua" w:cs="SimSun"/>
          <w:i/>
          <w:iCs/>
          <w:lang w:eastAsia="zh-CN"/>
        </w:rPr>
        <w:t>J Adolesc Health</w:t>
      </w:r>
      <w:r w:rsidRPr="0000111E">
        <w:rPr>
          <w:rFonts w:ascii="Book Antiqua" w:hAnsi="Book Antiqua" w:cs="SimSun"/>
          <w:lang w:eastAsia="zh-CN"/>
        </w:rPr>
        <w:t> 2016; </w:t>
      </w:r>
      <w:r w:rsidRPr="0000111E">
        <w:rPr>
          <w:rFonts w:ascii="Book Antiqua" w:hAnsi="Book Antiqua" w:cs="SimSun"/>
          <w:b/>
          <w:bCs/>
          <w:lang w:eastAsia="zh-CN"/>
        </w:rPr>
        <w:t>59</w:t>
      </w:r>
      <w:r w:rsidRPr="0000111E">
        <w:rPr>
          <w:rFonts w:ascii="Book Antiqua" w:hAnsi="Book Antiqua" w:cs="SimSun"/>
          <w:lang w:eastAsia="zh-CN"/>
        </w:rPr>
        <w:t>: 570-576 [PMID: 27567066 DOI: 10.1016/1054-139X(93)90143-D]</w:t>
      </w:r>
    </w:p>
    <w:p w14:paraId="39B08C5D"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3 </w:t>
      </w:r>
      <w:r w:rsidRPr="0000111E">
        <w:rPr>
          <w:rFonts w:ascii="Book Antiqua" w:hAnsi="Book Antiqua" w:cs="SimSun"/>
          <w:b/>
          <w:bCs/>
          <w:lang w:eastAsia="zh-CN"/>
        </w:rPr>
        <w:t>Baldassano R</w:t>
      </w:r>
      <w:r w:rsidRPr="0000111E">
        <w:rPr>
          <w:rFonts w:ascii="Book Antiqua" w:hAnsi="Book Antiqua" w:cs="SimSun"/>
          <w:lang w:eastAsia="zh-CN"/>
        </w:rPr>
        <w:t>, Ferry G, Griffiths A, Mack D, Markowitz J, Winter H. Transition of the patient with inflammatory bowel disease from pediatric to adult care: recommendations of the North American Society for Pediatric Gastroenterology, Hepatology and Nutrition. </w:t>
      </w:r>
      <w:r w:rsidRPr="0000111E">
        <w:rPr>
          <w:rFonts w:ascii="Book Antiqua" w:hAnsi="Book Antiqua" w:cs="SimSun"/>
          <w:i/>
          <w:iCs/>
          <w:lang w:eastAsia="zh-CN"/>
        </w:rPr>
        <w:t>J Pediatr Gastroenterol Nutr</w:t>
      </w:r>
      <w:r w:rsidRPr="0000111E">
        <w:rPr>
          <w:rFonts w:ascii="Book Antiqua" w:hAnsi="Book Antiqua" w:cs="SimSun"/>
          <w:lang w:eastAsia="zh-CN"/>
        </w:rPr>
        <w:t> 2002; </w:t>
      </w:r>
      <w:r w:rsidRPr="0000111E">
        <w:rPr>
          <w:rFonts w:ascii="Book Antiqua" w:hAnsi="Book Antiqua" w:cs="SimSun"/>
          <w:b/>
          <w:bCs/>
          <w:lang w:eastAsia="zh-CN"/>
        </w:rPr>
        <w:t>34</w:t>
      </w:r>
      <w:r w:rsidRPr="0000111E">
        <w:rPr>
          <w:rFonts w:ascii="Book Antiqua" w:hAnsi="Book Antiqua" w:cs="SimSun"/>
          <w:lang w:eastAsia="zh-CN"/>
        </w:rPr>
        <w:t>: 245-248 [PMID: 11964946]</w:t>
      </w:r>
    </w:p>
    <w:p w14:paraId="45059F7B"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4 </w:t>
      </w:r>
      <w:r w:rsidRPr="0000111E">
        <w:rPr>
          <w:rFonts w:ascii="Book Antiqua" w:hAnsi="Book Antiqua" w:cs="SimSun"/>
          <w:b/>
          <w:bCs/>
          <w:lang w:eastAsia="zh-CN"/>
        </w:rPr>
        <w:t>Leung Y</w:t>
      </w:r>
      <w:r w:rsidRPr="0000111E">
        <w:rPr>
          <w:rFonts w:ascii="Book Antiqua" w:hAnsi="Book Antiqua" w:cs="SimSun"/>
          <w:lang w:eastAsia="zh-CN"/>
        </w:rPr>
        <w:t>, Heyman MB, Mahadevan U. Transitioning the adolescent inflammatory bowel disease patient: guidelines for the adult and pediatric gastroenterologist. </w:t>
      </w:r>
      <w:r w:rsidRPr="0000111E">
        <w:rPr>
          <w:rFonts w:ascii="Book Antiqua" w:hAnsi="Book Antiqua" w:cs="SimSun"/>
          <w:i/>
          <w:iCs/>
          <w:lang w:eastAsia="zh-CN"/>
        </w:rPr>
        <w:t>Inflamm Bowel Dis</w:t>
      </w:r>
      <w:r w:rsidRPr="0000111E">
        <w:rPr>
          <w:rFonts w:ascii="Book Antiqua" w:hAnsi="Book Antiqua" w:cs="SimSun"/>
          <w:lang w:eastAsia="zh-CN"/>
        </w:rPr>
        <w:t> 2011; </w:t>
      </w:r>
      <w:r w:rsidRPr="0000111E">
        <w:rPr>
          <w:rFonts w:ascii="Book Antiqua" w:hAnsi="Book Antiqua" w:cs="SimSun"/>
          <w:b/>
          <w:bCs/>
          <w:lang w:eastAsia="zh-CN"/>
        </w:rPr>
        <w:t>17</w:t>
      </w:r>
      <w:r w:rsidRPr="0000111E">
        <w:rPr>
          <w:rFonts w:ascii="Book Antiqua" w:hAnsi="Book Antiqua" w:cs="SimSun"/>
          <w:lang w:eastAsia="zh-CN"/>
        </w:rPr>
        <w:t>: 2169-2173 [PMID: 21910179 DOI: 10.1002/ibd.21576]</w:t>
      </w:r>
    </w:p>
    <w:p w14:paraId="03C40768"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5 A</w:t>
      </w:r>
      <w:r w:rsidRPr="0000111E">
        <w:rPr>
          <w:rFonts w:ascii="Book Antiqua" w:hAnsi="Book Antiqua" w:cs="SimSun"/>
          <w:b/>
          <w:lang w:eastAsia="zh-CN"/>
        </w:rPr>
        <w:t>merican Academy of Pediatrics</w:t>
      </w:r>
      <w:r w:rsidRPr="0000111E">
        <w:rPr>
          <w:rFonts w:ascii="Book Antiqua" w:hAnsi="Book Antiqua" w:cs="SimSun"/>
          <w:lang w:eastAsia="zh-CN"/>
        </w:rPr>
        <w:t>, American Academy of Family Physicians, Medicine AC of P-AS of IM. A consensus statement on health care transitions for young adults with special health care needs. </w:t>
      </w:r>
      <w:r w:rsidRPr="0000111E">
        <w:rPr>
          <w:rFonts w:ascii="Book Antiqua" w:hAnsi="Book Antiqua" w:cs="SimSun"/>
          <w:i/>
          <w:iCs/>
          <w:lang w:eastAsia="zh-CN"/>
        </w:rPr>
        <w:t>Pediatrics</w:t>
      </w:r>
      <w:r w:rsidRPr="0000111E">
        <w:rPr>
          <w:rFonts w:ascii="Book Antiqua" w:hAnsi="Book Antiqua" w:cs="SimSun"/>
          <w:lang w:eastAsia="zh-CN"/>
        </w:rPr>
        <w:t> 2002; </w:t>
      </w:r>
      <w:r w:rsidRPr="0000111E">
        <w:rPr>
          <w:rFonts w:ascii="Book Antiqua" w:hAnsi="Book Antiqua" w:cs="SimSun"/>
          <w:b/>
          <w:bCs/>
          <w:lang w:eastAsia="zh-CN"/>
        </w:rPr>
        <w:t>110</w:t>
      </w:r>
      <w:r w:rsidRPr="0000111E">
        <w:rPr>
          <w:rFonts w:ascii="Book Antiqua" w:hAnsi="Book Antiqua" w:cs="SimSun"/>
          <w:lang w:eastAsia="zh-CN"/>
        </w:rPr>
        <w:t>: 1304-1306 [PMID: 12456949]</w:t>
      </w:r>
    </w:p>
    <w:p w14:paraId="125CCC78"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6 </w:t>
      </w:r>
      <w:r w:rsidRPr="0000111E">
        <w:rPr>
          <w:rFonts w:ascii="Book Antiqua" w:hAnsi="Book Antiqua" w:cs="SimSun"/>
          <w:b/>
          <w:bCs/>
          <w:lang w:eastAsia="zh-CN"/>
        </w:rPr>
        <w:t>Fishman LN</w:t>
      </w:r>
      <w:r w:rsidRPr="0000111E">
        <w:rPr>
          <w:rFonts w:ascii="Book Antiqua" w:hAnsi="Book Antiqua" w:cs="SimSun"/>
          <w:lang w:eastAsia="zh-CN"/>
        </w:rPr>
        <w:t>, Mitchell PD, Lakin PR, Masciarelli L, Flier SN. Are Expectations Too High for Transitioning Adolescents With Inflammatory Bowel Disease? Examining Adult Medication Knowledge and Self-Management Skills. </w:t>
      </w:r>
      <w:r w:rsidRPr="0000111E">
        <w:rPr>
          <w:rFonts w:ascii="Book Antiqua" w:hAnsi="Book Antiqua" w:cs="SimSun"/>
          <w:i/>
          <w:iCs/>
          <w:lang w:eastAsia="zh-CN"/>
        </w:rPr>
        <w:t>J Pediatr Gastroenterol Nutr</w:t>
      </w:r>
      <w:r w:rsidRPr="0000111E">
        <w:rPr>
          <w:rFonts w:ascii="Book Antiqua" w:hAnsi="Book Antiqua" w:cs="SimSun"/>
          <w:lang w:eastAsia="zh-CN"/>
        </w:rPr>
        <w:t> 2016; </w:t>
      </w:r>
      <w:r w:rsidRPr="0000111E">
        <w:rPr>
          <w:rFonts w:ascii="Book Antiqua" w:hAnsi="Book Antiqua" w:cs="SimSun"/>
          <w:b/>
          <w:bCs/>
          <w:lang w:eastAsia="zh-CN"/>
        </w:rPr>
        <w:t>63</w:t>
      </w:r>
      <w:r w:rsidRPr="0000111E">
        <w:rPr>
          <w:rFonts w:ascii="Book Antiqua" w:hAnsi="Book Antiqua" w:cs="SimSun"/>
          <w:lang w:eastAsia="zh-CN"/>
        </w:rPr>
        <w:t>: 494-499 [PMID: 27280748 DOI: 10.1097/MPG.0000000000001299]</w:t>
      </w:r>
    </w:p>
    <w:p w14:paraId="0D1CC71A" w14:textId="77777777" w:rsidR="0000111E" w:rsidRPr="0000111E" w:rsidRDefault="0000111E" w:rsidP="0000111E">
      <w:pPr>
        <w:widowControl w:val="0"/>
        <w:jc w:val="both"/>
        <w:rPr>
          <w:rFonts w:ascii="Book Antiqua" w:hAnsi="Book Antiqua" w:cs="SimSun"/>
          <w:lang w:eastAsia="zh-CN"/>
        </w:rPr>
      </w:pPr>
      <w:r w:rsidRPr="0000111E">
        <w:rPr>
          <w:rFonts w:ascii="Book Antiqua" w:hAnsi="Book Antiqua" w:cs="SimSun" w:hint="eastAsia"/>
          <w:lang w:eastAsia="zh-CN"/>
        </w:rPr>
        <w:t xml:space="preserve">7 </w:t>
      </w:r>
      <w:r w:rsidRPr="0000111E">
        <w:rPr>
          <w:rFonts w:ascii="Book Antiqua" w:hAnsi="Book Antiqua" w:cs="SimSun"/>
          <w:b/>
          <w:bCs/>
          <w:lang w:eastAsia="zh-CN"/>
        </w:rPr>
        <w:t>Trivedi I</w:t>
      </w:r>
      <w:r w:rsidRPr="0000111E">
        <w:rPr>
          <w:rFonts w:ascii="Book Antiqua" w:hAnsi="Book Antiqua" w:cs="SimSun"/>
          <w:lang w:eastAsia="zh-CN"/>
        </w:rPr>
        <w:t>, Keefer L. The Emerging Adult with Inflammatory Bowel Disease: Challenges and Recommendations for the Adult Gastroenterologist. </w:t>
      </w:r>
      <w:r w:rsidRPr="0000111E">
        <w:rPr>
          <w:rFonts w:ascii="Book Antiqua" w:hAnsi="Book Antiqua" w:cs="SimSun"/>
          <w:i/>
          <w:iCs/>
          <w:lang w:eastAsia="zh-CN"/>
        </w:rPr>
        <w:t>Gastroenterol Res Pract</w:t>
      </w:r>
      <w:r w:rsidRPr="0000111E">
        <w:rPr>
          <w:rFonts w:ascii="Book Antiqua" w:hAnsi="Book Antiqua" w:cs="SimSun"/>
          <w:lang w:eastAsia="zh-CN"/>
        </w:rPr>
        <w:t> 2015; </w:t>
      </w:r>
      <w:r w:rsidRPr="0000111E">
        <w:rPr>
          <w:rFonts w:ascii="Book Antiqua" w:hAnsi="Book Antiqua" w:cs="SimSun"/>
          <w:b/>
          <w:bCs/>
          <w:lang w:eastAsia="zh-CN"/>
        </w:rPr>
        <w:t>2015</w:t>
      </w:r>
      <w:r w:rsidRPr="0000111E">
        <w:rPr>
          <w:rFonts w:ascii="Book Antiqua" w:hAnsi="Book Antiqua" w:cs="SimSun"/>
          <w:lang w:eastAsia="zh-CN"/>
        </w:rPr>
        <w:t>: 260807 [PMID: 26064089 DOI: 10.1155/2015/260807]</w:t>
      </w:r>
    </w:p>
    <w:p w14:paraId="240EEA11" w14:textId="77777777" w:rsidR="0000111E" w:rsidRPr="0000111E" w:rsidRDefault="0000111E" w:rsidP="0000111E">
      <w:pPr>
        <w:spacing w:line="360" w:lineRule="auto"/>
        <w:jc w:val="both"/>
        <w:rPr>
          <w:rFonts w:ascii="Book Antiqua" w:hAnsi="Book Antiqua" w:cs="SimSun"/>
          <w:lang w:eastAsia="zh-CN"/>
        </w:rPr>
      </w:pPr>
    </w:p>
    <w:p w14:paraId="6B365BCD"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hint="eastAsia"/>
          <w:lang w:eastAsia="zh-CN"/>
        </w:rPr>
        <w:t xml:space="preserve">8 </w:t>
      </w:r>
      <w:r w:rsidRPr="0000111E">
        <w:rPr>
          <w:rFonts w:ascii="Book Antiqua" w:hAnsi="Book Antiqua" w:cs="Times New Roman"/>
          <w:b/>
          <w:bCs/>
          <w:kern w:val="2"/>
          <w:lang w:eastAsia="zh-CN"/>
        </w:rPr>
        <w:t>Gray WN</w:t>
      </w:r>
      <w:r w:rsidRPr="0000111E">
        <w:rPr>
          <w:rFonts w:ascii="Book Antiqua" w:hAnsi="Book Antiqua" w:cs="Times New Roman"/>
          <w:kern w:val="2"/>
          <w:lang w:eastAsia="zh-CN"/>
        </w:rPr>
        <w:t>, Holbrook E, Morgan PJ, Saeed SA, Denson LA, Hommel KA. Transition readiness skills acquisition in adolescents and young adults with inflammatory bowel disease: findings from integrating assessment into clinical practice. </w:t>
      </w:r>
      <w:r w:rsidRPr="0000111E">
        <w:rPr>
          <w:rFonts w:ascii="Book Antiqua" w:hAnsi="Book Antiqua" w:cs="Times New Roman"/>
          <w:i/>
          <w:iCs/>
          <w:kern w:val="2"/>
          <w:lang w:eastAsia="zh-CN"/>
        </w:rPr>
        <w:t>Inflamm Bowel Dis</w:t>
      </w:r>
      <w:r w:rsidRPr="0000111E">
        <w:rPr>
          <w:rFonts w:ascii="Book Antiqua" w:hAnsi="Book Antiqua" w:cs="Times New Roman"/>
          <w:kern w:val="2"/>
          <w:lang w:eastAsia="zh-CN"/>
        </w:rPr>
        <w:t> 2015; </w:t>
      </w:r>
      <w:r w:rsidRPr="0000111E">
        <w:rPr>
          <w:rFonts w:ascii="Book Antiqua" w:hAnsi="Book Antiqua" w:cs="Times New Roman"/>
          <w:b/>
          <w:bCs/>
          <w:kern w:val="2"/>
          <w:lang w:eastAsia="zh-CN"/>
        </w:rPr>
        <w:t>21</w:t>
      </w:r>
      <w:r w:rsidRPr="0000111E">
        <w:rPr>
          <w:rFonts w:ascii="Book Antiqua" w:hAnsi="Book Antiqua" w:cs="Times New Roman"/>
          <w:kern w:val="2"/>
          <w:lang w:eastAsia="zh-CN"/>
        </w:rPr>
        <w:t>: 1125-1131 [PMID: 25803505 DOI: 10.1097/MIB.0000000000000352]</w:t>
      </w:r>
    </w:p>
    <w:p w14:paraId="1F6CA835" w14:textId="77777777" w:rsidR="0000111E" w:rsidRPr="0000111E" w:rsidRDefault="0000111E" w:rsidP="0000111E">
      <w:pPr>
        <w:spacing w:line="360" w:lineRule="auto"/>
        <w:jc w:val="both"/>
        <w:rPr>
          <w:rFonts w:ascii="Book Antiqua" w:hAnsi="Book Antiqua" w:cs="Arial"/>
          <w:lang w:eastAsia="zh-CN"/>
        </w:rPr>
      </w:pPr>
      <w:r w:rsidRPr="0000111E">
        <w:rPr>
          <w:rFonts w:ascii="Book Antiqua" w:hAnsi="Book Antiqua" w:cs="SimSun"/>
          <w:lang w:eastAsia="zh-CN"/>
        </w:rPr>
        <w:lastRenderedPageBreak/>
        <w:t xml:space="preserve">9 </w:t>
      </w:r>
      <w:r w:rsidRPr="0000111E">
        <w:rPr>
          <w:rFonts w:ascii="Book Antiqua" w:hAnsi="Book Antiqua" w:cs="Arial"/>
          <w:b/>
          <w:lang w:eastAsia="zh-CN"/>
        </w:rPr>
        <w:t>Cantú-Quintanilla G</w:t>
      </w:r>
      <w:r w:rsidRPr="0000111E">
        <w:rPr>
          <w:rFonts w:ascii="Book Antiqua" w:hAnsi="Book Antiqua" w:cs="Arial"/>
          <w:lang w:eastAsia="zh-CN"/>
        </w:rPr>
        <w:t xml:space="preserve">, Ferris M, Otero A. Validation of the UNC TRxANSITION ScaleTMVersion 3 Among Mexican Adolescents With Chronic Kidney Disease. </w:t>
      </w:r>
      <w:bookmarkStart w:id="327" w:name="OLE_LINK4071"/>
      <w:bookmarkStart w:id="328" w:name="OLE_LINK4072"/>
      <w:r w:rsidRPr="0000111E">
        <w:rPr>
          <w:rFonts w:ascii="Book Antiqua" w:hAnsi="Book Antiqua" w:cs="Arial"/>
          <w:i/>
          <w:lang w:eastAsia="zh-CN"/>
        </w:rPr>
        <w:t xml:space="preserve">J Pediatr Nurs </w:t>
      </w:r>
      <w:r w:rsidRPr="0000111E">
        <w:rPr>
          <w:rFonts w:ascii="Book Antiqua" w:hAnsi="Book Antiqua" w:cs="Arial"/>
          <w:lang w:eastAsia="zh-CN"/>
        </w:rPr>
        <w:t>2015;</w:t>
      </w:r>
      <w:r w:rsidRPr="0000111E">
        <w:rPr>
          <w:rFonts w:ascii="Book Antiqua" w:hAnsi="Book Antiqua" w:cs="Arial"/>
          <w:b/>
          <w:lang w:eastAsia="zh-CN"/>
        </w:rPr>
        <w:t>30</w:t>
      </w:r>
      <w:r w:rsidRPr="0000111E">
        <w:rPr>
          <w:rFonts w:ascii="Book Antiqua" w:hAnsi="Book Antiqua" w:cs="Arial"/>
          <w:lang w:eastAsia="zh-CN"/>
        </w:rPr>
        <w:t>:e71-e81</w:t>
      </w:r>
      <w:bookmarkEnd w:id="327"/>
      <w:bookmarkEnd w:id="328"/>
      <w:r w:rsidRPr="0000111E">
        <w:rPr>
          <w:rFonts w:ascii="Book Antiqua" w:hAnsi="Book Antiqua" w:cs="Arial" w:hint="eastAsia"/>
          <w:lang w:eastAsia="zh-CN"/>
        </w:rPr>
        <w:t xml:space="preserve"> [</w:t>
      </w:r>
      <w:hyperlink r:id="rId8" w:tgtFrame="_blank" w:history="1">
        <w:r w:rsidRPr="0000111E">
          <w:rPr>
            <w:rFonts w:ascii="Book Antiqua" w:hAnsi="Book Antiqua" w:cs="Arial"/>
            <w:color w:val="0000FF"/>
            <w:u w:val="single"/>
            <w:lang w:eastAsia="zh-CN"/>
          </w:rPr>
          <w:t>DOI:10.1016/j.pedn.2015.06.011</w:t>
        </w:r>
      </w:hyperlink>
      <w:r w:rsidRPr="0000111E">
        <w:rPr>
          <w:rFonts w:ascii="Book Antiqua" w:hAnsi="Book Antiqua" w:cs="Arial" w:hint="eastAsia"/>
          <w:lang w:eastAsia="zh-CN"/>
        </w:rPr>
        <w:t>]</w:t>
      </w:r>
    </w:p>
    <w:p w14:paraId="267DBFEA"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10 </w:t>
      </w:r>
      <w:r w:rsidRPr="0000111E">
        <w:rPr>
          <w:rFonts w:ascii="Book Antiqua" w:hAnsi="Book Antiqua" w:cs="SimSun"/>
          <w:b/>
          <w:bCs/>
          <w:lang w:eastAsia="zh-CN"/>
        </w:rPr>
        <w:t>Ferris ME</w:t>
      </w:r>
      <w:r w:rsidRPr="0000111E">
        <w:rPr>
          <w:rFonts w:ascii="Book Antiqua" w:hAnsi="Book Antiqua" w:cs="SimSun"/>
          <w:lang w:eastAsia="zh-CN"/>
        </w:rPr>
        <w:t>, Harward DH, Bickford K, Layton JB, Ferris MT, Hogan SL, Gipson DS, McCoy LP, Hooper SR. A clinical tool to measure the components of health-care transition from pediatric care to adult care: the UNC TR(x)ANSITION scale. </w:t>
      </w:r>
      <w:r w:rsidRPr="0000111E">
        <w:rPr>
          <w:rFonts w:ascii="Book Antiqua" w:hAnsi="Book Antiqua" w:cs="SimSun"/>
          <w:i/>
          <w:iCs/>
          <w:lang w:eastAsia="zh-CN"/>
        </w:rPr>
        <w:t>Ren Fail</w:t>
      </w:r>
      <w:r w:rsidRPr="0000111E">
        <w:rPr>
          <w:rFonts w:ascii="Book Antiqua" w:hAnsi="Book Antiqua" w:cs="SimSun"/>
          <w:lang w:eastAsia="zh-CN"/>
        </w:rPr>
        <w:t> 2012; </w:t>
      </w:r>
      <w:r w:rsidRPr="0000111E">
        <w:rPr>
          <w:rFonts w:ascii="Book Antiqua" w:hAnsi="Book Antiqua" w:cs="SimSun"/>
          <w:b/>
          <w:bCs/>
          <w:lang w:eastAsia="zh-CN"/>
        </w:rPr>
        <w:t>34</w:t>
      </w:r>
      <w:r w:rsidRPr="0000111E">
        <w:rPr>
          <w:rFonts w:ascii="Book Antiqua" w:hAnsi="Book Antiqua" w:cs="SimSun"/>
          <w:lang w:eastAsia="zh-CN"/>
        </w:rPr>
        <w:t>: 744-753 [PMID: 22583152 DOI: 10.3109/0886022X.2012.678171]</w:t>
      </w:r>
    </w:p>
    <w:p w14:paraId="41383280"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11 </w:t>
      </w:r>
      <w:r w:rsidRPr="0000111E">
        <w:rPr>
          <w:rFonts w:ascii="Book Antiqua" w:hAnsi="Book Antiqua" w:cs="SimSun"/>
          <w:b/>
          <w:bCs/>
          <w:lang w:eastAsia="zh-CN"/>
        </w:rPr>
        <w:t>Fishman LN</w:t>
      </w:r>
      <w:r w:rsidRPr="0000111E">
        <w:rPr>
          <w:rFonts w:ascii="Book Antiqua" w:hAnsi="Book Antiqua" w:cs="SimSun"/>
          <w:lang w:eastAsia="zh-CN"/>
        </w:rPr>
        <w:t>, Barendse RM, Hait E, Burdick C, Arnold J. Self-management of older adolescents with inflammatory bowel disease: a pilot study of behavior and knowledge as prelude to transition. </w:t>
      </w:r>
      <w:r w:rsidRPr="0000111E">
        <w:rPr>
          <w:rFonts w:ascii="Book Antiqua" w:hAnsi="Book Antiqua" w:cs="SimSun"/>
          <w:i/>
          <w:iCs/>
          <w:lang w:eastAsia="zh-CN"/>
        </w:rPr>
        <w:t>Clin Pediatr (Phila)</w:t>
      </w:r>
      <w:r w:rsidRPr="0000111E">
        <w:rPr>
          <w:rFonts w:ascii="Book Antiqua" w:hAnsi="Book Antiqua" w:cs="SimSun"/>
          <w:lang w:eastAsia="zh-CN"/>
        </w:rPr>
        <w:t> 2010; </w:t>
      </w:r>
      <w:r w:rsidRPr="0000111E">
        <w:rPr>
          <w:rFonts w:ascii="Book Antiqua" w:hAnsi="Book Antiqua" w:cs="SimSun"/>
          <w:b/>
          <w:bCs/>
          <w:lang w:eastAsia="zh-CN"/>
        </w:rPr>
        <w:t>49</w:t>
      </w:r>
      <w:r w:rsidRPr="0000111E">
        <w:rPr>
          <w:rFonts w:ascii="Book Antiqua" w:hAnsi="Book Antiqua" w:cs="SimSun"/>
          <w:lang w:eastAsia="zh-CN"/>
        </w:rPr>
        <w:t>: 1129-1133 [PMID: 20837627 DOI: 10.1177/0009922810379042]</w:t>
      </w:r>
    </w:p>
    <w:p w14:paraId="23F61EB6"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12 </w:t>
      </w:r>
      <w:r w:rsidRPr="0000111E">
        <w:rPr>
          <w:rFonts w:ascii="Book Antiqua" w:hAnsi="Book Antiqua" w:cs="SimSun"/>
          <w:b/>
          <w:bCs/>
          <w:lang w:eastAsia="zh-CN"/>
        </w:rPr>
        <w:t>Whitfield EP</w:t>
      </w:r>
      <w:r w:rsidRPr="0000111E">
        <w:rPr>
          <w:rFonts w:ascii="Book Antiqua" w:hAnsi="Book Antiqua" w:cs="SimSun"/>
          <w:lang w:eastAsia="zh-CN"/>
        </w:rPr>
        <w:t>, Fredericks EM, Eder SJ, Shpeen BH, Adler J. Transition readiness in pediatric patients with inflammatory bowel disease: patient survey of self-management skills. </w:t>
      </w:r>
      <w:r w:rsidRPr="0000111E">
        <w:rPr>
          <w:rFonts w:ascii="Book Antiqua" w:hAnsi="Book Antiqua" w:cs="SimSun"/>
          <w:i/>
          <w:iCs/>
          <w:lang w:eastAsia="zh-CN"/>
        </w:rPr>
        <w:t>J Pediatr Gastroenterol Nutr</w:t>
      </w:r>
      <w:r w:rsidRPr="0000111E">
        <w:rPr>
          <w:rFonts w:ascii="Book Antiqua" w:hAnsi="Book Antiqua" w:cs="SimSun"/>
          <w:lang w:eastAsia="zh-CN"/>
        </w:rPr>
        <w:t> 2015; </w:t>
      </w:r>
      <w:r w:rsidRPr="0000111E">
        <w:rPr>
          <w:rFonts w:ascii="Book Antiqua" w:hAnsi="Book Antiqua" w:cs="SimSun"/>
          <w:b/>
          <w:bCs/>
          <w:lang w:eastAsia="zh-CN"/>
        </w:rPr>
        <w:t>60</w:t>
      </w:r>
      <w:r w:rsidRPr="0000111E">
        <w:rPr>
          <w:rFonts w:ascii="Book Antiqua" w:hAnsi="Book Antiqua" w:cs="SimSun"/>
          <w:lang w:eastAsia="zh-CN"/>
        </w:rPr>
        <w:t>: 36-41 [PMID: 25199036 DOI: 10.1097/MPG.0000000000000555]</w:t>
      </w:r>
    </w:p>
    <w:p w14:paraId="3404E729"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 xml:space="preserve">13 </w:t>
      </w:r>
      <w:r w:rsidRPr="0000111E">
        <w:rPr>
          <w:rFonts w:ascii="Book Antiqua" w:hAnsi="Book Antiqua" w:cs="SimSun"/>
          <w:b/>
          <w:lang w:eastAsia="zh-CN"/>
        </w:rPr>
        <w:t>Huang JS</w:t>
      </w:r>
      <w:r w:rsidRPr="0000111E">
        <w:rPr>
          <w:rFonts w:ascii="Book Antiqua" w:hAnsi="Book Antiqua" w:cs="SimSun"/>
          <w:lang w:eastAsia="zh-CN"/>
        </w:rPr>
        <w:t xml:space="preserve">, Tobin A, Tompane T. Clinicians poorly assess health literacy-related readiness for transition to adult care in adolescents with inflammatory bowel disease. </w:t>
      </w:r>
      <w:r w:rsidRPr="0000111E">
        <w:rPr>
          <w:rFonts w:ascii="Book Antiqua" w:hAnsi="Book Antiqua" w:cs="SimSun"/>
          <w:i/>
          <w:lang w:eastAsia="zh-CN"/>
        </w:rPr>
        <w:t xml:space="preserve">Clin Gastroenterol Hepatol Off Clin Pract J Am Gastroenterol Assoc </w:t>
      </w:r>
      <w:r w:rsidRPr="0000111E">
        <w:rPr>
          <w:rFonts w:ascii="Book Antiqua" w:hAnsi="Book Antiqua" w:cs="SimSun"/>
          <w:lang w:eastAsia="zh-CN"/>
        </w:rPr>
        <w:t xml:space="preserve">2012; </w:t>
      </w:r>
      <w:r w:rsidRPr="0000111E">
        <w:rPr>
          <w:rFonts w:ascii="Book Antiqua" w:hAnsi="Book Antiqua" w:cs="SimSun"/>
          <w:b/>
          <w:lang w:eastAsia="zh-CN"/>
        </w:rPr>
        <w:t>10</w:t>
      </w:r>
      <w:r w:rsidRPr="0000111E">
        <w:rPr>
          <w:rFonts w:ascii="Book Antiqua" w:hAnsi="Book Antiqua" w:cs="SimSun"/>
          <w:lang w:eastAsia="zh-CN"/>
        </w:rPr>
        <w:t xml:space="preserve">: 626-632 </w:t>
      </w:r>
      <w:r w:rsidRPr="0000111E">
        <w:rPr>
          <w:rFonts w:ascii="Book Antiqua" w:hAnsi="Book Antiqua" w:cs="SimSun" w:hint="eastAsia"/>
          <w:lang w:eastAsia="zh-CN"/>
        </w:rPr>
        <w:t>[</w:t>
      </w:r>
      <w:r w:rsidRPr="0000111E">
        <w:rPr>
          <w:rFonts w:ascii="Book Antiqua" w:hAnsi="Book Antiqua" w:cs="SimSun"/>
          <w:lang w:eastAsia="zh-CN"/>
        </w:rPr>
        <w:t>DOI: 10.1016/j.cgh.2012.02.017</w:t>
      </w:r>
      <w:r w:rsidRPr="0000111E">
        <w:rPr>
          <w:rFonts w:ascii="Book Antiqua" w:hAnsi="Book Antiqua" w:cs="SimSun" w:hint="eastAsia"/>
          <w:lang w:eastAsia="zh-CN"/>
        </w:rPr>
        <w:t>]</w:t>
      </w:r>
    </w:p>
    <w:p w14:paraId="3B24EED4"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14 </w:t>
      </w:r>
      <w:r w:rsidRPr="0000111E">
        <w:rPr>
          <w:rFonts w:ascii="Book Antiqua" w:hAnsi="Book Antiqua" w:cs="SimSun"/>
          <w:b/>
          <w:bCs/>
          <w:lang w:eastAsia="zh-CN"/>
        </w:rPr>
        <w:t>Javalkar K</w:t>
      </w:r>
      <w:r w:rsidRPr="0000111E">
        <w:rPr>
          <w:rFonts w:ascii="Book Antiqua" w:hAnsi="Book Antiqua" w:cs="SimSun"/>
          <w:lang w:eastAsia="zh-CN"/>
        </w:rPr>
        <w:t>, Johnson M, Kshirsagar AV, Ocegueda S, Detwiler RK, Ferris M. Ecological Factors Predict Transition Readiness/Self-Management in Youth With Chronic Conditions. </w:t>
      </w:r>
      <w:r w:rsidRPr="0000111E">
        <w:rPr>
          <w:rFonts w:ascii="Book Antiqua" w:hAnsi="Book Antiqua" w:cs="SimSun"/>
          <w:i/>
          <w:iCs/>
          <w:lang w:eastAsia="zh-CN"/>
        </w:rPr>
        <w:t>J Adolesc Health</w:t>
      </w:r>
      <w:r w:rsidRPr="0000111E">
        <w:rPr>
          <w:rFonts w:ascii="Book Antiqua" w:hAnsi="Book Antiqua" w:cs="SimSun"/>
          <w:lang w:eastAsia="zh-CN"/>
        </w:rPr>
        <w:t> 2016; </w:t>
      </w:r>
      <w:r w:rsidRPr="0000111E">
        <w:rPr>
          <w:rFonts w:ascii="Book Antiqua" w:hAnsi="Book Antiqua" w:cs="SimSun"/>
          <w:b/>
          <w:bCs/>
          <w:lang w:eastAsia="zh-CN"/>
        </w:rPr>
        <w:t>58</w:t>
      </w:r>
      <w:r w:rsidRPr="0000111E">
        <w:rPr>
          <w:rFonts w:ascii="Book Antiqua" w:hAnsi="Book Antiqua" w:cs="SimSun"/>
          <w:lang w:eastAsia="zh-CN"/>
        </w:rPr>
        <w:t>: 40-46 [PMID: 26707228 DOI: 10.1016/j.jadohealth.2015.09.013]</w:t>
      </w:r>
    </w:p>
    <w:p w14:paraId="12EB1A2D"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15 </w:t>
      </w:r>
      <w:r w:rsidRPr="0000111E">
        <w:rPr>
          <w:rFonts w:ascii="Book Antiqua" w:hAnsi="Book Antiqua" w:cs="SimSun"/>
          <w:b/>
          <w:bCs/>
          <w:lang w:eastAsia="zh-CN"/>
        </w:rPr>
        <w:t>McManus MA</w:t>
      </w:r>
      <w:r w:rsidRPr="0000111E">
        <w:rPr>
          <w:rFonts w:ascii="Book Antiqua" w:hAnsi="Book Antiqua" w:cs="SimSun"/>
          <w:lang w:eastAsia="zh-CN"/>
        </w:rPr>
        <w:t>, Pollack LR, Cooley WC, McAllister JW, Lotstein D, Strickland B, Mann MY. Current status of transition preparation among youth with special needs in the United States. </w:t>
      </w:r>
      <w:r w:rsidRPr="0000111E">
        <w:rPr>
          <w:rFonts w:ascii="Book Antiqua" w:hAnsi="Book Antiqua" w:cs="SimSun"/>
          <w:i/>
          <w:iCs/>
          <w:lang w:eastAsia="zh-CN"/>
        </w:rPr>
        <w:t>Pediatrics</w:t>
      </w:r>
      <w:r w:rsidRPr="0000111E">
        <w:rPr>
          <w:rFonts w:ascii="Book Antiqua" w:hAnsi="Book Antiqua" w:cs="SimSun"/>
          <w:lang w:eastAsia="zh-CN"/>
        </w:rPr>
        <w:t> 2013; </w:t>
      </w:r>
      <w:r w:rsidRPr="0000111E">
        <w:rPr>
          <w:rFonts w:ascii="Book Antiqua" w:hAnsi="Book Antiqua" w:cs="SimSun"/>
          <w:b/>
          <w:bCs/>
          <w:lang w:eastAsia="zh-CN"/>
        </w:rPr>
        <w:t>131</w:t>
      </w:r>
      <w:r w:rsidRPr="0000111E">
        <w:rPr>
          <w:rFonts w:ascii="Book Antiqua" w:hAnsi="Book Antiqua" w:cs="SimSun"/>
          <w:lang w:eastAsia="zh-CN"/>
        </w:rPr>
        <w:t>: 1090-1097 [PMID: 23669518 DOI: 10.1542/peds.2012-3050]</w:t>
      </w:r>
    </w:p>
    <w:p w14:paraId="6057FE0C"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16</w:t>
      </w:r>
      <w:r w:rsidRPr="0000111E">
        <w:rPr>
          <w:rFonts w:ascii="Book Antiqua" w:hAnsi="Book Antiqua" w:cs="SimSun"/>
          <w:b/>
          <w:lang w:eastAsia="zh-CN"/>
        </w:rPr>
        <w:t xml:space="preserve"> Lotstein DS</w:t>
      </w:r>
      <w:r w:rsidRPr="0000111E">
        <w:rPr>
          <w:rFonts w:ascii="Book Antiqua" w:hAnsi="Book Antiqua" w:cs="SimSun"/>
          <w:lang w:eastAsia="zh-CN"/>
        </w:rPr>
        <w:t xml:space="preserve">, Kuo AA, Strickland B, Tait F. The Transition to Adult Health Care for Youth With Special Health Care Needs: Do Racial and Ethnic Disparities Exist? </w:t>
      </w:r>
      <w:r w:rsidRPr="0000111E">
        <w:rPr>
          <w:rFonts w:ascii="Book Antiqua" w:hAnsi="Book Antiqua" w:cs="SimSun"/>
          <w:i/>
          <w:lang w:eastAsia="zh-CN"/>
        </w:rPr>
        <w:t>PEDIATRICS</w:t>
      </w:r>
      <w:r w:rsidRPr="0000111E">
        <w:rPr>
          <w:rFonts w:ascii="Book Antiqua" w:hAnsi="Book Antiqua" w:cs="SimSun"/>
          <w:lang w:eastAsia="zh-CN"/>
        </w:rPr>
        <w:t xml:space="preserve"> 2010; </w:t>
      </w:r>
      <w:r w:rsidRPr="0000111E">
        <w:rPr>
          <w:rFonts w:ascii="Book Antiqua" w:hAnsi="Book Antiqua" w:cs="SimSun"/>
          <w:b/>
          <w:lang w:eastAsia="zh-CN"/>
        </w:rPr>
        <w:t>126</w:t>
      </w:r>
      <w:r w:rsidRPr="0000111E">
        <w:rPr>
          <w:rFonts w:ascii="Book Antiqua" w:hAnsi="Book Antiqua" w:cs="SimSun"/>
          <w:lang w:eastAsia="zh-CN"/>
        </w:rPr>
        <w:t xml:space="preserve">: S129-S136 </w:t>
      </w:r>
      <w:r w:rsidRPr="0000111E">
        <w:rPr>
          <w:rFonts w:ascii="Book Antiqua" w:hAnsi="Book Antiqua" w:cs="SimSun" w:hint="eastAsia"/>
          <w:lang w:eastAsia="zh-CN"/>
        </w:rPr>
        <w:t>[</w:t>
      </w:r>
      <w:r w:rsidRPr="0000111E">
        <w:rPr>
          <w:rFonts w:ascii="Book Antiqua" w:hAnsi="Book Antiqua" w:cs="SimSun"/>
          <w:lang w:eastAsia="zh-CN"/>
        </w:rPr>
        <w:t>DOI: 10.1542/peds.2010-1466F</w:t>
      </w:r>
      <w:r w:rsidRPr="0000111E">
        <w:rPr>
          <w:rFonts w:ascii="Book Antiqua" w:hAnsi="Book Antiqua" w:cs="SimSun" w:hint="eastAsia"/>
          <w:lang w:eastAsia="zh-CN"/>
        </w:rPr>
        <w:t>]</w:t>
      </w:r>
    </w:p>
    <w:p w14:paraId="2AB9FA10"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17 </w:t>
      </w:r>
      <w:r w:rsidRPr="0000111E">
        <w:rPr>
          <w:rFonts w:ascii="Book Antiqua" w:hAnsi="Book Antiqua" w:cs="SimSun"/>
          <w:b/>
          <w:bCs/>
          <w:lang w:eastAsia="zh-CN"/>
        </w:rPr>
        <w:t>Richmond N</w:t>
      </w:r>
      <w:r w:rsidRPr="0000111E">
        <w:rPr>
          <w:rFonts w:ascii="Book Antiqua" w:hAnsi="Book Antiqua" w:cs="SimSun"/>
          <w:lang w:eastAsia="zh-CN"/>
        </w:rPr>
        <w:t>, Tran T, Berry S. Receipt of transition services within a medical home: do racial and geographic disparities exist? </w:t>
      </w:r>
      <w:r w:rsidRPr="0000111E">
        <w:rPr>
          <w:rFonts w:ascii="Book Antiqua" w:hAnsi="Book Antiqua" w:cs="SimSun"/>
          <w:i/>
          <w:iCs/>
          <w:lang w:eastAsia="zh-CN"/>
        </w:rPr>
        <w:t>Matern Child Health J</w:t>
      </w:r>
      <w:r w:rsidRPr="0000111E">
        <w:rPr>
          <w:rFonts w:ascii="Book Antiqua" w:hAnsi="Book Antiqua" w:cs="SimSun"/>
          <w:lang w:eastAsia="zh-CN"/>
        </w:rPr>
        <w:t> 2011; </w:t>
      </w:r>
      <w:r w:rsidRPr="0000111E">
        <w:rPr>
          <w:rFonts w:ascii="Book Antiqua" w:hAnsi="Book Antiqua" w:cs="SimSun"/>
          <w:b/>
          <w:bCs/>
          <w:lang w:eastAsia="zh-CN"/>
        </w:rPr>
        <w:t>15</w:t>
      </w:r>
      <w:r w:rsidRPr="0000111E">
        <w:rPr>
          <w:rFonts w:ascii="Book Antiqua" w:hAnsi="Book Antiqua" w:cs="SimSun"/>
          <w:lang w:eastAsia="zh-CN"/>
        </w:rPr>
        <w:t>: 742-752 [PMID: 20602158 DOI: 10.1007/s10995-010-0635-2]</w:t>
      </w:r>
    </w:p>
    <w:p w14:paraId="3BBAFA46"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lastRenderedPageBreak/>
        <w:t>18 </w:t>
      </w:r>
      <w:r w:rsidRPr="0000111E">
        <w:rPr>
          <w:rFonts w:ascii="Book Antiqua" w:hAnsi="Book Antiqua" w:cs="SimSun"/>
          <w:b/>
          <w:bCs/>
          <w:lang w:eastAsia="zh-CN"/>
        </w:rPr>
        <w:t>Richmond NE</w:t>
      </w:r>
      <w:r w:rsidRPr="0000111E">
        <w:rPr>
          <w:rFonts w:ascii="Book Antiqua" w:hAnsi="Book Antiqua" w:cs="SimSun"/>
          <w:lang w:eastAsia="zh-CN"/>
        </w:rPr>
        <w:t>, Tran T, Berry S. Can the Medical Home eliminate racial and ethnic disparities for transition services among Youth with Special Health Care Needs? </w:t>
      </w:r>
      <w:r w:rsidRPr="0000111E">
        <w:rPr>
          <w:rFonts w:ascii="Book Antiqua" w:hAnsi="Book Antiqua" w:cs="SimSun"/>
          <w:i/>
          <w:iCs/>
          <w:lang w:eastAsia="zh-CN"/>
        </w:rPr>
        <w:t>Matern Child Health J</w:t>
      </w:r>
      <w:r w:rsidRPr="0000111E">
        <w:rPr>
          <w:rFonts w:ascii="Book Antiqua" w:hAnsi="Book Antiqua" w:cs="SimSun"/>
          <w:lang w:eastAsia="zh-CN"/>
        </w:rPr>
        <w:t> 2012; </w:t>
      </w:r>
      <w:r w:rsidRPr="0000111E">
        <w:rPr>
          <w:rFonts w:ascii="Book Antiqua" w:hAnsi="Book Antiqua" w:cs="SimSun"/>
          <w:b/>
          <w:bCs/>
          <w:lang w:eastAsia="zh-CN"/>
        </w:rPr>
        <w:t>16</w:t>
      </w:r>
      <w:r w:rsidRPr="0000111E">
        <w:rPr>
          <w:rFonts w:ascii="Book Antiqua" w:hAnsi="Book Antiqua" w:cs="SimSun"/>
          <w:lang w:eastAsia="zh-CN"/>
        </w:rPr>
        <w:t>: 824-833 [PMID: 21505782 DOI: 10.1007/s10995-011-0785-x]</w:t>
      </w:r>
    </w:p>
    <w:p w14:paraId="0F202DB1"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19 </w:t>
      </w:r>
      <w:r w:rsidRPr="0000111E">
        <w:rPr>
          <w:rFonts w:ascii="Book Antiqua" w:hAnsi="Book Antiqua" w:cs="SimSun"/>
          <w:b/>
          <w:bCs/>
          <w:lang w:eastAsia="zh-CN"/>
        </w:rPr>
        <w:t>Braveman PA</w:t>
      </w:r>
      <w:r w:rsidRPr="0000111E">
        <w:rPr>
          <w:rFonts w:ascii="Book Antiqua" w:hAnsi="Book Antiqua" w:cs="SimSun"/>
          <w:lang w:eastAsia="zh-CN"/>
        </w:rPr>
        <w:t>, Cubbin C, Egerter S, Williams DR, Pamuk E. Socioeconomic disparities in health in the United States: what the patterns tell us. </w:t>
      </w:r>
      <w:r w:rsidRPr="0000111E">
        <w:rPr>
          <w:rFonts w:ascii="Book Antiqua" w:hAnsi="Book Antiqua" w:cs="SimSun"/>
          <w:i/>
          <w:iCs/>
          <w:lang w:eastAsia="zh-CN"/>
        </w:rPr>
        <w:t>Am J Public Health</w:t>
      </w:r>
      <w:r w:rsidRPr="0000111E">
        <w:rPr>
          <w:rFonts w:ascii="Book Antiqua" w:hAnsi="Book Antiqua" w:cs="SimSun"/>
          <w:lang w:eastAsia="zh-CN"/>
        </w:rPr>
        <w:t> 2010; </w:t>
      </w:r>
      <w:r w:rsidRPr="0000111E">
        <w:rPr>
          <w:rFonts w:ascii="Book Antiqua" w:hAnsi="Book Antiqua" w:cs="SimSun"/>
          <w:b/>
          <w:bCs/>
          <w:lang w:eastAsia="zh-CN"/>
        </w:rPr>
        <w:t>100 Suppl 1</w:t>
      </w:r>
      <w:r w:rsidRPr="0000111E">
        <w:rPr>
          <w:rFonts w:ascii="Book Antiqua" w:hAnsi="Book Antiqua" w:cs="SimSun"/>
          <w:lang w:eastAsia="zh-CN"/>
        </w:rPr>
        <w:t>: S186-S196 [PMID: 20147693 DOI: 10.2105/AJPH.2009.166082]</w:t>
      </w:r>
    </w:p>
    <w:p w14:paraId="6085A61B"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 xml:space="preserve">20 </w:t>
      </w:r>
      <w:r w:rsidRPr="0000111E">
        <w:rPr>
          <w:rFonts w:ascii="Book Antiqua" w:hAnsi="Book Antiqua" w:cs="SimSun"/>
          <w:b/>
          <w:lang w:eastAsia="zh-CN"/>
        </w:rPr>
        <w:t>Manzoni A</w:t>
      </w:r>
      <w:r w:rsidRPr="0000111E">
        <w:rPr>
          <w:rFonts w:ascii="Book Antiqua" w:hAnsi="Book Antiqua" w:cs="SimSun"/>
          <w:lang w:eastAsia="zh-CN"/>
        </w:rPr>
        <w:t>. Intergenerational Financial Transfers and Young Adults' Transitions In and Out of the Parental Home.</w:t>
      </w:r>
      <w:r w:rsidRPr="0000111E">
        <w:rPr>
          <w:rFonts w:ascii="Book Antiqua" w:hAnsi="Book Antiqua" w:cs="SimSun"/>
          <w:i/>
          <w:lang w:eastAsia="zh-CN"/>
        </w:rPr>
        <w:t xml:space="preserve"> Soc Curr</w:t>
      </w:r>
      <w:r w:rsidRPr="0000111E">
        <w:rPr>
          <w:rFonts w:ascii="Book Antiqua" w:hAnsi="Book Antiqua" w:cs="SimSun"/>
          <w:lang w:eastAsia="zh-CN"/>
        </w:rPr>
        <w:t xml:space="preserve"> 2016;</w:t>
      </w:r>
      <w:r w:rsidRPr="0000111E">
        <w:rPr>
          <w:rFonts w:ascii="Book Antiqua" w:hAnsi="Book Antiqua" w:cs="SimSun"/>
          <w:b/>
          <w:lang w:eastAsia="zh-CN"/>
        </w:rPr>
        <w:t xml:space="preserve"> 3</w:t>
      </w:r>
      <w:r w:rsidRPr="0000111E">
        <w:rPr>
          <w:rFonts w:ascii="Book Antiqua" w:hAnsi="Book Antiqua" w:cs="SimSun"/>
          <w:lang w:eastAsia="zh-CN"/>
        </w:rPr>
        <w:t xml:space="preserve">: 349-366 </w:t>
      </w:r>
      <w:r w:rsidRPr="0000111E">
        <w:rPr>
          <w:rFonts w:ascii="Book Antiqua" w:hAnsi="Book Antiqua" w:cs="SimSun" w:hint="eastAsia"/>
          <w:lang w:eastAsia="zh-CN"/>
        </w:rPr>
        <w:t>[</w:t>
      </w:r>
      <w:r w:rsidRPr="0000111E">
        <w:rPr>
          <w:rFonts w:ascii="Book Antiqua" w:hAnsi="Book Antiqua" w:cs="SimSun"/>
          <w:lang w:eastAsia="zh-CN"/>
        </w:rPr>
        <w:t>DOI: 10.1177/2329496515616822</w:t>
      </w:r>
      <w:r w:rsidRPr="0000111E">
        <w:rPr>
          <w:rFonts w:ascii="Book Antiqua" w:hAnsi="Book Antiqua" w:cs="SimSun" w:hint="eastAsia"/>
          <w:lang w:eastAsia="zh-CN"/>
        </w:rPr>
        <w:t>]</w:t>
      </w:r>
    </w:p>
    <w:p w14:paraId="02424C9A"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hint="eastAsia"/>
          <w:lang w:eastAsia="zh-CN"/>
        </w:rPr>
        <w:t xml:space="preserve">21 </w:t>
      </w:r>
      <w:r w:rsidRPr="0000111E">
        <w:rPr>
          <w:rFonts w:ascii="Book Antiqua" w:hAnsi="Book Antiqua" w:cs="Times New Roman"/>
          <w:b/>
          <w:bCs/>
          <w:kern w:val="2"/>
          <w:lang w:eastAsia="zh-CN"/>
        </w:rPr>
        <w:t>Wright EK</w:t>
      </w:r>
      <w:r w:rsidRPr="0000111E">
        <w:rPr>
          <w:rFonts w:ascii="Book Antiqua" w:hAnsi="Book Antiqua" w:cs="Times New Roman"/>
          <w:kern w:val="2"/>
          <w:lang w:eastAsia="zh-CN"/>
        </w:rPr>
        <w:t>, Williams J, Andrews JM, Day AS, Gearry RB, Bampton P, Moore D, Lemberg D, Ravikumaran R, Wilson J, Lewindon P, Radford-Smith G, Rosenbaum J, Catto-Smith A, Desmond PV, Connell WR, Cameron D, Alex G, Bell SJ, De Cruz P. Perspectives of paediatric and adult gastroenterologists on transfer and transition care of adolescents with inflammatory bowel disease. </w:t>
      </w:r>
      <w:r w:rsidRPr="0000111E">
        <w:rPr>
          <w:rFonts w:ascii="Book Antiqua" w:hAnsi="Book Antiqua" w:cs="Times New Roman"/>
          <w:i/>
          <w:iCs/>
          <w:kern w:val="2"/>
          <w:lang w:eastAsia="zh-CN"/>
        </w:rPr>
        <w:t>Intern Med J</w:t>
      </w:r>
      <w:r w:rsidRPr="0000111E">
        <w:rPr>
          <w:rFonts w:ascii="Book Antiqua" w:hAnsi="Book Antiqua" w:cs="Times New Roman"/>
          <w:kern w:val="2"/>
          <w:lang w:eastAsia="zh-CN"/>
        </w:rPr>
        <w:t> 2014; </w:t>
      </w:r>
      <w:r w:rsidRPr="0000111E">
        <w:rPr>
          <w:rFonts w:ascii="Book Antiqua" w:hAnsi="Book Antiqua" w:cs="Times New Roman"/>
          <w:b/>
          <w:bCs/>
          <w:kern w:val="2"/>
          <w:lang w:eastAsia="zh-CN"/>
        </w:rPr>
        <w:t>44</w:t>
      </w:r>
      <w:r w:rsidRPr="0000111E">
        <w:rPr>
          <w:rFonts w:ascii="Book Antiqua" w:hAnsi="Book Antiqua" w:cs="Times New Roman"/>
          <w:kern w:val="2"/>
          <w:lang w:eastAsia="zh-CN"/>
        </w:rPr>
        <w:t>: 490-496 [PMID: 24589174 DOI: 10.1111/imj.12402]</w:t>
      </w:r>
    </w:p>
    <w:p w14:paraId="44816DE9"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22 </w:t>
      </w:r>
      <w:r w:rsidRPr="0000111E">
        <w:rPr>
          <w:rFonts w:ascii="Book Antiqua" w:hAnsi="Book Antiqua" w:cs="SimSun"/>
          <w:b/>
          <w:bCs/>
          <w:lang w:eastAsia="zh-CN"/>
        </w:rPr>
        <w:t>Paine CW</w:t>
      </w:r>
      <w:r w:rsidRPr="0000111E">
        <w:rPr>
          <w:rFonts w:ascii="Book Antiqua" w:hAnsi="Book Antiqua" w:cs="SimSun"/>
          <w:lang w:eastAsia="zh-CN"/>
        </w:rPr>
        <w:t>, Stollon NB, Lucas MS, Brumley LD, Poole ES, Peyton T, Grant AW, Jan S, Trachtenberg S, Zander M, Mamula P, Bonafide CP, Schwartz LA. Barriers and facilitators to successful transition from pediatric to adult inflammatory bowel disease care from the perspectives of providers. </w:t>
      </w:r>
      <w:r w:rsidRPr="0000111E">
        <w:rPr>
          <w:rFonts w:ascii="Book Antiqua" w:hAnsi="Book Antiqua" w:cs="SimSun"/>
          <w:i/>
          <w:iCs/>
          <w:lang w:eastAsia="zh-CN"/>
        </w:rPr>
        <w:t>Inflamm Bowel Dis</w:t>
      </w:r>
      <w:r w:rsidRPr="0000111E">
        <w:rPr>
          <w:rFonts w:ascii="Book Antiqua" w:hAnsi="Book Antiqua" w:cs="SimSun"/>
          <w:lang w:eastAsia="zh-CN"/>
        </w:rPr>
        <w:t> 2014; </w:t>
      </w:r>
      <w:r w:rsidRPr="0000111E">
        <w:rPr>
          <w:rFonts w:ascii="Book Antiqua" w:hAnsi="Book Antiqua" w:cs="SimSun"/>
          <w:b/>
          <w:bCs/>
          <w:lang w:eastAsia="zh-CN"/>
        </w:rPr>
        <w:t>20</w:t>
      </w:r>
      <w:r w:rsidRPr="0000111E">
        <w:rPr>
          <w:rFonts w:ascii="Book Antiqua" w:hAnsi="Book Antiqua" w:cs="SimSun"/>
          <w:lang w:eastAsia="zh-CN"/>
        </w:rPr>
        <w:t>: 2083-2091 [PMID: 25137417 DOI: 10.1097/MIB.0000000000000136]</w:t>
      </w:r>
    </w:p>
    <w:p w14:paraId="346265CE" w14:textId="77777777" w:rsidR="0000111E" w:rsidRPr="0000111E" w:rsidRDefault="0000111E" w:rsidP="0000111E">
      <w:pPr>
        <w:spacing w:line="360" w:lineRule="auto"/>
        <w:jc w:val="both"/>
        <w:rPr>
          <w:rFonts w:ascii="Book Antiqua" w:hAnsi="Book Antiqua" w:cs="Times New Roman"/>
          <w:kern w:val="2"/>
          <w:lang w:eastAsia="zh-CN"/>
        </w:rPr>
      </w:pPr>
      <w:r w:rsidRPr="0000111E">
        <w:rPr>
          <w:rFonts w:ascii="Book Antiqua" w:hAnsi="Book Antiqua" w:cs="SimSun" w:hint="eastAsia"/>
          <w:lang w:eastAsia="zh-CN"/>
        </w:rPr>
        <w:t xml:space="preserve">23 </w:t>
      </w:r>
      <w:r w:rsidRPr="0000111E">
        <w:rPr>
          <w:rFonts w:ascii="Book Antiqua" w:hAnsi="Book Antiqua" w:cs="Times New Roman"/>
          <w:b/>
          <w:bCs/>
          <w:kern w:val="2"/>
          <w:lang w:eastAsia="zh-CN"/>
        </w:rPr>
        <w:t>Gogtay N</w:t>
      </w:r>
      <w:r w:rsidRPr="0000111E">
        <w:rPr>
          <w:rFonts w:ascii="Book Antiqua" w:hAnsi="Book Antiqua" w:cs="Times New Roman"/>
          <w:kern w:val="2"/>
          <w:lang w:eastAsia="zh-CN"/>
        </w:rPr>
        <w:t>, Giedd JN, Lusk L, Hayashi KM, Greenstein D, Vaituzis AC, Nugent TF, Herman DH, Clasen LS, Toga AW, Rapoport JL, Thompson PM. Dynamic mapping of human cortical development during childhood through early adulthood. </w:t>
      </w:r>
      <w:r w:rsidRPr="0000111E">
        <w:rPr>
          <w:rFonts w:ascii="Book Antiqua" w:hAnsi="Book Antiqua" w:cs="Times New Roman"/>
          <w:i/>
          <w:iCs/>
          <w:kern w:val="2"/>
          <w:lang w:eastAsia="zh-CN"/>
        </w:rPr>
        <w:t>Proc Natl Acad Sci U S A</w:t>
      </w:r>
      <w:r w:rsidRPr="0000111E">
        <w:rPr>
          <w:rFonts w:ascii="Book Antiqua" w:hAnsi="Book Antiqua" w:cs="Times New Roman"/>
          <w:kern w:val="2"/>
          <w:lang w:eastAsia="zh-CN"/>
        </w:rPr>
        <w:t> 2004; </w:t>
      </w:r>
      <w:r w:rsidRPr="0000111E">
        <w:rPr>
          <w:rFonts w:ascii="Book Antiqua" w:hAnsi="Book Antiqua" w:cs="Times New Roman"/>
          <w:b/>
          <w:bCs/>
          <w:kern w:val="2"/>
          <w:lang w:eastAsia="zh-CN"/>
        </w:rPr>
        <w:t>101</w:t>
      </w:r>
      <w:r w:rsidRPr="0000111E">
        <w:rPr>
          <w:rFonts w:ascii="Book Antiqua" w:hAnsi="Book Antiqua" w:cs="Times New Roman"/>
          <w:kern w:val="2"/>
          <w:lang w:eastAsia="zh-CN"/>
        </w:rPr>
        <w:t>: 8174-8179 [PMID: 15148381 DOI: 10.1073/pnas.0402680101]</w:t>
      </w:r>
    </w:p>
    <w:p w14:paraId="3DE8585E"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24 </w:t>
      </w:r>
      <w:r w:rsidRPr="0000111E">
        <w:rPr>
          <w:rFonts w:ascii="Book Antiqua" w:hAnsi="Book Antiqua" w:cs="SimSun"/>
          <w:b/>
          <w:bCs/>
          <w:lang w:eastAsia="zh-CN"/>
        </w:rPr>
        <w:t>Yurgelun-Todd D</w:t>
      </w:r>
      <w:r w:rsidRPr="0000111E">
        <w:rPr>
          <w:rFonts w:ascii="Book Antiqua" w:hAnsi="Book Antiqua" w:cs="SimSun"/>
          <w:lang w:eastAsia="zh-CN"/>
        </w:rPr>
        <w:t>. Emotional and cognitive changes during adolescence. </w:t>
      </w:r>
      <w:r w:rsidRPr="0000111E">
        <w:rPr>
          <w:rFonts w:ascii="Book Antiqua" w:hAnsi="Book Antiqua" w:cs="SimSun"/>
          <w:i/>
          <w:iCs/>
          <w:lang w:eastAsia="zh-CN"/>
        </w:rPr>
        <w:t>Curr Opin Neurobiol</w:t>
      </w:r>
      <w:r w:rsidRPr="0000111E">
        <w:rPr>
          <w:rFonts w:ascii="Book Antiqua" w:hAnsi="Book Antiqua" w:cs="SimSun"/>
          <w:lang w:eastAsia="zh-CN"/>
        </w:rPr>
        <w:t> 2007; </w:t>
      </w:r>
      <w:r w:rsidRPr="0000111E">
        <w:rPr>
          <w:rFonts w:ascii="Book Antiqua" w:hAnsi="Book Antiqua" w:cs="SimSun"/>
          <w:b/>
          <w:bCs/>
          <w:lang w:eastAsia="zh-CN"/>
        </w:rPr>
        <w:t>17</w:t>
      </w:r>
      <w:r w:rsidRPr="0000111E">
        <w:rPr>
          <w:rFonts w:ascii="Book Antiqua" w:hAnsi="Book Antiqua" w:cs="SimSun"/>
          <w:lang w:eastAsia="zh-CN"/>
        </w:rPr>
        <w:t>: 251-257 [PMID: 17383865 DOI: 10.1016/j.conb.2007.03.009]</w:t>
      </w:r>
    </w:p>
    <w:p w14:paraId="1592E166"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25 </w:t>
      </w:r>
      <w:r w:rsidRPr="0000111E">
        <w:rPr>
          <w:rFonts w:ascii="Book Antiqua" w:hAnsi="Book Antiqua" w:cs="SimSun"/>
          <w:b/>
          <w:bCs/>
          <w:lang w:eastAsia="zh-CN"/>
        </w:rPr>
        <w:t>Luna B</w:t>
      </w:r>
      <w:r w:rsidRPr="0000111E">
        <w:rPr>
          <w:rFonts w:ascii="Book Antiqua" w:hAnsi="Book Antiqua" w:cs="SimSun"/>
          <w:lang w:eastAsia="zh-CN"/>
        </w:rPr>
        <w:t>, Padmanabhan A, O'Hearn K. What has fMRI told us about the development of cognitive control through adolescence? </w:t>
      </w:r>
      <w:r w:rsidRPr="0000111E">
        <w:rPr>
          <w:rFonts w:ascii="Book Antiqua" w:hAnsi="Book Antiqua" w:cs="SimSun"/>
          <w:i/>
          <w:iCs/>
          <w:lang w:eastAsia="zh-CN"/>
        </w:rPr>
        <w:t>Brain Cogn</w:t>
      </w:r>
      <w:r w:rsidRPr="0000111E">
        <w:rPr>
          <w:rFonts w:ascii="Book Antiqua" w:hAnsi="Book Antiqua" w:cs="SimSun"/>
          <w:lang w:eastAsia="zh-CN"/>
        </w:rPr>
        <w:t> 2010; </w:t>
      </w:r>
      <w:r w:rsidRPr="0000111E">
        <w:rPr>
          <w:rFonts w:ascii="Book Antiqua" w:hAnsi="Book Antiqua" w:cs="SimSun"/>
          <w:b/>
          <w:bCs/>
          <w:lang w:eastAsia="zh-CN"/>
        </w:rPr>
        <w:t>72</w:t>
      </w:r>
      <w:r w:rsidRPr="0000111E">
        <w:rPr>
          <w:rFonts w:ascii="Book Antiqua" w:hAnsi="Book Antiqua" w:cs="SimSun"/>
          <w:lang w:eastAsia="zh-CN"/>
        </w:rPr>
        <w:t>: 101-113 [PMID: 19765880 DOI: 10.1016/j.bandc.2009.08.005]</w:t>
      </w:r>
    </w:p>
    <w:p w14:paraId="3EDDB1F7"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hint="eastAsia"/>
          <w:lang w:eastAsia="zh-CN"/>
        </w:rPr>
        <w:t xml:space="preserve">26 </w:t>
      </w:r>
      <w:r w:rsidRPr="0000111E">
        <w:rPr>
          <w:rFonts w:ascii="Book Antiqua" w:hAnsi="Book Antiqua" w:cs="Times New Roman"/>
          <w:b/>
          <w:bCs/>
          <w:kern w:val="2"/>
          <w:lang w:eastAsia="zh-CN"/>
        </w:rPr>
        <w:t>Dumontheil I</w:t>
      </w:r>
      <w:r w:rsidRPr="0000111E">
        <w:rPr>
          <w:rFonts w:ascii="Book Antiqua" w:hAnsi="Book Antiqua" w:cs="Times New Roman"/>
          <w:kern w:val="2"/>
          <w:lang w:eastAsia="zh-CN"/>
        </w:rPr>
        <w:t>, Houlton R, Christoff K, Blakemore SJ. Development of relational reasoning during adolescence. </w:t>
      </w:r>
      <w:r w:rsidRPr="0000111E">
        <w:rPr>
          <w:rFonts w:ascii="Book Antiqua" w:hAnsi="Book Antiqua" w:cs="Times New Roman"/>
          <w:i/>
          <w:iCs/>
          <w:kern w:val="2"/>
          <w:lang w:eastAsia="zh-CN"/>
        </w:rPr>
        <w:t>Dev Sci</w:t>
      </w:r>
      <w:r w:rsidRPr="0000111E">
        <w:rPr>
          <w:rFonts w:ascii="Book Antiqua" w:hAnsi="Book Antiqua" w:cs="Times New Roman"/>
          <w:kern w:val="2"/>
          <w:lang w:eastAsia="zh-CN"/>
        </w:rPr>
        <w:t> 2010; </w:t>
      </w:r>
      <w:r w:rsidRPr="0000111E">
        <w:rPr>
          <w:rFonts w:ascii="Book Antiqua" w:hAnsi="Book Antiqua" w:cs="Times New Roman"/>
          <w:b/>
          <w:bCs/>
          <w:kern w:val="2"/>
          <w:lang w:eastAsia="zh-CN"/>
        </w:rPr>
        <w:t>13</w:t>
      </w:r>
      <w:r w:rsidRPr="0000111E">
        <w:rPr>
          <w:rFonts w:ascii="Book Antiqua" w:hAnsi="Book Antiqua" w:cs="Times New Roman"/>
          <w:kern w:val="2"/>
          <w:lang w:eastAsia="zh-CN"/>
        </w:rPr>
        <w:t>: F15-F24 [PMID: 20977551 DOI: 10.1111/j.1467-7687.2010.01014.x]</w:t>
      </w:r>
    </w:p>
    <w:p w14:paraId="5A011524"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lastRenderedPageBreak/>
        <w:t>27 </w:t>
      </w:r>
      <w:r w:rsidRPr="0000111E">
        <w:rPr>
          <w:rFonts w:ascii="Book Antiqua" w:hAnsi="Book Antiqua" w:cs="SimSun"/>
          <w:b/>
          <w:bCs/>
          <w:lang w:eastAsia="zh-CN"/>
        </w:rPr>
        <w:t>Sturman DA</w:t>
      </w:r>
      <w:r w:rsidRPr="0000111E">
        <w:rPr>
          <w:rFonts w:ascii="Book Antiqua" w:hAnsi="Book Antiqua" w:cs="SimSun"/>
          <w:lang w:eastAsia="zh-CN"/>
        </w:rPr>
        <w:t>, Moghaddam B. The neurobiology of adolescence: changes in brain architecture, functional dynamics, and behavioral tendencies. </w:t>
      </w:r>
      <w:r w:rsidRPr="0000111E">
        <w:rPr>
          <w:rFonts w:ascii="Book Antiqua" w:hAnsi="Book Antiqua" w:cs="SimSun"/>
          <w:i/>
          <w:iCs/>
          <w:lang w:eastAsia="zh-CN"/>
        </w:rPr>
        <w:t>Neurosci Biobehav Rev</w:t>
      </w:r>
      <w:r w:rsidRPr="0000111E">
        <w:rPr>
          <w:rFonts w:ascii="Book Antiqua" w:hAnsi="Book Antiqua" w:cs="SimSun"/>
          <w:lang w:eastAsia="zh-CN"/>
        </w:rPr>
        <w:t> 2011; </w:t>
      </w:r>
      <w:r w:rsidRPr="0000111E">
        <w:rPr>
          <w:rFonts w:ascii="Book Antiqua" w:hAnsi="Book Antiqua" w:cs="SimSun"/>
          <w:b/>
          <w:bCs/>
          <w:lang w:eastAsia="zh-CN"/>
        </w:rPr>
        <w:t>35</w:t>
      </w:r>
      <w:r w:rsidRPr="0000111E">
        <w:rPr>
          <w:rFonts w:ascii="Book Antiqua" w:hAnsi="Book Antiqua" w:cs="SimSun"/>
          <w:lang w:eastAsia="zh-CN"/>
        </w:rPr>
        <w:t>: 1704-1712 [PMID: 21527288 DOI: 10.1016/j.neubiorev.2011.04.003]</w:t>
      </w:r>
    </w:p>
    <w:p w14:paraId="7694D9B2"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28 </w:t>
      </w:r>
      <w:r w:rsidRPr="0000111E">
        <w:rPr>
          <w:rFonts w:ascii="Book Antiqua" w:hAnsi="Book Antiqua" w:cs="SimSun"/>
          <w:b/>
          <w:bCs/>
          <w:lang w:eastAsia="zh-CN"/>
        </w:rPr>
        <w:t>Iles N</w:t>
      </w:r>
      <w:r w:rsidRPr="0000111E">
        <w:rPr>
          <w:rFonts w:ascii="Book Antiqua" w:hAnsi="Book Antiqua" w:cs="SimSun"/>
          <w:lang w:eastAsia="zh-CN"/>
        </w:rPr>
        <w:t>, Lowton K. What is the perceived nature of parental care and support for young people with cystic fibrosis as they enter adult health services? </w:t>
      </w:r>
      <w:r w:rsidRPr="0000111E">
        <w:rPr>
          <w:rFonts w:ascii="Book Antiqua" w:hAnsi="Book Antiqua" w:cs="SimSun"/>
          <w:i/>
          <w:iCs/>
          <w:lang w:eastAsia="zh-CN"/>
        </w:rPr>
        <w:t>Health Soc Care Community</w:t>
      </w:r>
      <w:r w:rsidRPr="0000111E">
        <w:rPr>
          <w:rFonts w:ascii="Book Antiqua" w:hAnsi="Book Antiqua" w:cs="SimSun"/>
          <w:lang w:eastAsia="zh-CN"/>
        </w:rPr>
        <w:t> 2010; </w:t>
      </w:r>
      <w:r w:rsidRPr="0000111E">
        <w:rPr>
          <w:rFonts w:ascii="Book Antiqua" w:hAnsi="Book Antiqua" w:cs="SimSun"/>
          <w:b/>
          <w:bCs/>
          <w:lang w:eastAsia="zh-CN"/>
        </w:rPr>
        <w:t>18</w:t>
      </w:r>
      <w:r w:rsidRPr="0000111E">
        <w:rPr>
          <w:rFonts w:ascii="Book Antiqua" w:hAnsi="Book Antiqua" w:cs="SimSun"/>
          <w:lang w:eastAsia="zh-CN"/>
        </w:rPr>
        <w:t>: 21-29 [PMID: 19637994 DOI: 10.1111/j.1365-2524.2009.00871.x]</w:t>
      </w:r>
    </w:p>
    <w:p w14:paraId="477076C7"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29 </w:t>
      </w:r>
      <w:r w:rsidRPr="0000111E">
        <w:rPr>
          <w:rFonts w:ascii="Book Antiqua" w:hAnsi="Book Antiqua" w:cs="SimSun"/>
          <w:b/>
          <w:bCs/>
          <w:lang w:eastAsia="zh-CN"/>
        </w:rPr>
        <w:t>Heath G</w:t>
      </w:r>
      <w:r w:rsidRPr="0000111E">
        <w:rPr>
          <w:rFonts w:ascii="Book Antiqua" w:hAnsi="Book Antiqua" w:cs="SimSun"/>
          <w:lang w:eastAsia="zh-CN"/>
        </w:rPr>
        <w:t>, Farre A, Shaw K. Parenting a child with chronic illness as they transition into adulthood: A systematic review and thematic synthesis of parents' experiences. </w:t>
      </w:r>
      <w:r w:rsidRPr="0000111E">
        <w:rPr>
          <w:rFonts w:ascii="Book Antiqua" w:hAnsi="Book Antiqua" w:cs="SimSun"/>
          <w:i/>
          <w:iCs/>
          <w:lang w:eastAsia="zh-CN"/>
        </w:rPr>
        <w:t>Patient Educ Couns</w:t>
      </w:r>
      <w:r w:rsidRPr="0000111E">
        <w:rPr>
          <w:rFonts w:ascii="Book Antiqua" w:hAnsi="Book Antiqua" w:cs="SimSun"/>
          <w:lang w:eastAsia="zh-CN"/>
        </w:rPr>
        <w:t> 2017; </w:t>
      </w:r>
      <w:r w:rsidRPr="0000111E">
        <w:rPr>
          <w:rFonts w:ascii="Book Antiqua" w:hAnsi="Book Antiqua" w:cs="SimSun"/>
          <w:b/>
          <w:bCs/>
          <w:lang w:eastAsia="zh-CN"/>
        </w:rPr>
        <w:t>100</w:t>
      </w:r>
      <w:r w:rsidRPr="0000111E">
        <w:rPr>
          <w:rFonts w:ascii="Book Antiqua" w:hAnsi="Book Antiqua" w:cs="SimSun"/>
          <w:lang w:eastAsia="zh-CN"/>
        </w:rPr>
        <w:t>: 76-92 [PMID: 27693084 DOI: 10.1016/j.pec.2016.08.011]</w:t>
      </w:r>
    </w:p>
    <w:p w14:paraId="40898689" w14:textId="77777777" w:rsidR="0000111E" w:rsidRPr="0000111E" w:rsidRDefault="0000111E" w:rsidP="0000111E">
      <w:pPr>
        <w:spacing w:line="360" w:lineRule="auto"/>
        <w:jc w:val="both"/>
        <w:rPr>
          <w:rFonts w:ascii="Book Antiqua" w:hAnsi="Book Antiqua" w:cs="SimSun"/>
          <w:lang w:eastAsia="zh-CN"/>
        </w:rPr>
      </w:pPr>
      <w:r w:rsidRPr="0000111E">
        <w:rPr>
          <w:rFonts w:ascii="Book Antiqua" w:hAnsi="Book Antiqua" w:cs="SimSun"/>
          <w:lang w:eastAsia="zh-CN"/>
        </w:rPr>
        <w:t>30 </w:t>
      </w:r>
      <w:r w:rsidRPr="0000111E">
        <w:rPr>
          <w:rFonts w:ascii="Book Antiqua" w:hAnsi="Book Antiqua" w:cs="SimSun"/>
          <w:b/>
          <w:bCs/>
          <w:lang w:eastAsia="zh-CN"/>
        </w:rPr>
        <w:t>Akre C</w:t>
      </w:r>
      <w:r w:rsidRPr="0000111E">
        <w:rPr>
          <w:rFonts w:ascii="Book Antiqua" w:hAnsi="Book Antiqua" w:cs="SimSun"/>
          <w:lang w:eastAsia="zh-CN"/>
        </w:rPr>
        <w:t>, Suris JC. From controlling to letting go: what are the psychosocial needs of parents of adolescents with a chronic illness? </w:t>
      </w:r>
      <w:r w:rsidRPr="0000111E">
        <w:rPr>
          <w:rFonts w:ascii="Book Antiqua" w:hAnsi="Book Antiqua" w:cs="SimSun"/>
          <w:i/>
          <w:iCs/>
          <w:lang w:eastAsia="zh-CN"/>
        </w:rPr>
        <w:t>Health Educ Res</w:t>
      </w:r>
      <w:r w:rsidRPr="0000111E">
        <w:rPr>
          <w:rFonts w:ascii="Book Antiqua" w:hAnsi="Book Antiqua" w:cs="SimSun"/>
          <w:lang w:eastAsia="zh-CN"/>
        </w:rPr>
        <w:t> 2014; </w:t>
      </w:r>
      <w:r w:rsidRPr="0000111E">
        <w:rPr>
          <w:rFonts w:ascii="Book Antiqua" w:hAnsi="Book Antiqua" w:cs="SimSun"/>
          <w:b/>
          <w:bCs/>
          <w:lang w:eastAsia="zh-CN"/>
        </w:rPr>
        <w:t>29</w:t>
      </w:r>
      <w:r w:rsidRPr="0000111E">
        <w:rPr>
          <w:rFonts w:ascii="Book Antiqua" w:hAnsi="Book Antiqua" w:cs="SimSun"/>
          <w:lang w:eastAsia="zh-CN"/>
        </w:rPr>
        <w:t>: 764-772 [PMID: 24997206 DOI: 10.1093/her/cyu040]</w:t>
      </w:r>
    </w:p>
    <w:p w14:paraId="76FB123A" w14:textId="77777777" w:rsidR="0000111E" w:rsidRPr="0000111E" w:rsidRDefault="0000111E" w:rsidP="0000111E">
      <w:pPr>
        <w:spacing w:line="360" w:lineRule="auto"/>
        <w:jc w:val="both"/>
        <w:rPr>
          <w:rFonts w:ascii="Book Antiqua" w:hAnsi="Book Antiqua" w:cs="SimSun"/>
          <w:lang w:eastAsia="zh-CN"/>
        </w:rPr>
      </w:pPr>
      <w:r w:rsidRPr="00017E4E">
        <w:rPr>
          <w:rFonts w:ascii="Book Antiqua" w:hAnsi="Book Antiqua" w:cs="SimSun"/>
          <w:lang w:val="es-ES_tradnl" w:eastAsia="zh-CN"/>
        </w:rPr>
        <w:t>31 </w:t>
      </w:r>
      <w:r w:rsidRPr="00017E4E">
        <w:rPr>
          <w:rFonts w:ascii="Book Antiqua" w:hAnsi="Book Antiqua" w:cs="SimSun"/>
          <w:b/>
          <w:bCs/>
          <w:lang w:val="es-ES_tradnl" w:eastAsia="zh-CN"/>
        </w:rPr>
        <w:t>van Staa AL</w:t>
      </w:r>
      <w:r w:rsidRPr="00017E4E">
        <w:rPr>
          <w:rFonts w:ascii="Book Antiqua" w:hAnsi="Book Antiqua" w:cs="SimSun"/>
          <w:lang w:val="es-ES_tradnl" w:eastAsia="zh-CN"/>
        </w:rPr>
        <w:t xml:space="preserve">, Jedeloo S, van Meeteren J, Latour JM. </w:t>
      </w:r>
      <w:r w:rsidRPr="0000111E">
        <w:rPr>
          <w:rFonts w:ascii="Book Antiqua" w:hAnsi="Book Antiqua" w:cs="SimSun"/>
          <w:lang w:eastAsia="zh-CN"/>
        </w:rPr>
        <w:t>Crossing the transition chasm: experiences and recommendations for improving transitional care of young adults, parents and providers. </w:t>
      </w:r>
      <w:r w:rsidRPr="0000111E">
        <w:rPr>
          <w:rFonts w:ascii="Book Antiqua" w:hAnsi="Book Antiqua" w:cs="SimSun"/>
          <w:i/>
          <w:iCs/>
          <w:lang w:eastAsia="zh-CN"/>
        </w:rPr>
        <w:t>Child Care Health Dev</w:t>
      </w:r>
      <w:r w:rsidRPr="0000111E">
        <w:rPr>
          <w:rFonts w:ascii="Book Antiqua" w:hAnsi="Book Antiqua" w:cs="SimSun"/>
          <w:lang w:eastAsia="zh-CN"/>
        </w:rPr>
        <w:t> 2011; </w:t>
      </w:r>
      <w:r w:rsidRPr="0000111E">
        <w:rPr>
          <w:rFonts w:ascii="Book Antiqua" w:hAnsi="Book Antiqua" w:cs="SimSun"/>
          <w:b/>
          <w:bCs/>
          <w:lang w:eastAsia="zh-CN"/>
        </w:rPr>
        <w:t>37</w:t>
      </w:r>
      <w:r w:rsidRPr="0000111E">
        <w:rPr>
          <w:rFonts w:ascii="Book Antiqua" w:hAnsi="Book Antiqua" w:cs="SimSun"/>
          <w:lang w:eastAsia="zh-CN"/>
        </w:rPr>
        <w:t>: 821-832 [PMID: 22007982 DOI: 10.1111/j.1365-2214.2011.01261.x]</w:t>
      </w:r>
    </w:p>
    <w:p w14:paraId="30CAC311" w14:textId="738A0388" w:rsidR="009B298E" w:rsidRPr="009E3692" w:rsidRDefault="009B298E" w:rsidP="009B298E">
      <w:pPr>
        <w:wordWrap w:val="0"/>
        <w:spacing w:line="360" w:lineRule="auto"/>
        <w:ind w:left="361" w:hangingChars="150" w:hanging="361"/>
        <w:jc w:val="right"/>
        <w:rPr>
          <w:rFonts w:ascii="Book Antiqua" w:hAnsi="Book Antiqua"/>
        </w:rPr>
      </w:pPr>
      <w:bookmarkStart w:id="329" w:name="OLE_LINK51"/>
      <w:bookmarkStart w:id="330" w:name="OLE_LINK75"/>
      <w:bookmarkStart w:id="331" w:name="OLE_LINK120"/>
      <w:bookmarkStart w:id="332" w:name="OLE_LINK112"/>
      <w:bookmarkStart w:id="333" w:name="OLE_LINK320"/>
      <w:bookmarkStart w:id="334" w:name="OLE_LINK387"/>
      <w:bookmarkStart w:id="335" w:name="OLE_LINK183"/>
      <w:bookmarkStart w:id="336" w:name="OLE_LINK254"/>
      <w:bookmarkStart w:id="337" w:name="OLE_LINK149"/>
      <w:bookmarkStart w:id="338" w:name="OLE_LINK225"/>
      <w:bookmarkStart w:id="339" w:name="OLE_LINK226"/>
      <w:bookmarkStart w:id="340" w:name="OLE_LINK212"/>
      <w:bookmarkStart w:id="341" w:name="OLE_LINK250"/>
      <w:bookmarkStart w:id="342" w:name="OLE_LINK281"/>
      <w:bookmarkStart w:id="343" w:name="OLE_LINK240"/>
      <w:bookmarkStart w:id="344" w:name="OLE_LINK282"/>
      <w:bookmarkStart w:id="345" w:name="OLE_LINK313"/>
      <w:bookmarkStart w:id="346" w:name="OLE_LINK304"/>
      <w:bookmarkStart w:id="347" w:name="OLE_LINK321"/>
      <w:bookmarkStart w:id="348" w:name="OLE_LINK385"/>
      <w:bookmarkStart w:id="349" w:name="OLE_LINK400"/>
      <w:bookmarkStart w:id="350" w:name="OLE_LINK346"/>
      <w:bookmarkStart w:id="351" w:name="OLE_LINK371"/>
      <w:bookmarkStart w:id="352" w:name="OLE_LINK334"/>
      <w:bookmarkStart w:id="353" w:name="OLE_LINK1830"/>
      <w:bookmarkStart w:id="354" w:name="OLE_LINK457"/>
      <w:bookmarkStart w:id="355" w:name="OLE_LINK288"/>
      <w:bookmarkStart w:id="356" w:name="OLE_LINK384"/>
      <w:bookmarkStart w:id="357" w:name="OLE_LINK379"/>
      <w:bookmarkStart w:id="358" w:name="OLE_LINK303"/>
      <w:bookmarkStart w:id="359" w:name="OLE_LINK450"/>
      <w:bookmarkStart w:id="360" w:name="OLE_LINK489"/>
      <w:bookmarkStart w:id="361" w:name="OLE_LINK535"/>
      <w:bookmarkStart w:id="362" w:name="OLE_LINK648"/>
      <w:bookmarkStart w:id="363" w:name="OLE_LINK686"/>
      <w:bookmarkStart w:id="364" w:name="OLE_LINK430"/>
      <w:bookmarkStart w:id="365" w:name="OLE_LINK471"/>
      <w:bookmarkStart w:id="366" w:name="OLE_LINK462"/>
      <w:bookmarkStart w:id="367" w:name="OLE_LINK519"/>
      <w:bookmarkStart w:id="368" w:name="OLE_LINK575"/>
      <w:bookmarkStart w:id="369" w:name="OLE_LINK491"/>
      <w:bookmarkStart w:id="370" w:name="OLE_LINK532"/>
      <w:bookmarkStart w:id="371" w:name="OLE_LINK572"/>
      <w:bookmarkStart w:id="372" w:name="OLE_LINK574"/>
      <w:bookmarkStart w:id="373" w:name="OLE_LINK480"/>
      <w:bookmarkStart w:id="374" w:name="OLE_LINK567"/>
      <w:bookmarkStart w:id="375" w:name="OLE_LINK2700"/>
      <w:bookmarkStart w:id="376" w:name="OLE_LINK581"/>
      <w:bookmarkStart w:id="377" w:name="OLE_LINK639"/>
      <w:bookmarkStart w:id="378" w:name="OLE_LINK688"/>
      <w:bookmarkStart w:id="379" w:name="OLE_LINK722"/>
      <w:bookmarkStart w:id="380" w:name="OLE_LINK542"/>
      <w:bookmarkStart w:id="381" w:name="OLE_LINK589"/>
      <w:bookmarkStart w:id="382" w:name="OLE_LINK582"/>
      <w:bookmarkStart w:id="383" w:name="OLE_LINK640"/>
      <w:bookmarkStart w:id="384" w:name="OLE_LINK714"/>
      <w:bookmarkStart w:id="385" w:name="OLE_LINK593"/>
      <w:bookmarkStart w:id="386" w:name="OLE_LINK716"/>
      <w:bookmarkStart w:id="387" w:name="OLE_LINK770"/>
      <w:bookmarkStart w:id="388" w:name="OLE_LINK801"/>
      <w:bookmarkStart w:id="389" w:name="OLE_LINK660"/>
      <w:bookmarkStart w:id="390" w:name="OLE_LINK739"/>
      <w:bookmarkStart w:id="391" w:name="OLE_LINK781"/>
      <w:bookmarkStart w:id="392" w:name="OLE_LINK833"/>
      <w:bookmarkStart w:id="393" w:name="OLE_LINK642"/>
      <w:bookmarkStart w:id="394" w:name="OLE_LINK718"/>
      <w:bookmarkStart w:id="395" w:name="OLE_LINK700"/>
      <w:bookmarkStart w:id="396" w:name="OLE_LINK792"/>
      <w:bookmarkStart w:id="397" w:name="OLE_LINK2882"/>
      <w:bookmarkStart w:id="398" w:name="OLE_LINK836"/>
      <w:bookmarkStart w:id="399" w:name="OLE_LINK889"/>
      <w:bookmarkStart w:id="400" w:name="OLE_LINK782"/>
      <w:bookmarkStart w:id="401" w:name="OLE_LINK826"/>
      <w:bookmarkStart w:id="402" w:name="OLE_LINK865"/>
      <w:bookmarkStart w:id="403" w:name="OLE_LINK2898"/>
      <w:bookmarkStart w:id="404" w:name="OLE_LINK856"/>
      <w:bookmarkStart w:id="405" w:name="OLE_LINK908"/>
      <w:bookmarkStart w:id="406" w:name="OLE_LINK980"/>
      <w:bookmarkStart w:id="407" w:name="OLE_LINK1018"/>
      <w:bookmarkStart w:id="408" w:name="OLE_LINK1049"/>
      <w:bookmarkStart w:id="409" w:name="OLE_LINK1076"/>
      <w:bookmarkStart w:id="410" w:name="OLE_LINK1106"/>
      <w:bookmarkStart w:id="411" w:name="OLE_LINK891"/>
      <w:bookmarkStart w:id="412" w:name="OLE_LINK943"/>
      <w:bookmarkStart w:id="413" w:name="OLE_LINK981"/>
      <w:bookmarkStart w:id="414" w:name="OLE_LINK1030"/>
      <w:bookmarkStart w:id="415" w:name="OLE_LINK847"/>
      <w:bookmarkStart w:id="416" w:name="OLE_LINK909"/>
      <w:bookmarkStart w:id="417" w:name="OLE_LINK898"/>
      <w:bookmarkStart w:id="418" w:name="OLE_LINK906"/>
      <w:bookmarkStart w:id="419" w:name="OLE_LINK992"/>
      <w:bookmarkStart w:id="420" w:name="OLE_LINK993"/>
      <w:bookmarkStart w:id="421" w:name="OLE_LINK1052"/>
      <w:bookmarkStart w:id="422" w:name="OLE_LINK946"/>
      <w:bookmarkStart w:id="423" w:name="OLE_LINK911"/>
      <w:bookmarkStart w:id="424" w:name="OLE_LINK930"/>
      <w:bookmarkStart w:id="425" w:name="OLE_LINK1059"/>
      <w:bookmarkStart w:id="426" w:name="OLE_LINK1137"/>
      <w:bookmarkStart w:id="427" w:name="OLE_LINK1167"/>
      <w:bookmarkStart w:id="428" w:name="OLE_LINK1200"/>
      <w:bookmarkStart w:id="429" w:name="OLE_LINK1241"/>
      <w:bookmarkStart w:id="430" w:name="OLE_LINK1288"/>
      <w:bookmarkStart w:id="431" w:name="OLE_LINK1056"/>
      <w:bookmarkStart w:id="432" w:name="OLE_LINK1158"/>
      <w:bookmarkStart w:id="433" w:name="OLE_LINK1074"/>
      <w:bookmarkStart w:id="434" w:name="OLE_LINK1169"/>
      <w:bookmarkStart w:id="435" w:name="OLE_LINK1060"/>
      <w:bookmarkStart w:id="436" w:name="OLE_LINK1185"/>
      <w:bookmarkStart w:id="437" w:name="OLE_LINK1172"/>
      <w:bookmarkStart w:id="438" w:name="OLE_LINK1176"/>
      <w:bookmarkStart w:id="439" w:name="OLE_LINK1373"/>
      <w:bookmarkStart w:id="440" w:name="OLE_LINK1410"/>
      <w:bookmarkStart w:id="441" w:name="OLE_LINK1448"/>
      <w:bookmarkStart w:id="442" w:name="OLE_LINK1492"/>
      <w:bookmarkStart w:id="443" w:name="OLE_LINK1530"/>
      <w:bookmarkStart w:id="444" w:name="OLE_LINK1585"/>
      <w:bookmarkStart w:id="445" w:name="OLE_LINK1622"/>
      <w:bookmarkStart w:id="446" w:name="OLE_LINK1661"/>
      <w:bookmarkStart w:id="447" w:name="OLE_LINK1691"/>
      <w:bookmarkStart w:id="448" w:name="OLE_LINK1349"/>
      <w:bookmarkStart w:id="449" w:name="OLE_LINK1343"/>
      <w:bookmarkStart w:id="450" w:name="OLE_LINK1462"/>
      <w:bookmarkStart w:id="451" w:name="OLE_LINK1531"/>
      <w:bookmarkStart w:id="452" w:name="OLE_LINK1344"/>
      <w:bookmarkStart w:id="453" w:name="OLE_LINK1384"/>
      <w:bookmarkStart w:id="454" w:name="OLE_LINK1457"/>
      <w:bookmarkStart w:id="455" w:name="OLE_LINK1591"/>
      <w:bookmarkStart w:id="456" w:name="OLE_LINK1370"/>
      <w:bookmarkStart w:id="457" w:name="OLE_LINK1443"/>
      <w:bookmarkStart w:id="458" w:name="OLE_LINK1472"/>
      <w:bookmarkStart w:id="459" w:name="OLE_LINK1503"/>
      <w:bookmarkStart w:id="460" w:name="OLE_LINK1390"/>
      <w:bookmarkStart w:id="461" w:name="OLE_LINK1490"/>
      <w:bookmarkStart w:id="462" w:name="OLE_LINK1576"/>
      <w:bookmarkStart w:id="463" w:name="OLE_LINK1618"/>
      <w:bookmarkStart w:id="464" w:name="OLE_LINK1650"/>
      <w:bookmarkStart w:id="465" w:name="OLE_LINK1721"/>
      <w:bookmarkStart w:id="466" w:name="OLE_LINK1565"/>
      <w:bookmarkStart w:id="467" w:name="OLE_LINK1619"/>
      <w:bookmarkStart w:id="468" w:name="OLE_LINK1671"/>
      <w:bookmarkStart w:id="469" w:name="OLE_LINK1716"/>
      <w:bookmarkStart w:id="470" w:name="OLE_LINK1761"/>
      <w:bookmarkStart w:id="471" w:name="OLE_LINK1586"/>
      <w:bookmarkStart w:id="472" w:name="OLE_LINK1593"/>
      <w:bookmarkStart w:id="473" w:name="OLE_LINK1630"/>
      <w:bookmarkStart w:id="474" w:name="OLE_LINK1699"/>
      <w:bookmarkStart w:id="475" w:name="OLE_LINK1736"/>
      <w:bookmarkStart w:id="476" w:name="OLE_LINK1792"/>
      <w:bookmarkStart w:id="477" w:name="OLE_LINK1825"/>
      <w:bookmarkStart w:id="478" w:name="OLE_LINK1865"/>
      <w:bookmarkStart w:id="479" w:name="OLE_LINK1692"/>
      <w:bookmarkStart w:id="480" w:name="OLE_LINK1808"/>
      <w:bookmarkStart w:id="481" w:name="OLE_LINK1862"/>
      <w:bookmarkStart w:id="482" w:name="OLE_LINK1859"/>
      <w:bookmarkStart w:id="483" w:name="OLE_LINK1901"/>
      <w:bookmarkStart w:id="484" w:name="OLE_LINK1939"/>
      <w:bookmarkStart w:id="485" w:name="OLE_LINK1977"/>
      <w:bookmarkStart w:id="486" w:name="OLE_LINK1841"/>
      <w:bookmarkStart w:id="487" w:name="OLE_LINK1879"/>
      <w:bookmarkStart w:id="488" w:name="OLE_LINK1916"/>
      <w:bookmarkStart w:id="489" w:name="OLE_LINK1960"/>
      <w:bookmarkStart w:id="490" w:name="OLE_LINK1834"/>
      <w:bookmarkStart w:id="491" w:name="OLE_LINK2027"/>
      <w:bookmarkStart w:id="492" w:name="OLE_LINK2056"/>
      <w:bookmarkStart w:id="493" w:name="OLE_LINK1870"/>
      <w:bookmarkStart w:id="494" w:name="OLE_LINK1883"/>
      <w:bookmarkStart w:id="495" w:name="OLE_LINK1890"/>
      <w:bookmarkStart w:id="496" w:name="OLE_LINK1922"/>
      <w:bookmarkStart w:id="497" w:name="OLE_LINK1943"/>
      <w:bookmarkStart w:id="498" w:name="OLE_LINK1970"/>
      <w:bookmarkStart w:id="499" w:name="OLE_LINK1983"/>
      <w:bookmarkStart w:id="500" w:name="OLE_LINK2031"/>
      <w:bookmarkStart w:id="501" w:name="OLE_LINK2066"/>
      <w:bookmarkStart w:id="502" w:name="OLE_LINK2094"/>
      <w:bookmarkStart w:id="503" w:name="OLE_LINK2136"/>
      <w:bookmarkStart w:id="504" w:name="OLE_LINK2192"/>
      <w:bookmarkStart w:id="505" w:name="OLE_LINK1984"/>
      <w:bookmarkStart w:id="506" w:name="OLE_LINK2040"/>
      <w:bookmarkStart w:id="507" w:name="OLE_LINK2087"/>
      <w:bookmarkStart w:id="508" w:name="OLE_LINK2131"/>
      <w:bookmarkStart w:id="509" w:name="OLE_LINK2167"/>
      <w:bookmarkStart w:id="510" w:name="OLE_LINK2211"/>
      <w:bookmarkStart w:id="511" w:name="OLE_LINK2265"/>
      <w:bookmarkStart w:id="512" w:name="OLE_LINK2274"/>
      <w:bookmarkStart w:id="513" w:name="OLE_LINK2071"/>
      <w:bookmarkStart w:id="514" w:name="OLE_LINK3320"/>
      <w:bookmarkStart w:id="515" w:name="OLE_LINK3374"/>
      <w:bookmarkStart w:id="516" w:name="OLE_LINK3410"/>
      <w:bookmarkStart w:id="517" w:name="OLE_LINK1997"/>
      <w:bookmarkStart w:id="518" w:name="OLE_LINK2043"/>
      <w:bookmarkStart w:id="519" w:name="OLE_LINK2041"/>
      <w:bookmarkStart w:id="520" w:name="OLE_LINK2133"/>
      <w:bookmarkStart w:id="521" w:name="OLE_LINK2181"/>
      <w:bookmarkStart w:id="522" w:name="OLE_LINK2101"/>
      <w:bookmarkStart w:id="523" w:name="OLE_LINK2128"/>
      <w:bookmarkStart w:id="524" w:name="OLE_LINK3357"/>
      <w:bookmarkStart w:id="525" w:name="OLE_LINK2139"/>
      <w:bookmarkStart w:id="526" w:name="OLE_LINK2219"/>
      <w:bookmarkStart w:id="527" w:name="OLE_LINK2248"/>
      <w:bookmarkStart w:id="528" w:name="OLE_LINK2281"/>
      <w:bookmarkStart w:id="529" w:name="OLE_LINK2294"/>
      <w:bookmarkStart w:id="530" w:name="OLE_LINK2395"/>
      <w:bookmarkStart w:id="531" w:name="OLE_LINK2148"/>
      <w:bookmarkStart w:id="532" w:name="OLE_LINK2236"/>
      <w:bookmarkStart w:id="533" w:name="OLE_LINK2354"/>
      <w:bookmarkStart w:id="534" w:name="OLE_LINK2273"/>
      <w:bookmarkStart w:id="535" w:name="OLE_LINK2314"/>
      <w:bookmarkStart w:id="536" w:name="OLE_LINK2240"/>
      <w:bookmarkStart w:id="537" w:name="OLE_LINK2290"/>
      <w:bookmarkStart w:id="538" w:name="OLE_LINK2330"/>
      <w:bookmarkStart w:id="539" w:name="OLE_LINK2402"/>
      <w:bookmarkStart w:id="540" w:name="OLE_LINK2432"/>
      <w:bookmarkStart w:id="541" w:name="OLE_LINK2336"/>
      <w:bookmarkStart w:id="542" w:name="OLE_LINK2369"/>
      <w:bookmarkStart w:id="543" w:name="OLE_LINK2427"/>
      <w:bookmarkStart w:id="544" w:name="OLE_LINK2410"/>
      <w:bookmarkStart w:id="545" w:name="OLE_LINK2445"/>
      <w:bookmarkStart w:id="546" w:name="OLE_LINK2370"/>
      <w:bookmarkStart w:id="547" w:name="OLE_LINK2474"/>
      <w:bookmarkStart w:id="548" w:name="OLE_LINK2382"/>
      <w:bookmarkStart w:id="549" w:name="OLE_LINK2476"/>
      <w:bookmarkStart w:id="550" w:name="OLE_LINK2532"/>
      <w:bookmarkStart w:id="551" w:name="OLE_LINK2471"/>
      <w:bookmarkStart w:id="552" w:name="OLE_LINK2483"/>
      <w:bookmarkStart w:id="553" w:name="OLE_LINK2511"/>
      <w:bookmarkStart w:id="554" w:name="OLE_LINK2583"/>
      <w:bookmarkStart w:id="555" w:name="OLE_LINK2615"/>
      <w:bookmarkStart w:id="556" w:name="OLE_LINK2554"/>
      <w:bookmarkStart w:id="557" w:name="OLE_LINK2528"/>
      <w:bookmarkStart w:id="558" w:name="OLE_LINK2555"/>
      <w:bookmarkStart w:id="559" w:name="OLE_LINK2537"/>
      <w:bookmarkStart w:id="560" w:name="OLE_LINK2550"/>
      <w:bookmarkStart w:id="561" w:name="OLE_LINK2594"/>
      <w:bookmarkStart w:id="562" w:name="OLE_LINK2589"/>
      <w:bookmarkStart w:id="563" w:name="OLE_LINK2648"/>
      <w:bookmarkStart w:id="564" w:name="OLE_LINK2669"/>
      <w:bookmarkStart w:id="565" w:name="OLE_LINK2567"/>
      <w:bookmarkStart w:id="566" w:name="OLE_LINK2593"/>
      <w:bookmarkStart w:id="567" w:name="OLE_LINK2629"/>
      <w:bookmarkStart w:id="568" w:name="OLE_LINK2678"/>
      <w:bookmarkStart w:id="569" w:name="OLE_LINK2703"/>
      <w:bookmarkStart w:id="570" w:name="OLE_LINK2739"/>
      <w:bookmarkStart w:id="571" w:name="OLE_LINK2757"/>
      <w:bookmarkStart w:id="572" w:name="OLE_LINK3464"/>
      <w:bookmarkStart w:id="573" w:name="OLE_LINK3508"/>
      <w:bookmarkStart w:id="574" w:name="OLE_LINK2779"/>
      <w:bookmarkStart w:id="575" w:name="OLE_LINK2724"/>
      <w:bookmarkStart w:id="576" w:name="OLE_LINK2733"/>
      <w:bookmarkStart w:id="577" w:name="OLE_LINK2744"/>
      <w:bookmarkStart w:id="578" w:name="OLE_LINK2777"/>
      <w:bookmarkStart w:id="579" w:name="OLE_LINK2858"/>
      <w:bookmarkStart w:id="580" w:name="OLE_LINK2834"/>
      <w:bookmarkStart w:id="581" w:name="OLE_LINK2864"/>
      <w:bookmarkStart w:id="582" w:name="OLE_LINK3467"/>
      <w:bookmarkStart w:id="583" w:name="OLE_LINK2846"/>
      <w:bookmarkStart w:id="584" w:name="OLE_LINK2893"/>
      <w:bookmarkStart w:id="585" w:name="OLE_LINK2837"/>
      <w:bookmarkStart w:id="586" w:name="OLE_LINK2853"/>
      <w:bookmarkStart w:id="587" w:name="OLE_LINK2889"/>
      <w:bookmarkStart w:id="588" w:name="OLE_LINK2915"/>
      <w:bookmarkStart w:id="589" w:name="OLE_LINK2938"/>
      <w:bookmarkStart w:id="590" w:name="OLE_LINK2920"/>
      <w:bookmarkStart w:id="591" w:name="OLE_LINK2954"/>
      <w:bookmarkStart w:id="592" w:name="OLE_LINK2986"/>
      <w:bookmarkStart w:id="593" w:name="OLE_LINK3031"/>
      <w:bookmarkStart w:id="594" w:name="OLE_LINK3506"/>
      <w:bookmarkStart w:id="595" w:name="OLE_LINK2953"/>
      <w:bookmarkStart w:id="596" w:name="OLE_LINK2972"/>
      <w:bookmarkStart w:id="597" w:name="OLE_LINK3020"/>
      <w:bookmarkStart w:id="598" w:name="OLE_LINK3067"/>
      <w:bookmarkStart w:id="599" w:name="OLE_LINK3108"/>
      <w:bookmarkStart w:id="600" w:name="OLE_LINK3135"/>
      <w:bookmarkStart w:id="601" w:name="OLE_LINK3015"/>
      <w:bookmarkStart w:id="602" w:name="OLE_LINK3032"/>
      <w:bookmarkStart w:id="603" w:name="OLE_LINK3039"/>
      <w:bookmarkStart w:id="604" w:name="OLE_LINK3059"/>
      <w:bookmarkStart w:id="605" w:name="OLE_LINK3065"/>
      <w:bookmarkStart w:id="606" w:name="OLE_LINK3071"/>
      <w:bookmarkStart w:id="607" w:name="OLE_LINK3089"/>
      <w:bookmarkStart w:id="608" w:name="OLE_LINK3114"/>
      <w:bookmarkStart w:id="609" w:name="OLE_LINK3142"/>
      <w:bookmarkStart w:id="610" w:name="OLE_LINK3118"/>
      <w:bookmarkStart w:id="611" w:name="OLE_LINK3160"/>
      <w:bookmarkStart w:id="612" w:name="OLE_LINK3192"/>
      <w:bookmarkStart w:id="613" w:name="OLE_LINK3186"/>
      <w:bookmarkStart w:id="614" w:name="OLE_LINK3184"/>
      <w:bookmarkStart w:id="615" w:name="OLE_LINK3218"/>
      <w:bookmarkStart w:id="616" w:name="OLE_LINK3219"/>
      <w:bookmarkStart w:id="617" w:name="OLE_LINK3248"/>
      <w:bookmarkStart w:id="618" w:name="OLE_LINK3380"/>
      <w:bookmarkStart w:id="619" w:name="OLE_LINK3187"/>
      <w:bookmarkStart w:id="620" w:name="OLE_LINK3245"/>
      <w:bookmarkStart w:id="621" w:name="OLE_LINK3254"/>
      <w:bookmarkStart w:id="622" w:name="OLE_LINK3249"/>
      <w:bookmarkStart w:id="623" w:name="OLE_LINK3263"/>
      <w:bookmarkStart w:id="624" w:name="OLE_LINK3281"/>
      <w:bookmarkStart w:id="625" w:name="OLE_LINK3318"/>
      <w:bookmarkStart w:id="626" w:name="OLE_LINK3378"/>
      <w:bookmarkStart w:id="627" w:name="OLE_LINK3412"/>
      <w:bookmarkStart w:id="628" w:name="OLE_LINK3302"/>
      <w:bookmarkStart w:id="629" w:name="OLE_LINK3324"/>
      <w:bookmarkStart w:id="630" w:name="OLE_LINK3372"/>
      <w:bookmarkStart w:id="631" w:name="OLE_LINK3435"/>
      <w:bookmarkStart w:id="632" w:name="OLE_LINK3640"/>
      <w:bookmarkStart w:id="633" w:name="OLE_LINK3755"/>
      <w:bookmarkStart w:id="634" w:name="OLE_LINK3796"/>
      <w:bookmarkStart w:id="635" w:name="OLE_LINK3549"/>
      <w:bookmarkStart w:id="636" w:name="OLE_LINK3554"/>
      <w:bookmarkStart w:id="637" w:name="OLE_LINK3565"/>
      <w:bookmarkStart w:id="638" w:name="OLE_LINK3573"/>
      <w:bookmarkStart w:id="639" w:name="OLE_LINK3705"/>
      <w:bookmarkStart w:id="640" w:name="OLE_LINK3750"/>
      <w:bookmarkStart w:id="641" w:name="OLE_LINK3604"/>
      <w:bookmarkStart w:id="642" w:name="OLE_LINK3638"/>
      <w:bookmarkStart w:id="643" w:name="OLE_LINK3662"/>
      <w:bookmarkStart w:id="644" w:name="OLE_LINK3692"/>
      <w:bookmarkStart w:id="645" w:name="OLE_LINK3694"/>
      <w:bookmarkStart w:id="646" w:name="OLE_LINK3693"/>
      <w:bookmarkStart w:id="647" w:name="OLE_LINK3709"/>
      <w:bookmarkStart w:id="648" w:name="OLE_LINK3833"/>
      <w:bookmarkStart w:id="649" w:name="OLE_LINK3871"/>
      <w:bookmarkStart w:id="650" w:name="OLE_LINK3889"/>
      <w:bookmarkStart w:id="651" w:name="OLE_LINK3862"/>
      <w:bookmarkStart w:id="652" w:name="OLE_LINK3898"/>
      <w:bookmarkStart w:id="653" w:name="OLE_LINK3920"/>
      <w:bookmarkStart w:id="654" w:name="OLE_LINK3939"/>
      <w:bookmarkStart w:id="655" w:name="OLE_LINK3961"/>
      <w:bookmarkStart w:id="656" w:name="OLE_LINK3867"/>
      <w:bookmarkStart w:id="657" w:name="OLE_LINK3880"/>
      <w:bookmarkStart w:id="658" w:name="OLE_LINK3983"/>
      <w:bookmarkStart w:id="659" w:name="OLE_LINK4018"/>
      <w:bookmarkStart w:id="660" w:name="OLE_LINK3899"/>
      <w:bookmarkStart w:id="661" w:name="OLE_LINK3985"/>
      <w:bookmarkStart w:id="662" w:name="OLE_LINK3948"/>
      <w:bookmarkStart w:id="663" w:name="OLE_LINK4039"/>
      <w:bookmarkStart w:id="664" w:name="OLE_LINK4041"/>
      <w:bookmarkStart w:id="665" w:name="OLE_LINK4061"/>
      <w:bookmarkStart w:id="666" w:name="OLE_LINK4102"/>
      <w:r w:rsidRPr="009E3692">
        <w:rPr>
          <w:rFonts w:ascii="Book Antiqua" w:hAnsi="Book Antiqua"/>
          <w:b/>
          <w:bCs/>
        </w:rPr>
        <w:t>P-Reviewer</w:t>
      </w:r>
      <w:r>
        <w:rPr>
          <w:rFonts w:ascii="Book Antiqua" w:hAnsi="Book Antiqua"/>
          <w:b/>
          <w:bCs/>
        </w:rPr>
        <w:t>:</w:t>
      </w:r>
      <w:r w:rsidRPr="009E3692">
        <w:rPr>
          <w:rFonts w:ascii="Book Antiqua" w:hAnsi="Book Antiqua"/>
          <w:b/>
          <w:bCs/>
        </w:rPr>
        <w:t xml:space="preserve"> </w:t>
      </w:r>
      <w:r w:rsidRPr="009B298E">
        <w:rPr>
          <w:rFonts w:ascii="Book Antiqua" w:hAnsi="Book Antiqua"/>
          <w:bCs/>
        </w:rPr>
        <w:t>Gardlik R</w:t>
      </w:r>
      <w:r w:rsidRPr="009B298E">
        <w:rPr>
          <w:rFonts w:ascii="Book Antiqua" w:hAnsi="Book Antiqua" w:hint="eastAsia"/>
          <w:bCs/>
          <w:lang w:eastAsia="zh-CN"/>
        </w:rPr>
        <w:t xml:space="preserve">, </w:t>
      </w:r>
      <w:r w:rsidRPr="009B298E">
        <w:rPr>
          <w:rFonts w:ascii="Book Antiqua" w:hAnsi="Book Antiqua"/>
          <w:bCs/>
        </w:rPr>
        <w:t>Sandberg KC</w:t>
      </w:r>
      <w:r w:rsidRPr="009B298E">
        <w:rPr>
          <w:rFonts w:ascii="Book Antiqua" w:hAnsi="Book Antiqua" w:hint="eastAsia"/>
          <w:bCs/>
          <w:lang w:eastAsia="zh-CN"/>
        </w:rPr>
        <w:t xml:space="preserve">, </w:t>
      </w:r>
      <w:r w:rsidRPr="009B298E">
        <w:rPr>
          <w:rFonts w:ascii="Book Antiqua" w:hAnsi="Book Antiqua"/>
          <w:bCs/>
        </w:rPr>
        <w:t>Sebastian S</w:t>
      </w:r>
      <w:r w:rsidRPr="009E3692">
        <w:rPr>
          <w:rFonts w:ascii="Book Antiqua" w:hAnsi="Book Antiqua"/>
          <w:b/>
          <w:bCs/>
        </w:rPr>
        <w:t xml:space="preserve"> S-Editor</w:t>
      </w:r>
      <w:r>
        <w:rPr>
          <w:rFonts w:ascii="Book Antiqua" w:hAnsi="Book Antiqua"/>
          <w:b/>
          <w:bCs/>
        </w:rPr>
        <w:t>:</w:t>
      </w:r>
      <w:r w:rsidRPr="009E3692">
        <w:rPr>
          <w:rFonts w:ascii="Book Antiqua" w:hAnsi="Book Antiqua"/>
        </w:rPr>
        <w:t xml:space="preserve"> </w:t>
      </w:r>
      <w:r>
        <w:rPr>
          <w:rFonts w:ascii="Book Antiqua" w:hAnsi="Book Antiqua" w:hint="eastAsia"/>
        </w:rPr>
        <w:t>Yu J</w:t>
      </w:r>
      <w:r w:rsidRPr="009E3692">
        <w:rPr>
          <w:rFonts w:ascii="Book Antiqua" w:hAnsi="Book Antiqua"/>
        </w:rPr>
        <w:t xml:space="preserve"> </w:t>
      </w:r>
      <w:r w:rsidRPr="009E3692">
        <w:rPr>
          <w:rFonts w:ascii="Book Antiqua" w:hAnsi="Book Antiqua"/>
          <w:b/>
          <w:bCs/>
        </w:rPr>
        <w:t>L-Editor</w:t>
      </w:r>
      <w:r>
        <w:rPr>
          <w:rFonts w:ascii="Book Antiqua" w:hAnsi="Book Antiqua"/>
          <w:b/>
          <w:bCs/>
        </w:rPr>
        <w:t>:</w:t>
      </w:r>
      <w:r w:rsidR="0059598A">
        <w:rPr>
          <w:rFonts w:ascii="Book Antiqua" w:hAnsi="Book Antiqua"/>
        </w:rPr>
        <w:t xml:space="preserve"> </w:t>
      </w:r>
      <w:r w:rsidRPr="009E3692">
        <w:rPr>
          <w:rFonts w:ascii="Book Antiqua" w:hAnsi="Book Antiqua"/>
          <w:b/>
          <w:bCs/>
        </w:rPr>
        <w:t>E-Editor</w:t>
      </w:r>
      <w:r>
        <w:rPr>
          <w:rFonts w:ascii="Book Antiqua" w:hAnsi="Book Antiqua"/>
          <w:b/>
          <w:bCs/>
        </w:rPr>
        <w:t>:</w:t>
      </w:r>
    </w:p>
    <w:p w14:paraId="04039C6F" w14:textId="77777777" w:rsidR="009B298E" w:rsidRPr="008E0DB1" w:rsidRDefault="009B298E" w:rsidP="009B298E">
      <w:pPr>
        <w:adjustRightInd w:val="0"/>
        <w:snapToGrid w:val="0"/>
        <w:spacing w:line="360" w:lineRule="auto"/>
        <w:rPr>
          <w:rFonts w:ascii="Book Antiqua" w:hAnsi="Book Antiqua"/>
        </w:rPr>
      </w:pPr>
      <w:bookmarkStart w:id="667" w:name="OLE_LINK3503"/>
      <w:bookmarkStart w:id="668" w:name="OLE_LINK3504"/>
      <w:bookmarkStart w:id="669" w:name="OLE_LINK3509"/>
      <w:bookmarkStart w:id="670" w:name="OLE_LINK3510"/>
      <w:bookmarkStart w:id="671" w:name="OLE_LINK4019"/>
      <w:bookmarkStart w:id="672" w:name="OLE_LINK4020"/>
      <w:bookmarkStart w:id="673" w:name="OLE_LINK3388"/>
      <w:bookmarkStart w:id="674" w:name="OLE_LINK3389"/>
      <w:bookmarkStart w:id="675" w:name="OLE_LINK3420"/>
      <w:bookmarkStart w:id="676" w:name="OLE_LINK3381"/>
      <w:bookmarkStart w:id="677" w:name="OLE_LINK3382"/>
      <w:bookmarkStart w:id="678" w:name="OLE_LINK3383"/>
      <w:bookmarkStart w:id="679" w:name="OLE_LINK3440"/>
      <w:bookmarkStart w:id="680" w:name="OLE_LINK3441"/>
      <w:bookmarkStart w:id="681" w:name="OLE_LINK3444"/>
      <w:bookmarkStart w:id="682" w:name="OLE_LINK3450"/>
      <w:bookmarkStart w:id="683" w:name="OLE_LINK3465"/>
      <w:bookmarkStart w:id="684" w:name="OLE_LINK3762"/>
      <w:bookmarkStart w:id="685" w:name="OLE_LINK3809"/>
      <w:bookmarkStart w:id="686" w:name="OLE_LINK3550"/>
      <w:bookmarkStart w:id="687" w:name="OLE_LINK3541"/>
      <w:bookmarkStart w:id="688" w:name="OLE_LINK3542"/>
      <w:bookmarkStart w:id="689" w:name="OLE_LINK3551"/>
      <w:bookmarkStart w:id="690" w:name="OLE_LINK3569"/>
      <w:bookmarkStart w:id="691" w:name="OLE_LINK3574"/>
      <w:bookmarkStart w:id="692" w:name="OLE_LINK3582"/>
      <w:bookmarkStart w:id="693" w:name="OLE_LINK3598"/>
      <w:bookmarkStart w:id="694" w:name="OLE_LINK3601"/>
      <w:bookmarkStart w:id="695" w:name="OLE_LINK3602"/>
      <w:bookmarkStart w:id="696" w:name="OLE_LINK3603"/>
      <w:bookmarkStart w:id="697" w:name="OLE_LINK3605"/>
      <w:bookmarkStart w:id="698" w:name="OLE_LINK3600"/>
      <w:bookmarkStart w:id="699" w:name="OLE_LINK3706"/>
      <w:bookmarkStart w:id="700" w:name="OLE_LINK3728"/>
      <w:bookmarkStart w:id="701" w:name="OLE_LINK3711"/>
      <w:bookmarkStart w:id="702" w:name="OLE_LINK3759"/>
      <w:bookmarkStart w:id="703" w:name="OLE_LINK3827"/>
      <w:bookmarkStart w:id="704" w:name="OLE_LINK3834"/>
      <w:bookmarkStart w:id="705" w:name="OLE_LINK3836"/>
      <w:bookmarkStart w:id="706" w:name="OLE_LINK3847"/>
      <w:bookmarkStart w:id="707" w:name="OLE_LINK3861"/>
      <w:bookmarkStart w:id="708" w:name="OLE_LINK3874"/>
      <w:bookmarkStart w:id="709" w:name="OLE_LINK3907"/>
      <w:bookmarkStart w:id="710" w:name="OLE_LINK3922"/>
      <w:bookmarkStart w:id="711" w:name="OLE_LINK3942"/>
      <w:bookmarkStart w:id="712" w:name="OLE_LINK3866"/>
      <w:bookmarkStart w:id="713" w:name="OLE_LINK3883"/>
      <w:bookmarkStart w:id="714" w:name="OLE_LINK3924"/>
      <w:bookmarkStart w:id="715" w:name="OLE_LINK3964"/>
      <w:bookmarkStart w:id="716" w:name="OLE_LINK3984"/>
      <w:bookmarkStart w:id="717" w:name="OLE_LINK3905"/>
      <w:bookmarkStart w:id="718" w:name="OLE_LINK3941"/>
      <w:bookmarkStart w:id="719" w:name="OLE_LINK3986"/>
      <w:bookmarkStart w:id="720" w:name="OLE_LINK3980"/>
      <w:bookmarkStart w:id="721" w:name="OLE_LINK4008"/>
      <w:bookmarkStart w:id="722" w:name="OLE_LINK404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8E0DB1">
        <w:rPr>
          <w:rFonts w:ascii="Book Antiqua" w:hAnsi="Book Antiqua"/>
          <w:b/>
        </w:rPr>
        <w:t xml:space="preserve">Specialty type: </w:t>
      </w:r>
      <w:r w:rsidRPr="008E0DB1">
        <w:rPr>
          <w:rFonts w:ascii="Book Antiqua" w:hAnsi="Book Antiqua"/>
        </w:rPr>
        <w:t>Gastroenterology and hepatology</w:t>
      </w:r>
    </w:p>
    <w:p w14:paraId="19950F71" w14:textId="35C44C4D" w:rsidR="009B298E" w:rsidRPr="008E0DB1" w:rsidRDefault="009B298E" w:rsidP="009B298E">
      <w:pPr>
        <w:adjustRightInd w:val="0"/>
        <w:snapToGrid w:val="0"/>
        <w:spacing w:line="360" w:lineRule="auto"/>
        <w:rPr>
          <w:rFonts w:ascii="Book Antiqua" w:hAnsi="Book Antiqua"/>
          <w:lang w:eastAsia="zh-CN"/>
        </w:rPr>
      </w:pPr>
      <w:r w:rsidRPr="008E0DB1">
        <w:rPr>
          <w:rFonts w:ascii="Book Antiqua" w:hAnsi="Book Antiqua"/>
          <w:b/>
        </w:rPr>
        <w:t xml:space="preserve">Country of origin: </w:t>
      </w:r>
      <w:r>
        <w:rPr>
          <w:rFonts w:ascii="Book Antiqua" w:hAnsi="Book Antiqua" w:hint="eastAsia"/>
          <w:lang w:eastAsia="zh-CN"/>
        </w:rPr>
        <w:t>United States</w:t>
      </w:r>
    </w:p>
    <w:bookmarkEnd w:id="667"/>
    <w:bookmarkEnd w:id="668"/>
    <w:bookmarkEnd w:id="669"/>
    <w:bookmarkEnd w:id="670"/>
    <w:p w14:paraId="067E0F9C" w14:textId="77777777" w:rsidR="009B298E" w:rsidRPr="001153D1" w:rsidRDefault="009B298E" w:rsidP="009B298E">
      <w:pPr>
        <w:shd w:val="clear" w:color="auto" w:fill="FFFFFF"/>
        <w:spacing w:line="360" w:lineRule="auto"/>
        <w:rPr>
          <w:rFonts w:ascii="Book Antiqua" w:hAnsi="Book Antiqua" w:cs="Helvetica"/>
          <w:b/>
        </w:rPr>
      </w:pPr>
      <w:r w:rsidRPr="001153D1">
        <w:rPr>
          <w:rFonts w:ascii="Book Antiqua" w:hAnsi="Book Antiqua" w:cs="Helvetica"/>
          <w:b/>
        </w:rPr>
        <w:t>Peer-review report classification</w:t>
      </w:r>
    </w:p>
    <w:p w14:paraId="2D2997EF" w14:textId="057DD7FF" w:rsidR="009B298E" w:rsidRDefault="009B298E" w:rsidP="009B298E">
      <w:pPr>
        <w:shd w:val="clear" w:color="auto" w:fill="FFFFFF"/>
        <w:spacing w:line="360" w:lineRule="auto"/>
        <w:rPr>
          <w:rFonts w:ascii="Book Antiqua" w:hAnsi="Book Antiqua" w:cs="Helvetica"/>
          <w:lang w:eastAsia="zh-CN"/>
        </w:rPr>
      </w:pPr>
      <w:r>
        <w:rPr>
          <w:rFonts w:ascii="Book Antiqua" w:hAnsi="Book Antiqua" w:cs="Helvetica"/>
        </w:rPr>
        <w:t xml:space="preserve">Grade A (Excellent): </w:t>
      </w:r>
      <w:r w:rsidR="002805EC">
        <w:rPr>
          <w:rFonts w:ascii="Book Antiqua" w:hAnsi="Book Antiqua" w:cs="Helvetica" w:hint="eastAsia"/>
          <w:lang w:eastAsia="zh-CN"/>
        </w:rPr>
        <w:t>A</w:t>
      </w:r>
    </w:p>
    <w:p w14:paraId="2FB67182" w14:textId="2B1743BE" w:rsidR="009B298E" w:rsidRDefault="009B298E" w:rsidP="009B298E">
      <w:pPr>
        <w:shd w:val="clear" w:color="auto" w:fill="FFFFFF"/>
        <w:spacing w:line="360" w:lineRule="auto"/>
        <w:rPr>
          <w:rFonts w:ascii="Book Antiqua" w:hAnsi="Book Antiqua" w:cs="Helvetica"/>
          <w:lang w:eastAsia="zh-CN"/>
        </w:rPr>
      </w:pPr>
      <w:r>
        <w:rPr>
          <w:rFonts w:ascii="Book Antiqua" w:hAnsi="Book Antiqua" w:cs="Helvetica"/>
        </w:rPr>
        <w:t xml:space="preserve">Grade B (Very good): </w:t>
      </w:r>
      <w:r w:rsidR="002805EC">
        <w:rPr>
          <w:rFonts w:ascii="Book Antiqua" w:hAnsi="Book Antiqua" w:cs="Helvetica" w:hint="eastAsia"/>
          <w:lang w:eastAsia="zh-CN"/>
        </w:rPr>
        <w:t>B, B</w:t>
      </w:r>
    </w:p>
    <w:p w14:paraId="052D5F39" w14:textId="77777777" w:rsidR="009B298E" w:rsidRDefault="009B298E" w:rsidP="009B298E">
      <w:pPr>
        <w:shd w:val="clear" w:color="auto" w:fill="FFFFFF"/>
        <w:spacing w:line="360" w:lineRule="auto"/>
        <w:rPr>
          <w:rFonts w:ascii="Book Antiqua" w:hAnsi="Book Antiqua" w:cs="Helvetica"/>
        </w:rPr>
      </w:pPr>
      <w:r>
        <w:rPr>
          <w:rFonts w:ascii="Book Antiqua" w:hAnsi="Book Antiqua" w:cs="Helvetica"/>
        </w:rPr>
        <w:t xml:space="preserve">Grade C (Good): </w:t>
      </w:r>
      <w:r>
        <w:rPr>
          <w:rFonts w:ascii="Book Antiqua" w:hAnsi="Book Antiqua" w:cs="Helvetica" w:hint="eastAsia"/>
        </w:rPr>
        <w:t>C</w:t>
      </w:r>
    </w:p>
    <w:p w14:paraId="38AABCC3" w14:textId="77777777" w:rsidR="009B298E" w:rsidRDefault="009B298E" w:rsidP="009B298E">
      <w:pPr>
        <w:shd w:val="clear" w:color="auto" w:fill="FFFFFF"/>
        <w:spacing w:line="360" w:lineRule="auto"/>
        <w:rPr>
          <w:rFonts w:ascii="Book Antiqua" w:hAnsi="Book Antiqua" w:cs="Helvetica"/>
        </w:rPr>
      </w:pPr>
      <w:r>
        <w:rPr>
          <w:rFonts w:ascii="Book Antiqua" w:hAnsi="Book Antiqua" w:cs="Helvetica"/>
        </w:rPr>
        <w:t>Grade D (Fair): 0</w:t>
      </w:r>
    </w:p>
    <w:p w14:paraId="09186161" w14:textId="77777777" w:rsidR="009B298E" w:rsidRDefault="009B298E" w:rsidP="009B298E">
      <w:pPr>
        <w:shd w:val="clear" w:color="auto" w:fill="FFFFFF"/>
        <w:spacing w:line="360" w:lineRule="auto"/>
        <w:rPr>
          <w:rFonts w:ascii="Calibri" w:hAnsi="Calibri" w:cs="Times New Roman"/>
          <w:sz w:val="22"/>
        </w:rPr>
      </w:pPr>
      <w:r>
        <w:rPr>
          <w:rFonts w:ascii="Book Antiqua" w:hAnsi="Book Antiqua" w:cs="Helvetica"/>
        </w:rPr>
        <w:t xml:space="preserve">Grade E (Poor): </w:t>
      </w:r>
      <w:bookmarkEnd w:id="671"/>
      <w:bookmarkEnd w:id="672"/>
      <w:r>
        <w:rPr>
          <w:rFonts w:ascii="Book Antiqua" w:hAnsi="Book Antiqua" w:cs="Helvetica"/>
        </w:rPr>
        <w:t>0</w:t>
      </w:r>
    </w:p>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14:paraId="4432647C" w14:textId="15EA4714" w:rsidR="00112D07" w:rsidRPr="00F56726" w:rsidRDefault="00A603C0" w:rsidP="00A76D85">
      <w:pPr>
        <w:adjustRightInd w:val="0"/>
        <w:snapToGrid w:val="0"/>
        <w:spacing w:line="360" w:lineRule="auto"/>
        <w:jc w:val="both"/>
        <w:rPr>
          <w:rFonts w:ascii="Book Antiqua" w:hAnsi="Book Antiqua" w:cs="Arial"/>
          <w:b/>
          <w:color w:val="auto"/>
        </w:rPr>
      </w:pPr>
      <w:r w:rsidRPr="00F56726">
        <w:rPr>
          <w:rFonts w:ascii="Book Antiqua" w:hAnsi="Book Antiqua" w:cs="Arial"/>
          <w:color w:val="auto"/>
        </w:rPr>
        <w:br w:type="page"/>
      </w:r>
      <w:r w:rsidR="003860D1">
        <w:rPr>
          <w:rFonts w:ascii="Book Antiqua" w:eastAsia="Times New Roman" w:hAnsi="Book Antiqua" w:cs="Arial"/>
          <w:b/>
          <w:color w:val="auto"/>
        </w:rPr>
        <w:lastRenderedPageBreak/>
        <w:t>Table 1</w:t>
      </w:r>
      <w:r w:rsidRPr="00F56726">
        <w:rPr>
          <w:rFonts w:ascii="Book Antiqua" w:eastAsia="Times New Roman" w:hAnsi="Book Antiqua" w:cs="Arial"/>
          <w:b/>
          <w:color w:val="auto"/>
        </w:rPr>
        <w:t xml:space="preserve"> Sample</w:t>
      </w:r>
      <w:r w:rsidR="003860D1" w:rsidRPr="00F56726">
        <w:rPr>
          <w:rFonts w:ascii="Book Antiqua" w:eastAsia="Times New Roman" w:hAnsi="Book Antiqua" w:cs="Arial"/>
          <w:b/>
          <w:color w:val="auto"/>
        </w:rPr>
        <w:t xml:space="preserve"> summary statistics</w:t>
      </w:r>
    </w:p>
    <w:tbl>
      <w:tblPr>
        <w:tblStyle w:val="a"/>
        <w:tblW w:w="5454"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895"/>
        <w:gridCol w:w="832"/>
        <w:gridCol w:w="1727"/>
      </w:tblGrid>
      <w:tr w:rsidR="00A76D85" w:rsidRPr="003860D1" w14:paraId="52CF4A21" w14:textId="77777777" w:rsidTr="00F07741">
        <w:tc>
          <w:tcPr>
            <w:tcW w:w="2895" w:type="dxa"/>
            <w:tcBorders>
              <w:top w:val="single" w:sz="4" w:space="0" w:color="000000"/>
              <w:bottom w:val="single" w:sz="4" w:space="0" w:color="000000"/>
            </w:tcBorders>
          </w:tcPr>
          <w:p w14:paraId="5C45BFBD" w14:textId="77777777" w:rsidR="00F07741" w:rsidRPr="003860D1" w:rsidRDefault="00F07741" w:rsidP="003860D1">
            <w:pPr>
              <w:adjustRightInd w:val="0"/>
              <w:snapToGrid w:val="0"/>
              <w:spacing w:line="360" w:lineRule="auto"/>
              <w:contextualSpacing w:val="0"/>
              <w:rPr>
                <w:rFonts w:ascii="Book Antiqua" w:hAnsi="Book Antiqua" w:cs="Arial"/>
                <w:b/>
                <w:color w:val="auto"/>
                <w:sz w:val="24"/>
                <w:szCs w:val="24"/>
              </w:rPr>
            </w:pPr>
            <w:r w:rsidRPr="003860D1">
              <w:rPr>
                <w:rFonts w:ascii="Book Antiqua" w:eastAsia="Times New Roman" w:hAnsi="Book Antiqua" w:cs="Arial"/>
                <w:b/>
                <w:color w:val="auto"/>
                <w:sz w:val="24"/>
                <w:szCs w:val="24"/>
              </w:rPr>
              <w:t>Variable</w:t>
            </w:r>
          </w:p>
        </w:tc>
        <w:tc>
          <w:tcPr>
            <w:tcW w:w="832" w:type="dxa"/>
            <w:tcBorders>
              <w:top w:val="single" w:sz="4" w:space="0" w:color="000000"/>
              <w:bottom w:val="single" w:sz="4" w:space="0" w:color="000000"/>
            </w:tcBorders>
          </w:tcPr>
          <w:p w14:paraId="7AD99591" w14:textId="7138D5A0" w:rsidR="00F07741" w:rsidRPr="003860D1" w:rsidRDefault="003860D1" w:rsidP="003860D1">
            <w:pPr>
              <w:adjustRightInd w:val="0"/>
              <w:snapToGrid w:val="0"/>
              <w:spacing w:line="360" w:lineRule="auto"/>
              <w:contextualSpacing w:val="0"/>
              <w:jc w:val="center"/>
              <w:rPr>
                <w:rFonts w:ascii="Book Antiqua" w:hAnsi="Book Antiqua" w:cs="Arial"/>
                <w:b/>
                <w:i/>
                <w:color w:val="auto"/>
                <w:sz w:val="24"/>
                <w:szCs w:val="24"/>
                <w:lang w:eastAsia="zh-CN"/>
              </w:rPr>
            </w:pPr>
            <w:r w:rsidRPr="003860D1">
              <w:rPr>
                <w:rFonts w:ascii="Book Antiqua" w:hAnsi="Book Antiqua" w:cs="Arial" w:hint="eastAsia"/>
                <w:b/>
                <w:i/>
                <w:color w:val="auto"/>
                <w:sz w:val="24"/>
                <w:szCs w:val="24"/>
                <w:lang w:eastAsia="zh-CN"/>
              </w:rPr>
              <w:t>n</w:t>
            </w:r>
          </w:p>
        </w:tc>
        <w:tc>
          <w:tcPr>
            <w:tcW w:w="1727" w:type="dxa"/>
            <w:tcBorders>
              <w:top w:val="single" w:sz="4" w:space="0" w:color="000000"/>
              <w:bottom w:val="single" w:sz="4" w:space="0" w:color="000000"/>
            </w:tcBorders>
          </w:tcPr>
          <w:p w14:paraId="084BC8B3" w14:textId="7422FCD7" w:rsidR="00F07741" w:rsidRPr="003860D1" w:rsidRDefault="003860D1" w:rsidP="003860D1">
            <w:pPr>
              <w:adjustRightInd w:val="0"/>
              <w:snapToGrid w:val="0"/>
              <w:spacing w:line="360" w:lineRule="auto"/>
              <w:contextualSpacing w:val="0"/>
              <w:jc w:val="center"/>
              <w:rPr>
                <w:rFonts w:ascii="Book Antiqua" w:hAnsi="Book Antiqua" w:cs="Arial"/>
                <w:b/>
                <w:color w:val="auto"/>
                <w:sz w:val="24"/>
                <w:szCs w:val="24"/>
                <w:lang w:eastAsia="zh-CN"/>
              </w:rPr>
            </w:pPr>
            <w:r>
              <w:rPr>
                <w:rFonts w:ascii="Book Antiqua" w:hAnsi="Book Antiqua" w:cs="Arial" w:hint="eastAsia"/>
                <w:b/>
                <w:color w:val="auto"/>
                <w:sz w:val="24"/>
                <w:szCs w:val="24"/>
                <w:lang w:eastAsia="zh-CN"/>
              </w:rPr>
              <w:t>m</w:t>
            </w:r>
            <w:r w:rsidR="00F07741" w:rsidRPr="003860D1">
              <w:rPr>
                <w:rFonts w:ascii="Book Antiqua" w:eastAsia="Times New Roman" w:hAnsi="Book Antiqua" w:cs="Arial"/>
                <w:b/>
                <w:color w:val="auto"/>
                <w:sz w:val="24"/>
                <w:szCs w:val="24"/>
              </w:rPr>
              <w:t>ean</w:t>
            </w:r>
            <w:r w:rsidR="0059598A">
              <w:rPr>
                <w:rFonts w:ascii="Book Antiqua" w:hAnsi="Book Antiqua" w:cs="Arial" w:hint="eastAsia"/>
                <w:b/>
                <w:color w:val="auto"/>
                <w:sz w:val="24"/>
                <w:szCs w:val="24"/>
                <w:lang w:eastAsia="zh-CN"/>
              </w:rPr>
              <w:t xml:space="preserve"> </w:t>
            </w:r>
            <w:r>
              <w:rPr>
                <w:rFonts w:ascii="Book Antiqua" w:eastAsia="Times New Roman" w:hAnsi="Book Antiqua" w:cs="Arial"/>
                <w:b/>
                <w:color w:val="auto"/>
                <w:sz w:val="24"/>
                <w:szCs w:val="24"/>
              </w:rPr>
              <w:t>±</w:t>
            </w:r>
            <w:r w:rsidR="0059598A">
              <w:rPr>
                <w:rFonts w:ascii="Book Antiqua" w:eastAsia="Times New Roman" w:hAnsi="Book Antiqua" w:cs="Arial"/>
                <w:b/>
                <w:color w:val="auto"/>
                <w:sz w:val="24"/>
                <w:szCs w:val="24"/>
              </w:rPr>
              <w:t xml:space="preserve"> </w:t>
            </w:r>
            <w:r w:rsidR="00F07741" w:rsidRPr="003860D1">
              <w:rPr>
                <w:rFonts w:ascii="Book Antiqua" w:eastAsia="Times New Roman" w:hAnsi="Book Antiqua" w:cs="Arial"/>
                <w:b/>
                <w:color w:val="auto"/>
                <w:sz w:val="24"/>
                <w:szCs w:val="24"/>
              </w:rPr>
              <w:t>SD</w:t>
            </w:r>
            <w:r>
              <w:rPr>
                <w:rFonts w:ascii="Book Antiqua" w:hAnsi="Book Antiqua" w:cs="Arial" w:hint="eastAsia"/>
                <w:b/>
                <w:color w:val="auto"/>
                <w:sz w:val="24"/>
                <w:szCs w:val="24"/>
                <w:lang w:eastAsia="zh-CN"/>
              </w:rPr>
              <w:t>/</w:t>
            </w:r>
            <w:r>
              <w:rPr>
                <w:rFonts w:ascii="Book Antiqua" w:eastAsia="Times New Roman" w:hAnsi="Book Antiqua" w:cs="Arial"/>
                <w:b/>
                <w:color w:val="auto"/>
                <w:sz w:val="24"/>
                <w:szCs w:val="24"/>
              </w:rPr>
              <w:t xml:space="preserve"> </w:t>
            </w:r>
            <w:r>
              <w:rPr>
                <w:rFonts w:ascii="Book Antiqua" w:hAnsi="Book Antiqua" w:cs="Arial" w:hint="eastAsia"/>
                <w:b/>
                <w:color w:val="auto"/>
                <w:sz w:val="24"/>
                <w:szCs w:val="24"/>
                <w:lang w:eastAsia="zh-CN"/>
              </w:rPr>
              <w:t>p</w:t>
            </w:r>
            <w:r w:rsidR="00F07741" w:rsidRPr="003860D1">
              <w:rPr>
                <w:rFonts w:ascii="Book Antiqua" w:eastAsia="Times New Roman" w:hAnsi="Book Antiqua" w:cs="Arial"/>
                <w:b/>
                <w:color w:val="auto"/>
                <w:sz w:val="24"/>
                <w:szCs w:val="24"/>
              </w:rPr>
              <w:t>ercentages</w:t>
            </w:r>
            <w:r>
              <w:rPr>
                <w:rFonts w:ascii="Book Antiqua" w:hAnsi="Book Antiqua" w:cs="Arial" w:hint="eastAsia"/>
                <w:b/>
                <w:color w:val="auto"/>
                <w:sz w:val="24"/>
                <w:szCs w:val="24"/>
                <w:vertAlign w:val="superscript"/>
                <w:lang w:eastAsia="zh-CN"/>
              </w:rPr>
              <w:t>1</w:t>
            </w:r>
          </w:p>
        </w:tc>
      </w:tr>
      <w:tr w:rsidR="00A76D85" w:rsidRPr="00F56726" w14:paraId="755AF464" w14:textId="77777777" w:rsidTr="00F07741">
        <w:tc>
          <w:tcPr>
            <w:tcW w:w="2895" w:type="dxa"/>
            <w:tcBorders>
              <w:top w:val="single" w:sz="4" w:space="0" w:color="000000"/>
            </w:tcBorders>
          </w:tcPr>
          <w:p w14:paraId="755BAF9F"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Age at baseline</w:t>
            </w:r>
          </w:p>
        </w:tc>
        <w:tc>
          <w:tcPr>
            <w:tcW w:w="832" w:type="dxa"/>
            <w:tcBorders>
              <w:top w:val="single" w:sz="4" w:space="0" w:color="000000"/>
            </w:tcBorders>
          </w:tcPr>
          <w:p w14:paraId="596D6C95"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144</w:t>
            </w:r>
          </w:p>
        </w:tc>
        <w:tc>
          <w:tcPr>
            <w:tcW w:w="1727" w:type="dxa"/>
            <w:tcBorders>
              <w:top w:val="single" w:sz="4" w:space="0" w:color="000000"/>
            </w:tcBorders>
          </w:tcPr>
          <w:p w14:paraId="55EB79DA" w14:textId="08C77DCB"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15.67</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1.9</w:t>
            </w:r>
          </w:p>
        </w:tc>
      </w:tr>
      <w:tr w:rsidR="00A76D85" w:rsidRPr="00F56726" w14:paraId="2A109524" w14:textId="77777777" w:rsidTr="00F07741">
        <w:tc>
          <w:tcPr>
            <w:tcW w:w="2895" w:type="dxa"/>
          </w:tcPr>
          <w:p w14:paraId="3D5E97C4"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Age (time-varying)</w:t>
            </w:r>
          </w:p>
        </w:tc>
        <w:tc>
          <w:tcPr>
            <w:tcW w:w="832" w:type="dxa"/>
          </w:tcPr>
          <w:p w14:paraId="70F1025B"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226</w:t>
            </w:r>
          </w:p>
        </w:tc>
        <w:tc>
          <w:tcPr>
            <w:tcW w:w="1727" w:type="dxa"/>
          </w:tcPr>
          <w:p w14:paraId="68F45A30" w14:textId="33A3DA43"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15.88</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2.0</w:t>
            </w:r>
          </w:p>
        </w:tc>
      </w:tr>
      <w:tr w:rsidR="00A76D85" w:rsidRPr="00F56726" w14:paraId="5DC2DC46" w14:textId="77777777" w:rsidTr="00F07741">
        <w:tc>
          <w:tcPr>
            <w:tcW w:w="2895" w:type="dxa"/>
          </w:tcPr>
          <w:p w14:paraId="593643D1" w14:textId="3DA3BCF3"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 xml:space="preserve">Age of </w:t>
            </w:r>
            <w:r w:rsidR="003860D1" w:rsidRPr="00F56726">
              <w:rPr>
                <w:rFonts w:ascii="Book Antiqua" w:eastAsia="Times New Roman" w:hAnsi="Book Antiqua" w:cs="Arial"/>
                <w:color w:val="auto"/>
                <w:sz w:val="24"/>
                <w:szCs w:val="24"/>
              </w:rPr>
              <w:t>diagnosis</w:t>
            </w:r>
          </w:p>
        </w:tc>
        <w:tc>
          <w:tcPr>
            <w:tcW w:w="832" w:type="dxa"/>
          </w:tcPr>
          <w:p w14:paraId="11D49C8B"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144</w:t>
            </w:r>
          </w:p>
        </w:tc>
        <w:tc>
          <w:tcPr>
            <w:tcW w:w="1727" w:type="dxa"/>
          </w:tcPr>
          <w:p w14:paraId="24863E64" w14:textId="00E33F40"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12.20</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2.8</w:t>
            </w:r>
          </w:p>
        </w:tc>
      </w:tr>
      <w:tr w:rsidR="00A76D85" w:rsidRPr="00F56726" w14:paraId="1EEC2871" w14:textId="77777777" w:rsidTr="00F07741">
        <w:tc>
          <w:tcPr>
            <w:tcW w:w="2895" w:type="dxa"/>
          </w:tcPr>
          <w:p w14:paraId="17894286"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Female</w:t>
            </w:r>
          </w:p>
        </w:tc>
        <w:tc>
          <w:tcPr>
            <w:tcW w:w="832" w:type="dxa"/>
          </w:tcPr>
          <w:p w14:paraId="07C9C109"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77</w:t>
            </w:r>
          </w:p>
        </w:tc>
        <w:tc>
          <w:tcPr>
            <w:tcW w:w="1727" w:type="dxa"/>
          </w:tcPr>
          <w:p w14:paraId="61FF2C24"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53.5%</w:t>
            </w:r>
          </w:p>
        </w:tc>
      </w:tr>
      <w:tr w:rsidR="00A76D85" w:rsidRPr="00F56726" w14:paraId="519FAD00" w14:textId="77777777" w:rsidTr="00F07741">
        <w:tc>
          <w:tcPr>
            <w:tcW w:w="2895" w:type="dxa"/>
          </w:tcPr>
          <w:p w14:paraId="64D83BD5"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Race: White</w:t>
            </w:r>
          </w:p>
        </w:tc>
        <w:tc>
          <w:tcPr>
            <w:tcW w:w="832" w:type="dxa"/>
          </w:tcPr>
          <w:p w14:paraId="567C50D7"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102</w:t>
            </w:r>
          </w:p>
        </w:tc>
        <w:tc>
          <w:tcPr>
            <w:tcW w:w="1727" w:type="dxa"/>
          </w:tcPr>
          <w:p w14:paraId="7A36289C"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70.8%</w:t>
            </w:r>
          </w:p>
        </w:tc>
      </w:tr>
      <w:tr w:rsidR="00A76D85" w:rsidRPr="00F56726" w14:paraId="39EFA332" w14:textId="77777777" w:rsidTr="00F07741">
        <w:tc>
          <w:tcPr>
            <w:tcW w:w="2895" w:type="dxa"/>
          </w:tcPr>
          <w:p w14:paraId="75BCACFE"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Race: AFAM</w:t>
            </w:r>
          </w:p>
        </w:tc>
        <w:tc>
          <w:tcPr>
            <w:tcW w:w="832" w:type="dxa"/>
          </w:tcPr>
          <w:p w14:paraId="62457DDD"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31</w:t>
            </w:r>
          </w:p>
        </w:tc>
        <w:tc>
          <w:tcPr>
            <w:tcW w:w="1727" w:type="dxa"/>
          </w:tcPr>
          <w:p w14:paraId="1EFA6F37"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21.5%</w:t>
            </w:r>
          </w:p>
        </w:tc>
      </w:tr>
      <w:tr w:rsidR="00A76D85" w:rsidRPr="00F56726" w14:paraId="520B5EA9" w14:textId="77777777" w:rsidTr="00F07741">
        <w:tc>
          <w:tcPr>
            <w:tcW w:w="2895" w:type="dxa"/>
          </w:tcPr>
          <w:p w14:paraId="3954820B"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Race: Hispanic</w:t>
            </w:r>
          </w:p>
        </w:tc>
        <w:tc>
          <w:tcPr>
            <w:tcW w:w="832" w:type="dxa"/>
          </w:tcPr>
          <w:p w14:paraId="7A0DA168"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3</w:t>
            </w:r>
          </w:p>
        </w:tc>
        <w:tc>
          <w:tcPr>
            <w:tcW w:w="1727" w:type="dxa"/>
          </w:tcPr>
          <w:p w14:paraId="77F60292"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2.1%</w:t>
            </w:r>
          </w:p>
        </w:tc>
      </w:tr>
      <w:tr w:rsidR="00A76D85" w:rsidRPr="00F56726" w14:paraId="1BEC5B9D" w14:textId="77777777" w:rsidTr="00F07741">
        <w:tc>
          <w:tcPr>
            <w:tcW w:w="2895" w:type="dxa"/>
          </w:tcPr>
          <w:p w14:paraId="193B6BBD"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Race: Other</w:t>
            </w:r>
          </w:p>
        </w:tc>
        <w:tc>
          <w:tcPr>
            <w:tcW w:w="832" w:type="dxa"/>
          </w:tcPr>
          <w:p w14:paraId="17A0EC2F"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8</w:t>
            </w:r>
          </w:p>
        </w:tc>
        <w:tc>
          <w:tcPr>
            <w:tcW w:w="1727" w:type="dxa"/>
          </w:tcPr>
          <w:p w14:paraId="1391753C"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5.6%</w:t>
            </w:r>
          </w:p>
        </w:tc>
      </w:tr>
      <w:tr w:rsidR="00A76D85" w:rsidRPr="00F56726" w14:paraId="2A87E335" w14:textId="77777777" w:rsidTr="00F07741">
        <w:tc>
          <w:tcPr>
            <w:tcW w:w="2895" w:type="dxa"/>
          </w:tcPr>
          <w:p w14:paraId="5583672E"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Private Health Insurance</w:t>
            </w:r>
          </w:p>
        </w:tc>
        <w:tc>
          <w:tcPr>
            <w:tcW w:w="832" w:type="dxa"/>
          </w:tcPr>
          <w:p w14:paraId="2D1A450D"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114</w:t>
            </w:r>
          </w:p>
        </w:tc>
        <w:tc>
          <w:tcPr>
            <w:tcW w:w="1727" w:type="dxa"/>
          </w:tcPr>
          <w:p w14:paraId="63D7C86E"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79.2%</w:t>
            </w:r>
          </w:p>
        </w:tc>
      </w:tr>
      <w:tr w:rsidR="00A76D85" w:rsidRPr="00F56726" w14:paraId="175475B2" w14:textId="77777777" w:rsidTr="00F07741">
        <w:tc>
          <w:tcPr>
            <w:tcW w:w="2895" w:type="dxa"/>
          </w:tcPr>
          <w:p w14:paraId="3A241FB4"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Public Health Insurance</w:t>
            </w:r>
          </w:p>
        </w:tc>
        <w:tc>
          <w:tcPr>
            <w:tcW w:w="832" w:type="dxa"/>
          </w:tcPr>
          <w:p w14:paraId="16E0FFC1"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26</w:t>
            </w:r>
          </w:p>
        </w:tc>
        <w:tc>
          <w:tcPr>
            <w:tcW w:w="1727" w:type="dxa"/>
          </w:tcPr>
          <w:p w14:paraId="50C04DE7"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18.1%</w:t>
            </w:r>
          </w:p>
        </w:tc>
      </w:tr>
      <w:tr w:rsidR="00A76D85" w:rsidRPr="00F56726" w14:paraId="29BAEF16" w14:textId="77777777" w:rsidTr="00F07741">
        <w:tc>
          <w:tcPr>
            <w:tcW w:w="2895" w:type="dxa"/>
          </w:tcPr>
          <w:p w14:paraId="1E33F5AC" w14:textId="77777777" w:rsidR="00F07741" w:rsidRPr="00F56726" w:rsidRDefault="00F07741"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Self-pay</w:t>
            </w:r>
          </w:p>
        </w:tc>
        <w:tc>
          <w:tcPr>
            <w:tcW w:w="832" w:type="dxa"/>
          </w:tcPr>
          <w:p w14:paraId="4A649050"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4</w:t>
            </w:r>
          </w:p>
        </w:tc>
        <w:tc>
          <w:tcPr>
            <w:tcW w:w="1727" w:type="dxa"/>
          </w:tcPr>
          <w:p w14:paraId="0F013C2F" w14:textId="77777777" w:rsidR="00F07741" w:rsidRPr="00F56726" w:rsidRDefault="00F0774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2.8%</w:t>
            </w:r>
          </w:p>
        </w:tc>
      </w:tr>
    </w:tbl>
    <w:p w14:paraId="0372D64B" w14:textId="5289A562" w:rsidR="00112D07" w:rsidRPr="00F56726" w:rsidRDefault="003860D1" w:rsidP="00A76D85">
      <w:pPr>
        <w:adjustRightInd w:val="0"/>
        <w:snapToGrid w:val="0"/>
        <w:spacing w:line="360" w:lineRule="auto"/>
        <w:jc w:val="both"/>
        <w:rPr>
          <w:rFonts w:ascii="Book Antiqua" w:hAnsi="Book Antiqua" w:cs="Arial"/>
          <w:color w:val="auto"/>
        </w:rPr>
      </w:pPr>
      <w:r w:rsidRPr="003860D1">
        <w:rPr>
          <w:rFonts w:ascii="Book Antiqua" w:hAnsi="Book Antiqua" w:cs="Arial" w:hint="eastAsia"/>
          <w:color w:val="auto"/>
          <w:vertAlign w:val="superscript"/>
          <w:lang w:eastAsia="zh-CN"/>
        </w:rPr>
        <w:t>1</w:t>
      </w:r>
      <w:r w:rsidR="00A603C0" w:rsidRPr="00F56726">
        <w:rPr>
          <w:rFonts w:ascii="Book Antiqua" w:eastAsia="Times New Roman" w:hAnsi="Book Antiqua" w:cs="Arial"/>
          <w:color w:val="auto"/>
        </w:rPr>
        <w:t>Percentages have been rounded and may not sum to one.</w:t>
      </w:r>
    </w:p>
    <w:p w14:paraId="6793B0AB" w14:textId="77777777" w:rsidR="00112D07" w:rsidRPr="00F56726" w:rsidRDefault="00112D07" w:rsidP="00A76D85">
      <w:pPr>
        <w:adjustRightInd w:val="0"/>
        <w:snapToGrid w:val="0"/>
        <w:spacing w:line="360" w:lineRule="auto"/>
        <w:jc w:val="both"/>
        <w:rPr>
          <w:rFonts w:ascii="Book Antiqua" w:hAnsi="Book Antiqua" w:cs="Arial"/>
          <w:color w:val="auto"/>
        </w:rPr>
      </w:pPr>
    </w:p>
    <w:p w14:paraId="27ED7D85" w14:textId="77777777" w:rsidR="00112D07" w:rsidRPr="00F56726" w:rsidRDefault="00112D07" w:rsidP="00A76D85">
      <w:pPr>
        <w:adjustRightInd w:val="0"/>
        <w:snapToGrid w:val="0"/>
        <w:spacing w:line="360" w:lineRule="auto"/>
        <w:jc w:val="both"/>
        <w:rPr>
          <w:rFonts w:ascii="Book Antiqua" w:hAnsi="Book Antiqua" w:cs="Arial"/>
          <w:color w:val="auto"/>
        </w:rPr>
      </w:pPr>
    </w:p>
    <w:p w14:paraId="5DE8AF9C" w14:textId="77777777" w:rsidR="004E667A" w:rsidRPr="00F56726" w:rsidRDefault="004E667A" w:rsidP="00A76D85">
      <w:pPr>
        <w:adjustRightInd w:val="0"/>
        <w:snapToGrid w:val="0"/>
        <w:spacing w:line="360" w:lineRule="auto"/>
        <w:jc w:val="both"/>
        <w:rPr>
          <w:rFonts w:ascii="Book Antiqua" w:eastAsia="Arial" w:hAnsi="Book Antiqua" w:cs="Arial"/>
          <w:color w:val="auto"/>
        </w:rPr>
      </w:pPr>
    </w:p>
    <w:p w14:paraId="1A843ADA" w14:textId="77777777" w:rsidR="00AD1C4F" w:rsidRPr="00F56726" w:rsidRDefault="00AD1C4F" w:rsidP="00A76D85">
      <w:pPr>
        <w:adjustRightInd w:val="0"/>
        <w:snapToGrid w:val="0"/>
        <w:spacing w:line="360" w:lineRule="auto"/>
        <w:jc w:val="both"/>
        <w:rPr>
          <w:rFonts w:ascii="Book Antiqua" w:eastAsia="Arial" w:hAnsi="Book Antiqua" w:cs="Arial"/>
          <w:b/>
          <w:color w:val="auto"/>
        </w:rPr>
      </w:pPr>
      <w:r w:rsidRPr="00F56726">
        <w:rPr>
          <w:rFonts w:ascii="Book Antiqua" w:eastAsia="Arial" w:hAnsi="Book Antiqua" w:cs="Arial"/>
          <w:b/>
          <w:color w:val="auto"/>
        </w:rPr>
        <w:br w:type="page"/>
      </w:r>
    </w:p>
    <w:p w14:paraId="1D3A1616" w14:textId="7F88368C" w:rsidR="0094645B" w:rsidRPr="00F56726" w:rsidRDefault="00A603C0" w:rsidP="00A76D85">
      <w:pPr>
        <w:adjustRightInd w:val="0"/>
        <w:snapToGrid w:val="0"/>
        <w:spacing w:line="360" w:lineRule="auto"/>
        <w:jc w:val="both"/>
        <w:rPr>
          <w:rFonts w:ascii="Book Antiqua" w:eastAsia="Arial" w:hAnsi="Book Antiqua" w:cs="Arial"/>
          <w:b/>
          <w:color w:val="auto"/>
        </w:rPr>
      </w:pPr>
      <w:r w:rsidRPr="00F56726">
        <w:rPr>
          <w:rFonts w:ascii="Book Antiqua" w:eastAsia="Arial" w:hAnsi="Book Antiqua" w:cs="Arial"/>
          <w:b/>
          <w:color w:val="auto"/>
        </w:rPr>
        <w:lastRenderedPageBreak/>
        <w:t xml:space="preserve">Table </w:t>
      </w:r>
      <w:r w:rsidR="004E667A" w:rsidRPr="00F56726">
        <w:rPr>
          <w:rFonts w:ascii="Book Antiqua" w:eastAsia="Arial" w:hAnsi="Book Antiqua" w:cs="Arial"/>
          <w:b/>
          <w:color w:val="auto"/>
        </w:rPr>
        <w:t>2</w:t>
      </w:r>
      <w:r w:rsidRPr="00F56726">
        <w:rPr>
          <w:rFonts w:ascii="Book Antiqua" w:eastAsia="Arial" w:hAnsi="Book Antiqua" w:cs="Arial"/>
          <w:b/>
          <w:color w:val="auto"/>
        </w:rPr>
        <w:t xml:space="preserve"> TRxANSITION</w:t>
      </w:r>
      <w:r w:rsidR="003860D1" w:rsidRPr="00F56726">
        <w:rPr>
          <w:rFonts w:ascii="Book Antiqua" w:eastAsia="Arial" w:hAnsi="Book Antiqua" w:cs="Arial"/>
          <w:b/>
          <w:color w:val="auto"/>
        </w:rPr>
        <w:t xml:space="preserve"> subtotal averages by age groups </w:t>
      </w:r>
    </w:p>
    <w:tbl>
      <w:tblPr>
        <w:tblStyle w:val="a1"/>
        <w:tblW w:w="7398" w:type="dxa"/>
        <w:tblInd w:w="-108" w:type="dxa"/>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3078"/>
        <w:gridCol w:w="1260"/>
        <w:gridCol w:w="990"/>
        <w:gridCol w:w="1080"/>
        <w:gridCol w:w="990"/>
      </w:tblGrid>
      <w:tr w:rsidR="00A76D85" w:rsidRPr="00F56726" w14:paraId="0BE1618F" w14:textId="77777777" w:rsidTr="000A5FD8">
        <w:tc>
          <w:tcPr>
            <w:tcW w:w="3078" w:type="dxa"/>
            <w:tcBorders>
              <w:bottom w:val="nil"/>
            </w:tcBorders>
            <w:shd w:val="clear" w:color="auto" w:fill="FFFFFF"/>
            <w:tcMar>
              <w:top w:w="20" w:type="dxa"/>
              <w:left w:w="108" w:type="dxa"/>
              <w:right w:w="108" w:type="dxa"/>
            </w:tcMar>
          </w:tcPr>
          <w:p w14:paraId="3EA13420" w14:textId="77777777" w:rsidR="00112D07" w:rsidRPr="00F56726" w:rsidRDefault="00112D07" w:rsidP="00A76D85">
            <w:pPr>
              <w:adjustRightInd w:val="0"/>
              <w:snapToGrid w:val="0"/>
              <w:spacing w:line="360" w:lineRule="auto"/>
              <w:jc w:val="both"/>
              <w:rPr>
                <w:rFonts w:ascii="Book Antiqua" w:hAnsi="Book Antiqua" w:cs="Arial"/>
                <w:color w:val="auto"/>
              </w:rPr>
            </w:pPr>
          </w:p>
        </w:tc>
        <w:tc>
          <w:tcPr>
            <w:tcW w:w="4320" w:type="dxa"/>
            <w:gridSpan w:val="4"/>
            <w:tcBorders>
              <w:bottom w:val="nil"/>
            </w:tcBorders>
            <w:shd w:val="clear" w:color="auto" w:fill="FFFFFF"/>
            <w:tcMar>
              <w:top w:w="20" w:type="dxa"/>
              <w:left w:w="108" w:type="dxa"/>
              <w:right w:w="108" w:type="dxa"/>
            </w:tcMar>
          </w:tcPr>
          <w:p w14:paraId="49598F75" w14:textId="77777777" w:rsidR="00112D07" w:rsidRPr="00F56726" w:rsidRDefault="00A603C0"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b/>
                <w:color w:val="auto"/>
              </w:rPr>
              <w:t>Age</w:t>
            </w:r>
          </w:p>
        </w:tc>
      </w:tr>
      <w:tr w:rsidR="00A76D85" w:rsidRPr="00F56726" w14:paraId="6BBD7017" w14:textId="77777777" w:rsidTr="000A5FD8">
        <w:tc>
          <w:tcPr>
            <w:tcW w:w="3078" w:type="dxa"/>
            <w:tcBorders>
              <w:top w:val="nil"/>
              <w:bottom w:val="single" w:sz="8" w:space="0" w:color="000000"/>
            </w:tcBorders>
            <w:shd w:val="clear" w:color="auto" w:fill="FFFFFF"/>
            <w:tcMar>
              <w:top w:w="20" w:type="dxa"/>
              <w:left w:w="108" w:type="dxa"/>
              <w:right w:w="108" w:type="dxa"/>
            </w:tcMar>
          </w:tcPr>
          <w:p w14:paraId="60686D8F" w14:textId="77777777" w:rsidR="000A5FD8" w:rsidRPr="00F56726" w:rsidRDefault="000A5FD8" w:rsidP="00A76D85">
            <w:pPr>
              <w:adjustRightInd w:val="0"/>
              <w:snapToGrid w:val="0"/>
              <w:spacing w:line="360" w:lineRule="auto"/>
              <w:jc w:val="both"/>
              <w:rPr>
                <w:rFonts w:ascii="Book Antiqua" w:hAnsi="Book Antiqua" w:cs="Arial"/>
                <w:color w:val="auto"/>
              </w:rPr>
            </w:pPr>
          </w:p>
        </w:tc>
        <w:tc>
          <w:tcPr>
            <w:tcW w:w="1260" w:type="dxa"/>
            <w:tcBorders>
              <w:top w:val="nil"/>
              <w:bottom w:val="single" w:sz="8" w:space="0" w:color="000000"/>
            </w:tcBorders>
            <w:shd w:val="clear" w:color="auto" w:fill="FFFFFF"/>
            <w:tcMar>
              <w:top w:w="20" w:type="dxa"/>
              <w:left w:w="108" w:type="dxa"/>
              <w:right w:w="108" w:type="dxa"/>
            </w:tcMar>
          </w:tcPr>
          <w:p w14:paraId="213FF326" w14:textId="521AD504" w:rsidR="000A5FD8" w:rsidRPr="00F56726" w:rsidRDefault="000A5FD8"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12-14</w:t>
            </w:r>
          </w:p>
        </w:tc>
        <w:tc>
          <w:tcPr>
            <w:tcW w:w="990" w:type="dxa"/>
            <w:tcBorders>
              <w:top w:val="nil"/>
              <w:bottom w:val="single" w:sz="8" w:space="0" w:color="000000"/>
            </w:tcBorders>
            <w:shd w:val="clear" w:color="auto" w:fill="FFFFFF"/>
            <w:tcMar>
              <w:top w:w="20" w:type="dxa"/>
              <w:left w:w="108" w:type="dxa"/>
              <w:right w:w="108" w:type="dxa"/>
            </w:tcMar>
          </w:tcPr>
          <w:p w14:paraId="2D5FB75F" w14:textId="27A193F8" w:rsidR="000A5FD8" w:rsidRPr="00F56726" w:rsidRDefault="000A5FD8"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15-16</w:t>
            </w:r>
          </w:p>
        </w:tc>
        <w:tc>
          <w:tcPr>
            <w:tcW w:w="1080" w:type="dxa"/>
            <w:tcBorders>
              <w:top w:val="nil"/>
              <w:bottom w:val="single" w:sz="8" w:space="0" w:color="000000"/>
            </w:tcBorders>
            <w:shd w:val="clear" w:color="auto" w:fill="FFFFFF"/>
            <w:tcMar>
              <w:top w:w="20" w:type="dxa"/>
              <w:left w:w="108" w:type="dxa"/>
              <w:right w:w="108" w:type="dxa"/>
            </w:tcMar>
          </w:tcPr>
          <w:p w14:paraId="4C0A84B0" w14:textId="7CB6555A" w:rsidR="000A5FD8" w:rsidRPr="00F56726" w:rsidRDefault="000A5FD8"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17-18</w:t>
            </w:r>
          </w:p>
        </w:tc>
        <w:tc>
          <w:tcPr>
            <w:tcW w:w="988" w:type="dxa"/>
            <w:tcBorders>
              <w:top w:val="nil"/>
              <w:bottom w:val="single" w:sz="8" w:space="0" w:color="000000"/>
            </w:tcBorders>
            <w:shd w:val="clear" w:color="auto" w:fill="FFFFFF"/>
            <w:tcMar>
              <w:top w:w="20" w:type="dxa"/>
              <w:left w:w="108" w:type="dxa"/>
              <w:right w:w="108" w:type="dxa"/>
            </w:tcMar>
          </w:tcPr>
          <w:p w14:paraId="4A913139" w14:textId="79F549BD" w:rsidR="000A5FD8" w:rsidRPr="00F56726" w:rsidRDefault="000A5FD8"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&gt; 18</w:t>
            </w:r>
          </w:p>
        </w:tc>
      </w:tr>
      <w:tr w:rsidR="00A76D85" w:rsidRPr="00F56726" w14:paraId="68481A86" w14:textId="77777777" w:rsidTr="000A5FD8">
        <w:tc>
          <w:tcPr>
            <w:tcW w:w="3078" w:type="dxa"/>
            <w:tcBorders>
              <w:bottom w:val="nil"/>
            </w:tcBorders>
            <w:shd w:val="clear" w:color="auto" w:fill="FFFFFF"/>
            <w:tcMar>
              <w:top w:w="20" w:type="dxa"/>
              <w:left w:w="108" w:type="dxa"/>
              <w:right w:w="108" w:type="dxa"/>
            </w:tcMar>
          </w:tcPr>
          <w:p w14:paraId="5D8201D0" w14:textId="1EA4CD4F"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 xml:space="preserve">Type of </w:t>
            </w:r>
            <w:r w:rsidR="003860D1" w:rsidRPr="00F56726">
              <w:rPr>
                <w:rFonts w:ascii="Book Antiqua" w:eastAsia="Arial" w:hAnsi="Book Antiqua" w:cs="Arial"/>
                <w:color w:val="auto"/>
              </w:rPr>
              <w:t>chronic health condition</w:t>
            </w:r>
          </w:p>
        </w:tc>
        <w:tc>
          <w:tcPr>
            <w:tcW w:w="1260" w:type="dxa"/>
            <w:tcBorders>
              <w:bottom w:val="nil"/>
            </w:tcBorders>
            <w:shd w:val="clear" w:color="auto" w:fill="C6D9F1"/>
            <w:tcMar>
              <w:top w:w="20" w:type="dxa"/>
              <w:left w:w="108" w:type="dxa"/>
              <w:right w:w="108" w:type="dxa"/>
            </w:tcMar>
            <w:vAlign w:val="bottom"/>
          </w:tcPr>
          <w:p w14:paraId="5F8C7249"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0.80</w:t>
            </w:r>
          </w:p>
        </w:tc>
        <w:tc>
          <w:tcPr>
            <w:tcW w:w="990" w:type="dxa"/>
            <w:tcBorders>
              <w:bottom w:val="nil"/>
            </w:tcBorders>
            <w:shd w:val="clear" w:color="auto" w:fill="FFFFFF"/>
            <w:tcMar>
              <w:top w:w="20" w:type="dxa"/>
              <w:left w:w="108" w:type="dxa"/>
              <w:right w:w="108" w:type="dxa"/>
            </w:tcMar>
            <w:vAlign w:val="bottom"/>
          </w:tcPr>
          <w:p w14:paraId="2A093FAD"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0.85</w:t>
            </w:r>
          </w:p>
        </w:tc>
        <w:tc>
          <w:tcPr>
            <w:tcW w:w="1080" w:type="dxa"/>
            <w:tcBorders>
              <w:bottom w:val="nil"/>
            </w:tcBorders>
            <w:shd w:val="clear" w:color="auto" w:fill="FFFFFF"/>
            <w:tcMar>
              <w:top w:w="20" w:type="dxa"/>
              <w:left w:w="108" w:type="dxa"/>
              <w:right w:w="108" w:type="dxa"/>
            </w:tcMar>
            <w:vAlign w:val="bottom"/>
          </w:tcPr>
          <w:p w14:paraId="3FDC8B91"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0.92</w:t>
            </w:r>
          </w:p>
        </w:tc>
        <w:tc>
          <w:tcPr>
            <w:tcW w:w="988" w:type="dxa"/>
            <w:tcBorders>
              <w:bottom w:val="nil"/>
            </w:tcBorders>
            <w:shd w:val="clear" w:color="auto" w:fill="FFFFFF"/>
            <w:tcMar>
              <w:top w:w="20" w:type="dxa"/>
              <w:left w:w="108" w:type="dxa"/>
              <w:right w:w="108" w:type="dxa"/>
            </w:tcMar>
            <w:vAlign w:val="bottom"/>
          </w:tcPr>
          <w:p w14:paraId="0AE30A9A" w14:textId="45F2A88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0.98</w:t>
            </w:r>
          </w:p>
        </w:tc>
      </w:tr>
      <w:tr w:rsidR="00A76D85" w:rsidRPr="00F56726" w14:paraId="05152F8F" w14:textId="77777777" w:rsidTr="000A5FD8">
        <w:tc>
          <w:tcPr>
            <w:tcW w:w="3078" w:type="dxa"/>
            <w:tcBorders>
              <w:top w:val="nil"/>
              <w:bottom w:val="nil"/>
            </w:tcBorders>
            <w:shd w:val="clear" w:color="auto" w:fill="FFFFFF"/>
            <w:tcMar>
              <w:top w:w="20" w:type="dxa"/>
              <w:left w:w="108" w:type="dxa"/>
              <w:right w:w="108" w:type="dxa"/>
            </w:tcMar>
          </w:tcPr>
          <w:p w14:paraId="312E750D" w14:textId="77777777"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Medications (Rx)</w:t>
            </w:r>
          </w:p>
        </w:tc>
        <w:tc>
          <w:tcPr>
            <w:tcW w:w="1260" w:type="dxa"/>
            <w:tcBorders>
              <w:top w:val="nil"/>
              <w:bottom w:val="nil"/>
            </w:tcBorders>
            <w:shd w:val="clear" w:color="auto" w:fill="C6D9F1"/>
            <w:tcMar>
              <w:top w:w="20" w:type="dxa"/>
              <w:left w:w="108" w:type="dxa"/>
              <w:right w:w="108" w:type="dxa"/>
            </w:tcMar>
            <w:vAlign w:val="bottom"/>
          </w:tcPr>
          <w:p w14:paraId="5E4D3C8D"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0.81</w:t>
            </w:r>
          </w:p>
        </w:tc>
        <w:tc>
          <w:tcPr>
            <w:tcW w:w="990" w:type="dxa"/>
            <w:tcBorders>
              <w:top w:val="nil"/>
              <w:bottom w:val="nil"/>
            </w:tcBorders>
            <w:shd w:val="clear" w:color="auto" w:fill="FFFFFF"/>
            <w:tcMar>
              <w:top w:w="20" w:type="dxa"/>
              <w:left w:w="108" w:type="dxa"/>
              <w:right w:w="108" w:type="dxa"/>
            </w:tcMar>
            <w:vAlign w:val="bottom"/>
          </w:tcPr>
          <w:p w14:paraId="5418DC57"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0.83</w:t>
            </w:r>
          </w:p>
        </w:tc>
        <w:tc>
          <w:tcPr>
            <w:tcW w:w="1080" w:type="dxa"/>
            <w:tcBorders>
              <w:top w:val="nil"/>
              <w:bottom w:val="nil"/>
            </w:tcBorders>
            <w:shd w:val="clear" w:color="auto" w:fill="FFFFFF"/>
            <w:tcMar>
              <w:top w:w="20" w:type="dxa"/>
              <w:left w:w="108" w:type="dxa"/>
              <w:right w:w="108" w:type="dxa"/>
            </w:tcMar>
            <w:vAlign w:val="bottom"/>
          </w:tcPr>
          <w:p w14:paraId="58C9DDC1"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0.86</w:t>
            </w:r>
          </w:p>
        </w:tc>
        <w:tc>
          <w:tcPr>
            <w:tcW w:w="988" w:type="dxa"/>
            <w:tcBorders>
              <w:top w:val="nil"/>
              <w:bottom w:val="nil"/>
            </w:tcBorders>
            <w:shd w:val="clear" w:color="auto" w:fill="FFFFFF"/>
            <w:tcMar>
              <w:top w:w="20" w:type="dxa"/>
              <w:left w:w="108" w:type="dxa"/>
              <w:right w:w="108" w:type="dxa"/>
            </w:tcMar>
            <w:vAlign w:val="bottom"/>
          </w:tcPr>
          <w:p w14:paraId="534D2162" w14:textId="3447C010"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0.89</w:t>
            </w:r>
          </w:p>
        </w:tc>
      </w:tr>
      <w:tr w:rsidR="00A76D85" w:rsidRPr="00F56726" w14:paraId="4051FEC5" w14:textId="77777777" w:rsidTr="000A5FD8">
        <w:tc>
          <w:tcPr>
            <w:tcW w:w="3078" w:type="dxa"/>
            <w:tcBorders>
              <w:top w:val="nil"/>
              <w:bottom w:val="nil"/>
            </w:tcBorders>
            <w:shd w:val="clear" w:color="auto" w:fill="FFFFFF"/>
            <w:tcMar>
              <w:top w:w="20" w:type="dxa"/>
              <w:left w:w="108" w:type="dxa"/>
              <w:right w:w="108" w:type="dxa"/>
            </w:tcMar>
          </w:tcPr>
          <w:p w14:paraId="18CE3840" w14:textId="77777777"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Adherence</w:t>
            </w:r>
          </w:p>
        </w:tc>
        <w:tc>
          <w:tcPr>
            <w:tcW w:w="1260" w:type="dxa"/>
            <w:tcBorders>
              <w:top w:val="nil"/>
              <w:bottom w:val="nil"/>
            </w:tcBorders>
            <w:shd w:val="clear" w:color="auto" w:fill="C6D9F1"/>
            <w:tcMar>
              <w:top w:w="20" w:type="dxa"/>
              <w:left w:w="108" w:type="dxa"/>
              <w:right w:w="108" w:type="dxa"/>
            </w:tcMar>
            <w:vAlign w:val="bottom"/>
          </w:tcPr>
          <w:p w14:paraId="3A50A4AD"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0.83</w:t>
            </w:r>
          </w:p>
        </w:tc>
        <w:tc>
          <w:tcPr>
            <w:tcW w:w="990" w:type="dxa"/>
            <w:tcBorders>
              <w:top w:val="nil"/>
              <w:bottom w:val="nil"/>
            </w:tcBorders>
            <w:shd w:val="clear" w:color="auto" w:fill="FFFFFF"/>
            <w:tcMar>
              <w:top w:w="20" w:type="dxa"/>
              <w:left w:w="108" w:type="dxa"/>
              <w:right w:w="108" w:type="dxa"/>
            </w:tcMar>
            <w:vAlign w:val="bottom"/>
          </w:tcPr>
          <w:p w14:paraId="42CA47E1"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0.86</w:t>
            </w:r>
          </w:p>
        </w:tc>
        <w:tc>
          <w:tcPr>
            <w:tcW w:w="1080" w:type="dxa"/>
            <w:tcBorders>
              <w:top w:val="nil"/>
              <w:bottom w:val="nil"/>
            </w:tcBorders>
            <w:shd w:val="clear" w:color="auto" w:fill="FFFFFF"/>
            <w:tcMar>
              <w:top w:w="20" w:type="dxa"/>
              <w:left w:w="108" w:type="dxa"/>
              <w:right w:w="108" w:type="dxa"/>
            </w:tcMar>
            <w:vAlign w:val="bottom"/>
          </w:tcPr>
          <w:p w14:paraId="65346411"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0.79</w:t>
            </w:r>
          </w:p>
        </w:tc>
        <w:tc>
          <w:tcPr>
            <w:tcW w:w="988" w:type="dxa"/>
            <w:tcBorders>
              <w:top w:val="nil"/>
              <w:bottom w:val="nil"/>
            </w:tcBorders>
            <w:shd w:val="clear" w:color="auto" w:fill="FFFFFF"/>
            <w:tcMar>
              <w:top w:w="20" w:type="dxa"/>
              <w:left w:w="108" w:type="dxa"/>
              <w:right w:w="108" w:type="dxa"/>
            </w:tcMar>
            <w:vAlign w:val="bottom"/>
          </w:tcPr>
          <w:p w14:paraId="25EFDE82" w14:textId="6B327CFC"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0.86</w:t>
            </w:r>
          </w:p>
        </w:tc>
      </w:tr>
      <w:tr w:rsidR="00A76D85" w:rsidRPr="00F56726" w14:paraId="26EC8428" w14:textId="77777777" w:rsidTr="000A5FD8">
        <w:tc>
          <w:tcPr>
            <w:tcW w:w="3078" w:type="dxa"/>
            <w:tcBorders>
              <w:top w:val="nil"/>
              <w:bottom w:val="nil"/>
            </w:tcBorders>
            <w:shd w:val="clear" w:color="auto" w:fill="FFFFFF"/>
            <w:tcMar>
              <w:top w:w="20" w:type="dxa"/>
              <w:left w:w="108" w:type="dxa"/>
              <w:right w:w="108" w:type="dxa"/>
            </w:tcMar>
          </w:tcPr>
          <w:p w14:paraId="24A7906D" w14:textId="77777777"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Nutrition</w:t>
            </w:r>
          </w:p>
        </w:tc>
        <w:tc>
          <w:tcPr>
            <w:tcW w:w="1260" w:type="dxa"/>
            <w:tcBorders>
              <w:top w:val="nil"/>
              <w:bottom w:val="nil"/>
            </w:tcBorders>
            <w:shd w:val="clear" w:color="auto" w:fill="C6D9F1"/>
            <w:tcMar>
              <w:top w:w="20" w:type="dxa"/>
              <w:left w:w="108" w:type="dxa"/>
              <w:right w:w="108" w:type="dxa"/>
            </w:tcMar>
            <w:vAlign w:val="bottom"/>
          </w:tcPr>
          <w:p w14:paraId="4B5C7CAA"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0.80</w:t>
            </w:r>
          </w:p>
        </w:tc>
        <w:tc>
          <w:tcPr>
            <w:tcW w:w="990" w:type="dxa"/>
            <w:tcBorders>
              <w:top w:val="nil"/>
              <w:bottom w:val="nil"/>
            </w:tcBorders>
            <w:shd w:val="clear" w:color="auto" w:fill="FFFFFF"/>
            <w:tcMar>
              <w:top w:w="20" w:type="dxa"/>
              <w:left w:w="108" w:type="dxa"/>
              <w:right w:w="108" w:type="dxa"/>
            </w:tcMar>
            <w:vAlign w:val="bottom"/>
          </w:tcPr>
          <w:p w14:paraId="36276225"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0.76</w:t>
            </w:r>
          </w:p>
        </w:tc>
        <w:tc>
          <w:tcPr>
            <w:tcW w:w="1080" w:type="dxa"/>
            <w:tcBorders>
              <w:top w:val="nil"/>
              <w:bottom w:val="nil"/>
            </w:tcBorders>
            <w:shd w:val="clear" w:color="auto" w:fill="FFFFFF"/>
            <w:tcMar>
              <w:top w:w="20" w:type="dxa"/>
              <w:left w:w="108" w:type="dxa"/>
              <w:right w:w="108" w:type="dxa"/>
            </w:tcMar>
            <w:vAlign w:val="bottom"/>
          </w:tcPr>
          <w:p w14:paraId="1FECFDDC"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0.84</w:t>
            </w:r>
          </w:p>
        </w:tc>
        <w:tc>
          <w:tcPr>
            <w:tcW w:w="988" w:type="dxa"/>
            <w:tcBorders>
              <w:top w:val="nil"/>
              <w:bottom w:val="nil"/>
            </w:tcBorders>
            <w:shd w:val="clear" w:color="auto" w:fill="FFFFFF"/>
            <w:tcMar>
              <w:top w:w="20" w:type="dxa"/>
              <w:left w:w="108" w:type="dxa"/>
              <w:right w:w="108" w:type="dxa"/>
            </w:tcMar>
            <w:vAlign w:val="bottom"/>
          </w:tcPr>
          <w:p w14:paraId="61D3A149" w14:textId="7A6FF049"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0.80</w:t>
            </w:r>
          </w:p>
        </w:tc>
      </w:tr>
      <w:tr w:rsidR="00A76D85" w:rsidRPr="00F56726" w14:paraId="0D19BC41" w14:textId="77777777" w:rsidTr="000A5FD8">
        <w:tc>
          <w:tcPr>
            <w:tcW w:w="3078" w:type="dxa"/>
            <w:tcBorders>
              <w:top w:val="nil"/>
              <w:bottom w:val="nil"/>
            </w:tcBorders>
            <w:shd w:val="clear" w:color="auto" w:fill="FFFFFF"/>
            <w:tcMar>
              <w:top w:w="20" w:type="dxa"/>
              <w:left w:w="108" w:type="dxa"/>
              <w:right w:w="108" w:type="dxa"/>
            </w:tcMar>
          </w:tcPr>
          <w:p w14:paraId="5A96B478" w14:textId="069954DF"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 xml:space="preserve">Ongoing </w:t>
            </w:r>
            <w:r w:rsidR="003860D1" w:rsidRPr="00F56726">
              <w:rPr>
                <w:rFonts w:ascii="Book Antiqua" w:eastAsia="Arial" w:hAnsi="Book Antiqua" w:cs="Arial"/>
                <w:color w:val="auto"/>
              </w:rPr>
              <w:t>support</w:t>
            </w:r>
          </w:p>
        </w:tc>
        <w:tc>
          <w:tcPr>
            <w:tcW w:w="1260" w:type="dxa"/>
            <w:tcBorders>
              <w:top w:val="nil"/>
              <w:bottom w:val="nil"/>
            </w:tcBorders>
            <w:shd w:val="clear" w:color="auto" w:fill="C6D9F1"/>
            <w:tcMar>
              <w:top w:w="20" w:type="dxa"/>
              <w:left w:w="108" w:type="dxa"/>
              <w:right w:w="108" w:type="dxa"/>
            </w:tcMar>
          </w:tcPr>
          <w:p w14:paraId="62963370"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0.87</w:t>
            </w:r>
          </w:p>
        </w:tc>
        <w:tc>
          <w:tcPr>
            <w:tcW w:w="990" w:type="dxa"/>
            <w:tcBorders>
              <w:top w:val="nil"/>
              <w:bottom w:val="nil"/>
            </w:tcBorders>
            <w:shd w:val="clear" w:color="auto" w:fill="FFFFFF"/>
            <w:tcMar>
              <w:top w:w="20" w:type="dxa"/>
              <w:left w:w="108" w:type="dxa"/>
              <w:right w:w="108" w:type="dxa"/>
            </w:tcMar>
          </w:tcPr>
          <w:p w14:paraId="37403358"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0.91</w:t>
            </w:r>
          </w:p>
        </w:tc>
        <w:tc>
          <w:tcPr>
            <w:tcW w:w="1080" w:type="dxa"/>
            <w:tcBorders>
              <w:top w:val="nil"/>
              <w:bottom w:val="nil"/>
            </w:tcBorders>
            <w:shd w:val="clear" w:color="auto" w:fill="FFFFFF"/>
            <w:tcMar>
              <w:top w:w="20" w:type="dxa"/>
              <w:left w:w="108" w:type="dxa"/>
              <w:right w:w="108" w:type="dxa"/>
            </w:tcMar>
          </w:tcPr>
          <w:p w14:paraId="34FE80C6"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0.97</w:t>
            </w:r>
          </w:p>
        </w:tc>
        <w:tc>
          <w:tcPr>
            <w:tcW w:w="988" w:type="dxa"/>
            <w:tcBorders>
              <w:top w:val="nil"/>
              <w:bottom w:val="nil"/>
            </w:tcBorders>
            <w:shd w:val="clear" w:color="auto" w:fill="FFFFFF"/>
            <w:tcMar>
              <w:top w:w="20" w:type="dxa"/>
              <w:left w:w="108" w:type="dxa"/>
              <w:right w:w="108" w:type="dxa"/>
            </w:tcMar>
          </w:tcPr>
          <w:p w14:paraId="229F028D" w14:textId="38ACDC5B"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0.93</w:t>
            </w:r>
          </w:p>
        </w:tc>
      </w:tr>
      <w:tr w:rsidR="00A76D85" w:rsidRPr="00F56726" w14:paraId="48099935" w14:textId="77777777" w:rsidTr="000A5FD8">
        <w:tc>
          <w:tcPr>
            <w:tcW w:w="3078" w:type="dxa"/>
            <w:tcBorders>
              <w:top w:val="nil"/>
              <w:bottom w:val="nil"/>
            </w:tcBorders>
            <w:shd w:val="clear" w:color="auto" w:fill="FFFFFF"/>
            <w:tcMar>
              <w:top w:w="20" w:type="dxa"/>
              <w:left w:w="108" w:type="dxa"/>
              <w:right w:w="108" w:type="dxa"/>
            </w:tcMar>
          </w:tcPr>
          <w:p w14:paraId="2F57C7BB" w14:textId="33298F05"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 xml:space="preserve">Issues of </w:t>
            </w:r>
            <w:r w:rsidR="003860D1" w:rsidRPr="00F56726">
              <w:rPr>
                <w:rFonts w:ascii="Book Antiqua" w:eastAsia="Arial" w:hAnsi="Book Antiqua" w:cs="Arial"/>
                <w:color w:val="auto"/>
              </w:rPr>
              <w:t>reproduction</w:t>
            </w:r>
          </w:p>
        </w:tc>
        <w:tc>
          <w:tcPr>
            <w:tcW w:w="1260" w:type="dxa"/>
            <w:tcBorders>
              <w:top w:val="nil"/>
              <w:bottom w:val="nil"/>
            </w:tcBorders>
            <w:shd w:val="clear" w:color="auto" w:fill="FFFFFF"/>
            <w:tcMar>
              <w:top w:w="20" w:type="dxa"/>
              <w:left w:w="108" w:type="dxa"/>
              <w:right w:w="108" w:type="dxa"/>
            </w:tcMar>
            <w:vAlign w:val="bottom"/>
          </w:tcPr>
          <w:p w14:paraId="55961AA9"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0.29</w:t>
            </w:r>
          </w:p>
        </w:tc>
        <w:tc>
          <w:tcPr>
            <w:tcW w:w="990" w:type="dxa"/>
            <w:tcBorders>
              <w:top w:val="nil"/>
              <w:bottom w:val="nil"/>
            </w:tcBorders>
            <w:shd w:val="clear" w:color="auto" w:fill="FFFFFF"/>
            <w:tcMar>
              <w:top w:w="20" w:type="dxa"/>
              <w:left w:w="108" w:type="dxa"/>
              <w:right w:w="108" w:type="dxa"/>
            </w:tcMar>
            <w:vAlign w:val="bottom"/>
          </w:tcPr>
          <w:p w14:paraId="7A89BB67"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0.48</w:t>
            </w:r>
          </w:p>
        </w:tc>
        <w:tc>
          <w:tcPr>
            <w:tcW w:w="1080" w:type="dxa"/>
            <w:tcBorders>
              <w:top w:val="nil"/>
              <w:bottom w:val="nil"/>
            </w:tcBorders>
            <w:shd w:val="clear" w:color="auto" w:fill="FFFFFF"/>
            <w:tcMar>
              <w:top w:w="20" w:type="dxa"/>
              <w:left w:w="108" w:type="dxa"/>
              <w:right w:w="108" w:type="dxa"/>
            </w:tcMar>
            <w:vAlign w:val="bottom"/>
          </w:tcPr>
          <w:p w14:paraId="10E761D8"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0.66</w:t>
            </w:r>
          </w:p>
        </w:tc>
        <w:tc>
          <w:tcPr>
            <w:tcW w:w="988" w:type="dxa"/>
            <w:tcBorders>
              <w:top w:val="nil"/>
              <w:bottom w:val="nil"/>
            </w:tcBorders>
            <w:shd w:val="clear" w:color="auto" w:fill="C6D9F1"/>
            <w:tcMar>
              <w:top w:w="20" w:type="dxa"/>
              <w:left w:w="108" w:type="dxa"/>
              <w:right w:w="108" w:type="dxa"/>
            </w:tcMar>
            <w:vAlign w:val="bottom"/>
          </w:tcPr>
          <w:p w14:paraId="17A16606" w14:textId="0BECE30C"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0.81</w:t>
            </w:r>
          </w:p>
        </w:tc>
      </w:tr>
      <w:tr w:rsidR="00A76D85" w:rsidRPr="00F56726" w14:paraId="1F199345" w14:textId="77777777" w:rsidTr="000A5FD8">
        <w:tc>
          <w:tcPr>
            <w:tcW w:w="3078" w:type="dxa"/>
            <w:tcBorders>
              <w:top w:val="nil"/>
              <w:bottom w:val="nil"/>
            </w:tcBorders>
            <w:shd w:val="clear" w:color="auto" w:fill="FFFFFF"/>
            <w:tcMar>
              <w:top w:w="20" w:type="dxa"/>
              <w:left w:w="108" w:type="dxa"/>
              <w:right w:w="108" w:type="dxa"/>
            </w:tcMar>
          </w:tcPr>
          <w:p w14:paraId="334754C8" w14:textId="767110CB"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Trade/</w:t>
            </w:r>
            <w:r w:rsidR="003860D1" w:rsidRPr="00F56726">
              <w:rPr>
                <w:rFonts w:ascii="Book Antiqua" w:eastAsia="Arial" w:hAnsi="Book Antiqua" w:cs="Arial"/>
                <w:color w:val="auto"/>
              </w:rPr>
              <w:t>school</w:t>
            </w:r>
          </w:p>
        </w:tc>
        <w:tc>
          <w:tcPr>
            <w:tcW w:w="1260" w:type="dxa"/>
            <w:tcBorders>
              <w:top w:val="nil"/>
              <w:bottom w:val="nil"/>
            </w:tcBorders>
            <w:shd w:val="clear" w:color="auto" w:fill="FFFFFF"/>
            <w:tcMar>
              <w:top w:w="20" w:type="dxa"/>
              <w:left w:w="108" w:type="dxa"/>
              <w:right w:w="108" w:type="dxa"/>
            </w:tcMar>
            <w:vAlign w:val="bottom"/>
          </w:tcPr>
          <w:p w14:paraId="528C3DEB"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0.44</w:t>
            </w:r>
          </w:p>
        </w:tc>
        <w:tc>
          <w:tcPr>
            <w:tcW w:w="990" w:type="dxa"/>
            <w:tcBorders>
              <w:top w:val="nil"/>
              <w:bottom w:val="nil"/>
            </w:tcBorders>
            <w:shd w:val="clear" w:color="auto" w:fill="FFFFFF"/>
            <w:tcMar>
              <w:top w:w="20" w:type="dxa"/>
              <w:left w:w="108" w:type="dxa"/>
              <w:right w:w="108" w:type="dxa"/>
            </w:tcMar>
            <w:vAlign w:val="bottom"/>
          </w:tcPr>
          <w:p w14:paraId="6930423A"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0.49</w:t>
            </w:r>
          </w:p>
        </w:tc>
        <w:tc>
          <w:tcPr>
            <w:tcW w:w="1080" w:type="dxa"/>
            <w:tcBorders>
              <w:top w:val="nil"/>
              <w:bottom w:val="nil"/>
            </w:tcBorders>
            <w:shd w:val="clear" w:color="auto" w:fill="FFFFFF"/>
            <w:tcMar>
              <w:top w:w="20" w:type="dxa"/>
              <w:left w:w="108" w:type="dxa"/>
              <w:right w:w="108" w:type="dxa"/>
            </w:tcMar>
            <w:vAlign w:val="bottom"/>
          </w:tcPr>
          <w:p w14:paraId="7B698D73"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0.70</w:t>
            </w:r>
          </w:p>
        </w:tc>
        <w:tc>
          <w:tcPr>
            <w:tcW w:w="988" w:type="dxa"/>
            <w:tcBorders>
              <w:top w:val="nil"/>
              <w:bottom w:val="nil"/>
            </w:tcBorders>
            <w:shd w:val="clear" w:color="auto" w:fill="C6D9F1"/>
            <w:tcMar>
              <w:top w:w="20" w:type="dxa"/>
              <w:left w:w="108" w:type="dxa"/>
              <w:right w:w="108" w:type="dxa"/>
            </w:tcMar>
            <w:vAlign w:val="bottom"/>
          </w:tcPr>
          <w:p w14:paraId="1B646193" w14:textId="41F3B346"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0.83</w:t>
            </w:r>
          </w:p>
        </w:tc>
      </w:tr>
      <w:tr w:rsidR="00A76D85" w:rsidRPr="00F56726" w14:paraId="08731C6A" w14:textId="77777777" w:rsidTr="000A5FD8">
        <w:tc>
          <w:tcPr>
            <w:tcW w:w="3078" w:type="dxa"/>
            <w:tcBorders>
              <w:top w:val="nil"/>
              <w:bottom w:val="nil"/>
            </w:tcBorders>
            <w:shd w:val="clear" w:color="auto" w:fill="FFFFFF"/>
            <w:tcMar>
              <w:top w:w="20" w:type="dxa"/>
              <w:left w:w="108" w:type="dxa"/>
              <w:right w:w="108" w:type="dxa"/>
            </w:tcMar>
          </w:tcPr>
          <w:p w14:paraId="33337823" w14:textId="77777777"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Insurance</w:t>
            </w:r>
          </w:p>
        </w:tc>
        <w:tc>
          <w:tcPr>
            <w:tcW w:w="1260" w:type="dxa"/>
            <w:tcBorders>
              <w:top w:val="nil"/>
              <w:bottom w:val="nil"/>
            </w:tcBorders>
            <w:shd w:val="clear" w:color="auto" w:fill="FFFFFF"/>
            <w:tcMar>
              <w:top w:w="20" w:type="dxa"/>
              <w:left w:w="108" w:type="dxa"/>
              <w:right w:w="108" w:type="dxa"/>
            </w:tcMar>
            <w:vAlign w:val="bottom"/>
          </w:tcPr>
          <w:p w14:paraId="5894A7C9"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0.48</w:t>
            </w:r>
          </w:p>
        </w:tc>
        <w:tc>
          <w:tcPr>
            <w:tcW w:w="990" w:type="dxa"/>
            <w:tcBorders>
              <w:top w:val="nil"/>
              <w:bottom w:val="nil"/>
            </w:tcBorders>
            <w:shd w:val="clear" w:color="auto" w:fill="FFFFFF"/>
            <w:tcMar>
              <w:top w:w="20" w:type="dxa"/>
              <w:left w:w="108" w:type="dxa"/>
              <w:right w:w="108" w:type="dxa"/>
            </w:tcMar>
            <w:vAlign w:val="bottom"/>
          </w:tcPr>
          <w:p w14:paraId="59F5B863"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0.47</w:t>
            </w:r>
          </w:p>
        </w:tc>
        <w:tc>
          <w:tcPr>
            <w:tcW w:w="1080" w:type="dxa"/>
            <w:tcBorders>
              <w:top w:val="nil"/>
              <w:bottom w:val="nil"/>
            </w:tcBorders>
            <w:shd w:val="clear" w:color="auto" w:fill="FFFFFF"/>
            <w:tcMar>
              <w:top w:w="20" w:type="dxa"/>
              <w:left w:w="108" w:type="dxa"/>
              <w:right w:w="108" w:type="dxa"/>
            </w:tcMar>
            <w:vAlign w:val="bottom"/>
          </w:tcPr>
          <w:p w14:paraId="42AF9D29"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0.66</w:t>
            </w:r>
          </w:p>
        </w:tc>
        <w:tc>
          <w:tcPr>
            <w:tcW w:w="988" w:type="dxa"/>
            <w:tcBorders>
              <w:top w:val="nil"/>
              <w:bottom w:val="nil"/>
            </w:tcBorders>
            <w:shd w:val="clear" w:color="auto" w:fill="BDD6EE" w:themeFill="accent5" w:themeFillTint="66"/>
            <w:tcMar>
              <w:top w:w="20" w:type="dxa"/>
              <w:left w:w="108" w:type="dxa"/>
              <w:right w:w="108" w:type="dxa"/>
            </w:tcMar>
            <w:vAlign w:val="bottom"/>
          </w:tcPr>
          <w:p w14:paraId="662CF6A6" w14:textId="4FD1ACB2"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0.76</w:t>
            </w:r>
          </w:p>
        </w:tc>
      </w:tr>
      <w:tr w:rsidR="00A76D85" w:rsidRPr="00F56726" w14:paraId="5D049F14" w14:textId="77777777" w:rsidTr="000A5FD8">
        <w:tc>
          <w:tcPr>
            <w:tcW w:w="3078" w:type="dxa"/>
            <w:tcBorders>
              <w:top w:val="nil"/>
              <w:bottom w:val="nil"/>
            </w:tcBorders>
            <w:shd w:val="clear" w:color="auto" w:fill="FFFFFF"/>
            <w:tcMar>
              <w:top w:w="20" w:type="dxa"/>
              <w:left w:w="108" w:type="dxa"/>
              <w:right w:w="108" w:type="dxa"/>
            </w:tcMar>
          </w:tcPr>
          <w:p w14:paraId="4315D40B" w14:textId="155B76DE"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 xml:space="preserve">New </w:t>
            </w:r>
            <w:r w:rsidR="003860D1" w:rsidRPr="00F56726">
              <w:rPr>
                <w:rFonts w:ascii="Book Antiqua" w:eastAsia="Arial" w:hAnsi="Book Antiqua" w:cs="Arial"/>
                <w:color w:val="auto"/>
              </w:rPr>
              <w:t>health care providers</w:t>
            </w:r>
          </w:p>
        </w:tc>
        <w:tc>
          <w:tcPr>
            <w:tcW w:w="1260" w:type="dxa"/>
            <w:tcBorders>
              <w:top w:val="nil"/>
              <w:bottom w:val="nil"/>
            </w:tcBorders>
            <w:shd w:val="clear" w:color="auto" w:fill="FFFFFF"/>
            <w:tcMar>
              <w:top w:w="20" w:type="dxa"/>
              <w:left w:w="108" w:type="dxa"/>
              <w:right w:w="108" w:type="dxa"/>
            </w:tcMar>
            <w:vAlign w:val="bottom"/>
          </w:tcPr>
          <w:p w14:paraId="3774730D"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0.48</w:t>
            </w:r>
          </w:p>
        </w:tc>
        <w:tc>
          <w:tcPr>
            <w:tcW w:w="990" w:type="dxa"/>
            <w:tcBorders>
              <w:top w:val="nil"/>
              <w:bottom w:val="nil"/>
            </w:tcBorders>
            <w:shd w:val="clear" w:color="auto" w:fill="FFFFFF"/>
            <w:tcMar>
              <w:top w:w="20" w:type="dxa"/>
              <w:left w:w="108" w:type="dxa"/>
              <w:right w:w="108" w:type="dxa"/>
            </w:tcMar>
            <w:vAlign w:val="bottom"/>
          </w:tcPr>
          <w:p w14:paraId="096E9763"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0.41</w:t>
            </w:r>
          </w:p>
        </w:tc>
        <w:tc>
          <w:tcPr>
            <w:tcW w:w="1080" w:type="dxa"/>
            <w:tcBorders>
              <w:top w:val="nil"/>
              <w:bottom w:val="nil"/>
            </w:tcBorders>
            <w:shd w:val="clear" w:color="auto" w:fill="FFFFFF"/>
            <w:tcMar>
              <w:top w:w="20" w:type="dxa"/>
              <w:left w:w="108" w:type="dxa"/>
              <w:right w:w="108" w:type="dxa"/>
            </w:tcMar>
            <w:vAlign w:val="bottom"/>
          </w:tcPr>
          <w:p w14:paraId="72B26663"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0.59</w:t>
            </w:r>
          </w:p>
        </w:tc>
        <w:tc>
          <w:tcPr>
            <w:tcW w:w="988" w:type="dxa"/>
            <w:tcBorders>
              <w:top w:val="nil"/>
              <w:bottom w:val="nil"/>
            </w:tcBorders>
            <w:shd w:val="clear" w:color="auto" w:fill="FFFFFF"/>
            <w:tcMar>
              <w:top w:w="20" w:type="dxa"/>
              <w:left w:w="108" w:type="dxa"/>
              <w:right w:w="108" w:type="dxa"/>
            </w:tcMar>
            <w:vAlign w:val="bottom"/>
          </w:tcPr>
          <w:p w14:paraId="410ED15C" w14:textId="10CAE818"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0.74</w:t>
            </w:r>
          </w:p>
        </w:tc>
      </w:tr>
      <w:tr w:rsidR="00A76D85" w:rsidRPr="00F56726" w14:paraId="189E4AA8" w14:textId="77777777" w:rsidTr="000A5FD8">
        <w:tc>
          <w:tcPr>
            <w:tcW w:w="3078" w:type="dxa"/>
            <w:tcBorders>
              <w:top w:val="nil"/>
              <w:bottom w:val="single" w:sz="4" w:space="0" w:color="auto"/>
            </w:tcBorders>
            <w:shd w:val="clear" w:color="auto" w:fill="FFFFFF"/>
            <w:tcMar>
              <w:top w:w="20" w:type="dxa"/>
              <w:left w:w="108" w:type="dxa"/>
              <w:right w:w="108" w:type="dxa"/>
            </w:tcMar>
          </w:tcPr>
          <w:p w14:paraId="1557A5B3" w14:textId="4B010A1D" w:rsidR="0094645B" w:rsidRPr="00F56726" w:rsidRDefault="0094645B" w:rsidP="003860D1">
            <w:pPr>
              <w:adjustRightInd w:val="0"/>
              <w:snapToGrid w:val="0"/>
              <w:spacing w:line="360" w:lineRule="auto"/>
              <w:rPr>
                <w:rFonts w:ascii="Book Antiqua" w:hAnsi="Book Antiqua" w:cs="Arial"/>
                <w:color w:val="auto"/>
              </w:rPr>
            </w:pPr>
            <w:r w:rsidRPr="00F56726">
              <w:rPr>
                <w:rFonts w:ascii="Book Antiqua" w:eastAsia="Arial" w:hAnsi="Book Antiqua" w:cs="Arial"/>
                <w:color w:val="auto"/>
              </w:rPr>
              <w:t>Self-</w:t>
            </w:r>
            <w:r w:rsidR="003860D1" w:rsidRPr="00F56726">
              <w:rPr>
                <w:rFonts w:ascii="Book Antiqua" w:eastAsia="Arial" w:hAnsi="Book Antiqua" w:cs="Arial"/>
                <w:color w:val="auto"/>
              </w:rPr>
              <w:t>management skills</w:t>
            </w:r>
          </w:p>
        </w:tc>
        <w:tc>
          <w:tcPr>
            <w:tcW w:w="1260" w:type="dxa"/>
            <w:tcBorders>
              <w:top w:val="nil"/>
              <w:bottom w:val="single" w:sz="4" w:space="0" w:color="auto"/>
            </w:tcBorders>
            <w:shd w:val="clear" w:color="auto" w:fill="FFFFFF"/>
            <w:tcMar>
              <w:top w:w="20" w:type="dxa"/>
              <w:left w:w="108" w:type="dxa"/>
              <w:right w:w="108" w:type="dxa"/>
            </w:tcMar>
          </w:tcPr>
          <w:p w14:paraId="5E7C78ED"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0.28</w:t>
            </w:r>
          </w:p>
        </w:tc>
        <w:tc>
          <w:tcPr>
            <w:tcW w:w="990" w:type="dxa"/>
            <w:tcBorders>
              <w:top w:val="nil"/>
              <w:bottom w:val="single" w:sz="4" w:space="0" w:color="auto"/>
            </w:tcBorders>
            <w:shd w:val="clear" w:color="auto" w:fill="FFFFFF"/>
            <w:tcMar>
              <w:top w:w="20" w:type="dxa"/>
              <w:left w:w="108" w:type="dxa"/>
              <w:right w:w="108" w:type="dxa"/>
            </w:tcMar>
          </w:tcPr>
          <w:p w14:paraId="6837FF13"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0.38</w:t>
            </w:r>
          </w:p>
        </w:tc>
        <w:tc>
          <w:tcPr>
            <w:tcW w:w="1080" w:type="dxa"/>
            <w:tcBorders>
              <w:top w:val="nil"/>
              <w:bottom w:val="single" w:sz="4" w:space="0" w:color="auto"/>
            </w:tcBorders>
            <w:shd w:val="clear" w:color="auto" w:fill="FFFFFF"/>
            <w:tcMar>
              <w:top w:w="20" w:type="dxa"/>
              <w:left w:w="108" w:type="dxa"/>
              <w:right w:w="108" w:type="dxa"/>
            </w:tcMar>
          </w:tcPr>
          <w:p w14:paraId="47417A15" w14:textId="77777777"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0.49</w:t>
            </w:r>
          </w:p>
        </w:tc>
        <w:tc>
          <w:tcPr>
            <w:tcW w:w="988" w:type="dxa"/>
            <w:tcBorders>
              <w:top w:val="nil"/>
              <w:bottom w:val="single" w:sz="4" w:space="0" w:color="auto"/>
            </w:tcBorders>
            <w:shd w:val="clear" w:color="auto" w:fill="BDD6EE" w:themeFill="accent5" w:themeFillTint="66"/>
            <w:tcMar>
              <w:top w:w="20" w:type="dxa"/>
              <w:left w:w="108" w:type="dxa"/>
              <w:right w:w="108" w:type="dxa"/>
            </w:tcMar>
          </w:tcPr>
          <w:p w14:paraId="35F54CF9" w14:textId="29066116" w:rsidR="0094645B" w:rsidRPr="00F56726" w:rsidRDefault="0094645B"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0.77</w:t>
            </w:r>
          </w:p>
        </w:tc>
      </w:tr>
      <w:tr w:rsidR="00A76D85" w:rsidRPr="00F56726" w14:paraId="6E327878" w14:textId="77777777" w:rsidTr="000A5FD8">
        <w:tc>
          <w:tcPr>
            <w:tcW w:w="3078" w:type="dxa"/>
            <w:tcBorders>
              <w:top w:val="single" w:sz="4" w:space="0" w:color="auto"/>
            </w:tcBorders>
            <w:shd w:val="clear" w:color="auto" w:fill="FFFFFF"/>
            <w:tcMar>
              <w:top w:w="20" w:type="dxa"/>
              <w:left w:w="108" w:type="dxa"/>
              <w:right w:w="108" w:type="dxa"/>
            </w:tcMar>
          </w:tcPr>
          <w:p w14:paraId="58E4D2B6" w14:textId="5E6B4624" w:rsidR="000A5FD8" w:rsidRPr="00F56726" w:rsidRDefault="000A5FD8" w:rsidP="00A76D85">
            <w:pPr>
              <w:adjustRightInd w:val="0"/>
              <w:snapToGrid w:val="0"/>
              <w:spacing w:line="360" w:lineRule="auto"/>
              <w:jc w:val="both"/>
              <w:rPr>
                <w:rFonts w:ascii="Book Antiqua" w:hAnsi="Book Antiqua" w:cs="Arial"/>
                <w:color w:val="auto"/>
              </w:rPr>
            </w:pPr>
            <w:r w:rsidRPr="00F56726">
              <w:rPr>
                <w:rFonts w:ascii="Book Antiqua" w:eastAsia="Arial" w:hAnsi="Book Antiqua" w:cs="Arial"/>
                <w:color w:val="auto"/>
              </w:rPr>
              <w:t xml:space="preserve">Number of </w:t>
            </w:r>
            <w:r w:rsidR="003860D1" w:rsidRPr="00F56726">
              <w:rPr>
                <w:rFonts w:ascii="Book Antiqua" w:eastAsia="Arial" w:hAnsi="Book Antiqua" w:cs="Arial"/>
                <w:color w:val="auto"/>
              </w:rPr>
              <w:t>observations</w:t>
            </w:r>
          </w:p>
        </w:tc>
        <w:tc>
          <w:tcPr>
            <w:tcW w:w="1260" w:type="dxa"/>
            <w:tcBorders>
              <w:top w:val="single" w:sz="4" w:space="0" w:color="auto"/>
            </w:tcBorders>
            <w:shd w:val="clear" w:color="auto" w:fill="FFFFFF"/>
            <w:tcMar>
              <w:top w:w="20" w:type="dxa"/>
              <w:left w:w="108" w:type="dxa"/>
              <w:right w:w="108" w:type="dxa"/>
            </w:tcMar>
          </w:tcPr>
          <w:p w14:paraId="5D7473D8" w14:textId="77777777" w:rsidR="000A5FD8" w:rsidRPr="00F56726" w:rsidRDefault="000A5FD8"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65</w:t>
            </w:r>
          </w:p>
        </w:tc>
        <w:tc>
          <w:tcPr>
            <w:tcW w:w="990" w:type="dxa"/>
            <w:tcBorders>
              <w:top w:val="single" w:sz="4" w:space="0" w:color="auto"/>
            </w:tcBorders>
            <w:shd w:val="clear" w:color="auto" w:fill="FFFFFF"/>
            <w:tcMar>
              <w:top w:w="20" w:type="dxa"/>
              <w:left w:w="108" w:type="dxa"/>
              <w:right w:w="108" w:type="dxa"/>
            </w:tcMar>
          </w:tcPr>
          <w:p w14:paraId="578D1C9B" w14:textId="77777777" w:rsidR="000A5FD8" w:rsidRPr="00F56726" w:rsidRDefault="000A5FD8"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73</w:t>
            </w:r>
          </w:p>
        </w:tc>
        <w:tc>
          <w:tcPr>
            <w:tcW w:w="1080" w:type="dxa"/>
            <w:tcBorders>
              <w:top w:val="single" w:sz="4" w:space="0" w:color="auto"/>
            </w:tcBorders>
            <w:shd w:val="clear" w:color="auto" w:fill="FFFFFF"/>
            <w:tcMar>
              <w:top w:w="20" w:type="dxa"/>
              <w:left w:w="108" w:type="dxa"/>
              <w:right w:w="108" w:type="dxa"/>
            </w:tcMar>
          </w:tcPr>
          <w:p w14:paraId="5B8F38CE" w14:textId="77777777" w:rsidR="000A5FD8" w:rsidRPr="00F56726" w:rsidRDefault="000A5FD8"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67</w:t>
            </w:r>
          </w:p>
        </w:tc>
        <w:tc>
          <w:tcPr>
            <w:tcW w:w="988" w:type="dxa"/>
            <w:tcBorders>
              <w:top w:val="single" w:sz="4" w:space="0" w:color="auto"/>
            </w:tcBorders>
            <w:shd w:val="clear" w:color="auto" w:fill="FFFFFF"/>
            <w:tcMar>
              <w:top w:w="20" w:type="dxa"/>
              <w:left w:w="108" w:type="dxa"/>
              <w:right w:w="108" w:type="dxa"/>
            </w:tcMar>
          </w:tcPr>
          <w:p w14:paraId="20831027" w14:textId="2DDD69A8" w:rsidR="000A5FD8" w:rsidRPr="00F56726" w:rsidRDefault="000A5FD8" w:rsidP="003860D1">
            <w:pPr>
              <w:adjustRightInd w:val="0"/>
              <w:snapToGrid w:val="0"/>
              <w:spacing w:line="360" w:lineRule="auto"/>
              <w:jc w:val="center"/>
              <w:rPr>
                <w:rFonts w:ascii="Book Antiqua" w:hAnsi="Book Antiqua" w:cs="Arial"/>
                <w:color w:val="auto"/>
              </w:rPr>
            </w:pPr>
            <w:r w:rsidRPr="00F56726">
              <w:rPr>
                <w:rFonts w:ascii="Book Antiqua" w:eastAsia="Arial" w:hAnsi="Book Antiqua" w:cs="Arial"/>
                <w:color w:val="auto"/>
              </w:rPr>
              <w:t>21</w:t>
            </w:r>
          </w:p>
        </w:tc>
      </w:tr>
    </w:tbl>
    <w:p w14:paraId="21448590" w14:textId="4E9C6006" w:rsidR="00112D07" w:rsidRPr="00F56726" w:rsidRDefault="00F07741" w:rsidP="00A76D85">
      <w:pPr>
        <w:adjustRightInd w:val="0"/>
        <w:snapToGrid w:val="0"/>
        <w:spacing w:line="360" w:lineRule="auto"/>
        <w:jc w:val="both"/>
        <w:rPr>
          <w:rFonts w:ascii="Book Antiqua" w:hAnsi="Book Antiqua" w:cs="Arial"/>
          <w:color w:val="auto"/>
          <w:lang w:eastAsia="zh-CN"/>
        </w:rPr>
      </w:pPr>
      <w:r w:rsidRPr="00F56726">
        <w:rPr>
          <w:rFonts w:ascii="Book Antiqua" w:hAnsi="Book Antiqua" w:cs="Arial"/>
          <w:color w:val="auto"/>
        </w:rPr>
        <w:t>Age at which youth mastered a skill (defined as subdomain score &gt; 0.75)</w:t>
      </w:r>
      <w:r w:rsidR="003860D1">
        <w:rPr>
          <w:rFonts w:ascii="Book Antiqua" w:hAnsi="Book Antiqua" w:cs="Arial" w:hint="eastAsia"/>
          <w:color w:val="auto"/>
          <w:lang w:eastAsia="zh-CN"/>
        </w:rPr>
        <w:t xml:space="preserve"> </w:t>
      </w:r>
      <w:r w:rsidRPr="00F56726">
        <w:rPr>
          <w:rFonts w:ascii="Book Antiqua" w:hAnsi="Book Antiqua" w:cs="Arial"/>
          <w:color w:val="auto"/>
        </w:rPr>
        <w:t>is highlighted in the table</w:t>
      </w:r>
      <w:r w:rsidR="003860D1">
        <w:rPr>
          <w:rFonts w:ascii="Book Antiqua" w:hAnsi="Book Antiqua" w:cs="Arial" w:hint="eastAsia"/>
          <w:color w:val="auto"/>
          <w:lang w:eastAsia="zh-CN"/>
        </w:rPr>
        <w:t>.</w:t>
      </w:r>
    </w:p>
    <w:p w14:paraId="3502FE2D" w14:textId="77777777" w:rsidR="004E667A" w:rsidRPr="00F56726" w:rsidRDefault="004E667A" w:rsidP="00A76D85">
      <w:pPr>
        <w:adjustRightInd w:val="0"/>
        <w:snapToGrid w:val="0"/>
        <w:spacing w:line="360" w:lineRule="auto"/>
        <w:jc w:val="both"/>
        <w:rPr>
          <w:rFonts w:ascii="Book Antiqua" w:eastAsia="Times New Roman" w:hAnsi="Book Antiqua" w:cs="Arial"/>
          <w:color w:val="auto"/>
        </w:rPr>
      </w:pPr>
      <w:r w:rsidRPr="00F56726">
        <w:rPr>
          <w:rFonts w:ascii="Book Antiqua" w:eastAsia="Times New Roman" w:hAnsi="Book Antiqua" w:cs="Arial"/>
          <w:color w:val="auto"/>
        </w:rPr>
        <w:br w:type="page"/>
      </w:r>
    </w:p>
    <w:p w14:paraId="6E36EF91" w14:textId="6C2A01BE" w:rsidR="004E667A" w:rsidRPr="00F56726" w:rsidRDefault="003860D1" w:rsidP="00A76D85">
      <w:pPr>
        <w:adjustRightInd w:val="0"/>
        <w:snapToGrid w:val="0"/>
        <w:spacing w:line="360" w:lineRule="auto"/>
        <w:jc w:val="both"/>
        <w:rPr>
          <w:rFonts w:ascii="Book Antiqua" w:hAnsi="Book Antiqua" w:cs="Arial"/>
          <w:b/>
          <w:color w:val="auto"/>
        </w:rPr>
      </w:pPr>
      <w:r>
        <w:rPr>
          <w:rFonts w:ascii="Book Antiqua" w:eastAsia="Times New Roman" w:hAnsi="Book Antiqua" w:cs="Arial"/>
          <w:b/>
          <w:color w:val="auto"/>
        </w:rPr>
        <w:lastRenderedPageBreak/>
        <w:t>Table 3</w:t>
      </w:r>
      <w:r w:rsidR="004E667A" w:rsidRPr="00F56726">
        <w:rPr>
          <w:rFonts w:ascii="Book Antiqua" w:eastAsia="Times New Roman" w:hAnsi="Book Antiqua" w:cs="Arial"/>
          <w:b/>
          <w:color w:val="auto"/>
        </w:rPr>
        <w:t xml:space="preserve"> Raw </w:t>
      </w:r>
      <w:r w:rsidRPr="00F56726">
        <w:rPr>
          <w:rFonts w:ascii="Book Antiqua" w:eastAsia="Times New Roman" w:hAnsi="Book Antiqua" w:cs="Arial"/>
          <w:b/>
          <w:color w:val="auto"/>
        </w:rPr>
        <w:t>wave-to-wave and yearly score gains overtime for pediatric</w:t>
      </w:r>
      <w:r w:rsidR="004E667A" w:rsidRPr="00F56726">
        <w:rPr>
          <w:rFonts w:ascii="Book Antiqua" w:eastAsia="Times New Roman" w:hAnsi="Book Antiqua" w:cs="Arial"/>
          <w:b/>
          <w:color w:val="auto"/>
        </w:rPr>
        <w:t xml:space="preserve"> </w:t>
      </w:r>
      <w:r w:rsidRPr="003860D1">
        <w:rPr>
          <w:rFonts w:ascii="Book Antiqua" w:eastAsia="Times New Roman" w:hAnsi="Book Antiqua" w:cs="Arial"/>
          <w:b/>
          <w:color w:val="auto"/>
        </w:rPr>
        <w:t xml:space="preserve">inflammatory bowel diseases </w:t>
      </w:r>
      <w:r w:rsidR="004E667A" w:rsidRPr="00F56726">
        <w:rPr>
          <w:rFonts w:ascii="Book Antiqua" w:eastAsia="Times New Roman" w:hAnsi="Book Antiqua" w:cs="Arial"/>
          <w:b/>
          <w:color w:val="auto"/>
        </w:rPr>
        <w:t>patients</w:t>
      </w:r>
    </w:p>
    <w:tbl>
      <w:tblPr>
        <w:tblStyle w:val="a0"/>
        <w:tblW w:w="0" w:type="auto"/>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29"/>
        <w:gridCol w:w="1729"/>
        <w:gridCol w:w="1729"/>
        <w:gridCol w:w="1729"/>
        <w:gridCol w:w="1729"/>
      </w:tblGrid>
      <w:tr w:rsidR="00A76D85" w:rsidRPr="003860D1" w14:paraId="782D1406" w14:textId="77777777" w:rsidTr="004E667A">
        <w:tc>
          <w:tcPr>
            <w:tcW w:w="1729" w:type="dxa"/>
            <w:tcBorders>
              <w:top w:val="single" w:sz="4" w:space="0" w:color="000000"/>
              <w:bottom w:val="nil"/>
            </w:tcBorders>
          </w:tcPr>
          <w:p w14:paraId="4C9176A6" w14:textId="77777777" w:rsidR="004E667A" w:rsidRPr="003860D1" w:rsidRDefault="004E667A" w:rsidP="00A76D85">
            <w:pPr>
              <w:adjustRightInd w:val="0"/>
              <w:snapToGrid w:val="0"/>
              <w:spacing w:line="360" w:lineRule="auto"/>
              <w:contextualSpacing w:val="0"/>
              <w:jc w:val="both"/>
              <w:rPr>
                <w:rFonts w:ascii="Book Antiqua" w:hAnsi="Book Antiqua" w:cs="Arial"/>
                <w:b/>
                <w:color w:val="auto"/>
                <w:sz w:val="24"/>
                <w:szCs w:val="24"/>
              </w:rPr>
            </w:pPr>
          </w:p>
        </w:tc>
        <w:tc>
          <w:tcPr>
            <w:tcW w:w="3458" w:type="dxa"/>
            <w:gridSpan w:val="2"/>
            <w:tcBorders>
              <w:top w:val="single" w:sz="4" w:space="0" w:color="000000"/>
              <w:bottom w:val="nil"/>
            </w:tcBorders>
          </w:tcPr>
          <w:p w14:paraId="0381AA95" w14:textId="0C808D79" w:rsidR="004E667A" w:rsidRPr="003860D1" w:rsidRDefault="004E667A" w:rsidP="003860D1">
            <w:pPr>
              <w:adjustRightInd w:val="0"/>
              <w:snapToGrid w:val="0"/>
              <w:spacing w:line="360" w:lineRule="auto"/>
              <w:contextualSpacing w:val="0"/>
              <w:jc w:val="center"/>
              <w:rPr>
                <w:rFonts w:ascii="Book Antiqua" w:hAnsi="Book Antiqua" w:cs="Arial"/>
                <w:b/>
                <w:color w:val="auto"/>
                <w:sz w:val="24"/>
                <w:szCs w:val="24"/>
              </w:rPr>
            </w:pPr>
            <w:r w:rsidRPr="003860D1">
              <w:rPr>
                <w:rFonts w:ascii="Book Antiqua" w:eastAsia="Times New Roman" w:hAnsi="Book Antiqua" w:cs="Arial"/>
                <w:b/>
                <w:color w:val="auto"/>
                <w:sz w:val="24"/>
                <w:szCs w:val="24"/>
              </w:rPr>
              <w:t xml:space="preserve">Raw </w:t>
            </w:r>
            <w:r w:rsidR="00BA71F1" w:rsidRPr="003860D1">
              <w:rPr>
                <w:rFonts w:ascii="Book Antiqua" w:eastAsia="Times New Roman" w:hAnsi="Book Antiqua" w:cs="Arial"/>
                <w:b/>
                <w:color w:val="auto"/>
                <w:sz w:val="24"/>
                <w:szCs w:val="24"/>
              </w:rPr>
              <w:t>wave-to-wave changes</w:t>
            </w:r>
          </w:p>
        </w:tc>
        <w:tc>
          <w:tcPr>
            <w:tcW w:w="3458" w:type="dxa"/>
            <w:gridSpan w:val="2"/>
            <w:tcBorders>
              <w:top w:val="single" w:sz="4" w:space="0" w:color="000000"/>
              <w:bottom w:val="nil"/>
            </w:tcBorders>
          </w:tcPr>
          <w:p w14:paraId="2079B54D" w14:textId="4F7DD684" w:rsidR="004E667A" w:rsidRPr="003860D1" w:rsidRDefault="004E667A" w:rsidP="003860D1">
            <w:pPr>
              <w:adjustRightInd w:val="0"/>
              <w:snapToGrid w:val="0"/>
              <w:spacing w:line="360" w:lineRule="auto"/>
              <w:contextualSpacing w:val="0"/>
              <w:jc w:val="center"/>
              <w:rPr>
                <w:rFonts w:ascii="Book Antiqua" w:hAnsi="Book Antiqua" w:cs="Arial"/>
                <w:b/>
                <w:color w:val="auto"/>
                <w:sz w:val="24"/>
                <w:szCs w:val="24"/>
              </w:rPr>
            </w:pPr>
            <w:r w:rsidRPr="003860D1">
              <w:rPr>
                <w:rFonts w:ascii="Book Antiqua" w:eastAsia="Times New Roman" w:hAnsi="Book Antiqua" w:cs="Arial"/>
                <w:b/>
                <w:color w:val="auto"/>
                <w:sz w:val="24"/>
                <w:szCs w:val="24"/>
              </w:rPr>
              <w:t xml:space="preserve">Yearly (time adjusted) </w:t>
            </w:r>
            <w:r w:rsidR="00BA71F1" w:rsidRPr="003860D1">
              <w:rPr>
                <w:rFonts w:ascii="Book Antiqua" w:eastAsia="Times New Roman" w:hAnsi="Book Antiqua" w:cs="Arial"/>
                <w:b/>
                <w:color w:val="auto"/>
                <w:sz w:val="24"/>
                <w:szCs w:val="24"/>
              </w:rPr>
              <w:t>changes</w:t>
            </w:r>
          </w:p>
        </w:tc>
      </w:tr>
      <w:tr w:rsidR="00A76D85" w:rsidRPr="00F56726" w14:paraId="549A7CF9" w14:textId="77777777" w:rsidTr="003860D1">
        <w:trPr>
          <w:trHeight w:val="532"/>
        </w:trPr>
        <w:tc>
          <w:tcPr>
            <w:tcW w:w="1729" w:type="dxa"/>
            <w:tcBorders>
              <w:top w:val="nil"/>
              <w:bottom w:val="single" w:sz="4" w:space="0" w:color="000000"/>
            </w:tcBorders>
          </w:tcPr>
          <w:p w14:paraId="74662E33"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Sections</w:t>
            </w:r>
          </w:p>
        </w:tc>
        <w:tc>
          <w:tcPr>
            <w:tcW w:w="1729" w:type="dxa"/>
            <w:tcBorders>
              <w:top w:val="nil"/>
              <w:bottom w:val="single" w:sz="4" w:space="0" w:color="000000"/>
            </w:tcBorders>
          </w:tcPr>
          <w:p w14:paraId="0F075CD5" w14:textId="23E6AEC1" w:rsidR="004E667A" w:rsidRPr="00F56726" w:rsidRDefault="003860D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mean</w:t>
            </w:r>
            <w:r>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SD</w:t>
            </w:r>
          </w:p>
        </w:tc>
        <w:tc>
          <w:tcPr>
            <w:tcW w:w="1729" w:type="dxa"/>
            <w:tcBorders>
              <w:top w:val="nil"/>
              <w:bottom w:val="single" w:sz="4" w:space="0" w:color="000000"/>
            </w:tcBorders>
          </w:tcPr>
          <w:p w14:paraId="28810610" w14:textId="73586625" w:rsidR="004E667A" w:rsidRPr="00F56726" w:rsidRDefault="003860D1" w:rsidP="003860D1">
            <w:pPr>
              <w:adjustRightInd w:val="0"/>
              <w:snapToGrid w:val="0"/>
              <w:spacing w:line="360" w:lineRule="auto"/>
              <w:contextualSpacing w:val="0"/>
              <w:jc w:val="center"/>
              <w:rPr>
                <w:rFonts w:ascii="Book Antiqua" w:hAnsi="Book Antiqua" w:cs="Arial"/>
                <w:color w:val="auto"/>
                <w:sz w:val="24"/>
                <w:szCs w:val="24"/>
              </w:rPr>
            </w:pPr>
            <w:r>
              <w:rPr>
                <w:rFonts w:ascii="Book Antiqua" w:hAnsi="Book Antiqua" w:cs="Arial" w:hint="eastAsia"/>
                <w:color w:val="auto"/>
                <w:sz w:val="24"/>
                <w:szCs w:val="24"/>
                <w:lang w:eastAsia="zh-CN"/>
              </w:rPr>
              <w:t>m</w:t>
            </w:r>
            <w:r w:rsidRPr="00F56726">
              <w:rPr>
                <w:rFonts w:ascii="Book Antiqua" w:eastAsia="Times New Roman" w:hAnsi="Book Antiqua" w:cs="Arial"/>
                <w:color w:val="auto"/>
                <w:sz w:val="24"/>
                <w:szCs w:val="24"/>
              </w:rPr>
              <w:t>in</w:t>
            </w:r>
            <w:r>
              <w:rPr>
                <w:rFonts w:ascii="Book Antiqua" w:hAnsi="Book Antiqua" w:cs="Arial" w:hint="eastAsia"/>
                <w:color w:val="auto"/>
                <w:sz w:val="24"/>
                <w:szCs w:val="24"/>
                <w:lang w:eastAsia="zh-CN"/>
              </w:rPr>
              <w:t>-</w:t>
            </w:r>
            <w:r w:rsidRPr="00F56726">
              <w:rPr>
                <w:rFonts w:ascii="Book Antiqua" w:eastAsia="Times New Roman" w:hAnsi="Book Antiqua" w:cs="Arial"/>
                <w:color w:val="auto"/>
                <w:sz w:val="24"/>
                <w:szCs w:val="24"/>
              </w:rPr>
              <w:t>max</w:t>
            </w:r>
          </w:p>
        </w:tc>
        <w:tc>
          <w:tcPr>
            <w:tcW w:w="1729" w:type="dxa"/>
            <w:tcBorders>
              <w:top w:val="nil"/>
              <w:bottom w:val="single" w:sz="4" w:space="0" w:color="000000"/>
            </w:tcBorders>
          </w:tcPr>
          <w:p w14:paraId="78D24D81" w14:textId="00E680D3" w:rsidR="004E667A" w:rsidRPr="00F56726" w:rsidRDefault="003860D1"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mean</w:t>
            </w:r>
            <w:r>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SD</w:t>
            </w:r>
          </w:p>
        </w:tc>
        <w:tc>
          <w:tcPr>
            <w:tcW w:w="1729" w:type="dxa"/>
            <w:tcBorders>
              <w:top w:val="nil"/>
              <w:bottom w:val="single" w:sz="4" w:space="0" w:color="000000"/>
            </w:tcBorders>
          </w:tcPr>
          <w:p w14:paraId="36F448D2" w14:textId="1E59EAC7" w:rsidR="004E667A" w:rsidRPr="00F56726" w:rsidRDefault="003860D1" w:rsidP="003860D1">
            <w:pPr>
              <w:adjustRightInd w:val="0"/>
              <w:snapToGrid w:val="0"/>
              <w:spacing w:line="360" w:lineRule="auto"/>
              <w:contextualSpacing w:val="0"/>
              <w:jc w:val="center"/>
              <w:rPr>
                <w:rFonts w:ascii="Book Antiqua" w:hAnsi="Book Antiqua" w:cs="Arial"/>
                <w:color w:val="auto"/>
                <w:sz w:val="24"/>
                <w:szCs w:val="24"/>
              </w:rPr>
            </w:pPr>
            <w:r>
              <w:rPr>
                <w:rFonts w:ascii="Book Antiqua" w:hAnsi="Book Antiqua" w:cs="Arial" w:hint="eastAsia"/>
                <w:color w:val="auto"/>
                <w:sz w:val="24"/>
                <w:szCs w:val="24"/>
                <w:lang w:eastAsia="zh-CN"/>
              </w:rPr>
              <w:t>m</w:t>
            </w:r>
            <w:r w:rsidRPr="00F56726">
              <w:rPr>
                <w:rFonts w:ascii="Book Antiqua" w:eastAsia="Times New Roman" w:hAnsi="Book Antiqua" w:cs="Arial"/>
                <w:color w:val="auto"/>
                <w:sz w:val="24"/>
                <w:szCs w:val="24"/>
              </w:rPr>
              <w:t>in</w:t>
            </w:r>
            <w:r>
              <w:rPr>
                <w:rFonts w:ascii="Book Antiqua" w:hAnsi="Book Antiqua" w:cs="Arial" w:hint="eastAsia"/>
                <w:color w:val="auto"/>
                <w:sz w:val="24"/>
                <w:szCs w:val="24"/>
                <w:lang w:eastAsia="zh-CN"/>
              </w:rPr>
              <w:t>-</w:t>
            </w:r>
            <w:r w:rsidRPr="00F56726">
              <w:rPr>
                <w:rFonts w:ascii="Book Antiqua" w:eastAsia="Times New Roman" w:hAnsi="Book Antiqua" w:cs="Arial"/>
                <w:color w:val="auto"/>
                <w:sz w:val="24"/>
                <w:szCs w:val="24"/>
              </w:rPr>
              <w:t>max</w:t>
            </w:r>
          </w:p>
        </w:tc>
      </w:tr>
      <w:tr w:rsidR="00A76D85" w:rsidRPr="00F56726" w14:paraId="52EA1F1E" w14:textId="77777777" w:rsidTr="004E667A">
        <w:tc>
          <w:tcPr>
            <w:tcW w:w="1729" w:type="dxa"/>
            <w:tcBorders>
              <w:top w:val="single" w:sz="4" w:space="0" w:color="000000"/>
            </w:tcBorders>
          </w:tcPr>
          <w:p w14:paraId="45B950BF"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Type of Chronic Health Condition</w:t>
            </w:r>
          </w:p>
        </w:tc>
        <w:tc>
          <w:tcPr>
            <w:tcW w:w="1729" w:type="dxa"/>
            <w:tcBorders>
              <w:top w:val="single" w:sz="4" w:space="0" w:color="000000"/>
            </w:tcBorders>
            <w:vAlign w:val="bottom"/>
          </w:tcPr>
          <w:p w14:paraId="715B85A0" w14:textId="6C77D6B6"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0.08</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0.20</w:t>
            </w:r>
          </w:p>
        </w:tc>
        <w:tc>
          <w:tcPr>
            <w:tcW w:w="1729" w:type="dxa"/>
            <w:tcBorders>
              <w:top w:val="single" w:sz="4" w:space="0" w:color="000000"/>
            </w:tcBorders>
            <w:vAlign w:val="bottom"/>
          </w:tcPr>
          <w:p w14:paraId="5F224DF3" w14:textId="069F8D91"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-0.33</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0.67</w:t>
            </w:r>
          </w:p>
        </w:tc>
        <w:tc>
          <w:tcPr>
            <w:tcW w:w="1729" w:type="dxa"/>
            <w:tcBorders>
              <w:top w:val="single" w:sz="4" w:space="0" w:color="000000"/>
            </w:tcBorders>
            <w:vAlign w:val="bottom"/>
          </w:tcPr>
          <w:p w14:paraId="421542D0" w14:textId="3B56E776"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0.10</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0.33</w:t>
            </w:r>
          </w:p>
        </w:tc>
        <w:tc>
          <w:tcPr>
            <w:tcW w:w="1729" w:type="dxa"/>
            <w:tcBorders>
              <w:top w:val="single" w:sz="4" w:space="0" w:color="000000"/>
            </w:tcBorders>
            <w:vAlign w:val="bottom"/>
          </w:tcPr>
          <w:p w14:paraId="44B0EFBE" w14:textId="4358BF93"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-0.64</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1.58</w:t>
            </w:r>
          </w:p>
        </w:tc>
      </w:tr>
      <w:tr w:rsidR="00A76D85" w:rsidRPr="00F56726" w14:paraId="09460D22" w14:textId="77777777" w:rsidTr="004E667A">
        <w:tc>
          <w:tcPr>
            <w:tcW w:w="1729" w:type="dxa"/>
          </w:tcPr>
          <w:p w14:paraId="7AB8AC98"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Medications (Rx)</w:t>
            </w:r>
          </w:p>
        </w:tc>
        <w:tc>
          <w:tcPr>
            <w:tcW w:w="1729" w:type="dxa"/>
            <w:vAlign w:val="bottom"/>
          </w:tcPr>
          <w:p w14:paraId="19C2363D" w14:textId="1358B968"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0.06</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0.21</w:t>
            </w:r>
          </w:p>
        </w:tc>
        <w:tc>
          <w:tcPr>
            <w:tcW w:w="1729" w:type="dxa"/>
            <w:vAlign w:val="bottom"/>
          </w:tcPr>
          <w:p w14:paraId="4AA76EBE" w14:textId="4760AFCF"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-0.50</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0.50</w:t>
            </w:r>
          </w:p>
        </w:tc>
        <w:tc>
          <w:tcPr>
            <w:tcW w:w="1729" w:type="dxa"/>
            <w:vAlign w:val="bottom"/>
          </w:tcPr>
          <w:p w14:paraId="14504BCA" w14:textId="61A2026E"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0.08</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0.34</w:t>
            </w:r>
          </w:p>
        </w:tc>
        <w:tc>
          <w:tcPr>
            <w:tcW w:w="1729" w:type="dxa"/>
            <w:vAlign w:val="bottom"/>
          </w:tcPr>
          <w:p w14:paraId="677832E9" w14:textId="78E46A6F"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-1.19</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1.19</w:t>
            </w:r>
          </w:p>
        </w:tc>
      </w:tr>
      <w:tr w:rsidR="00A76D85" w:rsidRPr="00F56726" w14:paraId="3FFF1187" w14:textId="77777777" w:rsidTr="004E667A">
        <w:tc>
          <w:tcPr>
            <w:tcW w:w="1729" w:type="dxa"/>
          </w:tcPr>
          <w:p w14:paraId="5F7287D3"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Adherence</w:t>
            </w:r>
          </w:p>
        </w:tc>
        <w:tc>
          <w:tcPr>
            <w:tcW w:w="1729" w:type="dxa"/>
            <w:vAlign w:val="bottom"/>
          </w:tcPr>
          <w:p w14:paraId="47D18584" w14:textId="115B5A6F"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0.01</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0.23</w:t>
            </w:r>
          </w:p>
        </w:tc>
        <w:tc>
          <w:tcPr>
            <w:tcW w:w="1729" w:type="dxa"/>
            <w:vAlign w:val="bottom"/>
          </w:tcPr>
          <w:p w14:paraId="4BFBE6F4" w14:textId="7BFD9E12"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-0.50</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0.50</w:t>
            </w:r>
          </w:p>
        </w:tc>
        <w:tc>
          <w:tcPr>
            <w:tcW w:w="1729" w:type="dxa"/>
            <w:vAlign w:val="bottom"/>
          </w:tcPr>
          <w:p w14:paraId="19D7FBDB" w14:textId="061346DE"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0.04</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0.31</w:t>
            </w:r>
          </w:p>
        </w:tc>
        <w:tc>
          <w:tcPr>
            <w:tcW w:w="1729" w:type="dxa"/>
            <w:vAlign w:val="bottom"/>
          </w:tcPr>
          <w:p w14:paraId="0DE5B28A" w14:textId="3A782C28"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-0.73</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1.11</w:t>
            </w:r>
          </w:p>
        </w:tc>
      </w:tr>
      <w:tr w:rsidR="00A76D85" w:rsidRPr="00F56726" w14:paraId="789D36AE" w14:textId="77777777" w:rsidTr="004E667A">
        <w:tc>
          <w:tcPr>
            <w:tcW w:w="1729" w:type="dxa"/>
          </w:tcPr>
          <w:p w14:paraId="37504721"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Nutrition</w:t>
            </w:r>
          </w:p>
        </w:tc>
        <w:tc>
          <w:tcPr>
            <w:tcW w:w="1729" w:type="dxa"/>
            <w:vAlign w:val="bottom"/>
          </w:tcPr>
          <w:p w14:paraId="1DC583B9" w14:textId="05B57EB3"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0.03</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0.27</w:t>
            </w:r>
          </w:p>
        </w:tc>
        <w:tc>
          <w:tcPr>
            <w:tcW w:w="1729" w:type="dxa"/>
            <w:vAlign w:val="bottom"/>
          </w:tcPr>
          <w:p w14:paraId="3D5B15AB" w14:textId="2F3C5051"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-0.67</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0.83</w:t>
            </w:r>
          </w:p>
        </w:tc>
        <w:tc>
          <w:tcPr>
            <w:tcW w:w="1729" w:type="dxa"/>
            <w:vAlign w:val="bottom"/>
          </w:tcPr>
          <w:p w14:paraId="6A5B0335" w14:textId="527B3BCF"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0.07</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0.40</w:t>
            </w:r>
          </w:p>
        </w:tc>
        <w:tc>
          <w:tcPr>
            <w:tcW w:w="1729" w:type="dxa"/>
            <w:vAlign w:val="bottom"/>
          </w:tcPr>
          <w:p w14:paraId="4096EA09" w14:textId="763D9A35"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-0.80</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1.84</w:t>
            </w:r>
          </w:p>
        </w:tc>
      </w:tr>
      <w:tr w:rsidR="00A76D85" w:rsidRPr="00F56726" w14:paraId="35349298" w14:textId="77777777" w:rsidTr="004E667A">
        <w:tc>
          <w:tcPr>
            <w:tcW w:w="1729" w:type="dxa"/>
          </w:tcPr>
          <w:p w14:paraId="4247A221"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Ongoing Support</w:t>
            </w:r>
          </w:p>
        </w:tc>
        <w:tc>
          <w:tcPr>
            <w:tcW w:w="1729" w:type="dxa"/>
            <w:vAlign w:val="bottom"/>
          </w:tcPr>
          <w:p w14:paraId="51239BA3" w14:textId="41B8CCAA"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0.01</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0.33</w:t>
            </w:r>
          </w:p>
        </w:tc>
        <w:tc>
          <w:tcPr>
            <w:tcW w:w="1729" w:type="dxa"/>
            <w:vAlign w:val="bottom"/>
          </w:tcPr>
          <w:p w14:paraId="5E169946" w14:textId="44AF6FC1"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-1.00</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1.00</w:t>
            </w:r>
          </w:p>
        </w:tc>
        <w:tc>
          <w:tcPr>
            <w:tcW w:w="1729" w:type="dxa"/>
            <w:vAlign w:val="bottom"/>
          </w:tcPr>
          <w:p w14:paraId="24030333" w14:textId="64471B90"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0.02</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0.53</w:t>
            </w:r>
          </w:p>
        </w:tc>
        <w:tc>
          <w:tcPr>
            <w:tcW w:w="1729" w:type="dxa"/>
            <w:vAlign w:val="bottom"/>
          </w:tcPr>
          <w:p w14:paraId="229E7D2B" w14:textId="6F30871D"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-2.21</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1.86</w:t>
            </w:r>
          </w:p>
        </w:tc>
      </w:tr>
      <w:tr w:rsidR="00A76D85" w:rsidRPr="00F56726" w14:paraId="294621D4" w14:textId="77777777" w:rsidTr="004E667A">
        <w:tc>
          <w:tcPr>
            <w:tcW w:w="1729" w:type="dxa"/>
          </w:tcPr>
          <w:p w14:paraId="3CE89EFF"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Issues of Reproduction</w:t>
            </w:r>
          </w:p>
        </w:tc>
        <w:tc>
          <w:tcPr>
            <w:tcW w:w="1729" w:type="dxa"/>
            <w:vAlign w:val="bottom"/>
          </w:tcPr>
          <w:p w14:paraId="432864F1" w14:textId="76D362FC"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0.24</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0.41</w:t>
            </w:r>
          </w:p>
        </w:tc>
        <w:tc>
          <w:tcPr>
            <w:tcW w:w="1729" w:type="dxa"/>
            <w:vAlign w:val="bottom"/>
          </w:tcPr>
          <w:p w14:paraId="7FB55640" w14:textId="5B20544A"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-0.50</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1.00</w:t>
            </w:r>
          </w:p>
        </w:tc>
        <w:tc>
          <w:tcPr>
            <w:tcW w:w="1729" w:type="dxa"/>
            <w:vAlign w:val="bottom"/>
          </w:tcPr>
          <w:p w14:paraId="6ABADA3F" w14:textId="0042D077"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0.26</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0.59</w:t>
            </w:r>
          </w:p>
        </w:tc>
        <w:tc>
          <w:tcPr>
            <w:tcW w:w="1729" w:type="dxa"/>
            <w:vAlign w:val="bottom"/>
          </w:tcPr>
          <w:p w14:paraId="1D538C9D" w14:textId="1B055F29"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-1.19</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1.89</w:t>
            </w:r>
          </w:p>
        </w:tc>
      </w:tr>
      <w:tr w:rsidR="00A76D85" w:rsidRPr="00F56726" w14:paraId="13B2FECC" w14:textId="77777777" w:rsidTr="004E667A">
        <w:tc>
          <w:tcPr>
            <w:tcW w:w="1729" w:type="dxa"/>
          </w:tcPr>
          <w:p w14:paraId="028C7DBD"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Trade/School</w:t>
            </w:r>
          </w:p>
        </w:tc>
        <w:tc>
          <w:tcPr>
            <w:tcW w:w="1729" w:type="dxa"/>
            <w:vAlign w:val="bottom"/>
          </w:tcPr>
          <w:p w14:paraId="62C06638" w14:textId="34975363"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0.45</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0.55</w:t>
            </w:r>
          </w:p>
        </w:tc>
        <w:tc>
          <w:tcPr>
            <w:tcW w:w="1729" w:type="dxa"/>
            <w:vAlign w:val="bottom"/>
          </w:tcPr>
          <w:p w14:paraId="0A1E52C8" w14:textId="4E60BD09"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-1.00</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1.00</w:t>
            </w:r>
          </w:p>
        </w:tc>
        <w:tc>
          <w:tcPr>
            <w:tcW w:w="1729" w:type="dxa"/>
            <w:vAlign w:val="bottom"/>
          </w:tcPr>
          <w:p w14:paraId="485A845E" w14:textId="7E31E6B0"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0.51</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0.91</w:t>
            </w:r>
          </w:p>
        </w:tc>
        <w:tc>
          <w:tcPr>
            <w:tcW w:w="1729" w:type="dxa"/>
            <w:vAlign w:val="bottom"/>
          </w:tcPr>
          <w:p w14:paraId="5394EF73" w14:textId="064B4D30"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-1.86</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2.48</w:t>
            </w:r>
          </w:p>
        </w:tc>
      </w:tr>
      <w:tr w:rsidR="00A76D85" w:rsidRPr="00F56726" w14:paraId="07632D45" w14:textId="77777777" w:rsidTr="004E667A">
        <w:tc>
          <w:tcPr>
            <w:tcW w:w="1729" w:type="dxa"/>
          </w:tcPr>
          <w:p w14:paraId="54E5A0CA"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Insurance</w:t>
            </w:r>
          </w:p>
        </w:tc>
        <w:tc>
          <w:tcPr>
            <w:tcW w:w="1729" w:type="dxa"/>
            <w:vAlign w:val="bottom"/>
          </w:tcPr>
          <w:p w14:paraId="08564692" w14:textId="570BC7B5"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0.17</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0.30</w:t>
            </w:r>
          </w:p>
        </w:tc>
        <w:tc>
          <w:tcPr>
            <w:tcW w:w="1729" w:type="dxa"/>
            <w:vAlign w:val="bottom"/>
          </w:tcPr>
          <w:p w14:paraId="70DDF2B4" w14:textId="625F5E7D"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-0.38</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0.75</w:t>
            </w:r>
          </w:p>
        </w:tc>
        <w:tc>
          <w:tcPr>
            <w:tcW w:w="1729" w:type="dxa"/>
            <w:vAlign w:val="bottom"/>
          </w:tcPr>
          <w:p w14:paraId="0DB4CEEB" w14:textId="69A13A35"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0.25</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0.47</w:t>
            </w:r>
          </w:p>
        </w:tc>
        <w:tc>
          <w:tcPr>
            <w:tcW w:w="1729" w:type="dxa"/>
            <w:vAlign w:val="bottom"/>
          </w:tcPr>
          <w:p w14:paraId="6C72B3A8" w14:textId="6D2255DA"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-0.47</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1.92</w:t>
            </w:r>
          </w:p>
        </w:tc>
      </w:tr>
      <w:tr w:rsidR="00A76D85" w:rsidRPr="00F56726" w14:paraId="0AD3AD12" w14:textId="77777777" w:rsidTr="004E667A">
        <w:tc>
          <w:tcPr>
            <w:tcW w:w="1729" w:type="dxa"/>
          </w:tcPr>
          <w:p w14:paraId="02CC5FA6" w14:textId="1A9FA6E1"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New</w:t>
            </w:r>
            <w:r w:rsidR="00BA71F1" w:rsidRPr="00F56726">
              <w:rPr>
                <w:rFonts w:ascii="Book Antiqua" w:eastAsia="Times New Roman" w:hAnsi="Book Antiqua" w:cs="Arial"/>
                <w:color w:val="auto"/>
                <w:sz w:val="24"/>
                <w:szCs w:val="24"/>
              </w:rPr>
              <w:t xml:space="preserve"> health care </w:t>
            </w:r>
            <w:r w:rsidRPr="00F56726">
              <w:rPr>
                <w:rFonts w:ascii="Book Antiqua" w:eastAsia="Times New Roman" w:hAnsi="Book Antiqua" w:cs="Arial"/>
                <w:color w:val="auto"/>
                <w:sz w:val="24"/>
                <w:szCs w:val="24"/>
              </w:rPr>
              <w:t>Providers</w:t>
            </w:r>
          </w:p>
        </w:tc>
        <w:tc>
          <w:tcPr>
            <w:tcW w:w="1729" w:type="dxa"/>
            <w:vAlign w:val="bottom"/>
          </w:tcPr>
          <w:p w14:paraId="757E23E4" w14:textId="4B38ED8E"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0.17</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0.33</w:t>
            </w:r>
          </w:p>
        </w:tc>
        <w:tc>
          <w:tcPr>
            <w:tcW w:w="1729" w:type="dxa"/>
            <w:vAlign w:val="bottom"/>
          </w:tcPr>
          <w:p w14:paraId="0333D1B4" w14:textId="3197E72C"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-0.50</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1.00</w:t>
            </w:r>
          </w:p>
        </w:tc>
        <w:tc>
          <w:tcPr>
            <w:tcW w:w="1729" w:type="dxa"/>
            <w:vAlign w:val="bottom"/>
          </w:tcPr>
          <w:p w14:paraId="760091C5" w14:textId="70F77A8F"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0.23</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0.52</w:t>
            </w:r>
          </w:p>
        </w:tc>
        <w:tc>
          <w:tcPr>
            <w:tcW w:w="1729" w:type="dxa"/>
            <w:vAlign w:val="bottom"/>
          </w:tcPr>
          <w:p w14:paraId="0EE5394B" w14:textId="3F0EE7A6"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-1.19</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2.01</w:t>
            </w:r>
          </w:p>
        </w:tc>
      </w:tr>
      <w:tr w:rsidR="00A76D85" w:rsidRPr="00F56726" w14:paraId="57852664" w14:textId="77777777" w:rsidTr="004E667A">
        <w:tc>
          <w:tcPr>
            <w:tcW w:w="1729" w:type="dxa"/>
          </w:tcPr>
          <w:p w14:paraId="75A32F34" w14:textId="2949AF35"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Self-</w:t>
            </w:r>
            <w:r w:rsidR="00BA71F1" w:rsidRPr="00F56726">
              <w:rPr>
                <w:rFonts w:ascii="Book Antiqua" w:eastAsia="Times New Roman" w:hAnsi="Book Antiqua" w:cs="Arial"/>
                <w:color w:val="auto"/>
                <w:sz w:val="24"/>
                <w:szCs w:val="24"/>
              </w:rPr>
              <w:t>management skills</w:t>
            </w:r>
          </w:p>
        </w:tc>
        <w:tc>
          <w:tcPr>
            <w:tcW w:w="1729" w:type="dxa"/>
            <w:vAlign w:val="bottom"/>
          </w:tcPr>
          <w:p w14:paraId="1056C96A" w14:textId="00A565C8"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0.12</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0.27</w:t>
            </w:r>
          </w:p>
        </w:tc>
        <w:tc>
          <w:tcPr>
            <w:tcW w:w="1729" w:type="dxa"/>
            <w:vAlign w:val="bottom"/>
          </w:tcPr>
          <w:p w14:paraId="6C79B428" w14:textId="6D7BEFCB"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-0.67</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1.00</w:t>
            </w:r>
          </w:p>
        </w:tc>
        <w:tc>
          <w:tcPr>
            <w:tcW w:w="1729" w:type="dxa"/>
            <w:vAlign w:val="bottom"/>
          </w:tcPr>
          <w:p w14:paraId="14015BC5" w14:textId="45FDE4BE"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0.06</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0.34</w:t>
            </w:r>
          </w:p>
        </w:tc>
        <w:tc>
          <w:tcPr>
            <w:tcW w:w="1729" w:type="dxa"/>
            <w:vAlign w:val="bottom"/>
          </w:tcPr>
          <w:p w14:paraId="132A4426" w14:textId="2F114AB0"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-1.59</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1.23</w:t>
            </w:r>
          </w:p>
        </w:tc>
      </w:tr>
      <w:tr w:rsidR="00A76D85" w:rsidRPr="00F56726" w14:paraId="703DA511" w14:textId="77777777" w:rsidTr="004E667A">
        <w:tc>
          <w:tcPr>
            <w:tcW w:w="1729" w:type="dxa"/>
          </w:tcPr>
          <w:p w14:paraId="2A1EBA33"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Total</w:t>
            </w:r>
          </w:p>
        </w:tc>
        <w:tc>
          <w:tcPr>
            <w:tcW w:w="1729" w:type="dxa"/>
            <w:vAlign w:val="bottom"/>
          </w:tcPr>
          <w:p w14:paraId="77D9F145" w14:textId="1D0E7DB3"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1.34</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1.31</w:t>
            </w:r>
          </w:p>
        </w:tc>
        <w:tc>
          <w:tcPr>
            <w:tcW w:w="1729" w:type="dxa"/>
            <w:vAlign w:val="bottom"/>
          </w:tcPr>
          <w:p w14:paraId="7F09CD7D" w14:textId="38159E7A"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-1.61</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5.17</w:t>
            </w:r>
          </w:p>
        </w:tc>
        <w:tc>
          <w:tcPr>
            <w:tcW w:w="1729" w:type="dxa"/>
            <w:vAlign w:val="bottom"/>
          </w:tcPr>
          <w:p w14:paraId="361D2421" w14:textId="207B4653"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1.62</w:t>
            </w:r>
            <w:r w:rsidR="003860D1">
              <w:rPr>
                <w:rFonts w:ascii="Book Antiqua" w:eastAsia="Times New Roman" w:hAnsi="Book Antiqua" w:cs="Arial"/>
                <w:color w:val="auto"/>
                <w:sz w:val="24"/>
                <w:szCs w:val="24"/>
              </w:rPr>
              <w:t xml:space="preserve"> ± </w:t>
            </w:r>
            <w:r w:rsidRPr="00F56726">
              <w:rPr>
                <w:rFonts w:ascii="Book Antiqua" w:eastAsia="Times New Roman" w:hAnsi="Book Antiqua" w:cs="Arial"/>
                <w:color w:val="auto"/>
                <w:sz w:val="24"/>
                <w:szCs w:val="24"/>
              </w:rPr>
              <w:t>2.18</w:t>
            </w:r>
          </w:p>
        </w:tc>
        <w:tc>
          <w:tcPr>
            <w:tcW w:w="1729" w:type="dxa"/>
            <w:vAlign w:val="bottom"/>
          </w:tcPr>
          <w:p w14:paraId="16FFD93D" w14:textId="72755C70"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-3.08</w:t>
            </w:r>
            <w:r w:rsidR="00BA71F1">
              <w:rPr>
                <w:rFonts w:ascii="Book Antiqua" w:eastAsia="Times New Roman" w:hAnsi="Book Antiqua" w:cs="Arial"/>
                <w:color w:val="auto"/>
                <w:sz w:val="24"/>
                <w:szCs w:val="24"/>
              </w:rPr>
              <w:t>-</w:t>
            </w:r>
            <w:r w:rsidRPr="00F56726">
              <w:rPr>
                <w:rFonts w:ascii="Book Antiqua" w:eastAsia="Times New Roman" w:hAnsi="Book Antiqua" w:cs="Arial"/>
                <w:color w:val="auto"/>
                <w:sz w:val="24"/>
                <w:szCs w:val="24"/>
              </w:rPr>
              <w:t>10.91</w:t>
            </w:r>
          </w:p>
        </w:tc>
      </w:tr>
      <w:tr w:rsidR="00A76D85" w:rsidRPr="00F56726" w14:paraId="4A3D5BEF" w14:textId="77777777" w:rsidTr="004E667A">
        <w:tc>
          <w:tcPr>
            <w:tcW w:w="1729" w:type="dxa"/>
          </w:tcPr>
          <w:p w14:paraId="07F267F4" w14:textId="77777777"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p>
        </w:tc>
        <w:tc>
          <w:tcPr>
            <w:tcW w:w="1729" w:type="dxa"/>
          </w:tcPr>
          <w:p w14:paraId="798AA8F8" w14:textId="77777777"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p>
        </w:tc>
        <w:tc>
          <w:tcPr>
            <w:tcW w:w="1729" w:type="dxa"/>
          </w:tcPr>
          <w:p w14:paraId="57812E2D" w14:textId="77777777"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p>
        </w:tc>
        <w:tc>
          <w:tcPr>
            <w:tcW w:w="1729" w:type="dxa"/>
          </w:tcPr>
          <w:p w14:paraId="11D54666" w14:textId="77777777"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p>
        </w:tc>
        <w:tc>
          <w:tcPr>
            <w:tcW w:w="1729" w:type="dxa"/>
          </w:tcPr>
          <w:p w14:paraId="3DFA668F" w14:textId="77777777"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p>
        </w:tc>
      </w:tr>
      <w:tr w:rsidR="00A76D85" w:rsidRPr="00F56726" w14:paraId="381EF582" w14:textId="77777777" w:rsidTr="004E667A">
        <w:tc>
          <w:tcPr>
            <w:tcW w:w="1729" w:type="dxa"/>
          </w:tcPr>
          <w:p w14:paraId="2EFCAD74" w14:textId="723A043E" w:rsidR="004E667A" w:rsidRPr="00F56726" w:rsidRDefault="004E667A" w:rsidP="003860D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 xml:space="preserve">Number of </w:t>
            </w:r>
            <w:r w:rsidR="00BA71F1" w:rsidRPr="00F56726">
              <w:rPr>
                <w:rFonts w:ascii="Book Antiqua" w:eastAsia="Times New Roman" w:hAnsi="Book Antiqua" w:cs="Arial"/>
                <w:color w:val="auto"/>
                <w:sz w:val="24"/>
                <w:szCs w:val="24"/>
              </w:rPr>
              <w:t>observations</w:t>
            </w:r>
          </w:p>
        </w:tc>
        <w:tc>
          <w:tcPr>
            <w:tcW w:w="1729" w:type="dxa"/>
          </w:tcPr>
          <w:p w14:paraId="2E96F583" w14:textId="77777777" w:rsidR="004E667A" w:rsidRPr="00F56726" w:rsidRDefault="004E667A" w:rsidP="003860D1">
            <w:pPr>
              <w:tabs>
                <w:tab w:val="left" w:pos="830"/>
              </w:tabs>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82</w:t>
            </w:r>
          </w:p>
        </w:tc>
        <w:tc>
          <w:tcPr>
            <w:tcW w:w="1729" w:type="dxa"/>
          </w:tcPr>
          <w:p w14:paraId="7055692B" w14:textId="77777777"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p>
        </w:tc>
        <w:tc>
          <w:tcPr>
            <w:tcW w:w="1729" w:type="dxa"/>
          </w:tcPr>
          <w:p w14:paraId="17B09ADF" w14:textId="22F75A33" w:rsidR="004E667A" w:rsidRPr="00BA71F1" w:rsidRDefault="004E667A" w:rsidP="00BA71F1">
            <w:pPr>
              <w:adjustRightInd w:val="0"/>
              <w:snapToGrid w:val="0"/>
              <w:spacing w:line="360" w:lineRule="auto"/>
              <w:contextualSpacing w:val="0"/>
              <w:jc w:val="center"/>
              <w:rPr>
                <w:rFonts w:ascii="Book Antiqua" w:hAnsi="Book Antiqua" w:cs="Arial"/>
                <w:color w:val="auto"/>
                <w:sz w:val="24"/>
                <w:szCs w:val="24"/>
                <w:lang w:eastAsia="zh-CN"/>
              </w:rPr>
            </w:pPr>
            <w:r w:rsidRPr="00F56726">
              <w:rPr>
                <w:rFonts w:ascii="Book Antiqua" w:eastAsia="Times New Roman" w:hAnsi="Book Antiqua" w:cs="Arial"/>
                <w:color w:val="auto"/>
                <w:sz w:val="24"/>
                <w:szCs w:val="24"/>
              </w:rPr>
              <w:t>81</w:t>
            </w:r>
            <w:r w:rsidR="00BA71F1">
              <w:rPr>
                <w:rFonts w:ascii="Book Antiqua" w:hAnsi="Book Antiqua" w:cs="Arial" w:hint="eastAsia"/>
                <w:color w:val="auto"/>
                <w:sz w:val="24"/>
                <w:szCs w:val="24"/>
                <w:vertAlign w:val="superscript"/>
                <w:lang w:eastAsia="zh-CN"/>
              </w:rPr>
              <w:t>1</w:t>
            </w:r>
          </w:p>
        </w:tc>
        <w:tc>
          <w:tcPr>
            <w:tcW w:w="1729" w:type="dxa"/>
          </w:tcPr>
          <w:p w14:paraId="6D32276A" w14:textId="77777777" w:rsidR="004E667A" w:rsidRPr="00F56726" w:rsidRDefault="004E667A" w:rsidP="003860D1">
            <w:pPr>
              <w:adjustRightInd w:val="0"/>
              <w:snapToGrid w:val="0"/>
              <w:spacing w:line="360" w:lineRule="auto"/>
              <w:contextualSpacing w:val="0"/>
              <w:jc w:val="center"/>
              <w:rPr>
                <w:rFonts w:ascii="Book Antiqua" w:hAnsi="Book Antiqua" w:cs="Arial"/>
                <w:color w:val="auto"/>
                <w:sz w:val="24"/>
                <w:szCs w:val="24"/>
              </w:rPr>
            </w:pPr>
          </w:p>
        </w:tc>
      </w:tr>
    </w:tbl>
    <w:p w14:paraId="16BD5A90" w14:textId="28C9CC1D" w:rsidR="00BA71F1" w:rsidRDefault="00BA71F1" w:rsidP="00A76D85">
      <w:pPr>
        <w:adjustRightInd w:val="0"/>
        <w:snapToGrid w:val="0"/>
        <w:spacing w:line="360" w:lineRule="auto"/>
        <w:jc w:val="both"/>
        <w:rPr>
          <w:rFonts w:ascii="Book Antiqua" w:eastAsia="Times New Roman" w:hAnsi="Book Antiqua" w:cs="Arial"/>
          <w:color w:val="auto"/>
        </w:rPr>
      </w:pPr>
      <w:r>
        <w:rPr>
          <w:rFonts w:ascii="Book Antiqua" w:hAnsi="Book Antiqua" w:cs="Arial" w:hint="eastAsia"/>
          <w:color w:val="auto"/>
          <w:vertAlign w:val="superscript"/>
          <w:lang w:eastAsia="zh-CN"/>
        </w:rPr>
        <w:lastRenderedPageBreak/>
        <w:t>1</w:t>
      </w:r>
      <w:r w:rsidR="004E667A" w:rsidRPr="00F56726">
        <w:rPr>
          <w:rFonts w:ascii="Book Antiqua" w:eastAsia="Times New Roman" w:hAnsi="Book Antiqua" w:cs="Arial"/>
          <w:color w:val="auto"/>
        </w:rPr>
        <w:t xml:space="preserve">Changes between an individual's two scores measured within 3 </w:t>
      </w:r>
      <w:r>
        <w:rPr>
          <w:rFonts w:ascii="Book Antiqua" w:hAnsi="Book Antiqua" w:cs="Arial" w:hint="eastAsia"/>
          <w:color w:val="auto"/>
          <w:lang w:eastAsia="zh-CN"/>
        </w:rPr>
        <w:t>mo</w:t>
      </w:r>
      <w:r w:rsidR="004E667A" w:rsidRPr="00F56726">
        <w:rPr>
          <w:rFonts w:ascii="Book Antiqua" w:eastAsia="Times New Roman" w:hAnsi="Book Antiqua" w:cs="Arial"/>
          <w:color w:val="auto"/>
        </w:rPr>
        <w:t xml:space="preserve"> are dropped.</w:t>
      </w:r>
    </w:p>
    <w:p w14:paraId="60A84FA5" w14:textId="77777777" w:rsidR="00BA71F1" w:rsidRDefault="00BA71F1">
      <w:pPr>
        <w:rPr>
          <w:rFonts w:ascii="Book Antiqua" w:eastAsia="Times New Roman" w:hAnsi="Book Antiqua" w:cs="Arial"/>
          <w:color w:val="auto"/>
        </w:rPr>
      </w:pPr>
      <w:r>
        <w:rPr>
          <w:rFonts w:ascii="Book Antiqua" w:eastAsia="Times New Roman" w:hAnsi="Book Antiqua" w:cs="Arial"/>
          <w:color w:val="auto"/>
        </w:rPr>
        <w:br w:type="page"/>
      </w:r>
    </w:p>
    <w:p w14:paraId="073443DF" w14:textId="0C2EFFDB" w:rsidR="00112D07" w:rsidRPr="00F56726" w:rsidRDefault="00BA71F1" w:rsidP="00A76D85">
      <w:pPr>
        <w:adjustRightInd w:val="0"/>
        <w:snapToGrid w:val="0"/>
        <w:spacing w:line="360" w:lineRule="auto"/>
        <w:jc w:val="both"/>
        <w:rPr>
          <w:rFonts w:ascii="Book Antiqua" w:hAnsi="Book Antiqua" w:cs="Arial"/>
          <w:b/>
          <w:color w:val="auto"/>
        </w:rPr>
      </w:pPr>
      <w:r>
        <w:rPr>
          <w:rFonts w:ascii="Book Antiqua" w:eastAsia="Times New Roman" w:hAnsi="Book Antiqua" w:cs="Arial"/>
          <w:b/>
          <w:color w:val="auto"/>
        </w:rPr>
        <w:lastRenderedPageBreak/>
        <w:t>Table 4</w:t>
      </w:r>
      <w:r w:rsidR="00A603C0" w:rsidRPr="00F56726">
        <w:rPr>
          <w:rFonts w:ascii="Book Antiqua" w:eastAsia="Times New Roman" w:hAnsi="Book Antiqua" w:cs="Arial"/>
          <w:b/>
          <w:color w:val="auto"/>
        </w:rPr>
        <w:t xml:space="preserve"> Regression </w:t>
      </w:r>
      <w:r w:rsidRPr="00F56726">
        <w:rPr>
          <w:rFonts w:ascii="Book Antiqua" w:eastAsia="Times New Roman" w:hAnsi="Book Antiqua" w:cs="Arial"/>
          <w:b/>
          <w:color w:val="auto"/>
        </w:rPr>
        <w:t xml:space="preserve">results for level and growth of total </w:t>
      </w:r>
      <w:r w:rsidR="00A603C0" w:rsidRPr="00F56726">
        <w:rPr>
          <w:rFonts w:ascii="Book Antiqua" w:eastAsia="Times New Roman" w:hAnsi="Book Antiqua" w:cs="Arial"/>
          <w:b/>
          <w:color w:val="auto"/>
        </w:rPr>
        <w:t>TRxANSITION Scale™ Score</w:t>
      </w:r>
    </w:p>
    <w:tbl>
      <w:tblPr>
        <w:tblStyle w:val="a2"/>
        <w:tblW w:w="8646"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815"/>
        <w:gridCol w:w="1457"/>
        <w:gridCol w:w="1458"/>
        <w:gridCol w:w="1458"/>
        <w:gridCol w:w="1458"/>
      </w:tblGrid>
      <w:tr w:rsidR="00A76D85" w:rsidRPr="00F56726" w14:paraId="7143C28B" w14:textId="77777777" w:rsidTr="00E256DD">
        <w:tc>
          <w:tcPr>
            <w:tcW w:w="2815" w:type="dxa"/>
            <w:tcBorders>
              <w:bottom w:val="nil"/>
            </w:tcBorders>
          </w:tcPr>
          <w:p w14:paraId="7B1C8884" w14:textId="77777777" w:rsidR="00112D07" w:rsidRPr="00BA71F1" w:rsidRDefault="00112D07" w:rsidP="00A76D85">
            <w:pPr>
              <w:adjustRightInd w:val="0"/>
              <w:snapToGrid w:val="0"/>
              <w:spacing w:line="360" w:lineRule="auto"/>
              <w:contextualSpacing w:val="0"/>
              <w:jc w:val="both"/>
              <w:rPr>
                <w:rFonts w:ascii="Book Antiqua" w:hAnsi="Book Antiqua" w:cs="Arial"/>
                <w:b/>
                <w:color w:val="auto"/>
                <w:sz w:val="24"/>
                <w:szCs w:val="24"/>
              </w:rPr>
            </w:pPr>
          </w:p>
        </w:tc>
        <w:tc>
          <w:tcPr>
            <w:tcW w:w="2915" w:type="dxa"/>
            <w:gridSpan w:val="2"/>
            <w:tcBorders>
              <w:bottom w:val="nil"/>
            </w:tcBorders>
          </w:tcPr>
          <w:p w14:paraId="10AE2D3D" w14:textId="3293E90B" w:rsidR="00112D07" w:rsidRPr="00BA71F1" w:rsidRDefault="00A603C0" w:rsidP="00BA71F1">
            <w:pPr>
              <w:adjustRightInd w:val="0"/>
              <w:snapToGrid w:val="0"/>
              <w:spacing w:line="360" w:lineRule="auto"/>
              <w:contextualSpacing w:val="0"/>
              <w:jc w:val="center"/>
              <w:rPr>
                <w:rFonts w:ascii="Book Antiqua" w:hAnsi="Book Antiqua" w:cs="Arial"/>
                <w:b/>
                <w:color w:val="auto"/>
                <w:sz w:val="24"/>
                <w:szCs w:val="24"/>
              </w:rPr>
            </w:pPr>
            <w:r w:rsidRPr="00BA71F1">
              <w:rPr>
                <w:rFonts w:ascii="Book Antiqua" w:eastAsia="Times New Roman" w:hAnsi="Book Antiqua" w:cs="Arial"/>
                <w:b/>
                <w:color w:val="auto"/>
                <w:sz w:val="24"/>
                <w:szCs w:val="24"/>
              </w:rPr>
              <w:t xml:space="preserve">Level </w:t>
            </w:r>
            <w:r w:rsidR="00BA71F1">
              <w:rPr>
                <w:rFonts w:ascii="Book Antiqua" w:hAnsi="Book Antiqua" w:cs="Arial" w:hint="eastAsia"/>
                <w:b/>
                <w:color w:val="auto"/>
                <w:sz w:val="24"/>
                <w:szCs w:val="24"/>
                <w:lang w:eastAsia="zh-CN"/>
              </w:rPr>
              <w:t>e</w:t>
            </w:r>
            <w:r w:rsidRPr="00BA71F1">
              <w:rPr>
                <w:rFonts w:ascii="Book Antiqua" w:eastAsia="Times New Roman" w:hAnsi="Book Antiqua" w:cs="Arial"/>
                <w:b/>
                <w:color w:val="auto"/>
                <w:sz w:val="24"/>
                <w:szCs w:val="24"/>
              </w:rPr>
              <w:t>ffect</w:t>
            </w:r>
          </w:p>
        </w:tc>
        <w:tc>
          <w:tcPr>
            <w:tcW w:w="2916" w:type="dxa"/>
            <w:gridSpan w:val="2"/>
            <w:tcBorders>
              <w:bottom w:val="nil"/>
            </w:tcBorders>
          </w:tcPr>
          <w:p w14:paraId="050A2540" w14:textId="529803C6" w:rsidR="00112D07" w:rsidRPr="00BA71F1" w:rsidRDefault="00A603C0" w:rsidP="00BA71F1">
            <w:pPr>
              <w:adjustRightInd w:val="0"/>
              <w:snapToGrid w:val="0"/>
              <w:spacing w:line="360" w:lineRule="auto"/>
              <w:contextualSpacing w:val="0"/>
              <w:jc w:val="center"/>
              <w:rPr>
                <w:rFonts w:ascii="Book Antiqua" w:hAnsi="Book Antiqua" w:cs="Arial"/>
                <w:b/>
                <w:color w:val="auto"/>
                <w:sz w:val="24"/>
                <w:szCs w:val="24"/>
              </w:rPr>
            </w:pPr>
            <w:r w:rsidRPr="00BA71F1">
              <w:rPr>
                <w:rFonts w:ascii="Book Antiqua" w:eastAsia="Times New Roman" w:hAnsi="Book Antiqua" w:cs="Arial"/>
                <w:b/>
                <w:color w:val="auto"/>
                <w:sz w:val="24"/>
                <w:szCs w:val="24"/>
              </w:rPr>
              <w:t xml:space="preserve">Growth </w:t>
            </w:r>
            <w:r w:rsidR="00BA71F1">
              <w:rPr>
                <w:rFonts w:ascii="Book Antiqua" w:hAnsi="Book Antiqua" w:cs="Arial" w:hint="eastAsia"/>
                <w:b/>
                <w:color w:val="auto"/>
                <w:sz w:val="24"/>
                <w:szCs w:val="24"/>
                <w:lang w:eastAsia="zh-CN"/>
              </w:rPr>
              <w:t>e</w:t>
            </w:r>
            <w:r w:rsidRPr="00BA71F1">
              <w:rPr>
                <w:rFonts w:ascii="Book Antiqua" w:eastAsia="Times New Roman" w:hAnsi="Book Antiqua" w:cs="Arial"/>
                <w:b/>
                <w:color w:val="auto"/>
                <w:sz w:val="24"/>
                <w:szCs w:val="24"/>
              </w:rPr>
              <w:t>ffect</w:t>
            </w:r>
          </w:p>
        </w:tc>
      </w:tr>
      <w:tr w:rsidR="00A76D85" w:rsidRPr="00F56726" w14:paraId="4A9AA2D5" w14:textId="77777777" w:rsidTr="00E256DD">
        <w:tc>
          <w:tcPr>
            <w:tcW w:w="2815" w:type="dxa"/>
            <w:tcBorders>
              <w:top w:val="nil"/>
              <w:bottom w:val="single" w:sz="4" w:space="0" w:color="000000"/>
            </w:tcBorders>
          </w:tcPr>
          <w:p w14:paraId="4F8B3479" w14:textId="77777777" w:rsidR="00112D07" w:rsidRPr="00BA71F1" w:rsidRDefault="00A603C0" w:rsidP="00BA71F1">
            <w:pPr>
              <w:adjustRightInd w:val="0"/>
              <w:snapToGrid w:val="0"/>
              <w:spacing w:line="360" w:lineRule="auto"/>
              <w:contextualSpacing w:val="0"/>
              <w:rPr>
                <w:rFonts w:ascii="Book Antiqua" w:hAnsi="Book Antiqua" w:cs="Arial"/>
                <w:b/>
                <w:color w:val="auto"/>
                <w:sz w:val="24"/>
                <w:szCs w:val="24"/>
              </w:rPr>
            </w:pPr>
            <w:r w:rsidRPr="00BA71F1">
              <w:rPr>
                <w:rFonts w:ascii="Book Antiqua" w:eastAsia="Times New Roman" w:hAnsi="Book Antiqua" w:cs="Arial"/>
                <w:b/>
                <w:color w:val="auto"/>
                <w:sz w:val="24"/>
                <w:szCs w:val="24"/>
              </w:rPr>
              <w:t>Variable</w:t>
            </w:r>
          </w:p>
        </w:tc>
        <w:tc>
          <w:tcPr>
            <w:tcW w:w="1457" w:type="dxa"/>
            <w:tcBorders>
              <w:top w:val="nil"/>
              <w:bottom w:val="single" w:sz="4" w:space="0" w:color="000000"/>
            </w:tcBorders>
          </w:tcPr>
          <w:p w14:paraId="2A68E80A" w14:textId="77777777" w:rsidR="00112D07" w:rsidRPr="00BA71F1" w:rsidRDefault="00A603C0" w:rsidP="00BA71F1">
            <w:pPr>
              <w:adjustRightInd w:val="0"/>
              <w:snapToGrid w:val="0"/>
              <w:spacing w:line="360" w:lineRule="auto"/>
              <w:contextualSpacing w:val="0"/>
              <w:jc w:val="center"/>
              <w:rPr>
                <w:rFonts w:ascii="Book Antiqua" w:hAnsi="Book Antiqua" w:cs="Arial"/>
                <w:b/>
                <w:color w:val="auto"/>
                <w:sz w:val="24"/>
                <w:szCs w:val="24"/>
              </w:rPr>
            </w:pPr>
            <w:r w:rsidRPr="00BA71F1">
              <w:rPr>
                <w:rFonts w:ascii="Book Antiqua" w:eastAsia="Times New Roman" w:hAnsi="Book Antiqua" w:cs="Arial"/>
                <w:b/>
                <w:color w:val="auto"/>
                <w:sz w:val="24"/>
                <w:szCs w:val="24"/>
              </w:rPr>
              <w:t>Coefficient</w:t>
            </w:r>
          </w:p>
        </w:tc>
        <w:tc>
          <w:tcPr>
            <w:tcW w:w="1458" w:type="dxa"/>
            <w:tcBorders>
              <w:top w:val="nil"/>
              <w:bottom w:val="single" w:sz="4" w:space="0" w:color="000000"/>
            </w:tcBorders>
          </w:tcPr>
          <w:p w14:paraId="159A988F" w14:textId="3A043E06" w:rsidR="00112D07" w:rsidRPr="00BA71F1" w:rsidRDefault="00BA71F1" w:rsidP="00BA71F1">
            <w:pPr>
              <w:adjustRightInd w:val="0"/>
              <w:snapToGrid w:val="0"/>
              <w:spacing w:line="360" w:lineRule="auto"/>
              <w:contextualSpacing w:val="0"/>
              <w:jc w:val="center"/>
              <w:rPr>
                <w:rFonts w:ascii="Book Antiqua" w:hAnsi="Book Antiqua" w:cs="Arial"/>
                <w:b/>
                <w:color w:val="auto"/>
                <w:sz w:val="24"/>
                <w:szCs w:val="24"/>
              </w:rPr>
            </w:pPr>
            <w:r w:rsidRPr="00BA71F1">
              <w:rPr>
                <w:rFonts w:ascii="Book Antiqua" w:eastAsia="Times New Roman" w:hAnsi="Book Antiqua" w:cs="Arial"/>
                <w:b/>
                <w:i/>
                <w:color w:val="auto"/>
                <w:sz w:val="24"/>
                <w:szCs w:val="24"/>
              </w:rPr>
              <w:t>P</w:t>
            </w:r>
            <w:r w:rsidRPr="00BA71F1">
              <w:rPr>
                <w:rFonts w:ascii="Book Antiqua" w:hAnsi="Book Antiqua" w:cs="Arial" w:hint="eastAsia"/>
                <w:b/>
                <w:i/>
                <w:color w:val="auto"/>
                <w:sz w:val="24"/>
                <w:szCs w:val="24"/>
                <w:lang w:eastAsia="zh-CN"/>
              </w:rPr>
              <w:t xml:space="preserve"> </w:t>
            </w:r>
            <w:r w:rsidR="00A603C0" w:rsidRPr="00BA71F1">
              <w:rPr>
                <w:rFonts w:ascii="Book Antiqua" w:eastAsia="Times New Roman" w:hAnsi="Book Antiqua" w:cs="Arial"/>
                <w:b/>
                <w:color w:val="auto"/>
                <w:sz w:val="24"/>
                <w:szCs w:val="24"/>
              </w:rPr>
              <w:t>value</w:t>
            </w:r>
          </w:p>
        </w:tc>
        <w:tc>
          <w:tcPr>
            <w:tcW w:w="1458" w:type="dxa"/>
            <w:tcBorders>
              <w:top w:val="nil"/>
              <w:bottom w:val="single" w:sz="4" w:space="0" w:color="000000"/>
            </w:tcBorders>
          </w:tcPr>
          <w:p w14:paraId="66DB6004" w14:textId="77777777" w:rsidR="00112D07" w:rsidRPr="00BA71F1" w:rsidRDefault="00A603C0" w:rsidP="00BA71F1">
            <w:pPr>
              <w:adjustRightInd w:val="0"/>
              <w:snapToGrid w:val="0"/>
              <w:spacing w:line="360" w:lineRule="auto"/>
              <w:contextualSpacing w:val="0"/>
              <w:jc w:val="center"/>
              <w:rPr>
                <w:rFonts w:ascii="Book Antiqua" w:hAnsi="Book Antiqua" w:cs="Arial"/>
                <w:b/>
                <w:color w:val="auto"/>
                <w:sz w:val="24"/>
                <w:szCs w:val="24"/>
              </w:rPr>
            </w:pPr>
            <w:r w:rsidRPr="00BA71F1">
              <w:rPr>
                <w:rFonts w:ascii="Book Antiqua" w:eastAsia="Times New Roman" w:hAnsi="Book Antiqua" w:cs="Arial"/>
                <w:b/>
                <w:color w:val="auto"/>
                <w:sz w:val="24"/>
                <w:szCs w:val="24"/>
              </w:rPr>
              <w:t>Coefficient</w:t>
            </w:r>
          </w:p>
        </w:tc>
        <w:tc>
          <w:tcPr>
            <w:tcW w:w="1458" w:type="dxa"/>
            <w:tcBorders>
              <w:top w:val="nil"/>
              <w:bottom w:val="single" w:sz="4" w:space="0" w:color="000000"/>
            </w:tcBorders>
          </w:tcPr>
          <w:p w14:paraId="08FF70E4" w14:textId="7C82608F" w:rsidR="00112D07" w:rsidRPr="00BA71F1" w:rsidRDefault="00BA71F1" w:rsidP="00BA71F1">
            <w:pPr>
              <w:adjustRightInd w:val="0"/>
              <w:snapToGrid w:val="0"/>
              <w:spacing w:line="360" w:lineRule="auto"/>
              <w:contextualSpacing w:val="0"/>
              <w:jc w:val="center"/>
              <w:rPr>
                <w:rFonts w:ascii="Book Antiqua" w:hAnsi="Book Antiqua" w:cs="Arial"/>
                <w:b/>
                <w:color w:val="auto"/>
                <w:sz w:val="24"/>
                <w:szCs w:val="24"/>
              </w:rPr>
            </w:pPr>
            <w:r w:rsidRPr="00BA71F1">
              <w:rPr>
                <w:rFonts w:ascii="Book Antiqua" w:eastAsia="Times New Roman" w:hAnsi="Book Antiqua" w:cs="Arial"/>
                <w:b/>
                <w:i/>
                <w:color w:val="auto"/>
                <w:sz w:val="24"/>
                <w:szCs w:val="24"/>
              </w:rPr>
              <w:t>P</w:t>
            </w:r>
            <w:r>
              <w:rPr>
                <w:rFonts w:ascii="Book Antiqua" w:hAnsi="Book Antiqua" w:cs="Arial" w:hint="eastAsia"/>
                <w:b/>
                <w:color w:val="auto"/>
                <w:sz w:val="24"/>
                <w:szCs w:val="24"/>
                <w:lang w:eastAsia="zh-CN"/>
              </w:rPr>
              <w:t xml:space="preserve"> </w:t>
            </w:r>
            <w:r w:rsidR="00A603C0" w:rsidRPr="00BA71F1">
              <w:rPr>
                <w:rFonts w:ascii="Book Antiqua" w:eastAsia="Times New Roman" w:hAnsi="Book Antiqua" w:cs="Arial"/>
                <w:b/>
                <w:color w:val="auto"/>
                <w:sz w:val="24"/>
                <w:szCs w:val="24"/>
              </w:rPr>
              <w:t>value</w:t>
            </w:r>
          </w:p>
        </w:tc>
      </w:tr>
      <w:tr w:rsidR="00A76D85" w:rsidRPr="00F56726" w14:paraId="5B45F82F" w14:textId="77777777" w:rsidTr="00E256DD">
        <w:tc>
          <w:tcPr>
            <w:tcW w:w="2815" w:type="dxa"/>
            <w:tcBorders>
              <w:top w:val="single" w:sz="4" w:space="0" w:color="000000"/>
            </w:tcBorders>
          </w:tcPr>
          <w:p w14:paraId="2965B493"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Age</w:t>
            </w:r>
          </w:p>
        </w:tc>
        <w:tc>
          <w:tcPr>
            <w:tcW w:w="1457" w:type="dxa"/>
            <w:tcBorders>
              <w:top w:val="single" w:sz="4" w:space="0" w:color="000000"/>
            </w:tcBorders>
          </w:tcPr>
          <w:p w14:paraId="3DCD3428" w14:textId="46B0DEB3"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0.42</w:t>
            </w:r>
            <w:r w:rsidR="00BA752A" w:rsidRPr="00BA752A">
              <w:rPr>
                <w:rFonts w:ascii="Book Antiqua" w:eastAsia="Times New Roman" w:hAnsi="Book Antiqua" w:cs="Arial"/>
                <w:color w:val="auto"/>
                <w:sz w:val="24"/>
                <w:szCs w:val="24"/>
                <w:vertAlign w:val="superscript"/>
              </w:rPr>
              <w:t>3</w:t>
            </w:r>
          </w:p>
        </w:tc>
        <w:tc>
          <w:tcPr>
            <w:tcW w:w="1458" w:type="dxa"/>
            <w:tcBorders>
              <w:top w:val="single" w:sz="4" w:space="0" w:color="000000"/>
            </w:tcBorders>
          </w:tcPr>
          <w:p w14:paraId="0456CAAF"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0.00</w:t>
            </w:r>
          </w:p>
        </w:tc>
        <w:tc>
          <w:tcPr>
            <w:tcW w:w="1458" w:type="dxa"/>
            <w:tcBorders>
              <w:top w:val="single" w:sz="4" w:space="0" w:color="000000"/>
            </w:tcBorders>
          </w:tcPr>
          <w:p w14:paraId="10AA617C" w14:textId="10883B7B"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0.21</w:t>
            </w:r>
            <w:r w:rsidR="00BA752A" w:rsidRPr="00BA752A">
              <w:rPr>
                <w:rFonts w:ascii="Book Antiqua" w:eastAsia="Times New Roman" w:hAnsi="Book Antiqua" w:cs="Arial"/>
                <w:color w:val="auto"/>
                <w:sz w:val="24"/>
                <w:szCs w:val="24"/>
                <w:vertAlign w:val="superscript"/>
              </w:rPr>
              <w:t>3</w:t>
            </w:r>
          </w:p>
        </w:tc>
        <w:tc>
          <w:tcPr>
            <w:tcW w:w="1458" w:type="dxa"/>
            <w:tcBorders>
              <w:top w:val="single" w:sz="4" w:space="0" w:color="000000"/>
            </w:tcBorders>
          </w:tcPr>
          <w:p w14:paraId="736A9794"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0.00</w:t>
            </w:r>
          </w:p>
        </w:tc>
      </w:tr>
      <w:tr w:rsidR="00A76D85" w:rsidRPr="00F56726" w14:paraId="5C0988C5" w14:textId="77777777" w:rsidTr="00E256DD">
        <w:tc>
          <w:tcPr>
            <w:tcW w:w="2815" w:type="dxa"/>
          </w:tcPr>
          <w:p w14:paraId="264F00D0"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Female</w:t>
            </w:r>
          </w:p>
        </w:tc>
        <w:tc>
          <w:tcPr>
            <w:tcW w:w="1457" w:type="dxa"/>
          </w:tcPr>
          <w:p w14:paraId="3FDEE7F4" w14:textId="34A35750"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0.41</w:t>
            </w:r>
            <w:r w:rsidR="00BA752A" w:rsidRPr="00BA752A">
              <w:rPr>
                <w:rFonts w:ascii="Book Antiqua" w:eastAsia="Times New Roman" w:hAnsi="Book Antiqua" w:cs="Arial"/>
                <w:color w:val="auto"/>
                <w:sz w:val="24"/>
                <w:szCs w:val="24"/>
                <w:vertAlign w:val="superscript"/>
              </w:rPr>
              <w:t>2</w:t>
            </w:r>
          </w:p>
        </w:tc>
        <w:tc>
          <w:tcPr>
            <w:tcW w:w="1458" w:type="dxa"/>
          </w:tcPr>
          <w:p w14:paraId="657564EA"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0.05</w:t>
            </w:r>
          </w:p>
        </w:tc>
        <w:tc>
          <w:tcPr>
            <w:tcW w:w="1458" w:type="dxa"/>
          </w:tcPr>
          <w:p w14:paraId="63AD46B6"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0.03</w:t>
            </w:r>
          </w:p>
        </w:tc>
        <w:tc>
          <w:tcPr>
            <w:tcW w:w="1458" w:type="dxa"/>
          </w:tcPr>
          <w:p w14:paraId="097EAEEE"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0.90</w:t>
            </w:r>
          </w:p>
        </w:tc>
      </w:tr>
      <w:tr w:rsidR="00A76D85" w:rsidRPr="00F56726" w14:paraId="6991A3AB" w14:textId="77777777" w:rsidTr="00E256DD">
        <w:tc>
          <w:tcPr>
            <w:tcW w:w="2815" w:type="dxa"/>
          </w:tcPr>
          <w:p w14:paraId="74D0E320" w14:textId="1E062863"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Race: A</w:t>
            </w:r>
            <w:r w:rsidR="00071BC2" w:rsidRPr="00F56726">
              <w:rPr>
                <w:rFonts w:ascii="Book Antiqua" w:eastAsia="Times New Roman" w:hAnsi="Book Antiqua" w:cs="Arial"/>
                <w:color w:val="auto"/>
                <w:sz w:val="24"/>
                <w:szCs w:val="24"/>
              </w:rPr>
              <w:t>frican</w:t>
            </w:r>
            <w:r w:rsidR="00920900" w:rsidRPr="00F56726">
              <w:rPr>
                <w:rFonts w:ascii="Book Antiqua" w:eastAsia="Times New Roman" w:hAnsi="Book Antiqua" w:cs="Arial"/>
                <w:color w:val="auto"/>
                <w:sz w:val="24"/>
                <w:szCs w:val="24"/>
              </w:rPr>
              <w:t xml:space="preserve"> </w:t>
            </w:r>
            <w:r w:rsidRPr="00F56726">
              <w:rPr>
                <w:rFonts w:ascii="Book Antiqua" w:eastAsia="Times New Roman" w:hAnsi="Book Antiqua" w:cs="Arial"/>
                <w:color w:val="auto"/>
                <w:sz w:val="24"/>
                <w:szCs w:val="24"/>
              </w:rPr>
              <w:t>A</w:t>
            </w:r>
            <w:r w:rsidR="00071BC2" w:rsidRPr="00F56726">
              <w:rPr>
                <w:rFonts w:ascii="Book Antiqua" w:eastAsia="Times New Roman" w:hAnsi="Book Antiqua" w:cs="Arial"/>
                <w:color w:val="auto"/>
                <w:sz w:val="24"/>
                <w:szCs w:val="24"/>
              </w:rPr>
              <w:t>merican</w:t>
            </w:r>
          </w:p>
        </w:tc>
        <w:tc>
          <w:tcPr>
            <w:tcW w:w="1457" w:type="dxa"/>
          </w:tcPr>
          <w:p w14:paraId="0CA6429B" w14:textId="77903B4B"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-0.43</w:t>
            </w:r>
            <w:r w:rsidR="00BA752A" w:rsidRPr="00BA752A">
              <w:rPr>
                <w:rFonts w:ascii="Book Antiqua" w:eastAsia="Times New Roman" w:hAnsi="Book Antiqua" w:cs="Arial"/>
                <w:color w:val="auto"/>
                <w:sz w:val="24"/>
                <w:szCs w:val="24"/>
                <w:vertAlign w:val="superscript"/>
              </w:rPr>
              <w:t>2</w:t>
            </w:r>
          </w:p>
        </w:tc>
        <w:tc>
          <w:tcPr>
            <w:tcW w:w="1458" w:type="dxa"/>
          </w:tcPr>
          <w:p w14:paraId="6155F113" w14:textId="02D255C8"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w:t>
            </w:r>
            <w:r w:rsidR="00D66F25" w:rsidRPr="00F56726">
              <w:rPr>
                <w:rFonts w:ascii="Book Antiqua" w:eastAsia="Times New Roman" w:hAnsi="Book Antiqua" w:cs="Arial"/>
                <w:color w:val="auto"/>
                <w:sz w:val="24"/>
                <w:szCs w:val="24"/>
              </w:rPr>
              <w:t>06</w:t>
            </w:r>
          </w:p>
        </w:tc>
        <w:tc>
          <w:tcPr>
            <w:tcW w:w="1458" w:type="dxa"/>
          </w:tcPr>
          <w:p w14:paraId="390E4BA8"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-0.06</w:t>
            </w:r>
          </w:p>
        </w:tc>
        <w:tc>
          <w:tcPr>
            <w:tcW w:w="1458" w:type="dxa"/>
          </w:tcPr>
          <w:p w14:paraId="74793921"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0.87</w:t>
            </w:r>
          </w:p>
        </w:tc>
      </w:tr>
      <w:tr w:rsidR="00A76D85" w:rsidRPr="00F56726" w14:paraId="2289E4C6" w14:textId="77777777" w:rsidTr="00E256DD">
        <w:tc>
          <w:tcPr>
            <w:tcW w:w="2815" w:type="dxa"/>
          </w:tcPr>
          <w:p w14:paraId="1340BA8E"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Race: Other</w:t>
            </w:r>
          </w:p>
        </w:tc>
        <w:tc>
          <w:tcPr>
            <w:tcW w:w="1457" w:type="dxa"/>
          </w:tcPr>
          <w:p w14:paraId="35418E7C" w14:textId="2B187F5B"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-0.75</w:t>
            </w:r>
            <w:r w:rsidR="00BA752A" w:rsidRPr="00BA752A">
              <w:rPr>
                <w:rFonts w:ascii="Book Antiqua" w:eastAsia="Times New Roman" w:hAnsi="Book Antiqua" w:cs="Arial"/>
                <w:color w:val="auto"/>
                <w:sz w:val="24"/>
                <w:szCs w:val="24"/>
                <w:vertAlign w:val="superscript"/>
              </w:rPr>
              <w:t>3</w:t>
            </w:r>
          </w:p>
        </w:tc>
        <w:tc>
          <w:tcPr>
            <w:tcW w:w="1458" w:type="dxa"/>
          </w:tcPr>
          <w:p w14:paraId="2F040E07"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0.01</w:t>
            </w:r>
          </w:p>
        </w:tc>
        <w:tc>
          <w:tcPr>
            <w:tcW w:w="1458" w:type="dxa"/>
          </w:tcPr>
          <w:p w14:paraId="499AFA5C" w14:textId="49D986EC"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-0.43</w:t>
            </w:r>
            <w:r w:rsidR="00BA752A" w:rsidRPr="00BA752A">
              <w:rPr>
                <w:rFonts w:ascii="Book Antiqua" w:eastAsia="Times New Roman" w:hAnsi="Book Antiqua" w:cs="Arial"/>
                <w:color w:val="auto"/>
                <w:sz w:val="24"/>
                <w:szCs w:val="24"/>
                <w:vertAlign w:val="superscript"/>
              </w:rPr>
              <w:t>1</w:t>
            </w:r>
          </w:p>
        </w:tc>
        <w:tc>
          <w:tcPr>
            <w:tcW w:w="1458" w:type="dxa"/>
          </w:tcPr>
          <w:p w14:paraId="598370C4"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0.09</w:t>
            </w:r>
          </w:p>
        </w:tc>
      </w:tr>
      <w:tr w:rsidR="00A76D85" w:rsidRPr="00F56726" w14:paraId="07BBF185" w14:textId="77777777" w:rsidTr="00E256DD">
        <w:tc>
          <w:tcPr>
            <w:tcW w:w="2815" w:type="dxa"/>
          </w:tcPr>
          <w:p w14:paraId="1F1A440B"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Public insurance</w:t>
            </w:r>
          </w:p>
        </w:tc>
        <w:tc>
          <w:tcPr>
            <w:tcW w:w="1457" w:type="dxa"/>
          </w:tcPr>
          <w:p w14:paraId="4DB111BE"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-0.02</w:t>
            </w:r>
          </w:p>
        </w:tc>
        <w:tc>
          <w:tcPr>
            <w:tcW w:w="1458" w:type="dxa"/>
          </w:tcPr>
          <w:p w14:paraId="1D028542"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0.94</w:t>
            </w:r>
          </w:p>
        </w:tc>
        <w:tc>
          <w:tcPr>
            <w:tcW w:w="1458" w:type="dxa"/>
          </w:tcPr>
          <w:p w14:paraId="04BF09A6" w14:textId="0EB0D22E"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-0.96</w:t>
            </w:r>
            <w:r w:rsidR="00BA752A" w:rsidRPr="00BA752A">
              <w:rPr>
                <w:rFonts w:ascii="Book Antiqua" w:eastAsia="Times New Roman" w:hAnsi="Book Antiqua" w:cs="Arial"/>
                <w:color w:val="auto"/>
                <w:sz w:val="24"/>
                <w:szCs w:val="24"/>
                <w:vertAlign w:val="superscript"/>
              </w:rPr>
              <w:t>3</w:t>
            </w:r>
          </w:p>
        </w:tc>
        <w:tc>
          <w:tcPr>
            <w:tcW w:w="1458" w:type="dxa"/>
          </w:tcPr>
          <w:p w14:paraId="2FE1E286"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0.01</w:t>
            </w:r>
          </w:p>
        </w:tc>
      </w:tr>
      <w:tr w:rsidR="00A76D85" w:rsidRPr="00F56726" w14:paraId="7198E7B4" w14:textId="77777777" w:rsidTr="00E256DD">
        <w:tc>
          <w:tcPr>
            <w:tcW w:w="2815" w:type="dxa"/>
          </w:tcPr>
          <w:p w14:paraId="502D2FB1"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No insurance</w:t>
            </w:r>
          </w:p>
        </w:tc>
        <w:tc>
          <w:tcPr>
            <w:tcW w:w="1457" w:type="dxa"/>
          </w:tcPr>
          <w:p w14:paraId="708B71DD" w14:textId="3382F350"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-0.70</w:t>
            </w:r>
            <w:r w:rsidR="00BA752A" w:rsidRPr="00BA752A">
              <w:rPr>
                <w:rFonts w:ascii="Book Antiqua" w:eastAsia="Times New Roman" w:hAnsi="Book Antiqua" w:cs="Arial"/>
                <w:color w:val="auto"/>
                <w:sz w:val="24"/>
                <w:szCs w:val="24"/>
                <w:vertAlign w:val="superscript"/>
              </w:rPr>
              <w:t>1</w:t>
            </w:r>
          </w:p>
        </w:tc>
        <w:tc>
          <w:tcPr>
            <w:tcW w:w="1458" w:type="dxa"/>
          </w:tcPr>
          <w:p w14:paraId="309C1FF3"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0.07</w:t>
            </w:r>
          </w:p>
        </w:tc>
        <w:tc>
          <w:tcPr>
            <w:tcW w:w="1458" w:type="dxa"/>
          </w:tcPr>
          <w:p w14:paraId="70828012" w14:textId="0FA9B329"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-0.70</w:t>
            </w:r>
            <w:r w:rsidR="00BA752A" w:rsidRPr="00BA752A">
              <w:rPr>
                <w:rFonts w:ascii="Book Antiqua" w:eastAsia="Times New Roman" w:hAnsi="Book Antiqua" w:cs="Arial"/>
                <w:color w:val="auto"/>
                <w:sz w:val="24"/>
                <w:szCs w:val="24"/>
                <w:vertAlign w:val="superscript"/>
              </w:rPr>
              <w:t>1</w:t>
            </w:r>
          </w:p>
        </w:tc>
        <w:tc>
          <w:tcPr>
            <w:tcW w:w="1458" w:type="dxa"/>
          </w:tcPr>
          <w:p w14:paraId="597827BA"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0.06</w:t>
            </w:r>
          </w:p>
        </w:tc>
      </w:tr>
      <w:tr w:rsidR="00A76D85" w:rsidRPr="00F56726" w14:paraId="08B65C0A" w14:textId="77777777" w:rsidTr="00E256DD">
        <w:tc>
          <w:tcPr>
            <w:tcW w:w="2815" w:type="dxa"/>
          </w:tcPr>
          <w:p w14:paraId="11FDDC21" w14:textId="77777777" w:rsidR="00112D07" w:rsidRPr="00F56726" w:rsidRDefault="00112D07" w:rsidP="00BA71F1">
            <w:pPr>
              <w:adjustRightInd w:val="0"/>
              <w:snapToGrid w:val="0"/>
              <w:spacing w:line="360" w:lineRule="auto"/>
              <w:contextualSpacing w:val="0"/>
              <w:rPr>
                <w:rFonts w:ascii="Book Antiqua" w:hAnsi="Book Antiqua" w:cs="Arial"/>
                <w:color w:val="auto"/>
                <w:sz w:val="24"/>
                <w:szCs w:val="24"/>
              </w:rPr>
            </w:pPr>
          </w:p>
        </w:tc>
        <w:tc>
          <w:tcPr>
            <w:tcW w:w="1457" w:type="dxa"/>
          </w:tcPr>
          <w:p w14:paraId="52F29BA7"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c>
          <w:tcPr>
            <w:tcW w:w="1458" w:type="dxa"/>
          </w:tcPr>
          <w:p w14:paraId="404A4250"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c>
          <w:tcPr>
            <w:tcW w:w="1458" w:type="dxa"/>
          </w:tcPr>
          <w:p w14:paraId="7BDEDF6F"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c>
          <w:tcPr>
            <w:tcW w:w="1458" w:type="dxa"/>
          </w:tcPr>
          <w:p w14:paraId="302EA680"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r>
      <w:tr w:rsidR="00A76D85" w:rsidRPr="00F56726" w14:paraId="6524327A" w14:textId="77777777" w:rsidTr="00E256DD">
        <w:tc>
          <w:tcPr>
            <w:tcW w:w="2815" w:type="dxa"/>
          </w:tcPr>
          <w:p w14:paraId="56F58F73"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Age at diagnosis</w:t>
            </w:r>
          </w:p>
        </w:tc>
        <w:tc>
          <w:tcPr>
            <w:tcW w:w="1457" w:type="dxa"/>
          </w:tcPr>
          <w:p w14:paraId="258D01E0"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-0.00</w:t>
            </w:r>
          </w:p>
        </w:tc>
        <w:tc>
          <w:tcPr>
            <w:tcW w:w="1458" w:type="dxa"/>
          </w:tcPr>
          <w:p w14:paraId="2D8DB2B6"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0.99</w:t>
            </w:r>
          </w:p>
        </w:tc>
        <w:tc>
          <w:tcPr>
            <w:tcW w:w="1458" w:type="dxa"/>
          </w:tcPr>
          <w:p w14:paraId="300DBCC5"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0.05</w:t>
            </w:r>
          </w:p>
        </w:tc>
        <w:tc>
          <w:tcPr>
            <w:tcW w:w="1458" w:type="dxa"/>
          </w:tcPr>
          <w:p w14:paraId="1A0FA471"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0.23</w:t>
            </w:r>
          </w:p>
        </w:tc>
      </w:tr>
      <w:tr w:rsidR="00A76D85" w:rsidRPr="00F56726" w14:paraId="6A6C8316" w14:textId="77777777" w:rsidTr="00E256DD">
        <w:tc>
          <w:tcPr>
            <w:tcW w:w="2815" w:type="dxa"/>
          </w:tcPr>
          <w:p w14:paraId="38B171B3"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Lag total score</w:t>
            </w:r>
          </w:p>
        </w:tc>
        <w:tc>
          <w:tcPr>
            <w:tcW w:w="1457" w:type="dxa"/>
          </w:tcPr>
          <w:p w14:paraId="0A63B1C7"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c>
          <w:tcPr>
            <w:tcW w:w="1458" w:type="dxa"/>
          </w:tcPr>
          <w:p w14:paraId="2DA7D94A"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c>
          <w:tcPr>
            <w:tcW w:w="1458" w:type="dxa"/>
          </w:tcPr>
          <w:p w14:paraId="1B47B5FD" w14:textId="1B39A1C5"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0.42</w:t>
            </w:r>
            <w:r w:rsidR="00BA752A" w:rsidRPr="00BA752A">
              <w:rPr>
                <w:rFonts w:ascii="Book Antiqua" w:eastAsia="Times New Roman" w:hAnsi="Book Antiqua" w:cs="Arial"/>
                <w:color w:val="auto"/>
                <w:sz w:val="24"/>
                <w:szCs w:val="24"/>
                <w:vertAlign w:val="superscript"/>
              </w:rPr>
              <w:t>3</w:t>
            </w:r>
          </w:p>
        </w:tc>
        <w:tc>
          <w:tcPr>
            <w:tcW w:w="1458" w:type="dxa"/>
          </w:tcPr>
          <w:p w14:paraId="291D770A"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0.00</w:t>
            </w:r>
          </w:p>
        </w:tc>
      </w:tr>
      <w:tr w:rsidR="00A76D85" w:rsidRPr="00F56726" w14:paraId="4D1EB43A" w14:textId="77777777" w:rsidTr="00E256DD">
        <w:tc>
          <w:tcPr>
            <w:tcW w:w="2815" w:type="dxa"/>
          </w:tcPr>
          <w:p w14:paraId="5FEDD5A1"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Constant</w:t>
            </w:r>
          </w:p>
        </w:tc>
        <w:tc>
          <w:tcPr>
            <w:tcW w:w="1457" w:type="dxa"/>
          </w:tcPr>
          <w:p w14:paraId="42297E3E"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0.05</w:t>
            </w:r>
          </w:p>
        </w:tc>
        <w:tc>
          <w:tcPr>
            <w:tcW w:w="1458" w:type="dxa"/>
          </w:tcPr>
          <w:p w14:paraId="4CDCFAEC"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0.95</w:t>
            </w:r>
          </w:p>
        </w:tc>
        <w:tc>
          <w:tcPr>
            <w:tcW w:w="1458" w:type="dxa"/>
          </w:tcPr>
          <w:p w14:paraId="549306E0"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0.96</w:t>
            </w:r>
          </w:p>
        </w:tc>
        <w:tc>
          <w:tcPr>
            <w:tcW w:w="1458" w:type="dxa"/>
          </w:tcPr>
          <w:p w14:paraId="277BA2BB"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0.26</w:t>
            </w:r>
          </w:p>
        </w:tc>
      </w:tr>
      <w:tr w:rsidR="00A76D85" w:rsidRPr="00F56726" w14:paraId="62A28126" w14:textId="77777777" w:rsidTr="00E256DD">
        <w:tc>
          <w:tcPr>
            <w:tcW w:w="2815" w:type="dxa"/>
          </w:tcPr>
          <w:p w14:paraId="2DF4FC2C"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N</w:t>
            </w:r>
          </w:p>
        </w:tc>
        <w:tc>
          <w:tcPr>
            <w:tcW w:w="1457" w:type="dxa"/>
          </w:tcPr>
          <w:p w14:paraId="2A7AFB6D"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226</w:t>
            </w:r>
          </w:p>
        </w:tc>
        <w:tc>
          <w:tcPr>
            <w:tcW w:w="1458" w:type="dxa"/>
          </w:tcPr>
          <w:p w14:paraId="4B0C5D76"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c>
          <w:tcPr>
            <w:tcW w:w="1458" w:type="dxa"/>
          </w:tcPr>
          <w:p w14:paraId="346A620B"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82</w:t>
            </w:r>
          </w:p>
        </w:tc>
        <w:tc>
          <w:tcPr>
            <w:tcW w:w="1458" w:type="dxa"/>
          </w:tcPr>
          <w:p w14:paraId="7040023B"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r>
      <w:tr w:rsidR="00A76D85" w:rsidRPr="00F56726" w14:paraId="7447D216" w14:textId="77777777" w:rsidTr="00E256DD">
        <w:tc>
          <w:tcPr>
            <w:tcW w:w="2815" w:type="dxa"/>
          </w:tcPr>
          <w:p w14:paraId="0F41886B" w14:textId="77777777" w:rsidR="00112D07" w:rsidRPr="00F56726" w:rsidRDefault="00A603C0" w:rsidP="00BA71F1">
            <w:pPr>
              <w:adjustRightInd w:val="0"/>
              <w:snapToGrid w:val="0"/>
              <w:spacing w:line="360" w:lineRule="auto"/>
              <w:contextualSpacing w:val="0"/>
              <w:rPr>
                <w:rFonts w:ascii="Book Antiqua" w:hAnsi="Book Antiqua" w:cs="Arial"/>
                <w:color w:val="auto"/>
                <w:sz w:val="24"/>
                <w:szCs w:val="24"/>
              </w:rPr>
            </w:pPr>
            <w:r w:rsidRPr="00F56726">
              <w:rPr>
                <w:rFonts w:ascii="Book Antiqua" w:eastAsia="Times New Roman" w:hAnsi="Book Antiqua" w:cs="Arial"/>
                <w:color w:val="auto"/>
                <w:sz w:val="24"/>
                <w:szCs w:val="24"/>
              </w:rPr>
              <w:t>R square</w:t>
            </w:r>
          </w:p>
        </w:tc>
        <w:tc>
          <w:tcPr>
            <w:tcW w:w="1457" w:type="dxa"/>
          </w:tcPr>
          <w:p w14:paraId="601B1CC7"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0.32</w:t>
            </w:r>
          </w:p>
        </w:tc>
        <w:tc>
          <w:tcPr>
            <w:tcW w:w="1458" w:type="dxa"/>
          </w:tcPr>
          <w:p w14:paraId="0B2BE912"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c>
          <w:tcPr>
            <w:tcW w:w="1458" w:type="dxa"/>
          </w:tcPr>
          <w:p w14:paraId="2E9904CC" w14:textId="77777777" w:rsidR="00112D07" w:rsidRPr="00F56726" w:rsidRDefault="00A603C0" w:rsidP="00BA71F1">
            <w:pPr>
              <w:adjustRightInd w:val="0"/>
              <w:snapToGrid w:val="0"/>
              <w:spacing w:line="360" w:lineRule="auto"/>
              <w:contextualSpacing w:val="0"/>
              <w:jc w:val="center"/>
              <w:rPr>
                <w:rFonts w:ascii="Book Antiqua" w:hAnsi="Book Antiqua" w:cs="Arial"/>
                <w:color w:val="auto"/>
                <w:sz w:val="24"/>
                <w:szCs w:val="24"/>
              </w:rPr>
            </w:pPr>
            <w:r w:rsidRPr="00F56726">
              <w:rPr>
                <w:rFonts w:ascii="Book Antiqua" w:eastAsia="Times New Roman" w:hAnsi="Book Antiqua" w:cs="Arial"/>
                <w:color w:val="auto"/>
                <w:sz w:val="24"/>
                <w:szCs w:val="24"/>
              </w:rPr>
              <w:t>0.52</w:t>
            </w:r>
          </w:p>
        </w:tc>
        <w:tc>
          <w:tcPr>
            <w:tcW w:w="1458" w:type="dxa"/>
          </w:tcPr>
          <w:p w14:paraId="3F59D4DC" w14:textId="77777777" w:rsidR="00112D07" w:rsidRPr="00F56726" w:rsidRDefault="00112D07" w:rsidP="00BA71F1">
            <w:pPr>
              <w:adjustRightInd w:val="0"/>
              <w:snapToGrid w:val="0"/>
              <w:spacing w:line="360" w:lineRule="auto"/>
              <w:contextualSpacing w:val="0"/>
              <w:jc w:val="center"/>
              <w:rPr>
                <w:rFonts w:ascii="Book Antiqua" w:hAnsi="Book Antiqua" w:cs="Arial"/>
                <w:color w:val="auto"/>
                <w:sz w:val="24"/>
                <w:szCs w:val="24"/>
              </w:rPr>
            </w:pPr>
          </w:p>
        </w:tc>
      </w:tr>
    </w:tbl>
    <w:p w14:paraId="025391DA" w14:textId="5DC04933" w:rsidR="00BA71F1" w:rsidRPr="00BA752A" w:rsidRDefault="00BB7D6C" w:rsidP="00A76D85">
      <w:pPr>
        <w:adjustRightInd w:val="0"/>
        <w:snapToGrid w:val="0"/>
        <w:spacing w:line="360" w:lineRule="auto"/>
        <w:jc w:val="both"/>
        <w:rPr>
          <w:rFonts w:ascii="Book Antiqua" w:eastAsia="Times New Roman" w:hAnsi="Book Antiqua" w:cs="Arial"/>
          <w:color w:val="auto"/>
        </w:rPr>
      </w:pPr>
      <w:r w:rsidRPr="00F56726">
        <w:rPr>
          <w:rFonts w:ascii="Book Antiqua" w:eastAsia="Times New Roman" w:hAnsi="Book Antiqua" w:cs="Arial"/>
          <w:color w:val="auto"/>
        </w:rPr>
        <w:t>Column 2-3 report</w:t>
      </w:r>
      <w:r w:rsidR="00D11A2D" w:rsidRPr="00F56726">
        <w:rPr>
          <w:rFonts w:ascii="Book Antiqua" w:eastAsia="Times New Roman" w:hAnsi="Book Antiqua" w:cs="Arial"/>
          <w:color w:val="auto"/>
        </w:rPr>
        <w:t>ed</w:t>
      </w:r>
      <w:r w:rsidRPr="00F56726">
        <w:rPr>
          <w:rFonts w:ascii="Book Antiqua" w:eastAsia="Times New Roman" w:hAnsi="Book Antiqua" w:cs="Arial"/>
          <w:color w:val="auto"/>
        </w:rPr>
        <w:t xml:space="preserve"> results from the first regression, where Sample 2</w:t>
      </w:r>
      <w:r w:rsidR="00D11A2D" w:rsidRPr="00F56726">
        <w:rPr>
          <w:rFonts w:ascii="Book Antiqua" w:eastAsia="Times New Roman" w:hAnsi="Book Antiqua" w:cs="Arial"/>
          <w:color w:val="auto"/>
        </w:rPr>
        <w:t xml:space="preserve"> was used for the estimation. "Level effect" meant that t</w:t>
      </w:r>
      <w:r w:rsidRPr="00F56726">
        <w:rPr>
          <w:rFonts w:ascii="Book Antiqua" w:eastAsia="Times New Roman" w:hAnsi="Book Antiqua" w:cs="Arial"/>
          <w:color w:val="auto"/>
        </w:rPr>
        <w:t xml:space="preserve">he estimated coefficients reflect the marginal effects of the explanatory variables on the levels of </w:t>
      </w:r>
      <w:r w:rsidR="00D11A2D" w:rsidRPr="00F56726">
        <w:rPr>
          <w:rFonts w:ascii="Book Antiqua" w:eastAsia="Times New Roman" w:hAnsi="Book Antiqua" w:cs="Arial"/>
          <w:color w:val="auto"/>
        </w:rPr>
        <w:t xml:space="preserve">total </w:t>
      </w:r>
      <w:r w:rsidRPr="00F56726">
        <w:rPr>
          <w:rFonts w:ascii="Book Antiqua" w:eastAsia="Times New Roman" w:hAnsi="Book Antiqua" w:cs="Arial"/>
          <w:color w:val="auto"/>
        </w:rPr>
        <w:t xml:space="preserve">transition scores. </w:t>
      </w:r>
      <w:r w:rsidR="00D11A2D" w:rsidRPr="00F56726">
        <w:rPr>
          <w:rFonts w:ascii="Book Antiqua" w:eastAsia="Times New Roman" w:hAnsi="Book Antiqua" w:cs="Arial"/>
          <w:color w:val="auto"/>
        </w:rPr>
        <w:t>Column 4-5 showed results from t</w:t>
      </w:r>
      <w:r w:rsidRPr="00F56726">
        <w:rPr>
          <w:rFonts w:ascii="Book Antiqua" w:eastAsia="Times New Roman" w:hAnsi="Book Antiqua" w:cs="Arial"/>
          <w:color w:val="auto"/>
        </w:rPr>
        <w:t>he second regression</w:t>
      </w:r>
      <w:r w:rsidR="00D11A2D" w:rsidRPr="00F56726">
        <w:rPr>
          <w:rFonts w:ascii="Book Antiqua" w:eastAsia="Times New Roman" w:hAnsi="Book Antiqua" w:cs="Arial"/>
          <w:color w:val="auto"/>
        </w:rPr>
        <w:t>, where we</w:t>
      </w:r>
      <w:r w:rsidRPr="00F56726">
        <w:rPr>
          <w:rFonts w:ascii="Book Antiqua" w:eastAsia="Times New Roman" w:hAnsi="Book Antiqua" w:cs="Arial"/>
          <w:color w:val="auto"/>
        </w:rPr>
        <w:t xml:space="preserve"> included the lagged transition score as an additional independent variable</w:t>
      </w:r>
      <w:r w:rsidR="00D11A2D" w:rsidRPr="00F56726">
        <w:rPr>
          <w:rFonts w:ascii="Book Antiqua" w:eastAsia="Times New Roman" w:hAnsi="Book Antiqua" w:cs="Arial"/>
          <w:color w:val="auto"/>
        </w:rPr>
        <w:t xml:space="preserve"> and Sample 3 was used for estimation</w:t>
      </w:r>
      <w:r w:rsidRPr="00F56726">
        <w:rPr>
          <w:rFonts w:ascii="Book Antiqua" w:eastAsia="Times New Roman" w:hAnsi="Book Antiqua" w:cs="Arial"/>
          <w:color w:val="auto"/>
        </w:rPr>
        <w:t xml:space="preserve">. </w:t>
      </w:r>
      <w:r w:rsidR="00D11A2D" w:rsidRPr="00F56726">
        <w:rPr>
          <w:rFonts w:ascii="Book Antiqua" w:eastAsia="Times New Roman" w:hAnsi="Book Antiqua" w:cs="Arial"/>
          <w:color w:val="auto"/>
        </w:rPr>
        <w:t>"Growth effect" meant that c</w:t>
      </w:r>
      <w:r w:rsidRPr="00F56726">
        <w:rPr>
          <w:rFonts w:ascii="Book Antiqua" w:eastAsia="Times New Roman" w:hAnsi="Book Antiqua" w:cs="Arial"/>
          <w:color w:val="auto"/>
        </w:rPr>
        <w:t>onditional on the lagged transition score, the coefficients in the regression reflect the marginal effects of the explanatory variables on the growth in transition score between two scores. We estimated robust standard errors clustered at the patient level</w:t>
      </w:r>
      <w:r w:rsidR="00BA752A">
        <w:rPr>
          <w:rFonts w:ascii="Book Antiqua" w:eastAsia="Times New Roman" w:hAnsi="Book Antiqua" w:cs="Arial"/>
          <w:color w:val="auto"/>
        </w:rPr>
        <w:t xml:space="preserve"> for both regressions. </w:t>
      </w:r>
      <w:r w:rsidR="00BA752A" w:rsidRPr="00BA752A">
        <w:rPr>
          <w:rFonts w:ascii="Book Antiqua" w:eastAsia="Times New Roman" w:hAnsi="Book Antiqua" w:cs="Arial"/>
          <w:color w:val="auto"/>
          <w:vertAlign w:val="superscript"/>
        </w:rPr>
        <w:t>1</w:t>
      </w:r>
      <w:r w:rsidR="00A603C0" w:rsidRPr="00F56726">
        <w:rPr>
          <w:rFonts w:ascii="Book Antiqua" w:eastAsia="Times New Roman" w:hAnsi="Book Antiqua" w:cs="Arial"/>
          <w:color w:val="auto"/>
        </w:rPr>
        <w:t xml:space="preserve">Significance at 10%; </w:t>
      </w:r>
      <w:r w:rsidR="00BA752A" w:rsidRPr="00BA752A">
        <w:rPr>
          <w:rFonts w:ascii="Book Antiqua" w:eastAsia="Times New Roman" w:hAnsi="Book Antiqua" w:cs="Arial"/>
          <w:color w:val="auto"/>
          <w:vertAlign w:val="superscript"/>
        </w:rPr>
        <w:t>2</w:t>
      </w:r>
      <w:r w:rsidR="00A603C0" w:rsidRPr="00F56726">
        <w:rPr>
          <w:rFonts w:ascii="Book Antiqua" w:eastAsia="Times New Roman" w:hAnsi="Book Antiqua" w:cs="Arial"/>
          <w:color w:val="auto"/>
        </w:rPr>
        <w:t xml:space="preserve">Significance at 5%; </w:t>
      </w:r>
      <w:r w:rsidR="00BA752A" w:rsidRPr="00BA752A">
        <w:rPr>
          <w:rFonts w:ascii="Book Antiqua" w:eastAsia="Times New Roman" w:hAnsi="Book Antiqua" w:cs="Arial"/>
          <w:color w:val="auto"/>
          <w:vertAlign w:val="superscript"/>
        </w:rPr>
        <w:t>3</w:t>
      </w:r>
      <w:r w:rsidR="00A603C0" w:rsidRPr="00F56726">
        <w:rPr>
          <w:rFonts w:ascii="Book Antiqua" w:eastAsia="Times New Roman" w:hAnsi="Book Antiqua" w:cs="Arial"/>
          <w:color w:val="auto"/>
        </w:rPr>
        <w:t>Significance at 1%</w:t>
      </w:r>
      <w:r w:rsidR="00BA752A">
        <w:rPr>
          <w:rFonts w:ascii="Book Antiqua" w:hAnsi="Book Antiqua" w:cs="Arial" w:hint="eastAsia"/>
          <w:color w:val="auto"/>
          <w:lang w:eastAsia="zh-CN"/>
        </w:rPr>
        <w:t>.</w:t>
      </w:r>
    </w:p>
    <w:p w14:paraId="59BDAE6B" w14:textId="77777777" w:rsidR="00BA71F1" w:rsidRDefault="00BA71F1">
      <w:pPr>
        <w:rPr>
          <w:rFonts w:ascii="Book Antiqua" w:eastAsia="Times New Roman" w:hAnsi="Book Antiqua" w:cs="Arial"/>
          <w:color w:val="auto"/>
        </w:rPr>
      </w:pPr>
      <w:r>
        <w:rPr>
          <w:rFonts w:ascii="Book Antiqua" w:eastAsia="Times New Roman" w:hAnsi="Book Antiqua" w:cs="Arial"/>
          <w:color w:val="auto"/>
        </w:rPr>
        <w:br w:type="page"/>
      </w:r>
    </w:p>
    <w:p w14:paraId="34C8A24A" w14:textId="77777777" w:rsidR="00BA71F1" w:rsidRPr="00BA71F1" w:rsidRDefault="00BA71F1" w:rsidP="00BA71F1">
      <w:pPr>
        <w:adjustRightInd w:val="0"/>
        <w:snapToGrid w:val="0"/>
        <w:spacing w:line="360" w:lineRule="auto"/>
        <w:jc w:val="both"/>
        <w:rPr>
          <w:rFonts w:ascii="Book Antiqua" w:hAnsi="Book Antiqua" w:cs="Arial"/>
          <w:color w:val="auto"/>
        </w:rPr>
      </w:pPr>
      <w:r w:rsidRPr="00BA71F1">
        <w:rPr>
          <w:rFonts w:ascii="Book Antiqua" w:hAnsi="Book Antiqua" w:cs="Arial"/>
          <w:noProof/>
          <w:color w:val="auto"/>
          <w:lang w:eastAsia="zh-CN"/>
        </w:rPr>
        <w:lastRenderedPageBreak/>
        <w:drawing>
          <wp:inline distT="0" distB="0" distL="0" distR="0" wp14:anchorId="1006CDCC" wp14:editId="7011C793">
            <wp:extent cx="5886450" cy="4148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3259" cy="4167172"/>
                    </a:xfrm>
                    <a:prstGeom prst="rect">
                      <a:avLst/>
                    </a:prstGeom>
                    <a:noFill/>
                    <a:ln>
                      <a:noFill/>
                    </a:ln>
                  </pic:spPr>
                </pic:pic>
              </a:graphicData>
            </a:graphic>
          </wp:inline>
        </w:drawing>
      </w:r>
    </w:p>
    <w:p w14:paraId="0F5A4700" w14:textId="45F08599" w:rsidR="00AD1C4F" w:rsidRPr="00F56726" w:rsidRDefault="00BA752A" w:rsidP="00A76D85">
      <w:pPr>
        <w:adjustRightInd w:val="0"/>
        <w:snapToGrid w:val="0"/>
        <w:spacing w:line="360" w:lineRule="auto"/>
        <w:jc w:val="both"/>
        <w:rPr>
          <w:rFonts w:ascii="Book Antiqua" w:eastAsia="Arial" w:hAnsi="Book Antiqua" w:cs="Arial"/>
          <w:b/>
          <w:color w:val="auto"/>
        </w:rPr>
      </w:pPr>
      <w:r w:rsidRPr="00994BCD">
        <w:rPr>
          <w:rFonts w:ascii="Book Antiqua" w:hAnsi="Book Antiqua" w:cs="Arial" w:hint="eastAsia"/>
          <w:b/>
          <w:color w:val="auto"/>
          <w:lang w:eastAsia="zh-CN"/>
        </w:rPr>
        <w:t xml:space="preserve">Figure 1 TRxANSITION </w:t>
      </w:r>
      <w:r w:rsidR="00994BCD" w:rsidRPr="00994BCD">
        <w:rPr>
          <w:rFonts w:ascii="Book Antiqua" w:hAnsi="Book Antiqua" w:cs="Arial" w:hint="eastAsia"/>
          <w:b/>
          <w:color w:val="auto"/>
          <w:lang w:eastAsia="zh-CN"/>
        </w:rPr>
        <w:t xml:space="preserve">score among patients with inflammatory bowel </w:t>
      </w:r>
      <w:r w:rsidR="00994BCD" w:rsidRPr="00994BCD">
        <w:rPr>
          <w:rFonts w:ascii="Book Antiqua" w:hAnsi="Book Antiqua" w:cs="Arial"/>
          <w:b/>
          <w:color w:val="auto"/>
          <w:lang w:eastAsia="zh-CN"/>
        </w:rPr>
        <w:t>disease in pediatric setting.</w:t>
      </w:r>
    </w:p>
    <w:sectPr w:rsidR="00AD1C4F" w:rsidRPr="00F56726" w:rsidSect="00661F76">
      <w:headerReference w:type="default" r:id="rId1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C9879" w14:textId="77777777" w:rsidR="002C71D7" w:rsidRDefault="002C71D7">
      <w:r>
        <w:separator/>
      </w:r>
    </w:p>
  </w:endnote>
  <w:endnote w:type="continuationSeparator" w:id="0">
    <w:p w14:paraId="16BAF418" w14:textId="77777777" w:rsidR="002C71D7" w:rsidRDefault="002C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0052" w14:textId="77777777" w:rsidR="002C71D7" w:rsidRDefault="002C71D7">
      <w:r>
        <w:separator/>
      </w:r>
    </w:p>
  </w:footnote>
  <w:footnote w:type="continuationSeparator" w:id="0">
    <w:p w14:paraId="32BF64A7" w14:textId="77777777" w:rsidR="002C71D7" w:rsidRDefault="002C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B1C7" w14:textId="36127AD7" w:rsidR="0024304F" w:rsidRDefault="0024304F">
    <w:pPr>
      <w:tabs>
        <w:tab w:val="center" w:pos="4680"/>
        <w:tab w:val="right" w:pos="9360"/>
      </w:tabs>
      <w:spacing w:before="709"/>
      <w:jc w:val="right"/>
    </w:pPr>
    <w:r>
      <w:fldChar w:fldCharType="begin"/>
    </w:r>
    <w:r>
      <w:instrText>PAGE</w:instrText>
    </w:r>
    <w:r>
      <w:fldChar w:fldCharType="separate"/>
    </w:r>
    <w:r w:rsidR="008A7BDF">
      <w:rPr>
        <w:noProof/>
      </w:rPr>
      <w:t>22</w:t>
    </w:r>
    <w:r>
      <w:fldChar w:fldCharType="end"/>
    </w:r>
  </w:p>
  <w:p w14:paraId="365F0C51" w14:textId="77777777" w:rsidR="0024304F" w:rsidRDefault="0024304F">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112D07"/>
    <w:rsid w:val="0000111E"/>
    <w:rsid w:val="000107A7"/>
    <w:rsid w:val="0001151F"/>
    <w:rsid w:val="00015BBC"/>
    <w:rsid w:val="00017E4E"/>
    <w:rsid w:val="00021E93"/>
    <w:rsid w:val="000232D9"/>
    <w:rsid w:val="00033521"/>
    <w:rsid w:val="00043159"/>
    <w:rsid w:val="00054E43"/>
    <w:rsid w:val="000638A5"/>
    <w:rsid w:val="0006540F"/>
    <w:rsid w:val="00071BC2"/>
    <w:rsid w:val="000759BF"/>
    <w:rsid w:val="000A5FD8"/>
    <w:rsid w:val="000E2DFE"/>
    <w:rsid w:val="00112D07"/>
    <w:rsid w:val="00121A7D"/>
    <w:rsid w:val="00132C54"/>
    <w:rsid w:val="00142D0F"/>
    <w:rsid w:val="001471C5"/>
    <w:rsid w:val="001550EA"/>
    <w:rsid w:val="0016446B"/>
    <w:rsid w:val="001B15AA"/>
    <w:rsid w:val="001C6ECB"/>
    <w:rsid w:val="001F6367"/>
    <w:rsid w:val="002005B0"/>
    <w:rsid w:val="002112DB"/>
    <w:rsid w:val="00212CF9"/>
    <w:rsid w:val="00216324"/>
    <w:rsid w:val="0024304F"/>
    <w:rsid w:val="00270DCC"/>
    <w:rsid w:val="00277E58"/>
    <w:rsid w:val="002805EC"/>
    <w:rsid w:val="002847C6"/>
    <w:rsid w:val="00285C00"/>
    <w:rsid w:val="0028676C"/>
    <w:rsid w:val="002869A3"/>
    <w:rsid w:val="002C3C42"/>
    <w:rsid w:val="002C71D7"/>
    <w:rsid w:val="002D1107"/>
    <w:rsid w:val="002D2395"/>
    <w:rsid w:val="002E7D1E"/>
    <w:rsid w:val="00305FBF"/>
    <w:rsid w:val="003229ED"/>
    <w:rsid w:val="0033210E"/>
    <w:rsid w:val="00341B0A"/>
    <w:rsid w:val="00360C44"/>
    <w:rsid w:val="0036367B"/>
    <w:rsid w:val="0038035A"/>
    <w:rsid w:val="003860D1"/>
    <w:rsid w:val="0039607A"/>
    <w:rsid w:val="003A0EBA"/>
    <w:rsid w:val="003C4696"/>
    <w:rsid w:val="003D5E14"/>
    <w:rsid w:val="003F6690"/>
    <w:rsid w:val="00411D15"/>
    <w:rsid w:val="0043280D"/>
    <w:rsid w:val="00434EDF"/>
    <w:rsid w:val="004415C9"/>
    <w:rsid w:val="00451FEA"/>
    <w:rsid w:val="0046605A"/>
    <w:rsid w:val="004707FE"/>
    <w:rsid w:val="004D6D00"/>
    <w:rsid w:val="004E4BCC"/>
    <w:rsid w:val="004E667A"/>
    <w:rsid w:val="004F5FD9"/>
    <w:rsid w:val="0050359E"/>
    <w:rsid w:val="00515BC0"/>
    <w:rsid w:val="00517715"/>
    <w:rsid w:val="00530B98"/>
    <w:rsid w:val="00532594"/>
    <w:rsid w:val="00532A9A"/>
    <w:rsid w:val="0053320B"/>
    <w:rsid w:val="005345FD"/>
    <w:rsid w:val="0053574D"/>
    <w:rsid w:val="00540385"/>
    <w:rsid w:val="00541952"/>
    <w:rsid w:val="00550C25"/>
    <w:rsid w:val="00555DA9"/>
    <w:rsid w:val="00580A4C"/>
    <w:rsid w:val="0059598A"/>
    <w:rsid w:val="00597270"/>
    <w:rsid w:val="005A0DF5"/>
    <w:rsid w:val="005D0CE8"/>
    <w:rsid w:val="005E120A"/>
    <w:rsid w:val="005E4580"/>
    <w:rsid w:val="005F7408"/>
    <w:rsid w:val="0060091C"/>
    <w:rsid w:val="006149EF"/>
    <w:rsid w:val="00642DD6"/>
    <w:rsid w:val="00650FD9"/>
    <w:rsid w:val="00661F76"/>
    <w:rsid w:val="00686B34"/>
    <w:rsid w:val="00691928"/>
    <w:rsid w:val="00693E8D"/>
    <w:rsid w:val="0069759A"/>
    <w:rsid w:val="006D432C"/>
    <w:rsid w:val="006E3C4C"/>
    <w:rsid w:val="00726ED0"/>
    <w:rsid w:val="00740A34"/>
    <w:rsid w:val="007475EB"/>
    <w:rsid w:val="00750386"/>
    <w:rsid w:val="00756DF2"/>
    <w:rsid w:val="00763104"/>
    <w:rsid w:val="00777F60"/>
    <w:rsid w:val="0078768E"/>
    <w:rsid w:val="00790BF5"/>
    <w:rsid w:val="007D30D8"/>
    <w:rsid w:val="0081685B"/>
    <w:rsid w:val="00820F03"/>
    <w:rsid w:val="00833460"/>
    <w:rsid w:val="00856E37"/>
    <w:rsid w:val="0086763A"/>
    <w:rsid w:val="008816C0"/>
    <w:rsid w:val="00891F69"/>
    <w:rsid w:val="00894040"/>
    <w:rsid w:val="008A7BDF"/>
    <w:rsid w:val="008C1B2F"/>
    <w:rsid w:val="008C2348"/>
    <w:rsid w:val="008D564A"/>
    <w:rsid w:val="00915D54"/>
    <w:rsid w:val="00920900"/>
    <w:rsid w:val="00933902"/>
    <w:rsid w:val="00934B18"/>
    <w:rsid w:val="00937598"/>
    <w:rsid w:val="00943E30"/>
    <w:rsid w:val="0094645B"/>
    <w:rsid w:val="00954759"/>
    <w:rsid w:val="00964D2B"/>
    <w:rsid w:val="00966EBF"/>
    <w:rsid w:val="0097419C"/>
    <w:rsid w:val="00994BCD"/>
    <w:rsid w:val="00997899"/>
    <w:rsid w:val="009A4395"/>
    <w:rsid w:val="009B298E"/>
    <w:rsid w:val="009B303A"/>
    <w:rsid w:val="009C58B4"/>
    <w:rsid w:val="009D47E2"/>
    <w:rsid w:val="009E7E9B"/>
    <w:rsid w:val="00A121DE"/>
    <w:rsid w:val="00A127FD"/>
    <w:rsid w:val="00A603C0"/>
    <w:rsid w:val="00A76D85"/>
    <w:rsid w:val="00AC73D5"/>
    <w:rsid w:val="00AD1C4F"/>
    <w:rsid w:val="00AF08E3"/>
    <w:rsid w:val="00B05184"/>
    <w:rsid w:val="00B10866"/>
    <w:rsid w:val="00B2512C"/>
    <w:rsid w:val="00B54589"/>
    <w:rsid w:val="00B61B60"/>
    <w:rsid w:val="00B768B8"/>
    <w:rsid w:val="00B81DE7"/>
    <w:rsid w:val="00B86007"/>
    <w:rsid w:val="00BA71F1"/>
    <w:rsid w:val="00BA752A"/>
    <w:rsid w:val="00BB7D6C"/>
    <w:rsid w:val="00BC5231"/>
    <w:rsid w:val="00BC64E1"/>
    <w:rsid w:val="00BC6D95"/>
    <w:rsid w:val="00BD0629"/>
    <w:rsid w:val="00BF7F80"/>
    <w:rsid w:val="00C16CBE"/>
    <w:rsid w:val="00C226E0"/>
    <w:rsid w:val="00C4466F"/>
    <w:rsid w:val="00C475ED"/>
    <w:rsid w:val="00C63827"/>
    <w:rsid w:val="00C63843"/>
    <w:rsid w:val="00C64C83"/>
    <w:rsid w:val="00C96B87"/>
    <w:rsid w:val="00C97275"/>
    <w:rsid w:val="00CA05BB"/>
    <w:rsid w:val="00CA4762"/>
    <w:rsid w:val="00CC429D"/>
    <w:rsid w:val="00CD29FF"/>
    <w:rsid w:val="00CD6398"/>
    <w:rsid w:val="00D10400"/>
    <w:rsid w:val="00D11A2D"/>
    <w:rsid w:val="00D3259F"/>
    <w:rsid w:val="00D35830"/>
    <w:rsid w:val="00D66F25"/>
    <w:rsid w:val="00D72031"/>
    <w:rsid w:val="00D85B7F"/>
    <w:rsid w:val="00DA0D87"/>
    <w:rsid w:val="00DC129C"/>
    <w:rsid w:val="00DC2BE4"/>
    <w:rsid w:val="00DD4A52"/>
    <w:rsid w:val="00DD6EFF"/>
    <w:rsid w:val="00DE5452"/>
    <w:rsid w:val="00E00937"/>
    <w:rsid w:val="00E043E7"/>
    <w:rsid w:val="00E172FC"/>
    <w:rsid w:val="00E229D3"/>
    <w:rsid w:val="00E256DD"/>
    <w:rsid w:val="00E6066F"/>
    <w:rsid w:val="00E67442"/>
    <w:rsid w:val="00E71F28"/>
    <w:rsid w:val="00E72F16"/>
    <w:rsid w:val="00E7773A"/>
    <w:rsid w:val="00E9199A"/>
    <w:rsid w:val="00EC634E"/>
    <w:rsid w:val="00EC73DB"/>
    <w:rsid w:val="00EE408B"/>
    <w:rsid w:val="00EF3255"/>
    <w:rsid w:val="00EF669C"/>
    <w:rsid w:val="00F05384"/>
    <w:rsid w:val="00F07741"/>
    <w:rsid w:val="00F12420"/>
    <w:rsid w:val="00F13C99"/>
    <w:rsid w:val="00F56726"/>
    <w:rsid w:val="00FB45EE"/>
    <w:rsid w:val="00FB51F2"/>
    <w:rsid w:val="00FC551E"/>
    <w:rsid w:val="00FC7448"/>
    <w:rsid w:val="00FD7E70"/>
    <w:rsid w:val="00FE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49FDD"/>
  <w15:docId w15:val="{30F74816-EB22-4C38-BAA2-E63FDEEF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table" w:customStyle="1" w:styleId="a0">
    <w:basedOn w:val="TableNormal"/>
    <w:pPr>
      <w:contextualSpacing/>
    </w:pPr>
    <w:rPr>
      <w:sz w:val="22"/>
      <w:szCs w:val="22"/>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contextualSpacing/>
    </w:pPr>
    <w:rPr>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15BC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15BC0"/>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3D5E14"/>
    <w:rPr>
      <w:b/>
      <w:bCs/>
      <w:sz w:val="20"/>
      <w:szCs w:val="20"/>
    </w:rPr>
  </w:style>
  <w:style w:type="character" w:customStyle="1" w:styleId="CommentSubjectChar">
    <w:name w:val="Comment Subject Char"/>
    <w:basedOn w:val="CommentTextChar"/>
    <w:link w:val="CommentSubject"/>
    <w:uiPriority w:val="99"/>
    <w:semiHidden/>
    <w:rsid w:val="003D5E14"/>
    <w:rPr>
      <w:b/>
      <w:bCs/>
      <w:sz w:val="20"/>
      <w:szCs w:val="20"/>
    </w:rPr>
  </w:style>
  <w:style w:type="paragraph" w:styleId="Bibliography">
    <w:name w:val="Bibliography"/>
    <w:basedOn w:val="Normal"/>
    <w:next w:val="Normal"/>
    <w:uiPriority w:val="37"/>
    <w:unhideWhenUsed/>
    <w:rsid w:val="00270DCC"/>
    <w:pPr>
      <w:tabs>
        <w:tab w:val="left" w:pos="500"/>
      </w:tabs>
      <w:spacing w:after="240"/>
      <w:ind w:left="504" w:hanging="504"/>
    </w:pPr>
  </w:style>
  <w:style w:type="paragraph" w:customStyle="1" w:styleId="p1">
    <w:name w:val="p1"/>
    <w:basedOn w:val="Normal"/>
    <w:rsid w:val="00937598"/>
    <w:rPr>
      <w:rFonts w:ascii="Book Antiqua" w:hAnsi="Book Antiqua" w:cs="Times New Roman"/>
      <w:color w:val="auto"/>
      <w:sz w:val="17"/>
      <w:szCs w:val="17"/>
    </w:rPr>
  </w:style>
  <w:style w:type="character" w:customStyle="1" w:styleId="apple-converted-space">
    <w:name w:val="apple-converted-space"/>
    <w:basedOn w:val="DefaultParagraphFont"/>
    <w:rsid w:val="00A121DE"/>
  </w:style>
  <w:style w:type="paragraph" w:styleId="Revision">
    <w:name w:val="Revision"/>
    <w:hidden/>
    <w:uiPriority w:val="99"/>
    <w:semiHidden/>
    <w:rsid w:val="00B05184"/>
  </w:style>
  <w:style w:type="paragraph" w:styleId="Header">
    <w:name w:val="header"/>
    <w:basedOn w:val="Normal"/>
    <w:link w:val="HeaderChar"/>
    <w:uiPriority w:val="99"/>
    <w:unhideWhenUsed/>
    <w:rsid w:val="00C64C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64C83"/>
    <w:rPr>
      <w:sz w:val="18"/>
      <w:szCs w:val="18"/>
    </w:rPr>
  </w:style>
  <w:style w:type="paragraph" w:styleId="Footer">
    <w:name w:val="footer"/>
    <w:basedOn w:val="Normal"/>
    <w:link w:val="FooterChar"/>
    <w:uiPriority w:val="99"/>
    <w:unhideWhenUsed/>
    <w:rsid w:val="00C64C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64C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566">
      <w:bodyDiv w:val="1"/>
      <w:marLeft w:val="0"/>
      <w:marRight w:val="0"/>
      <w:marTop w:val="0"/>
      <w:marBottom w:val="0"/>
      <w:divBdr>
        <w:top w:val="none" w:sz="0" w:space="0" w:color="auto"/>
        <w:left w:val="none" w:sz="0" w:space="0" w:color="auto"/>
        <w:bottom w:val="none" w:sz="0" w:space="0" w:color="auto"/>
        <w:right w:val="none" w:sz="0" w:space="0" w:color="auto"/>
      </w:divBdr>
    </w:div>
    <w:div w:id="495457293">
      <w:bodyDiv w:val="1"/>
      <w:marLeft w:val="0"/>
      <w:marRight w:val="0"/>
      <w:marTop w:val="0"/>
      <w:marBottom w:val="0"/>
      <w:divBdr>
        <w:top w:val="none" w:sz="0" w:space="0" w:color="auto"/>
        <w:left w:val="none" w:sz="0" w:space="0" w:color="auto"/>
        <w:bottom w:val="none" w:sz="0" w:space="0" w:color="auto"/>
        <w:right w:val="none" w:sz="0" w:space="0" w:color="auto"/>
      </w:divBdr>
    </w:div>
    <w:div w:id="554238193">
      <w:bodyDiv w:val="1"/>
      <w:marLeft w:val="0"/>
      <w:marRight w:val="0"/>
      <w:marTop w:val="0"/>
      <w:marBottom w:val="0"/>
      <w:divBdr>
        <w:top w:val="none" w:sz="0" w:space="0" w:color="auto"/>
        <w:left w:val="none" w:sz="0" w:space="0" w:color="auto"/>
        <w:bottom w:val="none" w:sz="0" w:space="0" w:color="auto"/>
        <w:right w:val="none" w:sz="0" w:space="0" w:color="auto"/>
      </w:divBdr>
    </w:div>
    <w:div w:id="821969707">
      <w:bodyDiv w:val="1"/>
      <w:marLeft w:val="0"/>
      <w:marRight w:val="0"/>
      <w:marTop w:val="0"/>
      <w:marBottom w:val="0"/>
      <w:divBdr>
        <w:top w:val="none" w:sz="0" w:space="0" w:color="auto"/>
        <w:left w:val="none" w:sz="0" w:space="0" w:color="auto"/>
        <w:bottom w:val="none" w:sz="0" w:space="0" w:color="auto"/>
        <w:right w:val="none" w:sz="0" w:space="0" w:color="auto"/>
      </w:divBdr>
    </w:div>
    <w:div w:id="1025059920">
      <w:bodyDiv w:val="1"/>
      <w:marLeft w:val="0"/>
      <w:marRight w:val="0"/>
      <w:marTop w:val="0"/>
      <w:marBottom w:val="0"/>
      <w:divBdr>
        <w:top w:val="none" w:sz="0" w:space="0" w:color="auto"/>
        <w:left w:val="none" w:sz="0" w:space="0" w:color="auto"/>
        <w:bottom w:val="none" w:sz="0" w:space="0" w:color="auto"/>
        <w:right w:val="none" w:sz="0" w:space="0" w:color="auto"/>
      </w:divBdr>
    </w:div>
    <w:div w:id="1174877030">
      <w:bodyDiv w:val="1"/>
      <w:marLeft w:val="0"/>
      <w:marRight w:val="0"/>
      <w:marTop w:val="0"/>
      <w:marBottom w:val="0"/>
      <w:divBdr>
        <w:top w:val="none" w:sz="0" w:space="0" w:color="auto"/>
        <w:left w:val="none" w:sz="0" w:space="0" w:color="auto"/>
        <w:bottom w:val="none" w:sz="0" w:space="0" w:color="auto"/>
        <w:right w:val="none" w:sz="0" w:space="0" w:color="auto"/>
      </w:divBdr>
    </w:div>
    <w:div w:id="1403874019">
      <w:bodyDiv w:val="1"/>
      <w:marLeft w:val="0"/>
      <w:marRight w:val="0"/>
      <w:marTop w:val="0"/>
      <w:marBottom w:val="0"/>
      <w:divBdr>
        <w:top w:val="none" w:sz="0" w:space="0" w:color="auto"/>
        <w:left w:val="none" w:sz="0" w:space="0" w:color="auto"/>
        <w:bottom w:val="none" w:sz="0" w:space="0" w:color="auto"/>
        <w:right w:val="none" w:sz="0" w:space="0" w:color="auto"/>
      </w:divBdr>
    </w:div>
    <w:div w:id="2000502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edn.2015.06.011"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0744-1026-4C9C-87D3-561D2401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16892</Words>
  <Characters>96290</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Walden</Company>
  <LinksUpToDate>false</LinksUpToDate>
  <CharactersWithSpaces>112957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Tilburg, Miranda A.L.</dc:creator>
  <cp:lastModifiedBy>Na Ma</cp:lastModifiedBy>
  <cp:revision>2</cp:revision>
  <cp:lastPrinted>2017-02-03T19:37:00Z</cp:lastPrinted>
  <dcterms:created xsi:type="dcterms:W3CDTF">2017-04-12T02:20:00Z</dcterms:created>
  <dcterms:modified xsi:type="dcterms:W3CDTF">2017-04-12T02:20:00Z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id="63aeDxgs"/&gt;&lt;style id="http://www.zotero.org/styles/american-medical-association"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