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1A8FD" w14:textId="77777777" w:rsidR="0036054C" w:rsidRPr="00B40E91" w:rsidRDefault="0036054C" w:rsidP="009F013B">
      <w:pPr>
        <w:pStyle w:val="1"/>
        <w:snapToGrid w:val="0"/>
        <w:spacing w:line="360" w:lineRule="auto"/>
        <w:jc w:val="both"/>
        <w:rPr>
          <w:rFonts w:ascii="Book Antiqua" w:hAnsi="Book Antiqua" w:cs="Times New Roman"/>
          <w:b/>
          <w:color w:val="auto"/>
          <w:sz w:val="24"/>
          <w:szCs w:val="24"/>
          <w:highlight w:val="white"/>
          <w:lang w:val="en-US" w:eastAsia="zh-CN"/>
        </w:rPr>
      </w:pPr>
      <w:r w:rsidRPr="00B40E91">
        <w:rPr>
          <w:rFonts w:ascii="Book Antiqua" w:hAnsi="Book Antiqua" w:cs="Times New Roman"/>
          <w:b/>
          <w:color w:val="auto"/>
          <w:sz w:val="24"/>
          <w:szCs w:val="24"/>
          <w:highlight w:val="white"/>
          <w:lang w:val="en-US" w:eastAsia="zh-CN"/>
        </w:rPr>
        <w:t xml:space="preserve">Name of </w:t>
      </w:r>
      <w:r w:rsidRPr="00B40E91">
        <w:rPr>
          <w:rFonts w:ascii="Book Antiqua" w:hAnsi="Book Antiqua" w:cs="Times New Roman"/>
          <w:b/>
          <w:caps/>
          <w:color w:val="auto"/>
          <w:sz w:val="24"/>
          <w:szCs w:val="24"/>
          <w:highlight w:val="white"/>
          <w:lang w:val="en-US" w:eastAsia="zh-CN"/>
        </w:rPr>
        <w:t>j</w:t>
      </w:r>
      <w:r w:rsidRPr="00B40E91">
        <w:rPr>
          <w:rFonts w:ascii="Book Antiqua" w:hAnsi="Book Antiqua" w:cs="Times New Roman"/>
          <w:b/>
          <w:color w:val="auto"/>
          <w:sz w:val="24"/>
          <w:szCs w:val="24"/>
          <w:highlight w:val="white"/>
          <w:lang w:val="en-US" w:eastAsia="zh-CN"/>
        </w:rPr>
        <w:t xml:space="preserve">ournal: </w:t>
      </w:r>
      <w:bookmarkStart w:id="0" w:name="OLE_LINK718"/>
      <w:bookmarkStart w:id="1" w:name="OLE_LINK719"/>
      <w:r w:rsidRPr="00B40E91">
        <w:rPr>
          <w:rFonts w:ascii="Book Antiqua" w:hAnsi="Book Antiqua" w:cs="Times New Roman"/>
          <w:b/>
          <w:i/>
          <w:color w:val="auto"/>
          <w:sz w:val="24"/>
          <w:szCs w:val="24"/>
          <w:highlight w:val="white"/>
          <w:lang w:val="en-US" w:eastAsia="zh-CN"/>
        </w:rPr>
        <w:t>World Journal of Gastroenterology</w:t>
      </w:r>
      <w:bookmarkEnd w:id="0"/>
      <w:bookmarkEnd w:id="1"/>
    </w:p>
    <w:p w14:paraId="67FCE30D" w14:textId="5E57A4DE" w:rsidR="0036054C" w:rsidRPr="00B40E91" w:rsidRDefault="0036054C" w:rsidP="009F013B">
      <w:pPr>
        <w:pStyle w:val="1"/>
        <w:snapToGrid w:val="0"/>
        <w:spacing w:line="360" w:lineRule="auto"/>
        <w:jc w:val="both"/>
        <w:rPr>
          <w:rFonts w:ascii="Book Antiqua" w:hAnsi="Book Antiqua" w:cs="Times New Roman"/>
          <w:b/>
          <w:i/>
          <w:color w:val="auto"/>
          <w:sz w:val="24"/>
          <w:szCs w:val="24"/>
          <w:highlight w:val="white"/>
          <w:lang w:val="en-US" w:eastAsia="zh-CN"/>
        </w:rPr>
      </w:pPr>
      <w:bookmarkStart w:id="2" w:name="OLE_LINK485"/>
      <w:bookmarkStart w:id="3" w:name="OLE_LINK486"/>
      <w:bookmarkStart w:id="4" w:name="OLE_LINK661"/>
      <w:bookmarkStart w:id="5" w:name="OLE_LINK768"/>
      <w:bookmarkStart w:id="6" w:name="OLE_LINK514"/>
      <w:bookmarkStart w:id="7" w:name="OLE_LINK515"/>
      <w:r w:rsidRPr="00B40E91">
        <w:rPr>
          <w:rFonts w:ascii="Book Antiqua" w:hAnsi="Book Antiqua" w:cs="Times New Roman"/>
          <w:b/>
          <w:color w:val="auto"/>
          <w:sz w:val="24"/>
          <w:szCs w:val="24"/>
          <w:highlight w:val="white"/>
          <w:lang w:eastAsia="zh-CN"/>
        </w:rPr>
        <w:t>ESPS Manuscript NO:</w:t>
      </w:r>
      <w:bookmarkEnd w:id="2"/>
      <w:bookmarkEnd w:id="3"/>
      <w:bookmarkEnd w:id="4"/>
      <w:bookmarkEnd w:id="5"/>
      <w:r w:rsidR="00AA2C50">
        <w:rPr>
          <w:rFonts w:ascii="Book Antiqua" w:hAnsi="Book Antiqua" w:cs="Times New Roman"/>
          <w:b/>
          <w:color w:val="auto"/>
          <w:sz w:val="24"/>
          <w:szCs w:val="24"/>
          <w:highlight w:val="white"/>
          <w:lang w:eastAsia="zh-CN"/>
        </w:rPr>
        <w:t xml:space="preserve"> </w:t>
      </w:r>
      <w:r w:rsidR="00B40E91" w:rsidRPr="00B40E91">
        <w:rPr>
          <w:rFonts w:ascii="Book Antiqua" w:hAnsi="Book Antiqua" w:cs="Times New Roman"/>
          <w:b/>
          <w:color w:val="auto"/>
          <w:sz w:val="24"/>
          <w:szCs w:val="24"/>
          <w:highlight w:val="white"/>
          <w:lang w:eastAsia="zh-CN"/>
        </w:rPr>
        <w:t>31928</w:t>
      </w:r>
    </w:p>
    <w:p w14:paraId="55C5877A" w14:textId="77777777" w:rsidR="00B40E91" w:rsidRPr="00B40E91" w:rsidRDefault="00B40E91" w:rsidP="009F013B">
      <w:pPr>
        <w:snapToGrid w:val="0"/>
        <w:spacing w:after="0" w:line="360" w:lineRule="auto"/>
        <w:jc w:val="both"/>
        <w:rPr>
          <w:rFonts w:ascii="Book Antiqua" w:eastAsia="SimSun" w:hAnsi="Book Antiqua" w:cs="SimSun"/>
          <w:b/>
          <w:sz w:val="24"/>
          <w:szCs w:val="24"/>
          <w:lang w:eastAsia="zh-CN"/>
        </w:rPr>
      </w:pPr>
      <w:bookmarkStart w:id="8" w:name="OLE_LINK995"/>
      <w:bookmarkStart w:id="9" w:name="OLE_LINK996"/>
      <w:bookmarkEnd w:id="6"/>
      <w:bookmarkEnd w:id="7"/>
      <w:r w:rsidRPr="00B40E91">
        <w:rPr>
          <w:rFonts w:ascii="Book Antiqua" w:eastAsia="SimSun" w:hAnsi="Book Antiqua" w:cs="SimSun"/>
          <w:b/>
          <w:sz w:val="24"/>
          <w:szCs w:val="24"/>
          <w:shd w:val="clear" w:color="auto" w:fill="FFFFFF"/>
          <w:lang w:eastAsia="zh-CN"/>
        </w:rPr>
        <w:t>Manuscript Type</w:t>
      </w:r>
      <w:r w:rsidRPr="00B40E91">
        <w:rPr>
          <w:rFonts w:ascii="Book Antiqua" w:eastAsia="SimSun" w:hAnsi="Book Antiqua" w:cs="SimSun"/>
          <w:b/>
          <w:sz w:val="24"/>
          <w:szCs w:val="24"/>
          <w:lang w:eastAsia="zh-CN"/>
        </w:rPr>
        <w:t>: ORIGINAL ARTICLE</w:t>
      </w:r>
    </w:p>
    <w:p w14:paraId="7A94EB09" w14:textId="77777777" w:rsidR="00B40E91" w:rsidRDefault="00B40E91" w:rsidP="009F013B">
      <w:pPr>
        <w:snapToGrid w:val="0"/>
        <w:spacing w:after="0" w:line="360" w:lineRule="auto"/>
        <w:jc w:val="both"/>
        <w:rPr>
          <w:rFonts w:ascii="Book Antiqua" w:eastAsia="SimSun" w:hAnsi="Book Antiqua" w:cs="SimSun"/>
          <w:b/>
          <w:i/>
          <w:sz w:val="24"/>
          <w:szCs w:val="24"/>
          <w:lang w:eastAsia="zh-CN"/>
        </w:rPr>
      </w:pPr>
    </w:p>
    <w:p w14:paraId="598DAA5C" w14:textId="3E09C13D" w:rsidR="0036054C" w:rsidRPr="00B40E91" w:rsidRDefault="00B40E91" w:rsidP="009F013B">
      <w:pPr>
        <w:snapToGrid w:val="0"/>
        <w:spacing w:after="0" w:line="360" w:lineRule="auto"/>
        <w:jc w:val="both"/>
        <w:rPr>
          <w:rFonts w:ascii="Book Antiqua" w:eastAsia="SimSun" w:hAnsi="Book Antiqua" w:cs="SimSun"/>
          <w:i/>
          <w:sz w:val="24"/>
          <w:szCs w:val="24"/>
          <w:lang w:eastAsia="zh-CN"/>
        </w:rPr>
      </w:pPr>
      <w:r w:rsidRPr="00B40E91">
        <w:rPr>
          <w:rFonts w:ascii="Book Antiqua" w:eastAsia="SimSun" w:hAnsi="Book Antiqua" w:cs="SimSun"/>
          <w:b/>
          <w:i/>
          <w:sz w:val="24"/>
          <w:szCs w:val="24"/>
          <w:lang w:eastAsia="zh-CN"/>
        </w:rPr>
        <w:t>Basic Study</w:t>
      </w:r>
      <w:bookmarkEnd w:id="8"/>
      <w:bookmarkEnd w:id="9"/>
    </w:p>
    <w:p w14:paraId="2ACD7958" w14:textId="71ED5C4A" w:rsidR="0036054C" w:rsidRPr="00B40E91" w:rsidRDefault="0036054C" w:rsidP="009F013B">
      <w:pPr>
        <w:snapToGrid w:val="0"/>
        <w:spacing w:after="0" w:line="360" w:lineRule="auto"/>
        <w:jc w:val="both"/>
        <w:rPr>
          <w:rFonts w:ascii="Book Antiqua" w:hAnsi="Book Antiqua"/>
          <w:b/>
          <w:sz w:val="24"/>
          <w:szCs w:val="24"/>
        </w:rPr>
      </w:pPr>
      <w:r w:rsidRPr="00B40E91">
        <w:rPr>
          <w:rFonts w:ascii="Book Antiqua" w:hAnsi="Book Antiqua"/>
          <w:b/>
          <w:sz w:val="24"/>
          <w:szCs w:val="24"/>
        </w:rPr>
        <w:t xml:space="preserve">Thiopurine </w:t>
      </w:r>
      <w:r w:rsidR="00B40E91" w:rsidRPr="00B40E91">
        <w:rPr>
          <w:rFonts w:ascii="Book Antiqua" w:hAnsi="Book Antiqua"/>
          <w:b/>
          <w:sz w:val="24"/>
          <w:szCs w:val="24"/>
        </w:rPr>
        <w:t xml:space="preserve">use associated with reduced </w:t>
      </w:r>
      <w:r w:rsidR="00B40E91" w:rsidRPr="00B40E91">
        <w:rPr>
          <w:rFonts w:ascii="Book Antiqua" w:hAnsi="Book Antiqua"/>
          <w:b/>
          <w:caps/>
          <w:sz w:val="24"/>
          <w:szCs w:val="24"/>
        </w:rPr>
        <w:t>b</w:t>
      </w:r>
      <w:r w:rsidR="00B40E91" w:rsidRPr="00B40E91">
        <w:rPr>
          <w:rFonts w:ascii="Book Antiqua" w:hAnsi="Book Antiqua"/>
          <w:b/>
          <w:sz w:val="24"/>
          <w:szCs w:val="24"/>
        </w:rPr>
        <w:t xml:space="preserve"> and natural killer cells in inflammatory bowel disease</w:t>
      </w:r>
    </w:p>
    <w:p w14:paraId="44873126" w14:textId="77777777" w:rsidR="00B40E91" w:rsidRPr="00B40E91" w:rsidRDefault="00B40E91" w:rsidP="009F013B">
      <w:pPr>
        <w:snapToGrid w:val="0"/>
        <w:spacing w:after="0" w:line="360" w:lineRule="auto"/>
        <w:jc w:val="both"/>
        <w:rPr>
          <w:rFonts w:ascii="Book Antiqua" w:hAnsi="Book Antiqua"/>
          <w:b/>
          <w:sz w:val="24"/>
          <w:szCs w:val="24"/>
          <w:lang w:eastAsia="zh-CN"/>
        </w:rPr>
      </w:pPr>
    </w:p>
    <w:p w14:paraId="27B4EA5B" w14:textId="793465E6" w:rsidR="0036054C" w:rsidRPr="00B40E91" w:rsidRDefault="00B40E91" w:rsidP="009F013B">
      <w:pPr>
        <w:snapToGrid w:val="0"/>
        <w:spacing w:after="0" w:line="360" w:lineRule="auto"/>
        <w:jc w:val="both"/>
        <w:rPr>
          <w:rFonts w:ascii="Book Antiqua" w:hAnsi="Book Antiqua"/>
          <w:sz w:val="24"/>
          <w:szCs w:val="24"/>
        </w:rPr>
      </w:pPr>
      <w:r w:rsidRPr="00B40E91">
        <w:rPr>
          <w:rFonts w:ascii="Book Antiqua" w:hAnsi="Book Antiqua"/>
          <w:sz w:val="24"/>
          <w:szCs w:val="24"/>
        </w:rPr>
        <w:t xml:space="preserve">Lord </w:t>
      </w:r>
      <w:r w:rsidRPr="00B40E91">
        <w:rPr>
          <w:rFonts w:ascii="Book Antiqua" w:hAnsi="Book Antiqua"/>
          <w:sz w:val="24"/>
          <w:szCs w:val="24"/>
          <w:lang w:eastAsia="zh-CN"/>
        </w:rPr>
        <w:t xml:space="preserve">JD </w:t>
      </w:r>
      <w:r w:rsidRPr="00B40E91">
        <w:rPr>
          <w:rFonts w:ascii="Book Antiqua" w:hAnsi="Book Antiqua"/>
          <w:i/>
          <w:sz w:val="24"/>
          <w:szCs w:val="24"/>
          <w:lang w:eastAsia="zh-CN"/>
        </w:rPr>
        <w:t>et al</w:t>
      </w:r>
      <w:r w:rsidRPr="00B40E91">
        <w:rPr>
          <w:rFonts w:ascii="Book Antiqua" w:hAnsi="Book Antiqua"/>
          <w:sz w:val="24"/>
          <w:szCs w:val="24"/>
          <w:lang w:eastAsia="zh-CN"/>
        </w:rPr>
        <w:t xml:space="preserve">. </w:t>
      </w:r>
      <w:r w:rsidR="0036054C" w:rsidRPr="00B40E91">
        <w:rPr>
          <w:rFonts w:ascii="Book Antiqua" w:hAnsi="Book Antiqua"/>
          <w:sz w:val="24"/>
          <w:szCs w:val="24"/>
        </w:rPr>
        <w:t xml:space="preserve">Thiopurines </w:t>
      </w:r>
      <w:r w:rsidR="00BC35BF" w:rsidRPr="00B40E91">
        <w:rPr>
          <w:rFonts w:ascii="Book Antiqua" w:hAnsi="Book Antiqua"/>
          <w:sz w:val="24"/>
          <w:szCs w:val="24"/>
        </w:rPr>
        <w:t>r</w:t>
      </w:r>
      <w:r w:rsidR="0036054C" w:rsidRPr="00B40E91">
        <w:rPr>
          <w:rFonts w:ascii="Book Antiqua" w:hAnsi="Book Antiqua"/>
          <w:sz w:val="24"/>
          <w:szCs w:val="24"/>
        </w:rPr>
        <w:t xml:space="preserve">educe B and NK </w:t>
      </w:r>
      <w:r w:rsidRPr="00B40E91">
        <w:rPr>
          <w:rFonts w:ascii="Book Antiqua" w:hAnsi="Book Antiqua"/>
          <w:sz w:val="24"/>
          <w:szCs w:val="24"/>
        </w:rPr>
        <w:t>c</w:t>
      </w:r>
      <w:r w:rsidR="0036054C" w:rsidRPr="00B40E91">
        <w:rPr>
          <w:rFonts w:ascii="Book Antiqua" w:hAnsi="Book Antiqua"/>
          <w:sz w:val="24"/>
          <w:szCs w:val="24"/>
        </w:rPr>
        <w:t>ells</w:t>
      </w:r>
    </w:p>
    <w:p w14:paraId="628F602D" w14:textId="77777777" w:rsidR="0036054C" w:rsidRPr="00B40E91" w:rsidRDefault="0036054C" w:rsidP="009F013B">
      <w:pPr>
        <w:snapToGrid w:val="0"/>
        <w:spacing w:after="0" w:line="360" w:lineRule="auto"/>
        <w:jc w:val="both"/>
        <w:rPr>
          <w:rFonts w:ascii="Book Antiqua" w:hAnsi="Book Antiqua"/>
          <w:sz w:val="24"/>
          <w:szCs w:val="24"/>
        </w:rPr>
      </w:pPr>
    </w:p>
    <w:p w14:paraId="31698440" w14:textId="4B706E83" w:rsidR="0036054C" w:rsidRPr="00A13ECC" w:rsidRDefault="0036054C" w:rsidP="009F013B">
      <w:pPr>
        <w:snapToGrid w:val="0"/>
        <w:spacing w:after="0" w:line="360" w:lineRule="auto"/>
        <w:jc w:val="both"/>
        <w:rPr>
          <w:rFonts w:ascii="Book Antiqua" w:hAnsi="Book Antiqua"/>
          <w:sz w:val="24"/>
          <w:szCs w:val="24"/>
        </w:rPr>
      </w:pPr>
      <w:r w:rsidRPr="00A13ECC">
        <w:rPr>
          <w:rFonts w:ascii="Book Antiqua" w:hAnsi="Book Antiqua"/>
          <w:sz w:val="24"/>
          <w:szCs w:val="24"/>
        </w:rPr>
        <w:t>James D</w:t>
      </w:r>
      <w:r w:rsidR="00B40E91" w:rsidRPr="00A13ECC">
        <w:rPr>
          <w:rFonts w:ascii="Book Antiqua" w:hAnsi="Book Antiqua"/>
          <w:sz w:val="24"/>
          <w:szCs w:val="24"/>
          <w:lang w:eastAsia="zh-CN"/>
        </w:rPr>
        <w:t xml:space="preserve"> </w:t>
      </w:r>
      <w:r w:rsidRPr="00A13ECC">
        <w:rPr>
          <w:rFonts w:ascii="Book Antiqua" w:hAnsi="Book Antiqua"/>
          <w:sz w:val="24"/>
          <w:szCs w:val="24"/>
        </w:rPr>
        <w:t>Lord,</w:t>
      </w:r>
      <w:r w:rsidR="00B40E91" w:rsidRPr="00A13ECC">
        <w:rPr>
          <w:rFonts w:ascii="Book Antiqua" w:hAnsi="Book Antiqua"/>
          <w:sz w:val="24"/>
          <w:szCs w:val="24"/>
          <w:lang w:eastAsia="zh-CN"/>
        </w:rPr>
        <w:t xml:space="preserve"> </w:t>
      </w:r>
      <w:r w:rsidRPr="00A13ECC">
        <w:rPr>
          <w:rFonts w:ascii="Book Antiqua" w:hAnsi="Book Antiqua"/>
          <w:sz w:val="24"/>
          <w:szCs w:val="24"/>
        </w:rPr>
        <w:t>Donna M</w:t>
      </w:r>
      <w:r w:rsidR="00B40E91" w:rsidRPr="00A13ECC">
        <w:rPr>
          <w:rFonts w:ascii="Book Antiqua" w:hAnsi="Book Antiqua"/>
          <w:sz w:val="24"/>
          <w:szCs w:val="24"/>
          <w:lang w:eastAsia="zh-CN"/>
        </w:rPr>
        <w:t xml:space="preserve"> </w:t>
      </w:r>
      <w:r w:rsidRPr="00A13ECC">
        <w:rPr>
          <w:rFonts w:ascii="Book Antiqua" w:hAnsi="Book Antiqua"/>
          <w:sz w:val="24"/>
          <w:szCs w:val="24"/>
        </w:rPr>
        <w:t>Shows</w:t>
      </w:r>
    </w:p>
    <w:p w14:paraId="72660884" w14:textId="77777777" w:rsidR="009D756C" w:rsidRPr="00B40E91" w:rsidRDefault="009D756C" w:rsidP="009F013B">
      <w:pPr>
        <w:snapToGrid w:val="0"/>
        <w:spacing w:after="0" w:line="360" w:lineRule="auto"/>
        <w:jc w:val="both"/>
        <w:rPr>
          <w:rFonts w:ascii="Book Antiqua" w:hAnsi="Book Antiqua"/>
          <w:sz w:val="24"/>
          <w:szCs w:val="24"/>
        </w:rPr>
      </w:pPr>
    </w:p>
    <w:p w14:paraId="7577F2F5" w14:textId="57B4D3F7"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b/>
          <w:sz w:val="24"/>
          <w:szCs w:val="24"/>
        </w:rPr>
        <w:t>James D</w:t>
      </w:r>
      <w:r w:rsidR="00B40E91" w:rsidRPr="00B40E91">
        <w:rPr>
          <w:rFonts w:ascii="Book Antiqua" w:hAnsi="Book Antiqua"/>
          <w:b/>
          <w:sz w:val="24"/>
          <w:szCs w:val="24"/>
          <w:lang w:eastAsia="zh-CN"/>
        </w:rPr>
        <w:t xml:space="preserve"> </w:t>
      </w:r>
      <w:r w:rsidRPr="00B40E91">
        <w:rPr>
          <w:rFonts w:ascii="Book Antiqua" w:hAnsi="Book Antiqua"/>
          <w:b/>
          <w:sz w:val="24"/>
          <w:szCs w:val="24"/>
        </w:rPr>
        <w:t>Lord,</w:t>
      </w:r>
      <w:r w:rsidR="00B40E91" w:rsidRPr="00B40E91">
        <w:rPr>
          <w:rFonts w:ascii="Book Antiqua" w:hAnsi="Book Antiqua"/>
          <w:b/>
          <w:sz w:val="24"/>
          <w:szCs w:val="24"/>
          <w:lang w:eastAsia="zh-CN"/>
        </w:rPr>
        <w:t xml:space="preserve"> </w:t>
      </w:r>
      <w:r w:rsidR="00B40E91" w:rsidRPr="00B40E91">
        <w:rPr>
          <w:rFonts w:ascii="Book Antiqua" w:hAnsi="Book Antiqua"/>
          <w:b/>
          <w:sz w:val="24"/>
          <w:szCs w:val="24"/>
        </w:rPr>
        <w:t>Donna M</w:t>
      </w:r>
      <w:r w:rsidR="00B40E91" w:rsidRPr="00B40E91">
        <w:rPr>
          <w:rFonts w:ascii="Book Antiqua" w:hAnsi="Book Antiqua"/>
          <w:b/>
          <w:sz w:val="24"/>
          <w:szCs w:val="24"/>
          <w:lang w:eastAsia="zh-CN"/>
        </w:rPr>
        <w:t xml:space="preserve"> </w:t>
      </w:r>
      <w:r w:rsidR="00B40E91" w:rsidRPr="00B40E91">
        <w:rPr>
          <w:rFonts w:ascii="Book Antiqua" w:hAnsi="Book Antiqua"/>
          <w:b/>
          <w:sz w:val="24"/>
          <w:szCs w:val="24"/>
        </w:rPr>
        <w:t>Shows,</w:t>
      </w:r>
      <w:r w:rsidR="00B40E91" w:rsidRPr="00B40E91">
        <w:rPr>
          <w:rFonts w:ascii="Book Antiqua" w:hAnsi="Book Antiqua"/>
          <w:sz w:val="24"/>
          <w:szCs w:val="24"/>
        </w:rPr>
        <w:t xml:space="preserve"> </w:t>
      </w:r>
      <w:r w:rsidRPr="00B40E91">
        <w:rPr>
          <w:rFonts w:ascii="Book Antiqua" w:hAnsi="Book Antiqua"/>
          <w:sz w:val="24"/>
          <w:szCs w:val="24"/>
        </w:rPr>
        <w:t>Translational Research Program, Benaroya Research Institute, Seattle</w:t>
      </w:r>
      <w:r w:rsidR="00B40E91" w:rsidRPr="00B40E91">
        <w:rPr>
          <w:rFonts w:ascii="Book Antiqua" w:hAnsi="Book Antiqua"/>
          <w:sz w:val="24"/>
          <w:szCs w:val="24"/>
          <w:lang w:eastAsia="zh-CN"/>
        </w:rPr>
        <w:t>,</w:t>
      </w:r>
      <w:r w:rsidRPr="00B40E91">
        <w:rPr>
          <w:rFonts w:ascii="Book Antiqua" w:hAnsi="Book Antiqua"/>
          <w:sz w:val="24"/>
          <w:szCs w:val="24"/>
        </w:rPr>
        <w:t xml:space="preserve"> </w:t>
      </w:r>
      <w:r w:rsidR="00B40E91" w:rsidRPr="00B40E91">
        <w:rPr>
          <w:rFonts w:ascii="Book Antiqua" w:hAnsi="Book Antiqua"/>
          <w:sz w:val="24"/>
          <w:szCs w:val="24"/>
        </w:rPr>
        <w:t>WA</w:t>
      </w:r>
      <w:r w:rsidR="00B40E91" w:rsidRPr="00B40E91">
        <w:rPr>
          <w:rFonts w:ascii="Book Antiqua" w:hAnsi="Book Antiqua"/>
          <w:sz w:val="24"/>
          <w:szCs w:val="24"/>
          <w:lang w:eastAsia="zh-CN"/>
        </w:rPr>
        <w:t xml:space="preserve"> </w:t>
      </w:r>
      <w:r w:rsidRPr="00B40E91">
        <w:rPr>
          <w:rFonts w:ascii="Book Antiqua" w:hAnsi="Book Antiqua"/>
          <w:sz w:val="24"/>
          <w:szCs w:val="24"/>
        </w:rPr>
        <w:t>98101-2795, United States</w:t>
      </w:r>
    </w:p>
    <w:p w14:paraId="597727BA" w14:textId="77777777" w:rsidR="00B40E91" w:rsidRPr="00B40E91" w:rsidRDefault="00B40E91" w:rsidP="009F013B">
      <w:pPr>
        <w:snapToGrid w:val="0"/>
        <w:spacing w:after="0" w:line="360" w:lineRule="auto"/>
        <w:jc w:val="both"/>
        <w:rPr>
          <w:rFonts w:ascii="Book Antiqua" w:hAnsi="Book Antiqua"/>
          <w:sz w:val="24"/>
          <w:szCs w:val="24"/>
          <w:lang w:eastAsia="zh-CN"/>
        </w:rPr>
      </w:pPr>
    </w:p>
    <w:p w14:paraId="15B08530" w14:textId="59A008A7"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b/>
          <w:sz w:val="24"/>
          <w:szCs w:val="24"/>
        </w:rPr>
        <w:t>James D</w:t>
      </w:r>
      <w:r w:rsidR="00B40E91" w:rsidRPr="00B40E91">
        <w:rPr>
          <w:rFonts w:ascii="Book Antiqua" w:hAnsi="Book Antiqua"/>
          <w:b/>
          <w:sz w:val="24"/>
          <w:szCs w:val="24"/>
          <w:lang w:eastAsia="zh-CN"/>
        </w:rPr>
        <w:t xml:space="preserve"> </w:t>
      </w:r>
      <w:r w:rsidRPr="00B40E91">
        <w:rPr>
          <w:rFonts w:ascii="Book Antiqua" w:hAnsi="Book Antiqua"/>
          <w:b/>
          <w:sz w:val="24"/>
          <w:szCs w:val="24"/>
        </w:rPr>
        <w:t>Lord,</w:t>
      </w:r>
      <w:r w:rsidR="00B40E91" w:rsidRPr="00B40E91">
        <w:rPr>
          <w:rFonts w:ascii="Book Antiqua" w:hAnsi="Book Antiqua"/>
          <w:sz w:val="24"/>
          <w:szCs w:val="24"/>
          <w:lang w:eastAsia="zh-CN"/>
        </w:rPr>
        <w:t xml:space="preserve"> </w:t>
      </w:r>
      <w:r w:rsidRPr="00B40E91">
        <w:rPr>
          <w:rFonts w:ascii="Book Antiqua" w:hAnsi="Book Antiqua"/>
          <w:sz w:val="24"/>
          <w:szCs w:val="24"/>
        </w:rPr>
        <w:t>Gastroenterology Division, Virginia Mason Medical Center, Seattle, WA</w:t>
      </w:r>
      <w:r w:rsidR="00B40E91" w:rsidRPr="00B40E91">
        <w:rPr>
          <w:rFonts w:ascii="Book Antiqua" w:hAnsi="Book Antiqua"/>
          <w:sz w:val="24"/>
          <w:szCs w:val="24"/>
          <w:lang w:eastAsia="zh-CN"/>
        </w:rPr>
        <w:t xml:space="preserve"> </w:t>
      </w:r>
      <w:r w:rsidRPr="00B40E91">
        <w:rPr>
          <w:rFonts w:ascii="Book Antiqua" w:hAnsi="Book Antiqua"/>
          <w:sz w:val="24"/>
          <w:szCs w:val="24"/>
        </w:rPr>
        <w:t>98101, United States</w:t>
      </w:r>
    </w:p>
    <w:p w14:paraId="0086D7B2" w14:textId="77777777" w:rsidR="009D756C" w:rsidRPr="00B40E91" w:rsidRDefault="009D756C" w:rsidP="009F013B">
      <w:pPr>
        <w:snapToGrid w:val="0"/>
        <w:spacing w:after="0" w:line="360" w:lineRule="auto"/>
        <w:jc w:val="both"/>
        <w:rPr>
          <w:rFonts w:ascii="Book Antiqua" w:hAnsi="Book Antiqua"/>
          <w:sz w:val="24"/>
          <w:szCs w:val="24"/>
          <w:lang w:eastAsia="zh-CN"/>
        </w:rPr>
      </w:pPr>
    </w:p>
    <w:p w14:paraId="79366D3F" w14:textId="3A958E7F" w:rsidR="0036054C" w:rsidRPr="00B40E91" w:rsidRDefault="0036054C" w:rsidP="009F013B">
      <w:pPr>
        <w:snapToGrid w:val="0"/>
        <w:spacing w:after="0" w:line="360" w:lineRule="auto"/>
        <w:jc w:val="both"/>
        <w:rPr>
          <w:rFonts w:ascii="Book Antiqua" w:hAnsi="Book Antiqua"/>
          <w:sz w:val="24"/>
          <w:szCs w:val="24"/>
          <w:lang w:eastAsia="zh-CN"/>
        </w:rPr>
      </w:pPr>
      <w:r w:rsidRPr="00B40E91">
        <w:rPr>
          <w:rFonts w:ascii="Book Antiqua" w:hAnsi="Book Antiqua"/>
          <w:b/>
          <w:sz w:val="24"/>
          <w:szCs w:val="24"/>
        </w:rPr>
        <w:t xml:space="preserve">Author </w:t>
      </w:r>
      <w:r w:rsidR="00B40E91" w:rsidRPr="00B40E91">
        <w:rPr>
          <w:rFonts w:ascii="Book Antiqua" w:hAnsi="Book Antiqua"/>
          <w:b/>
          <w:sz w:val="24"/>
          <w:szCs w:val="24"/>
        </w:rPr>
        <w:t>c</w:t>
      </w:r>
      <w:r w:rsidRPr="00B40E91">
        <w:rPr>
          <w:rFonts w:ascii="Book Antiqua" w:hAnsi="Book Antiqua"/>
          <w:b/>
          <w:sz w:val="24"/>
          <w:szCs w:val="24"/>
        </w:rPr>
        <w:t>ontributions</w:t>
      </w:r>
      <w:r w:rsidRPr="00BC35BF">
        <w:rPr>
          <w:rFonts w:ascii="Book Antiqua" w:hAnsi="Book Antiqua"/>
          <w:b/>
          <w:sz w:val="24"/>
          <w:szCs w:val="24"/>
        </w:rPr>
        <w:t>:</w:t>
      </w:r>
      <w:r w:rsidR="00BC35BF">
        <w:rPr>
          <w:rFonts w:ascii="Book Antiqua" w:hAnsi="Book Antiqua" w:hint="eastAsia"/>
          <w:sz w:val="24"/>
          <w:szCs w:val="24"/>
          <w:lang w:eastAsia="zh-CN"/>
        </w:rPr>
        <w:t xml:space="preserve"> </w:t>
      </w:r>
      <w:r w:rsidRPr="00B40E91">
        <w:rPr>
          <w:rFonts w:ascii="Book Antiqua" w:hAnsi="Book Antiqua"/>
          <w:sz w:val="24"/>
          <w:szCs w:val="24"/>
        </w:rPr>
        <w:t>Lord JD designed experiments, analyzed data, and wrote the paper</w:t>
      </w:r>
      <w:r w:rsidR="00B40E91" w:rsidRPr="00B40E91">
        <w:rPr>
          <w:rFonts w:ascii="Book Antiqua" w:hAnsi="Book Antiqua"/>
          <w:sz w:val="24"/>
          <w:szCs w:val="24"/>
          <w:lang w:eastAsia="zh-CN"/>
        </w:rPr>
        <w:t xml:space="preserve">; </w:t>
      </w:r>
      <w:r w:rsidRPr="00B40E91">
        <w:rPr>
          <w:rFonts w:ascii="Book Antiqua" w:hAnsi="Book Antiqua"/>
          <w:sz w:val="24"/>
          <w:szCs w:val="24"/>
        </w:rPr>
        <w:t>Shows DM performed cell purification, culture a</w:t>
      </w:r>
      <w:r w:rsidR="00B40E91" w:rsidRPr="00B40E91">
        <w:rPr>
          <w:rFonts w:ascii="Book Antiqua" w:hAnsi="Book Antiqua"/>
          <w:sz w:val="24"/>
          <w:szCs w:val="24"/>
        </w:rPr>
        <w:t>nd flow cytometry experiments.</w:t>
      </w:r>
    </w:p>
    <w:p w14:paraId="3AEFDD58" w14:textId="77777777" w:rsidR="009D756C" w:rsidRPr="00B40E91" w:rsidRDefault="009D756C" w:rsidP="009F013B">
      <w:pPr>
        <w:snapToGrid w:val="0"/>
        <w:spacing w:after="0" w:line="360" w:lineRule="auto"/>
        <w:jc w:val="both"/>
        <w:rPr>
          <w:rFonts w:ascii="Book Antiqua" w:hAnsi="Book Antiqua"/>
          <w:sz w:val="24"/>
          <w:szCs w:val="24"/>
        </w:rPr>
      </w:pPr>
    </w:p>
    <w:p w14:paraId="380A07B1" w14:textId="6834D10A" w:rsidR="0036054C" w:rsidRPr="00B40E91" w:rsidRDefault="0036054C" w:rsidP="009F013B">
      <w:pPr>
        <w:snapToGrid w:val="0"/>
        <w:spacing w:after="0" w:line="360" w:lineRule="auto"/>
        <w:jc w:val="both"/>
        <w:rPr>
          <w:rFonts w:ascii="Book Antiqua" w:hAnsi="Book Antiqua"/>
          <w:color w:val="000000"/>
          <w:sz w:val="24"/>
          <w:szCs w:val="24"/>
          <w:shd w:val="clear" w:color="auto" w:fill="FFFFFF"/>
          <w:lang w:eastAsia="zh-CN"/>
        </w:rPr>
      </w:pPr>
      <w:r w:rsidRPr="00B40E91">
        <w:rPr>
          <w:rFonts w:ascii="Book Antiqua" w:hAnsi="Book Antiqua"/>
          <w:b/>
          <w:sz w:val="24"/>
          <w:szCs w:val="24"/>
        </w:rPr>
        <w:t>Supported by</w:t>
      </w:r>
      <w:r w:rsidR="00B40E91">
        <w:rPr>
          <w:rFonts w:ascii="Book Antiqua" w:hAnsi="Book Antiqua" w:hint="eastAsia"/>
          <w:sz w:val="24"/>
          <w:szCs w:val="24"/>
          <w:lang w:eastAsia="zh-CN"/>
        </w:rPr>
        <w:t xml:space="preserve"> </w:t>
      </w:r>
      <w:r w:rsidRPr="00B40E91">
        <w:rPr>
          <w:rFonts w:ascii="Book Antiqua" w:hAnsi="Book Antiqua"/>
          <w:color w:val="000000"/>
          <w:sz w:val="24"/>
          <w:szCs w:val="24"/>
          <w:shd w:val="clear" w:color="auto" w:fill="FFFFFF"/>
        </w:rPr>
        <w:t>Virginia Mason Medical Center, Digestive Disease Institute Research Grant Award</w:t>
      </w:r>
      <w:r w:rsidR="00B40E91" w:rsidRPr="00B40E91">
        <w:rPr>
          <w:rFonts w:ascii="Book Antiqua" w:hAnsi="Book Antiqua"/>
          <w:color w:val="000000"/>
          <w:sz w:val="24"/>
          <w:szCs w:val="24"/>
          <w:shd w:val="clear" w:color="auto" w:fill="FFFFFF"/>
          <w:lang w:eastAsia="zh-CN"/>
        </w:rPr>
        <w:t>,</w:t>
      </w:r>
      <w:r w:rsidR="00B40E91">
        <w:rPr>
          <w:rFonts w:ascii="Book Antiqua" w:hAnsi="Book Antiqua" w:hint="eastAsia"/>
          <w:color w:val="000000"/>
          <w:sz w:val="24"/>
          <w:szCs w:val="24"/>
          <w:shd w:val="clear" w:color="auto" w:fill="FFFFFF"/>
          <w:lang w:eastAsia="zh-CN"/>
        </w:rPr>
        <w:t xml:space="preserve"> </w:t>
      </w:r>
      <w:r w:rsidR="00B40E91" w:rsidRPr="00B40E91">
        <w:rPr>
          <w:rFonts w:ascii="Book Antiqua" w:hAnsi="Book Antiqua"/>
          <w:color w:val="000000"/>
          <w:sz w:val="24"/>
          <w:szCs w:val="24"/>
          <w:shd w:val="clear" w:color="auto" w:fill="FFFFFF"/>
          <w:lang w:eastAsia="zh-CN"/>
        </w:rPr>
        <w:t>No.</w:t>
      </w:r>
      <w:r w:rsidRPr="00B40E91">
        <w:rPr>
          <w:rFonts w:ascii="Book Antiqua" w:hAnsi="Book Antiqua"/>
          <w:color w:val="000000"/>
          <w:sz w:val="24"/>
          <w:szCs w:val="24"/>
          <w:shd w:val="clear" w:color="auto" w:fill="FFFFFF"/>
        </w:rPr>
        <w:t xml:space="preserve"> </w:t>
      </w:r>
      <w:r w:rsidRPr="00B40E91">
        <w:rPr>
          <w:rFonts w:ascii="Book Antiqua" w:hAnsi="Book Antiqua"/>
          <w:sz w:val="24"/>
          <w:szCs w:val="24"/>
        </w:rPr>
        <w:t>0506812</w:t>
      </w:r>
      <w:r w:rsidRPr="00B40E91">
        <w:rPr>
          <w:rFonts w:ascii="Book Antiqua" w:hAnsi="Book Antiqua"/>
          <w:color w:val="000000"/>
          <w:sz w:val="24"/>
          <w:szCs w:val="24"/>
          <w:shd w:val="clear" w:color="auto" w:fill="FFFFFF"/>
        </w:rPr>
        <w:t>-2011</w:t>
      </w:r>
      <w:r w:rsidR="00B40E91" w:rsidRPr="00B40E91">
        <w:rPr>
          <w:rFonts w:ascii="Book Antiqua" w:hAnsi="Book Antiqua"/>
          <w:color w:val="000000"/>
          <w:sz w:val="24"/>
          <w:szCs w:val="24"/>
          <w:shd w:val="clear" w:color="auto" w:fill="FFFFFF"/>
          <w:lang w:eastAsia="zh-CN"/>
        </w:rPr>
        <w:t>.</w:t>
      </w:r>
    </w:p>
    <w:p w14:paraId="11675E8C" w14:textId="77777777" w:rsidR="009D756C" w:rsidRPr="00B40E91" w:rsidRDefault="009D756C" w:rsidP="009F013B">
      <w:pPr>
        <w:snapToGrid w:val="0"/>
        <w:spacing w:after="0" w:line="360" w:lineRule="auto"/>
        <w:jc w:val="both"/>
        <w:rPr>
          <w:rFonts w:ascii="Book Antiqua" w:hAnsi="Book Antiqua"/>
          <w:color w:val="000000"/>
          <w:sz w:val="24"/>
          <w:szCs w:val="24"/>
          <w:shd w:val="clear" w:color="auto" w:fill="FFFFFF"/>
        </w:rPr>
      </w:pPr>
    </w:p>
    <w:p w14:paraId="73D5EA3D" w14:textId="4E88A181" w:rsidR="0036054C" w:rsidRPr="00B40E91" w:rsidRDefault="00BC35BF" w:rsidP="009F013B">
      <w:pPr>
        <w:snapToGrid w:val="0"/>
        <w:spacing w:after="0" w:line="360" w:lineRule="auto"/>
        <w:jc w:val="both"/>
        <w:rPr>
          <w:rFonts w:ascii="Book Antiqua" w:hAnsi="Book Antiqua"/>
          <w:color w:val="000000"/>
          <w:sz w:val="24"/>
          <w:szCs w:val="24"/>
          <w:shd w:val="clear" w:color="auto" w:fill="FFFFFF"/>
          <w:lang w:eastAsia="zh-CN"/>
        </w:rPr>
      </w:pPr>
      <w:r w:rsidRPr="00BC35BF">
        <w:rPr>
          <w:rFonts w:ascii="Book Antiqua" w:hAnsi="Book Antiqua"/>
          <w:b/>
          <w:color w:val="000000"/>
          <w:sz w:val="24"/>
          <w:szCs w:val="24"/>
          <w:shd w:val="clear" w:color="auto" w:fill="FFFFFF"/>
        </w:rPr>
        <w:t>Institutional review board statement:</w:t>
      </w:r>
      <w:r>
        <w:rPr>
          <w:rFonts w:ascii="Book Antiqua" w:hAnsi="Book Antiqua" w:hint="eastAsia"/>
          <w:b/>
          <w:color w:val="000000"/>
          <w:sz w:val="24"/>
          <w:szCs w:val="24"/>
          <w:shd w:val="clear" w:color="auto" w:fill="FFFFFF"/>
          <w:lang w:eastAsia="zh-CN"/>
        </w:rPr>
        <w:t xml:space="preserve"> </w:t>
      </w:r>
      <w:r w:rsidR="0036054C" w:rsidRPr="00B40E91">
        <w:rPr>
          <w:rFonts w:ascii="Book Antiqua" w:hAnsi="Book Antiqua"/>
          <w:color w:val="000000"/>
          <w:sz w:val="24"/>
          <w:szCs w:val="24"/>
          <w:shd w:val="clear" w:color="auto" w:fill="FFFFFF"/>
        </w:rPr>
        <w:t>The study was reviewed and approved by the Virginia Mason Medical Center/Benaroya Research Institu</w:t>
      </w:r>
      <w:r>
        <w:rPr>
          <w:rFonts w:ascii="Book Antiqua" w:hAnsi="Book Antiqua"/>
          <w:color w:val="000000"/>
          <w:sz w:val="24"/>
          <w:szCs w:val="24"/>
          <w:shd w:val="clear" w:color="auto" w:fill="FFFFFF"/>
        </w:rPr>
        <w:t>te Institutional Review Board.</w:t>
      </w:r>
    </w:p>
    <w:p w14:paraId="65F81DCB" w14:textId="77777777" w:rsidR="009D756C" w:rsidRPr="00B40E91" w:rsidRDefault="009D756C" w:rsidP="009F013B">
      <w:pPr>
        <w:snapToGrid w:val="0"/>
        <w:spacing w:after="0" w:line="360" w:lineRule="auto"/>
        <w:jc w:val="both"/>
        <w:rPr>
          <w:rFonts w:ascii="Book Antiqua" w:hAnsi="Book Antiqua"/>
          <w:color w:val="000000"/>
          <w:sz w:val="24"/>
          <w:szCs w:val="24"/>
          <w:shd w:val="clear" w:color="auto" w:fill="FFFFFF"/>
        </w:rPr>
      </w:pPr>
    </w:p>
    <w:p w14:paraId="7088174D" w14:textId="03C7BEA6" w:rsidR="0036054C" w:rsidRPr="00B40E91" w:rsidRDefault="00BC35BF" w:rsidP="009F013B">
      <w:pPr>
        <w:snapToGrid w:val="0"/>
        <w:spacing w:after="0" w:line="360" w:lineRule="auto"/>
        <w:jc w:val="both"/>
        <w:rPr>
          <w:rFonts w:ascii="Book Antiqua" w:hAnsi="Book Antiqua"/>
          <w:color w:val="000000"/>
          <w:sz w:val="24"/>
          <w:szCs w:val="24"/>
          <w:shd w:val="clear" w:color="auto" w:fill="FFFFFF"/>
          <w:lang w:eastAsia="zh-CN"/>
        </w:rPr>
      </w:pPr>
      <w:r w:rsidRPr="00BC35BF">
        <w:rPr>
          <w:rFonts w:ascii="Book Antiqua" w:hAnsi="Book Antiqua"/>
          <w:b/>
          <w:color w:val="000000"/>
          <w:sz w:val="24"/>
          <w:szCs w:val="24"/>
          <w:shd w:val="clear" w:color="auto" w:fill="FFFFFF"/>
        </w:rPr>
        <w:lastRenderedPageBreak/>
        <w:t>Conflict-of-interest statement:</w:t>
      </w:r>
      <w:r>
        <w:rPr>
          <w:rFonts w:ascii="Book Antiqua" w:hAnsi="Book Antiqua" w:hint="eastAsia"/>
          <w:b/>
          <w:color w:val="000000"/>
          <w:sz w:val="24"/>
          <w:szCs w:val="24"/>
          <w:shd w:val="clear" w:color="auto" w:fill="FFFFFF"/>
          <w:lang w:eastAsia="zh-CN"/>
        </w:rPr>
        <w:t xml:space="preserve"> </w:t>
      </w:r>
      <w:r w:rsidR="0036054C" w:rsidRPr="00B40E91">
        <w:rPr>
          <w:rFonts w:ascii="Book Antiqua" w:hAnsi="Book Antiqua"/>
          <w:color w:val="000000"/>
          <w:sz w:val="24"/>
          <w:szCs w:val="24"/>
          <w:shd w:val="clear" w:color="auto" w:fill="FFFFFF"/>
        </w:rPr>
        <w:t>All authors report no potential conflicts of interest wit</w:t>
      </w:r>
      <w:r>
        <w:rPr>
          <w:rFonts w:ascii="Book Antiqua" w:hAnsi="Book Antiqua"/>
          <w:color w:val="000000"/>
          <w:sz w:val="24"/>
          <w:szCs w:val="24"/>
          <w:shd w:val="clear" w:color="auto" w:fill="FFFFFF"/>
        </w:rPr>
        <w:t>h the data in this manuscript.</w:t>
      </w:r>
    </w:p>
    <w:p w14:paraId="2C4D3427" w14:textId="77777777" w:rsidR="009D756C" w:rsidRPr="00B40E91" w:rsidRDefault="009D756C" w:rsidP="009F013B">
      <w:pPr>
        <w:snapToGrid w:val="0"/>
        <w:spacing w:after="0" w:line="360" w:lineRule="auto"/>
        <w:jc w:val="both"/>
        <w:rPr>
          <w:rFonts w:ascii="Book Antiqua" w:hAnsi="Book Antiqua"/>
          <w:b/>
          <w:sz w:val="24"/>
          <w:szCs w:val="24"/>
        </w:rPr>
      </w:pPr>
    </w:p>
    <w:p w14:paraId="2FF2C99A" w14:textId="4C233FE7"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b/>
          <w:sz w:val="24"/>
          <w:szCs w:val="24"/>
        </w:rPr>
        <w:t xml:space="preserve">Data </w:t>
      </w:r>
      <w:r w:rsidR="00B40E91" w:rsidRPr="00B40E91">
        <w:rPr>
          <w:rFonts w:ascii="Book Antiqua" w:hAnsi="Book Antiqua"/>
          <w:b/>
          <w:sz w:val="24"/>
          <w:szCs w:val="24"/>
        </w:rPr>
        <w:t>s</w:t>
      </w:r>
      <w:r w:rsidRPr="00B40E91">
        <w:rPr>
          <w:rFonts w:ascii="Book Antiqua" w:hAnsi="Book Antiqua"/>
          <w:b/>
          <w:sz w:val="24"/>
          <w:szCs w:val="24"/>
        </w:rPr>
        <w:t xml:space="preserve">haring </w:t>
      </w:r>
      <w:r w:rsidR="00B40E91" w:rsidRPr="00B40E91">
        <w:rPr>
          <w:rFonts w:ascii="Book Antiqua" w:hAnsi="Book Antiqua"/>
          <w:b/>
          <w:sz w:val="24"/>
          <w:szCs w:val="24"/>
        </w:rPr>
        <w:t>s</w:t>
      </w:r>
      <w:r w:rsidRPr="00B40E91">
        <w:rPr>
          <w:rFonts w:ascii="Book Antiqua" w:hAnsi="Book Antiqua"/>
          <w:b/>
          <w:sz w:val="24"/>
          <w:szCs w:val="24"/>
        </w:rPr>
        <w:t>tatement</w:t>
      </w:r>
      <w:r w:rsidRPr="00B40E91">
        <w:rPr>
          <w:rFonts w:ascii="Book Antiqua" w:hAnsi="Book Antiqua"/>
          <w:sz w:val="24"/>
          <w:szCs w:val="24"/>
        </w:rPr>
        <w:t>:</w:t>
      </w:r>
      <w:r w:rsidR="00B40E91">
        <w:rPr>
          <w:rFonts w:ascii="Book Antiqua" w:hAnsi="Book Antiqua" w:hint="eastAsia"/>
          <w:sz w:val="24"/>
          <w:szCs w:val="24"/>
          <w:lang w:eastAsia="zh-CN"/>
        </w:rPr>
        <w:t xml:space="preserve"> </w:t>
      </w:r>
      <w:r w:rsidRPr="00B40E91">
        <w:rPr>
          <w:rFonts w:ascii="Book Antiqua" w:hAnsi="Book Antiqua"/>
          <w:sz w:val="24"/>
          <w:szCs w:val="24"/>
        </w:rPr>
        <w:t>FCS files of flow</w:t>
      </w:r>
      <w:r w:rsidR="00B40E91">
        <w:rPr>
          <w:rFonts w:ascii="Book Antiqua" w:hAnsi="Book Antiqua" w:hint="eastAsia"/>
          <w:sz w:val="24"/>
          <w:szCs w:val="24"/>
          <w:lang w:eastAsia="zh-CN"/>
        </w:rPr>
        <w:t xml:space="preserve"> </w:t>
      </w:r>
      <w:r w:rsidRPr="00B40E91">
        <w:rPr>
          <w:rFonts w:ascii="Book Antiqua" w:hAnsi="Book Antiqua"/>
          <w:sz w:val="24"/>
          <w:szCs w:val="24"/>
        </w:rPr>
        <w:t>cytometry data used to generate this manuscript are available upon request from the corresponding author (below).</w:t>
      </w:r>
    </w:p>
    <w:p w14:paraId="741655D9" w14:textId="77777777" w:rsidR="009D756C" w:rsidRDefault="009D756C" w:rsidP="009F013B">
      <w:pPr>
        <w:snapToGrid w:val="0"/>
        <w:spacing w:after="0" w:line="360" w:lineRule="auto"/>
        <w:jc w:val="both"/>
        <w:rPr>
          <w:rFonts w:ascii="Book Antiqua" w:hAnsi="Book Antiqua"/>
          <w:sz w:val="24"/>
          <w:szCs w:val="24"/>
          <w:lang w:eastAsia="zh-CN"/>
        </w:rPr>
      </w:pPr>
    </w:p>
    <w:p w14:paraId="6E07FE7E" w14:textId="77777777" w:rsidR="00BC35BF" w:rsidRPr="00005305" w:rsidRDefault="00BC35BF" w:rsidP="009F013B">
      <w:pPr>
        <w:pStyle w:val="1"/>
        <w:snapToGrid w:val="0"/>
        <w:spacing w:line="360" w:lineRule="auto"/>
        <w:jc w:val="both"/>
        <w:rPr>
          <w:rFonts w:ascii="Book Antiqua" w:hAnsi="Book Antiqua" w:cs="Times New Roman"/>
          <w:bCs/>
          <w:color w:val="auto"/>
          <w:sz w:val="24"/>
          <w:highlight w:val="white"/>
          <w:lang w:val="en-US"/>
        </w:rPr>
      </w:pPr>
      <w:bookmarkStart w:id="10" w:name="OLE_LINK734"/>
      <w:bookmarkStart w:id="11" w:name="OLE_LINK441"/>
      <w:bookmarkStart w:id="12" w:name="OLE_LINK442"/>
      <w:bookmarkStart w:id="13" w:name="OLE_LINK1032"/>
      <w:bookmarkStart w:id="14" w:name="OLE_LINK1232"/>
      <w:bookmarkStart w:id="15" w:name="OLE_LINK559"/>
      <w:bookmarkStart w:id="16" w:name="OLE_LINK878"/>
      <w:bookmarkStart w:id="17"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8" w:name="OLE_LINK479"/>
      <w:bookmarkStart w:id="19" w:name="OLE_LINK496"/>
      <w:bookmarkStart w:id="20" w:name="OLE_LINK506"/>
      <w:bookmarkStart w:id="21"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10"/>
      <w:bookmarkEnd w:id="18"/>
      <w:bookmarkEnd w:id="19"/>
      <w:bookmarkEnd w:id="20"/>
      <w:bookmarkEnd w:id="21"/>
    </w:p>
    <w:bookmarkEnd w:id="11"/>
    <w:bookmarkEnd w:id="12"/>
    <w:bookmarkEnd w:id="13"/>
    <w:bookmarkEnd w:id="14"/>
    <w:bookmarkEnd w:id="15"/>
    <w:p w14:paraId="43BB1E63" w14:textId="77777777" w:rsidR="00BC35BF" w:rsidRDefault="00BC35BF" w:rsidP="009F013B">
      <w:pPr>
        <w:pStyle w:val="1"/>
        <w:snapToGrid w:val="0"/>
        <w:spacing w:line="360" w:lineRule="auto"/>
        <w:jc w:val="both"/>
        <w:rPr>
          <w:rFonts w:ascii="Book Antiqua" w:hAnsi="Book Antiqua" w:cs="Times New Roman"/>
          <w:b/>
          <w:bCs/>
          <w:color w:val="FF0000"/>
          <w:sz w:val="24"/>
          <w:highlight w:val="white"/>
          <w:lang w:val="en-US" w:eastAsia="zh-CN"/>
        </w:rPr>
      </w:pPr>
    </w:p>
    <w:p w14:paraId="20E9A253" w14:textId="429E7007" w:rsidR="00BC35BF" w:rsidRDefault="00BC35BF" w:rsidP="009F013B">
      <w:pPr>
        <w:snapToGrid w:val="0"/>
        <w:spacing w:after="0" w:line="360" w:lineRule="auto"/>
        <w:jc w:val="both"/>
        <w:rPr>
          <w:rFonts w:ascii="Book Antiqua" w:hAnsi="Book Antiqua" w:cs="Times New Roman"/>
          <w:bCs/>
          <w:sz w:val="24"/>
          <w:lang w:eastAsia="zh-CN"/>
        </w:rPr>
      </w:pPr>
      <w:r w:rsidRPr="00A70FD4">
        <w:rPr>
          <w:rFonts w:ascii="Book Antiqua" w:hAnsi="Book Antiqua" w:cs="Times New Roman"/>
          <w:b/>
          <w:bCs/>
          <w:sz w:val="24"/>
          <w:highlight w:val="white"/>
        </w:rPr>
        <w:t>Manuscript source:</w:t>
      </w:r>
      <w:r>
        <w:rPr>
          <w:rFonts w:ascii="Book Antiqua" w:hAnsi="Book Antiqua" w:cs="Times New Roman" w:hint="eastAsia"/>
          <w:b/>
          <w:bCs/>
          <w:sz w:val="24"/>
          <w:highlight w:val="white"/>
          <w:lang w:eastAsia="zh-CN"/>
        </w:rPr>
        <w:t xml:space="preserve"> </w:t>
      </w:r>
      <w:r w:rsidRPr="00A70FD4">
        <w:rPr>
          <w:rFonts w:ascii="Book Antiqua" w:hAnsi="Book Antiqua" w:cs="Times New Roman"/>
          <w:bCs/>
          <w:sz w:val="24"/>
          <w:highlight w:val="white"/>
        </w:rPr>
        <w:t>Unsolicited manuscript</w:t>
      </w:r>
      <w:bookmarkEnd w:id="16"/>
      <w:bookmarkEnd w:id="17"/>
    </w:p>
    <w:p w14:paraId="533CA392" w14:textId="77777777" w:rsidR="00BC35BF" w:rsidRPr="00B40E91" w:rsidRDefault="00BC35BF" w:rsidP="009F013B">
      <w:pPr>
        <w:snapToGrid w:val="0"/>
        <w:spacing w:after="0" w:line="360" w:lineRule="auto"/>
        <w:jc w:val="both"/>
        <w:rPr>
          <w:rFonts w:ascii="Book Antiqua" w:hAnsi="Book Antiqua"/>
          <w:sz w:val="24"/>
          <w:szCs w:val="24"/>
          <w:lang w:eastAsia="zh-CN"/>
        </w:rPr>
      </w:pPr>
    </w:p>
    <w:p w14:paraId="700D3BD9" w14:textId="58EFC242" w:rsidR="0036054C" w:rsidRPr="00B40E91" w:rsidRDefault="0036054C" w:rsidP="009F013B">
      <w:pPr>
        <w:snapToGrid w:val="0"/>
        <w:spacing w:after="0" w:line="360" w:lineRule="auto"/>
        <w:jc w:val="both"/>
        <w:rPr>
          <w:rFonts w:ascii="Book Antiqua" w:hAnsi="Book Antiqua"/>
          <w:sz w:val="24"/>
          <w:szCs w:val="24"/>
          <w:lang w:eastAsia="zh-CN"/>
        </w:rPr>
      </w:pPr>
      <w:r w:rsidRPr="00B40E91">
        <w:rPr>
          <w:rFonts w:ascii="Book Antiqua" w:hAnsi="Book Antiqua"/>
          <w:b/>
          <w:sz w:val="24"/>
          <w:szCs w:val="24"/>
        </w:rPr>
        <w:t>Correspondence</w:t>
      </w:r>
      <w:r w:rsidR="00B40E91">
        <w:rPr>
          <w:rFonts w:ascii="Book Antiqua" w:hAnsi="Book Antiqua" w:hint="eastAsia"/>
          <w:b/>
          <w:sz w:val="24"/>
          <w:szCs w:val="24"/>
          <w:lang w:eastAsia="zh-CN"/>
        </w:rPr>
        <w:t xml:space="preserve"> to</w:t>
      </w:r>
      <w:r w:rsidRPr="00B40E91">
        <w:rPr>
          <w:rFonts w:ascii="Book Antiqua" w:hAnsi="Book Antiqua"/>
          <w:sz w:val="24"/>
          <w:szCs w:val="24"/>
        </w:rPr>
        <w:t>:</w:t>
      </w:r>
      <w:r w:rsidR="00B40E91">
        <w:rPr>
          <w:rFonts w:ascii="Book Antiqua" w:hAnsi="Book Antiqua" w:hint="eastAsia"/>
          <w:sz w:val="24"/>
          <w:szCs w:val="24"/>
          <w:lang w:eastAsia="zh-CN"/>
        </w:rPr>
        <w:t xml:space="preserve"> </w:t>
      </w:r>
      <w:r w:rsidRPr="00B40E91">
        <w:rPr>
          <w:rFonts w:ascii="Book Antiqua" w:hAnsi="Book Antiqua"/>
          <w:b/>
          <w:sz w:val="24"/>
          <w:szCs w:val="24"/>
        </w:rPr>
        <w:t>James D</w:t>
      </w:r>
      <w:r w:rsidR="00B40E91" w:rsidRPr="00B40E91">
        <w:rPr>
          <w:rFonts w:ascii="Book Antiqua" w:hAnsi="Book Antiqua" w:hint="eastAsia"/>
          <w:b/>
          <w:sz w:val="24"/>
          <w:szCs w:val="24"/>
          <w:lang w:eastAsia="zh-CN"/>
        </w:rPr>
        <w:t xml:space="preserve"> </w:t>
      </w:r>
      <w:r w:rsidRPr="00B40E91">
        <w:rPr>
          <w:rFonts w:ascii="Book Antiqua" w:hAnsi="Book Antiqua"/>
          <w:b/>
          <w:sz w:val="24"/>
          <w:szCs w:val="24"/>
        </w:rPr>
        <w:t>Lord, MD, PhD</w:t>
      </w:r>
      <w:r w:rsidR="00B40E91" w:rsidRPr="00B40E91">
        <w:rPr>
          <w:rFonts w:ascii="Book Antiqua" w:hAnsi="Book Antiqua" w:hint="eastAsia"/>
          <w:b/>
          <w:sz w:val="24"/>
          <w:szCs w:val="24"/>
          <w:lang w:eastAsia="zh-CN"/>
        </w:rPr>
        <w:t xml:space="preserve">, </w:t>
      </w:r>
      <w:r w:rsidRPr="00B40E91">
        <w:rPr>
          <w:rFonts w:ascii="Book Antiqua" w:hAnsi="Book Antiqua"/>
          <w:b/>
          <w:sz w:val="24"/>
          <w:szCs w:val="24"/>
        </w:rPr>
        <w:t>Research Assistant Member</w:t>
      </w:r>
      <w:r w:rsidR="00B40E91" w:rsidRPr="00B40E91">
        <w:rPr>
          <w:rFonts w:ascii="Book Antiqua" w:hAnsi="Book Antiqua" w:hint="eastAsia"/>
          <w:b/>
          <w:sz w:val="24"/>
          <w:szCs w:val="24"/>
          <w:lang w:eastAsia="zh-CN"/>
        </w:rPr>
        <w:t>,</w:t>
      </w:r>
      <w:r w:rsidR="00B40E91">
        <w:rPr>
          <w:rFonts w:ascii="Book Antiqua" w:hAnsi="Book Antiqua" w:hint="eastAsia"/>
          <w:sz w:val="24"/>
          <w:szCs w:val="24"/>
          <w:lang w:eastAsia="zh-CN"/>
        </w:rPr>
        <w:t xml:space="preserve"> </w:t>
      </w:r>
      <w:r w:rsidR="00B40E91" w:rsidRPr="00B40E91">
        <w:rPr>
          <w:rFonts w:ascii="Book Antiqua" w:hAnsi="Book Antiqua"/>
          <w:sz w:val="24"/>
          <w:szCs w:val="24"/>
        </w:rPr>
        <w:t>Translational Research Program, Benaroya Research Institute,</w:t>
      </w:r>
      <w:r w:rsidR="00B40E91">
        <w:rPr>
          <w:rFonts w:ascii="Book Antiqua" w:hAnsi="Book Antiqua" w:hint="eastAsia"/>
          <w:sz w:val="24"/>
          <w:szCs w:val="24"/>
          <w:lang w:eastAsia="zh-CN"/>
        </w:rPr>
        <w:t xml:space="preserve"> </w:t>
      </w:r>
      <w:r w:rsidRPr="00B40E91">
        <w:rPr>
          <w:rFonts w:ascii="Book Antiqua" w:hAnsi="Book Antiqua"/>
          <w:sz w:val="24"/>
          <w:szCs w:val="24"/>
        </w:rPr>
        <w:t>1201 Ninth Avenue</w:t>
      </w:r>
      <w:r w:rsidR="00B40E91">
        <w:rPr>
          <w:rFonts w:ascii="Book Antiqua" w:hAnsi="Book Antiqua" w:hint="eastAsia"/>
          <w:sz w:val="24"/>
          <w:szCs w:val="24"/>
          <w:lang w:eastAsia="zh-CN"/>
        </w:rPr>
        <w:t xml:space="preserve">, </w:t>
      </w:r>
      <w:r w:rsidRPr="00B40E91">
        <w:rPr>
          <w:rFonts w:ascii="Book Antiqua" w:hAnsi="Book Antiqua"/>
          <w:sz w:val="24"/>
          <w:szCs w:val="24"/>
        </w:rPr>
        <w:t xml:space="preserve">Seattle, WA 98101, </w:t>
      </w:r>
      <w:r w:rsidR="00B40E91" w:rsidRPr="00B40E91">
        <w:rPr>
          <w:rFonts w:ascii="Book Antiqua" w:hAnsi="Book Antiqua"/>
          <w:sz w:val="24"/>
          <w:szCs w:val="24"/>
        </w:rPr>
        <w:t>United States</w:t>
      </w:r>
      <w:r w:rsidR="00B40E91">
        <w:rPr>
          <w:rFonts w:ascii="Book Antiqua" w:hAnsi="Book Antiqua" w:hint="eastAsia"/>
          <w:sz w:val="24"/>
          <w:szCs w:val="24"/>
          <w:lang w:eastAsia="zh-CN"/>
        </w:rPr>
        <w:t xml:space="preserve">. </w:t>
      </w:r>
      <w:hyperlink r:id="rId8" w:history="1">
        <w:r w:rsidR="00B40E91" w:rsidRPr="00B40E91">
          <w:rPr>
            <w:rStyle w:val="Hyperlink"/>
            <w:rFonts w:ascii="Book Antiqua" w:hAnsi="Book Antiqua"/>
            <w:sz w:val="24"/>
            <w:szCs w:val="24"/>
          </w:rPr>
          <w:t>jlord@benaroyaresearch.org</w:t>
        </w:r>
      </w:hyperlink>
    </w:p>
    <w:p w14:paraId="7BB303C7" w14:textId="3981F573" w:rsidR="0036054C" w:rsidRPr="00B40E91" w:rsidRDefault="00B40E91" w:rsidP="009F013B">
      <w:pPr>
        <w:snapToGrid w:val="0"/>
        <w:spacing w:after="0" w:line="360" w:lineRule="auto"/>
        <w:jc w:val="both"/>
        <w:rPr>
          <w:rFonts w:ascii="Book Antiqua" w:hAnsi="Book Antiqua"/>
          <w:sz w:val="24"/>
          <w:szCs w:val="24"/>
        </w:rPr>
      </w:pPr>
      <w:r w:rsidRPr="00B40E91">
        <w:rPr>
          <w:rFonts w:ascii="Book Antiqua" w:hAnsi="Book Antiqua" w:hint="eastAsia"/>
          <w:b/>
          <w:sz w:val="24"/>
          <w:szCs w:val="24"/>
          <w:lang w:val="pl-PL"/>
        </w:rPr>
        <w:t>Telephone:</w:t>
      </w:r>
      <w:r>
        <w:rPr>
          <w:rFonts w:ascii="Book Antiqua" w:hAnsi="Book Antiqua" w:hint="eastAsia"/>
          <w:sz w:val="24"/>
          <w:szCs w:val="24"/>
          <w:lang w:eastAsia="zh-CN"/>
        </w:rPr>
        <w:t xml:space="preserve"> +1-</w:t>
      </w:r>
      <w:r>
        <w:rPr>
          <w:rFonts w:ascii="Book Antiqua" w:hAnsi="Book Antiqua"/>
          <w:sz w:val="24"/>
          <w:szCs w:val="24"/>
        </w:rPr>
        <w:t>206-287</w:t>
      </w:r>
      <w:r w:rsidR="0036054C" w:rsidRPr="00B40E91">
        <w:rPr>
          <w:rFonts w:ascii="Book Antiqua" w:hAnsi="Book Antiqua"/>
          <w:sz w:val="24"/>
          <w:szCs w:val="24"/>
        </w:rPr>
        <w:t>1088</w:t>
      </w:r>
    </w:p>
    <w:p w14:paraId="441A5489" w14:textId="077BE9E1" w:rsidR="00B40E91" w:rsidRPr="00B40E91" w:rsidRDefault="00B40E91" w:rsidP="009F013B">
      <w:pPr>
        <w:snapToGrid w:val="0"/>
        <w:spacing w:after="0" w:line="360" w:lineRule="auto"/>
        <w:jc w:val="both"/>
        <w:rPr>
          <w:rFonts w:ascii="Book Antiqua" w:hAnsi="Book Antiqua"/>
          <w:sz w:val="24"/>
          <w:szCs w:val="24"/>
        </w:rPr>
      </w:pPr>
      <w:r w:rsidRPr="00B40E91">
        <w:rPr>
          <w:rFonts w:ascii="Book Antiqua" w:hAnsi="Book Antiqua"/>
          <w:b/>
          <w:sz w:val="24"/>
          <w:szCs w:val="24"/>
        </w:rPr>
        <w:t>Fax:</w:t>
      </w:r>
      <w:r w:rsidRPr="00B40E91">
        <w:rPr>
          <w:rFonts w:ascii="Book Antiqua" w:hAnsi="Book Antiqua" w:hint="eastAsia"/>
          <w:sz w:val="24"/>
          <w:szCs w:val="24"/>
          <w:lang w:eastAsia="zh-CN"/>
        </w:rPr>
        <w:t xml:space="preserve"> </w:t>
      </w:r>
      <w:r>
        <w:rPr>
          <w:rFonts w:ascii="Book Antiqua" w:hAnsi="Book Antiqua" w:hint="eastAsia"/>
          <w:sz w:val="24"/>
          <w:szCs w:val="24"/>
          <w:lang w:eastAsia="zh-CN"/>
        </w:rPr>
        <w:t>+1-</w:t>
      </w:r>
      <w:r>
        <w:rPr>
          <w:rFonts w:ascii="Book Antiqua" w:hAnsi="Book Antiqua"/>
          <w:sz w:val="24"/>
          <w:szCs w:val="24"/>
        </w:rPr>
        <w:t>206-287</w:t>
      </w:r>
      <w:r w:rsidRPr="00B40E91">
        <w:rPr>
          <w:rFonts w:ascii="Book Antiqua" w:hAnsi="Book Antiqua"/>
          <w:sz w:val="24"/>
          <w:szCs w:val="24"/>
        </w:rPr>
        <w:t>5682</w:t>
      </w:r>
    </w:p>
    <w:p w14:paraId="4129E6F5" w14:textId="77777777" w:rsidR="00B40E91" w:rsidRDefault="00B40E91" w:rsidP="009F013B">
      <w:pPr>
        <w:snapToGrid w:val="0"/>
        <w:spacing w:after="0" w:line="360" w:lineRule="auto"/>
        <w:jc w:val="both"/>
        <w:rPr>
          <w:rFonts w:ascii="Book Antiqua" w:hAnsi="Book Antiqua"/>
          <w:sz w:val="24"/>
          <w:szCs w:val="24"/>
          <w:lang w:eastAsia="zh-CN"/>
        </w:rPr>
      </w:pPr>
    </w:p>
    <w:p w14:paraId="7C65B8CC" w14:textId="62EC5879" w:rsidR="00BC35BF" w:rsidRPr="00BC35BF" w:rsidRDefault="00BC35BF" w:rsidP="009F013B">
      <w:pPr>
        <w:snapToGrid w:val="0"/>
        <w:spacing w:after="0" w:line="360" w:lineRule="auto"/>
        <w:jc w:val="both"/>
        <w:rPr>
          <w:rFonts w:ascii="Book Antiqua" w:hAnsi="Book Antiqua"/>
          <w:b/>
          <w:sz w:val="24"/>
          <w:szCs w:val="24"/>
          <w:lang w:eastAsia="zh-CN"/>
        </w:rPr>
      </w:pPr>
      <w:bookmarkStart w:id="22" w:name="OLE_LINK952"/>
      <w:r w:rsidRPr="00BC35BF">
        <w:rPr>
          <w:rFonts w:ascii="Book Antiqua" w:hAnsi="Book Antiqua"/>
          <w:b/>
          <w:sz w:val="24"/>
          <w:szCs w:val="24"/>
          <w:lang w:eastAsia="zh-CN"/>
        </w:rPr>
        <w:t>Received:</w:t>
      </w:r>
      <w:r>
        <w:rPr>
          <w:rFonts w:ascii="Book Antiqua" w:hAnsi="Book Antiqua" w:hint="eastAsia"/>
          <w:b/>
          <w:sz w:val="24"/>
          <w:szCs w:val="24"/>
          <w:lang w:eastAsia="zh-CN"/>
        </w:rPr>
        <w:t xml:space="preserve"> </w:t>
      </w:r>
      <w:r w:rsidRPr="00BC35BF">
        <w:rPr>
          <w:rFonts w:ascii="Book Antiqua" w:hAnsi="Book Antiqua" w:hint="eastAsia"/>
          <w:sz w:val="24"/>
          <w:szCs w:val="24"/>
          <w:lang w:eastAsia="zh-CN"/>
        </w:rPr>
        <w:t>December 15, 2016</w:t>
      </w:r>
    </w:p>
    <w:p w14:paraId="656F62F7" w14:textId="3252C379" w:rsidR="00BC35BF" w:rsidRPr="00BC35BF" w:rsidRDefault="00BC35BF" w:rsidP="009F013B">
      <w:pPr>
        <w:snapToGrid w:val="0"/>
        <w:spacing w:after="0" w:line="360" w:lineRule="auto"/>
        <w:jc w:val="both"/>
        <w:rPr>
          <w:rFonts w:ascii="Book Antiqua" w:hAnsi="Book Antiqua"/>
          <w:b/>
          <w:sz w:val="24"/>
          <w:szCs w:val="24"/>
          <w:lang w:eastAsia="zh-CN"/>
        </w:rPr>
      </w:pPr>
      <w:r w:rsidRPr="00BC35BF">
        <w:rPr>
          <w:rFonts w:ascii="Book Antiqua" w:hAnsi="Book Antiqua"/>
          <w:b/>
          <w:sz w:val="24"/>
          <w:szCs w:val="24"/>
          <w:lang w:eastAsia="zh-CN"/>
        </w:rPr>
        <w:t>Peer-review started:</w:t>
      </w:r>
      <w:r>
        <w:rPr>
          <w:rFonts w:ascii="Book Antiqua" w:hAnsi="Book Antiqua" w:hint="eastAsia"/>
          <w:b/>
          <w:sz w:val="24"/>
          <w:szCs w:val="24"/>
          <w:lang w:eastAsia="zh-CN"/>
        </w:rPr>
        <w:t xml:space="preserve"> </w:t>
      </w:r>
      <w:r w:rsidRPr="00BC35BF">
        <w:rPr>
          <w:rFonts w:ascii="Book Antiqua" w:hAnsi="Book Antiqua" w:hint="eastAsia"/>
          <w:sz w:val="24"/>
          <w:szCs w:val="24"/>
          <w:lang w:eastAsia="zh-CN"/>
        </w:rPr>
        <w:t>December 1</w:t>
      </w:r>
      <w:r>
        <w:rPr>
          <w:rFonts w:ascii="Book Antiqua" w:hAnsi="Book Antiqua" w:hint="eastAsia"/>
          <w:sz w:val="24"/>
          <w:szCs w:val="24"/>
          <w:lang w:eastAsia="zh-CN"/>
        </w:rPr>
        <w:t>7</w:t>
      </w:r>
      <w:r w:rsidRPr="00BC35BF">
        <w:rPr>
          <w:rFonts w:ascii="Book Antiqua" w:hAnsi="Book Antiqua" w:hint="eastAsia"/>
          <w:sz w:val="24"/>
          <w:szCs w:val="24"/>
          <w:lang w:eastAsia="zh-CN"/>
        </w:rPr>
        <w:t>, 2016</w:t>
      </w:r>
    </w:p>
    <w:p w14:paraId="7D349D7B" w14:textId="3AAF48E9" w:rsidR="00BC35BF" w:rsidRPr="00BC35BF" w:rsidRDefault="00BC35BF" w:rsidP="009F013B">
      <w:pPr>
        <w:snapToGrid w:val="0"/>
        <w:spacing w:after="0" w:line="360" w:lineRule="auto"/>
        <w:jc w:val="both"/>
        <w:rPr>
          <w:rFonts w:ascii="Book Antiqua" w:hAnsi="Book Antiqua"/>
          <w:b/>
          <w:sz w:val="24"/>
          <w:szCs w:val="24"/>
          <w:lang w:eastAsia="zh-CN"/>
        </w:rPr>
      </w:pPr>
      <w:r w:rsidRPr="00BC35BF">
        <w:rPr>
          <w:rFonts w:ascii="Book Antiqua" w:hAnsi="Book Antiqua"/>
          <w:b/>
          <w:sz w:val="24"/>
          <w:szCs w:val="24"/>
          <w:lang w:eastAsia="zh-CN"/>
        </w:rPr>
        <w:t>First decision:</w:t>
      </w:r>
      <w:r>
        <w:rPr>
          <w:rFonts w:ascii="Book Antiqua" w:hAnsi="Book Antiqua" w:hint="eastAsia"/>
          <w:b/>
          <w:sz w:val="24"/>
          <w:szCs w:val="24"/>
          <w:lang w:eastAsia="zh-CN"/>
        </w:rPr>
        <w:t xml:space="preserve"> </w:t>
      </w:r>
      <w:r w:rsidRPr="00BC35BF">
        <w:rPr>
          <w:rFonts w:ascii="Book Antiqua" w:hAnsi="Book Antiqua" w:hint="eastAsia"/>
          <w:sz w:val="24"/>
          <w:szCs w:val="24"/>
          <w:lang w:eastAsia="zh-CN"/>
        </w:rPr>
        <w:t xml:space="preserve">December </w:t>
      </w:r>
      <w:r>
        <w:rPr>
          <w:rFonts w:ascii="Book Antiqua" w:hAnsi="Book Antiqua" w:hint="eastAsia"/>
          <w:sz w:val="24"/>
          <w:szCs w:val="24"/>
          <w:lang w:eastAsia="zh-CN"/>
        </w:rPr>
        <w:t>29</w:t>
      </w:r>
      <w:r w:rsidRPr="00BC35BF">
        <w:rPr>
          <w:rFonts w:ascii="Book Antiqua" w:hAnsi="Book Antiqua" w:hint="eastAsia"/>
          <w:sz w:val="24"/>
          <w:szCs w:val="24"/>
          <w:lang w:eastAsia="zh-CN"/>
        </w:rPr>
        <w:t>, 2016</w:t>
      </w:r>
    </w:p>
    <w:p w14:paraId="668A6C45" w14:textId="43CCA013" w:rsidR="00BC35BF" w:rsidRPr="00BC35BF" w:rsidRDefault="00BC35BF" w:rsidP="009F013B">
      <w:pPr>
        <w:snapToGrid w:val="0"/>
        <w:spacing w:after="0" w:line="360" w:lineRule="auto"/>
        <w:jc w:val="both"/>
        <w:rPr>
          <w:rFonts w:ascii="Book Antiqua" w:hAnsi="Book Antiqua"/>
          <w:b/>
          <w:sz w:val="24"/>
          <w:szCs w:val="24"/>
          <w:lang w:eastAsia="zh-CN"/>
        </w:rPr>
      </w:pPr>
      <w:r w:rsidRPr="00BC35BF">
        <w:rPr>
          <w:rFonts w:ascii="Book Antiqua" w:hAnsi="Book Antiqua"/>
          <w:b/>
          <w:sz w:val="24"/>
          <w:szCs w:val="24"/>
          <w:lang w:eastAsia="zh-CN"/>
        </w:rPr>
        <w:t>Revised:</w:t>
      </w:r>
      <w:r w:rsidRPr="00BC35BF">
        <w:rPr>
          <w:rFonts w:ascii="Book Antiqua" w:hAnsi="Book Antiqua" w:hint="eastAsia"/>
          <w:sz w:val="24"/>
          <w:szCs w:val="24"/>
          <w:lang w:eastAsia="zh-CN"/>
        </w:rPr>
        <w:t xml:space="preserve"> January 27, 2017</w:t>
      </w:r>
    </w:p>
    <w:p w14:paraId="6768852E" w14:textId="19947C1E" w:rsidR="00BC35BF" w:rsidRPr="0001741A" w:rsidRDefault="00BC35BF" w:rsidP="0001741A">
      <w:pPr>
        <w:spacing w:line="360" w:lineRule="auto"/>
        <w:rPr>
          <w:rFonts w:ascii="Book Antiqua" w:hAnsi="Book Antiqua"/>
          <w:color w:val="000000"/>
          <w:sz w:val="24"/>
        </w:rPr>
      </w:pPr>
      <w:r w:rsidRPr="00BC35BF">
        <w:rPr>
          <w:rFonts w:ascii="Book Antiqua" w:hAnsi="Book Antiqua"/>
          <w:b/>
          <w:sz w:val="24"/>
          <w:szCs w:val="24"/>
          <w:lang w:eastAsia="zh-CN"/>
        </w:rPr>
        <w:t>Accepted:</w:t>
      </w:r>
      <w:bookmarkStart w:id="23" w:name="OLE_LINK116"/>
      <w:bookmarkStart w:id="24" w:name="OLE_LINK117"/>
      <w:r w:rsidR="0001741A" w:rsidRPr="0001741A">
        <w:rPr>
          <w:rFonts w:ascii="Book Antiqua" w:hAnsi="Book Antiqua"/>
          <w:color w:val="000000"/>
          <w:sz w:val="24"/>
        </w:rPr>
        <w:t xml:space="preserve"> </w:t>
      </w:r>
      <w:r w:rsidR="0001741A">
        <w:rPr>
          <w:rFonts w:ascii="Book Antiqua" w:hAnsi="Book Antiqua"/>
          <w:color w:val="000000"/>
          <w:sz w:val="24"/>
        </w:rPr>
        <w:t>March 15, 2017</w:t>
      </w:r>
      <w:bookmarkStart w:id="25" w:name="_GoBack"/>
      <w:bookmarkEnd w:id="23"/>
      <w:bookmarkEnd w:id="24"/>
      <w:bookmarkEnd w:id="25"/>
    </w:p>
    <w:p w14:paraId="2FCA280E" w14:textId="77777777" w:rsidR="00BC35BF" w:rsidRPr="00BC35BF" w:rsidRDefault="00BC35BF" w:rsidP="009F013B">
      <w:pPr>
        <w:snapToGrid w:val="0"/>
        <w:spacing w:after="0" w:line="360" w:lineRule="auto"/>
        <w:jc w:val="both"/>
        <w:rPr>
          <w:rFonts w:ascii="Book Antiqua" w:hAnsi="Book Antiqua"/>
          <w:b/>
          <w:sz w:val="24"/>
          <w:szCs w:val="24"/>
          <w:lang w:eastAsia="zh-CN"/>
        </w:rPr>
      </w:pPr>
      <w:r w:rsidRPr="00BC35BF">
        <w:rPr>
          <w:rFonts w:ascii="Book Antiqua" w:hAnsi="Book Antiqua"/>
          <w:b/>
          <w:sz w:val="24"/>
          <w:szCs w:val="24"/>
          <w:lang w:eastAsia="zh-CN"/>
        </w:rPr>
        <w:t>Article in press:</w:t>
      </w:r>
    </w:p>
    <w:p w14:paraId="5A9B9F16" w14:textId="0494D3FD" w:rsidR="0036054C" w:rsidRPr="00BC35BF" w:rsidRDefault="00BC35BF" w:rsidP="009F013B">
      <w:pPr>
        <w:snapToGrid w:val="0"/>
        <w:spacing w:after="0" w:line="360" w:lineRule="auto"/>
        <w:jc w:val="both"/>
        <w:rPr>
          <w:rFonts w:ascii="Book Antiqua" w:hAnsi="Book Antiqua"/>
          <w:b/>
          <w:sz w:val="24"/>
          <w:szCs w:val="24"/>
          <w:lang w:val="pl-PL" w:eastAsia="zh-CN"/>
        </w:rPr>
      </w:pPr>
      <w:r w:rsidRPr="00BC35BF">
        <w:rPr>
          <w:rFonts w:ascii="Book Antiqua" w:hAnsi="Book Antiqua"/>
          <w:b/>
          <w:sz w:val="24"/>
          <w:szCs w:val="24"/>
          <w:lang w:val="pl-PL" w:eastAsia="zh-CN"/>
        </w:rPr>
        <w:lastRenderedPageBreak/>
        <w:t>Published online</w:t>
      </w:r>
      <w:r w:rsidRPr="00BC35BF">
        <w:rPr>
          <w:rFonts w:ascii="Book Antiqua" w:hAnsi="Book Antiqua" w:hint="eastAsia"/>
          <w:b/>
          <w:sz w:val="24"/>
          <w:szCs w:val="24"/>
          <w:lang w:val="pl-PL" w:eastAsia="zh-CN"/>
        </w:rPr>
        <w:t>:</w:t>
      </w:r>
      <w:bookmarkEnd w:id="22"/>
      <w:r w:rsidR="0036054C" w:rsidRPr="00B40E91">
        <w:rPr>
          <w:rFonts w:ascii="Book Antiqua" w:hAnsi="Book Antiqua"/>
          <w:sz w:val="24"/>
          <w:szCs w:val="24"/>
        </w:rPr>
        <w:br w:type="page"/>
      </w:r>
    </w:p>
    <w:p w14:paraId="1F32FA71" w14:textId="0364F052" w:rsidR="0036054C" w:rsidRPr="00B40E91" w:rsidRDefault="00BC35BF" w:rsidP="009F013B">
      <w:pPr>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Abstract</w:t>
      </w:r>
    </w:p>
    <w:p w14:paraId="694045D2" w14:textId="77777777" w:rsidR="00BC35BF" w:rsidRPr="00BC35BF" w:rsidRDefault="0036054C" w:rsidP="009F013B">
      <w:pPr>
        <w:snapToGrid w:val="0"/>
        <w:spacing w:after="0" w:line="360" w:lineRule="auto"/>
        <w:jc w:val="both"/>
        <w:rPr>
          <w:rFonts w:ascii="Book Antiqua" w:hAnsi="Book Antiqua"/>
          <w:b/>
          <w:i/>
          <w:caps/>
          <w:sz w:val="24"/>
          <w:szCs w:val="24"/>
          <w:lang w:eastAsia="zh-CN"/>
        </w:rPr>
      </w:pPr>
      <w:r w:rsidRPr="00BC35BF">
        <w:rPr>
          <w:rFonts w:ascii="Book Antiqua" w:hAnsi="Book Antiqua"/>
          <w:b/>
          <w:i/>
          <w:caps/>
          <w:sz w:val="24"/>
          <w:szCs w:val="24"/>
        </w:rPr>
        <w:t>Aim</w:t>
      </w:r>
    </w:p>
    <w:p w14:paraId="01BE86AA" w14:textId="387E078B" w:rsidR="0036054C" w:rsidRPr="00B40E91" w:rsidRDefault="0036054C" w:rsidP="009F013B">
      <w:pPr>
        <w:snapToGrid w:val="0"/>
        <w:spacing w:after="0" w:line="360" w:lineRule="auto"/>
        <w:jc w:val="both"/>
        <w:rPr>
          <w:rFonts w:ascii="Book Antiqua" w:hAnsi="Book Antiqua"/>
          <w:sz w:val="24"/>
          <w:szCs w:val="24"/>
          <w:lang w:eastAsia="zh-CN"/>
        </w:rPr>
      </w:pPr>
      <w:r w:rsidRPr="00B40E91">
        <w:rPr>
          <w:rFonts w:ascii="Book Antiqua" w:hAnsi="Book Antiqua"/>
          <w:sz w:val="24"/>
          <w:szCs w:val="24"/>
        </w:rPr>
        <w:t xml:space="preserve">To identify which blood and mucosal lymphocyte populations are specifically depleted by thiopurine use </w:t>
      </w:r>
      <w:r w:rsidR="00635B48" w:rsidRPr="00B40E91">
        <w:rPr>
          <w:rFonts w:ascii="Book Antiqua" w:hAnsi="Book Antiqua"/>
          <w:i/>
          <w:sz w:val="24"/>
          <w:szCs w:val="24"/>
        </w:rPr>
        <w:t>in vivo</w:t>
      </w:r>
      <w:r w:rsidR="00BC35BF">
        <w:rPr>
          <w:rFonts w:ascii="Book Antiqua" w:hAnsi="Book Antiqua"/>
          <w:sz w:val="24"/>
          <w:szCs w:val="24"/>
        </w:rPr>
        <w:t>.</w:t>
      </w:r>
    </w:p>
    <w:p w14:paraId="251CBCD8" w14:textId="77777777" w:rsidR="00BC35BF" w:rsidRDefault="00BC35BF" w:rsidP="009F013B">
      <w:pPr>
        <w:snapToGrid w:val="0"/>
        <w:spacing w:after="0" w:line="360" w:lineRule="auto"/>
        <w:jc w:val="both"/>
        <w:rPr>
          <w:rFonts w:ascii="Book Antiqua" w:hAnsi="Book Antiqua"/>
          <w:b/>
          <w:sz w:val="24"/>
          <w:szCs w:val="24"/>
          <w:lang w:eastAsia="zh-CN"/>
        </w:rPr>
      </w:pPr>
    </w:p>
    <w:p w14:paraId="4D20B42B" w14:textId="77777777" w:rsidR="00BC35BF" w:rsidRPr="00BC35BF" w:rsidRDefault="0036054C" w:rsidP="009F013B">
      <w:pPr>
        <w:snapToGrid w:val="0"/>
        <w:spacing w:after="0" w:line="360" w:lineRule="auto"/>
        <w:jc w:val="both"/>
        <w:rPr>
          <w:rFonts w:ascii="Book Antiqua" w:hAnsi="Book Antiqua"/>
          <w:i/>
          <w:caps/>
          <w:sz w:val="24"/>
          <w:szCs w:val="24"/>
          <w:lang w:eastAsia="zh-CN"/>
        </w:rPr>
      </w:pPr>
      <w:r w:rsidRPr="00BC35BF">
        <w:rPr>
          <w:rFonts w:ascii="Book Antiqua" w:hAnsi="Book Antiqua"/>
          <w:b/>
          <w:i/>
          <w:caps/>
          <w:sz w:val="24"/>
          <w:szCs w:val="24"/>
        </w:rPr>
        <w:t>Methods</w:t>
      </w:r>
    </w:p>
    <w:p w14:paraId="22AECF6A" w14:textId="7CDFC163" w:rsidR="0036054C" w:rsidRPr="00B40E91" w:rsidRDefault="0036054C" w:rsidP="009F013B">
      <w:pPr>
        <w:snapToGrid w:val="0"/>
        <w:spacing w:after="0" w:line="360" w:lineRule="auto"/>
        <w:jc w:val="both"/>
        <w:rPr>
          <w:rFonts w:ascii="Book Antiqua" w:hAnsi="Book Antiqua"/>
          <w:sz w:val="24"/>
          <w:szCs w:val="24"/>
          <w:lang w:eastAsia="zh-CN"/>
        </w:rPr>
      </w:pPr>
      <w:r w:rsidRPr="00B40E91">
        <w:rPr>
          <w:rFonts w:ascii="Book Antiqua" w:hAnsi="Book Antiqua"/>
          <w:sz w:val="24"/>
          <w:szCs w:val="24"/>
        </w:rPr>
        <w:t xml:space="preserve">The thiopurines azathioprine and 6-mercaptopurine have been a mainstay of </w:t>
      </w:r>
      <w:r w:rsidR="00BC35BF" w:rsidRPr="00BC35BF">
        <w:rPr>
          <w:rFonts w:ascii="Book Antiqua" w:hAnsi="Book Antiqua"/>
          <w:sz w:val="24"/>
          <w:szCs w:val="24"/>
        </w:rPr>
        <w:t>inflammatory bowel disease (IBD)</w:t>
      </w:r>
      <w:r w:rsidRPr="00B40E91">
        <w:rPr>
          <w:rFonts w:ascii="Book Antiqua" w:hAnsi="Book Antiqua"/>
          <w:sz w:val="24"/>
          <w:szCs w:val="24"/>
        </w:rPr>
        <w:t xml:space="preserve"> therapy for decades, but their mechanism of action </w:t>
      </w:r>
      <w:r w:rsidRPr="00B40E91">
        <w:rPr>
          <w:rFonts w:ascii="Book Antiqua" w:hAnsi="Book Antiqua"/>
          <w:i/>
          <w:sz w:val="24"/>
          <w:szCs w:val="24"/>
        </w:rPr>
        <w:t>in vivo</w:t>
      </w:r>
      <w:r w:rsidRPr="00B40E91">
        <w:rPr>
          <w:rFonts w:ascii="Book Antiqua" w:hAnsi="Book Antiqua"/>
          <w:sz w:val="24"/>
          <w:szCs w:val="24"/>
        </w:rPr>
        <w:t xml:space="preserve"> remains obscure.</w:t>
      </w:r>
      <w:r w:rsidR="00BC35BF">
        <w:rPr>
          <w:rFonts w:ascii="Book Antiqua" w:hAnsi="Book Antiqua"/>
          <w:sz w:val="24"/>
          <w:szCs w:val="24"/>
        </w:rPr>
        <w:t xml:space="preserve"> </w:t>
      </w:r>
      <w:r w:rsidRPr="00B40E91">
        <w:rPr>
          <w:rFonts w:ascii="Book Antiqua" w:hAnsi="Book Antiqua"/>
          <w:sz w:val="24"/>
          <w:szCs w:val="24"/>
        </w:rPr>
        <w:t xml:space="preserve">Although thiopurines are lymphotoxic at high doses, and have been reported to cause T cell apoptosis </w:t>
      </w:r>
      <w:r w:rsidR="00635B48" w:rsidRPr="00B40E91">
        <w:rPr>
          <w:rFonts w:ascii="Book Antiqua" w:hAnsi="Book Antiqua"/>
          <w:i/>
          <w:sz w:val="24"/>
          <w:szCs w:val="24"/>
        </w:rPr>
        <w:t>in vitro</w:t>
      </w:r>
      <w:r w:rsidRPr="00B40E91">
        <w:rPr>
          <w:rFonts w:ascii="Book Antiqua" w:hAnsi="Book Antiqua"/>
          <w:sz w:val="24"/>
          <w:szCs w:val="24"/>
        </w:rPr>
        <w:t>, their ability to control IBD at lower doses suggests that they may selectively deplete particular lymphocyte populations.</w:t>
      </w:r>
      <w:r w:rsidR="00BC35BF">
        <w:rPr>
          <w:rFonts w:ascii="Book Antiqua" w:hAnsi="Book Antiqua"/>
          <w:sz w:val="24"/>
          <w:szCs w:val="24"/>
        </w:rPr>
        <w:t xml:space="preserve"> </w:t>
      </w:r>
      <w:r w:rsidRPr="00B40E91">
        <w:rPr>
          <w:rFonts w:ascii="Book Antiqua" w:hAnsi="Book Antiqua"/>
          <w:sz w:val="24"/>
          <w:szCs w:val="24"/>
        </w:rPr>
        <w:t>Blood cells from 19 IBD patients on a thiopurine, 19 IBD patients not on a thiopurine, and 38 matched healthy control subjects were analyzed by multiple multi-color flow cytometry panels to quantify the immune cell subsets contained therein, both as a percent of cells, and as an absolute cell count.</w:t>
      </w:r>
      <w:r w:rsidR="00BC35BF">
        <w:rPr>
          <w:rFonts w:ascii="Book Antiqua" w:hAnsi="Book Antiqua"/>
          <w:sz w:val="24"/>
          <w:szCs w:val="24"/>
        </w:rPr>
        <w:t xml:space="preserve"> </w:t>
      </w:r>
      <w:r w:rsidRPr="00B40E91">
        <w:rPr>
          <w:rFonts w:ascii="Book Antiqua" w:hAnsi="Book Antiqua"/>
          <w:sz w:val="24"/>
          <w:szCs w:val="24"/>
        </w:rPr>
        <w:t>Similar analyses were performed on colon biopsies from 17 IBD patients on a thiopurine, 17 IBD patients not on a thiopurine, and 49 healthy screening colonoscopy recipients</w:t>
      </w:r>
      <w:r w:rsidR="00BC35BF">
        <w:rPr>
          <w:rFonts w:ascii="Book Antiqua" w:hAnsi="Book Antiqua"/>
          <w:sz w:val="24"/>
          <w:szCs w:val="24"/>
        </w:rPr>
        <w:t>.</w:t>
      </w:r>
    </w:p>
    <w:p w14:paraId="0D34F1C3" w14:textId="77777777" w:rsidR="00BC35BF" w:rsidRDefault="00BC35BF" w:rsidP="009F013B">
      <w:pPr>
        <w:snapToGrid w:val="0"/>
        <w:spacing w:after="0" w:line="360" w:lineRule="auto"/>
        <w:jc w:val="both"/>
        <w:rPr>
          <w:rFonts w:ascii="Book Antiqua" w:hAnsi="Book Antiqua"/>
          <w:b/>
          <w:sz w:val="24"/>
          <w:szCs w:val="24"/>
          <w:lang w:eastAsia="zh-CN"/>
        </w:rPr>
      </w:pPr>
    </w:p>
    <w:p w14:paraId="767802FB" w14:textId="77777777" w:rsidR="00BC35BF" w:rsidRPr="00BC35BF" w:rsidRDefault="0036054C" w:rsidP="009F013B">
      <w:pPr>
        <w:snapToGrid w:val="0"/>
        <w:spacing w:after="0" w:line="360" w:lineRule="auto"/>
        <w:jc w:val="both"/>
        <w:rPr>
          <w:rFonts w:ascii="Book Antiqua" w:hAnsi="Book Antiqua"/>
          <w:i/>
          <w:caps/>
          <w:sz w:val="24"/>
          <w:szCs w:val="24"/>
          <w:lang w:eastAsia="zh-CN"/>
        </w:rPr>
      </w:pPr>
      <w:r w:rsidRPr="00BC35BF">
        <w:rPr>
          <w:rFonts w:ascii="Book Antiqua" w:hAnsi="Book Antiqua"/>
          <w:b/>
          <w:i/>
          <w:caps/>
          <w:sz w:val="24"/>
          <w:szCs w:val="24"/>
        </w:rPr>
        <w:t>Results</w:t>
      </w:r>
    </w:p>
    <w:p w14:paraId="2757E24D" w14:textId="265B75F3"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sz w:val="24"/>
          <w:szCs w:val="24"/>
        </w:rPr>
        <w:t>Complete blood counts revealed lower lymphocyte, but not monocyte or granulocyte, counts in IBD patients who were taking thiopurines at the time of sampling.</w:t>
      </w:r>
      <w:r w:rsidR="00BC35BF">
        <w:rPr>
          <w:rFonts w:ascii="Book Antiqua" w:hAnsi="Book Antiqua" w:hint="eastAsia"/>
          <w:sz w:val="24"/>
          <w:szCs w:val="24"/>
          <w:lang w:eastAsia="zh-CN"/>
        </w:rPr>
        <w:t xml:space="preserve"> </w:t>
      </w:r>
      <w:r w:rsidRPr="00B40E91">
        <w:rPr>
          <w:rFonts w:ascii="Book Antiqua" w:hAnsi="Book Antiqua"/>
          <w:sz w:val="24"/>
          <w:szCs w:val="24"/>
        </w:rPr>
        <w:t>This reduction was restricted to CD3-negative lymphocytes, wherein both natural killer (NK) and B cells were significantly reduced among thiopurine recipients.</w:t>
      </w:r>
      <w:r w:rsidR="00BC35BF">
        <w:rPr>
          <w:rFonts w:ascii="Book Antiqua" w:hAnsi="Book Antiqua"/>
          <w:sz w:val="24"/>
          <w:szCs w:val="24"/>
        </w:rPr>
        <w:t xml:space="preserve"> </w:t>
      </w:r>
      <w:r w:rsidRPr="00B40E91">
        <w:rPr>
          <w:rFonts w:ascii="Book Antiqua" w:hAnsi="Book Antiqua"/>
          <w:sz w:val="24"/>
          <w:szCs w:val="24"/>
        </w:rPr>
        <w:t>Among CD19+ B cells, the transitional B cells were particularly depleted, being nearly absent in both blood and colon biopsies of thiopurine recipients.</w:t>
      </w:r>
      <w:r w:rsidR="00BC35BF">
        <w:rPr>
          <w:rFonts w:ascii="Book Antiqua" w:hAnsi="Book Antiqua"/>
          <w:sz w:val="24"/>
          <w:szCs w:val="24"/>
        </w:rPr>
        <w:t xml:space="preserve"> </w:t>
      </w:r>
      <w:r w:rsidRPr="00B40E91">
        <w:rPr>
          <w:rFonts w:ascii="Book Antiqua" w:hAnsi="Book Antiqua"/>
          <w:sz w:val="24"/>
          <w:szCs w:val="24"/>
        </w:rPr>
        <w:t>No differences were associated with thiopurine use in CD8+ T cells, mucosa-associated invariant T (MAIT) cells, invariant natural killer T (iNKT) cells, gamma/delta T cells, Th1, Th17, regulatory T cells (Tregs) or naïve CD4+ T cells.</w:t>
      </w:r>
      <w:r w:rsidR="00BC35BF">
        <w:rPr>
          <w:rFonts w:ascii="Book Antiqua" w:hAnsi="Book Antiqua"/>
          <w:sz w:val="24"/>
          <w:szCs w:val="24"/>
        </w:rPr>
        <w:t xml:space="preserve"> </w:t>
      </w:r>
      <w:r w:rsidRPr="00B40E91">
        <w:rPr>
          <w:rFonts w:ascii="Book Antiqua" w:hAnsi="Book Antiqua"/>
          <w:sz w:val="24"/>
          <w:szCs w:val="24"/>
        </w:rPr>
        <w:t>However, patients with IBD had significantly more circulating FOXP3+, Helios+ Tregs and fewer iNKT and MAIT cells than healthy controls.</w:t>
      </w:r>
      <w:r w:rsidR="00BC35BF">
        <w:rPr>
          <w:rFonts w:ascii="Book Antiqua" w:hAnsi="Book Antiqua"/>
          <w:sz w:val="24"/>
          <w:szCs w:val="24"/>
        </w:rPr>
        <w:t xml:space="preserve"> </w:t>
      </w:r>
    </w:p>
    <w:p w14:paraId="14B22DFD" w14:textId="2FA65791" w:rsidR="00BC35BF" w:rsidRPr="00BC35BF" w:rsidRDefault="00BC35BF" w:rsidP="009F013B">
      <w:pPr>
        <w:snapToGrid w:val="0"/>
        <w:spacing w:after="0" w:line="360" w:lineRule="auto"/>
        <w:jc w:val="both"/>
        <w:rPr>
          <w:rFonts w:ascii="Book Antiqua" w:hAnsi="Book Antiqua"/>
          <w:i/>
          <w:caps/>
          <w:sz w:val="24"/>
          <w:szCs w:val="24"/>
          <w:lang w:eastAsia="zh-CN"/>
        </w:rPr>
      </w:pPr>
      <w:r w:rsidRPr="00BC35BF">
        <w:rPr>
          <w:rFonts w:ascii="Book Antiqua" w:hAnsi="Book Antiqua"/>
          <w:b/>
          <w:i/>
          <w:caps/>
          <w:sz w:val="24"/>
          <w:szCs w:val="24"/>
        </w:rPr>
        <w:lastRenderedPageBreak/>
        <w:t>Conclusion</w:t>
      </w:r>
    </w:p>
    <w:p w14:paraId="71917588" w14:textId="129B02C1"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sz w:val="24"/>
          <w:szCs w:val="24"/>
        </w:rPr>
        <w:t>Thiopurine use is associated with reduced B and NK cell, but not T cell, subpopulations in the blood of IBD patients</w:t>
      </w:r>
      <w:r w:rsidR="00343941" w:rsidRPr="00B40E91">
        <w:rPr>
          <w:rFonts w:ascii="Book Antiqua" w:hAnsi="Book Antiqua"/>
          <w:sz w:val="24"/>
          <w:szCs w:val="24"/>
        </w:rPr>
        <w:t>.</w:t>
      </w:r>
    </w:p>
    <w:p w14:paraId="7E500244" w14:textId="77777777" w:rsidR="0036054C" w:rsidRPr="00B40E91" w:rsidRDefault="0036054C" w:rsidP="009F013B">
      <w:pPr>
        <w:snapToGrid w:val="0"/>
        <w:spacing w:after="0" w:line="360" w:lineRule="auto"/>
        <w:jc w:val="both"/>
        <w:rPr>
          <w:rFonts w:ascii="Book Antiqua" w:hAnsi="Book Antiqua"/>
          <w:sz w:val="24"/>
          <w:szCs w:val="24"/>
          <w:lang w:eastAsia="zh-CN"/>
        </w:rPr>
      </w:pPr>
    </w:p>
    <w:p w14:paraId="02882A3B" w14:textId="0078383D" w:rsidR="0036054C" w:rsidRPr="00B40E91" w:rsidRDefault="0036054C" w:rsidP="009F013B">
      <w:pPr>
        <w:adjustRightInd w:val="0"/>
        <w:snapToGrid w:val="0"/>
        <w:spacing w:after="0" w:line="360" w:lineRule="auto"/>
        <w:jc w:val="both"/>
        <w:rPr>
          <w:rFonts w:ascii="Book Antiqua" w:hAnsi="Book Antiqua" w:cs="Times New Roman"/>
          <w:b/>
          <w:sz w:val="24"/>
          <w:szCs w:val="24"/>
          <w:lang w:eastAsia="zh-CN"/>
        </w:rPr>
      </w:pPr>
      <w:bookmarkStart w:id="26" w:name="OLE_LINK883"/>
      <w:bookmarkStart w:id="27" w:name="OLE_LINK884"/>
      <w:bookmarkStart w:id="28" w:name="OLE_LINK947"/>
      <w:r w:rsidRPr="00B40E91">
        <w:rPr>
          <w:rFonts w:ascii="Book Antiqua" w:hAnsi="Book Antiqua" w:cs="Times New Roman"/>
          <w:b/>
          <w:sz w:val="24"/>
          <w:szCs w:val="24"/>
        </w:rPr>
        <w:t>Key words:</w:t>
      </w:r>
      <w:r w:rsidR="00BC35BF" w:rsidRPr="00BC35BF">
        <w:rPr>
          <w:rFonts w:ascii="Book Antiqua" w:hAnsi="Book Antiqua" w:cs="Times New Roman"/>
          <w:sz w:val="24"/>
          <w:szCs w:val="24"/>
        </w:rPr>
        <w:t xml:space="preserve"> </w:t>
      </w:r>
      <w:bookmarkStart w:id="29" w:name="OLE_LINK797"/>
      <w:bookmarkStart w:id="30" w:name="OLE_LINK798"/>
      <w:r w:rsidRPr="00BC35BF">
        <w:rPr>
          <w:rFonts w:ascii="Book Antiqua" w:hAnsi="Book Antiqua" w:cs="Times New Roman"/>
          <w:sz w:val="24"/>
          <w:szCs w:val="24"/>
        </w:rPr>
        <w:t>Thiopurine</w:t>
      </w:r>
      <w:r w:rsidR="00BC35BF" w:rsidRPr="00BC35BF">
        <w:rPr>
          <w:rFonts w:ascii="Book Antiqua" w:hAnsi="Book Antiqua" w:cs="Times New Roman" w:hint="eastAsia"/>
          <w:sz w:val="24"/>
          <w:szCs w:val="24"/>
          <w:lang w:eastAsia="zh-CN"/>
        </w:rPr>
        <w:t xml:space="preserve">; </w:t>
      </w:r>
      <w:r w:rsidRPr="00BC35BF">
        <w:rPr>
          <w:rFonts w:ascii="Book Antiqua" w:hAnsi="Book Antiqua" w:cs="Times New Roman"/>
          <w:sz w:val="24"/>
          <w:szCs w:val="24"/>
        </w:rPr>
        <w:t>Azathioprine</w:t>
      </w:r>
      <w:r w:rsidR="00BC35BF" w:rsidRPr="00BC35BF">
        <w:rPr>
          <w:rFonts w:ascii="Book Antiqua" w:hAnsi="Book Antiqua" w:cs="Times New Roman" w:hint="eastAsia"/>
          <w:sz w:val="24"/>
          <w:szCs w:val="24"/>
          <w:lang w:eastAsia="zh-CN"/>
        </w:rPr>
        <w:t xml:space="preserve">; </w:t>
      </w:r>
      <w:r w:rsidRPr="00BC35BF">
        <w:rPr>
          <w:rFonts w:ascii="Book Antiqua" w:hAnsi="Book Antiqua" w:cs="Times New Roman"/>
          <w:sz w:val="24"/>
          <w:szCs w:val="24"/>
        </w:rPr>
        <w:t>Mercaptopurine</w:t>
      </w:r>
      <w:r w:rsidR="00BC35BF" w:rsidRPr="00BC35BF">
        <w:rPr>
          <w:rFonts w:ascii="Book Antiqua" w:hAnsi="Book Antiqua" w:cs="Times New Roman" w:hint="eastAsia"/>
          <w:sz w:val="24"/>
          <w:szCs w:val="24"/>
          <w:lang w:eastAsia="zh-CN"/>
        </w:rPr>
        <w:t xml:space="preserve">; </w:t>
      </w:r>
      <w:r w:rsidRPr="00BC35BF">
        <w:rPr>
          <w:rFonts w:ascii="Book Antiqua" w:hAnsi="Book Antiqua" w:cs="Times New Roman"/>
          <w:sz w:val="24"/>
          <w:szCs w:val="24"/>
        </w:rPr>
        <w:t>Lymphocyte</w:t>
      </w:r>
      <w:r w:rsidR="00BC35BF" w:rsidRPr="00BC35BF">
        <w:rPr>
          <w:rFonts w:ascii="Book Antiqua" w:hAnsi="Book Antiqua" w:cs="Times New Roman" w:hint="eastAsia"/>
          <w:sz w:val="24"/>
          <w:szCs w:val="24"/>
          <w:lang w:eastAsia="zh-CN"/>
        </w:rPr>
        <w:t xml:space="preserve">; </w:t>
      </w:r>
      <w:r w:rsidR="00BC35BF" w:rsidRPr="00BC35BF">
        <w:rPr>
          <w:rFonts w:ascii="Book Antiqua" w:hAnsi="Book Antiqua"/>
          <w:caps/>
          <w:sz w:val="24"/>
          <w:szCs w:val="24"/>
        </w:rPr>
        <w:t>n</w:t>
      </w:r>
      <w:r w:rsidR="00BC35BF" w:rsidRPr="00BC35BF">
        <w:rPr>
          <w:rFonts w:ascii="Book Antiqua" w:hAnsi="Book Antiqua"/>
          <w:sz w:val="24"/>
          <w:szCs w:val="24"/>
        </w:rPr>
        <w:t xml:space="preserve">atural killer </w:t>
      </w:r>
      <w:r w:rsidRPr="00BC35BF">
        <w:rPr>
          <w:rFonts w:ascii="Book Antiqua" w:hAnsi="Book Antiqua" w:cs="Times New Roman"/>
          <w:sz w:val="24"/>
          <w:szCs w:val="24"/>
        </w:rPr>
        <w:t>cell</w:t>
      </w:r>
      <w:r w:rsidR="00BC35BF" w:rsidRPr="00BC35BF">
        <w:rPr>
          <w:rFonts w:ascii="Book Antiqua" w:hAnsi="Book Antiqua" w:cs="Times New Roman" w:hint="eastAsia"/>
          <w:sz w:val="24"/>
          <w:szCs w:val="24"/>
          <w:lang w:eastAsia="zh-CN"/>
        </w:rPr>
        <w:t xml:space="preserve">; </w:t>
      </w:r>
      <w:r w:rsidRPr="00BC35BF">
        <w:rPr>
          <w:rFonts w:ascii="Book Antiqua" w:hAnsi="Book Antiqua" w:cs="Times New Roman"/>
          <w:sz w:val="24"/>
          <w:szCs w:val="24"/>
        </w:rPr>
        <w:t>Transitional B cell</w:t>
      </w:r>
      <w:r w:rsidR="00BC35BF" w:rsidRPr="00BC35BF">
        <w:rPr>
          <w:rFonts w:ascii="Book Antiqua" w:hAnsi="Book Antiqua" w:cs="Times New Roman" w:hint="eastAsia"/>
          <w:sz w:val="24"/>
          <w:szCs w:val="24"/>
          <w:lang w:eastAsia="zh-CN"/>
        </w:rPr>
        <w:t xml:space="preserve">; </w:t>
      </w:r>
      <w:r w:rsidRPr="00BC35BF">
        <w:rPr>
          <w:rFonts w:ascii="Book Antiqua" w:hAnsi="Book Antiqua" w:cs="Times New Roman"/>
          <w:sz w:val="24"/>
          <w:szCs w:val="24"/>
        </w:rPr>
        <w:t>Inflammatory bowel disease</w:t>
      </w:r>
    </w:p>
    <w:bookmarkEnd w:id="26"/>
    <w:bookmarkEnd w:id="27"/>
    <w:bookmarkEnd w:id="28"/>
    <w:bookmarkEnd w:id="29"/>
    <w:bookmarkEnd w:id="30"/>
    <w:p w14:paraId="7BE3156A" w14:textId="77777777" w:rsidR="0036054C" w:rsidRPr="00B40E91" w:rsidRDefault="0036054C" w:rsidP="009F013B">
      <w:pPr>
        <w:adjustRightInd w:val="0"/>
        <w:snapToGrid w:val="0"/>
        <w:spacing w:after="0" w:line="360" w:lineRule="auto"/>
        <w:ind w:left="360"/>
        <w:jc w:val="both"/>
        <w:rPr>
          <w:rFonts w:ascii="Book Antiqua" w:hAnsi="Book Antiqua"/>
          <w:b/>
          <w:sz w:val="24"/>
          <w:szCs w:val="24"/>
        </w:rPr>
      </w:pPr>
    </w:p>
    <w:p w14:paraId="7DA90B79" w14:textId="77777777" w:rsidR="00BC35BF" w:rsidRPr="00BC35BF" w:rsidRDefault="00BC35BF" w:rsidP="009F013B">
      <w:pPr>
        <w:adjustRightInd w:val="0"/>
        <w:snapToGrid w:val="0"/>
        <w:spacing w:after="0" w:line="360" w:lineRule="auto"/>
        <w:jc w:val="both"/>
        <w:rPr>
          <w:rFonts w:ascii="Book Antiqua" w:eastAsia="SimSun" w:hAnsi="Book Antiqua" w:cs="SimSun"/>
          <w:sz w:val="24"/>
          <w:szCs w:val="24"/>
          <w:lang w:eastAsia="zh-CN"/>
        </w:rPr>
      </w:pPr>
      <w:bookmarkStart w:id="31" w:name="OLE_LINK363"/>
      <w:bookmarkStart w:id="32" w:name="OLE_LINK364"/>
      <w:bookmarkStart w:id="33" w:name="OLE_LINK359"/>
      <w:bookmarkStart w:id="34" w:name="OLE_LINK1037"/>
      <w:bookmarkStart w:id="35" w:name="OLE_LINK1195"/>
      <w:bookmarkStart w:id="36" w:name="OLE_LINK1140"/>
      <w:bookmarkStart w:id="37" w:name="OLE_LINK1062"/>
      <w:bookmarkStart w:id="38" w:name="OLE_LINK500"/>
      <w:bookmarkStart w:id="39" w:name="OLE_LINK916"/>
      <w:bookmarkStart w:id="40" w:name="OLE_LINK956"/>
      <w:bookmarkStart w:id="41" w:name="OLE_LINK994"/>
      <w:bookmarkStart w:id="42" w:name="OLE_LINK284"/>
      <w:bookmarkStart w:id="43" w:name="OLE_LINK285"/>
      <w:bookmarkStart w:id="44" w:name="OLE_LINK280"/>
      <w:bookmarkStart w:id="45" w:name="OLE_LINK283"/>
      <w:r w:rsidRPr="00BC35BF">
        <w:rPr>
          <w:rFonts w:ascii="Book Antiqua" w:eastAsia="SimSun" w:hAnsi="Book Antiqua" w:cs="SimSun" w:hint="eastAsia"/>
          <w:b/>
          <w:sz w:val="24"/>
          <w:szCs w:val="24"/>
          <w:lang w:eastAsia="zh-CN"/>
        </w:rPr>
        <w:t>©</w:t>
      </w:r>
      <w:r w:rsidRPr="00BC35BF">
        <w:rPr>
          <w:rFonts w:ascii="Book Antiqua" w:eastAsia="SimSun" w:hAnsi="Book Antiqua" w:cs="SimSun"/>
          <w:b/>
          <w:sz w:val="24"/>
          <w:szCs w:val="24"/>
          <w:lang w:eastAsia="zh-CN"/>
        </w:rPr>
        <w:t xml:space="preserve"> The Author(s) 201</w:t>
      </w:r>
      <w:r w:rsidRPr="00BC35BF">
        <w:rPr>
          <w:rFonts w:ascii="Book Antiqua" w:eastAsia="SimSun" w:hAnsi="Book Antiqua" w:cs="SimSun" w:hint="eastAsia"/>
          <w:b/>
          <w:sz w:val="24"/>
          <w:szCs w:val="24"/>
          <w:lang w:eastAsia="zh-CN"/>
        </w:rPr>
        <w:t>7</w:t>
      </w:r>
      <w:r w:rsidRPr="00BC35BF">
        <w:rPr>
          <w:rFonts w:ascii="Book Antiqua" w:eastAsia="SimSun" w:hAnsi="Book Antiqua" w:cs="SimSun"/>
          <w:b/>
          <w:sz w:val="24"/>
          <w:szCs w:val="24"/>
          <w:lang w:eastAsia="zh-CN"/>
        </w:rPr>
        <w:t>.</w:t>
      </w:r>
      <w:r w:rsidRPr="00BC35BF">
        <w:rPr>
          <w:rFonts w:ascii="Book Antiqua" w:eastAsia="SimSun" w:hAnsi="Book Antiqua" w:cs="SimSun"/>
          <w:sz w:val="24"/>
          <w:szCs w:val="24"/>
          <w:lang w:eastAsia="zh-CN"/>
        </w:rPr>
        <w:t xml:space="preserve"> Published by Baishideng Publishing Group Inc. All rights reserved.</w:t>
      </w:r>
    </w:p>
    <w:bookmarkEnd w:id="31"/>
    <w:bookmarkEnd w:id="32"/>
    <w:bookmarkEnd w:id="33"/>
    <w:bookmarkEnd w:id="34"/>
    <w:bookmarkEnd w:id="35"/>
    <w:bookmarkEnd w:id="36"/>
    <w:bookmarkEnd w:id="37"/>
    <w:bookmarkEnd w:id="38"/>
    <w:bookmarkEnd w:id="39"/>
    <w:bookmarkEnd w:id="40"/>
    <w:bookmarkEnd w:id="41"/>
    <w:p w14:paraId="539A3EE6" w14:textId="77777777" w:rsidR="0036054C" w:rsidRPr="00B40E91" w:rsidRDefault="0036054C" w:rsidP="009F013B">
      <w:pPr>
        <w:pStyle w:val="1"/>
        <w:snapToGrid w:val="0"/>
        <w:spacing w:line="360" w:lineRule="auto"/>
        <w:jc w:val="both"/>
        <w:rPr>
          <w:rFonts w:ascii="Book Antiqua" w:hAnsi="Book Antiqua" w:cs="Times New Roman"/>
          <w:b/>
          <w:color w:val="auto"/>
          <w:sz w:val="24"/>
          <w:szCs w:val="24"/>
          <w:highlight w:val="white"/>
          <w:lang w:val="en-US" w:eastAsia="zh-CN"/>
        </w:rPr>
      </w:pPr>
    </w:p>
    <w:p w14:paraId="4A048EE7" w14:textId="4B0334B9" w:rsidR="0036054C" w:rsidRPr="00BC35BF" w:rsidRDefault="0036054C" w:rsidP="009F013B">
      <w:pPr>
        <w:pStyle w:val="1"/>
        <w:snapToGrid w:val="0"/>
        <w:spacing w:line="360" w:lineRule="auto"/>
        <w:jc w:val="both"/>
        <w:rPr>
          <w:rFonts w:ascii="Book Antiqua" w:hAnsi="Book Antiqua" w:cs="Times New Roman"/>
          <w:b/>
          <w:bCs/>
          <w:color w:val="auto"/>
          <w:sz w:val="24"/>
          <w:szCs w:val="24"/>
          <w:highlight w:val="white"/>
          <w:lang w:val="en-US" w:eastAsia="zh-CN"/>
        </w:rPr>
      </w:pPr>
      <w:bookmarkStart w:id="46" w:name="OLE_LINK1196"/>
      <w:bookmarkStart w:id="47" w:name="OLE_LINK1154"/>
      <w:bookmarkStart w:id="48" w:name="OLE_LINK1155"/>
      <w:bookmarkStart w:id="49" w:name="OLE_LINK1322"/>
      <w:bookmarkStart w:id="50" w:name="OLE_LINK1044"/>
      <w:bookmarkStart w:id="51" w:name="OLE_LINK1224"/>
      <w:bookmarkStart w:id="52" w:name="OLE_LINK1225"/>
      <w:bookmarkStart w:id="53" w:name="OLE_LINK1634"/>
      <w:bookmarkStart w:id="54" w:name="OLE_LINK1635"/>
      <w:bookmarkStart w:id="55" w:name="OLE_LINK1762"/>
      <w:bookmarkStart w:id="56" w:name="OLE_LINK1763"/>
      <w:bookmarkStart w:id="57" w:name="OLE_LINK1764"/>
      <w:bookmarkStart w:id="58" w:name="OLE_LINK1939"/>
      <w:bookmarkStart w:id="59" w:name="OLE_LINK2194"/>
      <w:bookmarkStart w:id="60" w:name="OLE_LINK2878"/>
      <w:bookmarkStart w:id="61" w:name="OLE_LINK531"/>
      <w:bookmarkStart w:id="62" w:name="OLE_LINK533"/>
      <w:bookmarkStart w:id="63" w:name="OLE_LINK711"/>
      <w:bookmarkStart w:id="64" w:name="OLE_LINK742"/>
      <w:bookmarkStart w:id="65" w:name="OLE_LINK905"/>
      <w:bookmarkStart w:id="66" w:name="OLE_LINK948"/>
      <w:bookmarkStart w:id="67" w:name="OLE_LINK949"/>
      <w:bookmarkStart w:id="68" w:name="OLE_LINK607"/>
      <w:bookmarkStart w:id="69" w:name="OLE_LINK609"/>
      <w:bookmarkStart w:id="70" w:name="OLE_LINK197"/>
      <w:bookmarkStart w:id="71" w:name="OLE_LINK198"/>
      <w:bookmarkStart w:id="72" w:name="OLE_LINK395"/>
      <w:bookmarkStart w:id="73" w:name="OLE_LINK409"/>
      <w:bookmarkStart w:id="74" w:name="OLE_LINK475"/>
      <w:bookmarkStart w:id="75" w:name="OLE_LINK476"/>
      <w:bookmarkStart w:id="76" w:name="OLE_LINK592"/>
      <w:bookmarkStart w:id="77" w:name="OLE_LINK698"/>
      <w:bookmarkStart w:id="78" w:name="OLE_LINK811"/>
      <w:bookmarkStart w:id="79" w:name="OLE_LINK832"/>
      <w:bookmarkStart w:id="80" w:name="OLE_LINK845"/>
      <w:bookmarkStart w:id="81" w:name="OLE_LINK936"/>
      <w:r w:rsidRPr="00B40E91">
        <w:rPr>
          <w:rFonts w:ascii="Book Antiqua" w:hAnsi="Book Antiqua" w:cs="Times New Roman"/>
          <w:b/>
          <w:color w:val="auto"/>
          <w:sz w:val="24"/>
          <w:szCs w:val="24"/>
          <w:highlight w:val="white"/>
          <w:lang w:val="en-US" w:eastAsia="zh-CN"/>
        </w:rPr>
        <w:t>C</w:t>
      </w:r>
      <w:bookmarkStart w:id="82" w:name="OLE_LINK786"/>
      <w:bookmarkStart w:id="83" w:name="OLE_LINK787"/>
      <w:r w:rsidRPr="00B40E91">
        <w:rPr>
          <w:rFonts w:ascii="Book Antiqua" w:hAnsi="Book Antiqua" w:cs="Times New Roman"/>
          <w:b/>
          <w:color w:val="auto"/>
          <w:sz w:val="24"/>
          <w:szCs w:val="24"/>
          <w:highlight w:val="white"/>
          <w:lang w:val="en-US" w:eastAsia="zh-CN"/>
        </w:rPr>
        <w:t>ore tip:</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B40E91">
        <w:rPr>
          <w:rFonts w:ascii="Book Antiqua" w:hAnsi="Book Antiqua" w:cs="Times New Roman"/>
          <w:b/>
          <w:color w:val="auto"/>
          <w:sz w:val="24"/>
          <w:szCs w:val="24"/>
          <w:highlight w:val="white"/>
          <w:lang w:val="en-US" w:eastAsia="zh-CN"/>
        </w:rPr>
        <w:t xml:space="preserve"> </w:t>
      </w:r>
      <w:r w:rsidRPr="00B40E91">
        <w:rPr>
          <w:rFonts w:ascii="Book Antiqua" w:hAnsi="Book Antiqua" w:cs="Times New Roman"/>
          <w:color w:val="auto"/>
          <w:sz w:val="24"/>
          <w:szCs w:val="24"/>
          <w:lang w:val="en-US" w:eastAsia="zh-CN"/>
        </w:rPr>
        <w:t>Thiopurine medications have been used to treat inflammatory bowel disease (IBD) for almost half a century.</w:t>
      </w:r>
      <w:r w:rsidR="00BC35BF">
        <w:rPr>
          <w:rFonts w:ascii="Book Antiqua" w:hAnsi="Book Antiqua" w:cs="Times New Roman"/>
          <w:color w:val="auto"/>
          <w:sz w:val="24"/>
          <w:szCs w:val="24"/>
          <w:lang w:val="en-US" w:eastAsia="zh-CN"/>
        </w:rPr>
        <w:t xml:space="preserve"> </w:t>
      </w:r>
      <w:r w:rsidRPr="00B40E91">
        <w:rPr>
          <w:rFonts w:ascii="Book Antiqua" w:hAnsi="Book Antiqua" w:cs="Times New Roman"/>
          <w:color w:val="auto"/>
          <w:sz w:val="24"/>
          <w:szCs w:val="24"/>
          <w:lang w:val="en-US" w:eastAsia="zh-CN"/>
        </w:rPr>
        <w:t xml:space="preserve">However, the effect of thiopurines on the human immune system </w:t>
      </w:r>
      <w:r w:rsidR="00635B48" w:rsidRPr="00B40E91">
        <w:rPr>
          <w:rFonts w:ascii="Book Antiqua" w:hAnsi="Book Antiqua" w:cs="Times New Roman"/>
          <w:i/>
          <w:color w:val="auto"/>
          <w:sz w:val="24"/>
          <w:szCs w:val="24"/>
          <w:lang w:val="en-US" w:eastAsia="zh-CN"/>
        </w:rPr>
        <w:t>in vitro</w:t>
      </w:r>
      <w:r w:rsidRPr="00B40E91">
        <w:rPr>
          <w:rFonts w:ascii="Book Antiqua" w:hAnsi="Book Antiqua" w:cs="Times New Roman"/>
          <w:color w:val="auto"/>
          <w:sz w:val="24"/>
          <w:szCs w:val="24"/>
          <w:lang w:val="en-US" w:eastAsia="zh-CN"/>
        </w:rPr>
        <w:t xml:space="preserve"> remains unclear.</w:t>
      </w:r>
      <w:r w:rsidR="00BC35BF">
        <w:rPr>
          <w:rFonts w:ascii="Book Antiqua" w:hAnsi="Book Antiqua" w:cs="Times New Roman"/>
          <w:color w:val="auto"/>
          <w:sz w:val="24"/>
          <w:szCs w:val="24"/>
          <w:lang w:val="en-US" w:eastAsia="zh-CN"/>
        </w:rPr>
        <w:t xml:space="preserve"> </w:t>
      </w:r>
      <w:r w:rsidRPr="00B40E91">
        <w:rPr>
          <w:rFonts w:ascii="Book Antiqua" w:hAnsi="Book Antiqua" w:cs="Times New Roman"/>
          <w:color w:val="auto"/>
          <w:sz w:val="24"/>
          <w:szCs w:val="24"/>
          <w:lang w:val="en-US" w:eastAsia="zh-CN"/>
        </w:rPr>
        <w:t>The enclosed manuscript performed a thorough flow cytometric analysis of peripheral blood specimens from IBD patients with or without thiopurine therapy and found significant differences in B and NK cell populations associated with therapy.</w:t>
      </w:r>
      <w:r w:rsidR="00BC35BF">
        <w:rPr>
          <w:rFonts w:ascii="Book Antiqua" w:hAnsi="Book Antiqua" w:cs="Times New Roman"/>
          <w:color w:val="auto"/>
          <w:sz w:val="24"/>
          <w:szCs w:val="24"/>
          <w:lang w:val="en-US" w:eastAsia="zh-CN"/>
        </w:rPr>
        <w:t xml:space="preserve"> </w:t>
      </w:r>
      <w:r w:rsidRPr="00B40E91">
        <w:rPr>
          <w:rFonts w:ascii="Book Antiqua" w:hAnsi="Book Antiqua" w:cs="Times New Roman"/>
          <w:color w:val="auto"/>
          <w:sz w:val="24"/>
          <w:szCs w:val="24"/>
          <w:lang w:val="en-US" w:eastAsia="zh-CN"/>
        </w:rPr>
        <w:t xml:space="preserve">These suggest that thiopurines function to suppress inflammation in IBD not by causing T cell apoptosis, as had been suggested by </w:t>
      </w:r>
      <w:r w:rsidR="00635B48" w:rsidRPr="00B40E91">
        <w:rPr>
          <w:rFonts w:ascii="Book Antiqua" w:hAnsi="Book Antiqua" w:cs="Times New Roman"/>
          <w:i/>
          <w:color w:val="auto"/>
          <w:sz w:val="24"/>
          <w:szCs w:val="24"/>
          <w:lang w:val="en-US" w:eastAsia="zh-CN"/>
        </w:rPr>
        <w:t>in vitro</w:t>
      </w:r>
      <w:r w:rsidRPr="00B40E91">
        <w:rPr>
          <w:rFonts w:ascii="Book Antiqua" w:hAnsi="Book Antiqua" w:cs="Times New Roman"/>
          <w:color w:val="auto"/>
          <w:sz w:val="24"/>
          <w:szCs w:val="24"/>
          <w:lang w:val="en-US" w:eastAsia="zh-CN"/>
        </w:rPr>
        <w:t xml:space="preserve"> data, but rather by depleting other lymphocytes.</w:t>
      </w:r>
    </w:p>
    <w:p w14:paraId="6E4A232C" w14:textId="77777777" w:rsidR="0036054C" w:rsidRPr="00B40E91" w:rsidRDefault="0036054C" w:rsidP="009F013B">
      <w:pPr>
        <w:snapToGrid w:val="0"/>
        <w:spacing w:after="0" w:line="360" w:lineRule="auto"/>
        <w:jc w:val="both"/>
        <w:rPr>
          <w:rFonts w:ascii="Book Antiqua" w:hAnsi="Book Antiqua" w:cs="Times New Roman"/>
          <w:sz w:val="24"/>
          <w:szCs w:val="24"/>
          <w:lang w:val="pl-PL" w:eastAsia="zh-CN"/>
        </w:rPr>
      </w:pPr>
      <w:bookmarkStart w:id="84" w:name="OLE_LINK286"/>
      <w:bookmarkStart w:id="85" w:name="OLE_LINK287"/>
      <w:bookmarkStart w:id="86" w:name="OLE_LINK310"/>
      <w:bookmarkStart w:id="87" w:name="OLE_LINK579"/>
      <w:bookmarkStart w:id="88" w:name="OLE_LINK712"/>
      <w:bookmarkStart w:id="89" w:name="OLE_LINK232"/>
      <w:bookmarkStart w:id="90" w:name="OLE_LINK233"/>
      <w:bookmarkStart w:id="91" w:name="OLE_LINK271"/>
      <w:bookmarkStart w:id="92" w:name="OLE_LINK311"/>
      <w:bookmarkStart w:id="93" w:name="OLE_LINK452"/>
      <w:bookmarkStart w:id="94" w:name="OLE_LINK753"/>
      <w:bookmarkStart w:id="95" w:name="OLE_LINK775"/>
      <w:bookmarkStart w:id="96" w:name="OLE_LINK892"/>
      <w:bookmarkStart w:id="97" w:name="OLE_LINK907"/>
      <w:bookmarkStart w:id="98" w:name="OLE_LINK924"/>
      <w:bookmarkEnd w:id="42"/>
      <w:bookmarkEnd w:id="43"/>
      <w:bookmarkEnd w:id="61"/>
      <w:bookmarkEnd w:id="62"/>
      <w:bookmarkEnd w:id="63"/>
      <w:bookmarkEnd w:id="64"/>
      <w:bookmarkEnd w:id="65"/>
      <w:bookmarkEnd w:id="66"/>
      <w:bookmarkEnd w:id="67"/>
    </w:p>
    <w:p w14:paraId="2D34479F" w14:textId="521E9A78" w:rsidR="0036054C" w:rsidRPr="00413010" w:rsidRDefault="0036054C" w:rsidP="009F013B">
      <w:pPr>
        <w:snapToGrid w:val="0"/>
        <w:spacing w:after="0" w:line="360" w:lineRule="auto"/>
        <w:jc w:val="both"/>
        <w:rPr>
          <w:rFonts w:ascii="Book Antiqua" w:hAnsi="Book Antiqua" w:cs="Times New Roman"/>
          <w:b/>
          <w:sz w:val="24"/>
          <w:szCs w:val="24"/>
        </w:rPr>
      </w:pPr>
      <w:bookmarkStart w:id="99" w:name="OLE_LINK47"/>
      <w:bookmarkStart w:id="100" w:name="OLE_LINK48"/>
      <w:bookmarkStart w:id="101" w:name="OLE_LINK3"/>
      <w:bookmarkStart w:id="102" w:name="OLE_LINK4"/>
      <w:bookmarkStart w:id="103" w:name="OLE_LINK70"/>
      <w:bookmarkStart w:id="104" w:name="OLE_LINK118"/>
      <w:bookmarkStart w:id="105" w:name="OLE_LINK145"/>
      <w:bookmarkStart w:id="106" w:name="OLE_LINK218"/>
      <w:bookmarkStart w:id="107" w:name="OLE_LINK520"/>
      <w:bookmarkStart w:id="108" w:name="OLE_LINK537"/>
      <w:bookmarkStart w:id="109" w:name="OLE_LINK598"/>
      <w:bookmarkStart w:id="110" w:name="OLE_LINK728"/>
      <w:bookmarkStart w:id="111" w:name="OLE_LINK745"/>
      <w:bookmarkEnd w:id="68"/>
      <w:bookmarkEnd w:id="69"/>
      <w:r w:rsidRPr="00B40E91">
        <w:rPr>
          <w:rFonts w:ascii="Book Antiqua" w:hAnsi="Book Antiqua" w:cs="Times New Roman"/>
          <w:sz w:val="24"/>
          <w:szCs w:val="24"/>
        </w:rPr>
        <w:t>Lord JD, Shows DM.</w:t>
      </w:r>
      <w:r w:rsidR="00BC35BF">
        <w:rPr>
          <w:rFonts w:ascii="Book Antiqua" w:hAnsi="Book Antiqua" w:cs="Times New Roman"/>
          <w:sz w:val="24"/>
          <w:szCs w:val="24"/>
        </w:rPr>
        <w:t xml:space="preserve"> </w:t>
      </w:r>
      <w:r w:rsidR="00413010" w:rsidRPr="00413010">
        <w:rPr>
          <w:rFonts w:ascii="Book Antiqua" w:hAnsi="Book Antiqua" w:cs="Times New Roman"/>
          <w:sz w:val="24"/>
          <w:szCs w:val="24"/>
        </w:rPr>
        <w:t xml:space="preserve">Thiopurine use associated with reduced </w:t>
      </w:r>
      <w:r w:rsidR="00413010" w:rsidRPr="009245A8">
        <w:rPr>
          <w:rFonts w:ascii="Book Antiqua" w:hAnsi="Book Antiqua" w:cs="Times New Roman"/>
          <w:caps/>
          <w:sz w:val="24"/>
          <w:szCs w:val="24"/>
        </w:rPr>
        <w:t>b</w:t>
      </w:r>
      <w:r w:rsidR="00413010" w:rsidRPr="00413010">
        <w:rPr>
          <w:rFonts w:ascii="Book Antiqua" w:hAnsi="Book Antiqua" w:cs="Times New Roman"/>
          <w:sz w:val="24"/>
          <w:szCs w:val="24"/>
        </w:rPr>
        <w:t xml:space="preserve"> and natural killer cells in inflammatory bowel disease</w:t>
      </w:r>
      <w:r w:rsidRPr="00413010">
        <w:rPr>
          <w:rFonts w:ascii="Book Antiqua" w:hAnsi="Book Antiqua" w:cs="Times New Roman"/>
          <w:sz w:val="24"/>
          <w:szCs w:val="24"/>
        </w:rPr>
        <w:t>.</w:t>
      </w:r>
      <w:bookmarkStart w:id="112" w:name="OLE_LINK200"/>
      <w:bookmarkStart w:id="113" w:name="OLE_LINK196"/>
      <w:bookmarkStart w:id="114" w:name="OLE_LINK341"/>
      <w:bookmarkStart w:id="115" w:name="OLE_LINK377"/>
      <w:bookmarkStart w:id="116" w:name="OLE_LINK366"/>
      <w:bookmarkStart w:id="117" w:name="OLE_LINK1038"/>
      <w:bookmarkStart w:id="118" w:name="OLE_LINK1166"/>
      <w:r w:rsidR="00413010">
        <w:rPr>
          <w:rFonts w:ascii="Book Antiqua" w:hAnsi="Book Antiqua"/>
          <w:i/>
          <w:sz w:val="24"/>
          <w:szCs w:val="24"/>
        </w:rPr>
        <w:t xml:space="preserve"> </w:t>
      </w:r>
      <w:r w:rsidRPr="00B40E91">
        <w:rPr>
          <w:rFonts w:ascii="Book Antiqua" w:hAnsi="Book Antiqua" w:cs="Times New Roman"/>
          <w:i/>
          <w:sz w:val="24"/>
          <w:szCs w:val="24"/>
        </w:rPr>
        <w:t xml:space="preserve">World J Gastroenterol </w:t>
      </w:r>
      <w:r w:rsidRPr="00B40E91">
        <w:rPr>
          <w:rFonts w:ascii="Book Antiqua" w:hAnsi="Book Antiqua" w:cs="Times New Roman"/>
          <w:sz w:val="24"/>
          <w:szCs w:val="24"/>
        </w:rPr>
        <w:t>2017; In press</w:t>
      </w:r>
      <w:bookmarkEnd w:id="44"/>
      <w:bookmarkEnd w:id="45"/>
      <w:bookmarkEnd w:id="70"/>
      <w:bookmarkEnd w:id="71"/>
      <w:bookmarkEnd w:id="72"/>
      <w:bookmarkEnd w:id="73"/>
      <w:bookmarkEnd w:id="84"/>
      <w:bookmarkEnd w:id="85"/>
      <w:bookmarkEnd w:id="86"/>
      <w:bookmarkEnd w:id="87"/>
      <w:bookmarkEnd w:id="88"/>
      <w:bookmarkEnd w:id="99"/>
      <w:bookmarkEnd w:id="100"/>
    </w:p>
    <w:bookmarkEnd w:id="74"/>
    <w:bookmarkEnd w:id="75"/>
    <w:bookmarkEnd w:id="76"/>
    <w:bookmarkEnd w:id="77"/>
    <w:bookmarkEnd w:id="78"/>
    <w:bookmarkEnd w:id="79"/>
    <w:bookmarkEnd w:id="80"/>
    <w:bookmarkEnd w:id="81"/>
    <w:bookmarkEnd w:id="82"/>
    <w:bookmarkEnd w:id="83"/>
    <w:bookmarkEnd w:id="89"/>
    <w:bookmarkEnd w:id="90"/>
    <w:bookmarkEnd w:id="91"/>
    <w:bookmarkEnd w:id="92"/>
    <w:bookmarkEnd w:id="93"/>
    <w:bookmarkEnd w:id="94"/>
    <w:bookmarkEnd w:id="95"/>
    <w:bookmarkEnd w:id="96"/>
    <w:bookmarkEnd w:id="97"/>
    <w:bookmarkEnd w:id="9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78DABAC5" w14:textId="77777777" w:rsidR="0036054C" w:rsidRPr="00B40E91" w:rsidRDefault="0036054C" w:rsidP="009F013B">
      <w:pPr>
        <w:snapToGrid w:val="0"/>
        <w:spacing w:after="0" w:line="360" w:lineRule="auto"/>
        <w:jc w:val="both"/>
        <w:rPr>
          <w:rFonts w:ascii="Book Antiqua" w:hAnsi="Book Antiqua"/>
          <w:b/>
          <w:sz w:val="24"/>
          <w:szCs w:val="24"/>
        </w:rPr>
      </w:pPr>
      <w:r w:rsidRPr="00B40E91">
        <w:rPr>
          <w:rFonts w:ascii="Book Antiqua" w:hAnsi="Book Antiqua"/>
          <w:b/>
          <w:sz w:val="24"/>
          <w:szCs w:val="24"/>
        </w:rPr>
        <w:br w:type="page"/>
      </w:r>
    </w:p>
    <w:p w14:paraId="7A3C0961" w14:textId="03D13246" w:rsidR="0036054C" w:rsidRPr="003E164D" w:rsidRDefault="003E164D" w:rsidP="009F013B">
      <w:pPr>
        <w:snapToGrid w:val="0"/>
        <w:spacing w:after="0" w:line="360" w:lineRule="auto"/>
        <w:jc w:val="both"/>
        <w:rPr>
          <w:rFonts w:ascii="Book Antiqua" w:hAnsi="Book Antiqua"/>
          <w:b/>
          <w:caps/>
          <w:sz w:val="24"/>
          <w:szCs w:val="24"/>
          <w:lang w:eastAsia="zh-CN"/>
        </w:rPr>
      </w:pPr>
      <w:r w:rsidRPr="003E164D">
        <w:rPr>
          <w:rFonts w:ascii="Book Antiqua" w:hAnsi="Book Antiqua"/>
          <w:b/>
          <w:caps/>
          <w:sz w:val="24"/>
          <w:szCs w:val="24"/>
        </w:rPr>
        <w:lastRenderedPageBreak/>
        <w:t>Introduction</w:t>
      </w:r>
    </w:p>
    <w:p w14:paraId="6C40CB24" w14:textId="3BE7E64D"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sz w:val="24"/>
          <w:szCs w:val="24"/>
        </w:rPr>
        <w:t>The thiopurine medications azathioprine and 6-mercaptopurine (6-MP) have been used to treat IBD since the 1960’s</w:t>
      </w:r>
      <w:r w:rsidRPr="00B40E91">
        <w:rPr>
          <w:rFonts w:ascii="Book Antiqua" w:hAnsi="Book Antiqua"/>
          <w:noProof/>
          <w:sz w:val="24"/>
          <w:szCs w:val="24"/>
          <w:vertAlign w:val="superscript"/>
        </w:rPr>
        <w:t>[1]</w:t>
      </w:r>
      <w:r w:rsidRPr="00B40E91">
        <w:rPr>
          <w:rFonts w:ascii="Book Antiqua" w:hAnsi="Book Antiqua"/>
          <w:sz w:val="24"/>
          <w:szCs w:val="24"/>
        </w:rPr>
        <w:t xml:space="preserve"> as an effective maintenance therapy for both Crohn’s disease</w:t>
      </w:r>
      <w:r w:rsidRPr="00B40E91">
        <w:rPr>
          <w:rFonts w:ascii="Book Antiqua" w:hAnsi="Book Antiqua"/>
          <w:noProof/>
          <w:sz w:val="24"/>
          <w:szCs w:val="24"/>
          <w:vertAlign w:val="superscript"/>
        </w:rPr>
        <w:t>[2]</w:t>
      </w:r>
      <w:r w:rsidRPr="00B40E91">
        <w:rPr>
          <w:rFonts w:ascii="Book Antiqua" w:hAnsi="Book Antiqua"/>
          <w:sz w:val="24"/>
          <w:szCs w:val="24"/>
        </w:rPr>
        <w:t xml:space="preserve"> and ulcerative colitis (UC)</w:t>
      </w:r>
      <w:r w:rsidRPr="00B40E91">
        <w:rPr>
          <w:rFonts w:ascii="Book Antiqua" w:hAnsi="Book Antiqua"/>
          <w:noProof/>
          <w:sz w:val="24"/>
          <w:szCs w:val="24"/>
          <w:vertAlign w:val="superscript"/>
        </w:rPr>
        <w:t>[3]</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In more recent years, these agents have demonstrated utility as cotherapy with biopharmaceuticals, reducing the incidence of anti-drug antibodies and inc</w:t>
      </w:r>
      <w:r w:rsidR="009544DF" w:rsidRPr="00B40E91">
        <w:rPr>
          <w:rFonts w:ascii="Book Antiqua" w:hAnsi="Book Antiqua"/>
          <w:sz w:val="24"/>
          <w:szCs w:val="24"/>
        </w:rPr>
        <w:t>reasing treatment success rates</w:t>
      </w:r>
      <w:r w:rsidRPr="00B40E91">
        <w:rPr>
          <w:rFonts w:ascii="Book Antiqua" w:hAnsi="Book Antiqua"/>
          <w:noProof/>
          <w:sz w:val="24"/>
          <w:szCs w:val="24"/>
          <w:vertAlign w:val="superscript"/>
        </w:rPr>
        <w:t>[4,5]</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While appealing for their oral delivery and relatively low cost, thiopurines are challenging to use, with a narrow therapeutic dose window, slow onset of efficacy</w:t>
      </w:r>
      <w:r w:rsidRPr="00B40E91">
        <w:rPr>
          <w:rFonts w:ascii="Book Antiqua" w:hAnsi="Book Antiqua"/>
          <w:noProof/>
          <w:sz w:val="24"/>
          <w:szCs w:val="24"/>
          <w:vertAlign w:val="superscript"/>
        </w:rPr>
        <w:t>[6]</w:t>
      </w:r>
      <w:r w:rsidRPr="00B40E91">
        <w:rPr>
          <w:rFonts w:ascii="Book Antiqua" w:hAnsi="Book Antiqua"/>
          <w:sz w:val="24"/>
          <w:szCs w:val="24"/>
        </w:rPr>
        <w:t xml:space="preserve"> and a number needed to treat in the 4-6 range</w:t>
      </w:r>
      <w:r w:rsidRPr="00B40E91">
        <w:rPr>
          <w:rFonts w:ascii="Book Antiqua" w:hAnsi="Book Antiqua"/>
          <w:noProof/>
          <w:sz w:val="24"/>
          <w:szCs w:val="24"/>
          <w:vertAlign w:val="superscript"/>
        </w:rPr>
        <w:t>[2,3]</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This benefit is balanced against a number of potential risks, including infections, and certain neoplasms</w:t>
      </w:r>
      <w:r w:rsidRPr="00B40E91">
        <w:rPr>
          <w:rFonts w:ascii="Book Antiqua" w:hAnsi="Book Antiqua"/>
          <w:noProof/>
          <w:sz w:val="24"/>
          <w:szCs w:val="24"/>
          <w:vertAlign w:val="superscript"/>
        </w:rPr>
        <w:t>[7]</w:t>
      </w:r>
      <w:r w:rsidRPr="00B40E91">
        <w:rPr>
          <w:rFonts w:ascii="Book Antiqua" w:hAnsi="Book Antiqua"/>
          <w:sz w:val="24"/>
          <w:szCs w:val="24"/>
        </w:rPr>
        <w:t>.</w:t>
      </w:r>
      <w:r w:rsidR="00BC35BF">
        <w:rPr>
          <w:rFonts w:ascii="Book Antiqua" w:hAnsi="Book Antiqua"/>
          <w:sz w:val="24"/>
          <w:szCs w:val="24"/>
        </w:rPr>
        <w:t xml:space="preserve"> </w:t>
      </w:r>
    </w:p>
    <w:p w14:paraId="0CBE1C7E" w14:textId="32678443" w:rsidR="0036054C" w:rsidRPr="00B40E91" w:rsidRDefault="0036054C" w:rsidP="009F013B">
      <w:pPr>
        <w:snapToGrid w:val="0"/>
        <w:spacing w:after="0" w:line="360" w:lineRule="auto"/>
        <w:ind w:firstLineChars="100" w:firstLine="240"/>
        <w:jc w:val="both"/>
        <w:rPr>
          <w:rFonts w:ascii="Book Antiqua" w:hAnsi="Book Antiqua"/>
          <w:sz w:val="24"/>
          <w:szCs w:val="24"/>
          <w:lang w:eastAsia="zh-CN"/>
        </w:rPr>
      </w:pPr>
      <w:r w:rsidRPr="00B40E91">
        <w:rPr>
          <w:rFonts w:ascii="Book Antiqua" w:hAnsi="Book Antiqua"/>
          <w:sz w:val="24"/>
          <w:szCs w:val="24"/>
        </w:rPr>
        <w:t>The mechanisms by which thiopurines maintain IBD remission and prevent anti-biopharmaceutical antibody formation remain obscure.</w:t>
      </w:r>
      <w:r w:rsidR="00BC35BF">
        <w:rPr>
          <w:rFonts w:ascii="Book Antiqua" w:hAnsi="Book Antiqua"/>
          <w:sz w:val="24"/>
          <w:szCs w:val="24"/>
        </w:rPr>
        <w:t xml:space="preserve"> </w:t>
      </w:r>
      <w:r w:rsidRPr="00B40E91">
        <w:rPr>
          <w:rFonts w:ascii="Book Antiqua" w:hAnsi="Book Antiqua"/>
          <w:sz w:val="24"/>
          <w:szCs w:val="24"/>
        </w:rPr>
        <w:t>6-thioguanine nucleotides (6-TGN) are thought to be the active metabolites of both azathioprine and 6-MP, and originally were believed to function by incorporating into cellular nucleic acids to damage their structure</w:t>
      </w:r>
      <w:r w:rsidRPr="00B40E91">
        <w:rPr>
          <w:rFonts w:ascii="Book Antiqua" w:hAnsi="Book Antiqua"/>
          <w:noProof/>
          <w:sz w:val="24"/>
          <w:szCs w:val="24"/>
          <w:vertAlign w:val="superscript"/>
        </w:rPr>
        <w:t>[8]</w:t>
      </w:r>
      <w:r w:rsidRPr="00B40E91">
        <w:rPr>
          <w:rFonts w:ascii="Book Antiqua" w:hAnsi="Book Antiqua"/>
          <w:sz w:val="24"/>
          <w:szCs w:val="24"/>
        </w:rPr>
        <w:t xml:space="preserve"> and thus inhibit T cell proliferation</w:t>
      </w:r>
      <w:r w:rsidRPr="00B40E91">
        <w:rPr>
          <w:rFonts w:ascii="Book Antiqua" w:hAnsi="Book Antiqua"/>
          <w:noProof/>
          <w:sz w:val="24"/>
          <w:szCs w:val="24"/>
          <w:vertAlign w:val="superscript"/>
        </w:rPr>
        <w:t>[9]</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i/>
          <w:sz w:val="24"/>
          <w:szCs w:val="24"/>
        </w:rPr>
        <w:t>In vitro</w:t>
      </w:r>
      <w:r w:rsidRPr="00B40E91">
        <w:rPr>
          <w:rFonts w:ascii="Book Antiqua" w:hAnsi="Book Antiqua"/>
          <w:sz w:val="24"/>
          <w:szCs w:val="24"/>
        </w:rPr>
        <w:t xml:space="preserve"> studies also demonstrated that thiopurines mediate apoptosis</w:t>
      </w:r>
      <w:r w:rsidRPr="00B40E91">
        <w:rPr>
          <w:rFonts w:ascii="Book Antiqua" w:hAnsi="Book Antiqua"/>
          <w:noProof/>
          <w:sz w:val="24"/>
          <w:szCs w:val="24"/>
          <w:vertAlign w:val="superscript"/>
        </w:rPr>
        <w:t>[10]</w:t>
      </w:r>
      <w:r w:rsidRPr="00B40E91">
        <w:rPr>
          <w:rFonts w:ascii="Book Antiqua" w:hAnsi="Book Antiqua"/>
          <w:sz w:val="24"/>
          <w:szCs w:val="24"/>
        </w:rPr>
        <w:t>, and specifically the 6-thioguanine triphosphate (6-thio-GTP) metabolite may stimulate T cell apoptosis through inhibition of Rac1 activation, thus preventing CD28 costimulation from inducing Bcl-x</w:t>
      </w:r>
      <w:r w:rsidRPr="00B40E91">
        <w:rPr>
          <w:rFonts w:ascii="Book Antiqua" w:hAnsi="Book Antiqua"/>
          <w:sz w:val="24"/>
          <w:szCs w:val="24"/>
          <w:vertAlign w:val="subscript"/>
        </w:rPr>
        <w:t>L</w:t>
      </w:r>
      <w:r w:rsidRPr="00B40E91">
        <w:rPr>
          <w:rFonts w:ascii="Book Antiqua" w:hAnsi="Book Antiqua"/>
          <w:sz w:val="24"/>
          <w:szCs w:val="24"/>
        </w:rPr>
        <w:t xml:space="preserve"> expression in these cells upon activation</w:t>
      </w:r>
      <w:r w:rsidRPr="00B40E91">
        <w:rPr>
          <w:rFonts w:ascii="Book Antiqua" w:hAnsi="Book Antiqua"/>
          <w:noProof/>
          <w:sz w:val="24"/>
          <w:szCs w:val="24"/>
          <w:vertAlign w:val="superscript"/>
        </w:rPr>
        <w:t>[11]</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Leukopenia is a known effect of azathioprine therapy</w:t>
      </w:r>
      <w:r w:rsidRPr="00B40E91">
        <w:rPr>
          <w:rFonts w:ascii="Book Antiqua" w:hAnsi="Book Antiqua"/>
          <w:noProof/>
          <w:sz w:val="24"/>
          <w:szCs w:val="24"/>
          <w:vertAlign w:val="superscript"/>
        </w:rPr>
        <w:t>[12]</w:t>
      </w:r>
      <w:r w:rsidRPr="00B40E91">
        <w:rPr>
          <w:rFonts w:ascii="Book Antiqua" w:hAnsi="Book Antiqua"/>
          <w:sz w:val="24"/>
          <w:szCs w:val="24"/>
        </w:rPr>
        <w:t>, and has been associated with therapeutic efficacy</w:t>
      </w:r>
      <w:r w:rsidRPr="00B40E91">
        <w:rPr>
          <w:rFonts w:ascii="Book Antiqua" w:hAnsi="Book Antiqua"/>
          <w:noProof/>
          <w:sz w:val="24"/>
          <w:szCs w:val="24"/>
          <w:vertAlign w:val="superscript"/>
        </w:rPr>
        <w:t>[13]</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However, this association appears to be due to decreased neutrophil counts seen during the early phase of thiopurine use, with lymphopenia demonstrating no correlation with therapeutic efficacy</w:t>
      </w:r>
      <w:r w:rsidRPr="00B40E91">
        <w:rPr>
          <w:rFonts w:ascii="Book Antiqua" w:hAnsi="Book Antiqua"/>
          <w:noProof/>
          <w:sz w:val="24"/>
          <w:szCs w:val="24"/>
          <w:vertAlign w:val="superscript"/>
        </w:rPr>
        <w:t>[14]</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Thus, if azathioprine suppresses the inflammation of IBD through anti-proliferative or pro-apoptotic effects on lymphocytes, these effects must be subtle, affecting only specific minor lymphocyte subpopulations, clonotypes, or anatomically sequestered populations not evident in the peripheral blood.</w:t>
      </w:r>
    </w:p>
    <w:p w14:paraId="7457BD5A" w14:textId="4849C55F" w:rsidR="0036054C" w:rsidRPr="00B40E91" w:rsidRDefault="0036054C" w:rsidP="009F013B">
      <w:pPr>
        <w:snapToGrid w:val="0"/>
        <w:spacing w:after="0" w:line="360" w:lineRule="auto"/>
        <w:ind w:firstLineChars="100" w:firstLine="240"/>
        <w:jc w:val="both"/>
        <w:rPr>
          <w:rFonts w:ascii="Book Antiqua" w:hAnsi="Book Antiqua"/>
          <w:sz w:val="24"/>
          <w:szCs w:val="24"/>
          <w:lang w:eastAsia="zh-CN"/>
        </w:rPr>
      </w:pPr>
      <w:r w:rsidRPr="00B40E91">
        <w:rPr>
          <w:rFonts w:ascii="Book Antiqua" w:hAnsi="Book Antiqua"/>
          <w:sz w:val="24"/>
          <w:szCs w:val="24"/>
        </w:rPr>
        <w:t>Early studies of azathioprine in UC showed that it reduced total plasma cell counts in the rectal mucosa</w:t>
      </w:r>
      <w:r w:rsidRPr="00B40E91">
        <w:rPr>
          <w:rFonts w:ascii="Book Antiqua" w:hAnsi="Book Antiqua"/>
          <w:noProof/>
          <w:sz w:val="24"/>
          <w:szCs w:val="24"/>
          <w:vertAlign w:val="superscript"/>
        </w:rPr>
        <w:t>[15]</w:t>
      </w:r>
      <w:r w:rsidRPr="00B40E91">
        <w:rPr>
          <w:rFonts w:ascii="Book Antiqua" w:hAnsi="Book Antiqua"/>
          <w:sz w:val="24"/>
          <w:szCs w:val="24"/>
        </w:rPr>
        <w:t xml:space="preserve"> to levels resembling healthy controls</w:t>
      </w:r>
      <w:r w:rsidRPr="00B40E91">
        <w:rPr>
          <w:rFonts w:ascii="Book Antiqua" w:hAnsi="Book Antiqua"/>
          <w:noProof/>
          <w:sz w:val="24"/>
          <w:szCs w:val="24"/>
          <w:vertAlign w:val="superscript"/>
        </w:rPr>
        <w:t>[16]</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 xml:space="preserve">However, it is unclear whether this is a specific effect of azathioprine versus simply a reflection of reduced </w:t>
      </w:r>
      <w:r w:rsidRPr="00B40E91">
        <w:rPr>
          <w:rFonts w:ascii="Book Antiqua" w:hAnsi="Book Antiqua"/>
          <w:sz w:val="24"/>
          <w:szCs w:val="24"/>
        </w:rPr>
        <w:lastRenderedPageBreak/>
        <w:t>lymphocytic infiltration as a consequence of decreased inflammation.</w:t>
      </w:r>
      <w:r w:rsidR="00BC35BF">
        <w:rPr>
          <w:rFonts w:ascii="Book Antiqua" w:hAnsi="Book Antiqua"/>
          <w:sz w:val="24"/>
          <w:szCs w:val="24"/>
        </w:rPr>
        <w:t xml:space="preserve"> </w:t>
      </w:r>
      <w:r w:rsidRPr="00B40E91">
        <w:rPr>
          <w:rFonts w:ascii="Book Antiqua" w:hAnsi="Book Antiqua"/>
          <w:sz w:val="24"/>
          <w:szCs w:val="24"/>
        </w:rPr>
        <w:t>These studies also demonstrated less antibody-dependent cell mediated cytotoxicity (ADCC) in the blood of azathioprine recipients</w:t>
      </w:r>
      <w:r w:rsidRPr="00B40E91">
        <w:rPr>
          <w:rFonts w:ascii="Book Antiqua" w:hAnsi="Book Antiqua"/>
          <w:noProof/>
          <w:sz w:val="24"/>
          <w:szCs w:val="24"/>
          <w:vertAlign w:val="superscript"/>
        </w:rPr>
        <w:t>[15-17]</w:t>
      </w:r>
      <w:r w:rsidRPr="00B40E91">
        <w:rPr>
          <w:rFonts w:ascii="Book Antiqua" w:hAnsi="Book Antiqua"/>
          <w:sz w:val="24"/>
          <w:szCs w:val="24"/>
        </w:rPr>
        <w:t>, a phenomenon that is classically attributed to natural killer (NK) cells.</w:t>
      </w:r>
      <w:r w:rsidR="00BC35BF">
        <w:rPr>
          <w:rFonts w:ascii="Book Antiqua" w:hAnsi="Book Antiqua"/>
          <w:sz w:val="24"/>
          <w:szCs w:val="24"/>
        </w:rPr>
        <w:t xml:space="preserve"> </w:t>
      </w:r>
      <w:r w:rsidRPr="00B40E91">
        <w:rPr>
          <w:rFonts w:ascii="Book Antiqua" w:hAnsi="Book Antiqua"/>
          <w:sz w:val="24"/>
          <w:szCs w:val="24"/>
        </w:rPr>
        <w:t>More recent research comparing the mRNA transcripts of peripheral blood from Crohn’s patients revealed reduced expression of genes commonly expressed by NK and other cytotoxic lymphocytes in thiopurine recipients</w:t>
      </w:r>
      <w:r w:rsidRPr="00B40E91">
        <w:rPr>
          <w:rFonts w:ascii="Book Antiqua" w:hAnsi="Book Antiqua"/>
          <w:noProof/>
          <w:sz w:val="24"/>
          <w:szCs w:val="24"/>
          <w:vertAlign w:val="superscript"/>
        </w:rPr>
        <w:t>[18]</w:t>
      </w:r>
      <w:r w:rsidRPr="00B40E91">
        <w:rPr>
          <w:rFonts w:ascii="Book Antiqua" w:hAnsi="Book Antiqua"/>
          <w:sz w:val="24"/>
          <w:szCs w:val="24"/>
        </w:rPr>
        <w:t>, suggesting that thiopurines may function through selective depletion of NK cells.</w:t>
      </w:r>
      <w:r w:rsidR="00BC35BF">
        <w:rPr>
          <w:rFonts w:ascii="Book Antiqua" w:hAnsi="Book Antiqua"/>
          <w:sz w:val="24"/>
          <w:szCs w:val="24"/>
        </w:rPr>
        <w:t xml:space="preserve"> </w:t>
      </w:r>
      <w:r w:rsidRPr="00B40E91">
        <w:rPr>
          <w:rFonts w:ascii="Book Antiqua" w:hAnsi="Book Antiqua"/>
          <w:sz w:val="24"/>
          <w:szCs w:val="24"/>
        </w:rPr>
        <w:t>One small study of Crohn’s patients prospectively examined the effect of azathioprine on immune cell subsets over a year, and found it to reduce total lymphocyte counts, but with no significant effect upon the percent of these lymphocytes expressing the NK markers CD16 and CD56</w:t>
      </w:r>
      <w:r w:rsidRPr="00B40E91">
        <w:rPr>
          <w:rFonts w:ascii="Book Antiqua" w:hAnsi="Book Antiqua"/>
          <w:noProof/>
          <w:sz w:val="24"/>
          <w:szCs w:val="24"/>
          <w:vertAlign w:val="superscript"/>
        </w:rPr>
        <w:t>[19]</w:t>
      </w:r>
      <w:r w:rsidRPr="00B40E91">
        <w:rPr>
          <w:rFonts w:ascii="Book Antiqua" w:hAnsi="Book Antiqua"/>
          <w:sz w:val="24"/>
          <w:szCs w:val="24"/>
        </w:rPr>
        <w:t>.</w:t>
      </w:r>
    </w:p>
    <w:p w14:paraId="65080CA5" w14:textId="07094662" w:rsidR="0036054C" w:rsidRPr="00B40E91" w:rsidRDefault="0036054C" w:rsidP="009F013B">
      <w:pPr>
        <w:snapToGrid w:val="0"/>
        <w:spacing w:after="0" w:line="360" w:lineRule="auto"/>
        <w:ind w:firstLineChars="100" w:firstLine="240"/>
        <w:jc w:val="both"/>
        <w:rPr>
          <w:rFonts w:ascii="Book Antiqua" w:hAnsi="Book Antiqua"/>
          <w:sz w:val="24"/>
          <w:szCs w:val="24"/>
        </w:rPr>
      </w:pPr>
      <w:r w:rsidRPr="00B40E91">
        <w:rPr>
          <w:rFonts w:ascii="Book Antiqua" w:hAnsi="Book Antiqua"/>
          <w:sz w:val="24"/>
          <w:szCs w:val="24"/>
        </w:rPr>
        <w:t>Curiously, this study also found azathioprine to significantly increase the percent of lymphocytes expressing CD25</w:t>
      </w:r>
      <w:r w:rsidRPr="00B40E91">
        <w:rPr>
          <w:rFonts w:ascii="Book Antiqua" w:hAnsi="Book Antiqua"/>
          <w:noProof/>
          <w:sz w:val="24"/>
          <w:szCs w:val="24"/>
          <w:vertAlign w:val="superscript"/>
        </w:rPr>
        <w:t>[19]</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Among CD4+ T cells, CD25 is a marker of FOXP3+ regulatory T cells (Tregs), which are known to play a central role in preventing intestinal inflammation in mice</w:t>
      </w:r>
      <w:r w:rsidRPr="00B40E91">
        <w:rPr>
          <w:rFonts w:ascii="Book Antiqua" w:hAnsi="Book Antiqua"/>
          <w:noProof/>
          <w:sz w:val="24"/>
          <w:szCs w:val="24"/>
          <w:vertAlign w:val="superscript"/>
        </w:rPr>
        <w:t>[20]</w:t>
      </w:r>
      <w:r w:rsidRPr="00B40E91">
        <w:rPr>
          <w:rFonts w:ascii="Book Antiqua" w:hAnsi="Book Antiqua"/>
          <w:sz w:val="24"/>
          <w:szCs w:val="24"/>
        </w:rPr>
        <w:t xml:space="preserve"> and humans</w:t>
      </w:r>
      <w:r w:rsidRPr="00B40E91">
        <w:rPr>
          <w:rFonts w:ascii="Book Antiqua" w:hAnsi="Book Antiqua"/>
          <w:noProof/>
          <w:sz w:val="24"/>
          <w:szCs w:val="24"/>
          <w:vertAlign w:val="superscript"/>
        </w:rPr>
        <w:t>[21,22]</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Although CD25+, FOXP3+ Tregs are not deficient in IBD patients</w:t>
      </w:r>
      <w:r w:rsidRPr="00B40E91">
        <w:rPr>
          <w:rFonts w:ascii="Book Antiqua" w:hAnsi="Book Antiqua"/>
          <w:noProof/>
          <w:sz w:val="24"/>
          <w:szCs w:val="24"/>
          <w:vertAlign w:val="superscript"/>
        </w:rPr>
        <w:t>[23]</w:t>
      </w:r>
      <w:r w:rsidRPr="00B40E91">
        <w:rPr>
          <w:rFonts w:ascii="Book Antiqua" w:hAnsi="Book Antiqua"/>
          <w:sz w:val="24"/>
          <w:szCs w:val="24"/>
        </w:rPr>
        <w:t>, their frequency in the blood has been reported to be reduced in active versus quiescent disease, and their frequency in the intestinal mucosa, while enriched in inflammation</w:t>
      </w:r>
      <w:r w:rsidRPr="00B40E91">
        <w:rPr>
          <w:rFonts w:ascii="Book Antiqua" w:hAnsi="Book Antiqua"/>
          <w:noProof/>
          <w:sz w:val="24"/>
          <w:szCs w:val="24"/>
          <w:vertAlign w:val="superscript"/>
        </w:rPr>
        <w:t>[24,25]</w:t>
      </w:r>
      <w:r w:rsidRPr="00B40E91">
        <w:rPr>
          <w:rFonts w:ascii="Book Antiqua" w:hAnsi="Book Antiqua"/>
          <w:sz w:val="24"/>
          <w:szCs w:val="24"/>
        </w:rPr>
        <w:t>, may be relatively low compared to other causes of intestinal inflammation</w:t>
      </w:r>
      <w:r w:rsidRPr="00B40E91">
        <w:rPr>
          <w:rFonts w:ascii="Book Antiqua" w:hAnsi="Book Antiqua"/>
          <w:noProof/>
          <w:sz w:val="24"/>
          <w:szCs w:val="24"/>
          <w:vertAlign w:val="superscript"/>
        </w:rPr>
        <w:t>[26]</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Thus, an alternative mechanism by which thiopurines could control IBD may be by selectively sparing, and thus enriching, Tregs in the intestinal lamina propria (LP).</w:t>
      </w:r>
      <w:r w:rsidR="00BC35BF">
        <w:rPr>
          <w:rFonts w:ascii="Book Antiqua" w:hAnsi="Book Antiqua"/>
          <w:sz w:val="24"/>
          <w:szCs w:val="24"/>
        </w:rPr>
        <w:t xml:space="preserve"> </w:t>
      </w:r>
    </w:p>
    <w:p w14:paraId="00DA05F7" w14:textId="7943DB70" w:rsidR="0036054C" w:rsidRPr="00B40E91" w:rsidRDefault="0036054C" w:rsidP="009F013B">
      <w:pPr>
        <w:snapToGrid w:val="0"/>
        <w:spacing w:after="0" w:line="360" w:lineRule="auto"/>
        <w:ind w:firstLine="360"/>
        <w:jc w:val="both"/>
        <w:rPr>
          <w:rFonts w:ascii="Book Antiqua" w:hAnsi="Book Antiqua"/>
          <w:sz w:val="24"/>
          <w:szCs w:val="24"/>
        </w:rPr>
      </w:pPr>
      <w:r w:rsidRPr="00B40E91">
        <w:rPr>
          <w:rFonts w:ascii="Book Antiqua" w:hAnsi="Book Antiqua"/>
          <w:sz w:val="24"/>
          <w:szCs w:val="24"/>
        </w:rPr>
        <w:t>Noting that only lymphocyte counts were reduced in thiopurine recipients, our aim was to determine if and how thiopurine use is associated with depletion of specific lymphocyte populations.</w:t>
      </w:r>
      <w:r w:rsidR="00BC35BF">
        <w:rPr>
          <w:rFonts w:ascii="Book Antiqua" w:hAnsi="Book Antiqua"/>
          <w:sz w:val="24"/>
          <w:szCs w:val="24"/>
        </w:rPr>
        <w:t xml:space="preserve"> </w:t>
      </w:r>
      <w:r w:rsidRPr="00B40E91">
        <w:rPr>
          <w:rFonts w:ascii="Book Antiqua" w:hAnsi="Book Antiqua"/>
          <w:sz w:val="24"/>
          <w:szCs w:val="24"/>
        </w:rPr>
        <w:t>We evaluated IBD patients on or off thiopurines to correlate the use of these medications with changes in B, T, and NK cell subpopulations, and compared them with the frequency of these lymphocyte subsets in matched healthy control subjects.</w:t>
      </w:r>
      <w:r w:rsidR="00BC35BF">
        <w:rPr>
          <w:rFonts w:ascii="Book Antiqua" w:hAnsi="Book Antiqua"/>
          <w:sz w:val="24"/>
          <w:szCs w:val="24"/>
        </w:rPr>
        <w:t xml:space="preserve"> </w:t>
      </w:r>
    </w:p>
    <w:p w14:paraId="5125AED8" w14:textId="77777777" w:rsidR="00D92B9C" w:rsidRDefault="00D92B9C" w:rsidP="009F013B">
      <w:pPr>
        <w:snapToGrid w:val="0"/>
        <w:spacing w:after="0" w:line="360" w:lineRule="auto"/>
        <w:jc w:val="both"/>
        <w:rPr>
          <w:rFonts w:ascii="Book Antiqua" w:hAnsi="Book Antiqua"/>
          <w:b/>
          <w:sz w:val="24"/>
          <w:szCs w:val="24"/>
          <w:lang w:eastAsia="zh-CN"/>
        </w:rPr>
      </w:pPr>
    </w:p>
    <w:p w14:paraId="4723770C" w14:textId="0A99C19C" w:rsidR="0036054C" w:rsidRPr="00D92B9C" w:rsidRDefault="00D92B9C" w:rsidP="009F013B">
      <w:pPr>
        <w:snapToGrid w:val="0"/>
        <w:spacing w:after="0" w:line="360" w:lineRule="auto"/>
        <w:jc w:val="both"/>
        <w:rPr>
          <w:rFonts w:ascii="Book Antiqua" w:hAnsi="Book Antiqua"/>
          <w:b/>
          <w:caps/>
          <w:sz w:val="24"/>
          <w:szCs w:val="24"/>
          <w:lang w:eastAsia="zh-CN"/>
        </w:rPr>
      </w:pPr>
      <w:r w:rsidRPr="00D92B9C">
        <w:rPr>
          <w:rFonts w:ascii="Book Antiqua" w:hAnsi="Book Antiqua"/>
          <w:b/>
          <w:caps/>
          <w:sz w:val="24"/>
          <w:szCs w:val="24"/>
        </w:rPr>
        <w:t>Materials and Methods</w:t>
      </w:r>
    </w:p>
    <w:p w14:paraId="257B4613" w14:textId="09CB3A1A" w:rsidR="00D92B9C" w:rsidRPr="00D92B9C" w:rsidRDefault="0036054C" w:rsidP="009F013B">
      <w:pPr>
        <w:snapToGrid w:val="0"/>
        <w:spacing w:after="0" w:line="360" w:lineRule="auto"/>
        <w:jc w:val="both"/>
        <w:rPr>
          <w:rFonts w:ascii="Book Antiqua" w:hAnsi="Book Antiqua"/>
          <w:b/>
          <w:i/>
          <w:sz w:val="24"/>
          <w:szCs w:val="24"/>
          <w:lang w:eastAsia="zh-CN"/>
        </w:rPr>
      </w:pPr>
      <w:r w:rsidRPr="00D92B9C">
        <w:rPr>
          <w:rFonts w:ascii="Book Antiqua" w:hAnsi="Book Antiqua"/>
          <w:b/>
          <w:i/>
          <w:sz w:val="24"/>
          <w:szCs w:val="24"/>
        </w:rPr>
        <w:lastRenderedPageBreak/>
        <w:t xml:space="preserve">Ethical </w:t>
      </w:r>
      <w:r w:rsidR="00D92B9C" w:rsidRPr="00D92B9C">
        <w:rPr>
          <w:rFonts w:ascii="Book Antiqua" w:hAnsi="Book Antiqua"/>
          <w:b/>
          <w:i/>
          <w:sz w:val="24"/>
          <w:szCs w:val="24"/>
        </w:rPr>
        <w:t>c</w:t>
      </w:r>
      <w:r w:rsidRPr="00D92B9C">
        <w:rPr>
          <w:rFonts w:ascii="Book Antiqua" w:hAnsi="Book Antiqua"/>
          <w:b/>
          <w:i/>
          <w:sz w:val="24"/>
          <w:szCs w:val="24"/>
        </w:rPr>
        <w:t>onsiderations</w:t>
      </w:r>
    </w:p>
    <w:p w14:paraId="369AE88B" w14:textId="053C1DF9" w:rsidR="0036054C" w:rsidRPr="00B40E91" w:rsidRDefault="0036054C" w:rsidP="009F013B">
      <w:pPr>
        <w:snapToGrid w:val="0"/>
        <w:spacing w:after="0" w:line="360" w:lineRule="auto"/>
        <w:jc w:val="both"/>
        <w:rPr>
          <w:rFonts w:ascii="Book Antiqua" w:hAnsi="Book Antiqua"/>
          <w:sz w:val="24"/>
          <w:szCs w:val="24"/>
          <w:u w:val="single"/>
        </w:rPr>
      </w:pPr>
      <w:r w:rsidRPr="00B40E91">
        <w:rPr>
          <w:rFonts w:ascii="Book Antiqua" w:hAnsi="Book Antiqua"/>
          <w:sz w:val="24"/>
          <w:szCs w:val="24"/>
        </w:rPr>
        <w:t>Clinical data, including complete blood cell (CBC) counts presented in figure 1, and specimens detailed below, were archived from consenting participants in a biorepository program at the Benaroya Research Institute, as authorized by an IRB-approved protocol in accordance with the declaration of Helsinki.</w:t>
      </w:r>
      <w:r w:rsidR="00BC35BF">
        <w:rPr>
          <w:rFonts w:ascii="Book Antiqua" w:hAnsi="Book Antiqua"/>
          <w:sz w:val="24"/>
          <w:szCs w:val="24"/>
        </w:rPr>
        <w:t xml:space="preserve"> </w:t>
      </w:r>
    </w:p>
    <w:p w14:paraId="5480B7CF" w14:textId="77777777" w:rsidR="00D92B9C" w:rsidRDefault="00D92B9C" w:rsidP="009F013B">
      <w:pPr>
        <w:snapToGrid w:val="0"/>
        <w:spacing w:after="0" w:line="360" w:lineRule="auto"/>
        <w:jc w:val="both"/>
        <w:rPr>
          <w:rFonts w:ascii="Book Antiqua" w:hAnsi="Book Antiqua"/>
          <w:sz w:val="24"/>
          <w:szCs w:val="24"/>
          <w:u w:val="single"/>
          <w:lang w:eastAsia="zh-CN"/>
        </w:rPr>
      </w:pPr>
    </w:p>
    <w:p w14:paraId="666E215D" w14:textId="2DC5358A" w:rsidR="00D92B9C" w:rsidRPr="00D92B9C" w:rsidRDefault="0036054C" w:rsidP="009F013B">
      <w:pPr>
        <w:snapToGrid w:val="0"/>
        <w:spacing w:after="0" w:line="360" w:lineRule="auto"/>
        <w:jc w:val="both"/>
        <w:rPr>
          <w:rFonts w:ascii="Book Antiqua" w:hAnsi="Book Antiqua"/>
          <w:b/>
          <w:i/>
          <w:sz w:val="24"/>
          <w:szCs w:val="24"/>
          <w:lang w:eastAsia="zh-CN"/>
        </w:rPr>
      </w:pPr>
      <w:r w:rsidRPr="00D92B9C">
        <w:rPr>
          <w:rFonts w:ascii="Book Antiqua" w:hAnsi="Book Antiqua"/>
          <w:b/>
          <w:i/>
          <w:sz w:val="24"/>
          <w:szCs w:val="24"/>
        </w:rPr>
        <w:t>Patients,</w:t>
      </w:r>
      <w:r w:rsidR="00D92B9C" w:rsidRPr="00D92B9C">
        <w:rPr>
          <w:rFonts w:ascii="Book Antiqua" w:hAnsi="Book Antiqua"/>
          <w:b/>
          <w:i/>
          <w:sz w:val="24"/>
          <w:szCs w:val="24"/>
        </w:rPr>
        <w:t xml:space="preserve"> specimens, and clinical data</w:t>
      </w:r>
    </w:p>
    <w:p w14:paraId="6FD7F1FD" w14:textId="30E584B6" w:rsidR="0036054C" w:rsidRPr="00B40E91" w:rsidRDefault="00D92B9C" w:rsidP="009F013B">
      <w:pPr>
        <w:snapToGrid w:val="0"/>
        <w:spacing w:after="0" w:line="360" w:lineRule="auto"/>
        <w:jc w:val="both"/>
        <w:rPr>
          <w:rFonts w:ascii="Book Antiqua" w:hAnsi="Book Antiqua"/>
          <w:sz w:val="24"/>
          <w:szCs w:val="24"/>
        </w:rPr>
      </w:pPr>
      <w:r w:rsidRPr="00D92B9C">
        <w:rPr>
          <w:rFonts w:ascii="Book Antiqua" w:hAnsi="Book Antiqua"/>
          <w:caps/>
          <w:sz w:val="24"/>
          <w:szCs w:val="24"/>
        </w:rPr>
        <w:t>f</w:t>
      </w:r>
      <w:r w:rsidRPr="00D92B9C">
        <w:rPr>
          <w:rFonts w:ascii="Book Antiqua" w:hAnsi="Book Antiqua"/>
          <w:sz w:val="24"/>
          <w:szCs w:val="24"/>
        </w:rPr>
        <w:t>ive hundred and fifty-seven</w:t>
      </w:r>
      <w:r>
        <w:rPr>
          <w:rFonts w:ascii="Book Antiqua" w:hAnsi="Book Antiqua" w:hint="eastAsia"/>
          <w:sz w:val="24"/>
          <w:szCs w:val="24"/>
          <w:lang w:eastAsia="zh-CN"/>
        </w:rPr>
        <w:t xml:space="preserve"> </w:t>
      </w:r>
      <w:r w:rsidR="0036054C" w:rsidRPr="00B40E91">
        <w:rPr>
          <w:rFonts w:ascii="Book Antiqua" w:hAnsi="Book Antiqua"/>
          <w:sz w:val="24"/>
          <w:szCs w:val="24"/>
        </w:rPr>
        <w:t>healthy controls, 42 IBD patients (31 Crohn’s, 10 UC, 1 indeterminate colitis) on azathioprine (</w:t>
      </w:r>
      <w:r w:rsidR="0036054C" w:rsidRPr="00D92B9C">
        <w:rPr>
          <w:rFonts w:ascii="Book Antiqua" w:hAnsi="Book Antiqua"/>
          <w:i/>
          <w:sz w:val="24"/>
          <w:szCs w:val="24"/>
        </w:rPr>
        <w:t>n</w:t>
      </w:r>
      <w:r>
        <w:rPr>
          <w:rFonts w:ascii="Book Antiqua" w:hAnsi="Book Antiqua" w:hint="eastAsia"/>
          <w:sz w:val="24"/>
          <w:szCs w:val="24"/>
          <w:lang w:eastAsia="zh-CN"/>
        </w:rPr>
        <w:t xml:space="preserve"> </w:t>
      </w:r>
      <w:r w:rsidR="0036054C" w:rsidRPr="00B40E91">
        <w:rPr>
          <w:rFonts w:ascii="Book Antiqua" w:hAnsi="Book Antiqua"/>
          <w:sz w:val="24"/>
          <w:szCs w:val="24"/>
        </w:rPr>
        <w:t>=</w:t>
      </w:r>
      <w:r>
        <w:rPr>
          <w:rFonts w:ascii="Book Antiqua" w:hAnsi="Book Antiqua" w:hint="eastAsia"/>
          <w:sz w:val="24"/>
          <w:szCs w:val="24"/>
          <w:lang w:eastAsia="zh-CN"/>
        </w:rPr>
        <w:t xml:space="preserve"> </w:t>
      </w:r>
      <w:r w:rsidR="0036054C" w:rsidRPr="00B40E91">
        <w:rPr>
          <w:rFonts w:ascii="Book Antiqua" w:hAnsi="Book Antiqua"/>
          <w:sz w:val="24"/>
          <w:szCs w:val="24"/>
        </w:rPr>
        <w:t>34) or 6-mercaptopurine (</w:t>
      </w:r>
      <w:r w:rsidRPr="00D92B9C">
        <w:rPr>
          <w:rFonts w:ascii="Book Antiqua" w:hAnsi="Book Antiqua"/>
          <w:i/>
          <w:sz w:val="24"/>
          <w:szCs w:val="24"/>
        </w:rPr>
        <w:t>n</w:t>
      </w:r>
      <w:r w:rsidRPr="00B40E91">
        <w:rPr>
          <w:rFonts w:ascii="Book Antiqua" w:hAnsi="Book Antiqua"/>
          <w:sz w:val="24"/>
          <w:szCs w:val="24"/>
        </w:rPr>
        <w:t xml:space="preserve"> </w:t>
      </w:r>
      <w:r w:rsidR="0036054C" w:rsidRPr="00B40E91">
        <w:rPr>
          <w:rFonts w:ascii="Book Antiqua" w:hAnsi="Book Antiqua"/>
          <w:sz w:val="24"/>
          <w:szCs w:val="24"/>
        </w:rPr>
        <w:t>=</w:t>
      </w:r>
      <w:r>
        <w:rPr>
          <w:rFonts w:ascii="Book Antiqua" w:hAnsi="Book Antiqua" w:hint="eastAsia"/>
          <w:sz w:val="24"/>
          <w:szCs w:val="24"/>
          <w:lang w:eastAsia="zh-CN"/>
        </w:rPr>
        <w:t xml:space="preserve"> </w:t>
      </w:r>
      <w:r w:rsidR="0036054C" w:rsidRPr="00B40E91">
        <w:rPr>
          <w:rFonts w:ascii="Book Antiqua" w:hAnsi="Book Antiqua"/>
          <w:sz w:val="24"/>
          <w:szCs w:val="24"/>
        </w:rPr>
        <w:t>8) and 168 IBD patients (105 Crohn’s, 61 UC, 2 indeterminate colitis) on no thiopurines provided CBC data in figure 1.</w:t>
      </w:r>
      <w:r w:rsidR="00BC35BF">
        <w:rPr>
          <w:rFonts w:ascii="Book Antiqua" w:hAnsi="Book Antiqua"/>
          <w:sz w:val="24"/>
          <w:szCs w:val="24"/>
        </w:rPr>
        <w:t xml:space="preserve"> </w:t>
      </w:r>
      <w:r w:rsidR="0036054C" w:rsidRPr="00B40E91">
        <w:rPr>
          <w:rFonts w:ascii="Book Antiqua" w:hAnsi="Book Antiqua"/>
          <w:sz w:val="24"/>
          <w:szCs w:val="24"/>
        </w:rPr>
        <w:t>Leukocyte subsets in the latter were defined and reported according to the International Council for Standardization in Hematology (ICSH) guidelines (http://icsh.org/guidelines/).</w:t>
      </w:r>
      <w:r w:rsidR="00BC35BF">
        <w:rPr>
          <w:rFonts w:ascii="Book Antiqua" w:hAnsi="Book Antiqua"/>
          <w:sz w:val="24"/>
          <w:szCs w:val="24"/>
        </w:rPr>
        <w:t xml:space="preserve"> </w:t>
      </w:r>
    </w:p>
    <w:p w14:paraId="4A6B5A6A" w14:textId="1303458D" w:rsidR="0036054C" w:rsidRPr="00B40E91" w:rsidRDefault="0036054C" w:rsidP="009F013B">
      <w:pPr>
        <w:snapToGrid w:val="0"/>
        <w:spacing w:after="0" w:line="360" w:lineRule="auto"/>
        <w:ind w:firstLine="360"/>
        <w:jc w:val="both"/>
        <w:rPr>
          <w:rFonts w:ascii="Book Antiqua" w:hAnsi="Book Antiqua"/>
          <w:sz w:val="24"/>
          <w:szCs w:val="24"/>
          <w:lang w:eastAsia="zh-CN"/>
        </w:rPr>
      </w:pPr>
      <w:r w:rsidRPr="00B40E91">
        <w:rPr>
          <w:rFonts w:ascii="Book Antiqua" w:hAnsi="Book Antiqua"/>
          <w:sz w:val="24"/>
          <w:szCs w:val="24"/>
        </w:rPr>
        <w:t>Live, frozen peripheral blood mononuclear cells (PBMC) were obtained from 19 of the above IBD patients (14 Crohn’s, 5 UC) on azathioprine (</w:t>
      </w:r>
      <w:r w:rsidR="00D92B9C" w:rsidRPr="00D92B9C">
        <w:rPr>
          <w:rFonts w:ascii="Book Antiqua" w:hAnsi="Book Antiqua"/>
          <w:i/>
          <w:sz w:val="24"/>
          <w:szCs w:val="24"/>
        </w:rPr>
        <w:t>n</w:t>
      </w:r>
      <w:r w:rsidR="00D92B9C" w:rsidRPr="00B40E91">
        <w:rPr>
          <w:rFonts w:ascii="Book Antiqua" w:hAnsi="Book Antiqua"/>
          <w:sz w:val="24"/>
          <w:szCs w:val="24"/>
        </w:rPr>
        <w:t xml:space="preserve"> </w:t>
      </w:r>
      <w:r w:rsidRPr="00B40E91">
        <w:rPr>
          <w:rFonts w:ascii="Book Antiqua" w:hAnsi="Book Antiqua"/>
          <w:sz w:val="24"/>
          <w:szCs w:val="24"/>
        </w:rPr>
        <w:t>=</w:t>
      </w:r>
      <w:r w:rsidR="00D92B9C">
        <w:rPr>
          <w:rFonts w:ascii="Book Antiqua" w:hAnsi="Book Antiqua" w:hint="eastAsia"/>
          <w:sz w:val="24"/>
          <w:szCs w:val="24"/>
          <w:lang w:eastAsia="zh-CN"/>
        </w:rPr>
        <w:t xml:space="preserve"> </w:t>
      </w:r>
      <w:r w:rsidRPr="00B40E91">
        <w:rPr>
          <w:rFonts w:ascii="Book Antiqua" w:hAnsi="Book Antiqua"/>
          <w:sz w:val="24"/>
          <w:szCs w:val="24"/>
        </w:rPr>
        <w:t>16) or 6-mercaptopurine (</w:t>
      </w:r>
      <w:r w:rsidR="00D92B9C" w:rsidRPr="00D92B9C">
        <w:rPr>
          <w:rFonts w:ascii="Book Antiqua" w:hAnsi="Book Antiqua"/>
          <w:i/>
          <w:sz w:val="24"/>
          <w:szCs w:val="24"/>
        </w:rPr>
        <w:t>n</w:t>
      </w:r>
      <w:r w:rsidR="00D92B9C" w:rsidRPr="00B40E91">
        <w:rPr>
          <w:rFonts w:ascii="Book Antiqua" w:hAnsi="Book Antiqua"/>
          <w:sz w:val="24"/>
          <w:szCs w:val="24"/>
        </w:rPr>
        <w:t xml:space="preserve"> </w:t>
      </w:r>
      <w:r w:rsidRPr="00B40E91">
        <w:rPr>
          <w:rFonts w:ascii="Book Antiqua" w:hAnsi="Book Antiqua"/>
          <w:sz w:val="24"/>
          <w:szCs w:val="24"/>
        </w:rPr>
        <w:t>=</w:t>
      </w:r>
      <w:r w:rsidR="00D92B9C">
        <w:rPr>
          <w:rFonts w:ascii="Book Antiqua" w:hAnsi="Book Antiqua" w:hint="eastAsia"/>
          <w:sz w:val="24"/>
          <w:szCs w:val="24"/>
          <w:lang w:eastAsia="zh-CN"/>
        </w:rPr>
        <w:t xml:space="preserve"> </w:t>
      </w:r>
      <w:r w:rsidRPr="00B40E91">
        <w:rPr>
          <w:rFonts w:ascii="Book Antiqua" w:hAnsi="Book Antiqua"/>
          <w:sz w:val="24"/>
          <w:szCs w:val="24"/>
        </w:rPr>
        <w:t>3), and 19 IBD patients (also 14 Crohn’s, 5 UC) on no thiopurine medications, but matched in terms of whether or not taking a 5’ aminosalicylate agent.</w:t>
      </w:r>
      <w:r w:rsidR="00BC35BF">
        <w:rPr>
          <w:rFonts w:ascii="Book Antiqua" w:hAnsi="Book Antiqua"/>
          <w:sz w:val="24"/>
          <w:szCs w:val="24"/>
        </w:rPr>
        <w:t xml:space="preserve"> </w:t>
      </w:r>
      <w:r w:rsidRPr="00B40E91">
        <w:rPr>
          <w:rFonts w:ascii="Book Antiqua" w:hAnsi="Book Antiqua"/>
          <w:sz w:val="24"/>
          <w:szCs w:val="24"/>
        </w:rPr>
        <w:t>Also, PBMC were obtained from 38 healthy controls, age and gender-matched to each of these IBD patients.</w:t>
      </w:r>
      <w:r w:rsidR="00BC35BF">
        <w:rPr>
          <w:rFonts w:ascii="Book Antiqua" w:hAnsi="Book Antiqua"/>
          <w:sz w:val="24"/>
          <w:szCs w:val="24"/>
        </w:rPr>
        <w:t xml:space="preserve"> </w:t>
      </w:r>
      <w:r w:rsidRPr="00B40E91">
        <w:rPr>
          <w:rFonts w:ascii="Book Antiqua" w:hAnsi="Book Antiqua"/>
          <w:sz w:val="24"/>
          <w:szCs w:val="24"/>
        </w:rPr>
        <w:t>None of these blood donors were on glucocorticoids, biopharmaceuticals, or other systemic immunosuppressive agents at the time of phlebotomy.</w:t>
      </w:r>
    </w:p>
    <w:p w14:paraId="137876BE" w14:textId="7CB30663" w:rsidR="0036054C" w:rsidRPr="00B40E91" w:rsidRDefault="0036054C" w:rsidP="009F013B">
      <w:pPr>
        <w:snapToGrid w:val="0"/>
        <w:spacing w:after="0" w:line="360" w:lineRule="auto"/>
        <w:ind w:firstLine="360"/>
        <w:jc w:val="both"/>
        <w:rPr>
          <w:rFonts w:ascii="Book Antiqua" w:hAnsi="Book Antiqua"/>
          <w:sz w:val="24"/>
          <w:szCs w:val="24"/>
        </w:rPr>
      </w:pPr>
      <w:r w:rsidRPr="00B40E91">
        <w:rPr>
          <w:rFonts w:ascii="Book Antiqua" w:hAnsi="Book Antiqua"/>
          <w:sz w:val="24"/>
          <w:szCs w:val="24"/>
        </w:rPr>
        <w:t>Live, frozen, colonoscopic biopsies were obtained from 17 IBD patients (13 Crohn’s, 4 UC) on azathioprine (</w:t>
      </w:r>
      <w:r w:rsidR="00D92B9C" w:rsidRPr="00D92B9C">
        <w:rPr>
          <w:rFonts w:ascii="Book Antiqua" w:hAnsi="Book Antiqua"/>
          <w:i/>
          <w:sz w:val="24"/>
          <w:szCs w:val="24"/>
        </w:rPr>
        <w:t>n</w:t>
      </w:r>
      <w:r w:rsidR="00D92B9C" w:rsidRPr="00B40E91">
        <w:rPr>
          <w:rFonts w:ascii="Book Antiqua" w:hAnsi="Book Antiqua"/>
          <w:sz w:val="24"/>
          <w:szCs w:val="24"/>
        </w:rPr>
        <w:t xml:space="preserve"> </w:t>
      </w:r>
      <w:r w:rsidRPr="00B40E91">
        <w:rPr>
          <w:rFonts w:ascii="Book Antiqua" w:hAnsi="Book Antiqua"/>
          <w:sz w:val="24"/>
          <w:szCs w:val="24"/>
        </w:rPr>
        <w:t>=</w:t>
      </w:r>
      <w:r w:rsidR="00D92B9C">
        <w:rPr>
          <w:rFonts w:ascii="Book Antiqua" w:hAnsi="Book Antiqua" w:hint="eastAsia"/>
          <w:sz w:val="24"/>
          <w:szCs w:val="24"/>
          <w:lang w:eastAsia="zh-CN"/>
        </w:rPr>
        <w:t xml:space="preserve"> </w:t>
      </w:r>
      <w:r w:rsidRPr="00B40E91">
        <w:rPr>
          <w:rFonts w:ascii="Book Antiqua" w:hAnsi="Book Antiqua"/>
          <w:sz w:val="24"/>
          <w:szCs w:val="24"/>
        </w:rPr>
        <w:t>14) or 6-mercaptopurine (</w:t>
      </w:r>
      <w:r w:rsidR="00D92B9C" w:rsidRPr="00D92B9C">
        <w:rPr>
          <w:rFonts w:ascii="Book Antiqua" w:hAnsi="Book Antiqua"/>
          <w:i/>
          <w:sz w:val="24"/>
          <w:szCs w:val="24"/>
        </w:rPr>
        <w:t>n</w:t>
      </w:r>
      <w:r w:rsidR="00D92B9C" w:rsidRPr="00B40E91">
        <w:rPr>
          <w:rFonts w:ascii="Book Antiqua" w:hAnsi="Book Antiqua"/>
          <w:sz w:val="24"/>
          <w:szCs w:val="24"/>
        </w:rPr>
        <w:t xml:space="preserve"> </w:t>
      </w:r>
      <w:r w:rsidRPr="00B40E91">
        <w:rPr>
          <w:rFonts w:ascii="Book Antiqua" w:hAnsi="Book Antiqua"/>
          <w:sz w:val="24"/>
          <w:szCs w:val="24"/>
        </w:rPr>
        <w:t>=</w:t>
      </w:r>
      <w:r w:rsidR="00D92B9C">
        <w:rPr>
          <w:rFonts w:ascii="Book Antiqua" w:hAnsi="Book Antiqua" w:hint="eastAsia"/>
          <w:sz w:val="24"/>
          <w:szCs w:val="24"/>
          <w:lang w:eastAsia="zh-CN"/>
        </w:rPr>
        <w:t xml:space="preserve"> </w:t>
      </w:r>
      <w:r w:rsidRPr="00B40E91">
        <w:rPr>
          <w:rFonts w:ascii="Book Antiqua" w:hAnsi="Book Antiqua"/>
          <w:sz w:val="24"/>
          <w:szCs w:val="24"/>
        </w:rPr>
        <w:t>3), and 17 IBD patients (also 13 Crohn’s, 4 UC) on no thiopurines at the time of colonoscopy.</w:t>
      </w:r>
      <w:r w:rsidR="00BC35BF">
        <w:rPr>
          <w:rFonts w:ascii="Book Antiqua" w:hAnsi="Book Antiqua"/>
          <w:sz w:val="24"/>
          <w:szCs w:val="24"/>
        </w:rPr>
        <w:t xml:space="preserve"> </w:t>
      </w:r>
      <w:r w:rsidRPr="00B40E91">
        <w:rPr>
          <w:rFonts w:ascii="Book Antiqua" w:hAnsi="Book Antiqua"/>
          <w:sz w:val="24"/>
          <w:szCs w:val="24"/>
        </w:rPr>
        <w:t>7 patients in each group were on an anti-TNF biopharmaceutical, and 3 patients in each group were on a glucocorticoid.</w:t>
      </w:r>
      <w:r w:rsidR="00BC35BF">
        <w:rPr>
          <w:rFonts w:ascii="Book Antiqua" w:hAnsi="Book Antiqua"/>
          <w:sz w:val="24"/>
          <w:szCs w:val="24"/>
        </w:rPr>
        <w:t xml:space="preserve"> </w:t>
      </w:r>
      <w:r w:rsidRPr="00B40E91">
        <w:rPr>
          <w:rFonts w:ascii="Book Antiqua" w:hAnsi="Book Antiqua"/>
          <w:sz w:val="24"/>
          <w:szCs w:val="24"/>
        </w:rPr>
        <w:t>6 patients in the thiopurine group and 8 in the no thiopurine group were on a 5’ aminosalicylate agent.</w:t>
      </w:r>
      <w:r w:rsidR="00BC35BF">
        <w:rPr>
          <w:rFonts w:ascii="Book Antiqua" w:hAnsi="Book Antiqua"/>
          <w:sz w:val="24"/>
          <w:szCs w:val="24"/>
        </w:rPr>
        <w:t xml:space="preserve"> </w:t>
      </w:r>
      <w:r w:rsidRPr="00B40E91">
        <w:rPr>
          <w:rFonts w:ascii="Book Antiqua" w:hAnsi="Book Antiqua"/>
          <w:sz w:val="24"/>
          <w:szCs w:val="24"/>
        </w:rPr>
        <w:t>The colonic mucosa biopsied was deemed by the colonoscopist to be actively inflamed in 6 of the patients on thiopurines and 7 of the patients on no thiopurines.</w:t>
      </w:r>
      <w:r w:rsidR="00BC35BF">
        <w:rPr>
          <w:rFonts w:ascii="Book Antiqua" w:hAnsi="Book Antiqua"/>
          <w:sz w:val="24"/>
          <w:szCs w:val="24"/>
        </w:rPr>
        <w:t xml:space="preserve"> </w:t>
      </w:r>
      <w:r w:rsidRPr="00B40E91">
        <w:rPr>
          <w:rFonts w:ascii="Book Antiqua" w:hAnsi="Book Antiqua"/>
          <w:sz w:val="24"/>
          <w:szCs w:val="24"/>
        </w:rPr>
        <w:t>As a control, biopsies from 49 healthy screening colonoscopy recipients were also examined.</w:t>
      </w:r>
      <w:r w:rsidR="00BC35BF">
        <w:rPr>
          <w:rFonts w:ascii="Book Antiqua" w:hAnsi="Book Antiqua"/>
          <w:sz w:val="24"/>
          <w:szCs w:val="24"/>
        </w:rPr>
        <w:t xml:space="preserve"> </w:t>
      </w:r>
    </w:p>
    <w:p w14:paraId="37095D13" w14:textId="64505CF3" w:rsidR="009E2A20" w:rsidRPr="009E2A20" w:rsidRDefault="0036054C" w:rsidP="009F013B">
      <w:pPr>
        <w:snapToGrid w:val="0"/>
        <w:spacing w:after="0" w:line="360" w:lineRule="auto"/>
        <w:jc w:val="both"/>
        <w:rPr>
          <w:rFonts w:ascii="Book Antiqua" w:hAnsi="Book Antiqua"/>
          <w:b/>
          <w:i/>
          <w:sz w:val="24"/>
          <w:szCs w:val="24"/>
          <w:lang w:eastAsia="zh-CN"/>
        </w:rPr>
      </w:pPr>
      <w:r w:rsidRPr="009E2A20">
        <w:rPr>
          <w:rFonts w:ascii="Book Antiqua" w:hAnsi="Book Antiqua"/>
          <w:b/>
          <w:i/>
          <w:sz w:val="24"/>
          <w:szCs w:val="24"/>
        </w:rPr>
        <w:lastRenderedPageBreak/>
        <w:t xml:space="preserve">Flow </w:t>
      </w:r>
      <w:r w:rsidR="009E2A20" w:rsidRPr="009E2A20">
        <w:rPr>
          <w:rFonts w:ascii="Book Antiqua" w:hAnsi="Book Antiqua"/>
          <w:b/>
          <w:i/>
          <w:sz w:val="24"/>
          <w:szCs w:val="24"/>
        </w:rPr>
        <w:t>c</w:t>
      </w:r>
      <w:r w:rsidRPr="009E2A20">
        <w:rPr>
          <w:rFonts w:ascii="Book Antiqua" w:hAnsi="Book Antiqua"/>
          <w:b/>
          <w:i/>
          <w:sz w:val="24"/>
          <w:szCs w:val="24"/>
        </w:rPr>
        <w:t>ytometry</w:t>
      </w:r>
    </w:p>
    <w:p w14:paraId="0F700F86" w14:textId="46FAD1B5"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sz w:val="24"/>
          <w:szCs w:val="24"/>
        </w:rPr>
        <w:t>Samples were thawed and colon biopsies were digested in a vortex at 37 degrees centigrade for 30 min in media containing collagenase and DNAse to liberate single cells.</w:t>
      </w:r>
      <w:r w:rsidR="00BC35BF">
        <w:rPr>
          <w:rFonts w:ascii="Book Antiqua" w:hAnsi="Book Antiqua"/>
          <w:sz w:val="24"/>
          <w:szCs w:val="24"/>
        </w:rPr>
        <w:t xml:space="preserve"> </w:t>
      </w:r>
      <w:r w:rsidRPr="00B40E91">
        <w:rPr>
          <w:rFonts w:ascii="Book Antiqua" w:hAnsi="Book Antiqua"/>
          <w:sz w:val="24"/>
          <w:szCs w:val="24"/>
        </w:rPr>
        <w:t>Cells were then filtered, washed, and stained extracellularly with panels of fluorophor-conjugated antibodies.</w:t>
      </w:r>
      <w:r w:rsidR="00BC35BF">
        <w:rPr>
          <w:rFonts w:ascii="Book Antiqua" w:hAnsi="Book Antiqua"/>
          <w:sz w:val="24"/>
          <w:szCs w:val="24"/>
        </w:rPr>
        <w:t xml:space="preserve"> </w:t>
      </w:r>
      <w:r w:rsidRPr="00B40E91">
        <w:rPr>
          <w:rFonts w:ascii="Book Antiqua" w:hAnsi="Book Antiqua"/>
          <w:sz w:val="24"/>
          <w:szCs w:val="24"/>
        </w:rPr>
        <w:t>Monoclonal antibodies against CD3 (clone SK7), CD4 (RPA-T4), CD8 (RPA-T8), CD19 (HIB19), CD25 (M-A251), CD27 (L128), CD38 (HIT2), CD49d (9F10), CD56 (NCAM16.2), CTLA4 (BNI3), and Ki67 (B56) were obtained from BD Biosciences (San Jose, CA, U</w:t>
      </w:r>
      <w:r w:rsidR="009E2A20">
        <w:rPr>
          <w:rFonts w:ascii="Book Antiqua" w:hAnsi="Book Antiqua"/>
          <w:sz w:val="24"/>
          <w:szCs w:val="24"/>
          <w:lang w:eastAsia="zh-CN"/>
        </w:rPr>
        <w:t xml:space="preserve">nited </w:t>
      </w:r>
      <w:r w:rsidR="009E2A20">
        <w:rPr>
          <w:rFonts w:ascii="Book Antiqua" w:hAnsi="Book Antiqua" w:hint="eastAsia"/>
          <w:sz w:val="24"/>
          <w:szCs w:val="24"/>
          <w:lang w:eastAsia="zh-CN"/>
        </w:rPr>
        <w:t>States</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 xml:space="preserve">Monoclonal antibodies against CD3 (SK7), CD4 (RPA-T4), CD8 (RPA-T8), CD16 (3G10), CD19 (HIB19), CD20 (2H7), CD45RA (HI100), CD49d (9F10), CD56 (HCD56), CD161 (HP-3G10), NKG2D (1D11), IFN gamma (4S.B3), IgD (1A6-2), IgM (MHM-88), TCRva24-Ja18 (6B11), TCRva7.2 (3C10), FOXP3 (236A/E7), and Helios (22F6) were obtained from BioLegend (San Diego, CA, </w:t>
      </w:r>
      <w:r w:rsidR="009E2A20" w:rsidRPr="00B40E91">
        <w:rPr>
          <w:rFonts w:ascii="Book Antiqua" w:hAnsi="Book Antiqua"/>
          <w:sz w:val="24"/>
          <w:szCs w:val="24"/>
        </w:rPr>
        <w:t>U</w:t>
      </w:r>
      <w:r w:rsidR="009E2A20">
        <w:rPr>
          <w:rFonts w:ascii="Book Antiqua" w:hAnsi="Book Antiqua"/>
          <w:sz w:val="24"/>
          <w:szCs w:val="24"/>
          <w:lang w:eastAsia="zh-CN"/>
        </w:rPr>
        <w:t xml:space="preserve">nited </w:t>
      </w:r>
      <w:r w:rsidR="009E2A20">
        <w:rPr>
          <w:rFonts w:ascii="Book Antiqua" w:hAnsi="Book Antiqua" w:hint="eastAsia"/>
          <w:sz w:val="24"/>
          <w:szCs w:val="24"/>
          <w:lang w:eastAsia="zh-CN"/>
        </w:rPr>
        <w:t>States</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Monoclonal antibodies against CD8 (RPA-T8), NKp46 (9E2), integrin beta 7 (FIB504), gamma delta TCR (B1.1), and IL17A (eBio64DEC17) were obtained from eBiosciences (San Diego, CA, USA).</w:t>
      </w:r>
      <w:r w:rsidR="00BC35BF">
        <w:rPr>
          <w:rFonts w:ascii="Book Antiqua" w:hAnsi="Book Antiqua"/>
          <w:sz w:val="24"/>
          <w:szCs w:val="24"/>
        </w:rPr>
        <w:t xml:space="preserve"> </w:t>
      </w:r>
      <w:r w:rsidRPr="00B40E91">
        <w:rPr>
          <w:rFonts w:ascii="Book Antiqua" w:hAnsi="Book Antiqua"/>
          <w:sz w:val="24"/>
          <w:szCs w:val="24"/>
        </w:rPr>
        <w:t>Intracellular staining was performed with a FOXP3 staining kit (eBiosciences).</w:t>
      </w:r>
      <w:r w:rsidR="00BC35BF">
        <w:rPr>
          <w:rFonts w:ascii="Book Antiqua" w:hAnsi="Book Antiqua"/>
          <w:sz w:val="24"/>
          <w:szCs w:val="24"/>
        </w:rPr>
        <w:t xml:space="preserve"> </w:t>
      </w:r>
      <w:r w:rsidRPr="00B40E91">
        <w:rPr>
          <w:rFonts w:ascii="Book Antiqua" w:hAnsi="Book Antiqua"/>
          <w:sz w:val="24"/>
          <w:szCs w:val="24"/>
        </w:rPr>
        <w:t>For intracellular cytokine staining (ICCS), cells were first incubated overnight with PMA, ionomycin and brefeldin A.</w:t>
      </w:r>
      <w:r w:rsidR="00BC35BF">
        <w:rPr>
          <w:rFonts w:ascii="Book Antiqua" w:hAnsi="Book Antiqua"/>
          <w:sz w:val="24"/>
          <w:szCs w:val="24"/>
        </w:rPr>
        <w:t xml:space="preserve"> </w:t>
      </w:r>
      <w:r w:rsidRPr="00B40E91">
        <w:rPr>
          <w:rFonts w:ascii="Book Antiqua" w:hAnsi="Book Antiqua"/>
          <w:sz w:val="24"/>
          <w:szCs w:val="24"/>
        </w:rPr>
        <w:t>Stained cells were evaluated on either a FACSCanto (BD Biosciences) or, for ICCS, a FACS Calibur (BD Biosciences) flow cytometer.</w:t>
      </w:r>
      <w:r w:rsidR="00BC35BF">
        <w:rPr>
          <w:rFonts w:ascii="Book Antiqua" w:hAnsi="Book Antiqua"/>
          <w:sz w:val="24"/>
          <w:szCs w:val="24"/>
        </w:rPr>
        <w:t xml:space="preserve"> </w:t>
      </w:r>
      <w:r w:rsidRPr="00B40E91">
        <w:rPr>
          <w:rFonts w:ascii="Book Antiqua" w:hAnsi="Book Antiqua"/>
          <w:sz w:val="24"/>
          <w:szCs w:val="24"/>
        </w:rPr>
        <w:t>Data was analyzed with FlowJo (FlowJo, LLC, Ashland, OR) Excel (Microsoft, Inc</w:t>
      </w:r>
      <w:r w:rsidR="00343941" w:rsidRPr="00B40E91">
        <w:rPr>
          <w:rFonts w:ascii="Book Antiqua" w:hAnsi="Book Antiqua"/>
          <w:sz w:val="24"/>
          <w:szCs w:val="24"/>
        </w:rPr>
        <w:t>.</w:t>
      </w:r>
      <w:r w:rsidRPr="00B40E91">
        <w:rPr>
          <w:rFonts w:ascii="Book Antiqua" w:hAnsi="Book Antiqua"/>
          <w:sz w:val="24"/>
          <w:szCs w:val="24"/>
        </w:rPr>
        <w:t>, Redmond, WA), and GraphPad Prism (Graph Pad Software, Inc., La Jolla, CA</w:t>
      </w:r>
      <w:r w:rsidR="009E2A20">
        <w:rPr>
          <w:rFonts w:ascii="Book Antiqua" w:hAnsi="Book Antiqua" w:hint="eastAsia"/>
          <w:sz w:val="24"/>
          <w:szCs w:val="24"/>
          <w:lang w:eastAsia="zh-CN"/>
        </w:rPr>
        <w:t xml:space="preserve">, </w:t>
      </w:r>
      <w:r w:rsidR="009E2A20" w:rsidRPr="00B40E91">
        <w:rPr>
          <w:rFonts w:ascii="Book Antiqua" w:hAnsi="Book Antiqua"/>
          <w:sz w:val="24"/>
          <w:szCs w:val="24"/>
        </w:rPr>
        <w:t>U</w:t>
      </w:r>
      <w:r w:rsidR="009E2A20">
        <w:rPr>
          <w:rFonts w:ascii="Book Antiqua" w:hAnsi="Book Antiqua"/>
          <w:sz w:val="24"/>
          <w:szCs w:val="24"/>
          <w:lang w:eastAsia="zh-CN"/>
        </w:rPr>
        <w:t xml:space="preserve">nited </w:t>
      </w:r>
      <w:r w:rsidR="009E2A20">
        <w:rPr>
          <w:rFonts w:ascii="Book Antiqua" w:hAnsi="Book Antiqua" w:hint="eastAsia"/>
          <w:sz w:val="24"/>
          <w:szCs w:val="24"/>
          <w:lang w:eastAsia="zh-CN"/>
        </w:rPr>
        <w:t>States</w:t>
      </w:r>
      <w:r w:rsidRPr="00B40E91">
        <w:rPr>
          <w:rFonts w:ascii="Book Antiqua" w:hAnsi="Book Antiqua"/>
          <w:sz w:val="24"/>
          <w:szCs w:val="24"/>
        </w:rPr>
        <w:t>) software.</w:t>
      </w:r>
      <w:r w:rsidR="00BC35BF">
        <w:rPr>
          <w:rFonts w:ascii="Book Antiqua" w:hAnsi="Book Antiqua"/>
          <w:sz w:val="24"/>
          <w:szCs w:val="24"/>
        </w:rPr>
        <w:t xml:space="preserve"> </w:t>
      </w:r>
      <w:r w:rsidR="00130171" w:rsidRPr="00B40E91">
        <w:rPr>
          <w:rFonts w:ascii="Book Antiqua" w:hAnsi="Book Antiqua"/>
          <w:sz w:val="24"/>
          <w:szCs w:val="24"/>
        </w:rPr>
        <w:t>All two-way comparisons were performed with two-tailed Mann-Whitney nonparametric analyses.</w:t>
      </w:r>
      <w:r w:rsidR="00BC35BF">
        <w:rPr>
          <w:rFonts w:ascii="Book Antiqua" w:hAnsi="Book Antiqua"/>
          <w:sz w:val="24"/>
          <w:szCs w:val="24"/>
        </w:rPr>
        <w:t xml:space="preserve"> </w:t>
      </w:r>
      <w:r w:rsidRPr="00B40E91">
        <w:rPr>
          <w:rFonts w:ascii="Book Antiqua" w:hAnsi="Book Antiqua"/>
          <w:sz w:val="24"/>
          <w:szCs w:val="24"/>
        </w:rPr>
        <w:t xml:space="preserve">The statistical methods of this study were reviewed by </w:t>
      </w:r>
      <w:r w:rsidR="00130171" w:rsidRPr="00B40E91">
        <w:rPr>
          <w:rFonts w:ascii="Book Antiqua" w:hAnsi="Book Antiqua"/>
          <w:sz w:val="24"/>
          <w:szCs w:val="24"/>
        </w:rPr>
        <w:t xml:space="preserve">biostatistician </w:t>
      </w:r>
      <w:r w:rsidRPr="00B40E91">
        <w:rPr>
          <w:rFonts w:ascii="Book Antiqua" w:hAnsi="Book Antiqua"/>
          <w:sz w:val="24"/>
          <w:szCs w:val="24"/>
        </w:rPr>
        <w:t>Elizabeth Whalen, PhD, of the Benaroya Research Institute.</w:t>
      </w:r>
      <w:r w:rsidR="00BC35BF">
        <w:rPr>
          <w:rFonts w:ascii="Book Antiqua" w:hAnsi="Book Antiqua"/>
          <w:sz w:val="24"/>
          <w:szCs w:val="24"/>
        </w:rPr>
        <w:t xml:space="preserve"> </w:t>
      </w:r>
    </w:p>
    <w:p w14:paraId="1F4BE3F9" w14:textId="77777777" w:rsidR="009E2A20" w:rsidRDefault="009E2A20" w:rsidP="009F013B">
      <w:pPr>
        <w:snapToGrid w:val="0"/>
        <w:spacing w:after="0" w:line="360" w:lineRule="auto"/>
        <w:jc w:val="both"/>
        <w:rPr>
          <w:rFonts w:ascii="Book Antiqua" w:hAnsi="Book Antiqua"/>
          <w:b/>
          <w:sz w:val="24"/>
          <w:szCs w:val="24"/>
          <w:lang w:eastAsia="zh-CN"/>
        </w:rPr>
      </w:pPr>
    </w:p>
    <w:p w14:paraId="59103981" w14:textId="7AA88578" w:rsidR="0036054C" w:rsidRPr="009E2A20" w:rsidRDefault="009E2A20" w:rsidP="009F013B">
      <w:pPr>
        <w:snapToGrid w:val="0"/>
        <w:spacing w:after="0" w:line="360" w:lineRule="auto"/>
        <w:jc w:val="both"/>
        <w:rPr>
          <w:rFonts w:ascii="Book Antiqua" w:hAnsi="Book Antiqua"/>
          <w:b/>
          <w:caps/>
          <w:sz w:val="24"/>
          <w:szCs w:val="24"/>
          <w:lang w:eastAsia="zh-CN"/>
        </w:rPr>
      </w:pPr>
      <w:r w:rsidRPr="009E2A20">
        <w:rPr>
          <w:rFonts w:ascii="Book Antiqua" w:hAnsi="Book Antiqua"/>
          <w:b/>
          <w:caps/>
          <w:sz w:val="24"/>
          <w:szCs w:val="24"/>
        </w:rPr>
        <w:t>Results</w:t>
      </w:r>
    </w:p>
    <w:p w14:paraId="014CEA01" w14:textId="77777777" w:rsidR="009E2A20" w:rsidRPr="009E2A20" w:rsidRDefault="0036054C" w:rsidP="009F013B">
      <w:pPr>
        <w:snapToGrid w:val="0"/>
        <w:spacing w:after="0" w:line="360" w:lineRule="auto"/>
        <w:jc w:val="both"/>
        <w:rPr>
          <w:rFonts w:ascii="Book Antiqua" w:hAnsi="Book Antiqua"/>
          <w:b/>
          <w:i/>
          <w:sz w:val="24"/>
          <w:szCs w:val="24"/>
          <w:lang w:eastAsia="zh-CN"/>
        </w:rPr>
      </w:pPr>
      <w:r w:rsidRPr="009E2A20">
        <w:rPr>
          <w:rFonts w:ascii="Book Antiqua" w:hAnsi="Book Antiqua"/>
          <w:b/>
          <w:i/>
          <w:sz w:val="24"/>
          <w:szCs w:val="24"/>
        </w:rPr>
        <w:t>Lymphopenia associated with thiopurine use is not due to selective T cell subset depletion</w:t>
      </w:r>
    </w:p>
    <w:p w14:paraId="5E7B020C" w14:textId="68E3C95E" w:rsidR="0036054C" w:rsidRPr="00B40E91" w:rsidRDefault="0036054C" w:rsidP="009F013B">
      <w:pPr>
        <w:snapToGrid w:val="0"/>
        <w:spacing w:after="0" w:line="360" w:lineRule="auto"/>
        <w:jc w:val="both"/>
        <w:rPr>
          <w:rFonts w:ascii="Book Antiqua" w:hAnsi="Book Antiqua"/>
          <w:sz w:val="24"/>
          <w:szCs w:val="24"/>
          <w:lang w:eastAsia="zh-CN"/>
        </w:rPr>
      </w:pPr>
      <w:r w:rsidRPr="00B40E91">
        <w:rPr>
          <w:rFonts w:ascii="Book Antiqua" w:hAnsi="Book Antiqua"/>
          <w:sz w:val="24"/>
          <w:szCs w:val="24"/>
        </w:rPr>
        <w:lastRenderedPageBreak/>
        <w:t>Comparing the CBC differentials of IBD patients revealed that patients chronically on thiopurines had significantly fewer circulating lymphocytes than patients not on thiopurines, although no differences in monocytes or granulocytes were evident (</w:t>
      </w:r>
      <w:r w:rsidRPr="009E2A20">
        <w:rPr>
          <w:rFonts w:ascii="Book Antiqua" w:hAnsi="Book Antiqua"/>
          <w:caps/>
          <w:sz w:val="24"/>
          <w:szCs w:val="24"/>
        </w:rPr>
        <w:t>f</w:t>
      </w:r>
      <w:r w:rsidRPr="00B40E91">
        <w:rPr>
          <w:rFonts w:ascii="Book Antiqua" w:hAnsi="Book Antiqua"/>
          <w:sz w:val="24"/>
          <w:szCs w:val="24"/>
        </w:rPr>
        <w:t>igure 1</w:t>
      </w:r>
      <w:r w:rsidRPr="009E2A20">
        <w:rPr>
          <w:rFonts w:ascii="Book Antiqua" w:hAnsi="Book Antiqua"/>
          <w:caps/>
          <w:sz w:val="24"/>
          <w:szCs w:val="24"/>
        </w:rPr>
        <w:t>a</w:t>
      </w:r>
      <w:r w:rsidRPr="00B40E91">
        <w:rPr>
          <w:rFonts w:ascii="Book Antiqua" w:hAnsi="Book Antiqua"/>
          <w:sz w:val="24"/>
          <w:szCs w:val="24"/>
        </w:rPr>
        <w:t>), as has been reported previously in IBD</w:t>
      </w:r>
      <w:r w:rsidRPr="00B40E91">
        <w:rPr>
          <w:rFonts w:ascii="Book Antiqua" w:hAnsi="Book Antiqua"/>
          <w:noProof/>
          <w:sz w:val="24"/>
          <w:szCs w:val="24"/>
          <w:vertAlign w:val="superscript"/>
        </w:rPr>
        <w:t>[16]</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Thiopurine use was not associated with any significant reduction in total CD3+ T cells, or the CD4+ or CD8+ subsets thereof (</w:t>
      </w:r>
      <w:r w:rsidRPr="001378BF">
        <w:rPr>
          <w:rFonts w:ascii="Book Antiqua" w:hAnsi="Book Antiqua"/>
          <w:caps/>
          <w:sz w:val="24"/>
          <w:szCs w:val="24"/>
        </w:rPr>
        <w:t>f</w:t>
      </w:r>
      <w:r w:rsidRPr="00B40E91">
        <w:rPr>
          <w:rFonts w:ascii="Book Antiqua" w:hAnsi="Book Antiqua"/>
          <w:sz w:val="24"/>
          <w:szCs w:val="24"/>
        </w:rPr>
        <w:t>igure 1</w:t>
      </w:r>
      <w:r w:rsidRPr="001378BF">
        <w:rPr>
          <w:rFonts w:ascii="Book Antiqua" w:hAnsi="Book Antiqua"/>
          <w:caps/>
          <w:sz w:val="24"/>
          <w:szCs w:val="24"/>
        </w:rPr>
        <w:t>b</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While this does not exclude the possibility that thiopurines selectively affect a minor T cell subpopulation, thiopurine use was not associated with any changes in the number of TCR</w:t>
      </w:r>
      <w:r w:rsidR="001378BF">
        <w:rPr>
          <w:rFonts w:ascii="Symbol" w:hAnsi="Symbol"/>
          <w:sz w:val="24"/>
          <w:szCs w:val="24"/>
        </w:rPr>
        <w:sym w:font="Symbol" w:char="F067"/>
      </w:r>
      <w:r w:rsidR="001378BF">
        <w:rPr>
          <w:rFonts w:ascii="Symbol" w:hAnsi="Symbol"/>
          <w:sz w:val="24"/>
          <w:szCs w:val="24"/>
        </w:rPr>
        <w:sym w:font="Symbol" w:char="F064"/>
      </w:r>
      <w:r w:rsidR="001378BF">
        <w:rPr>
          <w:rFonts w:ascii="Symbol" w:hAnsi="Symbol"/>
          <w:sz w:val="24"/>
          <w:szCs w:val="24"/>
        </w:rPr>
        <w:t></w:t>
      </w:r>
      <w:r w:rsidRPr="00B40E91">
        <w:rPr>
          <w:rFonts w:ascii="Book Antiqua" w:hAnsi="Book Antiqua"/>
          <w:sz w:val="24"/>
          <w:szCs w:val="24"/>
        </w:rPr>
        <w:t>+ T cells, TCRv</w:t>
      </w:r>
      <w:r w:rsidR="001378BF">
        <w:rPr>
          <w:rFonts w:ascii="Book Antiqua" w:hAnsi="Book Antiqua"/>
          <w:sz w:val="24"/>
          <w:szCs w:val="24"/>
        </w:rPr>
        <w:t>α</w:t>
      </w:r>
      <w:r w:rsidRPr="00B40E91">
        <w:rPr>
          <w:rFonts w:ascii="Book Antiqua" w:hAnsi="Book Antiqua"/>
          <w:sz w:val="24"/>
          <w:szCs w:val="24"/>
        </w:rPr>
        <w:t>24/j</w:t>
      </w:r>
      <w:r w:rsidRPr="00B40E91">
        <w:rPr>
          <w:rFonts w:ascii="Book Antiqua" w:hAnsi="Book Antiqua"/>
          <w:sz w:val="24"/>
          <w:szCs w:val="24"/>
        </w:rPr>
        <w:t>18+ invariant NKT cells, or CD161+, CD4-, TCRv</w:t>
      </w:r>
      <w:r w:rsidR="001378BF">
        <w:rPr>
          <w:rFonts w:ascii="Book Antiqua" w:hAnsi="Book Antiqua"/>
          <w:sz w:val="24"/>
          <w:szCs w:val="24"/>
        </w:rPr>
        <w:t>α</w:t>
      </w:r>
      <w:r w:rsidRPr="00B40E91">
        <w:rPr>
          <w:rFonts w:ascii="Book Antiqua" w:hAnsi="Book Antiqua"/>
          <w:sz w:val="24"/>
          <w:szCs w:val="24"/>
        </w:rPr>
        <w:t>7.2+ mucosa-associated invariant T (MAIT) cells in circulation, although fewer circulating CD161+ iNKT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Pr="00B40E91">
        <w:rPr>
          <w:rFonts w:ascii="Book Antiqua" w:hAnsi="Book Antiqua"/>
          <w:sz w:val="24"/>
          <w:szCs w:val="24"/>
        </w:rPr>
        <w:t>=</w:t>
      </w:r>
      <w:r w:rsidR="009E2A20">
        <w:rPr>
          <w:rFonts w:ascii="Book Antiqua" w:hAnsi="Book Antiqua" w:hint="eastAsia"/>
          <w:sz w:val="24"/>
          <w:szCs w:val="24"/>
          <w:lang w:eastAsia="zh-CN"/>
        </w:rPr>
        <w:t xml:space="preserve"> </w:t>
      </w:r>
      <w:r w:rsidRPr="00B40E91">
        <w:rPr>
          <w:rFonts w:ascii="Book Antiqua" w:hAnsi="Book Antiqua"/>
          <w:sz w:val="24"/>
          <w:szCs w:val="24"/>
        </w:rPr>
        <w:t>0.00843) and MAIT cells (</w:t>
      </w:r>
      <w:r w:rsidRPr="009E2A20">
        <w:rPr>
          <w:rFonts w:ascii="Book Antiqua" w:hAnsi="Book Antiqua"/>
          <w:i/>
          <w:caps/>
          <w:sz w:val="24"/>
          <w:szCs w:val="24"/>
        </w:rPr>
        <w:t>p</w:t>
      </w:r>
      <w:r w:rsidR="009E2A20">
        <w:rPr>
          <w:rFonts w:ascii="Book Antiqua" w:hAnsi="Book Antiqua" w:hint="eastAsia"/>
          <w:i/>
          <w:caps/>
          <w:sz w:val="24"/>
          <w:szCs w:val="24"/>
          <w:lang w:eastAsia="zh-CN"/>
        </w:rPr>
        <w:t xml:space="preserve"> </w:t>
      </w:r>
      <w:r w:rsidRPr="00B40E91">
        <w:rPr>
          <w:rFonts w:ascii="Book Antiqua" w:hAnsi="Book Antiqua"/>
          <w:sz w:val="24"/>
          <w:szCs w:val="24"/>
        </w:rPr>
        <w:t>=</w:t>
      </w:r>
      <w:r w:rsidR="009E2A20">
        <w:rPr>
          <w:rFonts w:ascii="Book Antiqua" w:hAnsi="Book Antiqua" w:hint="eastAsia"/>
          <w:sz w:val="24"/>
          <w:szCs w:val="24"/>
          <w:lang w:eastAsia="zh-CN"/>
        </w:rPr>
        <w:t xml:space="preserve"> </w:t>
      </w:r>
      <w:r w:rsidRPr="00B40E91">
        <w:rPr>
          <w:rFonts w:ascii="Book Antiqua" w:hAnsi="Book Antiqua"/>
          <w:sz w:val="24"/>
          <w:szCs w:val="24"/>
        </w:rPr>
        <w:t>0.00423) were seen in IBD patients than controls (</w:t>
      </w:r>
      <w:r w:rsidRPr="009E2A20">
        <w:rPr>
          <w:rFonts w:ascii="Book Antiqua" w:hAnsi="Book Antiqua"/>
          <w:caps/>
          <w:sz w:val="24"/>
          <w:szCs w:val="24"/>
        </w:rPr>
        <w:t>s</w:t>
      </w:r>
      <w:r w:rsidRPr="00B40E91">
        <w:rPr>
          <w:rFonts w:ascii="Book Antiqua" w:hAnsi="Book Antiqua"/>
          <w:sz w:val="24"/>
          <w:szCs w:val="24"/>
        </w:rPr>
        <w:t xml:space="preserve">upplemental </w:t>
      </w:r>
      <w:r w:rsidRPr="009E2A20">
        <w:rPr>
          <w:rFonts w:ascii="Book Antiqua" w:hAnsi="Book Antiqua"/>
          <w:caps/>
          <w:sz w:val="24"/>
          <w:szCs w:val="24"/>
        </w:rPr>
        <w:t>f</w:t>
      </w:r>
      <w:r w:rsidRPr="00B40E91">
        <w:rPr>
          <w:rFonts w:ascii="Book Antiqua" w:hAnsi="Book Antiqua"/>
          <w:sz w:val="24"/>
          <w:szCs w:val="24"/>
        </w:rPr>
        <w:t>igure 1).</w:t>
      </w:r>
    </w:p>
    <w:p w14:paraId="300A6DB0" w14:textId="606B2BED" w:rsidR="0036054C" w:rsidRPr="00B40E91" w:rsidRDefault="0036054C" w:rsidP="009F013B">
      <w:pPr>
        <w:snapToGrid w:val="0"/>
        <w:spacing w:after="0" w:line="360" w:lineRule="auto"/>
        <w:ind w:firstLineChars="100" w:firstLine="240"/>
        <w:jc w:val="both"/>
        <w:rPr>
          <w:rFonts w:ascii="Book Antiqua" w:hAnsi="Book Antiqua"/>
          <w:sz w:val="24"/>
          <w:szCs w:val="24"/>
        </w:rPr>
      </w:pPr>
      <w:r w:rsidRPr="00B40E91">
        <w:rPr>
          <w:rFonts w:ascii="Book Antiqua" w:hAnsi="Book Antiqua"/>
          <w:sz w:val="24"/>
          <w:szCs w:val="24"/>
        </w:rPr>
        <w:t>To determine if a reported increase in CD25+ CD4+ T cells associated with thiopurine use</w:t>
      </w:r>
      <w:r w:rsidRPr="00B40E91">
        <w:rPr>
          <w:rFonts w:ascii="Book Antiqua" w:hAnsi="Book Antiqua"/>
          <w:noProof/>
          <w:sz w:val="24"/>
          <w:szCs w:val="24"/>
          <w:vertAlign w:val="superscript"/>
        </w:rPr>
        <w:t>[19]</w:t>
      </w:r>
      <w:r w:rsidRPr="00B40E91">
        <w:rPr>
          <w:rFonts w:ascii="Book Antiqua" w:hAnsi="Book Antiqua"/>
          <w:sz w:val="24"/>
          <w:szCs w:val="24"/>
        </w:rPr>
        <w:t xml:space="preserve"> reflects an increase in FOXP3+ Treg populations, the above PBMC were also stained intracellularly for FOXP3 and the “natural” Treg (nTreg) marker Helios</w:t>
      </w:r>
      <w:r w:rsidRPr="00B40E91">
        <w:rPr>
          <w:rFonts w:ascii="Book Antiqua" w:hAnsi="Book Antiqua"/>
          <w:noProof/>
          <w:sz w:val="24"/>
          <w:szCs w:val="24"/>
          <w:vertAlign w:val="superscript"/>
        </w:rPr>
        <w:t>[27]</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The Helios+ FOXP3+ nTreg fraction of circulating CD4+ T cells was significantly larger in untreated IBD patients than controls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Pr="00B40E91">
        <w:rPr>
          <w:rFonts w:ascii="Book Antiqua" w:hAnsi="Book Antiqua"/>
          <w:sz w:val="24"/>
          <w:szCs w:val="24"/>
        </w:rPr>
        <w:t>=</w:t>
      </w:r>
      <w:r w:rsidR="009E2A20">
        <w:rPr>
          <w:rFonts w:ascii="Book Antiqua" w:hAnsi="Book Antiqua" w:hint="eastAsia"/>
          <w:sz w:val="24"/>
          <w:szCs w:val="24"/>
          <w:lang w:eastAsia="zh-CN"/>
        </w:rPr>
        <w:t xml:space="preserve"> </w:t>
      </w:r>
      <w:r w:rsidRPr="00B40E91">
        <w:rPr>
          <w:rFonts w:ascii="Book Antiqua" w:hAnsi="Book Antiqua"/>
          <w:sz w:val="24"/>
          <w:szCs w:val="24"/>
        </w:rPr>
        <w:t>0.</w:t>
      </w:r>
      <w:r w:rsidR="002D52C3" w:rsidRPr="00B40E91">
        <w:rPr>
          <w:rFonts w:ascii="Book Antiqua" w:hAnsi="Book Antiqua"/>
          <w:sz w:val="24"/>
          <w:szCs w:val="24"/>
        </w:rPr>
        <w:t>0007</w:t>
      </w:r>
      <w:r w:rsidRPr="00B40E91">
        <w:rPr>
          <w:rFonts w:ascii="Book Antiqua" w:hAnsi="Book Antiqua"/>
          <w:sz w:val="24"/>
          <w:szCs w:val="24"/>
        </w:rPr>
        <w:t>), but the Helios- FOXP3+ fraction was not, and there was no correlation between either Treg population and thiopurine use among IBD patients (</w:t>
      </w:r>
      <w:r w:rsidRPr="009E2A20">
        <w:rPr>
          <w:rFonts w:ascii="Book Antiqua" w:hAnsi="Book Antiqua"/>
          <w:caps/>
          <w:sz w:val="24"/>
          <w:szCs w:val="24"/>
        </w:rPr>
        <w:t>f</w:t>
      </w:r>
      <w:r w:rsidRPr="00B40E91">
        <w:rPr>
          <w:rFonts w:ascii="Book Antiqua" w:hAnsi="Book Antiqua"/>
          <w:sz w:val="24"/>
          <w:szCs w:val="24"/>
        </w:rPr>
        <w:t>igure 1</w:t>
      </w:r>
      <w:r w:rsidRPr="009E2A20">
        <w:rPr>
          <w:rFonts w:ascii="Book Antiqua" w:hAnsi="Book Antiqua"/>
          <w:caps/>
          <w:sz w:val="24"/>
          <w:szCs w:val="24"/>
        </w:rPr>
        <w:t>c</w:t>
      </w:r>
      <w:r w:rsidRPr="00B40E91">
        <w:rPr>
          <w:rFonts w:ascii="Book Antiqua" w:hAnsi="Book Antiqua"/>
          <w:sz w:val="24"/>
          <w:szCs w:val="24"/>
        </w:rPr>
        <w:t>).</w:t>
      </w:r>
      <w:r w:rsidR="00BC35BF">
        <w:rPr>
          <w:rFonts w:ascii="Book Antiqua" w:hAnsi="Book Antiqua"/>
          <w:sz w:val="24"/>
          <w:szCs w:val="24"/>
        </w:rPr>
        <w:t xml:space="preserve"> </w:t>
      </w:r>
      <w:bookmarkStart w:id="119" w:name="OLE_LINK1"/>
      <w:r w:rsidRPr="00B40E91">
        <w:rPr>
          <w:rFonts w:ascii="Book Antiqua" w:hAnsi="Book Antiqua"/>
          <w:sz w:val="24"/>
          <w:szCs w:val="24"/>
        </w:rPr>
        <w:t>Both Treg populations and conventional FOXP3- T cells showed no difference in expression of the naïve T cell marker CD45RA, the inhibitory receptor CTLA4, the IL-2 receptor CD25, or the proliferation marker Ki67 between IBD patients on versus off thiopurines, and between total IBD patients and controls (</w:t>
      </w:r>
      <w:r w:rsidRPr="009E2A20">
        <w:rPr>
          <w:rFonts w:ascii="Book Antiqua" w:hAnsi="Book Antiqua"/>
          <w:caps/>
          <w:sz w:val="24"/>
          <w:szCs w:val="24"/>
        </w:rPr>
        <w:t>s</w:t>
      </w:r>
      <w:r w:rsidRPr="00B40E91">
        <w:rPr>
          <w:rFonts w:ascii="Book Antiqua" w:hAnsi="Book Antiqua"/>
          <w:sz w:val="24"/>
          <w:szCs w:val="24"/>
        </w:rPr>
        <w:t xml:space="preserve">upplemental </w:t>
      </w:r>
      <w:r w:rsidRPr="009E2A20">
        <w:rPr>
          <w:rFonts w:ascii="Book Antiqua" w:hAnsi="Book Antiqua"/>
          <w:caps/>
          <w:sz w:val="24"/>
          <w:szCs w:val="24"/>
        </w:rPr>
        <w:t>f</w:t>
      </w:r>
      <w:r w:rsidRPr="00B40E91">
        <w:rPr>
          <w:rFonts w:ascii="Book Antiqua" w:hAnsi="Book Antiqua"/>
          <w:sz w:val="24"/>
          <w:szCs w:val="24"/>
        </w:rPr>
        <w:t>igures 2</w:t>
      </w:r>
      <w:r w:rsidRPr="009E2A20">
        <w:rPr>
          <w:rFonts w:ascii="Book Antiqua" w:hAnsi="Book Antiqua"/>
          <w:caps/>
          <w:sz w:val="24"/>
          <w:szCs w:val="24"/>
        </w:rPr>
        <w:t>a</w:t>
      </w:r>
      <w:r w:rsidRPr="00B40E91">
        <w:rPr>
          <w:rFonts w:ascii="Book Antiqua" w:hAnsi="Book Antiqua"/>
          <w:sz w:val="24"/>
          <w:szCs w:val="24"/>
        </w:rPr>
        <w:t>-</w:t>
      </w:r>
      <w:r w:rsidRPr="009E2A20">
        <w:rPr>
          <w:rFonts w:ascii="Book Antiqua" w:hAnsi="Book Antiqua"/>
          <w:caps/>
          <w:sz w:val="24"/>
          <w:szCs w:val="24"/>
        </w:rPr>
        <w:t>d</w:t>
      </w:r>
      <w:r w:rsidRPr="00B40E91">
        <w:rPr>
          <w:rFonts w:ascii="Book Antiqua" w:hAnsi="Book Antiqua"/>
          <w:sz w:val="24"/>
          <w:szCs w:val="24"/>
        </w:rPr>
        <w:t>).</w:t>
      </w:r>
      <w:r w:rsidR="00BC35BF">
        <w:rPr>
          <w:rFonts w:ascii="Book Antiqua" w:hAnsi="Book Antiqua"/>
          <w:sz w:val="24"/>
          <w:szCs w:val="24"/>
        </w:rPr>
        <w:t xml:space="preserve"> </w:t>
      </w:r>
      <w:bookmarkEnd w:id="119"/>
    </w:p>
    <w:p w14:paraId="1B1EBEEC" w14:textId="74CDA3F1" w:rsidR="0036054C" w:rsidRPr="00B40E91" w:rsidRDefault="0036054C" w:rsidP="009F013B">
      <w:pPr>
        <w:snapToGrid w:val="0"/>
        <w:spacing w:after="0" w:line="360" w:lineRule="auto"/>
        <w:ind w:firstLineChars="100" w:firstLine="240"/>
        <w:jc w:val="both"/>
        <w:rPr>
          <w:rFonts w:ascii="Book Antiqua" w:hAnsi="Book Antiqua"/>
          <w:sz w:val="24"/>
          <w:szCs w:val="24"/>
        </w:rPr>
      </w:pPr>
      <w:r w:rsidRPr="00B40E91">
        <w:rPr>
          <w:rFonts w:ascii="Book Antiqua" w:hAnsi="Book Antiqua"/>
          <w:sz w:val="24"/>
          <w:szCs w:val="24"/>
        </w:rPr>
        <w:t>CD4+ effector T cells that make IFN-</w:t>
      </w:r>
      <w:r w:rsidR="001378BF">
        <w:rPr>
          <w:rFonts w:ascii="Book Antiqua" w:hAnsi="Book Antiqua"/>
          <w:sz w:val="24"/>
          <w:szCs w:val="24"/>
        </w:rPr>
        <w:sym w:font="Symbol" w:char="F067"/>
      </w:r>
      <w:r w:rsidRPr="00B40E91">
        <w:rPr>
          <w:rFonts w:ascii="Book Antiqua" w:hAnsi="Book Antiqua"/>
          <w:sz w:val="24"/>
          <w:szCs w:val="24"/>
        </w:rPr>
        <w:t xml:space="preserve"> (Th1), IL-17 (Th17) or both (TH1/17) have been proposed to play a pathogenic role in IBD.</w:t>
      </w:r>
      <w:r w:rsidR="00BC35BF">
        <w:rPr>
          <w:rFonts w:ascii="Book Antiqua" w:hAnsi="Book Antiqua"/>
          <w:sz w:val="24"/>
          <w:szCs w:val="24"/>
        </w:rPr>
        <w:t xml:space="preserve"> </w:t>
      </w:r>
      <w:r w:rsidRPr="00B40E91">
        <w:rPr>
          <w:rFonts w:ascii="Book Antiqua" w:hAnsi="Book Antiqua"/>
          <w:sz w:val="24"/>
          <w:szCs w:val="24"/>
        </w:rPr>
        <w:t xml:space="preserve">Through intracellular cytokine staining, we found </w:t>
      </w:r>
      <w:r w:rsidR="00824836" w:rsidRPr="00B40E91">
        <w:rPr>
          <w:rFonts w:ascii="Book Antiqua" w:hAnsi="Book Antiqua"/>
          <w:sz w:val="24"/>
          <w:szCs w:val="24"/>
        </w:rPr>
        <w:t>that t</w:t>
      </w:r>
      <w:r w:rsidRPr="00B40E91">
        <w:rPr>
          <w:rFonts w:ascii="Book Antiqua" w:hAnsi="Book Antiqua"/>
          <w:sz w:val="24"/>
          <w:szCs w:val="24"/>
        </w:rPr>
        <w:t>hiopurine use had no significant correlation with</w:t>
      </w:r>
      <w:r w:rsidR="00824836" w:rsidRPr="00B40E91">
        <w:rPr>
          <w:rFonts w:ascii="Book Antiqua" w:hAnsi="Book Antiqua"/>
          <w:sz w:val="24"/>
          <w:szCs w:val="24"/>
        </w:rPr>
        <w:t xml:space="preserve"> Th17 (</w:t>
      </w:r>
      <w:r w:rsidR="00824836" w:rsidRPr="009E2A20">
        <w:rPr>
          <w:rFonts w:ascii="Book Antiqua" w:hAnsi="Book Antiqua"/>
          <w:caps/>
          <w:sz w:val="24"/>
          <w:szCs w:val="24"/>
        </w:rPr>
        <w:t>f</w:t>
      </w:r>
      <w:r w:rsidR="00824836" w:rsidRPr="00B40E91">
        <w:rPr>
          <w:rFonts w:ascii="Book Antiqua" w:hAnsi="Book Antiqua"/>
          <w:sz w:val="24"/>
          <w:szCs w:val="24"/>
        </w:rPr>
        <w:t>igure 2</w:t>
      </w:r>
      <w:r w:rsidR="00824836" w:rsidRPr="009E2A20">
        <w:rPr>
          <w:rFonts w:ascii="Book Antiqua" w:hAnsi="Book Antiqua"/>
          <w:caps/>
          <w:sz w:val="24"/>
          <w:szCs w:val="24"/>
        </w:rPr>
        <w:t>a</w:t>
      </w:r>
      <w:r w:rsidR="00824836" w:rsidRPr="00B40E91">
        <w:rPr>
          <w:rFonts w:ascii="Book Antiqua" w:hAnsi="Book Antiqua"/>
          <w:sz w:val="24"/>
          <w:szCs w:val="24"/>
        </w:rPr>
        <w:t>)</w:t>
      </w:r>
      <w:r w:rsidRPr="00B40E91">
        <w:rPr>
          <w:rFonts w:ascii="Book Antiqua" w:hAnsi="Book Antiqua"/>
          <w:sz w:val="24"/>
          <w:szCs w:val="24"/>
        </w:rPr>
        <w:t xml:space="preserve"> Th1 (</w:t>
      </w:r>
      <w:r w:rsidRPr="009E2A20">
        <w:rPr>
          <w:rFonts w:ascii="Book Antiqua" w:hAnsi="Book Antiqua"/>
          <w:caps/>
          <w:sz w:val="24"/>
          <w:szCs w:val="24"/>
        </w:rPr>
        <w:t>f</w:t>
      </w:r>
      <w:r w:rsidRPr="00B40E91">
        <w:rPr>
          <w:rFonts w:ascii="Book Antiqua" w:hAnsi="Book Antiqua"/>
          <w:sz w:val="24"/>
          <w:szCs w:val="24"/>
        </w:rPr>
        <w:t>igure 2</w:t>
      </w:r>
      <w:r w:rsidRPr="009E2A20">
        <w:rPr>
          <w:rFonts w:ascii="Book Antiqua" w:hAnsi="Book Antiqua"/>
          <w:caps/>
          <w:sz w:val="24"/>
          <w:szCs w:val="24"/>
        </w:rPr>
        <w:t>b</w:t>
      </w:r>
      <w:r w:rsidRPr="00B40E91">
        <w:rPr>
          <w:rFonts w:ascii="Book Antiqua" w:hAnsi="Book Antiqua"/>
          <w:sz w:val="24"/>
          <w:szCs w:val="24"/>
        </w:rPr>
        <w:t>) or Th1/17 frequency (</w:t>
      </w:r>
      <w:r w:rsidRPr="009E2A20">
        <w:rPr>
          <w:rFonts w:ascii="Book Antiqua" w:hAnsi="Book Antiqua"/>
          <w:caps/>
          <w:sz w:val="24"/>
          <w:szCs w:val="24"/>
        </w:rPr>
        <w:t>f</w:t>
      </w:r>
      <w:r w:rsidRPr="00B40E91">
        <w:rPr>
          <w:rFonts w:ascii="Book Antiqua" w:hAnsi="Book Antiqua"/>
          <w:sz w:val="24"/>
          <w:szCs w:val="24"/>
        </w:rPr>
        <w:t>igure 2</w:t>
      </w:r>
      <w:r w:rsidRPr="009E2A20">
        <w:rPr>
          <w:rFonts w:ascii="Book Antiqua" w:hAnsi="Book Antiqua"/>
          <w:caps/>
          <w:sz w:val="24"/>
          <w:szCs w:val="24"/>
        </w:rPr>
        <w:t>c</w:t>
      </w:r>
      <w:r w:rsidRPr="00B40E91">
        <w:rPr>
          <w:rFonts w:ascii="Book Antiqua" w:hAnsi="Book Antiqua"/>
          <w:sz w:val="24"/>
          <w:szCs w:val="24"/>
        </w:rPr>
        <w:t>), which additionally were no different between IBD patients and controls.</w:t>
      </w:r>
      <w:r w:rsidR="00BC35BF">
        <w:rPr>
          <w:rFonts w:ascii="Book Antiqua" w:hAnsi="Book Antiqua"/>
          <w:sz w:val="24"/>
          <w:szCs w:val="24"/>
        </w:rPr>
        <w:t xml:space="preserve"> </w:t>
      </w:r>
      <w:r w:rsidRPr="00B40E91">
        <w:rPr>
          <w:rFonts w:ascii="Book Antiqua" w:hAnsi="Book Antiqua"/>
          <w:sz w:val="24"/>
          <w:szCs w:val="24"/>
        </w:rPr>
        <w:t>However, thiopurine use did correlate with an increased fraction of CD8+ T cells expressing IFN-</w:t>
      </w:r>
      <w:r w:rsidR="009E2A20">
        <w:rPr>
          <w:rFonts w:ascii="Symbol" w:hAnsi="Symbol"/>
          <w:sz w:val="24"/>
          <w:szCs w:val="24"/>
        </w:rPr>
        <w:sym w:font="Symbol" w:char="F067"/>
      </w:r>
      <w:r w:rsidRPr="00B40E91">
        <w:rPr>
          <w:rFonts w:ascii="Book Antiqua" w:hAnsi="Book Antiqua"/>
          <w:sz w:val="24"/>
          <w:szCs w:val="24"/>
        </w:rPr>
        <w:t xml:space="preserve">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Pr="00B40E91">
        <w:rPr>
          <w:rFonts w:ascii="Book Antiqua" w:hAnsi="Book Antiqua"/>
          <w:sz w:val="24"/>
          <w:szCs w:val="24"/>
        </w:rPr>
        <w:t>=</w:t>
      </w:r>
      <w:r w:rsidR="009E2A20">
        <w:rPr>
          <w:rFonts w:ascii="Book Antiqua" w:hAnsi="Book Antiqua" w:hint="eastAsia"/>
          <w:sz w:val="24"/>
          <w:szCs w:val="24"/>
          <w:lang w:eastAsia="zh-CN"/>
        </w:rPr>
        <w:t xml:space="preserve"> </w:t>
      </w:r>
      <w:r w:rsidRPr="00B40E91">
        <w:rPr>
          <w:rFonts w:ascii="Book Antiqua" w:hAnsi="Book Antiqua"/>
          <w:sz w:val="24"/>
          <w:szCs w:val="24"/>
        </w:rPr>
        <w:t>0.02</w:t>
      </w:r>
      <w:r w:rsidR="006F6F63" w:rsidRPr="00B40E91">
        <w:rPr>
          <w:rFonts w:ascii="Book Antiqua" w:hAnsi="Book Antiqua"/>
          <w:sz w:val="24"/>
          <w:szCs w:val="24"/>
        </w:rPr>
        <w:t>58</w:t>
      </w:r>
      <w:r w:rsidRPr="00B40E91">
        <w:rPr>
          <w:rFonts w:ascii="Book Antiqua" w:hAnsi="Book Antiqua"/>
          <w:sz w:val="24"/>
          <w:szCs w:val="24"/>
        </w:rPr>
        <w:t>) (</w:t>
      </w:r>
      <w:r w:rsidRPr="009E2A20">
        <w:rPr>
          <w:rFonts w:ascii="Book Antiqua" w:hAnsi="Book Antiqua"/>
          <w:caps/>
          <w:sz w:val="24"/>
          <w:szCs w:val="24"/>
        </w:rPr>
        <w:t>f</w:t>
      </w:r>
      <w:r w:rsidRPr="00B40E91">
        <w:rPr>
          <w:rFonts w:ascii="Book Antiqua" w:hAnsi="Book Antiqua"/>
          <w:sz w:val="24"/>
          <w:szCs w:val="24"/>
        </w:rPr>
        <w:t>igure 2</w:t>
      </w:r>
      <w:r w:rsidRPr="009E2A20">
        <w:rPr>
          <w:rFonts w:ascii="Book Antiqua" w:hAnsi="Book Antiqua"/>
          <w:caps/>
          <w:sz w:val="24"/>
          <w:szCs w:val="24"/>
        </w:rPr>
        <w:t>d</w:t>
      </w:r>
      <w:r w:rsidRPr="00B40E91">
        <w:rPr>
          <w:rFonts w:ascii="Book Antiqua" w:hAnsi="Book Antiqua"/>
          <w:sz w:val="24"/>
          <w:szCs w:val="24"/>
        </w:rPr>
        <w:t>).</w:t>
      </w:r>
      <w:r w:rsidR="00BC35BF">
        <w:rPr>
          <w:rFonts w:ascii="Book Antiqua" w:hAnsi="Book Antiqua"/>
          <w:sz w:val="24"/>
          <w:szCs w:val="24"/>
        </w:rPr>
        <w:t xml:space="preserve"> </w:t>
      </w:r>
    </w:p>
    <w:p w14:paraId="6495F29C" w14:textId="77777777" w:rsidR="009E2A20" w:rsidRDefault="009E2A20" w:rsidP="009F013B">
      <w:pPr>
        <w:snapToGrid w:val="0"/>
        <w:spacing w:after="0" w:line="360" w:lineRule="auto"/>
        <w:jc w:val="both"/>
        <w:rPr>
          <w:rFonts w:ascii="Book Antiqua" w:hAnsi="Book Antiqua"/>
          <w:sz w:val="24"/>
          <w:szCs w:val="24"/>
          <w:u w:val="single"/>
          <w:lang w:eastAsia="zh-CN"/>
        </w:rPr>
      </w:pPr>
    </w:p>
    <w:p w14:paraId="519E9736" w14:textId="77777777" w:rsidR="009E2A20" w:rsidRPr="009E2A20" w:rsidRDefault="0036054C" w:rsidP="009F013B">
      <w:pPr>
        <w:snapToGrid w:val="0"/>
        <w:spacing w:after="0" w:line="360" w:lineRule="auto"/>
        <w:jc w:val="both"/>
        <w:rPr>
          <w:rFonts w:ascii="Book Antiqua" w:hAnsi="Book Antiqua"/>
          <w:b/>
          <w:i/>
          <w:sz w:val="24"/>
          <w:szCs w:val="24"/>
          <w:lang w:eastAsia="zh-CN"/>
        </w:rPr>
      </w:pPr>
      <w:r w:rsidRPr="009E2A20">
        <w:rPr>
          <w:rFonts w:ascii="Book Antiqua" w:hAnsi="Book Antiqua"/>
          <w:b/>
          <w:i/>
          <w:sz w:val="24"/>
          <w:szCs w:val="24"/>
        </w:rPr>
        <w:lastRenderedPageBreak/>
        <w:t>Thiopurine use is associated with fewer circulating NK and B cells</w:t>
      </w:r>
    </w:p>
    <w:p w14:paraId="058F303D" w14:textId="0A622CCE"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sz w:val="24"/>
          <w:szCs w:val="24"/>
        </w:rPr>
        <w:t>Finding no difference in T cells between patients on or off thiopurines, we next turned our attention to CD3- lymphocytes, which were found to be significantly reduced in the blood of IBD patients relative to controls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Pr="00B40E91">
        <w:rPr>
          <w:rFonts w:ascii="Book Antiqua" w:hAnsi="Book Antiqua"/>
          <w:sz w:val="24"/>
          <w:szCs w:val="24"/>
        </w:rPr>
        <w:t>=</w:t>
      </w:r>
      <w:r w:rsidR="009E2A20">
        <w:rPr>
          <w:rFonts w:ascii="Book Antiqua" w:hAnsi="Book Antiqua" w:hint="eastAsia"/>
          <w:sz w:val="24"/>
          <w:szCs w:val="24"/>
          <w:lang w:eastAsia="zh-CN"/>
        </w:rPr>
        <w:t xml:space="preserve"> </w:t>
      </w:r>
      <w:r w:rsidRPr="00B40E91">
        <w:rPr>
          <w:rFonts w:ascii="Book Antiqua" w:hAnsi="Book Antiqua"/>
          <w:sz w:val="24"/>
          <w:szCs w:val="24"/>
        </w:rPr>
        <w:t>0.014</w:t>
      </w:r>
      <w:r w:rsidR="006E2442" w:rsidRPr="00B40E91">
        <w:rPr>
          <w:rFonts w:ascii="Book Antiqua" w:hAnsi="Book Antiqua"/>
          <w:sz w:val="24"/>
          <w:szCs w:val="24"/>
        </w:rPr>
        <w:t>6</w:t>
      </w:r>
      <w:r w:rsidRPr="00B40E91">
        <w:rPr>
          <w:rFonts w:ascii="Book Antiqua" w:hAnsi="Book Antiqua"/>
          <w:sz w:val="24"/>
          <w:szCs w:val="24"/>
        </w:rPr>
        <w:t>), particularly if taking thiopurines</w:t>
      </w:r>
      <w:r w:rsidR="006E2442" w:rsidRPr="00B40E91">
        <w:rPr>
          <w:rFonts w:ascii="Book Antiqua" w:hAnsi="Book Antiqua"/>
          <w:sz w:val="24"/>
          <w:szCs w:val="24"/>
        </w:rPr>
        <w:t xml:space="preserve">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006E2442" w:rsidRPr="00B40E91">
        <w:rPr>
          <w:rFonts w:ascii="Book Antiqua" w:hAnsi="Book Antiqua"/>
          <w:sz w:val="24"/>
          <w:szCs w:val="24"/>
        </w:rPr>
        <w:t>&lt;</w:t>
      </w:r>
      <w:r w:rsidR="009E2A20">
        <w:rPr>
          <w:rFonts w:ascii="Book Antiqua" w:hAnsi="Book Antiqua" w:hint="eastAsia"/>
          <w:sz w:val="24"/>
          <w:szCs w:val="24"/>
          <w:lang w:eastAsia="zh-CN"/>
        </w:rPr>
        <w:t xml:space="preserve"> </w:t>
      </w:r>
      <w:r w:rsidR="006E2442" w:rsidRPr="00B40E91">
        <w:rPr>
          <w:rFonts w:ascii="Book Antiqua" w:hAnsi="Book Antiqua"/>
          <w:sz w:val="24"/>
          <w:szCs w:val="24"/>
        </w:rPr>
        <w:t>0.0001)</w:t>
      </w:r>
      <w:r w:rsidRPr="00B40E91">
        <w:rPr>
          <w:rFonts w:ascii="Book Antiqua" w:hAnsi="Book Antiqua"/>
          <w:sz w:val="24"/>
          <w:szCs w:val="24"/>
        </w:rPr>
        <w:t xml:space="preserve"> (</w:t>
      </w:r>
      <w:r w:rsidRPr="009E2A20">
        <w:rPr>
          <w:rFonts w:ascii="Book Antiqua" w:hAnsi="Book Antiqua"/>
          <w:caps/>
          <w:sz w:val="24"/>
          <w:szCs w:val="24"/>
        </w:rPr>
        <w:t>f</w:t>
      </w:r>
      <w:r w:rsidRPr="00B40E91">
        <w:rPr>
          <w:rFonts w:ascii="Book Antiqua" w:hAnsi="Book Antiqua"/>
          <w:sz w:val="24"/>
          <w:szCs w:val="24"/>
        </w:rPr>
        <w:t>igure 3</w:t>
      </w:r>
      <w:r w:rsidRPr="009E2A20">
        <w:rPr>
          <w:rFonts w:ascii="Book Antiqua" w:hAnsi="Book Antiqua"/>
          <w:caps/>
          <w:sz w:val="24"/>
          <w:szCs w:val="24"/>
        </w:rPr>
        <w:t>a</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As this population contains both NK and B cells, we evaluated these populations independently.</w:t>
      </w:r>
      <w:r w:rsidR="00BC35BF">
        <w:rPr>
          <w:rFonts w:ascii="Book Antiqua" w:hAnsi="Book Antiqua"/>
          <w:sz w:val="24"/>
          <w:szCs w:val="24"/>
        </w:rPr>
        <w:t xml:space="preserve"> </w:t>
      </w:r>
      <w:r w:rsidRPr="00B40E91">
        <w:rPr>
          <w:rFonts w:ascii="Book Antiqua" w:hAnsi="Book Antiqua"/>
          <w:sz w:val="24"/>
          <w:szCs w:val="24"/>
        </w:rPr>
        <w:t>As with the total CD3- lymphocyte numbers, NK cells were significantly less numerous in IBD patients than controls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Pr="00B40E91">
        <w:rPr>
          <w:rFonts w:ascii="Book Antiqua" w:hAnsi="Book Antiqua"/>
          <w:sz w:val="24"/>
          <w:szCs w:val="24"/>
        </w:rPr>
        <w:t>=</w:t>
      </w:r>
      <w:r w:rsidR="009E2A20">
        <w:rPr>
          <w:rFonts w:ascii="Book Antiqua" w:hAnsi="Book Antiqua" w:hint="eastAsia"/>
          <w:sz w:val="24"/>
          <w:szCs w:val="24"/>
          <w:lang w:eastAsia="zh-CN"/>
        </w:rPr>
        <w:t xml:space="preserve"> </w:t>
      </w:r>
      <w:r w:rsidRPr="00B40E91">
        <w:rPr>
          <w:rFonts w:ascii="Book Antiqua" w:hAnsi="Book Antiqua"/>
          <w:sz w:val="24"/>
          <w:szCs w:val="24"/>
        </w:rPr>
        <w:t>0.</w:t>
      </w:r>
      <w:r w:rsidR="006E2442" w:rsidRPr="00B40E91">
        <w:rPr>
          <w:rFonts w:ascii="Book Antiqua" w:hAnsi="Book Antiqua"/>
          <w:sz w:val="24"/>
          <w:szCs w:val="24"/>
        </w:rPr>
        <w:t>0282</w:t>
      </w:r>
      <w:r w:rsidRPr="00B40E91">
        <w:rPr>
          <w:rFonts w:ascii="Book Antiqua" w:hAnsi="Book Antiqua"/>
          <w:sz w:val="24"/>
          <w:szCs w:val="24"/>
        </w:rPr>
        <w:t>), and less numerous in thiopurine recipients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Pr="00B40E91">
        <w:rPr>
          <w:rFonts w:ascii="Book Antiqua" w:hAnsi="Book Antiqua"/>
          <w:sz w:val="24"/>
          <w:szCs w:val="24"/>
        </w:rPr>
        <w:t>=</w:t>
      </w:r>
      <w:r w:rsidR="009E2A20">
        <w:rPr>
          <w:rFonts w:ascii="Book Antiqua" w:hAnsi="Book Antiqua" w:hint="eastAsia"/>
          <w:sz w:val="24"/>
          <w:szCs w:val="24"/>
          <w:lang w:eastAsia="zh-CN"/>
        </w:rPr>
        <w:t xml:space="preserve"> </w:t>
      </w:r>
      <w:r w:rsidRPr="00B40E91">
        <w:rPr>
          <w:rFonts w:ascii="Book Antiqua" w:hAnsi="Book Antiqua"/>
          <w:sz w:val="24"/>
          <w:szCs w:val="24"/>
        </w:rPr>
        <w:t>0.</w:t>
      </w:r>
      <w:r w:rsidR="006E2442" w:rsidRPr="00B40E91">
        <w:rPr>
          <w:rFonts w:ascii="Book Antiqua" w:hAnsi="Book Antiqua"/>
          <w:sz w:val="24"/>
          <w:szCs w:val="24"/>
        </w:rPr>
        <w:t>006</w:t>
      </w:r>
      <w:r w:rsidRPr="00B40E91">
        <w:rPr>
          <w:rFonts w:ascii="Book Antiqua" w:hAnsi="Book Antiqua"/>
          <w:sz w:val="24"/>
          <w:szCs w:val="24"/>
        </w:rPr>
        <w:t>), regardless of whether they were defined by the marker CD56 alone (</w:t>
      </w:r>
      <w:r w:rsidRPr="009E2A20">
        <w:rPr>
          <w:rFonts w:ascii="Book Antiqua" w:hAnsi="Book Antiqua"/>
          <w:caps/>
          <w:sz w:val="24"/>
          <w:szCs w:val="24"/>
        </w:rPr>
        <w:t>f</w:t>
      </w:r>
      <w:r w:rsidRPr="00B40E91">
        <w:rPr>
          <w:rFonts w:ascii="Book Antiqua" w:hAnsi="Book Antiqua"/>
          <w:sz w:val="24"/>
          <w:szCs w:val="24"/>
        </w:rPr>
        <w:t>igure 3</w:t>
      </w:r>
      <w:r w:rsidRPr="009E2A20">
        <w:rPr>
          <w:rFonts w:ascii="Book Antiqua" w:hAnsi="Book Antiqua"/>
          <w:caps/>
          <w:sz w:val="24"/>
          <w:szCs w:val="24"/>
        </w:rPr>
        <w:t>b</w:t>
      </w:r>
      <w:r w:rsidRPr="00B40E91">
        <w:rPr>
          <w:rFonts w:ascii="Book Antiqua" w:hAnsi="Book Antiqua"/>
          <w:sz w:val="24"/>
          <w:szCs w:val="24"/>
        </w:rPr>
        <w:t>), or more strictly with CD56 in combination with CD16 (</w:t>
      </w:r>
      <w:r w:rsidRPr="009E2A20">
        <w:rPr>
          <w:rFonts w:ascii="Book Antiqua" w:hAnsi="Book Antiqua"/>
          <w:caps/>
          <w:sz w:val="24"/>
          <w:szCs w:val="24"/>
        </w:rPr>
        <w:t>f</w:t>
      </w:r>
      <w:r w:rsidRPr="00B40E91">
        <w:rPr>
          <w:rFonts w:ascii="Book Antiqua" w:hAnsi="Book Antiqua"/>
          <w:sz w:val="24"/>
          <w:szCs w:val="24"/>
        </w:rPr>
        <w:t>igure 3</w:t>
      </w:r>
      <w:r w:rsidRPr="009E2A20">
        <w:rPr>
          <w:rFonts w:ascii="Book Antiqua" w:hAnsi="Book Antiqua"/>
          <w:caps/>
          <w:sz w:val="24"/>
          <w:szCs w:val="24"/>
        </w:rPr>
        <w:t>c</w:t>
      </w:r>
      <w:r w:rsidRPr="00B40E91">
        <w:rPr>
          <w:rFonts w:ascii="Book Antiqua" w:hAnsi="Book Antiqua"/>
          <w:sz w:val="24"/>
          <w:szCs w:val="24"/>
        </w:rPr>
        <w:t xml:space="preserve">) or NKp46 </w:t>
      </w:r>
      <w:r w:rsidR="002A0744" w:rsidRPr="00B40E91">
        <w:rPr>
          <w:rFonts w:ascii="Book Antiqua" w:hAnsi="Book Antiqua"/>
          <w:sz w:val="24"/>
          <w:szCs w:val="24"/>
        </w:rPr>
        <w:t>(</w:t>
      </w:r>
      <w:r w:rsidR="002A0744" w:rsidRPr="009E2A20">
        <w:rPr>
          <w:rFonts w:ascii="Book Antiqua" w:hAnsi="Book Antiqua"/>
          <w:caps/>
          <w:sz w:val="24"/>
          <w:szCs w:val="24"/>
        </w:rPr>
        <w:t>f</w:t>
      </w:r>
      <w:r w:rsidR="002A0744" w:rsidRPr="00B40E91">
        <w:rPr>
          <w:rFonts w:ascii="Book Antiqua" w:hAnsi="Book Antiqua"/>
          <w:sz w:val="24"/>
          <w:szCs w:val="24"/>
        </w:rPr>
        <w:t>igure 3</w:t>
      </w:r>
      <w:r w:rsidR="002A0744" w:rsidRPr="009E2A20">
        <w:rPr>
          <w:rFonts w:ascii="Book Antiqua" w:hAnsi="Book Antiqua"/>
          <w:caps/>
          <w:sz w:val="24"/>
          <w:szCs w:val="24"/>
        </w:rPr>
        <w:t>d</w:t>
      </w:r>
      <w:r w:rsidR="002A0744" w:rsidRPr="00B40E91">
        <w:rPr>
          <w:rFonts w:ascii="Book Antiqua" w:hAnsi="Book Antiqua"/>
          <w:sz w:val="24"/>
          <w:szCs w:val="24"/>
        </w:rPr>
        <w:t>)</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 xml:space="preserve">CD56 </w:t>
      </w:r>
      <w:r w:rsidR="002A0744" w:rsidRPr="00B40E91">
        <w:rPr>
          <w:rFonts w:ascii="Book Antiqua" w:hAnsi="Book Antiqua"/>
          <w:sz w:val="24"/>
          <w:szCs w:val="24"/>
        </w:rPr>
        <w:t>is</w:t>
      </w:r>
      <w:r w:rsidRPr="00B40E91">
        <w:rPr>
          <w:rFonts w:ascii="Book Antiqua" w:hAnsi="Book Antiqua"/>
          <w:sz w:val="24"/>
          <w:szCs w:val="24"/>
        </w:rPr>
        <w:t xml:space="preserve"> expressed bimodally in NK cells, with a small but distinct CD56</w:t>
      </w:r>
      <w:r w:rsidRPr="00B40E91">
        <w:rPr>
          <w:rFonts w:ascii="Book Antiqua" w:hAnsi="Book Antiqua"/>
          <w:sz w:val="24"/>
          <w:szCs w:val="24"/>
          <w:vertAlign w:val="superscript"/>
        </w:rPr>
        <w:t>high</w:t>
      </w:r>
      <w:r w:rsidRPr="00B40E91">
        <w:rPr>
          <w:rFonts w:ascii="Book Antiqua" w:hAnsi="Book Antiqua"/>
          <w:sz w:val="24"/>
          <w:szCs w:val="24"/>
        </w:rPr>
        <w:t xml:space="preserve"> population among CD16- cells discernable from the majority of NK cells, which are CD56</w:t>
      </w:r>
      <w:r w:rsidRPr="00B40E91">
        <w:rPr>
          <w:rFonts w:ascii="Book Antiqua" w:hAnsi="Book Antiqua"/>
          <w:sz w:val="24"/>
          <w:szCs w:val="24"/>
          <w:vertAlign w:val="superscript"/>
        </w:rPr>
        <w:t>low</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Thiopurine use was associated with a decreased number of the latter cells (</w:t>
      </w:r>
      <w:r w:rsidRPr="009E2A20">
        <w:rPr>
          <w:rFonts w:ascii="Book Antiqua" w:hAnsi="Book Antiqua"/>
          <w:caps/>
          <w:sz w:val="24"/>
          <w:szCs w:val="24"/>
        </w:rPr>
        <w:t>f</w:t>
      </w:r>
      <w:r w:rsidRPr="00B40E91">
        <w:rPr>
          <w:rFonts w:ascii="Book Antiqua" w:hAnsi="Book Antiqua"/>
          <w:sz w:val="24"/>
          <w:szCs w:val="24"/>
        </w:rPr>
        <w:t>igure 3</w:t>
      </w:r>
      <w:r w:rsidRPr="009E2A20">
        <w:rPr>
          <w:rFonts w:ascii="Book Antiqua" w:hAnsi="Book Antiqua"/>
          <w:caps/>
          <w:sz w:val="24"/>
          <w:szCs w:val="24"/>
        </w:rPr>
        <w:t>e</w:t>
      </w:r>
      <w:r w:rsidRPr="00B40E91">
        <w:rPr>
          <w:rFonts w:ascii="Book Antiqua" w:hAnsi="Book Antiqua"/>
          <w:sz w:val="24"/>
          <w:szCs w:val="24"/>
        </w:rPr>
        <w:t>), but not significantly with any change in CD56</w:t>
      </w:r>
      <w:r w:rsidRPr="00B40E91">
        <w:rPr>
          <w:rFonts w:ascii="Book Antiqua" w:hAnsi="Book Antiqua"/>
          <w:sz w:val="24"/>
          <w:szCs w:val="24"/>
          <w:vertAlign w:val="superscript"/>
        </w:rPr>
        <w:t>high</w:t>
      </w:r>
      <w:r w:rsidRPr="00B40E91">
        <w:rPr>
          <w:rFonts w:ascii="Book Antiqua" w:hAnsi="Book Antiqua"/>
          <w:sz w:val="24"/>
          <w:szCs w:val="24"/>
        </w:rPr>
        <w:t xml:space="preserve"> cells (</w:t>
      </w:r>
      <w:r w:rsidRPr="009E2A20">
        <w:rPr>
          <w:rFonts w:ascii="Book Antiqua" w:hAnsi="Book Antiqua"/>
          <w:caps/>
          <w:sz w:val="24"/>
          <w:szCs w:val="24"/>
        </w:rPr>
        <w:t>f</w:t>
      </w:r>
      <w:r w:rsidRPr="00B40E91">
        <w:rPr>
          <w:rFonts w:ascii="Book Antiqua" w:hAnsi="Book Antiqua"/>
          <w:sz w:val="24"/>
          <w:szCs w:val="24"/>
        </w:rPr>
        <w:t>igure 3</w:t>
      </w:r>
      <w:r w:rsidRPr="009E2A20">
        <w:rPr>
          <w:rFonts w:ascii="Book Antiqua" w:hAnsi="Book Antiqua"/>
          <w:caps/>
          <w:sz w:val="24"/>
          <w:szCs w:val="24"/>
        </w:rPr>
        <w:t>f</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Although some of this reduction simply parallels the overall reduced lymphocyte counts associated with thiopurine use (</w:t>
      </w:r>
      <w:r w:rsidRPr="009E2A20">
        <w:rPr>
          <w:rFonts w:ascii="Book Antiqua" w:hAnsi="Book Antiqua"/>
          <w:caps/>
          <w:sz w:val="24"/>
          <w:szCs w:val="24"/>
        </w:rPr>
        <w:t>f</w:t>
      </w:r>
      <w:r w:rsidRPr="00B40E91">
        <w:rPr>
          <w:rFonts w:ascii="Book Antiqua" w:hAnsi="Book Antiqua"/>
          <w:sz w:val="24"/>
          <w:szCs w:val="24"/>
        </w:rPr>
        <w:t>igure 1</w:t>
      </w:r>
      <w:r w:rsidRPr="009E2A20">
        <w:rPr>
          <w:rFonts w:ascii="Book Antiqua" w:hAnsi="Book Antiqua"/>
          <w:caps/>
          <w:sz w:val="24"/>
          <w:szCs w:val="24"/>
        </w:rPr>
        <w:t>a</w:t>
      </w:r>
      <w:r w:rsidRPr="00B40E91">
        <w:rPr>
          <w:rFonts w:ascii="Book Antiqua" w:hAnsi="Book Antiqua"/>
          <w:sz w:val="24"/>
          <w:szCs w:val="24"/>
        </w:rPr>
        <w:t>), among IBD patients there were also significantly fewer CD56+ NK cells in thiopurine recipients when analyzed as a percentage of CD3-, CD19- lymphocytes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Pr="00B40E91">
        <w:rPr>
          <w:rFonts w:ascii="Book Antiqua" w:hAnsi="Book Antiqua"/>
          <w:sz w:val="24"/>
          <w:szCs w:val="24"/>
        </w:rPr>
        <w:t>=</w:t>
      </w:r>
      <w:r w:rsidR="009E2A20">
        <w:rPr>
          <w:rFonts w:ascii="Book Antiqua" w:hAnsi="Book Antiqua" w:hint="eastAsia"/>
          <w:sz w:val="24"/>
          <w:szCs w:val="24"/>
          <w:lang w:eastAsia="zh-CN"/>
        </w:rPr>
        <w:t xml:space="preserve"> </w:t>
      </w:r>
      <w:r w:rsidRPr="00B40E91">
        <w:rPr>
          <w:rFonts w:ascii="Book Antiqua" w:hAnsi="Book Antiqua"/>
          <w:sz w:val="24"/>
          <w:szCs w:val="24"/>
        </w:rPr>
        <w:t>0.0189).</w:t>
      </w:r>
      <w:r w:rsidR="00BC35BF">
        <w:rPr>
          <w:rFonts w:ascii="Book Antiqua" w:hAnsi="Book Antiqua"/>
          <w:sz w:val="24"/>
          <w:szCs w:val="24"/>
        </w:rPr>
        <w:t xml:space="preserve"> </w:t>
      </w:r>
    </w:p>
    <w:p w14:paraId="613A5918" w14:textId="2AA0C741" w:rsidR="0036054C" w:rsidRPr="00B40E91" w:rsidRDefault="0036054C" w:rsidP="009F013B">
      <w:pPr>
        <w:snapToGrid w:val="0"/>
        <w:spacing w:after="0" w:line="360" w:lineRule="auto"/>
        <w:ind w:firstLineChars="100" w:firstLine="240"/>
        <w:jc w:val="both"/>
        <w:rPr>
          <w:rFonts w:ascii="Book Antiqua" w:hAnsi="Book Antiqua"/>
          <w:sz w:val="24"/>
          <w:szCs w:val="24"/>
          <w:u w:val="single"/>
        </w:rPr>
      </w:pPr>
      <w:r w:rsidRPr="00B40E91">
        <w:rPr>
          <w:rFonts w:ascii="Book Antiqua" w:hAnsi="Book Antiqua"/>
          <w:sz w:val="24"/>
          <w:szCs w:val="24"/>
        </w:rPr>
        <w:t>B cell counts were likewise reduced in thiopurine recipients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008672D5" w:rsidRPr="00B40E91">
        <w:rPr>
          <w:rFonts w:ascii="Book Antiqua" w:hAnsi="Book Antiqua"/>
          <w:sz w:val="24"/>
          <w:szCs w:val="24"/>
        </w:rPr>
        <w:t>&lt;</w:t>
      </w:r>
      <w:r w:rsidR="009E2A20">
        <w:rPr>
          <w:rFonts w:ascii="Book Antiqua" w:hAnsi="Book Antiqua" w:hint="eastAsia"/>
          <w:sz w:val="24"/>
          <w:szCs w:val="24"/>
          <w:lang w:eastAsia="zh-CN"/>
        </w:rPr>
        <w:t xml:space="preserve"> </w:t>
      </w:r>
      <w:r w:rsidRPr="00B40E91">
        <w:rPr>
          <w:rFonts w:ascii="Book Antiqua" w:hAnsi="Book Antiqua"/>
          <w:sz w:val="24"/>
          <w:szCs w:val="24"/>
        </w:rPr>
        <w:t>0.000</w:t>
      </w:r>
      <w:r w:rsidR="008672D5" w:rsidRPr="00B40E91">
        <w:rPr>
          <w:rFonts w:ascii="Book Antiqua" w:hAnsi="Book Antiqua"/>
          <w:sz w:val="24"/>
          <w:szCs w:val="24"/>
        </w:rPr>
        <w:t>1</w:t>
      </w:r>
      <w:r w:rsidRPr="00B40E91">
        <w:rPr>
          <w:rFonts w:ascii="Book Antiqua" w:hAnsi="Book Antiqua"/>
          <w:sz w:val="24"/>
          <w:szCs w:val="24"/>
        </w:rPr>
        <w:t xml:space="preserve">, </w:t>
      </w:r>
      <w:r w:rsidRPr="009E2A20">
        <w:rPr>
          <w:rFonts w:ascii="Book Antiqua" w:hAnsi="Book Antiqua"/>
          <w:caps/>
          <w:sz w:val="24"/>
          <w:szCs w:val="24"/>
        </w:rPr>
        <w:t>f</w:t>
      </w:r>
      <w:r w:rsidRPr="00B40E91">
        <w:rPr>
          <w:rFonts w:ascii="Book Antiqua" w:hAnsi="Book Antiqua"/>
          <w:sz w:val="24"/>
          <w:szCs w:val="24"/>
        </w:rPr>
        <w:t>igure 4</w:t>
      </w:r>
      <w:r w:rsidRPr="009E2A20">
        <w:rPr>
          <w:rFonts w:ascii="Book Antiqua" w:hAnsi="Book Antiqua"/>
          <w:caps/>
          <w:sz w:val="24"/>
          <w:szCs w:val="24"/>
        </w:rPr>
        <w:t>a</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 xml:space="preserve">This difference was </w:t>
      </w:r>
      <w:r w:rsidR="008672D5" w:rsidRPr="00B40E91">
        <w:rPr>
          <w:rFonts w:ascii="Book Antiqua" w:hAnsi="Book Antiqua"/>
          <w:sz w:val="24"/>
          <w:szCs w:val="24"/>
        </w:rPr>
        <w:t xml:space="preserve">more </w:t>
      </w:r>
      <w:r w:rsidRPr="00B40E91">
        <w:rPr>
          <w:rFonts w:ascii="Book Antiqua" w:hAnsi="Book Antiqua"/>
          <w:sz w:val="24"/>
          <w:szCs w:val="24"/>
        </w:rPr>
        <w:t>evident among the naïve (CD27-, CD38-, IgD+, p=0.00</w:t>
      </w:r>
      <w:r w:rsidR="008672D5" w:rsidRPr="00B40E91">
        <w:rPr>
          <w:rFonts w:ascii="Book Antiqua" w:hAnsi="Book Antiqua"/>
          <w:sz w:val="24"/>
          <w:szCs w:val="24"/>
        </w:rPr>
        <w:t>0</w:t>
      </w:r>
      <w:r w:rsidRPr="00B40E91">
        <w:rPr>
          <w:rFonts w:ascii="Book Antiqua" w:hAnsi="Book Antiqua"/>
          <w:sz w:val="24"/>
          <w:szCs w:val="24"/>
        </w:rPr>
        <w:t xml:space="preserve">1, </w:t>
      </w:r>
      <w:r w:rsidRPr="009E2A20">
        <w:rPr>
          <w:rFonts w:ascii="Book Antiqua" w:hAnsi="Book Antiqua"/>
          <w:caps/>
          <w:sz w:val="24"/>
          <w:szCs w:val="24"/>
        </w:rPr>
        <w:t>f</w:t>
      </w:r>
      <w:r w:rsidRPr="00B40E91">
        <w:rPr>
          <w:rFonts w:ascii="Book Antiqua" w:hAnsi="Book Antiqua"/>
          <w:sz w:val="24"/>
          <w:szCs w:val="24"/>
        </w:rPr>
        <w:t>igure 4</w:t>
      </w:r>
      <w:r w:rsidRPr="009E2A20">
        <w:rPr>
          <w:rFonts w:ascii="Book Antiqua" w:hAnsi="Book Antiqua"/>
          <w:caps/>
          <w:sz w:val="24"/>
          <w:szCs w:val="24"/>
        </w:rPr>
        <w:t>b</w:t>
      </w:r>
      <w:r w:rsidRPr="00B40E91">
        <w:rPr>
          <w:rFonts w:ascii="Book Antiqua" w:hAnsi="Book Antiqua"/>
          <w:sz w:val="24"/>
          <w:szCs w:val="24"/>
        </w:rPr>
        <w:t xml:space="preserve">), </w:t>
      </w:r>
      <w:r w:rsidR="008672D5" w:rsidRPr="00B40E91">
        <w:rPr>
          <w:rFonts w:ascii="Book Antiqua" w:hAnsi="Book Antiqua"/>
          <w:sz w:val="24"/>
          <w:szCs w:val="24"/>
        </w:rPr>
        <w:t>than</w:t>
      </w:r>
      <w:r w:rsidRPr="00B40E91">
        <w:rPr>
          <w:rFonts w:ascii="Book Antiqua" w:hAnsi="Book Antiqua"/>
          <w:sz w:val="24"/>
          <w:szCs w:val="24"/>
        </w:rPr>
        <w:t xml:space="preserve"> memory B cells (CD27+,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Pr="00B40E91">
        <w:rPr>
          <w:rFonts w:ascii="Book Antiqua" w:hAnsi="Book Antiqua"/>
          <w:sz w:val="24"/>
          <w:szCs w:val="24"/>
        </w:rPr>
        <w:t>=</w:t>
      </w:r>
      <w:r w:rsidR="009E2A20">
        <w:rPr>
          <w:rFonts w:ascii="Book Antiqua" w:hAnsi="Book Antiqua" w:hint="eastAsia"/>
          <w:sz w:val="24"/>
          <w:szCs w:val="24"/>
          <w:lang w:eastAsia="zh-CN"/>
        </w:rPr>
        <w:t xml:space="preserve"> </w:t>
      </w:r>
      <w:r w:rsidRPr="00B40E91">
        <w:rPr>
          <w:rFonts w:ascii="Book Antiqua" w:hAnsi="Book Antiqua"/>
          <w:sz w:val="24"/>
          <w:szCs w:val="24"/>
        </w:rPr>
        <w:t>0.</w:t>
      </w:r>
      <w:r w:rsidR="008672D5" w:rsidRPr="00B40E91">
        <w:rPr>
          <w:rFonts w:ascii="Book Antiqua" w:hAnsi="Book Antiqua"/>
          <w:sz w:val="24"/>
          <w:szCs w:val="24"/>
        </w:rPr>
        <w:t>0413</w:t>
      </w:r>
      <w:r w:rsidRPr="00B40E91">
        <w:rPr>
          <w:rFonts w:ascii="Book Antiqua" w:hAnsi="Book Antiqua"/>
          <w:sz w:val="24"/>
          <w:szCs w:val="24"/>
        </w:rPr>
        <w:t xml:space="preserve">, </w:t>
      </w:r>
      <w:r w:rsidRPr="001378BF">
        <w:rPr>
          <w:rFonts w:ascii="Book Antiqua" w:hAnsi="Book Antiqua"/>
          <w:caps/>
          <w:sz w:val="24"/>
          <w:szCs w:val="24"/>
        </w:rPr>
        <w:t>f</w:t>
      </w:r>
      <w:r w:rsidRPr="00B40E91">
        <w:rPr>
          <w:rFonts w:ascii="Book Antiqua" w:hAnsi="Book Antiqua"/>
          <w:sz w:val="24"/>
          <w:szCs w:val="24"/>
        </w:rPr>
        <w:t>igure 4</w:t>
      </w:r>
      <w:r w:rsidRPr="001378BF">
        <w:rPr>
          <w:rFonts w:ascii="Book Antiqua" w:hAnsi="Book Antiqua"/>
          <w:caps/>
          <w:sz w:val="24"/>
          <w:szCs w:val="24"/>
        </w:rPr>
        <w:t>c</w:t>
      </w:r>
      <w:r w:rsidRPr="00B40E91">
        <w:rPr>
          <w:rFonts w:ascii="Book Antiqua" w:hAnsi="Book Antiqua"/>
          <w:sz w:val="24"/>
          <w:szCs w:val="24"/>
        </w:rPr>
        <w:t>), although memory B cells were less numerous in the blood of IBD patients than controls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Pr="00B40E91">
        <w:rPr>
          <w:rFonts w:ascii="Book Antiqua" w:hAnsi="Book Antiqua"/>
          <w:sz w:val="24"/>
          <w:szCs w:val="24"/>
        </w:rPr>
        <w:t>=</w:t>
      </w:r>
      <w:r w:rsidR="009E2A20">
        <w:rPr>
          <w:rFonts w:ascii="Book Antiqua" w:hAnsi="Book Antiqua" w:hint="eastAsia"/>
          <w:sz w:val="24"/>
          <w:szCs w:val="24"/>
          <w:lang w:eastAsia="zh-CN"/>
        </w:rPr>
        <w:t xml:space="preserve"> </w:t>
      </w:r>
      <w:r w:rsidRPr="00B40E91">
        <w:rPr>
          <w:rFonts w:ascii="Book Antiqua" w:hAnsi="Book Antiqua"/>
          <w:sz w:val="24"/>
          <w:szCs w:val="24"/>
        </w:rPr>
        <w:t>0.</w:t>
      </w:r>
      <w:r w:rsidR="008672D5" w:rsidRPr="00B40E91">
        <w:rPr>
          <w:rFonts w:ascii="Book Antiqua" w:hAnsi="Book Antiqua"/>
          <w:sz w:val="24"/>
          <w:szCs w:val="24"/>
        </w:rPr>
        <w:t>0002</w:t>
      </w:r>
      <w:r w:rsidRPr="00B40E91">
        <w:rPr>
          <w:rFonts w:ascii="Book Antiqua" w:hAnsi="Book Antiqua"/>
          <w:sz w:val="24"/>
          <w:szCs w:val="24"/>
        </w:rPr>
        <w:t>)</w:t>
      </w:r>
      <w:r w:rsidR="008672D5" w:rsidRPr="00B40E91">
        <w:rPr>
          <w:rFonts w:ascii="Book Antiqua" w:hAnsi="Book Antiqua"/>
          <w:sz w:val="24"/>
          <w:szCs w:val="24"/>
        </w:rPr>
        <w:t>. The</w:t>
      </w:r>
      <w:r w:rsidRPr="00B40E91">
        <w:rPr>
          <w:rFonts w:ascii="Book Antiqua" w:hAnsi="Book Antiqua"/>
          <w:sz w:val="24"/>
          <w:szCs w:val="24"/>
        </w:rPr>
        <w:t xml:space="preserve"> latter difference was seen in both switched (IgD-) and unswitched (IgD+) memory B cells (data not shown).</w:t>
      </w:r>
      <w:r w:rsidR="00BC35BF">
        <w:rPr>
          <w:rFonts w:ascii="Book Antiqua" w:hAnsi="Book Antiqua"/>
          <w:sz w:val="24"/>
          <w:szCs w:val="24"/>
        </w:rPr>
        <w:t xml:space="preserve"> </w:t>
      </w:r>
      <w:r w:rsidRPr="00B40E91">
        <w:rPr>
          <w:rFonts w:ascii="Book Antiqua" w:hAnsi="Book Antiqua"/>
          <w:sz w:val="24"/>
          <w:szCs w:val="24"/>
        </w:rPr>
        <w:t>The most striking effect of thiopurines on B cells was in the transitional (</w:t>
      </w:r>
      <w:bookmarkStart w:id="120" w:name="OLE_LINK5"/>
      <w:r w:rsidRPr="00B40E91">
        <w:rPr>
          <w:rFonts w:ascii="Book Antiqua" w:hAnsi="Book Antiqua"/>
          <w:sz w:val="24"/>
          <w:szCs w:val="24"/>
        </w:rPr>
        <w:t>CD38+, CD27-, IgD+</w:t>
      </w:r>
      <w:bookmarkEnd w:id="120"/>
      <w:r w:rsidRPr="00B40E91">
        <w:rPr>
          <w:rFonts w:ascii="Book Antiqua" w:hAnsi="Book Antiqua"/>
          <w:sz w:val="24"/>
          <w:szCs w:val="24"/>
        </w:rPr>
        <w:t>) population, which was almost completely obliterated in all thiopurine recipients (</w:t>
      </w:r>
      <w:r w:rsidR="009E2A20" w:rsidRPr="009E2A20">
        <w:rPr>
          <w:rFonts w:ascii="Book Antiqua" w:hAnsi="Book Antiqua"/>
          <w:i/>
          <w:caps/>
          <w:sz w:val="24"/>
          <w:szCs w:val="24"/>
        </w:rPr>
        <w:t>p</w:t>
      </w:r>
      <w:r w:rsidR="009E2A20" w:rsidRPr="00B40E91">
        <w:rPr>
          <w:rFonts w:ascii="Book Antiqua" w:hAnsi="Book Antiqua"/>
          <w:sz w:val="24"/>
          <w:szCs w:val="24"/>
        </w:rPr>
        <w:t xml:space="preserve"> </w:t>
      </w:r>
      <w:r w:rsidR="008672D5" w:rsidRPr="00B40E91">
        <w:rPr>
          <w:rFonts w:ascii="Book Antiqua" w:hAnsi="Book Antiqua"/>
          <w:sz w:val="24"/>
          <w:szCs w:val="24"/>
        </w:rPr>
        <w:t>&lt;</w:t>
      </w:r>
      <w:r w:rsidR="009E2A20">
        <w:rPr>
          <w:rFonts w:ascii="Book Antiqua" w:hAnsi="Book Antiqua" w:hint="eastAsia"/>
          <w:sz w:val="24"/>
          <w:szCs w:val="24"/>
          <w:lang w:eastAsia="zh-CN"/>
        </w:rPr>
        <w:t xml:space="preserve"> </w:t>
      </w:r>
      <w:r w:rsidRPr="00B40E91">
        <w:rPr>
          <w:rFonts w:ascii="Book Antiqua" w:hAnsi="Book Antiqua"/>
          <w:sz w:val="24"/>
          <w:szCs w:val="24"/>
        </w:rPr>
        <w:t>0.000</w:t>
      </w:r>
      <w:r w:rsidR="008672D5" w:rsidRPr="00B40E91">
        <w:rPr>
          <w:rFonts w:ascii="Book Antiqua" w:hAnsi="Book Antiqua"/>
          <w:sz w:val="24"/>
          <w:szCs w:val="24"/>
        </w:rPr>
        <w:t>1</w:t>
      </w:r>
      <w:r w:rsidRPr="00B40E91">
        <w:rPr>
          <w:rFonts w:ascii="Book Antiqua" w:hAnsi="Book Antiqua"/>
          <w:sz w:val="24"/>
          <w:szCs w:val="24"/>
        </w:rPr>
        <w:t xml:space="preserve">, </w:t>
      </w:r>
      <w:r w:rsidRPr="009E2A20">
        <w:rPr>
          <w:rFonts w:ascii="Book Antiqua" w:hAnsi="Book Antiqua"/>
          <w:caps/>
          <w:sz w:val="24"/>
          <w:szCs w:val="24"/>
        </w:rPr>
        <w:t>f</w:t>
      </w:r>
      <w:r w:rsidRPr="00B40E91">
        <w:rPr>
          <w:rFonts w:ascii="Book Antiqua" w:hAnsi="Book Antiqua"/>
          <w:sz w:val="24"/>
          <w:szCs w:val="24"/>
        </w:rPr>
        <w:t>igure 4</w:t>
      </w:r>
      <w:r w:rsidRPr="009E2A20">
        <w:rPr>
          <w:rFonts w:ascii="Book Antiqua" w:hAnsi="Book Antiqua"/>
          <w:caps/>
          <w:sz w:val="24"/>
          <w:szCs w:val="24"/>
        </w:rPr>
        <w:t>d</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Restricting analyses to B cells bearing the gut-homing integrin</w:t>
      </w:r>
      <w:r w:rsidRPr="009E2A20">
        <w:rPr>
          <w:rFonts w:ascii="Symbol" w:hAnsi="Symbol"/>
          <w:sz w:val="24"/>
          <w:szCs w:val="24"/>
        </w:rPr>
        <w:t></w:t>
      </w:r>
      <w:r w:rsidR="009E2A20">
        <w:rPr>
          <w:rFonts w:ascii="Book Antiqua" w:hAnsi="Book Antiqua"/>
          <w:sz w:val="24"/>
          <w:szCs w:val="24"/>
        </w:rPr>
        <w:t>α</w:t>
      </w:r>
      <w:r w:rsidRPr="009E2A20">
        <w:rPr>
          <w:rFonts w:ascii="Symbol" w:hAnsi="Symbol"/>
          <w:sz w:val="24"/>
          <w:szCs w:val="24"/>
        </w:rPr>
        <w:t></w:t>
      </w:r>
      <w:r w:rsidR="009E2A20">
        <w:rPr>
          <w:rFonts w:ascii="Book Antiqua" w:hAnsi="Book Antiqua"/>
          <w:sz w:val="24"/>
          <w:szCs w:val="24"/>
        </w:rPr>
        <w:t>β</w:t>
      </w:r>
      <w:r w:rsidRPr="009E2A20">
        <w:rPr>
          <w:rFonts w:ascii="Symbol" w:hAnsi="Symbol"/>
          <w:sz w:val="24"/>
          <w:szCs w:val="24"/>
        </w:rPr>
        <w:t></w:t>
      </w:r>
      <w:r w:rsidRPr="009E2A20">
        <w:rPr>
          <w:rFonts w:ascii="Symbol" w:hAnsi="Symbol"/>
          <w:sz w:val="24"/>
          <w:szCs w:val="24"/>
        </w:rPr>
        <w:t></w:t>
      </w:r>
      <w:r w:rsidRPr="00B40E91">
        <w:rPr>
          <w:rFonts w:ascii="Book Antiqua" w:hAnsi="Book Antiqua"/>
          <w:sz w:val="24"/>
          <w:szCs w:val="24"/>
        </w:rPr>
        <w:t>did not change whether or not these differences were significant (data not shown), suggesting that the effect of thiopurines on circulating B cells was not mediated by altering B cell trafficking to the gut.</w:t>
      </w:r>
      <w:r w:rsidR="00BC35BF">
        <w:rPr>
          <w:rFonts w:ascii="Book Antiqua" w:hAnsi="Book Antiqua"/>
          <w:sz w:val="24"/>
          <w:szCs w:val="24"/>
        </w:rPr>
        <w:t xml:space="preserve"> </w:t>
      </w:r>
      <w:r w:rsidRPr="00B40E91">
        <w:rPr>
          <w:rFonts w:ascii="Book Antiqua" w:hAnsi="Book Antiqua"/>
          <w:sz w:val="24"/>
          <w:szCs w:val="24"/>
        </w:rPr>
        <w:t xml:space="preserve">The number of plasmablasts (CD27+, CD38+, CD20-, IgD-) in circulation was low in all subjects, and </w:t>
      </w:r>
      <w:r w:rsidRPr="00B40E91">
        <w:rPr>
          <w:rFonts w:ascii="Book Antiqua" w:hAnsi="Book Antiqua"/>
          <w:sz w:val="24"/>
          <w:szCs w:val="24"/>
        </w:rPr>
        <w:lastRenderedPageBreak/>
        <w:t>did not correlate with either the diagnosis of IBD or the use of thiopurines (data not shown), indicating that the effect of thiopurines on transitional B cells was not due to a global suppression of CD38 expression.</w:t>
      </w:r>
      <w:r w:rsidR="00BC35BF">
        <w:rPr>
          <w:rFonts w:ascii="Book Antiqua" w:hAnsi="Book Antiqua"/>
          <w:sz w:val="24"/>
          <w:szCs w:val="24"/>
        </w:rPr>
        <w:t xml:space="preserve"> </w:t>
      </w:r>
    </w:p>
    <w:p w14:paraId="1D1BFC9C" w14:textId="77777777" w:rsidR="00CF292F" w:rsidRDefault="00CF292F" w:rsidP="009F013B">
      <w:pPr>
        <w:snapToGrid w:val="0"/>
        <w:spacing w:after="0" w:line="360" w:lineRule="auto"/>
        <w:jc w:val="both"/>
        <w:rPr>
          <w:rFonts w:ascii="Book Antiqua" w:hAnsi="Book Antiqua"/>
          <w:sz w:val="24"/>
          <w:szCs w:val="24"/>
          <w:u w:val="single"/>
          <w:lang w:eastAsia="zh-CN"/>
        </w:rPr>
      </w:pPr>
      <w:bookmarkStart w:id="121" w:name="OLE_LINK2"/>
    </w:p>
    <w:p w14:paraId="5B3BB730" w14:textId="77777777" w:rsidR="00CF292F" w:rsidRPr="00CF292F" w:rsidRDefault="0036054C" w:rsidP="009F013B">
      <w:pPr>
        <w:snapToGrid w:val="0"/>
        <w:spacing w:after="0" w:line="360" w:lineRule="auto"/>
        <w:jc w:val="both"/>
        <w:rPr>
          <w:rFonts w:ascii="Book Antiqua" w:hAnsi="Book Antiqua"/>
          <w:b/>
          <w:i/>
          <w:sz w:val="24"/>
          <w:szCs w:val="24"/>
          <w:lang w:eastAsia="zh-CN"/>
        </w:rPr>
      </w:pPr>
      <w:r w:rsidRPr="00CF292F">
        <w:rPr>
          <w:rFonts w:ascii="Book Antiqua" w:hAnsi="Book Antiqua"/>
          <w:b/>
          <w:i/>
          <w:sz w:val="24"/>
          <w:szCs w:val="24"/>
        </w:rPr>
        <w:t>Thiopurine use is associated with decreased B, but not T or NK cell, frequency in the intestinal mucosa</w:t>
      </w:r>
    </w:p>
    <w:p w14:paraId="1678CBC2" w14:textId="5AB746F8" w:rsidR="0036054C" w:rsidRPr="00B40E91" w:rsidRDefault="0036054C" w:rsidP="009F013B">
      <w:pPr>
        <w:snapToGrid w:val="0"/>
        <w:spacing w:after="0" w:line="360" w:lineRule="auto"/>
        <w:jc w:val="both"/>
        <w:rPr>
          <w:rFonts w:ascii="Book Antiqua" w:hAnsi="Book Antiqua"/>
          <w:sz w:val="24"/>
          <w:szCs w:val="24"/>
          <w:lang w:eastAsia="zh-CN"/>
        </w:rPr>
      </w:pPr>
      <w:r w:rsidRPr="00B40E91">
        <w:rPr>
          <w:rFonts w:ascii="Book Antiqua" w:hAnsi="Book Antiqua"/>
          <w:sz w:val="24"/>
          <w:szCs w:val="24"/>
        </w:rPr>
        <w:t>To determine if our findings in the peripheral blood were reflected at the site of IBD activity, we evaluated lymphocyte populations in the intestinal mucosa.</w:t>
      </w:r>
      <w:r w:rsidR="00BC35BF">
        <w:rPr>
          <w:rFonts w:ascii="Book Antiqua" w:hAnsi="Book Antiqua"/>
          <w:sz w:val="24"/>
          <w:szCs w:val="24"/>
        </w:rPr>
        <w:t xml:space="preserve"> </w:t>
      </w:r>
      <w:r w:rsidRPr="00B40E91">
        <w:rPr>
          <w:rFonts w:ascii="Book Antiqua" w:hAnsi="Book Antiqua"/>
          <w:sz w:val="24"/>
          <w:szCs w:val="24"/>
        </w:rPr>
        <w:t>Colon biopsies from IBD patients on as compared to those not on thiopurine, or from healthy screening colonoscopy recipients, were collagenase digested and evaluated by flow cytometry.</w:t>
      </w:r>
      <w:r w:rsidR="00BC35BF">
        <w:rPr>
          <w:rFonts w:ascii="Book Antiqua" w:hAnsi="Book Antiqua"/>
          <w:sz w:val="24"/>
          <w:szCs w:val="24"/>
        </w:rPr>
        <w:t xml:space="preserve"> </w:t>
      </w:r>
      <w:r w:rsidRPr="00B40E91">
        <w:rPr>
          <w:rFonts w:ascii="Book Antiqua" w:hAnsi="Book Antiqua"/>
          <w:sz w:val="24"/>
          <w:szCs w:val="24"/>
        </w:rPr>
        <w:t>In IBD patient biopsies, as in blood, thiopurine use had no effect on the mucosal CD3+ T cell fraction of live lymphocytes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w:t>
      </w:r>
      <w:r w:rsidR="008C0E54" w:rsidRPr="00B40E91">
        <w:rPr>
          <w:rFonts w:ascii="Book Antiqua" w:hAnsi="Book Antiqua"/>
          <w:sz w:val="24"/>
          <w:szCs w:val="24"/>
        </w:rPr>
        <w:t>276</w:t>
      </w:r>
      <w:r w:rsidRPr="00B40E91">
        <w:rPr>
          <w:rFonts w:ascii="Book Antiqua" w:hAnsi="Book Antiqua"/>
          <w:sz w:val="24"/>
          <w:szCs w:val="24"/>
        </w:rPr>
        <w:t xml:space="preserve">, </w:t>
      </w:r>
      <w:r w:rsidRPr="00CF292F">
        <w:rPr>
          <w:rFonts w:ascii="Book Antiqua" w:hAnsi="Book Antiqua"/>
          <w:caps/>
          <w:sz w:val="24"/>
          <w:szCs w:val="24"/>
        </w:rPr>
        <w:t>f</w:t>
      </w:r>
      <w:r w:rsidRPr="00B40E91">
        <w:rPr>
          <w:rFonts w:ascii="Book Antiqua" w:hAnsi="Book Antiqua"/>
          <w:sz w:val="24"/>
          <w:szCs w:val="24"/>
        </w:rPr>
        <w:t>igure 5</w:t>
      </w:r>
      <w:r w:rsidRPr="00CF292F">
        <w:rPr>
          <w:rFonts w:ascii="Book Antiqua" w:hAnsi="Book Antiqua"/>
          <w:caps/>
          <w:sz w:val="24"/>
          <w:szCs w:val="24"/>
        </w:rPr>
        <w:t>a</w:t>
      </w:r>
      <w:r w:rsidRPr="00B40E91">
        <w:rPr>
          <w:rFonts w:ascii="Book Antiqua" w:hAnsi="Book Antiqua"/>
          <w:sz w:val="24"/>
          <w:szCs w:val="24"/>
        </w:rPr>
        <w:t>), nor on the CD4:CD8 ratio therein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w:t>
      </w:r>
      <w:r w:rsidR="00690F2D" w:rsidRPr="00B40E91">
        <w:rPr>
          <w:rFonts w:ascii="Book Antiqua" w:hAnsi="Book Antiqua"/>
          <w:sz w:val="24"/>
          <w:szCs w:val="24"/>
        </w:rPr>
        <w:t>096</w:t>
      </w:r>
      <w:r w:rsidRPr="00B40E91">
        <w:rPr>
          <w:rFonts w:ascii="Book Antiqua" w:hAnsi="Book Antiqua"/>
          <w:sz w:val="24"/>
          <w:szCs w:val="24"/>
        </w:rPr>
        <w:t xml:space="preserve">, </w:t>
      </w:r>
      <w:r w:rsidRPr="00CF292F">
        <w:rPr>
          <w:rFonts w:ascii="Book Antiqua" w:hAnsi="Book Antiqua"/>
          <w:caps/>
          <w:sz w:val="24"/>
          <w:szCs w:val="24"/>
        </w:rPr>
        <w:t>f</w:t>
      </w:r>
      <w:r w:rsidRPr="00B40E91">
        <w:rPr>
          <w:rFonts w:ascii="Book Antiqua" w:hAnsi="Book Antiqua"/>
          <w:sz w:val="24"/>
          <w:szCs w:val="24"/>
        </w:rPr>
        <w:t xml:space="preserve">igure </w:t>
      </w:r>
      <w:r w:rsidR="00690F2D" w:rsidRPr="00B40E91">
        <w:rPr>
          <w:rFonts w:ascii="Book Antiqua" w:hAnsi="Book Antiqua"/>
          <w:sz w:val="24"/>
          <w:szCs w:val="24"/>
        </w:rPr>
        <w:t>5</w:t>
      </w:r>
      <w:r w:rsidRPr="00CF292F">
        <w:rPr>
          <w:rFonts w:ascii="Book Antiqua" w:hAnsi="Book Antiqua"/>
          <w:caps/>
          <w:sz w:val="24"/>
          <w:szCs w:val="24"/>
        </w:rPr>
        <w:t>b</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The latter was lower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w:t>
      </w:r>
      <w:r w:rsidR="00690F2D" w:rsidRPr="00B40E91">
        <w:rPr>
          <w:rFonts w:ascii="Book Antiqua" w:hAnsi="Book Antiqua"/>
          <w:sz w:val="24"/>
          <w:szCs w:val="24"/>
        </w:rPr>
        <w:t>02</w:t>
      </w:r>
      <w:r w:rsidRPr="00B40E91">
        <w:rPr>
          <w:rFonts w:ascii="Book Antiqua" w:hAnsi="Book Antiqua"/>
          <w:sz w:val="24"/>
          <w:szCs w:val="24"/>
        </w:rPr>
        <w:t>) and the percent of CD8+ T cells expressing CD103 was higher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w:t>
      </w:r>
      <w:r w:rsidR="00690F2D" w:rsidRPr="00B40E91">
        <w:rPr>
          <w:rFonts w:ascii="Book Antiqua" w:hAnsi="Book Antiqua"/>
          <w:sz w:val="24"/>
          <w:szCs w:val="24"/>
        </w:rPr>
        <w:t>016</w:t>
      </w:r>
      <w:r w:rsidRPr="00B40E91">
        <w:rPr>
          <w:rFonts w:ascii="Book Antiqua" w:hAnsi="Book Antiqua"/>
          <w:sz w:val="24"/>
          <w:szCs w:val="24"/>
        </w:rPr>
        <w:t>) in healthy controls than in IBD patients off thiopurines, but these findings likely just reflect a generally lower ratio of epithelium to lamina propria in IBD, as the E-cadherin binding integrin CD103 is expressed by intraepithelial lymphocytes (IEL), most of which are CD8+.</w:t>
      </w:r>
    </w:p>
    <w:p w14:paraId="332D8361" w14:textId="406921F3" w:rsidR="0036054C" w:rsidRPr="00B40E91" w:rsidRDefault="0036054C" w:rsidP="009F013B">
      <w:pPr>
        <w:snapToGrid w:val="0"/>
        <w:spacing w:after="0" w:line="360" w:lineRule="auto"/>
        <w:ind w:firstLine="360"/>
        <w:jc w:val="both"/>
        <w:rPr>
          <w:rFonts w:ascii="Book Antiqua" w:hAnsi="Book Antiqua"/>
          <w:sz w:val="24"/>
          <w:szCs w:val="24"/>
        </w:rPr>
      </w:pPr>
      <w:r w:rsidRPr="00B40E91">
        <w:rPr>
          <w:rFonts w:ascii="Book Antiqua" w:hAnsi="Book Antiqua"/>
          <w:sz w:val="24"/>
          <w:szCs w:val="24"/>
        </w:rPr>
        <w:t>NK cells were more difficult to define in intestinal biopsies than in blood, as only a small minority of CD56+, CD3- lymphocytes expressed CD16 or CD161 (data not shown).</w:t>
      </w:r>
      <w:r w:rsidR="00BC35BF">
        <w:rPr>
          <w:rFonts w:ascii="Book Antiqua" w:hAnsi="Book Antiqua"/>
          <w:sz w:val="24"/>
          <w:szCs w:val="24"/>
        </w:rPr>
        <w:t xml:space="preserve"> </w:t>
      </w:r>
      <w:r w:rsidRPr="00B40E91">
        <w:rPr>
          <w:rFonts w:ascii="Book Antiqua" w:hAnsi="Book Antiqua"/>
          <w:sz w:val="24"/>
          <w:szCs w:val="24"/>
        </w:rPr>
        <w:t>However, the fraction of CD3- lymphocytes expressing the NK marker CD56 did not correlate with thiopurine use in IBD patients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w:t>
      </w:r>
      <w:r w:rsidR="008C0E54" w:rsidRPr="00B40E91">
        <w:rPr>
          <w:rFonts w:ascii="Book Antiqua" w:hAnsi="Book Antiqua"/>
          <w:sz w:val="24"/>
          <w:szCs w:val="24"/>
        </w:rPr>
        <w:t>986</w:t>
      </w:r>
      <w:r w:rsidRPr="00B40E91">
        <w:rPr>
          <w:rFonts w:ascii="Book Antiqua" w:hAnsi="Book Antiqua"/>
          <w:sz w:val="24"/>
          <w:szCs w:val="24"/>
        </w:rPr>
        <w:t>, data not shown).</w:t>
      </w:r>
      <w:r w:rsidR="00BC35BF">
        <w:rPr>
          <w:rFonts w:ascii="Book Antiqua" w:hAnsi="Book Antiqua"/>
          <w:sz w:val="24"/>
          <w:szCs w:val="24"/>
        </w:rPr>
        <w:t xml:space="preserve"> </w:t>
      </w:r>
    </w:p>
    <w:p w14:paraId="7415F907" w14:textId="3558A35D" w:rsidR="0036054C" w:rsidRPr="00B40E91" w:rsidRDefault="0036054C" w:rsidP="009F013B">
      <w:pPr>
        <w:snapToGrid w:val="0"/>
        <w:spacing w:after="0" w:line="360" w:lineRule="auto"/>
        <w:ind w:firstLineChars="100" w:firstLine="240"/>
        <w:jc w:val="both"/>
        <w:rPr>
          <w:rFonts w:ascii="Book Antiqua" w:hAnsi="Book Antiqua"/>
          <w:sz w:val="24"/>
          <w:szCs w:val="24"/>
        </w:rPr>
      </w:pPr>
      <w:r w:rsidRPr="00B40E91">
        <w:rPr>
          <w:rFonts w:ascii="Book Antiqua" w:hAnsi="Book Antiqua"/>
          <w:sz w:val="24"/>
          <w:szCs w:val="24"/>
        </w:rPr>
        <w:t>In contrast, the use of thiopurines by IBD patients was associated with a smaller fraction of intramucosal lymphocytes being B cells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w:t>
      </w:r>
      <w:r w:rsidR="00EF44B2" w:rsidRPr="00B40E91">
        <w:rPr>
          <w:rFonts w:ascii="Book Antiqua" w:hAnsi="Book Antiqua"/>
          <w:sz w:val="24"/>
          <w:szCs w:val="24"/>
        </w:rPr>
        <w:t>0133</w:t>
      </w:r>
      <w:r w:rsidRPr="00B40E91">
        <w:rPr>
          <w:rFonts w:ascii="Book Antiqua" w:hAnsi="Book Antiqua"/>
          <w:sz w:val="24"/>
          <w:szCs w:val="24"/>
        </w:rPr>
        <w:t xml:space="preserve">, </w:t>
      </w:r>
      <w:r w:rsidRPr="00CF292F">
        <w:rPr>
          <w:rFonts w:ascii="Book Antiqua" w:hAnsi="Book Antiqua"/>
          <w:caps/>
          <w:sz w:val="24"/>
          <w:szCs w:val="24"/>
        </w:rPr>
        <w:t>f</w:t>
      </w:r>
      <w:r w:rsidRPr="00B40E91">
        <w:rPr>
          <w:rFonts w:ascii="Book Antiqua" w:hAnsi="Book Antiqua"/>
          <w:sz w:val="24"/>
          <w:szCs w:val="24"/>
        </w:rPr>
        <w:t xml:space="preserve">igure </w:t>
      </w:r>
      <w:r w:rsidR="00690F2D" w:rsidRPr="00B40E91">
        <w:rPr>
          <w:rFonts w:ascii="Book Antiqua" w:hAnsi="Book Antiqua"/>
          <w:sz w:val="24"/>
          <w:szCs w:val="24"/>
        </w:rPr>
        <w:t>5</w:t>
      </w:r>
      <w:r w:rsidRPr="00CF292F">
        <w:rPr>
          <w:rFonts w:ascii="Book Antiqua" w:hAnsi="Book Antiqua"/>
          <w:caps/>
          <w:sz w:val="24"/>
          <w:szCs w:val="24"/>
        </w:rPr>
        <w:t>c</w:t>
      </w:r>
      <w:r w:rsidRPr="00B40E91">
        <w:rPr>
          <w:rFonts w:ascii="Book Antiqua" w:hAnsi="Book Antiqua"/>
          <w:sz w:val="24"/>
          <w:szCs w:val="24"/>
        </w:rPr>
        <w:t>), as in blood.</w:t>
      </w:r>
      <w:r w:rsidR="00BC35BF">
        <w:rPr>
          <w:rFonts w:ascii="Book Antiqua" w:hAnsi="Book Antiqua"/>
          <w:sz w:val="24"/>
          <w:szCs w:val="24"/>
        </w:rPr>
        <w:t xml:space="preserve"> </w:t>
      </w:r>
      <w:r w:rsidRPr="00B40E91">
        <w:rPr>
          <w:rFonts w:ascii="Book Antiqua" w:hAnsi="Book Antiqua"/>
          <w:sz w:val="24"/>
          <w:szCs w:val="24"/>
        </w:rPr>
        <w:t>Transitional B cells were, again, significantly reduced as a fraction of total B cells in the setting of thiopurine use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w:t>
      </w:r>
      <w:r w:rsidR="00EF44B2" w:rsidRPr="00B40E91">
        <w:rPr>
          <w:rFonts w:ascii="Book Antiqua" w:hAnsi="Book Antiqua"/>
          <w:sz w:val="24"/>
          <w:szCs w:val="24"/>
        </w:rPr>
        <w:t>0005</w:t>
      </w:r>
      <w:r w:rsidRPr="00B40E91">
        <w:rPr>
          <w:rFonts w:ascii="Book Antiqua" w:hAnsi="Book Antiqua"/>
          <w:sz w:val="24"/>
          <w:szCs w:val="24"/>
        </w:rPr>
        <w:t>), although their frequency among thiopurine recipients resembled that of healthy controls, who had significantly fewer transitional B cells than untreated IBD patients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w:t>
      </w:r>
      <w:r w:rsidR="00EF44B2" w:rsidRPr="00B40E91">
        <w:rPr>
          <w:rFonts w:ascii="Book Antiqua" w:hAnsi="Book Antiqua"/>
          <w:sz w:val="24"/>
          <w:szCs w:val="24"/>
        </w:rPr>
        <w:t>0005</w:t>
      </w:r>
      <w:r w:rsidRPr="00B40E91">
        <w:rPr>
          <w:rFonts w:ascii="Book Antiqua" w:hAnsi="Book Antiqua"/>
          <w:sz w:val="24"/>
          <w:szCs w:val="24"/>
        </w:rPr>
        <w:t xml:space="preserve">, </w:t>
      </w:r>
      <w:r w:rsidRPr="00CF292F">
        <w:rPr>
          <w:rFonts w:ascii="Book Antiqua" w:hAnsi="Book Antiqua"/>
          <w:caps/>
          <w:sz w:val="24"/>
          <w:szCs w:val="24"/>
        </w:rPr>
        <w:t>f</w:t>
      </w:r>
      <w:r w:rsidRPr="00B40E91">
        <w:rPr>
          <w:rFonts w:ascii="Book Antiqua" w:hAnsi="Book Antiqua"/>
          <w:sz w:val="24"/>
          <w:szCs w:val="24"/>
        </w:rPr>
        <w:t xml:space="preserve">igure </w:t>
      </w:r>
      <w:r w:rsidR="00690F2D" w:rsidRPr="00B40E91">
        <w:rPr>
          <w:rFonts w:ascii="Book Antiqua" w:hAnsi="Book Antiqua"/>
          <w:sz w:val="24"/>
          <w:szCs w:val="24"/>
        </w:rPr>
        <w:t>5</w:t>
      </w:r>
      <w:r w:rsidRPr="00CF292F">
        <w:rPr>
          <w:rFonts w:ascii="Book Antiqua" w:hAnsi="Book Antiqua"/>
          <w:caps/>
          <w:sz w:val="24"/>
          <w:szCs w:val="24"/>
        </w:rPr>
        <w:t>d</w:t>
      </w:r>
      <w:r w:rsidRPr="00B40E91">
        <w:rPr>
          <w:rFonts w:ascii="Book Antiqua" w:hAnsi="Book Antiqua"/>
          <w:sz w:val="24"/>
          <w:szCs w:val="24"/>
        </w:rPr>
        <w:t>).</w:t>
      </w:r>
      <w:r w:rsidR="00BC35BF">
        <w:rPr>
          <w:rFonts w:ascii="Book Antiqua" w:hAnsi="Book Antiqua"/>
          <w:sz w:val="24"/>
          <w:szCs w:val="24"/>
        </w:rPr>
        <w:t xml:space="preserve"> </w:t>
      </w:r>
      <w:r w:rsidR="00BF36D0" w:rsidRPr="00B40E91">
        <w:rPr>
          <w:rFonts w:ascii="Book Antiqua" w:hAnsi="Book Antiqua"/>
          <w:sz w:val="24"/>
          <w:szCs w:val="24"/>
        </w:rPr>
        <w:t>Naïve cells were also a greater fraction of colonic B cells in IBD than controls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00BF36D0" w:rsidRPr="00B40E91">
        <w:rPr>
          <w:rFonts w:ascii="Book Antiqua" w:hAnsi="Book Antiqua"/>
          <w:sz w:val="24"/>
          <w:szCs w:val="24"/>
        </w:rPr>
        <w:t>=</w:t>
      </w:r>
      <w:r w:rsidR="00CF292F">
        <w:rPr>
          <w:rFonts w:ascii="Book Antiqua" w:hAnsi="Book Antiqua" w:hint="eastAsia"/>
          <w:sz w:val="24"/>
          <w:szCs w:val="24"/>
          <w:lang w:eastAsia="zh-CN"/>
        </w:rPr>
        <w:t xml:space="preserve"> </w:t>
      </w:r>
      <w:r w:rsidR="00BF36D0" w:rsidRPr="00B40E91">
        <w:rPr>
          <w:rFonts w:ascii="Book Antiqua" w:hAnsi="Book Antiqua"/>
          <w:sz w:val="24"/>
          <w:szCs w:val="24"/>
        </w:rPr>
        <w:t>0.0011), although the effect of thiopurines thereupon was less significant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00BF36D0" w:rsidRPr="00B40E91">
        <w:rPr>
          <w:rFonts w:ascii="Book Antiqua" w:hAnsi="Book Antiqua"/>
          <w:sz w:val="24"/>
          <w:szCs w:val="24"/>
        </w:rPr>
        <w:t>=</w:t>
      </w:r>
      <w:r w:rsidR="00CF292F">
        <w:rPr>
          <w:rFonts w:ascii="Book Antiqua" w:hAnsi="Book Antiqua" w:hint="eastAsia"/>
          <w:sz w:val="24"/>
          <w:szCs w:val="24"/>
          <w:lang w:eastAsia="zh-CN"/>
        </w:rPr>
        <w:t xml:space="preserve"> </w:t>
      </w:r>
      <w:r w:rsidR="00BF36D0" w:rsidRPr="00B40E91">
        <w:rPr>
          <w:rFonts w:ascii="Book Antiqua" w:hAnsi="Book Antiqua"/>
          <w:sz w:val="24"/>
          <w:szCs w:val="24"/>
        </w:rPr>
        <w:t>0.04) (</w:t>
      </w:r>
      <w:r w:rsidR="00BF36D0" w:rsidRPr="00CF292F">
        <w:rPr>
          <w:rFonts w:ascii="Book Antiqua" w:hAnsi="Book Antiqua"/>
          <w:caps/>
          <w:sz w:val="24"/>
          <w:szCs w:val="24"/>
        </w:rPr>
        <w:t>f</w:t>
      </w:r>
      <w:r w:rsidR="00BF36D0" w:rsidRPr="00B40E91">
        <w:rPr>
          <w:rFonts w:ascii="Book Antiqua" w:hAnsi="Book Antiqua"/>
          <w:sz w:val="24"/>
          <w:szCs w:val="24"/>
        </w:rPr>
        <w:t>igure 5</w:t>
      </w:r>
      <w:r w:rsidR="00BF36D0" w:rsidRPr="00CF292F">
        <w:rPr>
          <w:rFonts w:ascii="Book Antiqua" w:hAnsi="Book Antiqua"/>
          <w:caps/>
          <w:sz w:val="24"/>
          <w:szCs w:val="24"/>
        </w:rPr>
        <w:t>e</w:t>
      </w:r>
      <w:r w:rsidR="00BF36D0"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 xml:space="preserve">No significant </w:t>
      </w:r>
      <w:r w:rsidRPr="00B40E91">
        <w:rPr>
          <w:rFonts w:ascii="Book Antiqua" w:hAnsi="Book Antiqua"/>
          <w:sz w:val="24"/>
          <w:szCs w:val="24"/>
        </w:rPr>
        <w:lastRenderedPageBreak/>
        <w:t>associations with thiopurine use among IBD patients were observed in the fraction of B cells resembling memory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w:t>
      </w:r>
      <w:r w:rsidR="00690F2D" w:rsidRPr="00B40E91">
        <w:rPr>
          <w:rFonts w:ascii="Book Antiqua" w:hAnsi="Book Antiqua"/>
          <w:sz w:val="24"/>
          <w:szCs w:val="24"/>
        </w:rPr>
        <w:t>557</w:t>
      </w:r>
      <w:r w:rsidRPr="00B40E91">
        <w:rPr>
          <w:rFonts w:ascii="Book Antiqua" w:hAnsi="Book Antiqua"/>
          <w:sz w:val="24"/>
          <w:szCs w:val="24"/>
        </w:rPr>
        <w:t>) or plasma cells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w:t>
      </w:r>
      <w:r w:rsidR="00BF36D0" w:rsidRPr="00B40E91">
        <w:rPr>
          <w:rFonts w:ascii="Book Antiqua" w:hAnsi="Book Antiqua"/>
          <w:sz w:val="24"/>
          <w:szCs w:val="24"/>
        </w:rPr>
        <w:t>154</w:t>
      </w:r>
      <w:r w:rsidRPr="00B40E91">
        <w:rPr>
          <w:rFonts w:ascii="Book Antiqua" w:hAnsi="Book Antiqua"/>
          <w:sz w:val="24"/>
          <w:szCs w:val="24"/>
        </w:rPr>
        <w:t>) (data not shown).</w:t>
      </w:r>
      <w:r w:rsidR="00BC35BF">
        <w:rPr>
          <w:rFonts w:ascii="Book Antiqua" w:hAnsi="Book Antiqua"/>
          <w:sz w:val="24"/>
          <w:szCs w:val="24"/>
        </w:rPr>
        <w:t xml:space="preserve"> </w:t>
      </w:r>
      <w:r w:rsidRPr="00B40E91">
        <w:rPr>
          <w:rFonts w:ascii="Book Antiqua" w:hAnsi="Book Antiqua"/>
          <w:sz w:val="24"/>
          <w:szCs w:val="24"/>
        </w:rPr>
        <w:t>However, thiopurine use was associated with significantly more IgM+ cells in the memory B cell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0.0</w:t>
      </w:r>
      <w:r w:rsidR="00B2003B" w:rsidRPr="00B40E91">
        <w:rPr>
          <w:rFonts w:ascii="Book Antiqua" w:hAnsi="Book Antiqua"/>
          <w:sz w:val="24"/>
          <w:szCs w:val="24"/>
        </w:rPr>
        <w:t>032</w:t>
      </w:r>
      <w:r w:rsidRPr="00B40E91">
        <w:rPr>
          <w:rFonts w:ascii="Book Antiqua" w:hAnsi="Book Antiqua"/>
          <w:sz w:val="24"/>
          <w:szCs w:val="24"/>
        </w:rPr>
        <w:t xml:space="preserve">, </w:t>
      </w:r>
      <w:r w:rsidRPr="00CF292F">
        <w:rPr>
          <w:rFonts w:ascii="Book Antiqua" w:hAnsi="Book Antiqua"/>
          <w:caps/>
          <w:sz w:val="24"/>
          <w:szCs w:val="24"/>
        </w:rPr>
        <w:t>f</w:t>
      </w:r>
      <w:r w:rsidRPr="00B40E91">
        <w:rPr>
          <w:rFonts w:ascii="Book Antiqua" w:hAnsi="Book Antiqua"/>
          <w:sz w:val="24"/>
          <w:szCs w:val="24"/>
        </w:rPr>
        <w:t xml:space="preserve">igure </w:t>
      </w:r>
      <w:r w:rsidR="00690F2D" w:rsidRPr="00B40E91">
        <w:rPr>
          <w:rFonts w:ascii="Book Antiqua" w:hAnsi="Book Antiqua"/>
          <w:sz w:val="24"/>
          <w:szCs w:val="24"/>
        </w:rPr>
        <w:t>5</w:t>
      </w:r>
      <w:r w:rsidR="00BF36D0" w:rsidRPr="00CF292F">
        <w:rPr>
          <w:rFonts w:ascii="Book Antiqua" w:hAnsi="Book Antiqua"/>
          <w:caps/>
          <w:sz w:val="24"/>
          <w:szCs w:val="24"/>
        </w:rPr>
        <w:t>f</w:t>
      </w:r>
      <w:r w:rsidRPr="00B40E91">
        <w:rPr>
          <w:rFonts w:ascii="Book Antiqua" w:hAnsi="Book Antiqua"/>
          <w:sz w:val="24"/>
          <w:szCs w:val="24"/>
        </w:rPr>
        <w:t>) and plasma cell (</w:t>
      </w:r>
      <w:r w:rsidR="00CF292F" w:rsidRPr="009E2A20">
        <w:rPr>
          <w:rFonts w:ascii="Book Antiqua" w:hAnsi="Book Antiqua"/>
          <w:i/>
          <w:caps/>
          <w:sz w:val="24"/>
          <w:szCs w:val="24"/>
        </w:rPr>
        <w:t>p</w:t>
      </w:r>
      <w:r w:rsidR="00CF292F" w:rsidRPr="00B40E91">
        <w:rPr>
          <w:rFonts w:ascii="Book Antiqua" w:hAnsi="Book Antiqua"/>
          <w:sz w:val="24"/>
          <w:szCs w:val="24"/>
        </w:rPr>
        <w:t xml:space="preserve"> </w:t>
      </w:r>
      <w:r w:rsidRPr="00B40E91">
        <w:rPr>
          <w:rFonts w:ascii="Book Antiqua" w:hAnsi="Book Antiqua"/>
          <w:sz w:val="24"/>
          <w:szCs w:val="24"/>
        </w:rPr>
        <w:t>=</w:t>
      </w:r>
      <w:r w:rsidR="00CF292F">
        <w:rPr>
          <w:rFonts w:ascii="Book Antiqua" w:hAnsi="Book Antiqua" w:hint="eastAsia"/>
          <w:sz w:val="24"/>
          <w:szCs w:val="24"/>
          <w:lang w:eastAsia="zh-CN"/>
        </w:rPr>
        <w:t xml:space="preserve"> </w:t>
      </w:r>
      <w:r w:rsidRPr="00B40E91">
        <w:rPr>
          <w:rFonts w:ascii="Book Antiqua" w:hAnsi="Book Antiqua"/>
          <w:sz w:val="24"/>
          <w:szCs w:val="24"/>
        </w:rPr>
        <w:t>0.</w:t>
      </w:r>
      <w:r w:rsidR="00B2003B" w:rsidRPr="00B40E91">
        <w:rPr>
          <w:rFonts w:ascii="Book Antiqua" w:hAnsi="Book Antiqua"/>
          <w:sz w:val="24"/>
          <w:szCs w:val="24"/>
        </w:rPr>
        <w:t>0234</w:t>
      </w:r>
      <w:r w:rsidRPr="00B40E91">
        <w:rPr>
          <w:rFonts w:ascii="Book Antiqua" w:hAnsi="Book Antiqua"/>
          <w:sz w:val="24"/>
          <w:szCs w:val="24"/>
        </w:rPr>
        <w:t xml:space="preserve">, </w:t>
      </w:r>
      <w:r w:rsidRPr="00CF292F">
        <w:rPr>
          <w:rFonts w:ascii="Book Antiqua" w:hAnsi="Book Antiqua"/>
          <w:caps/>
          <w:sz w:val="24"/>
          <w:szCs w:val="24"/>
        </w:rPr>
        <w:t>f</w:t>
      </w:r>
      <w:r w:rsidRPr="00B40E91">
        <w:rPr>
          <w:rFonts w:ascii="Book Antiqua" w:hAnsi="Book Antiqua"/>
          <w:sz w:val="24"/>
          <w:szCs w:val="24"/>
        </w:rPr>
        <w:t xml:space="preserve">igure </w:t>
      </w:r>
      <w:r w:rsidR="00690F2D" w:rsidRPr="00B40E91">
        <w:rPr>
          <w:rFonts w:ascii="Book Antiqua" w:hAnsi="Book Antiqua"/>
          <w:sz w:val="24"/>
          <w:szCs w:val="24"/>
        </w:rPr>
        <w:t>5</w:t>
      </w:r>
      <w:r w:rsidR="00BF36D0" w:rsidRPr="00CF292F">
        <w:rPr>
          <w:rFonts w:ascii="Book Antiqua" w:hAnsi="Book Antiqua"/>
          <w:caps/>
          <w:sz w:val="24"/>
          <w:szCs w:val="24"/>
        </w:rPr>
        <w:t>g</w:t>
      </w:r>
      <w:r w:rsidRPr="00B40E91">
        <w:rPr>
          <w:rFonts w:ascii="Book Antiqua" w:hAnsi="Book Antiqua"/>
          <w:sz w:val="24"/>
          <w:szCs w:val="24"/>
        </w:rPr>
        <w:t>) compartments in IBD samples, suggesting that it may impair immunoglobin class-switching.</w:t>
      </w:r>
      <w:r w:rsidR="00BC35BF">
        <w:rPr>
          <w:rFonts w:ascii="Book Antiqua" w:hAnsi="Book Antiqua"/>
          <w:sz w:val="24"/>
          <w:szCs w:val="24"/>
        </w:rPr>
        <w:t xml:space="preserve"> </w:t>
      </w:r>
    </w:p>
    <w:p w14:paraId="09FF64C0" w14:textId="77777777" w:rsidR="0036054C" w:rsidRPr="00B40E91" w:rsidRDefault="0036054C" w:rsidP="009F013B">
      <w:pPr>
        <w:snapToGrid w:val="0"/>
        <w:spacing w:after="0" w:line="360" w:lineRule="auto"/>
        <w:jc w:val="both"/>
        <w:rPr>
          <w:rFonts w:ascii="Book Antiqua" w:hAnsi="Book Antiqua"/>
          <w:sz w:val="24"/>
          <w:szCs w:val="24"/>
          <w:lang w:eastAsia="zh-CN"/>
        </w:rPr>
      </w:pPr>
    </w:p>
    <w:p w14:paraId="25C8E01C" w14:textId="5C7AED35" w:rsidR="0036054C" w:rsidRPr="00CF292F" w:rsidRDefault="00CF292F" w:rsidP="009F013B">
      <w:pPr>
        <w:snapToGrid w:val="0"/>
        <w:spacing w:after="0" w:line="360" w:lineRule="auto"/>
        <w:jc w:val="both"/>
        <w:rPr>
          <w:rFonts w:ascii="Book Antiqua" w:hAnsi="Book Antiqua"/>
          <w:b/>
          <w:caps/>
          <w:sz w:val="24"/>
          <w:szCs w:val="24"/>
          <w:lang w:eastAsia="zh-CN"/>
        </w:rPr>
      </w:pPr>
      <w:r w:rsidRPr="00CF292F">
        <w:rPr>
          <w:rFonts w:ascii="Book Antiqua" w:hAnsi="Book Antiqua"/>
          <w:b/>
          <w:caps/>
          <w:sz w:val="24"/>
          <w:szCs w:val="24"/>
        </w:rPr>
        <w:t>Discussion</w:t>
      </w:r>
    </w:p>
    <w:p w14:paraId="264A5B27" w14:textId="6526D518"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sz w:val="24"/>
          <w:szCs w:val="24"/>
        </w:rPr>
        <w:t>We performed a thorough characterization of lymphocyte subpopulations in well-matched cohorts of IBD patients on versus not on thiopurine immunosuppressants to determine if the lymphopenia associated with chronic use of these medications is attributable to selective depletion of a particular cell type.</w:t>
      </w:r>
      <w:r w:rsidR="00BC35BF">
        <w:rPr>
          <w:rFonts w:ascii="Book Antiqua" w:hAnsi="Book Antiqua"/>
          <w:sz w:val="24"/>
          <w:szCs w:val="24"/>
        </w:rPr>
        <w:t xml:space="preserve"> </w:t>
      </w:r>
      <w:r w:rsidRPr="00B40E91">
        <w:rPr>
          <w:rFonts w:ascii="Book Antiqua" w:hAnsi="Book Antiqua"/>
          <w:sz w:val="24"/>
          <w:szCs w:val="24"/>
        </w:rPr>
        <w:t>We found that NK and B cells, but not T cell populations, are reduced in the peripheral blood of IBD patients taking thiopurines, with the B cell depletion also being evident in intestinal samples.</w:t>
      </w:r>
      <w:r w:rsidR="00BC35BF">
        <w:rPr>
          <w:rFonts w:ascii="Book Antiqua" w:hAnsi="Book Antiqua"/>
          <w:sz w:val="24"/>
          <w:szCs w:val="24"/>
        </w:rPr>
        <w:t xml:space="preserve"> </w:t>
      </w:r>
      <w:r w:rsidRPr="00B40E91">
        <w:rPr>
          <w:rFonts w:ascii="Book Antiqua" w:hAnsi="Book Antiqua"/>
          <w:sz w:val="24"/>
          <w:szCs w:val="24"/>
        </w:rPr>
        <w:t>In particular, the transitional B cell compartment was depleted in the setting of thiopurine use.</w:t>
      </w:r>
      <w:r w:rsidR="00BC35BF">
        <w:rPr>
          <w:rFonts w:ascii="Book Antiqua" w:hAnsi="Book Antiqua"/>
          <w:sz w:val="24"/>
          <w:szCs w:val="24"/>
        </w:rPr>
        <w:t xml:space="preserve"> </w:t>
      </w:r>
    </w:p>
    <w:p w14:paraId="0D97BDDD" w14:textId="72EAE98F" w:rsidR="0036054C" w:rsidRPr="00B40E91" w:rsidRDefault="0036054C" w:rsidP="009F013B">
      <w:pPr>
        <w:snapToGrid w:val="0"/>
        <w:spacing w:after="0" w:line="360" w:lineRule="auto"/>
        <w:ind w:firstLineChars="100" w:firstLine="240"/>
        <w:jc w:val="both"/>
        <w:rPr>
          <w:rFonts w:ascii="Book Antiqua" w:hAnsi="Book Antiqua"/>
          <w:sz w:val="24"/>
          <w:szCs w:val="24"/>
          <w:lang w:eastAsia="zh-CN"/>
        </w:rPr>
      </w:pPr>
      <w:r w:rsidRPr="00B40E91">
        <w:rPr>
          <w:rFonts w:ascii="Book Antiqua" w:hAnsi="Book Antiqua"/>
          <w:sz w:val="24"/>
          <w:szCs w:val="24"/>
        </w:rPr>
        <w:t>Thiopurines have a relatively long history as monotherapy for IBD</w:t>
      </w:r>
      <w:r w:rsidRPr="00B40E91">
        <w:rPr>
          <w:rFonts w:ascii="Book Antiqua" w:hAnsi="Book Antiqua"/>
          <w:noProof/>
          <w:sz w:val="24"/>
          <w:szCs w:val="24"/>
          <w:vertAlign w:val="superscript"/>
        </w:rPr>
        <w:t>[1-3,12]</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However, in recent years this role has been somewhat supplanted by their use concomitant with anti-TNF biopharmaceuticals, as a consequence of comparative efficacy trials demonstrating clear benefit of dual therapy with both a thiopurine and anti-TNF agent over monotherapy with either agent alone for IBD</w:t>
      </w:r>
      <w:r w:rsidRPr="00B40E91">
        <w:rPr>
          <w:rFonts w:ascii="Book Antiqua" w:hAnsi="Book Antiqua"/>
          <w:noProof/>
          <w:sz w:val="24"/>
          <w:szCs w:val="24"/>
          <w:vertAlign w:val="superscript"/>
        </w:rPr>
        <w:t>[4,5]</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In this setting, a roughly 15% absolute increase in efficacy with dual therapy over anti-TNF monotherapy was paralleled by a roughly 15% absolute decrease in patients generating anti-drug antibodies (ADA’s) directed against the biopharmaceutical, as well as higher anti-TNF serum levels</w:t>
      </w:r>
      <w:r w:rsidRPr="00B40E91">
        <w:rPr>
          <w:rFonts w:ascii="Book Antiqua" w:hAnsi="Book Antiqua"/>
          <w:noProof/>
          <w:sz w:val="24"/>
          <w:szCs w:val="24"/>
          <w:vertAlign w:val="superscript"/>
        </w:rPr>
        <w:t>[4,5]</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As ADA’s have clearly been associated with increased biopharmaceutical clearance, as well as hazardous infusion reactions</w:t>
      </w:r>
      <w:r w:rsidRPr="00B40E91">
        <w:rPr>
          <w:rFonts w:ascii="Book Antiqua" w:hAnsi="Book Antiqua"/>
          <w:noProof/>
          <w:sz w:val="24"/>
          <w:szCs w:val="24"/>
          <w:vertAlign w:val="superscript"/>
        </w:rPr>
        <w:t>[28]</w:t>
      </w:r>
      <w:r w:rsidRPr="00B40E91">
        <w:rPr>
          <w:rFonts w:ascii="Book Antiqua" w:hAnsi="Book Antiqua"/>
          <w:sz w:val="24"/>
          <w:szCs w:val="24"/>
        </w:rPr>
        <w:t>, it is believed that the prevention of ADA’s is a primary mechanism by which thiopurines increase the safety and efficacy of anti-TNF therapy.</w:t>
      </w:r>
      <w:r w:rsidR="00BC35BF">
        <w:rPr>
          <w:rFonts w:ascii="Book Antiqua" w:hAnsi="Book Antiqua"/>
          <w:sz w:val="24"/>
          <w:szCs w:val="24"/>
        </w:rPr>
        <w:t xml:space="preserve"> </w:t>
      </w:r>
      <w:r w:rsidRPr="00B40E91">
        <w:rPr>
          <w:rFonts w:ascii="Book Antiqua" w:hAnsi="Book Antiqua"/>
          <w:sz w:val="24"/>
          <w:szCs w:val="24"/>
        </w:rPr>
        <w:t xml:space="preserve">Thus a potential clinical significance of our findings concerning B cells in thiopurine recipients is that they may help identify a </w:t>
      </w:r>
      <w:r w:rsidRPr="00B40E91">
        <w:rPr>
          <w:rFonts w:ascii="Book Antiqua" w:hAnsi="Book Antiqua"/>
          <w:sz w:val="24"/>
          <w:szCs w:val="24"/>
        </w:rPr>
        <w:lastRenderedPageBreak/>
        <w:t>peripheral biomarker for successful thiopurine-mediated ADA prophylaxis, or even identify drug-naïve IBD patients at low enough risk of ADA to obviate the need for thiopurine prophylaxis.</w:t>
      </w:r>
    </w:p>
    <w:p w14:paraId="115B80D5" w14:textId="390F14F3" w:rsidR="0036054C" w:rsidRPr="00B40E91" w:rsidRDefault="0036054C" w:rsidP="009F013B">
      <w:pPr>
        <w:snapToGrid w:val="0"/>
        <w:spacing w:after="0" w:line="360" w:lineRule="auto"/>
        <w:ind w:firstLineChars="100" w:firstLine="240"/>
        <w:jc w:val="both"/>
        <w:rPr>
          <w:rFonts w:ascii="Book Antiqua" w:hAnsi="Book Antiqua"/>
          <w:sz w:val="24"/>
          <w:szCs w:val="24"/>
          <w:lang w:eastAsia="zh-CN"/>
        </w:rPr>
      </w:pPr>
      <w:r w:rsidRPr="00B40E91">
        <w:rPr>
          <w:rFonts w:ascii="Book Antiqua" w:hAnsi="Book Antiqua"/>
          <w:sz w:val="24"/>
          <w:szCs w:val="24"/>
        </w:rPr>
        <w:t xml:space="preserve">Our data suggests that thiopurines may shrink the pool of naïve and, particularly, transitional B cells to prevent these cells from ultimately becoming ADA-producing plasma cells upon </w:t>
      </w:r>
      <w:r w:rsidRPr="00B40E91">
        <w:rPr>
          <w:rFonts w:ascii="Book Antiqua" w:hAnsi="Book Antiqua"/>
          <w:i/>
          <w:sz w:val="24"/>
          <w:szCs w:val="24"/>
        </w:rPr>
        <w:t>de novo</w:t>
      </w:r>
      <w:r w:rsidRPr="00B40E91">
        <w:rPr>
          <w:rFonts w:ascii="Book Antiqua" w:hAnsi="Book Antiqua"/>
          <w:sz w:val="24"/>
          <w:szCs w:val="24"/>
        </w:rPr>
        <w:t xml:space="preserve"> exposure to foreign biopharmaceutical proteins, while leaving intact pre-existing antigen-experienced memory B cells and plasma cells.</w:t>
      </w:r>
      <w:r w:rsidR="00BC35BF">
        <w:rPr>
          <w:rFonts w:ascii="Book Antiqua" w:hAnsi="Book Antiqua"/>
          <w:sz w:val="24"/>
          <w:szCs w:val="24"/>
        </w:rPr>
        <w:t xml:space="preserve"> </w:t>
      </w:r>
      <w:r w:rsidRPr="00B40E91">
        <w:rPr>
          <w:rFonts w:ascii="Book Antiqua" w:hAnsi="Book Antiqua"/>
          <w:sz w:val="24"/>
          <w:szCs w:val="24"/>
        </w:rPr>
        <w:t>Transitional B cells represent an early stage in B cell development, at which immature B cells that have undergone primary negative selection and receptor editing exit the bone marrow to become mature, but naïve, B cells in the spleen.</w:t>
      </w:r>
      <w:r w:rsidR="00BC35BF">
        <w:rPr>
          <w:rFonts w:ascii="Book Antiqua" w:hAnsi="Book Antiqua"/>
          <w:sz w:val="24"/>
          <w:szCs w:val="24"/>
        </w:rPr>
        <w:t xml:space="preserve"> </w:t>
      </w:r>
      <w:r w:rsidRPr="00B40E91">
        <w:rPr>
          <w:rFonts w:ascii="Book Antiqua" w:hAnsi="Book Antiqua"/>
          <w:sz w:val="24"/>
          <w:szCs w:val="24"/>
        </w:rPr>
        <w:t>As such, they retain a susceptibility to B cell receptor (BCR)-mediated apoptosis common to immature B cells, making them vulnerable to negative selection</w:t>
      </w:r>
      <w:r w:rsidRPr="00B40E91">
        <w:rPr>
          <w:rFonts w:ascii="Book Antiqua" w:hAnsi="Book Antiqua"/>
          <w:noProof/>
          <w:sz w:val="24"/>
          <w:szCs w:val="24"/>
          <w:vertAlign w:val="superscript"/>
        </w:rPr>
        <w:t>[29]</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 xml:space="preserve">As thiopurine metabolites have been shown to enhance T cell susceptibility to antigen receptor-mediated apoptosis </w:t>
      </w:r>
      <w:r w:rsidRPr="00B40E91">
        <w:rPr>
          <w:rFonts w:ascii="Book Antiqua" w:hAnsi="Book Antiqua"/>
          <w:i/>
          <w:sz w:val="24"/>
          <w:szCs w:val="24"/>
        </w:rPr>
        <w:t>in vitro</w:t>
      </w:r>
      <w:r w:rsidRPr="00B40E91">
        <w:rPr>
          <w:rFonts w:ascii="Book Antiqua" w:hAnsi="Book Antiqua"/>
          <w:noProof/>
          <w:sz w:val="24"/>
          <w:szCs w:val="24"/>
          <w:vertAlign w:val="superscript"/>
        </w:rPr>
        <w:t>[11]</w:t>
      </w:r>
      <w:r w:rsidRPr="00B40E91">
        <w:rPr>
          <w:rFonts w:ascii="Book Antiqua" w:hAnsi="Book Antiqua"/>
          <w:sz w:val="24"/>
          <w:szCs w:val="24"/>
        </w:rPr>
        <w:t xml:space="preserve">, they may likewise lower the threshold for negative selection in apoptosis-prone transitional B cells </w:t>
      </w:r>
      <w:r w:rsidRPr="00B40E91">
        <w:rPr>
          <w:rFonts w:ascii="Book Antiqua" w:hAnsi="Book Antiqua"/>
          <w:i/>
          <w:sz w:val="24"/>
          <w:szCs w:val="24"/>
        </w:rPr>
        <w:t>in vivo</w:t>
      </w:r>
      <w:r w:rsidRPr="00B40E91">
        <w:rPr>
          <w:rFonts w:ascii="Book Antiqua" w:hAnsi="Book Antiqua"/>
          <w:sz w:val="24"/>
          <w:szCs w:val="24"/>
        </w:rPr>
        <w:t>, perhaps to such a level that nearly all nascent transitional B cells entering the periphery are spontaneously deleted, consistent with our findings (</w:t>
      </w:r>
      <w:r w:rsidRPr="00CF292F">
        <w:rPr>
          <w:rFonts w:ascii="Book Antiqua" w:hAnsi="Book Antiqua"/>
          <w:caps/>
          <w:sz w:val="24"/>
          <w:szCs w:val="24"/>
        </w:rPr>
        <w:t>f</w:t>
      </w:r>
      <w:r w:rsidRPr="00B40E91">
        <w:rPr>
          <w:rFonts w:ascii="Book Antiqua" w:hAnsi="Book Antiqua"/>
          <w:sz w:val="24"/>
          <w:szCs w:val="24"/>
        </w:rPr>
        <w:t>igure 3</w:t>
      </w:r>
      <w:r w:rsidRPr="00CF292F">
        <w:rPr>
          <w:rFonts w:ascii="Book Antiqua" w:hAnsi="Book Antiqua"/>
          <w:caps/>
          <w:sz w:val="24"/>
          <w:szCs w:val="24"/>
        </w:rPr>
        <w:t>f</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Over time, this would result in a similar depletion of the naïve B cells derived from transitional B cells, which we observed (</w:t>
      </w:r>
      <w:r w:rsidRPr="00CF292F">
        <w:rPr>
          <w:rFonts w:ascii="Book Antiqua" w:hAnsi="Book Antiqua"/>
          <w:caps/>
          <w:sz w:val="24"/>
          <w:szCs w:val="24"/>
        </w:rPr>
        <w:t>f</w:t>
      </w:r>
      <w:r w:rsidRPr="00B40E91">
        <w:rPr>
          <w:rFonts w:ascii="Book Antiqua" w:hAnsi="Book Antiqua"/>
          <w:sz w:val="24"/>
          <w:szCs w:val="24"/>
        </w:rPr>
        <w:t>igure 3</w:t>
      </w:r>
      <w:r w:rsidRPr="00CF292F">
        <w:rPr>
          <w:rFonts w:ascii="Book Antiqua" w:hAnsi="Book Antiqua"/>
          <w:caps/>
          <w:sz w:val="24"/>
          <w:szCs w:val="24"/>
        </w:rPr>
        <w:t>d</w:t>
      </w:r>
      <w:r w:rsidRPr="00B40E91">
        <w:rPr>
          <w:rFonts w:ascii="Book Antiqua" w:hAnsi="Book Antiqua"/>
          <w:sz w:val="24"/>
          <w:szCs w:val="24"/>
        </w:rPr>
        <w:t>).</w:t>
      </w:r>
    </w:p>
    <w:p w14:paraId="7E6A3208" w14:textId="475B0B63" w:rsidR="0036054C" w:rsidRPr="00B40E91" w:rsidRDefault="0036054C" w:rsidP="009F013B">
      <w:pPr>
        <w:snapToGrid w:val="0"/>
        <w:spacing w:after="0" w:line="360" w:lineRule="auto"/>
        <w:ind w:firstLineChars="100" w:firstLine="240"/>
        <w:jc w:val="both"/>
        <w:rPr>
          <w:rFonts w:ascii="Book Antiqua" w:hAnsi="Book Antiqua"/>
          <w:sz w:val="24"/>
          <w:szCs w:val="24"/>
        </w:rPr>
      </w:pPr>
      <w:r w:rsidRPr="00B40E91">
        <w:rPr>
          <w:rFonts w:ascii="Book Antiqua" w:hAnsi="Book Antiqua"/>
          <w:sz w:val="24"/>
          <w:szCs w:val="24"/>
        </w:rPr>
        <w:t>We also observed a decrease in circulating NK cells associated with thiopurine use.</w:t>
      </w:r>
      <w:r w:rsidR="00BC35BF">
        <w:rPr>
          <w:rFonts w:ascii="Book Antiqua" w:hAnsi="Book Antiqua"/>
          <w:sz w:val="24"/>
          <w:szCs w:val="24"/>
        </w:rPr>
        <w:t xml:space="preserve"> </w:t>
      </w:r>
      <w:r w:rsidRPr="00B40E91">
        <w:rPr>
          <w:rFonts w:ascii="Book Antiqua" w:hAnsi="Book Antiqua"/>
          <w:sz w:val="24"/>
          <w:szCs w:val="24"/>
        </w:rPr>
        <w:t>NK cells play an important role in providing an antiviral immune response and immune surveillance against tumors.</w:t>
      </w:r>
      <w:r w:rsidR="00BC35BF">
        <w:rPr>
          <w:rFonts w:ascii="Book Antiqua" w:hAnsi="Book Antiqua"/>
          <w:sz w:val="24"/>
          <w:szCs w:val="24"/>
        </w:rPr>
        <w:t xml:space="preserve"> </w:t>
      </w:r>
      <w:r w:rsidRPr="00B40E91">
        <w:rPr>
          <w:rFonts w:ascii="Book Antiqua" w:hAnsi="Book Antiqua"/>
          <w:sz w:val="24"/>
          <w:szCs w:val="24"/>
        </w:rPr>
        <w:t>Consequently, our findings may explain why thiopurine recipients are at increased risk of certain types of cancer, particularly lymphoma mediated by Epstein-Barr virus</w:t>
      </w:r>
      <w:r w:rsidRPr="00B40E91">
        <w:rPr>
          <w:rFonts w:ascii="Book Antiqua" w:hAnsi="Book Antiqua"/>
          <w:noProof/>
          <w:sz w:val="24"/>
          <w:szCs w:val="24"/>
          <w:vertAlign w:val="superscript"/>
        </w:rPr>
        <w:t>[30]</w:t>
      </w:r>
      <w:r w:rsidRPr="00B40E91">
        <w:rPr>
          <w:rFonts w:ascii="Book Antiqua" w:hAnsi="Book Antiqua"/>
          <w:sz w:val="24"/>
          <w:szCs w:val="24"/>
        </w:rPr>
        <w:t>, or cervical cancer mediated by the human papilloma virus</w:t>
      </w:r>
      <w:r w:rsidRPr="00B40E91">
        <w:rPr>
          <w:rFonts w:ascii="Book Antiqua" w:hAnsi="Book Antiqua"/>
          <w:noProof/>
          <w:sz w:val="24"/>
          <w:szCs w:val="24"/>
          <w:vertAlign w:val="superscript"/>
        </w:rPr>
        <w:t>[31]</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However, our study was not powered to capture such rare events and thus determine if NK cell frequency could be a biomarker for cancer susceptibility in thiopurine recipients.</w:t>
      </w:r>
      <w:r w:rsidR="00BC35BF">
        <w:rPr>
          <w:rFonts w:ascii="Book Antiqua" w:hAnsi="Book Antiqua"/>
          <w:sz w:val="24"/>
          <w:szCs w:val="24"/>
        </w:rPr>
        <w:t xml:space="preserve"> </w:t>
      </w:r>
    </w:p>
    <w:p w14:paraId="4B0E681F" w14:textId="483CB9F0" w:rsidR="0036054C" w:rsidRPr="00B40E91" w:rsidRDefault="0036054C" w:rsidP="009F013B">
      <w:pPr>
        <w:snapToGrid w:val="0"/>
        <w:spacing w:after="0" w:line="360" w:lineRule="auto"/>
        <w:ind w:firstLine="360"/>
        <w:jc w:val="both"/>
        <w:rPr>
          <w:rFonts w:ascii="Book Antiqua" w:hAnsi="Book Antiqua"/>
          <w:sz w:val="24"/>
          <w:szCs w:val="24"/>
        </w:rPr>
      </w:pPr>
      <w:r w:rsidRPr="00B40E91">
        <w:rPr>
          <w:rFonts w:ascii="Book Antiqua" w:hAnsi="Book Antiqua"/>
          <w:sz w:val="24"/>
          <w:szCs w:val="24"/>
        </w:rPr>
        <w:t xml:space="preserve">Given </w:t>
      </w:r>
      <w:r w:rsidRPr="00B40E91">
        <w:rPr>
          <w:rFonts w:ascii="Book Antiqua" w:hAnsi="Book Antiqua"/>
          <w:i/>
          <w:sz w:val="24"/>
          <w:szCs w:val="24"/>
        </w:rPr>
        <w:t>in vitro</w:t>
      </w:r>
      <w:r w:rsidRPr="00B40E91">
        <w:rPr>
          <w:rFonts w:ascii="Book Antiqua" w:hAnsi="Book Antiqua"/>
          <w:sz w:val="24"/>
          <w:szCs w:val="24"/>
        </w:rPr>
        <w:t xml:space="preserve"> mechanistic data suggesting that T cells are the primary target of thiopurines</w:t>
      </w:r>
      <w:r w:rsidRPr="00B40E91">
        <w:rPr>
          <w:rFonts w:ascii="Book Antiqua" w:hAnsi="Book Antiqua"/>
          <w:noProof/>
          <w:sz w:val="24"/>
          <w:szCs w:val="24"/>
          <w:vertAlign w:val="superscript"/>
        </w:rPr>
        <w:t>[11]</w:t>
      </w:r>
      <w:r w:rsidRPr="00B40E91">
        <w:rPr>
          <w:rFonts w:ascii="Book Antiqua" w:hAnsi="Book Antiqua"/>
          <w:sz w:val="24"/>
          <w:szCs w:val="24"/>
        </w:rPr>
        <w:t xml:space="preserve">, we focused particularly upon T cell populations, including rare T cell subsets to exclude the possibility that a subtle effect of thiopurines could be selectively </w:t>
      </w:r>
      <w:r w:rsidRPr="00B40E91">
        <w:rPr>
          <w:rFonts w:ascii="Book Antiqua" w:hAnsi="Book Antiqua"/>
          <w:sz w:val="24"/>
          <w:szCs w:val="24"/>
        </w:rPr>
        <w:lastRenderedPageBreak/>
        <w:t>hidden therein.</w:t>
      </w:r>
      <w:r w:rsidR="00BC35BF">
        <w:rPr>
          <w:rFonts w:ascii="Book Antiqua" w:hAnsi="Book Antiqua"/>
          <w:sz w:val="24"/>
          <w:szCs w:val="24"/>
        </w:rPr>
        <w:t xml:space="preserve"> </w:t>
      </w:r>
      <w:r w:rsidRPr="00B40E91">
        <w:rPr>
          <w:rFonts w:ascii="Book Antiqua" w:hAnsi="Book Antiqua"/>
          <w:sz w:val="24"/>
          <w:szCs w:val="24"/>
        </w:rPr>
        <w:t>However, we found no selective depletion of any T cell population associated with thiopurine use in IBD patients.</w:t>
      </w:r>
      <w:r w:rsidR="00BC35BF">
        <w:rPr>
          <w:rFonts w:ascii="Book Antiqua" w:hAnsi="Book Antiqua"/>
          <w:sz w:val="24"/>
          <w:szCs w:val="24"/>
        </w:rPr>
        <w:t xml:space="preserve"> </w:t>
      </w:r>
      <w:r w:rsidRPr="00B40E91">
        <w:rPr>
          <w:rFonts w:ascii="Book Antiqua" w:hAnsi="Book Antiqua"/>
          <w:sz w:val="24"/>
          <w:szCs w:val="24"/>
        </w:rPr>
        <w:t>We did find that, regardless of thiopurine use, IBD patients have paradoxically more Helios+ FOXP3+ CD4+ T cells, resembling thymically-derived, “natural” Tregs</w:t>
      </w:r>
      <w:r w:rsidRPr="00B40E91">
        <w:rPr>
          <w:rFonts w:ascii="Book Antiqua" w:hAnsi="Book Antiqua"/>
          <w:noProof/>
          <w:sz w:val="24"/>
          <w:szCs w:val="24"/>
          <w:vertAlign w:val="superscript"/>
        </w:rPr>
        <w:t>[27]</w:t>
      </w:r>
      <w:r w:rsidRPr="00B40E91">
        <w:rPr>
          <w:rFonts w:ascii="Book Antiqua" w:hAnsi="Book Antiqua"/>
          <w:sz w:val="24"/>
          <w:szCs w:val="24"/>
        </w:rPr>
        <w:t>, in their blood than matched healthy controls.</w:t>
      </w:r>
      <w:r w:rsidR="00BC35BF">
        <w:rPr>
          <w:rFonts w:ascii="Book Antiqua" w:hAnsi="Book Antiqua"/>
          <w:sz w:val="24"/>
          <w:szCs w:val="24"/>
        </w:rPr>
        <w:t xml:space="preserve"> </w:t>
      </w:r>
      <w:r w:rsidRPr="00B40E91">
        <w:rPr>
          <w:rFonts w:ascii="Book Antiqua" w:hAnsi="Book Antiqua"/>
          <w:sz w:val="24"/>
          <w:szCs w:val="24"/>
        </w:rPr>
        <w:t>While this could suggest that these immunoregulatory cells are being excluded from the bowel to facilitate intestinal inflammation, we have previously shown that, in UC, there is likewise a paradoxically higher frequency of Helios+ nTregs in the inflamed colonic mucosa than in controls</w:t>
      </w:r>
      <w:r w:rsidRPr="00B40E91">
        <w:rPr>
          <w:rFonts w:ascii="Book Antiqua" w:hAnsi="Book Antiqua"/>
          <w:noProof/>
          <w:sz w:val="24"/>
          <w:szCs w:val="24"/>
          <w:vertAlign w:val="superscript"/>
        </w:rPr>
        <w:t>[32]</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Thus, we hypothesize that Tregs are ineffective at controlling the inflammation of IBD, rather than being numerically deficient, as they are in the enteropathy of the IPEX syndrome</w:t>
      </w:r>
      <w:r w:rsidRPr="00B40E91">
        <w:rPr>
          <w:rFonts w:ascii="Book Antiqua" w:hAnsi="Book Antiqua"/>
          <w:noProof/>
          <w:sz w:val="24"/>
          <w:szCs w:val="24"/>
          <w:vertAlign w:val="superscript"/>
        </w:rPr>
        <w:t>[21,33]</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However, no significant differences were found between IBD patients and controls in the phenotype of these Tregs (See supplemental digital content 2).</w:t>
      </w:r>
      <w:r w:rsidR="00BC35BF">
        <w:rPr>
          <w:rFonts w:ascii="Book Antiqua" w:hAnsi="Book Antiqua"/>
          <w:sz w:val="24"/>
          <w:szCs w:val="24"/>
        </w:rPr>
        <w:t xml:space="preserve"> </w:t>
      </w:r>
    </w:p>
    <w:p w14:paraId="02BD59FD" w14:textId="32EA7397" w:rsidR="0036054C" w:rsidRPr="00B40E91" w:rsidRDefault="0036054C" w:rsidP="009F013B">
      <w:pPr>
        <w:snapToGrid w:val="0"/>
        <w:spacing w:after="0" w:line="360" w:lineRule="auto"/>
        <w:ind w:firstLineChars="100" w:firstLine="240"/>
        <w:jc w:val="both"/>
        <w:rPr>
          <w:rFonts w:ascii="Book Antiqua" w:hAnsi="Book Antiqua"/>
          <w:sz w:val="24"/>
          <w:szCs w:val="24"/>
        </w:rPr>
      </w:pPr>
      <w:r w:rsidRPr="00B40E91">
        <w:rPr>
          <w:rFonts w:ascii="Book Antiqua" w:hAnsi="Book Antiqua"/>
          <w:sz w:val="24"/>
          <w:szCs w:val="24"/>
        </w:rPr>
        <w:t>In contrast to nTregs, we found a lower frequency of circulating iNKT and MAIT cells in IBD patient relative to controls.</w:t>
      </w:r>
      <w:r w:rsidR="00BC35BF">
        <w:rPr>
          <w:rFonts w:ascii="Book Antiqua" w:hAnsi="Book Antiqua"/>
          <w:sz w:val="24"/>
          <w:szCs w:val="24"/>
        </w:rPr>
        <w:t xml:space="preserve"> </w:t>
      </w:r>
      <w:r w:rsidRPr="00B40E91">
        <w:rPr>
          <w:rFonts w:ascii="Book Antiqua" w:hAnsi="Book Antiqua"/>
          <w:sz w:val="24"/>
          <w:szCs w:val="24"/>
        </w:rPr>
        <w:t>Decreased circulating MAIT cells in IBD have been previously reported</w:t>
      </w:r>
      <w:r w:rsidRPr="00B40E91">
        <w:rPr>
          <w:rFonts w:ascii="Book Antiqua" w:hAnsi="Book Antiqua"/>
          <w:noProof/>
          <w:sz w:val="24"/>
          <w:szCs w:val="24"/>
          <w:vertAlign w:val="superscript"/>
        </w:rPr>
        <w:t>[34]</w:t>
      </w:r>
      <w:r w:rsidRPr="00B40E91">
        <w:rPr>
          <w:rFonts w:ascii="Book Antiqua" w:hAnsi="Book Antiqua"/>
          <w:sz w:val="24"/>
          <w:szCs w:val="24"/>
        </w:rPr>
        <w:t>.</w:t>
      </w:r>
      <w:r w:rsidR="00BC35BF">
        <w:rPr>
          <w:rFonts w:ascii="Book Antiqua" w:hAnsi="Book Antiqua"/>
          <w:sz w:val="24"/>
          <w:szCs w:val="24"/>
        </w:rPr>
        <w:t xml:space="preserve"> </w:t>
      </w:r>
      <w:r w:rsidRPr="00B40E91">
        <w:rPr>
          <w:rFonts w:ascii="Book Antiqua" w:hAnsi="Book Antiqua"/>
          <w:sz w:val="24"/>
          <w:szCs w:val="24"/>
        </w:rPr>
        <w:t>Although these MAIT cells are known to express high levels of the multi-drug resistance gene ABCB1</w:t>
      </w:r>
      <w:r w:rsidRPr="00B40E91">
        <w:rPr>
          <w:rFonts w:ascii="Book Antiqua" w:hAnsi="Book Antiqua"/>
          <w:noProof/>
          <w:sz w:val="24"/>
          <w:szCs w:val="24"/>
          <w:vertAlign w:val="superscript"/>
        </w:rPr>
        <w:t>[35]</w:t>
      </w:r>
      <w:r w:rsidRPr="00B40E91">
        <w:rPr>
          <w:rFonts w:ascii="Book Antiqua" w:hAnsi="Book Antiqua"/>
          <w:sz w:val="24"/>
          <w:szCs w:val="24"/>
        </w:rPr>
        <w:t>, which facilitates resistance to chemotherapeutic drugs</w:t>
      </w:r>
      <w:r w:rsidRPr="00B40E91">
        <w:rPr>
          <w:rFonts w:ascii="Book Antiqua" w:hAnsi="Book Antiqua"/>
          <w:noProof/>
          <w:sz w:val="24"/>
          <w:szCs w:val="24"/>
          <w:vertAlign w:val="superscript"/>
        </w:rPr>
        <w:t>[36]</w:t>
      </w:r>
      <w:r w:rsidRPr="00B40E91">
        <w:rPr>
          <w:rFonts w:ascii="Book Antiqua" w:hAnsi="Book Antiqua"/>
          <w:sz w:val="24"/>
          <w:szCs w:val="24"/>
        </w:rPr>
        <w:t xml:space="preserve"> such as thiopurines, MAIT cells were not selectively enriched by thiopurine use in either the peripheral blood (See supplemental digital content 1) or intestine (data not shown) of IBD patients.</w:t>
      </w:r>
      <w:r w:rsidR="00BC35BF">
        <w:rPr>
          <w:rFonts w:ascii="Book Antiqua" w:hAnsi="Book Antiqua"/>
          <w:sz w:val="24"/>
          <w:szCs w:val="24"/>
        </w:rPr>
        <w:t xml:space="preserve"> </w:t>
      </w:r>
    </w:p>
    <w:p w14:paraId="3531E187" w14:textId="571863A8" w:rsidR="0036054C" w:rsidRPr="00B40E91" w:rsidRDefault="0036054C" w:rsidP="009F013B">
      <w:pPr>
        <w:snapToGrid w:val="0"/>
        <w:spacing w:after="0" w:line="360" w:lineRule="auto"/>
        <w:ind w:firstLineChars="100" w:firstLine="240"/>
        <w:jc w:val="both"/>
        <w:rPr>
          <w:rFonts w:ascii="Book Antiqua" w:hAnsi="Book Antiqua"/>
          <w:sz w:val="24"/>
          <w:szCs w:val="24"/>
        </w:rPr>
      </w:pPr>
      <w:r w:rsidRPr="00B40E91">
        <w:rPr>
          <w:rFonts w:ascii="Book Antiqua" w:hAnsi="Book Antiqua"/>
          <w:sz w:val="24"/>
          <w:szCs w:val="24"/>
        </w:rPr>
        <w:t>In summary, we have demonstrated that a relative lymphopenia associated with thiopurine use is attributable to decreased NK and B cells, rather than T cell depletion.</w:t>
      </w:r>
      <w:r w:rsidR="00BC35BF">
        <w:rPr>
          <w:rFonts w:ascii="Book Antiqua" w:hAnsi="Book Antiqua"/>
          <w:sz w:val="24"/>
          <w:szCs w:val="24"/>
        </w:rPr>
        <w:t xml:space="preserve"> </w:t>
      </w:r>
      <w:r w:rsidRPr="00B40E91">
        <w:rPr>
          <w:rFonts w:ascii="Book Antiqua" w:hAnsi="Book Antiqua"/>
          <w:sz w:val="24"/>
          <w:szCs w:val="24"/>
        </w:rPr>
        <w:t>Future studies associating them with clinical outcomes, such as ADA formation, may provide useful biomarkers to guide therapy for IBD patients.</w:t>
      </w:r>
      <w:r w:rsidR="00BC35BF">
        <w:rPr>
          <w:rFonts w:ascii="Book Antiqua" w:hAnsi="Book Antiqua"/>
          <w:sz w:val="24"/>
          <w:szCs w:val="24"/>
        </w:rPr>
        <w:t xml:space="preserve"> </w:t>
      </w:r>
      <w:r w:rsidRPr="00B40E91">
        <w:rPr>
          <w:rFonts w:ascii="Book Antiqua" w:hAnsi="Book Antiqua"/>
          <w:sz w:val="24"/>
          <w:szCs w:val="24"/>
        </w:rPr>
        <w:t>Furthermore, exploring the mechanism by which such changes occur may elucidate more selective means with which to tailor therapy while reducing the risk of off-target toxicities currently associated with thiopurine medications.</w:t>
      </w:r>
    </w:p>
    <w:p w14:paraId="0622BF11" w14:textId="3D65CCF4" w:rsidR="00CF292F" w:rsidRPr="00B40E91" w:rsidRDefault="00CF292F" w:rsidP="009F013B">
      <w:pPr>
        <w:snapToGrid w:val="0"/>
        <w:spacing w:after="0" w:line="360" w:lineRule="auto"/>
        <w:ind w:firstLineChars="100" w:firstLine="240"/>
        <w:jc w:val="both"/>
        <w:rPr>
          <w:rFonts w:ascii="Book Antiqua" w:hAnsi="Book Antiqua"/>
          <w:sz w:val="24"/>
          <w:szCs w:val="24"/>
        </w:rPr>
      </w:pPr>
      <w:r w:rsidRPr="00CF292F">
        <w:rPr>
          <w:rFonts w:ascii="Book Antiqua" w:hAnsi="Book Antiqua" w:hint="eastAsia"/>
          <w:sz w:val="24"/>
          <w:szCs w:val="24"/>
          <w:lang w:eastAsia="zh-CN"/>
        </w:rPr>
        <w:t xml:space="preserve">In </w:t>
      </w:r>
      <w:r w:rsidRPr="00CF292F">
        <w:rPr>
          <w:rFonts w:ascii="Book Antiqua" w:hAnsi="Book Antiqua"/>
          <w:sz w:val="24"/>
          <w:szCs w:val="24"/>
        </w:rPr>
        <w:t>conclusion</w:t>
      </w:r>
      <w:r w:rsidRPr="00CF292F">
        <w:rPr>
          <w:rFonts w:ascii="Book Antiqua" w:hAnsi="Book Antiqua" w:hint="eastAsia"/>
          <w:sz w:val="24"/>
          <w:szCs w:val="24"/>
          <w:lang w:eastAsia="zh-CN"/>
        </w:rPr>
        <w:t>,</w:t>
      </w:r>
      <w:r w:rsidRPr="00CF292F">
        <w:rPr>
          <w:rFonts w:ascii="Book Antiqua" w:hAnsi="Book Antiqua"/>
          <w:sz w:val="24"/>
          <w:szCs w:val="24"/>
        </w:rPr>
        <w:t xml:space="preserve"> </w:t>
      </w:r>
      <w:r w:rsidRPr="00B40E91">
        <w:rPr>
          <w:rFonts w:ascii="Book Antiqua" w:hAnsi="Book Antiqua"/>
          <w:sz w:val="24"/>
          <w:szCs w:val="24"/>
        </w:rPr>
        <w:t>thiopurine use is associated with reduced B and NK cell, but not T cell, subpopulations in the blood of IBD patients, and reduced B cells in the colonic mucosa.</w:t>
      </w:r>
      <w:r>
        <w:rPr>
          <w:rFonts w:ascii="Book Antiqua" w:hAnsi="Book Antiqua"/>
          <w:sz w:val="24"/>
          <w:szCs w:val="24"/>
        </w:rPr>
        <w:t xml:space="preserve"> </w:t>
      </w:r>
      <w:r w:rsidRPr="00B40E91">
        <w:rPr>
          <w:rFonts w:ascii="Book Antiqua" w:hAnsi="Book Antiqua"/>
          <w:sz w:val="24"/>
          <w:szCs w:val="24"/>
        </w:rPr>
        <w:lastRenderedPageBreak/>
        <w:t>These findings suggest a mechanism by which thiopurines reduce anti-drug antibodies and increase the risk of neoplasia, respectively.</w:t>
      </w:r>
      <w:r>
        <w:rPr>
          <w:rFonts w:ascii="Book Antiqua" w:hAnsi="Book Antiqua"/>
          <w:sz w:val="24"/>
          <w:szCs w:val="24"/>
        </w:rPr>
        <w:t xml:space="preserve"> </w:t>
      </w:r>
    </w:p>
    <w:p w14:paraId="5776DDAB" w14:textId="77777777" w:rsidR="00CF292F" w:rsidRPr="00CF292F" w:rsidRDefault="00CF292F" w:rsidP="009F013B">
      <w:pPr>
        <w:snapToGrid w:val="0"/>
        <w:spacing w:after="0" w:line="360" w:lineRule="auto"/>
        <w:jc w:val="both"/>
        <w:rPr>
          <w:rFonts w:ascii="Book Antiqua" w:hAnsi="Book Antiqua"/>
          <w:sz w:val="24"/>
          <w:szCs w:val="24"/>
          <w:lang w:eastAsia="zh-CN"/>
        </w:rPr>
      </w:pPr>
    </w:p>
    <w:p w14:paraId="27842EBE" w14:textId="77777777" w:rsidR="00CF292F" w:rsidRPr="00CF292F" w:rsidRDefault="0036054C" w:rsidP="009F013B">
      <w:pPr>
        <w:snapToGrid w:val="0"/>
        <w:spacing w:after="0" w:line="360" w:lineRule="auto"/>
        <w:jc w:val="both"/>
        <w:rPr>
          <w:rFonts w:ascii="Book Antiqua" w:hAnsi="Book Antiqua"/>
          <w:b/>
          <w:caps/>
          <w:sz w:val="24"/>
          <w:szCs w:val="24"/>
          <w:lang w:eastAsia="zh-CN"/>
        </w:rPr>
      </w:pPr>
      <w:r w:rsidRPr="00CF292F">
        <w:rPr>
          <w:rFonts w:ascii="Book Antiqua" w:hAnsi="Book Antiqua"/>
          <w:b/>
          <w:caps/>
          <w:sz w:val="24"/>
          <w:szCs w:val="24"/>
        </w:rPr>
        <w:t>Acknowledgments</w:t>
      </w:r>
    </w:p>
    <w:p w14:paraId="54F8F935" w14:textId="1502021F"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sz w:val="24"/>
          <w:szCs w:val="24"/>
        </w:rPr>
        <w:t>We would like to thank the Digestive Disease Institute and its associated doctors, nurses and staff at Virginia Mason Hospital for funding these studies and allowing patient interactions.</w:t>
      </w:r>
      <w:r w:rsidR="00BC35BF">
        <w:rPr>
          <w:rFonts w:ascii="Book Antiqua" w:hAnsi="Book Antiqua"/>
          <w:sz w:val="24"/>
          <w:szCs w:val="24"/>
        </w:rPr>
        <w:t xml:space="preserve"> </w:t>
      </w:r>
      <w:r w:rsidRPr="00B40E91">
        <w:rPr>
          <w:rFonts w:ascii="Book Antiqua" w:hAnsi="Book Antiqua"/>
          <w:sz w:val="24"/>
          <w:szCs w:val="24"/>
        </w:rPr>
        <w:t>We thank Kassidy Benoscek and Melissa Peda for recruiting and consenting subjects to the biorepository used for this work.</w:t>
      </w:r>
      <w:r w:rsidR="00BC35BF">
        <w:rPr>
          <w:rFonts w:ascii="Book Antiqua" w:hAnsi="Book Antiqua"/>
          <w:sz w:val="24"/>
          <w:szCs w:val="24"/>
        </w:rPr>
        <w:t xml:space="preserve"> </w:t>
      </w:r>
      <w:r w:rsidRPr="00B40E91">
        <w:rPr>
          <w:rFonts w:ascii="Book Antiqua" w:hAnsi="Book Antiqua"/>
          <w:sz w:val="24"/>
          <w:szCs w:val="24"/>
        </w:rPr>
        <w:t>We thank Thien-Son Nguyen for biorepository management.</w:t>
      </w:r>
      <w:r w:rsidR="00BC35BF">
        <w:rPr>
          <w:rFonts w:ascii="Book Antiqua" w:hAnsi="Book Antiqua"/>
          <w:sz w:val="24"/>
          <w:szCs w:val="24"/>
        </w:rPr>
        <w:t xml:space="preserve"> </w:t>
      </w:r>
      <w:r w:rsidRPr="00B40E91">
        <w:rPr>
          <w:rFonts w:ascii="Book Antiqua" w:hAnsi="Book Antiqua"/>
          <w:sz w:val="24"/>
          <w:szCs w:val="24"/>
        </w:rPr>
        <w:t>We thank “Aru” K. Arumuganathan and Katharine Schwedhelm for assistance with flow cytometry.</w:t>
      </w:r>
      <w:r w:rsidR="00BC35BF">
        <w:rPr>
          <w:rFonts w:ascii="Book Antiqua" w:hAnsi="Book Antiqua"/>
          <w:sz w:val="24"/>
          <w:szCs w:val="24"/>
        </w:rPr>
        <w:t xml:space="preserve"> </w:t>
      </w:r>
      <w:r w:rsidR="00130171" w:rsidRPr="00B40E91">
        <w:rPr>
          <w:rFonts w:ascii="Book Antiqua" w:hAnsi="Book Antiqua"/>
          <w:sz w:val="24"/>
          <w:szCs w:val="24"/>
        </w:rPr>
        <w:t>We thank biostatistician Elizabeth Whalen, PhD for manuscript review.</w:t>
      </w:r>
      <w:r w:rsidR="00BC35BF">
        <w:rPr>
          <w:rFonts w:ascii="Book Antiqua" w:hAnsi="Book Antiqua"/>
          <w:sz w:val="24"/>
          <w:szCs w:val="24"/>
        </w:rPr>
        <w:t xml:space="preserve"> </w:t>
      </w:r>
      <w:r w:rsidRPr="00B40E91">
        <w:rPr>
          <w:rFonts w:ascii="Book Antiqua" w:hAnsi="Book Antiqua"/>
          <w:sz w:val="24"/>
          <w:szCs w:val="24"/>
        </w:rPr>
        <w:t>We thank Brenda Norris for assistance with manuscript preparation.</w:t>
      </w:r>
      <w:r w:rsidR="00BC35BF">
        <w:rPr>
          <w:rFonts w:ascii="Book Antiqua" w:hAnsi="Book Antiqua"/>
          <w:sz w:val="24"/>
          <w:szCs w:val="24"/>
        </w:rPr>
        <w:t xml:space="preserve"> </w:t>
      </w:r>
    </w:p>
    <w:p w14:paraId="7F876F07" w14:textId="77777777" w:rsidR="0036054C" w:rsidRPr="00B40E91" w:rsidRDefault="0036054C" w:rsidP="009F013B">
      <w:pPr>
        <w:snapToGrid w:val="0"/>
        <w:spacing w:after="0" w:line="360" w:lineRule="auto"/>
        <w:jc w:val="both"/>
        <w:rPr>
          <w:rFonts w:ascii="Book Antiqua" w:hAnsi="Book Antiqua"/>
          <w:sz w:val="24"/>
          <w:szCs w:val="24"/>
        </w:rPr>
      </w:pPr>
    </w:p>
    <w:p w14:paraId="09BB6751" w14:textId="77777777" w:rsidR="0036054C" w:rsidRPr="00B40E91" w:rsidRDefault="0036054C" w:rsidP="009F013B">
      <w:pPr>
        <w:snapToGrid w:val="0"/>
        <w:spacing w:after="0" w:line="360" w:lineRule="auto"/>
        <w:jc w:val="both"/>
        <w:rPr>
          <w:rFonts w:ascii="Book Antiqua" w:hAnsi="Book Antiqua"/>
          <w:b/>
          <w:sz w:val="24"/>
          <w:szCs w:val="24"/>
        </w:rPr>
      </w:pPr>
      <w:bookmarkStart w:id="122" w:name="OLE_LINK677"/>
      <w:bookmarkStart w:id="123" w:name="OLE_LINK678"/>
      <w:bookmarkStart w:id="124" w:name="OLE_LINK733"/>
      <w:bookmarkStart w:id="125" w:name="OLE_LINK861"/>
      <w:bookmarkStart w:id="126" w:name="OLE_LINK937"/>
      <w:bookmarkStart w:id="127" w:name="OLE_LINK961"/>
      <w:bookmarkStart w:id="128" w:name="OLE_LINK990"/>
      <w:bookmarkStart w:id="129" w:name="OLE_LINK399"/>
      <w:bookmarkStart w:id="130" w:name="OLE_LINK546"/>
      <w:bookmarkStart w:id="131" w:name="OLE_LINK594"/>
      <w:bookmarkStart w:id="132" w:name="OLE_LINK621"/>
      <w:bookmarkStart w:id="133" w:name="OLE_LINK953"/>
      <w:bookmarkStart w:id="134" w:name="OLE_LINK610"/>
      <w:bookmarkStart w:id="135" w:name="OLE_LINK967"/>
      <w:r w:rsidRPr="00B40E91">
        <w:rPr>
          <w:rFonts w:ascii="Book Antiqua" w:hAnsi="Book Antiqua"/>
          <w:b/>
          <w:sz w:val="24"/>
          <w:szCs w:val="24"/>
        </w:rPr>
        <w:t>COMMENTS</w:t>
      </w:r>
    </w:p>
    <w:p w14:paraId="625ACE39" w14:textId="77777777" w:rsidR="00CF292F" w:rsidRDefault="0036054C" w:rsidP="009F013B">
      <w:pPr>
        <w:autoSpaceDE w:val="0"/>
        <w:autoSpaceDN w:val="0"/>
        <w:adjustRightInd w:val="0"/>
        <w:snapToGrid w:val="0"/>
        <w:spacing w:after="0" w:line="360" w:lineRule="auto"/>
        <w:jc w:val="both"/>
        <w:rPr>
          <w:rFonts w:ascii="Book Antiqua" w:hAnsi="Book Antiqua" w:cs="Book Antiqua"/>
          <w:b/>
          <w:i/>
          <w:iCs/>
          <w:sz w:val="24"/>
          <w:szCs w:val="24"/>
          <w:lang w:eastAsia="zh-CN"/>
        </w:rPr>
      </w:pPr>
      <w:bookmarkStart w:id="136" w:name="OLE_LINK729"/>
      <w:bookmarkStart w:id="137" w:name="OLE_LINK730"/>
      <w:r w:rsidRPr="00B40E91">
        <w:rPr>
          <w:rFonts w:ascii="Book Antiqua" w:hAnsi="Book Antiqua" w:cs="Book Antiqua"/>
          <w:b/>
          <w:i/>
          <w:iCs/>
          <w:sz w:val="24"/>
          <w:szCs w:val="24"/>
        </w:rPr>
        <w:t>Background</w:t>
      </w:r>
    </w:p>
    <w:p w14:paraId="757746FE" w14:textId="50B44795" w:rsidR="0036054C" w:rsidRPr="00B40E91" w:rsidRDefault="0036054C" w:rsidP="009F013B">
      <w:pPr>
        <w:autoSpaceDE w:val="0"/>
        <w:autoSpaceDN w:val="0"/>
        <w:adjustRightInd w:val="0"/>
        <w:snapToGrid w:val="0"/>
        <w:spacing w:after="0" w:line="360" w:lineRule="auto"/>
        <w:jc w:val="both"/>
        <w:rPr>
          <w:rFonts w:ascii="Book Antiqua" w:hAnsi="Book Antiqua" w:cs="Book Antiqua"/>
          <w:b/>
          <w:iCs/>
          <w:sz w:val="24"/>
          <w:szCs w:val="24"/>
          <w:lang w:eastAsia="zh-CN"/>
        </w:rPr>
      </w:pPr>
      <w:r w:rsidRPr="00B40E91">
        <w:rPr>
          <w:rFonts w:ascii="Book Antiqua" w:hAnsi="Book Antiqua"/>
          <w:sz w:val="24"/>
          <w:szCs w:val="24"/>
        </w:rPr>
        <w:t xml:space="preserve">The thiopurines azathioprine and 6-mercaptopurine have been a mainstay of </w:t>
      </w:r>
      <w:r w:rsidR="005A2E89" w:rsidRPr="005A2E89">
        <w:rPr>
          <w:rFonts w:ascii="Book Antiqua" w:hAnsi="Book Antiqua"/>
          <w:sz w:val="24"/>
          <w:szCs w:val="24"/>
        </w:rPr>
        <w:t>inflammatory bowel disease (IBD)</w:t>
      </w:r>
      <w:r w:rsidRPr="00B40E91">
        <w:rPr>
          <w:rFonts w:ascii="Book Antiqua" w:hAnsi="Book Antiqua"/>
          <w:sz w:val="24"/>
          <w:szCs w:val="24"/>
        </w:rPr>
        <w:t xml:space="preserve"> therapy for decades, but their mechanism of action </w:t>
      </w:r>
      <w:r w:rsidRPr="00B40E91">
        <w:rPr>
          <w:rFonts w:ascii="Book Antiqua" w:hAnsi="Book Antiqua"/>
          <w:i/>
          <w:sz w:val="24"/>
          <w:szCs w:val="24"/>
        </w:rPr>
        <w:t>in vivo</w:t>
      </w:r>
      <w:r w:rsidRPr="00B40E91">
        <w:rPr>
          <w:rFonts w:ascii="Book Antiqua" w:hAnsi="Book Antiqua"/>
          <w:sz w:val="24"/>
          <w:szCs w:val="24"/>
        </w:rPr>
        <w:t xml:space="preserve"> remains obscure.</w:t>
      </w:r>
      <w:r w:rsidR="00BC35BF">
        <w:rPr>
          <w:rFonts w:ascii="Book Antiqua" w:hAnsi="Book Antiqua"/>
          <w:sz w:val="24"/>
          <w:szCs w:val="24"/>
        </w:rPr>
        <w:t xml:space="preserve"> </w:t>
      </w:r>
      <w:r w:rsidRPr="00B40E91">
        <w:rPr>
          <w:rFonts w:ascii="Book Antiqua" w:hAnsi="Book Antiqua"/>
          <w:sz w:val="24"/>
          <w:szCs w:val="24"/>
        </w:rPr>
        <w:t xml:space="preserve">Although thiopurines are lymphotoxic at high doses, and have been reported to cause T cell apoptosis </w:t>
      </w:r>
      <w:r w:rsidR="00635B48" w:rsidRPr="00B40E91">
        <w:rPr>
          <w:rFonts w:ascii="Book Antiqua" w:hAnsi="Book Antiqua"/>
          <w:i/>
          <w:sz w:val="24"/>
          <w:szCs w:val="24"/>
        </w:rPr>
        <w:t>in vitro</w:t>
      </w:r>
      <w:r w:rsidRPr="00B40E91">
        <w:rPr>
          <w:rFonts w:ascii="Book Antiqua" w:hAnsi="Book Antiqua"/>
          <w:sz w:val="24"/>
          <w:szCs w:val="24"/>
        </w:rPr>
        <w:t>, their ability to control IBD at lower doses suggests that they may selectively deplete particular lymphocyte populations.</w:t>
      </w:r>
    </w:p>
    <w:p w14:paraId="7BEB83CB" w14:textId="77777777" w:rsidR="0036054C" w:rsidRPr="00B40E91" w:rsidRDefault="0036054C" w:rsidP="009F013B">
      <w:pPr>
        <w:autoSpaceDE w:val="0"/>
        <w:autoSpaceDN w:val="0"/>
        <w:adjustRightInd w:val="0"/>
        <w:snapToGrid w:val="0"/>
        <w:spacing w:after="0" w:line="360" w:lineRule="auto"/>
        <w:jc w:val="both"/>
        <w:rPr>
          <w:rFonts w:ascii="Book Antiqua" w:hAnsi="Book Antiqua" w:cs="Book Antiqua"/>
          <w:b/>
          <w:i/>
          <w:iCs/>
          <w:sz w:val="24"/>
          <w:szCs w:val="24"/>
        </w:rPr>
      </w:pPr>
    </w:p>
    <w:p w14:paraId="12126D7D" w14:textId="77777777" w:rsidR="00CF292F" w:rsidRDefault="0036054C" w:rsidP="009F013B">
      <w:pPr>
        <w:autoSpaceDE w:val="0"/>
        <w:autoSpaceDN w:val="0"/>
        <w:adjustRightInd w:val="0"/>
        <w:snapToGrid w:val="0"/>
        <w:spacing w:after="0" w:line="360" w:lineRule="auto"/>
        <w:jc w:val="both"/>
        <w:rPr>
          <w:rFonts w:ascii="Book Antiqua" w:hAnsi="Book Antiqua" w:cs="Book Antiqua"/>
          <w:b/>
          <w:i/>
          <w:iCs/>
          <w:sz w:val="24"/>
          <w:szCs w:val="24"/>
          <w:lang w:eastAsia="zh-CN"/>
        </w:rPr>
      </w:pPr>
      <w:r w:rsidRPr="00B40E91">
        <w:rPr>
          <w:rFonts w:ascii="Book Antiqua" w:hAnsi="Book Antiqua" w:cs="Book Antiqua"/>
          <w:b/>
          <w:i/>
          <w:iCs/>
          <w:sz w:val="24"/>
          <w:szCs w:val="24"/>
        </w:rPr>
        <w:t>Research frontiers</w:t>
      </w:r>
    </w:p>
    <w:p w14:paraId="152BF6F6" w14:textId="22508D5E" w:rsidR="0036054C" w:rsidRPr="00B40E91" w:rsidRDefault="0036054C" w:rsidP="009F013B">
      <w:pPr>
        <w:autoSpaceDE w:val="0"/>
        <w:autoSpaceDN w:val="0"/>
        <w:adjustRightInd w:val="0"/>
        <w:snapToGrid w:val="0"/>
        <w:spacing w:after="0" w:line="360" w:lineRule="auto"/>
        <w:jc w:val="both"/>
        <w:rPr>
          <w:rFonts w:ascii="Book Antiqua" w:hAnsi="Book Antiqua" w:cs="Book Antiqua"/>
          <w:b/>
          <w:iCs/>
          <w:sz w:val="24"/>
          <w:szCs w:val="24"/>
          <w:lang w:eastAsia="zh-CN"/>
        </w:rPr>
      </w:pPr>
      <w:r w:rsidRPr="00B40E91">
        <w:rPr>
          <w:rFonts w:ascii="Book Antiqua" w:hAnsi="Book Antiqua" w:cs="Book Antiqua"/>
          <w:iCs/>
          <w:sz w:val="24"/>
          <w:szCs w:val="24"/>
        </w:rPr>
        <w:t>Although long used for clinical benefit in IBD, the mechanism by which thiopurines suppress the immune system remains obscure.</w:t>
      </w:r>
      <w:r w:rsidR="00BC35BF">
        <w:rPr>
          <w:rFonts w:ascii="Book Antiqua" w:hAnsi="Book Antiqua" w:cs="Book Antiqua"/>
          <w:iCs/>
          <w:sz w:val="24"/>
          <w:szCs w:val="24"/>
        </w:rPr>
        <w:t xml:space="preserve"> </w:t>
      </w:r>
      <w:r w:rsidRPr="00B40E91">
        <w:rPr>
          <w:rFonts w:ascii="Book Antiqua" w:hAnsi="Book Antiqua" w:cs="Book Antiqua"/>
          <w:iCs/>
          <w:sz w:val="24"/>
          <w:szCs w:val="24"/>
        </w:rPr>
        <w:t xml:space="preserve">Understanding how such medications affect the human immune system </w:t>
      </w:r>
      <w:r w:rsidR="00635B48" w:rsidRPr="00B40E91">
        <w:rPr>
          <w:rFonts w:ascii="Book Antiqua" w:hAnsi="Book Antiqua" w:cs="Book Antiqua"/>
          <w:i/>
          <w:iCs/>
          <w:sz w:val="24"/>
          <w:szCs w:val="24"/>
        </w:rPr>
        <w:t>in vivo</w:t>
      </w:r>
      <w:r w:rsidRPr="00B40E91">
        <w:rPr>
          <w:rFonts w:ascii="Book Antiqua" w:hAnsi="Book Antiqua" w:cs="Book Antiqua"/>
          <w:iCs/>
          <w:sz w:val="24"/>
          <w:szCs w:val="24"/>
        </w:rPr>
        <w:t xml:space="preserve"> is critical for improving upon them and identifying meaningful biomarkers with which to tailor therapy.</w:t>
      </w:r>
    </w:p>
    <w:p w14:paraId="52AE0AB7" w14:textId="77777777" w:rsidR="0036054C" w:rsidRPr="00B40E91" w:rsidRDefault="0036054C" w:rsidP="009F013B">
      <w:pPr>
        <w:autoSpaceDE w:val="0"/>
        <w:autoSpaceDN w:val="0"/>
        <w:adjustRightInd w:val="0"/>
        <w:snapToGrid w:val="0"/>
        <w:spacing w:after="0" w:line="360" w:lineRule="auto"/>
        <w:jc w:val="both"/>
        <w:rPr>
          <w:rFonts w:ascii="Book Antiqua" w:hAnsi="Book Antiqua" w:cs="Book Antiqua"/>
          <w:b/>
          <w:sz w:val="24"/>
          <w:szCs w:val="24"/>
        </w:rPr>
      </w:pPr>
    </w:p>
    <w:p w14:paraId="6BEB0593" w14:textId="77777777" w:rsidR="00CF292F" w:rsidRDefault="0036054C" w:rsidP="009F013B">
      <w:pPr>
        <w:snapToGrid w:val="0"/>
        <w:spacing w:after="0" w:line="360" w:lineRule="auto"/>
        <w:jc w:val="both"/>
        <w:rPr>
          <w:rFonts w:ascii="Book Antiqua" w:hAnsi="Book Antiqua" w:cs="Book Antiqua"/>
          <w:b/>
          <w:i/>
          <w:iCs/>
          <w:sz w:val="24"/>
          <w:szCs w:val="24"/>
          <w:lang w:eastAsia="zh-CN"/>
        </w:rPr>
      </w:pPr>
      <w:r w:rsidRPr="00B40E91">
        <w:rPr>
          <w:rFonts w:ascii="Book Antiqua" w:hAnsi="Book Antiqua" w:cs="Book Antiqua"/>
          <w:b/>
          <w:i/>
          <w:iCs/>
          <w:sz w:val="24"/>
          <w:szCs w:val="24"/>
        </w:rPr>
        <w:t>Innovations and breakthrough</w:t>
      </w:r>
    </w:p>
    <w:p w14:paraId="79DDF607" w14:textId="352C3FE0" w:rsidR="0036054C" w:rsidRPr="00B40E91" w:rsidRDefault="0036054C" w:rsidP="009F013B">
      <w:pPr>
        <w:snapToGrid w:val="0"/>
        <w:spacing w:after="0" w:line="360" w:lineRule="auto"/>
        <w:jc w:val="both"/>
        <w:rPr>
          <w:rFonts w:ascii="Book Antiqua" w:hAnsi="Book Antiqua" w:cs="Book Antiqua"/>
          <w:iCs/>
          <w:sz w:val="24"/>
          <w:szCs w:val="24"/>
        </w:rPr>
      </w:pPr>
      <w:r w:rsidRPr="00B40E91">
        <w:rPr>
          <w:rFonts w:ascii="Book Antiqua" w:hAnsi="Book Antiqua" w:cs="Book Antiqua"/>
          <w:iCs/>
          <w:sz w:val="24"/>
          <w:szCs w:val="24"/>
        </w:rPr>
        <w:lastRenderedPageBreak/>
        <w:t xml:space="preserve">Historical </w:t>
      </w:r>
      <w:r w:rsidRPr="00B40E91">
        <w:rPr>
          <w:rFonts w:ascii="Book Antiqua" w:hAnsi="Book Antiqua" w:cs="Book Antiqua"/>
          <w:i/>
          <w:iCs/>
          <w:sz w:val="24"/>
          <w:szCs w:val="24"/>
        </w:rPr>
        <w:t>in vitro</w:t>
      </w:r>
      <w:r w:rsidRPr="00B40E91">
        <w:rPr>
          <w:rFonts w:ascii="Book Antiqua" w:hAnsi="Book Antiqua" w:cs="Book Antiqua"/>
          <w:iCs/>
          <w:sz w:val="24"/>
          <w:szCs w:val="24"/>
        </w:rPr>
        <w:t xml:space="preserve"> mechanistic studies have suggested thiopurines control inflammation through T cell apoptosis, thus causing lymphopenia.</w:t>
      </w:r>
      <w:r w:rsidR="00BC35BF">
        <w:rPr>
          <w:rFonts w:ascii="Book Antiqua" w:hAnsi="Book Antiqua" w:cs="Book Antiqua"/>
          <w:iCs/>
          <w:sz w:val="24"/>
          <w:szCs w:val="24"/>
        </w:rPr>
        <w:t xml:space="preserve"> </w:t>
      </w:r>
      <w:r w:rsidR="00CF292F">
        <w:rPr>
          <w:rFonts w:ascii="Book Antiqua" w:hAnsi="Book Antiqua" w:cs="Book Antiqua" w:hint="eastAsia"/>
          <w:iCs/>
          <w:sz w:val="24"/>
          <w:szCs w:val="24"/>
          <w:lang w:eastAsia="zh-CN"/>
        </w:rPr>
        <w:t>The authors</w:t>
      </w:r>
      <w:r w:rsidRPr="00B40E91">
        <w:rPr>
          <w:rFonts w:ascii="Book Antiqua" w:hAnsi="Book Antiqua" w:cs="Book Antiqua"/>
          <w:iCs/>
          <w:sz w:val="24"/>
          <w:szCs w:val="24"/>
        </w:rPr>
        <w:t xml:space="preserve"> tested this hypothesis </w:t>
      </w:r>
      <w:r w:rsidR="00635B48" w:rsidRPr="00B40E91">
        <w:rPr>
          <w:rFonts w:ascii="Book Antiqua" w:hAnsi="Book Antiqua" w:cs="Book Antiqua"/>
          <w:i/>
          <w:iCs/>
          <w:sz w:val="24"/>
          <w:szCs w:val="24"/>
        </w:rPr>
        <w:t>in vivo</w:t>
      </w:r>
      <w:r w:rsidRPr="00B40E91">
        <w:rPr>
          <w:rFonts w:ascii="Book Antiqua" w:hAnsi="Book Antiqua" w:cs="Book Antiqua"/>
          <w:iCs/>
          <w:sz w:val="24"/>
          <w:szCs w:val="24"/>
        </w:rPr>
        <w:t xml:space="preserve"> by correlating the frequency of major and minor lymphocyte populations with thiopurine use in IBD patients, and found that it was not T cell, but rather B and NK cell populations, that were decreased in thiopurine recipients.</w:t>
      </w:r>
      <w:r w:rsidR="00BC35BF">
        <w:rPr>
          <w:rFonts w:ascii="Book Antiqua" w:hAnsi="Book Antiqua" w:cs="Book Antiqua"/>
          <w:iCs/>
          <w:sz w:val="24"/>
          <w:szCs w:val="24"/>
        </w:rPr>
        <w:t xml:space="preserve"> </w:t>
      </w:r>
      <w:r w:rsidRPr="00B40E91">
        <w:rPr>
          <w:rFonts w:ascii="Book Antiqua" w:hAnsi="Book Antiqua" w:cs="Book Antiqua"/>
          <w:iCs/>
          <w:sz w:val="24"/>
          <w:szCs w:val="24"/>
        </w:rPr>
        <w:t>In particular, transitional B cells were all but eliminated in the blood of thiopurine recipients, a finding which was mirrored in the colon.</w:t>
      </w:r>
      <w:r w:rsidR="00BC35BF">
        <w:rPr>
          <w:rFonts w:ascii="Book Antiqua" w:hAnsi="Book Antiqua" w:cs="Book Antiqua"/>
          <w:iCs/>
          <w:sz w:val="24"/>
          <w:szCs w:val="24"/>
        </w:rPr>
        <w:t xml:space="preserve"> </w:t>
      </w:r>
    </w:p>
    <w:p w14:paraId="53346BCB" w14:textId="77777777" w:rsidR="0036054C" w:rsidRPr="00B40E91" w:rsidRDefault="0036054C" w:rsidP="009F013B">
      <w:pPr>
        <w:snapToGrid w:val="0"/>
        <w:spacing w:after="0" w:line="360" w:lineRule="auto"/>
        <w:jc w:val="both"/>
        <w:rPr>
          <w:rFonts w:ascii="Book Antiqua" w:hAnsi="Book Antiqua" w:cs="Book Antiqua"/>
          <w:b/>
          <w:sz w:val="24"/>
          <w:szCs w:val="24"/>
        </w:rPr>
      </w:pPr>
    </w:p>
    <w:p w14:paraId="1F19AE35" w14:textId="77777777" w:rsidR="005A2E89" w:rsidRDefault="0036054C" w:rsidP="009F013B">
      <w:pPr>
        <w:snapToGrid w:val="0"/>
        <w:spacing w:after="0" w:line="360" w:lineRule="auto"/>
        <w:jc w:val="both"/>
        <w:rPr>
          <w:rFonts w:ascii="Book Antiqua" w:hAnsi="Book Antiqua" w:cs="Book Antiqua"/>
          <w:b/>
          <w:i/>
          <w:iCs/>
          <w:sz w:val="24"/>
          <w:szCs w:val="24"/>
          <w:lang w:eastAsia="zh-CN"/>
        </w:rPr>
      </w:pPr>
      <w:r w:rsidRPr="00B40E91">
        <w:rPr>
          <w:rFonts w:ascii="Book Antiqua" w:hAnsi="Book Antiqua" w:cs="Book Antiqua"/>
          <w:b/>
          <w:i/>
          <w:iCs/>
          <w:sz w:val="24"/>
          <w:szCs w:val="24"/>
        </w:rPr>
        <w:t>Applications</w:t>
      </w:r>
    </w:p>
    <w:p w14:paraId="1D183153" w14:textId="3C04E27D" w:rsidR="0036054C" w:rsidRPr="00B40E91" w:rsidRDefault="0036054C" w:rsidP="009F013B">
      <w:pPr>
        <w:snapToGrid w:val="0"/>
        <w:spacing w:after="0" w:line="360" w:lineRule="auto"/>
        <w:jc w:val="both"/>
        <w:rPr>
          <w:rFonts w:ascii="Book Antiqua" w:hAnsi="Book Antiqua" w:cs="Book Antiqua"/>
          <w:iCs/>
          <w:sz w:val="24"/>
          <w:szCs w:val="24"/>
          <w:lang w:eastAsia="zh-CN"/>
        </w:rPr>
      </w:pPr>
      <w:r w:rsidRPr="00B40E91">
        <w:rPr>
          <w:rFonts w:ascii="Book Antiqua" w:hAnsi="Book Antiqua" w:cs="Book Antiqua"/>
          <w:iCs/>
          <w:sz w:val="24"/>
          <w:szCs w:val="24"/>
        </w:rPr>
        <w:t>In addition to their role as a primary therapy for IBD, thiopurines have become widely used to suppress the development of antibodies to biopharmaceuticals, which are made by B cell progeny.</w:t>
      </w:r>
      <w:r w:rsidR="00BC35BF">
        <w:rPr>
          <w:rFonts w:ascii="Book Antiqua" w:hAnsi="Book Antiqua" w:cs="Book Antiqua"/>
          <w:iCs/>
          <w:sz w:val="24"/>
          <w:szCs w:val="24"/>
        </w:rPr>
        <w:t xml:space="preserve"> </w:t>
      </w:r>
      <w:r w:rsidRPr="00B40E91">
        <w:rPr>
          <w:rFonts w:ascii="Book Antiqua" w:hAnsi="Book Antiqua" w:cs="Book Antiqua"/>
          <w:iCs/>
          <w:sz w:val="24"/>
          <w:szCs w:val="24"/>
        </w:rPr>
        <w:t>Additionally, thiopurine use has been associated with an increased incidence of neoplasia, particularly from virally mediated tumors such as HSV-associated cervical cancer and EBV-associated lymphoma, against which NK cells perform immune surveillance.</w:t>
      </w:r>
      <w:r w:rsidR="00BC35BF">
        <w:rPr>
          <w:rFonts w:ascii="Book Antiqua" w:hAnsi="Book Antiqua" w:cs="Book Antiqua"/>
          <w:iCs/>
          <w:sz w:val="24"/>
          <w:szCs w:val="24"/>
        </w:rPr>
        <w:t xml:space="preserve"> </w:t>
      </w:r>
      <w:r w:rsidRPr="00B40E91">
        <w:rPr>
          <w:rFonts w:ascii="Book Antiqua" w:hAnsi="Book Antiqua" w:cs="Book Antiqua"/>
          <w:iCs/>
          <w:sz w:val="24"/>
          <w:szCs w:val="24"/>
        </w:rPr>
        <w:t xml:space="preserve">Thus, by finding selective decreases in B and NK cells associated with thiopurine use, </w:t>
      </w:r>
      <w:r w:rsidR="005A2E89">
        <w:rPr>
          <w:rFonts w:ascii="Book Antiqua" w:hAnsi="Book Antiqua" w:cs="Book Antiqua" w:hint="eastAsia"/>
          <w:iCs/>
          <w:sz w:val="24"/>
          <w:szCs w:val="24"/>
          <w:lang w:eastAsia="zh-CN"/>
        </w:rPr>
        <w:t>they</w:t>
      </w:r>
      <w:r w:rsidRPr="00B40E91">
        <w:rPr>
          <w:rFonts w:ascii="Book Antiqua" w:hAnsi="Book Antiqua" w:cs="Book Antiqua"/>
          <w:iCs/>
          <w:sz w:val="24"/>
          <w:szCs w:val="24"/>
        </w:rPr>
        <w:t xml:space="preserve"> provide potential mechanistic evidence of how each of these clinical events occur.</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7576C4B7" w14:textId="77777777" w:rsidR="0036054C" w:rsidRPr="00A70D42" w:rsidRDefault="0036054C" w:rsidP="009F013B">
      <w:pPr>
        <w:snapToGrid w:val="0"/>
        <w:spacing w:after="0" w:line="360" w:lineRule="auto"/>
        <w:jc w:val="both"/>
        <w:rPr>
          <w:rFonts w:ascii="Book Antiqua" w:hAnsi="Book Antiqua" w:cs="Times New Roman"/>
          <w:sz w:val="24"/>
          <w:szCs w:val="24"/>
          <w:lang w:eastAsia="zh-CN"/>
        </w:rPr>
      </w:pPr>
    </w:p>
    <w:p w14:paraId="68658FBF" w14:textId="2A95702D" w:rsidR="0036054C" w:rsidRDefault="005A2E89" w:rsidP="009F013B">
      <w:pPr>
        <w:snapToGrid w:val="0"/>
        <w:spacing w:after="0" w:line="360" w:lineRule="auto"/>
        <w:jc w:val="both"/>
        <w:rPr>
          <w:rFonts w:ascii="Book Antiqua" w:hAnsi="Book Antiqua"/>
          <w:b/>
          <w:i/>
          <w:iCs/>
          <w:sz w:val="24"/>
          <w:szCs w:val="24"/>
          <w:lang w:eastAsia="zh-CN"/>
        </w:rPr>
      </w:pPr>
      <w:r w:rsidRPr="005A2E89">
        <w:rPr>
          <w:rFonts w:ascii="Book Antiqua" w:hAnsi="Book Antiqua"/>
          <w:b/>
          <w:i/>
          <w:iCs/>
          <w:sz w:val="24"/>
          <w:szCs w:val="24"/>
        </w:rPr>
        <w:t>Peer-review</w:t>
      </w:r>
    </w:p>
    <w:p w14:paraId="2CDB4A35" w14:textId="43A10255" w:rsidR="005A2E89" w:rsidRPr="00B40E91" w:rsidRDefault="005F7808" w:rsidP="009F013B">
      <w:pPr>
        <w:snapToGrid w:val="0"/>
        <w:spacing w:after="0" w:line="360" w:lineRule="auto"/>
        <w:jc w:val="both"/>
        <w:rPr>
          <w:rFonts w:ascii="Book Antiqua" w:hAnsi="Book Antiqua"/>
          <w:sz w:val="24"/>
          <w:szCs w:val="24"/>
          <w:lang w:eastAsia="zh-CN"/>
        </w:rPr>
      </w:pPr>
      <w:r w:rsidRPr="005F7808">
        <w:rPr>
          <w:rFonts w:ascii="Book Antiqua" w:hAnsi="Book Antiqua"/>
          <w:sz w:val="24"/>
          <w:szCs w:val="24"/>
          <w:lang w:eastAsia="zh-CN"/>
        </w:rPr>
        <w:t>In this study authors aimed to determine if and how thiopurine use is associated with depletion of specific lymphocyte populations. Authors demonstrated that a relative lymphopenia associated with thiopurine use is attributable to decreased NK and B cells, rather than T cell depletion.  This is a good study and it gives us a</w:t>
      </w:r>
      <w:r>
        <w:rPr>
          <w:rFonts w:ascii="Book Antiqua" w:hAnsi="Book Antiqua" w:hint="eastAsia"/>
          <w:sz w:val="24"/>
          <w:szCs w:val="24"/>
          <w:lang w:eastAsia="zh-CN"/>
        </w:rPr>
        <w:t xml:space="preserve"> </w:t>
      </w:r>
      <w:r w:rsidRPr="005F7808">
        <w:rPr>
          <w:rFonts w:ascii="Book Antiqua" w:hAnsi="Book Antiqua"/>
          <w:sz w:val="24"/>
          <w:szCs w:val="24"/>
          <w:lang w:eastAsia="zh-CN"/>
        </w:rPr>
        <w:t>well information in terms of thiopurine mechanism.</w:t>
      </w:r>
    </w:p>
    <w:bookmarkEnd w:id="121"/>
    <w:p w14:paraId="1B48888D" w14:textId="77777777"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sz w:val="24"/>
          <w:szCs w:val="24"/>
        </w:rPr>
        <w:br w:type="page"/>
      </w:r>
    </w:p>
    <w:p w14:paraId="48AB4DDB" w14:textId="1B2AB381" w:rsidR="0036054C" w:rsidRPr="009F013B" w:rsidRDefault="0036054C" w:rsidP="009F013B">
      <w:pPr>
        <w:snapToGrid w:val="0"/>
        <w:spacing w:after="0" w:line="360" w:lineRule="auto"/>
        <w:jc w:val="both"/>
        <w:rPr>
          <w:rFonts w:ascii="Book Antiqua" w:hAnsi="Book Antiqua"/>
          <w:b/>
          <w:caps/>
          <w:noProof/>
          <w:sz w:val="24"/>
          <w:szCs w:val="24"/>
        </w:rPr>
      </w:pPr>
      <w:r w:rsidRPr="009F013B">
        <w:rPr>
          <w:rFonts w:ascii="Book Antiqua" w:hAnsi="Book Antiqua"/>
          <w:b/>
          <w:caps/>
          <w:sz w:val="24"/>
          <w:szCs w:val="24"/>
        </w:rPr>
        <w:lastRenderedPageBreak/>
        <w:fldChar w:fldCharType="begin"/>
      </w:r>
      <w:r w:rsidRPr="009F013B">
        <w:rPr>
          <w:rFonts w:ascii="Book Antiqua" w:hAnsi="Book Antiqua"/>
          <w:b/>
          <w:caps/>
          <w:sz w:val="24"/>
          <w:szCs w:val="24"/>
        </w:rPr>
        <w:instrText xml:space="preserve"> ADDIN REFMGR.REFLIST </w:instrText>
      </w:r>
      <w:r w:rsidRPr="009F013B">
        <w:rPr>
          <w:rFonts w:ascii="Book Antiqua" w:hAnsi="Book Antiqua"/>
          <w:b/>
          <w:caps/>
          <w:sz w:val="24"/>
          <w:szCs w:val="24"/>
        </w:rPr>
        <w:fldChar w:fldCharType="separate"/>
      </w:r>
      <w:r w:rsidRPr="009F013B">
        <w:rPr>
          <w:rFonts w:ascii="Book Antiqua" w:hAnsi="Book Antiqua"/>
          <w:b/>
          <w:caps/>
          <w:noProof/>
          <w:sz w:val="24"/>
          <w:szCs w:val="24"/>
        </w:rPr>
        <w:t>Reference</w:t>
      </w:r>
      <w:r w:rsidR="009F013B" w:rsidRPr="009F013B">
        <w:rPr>
          <w:rFonts w:ascii="Book Antiqua" w:hAnsi="Book Antiqua"/>
          <w:b/>
          <w:caps/>
          <w:noProof/>
          <w:sz w:val="24"/>
          <w:szCs w:val="24"/>
        </w:rPr>
        <w:t>s</w:t>
      </w:r>
    </w:p>
    <w:p w14:paraId="66707D92" w14:textId="77777777" w:rsidR="009F013B" w:rsidRPr="009F013B" w:rsidRDefault="0036054C" w:rsidP="009F013B">
      <w:pPr>
        <w:snapToGrid w:val="0"/>
        <w:spacing w:after="0" w:line="360" w:lineRule="auto"/>
        <w:rPr>
          <w:rFonts w:ascii="Book Antiqua" w:eastAsia="SimSun" w:hAnsi="Book Antiqua" w:cs="SimSun"/>
          <w:color w:val="000000"/>
          <w:sz w:val="24"/>
          <w:szCs w:val="24"/>
          <w:lang w:eastAsia="zh-CN"/>
        </w:rPr>
      </w:pPr>
      <w:r w:rsidRPr="009F013B">
        <w:rPr>
          <w:rFonts w:ascii="Book Antiqua" w:hAnsi="Book Antiqua"/>
          <w:b/>
          <w:caps/>
          <w:sz w:val="24"/>
          <w:szCs w:val="24"/>
        </w:rPr>
        <w:fldChar w:fldCharType="end"/>
      </w:r>
      <w:bookmarkStart w:id="138" w:name="_ENREF_1"/>
      <w:r w:rsidR="009F013B" w:rsidRPr="009F013B">
        <w:rPr>
          <w:rFonts w:ascii="Book Antiqua" w:eastAsia="SimSun" w:hAnsi="Book Antiqua" w:cs="SimSun"/>
          <w:color w:val="000000"/>
          <w:sz w:val="24"/>
          <w:szCs w:val="24"/>
          <w:lang w:eastAsia="zh-CN"/>
        </w:rPr>
        <w:t>1 </w:t>
      </w:r>
      <w:r w:rsidR="009F013B" w:rsidRPr="009F013B">
        <w:rPr>
          <w:rFonts w:ascii="Book Antiqua" w:eastAsia="SimSun" w:hAnsi="Book Antiqua" w:cs="SimSun"/>
          <w:b/>
          <w:bCs/>
          <w:color w:val="000000"/>
          <w:sz w:val="24"/>
          <w:szCs w:val="24"/>
          <w:lang w:eastAsia="zh-CN"/>
        </w:rPr>
        <w:t>Brooke BN</w:t>
      </w:r>
      <w:r w:rsidR="009F013B" w:rsidRPr="009F013B">
        <w:rPr>
          <w:rFonts w:ascii="Book Antiqua" w:eastAsia="SimSun" w:hAnsi="Book Antiqua" w:cs="SimSun"/>
          <w:color w:val="000000"/>
          <w:sz w:val="24"/>
          <w:szCs w:val="24"/>
          <w:lang w:eastAsia="zh-CN"/>
        </w:rPr>
        <w:t xml:space="preserve">, Hoffmann DC, Swarbrick ET. Azathioprine for Crohn's disease. </w:t>
      </w:r>
      <w:r w:rsidR="009F013B" w:rsidRPr="009F013B">
        <w:rPr>
          <w:rFonts w:ascii="Book Antiqua" w:eastAsia="SimSun" w:hAnsi="Book Antiqua" w:cs="SimSun"/>
          <w:i/>
          <w:iCs/>
          <w:color w:val="000000"/>
          <w:sz w:val="24"/>
          <w:szCs w:val="24"/>
          <w:lang w:eastAsia="zh-CN"/>
        </w:rPr>
        <w:t>Lancet</w:t>
      </w:r>
      <w:r w:rsidR="009F013B" w:rsidRPr="009F013B">
        <w:rPr>
          <w:rFonts w:ascii="Book Antiqua" w:eastAsia="SimSun" w:hAnsi="Book Antiqua" w:cs="SimSun"/>
          <w:color w:val="000000"/>
          <w:sz w:val="24"/>
          <w:szCs w:val="24"/>
          <w:lang w:eastAsia="zh-CN"/>
        </w:rPr>
        <w:t xml:space="preserve"> 1969; </w:t>
      </w:r>
      <w:r w:rsidR="009F013B" w:rsidRPr="009F013B">
        <w:rPr>
          <w:rFonts w:ascii="Book Antiqua" w:eastAsia="SimSun" w:hAnsi="Book Antiqua" w:cs="SimSun"/>
          <w:b/>
          <w:bCs/>
          <w:color w:val="000000"/>
          <w:sz w:val="24"/>
          <w:szCs w:val="24"/>
          <w:lang w:eastAsia="zh-CN"/>
        </w:rPr>
        <w:t>2</w:t>
      </w:r>
      <w:r w:rsidR="009F013B" w:rsidRPr="009F013B">
        <w:rPr>
          <w:rFonts w:ascii="Book Antiqua" w:eastAsia="SimSun" w:hAnsi="Book Antiqua" w:cs="SimSun"/>
          <w:color w:val="000000"/>
          <w:sz w:val="24"/>
          <w:szCs w:val="24"/>
          <w:lang w:eastAsia="zh-CN"/>
        </w:rPr>
        <w:t>: 612-614 [PMID: 4185592 DOI: 10.1016/S0140-6736(69)90325-0]</w:t>
      </w:r>
    </w:p>
    <w:p w14:paraId="048E4048"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2 </w:t>
      </w:r>
      <w:r w:rsidRPr="009F013B">
        <w:rPr>
          <w:rFonts w:ascii="Book Antiqua" w:eastAsia="SimSun" w:hAnsi="Book Antiqua" w:cs="SimSun"/>
          <w:b/>
          <w:bCs/>
          <w:color w:val="000000"/>
          <w:sz w:val="24"/>
          <w:szCs w:val="24"/>
          <w:lang w:eastAsia="zh-CN"/>
        </w:rPr>
        <w:t>Prefontaine E</w:t>
      </w:r>
      <w:r w:rsidRPr="009F013B">
        <w:rPr>
          <w:rFonts w:ascii="Book Antiqua" w:eastAsia="SimSun" w:hAnsi="Book Antiqua" w:cs="SimSun"/>
          <w:color w:val="000000"/>
          <w:sz w:val="24"/>
          <w:szCs w:val="24"/>
          <w:lang w:eastAsia="zh-CN"/>
        </w:rPr>
        <w:t>, Sutherland LR, Macdonald JK, Cepoiu M. Azathioprine or 6-mercaptopurine for maintenance of remission in Crohn's disease. </w:t>
      </w:r>
      <w:r w:rsidRPr="009F013B">
        <w:rPr>
          <w:rFonts w:ascii="Book Antiqua" w:eastAsia="SimSun" w:hAnsi="Book Antiqua" w:cs="SimSun"/>
          <w:i/>
          <w:iCs/>
          <w:color w:val="000000"/>
          <w:sz w:val="24"/>
          <w:szCs w:val="24"/>
          <w:lang w:eastAsia="zh-CN"/>
        </w:rPr>
        <w:t>Cochrane Database Syst Rev</w:t>
      </w:r>
      <w:r w:rsidRPr="009F013B">
        <w:rPr>
          <w:rFonts w:ascii="Book Antiqua" w:eastAsia="SimSun" w:hAnsi="Book Antiqua" w:cs="SimSun"/>
          <w:color w:val="000000"/>
          <w:sz w:val="24"/>
          <w:szCs w:val="24"/>
          <w:lang w:eastAsia="zh-CN"/>
        </w:rPr>
        <w:t> 2009; : CD000067 [PMID: 19160175 DOI: 10.1002/14651858.CD000067.pub2]</w:t>
      </w:r>
    </w:p>
    <w:p w14:paraId="6044AF65"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3 </w:t>
      </w:r>
      <w:r w:rsidRPr="009F013B">
        <w:rPr>
          <w:rFonts w:ascii="Book Antiqua" w:eastAsia="SimSun" w:hAnsi="Book Antiqua" w:cs="SimSun"/>
          <w:b/>
          <w:bCs/>
          <w:color w:val="000000"/>
          <w:sz w:val="24"/>
          <w:szCs w:val="24"/>
          <w:lang w:eastAsia="zh-CN"/>
        </w:rPr>
        <w:t>Timmer A</w:t>
      </w:r>
      <w:r w:rsidRPr="009F013B">
        <w:rPr>
          <w:rFonts w:ascii="Book Antiqua" w:eastAsia="SimSun" w:hAnsi="Book Antiqua" w:cs="SimSun"/>
          <w:color w:val="000000"/>
          <w:sz w:val="24"/>
          <w:szCs w:val="24"/>
          <w:lang w:eastAsia="zh-CN"/>
        </w:rPr>
        <w:t>, McDonald JW, Tsoulis DJ, Macdonald JK. Azathioprine and 6-mercaptopurine for maintenance of remission in ulcerative colitis. </w:t>
      </w:r>
      <w:r w:rsidRPr="009F013B">
        <w:rPr>
          <w:rFonts w:ascii="Book Antiqua" w:eastAsia="SimSun" w:hAnsi="Book Antiqua" w:cs="SimSun"/>
          <w:i/>
          <w:iCs/>
          <w:color w:val="000000"/>
          <w:sz w:val="24"/>
          <w:szCs w:val="24"/>
          <w:lang w:eastAsia="zh-CN"/>
        </w:rPr>
        <w:t>Cochrane Database Syst Rev</w:t>
      </w:r>
      <w:r w:rsidRPr="009F013B">
        <w:rPr>
          <w:rFonts w:ascii="Book Antiqua" w:eastAsia="SimSun" w:hAnsi="Book Antiqua" w:cs="SimSun"/>
          <w:color w:val="000000"/>
          <w:sz w:val="24"/>
          <w:szCs w:val="24"/>
          <w:lang w:eastAsia="zh-CN"/>
        </w:rPr>
        <w:t> 2012; </w:t>
      </w:r>
      <w:r w:rsidRPr="009F013B">
        <w:rPr>
          <w:rFonts w:ascii="Book Antiqua" w:eastAsia="SimSun" w:hAnsi="Book Antiqua" w:cs="SimSun"/>
          <w:b/>
          <w:color w:val="000000"/>
          <w:sz w:val="24"/>
          <w:szCs w:val="24"/>
          <w:lang w:eastAsia="zh-CN"/>
        </w:rPr>
        <w:t>(9)</w:t>
      </w:r>
      <w:r w:rsidRPr="009F013B">
        <w:rPr>
          <w:rFonts w:ascii="Book Antiqua" w:eastAsia="SimSun" w:hAnsi="Book Antiqua" w:cs="SimSun"/>
          <w:color w:val="000000"/>
          <w:sz w:val="24"/>
          <w:szCs w:val="24"/>
          <w:lang w:eastAsia="zh-CN"/>
        </w:rPr>
        <w:t>: CD000478 [PMID: 22972046 DOI: 10.1002/14651858.CD000478.pub3]</w:t>
      </w:r>
    </w:p>
    <w:p w14:paraId="46099A18"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4 </w:t>
      </w:r>
      <w:r w:rsidRPr="009F013B">
        <w:rPr>
          <w:rFonts w:ascii="Book Antiqua" w:eastAsia="SimSun" w:hAnsi="Book Antiqua" w:cs="SimSun"/>
          <w:b/>
          <w:bCs/>
          <w:color w:val="000000"/>
          <w:sz w:val="24"/>
          <w:szCs w:val="24"/>
          <w:lang w:eastAsia="zh-CN"/>
        </w:rPr>
        <w:t>Colombel JF</w:t>
      </w:r>
      <w:r w:rsidRPr="009F013B">
        <w:rPr>
          <w:rFonts w:ascii="Book Antiqua" w:eastAsia="SimSun" w:hAnsi="Book Antiqua" w:cs="SimSun"/>
          <w:color w:val="000000"/>
          <w:sz w:val="24"/>
          <w:szCs w:val="24"/>
          <w:lang w:eastAsia="zh-CN"/>
        </w:rPr>
        <w:t>, Sandborn WJ, Reinisch W, Mantzaris GJ, Kornbluth A, Rachmilewitz D, Lichtiger S, D'Haens G, Diamond RH, Broussard DL, Tang KL, van der Woude CJ, Rutgeerts P; SONIC Study Group. Infliximab, azathioprine, or combination therapy for Crohn's disease. </w:t>
      </w:r>
      <w:r w:rsidRPr="009F013B">
        <w:rPr>
          <w:rFonts w:ascii="Book Antiqua" w:eastAsia="SimSun" w:hAnsi="Book Antiqua" w:cs="SimSun"/>
          <w:i/>
          <w:iCs/>
          <w:color w:val="000000"/>
          <w:sz w:val="24"/>
          <w:szCs w:val="24"/>
          <w:lang w:eastAsia="zh-CN"/>
        </w:rPr>
        <w:t>N Engl J Med</w:t>
      </w:r>
      <w:r w:rsidRPr="009F013B">
        <w:rPr>
          <w:rFonts w:ascii="Book Antiqua" w:eastAsia="SimSun" w:hAnsi="Book Antiqua" w:cs="SimSun"/>
          <w:color w:val="000000"/>
          <w:sz w:val="24"/>
          <w:szCs w:val="24"/>
          <w:lang w:eastAsia="zh-CN"/>
        </w:rPr>
        <w:t> 2010; </w:t>
      </w:r>
      <w:r w:rsidRPr="009F013B">
        <w:rPr>
          <w:rFonts w:ascii="Book Antiqua" w:eastAsia="SimSun" w:hAnsi="Book Antiqua" w:cs="SimSun"/>
          <w:b/>
          <w:bCs/>
          <w:color w:val="000000"/>
          <w:sz w:val="24"/>
          <w:szCs w:val="24"/>
          <w:lang w:eastAsia="zh-CN"/>
        </w:rPr>
        <w:t>362</w:t>
      </w:r>
      <w:r w:rsidRPr="009F013B">
        <w:rPr>
          <w:rFonts w:ascii="Book Antiqua" w:eastAsia="SimSun" w:hAnsi="Book Antiqua" w:cs="SimSun"/>
          <w:color w:val="000000"/>
          <w:sz w:val="24"/>
          <w:szCs w:val="24"/>
          <w:lang w:eastAsia="zh-CN"/>
        </w:rPr>
        <w:t>: 1383-1395 [PMID: 20393175 DOI: 10.1056/NEJMoa0904492]</w:t>
      </w:r>
    </w:p>
    <w:p w14:paraId="796973D7" w14:textId="36C62F68"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5 </w:t>
      </w:r>
      <w:r w:rsidRPr="009F013B">
        <w:rPr>
          <w:rFonts w:ascii="Book Antiqua" w:eastAsia="SimSun" w:hAnsi="Book Antiqua" w:cs="SimSun"/>
          <w:b/>
          <w:bCs/>
          <w:color w:val="000000"/>
          <w:sz w:val="24"/>
          <w:szCs w:val="24"/>
          <w:lang w:eastAsia="zh-CN"/>
        </w:rPr>
        <w:t>Panaccione R</w:t>
      </w:r>
      <w:r w:rsidRPr="009F013B">
        <w:rPr>
          <w:rFonts w:ascii="Book Antiqua" w:eastAsia="SimSun" w:hAnsi="Book Antiqua" w:cs="SimSun"/>
          <w:color w:val="000000"/>
          <w:sz w:val="24"/>
          <w:szCs w:val="24"/>
          <w:lang w:eastAsia="zh-CN"/>
        </w:rPr>
        <w:t>, Ghosh S, Middleton S, Márquez JR, Scott BB, Flint L, van Hoogstraten HJ, Chen AC, Zheng H, Danese S, Rutgeerts P. Combination therapy with infliximab and azathioprine is superior to monotherapy with either agent in ulcerative colitis.</w:t>
      </w:r>
      <w:r>
        <w:rPr>
          <w:rFonts w:ascii="Book Antiqua" w:eastAsia="SimSun" w:hAnsi="Book Antiqua" w:cs="SimSun"/>
          <w:color w:val="000000"/>
          <w:sz w:val="24"/>
          <w:szCs w:val="24"/>
          <w:lang w:eastAsia="zh-CN"/>
        </w:rPr>
        <w:t xml:space="preserve"> </w:t>
      </w:r>
      <w:r w:rsidRPr="009F013B">
        <w:rPr>
          <w:rFonts w:ascii="Book Antiqua" w:eastAsia="SimSun" w:hAnsi="Book Antiqua" w:cs="SimSun"/>
          <w:i/>
          <w:iCs/>
          <w:color w:val="000000"/>
          <w:sz w:val="24"/>
          <w:szCs w:val="24"/>
          <w:lang w:eastAsia="zh-CN"/>
        </w:rPr>
        <w:t>Gastroenterology</w:t>
      </w:r>
      <w:r>
        <w:rPr>
          <w:rFonts w:ascii="Book Antiqua" w:eastAsia="SimSun" w:hAnsi="Book Antiqua" w:cs="SimSun"/>
          <w:color w:val="000000"/>
          <w:sz w:val="24"/>
          <w:szCs w:val="24"/>
          <w:lang w:eastAsia="zh-CN"/>
        </w:rPr>
        <w:t xml:space="preserve"> </w:t>
      </w:r>
      <w:r w:rsidRPr="009F013B">
        <w:rPr>
          <w:rFonts w:ascii="Book Antiqua" w:eastAsia="SimSun" w:hAnsi="Book Antiqua" w:cs="SimSun"/>
          <w:color w:val="000000"/>
          <w:sz w:val="24"/>
          <w:szCs w:val="24"/>
          <w:lang w:eastAsia="zh-CN"/>
        </w:rPr>
        <w:t>2014; </w:t>
      </w:r>
      <w:r w:rsidRPr="009F013B">
        <w:rPr>
          <w:rFonts w:ascii="Book Antiqua" w:eastAsia="SimSun" w:hAnsi="Book Antiqua" w:cs="SimSun"/>
          <w:b/>
          <w:bCs/>
          <w:color w:val="000000"/>
          <w:sz w:val="24"/>
          <w:szCs w:val="24"/>
          <w:lang w:eastAsia="zh-CN"/>
        </w:rPr>
        <w:t>146</w:t>
      </w:r>
      <w:r w:rsidRPr="009F013B">
        <w:rPr>
          <w:rFonts w:ascii="Book Antiqua" w:eastAsia="SimSun" w:hAnsi="Book Antiqua" w:cs="SimSun"/>
          <w:color w:val="000000"/>
          <w:sz w:val="24"/>
          <w:szCs w:val="24"/>
          <w:lang w:eastAsia="zh-CN"/>
        </w:rPr>
        <w:t>: 392-400.e3 [PMID: 24512909 DOI: 10.1053/j.gastro.2013.10.052]</w:t>
      </w:r>
    </w:p>
    <w:p w14:paraId="5D8DF93D"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6 </w:t>
      </w:r>
      <w:r w:rsidRPr="009F013B">
        <w:rPr>
          <w:rFonts w:ascii="Book Antiqua" w:eastAsia="SimSun" w:hAnsi="Book Antiqua" w:cs="SimSun"/>
          <w:b/>
          <w:bCs/>
          <w:color w:val="000000"/>
          <w:sz w:val="24"/>
          <w:szCs w:val="24"/>
          <w:lang w:eastAsia="zh-CN"/>
        </w:rPr>
        <w:t>Pearson DC</w:t>
      </w:r>
      <w:r w:rsidRPr="009F013B">
        <w:rPr>
          <w:rFonts w:ascii="Book Antiqua" w:eastAsia="SimSun" w:hAnsi="Book Antiqua" w:cs="SimSun"/>
          <w:color w:val="000000"/>
          <w:sz w:val="24"/>
          <w:szCs w:val="24"/>
          <w:lang w:eastAsia="zh-CN"/>
        </w:rPr>
        <w:t>, May GR, Fick GH, Sutherland LR. Azathioprine and 6-mercaptopurine in Crohn disease. A meta-analysis. </w:t>
      </w:r>
      <w:r w:rsidRPr="009F013B">
        <w:rPr>
          <w:rFonts w:ascii="Book Antiqua" w:eastAsia="SimSun" w:hAnsi="Book Antiqua" w:cs="SimSun"/>
          <w:i/>
          <w:iCs/>
          <w:color w:val="000000"/>
          <w:sz w:val="24"/>
          <w:szCs w:val="24"/>
          <w:lang w:eastAsia="zh-CN"/>
        </w:rPr>
        <w:t>Ann Intern Med</w:t>
      </w:r>
      <w:r w:rsidRPr="009F013B">
        <w:rPr>
          <w:rFonts w:ascii="Book Antiqua" w:eastAsia="SimSun" w:hAnsi="Book Antiqua" w:cs="SimSun"/>
          <w:color w:val="000000"/>
          <w:sz w:val="24"/>
          <w:szCs w:val="24"/>
          <w:lang w:eastAsia="zh-CN"/>
        </w:rPr>
        <w:t xml:space="preserve"> 1995; </w:t>
      </w:r>
      <w:r w:rsidRPr="009F013B">
        <w:rPr>
          <w:rFonts w:ascii="Book Antiqua" w:eastAsia="SimSun" w:hAnsi="Book Antiqua" w:cs="SimSun"/>
          <w:b/>
          <w:bCs/>
          <w:color w:val="000000"/>
          <w:sz w:val="24"/>
          <w:szCs w:val="24"/>
          <w:lang w:eastAsia="zh-CN"/>
        </w:rPr>
        <w:t>123</w:t>
      </w:r>
      <w:r w:rsidRPr="009F013B">
        <w:rPr>
          <w:rFonts w:ascii="Book Antiqua" w:eastAsia="SimSun" w:hAnsi="Book Antiqua" w:cs="SimSun"/>
          <w:color w:val="000000"/>
          <w:sz w:val="24"/>
          <w:szCs w:val="24"/>
          <w:lang w:eastAsia="zh-CN"/>
        </w:rPr>
        <w:t>: 132-142 [PMID: 7778826 DOI: 10.7326/0003-4819-123-2-199507150-00009]</w:t>
      </w:r>
    </w:p>
    <w:p w14:paraId="2A9F75FF"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7 </w:t>
      </w:r>
      <w:r w:rsidRPr="009F013B">
        <w:rPr>
          <w:rFonts w:ascii="Book Antiqua" w:eastAsia="SimSun" w:hAnsi="Book Antiqua" w:cs="SimSun"/>
          <w:b/>
          <w:bCs/>
          <w:color w:val="000000"/>
          <w:sz w:val="24"/>
          <w:szCs w:val="24"/>
          <w:lang w:eastAsia="zh-CN"/>
        </w:rPr>
        <w:t>de Boer NK</w:t>
      </w:r>
      <w:r w:rsidRPr="009F013B">
        <w:rPr>
          <w:rFonts w:ascii="Book Antiqua" w:eastAsia="SimSun" w:hAnsi="Book Antiqua" w:cs="SimSun"/>
          <w:color w:val="000000"/>
          <w:sz w:val="24"/>
          <w:szCs w:val="24"/>
          <w:lang w:eastAsia="zh-CN"/>
        </w:rPr>
        <w:t>, van Bodegraven AA, Jharap B, de Graaf P, Mulder CJ. Drug Insight: pharmacology and toxicity of thiopurine therapy in patients with IBD. </w:t>
      </w:r>
      <w:r w:rsidRPr="009F013B">
        <w:rPr>
          <w:rFonts w:ascii="Book Antiqua" w:eastAsia="SimSun" w:hAnsi="Book Antiqua" w:cs="SimSun"/>
          <w:i/>
          <w:iCs/>
          <w:color w:val="000000"/>
          <w:sz w:val="24"/>
          <w:szCs w:val="24"/>
          <w:lang w:eastAsia="zh-CN"/>
        </w:rPr>
        <w:t>Nat Clin Pract Gastroenterol Hepatol</w:t>
      </w:r>
      <w:r w:rsidRPr="009F013B">
        <w:rPr>
          <w:rFonts w:ascii="Book Antiqua" w:eastAsia="SimSun" w:hAnsi="Book Antiqua" w:cs="SimSun"/>
          <w:color w:val="000000"/>
          <w:sz w:val="24"/>
          <w:szCs w:val="24"/>
          <w:lang w:eastAsia="zh-CN"/>
        </w:rPr>
        <w:t> 2007; </w:t>
      </w:r>
      <w:r w:rsidRPr="009F013B">
        <w:rPr>
          <w:rFonts w:ascii="Book Antiqua" w:eastAsia="SimSun" w:hAnsi="Book Antiqua" w:cs="SimSun"/>
          <w:b/>
          <w:bCs/>
          <w:color w:val="000000"/>
          <w:sz w:val="24"/>
          <w:szCs w:val="24"/>
          <w:lang w:eastAsia="zh-CN"/>
        </w:rPr>
        <w:t>4</w:t>
      </w:r>
      <w:r w:rsidRPr="009F013B">
        <w:rPr>
          <w:rFonts w:ascii="Book Antiqua" w:eastAsia="SimSun" w:hAnsi="Book Antiqua" w:cs="SimSun"/>
          <w:color w:val="000000"/>
          <w:sz w:val="24"/>
          <w:szCs w:val="24"/>
          <w:lang w:eastAsia="zh-CN"/>
        </w:rPr>
        <w:t>: 686-694 [PMID: 18043678 DOI: 10.1038/ncpgasthep1000]</w:t>
      </w:r>
    </w:p>
    <w:p w14:paraId="427E9380"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8 </w:t>
      </w:r>
      <w:r w:rsidRPr="009F013B">
        <w:rPr>
          <w:rFonts w:ascii="Book Antiqua" w:eastAsia="SimSun" w:hAnsi="Book Antiqua" w:cs="SimSun"/>
          <w:b/>
          <w:bCs/>
          <w:color w:val="000000"/>
          <w:sz w:val="24"/>
          <w:szCs w:val="24"/>
          <w:lang w:eastAsia="zh-CN"/>
        </w:rPr>
        <w:t>Marathias VM</w:t>
      </w:r>
      <w:r w:rsidRPr="009F013B">
        <w:rPr>
          <w:rFonts w:ascii="Book Antiqua" w:eastAsia="SimSun" w:hAnsi="Book Antiqua" w:cs="SimSun"/>
          <w:color w:val="000000"/>
          <w:sz w:val="24"/>
          <w:szCs w:val="24"/>
          <w:lang w:eastAsia="zh-CN"/>
        </w:rPr>
        <w:t>, Sawicki MJ, Bolton PH. 6-Thioguanine alters the structure and stability of duplex DNA and inhibits quadruplex DNA formation. </w:t>
      </w:r>
      <w:r w:rsidRPr="009F013B">
        <w:rPr>
          <w:rFonts w:ascii="Book Antiqua" w:eastAsia="SimSun" w:hAnsi="Book Antiqua" w:cs="SimSun"/>
          <w:i/>
          <w:iCs/>
          <w:color w:val="000000"/>
          <w:sz w:val="24"/>
          <w:szCs w:val="24"/>
          <w:lang w:eastAsia="zh-CN"/>
        </w:rPr>
        <w:t>Nucleic Acids Res</w:t>
      </w:r>
      <w:r w:rsidRPr="009F013B">
        <w:rPr>
          <w:rFonts w:ascii="Book Antiqua" w:eastAsia="SimSun" w:hAnsi="Book Antiqua" w:cs="SimSun"/>
          <w:color w:val="000000"/>
          <w:sz w:val="24"/>
          <w:szCs w:val="24"/>
          <w:lang w:eastAsia="zh-CN"/>
        </w:rPr>
        <w:t> 1999; </w:t>
      </w:r>
      <w:r w:rsidRPr="009F013B">
        <w:rPr>
          <w:rFonts w:ascii="Book Antiqua" w:eastAsia="SimSun" w:hAnsi="Book Antiqua" w:cs="SimSun"/>
          <w:b/>
          <w:bCs/>
          <w:color w:val="000000"/>
          <w:sz w:val="24"/>
          <w:szCs w:val="24"/>
          <w:lang w:eastAsia="zh-CN"/>
        </w:rPr>
        <w:t>27</w:t>
      </w:r>
      <w:r w:rsidRPr="009F013B">
        <w:rPr>
          <w:rFonts w:ascii="Book Antiqua" w:eastAsia="SimSun" w:hAnsi="Book Antiqua" w:cs="SimSun"/>
          <w:color w:val="000000"/>
          <w:sz w:val="24"/>
          <w:szCs w:val="24"/>
          <w:lang w:eastAsia="zh-CN"/>
        </w:rPr>
        <w:t>: 2860-2867 [PMID: 10390526 DOI: 10.1093/nar/27.14.2860]</w:t>
      </w:r>
    </w:p>
    <w:p w14:paraId="0CED6381" w14:textId="276178D3"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lastRenderedPageBreak/>
        <w:t>9 </w:t>
      </w:r>
      <w:r w:rsidRPr="009F013B">
        <w:rPr>
          <w:rFonts w:ascii="Book Antiqua" w:eastAsia="SimSun" w:hAnsi="Book Antiqua" w:cs="SimSun"/>
          <w:b/>
          <w:bCs/>
          <w:color w:val="000000"/>
          <w:sz w:val="24"/>
          <w:szCs w:val="24"/>
          <w:lang w:eastAsia="zh-CN"/>
        </w:rPr>
        <w:t>Smith SR</w:t>
      </w:r>
      <w:r w:rsidRPr="009F013B">
        <w:rPr>
          <w:rFonts w:ascii="Book Antiqua" w:eastAsia="SimSun" w:hAnsi="Book Antiqua" w:cs="SimSun"/>
          <w:color w:val="000000"/>
          <w:sz w:val="24"/>
          <w:szCs w:val="24"/>
          <w:lang w:eastAsia="zh-CN"/>
        </w:rPr>
        <w:t xml:space="preserve">, Terminelli C, Kipilman CT, Smith Y. Comparative effects of azathioprine, cyclophosphamide and frentizole on cellular immunity in mice. </w:t>
      </w:r>
      <w:r w:rsidRPr="009F013B">
        <w:rPr>
          <w:rFonts w:ascii="Book Antiqua" w:eastAsia="SimSun" w:hAnsi="Book Antiqua" w:cs="SimSun"/>
          <w:i/>
          <w:iCs/>
          <w:color w:val="000000"/>
          <w:sz w:val="24"/>
          <w:szCs w:val="24"/>
          <w:lang w:eastAsia="zh-CN"/>
        </w:rPr>
        <w:t>J Immunopharmacol</w:t>
      </w:r>
      <w:r>
        <w:rPr>
          <w:rFonts w:ascii="Book Antiqua" w:eastAsia="SimSun" w:hAnsi="Book Antiqua" w:cs="SimSun"/>
          <w:color w:val="000000"/>
          <w:sz w:val="24"/>
          <w:szCs w:val="24"/>
          <w:lang w:eastAsia="zh-CN"/>
        </w:rPr>
        <w:t xml:space="preserve"> </w:t>
      </w:r>
      <w:r w:rsidRPr="009F013B">
        <w:rPr>
          <w:rFonts w:ascii="Book Antiqua" w:eastAsia="SimSun" w:hAnsi="Book Antiqua" w:cs="SimSun"/>
          <w:color w:val="000000"/>
          <w:sz w:val="24"/>
          <w:szCs w:val="24"/>
          <w:lang w:eastAsia="zh-CN"/>
        </w:rPr>
        <w:t>1981; </w:t>
      </w:r>
      <w:r w:rsidRPr="009F013B">
        <w:rPr>
          <w:rFonts w:ascii="Book Antiqua" w:eastAsia="SimSun" w:hAnsi="Book Antiqua" w:cs="SimSun"/>
          <w:b/>
          <w:bCs/>
          <w:color w:val="000000"/>
          <w:sz w:val="24"/>
          <w:szCs w:val="24"/>
          <w:lang w:eastAsia="zh-CN"/>
        </w:rPr>
        <w:t>3</w:t>
      </w:r>
      <w:r w:rsidRPr="009F013B">
        <w:rPr>
          <w:rFonts w:ascii="Book Antiqua" w:eastAsia="SimSun" w:hAnsi="Book Antiqua" w:cs="SimSun"/>
          <w:color w:val="000000"/>
          <w:sz w:val="24"/>
          <w:szCs w:val="24"/>
          <w:lang w:eastAsia="zh-CN"/>
        </w:rPr>
        <w:t>: 133-170 [PMID: 6978364 DOI: 10.3109/08923978109026424]</w:t>
      </w:r>
    </w:p>
    <w:p w14:paraId="0A0F02B7"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10 </w:t>
      </w:r>
      <w:r w:rsidRPr="009F013B">
        <w:rPr>
          <w:rFonts w:ascii="Book Antiqua" w:eastAsia="SimSun" w:hAnsi="Book Antiqua" w:cs="SimSun"/>
          <w:b/>
          <w:bCs/>
          <w:color w:val="000000"/>
          <w:sz w:val="24"/>
          <w:szCs w:val="24"/>
          <w:lang w:eastAsia="zh-CN"/>
        </w:rPr>
        <w:t>Quéméneur L</w:t>
      </w:r>
      <w:r w:rsidRPr="009F013B">
        <w:rPr>
          <w:rFonts w:ascii="Book Antiqua" w:eastAsia="SimSun" w:hAnsi="Book Antiqua" w:cs="SimSun"/>
          <w:color w:val="000000"/>
          <w:sz w:val="24"/>
          <w:szCs w:val="24"/>
          <w:lang w:eastAsia="zh-CN"/>
        </w:rPr>
        <w:t>, Gerland LM, Flacher M, Ffrench M, Revillard JP, Genestier L. Differential control of cell cycle, proliferation, and survival of primary T lymphocytes by purine and pyrimidine nucleotides. </w:t>
      </w:r>
      <w:r w:rsidRPr="009F013B">
        <w:rPr>
          <w:rFonts w:ascii="Book Antiqua" w:eastAsia="SimSun" w:hAnsi="Book Antiqua" w:cs="SimSun"/>
          <w:i/>
          <w:iCs/>
          <w:color w:val="000000"/>
          <w:sz w:val="24"/>
          <w:szCs w:val="24"/>
          <w:lang w:eastAsia="zh-CN"/>
        </w:rPr>
        <w:t>J Immunol</w:t>
      </w:r>
      <w:r w:rsidRPr="009F013B">
        <w:rPr>
          <w:rFonts w:ascii="Book Antiqua" w:eastAsia="SimSun" w:hAnsi="Book Antiqua" w:cs="SimSun"/>
          <w:color w:val="000000"/>
          <w:sz w:val="24"/>
          <w:szCs w:val="24"/>
          <w:lang w:eastAsia="zh-CN"/>
        </w:rPr>
        <w:t> 2003; </w:t>
      </w:r>
      <w:r w:rsidRPr="009F013B">
        <w:rPr>
          <w:rFonts w:ascii="Book Antiqua" w:eastAsia="SimSun" w:hAnsi="Book Antiqua" w:cs="SimSun"/>
          <w:b/>
          <w:bCs/>
          <w:color w:val="000000"/>
          <w:sz w:val="24"/>
          <w:szCs w:val="24"/>
          <w:lang w:eastAsia="zh-CN"/>
        </w:rPr>
        <w:t>170</w:t>
      </w:r>
      <w:r w:rsidRPr="009F013B">
        <w:rPr>
          <w:rFonts w:ascii="Book Antiqua" w:eastAsia="SimSun" w:hAnsi="Book Antiqua" w:cs="SimSun"/>
          <w:color w:val="000000"/>
          <w:sz w:val="24"/>
          <w:szCs w:val="24"/>
          <w:lang w:eastAsia="zh-CN"/>
        </w:rPr>
        <w:t>: 4986-4995 [PMID: 12734342 DOI: 10.4049/jimmunol.170.10.4986]</w:t>
      </w:r>
    </w:p>
    <w:p w14:paraId="7CE7D874"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11 </w:t>
      </w:r>
      <w:r w:rsidRPr="009F013B">
        <w:rPr>
          <w:rFonts w:ascii="Book Antiqua" w:eastAsia="SimSun" w:hAnsi="Book Antiqua" w:cs="SimSun"/>
          <w:b/>
          <w:bCs/>
          <w:color w:val="000000"/>
          <w:sz w:val="24"/>
          <w:szCs w:val="24"/>
          <w:lang w:eastAsia="zh-CN"/>
        </w:rPr>
        <w:t>Tiede I</w:t>
      </w:r>
      <w:r w:rsidRPr="009F013B">
        <w:rPr>
          <w:rFonts w:ascii="Book Antiqua" w:eastAsia="SimSun" w:hAnsi="Book Antiqua" w:cs="SimSun"/>
          <w:color w:val="000000"/>
          <w:sz w:val="24"/>
          <w:szCs w:val="24"/>
          <w:lang w:eastAsia="zh-CN"/>
        </w:rPr>
        <w:t>, Fritz G, Strand S, Poppe D, Dvorsky R, Strand D, Lehr HA, Wirtz S, Becker C, Atreya R, Mudter J, Hildner K, Bartsch B, Holtmann M, Blumberg R, Walczak H, Iven H, Galle PR, Ahmadian MR, Neurath MF. CD28-dependent Rac1 activation is the molecular target of azathioprine in primary human CD4+ T lymphocytes. </w:t>
      </w:r>
      <w:r w:rsidRPr="009F013B">
        <w:rPr>
          <w:rFonts w:ascii="Book Antiqua" w:eastAsia="SimSun" w:hAnsi="Book Antiqua" w:cs="SimSun"/>
          <w:i/>
          <w:iCs/>
          <w:color w:val="000000"/>
          <w:sz w:val="24"/>
          <w:szCs w:val="24"/>
          <w:lang w:eastAsia="zh-CN"/>
        </w:rPr>
        <w:t>J Clin Invest</w:t>
      </w:r>
      <w:r w:rsidRPr="009F013B">
        <w:rPr>
          <w:rFonts w:ascii="Book Antiqua" w:eastAsia="SimSun" w:hAnsi="Book Antiqua" w:cs="SimSun"/>
          <w:color w:val="000000"/>
          <w:sz w:val="24"/>
          <w:szCs w:val="24"/>
          <w:lang w:eastAsia="zh-CN"/>
        </w:rPr>
        <w:t> 2003; </w:t>
      </w:r>
      <w:r w:rsidRPr="009F013B">
        <w:rPr>
          <w:rFonts w:ascii="Book Antiqua" w:eastAsia="SimSun" w:hAnsi="Book Antiqua" w:cs="SimSun"/>
          <w:b/>
          <w:bCs/>
          <w:color w:val="000000"/>
          <w:sz w:val="24"/>
          <w:szCs w:val="24"/>
          <w:lang w:eastAsia="zh-CN"/>
        </w:rPr>
        <w:t>111</w:t>
      </w:r>
      <w:r w:rsidRPr="009F013B">
        <w:rPr>
          <w:rFonts w:ascii="Book Antiqua" w:eastAsia="SimSun" w:hAnsi="Book Antiqua" w:cs="SimSun"/>
          <w:color w:val="000000"/>
          <w:sz w:val="24"/>
          <w:szCs w:val="24"/>
          <w:lang w:eastAsia="zh-CN"/>
        </w:rPr>
        <w:t>: 1133-1145 [PMID: 12697733 DOI: 10.1172/JCI16432]</w:t>
      </w:r>
    </w:p>
    <w:p w14:paraId="6567E043"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12 </w:t>
      </w:r>
      <w:r w:rsidRPr="009F013B">
        <w:rPr>
          <w:rFonts w:ascii="Book Antiqua" w:eastAsia="SimSun" w:hAnsi="Book Antiqua" w:cs="SimSun"/>
          <w:b/>
          <w:bCs/>
          <w:color w:val="000000"/>
          <w:sz w:val="24"/>
          <w:szCs w:val="24"/>
          <w:lang w:eastAsia="zh-CN"/>
        </w:rPr>
        <w:t>Candy S</w:t>
      </w:r>
      <w:r w:rsidRPr="009F013B">
        <w:rPr>
          <w:rFonts w:ascii="Book Antiqua" w:eastAsia="SimSun" w:hAnsi="Book Antiqua" w:cs="SimSun"/>
          <w:color w:val="000000"/>
          <w:sz w:val="24"/>
          <w:szCs w:val="24"/>
          <w:lang w:eastAsia="zh-CN"/>
        </w:rPr>
        <w:t xml:space="preserve">, Wright J, Gerber M, Adams G, Gerig M, Goodman R. A controlled double blind study of azathioprine in the management of Crohn's disease. </w:t>
      </w:r>
      <w:r w:rsidRPr="009F013B">
        <w:rPr>
          <w:rFonts w:ascii="Book Antiqua" w:eastAsia="SimSun" w:hAnsi="Book Antiqua" w:cs="SimSun"/>
          <w:i/>
          <w:iCs/>
          <w:color w:val="000000"/>
          <w:sz w:val="24"/>
          <w:szCs w:val="24"/>
          <w:lang w:eastAsia="zh-CN"/>
        </w:rPr>
        <w:t>Gut</w:t>
      </w:r>
      <w:r w:rsidRPr="009F013B">
        <w:rPr>
          <w:rFonts w:ascii="Book Antiqua" w:eastAsia="SimSun" w:hAnsi="Book Antiqua" w:cs="SimSun"/>
          <w:color w:val="000000"/>
          <w:sz w:val="24"/>
          <w:szCs w:val="24"/>
          <w:lang w:eastAsia="zh-CN"/>
        </w:rPr>
        <w:t> 1995; </w:t>
      </w:r>
      <w:r w:rsidRPr="009F013B">
        <w:rPr>
          <w:rFonts w:ascii="Book Antiqua" w:eastAsia="SimSun" w:hAnsi="Book Antiqua" w:cs="SimSun"/>
          <w:b/>
          <w:bCs/>
          <w:color w:val="000000"/>
          <w:sz w:val="24"/>
          <w:szCs w:val="24"/>
          <w:lang w:eastAsia="zh-CN"/>
        </w:rPr>
        <w:t>37</w:t>
      </w:r>
      <w:r w:rsidRPr="009F013B">
        <w:rPr>
          <w:rFonts w:ascii="Book Antiqua" w:eastAsia="SimSun" w:hAnsi="Book Antiqua" w:cs="SimSun"/>
          <w:color w:val="000000"/>
          <w:sz w:val="24"/>
          <w:szCs w:val="24"/>
          <w:lang w:eastAsia="zh-CN"/>
        </w:rPr>
        <w:t>: 674-678 [PMID: 8549944 DOI: 10.1136/gut.37.5.674]</w:t>
      </w:r>
    </w:p>
    <w:p w14:paraId="5D134992"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13 </w:t>
      </w:r>
      <w:r w:rsidRPr="009F013B">
        <w:rPr>
          <w:rFonts w:ascii="Book Antiqua" w:eastAsia="SimSun" w:hAnsi="Book Antiqua" w:cs="SimSun"/>
          <w:b/>
          <w:bCs/>
          <w:color w:val="000000"/>
          <w:sz w:val="24"/>
          <w:szCs w:val="24"/>
          <w:lang w:eastAsia="zh-CN"/>
        </w:rPr>
        <w:t>Colonna T</w:t>
      </w:r>
      <w:r w:rsidRPr="009F013B">
        <w:rPr>
          <w:rFonts w:ascii="Book Antiqua" w:eastAsia="SimSun" w:hAnsi="Book Antiqua" w:cs="SimSun"/>
          <w:color w:val="000000"/>
          <w:sz w:val="24"/>
          <w:szCs w:val="24"/>
          <w:lang w:eastAsia="zh-CN"/>
        </w:rPr>
        <w:t>, Korelitz BI. The role of leukopenia in the 6-mercaptopurine-induced remission of refractory Crohn's disease. </w:t>
      </w:r>
      <w:r w:rsidRPr="009F013B">
        <w:rPr>
          <w:rFonts w:ascii="Book Antiqua" w:eastAsia="SimSun" w:hAnsi="Book Antiqua" w:cs="SimSun"/>
          <w:i/>
          <w:iCs/>
          <w:color w:val="000000"/>
          <w:sz w:val="24"/>
          <w:szCs w:val="24"/>
          <w:lang w:eastAsia="zh-CN"/>
        </w:rPr>
        <w:t>Am J Gastroenterol</w:t>
      </w:r>
      <w:r w:rsidRPr="009F013B">
        <w:rPr>
          <w:rFonts w:ascii="Book Antiqua" w:eastAsia="SimSun" w:hAnsi="Book Antiqua" w:cs="SimSun"/>
          <w:color w:val="000000"/>
          <w:sz w:val="24"/>
          <w:szCs w:val="24"/>
          <w:lang w:eastAsia="zh-CN"/>
        </w:rPr>
        <w:t xml:space="preserve"> 1994; </w:t>
      </w:r>
      <w:r w:rsidRPr="009F013B">
        <w:rPr>
          <w:rFonts w:ascii="Book Antiqua" w:eastAsia="SimSun" w:hAnsi="Book Antiqua" w:cs="SimSun"/>
          <w:b/>
          <w:bCs/>
          <w:color w:val="000000"/>
          <w:sz w:val="24"/>
          <w:szCs w:val="24"/>
          <w:lang w:eastAsia="zh-CN"/>
        </w:rPr>
        <w:t>89</w:t>
      </w:r>
      <w:r w:rsidRPr="009F013B">
        <w:rPr>
          <w:rFonts w:ascii="Book Antiqua" w:eastAsia="SimSun" w:hAnsi="Book Antiqua" w:cs="SimSun"/>
          <w:color w:val="000000"/>
          <w:sz w:val="24"/>
          <w:szCs w:val="24"/>
          <w:lang w:eastAsia="zh-CN"/>
        </w:rPr>
        <w:t>: 362-366 [PMID: 8122645]</w:t>
      </w:r>
    </w:p>
    <w:p w14:paraId="47FA6112"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14 </w:t>
      </w:r>
      <w:r w:rsidRPr="009F013B">
        <w:rPr>
          <w:rFonts w:ascii="Book Antiqua" w:eastAsia="SimSun" w:hAnsi="Book Antiqua" w:cs="SimSun"/>
          <w:b/>
          <w:bCs/>
          <w:color w:val="000000"/>
          <w:sz w:val="24"/>
          <w:szCs w:val="24"/>
          <w:lang w:eastAsia="zh-CN"/>
        </w:rPr>
        <w:t>Fraser AG</w:t>
      </w:r>
      <w:r w:rsidRPr="009F013B">
        <w:rPr>
          <w:rFonts w:ascii="Book Antiqua" w:eastAsia="SimSun" w:hAnsi="Book Antiqua" w:cs="SimSun"/>
          <w:color w:val="000000"/>
          <w:sz w:val="24"/>
          <w:szCs w:val="24"/>
          <w:lang w:eastAsia="zh-CN"/>
        </w:rPr>
        <w:t>, Orchard TR, Jewell DP. The efficacy of azathioprine for the treatment of inflammatory bowel disease: a 30 year review. </w:t>
      </w:r>
      <w:r w:rsidRPr="009F013B">
        <w:rPr>
          <w:rFonts w:ascii="Book Antiqua" w:eastAsia="SimSun" w:hAnsi="Book Antiqua" w:cs="SimSun"/>
          <w:i/>
          <w:iCs/>
          <w:color w:val="000000"/>
          <w:sz w:val="24"/>
          <w:szCs w:val="24"/>
          <w:lang w:eastAsia="zh-CN"/>
        </w:rPr>
        <w:t>Gut</w:t>
      </w:r>
      <w:r w:rsidRPr="009F013B">
        <w:rPr>
          <w:rFonts w:ascii="Book Antiqua" w:eastAsia="SimSun" w:hAnsi="Book Antiqua" w:cs="SimSun"/>
          <w:color w:val="000000"/>
          <w:sz w:val="24"/>
          <w:szCs w:val="24"/>
          <w:lang w:eastAsia="zh-CN"/>
        </w:rPr>
        <w:t> 2002; </w:t>
      </w:r>
      <w:r w:rsidRPr="009F013B">
        <w:rPr>
          <w:rFonts w:ascii="Book Antiqua" w:eastAsia="SimSun" w:hAnsi="Book Antiqua" w:cs="SimSun"/>
          <w:b/>
          <w:bCs/>
          <w:color w:val="000000"/>
          <w:sz w:val="24"/>
          <w:szCs w:val="24"/>
          <w:lang w:eastAsia="zh-CN"/>
        </w:rPr>
        <w:t>50</w:t>
      </w:r>
      <w:r w:rsidRPr="009F013B">
        <w:rPr>
          <w:rFonts w:ascii="Book Antiqua" w:eastAsia="SimSun" w:hAnsi="Book Antiqua" w:cs="SimSun"/>
          <w:color w:val="000000"/>
          <w:sz w:val="24"/>
          <w:szCs w:val="24"/>
          <w:lang w:eastAsia="zh-CN"/>
        </w:rPr>
        <w:t>: 485-489 [PMID: 11889067 DOI: 10.1136/gut.50.4.485]</w:t>
      </w:r>
    </w:p>
    <w:p w14:paraId="6B6AD31E"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15 </w:t>
      </w:r>
      <w:r w:rsidRPr="009F013B">
        <w:rPr>
          <w:rFonts w:ascii="Book Antiqua" w:eastAsia="SimSun" w:hAnsi="Book Antiqua" w:cs="SimSun"/>
          <w:b/>
          <w:bCs/>
          <w:color w:val="000000"/>
          <w:sz w:val="24"/>
          <w:szCs w:val="24"/>
          <w:lang w:eastAsia="zh-CN"/>
        </w:rPr>
        <w:t>Campbell AC</w:t>
      </w:r>
      <w:r w:rsidRPr="009F013B">
        <w:rPr>
          <w:rFonts w:ascii="Book Antiqua" w:eastAsia="SimSun" w:hAnsi="Book Antiqua" w:cs="SimSun"/>
          <w:color w:val="000000"/>
          <w:sz w:val="24"/>
          <w:szCs w:val="24"/>
          <w:lang w:eastAsia="zh-CN"/>
        </w:rPr>
        <w:t>, Skinner JM, Hersey P, Roberts-Thomson P, MacLennan IC, Truelove SC. Immunosuppression in the treatment of inflammatory bowel disease. I. Changes in lymphoid sub-populations in the blood and rectal mucosa following cessation of treatment with azathioprine. </w:t>
      </w:r>
      <w:r w:rsidRPr="009F013B">
        <w:rPr>
          <w:rFonts w:ascii="Book Antiqua" w:eastAsia="SimSun" w:hAnsi="Book Antiqua" w:cs="SimSun"/>
          <w:i/>
          <w:iCs/>
          <w:color w:val="000000"/>
          <w:sz w:val="24"/>
          <w:szCs w:val="24"/>
          <w:lang w:eastAsia="zh-CN"/>
        </w:rPr>
        <w:t>Clin Exp Immunol</w:t>
      </w:r>
      <w:r w:rsidRPr="009F013B">
        <w:rPr>
          <w:rFonts w:ascii="Book Antiqua" w:eastAsia="SimSun" w:hAnsi="Book Antiqua" w:cs="SimSun"/>
          <w:color w:val="000000"/>
          <w:sz w:val="24"/>
          <w:szCs w:val="24"/>
          <w:lang w:eastAsia="zh-CN"/>
        </w:rPr>
        <w:t xml:space="preserve"> 1974; </w:t>
      </w:r>
      <w:r w:rsidRPr="009F013B">
        <w:rPr>
          <w:rFonts w:ascii="Book Antiqua" w:eastAsia="SimSun" w:hAnsi="Book Antiqua" w:cs="SimSun"/>
          <w:b/>
          <w:bCs/>
          <w:color w:val="000000"/>
          <w:sz w:val="24"/>
          <w:szCs w:val="24"/>
          <w:lang w:eastAsia="zh-CN"/>
        </w:rPr>
        <w:t>16</w:t>
      </w:r>
      <w:r w:rsidRPr="009F013B">
        <w:rPr>
          <w:rFonts w:ascii="Book Antiqua" w:eastAsia="SimSun" w:hAnsi="Book Antiqua" w:cs="SimSun"/>
          <w:color w:val="000000"/>
          <w:sz w:val="24"/>
          <w:szCs w:val="24"/>
          <w:lang w:eastAsia="zh-CN"/>
        </w:rPr>
        <w:t>: 521-533 [PMID: 4468852]</w:t>
      </w:r>
    </w:p>
    <w:p w14:paraId="7C320F18"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16 </w:t>
      </w:r>
      <w:r w:rsidRPr="009F013B">
        <w:rPr>
          <w:rFonts w:ascii="Book Antiqua" w:eastAsia="SimSun" w:hAnsi="Book Antiqua" w:cs="SimSun"/>
          <w:b/>
          <w:bCs/>
          <w:color w:val="000000"/>
          <w:sz w:val="24"/>
          <w:szCs w:val="24"/>
          <w:lang w:eastAsia="zh-CN"/>
        </w:rPr>
        <w:t>Campbell AC</w:t>
      </w:r>
      <w:r w:rsidRPr="009F013B">
        <w:rPr>
          <w:rFonts w:ascii="Book Antiqua" w:eastAsia="SimSun" w:hAnsi="Book Antiqua" w:cs="SimSun"/>
          <w:color w:val="000000"/>
          <w:sz w:val="24"/>
          <w:szCs w:val="24"/>
          <w:lang w:eastAsia="zh-CN"/>
        </w:rPr>
        <w:t>, Skinner JM, Maclennan IC, Hersey P, Waller CA, Wood J, Jewell DP, Truelove SC. Immunosuppression in the treatment of inflammatory bowel disease. II. The effects of azathioprine on lymphoid cell populations in a double blind trial in ulcerative colitis. </w:t>
      </w:r>
      <w:r w:rsidRPr="009F013B">
        <w:rPr>
          <w:rFonts w:ascii="Book Antiqua" w:eastAsia="SimSun" w:hAnsi="Book Antiqua" w:cs="SimSun"/>
          <w:i/>
          <w:iCs/>
          <w:color w:val="000000"/>
          <w:sz w:val="24"/>
          <w:szCs w:val="24"/>
          <w:lang w:eastAsia="zh-CN"/>
        </w:rPr>
        <w:t>Clin Exp Immunol</w:t>
      </w:r>
      <w:r w:rsidRPr="009F013B">
        <w:rPr>
          <w:rFonts w:ascii="Book Antiqua" w:eastAsia="SimSun" w:hAnsi="Book Antiqua" w:cs="SimSun"/>
          <w:color w:val="000000"/>
          <w:sz w:val="24"/>
          <w:szCs w:val="24"/>
          <w:lang w:eastAsia="zh-CN"/>
        </w:rPr>
        <w:t> 1976; </w:t>
      </w:r>
      <w:r w:rsidRPr="009F013B">
        <w:rPr>
          <w:rFonts w:ascii="Book Antiqua" w:eastAsia="SimSun" w:hAnsi="Book Antiqua" w:cs="SimSun"/>
          <w:b/>
          <w:bCs/>
          <w:color w:val="000000"/>
          <w:sz w:val="24"/>
          <w:szCs w:val="24"/>
          <w:lang w:eastAsia="zh-CN"/>
        </w:rPr>
        <w:t>24</w:t>
      </w:r>
      <w:r w:rsidRPr="009F013B">
        <w:rPr>
          <w:rFonts w:ascii="Book Antiqua" w:eastAsia="SimSun" w:hAnsi="Book Antiqua" w:cs="SimSun"/>
          <w:color w:val="000000"/>
          <w:sz w:val="24"/>
          <w:szCs w:val="24"/>
          <w:lang w:eastAsia="zh-CN"/>
        </w:rPr>
        <w:t>: 249-258 [PMID: 776464]</w:t>
      </w:r>
    </w:p>
    <w:p w14:paraId="277A0CD2"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lastRenderedPageBreak/>
        <w:t>17 </w:t>
      </w:r>
      <w:r w:rsidRPr="009F013B">
        <w:rPr>
          <w:rFonts w:ascii="Book Antiqua" w:eastAsia="SimSun" w:hAnsi="Book Antiqua" w:cs="SimSun"/>
          <w:b/>
          <w:bCs/>
          <w:color w:val="000000"/>
          <w:sz w:val="24"/>
          <w:szCs w:val="24"/>
          <w:lang w:eastAsia="zh-CN"/>
        </w:rPr>
        <w:t>Eckhardt R</w:t>
      </w:r>
      <w:r w:rsidRPr="009F013B">
        <w:rPr>
          <w:rFonts w:ascii="Book Antiqua" w:eastAsia="SimSun" w:hAnsi="Book Antiqua" w:cs="SimSun"/>
          <w:color w:val="000000"/>
          <w:sz w:val="24"/>
          <w:szCs w:val="24"/>
          <w:lang w:eastAsia="zh-CN"/>
        </w:rPr>
        <w:t xml:space="preserve">, Kloos P, Dierich MP, Meyer zum Büschenfelde KH. K-lymphocytes (killer-cells) in Crohn's disease and acute virus B-hepatitis. </w:t>
      </w:r>
      <w:r w:rsidRPr="009F013B">
        <w:rPr>
          <w:rFonts w:ascii="Book Antiqua" w:eastAsia="SimSun" w:hAnsi="Book Antiqua" w:cs="SimSun"/>
          <w:i/>
          <w:iCs/>
          <w:color w:val="000000"/>
          <w:sz w:val="24"/>
          <w:szCs w:val="24"/>
          <w:lang w:eastAsia="zh-CN"/>
        </w:rPr>
        <w:t>Gut</w:t>
      </w:r>
      <w:r w:rsidRPr="009F013B">
        <w:rPr>
          <w:rFonts w:ascii="Book Antiqua" w:eastAsia="SimSun" w:hAnsi="Book Antiqua" w:cs="SimSun"/>
          <w:color w:val="000000"/>
          <w:sz w:val="24"/>
          <w:szCs w:val="24"/>
          <w:lang w:eastAsia="zh-CN"/>
        </w:rPr>
        <w:t> 1977; </w:t>
      </w:r>
      <w:r w:rsidRPr="009F013B">
        <w:rPr>
          <w:rFonts w:ascii="Book Antiqua" w:eastAsia="SimSun" w:hAnsi="Book Antiqua" w:cs="SimSun"/>
          <w:b/>
          <w:bCs/>
          <w:color w:val="000000"/>
          <w:sz w:val="24"/>
          <w:szCs w:val="24"/>
          <w:lang w:eastAsia="zh-CN"/>
        </w:rPr>
        <w:t>18</w:t>
      </w:r>
      <w:r w:rsidRPr="009F013B">
        <w:rPr>
          <w:rFonts w:ascii="Book Antiqua" w:eastAsia="SimSun" w:hAnsi="Book Antiqua" w:cs="SimSun"/>
          <w:color w:val="000000"/>
          <w:sz w:val="24"/>
          <w:szCs w:val="24"/>
          <w:lang w:eastAsia="zh-CN"/>
        </w:rPr>
        <w:t>: 1010-1016 [PMID: 304825 DOI: 10.1136/gut.18.12.1010]</w:t>
      </w:r>
    </w:p>
    <w:p w14:paraId="104AACEF"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18 </w:t>
      </w:r>
      <w:r w:rsidRPr="009F013B">
        <w:rPr>
          <w:rFonts w:ascii="Book Antiqua" w:eastAsia="SimSun" w:hAnsi="Book Antiqua" w:cs="SimSun"/>
          <w:b/>
          <w:bCs/>
          <w:color w:val="000000"/>
          <w:sz w:val="24"/>
          <w:szCs w:val="24"/>
          <w:lang w:eastAsia="zh-CN"/>
        </w:rPr>
        <w:t>Bouma G</w:t>
      </w:r>
      <w:r w:rsidRPr="009F013B">
        <w:rPr>
          <w:rFonts w:ascii="Book Antiqua" w:eastAsia="SimSun" w:hAnsi="Book Antiqua" w:cs="SimSun"/>
          <w:color w:val="000000"/>
          <w:sz w:val="24"/>
          <w:szCs w:val="24"/>
          <w:lang w:eastAsia="zh-CN"/>
        </w:rPr>
        <w:t xml:space="preserve">, Baggen JM, van Bodegraven AA, Mulder CJ, Kraal G, Zwiers A, Horrevoets AJ, van der Pouw Kraan CT. Thiopurine treatment in patients with Crohn's disease leads to a selective reduction of an effector cytotoxic gene expression signature revealed by whole-genome expression profiling. </w:t>
      </w:r>
      <w:r w:rsidRPr="009F013B">
        <w:rPr>
          <w:rFonts w:ascii="Book Antiqua" w:eastAsia="SimSun" w:hAnsi="Book Antiqua" w:cs="SimSun"/>
          <w:i/>
          <w:iCs/>
          <w:color w:val="000000"/>
          <w:sz w:val="24"/>
          <w:szCs w:val="24"/>
          <w:lang w:eastAsia="zh-CN"/>
        </w:rPr>
        <w:t>Mol Immunol</w:t>
      </w:r>
      <w:r w:rsidRPr="009F013B">
        <w:rPr>
          <w:rFonts w:ascii="Book Antiqua" w:eastAsia="SimSun" w:hAnsi="Book Antiqua" w:cs="SimSun"/>
          <w:color w:val="000000"/>
          <w:sz w:val="24"/>
          <w:szCs w:val="24"/>
          <w:lang w:eastAsia="zh-CN"/>
        </w:rPr>
        <w:t> 2013; </w:t>
      </w:r>
      <w:r w:rsidRPr="009F013B">
        <w:rPr>
          <w:rFonts w:ascii="Book Antiqua" w:eastAsia="SimSun" w:hAnsi="Book Antiqua" w:cs="SimSun"/>
          <w:b/>
          <w:bCs/>
          <w:color w:val="000000"/>
          <w:sz w:val="24"/>
          <w:szCs w:val="24"/>
          <w:lang w:eastAsia="zh-CN"/>
        </w:rPr>
        <w:t>54</w:t>
      </w:r>
      <w:r w:rsidRPr="009F013B">
        <w:rPr>
          <w:rFonts w:ascii="Book Antiqua" w:eastAsia="SimSun" w:hAnsi="Book Antiqua" w:cs="SimSun"/>
          <w:color w:val="000000"/>
          <w:sz w:val="24"/>
          <w:szCs w:val="24"/>
          <w:lang w:eastAsia="zh-CN"/>
        </w:rPr>
        <w:t>: 472-481 [PMID: 23454163 DOI: 10.1016/j.molimm.2013.01.015]</w:t>
      </w:r>
    </w:p>
    <w:p w14:paraId="1BD8FBBB"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19 </w:t>
      </w:r>
      <w:r w:rsidRPr="009F013B">
        <w:rPr>
          <w:rFonts w:ascii="Book Antiqua" w:eastAsia="SimSun" w:hAnsi="Book Antiqua" w:cs="SimSun"/>
          <w:b/>
          <w:bCs/>
          <w:color w:val="000000"/>
          <w:sz w:val="24"/>
          <w:szCs w:val="24"/>
          <w:lang w:eastAsia="zh-CN"/>
        </w:rPr>
        <w:t>Cattan S</w:t>
      </w:r>
      <w:r w:rsidRPr="009F013B">
        <w:rPr>
          <w:rFonts w:ascii="Book Antiqua" w:eastAsia="SimSun" w:hAnsi="Book Antiqua" w:cs="SimSun"/>
          <w:color w:val="000000"/>
          <w:sz w:val="24"/>
          <w:szCs w:val="24"/>
          <w:lang w:eastAsia="zh-CN"/>
        </w:rPr>
        <w:t xml:space="preserve">, Lémann M, Thuillier F, Bengoufa D, Rabian C, Ngo Y, Bouhnik Y, Messing B, Rambaud JC, Modigliani R. [6-mercaptopurine levels and study of blood lymphocyte subsets during azathioprine treatment of Crohn's disease]. </w:t>
      </w:r>
      <w:r w:rsidRPr="009F013B">
        <w:rPr>
          <w:rFonts w:ascii="Book Antiqua" w:eastAsia="SimSun" w:hAnsi="Book Antiqua" w:cs="SimSun"/>
          <w:i/>
          <w:iCs/>
          <w:color w:val="000000"/>
          <w:sz w:val="24"/>
          <w:szCs w:val="24"/>
          <w:lang w:eastAsia="zh-CN"/>
        </w:rPr>
        <w:t>Gastroenterol Clin Biol</w:t>
      </w:r>
      <w:r w:rsidRPr="009F013B">
        <w:rPr>
          <w:rFonts w:ascii="Book Antiqua" w:eastAsia="SimSun" w:hAnsi="Book Antiqua" w:cs="SimSun"/>
          <w:color w:val="000000"/>
          <w:sz w:val="24"/>
          <w:szCs w:val="24"/>
          <w:lang w:eastAsia="zh-CN"/>
        </w:rPr>
        <w:t> 1998; </w:t>
      </w:r>
      <w:r w:rsidRPr="009F013B">
        <w:rPr>
          <w:rFonts w:ascii="Book Antiqua" w:eastAsia="SimSun" w:hAnsi="Book Antiqua" w:cs="SimSun"/>
          <w:b/>
          <w:bCs/>
          <w:color w:val="000000"/>
          <w:sz w:val="24"/>
          <w:szCs w:val="24"/>
          <w:lang w:eastAsia="zh-CN"/>
        </w:rPr>
        <w:t>22</w:t>
      </w:r>
      <w:r w:rsidRPr="009F013B">
        <w:rPr>
          <w:rFonts w:ascii="Book Antiqua" w:eastAsia="SimSun" w:hAnsi="Book Antiqua" w:cs="SimSun"/>
          <w:color w:val="000000"/>
          <w:sz w:val="24"/>
          <w:szCs w:val="24"/>
          <w:lang w:eastAsia="zh-CN"/>
        </w:rPr>
        <w:t>: 160-167 [PMID: 9762190 DOI: MDOI-GCB-03-1998-22-2-0399-8320-101019-ART73]</w:t>
      </w:r>
    </w:p>
    <w:p w14:paraId="6E3E0388"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20 </w:t>
      </w:r>
      <w:r w:rsidRPr="009F013B">
        <w:rPr>
          <w:rFonts w:ascii="Book Antiqua" w:eastAsia="SimSun" w:hAnsi="Book Antiqua" w:cs="SimSun"/>
          <w:b/>
          <w:bCs/>
          <w:color w:val="000000"/>
          <w:sz w:val="24"/>
          <w:szCs w:val="24"/>
          <w:lang w:eastAsia="zh-CN"/>
        </w:rPr>
        <w:t>Ziegler SF</w:t>
      </w:r>
      <w:r w:rsidRPr="009F013B">
        <w:rPr>
          <w:rFonts w:ascii="Book Antiqua" w:eastAsia="SimSun" w:hAnsi="Book Antiqua" w:cs="SimSun"/>
          <w:color w:val="000000"/>
          <w:sz w:val="24"/>
          <w:szCs w:val="24"/>
          <w:lang w:eastAsia="zh-CN"/>
        </w:rPr>
        <w:t>. FOXP3: of mice and men. </w:t>
      </w:r>
      <w:r w:rsidRPr="009F013B">
        <w:rPr>
          <w:rFonts w:ascii="Book Antiqua" w:eastAsia="SimSun" w:hAnsi="Book Antiqua" w:cs="SimSun"/>
          <w:i/>
          <w:iCs/>
          <w:color w:val="000000"/>
          <w:sz w:val="24"/>
          <w:szCs w:val="24"/>
          <w:lang w:eastAsia="zh-CN"/>
        </w:rPr>
        <w:t>Annu Rev Immunol</w:t>
      </w:r>
      <w:r w:rsidRPr="009F013B">
        <w:rPr>
          <w:rFonts w:ascii="Book Antiqua" w:eastAsia="SimSun" w:hAnsi="Book Antiqua" w:cs="SimSun"/>
          <w:color w:val="000000"/>
          <w:sz w:val="24"/>
          <w:szCs w:val="24"/>
          <w:lang w:eastAsia="zh-CN"/>
        </w:rPr>
        <w:t> 2006; </w:t>
      </w:r>
      <w:r w:rsidRPr="009F013B">
        <w:rPr>
          <w:rFonts w:ascii="Book Antiqua" w:eastAsia="SimSun" w:hAnsi="Book Antiqua" w:cs="SimSun"/>
          <w:b/>
          <w:bCs/>
          <w:color w:val="000000"/>
          <w:sz w:val="24"/>
          <w:szCs w:val="24"/>
          <w:lang w:eastAsia="zh-CN"/>
        </w:rPr>
        <w:t>24</w:t>
      </w:r>
      <w:r w:rsidRPr="009F013B">
        <w:rPr>
          <w:rFonts w:ascii="Book Antiqua" w:eastAsia="SimSun" w:hAnsi="Book Antiqua" w:cs="SimSun"/>
          <w:color w:val="000000"/>
          <w:sz w:val="24"/>
          <w:szCs w:val="24"/>
          <w:lang w:eastAsia="zh-CN"/>
        </w:rPr>
        <w:t>: 209-226 [PMID: 16551248 DOI: 10.1146/annurev.immunol.24.021605.090547]</w:t>
      </w:r>
    </w:p>
    <w:p w14:paraId="5C1A6700"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21 </w:t>
      </w:r>
      <w:r w:rsidRPr="009F013B">
        <w:rPr>
          <w:rFonts w:ascii="Book Antiqua" w:eastAsia="SimSun" w:hAnsi="Book Antiqua" w:cs="SimSun"/>
          <w:b/>
          <w:bCs/>
          <w:color w:val="000000"/>
          <w:sz w:val="24"/>
          <w:szCs w:val="24"/>
          <w:lang w:eastAsia="zh-CN"/>
        </w:rPr>
        <w:t>Bennett CL</w:t>
      </w:r>
      <w:r w:rsidRPr="009F013B">
        <w:rPr>
          <w:rFonts w:ascii="Book Antiqua" w:eastAsia="SimSun" w:hAnsi="Book Antiqua" w:cs="SimSun"/>
          <w:color w:val="000000"/>
          <w:sz w:val="24"/>
          <w:szCs w:val="24"/>
          <w:lang w:eastAsia="zh-CN"/>
        </w:rPr>
        <w:t>, Christie J, Ramsdell F, Brunkow ME, Ferguson PJ, Whitesell L, Kelly TE, Saulsbury FT, Chance PF, Ochs HD. The immune dysregulation, polyendocrinopathy, enteropathy, X-linked syndrome (IPEX) is caused by mutations of FOXP3. </w:t>
      </w:r>
      <w:r w:rsidRPr="009F013B">
        <w:rPr>
          <w:rFonts w:ascii="Book Antiqua" w:eastAsia="SimSun" w:hAnsi="Book Antiqua" w:cs="SimSun"/>
          <w:i/>
          <w:iCs/>
          <w:color w:val="000000"/>
          <w:sz w:val="24"/>
          <w:szCs w:val="24"/>
          <w:lang w:eastAsia="zh-CN"/>
        </w:rPr>
        <w:t>Nat Genet</w:t>
      </w:r>
      <w:r w:rsidRPr="009F013B">
        <w:rPr>
          <w:rFonts w:ascii="Book Antiqua" w:eastAsia="SimSun" w:hAnsi="Book Antiqua" w:cs="SimSun"/>
          <w:color w:val="000000"/>
          <w:sz w:val="24"/>
          <w:szCs w:val="24"/>
          <w:lang w:eastAsia="zh-CN"/>
        </w:rPr>
        <w:t> 2001; </w:t>
      </w:r>
      <w:r w:rsidRPr="009F013B">
        <w:rPr>
          <w:rFonts w:ascii="Book Antiqua" w:eastAsia="SimSun" w:hAnsi="Book Antiqua" w:cs="SimSun"/>
          <w:b/>
          <w:bCs/>
          <w:color w:val="000000"/>
          <w:sz w:val="24"/>
          <w:szCs w:val="24"/>
          <w:lang w:eastAsia="zh-CN"/>
        </w:rPr>
        <w:t>27</w:t>
      </w:r>
      <w:r w:rsidRPr="009F013B">
        <w:rPr>
          <w:rFonts w:ascii="Book Antiqua" w:eastAsia="SimSun" w:hAnsi="Book Antiqua" w:cs="SimSun"/>
          <w:color w:val="000000"/>
          <w:sz w:val="24"/>
          <w:szCs w:val="24"/>
          <w:lang w:eastAsia="zh-CN"/>
        </w:rPr>
        <w:t>: 20-21 [PMID: 11137993 DOI: 10.1038/83713]</w:t>
      </w:r>
    </w:p>
    <w:p w14:paraId="7BEE48BB"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22 </w:t>
      </w:r>
      <w:r w:rsidRPr="009F013B">
        <w:rPr>
          <w:rFonts w:ascii="Book Antiqua" w:eastAsia="SimSun" w:hAnsi="Book Antiqua" w:cs="SimSun"/>
          <w:b/>
          <w:bCs/>
          <w:color w:val="000000"/>
          <w:sz w:val="24"/>
          <w:szCs w:val="24"/>
          <w:lang w:eastAsia="zh-CN"/>
        </w:rPr>
        <w:t>Wildin RS</w:t>
      </w:r>
      <w:r w:rsidRPr="009F013B">
        <w:rPr>
          <w:rFonts w:ascii="Book Antiqua" w:eastAsia="SimSun" w:hAnsi="Book Antiqua" w:cs="SimSun"/>
          <w:color w:val="000000"/>
          <w:sz w:val="24"/>
          <w:szCs w:val="24"/>
          <w:lang w:eastAsia="zh-CN"/>
        </w:rPr>
        <w:t>, Ramsdell F, Peake J, Faravelli F, Casanova JL, Buist N, Levy-Lahad E, Mazzella M, Goulet O, Perroni L, Bricarelli FD, Byrne G, McEuen M, Proll S, Appleby M, Brunkow ME. X-linked neonatal diabetes mellitus, enteropathy and endocrinopathy syndrome is the human equivalent of mouse scurfy. </w:t>
      </w:r>
      <w:r w:rsidRPr="009F013B">
        <w:rPr>
          <w:rFonts w:ascii="Book Antiqua" w:eastAsia="SimSun" w:hAnsi="Book Antiqua" w:cs="SimSun"/>
          <w:i/>
          <w:iCs/>
          <w:color w:val="000000"/>
          <w:sz w:val="24"/>
          <w:szCs w:val="24"/>
          <w:lang w:eastAsia="zh-CN"/>
        </w:rPr>
        <w:t>Nat Genet</w:t>
      </w:r>
      <w:r w:rsidRPr="009F013B">
        <w:rPr>
          <w:rFonts w:ascii="Book Antiqua" w:eastAsia="SimSun" w:hAnsi="Book Antiqua" w:cs="SimSun"/>
          <w:color w:val="000000"/>
          <w:sz w:val="24"/>
          <w:szCs w:val="24"/>
          <w:lang w:eastAsia="zh-CN"/>
        </w:rPr>
        <w:t> 2001; </w:t>
      </w:r>
      <w:r w:rsidRPr="009F013B">
        <w:rPr>
          <w:rFonts w:ascii="Book Antiqua" w:eastAsia="SimSun" w:hAnsi="Book Antiqua" w:cs="SimSun"/>
          <w:b/>
          <w:bCs/>
          <w:color w:val="000000"/>
          <w:sz w:val="24"/>
          <w:szCs w:val="24"/>
          <w:lang w:eastAsia="zh-CN"/>
        </w:rPr>
        <w:t>27</w:t>
      </w:r>
      <w:r w:rsidRPr="009F013B">
        <w:rPr>
          <w:rFonts w:ascii="Book Antiqua" w:eastAsia="SimSun" w:hAnsi="Book Antiqua" w:cs="SimSun"/>
          <w:color w:val="000000"/>
          <w:sz w:val="24"/>
          <w:szCs w:val="24"/>
          <w:lang w:eastAsia="zh-CN"/>
        </w:rPr>
        <w:t>: 18-20 [PMID: 11137992 DOI: 10.1038/83707]</w:t>
      </w:r>
    </w:p>
    <w:p w14:paraId="7F69370D"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23 </w:t>
      </w:r>
      <w:r w:rsidRPr="009F013B">
        <w:rPr>
          <w:rFonts w:ascii="Book Antiqua" w:eastAsia="SimSun" w:hAnsi="Book Antiqua" w:cs="SimSun"/>
          <w:b/>
          <w:bCs/>
          <w:color w:val="000000"/>
          <w:sz w:val="24"/>
          <w:szCs w:val="24"/>
          <w:lang w:eastAsia="zh-CN"/>
        </w:rPr>
        <w:t>Makita S</w:t>
      </w:r>
      <w:r w:rsidRPr="009F013B">
        <w:rPr>
          <w:rFonts w:ascii="Book Antiqua" w:eastAsia="SimSun" w:hAnsi="Book Antiqua" w:cs="SimSun"/>
          <w:color w:val="000000"/>
          <w:sz w:val="24"/>
          <w:szCs w:val="24"/>
          <w:lang w:eastAsia="zh-CN"/>
        </w:rPr>
        <w:t>, Kanai T, Oshima S, Uraushihara K, Totsuka T, Sawada T, Nakamura T, Koganei K, Fukushima T, Watanabe M. CD4+CD25bright T cells in human intestinal lamina propria as regulatory cells. </w:t>
      </w:r>
      <w:r w:rsidRPr="009F013B">
        <w:rPr>
          <w:rFonts w:ascii="Book Antiqua" w:eastAsia="SimSun" w:hAnsi="Book Antiqua" w:cs="SimSun"/>
          <w:i/>
          <w:iCs/>
          <w:color w:val="000000"/>
          <w:sz w:val="24"/>
          <w:szCs w:val="24"/>
          <w:lang w:eastAsia="zh-CN"/>
        </w:rPr>
        <w:t>J Immunol</w:t>
      </w:r>
      <w:r w:rsidRPr="009F013B">
        <w:rPr>
          <w:rFonts w:ascii="Book Antiqua" w:eastAsia="SimSun" w:hAnsi="Book Antiqua" w:cs="SimSun"/>
          <w:color w:val="000000"/>
          <w:sz w:val="24"/>
          <w:szCs w:val="24"/>
          <w:lang w:eastAsia="zh-CN"/>
        </w:rPr>
        <w:t> 2004; </w:t>
      </w:r>
      <w:r w:rsidRPr="009F013B">
        <w:rPr>
          <w:rFonts w:ascii="Book Antiqua" w:eastAsia="SimSun" w:hAnsi="Book Antiqua" w:cs="SimSun"/>
          <w:b/>
          <w:bCs/>
          <w:color w:val="000000"/>
          <w:sz w:val="24"/>
          <w:szCs w:val="24"/>
          <w:lang w:eastAsia="zh-CN"/>
        </w:rPr>
        <w:t>173</w:t>
      </w:r>
      <w:r w:rsidRPr="009F013B">
        <w:rPr>
          <w:rFonts w:ascii="Book Antiqua" w:eastAsia="SimSun" w:hAnsi="Book Antiqua" w:cs="SimSun"/>
          <w:color w:val="000000"/>
          <w:sz w:val="24"/>
          <w:szCs w:val="24"/>
          <w:lang w:eastAsia="zh-CN"/>
        </w:rPr>
        <w:t>: 3119-3130 [PMID: 15322172 DOI: 10.4049/jimmunol.173.5.3119]]</w:t>
      </w:r>
    </w:p>
    <w:p w14:paraId="0271D727"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lastRenderedPageBreak/>
        <w:t>24 </w:t>
      </w:r>
      <w:r w:rsidRPr="009F013B">
        <w:rPr>
          <w:rFonts w:ascii="Book Antiqua" w:eastAsia="SimSun" w:hAnsi="Book Antiqua" w:cs="SimSun"/>
          <w:b/>
          <w:bCs/>
          <w:color w:val="000000"/>
          <w:sz w:val="24"/>
          <w:szCs w:val="24"/>
          <w:lang w:eastAsia="zh-CN"/>
        </w:rPr>
        <w:t>Saruta M</w:t>
      </w:r>
      <w:r w:rsidRPr="009F013B">
        <w:rPr>
          <w:rFonts w:ascii="Book Antiqua" w:eastAsia="SimSun" w:hAnsi="Book Antiqua" w:cs="SimSun"/>
          <w:color w:val="000000"/>
          <w:sz w:val="24"/>
          <w:szCs w:val="24"/>
          <w:lang w:eastAsia="zh-CN"/>
        </w:rPr>
        <w:t xml:space="preserve">, Yu QT, Fleshner PR, Mantel PY, Schmidt-Weber CB, Banham AH, Papadakis KA. Characterization of FOXP3+CD4+ regulatory T cells in Crohn's disease. </w:t>
      </w:r>
      <w:r w:rsidRPr="009F013B">
        <w:rPr>
          <w:rFonts w:ascii="Book Antiqua" w:eastAsia="SimSun" w:hAnsi="Book Antiqua" w:cs="SimSun"/>
          <w:i/>
          <w:iCs/>
          <w:color w:val="000000"/>
          <w:sz w:val="24"/>
          <w:szCs w:val="24"/>
          <w:lang w:eastAsia="zh-CN"/>
        </w:rPr>
        <w:t>Clin Immunol</w:t>
      </w:r>
      <w:r w:rsidRPr="009F013B">
        <w:rPr>
          <w:rFonts w:ascii="Book Antiqua" w:eastAsia="SimSun" w:hAnsi="Book Antiqua" w:cs="SimSun"/>
          <w:color w:val="000000"/>
          <w:sz w:val="24"/>
          <w:szCs w:val="24"/>
          <w:lang w:eastAsia="zh-CN"/>
        </w:rPr>
        <w:t> 2007; </w:t>
      </w:r>
      <w:r w:rsidRPr="009F013B">
        <w:rPr>
          <w:rFonts w:ascii="Book Antiqua" w:eastAsia="SimSun" w:hAnsi="Book Antiqua" w:cs="SimSun"/>
          <w:b/>
          <w:bCs/>
          <w:color w:val="000000"/>
          <w:sz w:val="24"/>
          <w:szCs w:val="24"/>
          <w:lang w:eastAsia="zh-CN"/>
        </w:rPr>
        <w:t>125</w:t>
      </w:r>
      <w:r w:rsidRPr="009F013B">
        <w:rPr>
          <w:rFonts w:ascii="Book Antiqua" w:eastAsia="SimSun" w:hAnsi="Book Antiqua" w:cs="SimSun"/>
          <w:color w:val="000000"/>
          <w:sz w:val="24"/>
          <w:szCs w:val="24"/>
          <w:lang w:eastAsia="zh-CN"/>
        </w:rPr>
        <w:t>: 281-290 [PMID: 17897887 DOI: 10.1016/j.clim.2007.08.003]</w:t>
      </w:r>
    </w:p>
    <w:p w14:paraId="64579628"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25 </w:t>
      </w:r>
      <w:r w:rsidRPr="009F013B">
        <w:rPr>
          <w:rFonts w:ascii="Book Antiqua" w:eastAsia="SimSun" w:hAnsi="Book Antiqua" w:cs="SimSun"/>
          <w:b/>
          <w:bCs/>
          <w:color w:val="000000"/>
          <w:sz w:val="24"/>
          <w:szCs w:val="24"/>
          <w:lang w:eastAsia="zh-CN"/>
        </w:rPr>
        <w:t>Yu QT</w:t>
      </w:r>
      <w:r w:rsidRPr="009F013B">
        <w:rPr>
          <w:rFonts w:ascii="Book Antiqua" w:eastAsia="SimSun" w:hAnsi="Book Antiqua" w:cs="SimSun"/>
          <w:color w:val="000000"/>
          <w:sz w:val="24"/>
          <w:szCs w:val="24"/>
          <w:lang w:eastAsia="zh-CN"/>
        </w:rPr>
        <w:t>, Saruta M, Avanesyan A, Fleshner PR, Banham AH, Papadakis KA. Expression and functional characterization of FOXP3+ CD4+ regulatory T cells in ulcerative colitis. </w:t>
      </w:r>
      <w:r w:rsidRPr="009F013B">
        <w:rPr>
          <w:rFonts w:ascii="Book Antiqua" w:eastAsia="SimSun" w:hAnsi="Book Antiqua" w:cs="SimSun"/>
          <w:i/>
          <w:iCs/>
          <w:color w:val="000000"/>
          <w:sz w:val="24"/>
          <w:szCs w:val="24"/>
          <w:lang w:eastAsia="zh-CN"/>
        </w:rPr>
        <w:t>Inflamm Bowel Dis</w:t>
      </w:r>
      <w:r w:rsidRPr="009F013B">
        <w:rPr>
          <w:rFonts w:ascii="Book Antiqua" w:eastAsia="SimSun" w:hAnsi="Book Antiqua" w:cs="SimSun"/>
          <w:color w:val="000000"/>
          <w:sz w:val="24"/>
          <w:szCs w:val="24"/>
          <w:lang w:eastAsia="zh-CN"/>
        </w:rPr>
        <w:t> 2007; </w:t>
      </w:r>
      <w:r w:rsidRPr="009F013B">
        <w:rPr>
          <w:rFonts w:ascii="Book Antiqua" w:eastAsia="SimSun" w:hAnsi="Book Antiqua" w:cs="SimSun"/>
          <w:b/>
          <w:bCs/>
          <w:color w:val="000000"/>
          <w:sz w:val="24"/>
          <w:szCs w:val="24"/>
          <w:lang w:eastAsia="zh-CN"/>
        </w:rPr>
        <w:t>13</w:t>
      </w:r>
      <w:r w:rsidRPr="009F013B">
        <w:rPr>
          <w:rFonts w:ascii="Book Antiqua" w:eastAsia="SimSun" w:hAnsi="Book Antiqua" w:cs="SimSun"/>
          <w:color w:val="000000"/>
          <w:sz w:val="24"/>
          <w:szCs w:val="24"/>
          <w:lang w:eastAsia="zh-CN"/>
        </w:rPr>
        <w:t>: 191-199 [PMID: 17206665 DOI: 10.1002/ibd.20053]</w:t>
      </w:r>
    </w:p>
    <w:p w14:paraId="0F287612"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26 </w:t>
      </w:r>
      <w:r w:rsidRPr="009F013B">
        <w:rPr>
          <w:rFonts w:ascii="Book Antiqua" w:eastAsia="SimSun" w:hAnsi="Book Antiqua" w:cs="SimSun"/>
          <w:b/>
          <w:bCs/>
          <w:color w:val="000000"/>
          <w:sz w:val="24"/>
          <w:szCs w:val="24"/>
          <w:lang w:eastAsia="zh-CN"/>
        </w:rPr>
        <w:t>Maul J</w:t>
      </w:r>
      <w:r w:rsidRPr="009F013B">
        <w:rPr>
          <w:rFonts w:ascii="Book Antiqua" w:eastAsia="SimSun" w:hAnsi="Book Antiqua" w:cs="SimSun"/>
          <w:color w:val="000000"/>
          <w:sz w:val="24"/>
          <w:szCs w:val="24"/>
          <w:lang w:eastAsia="zh-CN"/>
        </w:rPr>
        <w:t>, Loddenkemper C, Mundt P, Berg E, Giese T, Stallmach A, Zeitz M, Duchmann R. Peripheral and intestinal regulatory CD4+ CD25(high) T cells in inflammatory bowel disease. </w:t>
      </w:r>
      <w:r w:rsidRPr="009F013B">
        <w:rPr>
          <w:rFonts w:ascii="Book Antiqua" w:eastAsia="SimSun" w:hAnsi="Book Antiqua" w:cs="SimSun"/>
          <w:i/>
          <w:iCs/>
          <w:color w:val="000000"/>
          <w:sz w:val="24"/>
          <w:szCs w:val="24"/>
          <w:lang w:eastAsia="zh-CN"/>
        </w:rPr>
        <w:t>Gastroenterology</w:t>
      </w:r>
      <w:r w:rsidRPr="009F013B">
        <w:rPr>
          <w:rFonts w:ascii="Book Antiqua" w:eastAsia="SimSun" w:hAnsi="Book Antiqua" w:cs="SimSun"/>
          <w:color w:val="000000"/>
          <w:sz w:val="24"/>
          <w:szCs w:val="24"/>
          <w:lang w:eastAsia="zh-CN"/>
        </w:rPr>
        <w:t> 2005; </w:t>
      </w:r>
      <w:r w:rsidRPr="009F013B">
        <w:rPr>
          <w:rFonts w:ascii="Book Antiqua" w:eastAsia="SimSun" w:hAnsi="Book Antiqua" w:cs="SimSun"/>
          <w:b/>
          <w:bCs/>
          <w:color w:val="000000"/>
          <w:sz w:val="24"/>
          <w:szCs w:val="24"/>
          <w:lang w:eastAsia="zh-CN"/>
        </w:rPr>
        <w:t>128</w:t>
      </w:r>
      <w:r w:rsidRPr="009F013B">
        <w:rPr>
          <w:rFonts w:ascii="Book Antiqua" w:eastAsia="SimSun" w:hAnsi="Book Antiqua" w:cs="SimSun"/>
          <w:color w:val="000000"/>
          <w:sz w:val="24"/>
          <w:szCs w:val="24"/>
          <w:lang w:eastAsia="zh-CN"/>
        </w:rPr>
        <w:t>: 1868-1878 [PMID: 15940622 DOI: 10.1053/j.gastro.2005.03.043]</w:t>
      </w:r>
    </w:p>
    <w:p w14:paraId="1E464C7C"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27 </w:t>
      </w:r>
      <w:r w:rsidRPr="009F013B">
        <w:rPr>
          <w:rFonts w:ascii="Book Antiqua" w:eastAsia="SimSun" w:hAnsi="Book Antiqua" w:cs="SimSun"/>
          <w:b/>
          <w:bCs/>
          <w:color w:val="000000"/>
          <w:sz w:val="24"/>
          <w:szCs w:val="24"/>
          <w:lang w:eastAsia="zh-CN"/>
        </w:rPr>
        <w:t>Thornton AM</w:t>
      </w:r>
      <w:r w:rsidRPr="009F013B">
        <w:rPr>
          <w:rFonts w:ascii="Book Antiqua" w:eastAsia="SimSun" w:hAnsi="Book Antiqua" w:cs="SimSun"/>
          <w:color w:val="000000"/>
          <w:sz w:val="24"/>
          <w:szCs w:val="24"/>
          <w:lang w:eastAsia="zh-CN"/>
        </w:rPr>
        <w:t>, Korty PE, Tran DQ, Wohlfert EA, Murray PE, Belkaid Y, Shevach EM. Expression of Helios, an Ikaros transcription factor family member, differentiates thymic-derived from peripherally induced Foxp3+ T regulatory cells. </w:t>
      </w:r>
      <w:r w:rsidRPr="009F013B">
        <w:rPr>
          <w:rFonts w:ascii="Book Antiqua" w:eastAsia="SimSun" w:hAnsi="Book Antiqua" w:cs="SimSun"/>
          <w:i/>
          <w:iCs/>
          <w:color w:val="000000"/>
          <w:sz w:val="24"/>
          <w:szCs w:val="24"/>
          <w:lang w:eastAsia="zh-CN"/>
        </w:rPr>
        <w:t>J Immunol</w:t>
      </w:r>
      <w:r w:rsidRPr="009F013B">
        <w:rPr>
          <w:rFonts w:ascii="Book Antiqua" w:eastAsia="SimSun" w:hAnsi="Book Antiqua" w:cs="SimSun"/>
          <w:color w:val="000000"/>
          <w:sz w:val="24"/>
          <w:szCs w:val="24"/>
          <w:lang w:eastAsia="zh-CN"/>
        </w:rPr>
        <w:t> 2010; </w:t>
      </w:r>
      <w:r w:rsidRPr="009F013B">
        <w:rPr>
          <w:rFonts w:ascii="Book Antiqua" w:eastAsia="SimSun" w:hAnsi="Book Antiqua" w:cs="SimSun"/>
          <w:b/>
          <w:bCs/>
          <w:color w:val="000000"/>
          <w:sz w:val="24"/>
          <w:szCs w:val="24"/>
          <w:lang w:eastAsia="zh-CN"/>
        </w:rPr>
        <w:t>184</w:t>
      </w:r>
      <w:r w:rsidRPr="009F013B">
        <w:rPr>
          <w:rFonts w:ascii="Book Antiqua" w:eastAsia="SimSun" w:hAnsi="Book Antiqua" w:cs="SimSun"/>
          <w:color w:val="000000"/>
          <w:sz w:val="24"/>
          <w:szCs w:val="24"/>
          <w:lang w:eastAsia="zh-CN"/>
        </w:rPr>
        <w:t>: 3433-3441 [PMID: 20181882 DOI: 10.4049/jimmunol.0904028]</w:t>
      </w:r>
    </w:p>
    <w:p w14:paraId="09F0F084"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28 </w:t>
      </w:r>
      <w:r w:rsidRPr="009F013B">
        <w:rPr>
          <w:rFonts w:ascii="Book Antiqua" w:eastAsia="SimSun" w:hAnsi="Book Antiqua" w:cs="SimSun"/>
          <w:b/>
          <w:bCs/>
          <w:color w:val="000000"/>
          <w:sz w:val="24"/>
          <w:szCs w:val="24"/>
          <w:lang w:eastAsia="zh-CN"/>
        </w:rPr>
        <w:t>Baert F</w:t>
      </w:r>
      <w:r w:rsidRPr="009F013B">
        <w:rPr>
          <w:rFonts w:ascii="Book Antiqua" w:eastAsia="SimSun" w:hAnsi="Book Antiqua" w:cs="SimSun"/>
          <w:color w:val="000000"/>
          <w:sz w:val="24"/>
          <w:szCs w:val="24"/>
          <w:lang w:eastAsia="zh-CN"/>
        </w:rPr>
        <w:t>, Noman M, Vermeire S, Van Assche G, D' Haens G, Carbonez A, Rutgeerts P. Influence of immunogenicity on the long-term efficacy of infliximab in Crohn's disease. </w:t>
      </w:r>
      <w:r w:rsidRPr="009F013B">
        <w:rPr>
          <w:rFonts w:ascii="Book Antiqua" w:eastAsia="SimSun" w:hAnsi="Book Antiqua" w:cs="SimSun"/>
          <w:i/>
          <w:iCs/>
          <w:color w:val="000000"/>
          <w:sz w:val="24"/>
          <w:szCs w:val="24"/>
          <w:lang w:eastAsia="zh-CN"/>
        </w:rPr>
        <w:t>N Engl J Med</w:t>
      </w:r>
      <w:r w:rsidRPr="009F013B">
        <w:rPr>
          <w:rFonts w:ascii="Book Antiqua" w:eastAsia="SimSun" w:hAnsi="Book Antiqua" w:cs="SimSun"/>
          <w:color w:val="000000"/>
          <w:sz w:val="24"/>
          <w:szCs w:val="24"/>
          <w:lang w:eastAsia="zh-CN"/>
        </w:rPr>
        <w:t> 2003; </w:t>
      </w:r>
      <w:r w:rsidRPr="009F013B">
        <w:rPr>
          <w:rFonts w:ascii="Book Antiqua" w:eastAsia="SimSun" w:hAnsi="Book Antiqua" w:cs="SimSun"/>
          <w:b/>
          <w:bCs/>
          <w:color w:val="000000"/>
          <w:sz w:val="24"/>
          <w:szCs w:val="24"/>
          <w:lang w:eastAsia="zh-CN"/>
        </w:rPr>
        <w:t>348</w:t>
      </w:r>
      <w:r w:rsidRPr="009F013B">
        <w:rPr>
          <w:rFonts w:ascii="Book Antiqua" w:eastAsia="SimSun" w:hAnsi="Book Antiqua" w:cs="SimSun"/>
          <w:color w:val="000000"/>
          <w:sz w:val="24"/>
          <w:szCs w:val="24"/>
          <w:lang w:eastAsia="zh-CN"/>
        </w:rPr>
        <w:t>: 601-608 [PMID: 12584368 DOI: 10.1056/NEJMoa020888]</w:t>
      </w:r>
    </w:p>
    <w:p w14:paraId="7B47A5A8"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29 </w:t>
      </w:r>
      <w:r w:rsidRPr="009F013B">
        <w:rPr>
          <w:rFonts w:ascii="Book Antiqua" w:eastAsia="SimSun" w:hAnsi="Book Antiqua" w:cs="SimSun"/>
          <w:b/>
          <w:bCs/>
          <w:color w:val="000000"/>
          <w:sz w:val="24"/>
          <w:szCs w:val="24"/>
          <w:lang w:eastAsia="zh-CN"/>
        </w:rPr>
        <w:t>Chung JB</w:t>
      </w:r>
      <w:r w:rsidRPr="009F013B">
        <w:rPr>
          <w:rFonts w:ascii="Book Antiqua" w:eastAsia="SimSun" w:hAnsi="Book Antiqua" w:cs="SimSun"/>
          <w:color w:val="000000"/>
          <w:sz w:val="24"/>
          <w:szCs w:val="24"/>
          <w:lang w:eastAsia="zh-CN"/>
        </w:rPr>
        <w:t>, Silverman M, Monroe JG. Transitional B cells: step by step towards immune competence. </w:t>
      </w:r>
      <w:r w:rsidRPr="009F013B">
        <w:rPr>
          <w:rFonts w:ascii="Book Antiqua" w:eastAsia="SimSun" w:hAnsi="Book Antiqua" w:cs="SimSun"/>
          <w:i/>
          <w:iCs/>
          <w:color w:val="000000"/>
          <w:sz w:val="24"/>
          <w:szCs w:val="24"/>
          <w:lang w:eastAsia="zh-CN"/>
        </w:rPr>
        <w:t>Trends Immunol</w:t>
      </w:r>
      <w:r w:rsidRPr="009F013B">
        <w:rPr>
          <w:rFonts w:ascii="Book Antiqua" w:eastAsia="SimSun" w:hAnsi="Book Antiqua" w:cs="SimSun"/>
          <w:color w:val="000000"/>
          <w:sz w:val="24"/>
          <w:szCs w:val="24"/>
          <w:lang w:eastAsia="zh-CN"/>
        </w:rPr>
        <w:t> 2003; </w:t>
      </w:r>
      <w:r w:rsidRPr="009F013B">
        <w:rPr>
          <w:rFonts w:ascii="Book Antiqua" w:eastAsia="SimSun" w:hAnsi="Book Antiqua" w:cs="SimSun"/>
          <w:b/>
          <w:bCs/>
          <w:color w:val="000000"/>
          <w:sz w:val="24"/>
          <w:szCs w:val="24"/>
          <w:lang w:eastAsia="zh-CN"/>
        </w:rPr>
        <w:t>24</w:t>
      </w:r>
      <w:r w:rsidRPr="009F013B">
        <w:rPr>
          <w:rFonts w:ascii="Book Antiqua" w:eastAsia="SimSun" w:hAnsi="Book Antiqua" w:cs="SimSun"/>
          <w:color w:val="000000"/>
          <w:sz w:val="24"/>
          <w:szCs w:val="24"/>
          <w:lang w:eastAsia="zh-CN"/>
        </w:rPr>
        <w:t>: 343-349 [PMID: 12810111 DOI: 10.1016/S1471-4906(03)00119-4]</w:t>
      </w:r>
    </w:p>
    <w:p w14:paraId="06AB1698"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30 </w:t>
      </w:r>
      <w:r w:rsidRPr="009F013B">
        <w:rPr>
          <w:rFonts w:ascii="Book Antiqua" w:eastAsia="SimSun" w:hAnsi="Book Antiqua" w:cs="SimSun"/>
          <w:b/>
          <w:bCs/>
          <w:color w:val="000000"/>
          <w:sz w:val="24"/>
          <w:szCs w:val="24"/>
          <w:lang w:eastAsia="zh-CN"/>
        </w:rPr>
        <w:t>Vos AC</w:t>
      </w:r>
      <w:r w:rsidRPr="009F013B">
        <w:rPr>
          <w:rFonts w:ascii="Book Antiqua" w:eastAsia="SimSun" w:hAnsi="Book Antiqua" w:cs="SimSun"/>
          <w:color w:val="000000"/>
          <w:sz w:val="24"/>
          <w:szCs w:val="24"/>
          <w:lang w:eastAsia="zh-CN"/>
        </w:rPr>
        <w:t>, Bakkal N, Minnee RC, Casparie MK, de Jong DJ, Dijkstra G, Stokkers P, van Bodegraven AA, Pierik M, van der Woude CJ, Oldenburg B, Hommes DW; Initiative on Crohn's and Colitis (ICC). Risk of malignant lymphoma in patients with inflammatory bowel diseases: a Dutch nationwide study. </w:t>
      </w:r>
      <w:r w:rsidRPr="009F013B">
        <w:rPr>
          <w:rFonts w:ascii="Book Antiqua" w:eastAsia="SimSun" w:hAnsi="Book Antiqua" w:cs="SimSun"/>
          <w:i/>
          <w:iCs/>
          <w:color w:val="000000"/>
          <w:sz w:val="24"/>
          <w:szCs w:val="24"/>
          <w:lang w:eastAsia="zh-CN"/>
        </w:rPr>
        <w:t>Inflamm Bowel Dis</w:t>
      </w:r>
      <w:r w:rsidRPr="009F013B">
        <w:rPr>
          <w:rFonts w:ascii="Book Antiqua" w:eastAsia="SimSun" w:hAnsi="Book Antiqua" w:cs="SimSun"/>
          <w:color w:val="000000"/>
          <w:sz w:val="24"/>
          <w:szCs w:val="24"/>
          <w:lang w:eastAsia="zh-CN"/>
        </w:rPr>
        <w:t> 2011; </w:t>
      </w:r>
      <w:r w:rsidRPr="009F013B">
        <w:rPr>
          <w:rFonts w:ascii="Book Antiqua" w:eastAsia="SimSun" w:hAnsi="Book Antiqua" w:cs="SimSun"/>
          <w:b/>
          <w:bCs/>
          <w:color w:val="000000"/>
          <w:sz w:val="24"/>
          <w:szCs w:val="24"/>
          <w:lang w:eastAsia="zh-CN"/>
        </w:rPr>
        <w:t>17</w:t>
      </w:r>
      <w:r w:rsidRPr="009F013B">
        <w:rPr>
          <w:rFonts w:ascii="Book Antiqua" w:eastAsia="SimSun" w:hAnsi="Book Antiqua" w:cs="SimSun"/>
          <w:color w:val="000000"/>
          <w:sz w:val="24"/>
          <w:szCs w:val="24"/>
          <w:lang w:eastAsia="zh-CN"/>
        </w:rPr>
        <w:t>: 1837-1845 [PMID: 21830262 DOI: 10.1002/ibd.21582]</w:t>
      </w:r>
    </w:p>
    <w:p w14:paraId="6C8E82BC"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31 </w:t>
      </w:r>
      <w:r w:rsidRPr="009F013B">
        <w:rPr>
          <w:rFonts w:ascii="Book Antiqua" w:eastAsia="SimSun" w:hAnsi="Book Antiqua" w:cs="SimSun"/>
          <w:b/>
          <w:bCs/>
          <w:color w:val="000000"/>
          <w:sz w:val="24"/>
          <w:szCs w:val="24"/>
          <w:lang w:eastAsia="zh-CN"/>
        </w:rPr>
        <w:t>Dugué PA</w:t>
      </w:r>
      <w:r w:rsidRPr="009F013B">
        <w:rPr>
          <w:rFonts w:ascii="Book Antiqua" w:eastAsia="SimSun" w:hAnsi="Book Antiqua" w:cs="SimSun"/>
          <w:color w:val="000000"/>
          <w:sz w:val="24"/>
          <w:szCs w:val="24"/>
          <w:lang w:eastAsia="zh-CN"/>
        </w:rPr>
        <w:t xml:space="preserve">, Rebolj M, Hallas J, Garred P, Lynge E. Risk of cervical cancer in women with autoimmune diseases, in relation with their use of immunosuppressants and </w:t>
      </w:r>
      <w:r w:rsidRPr="009F013B">
        <w:rPr>
          <w:rFonts w:ascii="Book Antiqua" w:eastAsia="SimSun" w:hAnsi="Book Antiqua" w:cs="SimSun"/>
          <w:color w:val="000000"/>
          <w:sz w:val="24"/>
          <w:szCs w:val="24"/>
          <w:lang w:eastAsia="zh-CN"/>
        </w:rPr>
        <w:lastRenderedPageBreak/>
        <w:t>screening: population-based cohort study. </w:t>
      </w:r>
      <w:r w:rsidRPr="009F013B">
        <w:rPr>
          <w:rFonts w:ascii="Book Antiqua" w:eastAsia="SimSun" w:hAnsi="Book Antiqua" w:cs="SimSun"/>
          <w:i/>
          <w:iCs/>
          <w:color w:val="000000"/>
          <w:sz w:val="24"/>
          <w:szCs w:val="24"/>
          <w:lang w:eastAsia="zh-CN"/>
        </w:rPr>
        <w:t>Int J Cancer</w:t>
      </w:r>
      <w:r w:rsidRPr="009F013B">
        <w:rPr>
          <w:rFonts w:ascii="Book Antiqua" w:eastAsia="SimSun" w:hAnsi="Book Antiqua" w:cs="SimSun"/>
          <w:color w:val="000000"/>
          <w:sz w:val="24"/>
          <w:szCs w:val="24"/>
          <w:lang w:eastAsia="zh-CN"/>
        </w:rPr>
        <w:t xml:space="preserve"> 2015; </w:t>
      </w:r>
      <w:r w:rsidRPr="009F013B">
        <w:rPr>
          <w:rFonts w:ascii="Book Antiqua" w:eastAsia="SimSun" w:hAnsi="Book Antiqua" w:cs="SimSun"/>
          <w:b/>
          <w:bCs/>
          <w:color w:val="000000"/>
          <w:sz w:val="24"/>
          <w:szCs w:val="24"/>
          <w:lang w:eastAsia="zh-CN"/>
        </w:rPr>
        <w:t>136</w:t>
      </w:r>
      <w:r w:rsidRPr="009F013B">
        <w:rPr>
          <w:rFonts w:ascii="Book Antiqua" w:eastAsia="SimSun" w:hAnsi="Book Antiqua" w:cs="SimSun"/>
          <w:color w:val="000000"/>
          <w:sz w:val="24"/>
          <w:szCs w:val="24"/>
          <w:lang w:eastAsia="zh-CN"/>
        </w:rPr>
        <w:t>: E711-E719 [PMID: 25220731 DOI: 10.1002/ijc.29209]</w:t>
      </w:r>
    </w:p>
    <w:p w14:paraId="323A4502"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32 </w:t>
      </w:r>
      <w:r w:rsidRPr="009F013B">
        <w:rPr>
          <w:rFonts w:ascii="Book Antiqua" w:eastAsia="SimSun" w:hAnsi="Book Antiqua" w:cs="SimSun"/>
          <w:b/>
          <w:bCs/>
          <w:color w:val="000000"/>
          <w:sz w:val="24"/>
          <w:szCs w:val="24"/>
          <w:lang w:eastAsia="zh-CN"/>
        </w:rPr>
        <w:t>Lord J</w:t>
      </w:r>
      <w:r w:rsidRPr="009F013B">
        <w:rPr>
          <w:rFonts w:ascii="Book Antiqua" w:eastAsia="SimSun" w:hAnsi="Book Antiqua" w:cs="SimSun"/>
          <w:color w:val="000000"/>
          <w:sz w:val="24"/>
          <w:szCs w:val="24"/>
          <w:lang w:eastAsia="zh-CN"/>
        </w:rPr>
        <w:t>, Chen J, Thirlby RC, Sherwood AM, Carlson CS. T-cell receptor sequencing reveals the clonal diversity and overlap of colonic effector and FOXP3+ T cells in ulcerative colitis. </w:t>
      </w:r>
      <w:r w:rsidRPr="009F013B">
        <w:rPr>
          <w:rFonts w:ascii="Book Antiqua" w:eastAsia="SimSun" w:hAnsi="Book Antiqua" w:cs="SimSun"/>
          <w:i/>
          <w:iCs/>
          <w:color w:val="000000"/>
          <w:sz w:val="24"/>
          <w:szCs w:val="24"/>
          <w:lang w:eastAsia="zh-CN"/>
        </w:rPr>
        <w:t>Inflamm Bowel Dis</w:t>
      </w:r>
      <w:r w:rsidRPr="009F013B">
        <w:rPr>
          <w:rFonts w:ascii="Book Antiqua" w:eastAsia="SimSun" w:hAnsi="Book Antiqua" w:cs="SimSun"/>
          <w:color w:val="000000"/>
          <w:sz w:val="24"/>
          <w:szCs w:val="24"/>
          <w:lang w:eastAsia="zh-CN"/>
        </w:rPr>
        <w:t> 2015; </w:t>
      </w:r>
      <w:r w:rsidRPr="009F013B">
        <w:rPr>
          <w:rFonts w:ascii="Book Antiqua" w:eastAsia="SimSun" w:hAnsi="Book Antiqua" w:cs="SimSun"/>
          <w:b/>
          <w:bCs/>
          <w:color w:val="000000"/>
          <w:sz w:val="24"/>
          <w:szCs w:val="24"/>
          <w:lang w:eastAsia="zh-CN"/>
        </w:rPr>
        <w:t>21</w:t>
      </w:r>
      <w:r w:rsidRPr="009F013B">
        <w:rPr>
          <w:rFonts w:ascii="Book Antiqua" w:eastAsia="SimSun" w:hAnsi="Book Antiqua" w:cs="SimSun"/>
          <w:color w:val="000000"/>
          <w:sz w:val="24"/>
          <w:szCs w:val="24"/>
          <w:lang w:eastAsia="zh-CN"/>
        </w:rPr>
        <w:t>: 19-30 [PMID: 25437819 DOI: 10.1097/MIB.0000000000000242]</w:t>
      </w:r>
    </w:p>
    <w:p w14:paraId="007627FC"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33 </w:t>
      </w:r>
      <w:r w:rsidRPr="009F013B">
        <w:rPr>
          <w:rFonts w:ascii="Book Antiqua" w:eastAsia="SimSun" w:hAnsi="Book Antiqua" w:cs="SimSun"/>
          <w:b/>
          <w:bCs/>
          <w:color w:val="000000"/>
          <w:sz w:val="24"/>
          <w:szCs w:val="24"/>
          <w:lang w:eastAsia="zh-CN"/>
        </w:rPr>
        <w:t>Gambineri E</w:t>
      </w:r>
      <w:r w:rsidRPr="009F013B">
        <w:rPr>
          <w:rFonts w:ascii="Book Antiqua" w:eastAsia="SimSun" w:hAnsi="Book Antiqua" w:cs="SimSun"/>
          <w:color w:val="000000"/>
          <w:sz w:val="24"/>
          <w:szCs w:val="24"/>
          <w:lang w:eastAsia="zh-CN"/>
        </w:rPr>
        <w:t>, Torgerson TR, Ochs HD. Immune dysregulation, polyendocrinopathy, enteropathy, and X-linked inheritance (IPEX), a syndrome of systemic autoimmunity caused by mutations of FOXP3, a critical regulator of T-cell homeostasis. </w:t>
      </w:r>
      <w:r w:rsidRPr="009F013B">
        <w:rPr>
          <w:rFonts w:ascii="Book Antiqua" w:eastAsia="SimSun" w:hAnsi="Book Antiqua" w:cs="SimSun"/>
          <w:i/>
          <w:iCs/>
          <w:color w:val="000000"/>
          <w:sz w:val="24"/>
          <w:szCs w:val="24"/>
          <w:lang w:eastAsia="zh-CN"/>
        </w:rPr>
        <w:t>Curr Opin Rheumatol</w:t>
      </w:r>
      <w:r w:rsidRPr="009F013B">
        <w:rPr>
          <w:rFonts w:ascii="Book Antiqua" w:eastAsia="SimSun" w:hAnsi="Book Antiqua" w:cs="SimSun"/>
          <w:color w:val="000000"/>
          <w:sz w:val="24"/>
          <w:szCs w:val="24"/>
          <w:lang w:eastAsia="zh-CN"/>
        </w:rPr>
        <w:t> 2003; </w:t>
      </w:r>
      <w:r w:rsidRPr="009F013B">
        <w:rPr>
          <w:rFonts w:ascii="Book Antiqua" w:eastAsia="SimSun" w:hAnsi="Book Antiqua" w:cs="SimSun"/>
          <w:b/>
          <w:bCs/>
          <w:color w:val="000000"/>
          <w:sz w:val="24"/>
          <w:szCs w:val="24"/>
          <w:lang w:eastAsia="zh-CN"/>
        </w:rPr>
        <w:t>15</w:t>
      </w:r>
      <w:r w:rsidRPr="009F013B">
        <w:rPr>
          <w:rFonts w:ascii="Book Antiqua" w:eastAsia="SimSun" w:hAnsi="Book Antiqua" w:cs="SimSun"/>
          <w:color w:val="000000"/>
          <w:sz w:val="24"/>
          <w:szCs w:val="24"/>
          <w:lang w:eastAsia="zh-CN"/>
        </w:rPr>
        <w:t>: 430-435 [PMID: 12819471 DOI: 10.1097/00002281-200307000-00010.]</w:t>
      </w:r>
    </w:p>
    <w:p w14:paraId="4FE8A23F"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34 </w:t>
      </w:r>
      <w:r w:rsidRPr="009F013B">
        <w:rPr>
          <w:rFonts w:ascii="Book Antiqua" w:eastAsia="SimSun" w:hAnsi="Book Antiqua" w:cs="SimSun"/>
          <w:b/>
          <w:bCs/>
          <w:color w:val="000000"/>
          <w:sz w:val="24"/>
          <w:szCs w:val="24"/>
          <w:lang w:eastAsia="zh-CN"/>
        </w:rPr>
        <w:t>Serriari NE</w:t>
      </w:r>
      <w:r w:rsidRPr="009F013B">
        <w:rPr>
          <w:rFonts w:ascii="Book Antiqua" w:eastAsia="SimSun" w:hAnsi="Book Antiqua" w:cs="SimSun"/>
          <w:color w:val="000000"/>
          <w:sz w:val="24"/>
          <w:szCs w:val="24"/>
          <w:lang w:eastAsia="zh-CN"/>
        </w:rPr>
        <w:t>, Eoche M, Lamotte L, Lion J, Fumery M, Marcelo P, Chatelain D, Barre A, Nguyen-Khac E, Lantz O, Dupas JL, Treiner E. Innate mucosal-associated invariant T (MAIT) cells are activated in inflammatory bowel diseases. </w:t>
      </w:r>
      <w:r w:rsidRPr="009F013B">
        <w:rPr>
          <w:rFonts w:ascii="Book Antiqua" w:eastAsia="SimSun" w:hAnsi="Book Antiqua" w:cs="SimSun"/>
          <w:i/>
          <w:iCs/>
          <w:color w:val="000000"/>
          <w:sz w:val="24"/>
          <w:szCs w:val="24"/>
          <w:lang w:eastAsia="zh-CN"/>
        </w:rPr>
        <w:t>Clin Exp Immunol</w:t>
      </w:r>
      <w:r w:rsidRPr="009F013B">
        <w:rPr>
          <w:rFonts w:ascii="Book Antiqua" w:eastAsia="SimSun" w:hAnsi="Book Antiqua" w:cs="SimSun"/>
          <w:color w:val="000000"/>
          <w:sz w:val="24"/>
          <w:szCs w:val="24"/>
          <w:lang w:eastAsia="zh-CN"/>
        </w:rPr>
        <w:t> 2014; </w:t>
      </w:r>
      <w:r w:rsidRPr="009F013B">
        <w:rPr>
          <w:rFonts w:ascii="Book Antiqua" w:eastAsia="SimSun" w:hAnsi="Book Antiqua" w:cs="SimSun"/>
          <w:b/>
          <w:bCs/>
          <w:color w:val="000000"/>
          <w:sz w:val="24"/>
          <w:szCs w:val="24"/>
          <w:lang w:eastAsia="zh-CN"/>
        </w:rPr>
        <w:t>176</w:t>
      </w:r>
      <w:r w:rsidRPr="009F013B">
        <w:rPr>
          <w:rFonts w:ascii="Book Antiqua" w:eastAsia="SimSun" w:hAnsi="Book Antiqua" w:cs="SimSun"/>
          <w:color w:val="000000"/>
          <w:sz w:val="24"/>
          <w:szCs w:val="24"/>
          <w:lang w:eastAsia="zh-CN"/>
        </w:rPr>
        <w:t>: 266-274 [PMID: 24450998 DOI: 10.1111/cei.12277]</w:t>
      </w:r>
    </w:p>
    <w:p w14:paraId="2AA53177"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35 </w:t>
      </w:r>
      <w:r w:rsidRPr="009F013B">
        <w:rPr>
          <w:rFonts w:ascii="Book Antiqua" w:eastAsia="SimSun" w:hAnsi="Book Antiqua" w:cs="SimSun"/>
          <w:b/>
          <w:bCs/>
          <w:color w:val="000000"/>
          <w:sz w:val="24"/>
          <w:szCs w:val="24"/>
          <w:lang w:eastAsia="zh-CN"/>
        </w:rPr>
        <w:t>Dusseaux M</w:t>
      </w:r>
      <w:r w:rsidRPr="009F013B">
        <w:rPr>
          <w:rFonts w:ascii="Book Antiqua" w:eastAsia="SimSun" w:hAnsi="Book Antiqua" w:cs="SimSun"/>
          <w:color w:val="000000"/>
          <w:sz w:val="24"/>
          <w:szCs w:val="24"/>
          <w:lang w:eastAsia="zh-CN"/>
        </w:rPr>
        <w:t>, Martin E, Serriari N, Péguillet I, Premel V, Louis D, Milder M, Le Bourhis L, Soudais C, Treiner E, Lantz O. Human MAIT cells are xenobiotic-resistant, tissue-targeted, CD161hi IL-17-secreting T cells. </w:t>
      </w:r>
      <w:r w:rsidRPr="009F013B">
        <w:rPr>
          <w:rFonts w:ascii="Book Antiqua" w:eastAsia="SimSun" w:hAnsi="Book Antiqua" w:cs="SimSun"/>
          <w:i/>
          <w:iCs/>
          <w:color w:val="000000"/>
          <w:sz w:val="24"/>
          <w:szCs w:val="24"/>
          <w:lang w:eastAsia="zh-CN"/>
        </w:rPr>
        <w:t>Blood</w:t>
      </w:r>
      <w:r w:rsidRPr="009F013B">
        <w:rPr>
          <w:rFonts w:ascii="Book Antiqua" w:eastAsia="SimSun" w:hAnsi="Book Antiqua" w:cs="SimSun"/>
          <w:color w:val="000000"/>
          <w:sz w:val="24"/>
          <w:szCs w:val="24"/>
          <w:lang w:eastAsia="zh-CN"/>
        </w:rPr>
        <w:t xml:space="preserve"> 2011; </w:t>
      </w:r>
      <w:r w:rsidRPr="009F013B">
        <w:rPr>
          <w:rFonts w:ascii="Book Antiqua" w:eastAsia="SimSun" w:hAnsi="Book Antiqua" w:cs="SimSun"/>
          <w:b/>
          <w:bCs/>
          <w:color w:val="000000"/>
          <w:sz w:val="24"/>
          <w:szCs w:val="24"/>
          <w:lang w:eastAsia="zh-CN"/>
        </w:rPr>
        <w:t>117</w:t>
      </w:r>
      <w:r w:rsidRPr="009F013B">
        <w:rPr>
          <w:rFonts w:ascii="Book Antiqua" w:eastAsia="SimSun" w:hAnsi="Book Antiqua" w:cs="SimSun"/>
          <w:color w:val="000000"/>
          <w:sz w:val="24"/>
          <w:szCs w:val="24"/>
          <w:lang w:eastAsia="zh-CN"/>
        </w:rPr>
        <w:t>: 1250-1259 [PMID: 21084709 DOI: 10.1182/blood-2010-08-303339]</w:t>
      </w:r>
    </w:p>
    <w:p w14:paraId="1E677AB9"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36 </w:t>
      </w:r>
      <w:r w:rsidRPr="009F013B">
        <w:rPr>
          <w:rFonts w:ascii="Book Antiqua" w:eastAsia="SimSun" w:hAnsi="Book Antiqua" w:cs="SimSun"/>
          <w:b/>
          <w:bCs/>
          <w:color w:val="000000"/>
          <w:sz w:val="24"/>
          <w:szCs w:val="24"/>
          <w:lang w:eastAsia="zh-CN"/>
        </w:rPr>
        <w:t>Nooter K</w:t>
      </w:r>
      <w:r w:rsidRPr="009F013B">
        <w:rPr>
          <w:rFonts w:ascii="Book Antiqua" w:eastAsia="SimSun" w:hAnsi="Book Antiqua" w:cs="SimSun"/>
          <w:color w:val="000000"/>
          <w:sz w:val="24"/>
          <w:szCs w:val="24"/>
          <w:lang w:eastAsia="zh-CN"/>
        </w:rPr>
        <w:t xml:space="preserve">, Herweijer H. Multidrug resistance (mdr) genes in human cancer. </w:t>
      </w:r>
      <w:r w:rsidRPr="009F013B">
        <w:rPr>
          <w:rFonts w:ascii="Book Antiqua" w:eastAsia="SimSun" w:hAnsi="Book Antiqua" w:cs="SimSun"/>
          <w:i/>
          <w:iCs/>
          <w:color w:val="000000"/>
          <w:sz w:val="24"/>
          <w:szCs w:val="24"/>
          <w:lang w:eastAsia="zh-CN"/>
        </w:rPr>
        <w:t>Br J Cancer</w:t>
      </w:r>
      <w:r w:rsidRPr="009F013B">
        <w:rPr>
          <w:rFonts w:ascii="Book Antiqua" w:eastAsia="SimSun" w:hAnsi="Book Antiqua" w:cs="SimSun"/>
          <w:color w:val="000000"/>
          <w:sz w:val="24"/>
          <w:szCs w:val="24"/>
          <w:lang w:eastAsia="zh-CN"/>
        </w:rPr>
        <w:t> 1991; </w:t>
      </w:r>
      <w:r w:rsidRPr="009F013B">
        <w:rPr>
          <w:rFonts w:ascii="Book Antiqua" w:eastAsia="SimSun" w:hAnsi="Book Antiqua" w:cs="SimSun"/>
          <w:b/>
          <w:bCs/>
          <w:color w:val="000000"/>
          <w:sz w:val="24"/>
          <w:szCs w:val="24"/>
          <w:lang w:eastAsia="zh-CN"/>
        </w:rPr>
        <w:t>63</w:t>
      </w:r>
      <w:r w:rsidRPr="009F013B">
        <w:rPr>
          <w:rFonts w:ascii="Book Antiqua" w:eastAsia="SimSun" w:hAnsi="Book Antiqua" w:cs="SimSun"/>
          <w:color w:val="000000"/>
          <w:sz w:val="24"/>
          <w:szCs w:val="24"/>
          <w:lang w:eastAsia="zh-CN"/>
        </w:rPr>
        <w:t>: 663-669 [PMID: 1674875 DOI: 10.1038/bjc.1991.152]</w:t>
      </w:r>
    </w:p>
    <w:p w14:paraId="02DBD28B" w14:textId="77777777" w:rsidR="009F013B" w:rsidRPr="009F013B" w:rsidRDefault="009F013B" w:rsidP="009F013B">
      <w:pPr>
        <w:snapToGrid w:val="0"/>
        <w:spacing w:after="0" w:line="360" w:lineRule="auto"/>
        <w:jc w:val="both"/>
        <w:rPr>
          <w:rFonts w:ascii="Book Antiqua" w:eastAsia="SimSun" w:hAnsi="Book Antiqua" w:cs="SimSun"/>
          <w:color w:val="000000"/>
          <w:sz w:val="24"/>
          <w:szCs w:val="24"/>
          <w:lang w:eastAsia="zh-CN"/>
        </w:rPr>
      </w:pPr>
      <w:r w:rsidRPr="009F013B">
        <w:rPr>
          <w:rFonts w:ascii="Book Antiqua" w:eastAsia="SimSun" w:hAnsi="Book Antiqua" w:cs="SimSun"/>
          <w:color w:val="000000"/>
          <w:sz w:val="24"/>
          <w:szCs w:val="24"/>
          <w:lang w:eastAsia="zh-CN"/>
        </w:rPr>
        <w:t>37 </w:t>
      </w:r>
      <w:r w:rsidRPr="009F013B">
        <w:rPr>
          <w:rFonts w:ascii="Book Antiqua" w:eastAsia="SimSun" w:hAnsi="Book Antiqua" w:cs="SimSun"/>
          <w:b/>
          <w:bCs/>
          <w:color w:val="000000"/>
          <w:sz w:val="24"/>
          <w:szCs w:val="24"/>
          <w:lang w:eastAsia="zh-CN"/>
        </w:rPr>
        <w:t>Kaldjian E</w:t>
      </w:r>
      <w:r w:rsidRPr="009F013B">
        <w:rPr>
          <w:rFonts w:ascii="Book Antiqua" w:eastAsia="SimSun" w:hAnsi="Book Antiqua" w:cs="SimSun"/>
          <w:color w:val="000000"/>
          <w:sz w:val="24"/>
          <w:szCs w:val="24"/>
          <w:lang w:eastAsia="zh-CN"/>
        </w:rPr>
        <w:t>, McCarthy SA, Sharrow SO, Littman DR, Klausner RD, Singer A. Nonequivalent effects of PKC activation by PMA on murine CD4 and CD8 cell-surface expression. </w:t>
      </w:r>
      <w:r w:rsidRPr="009F013B">
        <w:rPr>
          <w:rFonts w:ascii="Book Antiqua" w:eastAsia="SimSun" w:hAnsi="Book Antiqua" w:cs="SimSun"/>
          <w:i/>
          <w:iCs/>
          <w:color w:val="000000"/>
          <w:sz w:val="24"/>
          <w:szCs w:val="24"/>
          <w:lang w:eastAsia="zh-CN"/>
        </w:rPr>
        <w:t>FASEB J</w:t>
      </w:r>
      <w:r w:rsidRPr="009F013B">
        <w:rPr>
          <w:rFonts w:ascii="Book Antiqua" w:eastAsia="SimSun" w:hAnsi="Book Antiqua" w:cs="SimSun"/>
          <w:color w:val="000000"/>
          <w:sz w:val="24"/>
          <w:szCs w:val="24"/>
          <w:lang w:eastAsia="zh-CN"/>
        </w:rPr>
        <w:t> 1988; </w:t>
      </w:r>
      <w:r w:rsidRPr="009F013B">
        <w:rPr>
          <w:rFonts w:ascii="Book Antiqua" w:eastAsia="SimSun" w:hAnsi="Book Antiqua" w:cs="SimSun"/>
          <w:b/>
          <w:bCs/>
          <w:color w:val="000000"/>
          <w:sz w:val="24"/>
          <w:szCs w:val="24"/>
          <w:lang w:eastAsia="zh-CN"/>
        </w:rPr>
        <w:t>2</w:t>
      </w:r>
      <w:r w:rsidRPr="009F013B">
        <w:rPr>
          <w:rFonts w:ascii="Book Antiqua" w:eastAsia="SimSun" w:hAnsi="Book Antiqua" w:cs="SimSun"/>
          <w:color w:val="000000"/>
          <w:sz w:val="24"/>
          <w:szCs w:val="24"/>
          <w:lang w:eastAsia="zh-CN"/>
        </w:rPr>
        <w:t>: 2801-2806 [PMID: 3261700]</w:t>
      </w:r>
    </w:p>
    <w:p w14:paraId="4628CEFA" w14:textId="77777777" w:rsidR="009F013B" w:rsidRPr="009F013B" w:rsidRDefault="009F013B" w:rsidP="009F013B">
      <w:pPr>
        <w:snapToGrid w:val="0"/>
        <w:spacing w:after="0" w:line="360" w:lineRule="auto"/>
        <w:jc w:val="right"/>
        <w:rPr>
          <w:rFonts w:ascii="Book Antiqua" w:eastAsia="SimSun" w:hAnsi="Book Antiqua" w:cs="Times New Roman"/>
          <w:sz w:val="24"/>
          <w:szCs w:val="24"/>
          <w:lang w:eastAsia="zh-CN"/>
        </w:rPr>
      </w:pPr>
      <w:bookmarkStart w:id="139" w:name="OLE_LINK1169"/>
      <w:bookmarkStart w:id="140" w:name="OLE_LINK1074"/>
      <w:bookmarkStart w:id="141" w:name="OLE_LINK1175"/>
      <w:bookmarkStart w:id="142" w:name="OLE_LINK1158"/>
      <w:bookmarkStart w:id="143" w:name="OLE_LINK1056"/>
      <w:bookmarkStart w:id="144" w:name="OLE_LINK1288"/>
      <w:bookmarkStart w:id="145" w:name="OLE_LINK1241"/>
      <w:bookmarkStart w:id="146" w:name="OLE_LINK1200"/>
      <w:bookmarkStart w:id="147" w:name="OLE_LINK1167"/>
      <w:bookmarkStart w:id="148" w:name="OLE_LINK1137"/>
      <w:bookmarkStart w:id="149" w:name="OLE_LINK1174"/>
      <w:bookmarkStart w:id="150" w:name="OLE_LINK1059"/>
      <w:bookmarkStart w:id="151" w:name="OLE_LINK930"/>
      <w:bookmarkStart w:id="152" w:name="OLE_LINK911"/>
      <w:bookmarkStart w:id="153" w:name="OLE_LINK946"/>
      <w:bookmarkStart w:id="154" w:name="OLE_LINK1052"/>
      <w:bookmarkStart w:id="155" w:name="OLE_LINK993"/>
      <w:bookmarkStart w:id="156" w:name="OLE_LINK992"/>
      <w:bookmarkStart w:id="157" w:name="OLE_LINK906"/>
      <w:bookmarkStart w:id="158" w:name="OLE_LINK909"/>
      <w:bookmarkStart w:id="159" w:name="OLE_LINK847"/>
      <w:bookmarkStart w:id="160" w:name="OLE_LINK1030"/>
      <w:bookmarkStart w:id="161" w:name="OLE_LINK981"/>
      <w:bookmarkStart w:id="162" w:name="OLE_LINK943"/>
      <w:bookmarkStart w:id="163" w:name="OLE_LINK891"/>
      <w:bookmarkStart w:id="164" w:name="OLE_LINK1106"/>
      <w:bookmarkStart w:id="165" w:name="OLE_LINK1076"/>
      <w:bookmarkStart w:id="166" w:name="OLE_LINK1049"/>
      <w:bookmarkStart w:id="167" w:name="OLE_LINK1018"/>
      <w:bookmarkStart w:id="168" w:name="OLE_LINK980"/>
      <w:bookmarkStart w:id="169" w:name="OLE_LINK908"/>
      <w:bookmarkStart w:id="170" w:name="OLE_LINK856"/>
      <w:bookmarkStart w:id="171" w:name="OLE_LINK865"/>
      <w:bookmarkStart w:id="172" w:name="OLE_LINK826"/>
      <w:bookmarkStart w:id="173" w:name="OLE_LINK782"/>
      <w:bookmarkStart w:id="174" w:name="OLE_LINK889"/>
      <w:bookmarkStart w:id="175" w:name="OLE_LINK836"/>
      <w:bookmarkStart w:id="176" w:name="OLE_LINK2882"/>
      <w:bookmarkStart w:id="177" w:name="OLE_LINK792"/>
      <w:bookmarkStart w:id="178" w:name="OLE_LINK700"/>
      <w:bookmarkStart w:id="179" w:name="OLE_LINK642"/>
      <w:bookmarkStart w:id="180" w:name="OLE_LINK833"/>
      <w:bookmarkStart w:id="181" w:name="OLE_LINK781"/>
      <w:bookmarkStart w:id="182" w:name="OLE_LINK660"/>
      <w:bookmarkStart w:id="183" w:name="OLE_LINK801"/>
      <w:bookmarkStart w:id="184" w:name="OLE_LINK770"/>
      <w:bookmarkStart w:id="185" w:name="OLE_LINK716"/>
      <w:bookmarkStart w:id="186" w:name="OLE_LINK593"/>
      <w:bookmarkStart w:id="187" w:name="OLE_LINK714"/>
      <w:bookmarkStart w:id="188" w:name="OLE_LINK640"/>
      <w:bookmarkStart w:id="189" w:name="OLE_LINK582"/>
      <w:bookmarkStart w:id="190" w:name="OLE_LINK589"/>
      <w:bookmarkStart w:id="191" w:name="OLE_LINK542"/>
      <w:bookmarkStart w:id="192" w:name="OLE_LINK722"/>
      <w:bookmarkStart w:id="193" w:name="OLE_LINK688"/>
      <w:bookmarkStart w:id="194" w:name="OLE_LINK639"/>
      <w:bookmarkStart w:id="195" w:name="OLE_LINK581"/>
      <w:bookmarkStart w:id="196" w:name="OLE_LINK2700"/>
      <w:bookmarkStart w:id="197" w:name="OLE_LINK567"/>
      <w:bookmarkStart w:id="198" w:name="OLE_LINK480"/>
      <w:bookmarkStart w:id="199" w:name="OLE_LINK574"/>
      <w:bookmarkStart w:id="200" w:name="OLE_LINK572"/>
      <w:bookmarkStart w:id="201" w:name="OLE_LINK532"/>
      <w:bookmarkStart w:id="202" w:name="OLE_LINK491"/>
      <w:bookmarkStart w:id="203" w:name="OLE_LINK575"/>
      <w:bookmarkStart w:id="204" w:name="OLE_LINK519"/>
      <w:bookmarkStart w:id="205" w:name="OLE_LINK462"/>
      <w:bookmarkStart w:id="206" w:name="OLE_LINK471"/>
      <w:bookmarkStart w:id="207" w:name="OLE_LINK686"/>
      <w:bookmarkStart w:id="208" w:name="OLE_LINK648"/>
      <w:bookmarkStart w:id="209" w:name="OLE_LINK535"/>
      <w:bookmarkStart w:id="210" w:name="OLE_LINK489"/>
      <w:bookmarkStart w:id="211" w:name="OLE_LINK450"/>
      <w:bookmarkStart w:id="212" w:name="OLE_LINK303"/>
      <w:bookmarkStart w:id="213" w:name="OLE_LINK379"/>
      <w:bookmarkStart w:id="214" w:name="OLE_LINK384"/>
      <w:bookmarkStart w:id="215" w:name="OLE_LINK288"/>
      <w:bookmarkStart w:id="216" w:name="OLE_LINK457"/>
      <w:bookmarkStart w:id="217" w:name="OLE_LINK1830"/>
      <w:bookmarkStart w:id="218" w:name="OLE_LINK334"/>
      <w:bookmarkStart w:id="219" w:name="OLE_LINK371"/>
      <w:bookmarkStart w:id="220" w:name="OLE_LINK346"/>
      <w:bookmarkStart w:id="221" w:name="OLE_LINK400"/>
      <w:bookmarkStart w:id="222" w:name="OLE_LINK385"/>
      <w:bookmarkStart w:id="223" w:name="OLE_LINK321"/>
      <w:bookmarkStart w:id="224" w:name="OLE_LINK304"/>
      <w:bookmarkStart w:id="225" w:name="OLE_LINK313"/>
      <w:bookmarkStart w:id="226" w:name="OLE_LINK282"/>
      <w:bookmarkStart w:id="227" w:name="OLE_LINK281"/>
      <w:bookmarkStart w:id="228" w:name="OLE_LINK250"/>
      <w:bookmarkStart w:id="229" w:name="OLE_LINK212"/>
      <w:bookmarkStart w:id="230" w:name="OLE_LINK226"/>
      <w:bookmarkStart w:id="231" w:name="OLE_LINK207"/>
      <w:bookmarkStart w:id="232" w:name="OLE_LINK225"/>
      <w:bookmarkStart w:id="233" w:name="OLE_LINK149"/>
      <w:bookmarkStart w:id="234" w:name="OLE_LINK254"/>
      <w:bookmarkStart w:id="235" w:name="OLE_LINK183"/>
      <w:bookmarkStart w:id="236" w:name="OLE_LINK387"/>
      <w:bookmarkStart w:id="237" w:name="OLE_LINK320"/>
      <w:bookmarkStart w:id="238" w:name="OLE_LINK112"/>
      <w:bookmarkStart w:id="239" w:name="OLE_LINK72"/>
      <w:bookmarkStart w:id="240" w:name="OLE_LINK148"/>
      <w:bookmarkStart w:id="241" w:name="OLE_LINK120"/>
      <w:bookmarkStart w:id="242" w:name="OLE_LINK52"/>
      <w:bookmarkStart w:id="243" w:name="OLE_LINK51"/>
      <w:r w:rsidRPr="009F013B">
        <w:rPr>
          <w:rFonts w:ascii="Book Antiqua" w:eastAsia="SimSun" w:hAnsi="Book Antiqua" w:cs="Times New Roman"/>
          <w:b/>
          <w:bCs/>
          <w:sz w:val="24"/>
          <w:szCs w:val="24"/>
          <w:lang w:eastAsia="zh-CN"/>
        </w:rPr>
        <w:t xml:space="preserve">P-Reviewer: </w:t>
      </w:r>
      <w:r w:rsidRPr="009F013B">
        <w:rPr>
          <w:rFonts w:ascii="Book Antiqua" w:eastAsia="SimSun" w:hAnsi="Book Antiqua" w:cs="Times New Roman"/>
          <w:bCs/>
          <w:sz w:val="24"/>
          <w:szCs w:val="24"/>
          <w:lang w:eastAsia="zh-CN"/>
        </w:rPr>
        <w:t>Capasso R, Leclercq G, Yuksel I</w:t>
      </w:r>
      <w:r w:rsidRPr="009F013B">
        <w:rPr>
          <w:rFonts w:ascii="Book Antiqua" w:eastAsia="SimSun" w:hAnsi="Book Antiqua" w:cs="Times New Roman"/>
          <w:b/>
          <w:bCs/>
          <w:sz w:val="24"/>
          <w:szCs w:val="24"/>
          <w:lang w:eastAsia="zh-CN"/>
        </w:rPr>
        <w:t xml:space="preserve"> S-Editor:</w:t>
      </w:r>
      <w:r w:rsidRPr="009F013B">
        <w:rPr>
          <w:rFonts w:ascii="Book Antiqua" w:eastAsia="SimSun" w:hAnsi="Book Antiqua" w:cs="Times New Roman"/>
          <w:sz w:val="24"/>
          <w:szCs w:val="24"/>
          <w:lang w:eastAsia="zh-CN"/>
        </w:rPr>
        <w:t xml:space="preserve"> Gong ZM</w:t>
      </w:r>
    </w:p>
    <w:p w14:paraId="2699144E" w14:textId="77777777" w:rsidR="009F013B" w:rsidRPr="009F013B" w:rsidRDefault="009F013B" w:rsidP="009F013B">
      <w:pPr>
        <w:snapToGrid w:val="0"/>
        <w:spacing w:after="0" w:line="360" w:lineRule="auto"/>
        <w:jc w:val="right"/>
        <w:rPr>
          <w:rFonts w:ascii="Book Antiqua" w:eastAsia="SimSun" w:hAnsi="Book Antiqua" w:cs="Times New Roman"/>
          <w:b/>
          <w:bCs/>
          <w:sz w:val="24"/>
          <w:szCs w:val="24"/>
          <w:lang w:eastAsia="zh-CN"/>
        </w:rPr>
      </w:pPr>
      <w:r w:rsidRPr="009F013B">
        <w:rPr>
          <w:rFonts w:ascii="Book Antiqua" w:eastAsia="SimSun" w:hAnsi="Book Antiqua" w:cs="Times New Roman"/>
          <w:b/>
          <w:bCs/>
          <w:sz w:val="24"/>
          <w:szCs w:val="24"/>
          <w:lang w:eastAsia="zh-CN"/>
        </w:rPr>
        <w:t>L-Editor:</w:t>
      </w:r>
      <w:r w:rsidRPr="009F013B">
        <w:rPr>
          <w:rFonts w:ascii="Book Antiqua" w:eastAsia="SimSun" w:hAnsi="Book Antiqua" w:cs="Times New Roman"/>
          <w:sz w:val="24"/>
          <w:szCs w:val="24"/>
          <w:lang w:eastAsia="zh-CN"/>
        </w:rPr>
        <w:t xml:space="preserve"> </w:t>
      </w:r>
      <w:r w:rsidRPr="009F013B">
        <w:rPr>
          <w:rFonts w:ascii="Book Antiqua" w:eastAsia="SimSun" w:hAnsi="Book Antiqua" w:cs="Times New Roman"/>
          <w:b/>
          <w:bCs/>
          <w:sz w:val="24"/>
          <w:szCs w:val="24"/>
          <w:lang w:eastAsia="zh-CN"/>
        </w:rPr>
        <w:t>E-Editor:</w:t>
      </w:r>
    </w:p>
    <w:p w14:paraId="59ACC9C1" w14:textId="77777777" w:rsidR="009F013B" w:rsidRPr="009F013B" w:rsidRDefault="009F013B" w:rsidP="009F013B">
      <w:pPr>
        <w:shd w:val="clear" w:color="auto" w:fill="FFFFFF"/>
        <w:snapToGrid w:val="0"/>
        <w:spacing w:after="0" w:line="360" w:lineRule="auto"/>
        <w:jc w:val="both"/>
        <w:rPr>
          <w:rFonts w:ascii="Book Antiqua" w:eastAsia="SimSun" w:hAnsi="Book Antiqua" w:cs="Helvetica"/>
          <w:b/>
          <w:sz w:val="24"/>
          <w:szCs w:val="24"/>
          <w:lang w:eastAsia="zh-CN"/>
        </w:rPr>
      </w:pPr>
      <w:bookmarkStart w:id="244" w:name="OLE_LINK881"/>
      <w:bookmarkStart w:id="245" w:name="OLE_LINK880"/>
      <w:bookmarkStart w:id="246" w:name="OLE_LINK813"/>
      <w:bookmarkStart w:id="247" w:name="OLE_LINK49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9F013B">
        <w:rPr>
          <w:rFonts w:ascii="Book Antiqua" w:eastAsia="SimSun" w:hAnsi="Book Antiqua" w:cs="Helvetica"/>
          <w:b/>
          <w:sz w:val="24"/>
          <w:szCs w:val="24"/>
          <w:lang w:eastAsia="zh-CN"/>
        </w:rPr>
        <w:t xml:space="preserve">Specialty type: </w:t>
      </w:r>
      <w:r w:rsidRPr="009F013B">
        <w:rPr>
          <w:rFonts w:ascii="Book Antiqua" w:eastAsia="SimSun" w:hAnsi="Book Antiqua" w:cs="Helvetica"/>
          <w:sz w:val="24"/>
          <w:szCs w:val="24"/>
          <w:lang w:eastAsia="zh-CN"/>
        </w:rPr>
        <w:t>Gastroenterology and hepatology</w:t>
      </w:r>
    </w:p>
    <w:p w14:paraId="54C4CDA6" w14:textId="77777777" w:rsidR="009F013B" w:rsidRPr="009F013B" w:rsidRDefault="009F013B" w:rsidP="009F013B">
      <w:pPr>
        <w:shd w:val="clear" w:color="auto" w:fill="FFFFFF"/>
        <w:snapToGrid w:val="0"/>
        <w:spacing w:after="0" w:line="360" w:lineRule="auto"/>
        <w:jc w:val="both"/>
        <w:rPr>
          <w:rFonts w:ascii="Book Antiqua" w:eastAsia="SimSun" w:hAnsi="Book Antiqua" w:cs="Helvetica"/>
          <w:b/>
          <w:sz w:val="24"/>
          <w:szCs w:val="24"/>
          <w:lang w:eastAsia="zh-CN"/>
        </w:rPr>
      </w:pPr>
      <w:r w:rsidRPr="009F013B">
        <w:rPr>
          <w:rFonts w:ascii="Book Antiqua" w:eastAsia="SimSun" w:hAnsi="Book Antiqua" w:cs="Helvetica"/>
          <w:b/>
          <w:sz w:val="24"/>
          <w:szCs w:val="24"/>
          <w:lang w:eastAsia="zh-CN"/>
        </w:rPr>
        <w:t xml:space="preserve">Country of origin: </w:t>
      </w:r>
      <w:r w:rsidRPr="009F013B">
        <w:rPr>
          <w:rFonts w:ascii="Book Antiqua" w:eastAsia="SimSun" w:hAnsi="Book Antiqua" w:cs="Helvetica"/>
          <w:sz w:val="24"/>
          <w:szCs w:val="24"/>
          <w:lang w:val="en-CA" w:eastAsia="zh-CN"/>
        </w:rPr>
        <w:t>United States</w:t>
      </w:r>
    </w:p>
    <w:p w14:paraId="1D123FA9" w14:textId="77777777" w:rsidR="009F013B" w:rsidRPr="009F013B" w:rsidRDefault="009F013B" w:rsidP="009F013B">
      <w:pPr>
        <w:shd w:val="clear" w:color="auto" w:fill="FFFFFF"/>
        <w:snapToGrid w:val="0"/>
        <w:spacing w:after="0" w:line="360" w:lineRule="auto"/>
        <w:jc w:val="both"/>
        <w:rPr>
          <w:rFonts w:ascii="Book Antiqua" w:eastAsia="SimSun" w:hAnsi="Book Antiqua" w:cs="Helvetica"/>
          <w:b/>
          <w:sz w:val="24"/>
          <w:szCs w:val="24"/>
          <w:lang w:eastAsia="zh-CN"/>
        </w:rPr>
      </w:pPr>
      <w:r w:rsidRPr="009F013B">
        <w:rPr>
          <w:rFonts w:ascii="Book Antiqua" w:eastAsia="SimSun" w:hAnsi="Book Antiqua" w:cs="Helvetica"/>
          <w:b/>
          <w:sz w:val="24"/>
          <w:szCs w:val="24"/>
          <w:lang w:eastAsia="zh-CN"/>
        </w:rPr>
        <w:t>Peer-review report classification</w:t>
      </w:r>
    </w:p>
    <w:p w14:paraId="6020EE84" w14:textId="77777777" w:rsidR="009F013B" w:rsidRPr="009F013B" w:rsidRDefault="009F013B" w:rsidP="009F013B">
      <w:pPr>
        <w:shd w:val="clear" w:color="auto" w:fill="FFFFFF"/>
        <w:snapToGrid w:val="0"/>
        <w:spacing w:after="0" w:line="360" w:lineRule="auto"/>
        <w:jc w:val="both"/>
        <w:rPr>
          <w:rFonts w:ascii="Book Antiqua" w:eastAsia="SimSun" w:hAnsi="Book Antiqua" w:cs="Helvetica"/>
          <w:sz w:val="24"/>
          <w:szCs w:val="24"/>
          <w:lang w:eastAsia="zh-CN"/>
        </w:rPr>
      </w:pPr>
      <w:r w:rsidRPr="009F013B">
        <w:rPr>
          <w:rFonts w:ascii="Book Antiqua" w:eastAsia="SimSun" w:hAnsi="Book Antiqua" w:cs="Helvetica"/>
          <w:sz w:val="24"/>
          <w:szCs w:val="24"/>
          <w:lang w:eastAsia="zh-CN"/>
        </w:rPr>
        <w:t>Grade A (Excellent): 0</w:t>
      </w:r>
    </w:p>
    <w:p w14:paraId="6A6B19AA" w14:textId="77777777" w:rsidR="009F013B" w:rsidRPr="009F013B" w:rsidRDefault="009F013B" w:rsidP="009F013B">
      <w:pPr>
        <w:shd w:val="clear" w:color="auto" w:fill="FFFFFF"/>
        <w:snapToGrid w:val="0"/>
        <w:spacing w:after="0" w:line="360" w:lineRule="auto"/>
        <w:jc w:val="both"/>
        <w:rPr>
          <w:rFonts w:ascii="Book Antiqua" w:eastAsia="SimSun" w:hAnsi="Book Antiqua" w:cs="Helvetica"/>
          <w:sz w:val="24"/>
          <w:szCs w:val="24"/>
          <w:lang w:eastAsia="zh-CN"/>
        </w:rPr>
      </w:pPr>
      <w:r w:rsidRPr="009F013B">
        <w:rPr>
          <w:rFonts w:ascii="Book Antiqua" w:eastAsia="SimSun" w:hAnsi="Book Antiqua" w:cs="Helvetica"/>
          <w:sz w:val="24"/>
          <w:szCs w:val="24"/>
          <w:lang w:eastAsia="zh-CN"/>
        </w:rPr>
        <w:lastRenderedPageBreak/>
        <w:t>Grade B (Very good): B, B</w:t>
      </w:r>
    </w:p>
    <w:p w14:paraId="29C47530" w14:textId="77777777" w:rsidR="009F013B" w:rsidRPr="009F013B" w:rsidRDefault="009F013B" w:rsidP="009F013B">
      <w:pPr>
        <w:shd w:val="clear" w:color="auto" w:fill="FFFFFF"/>
        <w:snapToGrid w:val="0"/>
        <w:spacing w:after="0" w:line="360" w:lineRule="auto"/>
        <w:jc w:val="both"/>
        <w:rPr>
          <w:rFonts w:ascii="Book Antiqua" w:eastAsia="SimSun" w:hAnsi="Book Antiqua" w:cs="Helvetica"/>
          <w:sz w:val="24"/>
          <w:szCs w:val="24"/>
          <w:lang w:eastAsia="zh-CN"/>
        </w:rPr>
      </w:pPr>
      <w:r w:rsidRPr="009F013B">
        <w:rPr>
          <w:rFonts w:ascii="Book Antiqua" w:eastAsia="SimSun" w:hAnsi="Book Antiqua" w:cs="Helvetica"/>
          <w:sz w:val="24"/>
          <w:szCs w:val="24"/>
          <w:lang w:eastAsia="zh-CN"/>
        </w:rPr>
        <w:t>Grade C (Good): C</w:t>
      </w:r>
    </w:p>
    <w:p w14:paraId="70D07186" w14:textId="77777777" w:rsidR="009F013B" w:rsidRPr="009F013B" w:rsidRDefault="009F013B" w:rsidP="009F013B">
      <w:pPr>
        <w:shd w:val="clear" w:color="auto" w:fill="FFFFFF"/>
        <w:snapToGrid w:val="0"/>
        <w:spacing w:after="0" w:line="360" w:lineRule="auto"/>
        <w:jc w:val="both"/>
        <w:rPr>
          <w:rFonts w:ascii="Book Antiqua" w:eastAsia="SimSun" w:hAnsi="Book Antiqua" w:cs="Helvetica"/>
          <w:sz w:val="24"/>
          <w:szCs w:val="24"/>
          <w:lang w:eastAsia="zh-CN"/>
        </w:rPr>
      </w:pPr>
      <w:r w:rsidRPr="009F013B">
        <w:rPr>
          <w:rFonts w:ascii="Book Antiqua" w:eastAsia="SimSun" w:hAnsi="Book Antiqua" w:cs="Helvetica"/>
          <w:sz w:val="24"/>
          <w:szCs w:val="24"/>
          <w:lang w:eastAsia="zh-CN"/>
        </w:rPr>
        <w:t>Grade D (Fair): 0</w:t>
      </w:r>
    </w:p>
    <w:p w14:paraId="07A01FA3" w14:textId="77777777" w:rsidR="009F013B" w:rsidRPr="009F013B" w:rsidRDefault="009F013B" w:rsidP="009F013B">
      <w:pPr>
        <w:shd w:val="clear" w:color="auto" w:fill="FFFFFF"/>
        <w:snapToGrid w:val="0"/>
        <w:spacing w:after="0" w:line="360" w:lineRule="auto"/>
        <w:jc w:val="both"/>
        <w:rPr>
          <w:rFonts w:ascii="Book Antiqua" w:eastAsia="SimSun" w:hAnsi="Book Antiqua" w:cs="Helvetica"/>
          <w:sz w:val="24"/>
          <w:szCs w:val="24"/>
          <w:lang w:eastAsia="zh-CN"/>
        </w:rPr>
      </w:pPr>
      <w:r w:rsidRPr="009F013B">
        <w:rPr>
          <w:rFonts w:ascii="Book Antiqua" w:eastAsia="SimSun" w:hAnsi="Book Antiqua" w:cs="Helvetica"/>
          <w:sz w:val="24"/>
          <w:szCs w:val="24"/>
          <w:lang w:eastAsia="zh-CN"/>
        </w:rPr>
        <w:t>Grade E (Poor): 0</w:t>
      </w:r>
      <w:bookmarkEnd w:id="244"/>
      <w:bookmarkEnd w:id="245"/>
    </w:p>
    <w:bookmarkEnd w:id="138"/>
    <w:bookmarkEnd w:id="246"/>
    <w:bookmarkEnd w:id="247"/>
    <w:p w14:paraId="792A7AED" w14:textId="2A4F5473" w:rsidR="0036054C" w:rsidRDefault="0036054C" w:rsidP="009F013B">
      <w:pPr>
        <w:snapToGrid w:val="0"/>
        <w:spacing w:after="0" w:line="360" w:lineRule="auto"/>
        <w:jc w:val="both"/>
        <w:rPr>
          <w:rFonts w:ascii="Book Antiqua" w:hAnsi="Book Antiqua"/>
          <w:b/>
          <w:sz w:val="24"/>
          <w:szCs w:val="24"/>
          <w:u w:val="single"/>
          <w:lang w:eastAsia="zh-CN"/>
        </w:rPr>
      </w:pPr>
      <w:r w:rsidRPr="00B40E91">
        <w:rPr>
          <w:rFonts w:ascii="Book Antiqua" w:hAnsi="Book Antiqua"/>
          <w:sz w:val="24"/>
          <w:szCs w:val="24"/>
        </w:rPr>
        <w:br w:type="page"/>
      </w:r>
    </w:p>
    <w:p w14:paraId="5D38C536" w14:textId="158A284F" w:rsidR="000E7903" w:rsidRDefault="000E7903" w:rsidP="009F013B">
      <w:pPr>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lastRenderedPageBreak/>
        <w:t>A</w:t>
      </w:r>
    </w:p>
    <w:p w14:paraId="70392C9F" w14:textId="05425A41" w:rsidR="000E7903" w:rsidRDefault="000E7903" w:rsidP="009F013B">
      <w:pPr>
        <w:snapToGrid w:val="0"/>
        <w:spacing w:after="0" w:line="360" w:lineRule="auto"/>
        <w:jc w:val="both"/>
        <w:rPr>
          <w:rFonts w:ascii="Book Antiqua" w:hAnsi="Book Antiqua"/>
          <w:b/>
          <w:sz w:val="24"/>
          <w:szCs w:val="24"/>
          <w:lang w:eastAsia="zh-CN"/>
        </w:rPr>
      </w:pPr>
      <w:r>
        <w:rPr>
          <w:noProof/>
          <w:lang w:eastAsia="zh-CN"/>
        </w:rPr>
        <w:drawing>
          <wp:inline distT="0" distB="0" distL="0" distR="0" wp14:anchorId="5D8D1B5F" wp14:editId="19999E2B">
            <wp:extent cx="5763237" cy="250407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6423" cy="2505457"/>
                    </a:xfrm>
                    <a:prstGeom prst="rect">
                      <a:avLst/>
                    </a:prstGeom>
                  </pic:spPr>
                </pic:pic>
              </a:graphicData>
            </a:graphic>
          </wp:inline>
        </w:drawing>
      </w:r>
    </w:p>
    <w:p w14:paraId="35558E78" w14:textId="04B7D596" w:rsidR="000E7903" w:rsidRDefault="000E7903" w:rsidP="009F013B">
      <w:pPr>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B</w:t>
      </w:r>
    </w:p>
    <w:p w14:paraId="2E4769F0" w14:textId="2EF00947" w:rsidR="000E7903" w:rsidRDefault="000E7903" w:rsidP="009F013B">
      <w:pPr>
        <w:snapToGrid w:val="0"/>
        <w:spacing w:after="0" w:line="360" w:lineRule="auto"/>
        <w:jc w:val="both"/>
        <w:rPr>
          <w:rFonts w:ascii="Book Antiqua" w:hAnsi="Book Antiqua"/>
          <w:b/>
          <w:sz w:val="24"/>
          <w:szCs w:val="24"/>
          <w:lang w:eastAsia="zh-CN"/>
        </w:rPr>
      </w:pPr>
      <w:r>
        <w:rPr>
          <w:noProof/>
          <w:lang w:eastAsia="zh-CN"/>
        </w:rPr>
        <w:drawing>
          <wp:inline distT="0" distB="0" distL="0" distR="0" wp14:anchorId="49A0B85E" wp14:editId="340F2167">
            <wp:extent cx="3347207" cy="1714706"/>
            <wp:effectExtent l="0" t="0" r="571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3016"/>
                    <a:stretch/>
                  </pic:blipFill>
                  <pic:spPr bwMode="auto">
                    <a:xfrm>
                      <a:off x="0" y="0"/>
                      <a:ext cx="3350798" cy="1716546"/>
                    </a:xfrm>
                    <a:prstGeom prst="rect">
                      <a:avLst/>
                    </a:prstGeom>
                    <a:noFill/>
                    <a:ln>
                      <a:noFill/>
                    </a:ln>
                    <a:extLst/>
                  </pic:spPr>
                </pic:pic>
              </a:graphicData>
            </a:graphic>
          </wp:inline>
        </w:drawing>
      </w:r>
    </w:p>
    <w:p w14:paraId="43814ECD" w14:textId="17CC983C" w:rsidR="000E7903" w:rsidRDefault="000E7903" w:rsidP="009F013B">
      <w:pPr>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C</w:t>
      </w:r>
    </w:p>
    <w:p w14:paraId="52B8D4E8" w14:textId="462BE119" w:rsidR="000E7903" w:rsidRDefault="000E7903" w:rsidP="009F013B">
      <w:pPr>
        <w:snapToGrid w:val="0"/>
        <w:spacing w:after="0" w:line="360" w:lineRule="auto"/>
        <w:jc w:val="both"/>
        <w:rPr>
          <w:rFonts w:ascii="Book Antiqua" w:hAnsi="Book Antiqua"/>
          <w:b/>
          <w:sz w:val="24"/>
          <w:szCs w:val="24"/>
          <w:lang w:eastAsia="zh-CN"/>
        </w:rPr>
      </w:pPr>
      <w:r>
        <w:rPr>
          <w:noProof/>
          <w:lang w:eastAsia="zh-CN"/>
        </w:rPr>
        <w:drawing>
          <wp:inline distT="0" distB="0" distL="0" distR="0" wp14:anchorId="1C67649C" wp14:editId="458B770F">
            <wp:extent cx="5486400" cy="2309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309495"/>
                    </a:xfrm>
                    <a:prstGeom prst="rect">
                      <a:avLst/>
                    </a:prstGeom>
                  </pic:spPr>
                </pic:pic>
              </a:graphicData>
            </a:graphic>
          </wp:inline>
        </w:drawing>
      </w:r>
    </w:p>
    <w:p w14:paraId="6DBADE51" w14:textId="4BEE72B1" w:rsidR="0036054C" w:rsidRPr="00B40E91" w:rsidRDefault="0036054C" w:rsidP="009F013B">
      <w:pPr>
        <w:snapToGrid w:val="0"/>
        <w:spacing w:after="0" w:line="360" w:lineRule="auto"/>
        <w:jc w:val="both"/>
        <w:rPr>
          <w:rFonts w:ascii="Book Antiqua" w:hAnsi="Book Antiqua"/>
          <w:sz w:val="24"/>
          <w:szCs w:val="24"/>
          <w:lang w:eastAsia="zh-CN"/>
        </w:rPr>
      </w:pPr>
      <w:r w:rsidRPr="00B40E91">
        <w:rPr>
          <w:rFonts w:ascii="Book Antiqua" w:hAnsi="Book Antiqua"/>
          <w:b/>
          <w:sz w:val="24"/>
          <w:szCs w:val="24"/>
        </w:rPr>
        <w:t>Figure 1</w:t>
      </w:r>
      <w:r w:rsidR="000E7903">
        <w:rPr>
          <w:rFonts w:ascii="Book Antiqua" w:hAnsi="Book Antiqua" w:hint="eastAsia"/>
          <w:b/>
          <w:sz w:val="24"/>
          <w:szCs w:val="24"/>
          <w:lang w:eastAsia="zh-CN"/>
        </w:rPr>
        <w:t xml:space="preserve"> </w:t>
      </w:r>
      <w:r w:rsidRPr="000E7903">
        <w:rPr>
          <w:rFonts w:ascii="Book Antiqua" w:hAnsi="Book Antiqua"/>
          <w:b/>
          <w:sz w:val="24"/>
          <w:szCs w:val="24"/>
        </w:rPr>
        <w:t>Thiopurine use is associated with lymphopenia, but not T cell depletion.</w:t>
      </w:r>
      <w:r w:rsidR="00BC35BF">
        <w:rPr>
          <w:rFonts w:ascii="Book Antiqua" w:hAnsi="Book Antiqua"/>
          <w:sz w:val="24"/>
          <w:szCs w:val="24"/>
        </w:rPr>
        <w:t xml:space="preserve"> </w:t>
      </w:r>
      <w:r w:rsidRPr="000E7903">
        <w:rPr>
          <w:rFonts w:ascii="Book Antiqua" w:hAnsi="Book Antiqua"/>
          <w:caps/>
          <w:sz w:val="24"/>
          <w:szCs w:val="24"/>
        </w:rPr>
        <w:t>a</w:t>
      </w:r>
      <w:r w:rsidR="000E7903">
        <w:rPr>
          <w:rFonts w:ascii="Book Antiqua" w:hAnsi="Book Antiqua" w:hint="eastAsia"/>
          <w:sz w:val="24"/>
          <w:szCs w:val="24"/>
          <w:lang w:eastAsia="zh-CN"/>
        </w:rPr>
        <w:t xml:space="preserve">: </w:t>
      </w:r>
      <w:r w:rsidRPr="00B40E91">
        <w:rPr>
          <w:rFonts w:ascii="Book Antiqua" w:hAnsi="Book Antiqua"/>
          <w:sz w:val="24"/>
          <w:szCs w:val="24"/>
        </w:rPr>
        <w:t xml:space="preserve">Leukocyte subsets from clinical CBC differentials are shown for healthy controls and </w:t>
      </w:r>
      <w:r w:rsidRPr="00B40E91">
        <w:rPr>
          <w:rFonts w:ascii="Book Antiqua" w:hAnsi="Book Antiqua"/>
          <w:sz w:val="24"/>
          <w:szCs w:val="24"/>
        </w:rPr>
        <w:lastRenderedPageBreak/>
        <w:t>IBD patients on or not on a thiopurine medication at the time of sampling.</w:t>
      </w:r>
      <w:r w:rsidR="00BC35BF">
        <w:rPr>
          <w:rFonts w:ascii="Book Antiqua" w:hAnsi="Book Antiqua"/>
          <w:sz w:val="24"/>
          <w:szCs w:val="24"/>
        </w:rPr>
        <w:t xml:space="preserve"> </w:t>
      </w:r>
      <w:r w:rsidRPr="00B40E91">
        <w:rPr>
          <w:rFonts w:ascii="Book Antiqua" w:hAnsi="Book Antiqua"/>
          <w:sz w:val="24"/>
          <w:szCs w:val="24"/>
        </w:rPr>
        <w:t>Total (</w:t>
      </w:r>
      <w:r w:rsidRPr="000E7903">
        <w:rPr>
          <w:rFonts w:ascii="Book Antiqua" w:hAnsi="Book Antiqua"/>
          <w:caps/>
          <w:sz w:val="24"/>
          <w:szCs w:val="24"/>
        </w:rPr>
        <w:t>b</w:t>
      </w:r>
      <w:r w:rsidRPr="00B40E91">
        <w:rPr>
          <w:rFonts w:ascii="Book Antiqua" w:hAnsi="Book Antiqua"/>
          <w:sz w:val="24"/>
          <w:szCs w:val="24"/>
        </w:rPr>
        <w:t>) and regulatory (</w:t>
      </w:r>
      <w:r w:rsidRPr="000E7903">
        <w:rPr>
          <w:rFonts w:ascii="Book Antiqua" w:hAnsi="Book Antiqua"/>
          <w:caps/>
          <w:sz w:val="24"/>
          <w:szCs w:val="24"/>
        </w:rPr>
        <w:t>c</w:t>
      </w:r>
      <w:r w:rsidRPr="00B40E91">
        <w:rPr>
          <w:rFonts w:ascii="Book Antiqua" w:hAnsi="Book Antiqua"/>
          <w:sz w:val="24"/>
          <w:szCs w:val="24"/>
        </w:rPr>
        <w:t>) T cell (Treg) subsets per m</w:t>
      </w:r>
      <w:r w:rsidRPr="000E7903">
        <w:rPr>
          <w:rFonts w:ascii="Book Antiqua" w:hAnsi="Book Antiqua"/>
          <w:caps/>
          <w:sz w:val="24"/>
          <w:szCs w:val="24"/>
        </w:rPr>
        <w:t>l</w:t>
      </w:r>
      <w:r w:rsidRPr="00B40E91">
        <w:rPr>
          <w:rFonts w:ascii="Book Antiqua" w:hAnsi="Book Antiqua"/>
          <w:sz w:val="24"/>
          <w:szCs w:val="24"/>
        </w:rPr>
        <w:t xml:space="preserve"> of blood were calculated from flow cytometry performed on PBMC from healthy controls (open grey circles) </w:t>
      </w:r>
      <w:r w:rsidRPr="000E7903">
        <w:rPr>
          <w:rFonts w:ascii="Book Antiqua" w:hAnsi="Book Antiqua"/>
          <w:i/>
          <w:sz w:val="24"/>
          <w:szCs w:val="24"/>
        </w:rPr>
        <w:t>vs</w:t>
      </w:r>
      <w:r w:rsidRPr="00B40E91">
        <w:rPr>
          <w:rFonts w:ascii="Book Antiqua" w:hAnsi="Book Antiqua"/>
          <w:sz w:val="24"/>
          <w:szCs w:val="24"/>
        </w:rPr>
        <w:t xml:space="preserve"> IBD patients on (black triangles) versus not on thiopurines (grey squares).</w:t>
      </w:r>
      <w:r w:rsidR="00BC35BF">
        <w:rPr>
          <w:rFonts w:ascii="Book Antiqua" w:hAnsi="Book Antiqua"/>
          <w:sz w:val="24"/>
          <w:szCs w:val="24"/>
        </w:rPr>
        <w:t xml:space="preserve"> </w:t>
      </w:r>
      <w:r w:rsidRPr="00B40E91">
        <w:rPr>
          <w:rFonts w:ascii="Book Antiqua" w:hAnsi="Book Antiqua"/>
          <w:sz w:val="24"/>
          <w:szCs w:val="24"/>
        </w:rPr>
        <w:t>Treg data is also shown as a percent of total CD4+ T cells.</w:t>
      </w:r>
      <w:r w:rsidR="00BC35BF">
        <w:rPr>
          <w:rFonts w:ascii="Book Antiqua" w:hAnsi="Book Antiqua"/>
          <w:sz w:val="24"/>
          <w:szCs w:val="24"/>
        </w:rPr>
        <w:t xml:space="preserve"> </w:t>
      </w:r>
      <w:r w:rsidR="00933A22" w:rsidRPr="00043026">
        <w:rPr>
          <w:rFonts w:ascii="Book Antiqua" w:hAnsi="Book Antiqua"/>
          <w:i/>
          <w:caps/>
          <w:sz w:val="24"/>
          <w:szCs w:val="24"/>
        </w:rPr>
        <w:t>p</w:t>
      </w:r>
      <w:r w:rsidR="00933A22" w:rsidRPr="00B40E91">
        <w:rPr>
          <w:rFonts w:ascii="Book Antiqua" w:hAnsi="Book Antiqua"/>
          <w:sz w:val="24"/>
          <w:szCs w:val="24"/>
        </w:rPr>
        <w:t>-values reflect two-tailed Mann-Whitney non-parametric comparisons.</w:t>
      </w:r>
      <w:r w:rsidR="00BC35BF">
        <w:rPr>
          <w:rFonts w:ascii="Book Antiqua" w:hAnsi="Book Antiqua"/>
          <w:sz w:val="24"/>
          <w:szCs w:val="24"/>
        </w:rPr>
        <w:t xml:space="preserve"> </w:t>
      </w:r>
      <w:r w:rsidRPr="00B40E91">
        <w:rPr>
          <w:rFonts w:ascii="Book Antiqua" w:hAnsi="Book Antiqua"/>
          <w:sz w:val="24"/>
          <w:szCs w:val="24"/>
        </w:rPr>
        <w:t>NS</w:t>
      </w:r>
      <w:r w:rsidR="000E7903">
        <w:rPr>
          <w:rFonts w:ascii="Book Antiqua" w:hAnsi="Book Antiqua" w:hint="eastAsia"/>
          <w:sz w:val="24"/>
          <w:szCs w:val="24"/>
          <w:lang w:eastAsia="zh-CN"/>
        </w:rPr>
        <w:t xml:space="preserve">: </w:t>
      </w:r>
      <w:r w:rsidRPr="000E7903">
        <w:rPr>
          <w:rFonts w:ascii="Book Antiqua" w:hAnsi="Book Antiqua"/>
          <w:i/>
          <w:caps/>
          <w:sz w:val="24"/>
          <w:szCs w:val="24"/>
        </w:rPr>
        <w:t>p</w:t>
      </w:r>
      <w:r w:rsidR="000E7903">
        <w:rPr>
          <w:rFonts w:ascii="Book Antiqua" w:hAnsi="Book Antiqua" w:hint="eastAsia"/>
          <w:i/>
          <w:caps/>
          <w:sz w:val="24"/>
          <w:szCs w:val="24"/>
          <w:lang w:eastAsia="zh-CN"/>
        </w:rPr>
        <w:t xml:space="preserve"> </w:t>
      </w:r>
      <w:r w:rsidRPr="00B40E91">
        <w:rPr>
          <w:rFonts w:ascii="Book Antiqua" w:hAnsi="Book Antiqua"/>
          <w:sz w:val="24"/>
          <w:szCs w:val="24"/>
        </w:rPr>
        <w:t>&gt;</w:t>
      </w:r>
      <w:r w:rsidR="000E7903">
        <w:rPr>
          <w:rFonts w:ascii="Book Antiqua" w:hAnsi="Book Antiqua" w:hint="eastAsia"/>
          <w:sz w:val="24"/>
          <w:szCs w:val="24"/>
          <w:lang w:eastAsia="zh-CN"/>
        </w:rPr>
        <w:t xml:space="preserve"> </w:t>
      </w:r>
      <w:r w:rsidRPr="00B40E91">
        <w:rPr>
          <w:rFonts w:ascii="Book Antiqua" w:hAnsi="Book Antiqua"/>
          <w:sz w:val="24"/>
          <w:szCs w:val="24"/>
        </w:rPr>
        <w:t>0.05.</w:t>
      </w:r>
    </w:p>
    <w:p w14:paraId="67F0A22B" w14:textId="77777777" w:rsidR="000E7903" w:rsidRDefault="000E7903" w:rsidP="009F013B">
      <w:pPr>
        <w:snapToGrid w:val="0"/>
        <w:spacing w:after="0" w:line="360" w:lineRule="auto"/>
        <w:jc w:val="both"/>
        <w:rPr>
          <w:rFonts w:ascii="Book Antiqua" w:hAnsi="Book Antiqua"/>
          <w:b/>
          <w:sz w:val="24"/>
          <w:szCs w:val="24"/>
          <w:lang w:eastAsia="zh-CN"/>
        </w:rPr>
      </w:pPr>
    </w:p>
    <w:p w14:paraId="13D99343" w14:textId="77777777" w:rsidR="00043026" w:rsidRDefault="00043026" w:rsidP="009F013B">
      <w:pPr>
        <w:snapToGrid w:val="0"/>
        <w:spacing w:after="0" w:line="360" w:lineRule="auto"/>
        <w:rPr>
          <w:rFonts w:ascii="Book Antiqua" w:hAnsi="Book Antiqua"/>
          <w:b/>
          <w:sz w:val="24"/>
          <w:szCs w:val="24"/>
        </w:rPr>
      </w:pPr>
      <w:r>
        <w:rPr>
          <w:rFonts w:ascii="Book Antiqua" w:hAnsi="Book Antiqua"/>
          <w:b/>
          <w:sz w:val="24"/>
          <w:szCs w:val="24"/>
        </w:rPr>
        <w:br w:type="page"/>
      </w:r>
    </w:p>
    <w:p w14:paraId="1CF32F4F" w14:textId="27055DC7" w:rsidR="00043026" w:rsidRPr="00043026" w:rsidRDefault="00043026" w:rsidP="009F013B">
      <w:pPr>
        <w:snapToGrid w:val="0"/>
        <w:spacing w:after="0" w:line="360" w:lineRule="auto"/>
        <w:jc w:val="both"/>
        <w:rPr>
          <w:rFonts w:ascii="Book Antiqua" w:hAnsi="Book Antiqua"/>
          <w:sz w:val="24"/>
          <w:szCs w:val="24"/>
          <w:lang w:eastAsia="zh-CN"/>
        </w:rPr>
      </w:pPr>
      <w:r>
        <w:rPr>
          <w:rFonts w:ascii="Book Antiqua" w:hAnsi="Book Antiqua" w:hint="eastAsia"/>
          <w:b/>
          <w:sz w:val="24"/>
          <w:szCs w:val="24"/>
          <w:lang w:eastAsia="zh-CN"/>
        </w:rPr>
        <w:lastRenderedPageBreak/>
        <w:t xml:space="preserve">A                                                                   </w:t>
      </w:r>
      <w:r>
        <w:rPr>
          <w:rFonts w:ascii="Book Antiqua" w:hAnsi="Book Antiqua" w:hint="eastAsia"/>
          <w:sz w:val="24"/>
          <w:szCs w:val="24"/>
          <w:lang w:eastAsia="zh-CN"/>
        </w:rPr>
        <w:t>B</w:t>
      </w:r>
    </w:p>
    <w:p w14:paraId="4DAF1812" w14:textId="27CA56C5" w:rsidR="00043026" w:rsidRDefault="00043026" w:rsidP="009F013B">
      <w:pPr>
        <w:snapToGrid w:val="0"/>
        <w:spacing w:after="0" w:line="360" w:lineRule="auto"/>
        <w:jc w:val="both"/>
        <w:rPr>
          <w:rFonts w:ascii="Book Antiqua" w:hAnsi="Book Antiqua"/>
          <w:b/>
          <w:sz w:val="24"/>
          <w:szCs w:val="24"/>
          <w:lang w:eastAsia="zh-CN"/>
        </w:rPr>
      </w:pPr>
      <w:r>
        <w:rPr>
          <w:noProof/>
          <w:lang w:eastAsia="zh-CN"/>
        </w:rPr>
        <w:drawing>
          <wp:inline distT="0" distB="0" distL="0" distR="0" wp14:anchorId="308B10FA" wp14:editId="732329BE">
            <wp:extent cx="2801923" cy="238644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a:off x="0" y="0"/>
                      <a:ext cx="2803134" cy="2387473"/>
                    </a:xfrm>
                    <a:prstGeom prst="rect">
                      <a:avLst/>
                    </a:prstGeom>
                  </pic:spPr>
                </pic:pic>
              </a:graphicData>
            </a:graphic>
          </wp:inline>
        </w:drawing>
      </w:r>
      <w:r>
        <w:rPr>
          <w:noProof/>
          <w:lang w:eastAsia="zh-CN"/>
        </w:rPr>
        <w:drawing>
          <wp:inline distT="0" distB="0" distL="0" distR="0" wp14:anchorId="186F8309" wp14:editId="4C5D0F38">
            <wp:extent cx="2743200" cy="232533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2744339" cy="2326300"/>
                    </a:xfrm>
                    <a:prstGeom prst="rect">
                      <a:avLst/>
                    </a:prstGeom>
                  </pic:spPr>
                </pic:pic>
              </a:graphicData>
            </a:graphic>
          </wp:inline>
        </w:drawing>
      </w:r>
    </w:p>
    <w:p w14:paraId="13EB6999" w14:textId="13EDB446" w:rsidR="00043026" w:rsidRDefault="00043026" w:rsidP="009F013B">
      <w:pPr>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C                                                                       D</w:t>
      </w:r>
    </w:p>
    <w:p w14:paraId="493EBEF0" w14:textId="63096D5F" w:rsidR="00043026" w:rsidRDefault="00043026" w:rsidP="009F013B">
      <w:pPr>
        <w:snapToGrid w:val="0"/>
        <w:spacing w:after="0" w:line="360" w:lineRule="auto"/>
        <w:jc w:val="both"/>
        <w:rPr>
          <w:rFonts w:ascii="Book Antiqua" w:hAnsi="Book Antiqua"/>
          <w:b/>
          <w:sz w:val="24"/>
          <w:szCs w:val="24"/>
          <w:lang w:eastAsia="zh-CN"/>
        </w:rPr>
      </w:pPr>
      <w:r>
        <w:rPr>
          <w:noProof/>
          <w:lang w:eastAsia="zh-CN"/>
        </w:rPr>
        <w:drawing>
          <wp:inline distT="0" distB="0" distL="0" distR="0" wp14:anchorId="175FB511" wp14:editId="520BE7EB">
            <wp:extent cx="2869128" cy="24076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stretch>
                      <a:fillRect/>
                    </a:stretch>
                  </pic:blipFill>
                  <pic:spPr>
                    <a:xfrm>
                      <a:off x="0" y="0"/>
                      <a:ext cx="2875119" cy="2412668"/>
                    </a:xfrm>
                    <a:prstGeom prst="rect">
                      <a:avLst/>
                    </a:prstGeom>
                  </pic:spPr>
                </pic:pic>
              </a:graphicData>
            </a:graphic>
          </wp:inline>
        </w:drawing>
      </w:r>
      <w:r>
        <w:rPr>
          <w:noProof/>
          <w:lang w:eastAsia="zh-CN"/>
        </w:rPr>
        <w:drawing>
          <wp:inline distT="0" distB="0" distL="0" distR="0" wp14:anchorId="7BB5C407" wp14:editId="2F588E3C">
            <wp:extent cx="2739672" cy="2281806"/>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stretch>
                      <a:fillRect/>
                    </a:stretch>
                  </pic:blipFill>
                  <pic:spPr>
                    <a:xfrm>
                      <a:off x="0" y="0"/>
                      <a:ext cx="2740457" cy="2282460"/>
                    </a:xfrm>
                    <a:prstGeom prst="rect">
                      <a:avLst/>
                    </a:prstGeom>
                  </pic:spPr>
                </pic:pic>
              </a:graphicData>
            </a:graphic>
          </wp:inline>
        </w:drawing>
      </w:r>
    </w:p>
    <w:p w14:paraId="34EFABF5" w14:textId="687DA8F2" w:rsidR="0036054C"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b/>
          <w:sz w:val="24"/>
          <w:szCs w:val="24"/>
        </w:rPr>
        <w:t>Figure 2</w:t>
      </w:r>
      <w:r w:rsidR="00043026">
        <w:rPr>
          <w:rFonts w:ascii="Book Antiqua" w:hAnsi="Book Antiqua" w:hint="eastAsia"/>
          <w:b/>
          <w:sz w:val="24"/>
          <w:szCs w:val="24"/>
          <w:lang w:eastAsia="zh-CN"/>
        </w:rPr>
        <w:t xml:space="preserve"> </w:t>
      </w:r>
      <w:r w:rsidRPr="00043026">
        <w:rPr>
          <w:rFonts w:ascii="Book Antiqua" w:hAnsi="Book Antiqua"/>
          <w:b/>
          <w:sz w:val="24"/>
          <w:szCs w:val="24"/>
        </w:rPr>
        <w:t>Thiopurines do not alter CD4+ helper T cell subsets.</w:t>
      </w:r>
      <w:r w:rsidR="00BC35BF" w:rsidRPr="00043026">
        <w:rPr>
          <w:rFonts w:ascii="Book Antiqua" w:hAnsi="Book Antiqua"/>
          <w:b/>
          <w:sz w:val="24"/>
          <w:szCs w:val="24"/>
        </w:rPr>
        <w:t xml:space="preserve"> </w:t>
      </w:r>
      <w:r w:rsidRPr="00B40E91">
        <w:rPr>
          <w:rFonts w:ascii="Book Antiqua" w:hAnsi="Book Antiqua"/>
          <w:sz w:val="24"/>
          <w:szCs w:val="24"/>
        </w:rPr>
        <w:t xml:space="preserve">PBMC from healthy controls (open grey circles) </w:t>
      </w:r>
      <w:r w:rsidRPr="00043026">
        <w:rPr>
          <w:rFonts w:ascii="Book Antiqua" w:hAnsi="Book Antiqua"/>
          <w:i/>
          <w:sz w:val="24"/>
          <w:szCs w:val="24"/>
        </w:rPr>
        <w:t>vs</w:t>
      </w:r>
      <w:r w:rsidRPr="00B40E91">
        <w:rPr>
          <w:rFonts w:ascii="Book Antiqua" w:hAnsi="Book Antiqua"/>
          <w:sz w:val="24"/>
          <w:szCs w:val="24"/>
        </w:rPr>
        <w:t xml:space="preserve"> IBD patients on (black triangles) versus not on thiopurines (grey squares) were stimulated and stained for ICCS as per materials and methods.</w:t>
      </w:r>
      <w:r w:rsidR="00BC35BF">
        <w:rPr>
          <w:rFonts w:ascii="Book Antiqua" w:hAnsi="Book Antiqua"/>
          <w:sz w:val="24"/>
          <w:szCs w:val="24"/>
        </w:rPr>
        <w:t xml:space="preserve"> </w:t>
      </w:r>
      <w:r w:rsidRPr="00B40E91">
        <w:rPr>
          <w:rFonts w:ascii="Book Antiqua" w:hAnsi="Book Antiqua"/>
          <w:sz w:val="24"/>
          <w:szCs w:val="24"/>
        </w:rPr>
        <w:t>As CD4 is down-regulated in response to PMA</w:t>
      </w:r>
      <w:r w:rsidRPr="00B40E91">
        <w:rPr>
          <w:rFonts w:ascii="Book Antiqua" w:hAnsi="Book Antiqua"/>
          <w:noProof/>
          <w:sz w:val="24"/>
          <w:szCs w:val="24"/>
          <w:vertAlign w:val="superscript"/>
        </w:rPr>
        <w:t>[37]</w:t>
      </w:r>
      <w:r w:rsidRPr="00B40E91">
        <w:rPr>
          <w:rFonts w:ascii="Book Antiqua" w:hAnsi="Book Antiqua"/>
          <w:sz w:val="24"/>
          <w:szCs w:val="24"/>
        </w:rPr>
        <w:t>, CD3+, CD8- T cells were analyzed as a surrogate for CD4 expression.</w:t>
      </w:r>
      <w:r w:rsidR="00BC35BF">
        <w:rPr>
          <w:rFonts w:ascii="Book Antiqua" w:hAnsi="Book Antiqua"/>
          <w:sz w:val="24"/>
          <w:szCs w:val="24"/>
        </w:rPr>
        <w:t xml:space="preserve"> </w:t>
      </w:r>
      <w:r w:rsidRPr="00B40E91">
        <w:rPr>
          <w:rFonts w:ascii="Book Antiqua" w:hAnsi="Book Antiqua"/>
          <w:sz w:val="24"/>
          <w:szCs w:val="24"/>
        </w:rPr>
        <w:t>The percent of such cells expressing IL-17 (</w:t>
      </w:r>
      <w:r w:rsidRPr="00043026">
        <w:rPr>
          <w:rFonts w:ascii="Book Antiqua" w:hAnsi="Book Antiqua"/>
          <w:caps/>
          <w:sz w:val="24"/>
          <w:szCs w:val="24"/>
        </w:rPr>
        <w:t>a</w:t>
      </w:r>
      <w:r w:rsidRPr="00B40E91">
        <w:rPr>
          <w:rFonts w:ascii="Book Antiqua" w:hAnsi="Book Antiqua"/>
          <w:sz w:val="24"/>
          <w:szCs w:val="24"/>
        </w:rPr>
        <w:t>, Th17 cells), IFN-</w:t>
      </w:r>
      <w:r w:rsidR="00043026">
        <w:rPr>
          <w:rFonts w:ascii="Book Antiqua" w:hAnsi="Book Antiqua"/>
          <w:sz w:val="24"/>
          <w:szCs w:val="24"/>
        </w:rPr>
        <w:sym w:font="Symbol" w:char="F067"/>
      </w:r>
      <w:r w:rsidRPr="00B40E91">
        <w:rPr>
          <w:rFonts w:ascii="Book Antiqua" w:hAnsi="Book Antiqua"/>
          <w:sz w:val="24"/>
          <w:szCs w:val="24"/>
        </w:rPr>
        <w:t xml:space="preserve"> (</w:t>
      </w:r>
      <w:r w:rsidRPr="00043026">
        <w:rPr>
          <w:rFonts w:ascii="Book Antiqua" w:hAnsi="Book Antiqua"/>
          <w:caps/>
          <w:sz w:val="24"/>
          <w:szCs w:val="24"/>
        </w:rPr>
        <w:t>b</w:t>
      </w:r>
      <w:r w:rsidRPr="00B40E91">
        <w:rPr>
          <w:rFonts w:ascii="Book Antiqua" w:hAnsi="Book Antiqua"/>
          <w:sz w:val="24"/>
          <w:szCs w:val="24"/>
        </w:rPr>
        <w:t>, Th1 cells) or both (</w:t>
      </w:r>
      <w:r w:rsidRPr="00043026">
        <w:rPr>
          <w:rFonts w:ascii="Book Antiqua" w:hAnsi="Book Antiqua"/>
          <w:caps/>
          <w:sz w:val="24"/>
          <w:szCs w:val="24"/>
        </w:rPr>
        <w:t>c</w:t>
      </w:r>
      <w:r w:rsidRPr="00B40E91">
        <w:rPr>
          <w:rFonts w:ascii="Book Antiqua" w:hAnsi="Book Antiqua"/>
          <w:sz w:val="24"/>
          <w:szCs w:val="24"/>
        </w:rPr>
        <w:t>, Th1/17 cells), and the percent of CD3+, CD8+ T cells expressing IFN-</w:t>
      </w:r>
      <w:r w:rsidR="00043026">
        <w:rPr>
          <w:rFonts w:ascii="Book Antiqua" w:hAnsi="Book Antiqua"/>
          <w:sz w:val="24"/>
          <w:szCs w:val="24"/>
        </w:rPr>
        <w:sym w:font="Symbol" w:char="F067"/>
      </w:r>
      <w:r w:rsidR="00043026">
        <w:rPr>
          <w:rFonts w:ascii="Book Antiqua" w:hAnsi="Book Antiqua" w:hint="eastAsia"/>
          <w:sz w:val="24"/>
          <w:szCs w:val="24"/>
          <w:lang w:eastAsia="zh-CN"/>
        </w:rPr>
        <w:t xml:space="preserve"> </w:t>
      </w:r>
      <w:r w:rsidRPr="00B40E91">
        <w:rPr>
          <w:rFonts w:ascii="Book Antiqua" w:hAnsi="Book Antiqua"/>
          <w:sz w:val="24"/>
          <w:szCs w:val="24"/>
        </w:rPr>
        <w:t>(</w:t>
      </w:r>
      <w:r w:rsidR="00120685">
        <w:rPr>
          <w:rFonts w:ascii="Book Antiqua" w:hAnsi="Book Antiqua"/>
          <w:caps/>
          <w:sz w:val="24"/>
          <w:szCs w:val="24"/>
        </w:rPr>
        <w:t>D</w:t>
      </w:r>
      <w:r w:rsidRPr="00B40E91">
        <w:rPr>
          <w:rFonts w:ascii="Book Antiqua" w:hAnsi="Book Antiqua"/>
          <w:sz w:val="24"/>
          <w:szCs w:val="24"/>
        </w:rPr>
        <w:t>) is shown for each cohort.</w:t>
      </w:r>
      <w:r w:rsidR="00BC35BF">
        <w:rPr>
          <w:rFonts w:ascii="Book Antiqua" w:hAnsi="Book Antiqua"/>
          <w:sz w:val="24"/>
          <w:szCs w:val="24"/>
        </w:rPr>
        <w:t xml:space="preserve"> </w:t>
      </w:r>
      <w:r w:rsidR="00933A22" w:rsidRPr="00043026">
        <w:rPr>
          <w:rFonts w:ascii="Book Antiqua" w:hAnsi="Book Antiqua"/>
          <w:i/>
          <w:caps/>
          <w:sz w:val="24"/>
          <w:szCs w:val="24"/>
        </w:rPr>
        <w:t>p</w:t>
      </w:r>
      <w:r w:rsidR="00933A22" w:rsidRPr="00B40E91">
        <w:rPr>
          <w:rFonts w:ascii="Book Antiqua" w:hAnsi="Book Antiqua"/>
          <w:sz w:val="24"/>
          <w:szCs w:val="24"/>
        </w:rPr>
        <w:t>-values reflect two-tailed Mann-Whitney non-parametric comparisons.</w:t>
      </w:r>
    </w:p>
    <w:p w14:paraId="03248D0F" w14:textId="77777777" w:rsidR="00252D17" w:rsidRDefault="00252D17" w:rsidP="009F013B">
      <w:pPr>
        <w:snapToGrid w:val="0"/>
        <w:spacing w:after="0" w:line="360" w:lineRule="auto"/>
        <w:jc w:val="both"/>
        <w:rPr>
          <w:rFonts w:ascii="Book Antiqua" w:hAnsi="Book Antiqua"/>
          <w:b/>
          <w:sz w:val="24"/>
          <w:szCs w:val="24"/>
        </w:rPr>
      </w:pPr>
    </w:p>
    <w:p w14:paraId="2C443D89" w14:textId="5CBBA8B0" w:rsidR="00252D17" w:rsidRDefault="00252D17" w:rsidP="009F013B">
      <w:pPr>
        <w:snapToGrid w:val="0"/>
        <w:spacing w:after="0" w:line="360" w:lineRule="auto"/>
        <w:jc w:val="both"/>
        <w:rPr>
          <w:rFonts w:ascii="Book Antiqua" w:hAnsi="Book Antiqua"/>
          <w:b/>
          <w:sz w:val="24"/>
          <w:szCs w:val="24"/>
        </w:rPr>
      </w:pPr>
      <w:r>
        <w:rPr>
          <w:rFonts w:ascii="Book Antiqua" w:hAnsi="Book Antiqua"/>
          <w:b/>
          <w:sz w:val="24"/>
          <w:szCs w:val="24"/>
        </w:rPr>
        <w:lastRenderedPageBreak/>
        <w:t>A                                                                        B</w:t>
      </w:r>
    </w:p>
    <w:p w14:paraId="31DF3656" w14:textId="55E922E8" w:rsidR="00252D17" w:rsidRDefault="00252D17" w:rsidP="009F013B">
      <w:pPr>
        <w:snapToGrid w:val="0"/>
        <w:spacing w:after="0" w:line="360" w:lineRule="auto"/>
        <w:jc w:val="both"/>
        <w:rPr>
          <w:rFonts w:ascii="Book Antiqua" w:hAnsi="Book Antiqua"/>
          <w:b/>
          <w:sz w:val="24"/>
          <w:szCs w:val="24"/>
        </w:rPr>
      </w:pPr>
      <w:r>
        <w:rPr>
          <w:noProof/>
          <w:lang w:eastAsia="zh-CN"/>
        </w:rPr>
        <w:drawing>
          <wp:inline distT="0" distB="0" distL="0" distR="0" wp14:anchorId="71362F84" wp14:editId="586CD33F">
            <wp:extent cx="2885813" cy="22421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stretch>
                      <a:fillRect/>
                    </a:stretch>
                  </pic:blipFill>
                  <pic:spPr>
                    <a:xfrm>
                      <a:off x="0" y="0"/>
                      <a:ext cx="2888832" cy="2244495"/>
                    </a:xfrm>
                    <a:prstGeom prst="rect">
                      <a:avLst/>
                    </a:prstGeom>
                  </pic:spPr>
                </pic:pic>
              </a:graphicData>
            </a:graphic>
          </wp:inline>
        </w:drawing>
      </w:r>
      <w:r>
        <w:rPr>
          <w:noProof/>
          <w:lang w:eastAsia="zh-CN"/>
        </w:rPr>
        <w:drawing>
          <wp:inline distT="0" distB="0" distL="0" distR="0" wp14:anchorId="6BED02FC" wp14:editId="7641FE09">
            <wp:extent cx="2824875" cy="223147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a:stretch>
                      <a:fillRect/>
                    </a:stretch>
                  </pic:blipFill>
                  <pic:spPr>
                    <a:xfrm>
                      <a:off x="0" y="0"/>
                      <a:ext cx="2827408" cy="2233472"/>
                    </a:xfrm>
                    <a:prstGeom prst="rect">
                      <a:avLst/>
                    </a:prstGeom>
                  </pic:spPr>
                </pic:pic>
              </a:graphicData>
            </a:graphic>
          </wp:inline>
        </w:drawing>
      </w:r>
    </w:p>
    <w:p w14:paraId="2E5A2513" w14:textId="264346E0" w:rsidR="00252D17" w:rsidRDefault="00252D17" w:rsidP="009F013B">
      <w:pPr>
        <w:snapToGrid w:val="0"/>
        <w:spacing w:after="0" w:line="360" w:lineRule="auto"/>
        <w:jc w:val="both"/>
        <w:rPr>
          <w:rFonts w:ascii="Book Antiqua" w:hAnsi="Book Antiqua"/>
          <w:b/>
          <w:sz w:val="24"/>
          <w:szCs w:val="24"/>
        </w:rPr>
      </w:pPr>
      <w:r>
        <w:rPr>
          <w:rFonts w:ascii="Book Antiqua" w:hAnsi="Book Antiqua"/>
          <w:b/>
          <w:sz w:val="24"/>
          <w:szCs w:val="24"/>
        </w:rPr>
        <w:t>C                                                                       D</w:t>
      </w:r>
    </w:p>
    <w:p w14:paraId="534D23AA" w14:textId="3EAFD8C1" w:rsidR="00252D17" w:rsidRDefault="00252D17" w:rsidP="009F013B">
      <w:pPr>
        <w:snapToGrid w:val="0"/>
        <w:spacing w:after="0" w:line="360" w:lineRule="auto"/>
        <w:jc w:val="both"/>
        <w:rPr>
          <w:rFonts w:ascii="Book Antiqua" w:hAnsi="Book Antiqua"/>
          <w:b/>
          <w:sz w:val="24"/>
          <w:szCs w:val="24"/>
        </w:rPr>
      </w:pPr>
      <w:r>
        <w:rPr>
          <w:noProof/>
          <w:lang w:eastAsia="zh-CN"/>
        </w:rPr>
        <w:drawing>
          <wp:inline distT="0" distB="0" distL="0" distR="0" wp14:anchorId="3E67A932" wp14:editId="7370248F">
            <wp:extent cx="2782396" cy="219791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a:stretch>
                      <a:fillRect/>
                    </a:stretch>
                  </pic:blipFill>
                  <pic:spPr>
                    <a:xfrm>
                      <a:off x="0" y="0"/>
                      <a:ext cx="2782322" cy="2197857"/>
                    </a:xfrm>
                    <a:prstGeom prst="rect">
                      <a:avLst/>
                    </a:prstGeom>
                  </pic:spPr>
                </pic:pic>
              </a:graphicData>
            </a:graphic>
          </wp:inline>
        </w:drawing>
      </w:r>
      <w:r>
        <w:rPr>
          <w:noProof/>
          <w:lang w:eastAsia="zh-CN"/>
        </w:rPr>
        <w:drawing>
          <wp:inline distT="0" distB="0" distL="0" distR="0" wp14:anchorId="7B1B3B2D" wp14:editId="49603DAF">
            <wp:extent cx="2877975" cy="2273416"/>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a:stretch>
                      <a:fillRect/>
                    </a:stretch>
                  </pic:blipFill>
                  <pic:spPr>
                    <a:xfrm>
                      <a:off x="0" y="0"/>
                      <a:ext cx="2875390" cy="2271374"/>
                    </a:xfrm>
                    <a:prstGeom prst="rect">
                      <a:avLst/>
                    </a:prstGeom>
                  </pic:spPr>
                </pic:pic>
              </a:graphicData>
            </a:graphic>
          </wp:inline>
        </w:drawing>
      </w:r>
    </w:p>
    <w:p w14:paraId="0C2B4A5A" w14:textId="179F04D3" w:rsidR="00252D17" w:rsidRDefault="00252D17" w:rsidP="009F013B">
      <w:pPr>
        <w:snapToGrid w:val="0"/>
        <w:spacing w:after="0" w:line="360" w:lineRule="auto"/>
        <w:jc w:val="both"/>
        <w:rPr>
          <w:rFonts w:ascii="Book Antiqua" w:hAnsi="Book Antiqua"/>
          <w:b/>
          <w:sz w:val="24"/>
          <w:szCs w:val="24"/>
        </w:rPr>
      </w:pPr>
      <w:r>
        <w:rPr>
          <w:rFonts w:ascii="Book Antiqua" w:hAnsi="Book Antiqua"/>
          <w:b/>
          <w:sz w:val="24"/>
          <w:szCs w:val="24"/>
        </w:rPr>
        <w:t>E                                                                      F</w:t>
      </w:r>
    </w:p>
    <w:p w14:paraId="13A02DC4" w14:textId="6520C727" w:rsidR="00252D17" w:rsidRDefault="00252D17" w:rsidP="009F013B">
      <w:pPr>
        <w:snapToGrid w:val="0"/>
        <w:spacing w:after="0" w:line="360" w:lineRule="auto"/>
        <w:jc w:val="both"/>
        <w:rPr>
          <w:rFonts w:ascii="Book Antiqua" w:hAnsi="Book Antiqua"/>
          <w:b/>
          <w:sz w:val="24"/>
          <w:szCs w:val="24"/>
        </w:rPr>
      </w:pPr>
      <w:r>
        <w:rPr>
          <w:noProof/>
          <w:lang w:eastAsia="zh-CN"/>
        </w:rPr>
        <w:drawing>
          <wp:inline distT="0" distB="0" distL="0" distR="0" wp14:anchorId="4A734357" wp14:editId="48152FD1">
            <wp:extent cx="2695639" cy="2088858"/>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a:stretch>
                      <a:fillRect/>
                    </a:stretch>
                  </pic:blipFill>
                  <pic:spPr>
                    <a:xfrm>
                      <a:off x="0" y="0"/>
                      <a:ext cx="2696633" cy="2089628"/>
                    </a:xfrm>
                    <a:prstGeom prst="rect">
                      <a:avLst/>
                    </a:prstGeom>
                  </pic:spPr>
                </pic:pic>
              </a:graphicData>
            </a:graphic>
          </wp:inline>
        </w:drawing>
      </w:r>
      <w:r>
        <w:rPr>
          <w:rFonts w:ascii="Book Antiqua" w:hAnsi="Book Antiqua"/>
          <w:b/>
          <w:sz w:val="24"/>
          <w:szCs w:val="24"/>
        </w:rPr>
        <w:t xml:space="preserve"> </w:t>
      </w:r>
      <w:r>
        <w:rPr>
          <w:noProof/>
          <w:lang w:eastAsia="zh-CN"/>
        </w:rPr>
        <w:drawing>
          <wp:inline distT="0" distB="0" distL="0" distR="0" wp14:anchorId="358512AA" wp14:editId="213C473E">
            <wp:extent cx="2944634" cy="228180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1"/>
                    <a:stretch>
                      <a:fillRect/>
                    </a:stretch>
                  </pic:blipFill>
                  <pic:spPr>
                    <a:xfrm>
                      <a:off x="0" y="0"/>
                      <a:ext cx="2945719" cy="2282645"/>
                    </a:xfrm>
                    <a:prstGeom prst="rect">
                      <a:avLst/>
                    </a:prstGeom>
                  </pic:spPr>
                </pic:pic>
              </a:graphicData>
            </a:graphic>
          </wp:inline>
        </w:drawing>
      </w:r>
    </w:p>
    <w:p w14:paraId="1DE10742" w14:textId="0D3F4E45" w:rsidR="00130171" w:rsidRPr="00B40E91" w:rsidRDefault="0036054C" w:rsidP="009F013B">
      <w:pPr>
        <w:snapToGrid w:val="0"/>
        <w:spacing w:after="0" w:line="360" w:lineRule="auto"/>
        <w:jc w:val="both"/>
        <w:rPr>
          <w:rFonts w:ascii="Book Antiqua" w:hAnsi="Book Antiqua"/>
          <w:sz w:val="24"/>
          <w:szCs w:val="24"/>
        </w:rPr>
      </w:pPr>
      <w:r w:rsidRPr="00B40E91">
        <w:rPr>
          <w:rFonts w:ascii="Book Antiqua" w:hAnsi="Book Antiqua"/>
          <w:b/>
          <w:sz w:val="24"/>
          <w:szCs w:val="24"/>
        </w:rPr>
        <w:lastRenderedPageBreak/>
        <w:t>Figure 3</w:t>
      </w:r>
      <w:r w:rsidR="00252D17">
        <w:rPr>
          <w:rFonts w:ascii="Book Antiqua" w:hAnsi="Book Antiqua"/>
          <w:b/>
          <w:sz w:val="24"/>
          <w:szCs w:val="24"/>
        </w:rPr>
        <w:t xml:space="preserve"> </w:t>
      </w:r>
      <w:r w:rsidRPr="00252D17">
        <w:rPr>
          <w:rFonts w:ascii="Book Antiqua" w:hAnsi="Book Antiqua"/>
          <w:b/>
          <w:sz w:val="24"/>
          <w:szCs w:val="24"/>
        </w:rPr>
        <w:t>Thiopurine-associated lymphopenia is due to decreased NK cells.</w:t>
      </w:r>
      <w:r w:rsidR="00BC35BF">
        <w:rPr>
          <w:rFonts w:ascii="Book Antiqua" w:hAnsi="Book Antiqua"/>
          <w:sz w:val="24"/>
          <w:szCs w:val="24"/>
        </w:rPr>
        <w:t xml:space="preserve"> </w:t>
      </w:r>
      <w:r w:rsidRPr="00B40E91">
        <w:rPr>
          <w:rFonts w:ascii="Book Antiqua" w:hAnsi="Book Antiqua"/>
          <w:sz w:val="24"/>
          <w:szCs w:val="24"/>
        </w:rPr>
        <w:t>CD3- lymphocytes (</w:t>
      </w:r>
      <w:r w:rsidRPr="00252D17">
        <w:rPr>
          <w:rFonts w:ascii="Book Antiqua" w:hAnsi="Book Antiqua"/>
          <w:caps/>
          <w:sz w:val="24"/>
          <w:szCs w:val="24"/>
        </w:rPr>
        <w:t>a</w:t>
      </w:r>
      <w:r w:rsidRPr="00B40E91">
        <w:rPr>
          <w:rFonts w:ascii="Book Antiqua" w:hAnsi="Book Antiqua"/>
          <w:sz w:val="24"/>
          <w:szCs w:val="24"/>
        </w:rPr>
        <w:t xml:space="preserve">) and </w:t>
      </w:r>
      <w:r w:rsidR="00130171" w:rsidRPr="00B40E91">
        <w:rPr>
          <w:rFonts w:ascii="Book Antiqua" w:hAnsi="Book Antiqua"/>
          <w:sz w:val="24"/>
          <w:szCs w:val="24"/>
        </w:rPr>
        <w:t xml:space="preserve">CD56+, CD19- </w:t>
      </w:r>
      <w:r w:rsidRPr="00B40E91">
        <w:rPr>
          <w:rFonts w:ascii="Book Antiqua" w:hAnsi="Book Antiqua"/>
          <w:sz w:val="24"/>
          <w:szCs w:val="24"/>
        </w:rPr>
        <w:t>subsets thereof (</w:t>
      </w:r>
      <w:r w:rsidRPr="00252D17">
        <w:rPr>
          <w:rFonts w:ascii="Book Antiqua" w:hAnsi="Book Antiqua"/>
          <w:caps/>
          <w:sz w:val="24"/>
          <w:szCs w:val="24"/>
        </w:rPr>
        <w:t>b</w:t>
      </w:r>
      <w:r w:rsidRPr="00B40E91">
        <w:rPr>
          <w:rFonts w:ascii="Book Antiqua" w:hAnsi="Book Antiqua"/>
          <w:sz w:val="24"/>
          <w:szCs w:val="24"/>
        </w:rPr>
        <w:t>-</w:t>
      </w:r>
      <w:r w:rsidRPr="00252D17">
        <w:rPr>
          <w:rFonts w:ascii="Book Antiqua" w:hAnsi="Book Antiqua"/>
          <w:caps/>
          <w:sz w:val="24"/>
          <w:szCs w:val="24"/>
        </w:rPr>
        <w:t>f</w:t>
      </w:r>
      <w:r w:rsidRPr="00B40E91">
        <w:rPr>
          <w:rFonts w:ascii="Book Antiqua" w:hAnsi="Book Antiqua"/>
          <w:sz w:val="24"/>
          <w:szCs w:val="24"/>
        </w:rPr>
        <w:t>) per ml of blood were calculated from flow cytometry performed on PBMC from healthy controls (open grey circles) versus IBD patients on (black triangles) versus not on thiopurines (grey squares).</w:t>
      </w:r>
      <w:r w:rsidR="00BC35BF">
        <w:rPr>
          <w:rFonts w:ascii="Book Antiqua" w:hAnsi="Book Antiqua"/>
          <w:sz w:val="24"/>
          <w:szCs w:val="24"/>
        </w:rPr>
        <w:t xml:space="preserve"> </w:t>
      </w:r>
      <w:r w:rsidRPr="00B40E91">
        <w:rPr>
          <w:rFonts w:ascii="Book Antiqua" w:hAnsi="Book Antiqua"/>
          <w:sz w:val="24"/>
          <w:szCs w:val="24"/>
        </w:rPr>
        <w:t>Total CD56+ NK (</w:t>
      </w:r>
      <w:r w:rsidRPr="00252D17">
        <w:rPr>
          <w:rFonts w:ascii="Book Antiqua" w:hAnsi="Book Antiqua"/>
          <w:caps/>
          <w:sz w:val="24"/>
          <w:szCs w:val="24"/>
        </w:rPr>
        <w:t>b</w:t>
      </w:r>
      <w:r w:rsidRPr="00B40E91">
        <w:rPr>
          <w:rFonts w:ascii="Book Antiqua" w:hAnsi="Book Antiqua"/>
          <w:sz w:val="24"/>
          <w:szCs w:val="24"/>
        </w:rPr>
        <w:t xml:space="preserve">) and </w:t>
      </w:r>
      <w:r w:rsidR="00933A22" w:rsidRPr="00B40E91">
        <w:rPr>
          <w:rFonts w:ascii="Book Antiqua" w:hAnsi="Book Antiqua"/>
          <w:sz w:val="24"/>
          <w:szCs w:val="24"/>
        </w:rPr>
        <w:t>CD16+ (</w:t>
      </w:r>
      <w:r w:rsidR="00933A22" w:rsidRPr="00252D17">
        <w:rPr>
          <w:rFonts w:ascii="Book Antiqua" w:hAnsi="Book Antiqua"/>
          <w:caps/>
          <w:sz w:val="24"/>
          <w:szCs w:val="24"/>
        </w:rPr>
        <w:t>c</w:t>
      </w:r>
      <w:r w:rsidR="00933A22" w:rsidRPr="00B40E91">
        <w:rPr>
          <w:rFonts w:ascii="Book Antiqua" w:hAnsi="Book Antiqua"/>
          <w:sz w:val="24"/>
          <w:szCs w:val="24"/>
        </w:rPr>
        <w:t>)</w:t>
      </w:r>
      <w:r w:rsidR="007C0798" w:rsidRPr="00B40E91">
        <w:rPr>
          <w:rFonts w:ascii="Book Antiqua" w:hAnsi="Book Antiqua"/>
          <w:sz w:val="24"/>
          <w:szCs w:val="24"/>
        </w:rPr>
        <w:t>, NKp46+ (</w:t>
      </w:r>
      <w:r w:rsidR="007C0798" w:rsidRPr="00252D17">
        <w:rPr>
          <w:rFonts w:ascii="Book Antiqua" w:hAnsi="Book Antiqua"/>
          <w:caps/>
          <w:sz w:val="24"/>
          <w:szCs w:val="24"/>
        </w:rPr>
        <w:t>d</w:t>
      </w:r>
      <w:r w:rsidR="007C0798" w:rsidRPr="00B40E91">
        <w:rPr>
          <w:rFonts w:ascii="Book Antiqua" w:hAnsi="Book Antiqua"/>
          <w:sz w:val="24"/>
          <w:szCs w:val="24"/>
        </w:rPr>
        <w:t>), CD56</w:t>
      </w:r>
      <w:r w:rsidR="007C0798" w:rsidRPr="00B40E91">
        <w:rPr>
          <w:rFonts w:ascii="Book Antiqua" w:hAnsi="Book Antiqua"/>
          <w:sz w:val="24"/>
          <w:szCs w:val="24"/>
          <w:vertAlign w:val="superscript"/>
        </w:rPr>
        <w:t>low</w:t>
      </w:r>
      <w:r w:rsidR="007C0798" w:rsidRPr="00B40E91">
        <w:rPr>
          <w:rFonts w:ascii="Book Antiqua" w:hAnsi="Book Antiqua"/>
          <w:sz w:val="24"/>
          <w:szCs w:val="24"/>
        </w:rPr>
        <w:t xml:space="preserve"> (</w:t>
      </w:r>
      <w:r w:rsidR="007C0798" w:rsidRPr="00252D17">
        <w:rPr>
          <w:rFonts w:ascii="Book Antiqua" w:hAnsi="Book Antiqua"/>
          <w:caps/>
          <w:sz w:val="24"/>
          <w:szCs w:val="24"/>
        </w:rPr>
        <w:t>e</w:t>
      </w:r>
      <w:r w:rsidR="007C0798" w:rsidRPr="00B40E91">
        <w:rPr>
          <w:rFonts w:ascii="Book Antiqua" w:hAnsi="Book Antiqua"/>
          <w:sz w:val="24"/>
          <w:szCs w:val="24"/>
        </w:rPr>
        <w:t>), and CD56</w:t>
      </w:r>
      <w:r w:rsidR="007C0798" w:rsidRPr="00B40E91">
        <w:rPr>
          <w:rFonts w:ascii="Book Antiqua" w:hAnsi="Book Antiqua"/>
          <w:sz w:val="24"/>
          <w:szCs w:val="24"/>
          <w:vertAlign w:val="superscript"/>
        </w:rPr>
        <w:t>high</w:t>
      </w:r>
      <w:r w:rsidR="007C0798" w:rsidRPr="00B40E91">
        <w:rPr>
          <w:rFonts w:ascii="Book Antiqua" w:hAnsi="Book Antiqua"/>
          <w:sz w:val="24"/>
          <w:szCs w:val="24"/>
        </w:rPr>
        <w:t xml:space="preserve"> fractions thereof are shown.</w:t>
      </w:r>
      <w:r w:rsidR="00BC35BF">
        <w:rPr>
          <w:rFonts w:ascii="Book Antiqua" w:hAnsi="Book Antiqua"/>
          <w:sz w:val="24"/>
          <w:szCs w:val="24"/>
        </w:rPr>
        <w:t xml:space="preserve"> </w:t>
      </w:r>
      <w:r w:rsidR="00933A22" w:rsidRPr="00252D17">
        <w:rPr>
          <w:rFonts w:ascii="Book Antiqua" w:hAnsi="Book Antiqua"/>
          <w:i/>
          <w:caps/>
          <w:sz w:val="24"/>
          <w:szCs w:val="24"/>
        </w:rPr>
        <w:t>p</w:t>
      </w:r>
      <w:r w:rsidR="00933A22" w:rsidRPr="00B40E91">
        <w:rPr>
          <w:rFonts w:ascii="Book Antiqua" w:hAnsi="Book Antiqua"/>
          <w:sz w:val="24"/>
          <w:szCs w:val="24"/>
        </w:rPr>
        <w:t>-values reflect two-tailed Mann-Whitney non-parametric comparisons.</w:t>
      </w:r>
      <w:r w:rsidR="00BC35BF">
        <w:rPr>
          <w:rFonts w:ascii="Book Antiqua" w:hAnsi="Book Antiqua"/>
          <w:sz w:val="24"/>
          <w:szCs w:val="24"/>
        </w:rPr>
        <w:t xml:space="preserve"> </w:t>
      </w:r>
    </w:p>
    <w:p w14:paraId="6FD84A14" w14:textId="77777777" w:rsidR="00252D17" w:rsidRDefault="00252D17" w:rsidP="009F013B">
      <w:pPr>
        <w:snapToGrid w:val="0"/>
        <w:spacing w:after="0" w:line="360" w:lineRule="auto"/>
        <w:jc w:val="both"/>
        <w:rPr>
          <w:rFonts w:ascii="Book Antiqua" w:hAnsi="Book Antiqua"/>
          <w:sz w:val="24"/>
          <w:szCs w:val="24"/>
        </w:rPr>
      </w:pPr>
    </w:p>
    <w:p w14:paraId="00B8FE55" w14:textId="77777777" w:rsidR="00252D17" w:rsidRDefault="00252D17" w:rsidP="009F013B">
      <w:pPr>
        <w:snapToGrid w:val="0"/>
        <w:spacing w:after="0" w:line="360" w:lineRule="auto"/>
        <w:rPr>
          <w:rFonts w:ascii="Book Antiqua" w:hAnsi="Book Antiqua"/>
          <w:sz w:val="24"/>
          <w:szCs w:val="24"/>
        </w:rPr>
      </w:pPr>
      <w:r>
        <w:rPr>
          <w:rFonts w:ascii="Book Antiqua" w:hAnsi="Book Antiqua"/>
          <w:sz w:val="24"/>
          <w:szCs w:val="24"/>
        </w:rPr>
        <w:br w:type="page"/>
      </w:r>
    </w:p>
    <w:p w14:paraId="5401C3EA" w14:textId="7B88B57A" w:rsidR="00252D17" w:rsidRPr="00456376" w:rsidRDefault="00456376" w:rsidP="009F013B">
      <w:pPr>
        <w:snapToGrid w:val="0"/>
        <w:spacing w:after="0" w:line="360" w:lineRule="auto"/>
        <w:jc w:val="both"/>
        <w:rPr>
          <w:rFonts w:ascii="Book Antiqua" w:hAnsi="Book Antiqua"/>
          <w:b/>
          <w:sz w:val="24"/>
          <w:szCs w:val="24"/>
        </w:rPr>
      </w:pPr>
      <w:r>
        <w:rPr>
          <w:rFonts w:ascii="Book Antiqua" w:hAnsi="Book Antiqua"/>
          <w:sz w:val="24"/>
          <w:szCs w:val="24"/>
        </w:rPr>
        <w:lastRenderedPageBreak/>
        <w:t xml:space="preserve">A                                                                 </w:t>
      </w:r>
      <w:r w:rsidRPr="00456376">
        <w:rPr>
          <w:rFonts w:ascii="Book Antiqua" w:hAnsi="Book Antiqua"/>
          <w:sz w:val="24"/>
          <w:szCs w:val="24"/>
        </w:rPr>
        <w:t xml:space="preserve"> B</w:t>
      </w:r>
    </w:p>
    <w:p w14:paraId="71FE7EB2" w14:textId="40494B2F" w:rsidR="00456376" w:rsidRDefault="00456376" w:rsidP="009F013B">
      <w:pPr>
        <w:snapToGrid w:val="0"/>
        <w:spacing w:after="0" w:line="360" w:lineRule="auto"/>
        <w:jc w:val="both"/>
        <w:rPr>
          <w:rFonts w:ascii="Book Antiqua" w:hAnsi="Book Antiqua"/>
          <w:sz w:val="24"/>
          <w:szCs w:val="24"/>
        </w:rPr>
      </w:pPr>
      <w:r>
        <w:rPr>
          <w:noProof/>
          <w:lang w:eastAsia="zh-CN"/>
        </w:rPr>
        <w:drawing>
          <wp:inline distT="0" distB="0" distL="0" distR="0" wp14:anchorId="72BDE6D7" wp14:editId="0F08D6E6">
            <wp:extent cx="2886873" cy="2248249"/>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a:stretch>
                      <a:fillRect/>
                    </a:stretch>
                  </pic:blipFill>
                  <pic:spPr>
                    <a:xfrm>
                      <a:off x="0" y="0"/>
                      <a:ext cx="2893198" cy="2253175"/>
                    </a:xfrm>
                    <a:prstGeom prst="rect">
                      <a:avLst/>
                    </a:prstGeom>
                  </pic:spPr>
                </pic:pic>
              </a:graphicData>
            </a:graphic>
          </wp:inline>
        </w:drawing>
      </w:r>
      <w:r>
        <w:rPr>
          <w:noProof/>
          <w:lang w:eastAsia="zh-CN"/>
        </w:rPr>
        <w:drawing>
          <wp:inline distT="0" distB="0" distL="0" distR="0" wp14:anchorId="56D61CF2" wp14:editId="2D232CE4">
            <wp:extent cx="2839323" cy="2248249"/>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a:stretch>
                      <a:fillRect/>
                    </a:stretch>
                  </pic:blipFill>
                  <pic:spPr>
                    <a:xfrm>
                      <a:off x="0" y="0"/>
                      <a:ext cx="2845725" cy="2253318"/>
                    </a:xfrm>
                    <a:prstGeom prst="rect">
                      <a:avLst/>
                    </a:prstGeom>
                  </pic:spPr>
                </pic:pic>
              </a:graphicData>
            </a:graphic>
          </wp:inline>
        </w:drawing>
      </w:r>
    </w:p>
    <w:p w14:paraId="319F4F64" w14:textId="0080772A" w:rsidR="00F238E4" w:rsidRDefault="00F238E4" w:rsidP="009F013B">
      <w:pPr>
        <w:snapToGrid w:val="0"/>
        <w:spacing w:after="0" w:line="360" w:lineRule="auto"/>
        <w:jc w:val="both"/>
        <w:rPr>
          <w:rFonts w:ascii="Book Antiqua" w:hAnsi="Book Antiqua"/>
          <w:sz w:val="24"/>
          <w:szCs w:val="24"/>
        </w:rPr>
      </w:pPr>
      <w:r>
        <w:rPr>
          <w:rFonts w:ascii="Book Antiqua" w:hAnsi="Book Antiqua"/>
          <w:sz w:val="24"/>
          <w:szCs w:val="24"/>
        </w:rPr>
        <w:t>C                                                                        D</w:t>
      </w:r>
    </w:p>
    <w:p w14:paraId="47B585B8" w14:textId="007BB5D8" w:rsidR="00F238E4" w:rsidRDefault="00F238E4" w:rsidP="009F013B">
      <w:pPr>
        <w:snapToGrid w:val="0"/>
        <w:spacing w:after="0" w:line="360" w:lineRule="auto"/>
        <w:jc w:val="both"/>
        <w:rPr>
          <w:rFonts w:ascii="Book Antiqua" w:hAnsi="Book Antiqua"/>
          <w:sz w:val="24"/>
          <w:szCs w:val="24"/>
        </w:rPr>
      </w:pPr>
      <w:r>
        <w:rPr>
          <w:noProof/>
          <w:lang w:eastAsia="zh-CN"/>
        </w:rPr>
        <w:drawing>
          <wp:inline distT="0" distB="0" distL="0" distR="0" wp14:anchorId="373405C5" wp14:editId="483AAA5F">
            <wp:extent cx="2828727" cy="22398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4"/>
                    <a:stretch>
                      <a:fillRect/>
                    </a:stretch>
                  </pic:blipFill>
                  <pic:spPr>
                    <a:xfrm>
                      <a:off x="0" y="0"/>
                      <a:ext cx="2834548" cy="2244470"/>
                    </a:xfrm>
                    <a:prstGeom prst="rect">
                      <a:avLst/>
                    </a:prstGeom>
                  </pic:spPr>
                </pic:pic>
              </a:graphicData>
            </a:graphic>
          </wp:inline>
        </w:drawing>
      </w:r>
      <w:r>
        <w:rPr>
          <w:noProof/>
          <w:lang w:eastAsia="zh-CN"/>
        </w:rPr>
        <w:drawing>
          <wp:inline distT="0" distB="0" distL="0" distR="0" wp14:anchorId="24FBD63E" wp14:editId="14326F83">
            <wp:extent cx="2869035" cy="2310468"/>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5"/>
                    <a:stretch>
                      <a:fillRect/>
                    </a:stretch>
                  </pic:blipFill>
                  <pic:spPr>
                    <a:xfrm>
                      <a:off x="0" y="0"/>
                      <a:ext cx="2871993" cy="2312850"/>
                    </a:xfrm>
                    <a:prstGeom prst="rect">
                      <a:avLst/>
                    </a:prstGeom>
                  </pic:spPr>
                </pic:pic>
              </a:graphicData>
            </a:graphic>
          </wp:inline>
        </w:drawing>
      </w:r>
    </w:p>
    <w:p w14:paraId="69A4AA72" w14:textId="5B7BD2FF" w:rsidR="0036054C" w:rsidRPr="00B40E91" w:rsidRDefault="00130171" w:rsidP="009F013B">
      <w:pPr>
        <w:snapToGrid w:val="0"/>
        <w:spacing w:after="0" w:line="360" w:lineRule="auto"/>
        <w:jc w:val="both"/>
        <w:rPr>
          <w:rFonts w:ascii="Book Antiqua" w:hAnsi="Book Antiqua"/>
          <w:sz w:val="24"/>
          <w:szCs w:val="24"/>
        </w:rPr>
      </w:pPr>
      <w:r w:rsidRPr="00F238E4">
        <w:rPr>
          <w:rFonts w:ascii="Book Antiqua" w:hAnsi="Book Antiqua"/>
          <w:b/>
          <w:sz w:val="24"/>
          <w:szCs w:val="24"/>
        </w:rPr>
        <w:t>Figure 4</w:t>
      </w:r>
      <w:r w:rsidR="00252D17" w:rsidRPr="00F238E4">
        <w:rPr>
          <w:rFonts w:ascii="Book Antiqua" w:hAnsi="Book Antiqua"/>
          <w:b/>
          <w:sz w:val="24"/>
          <w:szCs w:val="24"/>
        </w:rPr>
        <w:t xml:space="preserve"> </w:t>
      </w:r>
      <w:r w:rsidRPr="00F238E4">
        <w:rPr>
          <w:rFonts w:ascii="Book Antiqua" w:hAnsi="Book Antiqua"/>
          <w:b/>
          <w:sz w:val="24"/>
          <w:szCs w:val="24"/>
        </w:rPr>
        <w:t>Thiopurine-associated lymphopenia is due to decreased B cells.</w:t>
      </w:r>
      <w:r w:rsidR="00BC35BF">
        <w:rPr>
          <w:rFonts w:ascii="Book Antiqua" w:hAnsi="Book Antiqua"/>
          <w:sz w:val="24"/>
          <w:szCs w:val="24"/>
        </w:rPr>
        <w:t xml:space="preserve"> </w:t>
      </w:r>
      <w:r w:rsidRPr="00B40E91">
        <w:rPr>
          <w:rFonts w:ascii="Book Antiqua" w:hAnsi="Book Antiqua"/>
          <w:sz w:val="24"/>
          <w:szCs w:val="24"/>
        </w:rPr>
        <w:t xml:space="preserve">CD3-, </w:t>
      </w:r>
      <w:r w:rsidR="0036054C" w:rsidRPr="00B40E91">
        <w:rPr>
          <w:rFonts w:ascii="Book Antiqua" w:hAnsi="Book Antiqua"/>
          <w:sz w:val="24"/>
          <w:szCs w:val="24"/>
        </w:rPr>
        <w:t>CD19+ B cell (</w:t>
      </w:r>
      <w:r w:rsidRPr="00F238E4">
        <w:rPr>
          <w:rFonts w:ascii="Book Antiqua" w:hAnsi="Book Antiqua"/>
          <w:caps/>
          <w:sz w:val="24"/>
          <w:szCs w:val="24"/>
        </w:rPr>
        <w:t>a</w:t>
      </w:r>
      <w:r w:rsidR="0036054C" w:rsidRPr="00B40E91">
        <w:rPr>
          <w:rFonts w:ascii="Book Antiqua" w:hAnsi="Book Antiqua"/>
          <w:sz w:val="24"/>
          <w:szCs w:val="24"/>
        </w:rPr>
        <w:t>) counts</w:t>
      </w:r>
      <w:r w:rsidRPr="00B40E91">
        <w:rPr>
          <w:rFonts w:ascii="Book Antiqua" w:hAnsi="Book Antiqua"/>
          <w:sz w:val="24"/>
          <w:szCs w:val="24"/>
        </w:rPr>
        <w:t xml:space="preserve"> per ml of blood</w:t>
      </w:r>
      <w:r w:rsidR="0036054C" w:rsidRPr="00B40E91">
        <w:rPr>
          <w:rFonts w:ascii="Book Antiqua" w:hAnsi="Book Antiqua"/>
          <w:sz w:val="24"/>
          <w:szCs w:val="24"/>
        </w:rPr>
        <w:t xml:space="preserve"> were compared between cohorts, as were CD19+, CD27-, IgD+, CD38- naïve B cells (</w:t>
      </w:r>
      <w:r w:rsidR="00933A22" w:rsidRPr="00F238E4">
        <w:rPr>
          <w:rFonts w:ascii="Book Antiqua" w:hAnsi="Book Antiqua"/>
          <w:caps/>
          <w:sz w:val="24"/>
          <w:szCs w:val="24"/>
        </w:rPr>
        <w:t>b</w:t>
      </w:r>
      <w:r w:rsidR="0036054C" w:rsidRPr="00B40E91">
        <w:rPr>
          <w:rFonts w:ascii="Book Antiqua" w:hAnsi="Book Antiqua"/>
          <w:sz w:val="24"/>
          <w:szCs w:val="24"/>
        </w:rPr>
        <w:t>), CD19+, CD27+</w:t>
      </w:r>
      <w:r w:rsidR="00933A22" w:rsidRPr="00B40E91">
        <w:rPr>
          <w:rFonts w:ascii="Book Antiqua" w:hAnsi="Book Antiqua"/>
          <w:sz w:val="24"/>
          <w:szCs w:val="24"/>
        </w:rPr>
        <w:t>, IgD-, CD20+, CD38-</w:t>
      </w:r>
      <w:r w:rsidR="0036054C" w:rsidRPr="00B40E91">
        <w:rPr>
          <w:rFonts w:ascii="Book Antiqua" w:hAnsi="Book Antiqua"/>
          <w:sz w:val="24"/>
          <w:szCs w:val="24"/>
        </w:rPr>
        <w:t xml:space="preserve"> memory B cells (</w:t>
      </w:r>
      <w:r w:rsidR="00933A22" w:rsidRPr="00F238E4">
        <w:rPr>
          <w:rFonts w:ascii="Book Antiqua" w:hAnsi="Book Antiqua"/>
          <w:caps/>
          <w:sz w:val="24"/>
          <w:szCs w:val="24"/>
        </w:rPr>
        <w:t>c</w:t>
      </w:r>
      <w:r w:rsidR="0036054C" w:rsidRPr="00B40E91">
        <w:rPr>
          <w:rFonts w:ascii="Book Antiqua" w:hAnsi="Book Antiqua"/>
          <w:sz w:val="24"/>
          <w:szCs w:val="24"/>
        </w:rPr>
        <w:t>), and CD19+, CD27-, IgD+, CD38+ transitional B cells</w:t>
      </w:r>
      <w:r w:rsidR="00933A22" w:rsidRPr="00B40E91">
        <w:rPr>
          <w:rFonts w:ascii="Book Antiqua" w:hAnsi="Book Antiqua"/>
          <w:sz w:val="24"/>
          <w:szCs w:val="24"/>
        </w:rPr>
        <w:t xml:space="preserve"> (</w:t>
      </w:r>
      <w:r w:rsidR="00933A22" w:rsidRPr="00F238E4">
        <w:rPr>
          <w:rFonts w:ascii="Book Antiqua" w:hAnsi="Book Antiqua"/>
          <w:caps/>
          <w:sz w:val="24"/>
          <w:szCs w:val="24"/>
        </w:rPr>
        <w:t>d</w:t>
      </w:r>
      <w:r w:rsidR="00933A22" w:rsidRPr="00B40E91">
        <w:rPr>
          <w:rFonts w:ascii="Book Antiqua" w:hAnsi="Book Antiqua"/>
          <w:sz w:val="24"/>
          <w:szCs w:val="24"/>
        </w:rPr>
        <w:t>)</w:t>
      </w:r>
      <w:r w:rsidR="0036054C" w:rsidRPr="00B40E91">
        <w:rPr>
          <w:rFonts w:ascii="Book Antiqua" w:hAnsi="Book Antiqua"/>
          <w:sz w:val="24"/>
          <w:szCs w:val="24"/>
        </w:rPr>
        <w:t>.</w:t>
      </w:r>
      <w:r w:rsidR="00BC35BF">
        <w:rPr>
          <w:rFonts w:ascii="Book Antiqua" w:hAnsi="Book Antiqua"/>
          <w:sz w:val="24"/>
          <w:szCs w:val="24"/>
        </w:rPr>
        <w:t xml:space="preserve"> </w:t>
      </w:r>
      <w:r w:rsidR="00933A22" w:rsidRPr="00F238E4">
        <w:rPr>
          <w:rFonts w:ascii="Book Antiqua" w:hAnsi="Book Antiqua"/>
          <w:i/>
          <w:caps/>
          <w:sz w:val="24"/>
          <w:szCs w:val="24"/>
        </w:rPr>
        <w:t>p</w:t>
      </w:r>
      <w:r w:rsidR="00933A22" w:rsidRPr="00B40E91">
        <w:rPr>
          <w:rFonts w:ascii="Book Antiqua" w:hAnsi="Book Antiqua"/>
          <w:sz w:val="24"/>
          <w:szCs w:val="24"/>
        </w:rPr>
        <w:t>-values reflect two-tailed Mann-Whitney non-parametric comparisons.</w:t>
      </w:r>
      <w:r w:rsidR="00BC35BF">
        <w:rPr>
          <w:rFonts w:ascii="Book Antiqua" w:hAnsi="Book Antiqua"/>
          <w:sz w:val="24"/>
          <w:szCs w:val="24"/>
        </w:rPr>
        <w:t xml:space="preserve"> </w:t>
      </w:r>
    </w:p>
    <w:p w14:paraId="397DE432" w14:textId="2DA822F0" w:rsidR="00F238E4" w:rsidRDefault="00F238E4">
      <w:pPr>
        <w:spacing w:after="160" w:line="259" w:lineRule="auto"/>
        <w:rPr>
          <w:rFonts w:ascii="Book Antiqua" w:hAnsi="Book Antiqua"/>
          <w:b/>
          <w:sz w:val="24"/>
          <w:szCs w:val="24"/>
        </w:rPr>
      </w:pPr>
      <w:r>
        <w:rPr>
          <w:rFonts w:ascii="Book Antiqua" w:hAnsi="Book Antiqua"/>
          <w:b/>
          <w:sz w:val="24"/>
          <w:szCs w:val="24"/>
        </w:rPr>
        <w:br w:type="page"/>
      </w:r>
    </w:p>
    <w:p w14:paraId="265123AF" w14:textId="40197769" w:rsidR="00F238E4" w:rsidRDefault="00F238E4" w:rsidP="00F238E4">
      <w:pPr>
        <w:snapToGrid w:val="0"/>
        <w:spacing w:after="0" w:line="360" w:lineRule="auto"/>
        <w:jc w:val="both"/>
        <w:rPr>
          <w:rFonts w:ascii="Book Antiqua" w:hAnsi="Book Antiqua"/>
          <w:b/>
          <w:sz w:val="24"/>
          <w:szCs w:val="24"/>
        </w:rPr>
      </w:pPr>
      <w:r>
        <w:rPr>
          <w:rFonts w:ascii="Book Antiqua" w:hAnsi="Book Antiqua"/>
          <w:b/>
          <w:sz w:val="24"/>
          <w:szCs w:val="24"/>
        </w:rPr>
        <w:lastRenderedPageBreak/>
        <w:t>A                                                                     B</w:t>
      </w:r>
    </w:p>
    <w:p w14:paraId="06EED6DF" w14:textId="6644DF2F" w:rsidR="00F238E4" w:rsidRDefault="00F238E4" w:rsidP="00F238E4">
      <w:pPr>
        <w:snapToGrid w:val="0"/>
        <w:spacing w:after="0" w:line="360" w:lineRule="auto"/>
        <w:jc w:val="both"/>
        <w:rPr>
          <w:rFonts w:ascii="Book Antiqua" w:hAnsi="Book Antiqua"/>
          <w:b/>
          <w:sz w:val="24"/>
          <w:szCs w:val="24"/>
        </w:rPr>
      </w:pPr>
      <w:r>
        <w:rPr>
          <w:noProof/>
          <w:lang w:eastAsia="zh-CN"/>
        </w:rPr>
        <w:drawing>
          <wp:inline distT="0" distB="0" distL="0" distR="0" wp14:anchorId="130CC909" wp14:editId="5E1C1C0B">
            <wp:extent cx="2684477" cy="2289993"/>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6"/>
                    <a:stretch>
                      <a:fillRect/>
                    </a:stretch>
                  </pic:blipFill>
                  <pic:spPr>
                    <a:xfrm>
                      <a:off x="0" y="0"/>
                      <a:ext cx="2691156" cy="2295691"/>
                    </a:xfrm>
                    <a:prstGeom prst="rect">
                      <a:avLst/>
                    </a:prstGeom>
                  </pic:spPr>
                </pic:pic>
              </a:graphicData>
            </a:graphic>
          </wp:inline>
        </w:drawing>
      </w:r>
      <w:r>
        <w:rPr>
          <w:noProof/>
          <w:lang w:eastAsia="zh-CN"/>
        </w:rPr>
        <w:drawing>
          <wp:inline distT="0" distB="0" distL="0" distR="0" wp14:anchorId="7B3306DB" wp14:editId="237B4F34">
            <wp:extent cx="2768367" cy="2361554"/>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7"/>
                    <a:stretch>
                      <a:fillRect/>
                    </a:stretch>
                  </pic:blipFill>
                  <pic:spPr>
                    <a:xfrm>
                      <a:off x="0" y="0"/>
                      <a:ext cx="2775059" cy="2367262"/>
                    </a:xfrm>
                    <a:prstGeom prst="rect">
                      <a:avLst/>
                    </a:prstGeom>
                  </pic:spPr>
                </pic:pic>
              </a:graphicData>
            </a:graphic>
          </wp:inline>
        </w:drawing>
      </w:r>
    </w:p>
    <w:p w14:paraId="323787E5" w14:textId="0BD8AEB8" w:rsidR="00F238E4" w:rsidRDefault="00F238E4" w:rsidP="00F238E4">
      <w:pPr>
        <w:snapToGrid w:val="0"/>
        <w:spacing w:after="0" w:line="360" w:lineRule="auto"/>
        <w:jc w:val="both"/>
        <w:rPr>
          <w:rFonts w:ascii="Book Antiqua" w:hAnsi="Book Antiqua"/>
          <w:b/>
          <w:sz w:val="24"/>
          <w:szCs w:val="24"/>
        </w:rPr>
      </w:pPr>
      <w:r>
        <w:rPr>
          <w:rFonts w:ascii="Book Antiqua" w:hAnsi="Book Antiqua"/>
          <w:b/>
          <w:sz w:val="24"/>
          <w:szCs w:val="24"/>
        </w:rPr>
        <w:t>C                                                                         D</w:t>
      </w:r>
    </w:p>
    <w:p w14:paraId="17652B3E" w14:textId="41998A0C" w:rsidR="00F238E4" w:rsidRDefault="00F238E4" w:rsidP="00F238E4">
      <w:pPr>
        <w:snapToGrid w:val="0"/>
        <w:spacing w:after="0" w:line="360" w:lineRule="auto"/>
        <w:jc w:val="both"/>
        <w:rPr>
          <w:rFonts w:ascii="Book Antiqua" w:hAnsi="Book Antiqua"/>
          <w:b/>
          <w:sz w:val="24"/>
          <w:szCs w:val="24"/>
        </w:rPr>
      </w:pPr>
      <w:r>
        <w:rPr>
          <w:noProof/>
          <w:lang w:eastAsia="zh-CN"/>
        </w:rPr>
        <w:drawing>
          <wp:inline distT="0" distB="0" distL="0" distR="0" wp14:anchorId="1A1B8CC6" wp14:editId="7656E7C3">
            <wp:extent cx="2785145" cy="2375865"/>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a:stretch>
                      <a:fillRect/>
                    </a:stretch>
                  </pic:blipFill>
                  <pic:spPr>
                    <a:xfrm>
                      <a:off x="0" y="0"/>
                      <a:ext cx="2791564" cy="2381341"/>
                    </a:xfrm>
                    <a:prstGeom prst="rect">
                      <a:avLst/>
                    </a:prstGeom>
                  </pic:spPr>
                </pic:pic>
              </a:graphicData>
            </a:graphic>
          </wp:inline>
        </w:drawing>
      </w:r>
      <w:r>
        <w:rPr>
          <w:noProof/>
          <w:lang w:eastAsia="zh-CN"/>
        </w:rPr>
        <w:drawing>
          <wp:inline distT="0" distB="0" distL="0" distR="0" wp14:anchorId="3A51D8AF" wp14:editId="7B06F246">
            <wp:extent cx="2802725" cy="2390862"/>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9"/>
                    <a:stretch>
                      <a:fillRect/>
                    </a:stretch>
                  </pic:blipFill>
                  <pic:spPr>
                    <a:xfrm>
                      <a:off x="0" y="0"/>
                      <a:ext cx="2805118" cy="2392903"/>
                    </a:xfrm>
                    <a:prstGeom prst="rect">
                      <a:avLst/>
                    </a:prstGeom>
                  </pic:spPr>
                </pic:pic>
              </a:graphicData>
            </a:graphic>
          </wp:inline>
        </w:drawing>
      </w:r>
    </w:p>
    <w:p w14:paraId="2C06C90B" w14:textId="6CECA089" w:rsidR="00F238E4" w:rsidRDefault="00F238E4" w:rsidP="00F238E4">
      <w:pPr>
        <w:snapToGrid w:val="0"/>
        <w:spacing w:after="0" w:line="360" w:lineRule="auto"/>
        <w:jc w:val="both"/>
        <w:rPr>
          <w:rFonts w:ascii="Book Antiqua" w:hAnsi="Book Antiqua"/>
          <w:b/>
          <w:sz w:val="24"/>
          <w:szCs w:val="24"/>
        </w:rPr>
      </w:pPr>
      <w:r>
        <w:rPr>
          <w:rFonts w:ascii="Book Antiqua" w:hAnsi="Book Antiqua"/>
          <w:b/>
          <w:sz w:val="24"/>
          <w:szCs w:val="24"/>
        </w:rPr>
        <w:t>E                                                                      F</w:t>
      </w:r>
    </w:p>
    <w:p w14:paraId="1E54D653" w14:textId="7D1D5024" w:rsidR="00F238E4" w:rsidRDefault="00F238E4" w:rsidP="00F238E4">
      <w:pPr>
        <w:snapToGrid w:val="0"/>
        <w:spacing w:after="0" w:line="360" w:lineRule="auto"/>
        <w:jc w:val="both"/>
        <w:rPr>
          <w:rFonts w:ascii="Book Antiqua" w:hAnsi="Book Antiqua"/>
          <w:b/>
          <w:sz w:val="24"/>
          <w:szCs w:val="24"/>
        </w:rPr>
      </w:pPr>
      <w:r>
        <w:rPr>
          <w:noProof/>
          <w:lang w:eastAsia="zh-CN"/>
        </w:rPr>
        <w:drawing>
          <wp:inline distT="0" distB="0" distL="0" distR="0" wp14:anchorId="345F1512" wp14:editId="6164517A">
            <wp:extent cx="2861730" cy="2441196"/>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0"/>
                    <a:stretch>
                      <a:fillRect/>
                    </a:stretch>
                  </pic:blipFill>
                  <pic:spPr>
                    <a:xfrm>
                      <a:off x="0" y="0"/>
                      <a:ext cx="2869630" cy="2447935"/>
                    </a:xfrm>
                    <a:prstGeom prst="rect">
                      <a:avLst/>
                    </a:prstGeom>
                  </pic:spPr>
                </pic:pic>
              </a:graphicData>
            </a:graphic>
          </wp:inline>
        </w:drawing>
      </w:r>
      <w:r>
        <w:rPr>
          <w:noProof/>
          <w:lang w:eastAsia="zh-CN"/>
        </w:rPr>
        <w:drawing>
          <wp:inline distT="0" distB="0" distL="0" distR="0" wp14:anchorId="689860D3" wp14:editId="0CED5353">
            <wp:extent cx="2849031" cy="2239861"/>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1"/>
                    <a:stretch>
                      <a:fillRect/>
                    </a:stretch>
                  </pic:blipFill>
                  <pic:spPr>
                    <a:xfrm>
                      <a:off x="0" y="0"/>
                      <a:ext cx="2852159" cy="2242320"/>
                    </a:xfrm>
                    <a:prstGeom prst="rect">
                      <a:avLst/>
                    </a:prstGeom>
                  </pic:spPr>
                </pic:pic>
              </a:graphicData>
            </a:graphic>
          </wp:inline>
        </w:drawing>
      </w:r>
    </w:p>
    <w:p w14:paraId="5285FD9D" w14:textId="795F6200" w:rsidR="007C0173" w:rsidRDefault="007C0173" w:rsidP="00F238E4">
      <w:pPr>
        <w:snapToGrid w:val="0"/>
        <w:spacing w:after="0" w:line="360" w:lineRule="auto"/>
        <w:jc w:val="both"/>
        <w:rPr>
          <w:rFonts w:ascii="Book Antiqua" w:hAnsi="Book Antiqua"/>
          <w:b/>
          <w:sz w:val="24"/>
          <w:szCs w:val="24"/>
        </w:rPr>
      </w:pPr>
      <w:r>
        <w:rPr>
          <w:rFonts w:ascii="Book Antiqua" w:hAnsi="Book Antiqua"/>
          <w:b/>
          <w:sz w:val="24"/>
          <w:szCs w:val="24"/>
        </w:rPr>
        <w:lastRenderedPageBreak/>
        <w:t>G</w:t>
      </w:r>
    </w:p>
    <w:p w14:paraId="5B3F89DE" w14:textId="4817B84D" w:rsidR="007C0173" w:rsidRDefault="007C0173" w:rsidP="00F238E4">
      <w:pPr>
        <w:snapToGrid w:val="0"/>
        <w:spacing w:after="0" w:line="360" w:lineRule="auto"/>
        <w:jc w:val="both"/>
        <w:rPr>
          <w:rFonts w:ascii="Book Antiqua" w:hAnsi="Book Antiqua"/>
          <w:b/>
          <w:sz w:val="24"/>
          <w:szCs w:val="24"/>
        </w:rPr>
      </w:pPr>
      <w:r>
        <w:rPr>
          <w:noProof/>
          <w:lang w:eastAsia="zh-CN"/>
        </w:rPr>
        <w:drawing>
          <wp:inline distT="0" distB="0" distL="0" distR="0" wp14:anchorId="51063285" wp14:editId="3D800D98">
            <wp:extent cx="3212983" cy="2574923"/>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2"/>
                    <a:stretch>
                      <a:fillRect/>
                    </a:stretch>
                  </pic:blipFill>
                  <pic:spPr>
                    <a:xfrm>
                      <a:off x="0" y="0"/>
                      <a:ext cx="3211273" cy="2573553"/>
                    </a:xfrm>
                    <a:prstGeom prst="rect">
                      <a:avLst/>
                    </a:prstGeom>
                  </pic:spPr>
                </pic:pic>
              </a:graphicData>
            </a:graphic>
          </wp:inline>
        </w:drawing>
      </w:r>
    </w:p>
    <w:p w14:paraId="482C160F" w14:textId="42E66D7F" w:rsidR="007C0173" w:rsidRPr="006B4F86" w:rsidRDefault="0036054C" w:rsidP="006B4F86">
      <w:pPr>
        <w:snapToGrid w:val="0"/>
        <w:spacing w:after="0" w:line="360" w:lineRule="auto"/>
        <w:jc w:val="both"/>
        <w:rPr>
          <w:rFonts w:ascii="Book Antiqua" w:hAnsi="Book Antiqua"/>
          <w:sz w:val="24"/>
          <w:szCs w:val="24"/>
        </w:rPr>
      </w:pPr>
      <w:r w:rsidRPr="00B40E91">
        <w:rPr>
          <w:rFonts w:ascii="Book Antiqua" w:hAnsi="Book Antiqua"/>
          <w:b/>
          <w:sz w:val="24"/>
          <w:szCs w:val="24"/>
        </w:rPr>
        <w:t xml:space="preserve">Figure </w:t>
      </w:r>
      <w:r w:rsidR="00130171" w:rsidRPr="00B40E91">
        <w:rPr>
          <w:rFonts w:ascii="Book Antiqua" w:hAnsi="Book Antiqua"/>
          <w:b/>
          <w:sz w:val="24"/>
          <w:szCs w:val="24"/>
        </w:rPr>
        <w:t>5</w:t>
      </w:r>
      <w:r w:rsidR="00F238E4">
        <w:rPr>
          <w:rFonts w:ascii="Book Antiqua" w:hAnsi="Book Antiqua"/>
          <w:b/>
          <w:sz w:val="24"/>
          <w:szCs w:val="24"/>
        </w:rPr>
        <w:t xml:space="preserve"> </w:t>
      </w:r>
      <w:r w:rsidRPr="001378BF">
        <w:rPr>
          <w:rFonts w:ascii="Book Antiqua" w:hAnsi="Book Antiqua"/>
          <w:b/>
          <w:sz w:val="24"/>
          <w:szCs w:val="24"/>
        </w:rPr>
        <w:t>Intestinal B, but not T cells, are reduced in thiopurine recipients.</w:t>
      </w:r>
      <w:r w:rsidR="00BC35BF" w:rsidRPr="001378BF">
        <w:rPr>
          <w:rFonts w:ascii="Book Antiqua" w:hAnsi="Book Antiqua"/>
          <w:b/>
          <w:sz w:val="24"/>
          <w:szCs w:val="24"/>
        </w:rPr>
        <w:t xml:space="preserve"> </w:t>
      </w:r>
      <w:r w:rsidRPr="001378BF">
        <w:rPr>
          <w:rFonts w:ascii="Book Antiqua" w:hAnsi="Book Antiqua"/>
          <w:b/>
          <w:sz w:val="24"/>
          <w:szCs w:val="24"/>
        </w:rPr>
        <w:t>Collagenase-digested colon biopsies from healthy controls (open grey circles)</w:t>
      </w:r>
      <w:r w:rsidRPr="001378BF">
        <w:rPr>
          <w:rFonts w:ascii="Book Antiqua" w:hAnsi="Book Antiqua"/>
          <w:b/>
          <w:i/>
          <w:sz w:val="24"/>
          <w:szCs w:val="24"/>
        </w:rPr>
        <w:t xml:space="preserve"> vs</w:t>
      </w:r>
      <w:r w:rsidRPr="001378BF">
        <w:rPr>
          <w:rFonts w:ascii="Book Antiqua" w:hAnsi="Book Antiqua"/>
          <w:b/>
          <w:sz w:val="24"/>
          <w:szCs w:val="24"/>
        </w:rPr>
        <w:t xml:space="preserve"> </w:t>
      </w:r>
      <w:r w:rsidR="007108D4" w:rsidRPr="007108D4">
        <w:rPr>
          <w:rFonts w:ascii="Book Antiqua" w:hAnsi="Book Antiqua"/>
          <w:b/>
          <w:sz w:val="24"/>
          <w:szCs w:val="24"/>
        </w:rPr>
        <w:t>inflammatory bowel disease</w:t>
      </w:r>
      <w:r w:rsidR="005214C3">
        <w:rPr>
          <w:rFonts w:ascii="Book Antiqua" w:hAnsi="Book Antiqua" w:hint="eastAsia"/>
          <w:b/>
          <w:sz w:val="24"/>
          <w:szCs w:val="24"/>
          <w:lang w:eastAsia="zh-CN"/>
        </w:rPr>
        <w:t xml:space="preserve"> </w:t>
      </w:r>
      <w:r w:rsidRPr="001378BF">
        <w:rPr>
          <w:rFonts w:ascii="Book Antiqua" w:hAnsi="Book Antiqua"/>
          <w:b/>
          <w:sz w:val="24"/>
          <w:szCs w:val="24"/>
        </w:rPr>
        <w:t xml:space="preserve">patients on (black triangles) </w:t>
      </w:r>
      <w:r w:rsidRPr="001378BF">
        <w:rPr>
          <w:rFonts w:ascii="Book Antiqua" w:hAnsi="Book Antiqua"/>
          <w:b/>
          <w:i/>
          <w:sz w:val="24"/>
          <w:szCs w:val="24"/>
        </w:rPr>
        <w:t>vs</w:t>
      </w:r>
      <w:r w:rsidRPr="001378BF">
        <w:rPr>
          <w:rFonts w:ascii="Book Antiqua" w:hAnsi="Book Antiqua"/>
          <w:b/>
          <w:sz w:val="24"/>
          <w:szCs w:val="24"/>
        </w:rPr>
        <w:t xml:space="preserve"> not on thiopurines (grey squares) underwent flow cytometry.</w:t>
      </w:r>
      <w:r w:rsidR="00BC35BF">
        <w:rPr>
          <w:rFonts w:ascii="Book Antiqua" w:hAnsi="Book Antiqua"/>
          <w:sz w:val="24"/>
          <w:szCs w:val="24"/>
        </w:rPr>
        <w:t xml:space="preserve"> </w:t>
      </w:r>
      <w:r w:rsidRPr="00B40E91">
        <w:rPr>
          <w:rFonts w:ascii="Book Antiqua" w:hAnsi="Book Antiqua"/>
          <w:sz w:val="24"/>
          <w:szCs w:val="24"/>
        </w:rPr>
        <w:t>The percent of lymphocytes expressing the T cell marker CD3 (</w:t>
      </w:r>
      <w:r w:rsidRPr="007C0173">
        <w:rPr>
          <w:rFonts w:ascii="Book Antiqua" w:hAnsi="Book Antiqua"/>
          <w:caps/>
          <w:sz w:val="24"/>
          <w:szCs w:val="24"/>
        </w:rPr>
        <w:t>a</w:t>
      </w:r>
      <w:r w:rsidRPr="00B40E91">
        <w:rPr>
          <w:rFonts w:ascii="Book Antiqua" w:hAnsi="Book Antiqua"/>
          <w:sz w:val="24"/>
          <w:szCs w:val="24"/>
        </w:rPr>
        <w:t>) and the CD4:CD8 ratio thereof (</w:t>
      </w:r>
      <w:r w:rsidRPr="007C0173">
        <w:rPr>
          <w:rFonts w:ascii="Book Antiqua" w:hAnsi="Book Antiqua"/>
          <w:caps/>
          <w:sz w:val="24"/>
          <w:szCs w:val="24"/>
        </w:rPr>
        <w:t>b</w:t>
      </w:r>
      <w:r w:rsidRPr="00B40E91">
        <w:rPr>
          <w:rFonts w:ascii="Book Antiqua" w:hAnsi="Book Antiqua"/>
          <w:sz w:val="24"/>
          <w:szCs w:val="24"/>
        </w:rPr>
        <w:t>) is shown for each cohort.</w:t>
      </w:r>
      <w:r w:rsidR="00BC35BF">
        <w:rPr>
          <w:rFonts w:ascii="Book Antiqua" w:hAnsi="Book Antiqua"/>
          <w:sz w:val="24"/>
          <w:szCs w:val="24"/>
        </w:rPr>
        <w:t xml:space="preserve"> </w:t>
      </w:r>
      <w:r w:rsidRPr="00B40E91">
        <w:rPr>
          <w:rFonts w:ascii="Book Antiqua" w:hAnsi="Book Antiqua"/>
          <w:sz w:val="24"/>
          <w:szCs w:val="24"/>
        </w:rPr>
        <w:t>The percent of lymphocytes expressing the B cell marker CD19 (</w:t>
      </w:r>
      <w:r w:rsidRPr="007C0173">
        <w:rPr>
          <w:rFonts w:ascii="Book Antiqua" w:hAnsi="Book Antiqua"/>
          <w:caps/>
          <w:sz w:val="24"/>
          <w:szCs w:val="24"/>
        </w:rPr>
        <w:t>c</w:t>
      </w:r>
      <w:r w:rsidRPr="00B40E91">
        <w:rPr>
          <w:rFonts w:ascii="Book Antiqua" w:hAnsi="Book Antiqua"/>
          <w:sz w:val="24"/>
          <w:szCs w:val="24"/>
        </w:rPr>
        <w:t xml:space="preserve">) and the CD27-, CD38+, IgD+ </w:t>
      </w:r>
      <w:r w:rsidR="00933A22" w:rsidRPr="00B40E91">
        <w:rPr>
          <w:rFonts w:ascii="Book Antiqua" w:hAnsi="Book Antiqua"/>
          <w:sz w:val="24"/>
          <w:szCs w:val="24"/>
        </w:rPr>
        <w:t>or CD27-, CD38-, IgD+ fractions thereof resembling transitional (</w:t>
      </w:r>
      <w:r w:rsidR="00933A22" w:rsidRPr="007C0173">
        <w:rPr>
          <w:rFonts w:ascii="Book Antiqua" w:hAnsi="Book Antiqua"/>
          <w:caps/>
          <w:sz w:val="24"/>
          <w:szCs w:val="24"/>
        </w:rPr>
        <w:t>d</w:t>
      </w:r>
      <w:r w:rsidR="00933A22" w:rsidRPr="00B40E91">
        <w:rPr>
          <w:rFonts w:ascii="Book Antiqua" w:hAnsi="Book Antiqua"/>
          <w:sz w:val="24"/>
          <w:szCs w:val="24"/>
        </w:rPr>
        <w:t xml:space="preserve">) and naïve </w:t>
      </w:r>
      <w:r w:rsidR="00933A22" w:rsidRPr="007C0173">
        <w:rPr>
          <w:rFonts w:ascii="Book Antiqua" w:hAnsi="Book Antiqua"/>
          <w:caps/>
          <w:sz w:val="24"/>
          <w:szCs w:val="24"/>
        </w:rPr>
        <w:t>(e</w:t>
      </w:r>
      <w:r w:rsidR="00933A22" w:rsidRPr="00B40E91">
        <w:rPr>
          <w:rFonts w:ascii="Book Antiqua" w:hAnsi="Book Antiqua"/>
          <w:sz w:val="24"/>
          <w:szCs w:val="24"/>
        </w:rPr>
        <w:t xml:space="preserve">) B cells, respectively, are </w:t>
      </w:r>
      <w:r w:rsidRPr="00B40E91">
        <w:rPr>
          <w:rFonts w:ascii="Book Antiqua" w:hAnsi="Book Antiqua"/>
          <w:sz w:val="24"/>
          <w:szCs w:val="24"/>
        </w:rPr>
        <w:t>shown.</w:t>
      </w:r>
      <w:r w:rsidR="00BC35BF">
        <w:rPr>
          <w:rFonts w:ascii="Book Antiqua" w:hAnsi="Book Antiqua"/>
          <w:sz w:val="24"/>
          <w:szCs w:val="24"/>
        </w:rPr>
        <w:t xml:space="preserve"> </w:t>
      </w:r>
      <w:r w:rsidRPr="00B40E91">
        <w:rPr>
          <w:rFonts w:ascii="Book Antiqua" w:hAnsi="Book Antiqua"/>
          <w:sz w:val="24"/>
          <w:szCs w:val="24"/>
        </w:rPr>
        <w:t>The fraction of CD27+</w:t>
      </w:r>
      <w:r w:rsidR="00933A22" w:rsidRPr="00B40E91">
        <w:rPr>
          <w:rFonts w:ascii="Book Antiqua" w:hAnsi="Book Antiqua"/>
          <w:sz w:val="24"/>
          <w:szCs w:val="24"/>
        </w:rPr>
        <w:t>, IgD-, CD20+, CD38-</w:t>
      </w:r>
      <w:r w:rsidRPr="00B40E91">
        <w:rPr>
          <w:rFonts w:ascii="Book Antiqua" w:hAnsi="Book Antiqua"/>
          <w:sz w:val="24"/>
          <w:szCs w:val="24"/>
        </w:rPr>
        <w:t xml:space="preserve"> memory B cells (</w:t>
      </w:r>
      <w:r w:rsidR="00933A22" w:rsidRPr="007C0173">
        <w:rPr>
          <w:rFonts w:ascii="Book Antiqua" w:hAnsi="Book Antiqua"/>
          <w:caps/>
          <w:sz w:val="24"/>
          <w:szCs w:val="24"/>
        </w:rPr>
        <w:t>f</w:t>
      </w:r>
      <w:r w:rsidRPr="00B40E91">
        <w:rPr>
          <w:rFonts w:ascii="Book Antiqua" w:hAnsi="Book Antiqua"/>
          <w:sz w:val="24"/>
          <w:szCs w:val="24"/>
        </w:rPr>
        <w:t>) and CD27+, CD38+, CD20-, IgD- plasma cells (</w:t>
      </w:r>
      <w:r w:rsidR="00933A22" w:rsidRPr="007C0173">
        <w:rPr>
          <w:rFonts w:ascii="Book Antiqua" w:hAnsi="Book Antiqua"/>
          <w:caps/>
          <w:sz w:val="24"/>
          <w:szCs w:val="24"/>
        </w:rPr>
        <w:t>g</w:t>
      </w:r>
      <w:r w:rsidRPr="00B40E91">
        <w:rPr>
          <w:rFonts w:ascii="Book Antiqua" w:hAnsi="Book Antiqua"/>
          <w:sz w:val="24"/>
          <w:szCs w:val="24"/>
        </w:rPr>
        <w:t>) expressing surface IgM is shown.</w:t>
      </w:r>
      <w:r w:rsidR="001E4E79" w:rsidRPr="001E4E79">
        <w:rPr>
          <w:rFonts w:ascii="Book Antiqua" w:hAnsi="Book Antiqua"/>
          <w:i/>
          <w:sz w:val="24"/>
          <w:szCs w:val="24"/>
        </w:rPr>
        <w:t xml:space="preserve"> P</w:t>
      </w:r>
      <w:r w:rsidR="00933A22" w:rsidRPr="00B40E91">
        <w:rPr>
          <w:rFonts w:ascii="Book Antiqua" w:hAnsi="Book Antiqua"/>
          <w:sz w:val="24"/>
          <w:szCs w:val="24"/>
        </w:rPr>
        <w:t>-values reflect two-tailed Mann-Whitney non-parametric comparisons.</w:t>
      </w:r>
      <w:r w:rsidR="00BC35BF">
        <w:rPr>
          <w:rFonts w:ascii="Book Antiqua" w:hAnsi="Book Antiqua"/>
          <w:sz w:val="24"/>
          <w:szCs w:val="24"/>
        </w:rPr>
        <w:t xml:space="preserve"> </w:t>
      </w:r>
    </w:p>
    <w:sectPr w:rsidR="007C0173" w:rsidRPr="006B4F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F7442" w14:textId="77777777" w:rsidR="00EC70B4" w:rsidRDefault="00EC70B4" w:rsidP="00A13ECC">
      <w:pPr>
        <w:spacing w:after="0" w:line="240" w:lineRule="auto"/>
      </w:pPr>
      <w:r>
        <w:separator/>
      </w:r>
    </w:p>
  </w:endnote>
  <w:endnote w:type="continuationSeparator" w:id="0">
    <w:p w14:paraId="1145BA65" w14:textId="77777777" w:rsidR="00EC70B4" w:rsidRDefault="00EC70B4" w:rsidP="00A1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68B6E" w14:textId="77777777" w:rsidR="00EC70B4" w:rsidRDefault="00EC70B4" w:rsidP="00A13ECC">
      <w:pPr>
        <w:spacing w:after="0" w:line="240" w:lineRule="auto"/>
      </w:pPr>
      <w:r>
        <w:separator/>
      </w:r>
    </w:p>
  </w:footnote>
  <w:footnote w:type="continuationSeparator" w:id="0">
    <w:p w14:paraId="2364D1B2" w14:textId="77777777" w:rsidR="00EC70B4" w:rsidRDefault="00EC70B4" w:rsidP="00A13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03634"/>
    <w:multiLevelType w:val="hybridMultilevel"/>
    <w:tmpl w:val="F8C66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22E8E"/>
    <w:multiLevelType w:val="hybridMultilevel"/>
    <w:tmpl w:val="74C64D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6054C"/>
    <w:rsid w:val="0001741A"/>
    <w:rsid w:val="00043026"/>
    <w:rsid w:val="000552B8"/>
    <w:rsid w:val="000B7DB7"/>
    <w:rsid w:val="000E7903"/>
    <w:rsid w:val="00120685"/>
    <w:rsid w:val="00123E03"/>
    <w:rsid w:val="00130171"/>
    <w:rsid w:val="001378BF"/>
    <w:rsid w:val="001534BF"/>
    <w:rsid w:val="00195529"/>
    <w:rsid w:val="001E4E79"/>
    <w:rsid w:val="001F54B7"/>
    <w:rsid w:val="00252D17"/>
    <w:rsid w:val="00275C0D"/>
    <w:rsid w:val="00291A6B"/>
    <w:rsid w:val="002A0744"/>
    <w:rsid w:val="002D52C3"/>
    <w:rsid w:val="00343941"/>
    <w:rsid w:val="0036054C"/>
    <w:rsid w:val="003C2939"/>
    <w:rsid w:val="003E164D"/>
    <w:rsid w:val="00413010"/>
    <w:rsid w:val="00456376"/>
    <w:rsid w:val="005214C3"/>
    <w:rsid w:val="00562679"/>
    <w:rsid w:val="005A2E89"/>
    <w:rsid w:val="005F074D"/>
    <w:rsid w:val="005F7808"/>
    <w:rsid w:val="00635B48"/>
    <w:rsid w:val="006579CC"/>
    <w:rsid w:val="00690F2D"/>
    <w:rsid w:val="006B3412"/>
    <w:rsid w:val="006B4F86"/>
    <w:rsid w:val="006E2442"/>
    <w:rsid w:val="006F6F63"/>
    <w:rsid w:val="007108D4"/>
    <w:rsid w:val="00737568"/>
    <w:rsid w:val="00741A36"/>
    <w:rsid w:val="007C0173"/>
    <w:rsid w:val="007C0798"/>
    <w:rsid w:val="00824836"/>
    <w:rsid w:val="008672D5"/>
    <w:rsid w:val="008C0E54"/>
    <w:rsid w:val="009245A8"/>
    <w:rsid w:val="00933A22"/>
    <w:rsid w:val="009544DF"/>
    <w:rsid w:val="009D756C"/>
    <w:rsid w:val="009E2A20"/>
    <w:rsid w:val="009F013B"/>
    <w:rsid w:val="00A13ECC"/>
    <w:rsid w:val="00A70D42"/>
    <w:rsid w:val="00A83E70"/>
    <w:rsid w:val="00AA2C50"/>
    <w:rsid w:val="00AE42DF"/>
    <w:rsid w:val="00B2003B"/>
    <w:rsid w:val="00B40E91"/>
    <w:rsid w:val="00B60074"/>
    <w:rsid w:val="00BC35BF"/>
    <w:rsid w:val="00BF36D0"/>
    <w:rsid w:val="00C474E2"/>
    <w:rsid w:val="00CF292F"/>
    <w:rsid w:val="00D92B9C"/>
    <w:rsid w:val="00DD6380"/>
    <w:rsid w:val="00EC70B4"/>
    <w:rsid w:val="00EF44B2"/>
    <w:rsid w:val="00F23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EBD10"/>
  <w15:docId w15:val="{7E910AFC-36EB-42AD-8836-367E92E6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054C"/>
    <w:rPr>
      <w:sz w:val="16"/>
      <w:szCs w:val="16"/>
    </w:rPr>
  </w:style>
  <w:style w:type="paragraph" w:styleId="CommentText">
    <w:name w:val="annotation text"/>
    <w:basedOn w:val="Normal"/>
    <w:link w:val="CommentTextChar"/>
    <w:uiPriority w:val="99"/>
    <w:unhideWhenUsed/>
    <w:rsid w:val="0036054C"/>
    <w:pPr>
      <w:spacing w:line="240" w:lineRule="auto"/>
    </w:pPr>
    <w:rPr>
      <w:sz w:val="20"/>
      <w:szCs w:val="20"/>
    </w:rPr>
  </w:style>
  <w:style w:type="character" w:customStyle="1" w:styleId="CommentTextChar">
    <w:name w:val="Comment Text Char"/>
    <w:basedOn w:val="DefaultParagraphFont"/>
    <w:link w:val="CommentText"/>
    <w:uiPriority w:val="99"/>
    <w:rsid w:val="0036054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54C"/>
    <w:rPr>
      <w:b/>
      <w:bCs/>
    </w:rPr>
  </w:style>
  <w:style w:type="character" w:customStyle="1" w:styleId="CommentSubjectChar">
    <w:name w:val="Comment Subject Char"/>
    <w:basedOn w:val="CommentTextChar"/>
    <w:link w:val="CommentSubject"/>
    <w:uiPriority w:val="99"/>
    <w:semiHidden/>
    <w:rsid w:val="0036054C"/>
    <w:rPr>
      <w:rFonts w:eastAsiaTheme="minorEastAsia"/>
      <w:b/>
      <w:bCs/>
      <w:sz w:val="20"/>
      <w:szCs w:val="20"/>
    </w:rPr>
  </w:style>
  <w:style w:type="paragraph" w:styleId="BalloonText">
    <w:name w:val="Balloon Text"/>
    <w:basedOn w:val="Normal"/>
    <w:link w:val="BalloonTextChar"/>
    <w:uiPriority w:val="99"/>
    <w:semiHidden/>
    <w:unhideWhenUsed/>
    <w:rsid w:val="0036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4C"/>
    <w:rPr>
      <w:rFonts w:ascii="Segoe UI" w:eastAsiaTheme="minorEastAsia" w:hAnsi="Segoe UI" w:cs="Segoe UI"/>
      <w:sz w:val="18"/>
      <w:szCs w:val="18"/>
    </w:rPr>
  </w:style>
  <w:style w:type="paragraph" w:styleId="Revision">
    <w:name w:val="Revision"/>
    <w:hidden/>
    <w:uiPriority w:val="99"/>
    <w:semiHidden/>
    <w:rsid w:val="0036054C"/>
    <w:pPr>
      <w:spacing w:after="0" w:line="240" w:lineRule="auto"/>
    </w:pPr>
  </w:style>
  <w:style w:type="paragraph" w:customStyle="1" w:styleId="EndNoteBibliographyTitle">
    <w:name w:val="EndNote Bibliography Title"/>
    <w:basedOn w:val="Normal"/>
    <w:link w:val="EndNoteBibliographyTitleChar"/>
    <w:rsid w:val="0036054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6054C"/>
    <w:rPr>
      <w:rFonts w:ascii="Calibri" w:eastAsiaTheme="minorEastAsia" w:hAnsi="Calibri"/>
      <w:noProof/>
    </w:rPr>
  </w:style>
  <w:style w:type="paragraph" w:customStyle="1" w:styleId="EndNoteBibliography">
    <w:name w:val="EndNote Bibliography"/>
    <w:basedOn w:val="Normal"/>
    <w:link w:val="EndNoteBibliographyChar"/>
    <w:rsid w:val="0036054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6054C"/>
    <w:rPr>
      <w:rFonts w:ascii="Calibri" w:eastAsiaTheme="minorEastAsia" w:hAnsi="Calibri"/>
      <w:noProof/>
    </w:rPr>
  </w:style>
  <w:style w:type="character" w:styleId="Hyperlink">
    <w:name w:val="Hyperlink"/>
    <w:basedOn w:val="DefaultParagraphFont"/>
    <w:uiPriority w:val="99"/>
    <w:unhideWhenUsed/>
    <w:rsid w:val="0036054C"/>
    <w:rPr>
      <w:color w:val="0563C1" w:themeColor="hyperlink"/>
      <w:u w:val="single"/>
    </w:rPr>
  </w:style>
  <w:style w:type="paragraph" w:styleId="Header">
    <w:name w:val="header"/>
    <w:basedOn w:val="Normal"/>
    <w:link w:val="HeaderChar"/>
    <w:uiPriority w:val="99"/>
    <w:unhideWhenUsed/>
    <w:rsid w:val="00360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4C"/>
    <w:rPr>
      <w:rFonts w:eastAsiaTheme="minorEastAsia"/>
    </w:rPr>
  </w:style>
  <w:style w:type="paragraph" w:styleId="Footer">
    <w:name w:val="footer"/>
    <w:basedOn w:val="Normal"/>
    <w:link w:val="FooterChar"/>
    <w:uiPriority w:val="99"/>
    <w:unhideWhenUsed/>
    <w:rsid w:val="0036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54C"/>
    <w:rPr>
      <w:rFonts w:eastAsiaTheme="minorEastAsia"/>
    </w:rPr>
  </w:style>
  <w:style w:type="paragraph" w:styleId="ListParagraph">
    <w:name w:val="List Paragraph"/>
    <w:basedOn w:val="Normal"/>
    <w:uiPriority w:val="34"/>
    <w:qFormat/>
    <w:rsid w:val="0036054C"/>
    <w:pPr>
      <w:ind w:left="720"/>
      <w:contextualSpacing/>
    </w:pPr>
  </w:style>
  <w:style w:type="paragraph" w:customStyle="1" w:styleId="1">
    <w:name w:val="正文1"/>
    <w:uiPriority w:val="99"/>
    <w:rsid w:val="0036054C"/>
    <w:pPr>
      <w:spacing w:after="0" w:line="276" w:lineRule="auto"/>
    </w:pPr>
    <w:rPr>
      <w:rFonts w:ascii="Arial" w:eastAsia="SimSun" w:hAnsi="Arial" w:cs="Arial"/>
      <w:color w:val="000000"/>
      <w:szCs w:val="20"/>
      <w:lang w:val="pl-PL" w:eastAsia="pl-PL"/>
    </w:rPr>
  </w:style>
  <w:style w:type="character" w:customStyle="1" w:styleId="apple-converted-space">
    <w:name w:val="apple-converted-space"/>
    <w:basedOn w:val="DefaultParagraphFont"/>
    <w:rsid w:val="0036054C"/>
  </w:style>
  <w:style w:type="paragraph" w:styleId="NormalWeb">
    <w:name w:val="Normal (Web)"/>
    <w:basedOn w:val="Normal"/>
    <w:uiPriority w:val="99"/>
    <w:semiHidden/>
    <w:unhideWhenUsed/>
    <w:rsid w:val="0036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sans">
    <w:name w:val="subhead-sans"/>
    <w:basedOn w:val="DefaultParagraphFont"/>
    <w:rsid w:val="0027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8510">
      <w:bodyDiv w:val="1"/>
      <w:marLeft w:val="0"/>
      <w:marRight w:val="0"/>
      <w:marTop w:val="0"/>
      <w:marBottom w:val="0"/>
      <w:divBdr>
        <w:top w:val="none" w:sz="0" w:space="0" w:color="auto"/>
        <w:left w:val="none" w:sz="0" w:space="0" w:color="auto"/>
        <w:bottom w:val="none" w:sz="0" w:space="0" w:color="auto"/>
        <w:right w:val="none" w:sz="0" w:space="0" w:color="auto"/>
      </w:divBdr>
    </w:div>
    <w:div w:id="305359725">
      <w:bodyDiv w:val="1"/>
      <w:marLeft w:val="0"/>
      <w:marRight w:val="0"/>
      <w:marTop w:val="0"/>
      <w:marBottom w:val="0"/>
      <w:divBdr>
        <w:top w:val="none" w:sz="0" w:space="0" w:color="auto"/>
        <w:left w:val="none" w:sz="0" w:space="0" w:color="auto"/>
        <w:bottom w:val="none" w:sz="0" w:space="0" w:color="auto"/>
        <w:right w:val="none" w:sz="0" w:space="0" w:color="auto"/>
      </w:divBdr>
      <w:divsChild>
        <w:div w:id="1430272418">
          <w:marLeft w:val="0"/>
          <w:marRight w:val="0"/>
          <w:marTop w:val="0"/>
          <w:marBottom w:val="0"/>
          <w:divBdr>
            <w:top w:val="none" w:sz="0" w:space="0" w:color="auto"/>
            <w:left w:val="none" w:sz="0" w:space="0" w:color="auto"/>
            <w:bottom w:val="none" w:sz="0" w:space="0" w:color="auto"/>
            <w:right w:val="none" w:sz="0" w:space="0" w:color="auto"/>
          </w:divBdr>
          <w:divsChild>
            <w:div w:id="532379251">
              <w:marLeft w:val="0"/>
              <w:marRight w:val="0"/>
              <w:marTop w:val="0"/>
              <w:marBottom w:val="0"/>
              <w:divBdr>
                <w:top w:val="none" w:sz="0" w:space="0" w:color="auto"/>
                <w:left w:val="none" w:sz="0" w:space="0" w:color="auto"/>
                <w:bottom w:val="none" w:sz="0" w:space="0" w:color="auto"/>
                <w:right w:val="none" w:sz="0" w:space="0" w:color="auto"/>
              </w:divBdr>
              <w:divsChild>
                <w:div w:id="1069885907">
                  <w:marLeft w:val="0"/>
                  <w:marRight w:val="0"/>
                  <w:marTop w:val="0"/>
                  <w:marBottom w:val="15"/>
                  <w:divBdr>
                    <w:top w:val="none" w:sz="0" w:space="0" w:color="auto"/>
                    <w:left w:val="none" w:sz="0" w:space="0" w:color="auto"/>
                    <w:bottom w:val="none" w:sz="0" w:space="0" w:color="auto"/>
                    <w:right w:val="none" w:sz="0" w:space="0" w:color="auto"/>
                  </w:divBdr>
                  <w:divsChild>
                    <w:div w:id="17274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3477">
      <w:bodyDiv w:val="1"/>
      <w:marLeft w:val="0"/>
      <w:marRight w:val="0"/>
      <w:marTop w:val="0"/>
      <w:marBottom w:val="0"/>
      <w:divBdr>
        <w:top w:val="none" w:sz="0" w:space="0" w:color="auto"/>
        <w:left w:val="none" w:sz="0" w:space="0" w:color="auto"/>
        <w:bottom w:val="none" w:sz="0" w:space="0" w:color="auto"/>
        <w:right w:val="none" w:sz="0" w:space="0" w:color="auto"/>
      </w:divBdr>
      <w:divsChild>
        <w:div w:id="1248492424">
          <w:marLeft w:val="0"/>
          <w:marRight w:val="0"/>
          <w:marTop w:val="0"/>
          <w:marBottom w:val="0"/>
          <w:divBdr>
            <w:top w:val="none" w:sz="0" w:space="0" w:color="auto"/>
            <w:left w:val="none" w:sz="0" w:space="0" w:color="auto"/>
            <w:bottom w:val="none" w:sz="0" w:space="0" w:color="auto"/>
            <w:right w:val="none" w:sz="0" w:space="0" w:color="auto"/>
          </w:divBdr>
          <w:divsChild>
            <w:div w:id="1906182550">
              <w:marLeft w:val="0"/>
              <w:marRight w:val="0"/>
              <w:marTop w:val="0"/>
              <w:marBottom w:val="0"/>
              <w:divBdr>
                <w:top w:val="none" w:sz="0" w:space="0" w:color="auto"/>
                <w:left w:val="none" w:sz="0" w:space="0" w:color="auto"/>
                <w:bottom w:val="none" w:sz="0" w:space="0" w:color="auto"/>
                <w:right w:val="none" w:sz="0" w:space="0" w:color="auto"/>
              </w:divBdr>
              <w:divsChild>
                <w:div w:id="746147131">
                  <w:marLeft w:val="0"/>
                  <w:marRight w:val="0"/>
                  <w:marTop w:val="0"/>
                  <w:marBottom w:val="15"/>
                  <w:divBdr>
                    <w:top w:val="none" w:sz="0" w:space="0" w:color="auto"/>
                    <w:left w:val="none" w:sz="0" w:space="0" w:color="auto"/>
                    <w:bottom w:val="none" w:sz="0" w:space="0" w:color="auto"/>
                    <w:right w:val="none" w:sz="0" w:space="0" w:color="auto"/>
                  </w:divBdr>
                  <w:divsChild>
                    <w:div w:id="939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rd@benaroyaresearch.org"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hyperlink" Target="http://creativecommons.org/licenses/by-nc/4.0/"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6657</Words>
  <Characters>37947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Benaroya Research Institute</Company>
  <LinksUpToDate>false</LinksUpToDate>
  <CharactersWithSpaces>44515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Norris</dc:creator>
  <cp:keywords/>
  <dc:description/>
  <cp:lastModifiedBy>Na Ma</cp:lastModifiedBy>
  <cp:revision>2</cp:revision>
  <dcterms:created xsi:type="dcterms:W3CDTF">2017-03-14T21:55:00Z</dcterms:created>
  <dcterms:modified xsi:type="dcterms:W3CDTF">2017-03-14T21:55:00Z</dcterms:modified>
</cp:coreProperties>
</file>