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D9" w:rsidRPr="00186D0D" w:rsidRDefault="00D858D9" w:rsidP="00D858D9">
      <w:pPr>
        <w:spacing w:line="360" w:lineRule="auto"/>
        <w:jc w:val="both"/>
        <w:rPr>
          <w:rFonts w:ascii="Book Antiqua" w:eastAsia="Cambria" w:hAnsi="Book Antiqua" w:cs="Times New Roman"/>
          <w:color w:val="000000"/>
          <w:sz w:val="24"/>
          <w:szCs w:val="24"/>
          <w:lang w:val="en-GB"/>
        </w:rPr>
      </w:pPr>
      <w:r w:rsidRPr="00186D0D">
        <w:rPr>
          <w:rFonts w:ascii="Book Antiqua" w:eastAsia="Cambria" w:hAnsi="Book Antiqua" w:cs="Times New Roman"/>
          <w:color w:val="000000"/>
          <w:sz w:val="24"/>
          <w:szCs w:val="24"/>
          <w:lang w:val="en-GB"/>
        </w:rPr>
        <w:t>Quantitative data from the 2 ratings were expressed as average. Qualitative data from the annex of the first vote were expressed as proportions. Statistical analysis were performed with IBM SPSS</w:t>
      </w:r>
      <w:r w:rsidRPr="00186D0D">
        <w:rPr>
          <w:rFonts w:ascii="Book Antiqua" w:eastAsia="Cambria" w:hAnsi="Book Antiqua" w:cs="Times New Roman"/>
          <w:color w:val="000000"/>
          <w:sz w:val="24"/>
          <w:szCs w:val="24"/>
          <w:vertAlign w:val="superscript"/>
          <w:lang w:val="en-GB"/>
        </w:rPr>
        <w:t>©</w:t>
      </w:r>
      <w:r w:rsidRPr="00186D0D">
        <w:rPr>
          <w:rFonts w:ascii="Book Antiqua" w:eastAsia="Cambria" w:hAnsi="Book Antiqua" w:cs="Times New Roman"/>
          <w:color w:val="000000"/>
          <w:sz w:val="24"/>
          <w:szCs w:val="24"/>
          <w:lang w:val="en-GB"/>
        </w:rPr>
        <w:t xml:space="preserve"> 20.0.0 version. The inter-observer agreement for the diagnosis of ulcerati</w:t>
      </w:r>
      <w:r>
        <w:rPr>
          <w:rFonts w:ascii="Book Antiqua" w:eastAsia="Cambria" w:hAnsi="Book Antiqua" w:cs="Times New Roman"/>
          <w:color w:val="000000"/>
          <w:sz w:val="24"/>
          <w:szCs w:val="24"/>
          <w:lang w:val="en-GB"/>
        </w:rPr>
        <w:t xml:space="preserve">on, anal skin tag, fistula, </w:t>
      </w:r>
      <w:proofErr w:type="spellStart"/>
      <w:r>
        <w:rPr>
          <w:rFonts w:ascii="Book Antiqua" w:eastAsia="Cambria" w:hAnsi="Book Antiqua" w:cs="Times New Roman"/>
          <w:color w:val="000000"/>
          <w:sz w:val="24"/>
          <w:szCs w:val="24"/>
          <w:lang w:val="en-GB"/>
        </w:rPr>
        <w:t>ano</w:t>
      </w:r>
      <w:proofErr w:type="spellEnd"/>
      <w:r>
        <w:rPr>
          <w:rFonts w:ascii="Book Antiqua" w:eastAsia="Cambria" w:hAnsi="Book Antiqua" w:cs="Times New Roman"/>
          <w:color w:val="000000"/>
          <w:sz w:val="24"/>
          <w:szCs w:val="24"/>
          <w:lang w:val="en-GB"/>
        </w:rPr>
        <w:t xml:space="preserve"> </w:t>
      </w:r>
      <w:proofErr w:type="spellStart"/>
      <w:r w:rsidRPr="00186D0D">
        <w:rPr>
          <w:rFonts w:ascii="Book Antiqua" w:eastAsia="Cambria" w:hAnsi="Book Antiqua" w:cs="Times New Roman"/>
          <w:color w:val="000000"/>
          <w:sz w:val="24"/>
          <w:szCs w:val="24"/>
          <w:lang w:val="en-GB"/>
        </w:rPr>
        <w:t>perineal</w:t>
      </w:r>
      <w:proofErr w:type="spellEnd"/>
      <w:r w:rsidRPr="00186D0D">
        <w:rPr>
          <w:rFonts w:ascii="Book Antiqua" w:eastAsia="Cambria" w:hAnsi="Book Antiqua" w:cs="Times New Roman"/>
          <w:color w:val="000000"/>
          <w:sz w:val="24"/>
          <w:szCs w:val="24"/>
          <w:lang w:val="en-GB"/>
        </w:rPr>
        <w:t xml:space="preserve"> scar and perianal skin lesion was measured using the Kappa Fleiss coefficient with 95% confidence intervals (95% CI). The interpretation of the </w:t>
      </w:r>
      <w:r w:rsidRPr="00186D0D">
        <w:rPr>
          <w:rFonts w:ascii="Book Antiqua" w:eastAsia="Cambria" w:hAnsi="Book Antiqua" w:cs="Times New Roman"/>
          <w:color w:val="000000"/>
          <w:sz w:val="24"/>
          <w:szCs w:val="24"/>
          <w:lang w:val="en-GB"/>
        </w:rPr>
        <w:t xml:space="preserve"> values was performed according to the Landis and Koch scale: </w:t>
      </w:r>
      <w:r w:rsidRPr="00186D0D">
        <w:rPr>
          <w:rFonts w:ascii="Book Antiqua" w:eastAsia="Cambria" w:hAnsi="Book Antiqua" w:cs="Times New Roman"/>
          <w:color w:val="000000"/>
          <w:sz w:val="24"/>
          <w:szCs w:val="24"/>
          <w:lang w:val="en-GB"/>
        </w:rPr>
        <w:t xml:space="preserve"> between 0.81-1, almost perfect agreement; </w:t>
      </w:r>
      <w:r w:rsidRPr="00186D0D">
        <w:rPr>
          <w:rFonts w:ascii="Book Antiqua" w:eastAsia="Cambria" w:hAnsi="Book Antiqua" w:cs="Times New Roman"/>
          <w:color w:val="000000"/>
          <w:sz w:val="24"/>
          <w:szCs w:val="24"/>
          <w:lang w:val="en-GB"/>
        </w:rPr>
        <w:t xml:space="preserve"> between 0.61-0.80, substantial agreement; </w:t>
      </w:r>
      <w:r w:rsidRPr="00186D0D">
        <w:rPr>
          <w:rFonts w:ascii="Book Antiqua" w:eastAsia="Cambria" w:hAnsi="Book Antiqua" w:cs="Times New Roman"/>
          <w:color w:val="000000"/>
          <w:sz w:val="24"/>
          <w:szCs w:val="24"/>
          <w:lang w:val="en-GB"/>
        </w:rPr>
        <w:t xml:space="preserve"> between 0.41- 0.60, moderate </w:t>
      </w:r>
      <w:r w:rsidRPr="00186D0D">
        <w:rPr>
          <w:rFonts w:ascii="Book Antiqua" w:eastAsia="Cambria" w:hAnsi="Book Antiqua" w:cs="Times New Roman"/>
          <w:sz w:val="24"/>
          <w:szCs w:val="24"/>
          <w:lang w:val="en-GB"/>
        </w:rPr>
        <w:t xml:space="preserve">agreement; </w:t>
      </w:r>
      <w:r w:rsidRPr="00186D0D">
        <w:rPr>
          <w:rFonts w:ascii="Book Antiqua" w:eastAsia="Cambria" w:hAnsi="Book Antiqua" w:cs="Times New Roman"/>
          <w:color w:val="000000"/>
          <w:sz w:val="24"/>
          <w:szCs w:val="24"/>
          <w:lang w:val="en-GB"/>
        </w:rPr>
        <w:t xml:space="preserve"> between </w:t>
      </w:r>
      <w:r w:rsidRPr="00186D0D">
        <w:rPr>
          <w:rFonts w:ascii="Book Antiqua" w:eastAsia="Cambria" w:hAnsi="Book Antiqua" w:cs="Times New Roman"/>
          <w:sz w:val="24"/>
          <w:szCs w:val="24"/>
          <w:lang w:val="en-GB"/>
        </w:rPr>
        <w:t xml:space="preserve">0.21- 0.40, fair agreement, </w:t>
      </w:r>
      <w:r w:rsidRPr="00186D0D">
        <w:rPr>
          <w:rFonts w:ascii="Book Antiqua" w:eastAsia="Cambria" w:hAnsi="Book Antiqua" w:cs="Times New Roman"/>
          <w:color w:val="000000"/>
          <w:sz w:val="24"/>
          <w:szCs w:val="24"/>
          <w:lang w:val="en-GB"/>
        </w:rPr>
        <w:t xml:space="preserve"> between </w:t>
      </w:r>
      <w:r w:rsidRPr="00186D0D">
        <w:rPr>
          <w:rFonts w:ascii="Book Antiqua" w:eastAsia="Cambria" w:hAnsi="Book Antiqua" w:cs="Times New Roman"/>
          <w:sz w:val="24"/>
          <w:szCs w:val="24"/>
          <w:lang w:val="en-GB"/>
        </w:rPr>
        <w:t xml:space="preserve">0.01- 0.20, slight agreement; </w:t>
      </w:r>
      <w:r w:rsidRPr="00186D0D">
        <w:rPr>
          <w:rFonts w:ascii="Book Antiqua" w:eastAsia="Cambria" w:hAnsi="Book Antiqua" w:cs="Times New Roman"/>
          <w:color w:val="000000"/>
          <w:sz w:val="24"/>
          <w:szCs w:val="24"/>
          <w:lang w:val="en-GB"/>
        </w:rPr>
        <w:t></w:t>
      </w:r>
      <w:r w:rsidRPr="00186D0D">
        <w:rPr>
          <w:rFonts w:ascii="Book Antiqua" w:eastAsia="Cambria" w:hAnsi="Book Antiqua" w:cs="Times New Roman"/>
          <w:sz w:val="24"/>
          <w:szCs w:val="24"/>
          <w:lang w:val="en-GB"/>
        </w:rPr>
        <w:t>&lt;0: absence of agreement</w:t>
      </w:r>
      <w:r>
        <w:rPr>
          <w:rFonts w:ascii="Book Antiqua" w:eastAsia="Cambria" w:hAnsi="Book Antiqua" w:cs="Times New Roman"/>
          <w:noProof/>
          <w:sz w:val="24"/>
          <w:szCs w:val="24"/>
          <w:vertAlign w:val="superscript"/>
          <w:lang w:val="en-GB"/>
        </w:rPr>
        <w:t>[</w:t>
      </w:r>
      <w:r w:rsidRPr="00186D0D">
        <w:rPr>
          <w:rFonts w:ascii="Book Antiqua" w:eastAsia="Cambria" w:hAnsi="Book Antiqua" w:cs="Times New Roman"/>
          <w:sz w:val="24"/>
          <w:szCs w:val="24"/>
          <w:vertAlign w:val="superscript"/>
          <w:lang w:val="en-GB"/>
        </w:rPr>
        <w:fldChar w:fldCharType="begin"/>
      </w:r>
      <w:r w:rsidRPr="00186D0D">
        <w:rPr>
          <w:rFonts w:ascii="Book Antiqua" w:eastAsia="Cambria" w:hAnsi="Book Antiqua" w:cs="Times New Roman"/>
          <w:sz w:val="24"/>
          <w:szCs w:val="24"/>
          <w:vertAlign w:val="superscript"/>
          <w:lang w:val="en-GB"/>
        </w:rPr>
        <w:instrText xml:space="preserve"> ADDIN ZOTERO_ITEM CSL_CITATION {"citationID":"WfL7JECd","properties":{"formattedCitation":"(1)","plainCitation":"(1)"},"citationItems":[{"id":41,"uris":["http://zotero.org/users/2262886/items/SW8F5JVS"],"uri":["http://zotero.org/users/2262886/items/SW8F5JVS"],"itemData":{"id":41,"type":"article-journal","title":"Anal lesions: any significant prognosis in Crohn's disease?","container-title":"European Journal of Gastroenterology &amp; Hepatology","page":"239-243","volume":"9","issue":"3","source":"NCBI PubMed","abstract":"AIM: Work-up of anoperineal lesions usually includes indices of clinical activity as well as diagnostic criteria of Crohn's disease but their prognostic implication remains unclear. This prospective study was conducted in order to evaluate the overall incidence of anoperineal lesions and their relation to the natural history of underlying intestinal Crohn's disease with special reference to the steroid-dependent state of the patients.\nPATIENTS AND METHODS: One hundred and one patients (46 males, 55 females, aged 34 +/- 14 years; range: 15-79) were consecutively referred to our institution (May 1991 to May 1994) for intestinal symptoms related to Crohn's disease (mean duration 66 +/- 66 months). They all underwent a proctological examination regardless of perineal symptoms. The Cardiff classification was used to describe anoperineal lesions. Patients with anal lesions (64) differed from those without (37): male predisposition (53% vs. 32%, P&lt;0.05), more frequent rectal involvement (75% vs. 24%, P&lt;0.001) and more acute lesions observed at proctoscopic examination (42% vs. 16%, P&lt;0.05). Age of onset, surgical past history of Crohn's disease, colonic or ileal involvement, or Harvey-Bradshaw score were not different between groups.\nRESULTS: Patients with anal ulceration (43) as compared to patients having anal involvement without ulceration experienced pain more frequently (constant pain: 56 vs. 14%; defecatory pain: 35 vs. 19%) and a more severe evolution of intestinal (40 vs. 22%, P&lt;0.05) and anal (42 vs. 12%, P&lt;0.05) involvement. In those with an aggressive ulceration (U2, 28 patients), daily stool frequency (5.1 +/- 3 vs. 3.6 +/- 2.5, P&lt;0.05) and clinical score (9 +/- 5 vs. 7 +/- 3) were more pronounced. Steroid therapy dependency occurred more frequently in the group with anal ulceration (35 vs. 16% and 40 vs. 17%, respectively, P&lt;0.05). Similar associations were observed for cases of anal involvement (34 vs. 5%, P&lt;0.01) and azathioprine was more frequently required (39 vs. 5%, P&lt;0.01) than in those free of anal lesions. During follow-up, eight other patients required azathioprine (steroid dependence in six) and seven of them had anal lesions at referral. At the endpoint of the study, one out of two patients with anal lesions required azathioprine most often due to steroid dependency of the intestinal involvement (30/64 vs. 4/37, P&lt;0.005).\nCONCLUSION: Anal ulcerations are a reliable severity index of Crohn's disease in both short- and long-term prognosis but their link to the steroid status of the intestinal disease remains unclear.","ISSN":"0954-691X","note":"PMID: 9096423","shortTitle":"Anal lesions","journalAbbreviation":"Eur J Gastroenterol Hepatol","language":"eng","author":[{"family":"Siproudhis","given":"L."},{"family":"Mortaji","given":"A."},{"family":"Mary","given":"J. Y."},{"family":"Juguet","given":"F."},{"family":"Bretagne","given":"J. F."},{"family":"Gosselin","given":"M."}],"issued":{"date-parts":[["1997",3]]},"PMID":"9096423"}}],"schema":"https://github.com/citation-style-language/schema/raw/master/csl-citation.json"} </w:instrText>
      </w:r>
      <w:r w:rsidRPr="00186D0D">
        <w:rPr>
          <w:rFonts w:ascii="Book Antiqua" w:eastAsia="Cambria" w:hAnsi="Book Antiqua" w:cs="Times New Roman"/>
          <w:sz w:val="24"/>
          <w:szCs w:val="24"/>
          <w:vertAlign w:val="superscript"/>
          <w:lang w:val="en-GB"/>
        </w:rPr>
        <w:fldChar w:fldCharType="separate"/>
      </w:r>
      <w:r w:rsidRPr="00186D0D">
        <w:rPr>
          <w:rFonts w:ascii="Book Antiqua" w:eastAsia="Cambria" w:hAnsi="Book Antiqua" w:cs="Times New Roman"/>
          <w:noProof/>
          <w:sz w:val="24"/>
          <w:szCs w:val="24"/>
          <w:vertAlign w:val="superscript"/>
          <w:lang w:val="en-GB"/>
        </w:rPr>
        <w:t>9</w:t>
      </w:r>
      <w:r>
        <w:rPr>
          <w:rFonts w:ascii="Book Antiqua" w:eastAsia="Cambria" w:hAnsi="Book Antiqua" w:cs="Times New Roman"/>
          <w:noProof/>
          <w:sz w:val="24"/>
          <w:szCs w:val="24"/>
          <w:vertAlign w:val="superscript"/>
          <w:lang w:val="en-GB"/>
        </w:rPr>
        <w:t>]</w:t>
      </w:r>
      <w:r w:rsidRPr="00186D0D">
        <w:rPr>
          <w:rFonts w:ascii="Book Antiqua" w:eastAsia="Cambria" w:hAnsi="Book Antiqua" w:cs="Times New Roman"/>
          <w:sz w:val="24"/>
          <w:szCs w:val="24"/>
          <w:vertAlign w:val="superscript"/>
          <w:lang w:val="en-GB"/>
        </w:rPr>
        <w:fldChar w:fldCharType="end"/>
      </w:r>
      <w:r w:rsidRPr="00186D0D">
        <w:rPr>
          <w:rFonts w:ascii="Book Antiqua" w:eastAsia="Cambria" w:hAnsi="Book Antiqua" w:cs="Times New Roman"/>
          <w:sz w:val="24"/>
          <w:szCs w:val="24"/>
          <w:lang w:val="en-GB"/>
        </w:rPr>
        <w:t>.</w:t>
      </w:r>
      <w:r w:rsidRPr="00186D0D">
        <w:rPr>
          <w:rFonts w:ascii="Book Antiqua" w:eastAsia="Cambria" w:hAnsi="Book Antiqua" w:cs="Times New Roman"/>
          <w:color w:val="000000"/>
          <w:sz w:val="24"/>
          <w:szCs w:val="24"/>
          <w:lang w:val="en-GB"/>
        </w:rPr>
        <w:t xml:space="preserve">The </w:t>
      </w:r>
      <w:proofErr w:type="spellStart"/>
      <w:r w:rsidRPr="00186D0D">
        <w:rPr>
          <w:rFonts w:ascii="Book Antiqua" w:eastAsia="Cambria" w:hAnsi="Book Antiqua" w:cs="Times New Roman"/>
          <w:color w:val="000000"/>
          <w:sz w:val="24"/>
          <w:szCs w:val="24"/>
          <w:lang w:val="en-GB"/>
        </w:rPr>
        <w:t>interobserver</w:t>
      </w:r>
      <w:proofErr w:type="spellEnd"/>
      <w:r w:rsidRPr="00186D0D">
        <w:rPr>
          <w:rFonts w:ascii="Book Antiqua" w:eastAsia="Cambria" w:hAnsi="Book Antiqua" w:cs="Times New Roman"/>
          <w:color w:val="000000"/>
          <w:sz w:val="24"/>
          <w:szCs w:val="24"/>
          <w:lang w:val="en-GB"/>
        </w:rPr>
        <w:t xml:space="preserve"> agreement for the other items was estimated using descriptive statistics, and the threshold of 80% was arbitrarily chosen to define the agreement.</w:t>
      </w:r>
    </w:p>
    <w:p w:rsidR="005542A0" w:rsidRPr="00D858D9" w:rsidRDefault="005542A0">
      <w:pPr>
        <w:rPr>
          <w:lang w:val="en-GB"/>
        </w:rPr>
      </w:pPr>
      <w:bookmarkStart w:id="0" w:name="_GoBack"/>
      <w:bookmarkEnd w:id="0"/>
    </w:p>
    <w:sectPr w:rsidR="005542A0" w:rsidRPr="00D85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D9"/>
    <w:rsid w:val="005542A0"/>
    <w:rsid w:val="00D858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3841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MARTEAU Philippe</dc:creator>
  <cp:lastModifiedBy>MARTEAU Philippe</cp:lastModifiedBy>
  <cp:revision>1</cp:revision>
  <dcterms:created xsi:type="dcterms:W3CDTF">2016-12-27T14:52:00Z</dcterms:created>
  <dcterms:modified xsi:type="dcterms:W3CDTF">2016-12-27T14:52:00Z</dcterms:modified>
</cp:coreProperties>
</file>