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189"/>
        <w:gridCol w:w="2204"/>
        <w:gridCol w:w="2218"/>
        <w:gridCol w:w="2089"/>
        <w:gridCol w:w="2230"/>
      </w:tblGrid>
      <w:tr w:rsidR="00B834CB" w:rsidRPr="00F07C64" w:rsidTr="008B1EBA">
        <w:tc>
          <w:tcPr>
            <w:tcW w:w="2246" w:type="dxa"/>
            <w:shd w:val="clear" w:color="auto" w:fill="auto"/>
          </w:tcPr>
          <w:p w:rsidR="00B834CB" w:rsidRPr="00B77BBC" w:rsidRDefault="00B834CB" w:rsidP="008B1EBA">
            <w:pPr>
              <w:spacing w:before="120" w:after="120"/>
              <w:rPr>
                <w:sz w:val="20"/>
                <w:szCs w:val="20"/>
              </w:rPr>
            </w:pPr>
            <w:r w:rsidRPr="00B77BBC">
              <w:rPr>
                <w:rFonts w:eastAsia="MS Mincho"/>
                <w:b/>
                <w:sz w:val="20"/>
                <w:szCs w:val="20"/>
              </w:rPr>
              <w:t>Author/year</w:t>
            </w:r>
          </w:p>
        </w:tc>
        <w:tc>
          <w:tcPr>
            <w:tcW w:w="2189" w:type="dxa"/>
            <w:shd w:val="clear" w:color="auto" w:fill="auto"/>
          </w:tcPr>
          <w:p w:rsidR="00B834CB" w:rsidRPr="00B77BBC" w:rsidRDefault="00B834CB" w:rsidP="008B1EBA">
            <w:pPr>
              <w:spacing w:before="120" w:after="120"/>
              <w:rPr>
                <w:sz w:val="20"/>
                <w:szCs w:val="20"/>
              </w:rPr>
            </w:pPr>
            <w:r w:rsidRPr="00B77BBC">
              <w:rPr>
                <w:rFonts w:eastAsia="MS Mincho"/>
                <w:b/>
                <w:sz w:val="20"/>
                <w:szCs w:val="20"/>
              </w:rPr>
              <w:t>Type of Cancer</w:t>
            </w:r>
          </w:p>
        </w:tc>
        <w:tc>
          <w:tcPr>
            <w:tcW w:w="2204" w:type="dxa"/>
            <w:shd w:val="clear" w:color="auto" w:fill="auto"/>
          </w:tcPr>
          <w:p w:rsidR="00B834CB" w:rsidRPr="00B77BBC" w:rsidRDefault="00B834CB" w:rsidP="008B1EBA">
            <w:pPr>
              <w:spacing w:before="120" w:after="120"/>
              <w:rPr>
                <w:b/>
                <w:sz w:val="20"/>
                <w:szCs w:val="20"/>
              </w:rPr>
            </w:pPr>
            <w:r w:rsidRPr="00B77BBC">
              <w:rPr>
                <w:b/>
                <w:sz w:val="20"/>
                <w:szCs w:val="20"/>
              </w:rPr>
              <w:t>Epigenetic alteration</w:t>
            </w:r>
          </w:p>
        </w:tc>
        <w:tc>
          <w:tcPr>
            <w:tcW w:w="2218" w:type="dxa"/>
            <w:shd w:val="clear" w:color="auto" w:fill="auto"/>
          </w:tcPr>
          <w:p w:rsidR="00B834CB" w:rsidRPr="00B77BBC" w:rsidRDefault="00B834CB" w:rsidP="008B1EBA">
            <w:pPr>
              <w:spacing w:before="120" w:after="120"/>
              <w:rPr>
                <w:b/>
                <w:sz w:val="20"/>
                <w:szCs w:val="20"/>
              </w:rPr>
            </w:pPr>
            <w:r w:rsidRPr="00B77BBC">
              <w:rPr>
                <w:b/>
                <w:sz w:val="20"/>
                <w:szCs w:val="20"/>
              </w:rPr>
              <w:t xml:space="preserve">Results </w:t>
            </w:r>
          </w:p>
        </w:tc>
        <w:tc>
          <w:tcPr>
            <w:tcW w:w="2089" w:type="dxa"/>
          </w:tcPr>
          <w:p w:rsidR="00B834CB" w:rsidRPr="00B77BBC" w:rsidRDefault="00B834CB" w:rsidP="008B1EBA">
            <w:pPr>
              <w:spacing w:before="120" w:after="120"/>
              <w:rPr>
                <w:b/>
                <w:sz w:val="20"/>
                <w:szCs w:val="20"/>
              </w:rPr>
            </w:pPr>
            <w:r w:rsidRPr="00B77BBC">
              <w:rPr>
                <w:b/>
                <w:sz w:val="20"/>
                <w:szCs w:val="20"/>
              </w:rPr>
              <w:t xml:space="preserve">Mechanisms </w:t>
            </w:r>
          </w:p>
        </w:tc>
        <w:tc>
          <w:tcPr>
            <w:tcW w:w="2230" w:type="dxa"/>
            <w:shd w:val="clear" w:color="auto" w:fill="auto"/>
          </w:tcPr>
          <w:p w:rsidR="00B834CB" w:rsidRPr="00B77BBC" w:rsidRDefault="00B834CB" w:rsidP="008B1EBA">
            <w:pPr>
              <w:spacing w:before="120" w:after="120"/>
              <w:rPr>
                <w:b/>
                <w:sz w:val="20"/>
                <w:szCs w:val="20"/>
              </w:rPr>
            </w:pPr>
            <w:r w:rsidRPr="00B77BBC">
              <w:rPr>
                <w:b/>
                <w:sz w:val="20"/>
                <w:szCs w:val="20"/>
              </w:rPr>
              <w:t>comments</w:t>
            </w:r>
          </w:p>
        </w:tc>
      </w:tr>
      <w:tr w:rsidR="00B834CB" w:rsidRPr="00F07C64" w:rsidTr="008B1EBA">
        <w:tc>
          <w:tcPr>
            <w:tcW w:w="2246" w:type="dxa"/>
            <w:shd w:val="clear" w:color="auto" w:fill="auto"/>
          </w:tcPr>
          <w:p w:rsidR="00B834CB" w:rsidRPr="00B77BBC" w:rsidRDefault="00B834CB" w:rsidP="008B1EBA">
            <w:pPr>
              <w:spacing w:before="120"/>
              <w:rPr>
                <w:sz w:val="20"/>
                <w:szCs w:val="20"/>
              </w:rPr>
            </w:pPr>
            <w:r w:rsidRPr="00B77BBC">
              <w:rPr>
                <w:sz w:val="20"/>
                <w:szCs w:val="20"/>
              </w:rPr>
              <w:t xml:space="preserve">Liu C-C </w:t>
            </w:r>
            <w:r>
              <w:rPr>
                <w:sz w:val="20"/>
                <w:szCs w:val="20"/>
              </w:rPr>
              <w:t>et</w:t>
            </w:r>
            <w:r w:rsidRPr="00B77BBC">
              <w:rPr>
                <w:sz w:val="20"/>
                <w:szCs w:val="20"/>
              </w:rPr>
              <w:t xml:space="preserve"> al. ,  2015 </w:t>
            </w:r>
          </w:p>
        </w:tc>
        <w:tc>
          <w:tcPr>
            <w:tcW w:w="2189" w:type="dxa"/>
            <w:shd w:val="clear" w:color="auto" w:fill="auto"/>
          </w:tcPr>
          <w:p w:rsidR="00B834CB" w:rsidRPr="00B77BBC" w:rsidRDefault="00B834CB" w:rsidP="008B1EBA">
            <w:pPr>
              <w:spacing w:before="120"/>
              <w:rPr>
                <w:sz w:val="20"/>
                <w:szCs w:val="20"/>
              </w:rPr>
            </w:pPr>
            <w:r w:rsidRPr="00B77BBC">
              <w:rPr>
                <w:sz w:val="20"/>
                <w:szCs w:val="20"/>
              </w:rPr>
              <w:t>Lung Cancer</w:t>
            </w:r>
          </w:p>
        </w:tc>
        <w:tc>
          <w:tcPr>
            <w:tcW w:w="2204" w:type="dxa"/>
            <w:shd w:val="clear" w:color="auto" w:fill="auto"/>
          </w:tcPr>
          <w:p w:rsidR="00B834CB" w:rsidRPr="00B77BBC" w:rsidRDefault="00B834CB" w:rsidP="008B1EBA">
            <w:pPr>
              <w:spacing w:before="120"/>
              <w:rPr>
                <w:sz w:val="20"/>
                <w:szCs w:val="20"/>
              </w:rPr>
            </w:pPr>
            <w:r w:rsidRPr="00B77BBC">
              <w:rPr>
                <w:rFonts w:eastAsia="Times New Roman"/>
                <w:color w:val="auto"/>
                <w:sz w:val="20"/>
                <w:szCs w:val="20"/>
              </w:rPr>
              <w:t>IL-6 increased  DNMT1</w:t>
            </w:r>
            <w:r w:rsidRPr="00B77BBC">
              <w:rPr>
                <w:rFonts w:eastAsia="Times New Roman"/>
                <w:color w:val="auto"/>
                <w:sz w:val="20"/>
                <w:szCs w:val="20"/>
              </w:rPr>
              <w:sym w:font="Wingdings" w:char="F0E0"/>
            </w:r>
            <w:r w:rsidRPr="00B77BBC">
              <w:rPr>
                <w:rFonts w:eastAsia="Times New Roman"/>
                <w:color w:val="auto"/>
                <w:sz w:val="20"/>
                <w:szCs w:val="20"/>
              </w:rPr>
              <w:t>methylation of cancer suppressor gene p53 and p21 in A549 cancer cells</w:t>
            </w:r>
          </w:p>
        </w:tc>
        <w:tc>
          <w:tcPr>
            <w:tcW w:w="2218" w:type="dxa"/>
            <w:shd w:val="clear" w:color="auto" w:fill="auto"/>
          </w:tcPr>
          <w:p w:rsidR="00B834CB" w:rsidRPr="00B77BBC" w:rsidRDefault="00B834CB" w:rsidP="008B1EBA">
            <w:pPr>
              <w:spacing w:before="120"/>
              <w:rPr>
                <w:sz w:val="20"/>
                <w:szCs w:val="20"/>
                <w:u w:val="single"/>
              </w:rPr>
            </w:pPr>
            <w:r w:rsidRPr="00B77BBC">
              <w:rPr>
                <w:sz w:val="20"/>
                <w:szCs w:val="20"/>
                <w:u w:val="single"/>
              </w:rPr>
              <w:t>Cancer up-regulated</w:t>
            </w:r>
          </w:p>
        </w:tc>
        <w:tc>
          <w:tcPr>
            <w:tcW w:w="2089" w:type="dxa"/>
          </w:tcPr>
          <w:p w:rsidR="00B834CB" w:rsidRPr="00B77BBC" w:rsidRDefault="00B834CB" w:rsidP="008B1EBA">
            <w:pPr>
              <w:spacing w:before="120"/>
              <w:rPr>
                <w:sz w:val="20"/>
                <w:szCs w:val="20"/>
              </w:rPr>
            </w:pPr>
            <w:r w:rsidRPr="00B77BBC">
              <w:rPr>
                <w:rFonts w:eastAsia="Times New Roman"/>
                <w:color w:val="auto"/>
                <w:sz w:val="20"/>
                <w:szCs w:val="20"/>
              </w:rPr>
              <w:t>inflammatory cytokines in microenviroment</w:t>
            </w:r>
            <w:r w:rsidRPr="00B77BBC">
              <w:rPr>
                <w:rFonts w:eastAsia="Times New Roman"/>
                <w:color w:val="auto"/>
                <w:sz w:val="20"/>
                <w:szCs w:val="20"/>
              </w:rPr>
              <w:sym w:font="Wingdings" w:char="F0E0"/>
            </w:r>
            <w:r w:rsidRPr="00B77BBC">
              <w:rPr>
                <w:rFonts w:eastAsia="Times New Roman"/>
                <w:color w:val="auto"/>
                <w:sz w:val="20"/>
                <w:szCs w:val="20"/>
              </w:rPr>
              <w:t xml:space="preserve"> cancer progress</w:t>
            </w:r>
          </w:p>
        </w:tc>
        <w:tc>
          <w:tcPr>
            <w:tcW w:w="2230" w:type="dxa"/>
            <w:shd w:val="clear" w:color="auto" w:fill="auto"/>
          </w:tcPr>
          <w:p w:rsidR="00B834CB" w:rsidRPr="00B77BBC" w:rsidRDefault="00B834CB" w:rsidP="008B1EBA">
            <w:pPr>
              <w:numPr>
                <w:ilvl w:val="0"/>
                <w:numId w:val="1"/>
              </w:numPr>
              <w:spacing w:before="120"/>
              <w:rPr>
                <w:sz w:val="20"/>
                <w:szCs w:val="20"/>
              </w:rPr>
            </w:pPr>
            <w:r w:rsidRPr="00B77BBC">
              <w:rPr>
                <w:sz w:val="20"/>
                <w:szCs w:val="20"/>
              </w:rPr>
              <w:t>In vitro study:lung cancer stem cells vs. IL-6 enrichment</w:t>
            </w:r>
          </w:p>
          <w:p w:rsidR="00B834CB" w:rsidRPr="00B77BBC" w:rsidRDefault="00B834CB" w:rsidP="008B1EBA">
            <w:pPr>
              <w:numPr>
                <w:ilvl w:val="0"/>
                <w:numId w:val="1"/>
              </w:numPr>
              <w:spacing w:before="120"/>
              <w:rPr>
                <w:sz w:val="20"/>
                <w:szCs w:val="20"/>
              </w:rPr>
            </w:pPr>
            <w:r w:rsidRPr="00B77BBC">
              <w:rPr>
                <w:sz w:val="20"/>
                <w:szCs w:val="20"/>
              </w:rPr>
              <w:t xml:space="preserve">IL-6 </w:t>
            </w:r>
            <w:r>
              <w:rPr>
                <w:sz w:val="20"/>
                <w:szCs w:val="20"/>
              </w:rPr>
              <w:t xml:space="preserve">is also expressed in </w:t>
            </w:r>
            <w:r w:rsidRPr="00B77BBC">
              <w:rPr>
                <w:sz w:val="20"/>
                <w:szCs w:val="20"/>
              </w:rPr>
              <w:t>metabolic inflammat</w:t>
            </w:r>
            <w:r>
              <w:rPr>
                <w:sz w:val="20"/>
                <w:szCs w:val="20"/>
              </w:rPr>
              <w:t>ion.</w:t>
            </w:r>
          </w:p>
        </w:tc>
      </w:tr>
      <w:tr w:rsidR="00B834CB" w:rsidRPr="00F07C64" w:rsidTr="008B1EBA">
        <w:tc>
          <w:tcPr>
            <w:tcW w:w="2246" w:type="dxa"/>
            <w:shd w:val="clear" w:color="auto" w:fill="auto"/>
          </w:tcPr>
          <w:p w:rsidR="00B834CB" w:rsidRPr="00B77BBC" w:rsidRDefault="00B834CB" w:rsidP="008B1EBA">
            <w:pPr>
              <w:spacing w:before="120"/>
              <w:rPr>
                <w:sz w:val="20"/>
                <w:szCs w:val="20"/>
              </w:rPr>
            </w:pPr>
            <w:r w:rsidRPr="00B77BBC">
              <w:rPr>
                <w:sz w:val="20"/>
                <w:szCs w:val="20"/>
              </w:rPr>
              <w:t xml:space="preserve">Yu  Z </w:t>
            </w:r>
            <w:r>
              <w:rPr>
                <w:sz w:val="20"/>
                <w:szCs w:val="20"/>
              </w:rPr>
              <w:t>et</w:t>
            </w:r>
            <w:r w:rsidRPr="00B77BBC">
              <w:rPr>
                <w:sz w:val="20"/>
                <w:szCs w:val="20"/>
              </w:rPr>
              <w:t xml:space="preserve"> al. , 2015</w:t>
            </w:r>
          </w:p>
        </w:tc>
        <w:tc>
          <w:tcPr>
            <w:tcW w:w="2189" w:type="dxa"/>
            <w:shd w:val="clear" w:color="auto" w:fill="auto"/>
          </w:tcPr>
          <w:p w:rsidR="00B834CB" w:rsidRPr="00B77BBC" w:rsidRDefault="00B834CB" w:rsidP="008B1EBA">
            <w:pPr>
              <w:spacing w:before="120"/>
              <w:rPr>
                <w:sz w:val="20"/>
                <w:szCs w:val="20"/>
              </w:rPr>
            </w:pPr>
            <w:r>
              <w:rPr>
                <w:sz w:val="20"/>
                <w:szCs w:val="20"/>
              </w:rPr>
              <w:t>Breast cancer (Br</w:t>
            </w:r>
            <w:r w:rsidRPr="00B77BBC">
              <w:rPr>
                <w:sz w:val="20"/>
                <w:szCs w:val="20"/>
              </w:rPr>
              <w:t xml:space="preserve">Ca) </w:t>
            </w:r>
          </w:p>
        </w:tc>
        <w:tc>
          <w:tcPr>
            <w:tcW w:w="2204" w:type="dxa"/>
            <w:shd w:val="clear" w:color="auto" w:fill="auto"/>
          </w:tcPr>
          <w:p w:rsidR="00B834CB" w:rsidRPr="00B77BBC" w:rsidRDefault="00B834CB" w:rsidP="008B1EBA">
            <w:pPr>
              <w:spacing w:before="120"/>
              <w:rPr>
                <w:sz w:val="20"/>
                <w:szCs w:val="20"/>
              </w:rPr>
            </w:pPr>
            <w:r w:rsidRPr="00B77BBC">
              <w:rPr>
                <w:rFonts w:eastAsia="Times New Roman"/>
                <w:color w:val="auto"/>
                <w:sz w:val="20"/>
                <w:szCs w:val="20"/>
              </w:rPr>
              <w:t xml:space="preserve">DNMT1  expression higher in </w:t>
            </w:r>
            <w:r>
              <w:rPr>
                <w:sz w:val="20"/>
                <w:szCs w:val="20"/>
              </w:rPr>
              <w:t xml:space="preserve"> Br</w:t>
            </w:r>
            <w:r w:rsidRPr="00B77BBC">
              <w:rPr>
                <w:sz w:val="20"/>
                <w:szCs w:val="20"/>
              </w:rPr>
              <w:t>Ca</w:t>
            </w:r>
            <w:r w:rsidRPr="00B77BBC">
              <w:rPr>
                <w:rFonts w:eastAsia="Times New Roman"/>
                <w:color w:val="auto"/>
                <w:sz w:val="20"/>
                <w:szCs w:val="20"/>
              </w:rPr>
              <w:t xml:space="preserve"> than fibroadenoma</w:t>
            </w:r>
          </w:p>
        </w:tc>
        <w:tc>
          <w:tcPr>
            <w:tcW w:w="2218" w:type="dxa"/>
            <w:shd w:val="clear" w:color="auto" w:fill="auto"/>
          </w:tcPr>
          <w:p w:rsidR="00B834CB" w:rsidRPr="00B77BBC" w:rsidRDefault="00B834CB" w:rsidP="008B1EBA">
            <w:pPr>
              <w:spacing w:before="120"/>
              <w:rPr>
                <w:sz w:val="20"/>
                <w:szCs w:val="20"/>
              </w:rPr>
            </w:pPr>
            <w:r w:rsidRPr="00B77BBC">
              <w:rPr>
                <w:rFonts w:eastAsia="Times New Roman"/>
                <w:color w:val="auto"/>
                <w:sz w:val="20"/>
                <w:szCs w:val="20"/>
              </w:rPr>
              <w:t xml:space="preserve">Increase lymph node metastasis; shorter disease-free survival </w:t>
            </w:r>
          </w:p>
        </w:tc>
        <w:tc>
          <w:tcPr>
            <w:tcW w:w="2089" w:type="dxa"/>
          </w:tcPr>
          <w:p w:rsidR="00B834CB" w:rsidRPr="00B77BBC" w:rsidRDefault="00B834CB" w:rsidP="008B1EBA">
            <w:pPr>
              <w:spacing w:before="120"/>
              <w:rPr>
                <w:sz w:val="20"/>
                <w:szCs w:val="20"/>
              </w:rPr>
            </w:pPr>
            <w:r w:rsidRPr="00B77BBC">
              <w:rPr>
                <w:rFonts w:eastAsia="Times New Roman"/>
                <w:color w:val="auto"/>
                <w:sz w:val="20"/>
                <w:szCs w:val="20"/>
              </w:rPr>
              <w:t xml:space="preserve">DNMT1 </w:t>
            </w:r>
            <w:r w:rsidRPr="00B77BBC">
              <w:rPr>
                <w:rFonts w:eastAsia="Times New Roman"/>
                <w:color w:val="auto"/>
                <w:sz w:val="20"/>
                <w:szCs w:val="20"/>
              </w:rPr>
              <w:sym w:font="Wingdings" w:char="F0E0"/>
            </w:r>
            <w:r w:rsidRPr="00B77BBC">
              <w:rPr>
                <w:rFonts w:eastAsia="Times New Roman"/>
                <w:color w:val="auto"/>
                <w:sz w:val="20"/>
                <w:szCs w:val="20"/>
              </w:rPr>
              <w:t xml:space="preserve"> promoter hypermethylation</w:t>
            </w:r>
          </w:p>
        </w:tc>
        <w:tc>
          <w:tcPr>
            <w:tcW w:w="2230" w:type="dxa"/>
            <w:shd w:val="clear" w:color="auto" w:fill="auto"/>
          </w:tcPr>
          <w:p w:rsidR="00B834CB" w:rsidRPr="00B77BBC" w:rsidRDefault="00B834CB" w:rsidP="008B1EBA">
            <w:pPr>
              <w:numPr>
                <w:ilvl w:val="0"/>
                <w:numId w:val="2"/>
              </w:numPr>
              <w:spacing w:before="120"/>
              <w:rPr>
                <w:sz w:val="20"/>
                <w:szCs w:val="20"/>
              </w:rPr>
            </w:pPr>
            <w:r w:rsidRPr="00B77BBC">
              <w:rPr>
                <w:sz w:val="20"/>
                <w:szCs w:val="20"/>
              </w:rPr>
              <w:t>Human, longitudinal study</w:t>
            </w:r>
          </w:p>
          <w:p w:rsidR="00B834CB" w:rsidRPr="00B77BBC" w:rsidRDefault="00B834CB" w:rsidP="008B1EBA">
            <w:pPr>
              <w:numPr>
                <w:ilvl w:val="0"/>
                <w:numId w:val="2"/>
              </w:numPr>
              <w:spacing w:before="120"/>
              <w:rPr>
                <w:sz w:val="20"/>
                <w:szCs w:val="20"/>
              </w:rPr>
            </w:pPr>
            <w:r w:rsidRPr="00B77BBC">
              <w:rPr>
                <w:sz w:val="20"/>
                <w:szCs w:val="20"/>
              </w:rPr>
              <w:t>Potential causal</w:t>
            </w:r>
          </w:p>
          <w:p w:rsidR="00B834CB" w:rsidRPr="00B77BBC" w:rsidRDefault="00B834CB" w:rsidP="008B1EBA">
            <w:pPr>
              <w:spacing w:before="120"/>
              <w:rPr>
                <w:sz w:val="20"/>
                <w:szCs w:val="20"/>
              </w:rPr>
            </w:pPr>
          </w:p>
        </w:tc>
      </w:tr>
      <w:tr w:rsidR="00B834CB" w:rsidRPr="00F07C64" w:rsidTr="008B1EBA">
        <w:tc>
          <w:tcPr>
            <w:tcW w:w="2246" w:type="dxa"/>
            <w:shd w:val="clear" w:color="auto" w:fill="auto"/>
          </w:tcPr>
          <w:p w:rsidR="00B834CB" w:rsidRPr="00B77BBC" w:rsidRDefault="00B834CB" w:rsidP="008B1EBA">
            <w:pPr>
              <w:spacing w:before="120"/>
              <w:rPr>
                <w:sz w:val="20"/>
                <w:szCs w:val="20"/>
              </w:rPr>
            </w:pPr>
            <w:r w:rsidRPr="00B77BBC">
              <w:rPr>
                <w:sz w:val="20"/>
                <w:szCs w:val="20"/>
              </w:rPr>
              <w:t>Zheng Y et al., 2015</w:t>
            </w:r>
          </w:p>
        </w:tc>
        <w:tc>
          <w:tcPr>
            <w:tcW w:w="2189" w:type="dxa"/>
            <w:shd w:val="clear" w:color="auto" w:fill="auto"/>
          </w:tcPr>
          <w:p w:rsidR="00B834CB" w:rsidRPr="00B77BBC" w:rsidRDefault="00B834CB" w:rsidP="008B1EBA">
            <w:pPr>
              <w:spacing w:before="120"/>
              <w:rPr>
                <w:sz w:val="20"/>
                <w:szCs w:val="20"/>
              </w:rPr>
            </w:pPr>
            <w:r w:rsidRPr="00B77BBC">
              <w:rPr>
                <w:sz w:val="20"/>
                <w:szCs w:val="20"/>
              </w:rPr>
              <w:t xml:space="preserve">Hepatocellular carcinoma </w:t>
            </w:r>
            <w:r w:rsidRPr="00B77BBC">
              <w:rPr>
                <w:rFonts w:eastAsia="Times New Roman"/>
                <w:color w:val="auto"/>
                <w:sz w:val="20"/>
                <w:szCs w:val="20"/>
              </w:rPr>
              <w:t xml:space="preserve"> (HCC)</w:t>
            </w:r>
          </w:p>
        </w:tc>
        <w:tc>
          <w:tcPr>
            <w:tcW w:w="2204" w:type="dxa"/>
            <w:shd w:val="clear" w:color="auto" w:fill="auto"/>
          </w:tcPr>
          <w:p w:rsidR="00B834CB" w:rsidRPr="00B77BBC" w:rsidRDefault="00B834CB" w:rsidP="008B1EBA">
            <w:pPr>
              <w:spacing w:before="120"/>
              <w:rPr>
                <w:sz w:val="20"/>
                <w:szCs w:val="20"/>
              </w:rPr>
            </w:pPr>
            <w:r w:rsidRPr="00B77BBC">
              <w:rPr>
                <w:sz w:val="20"/>
                <w:szCs w:val="20"/>
              </w:rPr>
              <w:t>Histone de</w:t>
            </w:r>
            <w:r>
              <w:rPr>
                <w:sz w:val="20"/>
                <w:szCs w:val="20"/>
              </w:rPr>
              <w:t>-</w:t>
            </w:r>
            <w:r w:rsidRPr="00B77BBC">
              <w:rPr>
                <w:sz w:val="20"/>
                <w:szCs w:val="20"/>
              </w:rPr>
              <w:t>Acetylation in  cancer vs adjacent tissues</w:t>
            </w:r>
          </w:p>
        </w:tc>
        <w:tc>
          <w:tcPr>
            <w:tcW w:w="2218" w:type="dxa"/>
            <w:shd w:val="clear" w:color="auto" w:fill="auto"/>
          </w:tcPr>
          <w:p w:rsidR="00B834CB" w:rsidRPr="00B77BBC" w:rsidRDefault="00B834CB" w:rsidP="008B1EBA">
            <w:pPr>
              <w:spacing w:before="120"/>
              <w:rPr>
                <w:sz w:val="20"/>
                <w:szCs w:val="20"/>
              </w:rPr>
            </w:pPr>
            <w:r w:rsidRPr="00B77BBC">
              <w:rPr>
                <w:sz w:val="20"/>
                <w:szCs w:val="20"/>
              </w:rPr>
              <w:t xml:space="preserve">Hepatocellular </w:t>
            </w:r>
            <w:r w:rsidRPr="00B77BBC">
              <w:rPr>
                <w:rFonts w:eastAsia="Times New Roman"/>
                <w:color w:val="auto"/>
                <w:sz w:val="20"/>
                <w:szCs w:val="20"/>
                <w:u w:val="single"/>
              </w:rPr>
              <w:t>Cancer down regulated</w:t>
            </w:r>
          </w:p>
        </w:tc>
        <w:tc>
          <w:tcPr>
            <w:tcW w:w="2089" w:type="dxa"/>
          </w:tcPr>
          <w:p w:rsidR="00B834CB" w:rsidRPr="00B77BBC" w:rsidRDefault="00B834CB" w:rsidP="008B1EBA">
            <w:pPr>
              <w:spacing w:before="120"/>
              <w:rPr>
                <w:sz w:val="20"/>
                <w:szCs w:val="20"/>
              </w:rPr>
            </w:pPr>
            <w:r w:rsidRPr="00B77BBC">
              <w:rPr>
                <w:rFonts w:eastAsia="Times New Roman"/>
                <w:color w:val="auto"/>
                <w:sz w:val="20"/>
                <w:szCs w:val="20"/>
              </w:rPr>
              <w:t>histone deacetylase (HDAC) increased the level of miR-376a (cancer suppressor)</w:t>
            </w:r>
          </w:p>
        </w:tc>
        <w:tc>
          <w:tcPr>
            <w:tcW w:w="2230" w:type="dxa"/>
            <w:shd w:val="clear" w:color="auto" w:fill="auto"/>
          </w:tcPr>
          <w:p w:rsidR="00B834CB" w:rsidRPr="00B77BBC" w:rsidRDefault="00B834CB" w:rsidP="008B1EBA">
            <w:pPr>
              <w:numPr>
                <w:ilvl w:val="0"/>
                <w:numId w:val="3"/>
              </w:numPr>
              <w:spacing w:before="120"/>
              <w:rPr>
                <w:sz w:val="20"/>
                <w:szCs w:val="20"/>
              </w:rPr>
            </w:pPr>
            <w:r w:rsidRPr="00B77BBC">
              <w:rPr>
                <w:sz w:val="20"/>
                <w:szCs w:val="20"/>
              </w:rPr>
              <w:t xml:space="preserve">In vitro study </w:t>
            </w:r>
          </w:p>
          <w:p w:rsidR="00B834CB" w:rsidRPr="00B77BBC" w:rsidRDefault="00B834CB" w:rsidP="008B1EBA">
            <w:pPr>
              <w:numPr>
                <w:ilvl w:val="0"/>
                <w:numId w:val="3"/>
              </w:numPr>
              <w:spacing w:before="120"/>
              <w:rPr>
                <w:sz w:val="20"/>
                <w:szCs w:val="20"/>
              </w:rPr>
            </w:pPr>
            <w:r w:rsidRPr="00B77BBC">
              <w:rPr>
                <w:sz w:val="20"/>
                <w:szCs w:val="20"/>
              </w:rPr>
              <w:t>No causal inference</w:t>
            </w:r>
          </w:p>
          <w:p w:rsidR="00B834CB" w:rsidRPr="00B77BBC" w:rsidRDefault="00B834CB" w:rsidP="008B1EBA">
            <w:pPr>
              <w:spacing w:before="120"/>
              <w:ind w:left="360"/>
              <w:rPr>
                <w:sz w:val="20"/>
                <w:szCs w:val="20"/>
              </w:rPr>
            </w:pPr>
          </w:p>
        </w:tc>
      </w:tr>
      <w:tr w:rsidR="00B834CB" w:rsidRPr="00F07C64" w:rsidTr="008B1EBA">
        <w:tc>
          <w:tcPr>
            <w:tcW w:w="2246" w:type="dxa"/>
            <w:shd w:val="clear" w:color="auto" w:fill="auto"/>
          </w:tcPr>
          <w:p w:rsidR="00B834CB" w:rsidRPr="00B77BBC" w:rsidRDefault="00B834CB" w:rsidP="008B1EBA">
            <w:pPr>
              <w:spacing w:before="120"/>
              <w:rPr>
                <w:sz w:val="20"/>
                <w:szCs w:val="20"/>
              </w:rPr>
            </w:pPr>
            <w:r w:rsidRPr="00B77BBC">
              <w:rPr>
                <w:sz w:val="20"/>
                <w:szCs w:val="20"/>
              </w:rPr>
              <w:t>Karczmarski J</w:t>
            </w:r>
            <w:r>
              <w:rPr>
                <w:sz w:val="20"/>
                <w:szCs w:val="20"/>
              </w:rPr>
              <w:t xml:space="preserve"> et</w:t>
            </w:r>
            <w:r w:rsidRPr="00B77BBC">
              <w:rPr>
                <w:sz w:val="20"/>
                <w:szCs w:val="20"/>
              </w:rPr>
              <w:t xml:space="preserve"> al</w:t>
            </w:r>
            <w:r>
              <w:rPr>
                <w:sz w:val="20"/>
                <w:szCs w:val="20"/>
              </w:rPr>
              <w:t xml:space="preserve">., </w:t>
            </w:r>
            <w:r w:rsidRPr="00B77BBC">
              <w:rPr>
                <w:sz w:val="20"/>
                <w:szCs w:val="20"/>
              </w:rPr>
              <w:t>2014</w:t>
            </w:r>
          </w:p>
        </w:tc>
        <w:tc>
          <w:tcPr>
            <w:tcW w:w="2189" w:type="dxa"/>
            <w:shd w:val="clear" w:color="auto" w:fill="auto"/>
          </w:tcPr>
          <w:p w:rsidR="00B834CB" w:rsidRPr="00B77BBC" w:rsidRDefault="00B834CB" w:rsidP="008B1EBA">
            <w:pPr>
              <w:spacing w:before="120"/>
              <w:rPr>
                <w:sz w:val="20"/>
                <w:szCs w:val="20"/>
              </w:rPr>
            </w:pPr>
            <w:r w:rsidRPr="00B77BBC">
              <w:rPr>
                <w:sz w:val="20"/>
                <w:szCs w:val="20"/>
              </w:rPr>
              <w:t>Colorectal Cancer (CRC)</w:t>
            </w:r>
          </w:p>
        </w:tc>
        <w:tc>
          <w:tcPr>
            <w:tcW w:w="2204" w:type="dxa"/>
            <w:shd w:val="clear" w:color="auto" w:fill="auto"/>
          </w:tcPr>
          <w:p w:rsidR="00B834CB" w:rsidRPr="00B77BBC" w:rsidRDefault="00B834CB" w:rsidP="008B1EBA">
            <w:pPr>
              <w:spacing w:before="120"/>
              <w:rPr>
                <w:sz w:val="20"/>
                <w:szCs w:val="20"/>
              </w:rPr>
            </w:pPr>
            <w:r w:rsidRPr="00B77BBC">
              <w:rPr>
                <w:sz w:val="20"/>
                <w:szCs w:val="20"/>
              </w:rPr>
              <w:t>Histone acetylation</w:t>
            </w:r>
          </w:p>
          <w:p w:rsidR="00B834CB" w:rsidRPr="00B77BBC" w:rsidRDefault="00B834CB" w:rsidP="008B1EBA">
            <w:pPr>
              <w:rPr>
                <w:sz w:val="20"/>
                <w:szCs w:val="20"/>
              </w:rPr>
            </w:pPr>
            <w:r w:rsidRPr="00B77BBC">
              <w:rPr>
                <w:sz w:val="20"/>
                <w:szCs w:val="20"/>
              </w:rPr>
              <w:t>in</w:t>
            </w:r>
            <w:r w:rsidRPr="00B77BBC">
              <w:rPr>
                <w:rFonts w:eastAsia="Times New Roman"/>
                <w:color w:val="auto"/>
                <w:sz w:val="20"/>
                <w:szCs w:val="20"/>
              </w:rPr>
              <w:t xml:space="preserve"> CRC tissues and healthy mucosa samples</w:t>
            </w:r>
          </w:p>
        </w:tc>
        <w:tc>
          <w:tcPr>
            <w:tcW w:w="2218" w:type="dxa"/>
            <w:shd w:val="clear" w:color="auto" w:fill="auto"/>
          </w:tcPr>
          <w:p w:rsidR="00B834CB" w:rsidRPr="00B77BBC" w:rsidRDefault="00B834CB" w:rsidP="008B1EBA">
            <w:pPr>
              <w:spacing w:before="120"/>
              <w:rPr>
                <w:sz w:val="20"/>
                <w:szCs w:val="20"/>
              </w:rPr>
            </w:pPr>
            <w:r>
              <w:rPr>
                <w:rFonts w:eastAsia="Times New Roman"/>
                <w:color w:val="auto"/>
                <w:sz w:val="20"/>
                <w:szCs w:val="20"/>
              </w:rPr>
              <w:t>H</w:t>
            </w:r>
            <w:r w:rsidRPr="00D94CE3">
              <w:rPr>
                <w:rFonts w:eastAsia="Times New Roman"/>
                <w:color w:val="auto"/>
                <w:sz w:val="20"/>
                <w:szCs w:val="20"/>
              </w:rPr>
              <w:t xml:space="preserve">istone </w:t>
            </w:r>
            <w:r>
              <w:rPr>
                <w:rFonts w:eastAsia="Times New Roman"/>
                <w:color w:val="auto"/>
                <w:sz w:val="20"/>
                <w:szCs w:val="20"/>
              </w:rPr>
              <w:t>(</w:t>
            </w:r>
            <w:r w:rsidRPr="00D94CE3">
              <w:rPr>
                <w:rFonts w:eastAsia="Times New Roman"/>
                <w:color w:val="auto"/>
                <w:sz w:val="20"/>
                <w:szCs w:val="20"/>
              </w:rPr>
              <w:t>H3</w:t>
            </w:r>
            <w:r>
              <w:rPr>
                <w:rFonts w:eastAsia="Times New Roman"/>
                <w:color w:val="auto"/>
                <w:sz w:val="20"/>
                <w:szCs w:val="20"/>
              </w:rPr>
              <w:t xml:space="preserve">) </w:t>
            </w:r>
            <w:r w:rsidRPr="00D94CE3">
              <w:rPr>
                <w:rFonts w:eastAsia="Times New Roman"/>
                <w:color w:val="auto"/>
                <w:sz w:val="20"/>
                <w:szCs w:val="20"/>
              </w:rPr>
              <w:t xml:space="preserve">acetylation </w:t>
            </w:r>
            <w:r>
              <w:rPr>
                <w:rFonts w:eastAsia="Times New Roman"/>
                <w:color w:val="auto"/>
                <w:sz w:val="20"/>
                <w:szCs w:val="20"/>
              </w:rPr>
              <w:t xml:space="preserve">is </w:t>
            </w:r>
            <w:r w:rsidRPr="00B77BBC">
              <w:rPr>
                <w:rFonts w:eastAsia="Times New Roman"/>
                <w:color w:val="auto"/>
                <w:sz w:val="20"/>
                <w:szCs w:val="20"/>
                <w:u w:val="single"/>
              </w:rPr>
              <w:t>upregulated in CRC,</w:t>
            </w:r>
          </w:p>
        </w:tc>
        <w:tc>
          <w:tcPr>
            <w:tcW w:w="2089" w:type="dxa"/>
          </w:tcPr>
          <w:p w:rsidR="00B834CB" w:rsidRPr="00B77BBC" w:rsidRDefault="00B834CB" w:rsidP="008B1EBA">
            <w:pPr>
              <w:spacing w:before="120"/>
            </w:pPr>
            <w:r w:rsidRPr="00D94CE3">
              <w:rPr>
                <w:rFonts w:eastAsia="Times New Roman"/>
                <w:color w:val="auto"/>
                <w:sz w:val="20"/>
                <w:szCs w:val="20"/>
              </w:rPr>
              <w:t>Proteomic approach for the detection of histone modifications at a global scale.</w:t>
            </w:r>
          </w:p>
        </w:tc>
        <w:tc>
          <w:tcPr>
            <w:tcW w:w="2230" w:type="dxa"/>
            <w:shd w:val="clear" w:color="auto" w:fill="auto"/>
          </w:tcPr>
          <w:p w:rsidR="00B834CB" w:rsidRPr="00B77BBC" w:rsidRDefault="00B834CB" w:rsidP="008B1EBA">
            <w:pPr>
              <w:numPr>
                <w:ilvl w:val="0"/>
                <w:numId w:val="4"/>
              </w:numPr>
              <w:spacing w:before="120"/>
              <w:rPr>
                <w:sz w:val="20"/>
                <w:szCs w:val="20"/>
              </w:rPr>
            </w:pPr>
            <w:r w:rsidRPr="00B77BBC">
              <w:rPr>
                <w:sz w:val="20"/>
                <w:szCs w:val="20"/>
              </w:rPr>
              <w:t xml:space="preserve">In vitro study </w:t>
            </w:r>
          </w:p>
          <w:p w:rsidR="00B834CB" w:rsidRPr="00B77BBC" w:rsidRDefault="00B834CB" w:rsidP="008B1EBA">
            <w:pPr>
              <w:numPr>
                <w:ilvl w:val="0"/>
                <w:numId w:val="4"/>
              </w:numPr>
              <w:spacing w:before="120"/>
              <w:rPr>
                <w:sz w:val="20"/>
                <w:szCs w:val="20"/>
              </w:rPr>
            </w:pPr>
            <w:r w:rsidRPr="00B77BBC">
              <w:rPr>
                <w:sz w:val="20"/>
                <w:szCs w:val="20"/>
              </w:rPr>
              <w:t>No causal inference</w:t>
            </w:r>
          </w:p>
          <w:p w:rsidR="00B834CB" w:rsidRPr="00B77BBC" w:rsidRDefault="00B834CB" w:rsidP="008B1EBA">
            <w:pPr>
              <w:spacing w:before="120"/>
              <w:rPr>
                <w:sz w:val="20"/>
                <w:szCs w:val="20"/>
              </w:rPr>
            </w:pPr>
          </w:p>
        </w:tc>
      </w:tr>
    </w:tbl>
    <w:p w:rsidR="00B834CB" w:rsidRDefault="00B834CB" w:rsidP="00B834CB">
      <w:r>
        <w:t>Supplemental Table1a. Selected examples of epigenetic modification and cancer</w:t>
      </w:r>
    </w:p>
    <w:p w:rsidR="00B834CB" w:rsidRDefault="00B834CB" w:rsidP="00B834CB"/>
    <w:p w:rsidR="00B834CB" w:rsidRDefault="00B834CB" w:rsidP="00B834CB"/>
    <w:p w:rsidR="00B834CB" w:rsidRDefault="00B834CB" w:rsidP="00B834CB"/>
    <w:p w:rsidR="00B834CB" w:rsidRPr="00F55179" w:rsidRDefault="00B834CB" w:rsidP="00B834CB">
      <w:pPr>
        <w:rPr>
          <w:sz w:val="20"/>
          <w:szCs w:val="20"/>
        </w:rPr>
      </w:pPr>
      <w:r w:rsidRPr="00F55179">
        <w:rPr>
          <w:sz w:val="20"/>
          <w:szCs w:val="20"/>
        </w:rPr>
        <w:t>References:</w:t>
      </w:r>
    </w:p>
    <w:p w:rsidR="00B834CB" w:rsidRPr="00472DC8" w:rsidRDefault="00B834CB" w:rsidP="00B834CB">
      <w:pPr>
        <w:spacing w:after="120"/>
        <w:rPr>
          <w:sz w:val="20"/>
          <w:szCs w:val="20"/>
        </w:rPr>
      </w:pPr>
      <w:r w:rsidRPr="00472DC8">
        <w:rPr>
          <w:sz w:val="20"/>
          <w:szCs w:val="20"/>
        </w:rPr>
        <w:t>Karczmarski J, Rubel T, Paziewska A, Mikula M, Bujko M, Kober P, Dadlez M, Ostrowski J. 2014. Histone H3 lysine 27 acetylation is altered in colon cancer. Clin Proteomics 11(1):24.24994966</w:t>
      </w:r>
    </w:p>
    <w:p w:rsidR="00B834CB" w:rsidRPr="00472DC8" w:rsidRDefault="00B834CB" w:rsidP="00B834CB">
      <w:pPr>
        <w:spacing w:after="120"/>
        <w:rPr>
          <w:sz w:val="20"/>
          <w:szCs w:val="20"/>
        </w:rPr>
      </w:pPr>
      <w:r w:rsidRPr="00472DC8">
        <w:rPr>
          <w:sz w:val="20"/>
          <w:szCs w:val="20"/>
        </w:rPr>
        <w:t>Liu CC, Lin JH, Hsu TW, Su K, Li AF, Hsu HS, Hung SC. 2015. IL-6 enriched lung cancer stem-like cell population by inhibition of cell cycle regulators via DNMT1 upregulation. Int J Cancer 136(3):547-559.24947242</w:t>
      </w:r>
    </w:p>
    <w:p w:rsidR="00B834CB" w:rsidRPr="00472DC8" w:rsidRDefault="00B834CB" w:rsidP="00B834CB">
      <w:pPr>
        <w:spacing w:after="120"/>
        <w:rPr>
          <w:sz w:val="20"/>
          <w:szCs w:val="20"/>
        </w:rPr>
      </w:pPr>
      <w:r w:rsidRPr="00472DC8">
        <w:rPr>
          <w:sz w:val="20"/>
          <w:szCs w:val="20"/>
        </w:rPr>
        <w:lastRenderedPageBreak/>
        <w:t>Yu Z, Xiao Q, Zhao L, Ren J, Bai X, Sun M, Wu H, Liu X, Song Z, Yan Y et al. . 2015. DNA methyltransferase 1/3a overexpression in sporadic breast cancer is associated with reduced expression of estrogen receptor-alpha/breast cancer susceptibility gene 1 and poor prognosis. Mol Carcinog 54(9):707-719.24464625</w:t>
      </w:r>
    </w:p>
    <w:p w:rsidR="00B834CB" w:rsidRPr="00472DC8" w:rsidRDefault="00B834CB" w:rsidP="00B834CB">
      <w:pPr>
        <w:rPr>
          <w:sz w:val="20"/>
          <w:szCs w:val="20"/>
        </w:rPr>
      </w:pPr>
      <w:r w:rsidRPr="00472DC8">
        <w:rPr>
          <w:sz w:val="20"/>
          <w:szCs w:val="20"/>
        </w:rPr>
        <w:t>Zheng Y, Chen H, Yin M, Ye X, Chen G, Zhou X, Yin L, Zhang C, Ding B. 2015. MiR-376a and histone deacetylation 9 form a regulatory circuitry in hepatocellular carcinoma. Cell Physiol Biochem 35(2):729-739.25613642</w:t>
      </w:r>
    </w:p>
    <w:p w:rsidR="00B834CB" w:rsidRDefault="00B834CB" w:rsidP="00B834CB">
      <w:r>
        <w:fldChar w:fldCharType="begin"/>
      </w:r>
      <w:r>
        <w:instrText xml:space="preserve"> ADDIN EN.REFLIST </w:instrText>
      </w:r>
      <w:r>
        <w:fldChar w:fldCharType="separate"/>
      </w:r>
      <w:r>
        <w:fldChar w:fldCharType="end"/>
      </w:r>
    </w:p>
    <w:p w:rsidR="00B834CB" w:rsidRDefault="00B834CB" w:rsidP="00B834CB">
      <w:r>
        <w:t>Table 2a. (Supplemental)  The role of microRNAs and cancer relationship</w:t>
      </w:r>
    </w:p>
    <w:tbl>
      <w:tblPr>
        <w:tblpPr w:leftFromText="187" w:rightFromText="187" w:vertAnchor="page" w:horzAnchor="margin" w:tblpY="2161"/>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140"/>
        <w:gridCol w:w="1729"/>
        <w:gridCol w:w="2520"/>
        <w:gridCol w:w="2438"/>
        <w:gridCol w:w="2170"/>
      </w:tblGrid>
      <w:tr w:rsidR="00B834CB" w:rsidRPr="009E5638" w:rsidTr="008B1EBA">
        <w:tc>
          <w:tcPr>
            <w:tcW w:w="2179" w:type="dxa"/>
            <w:shd w:val="clear" w:color="auto" w:fill="auto"/>
          </w:tcPr>
          <w:p w:rsidR="00B834CB" w:rsidRPr="009E5638" w:rsidRDefault="00B834CB" w:rsidP="008B1EBA">
            <w:pPr>
              <w:spacing w:before="120" w:after="120"/>
              <w:rPr>
                <w:b/>
                <w:sz w:val="20"/>
                <w:szCs w:val="20"/>
              </w:rPr>
            </w:pPr>
            <w:r w:rsidRPr="009E5638">
              <w:rPr>
                <w:rFonts w:eastAsia="MS Mincho"/>
                <w:b/>
                <w:sz w:val="20"/>
                <w:szCs w:val="20"/>
              </w:rPr>
              <w:lastRenderedPageBreak/>
              <w:t>Author/year</w:t>
            </w:r>
          </w:p>
        </w:tc>
        <w:tc>
          <w:tcPr>
            <w:tcW w:w="2140" w:type="dxa"/>
            <w:shd w:val="clear" w:color="auto" w:fill="auto"/>
          </w:tcPr>
          <w:p w:rsidR="00B834CB" w:rsidRPr="009E5638" w:rsidRDefault="00B834CB" w:rsidP="008B1EBA">
            <w:pPr>
              <w:spacing w:before="120" w:after="120"/>
              <w:rPr>
                <w:b/>
                <w:sz w:val="20"/>
                <w:szCs w:val="20"/>
              </w:rPr>
            </w:pPr>
            <w:r w:rsidRPr="009E5638">
              <w:rPr>
                <w:rFonts w:eastAsia="MS Mincho"/>
                <w:b/>
                <w:sz w:val="20"/>
                <w:szCs w:val="20"/>
              </w:rPr>
              <w:t>Type of Cancer</w:t>
            </w:r>
          </w:p>
        </w:tc>
        <w:tc>
          <w:tcPr>
            <w:tcW w:w="1729" w:type="dxa"/>
            <w:shd w:val="clear" w:color="auto" w:fill="auto"/>
          </w:tcPr>
          <w:p w:rsidR="00B834CB" w:rsidRPr="009E5638" w:rsidRDefault="00B834CB" w:rsidP="008B1EBA">
            <w:pPr>
              <w:spacing w:before="120" w:after="120"/>
              <w:rPr>
                <w:b/>
                <w:sz w:val="20"/>
                <w:szCs w:val="20"/>
              </w:rPr>
            </w:pPr>
            <w:r w:rsidRPr="009E5638">
              <w:rPr>
                <w:b/>
                <w:sz w:val="20"/>
                <w:szCs w:val="20"/>
              </w:rPr>
              <w:t>miRNAs involved</w:t>
            </w:r>
          </w:p>
        </w:tc>
        <w:tc>
          <w:tcPr>
            <w:tcW w:w="2520" w:type="dxa"/>
          </w:tcPr>
          <w:p w:rsidR="00B834CB" w:rsidRPr="009E5638" w:rsidRDefault="00B834CB" w:rsidP="008B1EBA">
            <w:pPr>
              <w:spacing w:before="120" w:after="120"/>
              <w:rPr>
                <w:b/>
                <w:sz w:val="20"/>
                <w:szCs w:val="20"/>
              </w:rPr>
            </w:pPr>
            <w:r w:rsidRPr="009E5638">
              <w:rPr>
                <w:b/>
                <w:sz w:val="20"/>
                <w:szCs w:val="20"/>
              </w:rPr>
              <w:t xml:space="preserve">Methods </w:t>
            </w:r>
          </w:p>
        </w:tc>
        <w:tc>
          <w:tcPr>
            <w:tcW w:w="2438" w:type="dxa"/>
          </w:tcPr>
          <w:p w:rsidR="00B834CB" w:rsidRPr="009E5638" w:rsidRDefault="00B834CB" w:rsidP="008B1EBA">
            <w:pPr>
              <w:spacing w:before="120" w:after="120"/>
              <w:rPr>
                <w:b/>
                <w:sz w:val="20"/>
                <w:szCs w:val="20"/>
              </w:rPr>
            </w:pPr>
            <w:r w:rsidRPr="009E5638">
              <w:rPr>
                <w:b/>
                <w:sz w:val="20"/>
                <w:szCs w:val="20"/>
              </w:rPr>
              <w:t xml:space="preserve">Results </w:t>
            </w:r>
          </w:p>
        </w:tc>
        <w:tc>
          <w:tcPr>
            <w:tcW w:w="2170" w:type="dxa"/>
            <w:shd w:val="clear" w:color="auto" w:fill="auto"/>
          </w:tcPr>
          <w:p w:rsidR="00B834CB" w:rsidRPr="009E5638" w:rsidRDefault="00B834CB" w:rsidP="008B1EBA">
            <w:pPr>
              <w:spacing w:before="120" w:after="120"/>
              <w:rPr>
                <w:b/>
                <w:sz w:val="20"/>
                <w:szCs w:val="20"/>
              </w:rPr>
            </w:pPr>
            <w:r w:rsidRPr="009E5638">
              <w:rPr>
                <w:b/>
                <w:sz w:val="20"/>
                <w:szCs w:val="20"/>
              </w:rPr>
              <w:t>comments</w:t>
            </w:r>
          </w:p>
        </w:tc>
      </w:tr>
      <w:tr w:rsidR="00B834CB" w:rsidRPr="009E5638" w:rsidTr="008B1EBA">
        <w:tc>
          <w:tcPr>
            <w:tcW w:w="2179" w:type="dxa"/>
            <w:shd w:val="clear" w:color="auto" w:fill="auto"/>
          </w:tcPr>
          <w:p w:rsidR="00B834CB" w:rsidRPr="009E5638" w:rsidRDefault="00B834CB" w:rsidP="008B1EBA">
            <w:pPr>
              <w:spacing w:before="120"/>
              <w:rPr>
                <w:sz w:val="20"/>
                <w:szCs w:val="20"/>
              </w:rPr>
            </w:pPr>
            <w:r w:rsidRPr="009E5638">
              <w:rPr>
                <w:sz w:val="20"/>
                <w:szCs w:val="20"/>
              </w:rPr>
              <w:t xml:space="preserve">Kent </w:t>
            </w:r>
            <w:r w:rsidRPr="009E5638">
              <w:rPr>
                <w:sz w:val="20"/>
                <w:szCs w:val="20"/>
                <w:lang w:val="es-ES" w:eastAsia="es-ES"/>
              </w:rPr>
              <w:t>OA</w:t>
            </w:r>
            <w:r w:rsidRPr="009E5638">
              <w:rPr>
                <w:sz w:val="20"/>
                <w:szCs w:val="20"/>
              </w:rPr>
              <w:t xml:space="preserve"> et al. 2016</w:t>
            </w:r>
          </w:p>
        </w:tc>
        <w:tc>
          <w:tcPr>
            <w:tcW w:w="2140" w:type="dxa"/>
            <w:shd w:val="clear" w:color="auto" w:fill="auto"/>
          </w:tcPr>
          <w:p w:rsidR="00B834CB" w:rsidRPr="009E5638" w:rsidRDefault="00B834CB" w:rsidP="008B1EBA">
            <w:pPr>
              <w:spacing w:before="120"/>
              <w:rPr>
                <w:sz w:val="20"/>
                <w:szCs w:val="20"/>
              </w:rPr>
            </w:pPr>
            <w:r w:rsidRPr="009E5638">
              <w:rPr>
                <w:sz w:val="20"/>
                <w:szCs w:val="20"/>
              </w:rPr>
              <w:t>Pancreatic and colorectal  Cancer</w:t>
            </w:r>
          </w:p>
        </w:tc>
        <w:tc>
          <w:tcPr>
            <w:tcW w:w="1729" w:type="dxa"/>
            <w:shd w:val="clear" w:color="auto" w:fill="auto"/>
          </w:tcPr>
          <w:p w:rsidR="00B834CB" w:rsidRPr="009E5638" w:rsidRDefault="00B834CB" w:rsidP="008B1EBA">
            <w:pPr>
              <w:spacing w:before="120"/>
              <w:rPr>
                <w:sz w:val="20"/>
                <w:szCs w:val="20"/>
              </w:rPr>
            </w:pPr>
            <w:r w:rsidRPr="009E5638">
              <w:rPr>
                <w:sz w:val="20"/>
                <w:szCs w:val="20"/>
              </w:rPr>
              <w:t xml:space="preserve">miR-31 plus  </w:t>
            </w:r>
            <w:r w:rsidRPr="009E5638">
              <w:rPr>
                <w:rFonts w:eastAsia="Times New Roman"/>
                <w:color w:val="auto"/>
                <w:sz w:val="20"/>
                <w:szCs w:val="20"/>
              </w:rPr>
              <w:t xml:space="preserve"> KRAS mutations</w:t>
            </w:r>
          </w:p>
        </w:tc>
        <w:tc>
          <w:tcPr>
            <w:tcW w:w="2520" w:type="dxa"/>
          </w:tcPr>
          <w:p w:rsidR="00B834CB" w:rsidRPr="009E5638" w:rsidRDefault="00B834CB" w:rsidP="008B1EBA">
            <w:pPr>
              <w:spacing w:before="120"/>
              <w:rPr>
                <w:sz w:val="20"/>
                <w:szCs w:val="20"/>
              </w:rPr>
            </w:pPr>
            <w:r w:rsidRPr="009E5638">
              <w:rPr>
                <w:rFonts w:eastAsia="Times New Roman"/>
                <w:color w:val="auto"/>
                <w:sz w:val="20"/>
                <w:szCs w:val="20"/>
              </w:rPr>
              <w:t xml:space="preserve">In patient derived xenografts and a panel of pancreatic and colorectal cancer cells,  miR-31 promoter in a MAPK-dependent manner  </w:t>
            </w:r>
          </w:p>
        </w:tc>
        <w:tc>
          <w:tcPr>
            <w:tcW w:w="2438" w:type="dxa"/>
          </w:tcPr>
          <w:p w:rsidR="00B834CB" w:rsidRPr="009E5638" w:rsidRDefault="00B834CB" w:rsidP="008B1EBA">
            <w:pPr>
              <w:spacing w:before="120"/>
              <w:rPr>
                <w:sz w:val="20"/>
                <w:szCs w:val="20"/>
                <w:u w:val="single"/>
              </w:rPr>
            </w:pPr>
            <w:r w:rsidRPr="009E5638">
              <w:rPr>
                <w:rFonts w:eastAsia="Times New Roman"/>
                <w:color w:val="auto"/>
                <w:sz w:val="20"/>
                <w:szCs w:val="20"/>
              </w:rPr>
              <w:t>Invasion and migration of multiple pancreatic cancer cells</w:t>
            </w:r>
          </w:p>
        </w:tc>
        <w:tc>
          <w:tcPr>
            <w:tcW w:w="2170" w:type="dxa"/>
            <w:shd w:val="clear" w:color="auto" w:fill="auto"/>
          </w:tcPr>
          <w:p w:rsidR="00B834CB" w:rsidRPr="009E5638" w:rsidRDefault="00B834CB" w:rsidP="008B1EBA">
            <w:pPr>
              <w:numPr>
                <w:ilvl w:val="0"/>
                <w:numId w:val="1"/>
              </w:numPr>
              <w:spacing w:before="120"/>
              <w:rPr>
                <w:sz w:val="20"/>
                <w:szCs w:val="20"/>
              </w:rPr>
            </w:pPr>
            <w:r w:rsidRPr="009E5638">
              <w:rPr>
                <w:i/>
                <w:sz w:val="20"/>
                <w:szCs w:val="20"/>
              </w:rPr>
              <w:t>In vitro</w:t>
            </w:r>
            <w:r w:rsidRPr="009E5638">
              <w:rPr>
                <w:sz w:val="20"/>
                <w:szCs w:val="20"/>
              </w:rPr>
              <w:t xml:space="preserve"> study </w:t>
            </w:r>
          </w:p>
          <w:p w:rsidR="00B834CB" w:rsidRPr="009E5638" w:rsidRDefault="00B834CB" w:rsidP="008B1EBA">
            <w:pPr>
              <w:numPr>
                <w:ilvl w:val="0"/>
                <w:numId w:val="1"/>
              </w:numPr>
              <w:spacing w:before="120"/>
              <w:rPr>
                <w:sz w:val="20"/>
                <w:szCs w:val="20"/>
              </w:rPr>
            </w:pPr>
            <w:r w:rsidRPr="009E5638">
              <w:rPr>
                <w:sz w:val="20"/>
                <w:szCs w:val="20"/>
              </w:rPr>
              <w:t>Mechanism study without comparison</w:t>
            </w:r>
          </w:p>
        </w:tc>
      </w:tr>
      <w:tr w:rsidR="00B834CB" w:rsidRPr="009E5638" w:rsidTr="008B1EBA">
        <w:tc>
          <w:tcPr>
            <w:tcW w:w="2179" w:type="dxa"/>
            <w:shd w:val="clear" w:color="auto" w:fill="auto"/>
          </w:tcPr>
          <w:p w:rsidR="00B834CB" w:rsidRPr="009E5638" w:rsidRDefault="00B834CB" w:rsidP="008B1EBA">
            <w:pPr>
              <w:spacing w:before="120"/>
              <w:rPr>
                <w:sz w:val="20"/>
                <w:szCs w:val="20"/>
              </w:rPr>
            </w:pPr>
            <w:r w:rsidRPr="009E5638">
              <w:rPr>
                <w:sz w:val="20"/>
                <w:szCs w:val="20"/>
              </w:rPr>
              <w:t>Hung  KF et al 2016</w:t>
            </w:r>
          </w:p>
        </w:tc>
        <w:tc>
          <w:tcPr>
            <w:tcW w:w="2140" w:type="dxa"/>
            <w:shd w:val="clear" w:color="auto" w:fill="auto"/>
          </w:tcPr>
          <w:p w:rsidR="00B834CB" w:rsidRPr="009E5638" w:rsidRDefault="00B834CB" w:rsidP="008B1EBA">
            <w:pPr>
              <w:spacing w:before="120"/>
              <w:rPr>
                <w:sz w:val="20"/>
                <w:szCs w:val="20"/>
              </w:rPr>
            </w:pPr>
            <w:r w:rsidRPr="009E5638">
              <w:rPr>
                <w:sz w:val="20"/>
                <w:szCs w:val="20"/>
              </w:rPr>
              <w:t>Oral potential malignancies (</w:t>
            </w:r>
            <w:r w:rsidRPr="009E5638">
              <w:rPr>
                <w:rFonts w:eastAsia="Times New Roman"/>
                <w:color w:val="auto"/>
                <w:sz w:val="20"/>
                <w:szCs w:val="20"/>
              </w:rPr>
              <w:t xml:space="preserve"> OPMD)</w:t>
            </w:r>
          </w:p>
          <w:p w:rsidR="00B834CB" w:rsidRPr="009E5638" w:rsidRDefault="00B834CB" w:rsidP="008B1EBA">
            <w:pPr>
              <w:spacing w:before="120"/>
              <w:rPr>
                <w:sz w:val="20"/>
                <w:szCs w:val="20"/>
              </w:rPr>
            </w:pPr>
          </w:p>
        </w:tc>
        <w:tc>
          <w:tcPr>
            <w:tcW w:w="1729" w:type="dxa"/>
            <w:shd w:val="clear" w:color="auto" w:fill="auto"/>
          </w:tcPr>
          <w:p w:rsidR="00B834CB" w:rsidRPr="009E5638" w:rsidRDefault="00B834CB" w:rsidP="008B1EBA">
            <w:pPr>
              <w:spacing w:before="120"/>
              <w:rPr>
                <w:sz w:val="20"/>
                <w:szCs w:val="20"/>
              </w:rPr>
            </w:pPr>
            <w:r w:rsidRPr="009E5638">
              <w:rPr>
                <w:sz w:val="20"/>
                <w:szCs w:val="20"/>
              </w:rPr>
              <w:t>miR-31</w:t>
            </w:r>
          </w:p>
          <w:p w:rsidR="00B834CB" w:rsidRPr="009E5638" w:rsidRDefault="00B834CB" w:rsidP="008B1EBA">
            <w:pPr>
              <w:spacing w:before="120"/>
              <w:rPr>
                <w:sz w:val="20"/>
                <w:szCs w:val="20"/>
              </w:rPr>
            </w:pPr>
            <w:r w:rsidRPr="009E5638">
              <w:rPr>
                <w:sz w:val="20"/>
                <w:szCs w:val="20"/>
              </w:rPr>
              <w:t>upregulation</w:t>
            </w:r>
          </w:p>
        </w:tc>
        <w:tc>
          <w:tcPr>
            <w:tcW w:w="2520" w:type="dxa"/>
          </w:tcPr>
          <w:p w:rsidR="00B834CB" w:rsidRPr="009E5638" w:rsidRDefault="00B834CB" w:rsidP="008B1EBA">
            <w:pPr>
              <w:spacing w:before="120"/>
              <w:rPr>
                <w:sz w:val="20"/>
                <w:szCs w:val="20"/>
              </w:rPr>
            </w:pPr>
            <w:r w:rsidRPr="009E5638">
              <w:rPr>
                <w:rFonts w:eastAsia="Times New Roman"/>
                <w:color w:val="auto"/>
                <w:sz w:val="20"/>
                <w:szCs w:val="20"/>
              </w:rPr>
              <w:t>Saliva samples and tissue samples from  OPMD patients followed 820days</w:t>
            </w:r>
          </w:p>
        </w:tc>
        <w:tc>
          <w:tcPr>
            <w:tcW w:w="2438" w:type="dxa"/>
          </w:tcPr>
          <w:p w:rsidR="00B834CB" w:rsidRPr="009E5638" w:rsidRDefault="00B834CB" w:rsidP="008B1EBA">
            <w:pPr>
              <w:spacing w:before="120"/>
              <w:rPr>
                <w:sz w:val="20"/>
                <w:szCs w:val="20"/>
              </w:rPr>
            </w:pPr>
            <w:r w:rsidRPr="009E5638">
              <w:rPr>
                <w:rFonts w:eastAsia="Times New Roman"/>
                <w:color w:val="auto"/>
                <w:sz w:val="20"/>
                <w:szCs w:val="20"/>
              </w:rPr>
              <w:t xml:space="preserve">Malignant transformation </w:t>
            </w:r>
            <w:r w:rsidRPr="009E5638">
              <w:rPr>
                <w:rFonts w:eastAsia="Times New Roman"/>
                <w:color w:val="auto"/>
                <w:sz w:val="20"/>
                <w:szCs w:val="20"/>
              </w:rPr>
              <w:sym w:font="Wingdings" w:char="F0E0"/>
            </w:r>
            <w:r w:rsidRPr="009E5638">
              <w:rPr>
                <w:rFonts w:eastAsia="Times New Roman"/>
                <w:color w:val="auto"/>
                <w:sz w:val="20"/>
                <w:szCs w:val="20"/>
              </w:rPr>
              <w:t xml:space="preserve"> increased expression of miR-31</w:t>
            </w:r>
          </w:p>
        </w:tc>
        <w:tc>
          <w:tcPr>
            <w:tcW w:w="2170" w:type="dxa"/>
            <w:shd w:val="clear" w:color="auto" w:fill="auto"/>
          </w:tcPr>
          <w:p w:rsidR="00B834CB" w:rsidRPr="009E5638" w:rsidRDefault="00B834CB" w:rsidP="008B1EBA">
            <w:pPr>
              <w:numPr>
                <w:ilvl w:val="0"/>
                <w:numId w:val="2"/>
              </w:numPr>
              <w:spacing w:before="120"/>
              <w:rPr>
                <w:sz w:val="20"/>
                <w:szCs w:val="20"/>
              </w:rPr>
            </w:pPr>
            <w:r w:rsidRPr="009E5638">
              <w:rPr>
                <w:sz w:val="20"/>
                <w:szCs w:val="20"/>
              </w:rPr>
              <w:t>Human, longitudinal study</w:t>
            </w:r>
          </w:p>
          <w:p w:rsidR="00B834CB" w:rsidRPr="009E5638" w:rsidRDefault="00B834CB" w:rsidP="008B1EBA">
            <w:pPr>
              <w:numPr>
                <w:ilvl w:val="0"/>
                <w:numId w:val="2"/>
              </w:numPr>
              <w:spacing w:before="120"/>
              <w:rPr>
                <w:sz w:val="20"/>
                <w:szCs w:val="20"/>
              </w:rPr>
            </w:pPr>
            <w:r w:rsidRPr="009E5638">
              <w:rPr>
                <w:sz w:val="20"/>
                <w:szCs w:val="20"/>
              </w:rPr>
              <w:t>Potential causal</w:t>
            </w:r>
          </w:p>
          <w:p w:rsidR="00B834CB" w:rsidRPr="009E5638" w:rsidRDefault="00B834CB" w:rsidP="008B1EBA">
            <w:pPr>
              <w:numPr>
                <w:ilvl w:val="0"/>
                <w:numId w:val="2"/>
              </w:numPr>
              <w:spacing w:before="120" w:after="120"/>
              <w:rPr>
                <w:sz w:val="20"/>
                <w:szCs w:val="20"/>
              </w:rPr>
            </w:pPr>
            <w:r w:rsidRPr="009E5638">
              <w:rPr>
                <w:sz w:val="20"/>
                <w:szCs w:val="20"/>
              </w:rPr>
              <w:t xml:space="preserve">miR-31 is the cause or just a mechanism? </w:t>
            </w:r>
          </w:p>
        </w:tc>
      </w:tr>
      <w:tr w:rsidR="00B834CB" w:rsidRPr="009E5638" w:rsidTr="008B1EBA">
        <w:tc>
          <w:tcPr>
            <w:tcW w:w="2179" w:type="dxa"/>
            <w:shd w:val="clear" w:color="auto" w:fill="auto"/>
          </w:tcPr>
          <w:p w:rsidR="00B834CB" w:rsidRPr="009E5638" w:rsidRDefault="00B834CB" w:rsidP="008B1EBA">
            <w:pPr>
              <w:spacing w:before="120"/>
              <w:rPr>
                <w:sz w:val="20"/>
                <w:szCs w:val="20"/>
              </w:rPr>
            </w:pPr>
          </w:p>
          <w:p w:rsidR="00B834CB" w:rsidRPr="009E5638" w:rsidRDefault="00B834CB" w:rsidP="008B1EBA">
            <w:pPr>
              <w:spacing w:before="120"/>
              <w:rPr>
                <w:sz w:val="20"/>
                <w:szCs w:val="20"/>
              </w:rPr>
            </w:pPr>
            <w:r w:rsidRPr="009E5638">
              <w:rPr>
                <w:sz w:val="20"/>
                <w:szCs w:val="20"/>
              </w:rPr>
              <w:t>Sun Y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Esophageal Cancer</w:t>
            </w:r>
          </w:p>
          <w:p w:rsidR="00B834CB" w:rsidRPr="009E5638" w:rsidRDefault="00B834CB" w:rsidP="008B1EBA">
            <w:pPr>
              <w:spacing w:before="120"/>
              <w:rPr>
                <w:sz w:val="20"/>
                <w:szCs w:val="20"/>
              </w:rPr>
            </w:pPr>
          </w:p>
        </w:tc>
        <w:tc>
          <w:tcPr>
            <w:tcW w:w="1729" w:type="dxa"/>
            <w:shd w:val="clear" w:color="auto" w:fill="auto"/>
          </w:tcPr>
          <w:p w:rsidR="00B834CB" w:rsidRPr="009E5638" w:rsidRDefault="00B834CB" w:rsidP="008B1EBA">
            <w:pPr>
              <w:spacing w:before="120"/>
              <w:rPr>
                <w:sz w:val="20"/>
                <w:szCs w:val="20"/>
              </w:rPr>
            </w:pPr>
            <w:r w:rsidRPr="009E5638">
              <w:rPr>
                <w:rFonts w:eastAsia="Times New Roman"/>
                <w:color w:val="auto"/>
                <w:sz w:val="20"/>
                <w:szCs w:val="20"/>
              </w:rPr>
              <w:t>miR-204</w:t>
            </w:r>
          </w:p>
        </w:tc>
        <w:tc>
          <w:tcPr>
            <w:tcW w:w="2520" w:type="dxa"/>
          </w:tcPr>
          <w:p w:rsidR="00B834CB" w:rsidRPr="009E5638" w:rsidRDefault="00B834CB" w:rsidP="008B1EBA">
            <w:pPr>
              <w:spacing w:before="120"/>
              <w:rPr>
                <w:sz w:val="20"/>
                <w:szCs w:val="20"/>
              </w:rPr>
            </w:pPr>
            <w:r w:rsidRPr="009E5638">
              <w:rPr>
                <w:sz w:val="20"/>
                <w:szCs w:val="20"/>
                <w:lang w:val="en"/>
              </w:rPr>
              <w:t>Expression level of miR-204 in primary EC cases and cell lines by quantitative Real-Time PCR</w:t>
            </w:r>
          </w:p>
        </w:tc>
        <w:tc>
          <w:tcPr>
            <w:tcW w:w="2438" w:type="dxa"/>
          </w:tcPr>
          <w:p w:rsidR="00B834CB" w:rsidRPr="009E5638" w:rsidRDefault="00B834CB" w:rsidP="008B1EBA">
            <w:pPr>
              <w:spacing w:before="120"/>
              <w:rPr>
                <w:sz w:val="20"/>
                <w:szCs w:val="20"/>
              </w:rPr>
            </w:pPr>
            <w:r w:rsidRPr="009E5638">
              <w:rPr>
                <w:rFonts w:eastAsia="Times New Roman"/>
                <w:color w:val="auto"/>
                <w:sz w:val="20"/>
                <w:szCs w:val="20"/>
              </w:rPr>
              <w:t>miR-204 inhibited epithelial-mesenchymal transition</w:t>
            </w:r>
            <w:r w:rsidRPr="009E5638">
              <w:rPr>
                <w:rFonts w:eastAsia="Times New Roman"/>
                <w:color w:val="auto"/>
                <w:sz w:val="20"/>
                <w:szCs w:val="20"/>
              </w:rPr>
              <w:sym w:font="Wingdings" w:char="F0E0"/>
            </w:r>
            <w:r w:rsidRPr="009E5638">
              <w:rPr>
                <w:rFonts w:eastAsia="Times New Roman"/>
                <w:color w:val="auto"/>
                <w:sz w:val="20"/>
                <w:szCs w:val="20"/>
                <w:u w:val="single"/>
              </w:rPr>
              <w:t>cancer down regulation</w:t>
            </w:r>
          </w:p>
        </w:tc>
        <w:tc>
          <w:tcPr>
            <w:tcW w:w="2170" w:type="dxa"/>
            <w:shd w:val="clear" w:color="auto" w:fill="auto"/>
          </w:tcPr>
          <w:p w:rsidR="00B834CB" w:rsidRPr="009E5638" w:rsidRDefault="00B834CB" w:rsidP="008B1EBA">
            <w:pPr>
              <w:numPr>
                <w:ilvl w:val="0"/>
                <w:numId w:val="3"/>
              </w:numPr>
              <w:spacing w:before="120"/>
              <w:rPr>
                <w:sz w:val="20"/>
                <w:szCs w:val="20"/>
              </w:rPr>
            </w:pPr>
            <w:r w:rsidRPr="009E5638">
              <w:rPr>
                <w:i/>
                <w:sz w:val="20"/>
                <w:szCs w:val="20"/>
              </w:rPr>
              <w:t xml:space="preserve">In vitro </w:t>
            </w:r>
            <w:r w:rsidRPr="009E5638">
              <w:rPr>
                <w:sz w:val="20"/>
                <w:szCs w:val="20"/>
              </w:rPr>
              <w:t xml:space="preserve">study </w:t>
            </w:r>
          </w:p>
          <w:p w:rsidR="00B834CB" w:rsidRPr="009E5638" w:rsidRDefault="00B834CB" w:rsidP="008B1EBA">
            <w:pPr>
              <w:numPr>
                <w:ilvl w:val="0"/>
                <w:numId w:val="3"/>
              </w:numPr>
              <w:spacing w:before="120"/>
              <w:rPr>
                <w:sz w:val="20"/>
                <w:szCs w:val="20"/>
              </w:rPr>
            </w:pPr>
            <w:r w:rsidRPr="009E5638">
              <w:rPr>
                <w:sz w:val="20"/>
                <w:szCs w:val="20"/>
              </w:rPr>
              <w:t>No causal inference</w:t>
            </w:r>
          </w:p>
          <w:p w:rsidR="00B834CB" w:rsidRPr="009E5638" w:rsidRDefault="00B834CB" w:rsidP="008B1EBA">
            <w:pPr>
              <w:spacing w:before="120"/>
              <w:ind w:left="360"/>
              <w:rPr>
                <w:sz w:val="20"/>
                <w:szCs w:val="20"/>
              </w:rPr>
            </w:pPr>
          </w:p>
        </w:tc>
      </w:tr>
      <w:tr w:rsidR="00B834CB" w:rsidRPr="009E5638" w:rsidTr="008B1EBA">
        <w:tc>
          <w:tcPr>
            <w:tcW w:w="2179" w:type="dxa"/>
            <w:shd w:val="clear" w:color="auto" w:fill="auto"/>
          </w:tcPr>
          <w:p w:rsidR="00B834CB" w:rsidRPr="009E5638" w:rsidRDefault="00B834CB" w:rsidP="008B1EBA">
            <w:pPr>
              <w:spacing w:before="120"/>
              <w:rPr>
                <w:sz w:val="20"/>
                <w:szCs w:val="20"/>
              </w:rPr>
            </w:pPr>
            <w:r w:rsidRPr="009E5638">
              <w:rPr>
                <w:sz w:val="20"/>
                <w:szCs w:val="20"/>
              </w:rPr>
              <w:t>Shi W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Oral squamous cell carcinoma</w:t>
            </w:r>
          </w:p>
        </w:tc>
        <w:tc>
          <w:tcPr>
            <w:tcW w:w="1729" w:type="dxa"/>
            <w:shd w:val="clear" w:color="auto" w:fill="auto"/>
          </w:tcPr>
          <w:p w:rsidR="00B834CB" w:rsidRPr="009E5638" w:rsidRDefault="00B834CB" w:rsidP="008B1EBA">
            <w:pPr>
              <w:rPr>
                <w:sz w:val="20"/>
                <w:szCs w:val="20"/>
              </w:rPr>
            </w:pPr>
            <w:r w:rsidRPr="009E5638">
              <w:rPr>
                <w:sz w:val="20"/>
                <w:szCs w:val="20"/>
              </w:rPr>
              <w:t>miR-375</w:t>
            </w:r>
          </w:p>
        </w:tc>
        <w:tc>
          <w:tcPr>
            <w:tcW w:w="2520" w:type="dxa"/>
          </w:tcPr>
          <w:p w:rsidR="00B834CB" w:rsidRPr="009E5638" w:rsidRDefault="00B834CB" w:rsidP="008B1EBA">
            <w:pPr>
              <w:spacing w:before="120"/>
              <w:rPr>
                <w:sz w:val="20"/>
                <w:szCs w:val="20"/>
              </w:rPr>
            </w:pPr>
            <w:r w:rsidRPr="009E5638">
              <w:rPr>
                <w:rFonts w:eastAsia="Times New Roman"/>
                <w:color w:val="auto"/>
                <w:sz w:val="20"/>
                <w:szCs w:val="20"/>
              </w:rPr>
              <w:t>MicroRNA and mRNA profiling in oral lichen planus (OLP), oral squamous cell carcinoma (OSCC), and normal tissue from the same patients.</w:t>
            </w:r>
          </w:p>
        </w:tc>
        <w:tc>
          <w:tcPr>
            <w:tcW w:w="2438" w:type="dxa"/>
          </w:tcPr>
          <w:p w:rsidR="00B834CB" w:rsidRPr="009E5638" w:rsidRDefault="00B834CB" w:rsidP="00B834CB">
            <w:pPr>
              <w:numPr>
                <w:ilvl w:val="0"/>
                <w:numId w:val="12"/>
              </w:numPr>
              <w:spacing w:before="120"/>
              <w:rPr>
                <w:sz w:val="20"/>
                <w:szCs w:val="20"/>
              </w:rPr>
            </w:pPr>
            <w:r w:rsidRPr="009E5638">
              <w:rPr>
                <w:rFonts w:eastAsia="Times New Roman"/>
                <w:color w:val="auto"/>
                <w:sz w:val="20"/>
                <w:szCs w:val="20"/>
              </w:rPr>
              <w:t>miR-375 decreased in tissues with malignant transformation</w:t>
            </w:r>
          </w:p>
          <w:p w:rsidR="00B834CB" w:rsidRPr="009E5638" w:rsidRDefault="00B834CB" w:rsidP="00B834CB">
            <w:pPr>
              <w:numPr>
                <w:ilvl w:val="0"/>
                <w:numId w:val="12"/>
              </w:numPr>
              <w:spacing w:before="120"/>
              <w:rPr>
                <w:sz w:val="20"/>
                <w:szCs w:val="20"/>
              </w:rPr>
            </w:pPr>
            <w:r w:rsidRPr="009E5638">
              <w:rPr>
                <w:rFonts w:eastAsia="Times New Roman"/>
                <w:color w:val="auto"/>
                <w:sz w:val="20"/>
                <w:szCs w:val="20"/>
              </w:rPr>
              <w:t>miR-375 may be oncosuppressors.</w:t>
            </w:r>
          </w:p>
        </w:tc>
        <w:tc>
          <w:tcPr>
            <w:tcW w:w="2170" w:type="dxa"/>
            <w:shd w:val="clear" w:color="auto" w:fill="auto"/>
          </w:tcPr>
          <w:p w:rsidR="00B834CB" w:rsidRPr="009E5638" w:rsidRDefault="00B834CB" w:rsidP="008B1EBA">
            <w:pPr>
              <w:numPr>
                <w:ilvl w:val="0"/>
                <w:numId w:val="4"/>
              </w:numPr>
              <w:spacing w:before="120"/>
              <w:rPr>
                <w:sz w:val="20"/>
                <w:szCs w:val="20"/>
              </w:rPr>
            </w:pPr>
            <w:r w:rsidRPr="009E5638">
              <w:rPr>
                <w:i/>
                <w:sz w:val="20"/>
                <w:szCs w:val="20"/>
              </w:rPr>
              <w:t>In vitro</w:t>
            </w:r>
            <w:r w:rsidRPr="009E5638">
              <w:rPr>
                <w:sz w:val="20"/>
                <w:szCs w:val="20"/>
              </w:rPr>
              <w:t xml:space="preserve"> study </w:t>
            </w:r>
          </w:p>
          <w:p w:rsidR="00B834CB" w:rsidRPr="009E5638" w:rsidRDefault="00B834CB" w:rsidP="008B1EBA">
            <w:pPr>
              <w:numPr>
                <w:ilvl w:val="0"/>
                <w:numId w:val="4"/>
              </w:numPr>
              <w:spacing w:before="120"/>
              <w:rPr>
                <w:sz w:val="20"/>
                <w:szCs w:val="20"/>
              </w:rPr>
            </w:pPr>
            <w:r w:rsidRPr="009E5638">
              <w:rPr>
                <w:sz w:val="20"/>
                <w:szCs w:val="20"/>
              </w:rPr>
              <w:t>No causal inference</w:t>
            </w:r>
          </w:p>
          <w:p w:rsidR="00B834CB" w:rsidRPr="009E5638" w:rsidRDefault="00B834CB" w:rsidP="008B1EBA">
            <w:pPr>
              <w:spacing w:before="120"/>
              <w:rPr>
                <w:sz w:val="20"/>
                <w:szCs w:val="20"/>
              </w:rPr>
            </w:pPr>
          </w:p>
        </w:tc>
      </w:tr>
      <w:tr w:rsidR="00B834CB" w:rsidRPr="009E5638" w:rsidTr="008B1EBA">
        <w:tc>
          <w:tcPr>
            <w:tcW w:w="2179" w:type="dxa"/>
            <w:shd w:val="clear" w:color="auto" w:fill="auto"/>
          </w:tcPr>
          <w:p w:rsidR="00B834CB" w:rsidRPr="009E5638" w:rsidRDefault="00B834CB" w:rsidP="008B1EBA">
            <w:pPr>
              <w:spacing w:before="120"/>
              <w:rPr>
                <w:sz w:val="20"/>
                <w:szCs w:val="20"/>
              </w:rPr>
            </w:pPr>
            <w:r w:rsidRPr="009E5638">
              <w:rPr>
                <w:sz w:val="20"/>
                <w:szCs w:val="20"/>
              </w:rPr>
              <w:t>Lerner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Head and neck squamous cell carcinoma</w:t>
            </w:r>
          </w:p>
        </w:tc>
        <w:tc>
          <w:tcPr>
            <w:tcW w:w="1729" w:type="dxa"/>
            <w:shd w:val="clear" w:color="auto" w:fill="auto"/>
          </w:tcPr>
          <w:p w:rsidR="00B834CB" w:rsidRPr="009E5638" w:rsidRDefault="00B834CB" w:rsidP="008B1EBA">
            <w:pPr>
              <w:spacing w:before="120"/>
              <w:rPr>
                <w:sz w:val="20"/>
                <w:szCs w:val="20"/>
              </w:rPr>
            </w:pPr>
            <w:r w:rsidRPr="009E5638">
              <w:rPr>
                <w:rFonts w:eastAsia="Times New Roman"/>
                <w:color w:val="auto"/>
                <w:sz w:val="20"/>
                <w:szCs w:val="20"/>
              </w:rPr>
              <w:t>miR-146a  &amp;  miR-155</w:t>
            </w:r>
          </w:p>
        </w:tc>
        <w:tc>
          <w:tcPr>
            <w:tcW w:w="2520"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HNSCC patients (N=12) and sex- and age-matched controls (N=12)</w:t>
            </w:r>
          </w:p>
        </w:tc>
        <w:tc>
          <w:tcPr>
            <w:tcW w:w="2438" w:type="dxa"/>
          </w:tcPr>
          <w:p w:rsidR="00B834CB" w:rsidRPr="009E5638" w:rsidRDefault="00B834CB" w:rsidP="00B834CB">
            <w:pPr>
              <w:numPr>
                <w:ilvl w:val="0"/>
                <w:numId w:val="10"/>
              </w:numPr>
              <w:spacing w:before="120"/>
              <w:rPr>
                <w:rFonts w:eastAsia="Times New Roman"/>
                <w:color w:val="auto"/>
                <w:sz w:val="20"/>
                <w:szCs w:val="20"/>
              </w:rPr>
            </w:pPr>
            <w:r w:rsidRPr="009E5638">
              <w:rPr>
                <w:rFonts w:eastAsia="Times New Roman"/>
                <w:color w:val="auto"/>
                <w:sz w:val="20"/>
                <w:szCs w:val="20"/>
              </w:rPr>
              <w:t>No diff at baseline miR profile</w:t>
            </w:r>
          </w:p>
          <w:p w:rsidR="00B834CB" w:rsidRPr="009E5638" w:rsidRDefault="00B834CB" w:rsidP="00B834CB">
            <w:pPr>
              <w:numPr>
                <w:ilvl w:val="0"/>
                <w:numId w:val="10"/>
              </w:numPr>
              <w:spacing w:before="120"/>
              <w:rPr>
                <w:rFonts w:eastAsia="Times New Roman"/>
                <w:color w:val="auto"/>
                <w:sz w:val="20"/>
                <w:szCs w:val="20"/>
              </w:rPr>
            </w:pPr>
            <w:r w:rsidRPr="009E5638">
              <w:rPr>
                <w:rFonts w:eastAsia="Times New Roman"/>
                <w:color w:val="auto"/>
                <w:sz w:val="20"/>
                <w:szCs w:val="20"/>
              </w:rPr>
              <w:t xml:space="preserve">In patients: down-regulation of miR-146a and miR-155 </w:t>
            </w:r>
            <w:r w:rsidRPr="009E5638">
              <w:rPr>
                <w:rFonts w:eastAsia="Times New Roman"/>
                <w:color w:val="auto"/>
                <w:sz w:val="20"/>
                <w:szCs w:val="20"/>
              </w:rPr>
              <w:sym w:font="Wingdings" w:char="F0E0"/>
            </w:r>
            <w:r w:rsidRPr="009E5638">
              <w:rPr>
                <w:rFonts w:eastAsia="Times New Roman"/>
                <w:color w:val="auto"/>
                <w:sz w:val="20"/>
                <w:szCs w:val="20"/>
              </w:rPr>
              <w:t xml:space="preserve"> distant metastasis</w:t>
            </w:r>
          </w:p>
        </w:tc>
        <w:tc>
          <w:tcPr>
            <w:tcW w:w="2170" w:type="dxa"/>
            <w:shd w:val="clear" w:color="auto" w:fill="auto"/>
          </w:tcPr>
          <w:p w:rsidR="00B834CB" w:rsidRPr="009E5638" w:rsidRDefault="00B834CB" w:rsidP="00B834CB">
            <w:pPr>
              <w:numPr>
                <w:ilvl w:val="0"/>
                <w:numId w:val="11"/>
              </w:numPr>
              <w:spacing w:before="120"/>
              <w:rPr>
                <w:sz w:val="20"/>
                <w:szCs w:val="20"/>
              </w:rPr>
            </w:pPr>
            <w:r w:rsidRPr="009E5638">
              <w:rPr>
                <w:sz w:val="20"/>
                <w:szCs w:val="20"/>
              </w:rPr>
              <w:t>Human, longitudinal study</w:t>
            </w:r>
          </w:p>
          <w:p w:rsidR="00B834CB" w:rsidRPr="009E5638" w:rsidRDefault="00B834CB" w:rsidP="00B834CB">
            <w:pPr>
              <w:numPr>
                <w:ilvl w:val="0"/>
                <w:numId w:val="11"/>
              </w:numPr>
              <w:spacing w:before="120"/>
              <w:rPr>
                <w:sz w:val="20"/>
                <w:szCs w:val="20"/>
              </w:rPr>
            </w:pPr>
            <w:r w:rsidRPr="009E5638">
              <w:rPr>
                <w:sz w:val="20"/>
                <w:szCs w:val="20"/>
              </w:rPr>
              <w:t>Potentially causal</w:t>
            </w:r>
          </w:p>
          <w:p w:rsidR="00B834CB" w:rsidRPr="009E5638" w:rsidRDefault="00B834CB" w:rsidP="00B834CB">
            <w:pPr>
              <w:numPr>
                <w:ilvl w:val="0"/>
                <w:numId w:val="11"/>
              </w:numPr>
              <w:spacing w:before="120"/>
              <w:rPr>
                <w:sz w:val="20"/>
                <w:szCs w:val="20"/>
              </w:rPr>
            </w:pPr>
            <w:r w:rsidRPr="009E5638">
              <w:rPr>
                <w:rFonts w:eastAsia="Times New Roman"/>
                <w:color w:val="auto"/>
                <w:sz w:val="20"/>
                <w:szCs w:val="20"/>
              </w:rPr>
              <w:t>miR-146a and miR-155 may be oncosuppressors.</w:t>
            </w:r>
          </w:p>
          <w:p w:rsidR="00B834CB" w:rsidRPr="009E5638" w:rsidRDefault="00B834CB" w:rsidP="008B1EBA">
            <w:pPr>
              <w:spacing w:before="120"/>
              <w:rPr>
                <w:sz w:val="20"/>
                <w:szCs w:val="20"/>
              </w:rPr>
            </w:pPr>
          </w:p>
        </w:tc>
      </w:tr>
      <w:tr w:rsidR="00B834CB" w:rsidRPr="009E5638" w:rsidTr="008B1EBA">
        <w:tc>
          <w:tcPr>
            <w:tcW w:w="2179" w:type="dxa"/>
            <w:shd w:val="clear" w:color="auto" w:fill="auto"/>
          </w:tcPr>
          <w:p w:rsidR="00B834CB" w:rsidRPr="009E5638" w:rsidRDefault="00B834CB" w:rsidP="008B1EBA">
            <w:pPr>
              <w:spacing w:before="120"/>
              <w:rPr>
                <w:sz w:val="20"/>
                <w:szCs w:val="20"/>
                <w:highlight w:val="yellow"/>
              </w:rPr>
            </w:pPr>
            <w:r w:rsidRPr="009E5638">
              <w:rPr>
                <w:sz w:val="20"/>
                <w:szCs w:val="20"/>
              </w:rPr>
              <w:lastRenderedPageBreak/>
              <w:t>Shi XM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hepatocellular carcinoma</w:t>
            </w:r>
          </w:p>
        </w:tc>
        <w:tc>
          <w:tcPr>
            <w:tcW w:w="1729" w:type="dxa"/>
            <w:shd w:val="clear" w:color="auto" w:fill="auto"/>
          </w:tcPr>
          <w:p w:rsidR="00B834CB" w:rsidRPr="009E5638" w:rsidRDefault="00B834CB" w:rsidP="008B1EBA">
            <w:pPr>
              <w:spacing w:before="120"/>
              <w:rPr>
                <w:sz w:val="20"/>
                <w:szCs w:val="20"/>
              </w:rPr>
            </w:pPr>
            <w:r w:rsidRPr="009E5638">
              <w:rPr>
                <w:rFonts w:eastAsia="Times New Roman"/>
                <w:color w:val="auto"/>
                <w:sz w:val="20"/>
                <w:szCs w:val="20"/>
              </w:rPr>
              <w:t xml:space="preserve">lncRNA Sox2ot </w:t>
            </w:r>
          </w:p>
        </w:tc>
        <w:tc>
          <w:tcPr>
            <w:tcW w:w="2520"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Tumor and adjacent  non-tumor tissues</w:t>
            </w:r>
          </w:p>
        </w:tc>
        <w:tc>
          <w:tcPr>
            <w:tcW w:w="2438"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High lncRNA Sox2ot expression</w:t>
            </w:r>
            <w:r w:rsidRPr="009E5638">
              <w:rPr>
                <w:rFonts w:eastAsia="Times New Roman"/>
                <w:color w:val="auto"/>
                <w:sz w:val="20"/>
                <w:szCs w:val="20"/>
              </w:rPr>
              <w:sym w:font="Wingdings" w:char="F0E0"/>
            </w:r>
            <w:r w:rsidRPr="009E5638">
              <w:rPr>
                <w:rFonts w:eastAsia="Times New Roman"/>
                <w:color w:val="auto"/>
                <w:sz w:val="20"/>
                <w:szCs w:val="20"/>
              </w:rPr>
              <w:t xml:space="preserve"> shorter survival</w:t>
            </w:r>
          </w:p>
        </w:tc>
        <w:tc>
          <w:tcPr>
            <w:tcW w:w="2170" w:type="dxa"/>
            <w:shd w:val="clear" w:color="auto" w:fill="auto"/>
          </w:tcPr>
          <w:p w:rsidR="00B834CB" w:rsidRPr="009E5638" w:rsidRDefault="00B834CB" w:rsidP="00B834CB">
            <w:pPr>
              <w:numPr>
                <w:ilvl w:val="0"/>
                <w:numId w:val="5"/>
              </w:numPr>
              <w:spacing w:before="120"/>
              <w:rPr>
                <w:sz w:val="20"/>
                <w:szCs w:val="20"/>
              </w:rPr>
            </w:pPr>
            <w:r w:rsidRPr="009E5638">
              <w:rPr>
                <w:sz w:val="20"/>
                <w:szCs w:val="20"/>
              </w:rPr>
              <w:t>Human, longitudinal study</w:t>
            </w:r>
          </w:p>
          <w:p w:rsidR="00B834CB" w:rsidRPr="009E5638" w:rsidRDefault="00B834CB" w:rsidP="00B834CB">
            <w:pPr>
              <w:numPr>
                <w:ilvl w:val="0"/>
                <w:numId w:val="5"/>
              </w:numPr>
              <w:spacing w:before="120"/>
              <w:rPr>
                <w:sz w:val="20"/>
                <w:szCs w:val="20"/>
              </w:rPr>
            </w:pPr>
            <w:r w:rsidRPr="009E5638">
              <w:rPr>
                <w:rFonts w:eastAsia="Times New Roman"/>
                <w:color w:val="auto"/>
                <w:sz w:val="20"/>
                <w:szCs w:val="20"/>
              </w:rPr>
              <w:t>lncRNA Sox2ot expression may be oncogenic</w:t>
            </w:r>
          </w:p>
        </w:tc>
      </w:tr>
      <w:tr w:rsidR="00B834CB" w:rsidRPr="009E5638" w:rsidTr="008B1EBA">
        <w:tc>
          <w:tcPr>
            <w:tcW w:w="2179" w:type="dxa"/>
            <w:shd w:val="clear" w:color="auto" w:fill="auto"/>
          </w:tcPr>
          <w:p w:rsidR="00B834CB" w:rsidRPr="009E5638" w:rsidRDefault="00B834CB" w:rsidP="008B1EBA">
            <w:pPr>
              <w:spacing w:before="120"/>
              <w:rPr>
                <w:sz w:val="20"/>
                <w:szCs w:val="20"/>
                <w:highlight w:val="yellow"/>
              </w:rPr>
            </w:pPr>
            <w:r w:rsidRPr="009E5638">
              <w:rPr>
                <w:sz w:val="20"/>
                <w:szCs w:val="20"/>
              </w:rPr>
              <w:t>Chen X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Uterine Cervix squamous cell cancer</w:t>
            </w:r>
          </w:p>
        </w:tc>
        <w:tc>
          <w:tcPr>
            <w:tcW w:w="1729" w:type="dxa"/>
            <w:shd w:val="clear" w:color="auto" w:fill="auto"/>
          </w:tcPr>
          <w:p w:rsidR="00B834CB" w:rsidRPr="009E5638" w:rsidRDefault="00B834CB" w:rsidP="008B1EBA">
            <w:pPr>
              <w:spacing w:before="120"/>
              <w:rPr>
                <w:sz w:val="20"/>
                <w:szCs w:val="20"/>
              </w:rPr>
            </w:pPr>
            <w:r w:rsidRPr="009E5638">
              <w:rPr>
                <w:rFonts w:eastAsia="Times New Roman"/>
                <w:color w:val="auto"/>
                <w:sz w:val="20"/>
                <w:szCs w:val="20"/>
              </w:rPr>
              <w:t>lncRNA CCAT2</w:t>
            </w:r>
          </w:p>
        </w:tc>
        <w:tc>
          <w:tcPr>
            <w:tcW w:w="2520"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Cancer to the adjacent non-tumor  tissues</w:t>
            </w:r>
          </w:p>
        </w:tc>
        <w:tc>
          <w:tcPr>
            <w:tcW w:w="2438"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High expression of lncRNA CCAT2 correlated with invasiveness of tumor and poor survival</w:t>
            </w:r>
          </w:p>
        </w:tc>
        <w:tc>
          <w:tcPr>
            <w:tcW w:w="2170" w:type="dxa"/>
            <w:shd w:val="clear" w:color="auto" w:fill="auto"/>
          </w:tcPr>
          <w:p w:rsidR="00B834CB" w:rsidRPr="009E5638" w:rsidRDefault="00B834CB" w:rsidP="00B834CB">
            <w:pPr>
              <w:numPr>
                <w:ilvl w:val="0"/>
                <w:numId w:val="6"/>
              </w:numPr>
              <w:spacing w:before="120"/>
              <w:rPr>
                <w:sz w:val="20"/>
                <w:szCs w:val="20"/>
              </w:rPr>
            </w:pPr>
            <w:r w:rsidRPr="009E5638">
              <w:rPr>
                <w:sz w:val="20"/>
                <w:szCs w:val="20"/>
              </w:rPr>
              <w:t>Human, longitudinal study</w:t>
            </w:r>
          </w:p>
          <w:p w:rsidR="00B834CB" w:rsidRPr="009E5638" w:rsidRDefault="00B834CB" w:rsidP="00B834CB">
            <w:pPr>
              <w:numPr>
                <w:ilvl w:val="0"/>
                <w:numId w:val="6"/>
              </w:numPr>
              <w:spacing w:before="120"/>
              <w:rPr>
                <w:sz w:val="20"/>
                <w:szCs w:val="20"/>
              </w:rPr>
            </w:pPr>
            <w:r w:rsidRPr="009E5638">
              <w:rPr>
                <w:rFonts w:eastAsia="Times New Roman"/>
                <w:color w:val="auto"/>
                <w:sz w:val="20"/>
                <w:szCs w:val="20"/>
              </w:rPr>
              <w:t>lncRNA CCAT2 may be onco-enhancer.</w:t>
            </w:r>
          </w:p>
        </w:tc>
      </w:tr>
      <w:tr w:rsidR="00B834CB" w:rsidRPr="009E5638" w:rsidTr="008B1EBA">
        <w:tc>
          <w:tcPr>
            <w:tcW w:w="2179" w:type="dxa"/>
            <w:shd w:val="clear" w:color="auto" w:fill="auto"/>
          </w:tcPr>
          <w:p w:rsidR="00B834CB" w:rsidRPr="009E5638" w:rsidRDefault="00B834CB" w:rsidP="008B1EBA">
            <w:pPr>
              <w:spacing w:before="120"/>
              <w:rPr>
                <w:sz w:val="20"/>
                <w:szCs w:val="20"/>
              </w:rPr>
            </w:pPr>
            <w:r w:rsidRPr="009E5638">
              <w:rPr>
                <w:sz w:val="20"/>
                <w:szCs w:val="20"/>
              </w:rPr>
              <w:t>Zhang S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Oral squamous cell carcinoma</w:t>
            </w:r>
          </w:p>
        </w:tc>
        <w:tc>
          <w:tcPr>
            <w:tcW w:w="1729" w:type="dxa"/>
            <w:shd w:val="clear" w:color="auto" w:fill="auto"/>
          </w:tcPr>
          <w:p w:rsidR="00B834CB" w:rsidRPr="009E5638" w:rsidRDefault="00B834CB" w:rsidP="008B1EBA">
            <w:pPr>
              <w:spacing w:before="120"/>
              <w:rPr>
                <w:sz w:val="20"/>
                <w:szCs w:val="20"/>
              </w:rPr>
            </w:pPr>
            <w:r w:rsidRPr="009E5638">
              <w:rPr>
                <w:rFonts w:eastAsia="Times New Roman"/>
                <w:color w:val="auto"/>
                <w:sz w:val="20"/>
                <w:szCs w:val="20"/>
              </w:rPr>
              <w:t>lncRNA profile</w:t>
            </w:r>
          </w:p>
        </w:tc>
        <w:tc>
          <w:tcPr>
            <w:tcW w:w="2520"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Samples from OSCC 57 patient vs normal gene from data base (N=22)</w:t>
            </w:r>
          </w:p>
        </w:tc>
        <w:tc>
          <w:tcPr>
            <w:tcW w:w="2438"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FTH1P3, PDIA3F and GTF2IRD2P1 targeted MMP1, MMP3, MMP9, PLAU (plasminogen activator, urokinase) and IL8.</w:t>
            </w:r>
          </w:p>
        </w:tc>
        <w:tc>
          <w:tcPr>
            <w:tcW w:w="2170" w:type="dxa"/>
            <w:shd w:val="clear" w:color="auto" w:fill="auto"/>
          </w:tcPr>
          <w:p w:rsidR="00B834CB" w:rsidRPr="009E5638" w:rsidRDefault="00B834CB" w:rsidP="00B834CB">
            <w:pPr>
              <w:numPr>
                <w:ilvl w:val="0"/>
                <w:numId w:val="7"/>
              </w:numPr>
              <w:spacing w:before="120"/>
              <w:rPr>
                <w:sz w:val="20"/>
                <w:szCs w:val="20"/>
              </w:rPr>
            </w:pPr>
            <w:r w:rsidRPr="009E5638">
              <w:rPr>
                <w:sz w:val="20"/>
                <w:szCs w:val="20"/>
              </w:rPr>
              <w:t>Cross-sectional in vitro study</w:t>
            </w:r>
          </w:p>
          <w:p w:rsidR="00B834CB" w:rsidRPr="009E5638" w:rsidRDefault="00B834CB" w:rsidP="00B834CB">
            <w:pPr>
              <w:numPr>
                <w:ilvl w:val="0"/>
                <w:numId w:val="7"/>
              </w:numPr>
              <w:spacing w:before="120"/>
              <w:rPr>
                <w:sz w:val="20"/>
                <w:szCs w:val="20"/>
              </w:rPr>
            </w:pPr>
            <w:r w:rsidRPr="009E5638">
              <w:rPr>
                <w:rFonts w:eastAsia="Times New Roman"/>
                <w:color w:val="auto"/>
                <w:sz w:val="20"/>
                <w:szCs w:val="20"/>
              </w:rPr>
              <w:t>lncRNA</w:t>
            </w:r>
            <w:r w:rsidRPr="009E5638">
              <w:rPr>
                <w:sz w:val="20"/>
                <w:szCs w:val="20"/>
              </w:rPr>
              <w:t xml:space="preserve"> , the cause or just a mechanism?</w:t>
            </w:r>
          </w:p>
        </w:tc>
      </w:tr>
      <w:tr w:rsidR="00B834CB" w:rsidRPr="009E5638" w:rsidTr="008B1EBA">
        <w:tc>
          <w:tcPr>
            <w:tcW w:w="2179" w:type="dxa"/>
            <w:shd w:val="clear" w:color="auto" w:fill="auto"/>
          </w:tcPr>
          <w:p w:rsidR="00B834CB" w:rsidRPr="009E5638" w:rsidRDefault="00B834CB" w:rsidP="008B1EBA">
            <w:pPr>
              <w:spacing w:before="120"/>
              <w:rPr>
                <w:sz w:val="20"/>
                <w:szCs w:val="20"/>
              </w:rPr>
            </w:pPr>
            <w:r w:rsidRPr="009E5638">
              <w:rPr>
                <w:sz w:val="20"/>
                <w:szCs w:val="20"/>
              </w:rPr>
              <w:t>Wu J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Oral squamous cell carcinoma (OSCC)</w:t>
            </w:r>
          </w:p>
        </w:tc>
        <w:tc>
          <w:tcPr>
            <w:tcW w:w="1729" w:type="dxa"/>
            <w:shd w:val="clear" w:color="auto" w:fill="auto"/>
          </w:tcPr>
          <w:p w:rsidR="00B834CB" w:rsidRPr="009E5638" w:rsidRDefault="00B834CB" w:rsidP="008B1EBA">
            <w:pPr>
              <w:spacing w:before="120"/>
              <w:rPr>
                <w:sz w:val="20"/>
                <w:szCs w:val="20"/>
              </w:rPr>
            </w:pPr>
            <w:r w:rsidRPr="009E5638">
              <w:rPr>
                <w:rFonts w:eastAsia="Times New Roman"/>
                <w:color w:val="auto"/>
                <w:sz w:val="20"/>
                <w:szCs w:val="20"/>
              </w:rPr>
              <w:t>RNA-HOX transcript antisense intergenic RNA (HOTAIR)</w:t>
            </w:r>
          </w:p>
        </w:tc>
        <w:tc>
          <w:tcPr>
            <w:tcW w:w="2520"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surgically resected tumor tissue (N= 50) vs. paracancerous tissues</w:t>
            </w:r>
          </w:p>
        </w:tc>
        <w:tc>
          <w:tcPr>
            <w:tcW w:w="2438"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 xml:space="preserve">HOTAIR was highly expressed in OSCC tissues and facilitated the </w:t>
            </w:r>
            <w:r w:rsidRPr="009E5638">
              <w:rPr>
                <w:rFonts w:eastAsia="Times New Roman"/>
                <w:color w:val="auto"/>
                <w:sz w:val="20"/>
                <w:szCs w:val="20"/>
                <w:u w:val="single"/>
              </w:rPr>
              <w:t>growth of OSCC</w:t>
            </w:r>
            <w:r w:rsidRPr="009E5638">
              <w:rPr>
                <w:rFonts w:eastAsia="Times New Roman"/>
                <w:color w:val="auto"/>
                <w:sz w:val="20"/>
                <w:szCs w:val="20"/>
              </w:rPr>
              <w:t xml:space="preserve"> cells. </w:t>
            </w:r>
          </w:p>
        </w:tc>
        <w:tc>
          <w:tcPr>
            <w:tcW w:w="2170" w:type="dxa"/>
            <w:shd w:val="clear" w:color="auto" w:fill="auto"/>
          </w:tcPr>
          <w:p w:rsidR="00B834CB" w:rsidRPr="009E5638" w:rsidRDefault="00B834CB" w:rsidP="00B834CB">
            <w:pPr>
              <w:numPr>
                <w:ilvl w:val="0"/>
                <w:numId w:val="8"/>
              </w:numPr>
              <w:spacing w:before="120"/>
              <w:rPr>
                <w:sz w:val="20"/>
                <w:szCs w:val="20"/>
              </w:rPr>
            </w:pPr>
            <w:r w:rsidRPr="009E5638">
              <w:rPr>
                <w:rFonts w:eastAsia="Times New Roman"/>
                <w:color w:val="auto"/>
                <w:sz w:val="20"/>
                <w:szCs w:val="20"/>
              </w:rPr>
              <w:t xml:space="preserve">Blocking HOTAIR expression </w:t>
            </w:r>
            <w:r w:rsidRPr="009E5638">
              <w:rPr>
                <w:rFonts w:eastAsia="Times New Roman"/>
                <w:color w:val="auto"/>
                <w:sz w:val="20"/>
                <w:szCs w:val="20"/>
              </w:rPr>
              <w:sym w:font="Wingdings" w:char="F0E0"/>
            </w:r>
            <w:r w:rsidRPr="009E5638">
              <w:rPr>
                <w:rFonts w:eastAsia="Times New Roman"/>
                <w:color w:val="auto"/>
                <w:sz w:val="20"/>
                <w:szCs w:val="20"/>
              </w:rPr>
              <w:t>decelerated cell growth suggests potential causality.</w:t>
            </w:r>
          </w:p>
        </w:tc>
      </w:tr>
      <w:tr w:rsidR="00B834CB" w:rsidRPr="009E5638" w:rsidTr="008B1EBA">
        <w:tc>
          <w:tcPr>
            <w:tcW w:w="2179" w:type="dxa"/>
            <w:shd w:val="clear" w:color="auto" w:fill="auto"/>
          </w:tcPr>
          <w:p w:rsidR="00B834CB" w:rsidRPr="009E5638" w:rsidRDefault="00B834CB" w:rsidP="008B1EBA">
            <w:pPr>
              <w:spacing w:before="120"/>
              <w:rPr>
                <w:sz w:val="20"/>
                <w:szCs w:val="20"/>
              </w:rPr>
            </w:pPr>
            <w:r w:rsidRPr="009E5638">
              <w:rPr>
                <w:sz w:val="20"/>
                <w:szCs w:val="20"/>
              </w:rPr>
              <w:t>Wu Y et al 2015</w:t>
            </w:r>
          </w:p>
        </w:tc>
        <w:tc>
          <w:tcPr>
            <w:tcW w:w="2140" w:type="dxa"/>
            <w:shd w:val="clear" w:color="auto" w:fill="auto"/>
          </w:tcPr>
          <w:p w:rsidR="00B834CB" w:rsidRPr="009E5638" w:rsidRDefault="00B834CB" w:rsidP="008B1EBA">
            <w:pPr>
              <w:spacing w:before="120"/>
              <w:rPr>
                <w:sz w:val="20"/>
                <w:szCs w:val="20"/>
              </w:rPr>
            </w:pPr>
            <w:r w:rsidRPr="009E5638">
              <w:rPr>
                <w:sz w:val="20"/>
                <w:szCs w:val="20"/>
              </w:rPr>
              <w:t>Oral squamous cell carcinoma (OSCC)</w:t>
            </w:r>
          </w:p>
        </w:tc>
        <w:tc>
          <w:tcPr>
            <w:tcW w:w="1729" w:type="dxa"/>
            <w:shd w:val="clear" w:color="auto" w:fill="auto"/>
          </w:tcPr>
          <w:p w:rsidR="00B834CB" w:rsidRPr="009E5638" w:rsidRDefault="00B834CB" w:rsidP="008B1EBA">
            <w:pPr>
              <w:spacing w:before="120"/>
              <w:rPr>
                <w:sz w:val="20"/>
                <w:szCs w:val="20"/>
              </w:rPr>
            </w:pPr>
            <w:r w:rsidRPr="009E5638">
              <w:rPr>
                <w:rFonts w:eastAsia="Times New Roman"/>
                <w:color w:val="auto"/>
                <w:sz w:val="20"/>
                <w:szCs w:val="20"/>
              </w:rPr>
              <w:t>lncRNA HOTAIR</w:t>
            </w:r>
          </w:p>
        </w:tc>
        <w:tc>
          <w:tcPr>
            <w:tcW w:w="2520" w:type="dxa"/>
          </w:tcPr>
          <w:p w:rsidR="00B834CB" w:rsidRPr="009E5638" w:rsidRDefault="00B834CB" w:rsidP="008B1EBA">
            <w:pPr>
              <w:spacing w:before="120"/>
              <w:rPr>
                <w:rFonts w:eastAsia="Times New Roman"/>
                <w:color w:val="auto"/>
                <w:sz w:val="20"/>
                <w:szCs w:val="20"/>
              </w:rPr>
            </w:pPr>
            <w:r w:rsidRPr="009E5638">
              <w:rPr>
                <w:rFonts w:eastAsia="Times New Roman"/>
                <w:color w:val="auto"/>
                <w:sz w:val="20"/>
                <w:szCs w:val="20"/>
              </w:rPr>
              <w:t>OSCC vs.  non-tumor tissue</w:t>
            </w:r>
          </w:p>
        </w:tc>
        <w:tc>
          <w:tcPr>
            <w:tcW w:w="2438" w:type="dxa"/>
          </w:tcPr>
          <w:p w:rsidR="00B834CB" w:rsidRPr="009E5638" w:rsidRDefault="00B834CB" w:rsidP="00B834CB">
            <w:pPr>
              <w:numPr>
                <w:ilvl w:val="0"/>
                <w:numId w:val="13"/>
              </w:numPr>
              <w:spacing w:before="120"/>
              <w:rPr>
                <w:rFonts w:eastAsia="Times New Roman"/>
                <w:color w:val="auto"/>
                <w:sz w:val="20"/>
                <w:szCs w:val="20"/>
              </w:rPr>
            </w:pPr>
            <w:r>
              <w:rPr>
                <w:rFonts w:eastAsia="Times New Roman"/>
                <w:color w:val="auto"/>
                <w:sz w:val="20"/>
                <w:szCs w:val="20"/>
              </w:rPr>
              <w:t>HOTAIR expression increased in</w:t>
            </w:r>
            <w:r w:rsidRPr="009E5638">
              <w:rPr>
                <w:sz w:val="20"/>
                <w:szCs w:val="20"/>
              </w:rPr>
              <w:t xml:space="preserve"> OSCC.</w:t>
            </w:r>
          </w:p>
          <w:p w:rsidR="00B834CB" w:rsidRPr="009E5638" w:rsidRDefault="00B834CB" w:rsidP="00B834CB">
            <w:pPr>
              <w:numPr>
                <w:ilvl w:val="0"/>
                <w:numId w:val="13"/>
              </w:numPr>
              <w:spacing w:before="120"/>
              <w:rPr>
                <w:rFonts w:eastAsia="Times New Roman"/>
                <w:color w:val="auto"/>
                <w:sz w:val="20"/>
                <w:szCs w:val="20"/>
              </w:rPr>
            </w:pPr>
            <w:r w:rsidRPr="009E5638">
              <w:rPr>
                <w:sz w:val="20"/>
                <w:szCs w:val="20"/>
              </w:rPr>
              <w:t>HOTAIR</w:t>
            </w:r>
            <w:r w:rsidRPr="009E5638">
              <w:rPr>
                <w:sz w:val="20"/>
                <w:szCs w:val="20"/>
              </w:rPr>
              <w:sym w:font="Wingdings" w:char="F0E0"/>
            </w:r>
            <w:r w:rsidRPr="009E5638">
              <w:rPr>
                <w:sz w:val="20"/>
                <w:szCs w:val="20"/>
              </w:rPr>
              <w:t xml:space="preserve"> poor survival</w:t>
            </w:r>
          </w:p>
        </w:tc>
        <w:tc>
          <w:tcPr>
            <w:tcW w:w="2170" w:type="dxa"/>
            <w:shd w:val="clear" w:color="auto" w:fill="auto"/>
          </w:tcPr>
          <w:p w:rsidR="00B834CB" w:rsidRPr="009E5638" w:rsidRDefault="00B834CB" w:rsidP="00B834CB">
            <w:pPr>
              <w:numPr>
                <w:ilvl w:val="0"/>
                <w:numId w:val="9"/>
              </w:numPr>
              <w:spacing w:before="120"/>
              <w:rPr>
                <w:sz w:val="20"/>
                <w:szCs w:val="20"/>
              </w:rPr>
            </w:pPr>
            <w:r w:rsidRPr="009E5638">
              <w:rPr>
                <w:rFonts w:eastAsia="Times New Roman"/>
                <w:color w:val="auto"/>
                <w:sz w:val="20"/>
                <w:szCs w:val="20"/>
              </w:rPr>
              <w:t>Negative correlation HOTAIR and E-cadherin levels.</w:t>
            </w:r>
          </w:p>
        </w:tc>
      </w:tr>
    </w:tbl>
    <w:p w:rsidR="00B834CB" w:rsidRDefault="00B834CB" w:rsidP="00B834CB">
      <w:pPr>
        <w:spacing w:after="120"/>
        <w:rPr>
          <w:sz w:val="20"/>
          <w:szCs w:val="20"/>
        </w:rPr>
      </w:pPr>
    </w:p>
    <w:p w:rsidR="00B834CB" w:rsidRDefault="00B834CB" w:rsidP="00B834CB">
      <w:pPr>
        <w:spacing w:after="120"/>
      </w:pPr>
      <w:r>
        <w:rPr>
          <w:sz w:val="20"/>
          <w:szCs w:val="20"/>
        </w:rPr>
        <w:t>References:</w:t>
      </w:r>
    </w:p>
    <w:p w:rsidR="00B834CB" w:rsidRPr="003F243E" w:rsidRDefault="00B834CB" w:rsidP="00B834CB">
      <w:pPr>
        <w:spacing w:after="120"/>
        <w:rPr>
          <w:sz w:val="20"/>
          <w:szCs w:val="20"/>
        </w:rPr>
      </w:pPr>
      <w:r w:rsidRPr="003F243E">
        <w:rPr>
          <w:sz w:val="20"/>
          <w:szCs w:val="20"/>
        </w:rPr>
        <w:t>Chen X, Liu L, Zhu W. 2015. Up-regulation of long non-coding RNA CCAT2 correlates with tumor metastasis and poor prognosis in cervical squamous cell cancer patients. Int J Clin Exp Pathol 8(10):13261-13266.26722527</w:t>
      </w:r>
    </w:p>
    <w:p w:rsidR="00B834CB" w:rsidRPr="003F243E" w:rsidRDefault="00B834CB" w:rsidP="00B834CB">
      <w:pPr>
        <w:spacing w:after="120"/>
        <w:rPr>
          <w:sz w:val="20"/>
          <w:szCs w:val="20"/>
        </w:rPr>
      </w:pPr>
      <w:r w:rsidRPr="003F243E">
        <w:rPr>
          <w:sz w:val="20"/>
          <w:szCs w:val="20"/>
        </w:rPr>
        <w:t>Hung KF, Liu CJ, Chiu PC, Lin JS, Chang KW, Shih WY, Kao SY, Tu HF. 2016. MicroRNA-31 upregulation predicts increased risk of progression of oral potentially malignant disorder. Oral Oncol 53:42-47.26675284</w:t>
      </w:r>
    </w:p>
    <w:p w:rsidR="00B834CB" w:rsidRPr="003F243E" w:rsidRDefault="00B834CB" w:rsidP="00B834CB">
      <w:pPr>
        <w:spacing w:after="120"/>
        <w:rPr>
          <w:sz w:val="20"/>
          <w:szCs w:val="20"/>
        </w:rPr>
      </w:pPr>
      <w:r w:rsidRPr="003F243E">
        <w:rPr>
          <w:sz w:val="20"/>
          <w:szCs w:val="20"/>
        </w:rPr>
        <w:t>Kent OA, Mendell JT, Rottapel R. 2016. Transcriptional regulation of miR-31 by oncogenic KRAS mediates metastatic phenotypes by repressing RASA1. Mol Cancer Res.26747707</w:t>
      </w:r>
    </w:p>
    <w:p w:rsidR="00B834CB" w:rsidRPr="003F243E" w:rsidRDefault="00B834CB" w:rsidP="00B834CB">
      <w:pPr>
        <w:spacing w:after="120"/>
        <w:rPr>
          <w:sz w:val="20"/>
          <w:szCs w:val="20"/>
        </w:rPr>
      </w:pPr>
      <w:r w:rsidRPr="003F243E">
        <w:rPr>
          <w:sz w:val="20"/>
          <w:szCs w:val="20"/>
        </w:rPr>
        <w:lastRenderedPageBreak/>
        <w:t>Lerner C, Wemmert S, Bochen F, Kulas P, Linxweiler M, Hasenfus A, Heinzelmann J, Leidinger P, Backes C, Meese E et al. . 2015. Characterization of miR-146a and miR-155 in blood, tissue and cell lines of head and neck squamous cell carcinoma patients and their impact on cell proliferation and migration. J Cancer Res Clin Oncol.26621153</w:t>
      </w:r>
    </w:p>
    <w:p w:rsidR="00B834CB" w:rsidRPr="003F243E" w:rsidRDefault="00B834CB" w:rsidP="00B834CB">
      <w:pPr>
        <w:spacing w:after="120"/>
        <w:rPr>
          <w:sz w:val="20"/>
          <w:szCs w:val="20"/>
        </w:rPr>
      </w:pPr>
      <w:r w:rsidRPr="003F243E">
        <w:rPr>
          <w:sz w:val="20"/>
          <w:szCs w:val="20"/>
        </w:rPr>
        <w:t>Shi W, Yang J, Li S, Shan X, Liu X, Hua H, Zhao C, Feng Z, Cai Z, Zhang L et al. . 2015. Potential involvement of miR-375 in the premalignant progression of oral squamous cell carcinoma mediated via transcription factor KLF5. Oncotarget 6(37):40172-40185.26474386</w:t>
      </w:r>
    </w:p>
    <w:p w:rsidR="00B834CB" w:rsidRPr="003F243E" w:rsidRDefault="00B834CB" w:rsidP="00B834CB">
      <w:pPr>
        <w:spacing w:after="120"/>
        <w:rPr>
          <w:sz w:val="20"/>
          <w:szCs w:val="20"/>
        </w:rPr>
      </w:pPr>
      <w:r w:rsidRPr="003F243E">
        <w:rPr>
          <w:sz w:val="20"/>
          <w:szCs w:val="20"/>
        </w:rPr>
        <w:t>Shi XM, Teng F. 2015. Up-regulation of long non-coding RNA Sox2ot promotes hepatocellular carcinoma cell metastasis and correlates with poor prognosis. Int J Clin Exp Pathol 8(4):4008-4014.26097588</w:t>
      </w:r>
    </w:p>
    <w:p w:rsidR="00B834CB" w:rsidRPr="003F243E" w:rsidRDefault="00B834CB" w:rsidP="00B834CB">
      <w:pPr>
        <w:spacing w:after="120"/>
        <w:rPr>
          <w:sz w:val="20"/>
          <w:szCs w:val="20"/>
        </w:rPr>
      </w:pPr>
      <w:r w:rsidRPr="003F243E">
        <w:rPr>
          <w:sz w:val="20"/>
          <w:szCs w:val="20"/>
        </w:rPr>
        <w:t>Sun Y, Yu X, Bai Q. 2015. miR-204 inhibits invasion and epithelial-mesenchymal transition by targeting FOXM1 in esophageal cancer. Int J Clin Exp Pathol 8(10):12775-12783.26722467</w:t>
      </w:r>
    </w:p>
    <w:p w:rsidR="00B834CB" w:rsidRPr="003F243E" w:rsidRDefault="00B834CB" w:rsidP="00B834CB">
      <w:pPr>
        <w:spacing w:after="120"/>
        <w:rPr>
          <w:sz w:val="20"/>
          <w:szCs w:val="20"/>
        </w:rPr>
      </w:pPr>
      <w:r w:rsidRPr="003F243E">
        <w:rPr>
          <w:sz w:val="20"/>
          <w:szCs w:val="20"/>
        </w:rPr>
        <w:t>Wu J, Xie H. 2015. Expression of long noncoding RNA-HOX transcript antisense intergenic RNA in oral squamous cell carcinoma and effect on cell growth. Tumour Biol 36(11):8573-8578.26036760</w:t>
      </w:r>
    </w:p>
    <w:p w:rsidR="00B834CB" w:rsidRPr="003F243E" w:rsidRDefault="00B834CB" w:rsidP="00B834CB">
      <w:pPr>
        <w:spacing w:after="120"/>
        <w:rPr>
          <w:sz w:val="20"/>
          <w:szCs w:val="20"/>
        </w:rPr>
      </w:pPr>
      <w:r w:rsidRPr="003F243E">
        <w:rPr>
          <w:sz w:val="20"/>
          <w:szCs w:val="20"/>
        </w:rPr>
        <w:t>Wu Y, Zhang L, Zhang L, Wang Y, Li H, Ren X, Wei F, Yu W, Liu T, Wang X et al. . 2015. Long non-coding RNA HOTAIR promotes tumor cell invasion and metastasis by recruiting EZH2 and repressing E-cadherin in oral squamous cell carcinoma. Int J Oncol 46(6):2586-2594.25901533</w:t>
      </w:r>
    </w:p>
    <w:p w:rsidR="00B834CB" w:rsidRPr="003F243E" w:rsidRDefault="00B834CB" w:rsidP="00B834CB">
      <w:pPr>
        <w:rPr>
          <w:sz w:val="20"/>
          <w:szCs w:val="20"/>
        </w:rPr>
      </w:pPr>
      <w:r w:rsidRPr="003F243E">
        <w:rPr>
          <w:sz w:val="20"/>
          <w:szCs w:val="20"/>
        </w:rPr>
        <w:t>Zhang S, Tian L, Ma P, Sun Q, Zhang K, GuanchaoWang, Liu H, Xu B. 2015. Potential role of differentially expressed lncRNAs in the pathogenesis of oral squamous cell carcinoma. Arch Oral Biol 60(10):1581-1587.26276270</w:t>
      </w:r>
    </w:p>
    <w:p w:rsidR="00B834CB" w:rsidRDefault="00B834CB" w:rsidP="00B834CB"/>
    <w:p w:rsidR="00A21A0D" w:rsidRDefault="00B834CB">
      <w:bookmarkStart w:id="0" w:name="_GoBack"/>
      <w:bookmarkEnd w:id="0"/>
    </w:p>
    <w:sectPr w:rsidR="00A21A0D" w:rsidSect="00F07C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AB"/>
    <w:multiLevelType w:val="hybridMultilevel"/>
    <w:tmpl w:val="E6805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504D2"/>
    <w:multiLevelType w:val="hybridMultilevel"/>
    <w:tmpl w:val="072A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1704A"/>
    <w:multiLevelType w:val="hybridMultilevel"/>
    <w:tmpl w:val="22882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CE6511"/>
    <w:multiLevelType w:val="hybridMultilevel"/>
    <w:tmpl w:val="16AAF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4505A"/>
    <w:multiLevelType w:val="hybridMultilevel"/>
    <w:tmpl w:val="072A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98265C"/>
    <w:multiLevelType w:val="hybridMultilevel"/>
    <w:tmpl w:val="072A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2F6657"/>
    <w:multiLevelType w:val="hybridMultilevel"/>
    <w:tmpl w:val="E6805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CC1680"/>
    <w:multiLevelType w:val="hybridMultilevel"/>
    <w:tmpl w:val="DED8C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D87D8E"/>
    <w:multiLevelType w:val="hybridMultilevel"/>
    <w:tmpl w:val="072A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9D766B"/>
    <w:multiLevelType w:val="hybridMultilevel"/>
    <w:tmpl w:val="072A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FD0EE9"/>
    <w:multiLevelType w:val="hybridMultilevel"/>
    <w:tmpl w:val="DED8C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244CBE"/>
    <w:multiLevelType w:val="hybridMultilevel"/>
    <w:tmpl w:val="16AAF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2B747B"/>
    <w:multiLevelType w:val="hybridMultilevel"/>
    <w:tmpl w:val="072A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8"/>
  </w:num>
  <w:num w:numId="4">
    <w:abstractNumId w:val="12"/>
  </w:num>
  <w:num w:numId="5">
    <w:abstractNumId w:val="4"/>
  </w:num>
  <w:num w:numId="6">
    <w:abstractNumId w:val="5"/>
  </w:num>
  <w:num w:numId="7">
    <w:abstractNumId w:val="1"/>
  </w:num>
  <w:num w:numId="8">
    <w:abstractNumId w:val="3"/>
  </w:num>
  <w:num w:numId="9">
    <w:abstractNumId w:val="9"/>
  </w:num>
  <w:num w:numId="10">
    <w:abstractNumId w:val="7"/>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85"/>
    <w:rsid w:val="003B28A5"/>
    <w:rsid w:val="003D4985"/>
    <w:rsid w:val="006A0F16"/>
    <w:rsid w:val="009E3F09"/>
    <w:rsid w:val="00B1351D"/>
    <w:rsid w:val="00B834CB"/>
    <w:rsid w:val="00BC49EB"/>
    <w:rsid w:val="00F2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CB"/>
    <w:rPr>
      <w:rFonts w:ascii="Arial" w:hAnsi="Arial" w:cs="Arial"/>
      <w:color w:val="000000"/>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CB"/>
    <w:rPr>
      <w:rFonts w:ascii="Arial" w:hAnsi="Arial" w:cs="Arial"/>
      <w:color w:val="000000"/>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6358</Characters>
  <Application>Microsoft Office Word</Application>
  <DocSecurity>0</DocSecurity>
  <Lines>52</Lines>
  <Paragraphs>14</Paragraphs>
  <ScaleCrop>false</ScaleCrop>
  <Company>微软中国</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2017-03-02T07:26:00Z</dcterms:created>
  <dcterms:modified xsi:type="dcterms:W3CDTF">2017-03-02T07:26:00Z</dcterms:modified>
</cp:coreProperties>
</file>