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9243" w14:textId="77777777" w:rsidR="00D7349B" w:rsidRPr="006212FF" w:rsidRDefault="00D7349B" w:rsidP="006212FF">
      <w:pPr>
        <w:spacing w:after="0" w:line="360" w:lineRule="auto"/>
        <w:jc w:val="both"/>
        <w:rPr>
          <w:rFonts w:ascii="Book Antiqua" w:hAnsi="Book Antiqua"/>
          <w:sz w:val="24"/>
          <w:szCs w:val="24"/>
        </w:rPr>
      </w:pPr>
      <w:r w:rsidRPr="006212FF">
        <w:rPr>
          <w:rFonts w:ascii="Book Antiqua" w:hAnsi="Book Antiqua"/>
          <w:b/>
          <w:sz w:val="24"/>
          <w:szCs w:val="24"/>
        </w:rPr>
        <w:t xml:space="preserve">Name of Journal: </w:t>
      </w:r>
      <w:r w:rsidRPr="006212FF">
        <w:rPr>
          <w:rFonts w:ascii="Book Antiqua" w:hAnsi="Book Antiqua"/>
          <w:b/>
          <w:i/>
          <w:sz w:val="24"/>
          <w:szCs w:val="24"/>
        </w:rPr>
        <w:t xml:space="preserve">World Journal of </w:t>
      </w:r>
      <w:proofErr w:type="spellStart"/>
      <w:r w:rsidRPr="006212FF">
        <w:rPr>
          <w:rFonts w:ascii="Book Antiqua" w:hAnsi="Book Antiqua"/>
          <w:b/>
          <w:i/>
          <w:sz w:val="24"/>
          <w:szCs w:val="24"/>
        </w:rPr>
        <w:t>Hepatology</w:t>
      </w:r>
      <w:proofErr w:type="spellEnd"/>
    </w:p>
    <w:p w14:paraId="43C3D634" w14:textId="77777777" w:rsidR="00D7349B" w:rsidRPr="006212FF" w:rsidRDefault="00D7349B" w:rsidP="006212FF">
      <w:pPr>
        <w:spacing w:after="0" w:line="360" w:lineRule="auto"/>
        <w:jc w:val="both"/>
        <w:rPr>
          <w:rFonts w:ascii="Book Antiqua" w:hAnsi="Book Antiqua"/>
          <w:b/>
          <w:sz w:val="24"/>
          <w:szCs w:val="24"/>
        </w:rPr>
      </w:pPr>
      <w:r w:rsidRPr="006212FF">
        <w:rPr>
          <w:rFonts w:ascii="Book Antiqua" w:hAnsi="Book Antiqua"/>
          <w:b/>
          <w:sz w:val="24"/>
          <w:szCs w:val="24"/>
        </w:rPr>
        <w:t>Manuscript NO: 32603</w:t>
      </w:r>
    </w:p>
    <w:p w14:paraId="4AFD55C4" w14:textId="77777777" w:rsidR="00D7349B" w:rsidRPr="006212FF" w:rsidRDefault="00D7349B" w:rsidP="006212FF">
      <w:pPr>
        <w:spacing w:after="0" w:line="360" w:lineRule="auto"/>
        <w:jc w:val="both"/>
        <w:rPr>
          <w:rFonts w:ascii="Book Antiqua" w:hAnsi="Book Antiqua"/>
          <w:b/>
          <w:sz w:val="24"/>
          <w:szCs w:val="24"/>
        </w:rPr>
      </w:pPr>
      <w:r w:rsidRPr="006212FF">
        <w:rPr>
          <w:rFonts w:ascii="Book Antiqua" w:hAnsi="Book Antiqua"/>
          <w:b/>
          <w:sz w:val="24"/>
          <w:szCs w:val="24"/>
        </w:rPr>
        <w:t xml:space="preserve">Manuscript Type: </w:t>
      </w:r>
      <w:proofErr w:type="spellStart"/>
      <w:r w:rsidRPr="006212FF">
        <w:rPr>
          <w:rFonts w:ascii="Book Antiqua" w:eastAsia="幼圆" w:hAnsi="Book Antiqua"/>
          <w:b/>
          <w:color w:val="000000"/>
          <w:sz w:val="24"/>
          <w:szCs w:val="24"/>
        </w:rPr>
        <w:t>Minireviews</w:t>
      </w:r>
      <w:proofErr w:type="spellEnd"/>
    </w:p>
    <w:p w14:paraId="2D59C2E9" w14:textId="77777777" w:rsidR="00D7349B" w:rsidRPr="006212FF" w:rsidRDefault="00D7349B" w:rsidP="006212FF">
      <w:pPr>
        <w:spacing w:after="0" w:line="360" w:lineRule="auto"/>
        <w:jc w:val="both"/>
        <w:rPr>
          <w:rFonts w:ascii="Book Antiqua" w:hAnsi="Book Antiqua"/>
          <w:b/>
          <w:sz w:val="24"/>
          <w:szCs w:val="24"/>
        </w:rPr>
      </w:pPr>
    </w:p>
    <w:p w14:paraId="4D29BEF1" w14:textId="3073829C" w:rsidR="00C02E05" w:rsidRPr="006212FF" w:rsidRDefault="00BC1725" w:rsidP="006212FF">
      <w:pPr>
        <w:spacing w:after="0" w:line="360" w:lineRule="auto"/>
        <w:jc w:val="both"/>
        <w:rPr>
          <w:rFonts w:ascii="Book Antiqua" w:hAnsi="Book Antiqua"/>
          <w:b/>
          <w:sz w:val="24"/>
          <w:szCs w:val="24"/>
        </w:rPr>
      </w:pPr>
      <w:r w:rsidRPr="006212FF">
        <w:rPr>
          <w:rFonts w:ascii="Book Antiqua" w:hAnsi="Book Antiqua"/>
          <w:b/>
          <w:sz w:val="24"/>
          <w:szCs w:val="24"/>
        </w:rPr>
        <w:t>Use of</w:t>
      </w:r>
      <w:r w:rsidR="00D7349B" w:rsidRPr="006212FF">
        <w:rPr>
          <w:rFonts w:ascii="Book Antiqua" w:hAnsi="Book Antiqua"/>
          <w:b/>
          <w:sz w:val="24"/>
          <w:szCs w:val="24"/>
        </w:rPr>
        <w:t xml:space="preserve"> </w:t>
      </w:r>
      <w:proofErr w:type="spellStart"/>
      <w:r w:rsidR="00D7349B" w:rsidRPr="006212FF">
        <w:rPr>
          <w:rFonts w:ascii="Book Antiqua" w:hAnsi="Book Antiqua"/>
          <w:b/>
          <w:sz w:val="24"/>
          <w:szCs w:val="24"/>
        </w:rPr>
        <w:t>everolimus</w:t>
      </w:r>
      <w:proofErr w:type="spellEnd"/>
      <w:r w:rsidR="00D7349B" w:rsidRPr="006212FF">
        <w:rPr>
          <w:rFonts w:ascii="Book Antiqua" w:hAnsi="Book Antiqua"/>
          <w:b/>
          <w:sz w:val="24"/>
          <w:szCs w:val="24"/>
        </w:rPr>
        <w:t xml:space="preserve"> in liver transplanta</w:t>
      </w:r>
      <w:r w:rsidRPr="006212FF">
        <w:rPr>
          <w:rFonts w:ascii="Book Antiqua" w:hAnsi="Book Antiqua"/>
          <w:b/>
          <w:sz w:val="24"/>
          <w:szCs w:val="24"/>
        </w:rPr>
        <w:t>tion</w:t>
      </w:r>
    </w:p>
    <w:p w14:paraId="3DF66DCA" w14:textId="77777777" w:rsidR="000E7D74" w:rsidRPr="005317C2" w:rsidRDefault="000E7D74" w:rsidP="006212FF">
      <w:pPr>
        <w:spacing w:after="0" w:line="360" w:lineRule="auto"/>
        <w:jc w:val="both"/>
        <w:rPr>
          <w:rFonts w:ascii="Book Antiqua" w:hAnsi="Book Antiqua"/>
          <w:b/>
          <w:sz w:val="24"/>
          <w:szCs w:val="24"/>
        </w:rPr>
      </w:pPr>
    </w:p>
    <w:p w14:paraId="2E82B764" w14:textId="67C23FA2" w:rsidR="000E7D74" w:rsidRPr="006212FF" w:rsidRDefault="000E7D74" w:rsidP="006212FF">
      <w:pPr>
        <w:spacing w:after="0" w:line="360" w:lineRule="auto"/>
        <w:jc w:val="both"/>
        <w:rPr>
          <w:rFonts w:ascii="Book Antiqua" w:hAnsi="Book Antiqua"/>
          <w:sz w:val="24"/>
          <w:szCs w:val="24"/>
        </w:rPr>
      </w:pPr>
      <w:r w:rsidRPr="006212FF">
        <w:rPr>
          <w:rFonts w:ascii="Book Antiqua" w:hAnsi="Book Antiqua"/>
          <w:sz w:val="24"/>
          <w:szCs w:val="24"/>
        </w:rPr>
        <w:t xml:space="preserve">Yee ML </w:t>
      </w:r>
      <w:r w:rsidRPr="006212FF">
        <w:rPr>
          <w:rFonts w:ascii="Book Antiqua" w:hAnsi="Book Antiqua"/>
          <w:i/>
          <w:sz w:val="24"/>
          <w:szCs w:val="24"/>
        </w:rPr>
        <w:t>et al.</w:t>
      </w:r>
      <w:r w:rsidRPr="006212FF">
        <w:rPr>
          <w:rFonts w:ascii="Book Antiqua" w:hAnsi="Book Antiqua"/>
          <w:sz w:val="24"/>
          <w:szCs w:val="24"/>
        </w:rPr>
        <w:t xml:space="preserve"> Use of </w:t>
      </w:r>
      <w:proofErr w:type="spellStart"/>
      <w:r w:rsidRPr="006212FF">
        <w:rPr>
          <w:rFonts w:ascii="Book Antiqua" w:hAnsi="Book Antiqua"/>
          <w:sz w:val="24"/>
          <w:szCs w:val="24"/>
        </w:rPr>
        <w:t>everolimus</w:t>
      </w:r>
      <w:proofErr w:type="spellEnd"/>
      <w:r w:rsidRPr="006212FF">
        <w:rPr>
          <w:rFonts w:ascii="Book Antiqua" w:hAnsi="Book Antiqua"/>
          <w:sz w:val="24"/>
          <w:szCs w:val="24"/>
        </w:rPr>
        <w:t xml:space="preserve"> in liver transplantation</w:t>
      </w:r>
    </w:p>
    <w:p w14:paraId="6E69290C" w14:textId="3C6F6787" w:rsidR="00D9307E" w:rsidRPr="006212FF" w:rsidRDefault="00D9307E" w:rsidP="006212FF">
      <w:pPr>
        <w:spacing w:after="0" w:line="360" w:lineRule="auto"/>
        <w:jc w:val="both"/>
        <w:rPr>
          <w:rFonts w:ascii="Book Antiqua" w:hAnsi="Book Antiqua"/>
          <w:b/>
          <w:i/>
          <w:sz w:val="24"/>
          <w:szCs w:val="24"/>
        </w:rPr>
      </w:pPr>
    </w:p>
    <w:p w14:paraId="741465C9" w14:textId="60D6E818" w:rsidR="005D458C" w:rsidRPr="006212FF" w:rsidRDefault="005D458C" w:rsidP="006212FF">
      <w:pPr>
        <w:spacing w:after="0" w:line="360" w:lineRule="auto"/>
        <w:jc w:val="both"/>
        <w:rPr>
          <w:rFonts w:ascii="Book Antiqua" w:hAnsi="Book Antiqua"/>
          <w:b/>
          <w:sz w:val="24"/>
          <w:szCs w:val="24"/>
        </w:rPr>
      </w:pPr>
      <w:r w:rsidRPr="006212FF">
        <w:rPr>
          <w:rFonts w:ascii="Book Antiqua" w:hAnsi="Book Antiqua"/>
          <w:b/>
          <w:sz w:val="24"/>
          <w:szCs w:val="24"/>
        </w:rPr>
        <w:t xml:space="preserve">Mei-Ling Yee, </w:t>
      </w:r>
      <w:proofErr w:type="spellStart"/>
      <w:r w:rsidRPr="006212FF">
        <w:rPr>
          <w:rFonts w:ascii="Book Antiqua" w:hAnsi="Book Antiqua"/>
          <w:b/>
          <w:sz w:val="24"/>
          <w:szCs w:val="24"/>
        </w:rPr>
        <w:t>Hui-Hui</w:t>
      </w:r>
      <w:proofErr w:type="spellEnd"/>
      <w:r w:rsidRPr="006212FF">
        <w:rPr>
          <w:rFonts w:ascii="Book Antiqua" w:hAnsi="Book Antiqua"/>
          <w:b/>
          <w:sz w:val="24"/>
          <w:szCs w:val="24"/>
        </w:rPr>
        <w:t xml:space="preserve"> Tan</w:t>
      </w:r>
    </w:p>
    <w:p w14:paraId="543D6F7B" w14:textId="77777777" w:rsidR="005D458C" w:rsidRPr="006212FF" w:rsidRDefault="005D458C" w:rsidP="006212FF">
      <w:pPr>
        <w:spacing w:after="0" w:line="360" w:lineRule="auto"/>
        <w:jc w:val="both"/>
        <w:rPr>
          <w:rFonts w:ascii="Book Antiqua" w:hAnsi="Book Antiqua"/>
          <w:b/>
          <w:sz w:val="24"/>
          <w:szCs w:val="24"/>
        </w:rPr>
      </w:pPr>
    </w:p>
    <w:p w14:paraId="6BAF7F13" w14:textId="4A1B9280" w:rsidR="00986EC7" w:rsidRPr="006212FF" w:rsidRDefault="00921802" w:rsidP="006212FF">
      <w:pPr>
        <w:spacing w:after="0" w:line="360" w:lineRule="auto"/>
        <w:jc w:val="both"/>
        <w:rPr>
          <w:rFonts w:ascii="Book Antiqua" w:hAnsi="Book Antiqua"/>
          <w:sz w:val="24"/>
          <w:szCs w:val="24"/>
        </w:rPr>
      </w:pPr>
      <w:r w:rsidRPr="006212FF">
        <w:rPr>
          <w:rFonts w:ascii="Book Antiqua" w:hAnsi="Book Antiqua"/>
          <w:b/>
          <w:sz w:val="24"/>
          <w:szCs w:val="24"/>
        </w:rPr>
        <w:t>Mei-Ling Yee,</w:t>
      </w:r>
      <w:r w:rsidRPr="006212FF">
        <w:rPr>
          <w:rFonts w:ascii="Book Antiqua" w:hAnsi="Book Antiqua"/>
          <w:sz w:val="24"/>
          <w:szCs w:val="24"/>
        </w:rPr>
        <w:t xml:space="preserve"> Department of Pharmacy, </w:t>
      </w:r>
      <w:r w:rsidR="00986EC7" w:rsidRPr="006212FF">
        <w:rPr>
          <w:rFonts w:ascii="Book Antiqua" w:hAnsi="Book Antiqua"/>
          <w:sz w:val="24"/>
          <w:szCs w:val="24"/>
        </w:rPr>
        <w:t xml:space="preserve">Singapore General Hospital, </w:t>
      </w:r>
      <w:r w:rsidR="000E7D74" w:rsidRPr="006212FF">
        <w:rPr>
          <w:rFonts w:ascii="Book Antiqua" w:hAnsi="Book Antiqua"/>
          <w:sz w:val="24"/>
          <w:szCs w:val="24"/>
        </w:rPr>
        <w:t>Singapore 169608, Singapore</w:t>
      </w:r>
    </w:p>
    <w:p w14:paraId="1DB88037" w14:textId="77777777" w:rsidR="000E7D74" w:rsidRPr="006212FF" w:rsidRDefault="000E7D74" w:rsidP="006212FF">
      <w:pPr>
        <w:spacing w:after="0" w:line="360" w:lineRule="auto"/>
        <w:jc w:val="both"/>
        <w:rPr>
          <w:rFonts w:ascii="Book Antiqua" w:hAnsi="Book Antiqua"/>
          <w:sz w:val="24"/>
          <w:szCs w:val="24"/>
        </w:rPr>
      </w:pPr>
    </w:p>
    <w:p w14:paraId="46AADA29" w14:textId="1ED00E25" w:rsidR="00921802" w:rsidRPr="006212FF" w:rsidRDefault="00986EC7" w:rsidP="006212FF">
      <w:pPr>
        <w:spacing w:after="0" w:line="360" w:lineRule="auto"/>
        <w:jc w:val="both"/>
        <w:rPr>
          <w:rFonts w:ascii="Book Antiqua" w:hAnsi="Book Antiqua"/>
          <w:sz w:val="24"/>
          <w:szCs w:val="24"/>
        </w:rPr>
      </w:pPr>
      <w:proofErr w:type="spellStart"/>
      <w:r w:rsidRPr="006212FF">
        <w:rPr>
          <w:rFonts w:ascii="Book Antiqua" w:hAnsi="Book Antiqua"/>
          <w:b/>
          <w:sz w:val="24"/>
          <w:szCs w:val="24"/>
        </w:rPr>
        <w:t>Hui-Hui</w:t>
      </w:r>
      <w:proofErr w:type="spellEnd"/>
      <w:r w:rsidRPr="006212FF">
        <w:rPr>
          <w:rFonts w:ascii="Book Antiqua" w:hAnsi="Book Antiqua"/>
          <w:b/>
          <w:sz w:val="24"/>
          <w:szCs w:val="24"/>
        </w:rPr>
        <w:t xml:space="preserve"> Tan,</w:t>
      </w:r>
      <w:r w:rsidRPr="006212FF">
        <w:rPr>
          <w:rFonts w:ascii="Book Antiqua" w:hAnsi="Book Antiqua"/>
          <w:sz w:val="24"/>
          <w:szCs w:val="24"/>
        </w:rPr>
        <w:t xml:space="preserve"> </w:t>
      </w:r>
      <w:r w:rsidR="00921802" w:rsidRPr="006212FF">
        <w:rPr>
          <w:rFonts w:ascii="Book Antiqua" w:hAnsi="Book Antiqua"/>
          <w:sz w:val="24"/>
          <w:szCs w:val="24"/>
        </w:rPr>
        <w:t>Department of</w:t>
      </w:r>
      <w:r w:rsidR="009E2D68" w:rsidRPr="006212FF">
        <w:rPr>
          <w:rFonts w:ascii="Book Antiqua" w:hAnsi="Book Antiqua"/>
          <w:sz w:val="24"/>
          <w:szCs w:val="24"/>
        </w:rPr>
        <w:t xml:space="preserve"> Gastroenterology </w:t>
      </w:r>
      <w:r w:rsidR="000E7D74" w:rsidRPr="006212FF">
        <w:rPr>
          <w:rFonts w:ascii="Book Antiqua" w:hAnsi="Book Antiqua"/>
          <w:sz w:val="24"/>
          <w:szCs w:val="24"/>
        </w:rPr>
        <w:t>and</w:t>
      </w:r>
      <w:r w:rsidR="009E2D68" w:rsidRPr="006212FF">
        <w:rPr>
          <w:rFonts w:ascii="Book Antiqua" w:hAnsi="Book Antiqua"/>
          <w:sz w:val="24"/>
          <w:szCs w:val="24"/>
        </w:rPr>
        <w:t xml:space="preserve"> </w:t>
      </w:r>
      <w:proofErr w:type="spellStart"/>
      <w:r w:rsidR="009E2D68" w:rsidRPr="006212FF">
        <w:rPr>
          <w:rFonts w:ascii="Book Antiqua" w:hAnsi="Book Antiqua"/>
          <w:sz w:val="24"/>
          <w:szCs w:val="24"/>
        </w:rPr>
        <w:t>Hepatology</w:t>
      </w:r>
      <w:proofErr w:type="spellEnd"/>
      <w:r w:rsidR="009E2D68" w:rsidRPr="006212FF">
        <w:rPr>
          <w:rFonts w:ascii="Book Antiqua" w:hAnsi="Book Antiqua"/>
          <w:sz w:val="24"/>
          <w:szCs w:val="24"/>
        </w:rPr>
        <w:t xml:space="preserve">, </w:t>
      </w:r>
      <w:r w:rsidRPr="006212FF">
        <w:rPr>
          <w:rFonts w:ascii="Book Antiqua" w:hAnsi="Book Antiqua"/>
          <w:sz w:val="24"/>
          <w:szCs w:val="24"/>
        </w:rPr>
        <w:t xml:space="preserve">Singapore General Hospital, </w:t>
      </w:r>
      <w:r w:rsidR="000E7D74" w:rsidRPr="006212FF">
        <w:rPr>
          <w:rFonts w:ascii="Book Antiqua" w:hAnsi="Book Antiqua"/>
          <w:sz w:val="24"/>
          <w:szCs w:val="24"/>
        </w:rPr>
        <w:t>Singapore 169608, Singapore</w:t>
      </w:r>
    </w:p>
    <w:p w14:paraId="2EBB6C85" w14:textId="77777777" w:rsidR="000E7D74" w:rsidRPr="006212FF" w:rsidRDefault="000E7D74" w:rsidP="006212FF">
      <w:pPr>
        <w:spacing w:after="0" w:line="360" w:lineRule="auto"/>
        <w:jc w:val="both"/>
        <w:rPr>
          <w:rFonts w:ascii="Book Antiqua" w:hAnsi="Book Antiqua"/>
          <w:sz w:val="24"/>
          <w:szCs w:val="24"/>
        </w:rPr>
      </w:pPr>
    </w:p>
    <w:p w14:paraId="23804438" w14:textId="34031DBE" w:rsidR="00992E33" w:rsidRPr="006212FF" w:rsidRDefault="000E7D74" w:rsidP="006212FF">
      <w:pPr>
        <w:spacing w:after="0" w:line="360" w:lineRule="auto"/>
        <w:jc w:val="both"/>
        <w:rPr>
          <w:rFonts w:ascii="Book Antiqua" w:hAnsi="Book Antiqua" w:cs="Book Antiqua"/>
          <w:sz w:val="24"/>
          <w:szCs w:val="24"/>
        </w:rPr>
      </w:pPr>
      <w:r w:rsidRPr="006212FF">
        <w:rPr>
          <w:rFonts w:ascii="Book Antiqua" w:hAnsi="Book Antiqua"/>
          <w:b/>
          <w:sz w:val="24"/>
          <w:szCs w:val="24"/>
        </w:rPr>
        <w:t xml:space="preserve">Author contributions: </w:t>
      </w:r>
      <w:r w:rsidR="00992E33" w:rsidRPr="006212FF">
        <w:rPr>
          <w:rFonts w:ascii="Book Antiqua" w:hAnsi="Book Antiqua" w:cs="Book Antiqua"/>
          <w:sz w:val="24"/>
          <w:szCs w:val="24"/>
        </w:rPr>
        <w:t>Both authors contributed to the writing and review of the manuscript</w:t>
      </w:r>
      <w:r w:rsidRPr="006212FF">
        <w:rPr>
          <w:rFonts w:ascii="Book Antiqua" w:hAnsi="Book Antiqua" w:cs="Book Antiqua"/>
          <w:sz w:val="24"/>
          <w:szCs w:val="24"/>
        </w:rPr>
        <w:t>.</w:t>
      </w:r>
      <w:r w:rsidR="00992E33" w:rsidRPr="006212FF">
        <w:rPr>
          <w:rFonts w:ascii="Book Antiqua" w:hAnsi="Book Antiqua" w:cs="Book Antiqua"/>
          <w:sz w:val="24"/>
          <w:szCs w:val="24"/>
        </w:rPr>
        <w:t xml:space="preserve"> </w:t>
      </w:r>
    </w:p>
    <w:p w14:paraId="66C081B2" w14:textId="77777777" w:rsidR="00C253B9" w:rsidRPr="006212FF" w:rsidRDefault="00C253B9" w:rsidP="006212FF">
      <w:pPr>
        <w:spacing w:after="0" w:line="360" w:lineRule="auto"/>
        <w:jc w:val="both"/>
        <w:rPr>
          <w:rFonts w:ascii="Book Antiqua" w:hAnsi="Book Antiqua" w:cs="Book Antiqua"/>
          <w:sz w:val="24"/>
          <w:szCs w:val="24"/>
        </w:rPr>
      </w:pPr>
    </w:p>
    <w:p w14:paraId="6526367A" w14:textId="17EBE359" w:rsidR="00C253B9" w:rsidRPr="006212FF" w:rsidRDefault="00C253B9" w:rsidP="006212FF">
      <w:pPr>
        <w:spacing w:after="0" w:line="360" w:lineRule="auto"/>
        <w:jc w:val="both"/>
        <w:rPr>
          <w:rFonts w:ascii="Book Antiqua" w:hAnsi="Book Antiqua"/>
          <w:b/>
          <w:sz w:val="24"/>
          <w:szCs w:val="24"/>
        </w:rPr>
      </w:pPr>
      <w:r w:rsidRPr="006212FF">
        <w:rPr>
          <w:rFonts w:ascii="Book Antiqua" w:hAnsi="Book Antiqua"/>
          <w:b/>
          <w:sz w:val="24"/>
          <w:szCs w:val="24"/>
        </w:rPr>
        <w:t>Conflict-of-interest statement</w:t>
      </w:r>
      <w:r w:rsidRPr="006212FF">
        <w:rPr>
          <w:rFonts w:ascii="Book Antiqua" w:hAnsi="Book Antiqua" w:cs="TimesNewRomanPS-BoldItalicMT"/>
          <w:b/>
          <w:iCs/>
          <w:color w:val="000000"/>
          <w:sz w:val="24"/>
          <w:szCs w:val="24"/>
        </w:rPr>
        <w:t xml:space="preserve">: </w:t>
      </w:r>
      <w:r w:rsidRPr="006212FF">
        <w:rPr>
          <w:rFonts w:ascii="Book Antiqua" w:hAnsi="Book Antiqua" w:cs="Book Antiqua"/>
          <w:sz w:val="24"/>
          <w:szCs w:val="24"/>
        </w:rPr>
        <w:t>Authors declare no conflict of interests for this article.</w:t>
      </w:r>
    </w:p>
    <w:p w14:paraId="0271A95D" w14:textId="77777777" w:rsidR="00C253B9" w:rsidRPr="006212FF" w:rsidRDefault="00C253B9" w:rsidP="006212FF">
      <w:pPr>
        <w:adjustRightInd w:val="0"/>
        <w:snapToGrid w:val="0"/>
        <w:spacing w:after="0" w:line="360" w:lineRule="auto"/>
        <w:jc w:val="both"/>
        <w:rPr>
          <w:rFonts w:ascii="Book Antiqua" w:hAnsi="Book Antiqua"/>
          <w:sz w:val="24"/>
          <w:szCs w:val="24"/>
        </w:rPr>
      </w:pPr>
    </w:p>
    <w:p w14:paraId="5D7AFBBF" w14:textId="77777777" w:rsidR="00C253B9" w:rsidRPr="006212FF" w:rsidRDefault="00C253B9" w:rsidP="006212FF">
      <w:pPr>
        <w:adjustRightInd w:val="0"/>
        <w:snapToGrid w:val="0"/>
        <w:spacing w:after="0" w:line="360" w:lineRule="auto"/>
        <w:jc w:val="both"/>
        <w:rPr>
          <w:rFonts w:ascii="Book Antiqua" w:hAnsi="Book Antiqua"/>
          <w:sz w:val="24"/>
          <w:szCs w:val="24"/>
        </w:rPr>
      </w:pPr>
      <w:r w:rsidRPr="006212FF">
        <w:rPr>
          <w:rFonts w:ascii="Book Antiqua" w:hAnsi="Book Antiqua"/>
          <w:b/>
          <w:sz w:val="24"/>
          <w:szCs w:val="24"/>
        </w:rPr>
        <w:t xml:space="preserve">Open-Access: </w:t>
      </w:r>
      <w:r w:rsidRPr="006212F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212FF">
          <w:rPr>
            <w:rStyle w:val="Hyperlink"/>
            <w:rFonts w:ascii="Book Antiqua" w:hAnsi="Book Antiqua"/>
            <w:sz w:val="24"/>
            <w:szCs w:val="24"/>
          </w:rPr>
          <w:t>http://creativecommons.org/licenses/by-nc/4.0/</w:t>
        </w:r>
      </w:hyperlink>
    </w:p>
    <w:p w14:paraId="023C7A23" w14:textId="77777777" w:rsidR="00C253B9" w:rsidRPr="006212FF" w:rsidRDefault="00C253B9" w:rsidP="006212FF">
      <w:pPr>
        <w:spacing w:after="0" w:line="360" w:lineRule="auto"/>
        <w:jc w:val="both"/>
        <w:rPr>
          <w:rFonts w:ascii="Book Antiqua" w:hAnsi="Book Antiqua"/>
          <w:sz w:val="24"/>
          <w:szCs w:val="24"/>
        </w:rPr>
      </w:pPr>
    </w:p>
    <w:p w14:paraId="4F7D8035" w14:textId="347CF606" w:rsidR="00C253B9" w:rsidRPr="006212FF" w:rsidRDefault="00C253B9" w:rsidP="006212FF">
      <w:pPr>
        <w:spacing w:after="0" w:line="360" w:lineRule="auto"/>
        <w:jc w:val="both"/>
        <w:rPr>
          <w:rFonts w:ascii="Book Antiqua" w:eastAsia="宋体" w:hAnsi="Book Antiqua" w:cs="宋体"/>
          <w:sz w:val="24"/>
          <w:szCs w:val="24"/>
        </w:rPr>
      </w:pPr>
      <w:r w:rsidRPr="006212FF">
        <w:rPr>
          <w:rFonts w:ascii="Book Antiqua" w:eastAsia="宋体" w:hAnsi="Book Antiqua" w:cs="宋体"/>
          <w:b/>
          <w:sz w:val="24"/>
          <w:szCs w:val="24"/>
        </w:rPr>
        <w:t>Manuscript source:</w:t>
      </w:r>
      <w:r w:rsidRPr="006212FF">
        <w:rPr>
          <w:rFonts w:ascii="Book Antiqua" w:eastAsia="宋体" w:hAnsi="Book Antiqua" w:cs="宋体"/>
          <w:sz w:val="24"/>
          <w:szCs w:val="24"/>
        </w:rPr>
        <w:t> Invited manuscript</w:t>
      </w:r>
    </w:p>
    <w:p w14:paraId="38F705BE" w14:textId="77777777" w:rsidR="00C253B9" w:rsidRPr="006212FF" w:rsidRDefault="00C253B9" w:rsidP="006212FF">
      <w:pPr>
        <w:spacing w:after="0" w:line="360" w:lineRule="auto"/>
        <w:jc w:val="both"/>
        <w:rPr>
          <w:rFonts w:ascii="Book Antiqua" w:hAnsi="Book Antiqua"/>
          <w:sz w:val="24"/>
          <w:szCs w:val="24"/>
        </w:rPr>
      </w:pPr>
    </w:p>
    <w:p w14:paraId="023683FF" w14:textId="0E9E1788" w:rsidR="00986EC7" w:rsidRPr="006212FF" w:rsidRDefault="000E7D74" w:rsidP="006212FF">
      <w:pPr>
        <w:spacing w:after="0" w:line="360" w:lineRule="auto"/>
        <w:jc w:val="both"/>
        <w:rPr>
          <w:rFonts w:ascii="Book Antiqua" w:hAnsi="Book Antiqua" w:cs="Book Antiqua"/>
          <w:sz w:val="24"/>
          <w:szCs w:val="24"/>
        </w:rPr>
      </w:pPr>
      <w:r w:rsidRPr="006212FF">
        <w:rPr>
          <w:rFonts w:ascii="Book Antiqua" w:hAnsi="Book Antiqua"/>
          <w:b/>
          <w:sz w:val="24"/>
          <w:szCs w:val="24"/>
        </w:rPr>
        <w:t xml:space="preserve">Correspondence to: </w:t>
      </w:r>
      <w:r w:rsidR="009E2D68" w:rsidRPr="006212FF">
        <w:rPr>
          <w:rFonts w:ascii="Book Antiqua" w:hAnsi="Book Antiqua" w:cs="Book Antiqua"/>
          <w:b/>
          <w:sz w:val="24"/>
          <w:szCs w:val="24"/>
        </w:rPr>
        <w:t xml:space="preserve">Mei-Ling Yee, Senior Principal Clinical Pharmacist, </w:t>
      </w:r>
      <w:r w:rsidR="00C253B9" w:rsidRPr="006212FF">
        <w:rPr>
          <w:rFonts w:ascii="Book Antiqua" w:hAnsi="Book Antiqua"/>
          <w:sz w:val="24"/>
          <w:szCs w:val="24"/>
        </w:rPr>
        <w:t>Department of Pharmacy,</w:t>
      </w:r>
      <w:r w:rsidR="009E2D68" w:rsidRPr="006212FF">
        <w:rPr>
          <w:rFonts w:ascii="Book Antiqua" w:hAnsi="Book Antiqua" w:cs="Book Antiqua"/>
          <w:sz w:val="24"/>
          <w:szCs w:val="24"/>
        </w:rPr>
        <w:t xml:space="preserve"> Singapore General Hospital,</w:t>
      </w:r>
      <w:r w:rsidR="009E2D68" w:rsidRPr="006212FF">
        <w:rPr>
          <w:rFonts w:ascii="Book Antiqua" w:hAnsi="Book Antiqua"/>
          <w:sz w:val="24"/>
          <w:szCs w:val="24"/>
        </w:rPr>
        <w:t xml:space="preserve"> </w:t>
      </w:r>
      <w:proofErr w:type="spellStart"/>
      <w:r w:rsidR="009E2D68" w:rsidRPr="006212FF">
        <w:rPr>
          <w:rFonts w:ascii="Book Antiqua" w:hAnsi="Book Antiqua" w:cs="Book Antiqua"/>
          <w:sz w:val="24"/>
          <w:szCs w:val="24"/>
        </w:rPr>
        <w:t>Outram</w:t>
      </w:r>
      <w:proofErr w:type="spellEnd"/>
      <w:r w:rsidR="009E2D68" w:rsidRPr="006212FF">
        <w:rPr>
          <w:rFonts w:ascii="Book Antiqua" w:hAnsi="Book Antiqua" w:cs="Book Antiqua"/>
          <w:sz w:val="24"/>
          <w:szCs w:val="24"/>
        </w:rPr>
        <w:t xml:space="preserve"> Road, </w:t>
      </w:r>
      <w:r w:rsidR="00C253B9" w:rsidRPr="006212FF">
        <w:rPr>
          <w:rFonts w:ascii="Book Antiqua" w:hAnsi="Book Antiqua"/>
          <w:sz w:val="24"/>
          <w:szCs w:val="24"/>
        </w:rPr>
        <w:t xml:space="preserve">Singapore 169608, Singapore. </w:t>
      </w:r>
      <w:hyperlink r:id="rId10" w:history="1">
        <w:r w:rsidR="009E2D68" w:rsidRPr="006212FF">
          <w:rPr>
            <w:rStyle w:val="Hyperlink"/>
            <w:rFonts w:ascii="Book Antiqua" w:hAnsi="Book Antiqua" w:cs="Book Antiqua"/>
            <w:sz w:val="24"/>
            <w:szCs w:val="24"/>
          </w:rPr>
          <w:t>yee.mei.ling@sgh.com.sg</w:t>
        </w:r>
      </w:hyperlink>
    </w:p>
    <w:p w14:paraId="00727820" w14:textId="17A64EAB" w:rsidR="00AD5A59" w:rsidRPr="006212FF" w:rsidRDefault="00BB6176" w:rsidP="006212FF">
      <w:pPr>
        <w:spacing w:after="0" w:line="360" w:lineRule="auto"/>
        <w:jc w:val="both"/>
        <w:rPr>
          <w:rFonts w:ascii="Book Antiqua" w:hAnsi="Book Antiqua"/>
          <w:sz w:val="24"/>
          <w:szCs w:val="24"/>
        </w:rPr>
      </w:pPr>
      <w:r w:rsidRPr="006212FF">
        <w:rPr>
          <w:rFonts w:ascii="Book Antiqua" w:hAnsi="Book Antiqua"/>
          <w:b/>
          <w:sz w:val="24"/>
          <w:szCs w:val="24"/>
        </w:rPr>
        <w:t>Telephone:</w:t>
      </w:r>
      <w:r w:rsidRPr="006212FF">
        <w:rPr>
          <w:rFonts w:ascii="Book Antiqua" w:hAnsi="Book Antiqua"/>
          <w:sz w:val="24"/>
          <w:szCs w:val="24"/>
        </w:rPr>
        <w:t xml:space="preserve"> +65-63213797</w:t>
      </w:r>
    </w:p>
    <w:p w14:paraId="261F3E50" w14:textId="14630A38" w:rsidR="00BB6176" w:rsidRPr="006212FF" w:rsidRDefault="00BB6176" w:rsidP="006212FF">
      <w:pPr>
        <w:spacing w:after="0" w:line="360" w:lineRule="auto"/>
        <w:jc w:val="both"/>
        <w:rPr>
          <w:rFonts w:ascii="Book Antiqua" w:hAnsi="Book Antiqua"/>
          <w:sz w:val="24"/>
          <w:szCs w:val="24"/>
        </w:rPr>
      </w:pPr>
      <w:r w:rsidRPr="006212FF">
        <w:rPr>
          <w:rFonts w:ascii="Book Antiqua" w:hAnsi="Book Antiqua"/>
          <w:b/>
          <w:sz w:val="24"/>
          <w:szCs w:val="24"/>
        </w:rPr>
        <w:t xml:space="preserve">Fax: </w:t>
      </w:r>
      <w:r w:rsidRPr="006212FF">
        <w:rPr>
          <w:rFonts w:ascii="Book Antiqua" w:hAnsi="Book Antiqua"/>
          <w:sz w:val="24"/>
          <w:szCs w:val="24"/>
        </w:rPr>
        <w:t>+65-6</w:t>
      </w:r>
      <w:r w:rsidR="006616BA" w:rsidRPr="006212FF">
        <w:rPr>
          <w:rFonts w:ascii="Book Antiqua" w:hAnsi="Book Antiqua"/>
          <w:sz w:val="24"/>
          <w:szCs w:val="24"/>
        </w:rPr>
        <w:t>2274330</w:t>
      </w:r>
    </w:p>
    <w:p w14:paraId="0972CE5A" w14:textId="77777777" w:rsidR="006616BA" w:rsidRPr="006212FF" w:rsidRDefault="006616BA" w:rsidP="006212FF">
      <w:pPr>
        <w:spacing w:after="0" w:line="360" w:lineRule="auto"/>
        <w:jc w:val="both"/>
        <w:rPr>
          <w:rFonts w:ascii="Book Antiqua" w:hAnsi="Book Antiqua"/>
          <w:sz w:val="24"/>
          <w:szCs w:val="24"/>
        </w:rPr>
      </w:pPr>
    </w:p>
    <w:p w14:paraId="5A9D20F9" w14:textId="13751D5B" w:rsidR="00C253B9" w:rsidRPr="006212FF" w:rsidRDefault="00C253B9" w:rsidP="006212FF">
      <w:pPr>
        <w:spacing w:after="0" w:line="360" w:lineRule="auto"/>
        <w:jc w:val="both"/>
        <w:rPr>
          <w:rFonts w:ascii="Book Antiqua" w:hAnsi="Book Antiqua"/>
          <w:b/>
          <w:sz w:val="24"/>
          <w:szCs w:val="24"/>
        </w:rPr>
      </w:pPr>
      <w:r w:rsidRPr="006212FF">
        <w:rPr>
          <w:rFonts w:ascii="Book Antiqua" w:hAnsi="Book Antiqua"/>
          <w:b/>
          <w:sz w:val="24"/>
          <w:szCs w:val="24"/>
        </w:rPr>
        <w:t xml:space="preserve">Received: </w:t>
      </w:r>
      <w:r w:rsidR="00D1442F" w:rsidRPr="006212FF">
        <w:rPr>
          <w:rFonts w:ascii="Book Antiqua" w:hAnsi="Book Antiqua"/>
          <w:sz w:val="24"/>
          <w:szCs w:val="24"/>
        </w:rPr>
        <w:t>January 16, 2017</w:t>
      </w:r>
      <w:r w:rsidR="006212FF">
        <w:rPr>
          <w:rFonts w:ascii="Book Antiqua" w:hAnsi="Book Antiqua"/>
          <w:sz w:val="24"/>
          <w:szCs w:val="24"/>
        </w:rPr>
        <w:t xml:space="preserve"> </w:t>
      </w:r>
    </w:p>
    <w:p w14:paraId="5906E100" w14:textId="3D3DB7A8" w:rsidR="00C253B9" w:rsidRPr="006212FF" w:rsidRDefault="00C253B9" w:rsidP="006212FF">
      <w:pPr>
        <w:spacing w:after="0" w:line="360" w:lineRule="auto"/>
        <w:jc w:val="both"/>
        <w:rPr>
          <w:rFonts w:ascii="Book Antiqua" w:hAnsi="Book Antiqua"/>
          <w:b/>
          <w:sz w:val="24"/>
          <w:szCs w:val="24"/>
        </w:rPr>
      </w:pPr>
      <w:r w:rsidRPr="006212FF">
        <w:rPr>
          <w:rFonts w:ascii="Book Antiqua" w:hAnsi="Book Antiqua"/>
          <w:b/>
          <w:sz w:val="24"/>
          <w:szCs w:val="24"/>
        </w:rPr>
        <w:t>Peer-review started:</w:t>
      </w:r>
      <w:r w:rsidR="00D1442F" w:rsidRPr="006212FF">
        <w:rPr>
          <w:rFonts w:ascii="Book Antiqua" w:hAnsi="Book Antiqua"/>
          <w:sz w:val="24"/>
          <w:szCs w:val="24"/>
        </w:rPr>
        <w:t xml:space="preserve"> January 18, 2017</w:t>
      </w:r>
      <w:r w:rsidR="006212FF">
        <w:rPr>
          <w:rFonts w:ascii="Book Antiqua" w:hAnsi="Book Antiqua"/>
          <w:sz w:val="24"/>
          <w:szCs w:val="24"/>
        </w:rPr>
        <w:t xml:space="preserve"> </w:t>
      </w:r>
    </w:p>
    <w:p w14:paraId="77F29018" w14:textId="5D2CDAFB" w:rsidR="00C253B9" w:rsidRPr="006212FF" w:rsidRDefault="00C253B9" w:rsidP="006212FF">
      <w:pPr>
        <w:spacing w:after="0" w:line="360" w:lineRule="auto"/>
        <w:jc w:val="both"/>
        <w:rPr>
          <w:rFonts w:ascii="Book Antiqua" w:hAnsi="Book Antiqua"/>
          <w:b/>
          <w:sz w:val="24"/>
          <w:szCs w:val="24"/>
        </w:rPr>
      </w:pPr>
      <w:r w:rsidRPr="006212FF">
        <w:rPr>
          <w:rFonts w:ascii="Book Antiqua" w:hAnsi="Book Antiqua"/>
          <w:b/>
          <w:sz w:val="24"/>
          <w:szCs w:val="24"/>
        </w:rPr>
        <w:t>First decision:</w:t>
      </w:r>
      <w:r w:rsidR="00D1442F" w:rsidRPr="006212FF">
        <w:rPr>
          <w:rFonts w:ascii="Book Antiqua" w:hAnsi="Book Antiqua"/>
          <w:b/>
          <w:sz w:val="24"/>
          <w:szCs w:val="24"/>
        </w:rPr>
        <w:t xml:space="preserve"> </w:t>
      </w:r>
      <w:r w:rsidR="00D1442F" w:rsidRPr="006212FF">
        <w:rPr>
          <w:rFonts w:ascii="Book Antiqua" w:hAnsi="Book Antiqua"/>
          <w:sz w:val="24"/>
          <w:szCs w:val="24"/>
        </w:rPr>
        <w:t>May 9, 2017</w:t>
      </w:r>
    </w:p>
    <w:p w14:paraId="2F8ED36B" w14:textId="4B8638C7" w:rsidR="00C253B9" w:rsidRPr="006212FF" w:rsidRDefault="00C253B9" w:rsidP="006212FF">
      <w:pPr>
        <w:spacing w:after="0" w:line="360" w:lineRule="auto"/>
        <w:jc w:val="both"/>
        <w:rPr>
          <w:rFonts w:ascii="Book Antiqua" w:hAnsi="Book Antiqua"/>
          <w:b/>
          <w:sz w:val="24"/>
          <w:szCs w:val="24"/>
        </w:rPr>
      </w:pPr>
      <w:r w:rsidRPr="006212FF">
        <w:rPr>
          <w:rFonts w:ascii="Book Antiqua" w:hAnsi="Book Antiqua"/>
          <w:b/>
          <w:sz w:val="24"/>
          <w:szCs w:val="24"/>
        </w:rPr>
        <w:t>Revised:</w:t>
      </w:r>
      <w:r w:rsidR="006212FF">
        <w:rPr>
          <w:rFonts w:ascii="Book Antiqua" w:hAnsi="Book Antiqua"/>
          <w:b/>
          <w:sz w:val="24"/>
          <w:szCs w:val="24"/>
        </w:rPr>
        <w:t xml:space="preserve"> </w:t>
      </w:r>
      <w:r w:rsidR="00D1442F" w:rsidRPr="006212FF">
        <w:rPr>
          <w:rFonts w:ascii="Book Antiqua" w:hAnsi="Book Antiqua"/>
          <w:sz w:val="24"/>
          <w:szCs w:val="24"/>
        </w:rPr>
        <w:t>May 20, 2017</w:t>
      </w:r>
    </w:p>
    <w:p w14:paraId="15517C87" w14:textId="1ADF4144" w:rsidR="00C253B9" w:rsidRPr="006212FF" w:rsidRDefault="00C253B9" w:rsidP="006212FF">
      <w:pPr>
        <w:spacing w:after="0" w:line="360" w:lineRule="auto"/>
        <w:jc w:val="both"/>
        <w:rPr>
          <w:rFonts w:ascii="Book Antiqua" w:hAnsi="Book Antiqua"/>
          <w:b/>
          <w:sz w:val="24"/>
          <w:szCs w:val="24"/>
        </w:rPr>
      </w:pPr>
      <w:r w:rsidRPr="006212FF">
        <w:rPr>
          <w:rFonts w:ascii="Book Antiqua" w:hAnsi="Book Antiqua"/>
          <w:b/>
          <w:sz w:val="24"/>
          <w:szCs w:val="24"/>
        </w:rPr>
        <w:t>Accepted:</w:t>
      </w:r>
      <w:r w:rsidR="006212FF">
        <w:rPr>
          <w:rFonts w:ascii="Book Antiqua" w:hAnsi="Book Antiqua"/>
          <w:b/>
          <w:sz w:val="24"/>
          <w:szCs w:val="24"/>
        </w:rPr>
        <w:t xml:space="preserve"> </w:t>
      </w:r>
      <w:r w:rsidR="00665337" w:rsidRPr="00665337">
        <w:rPr>
          <w:rFonts w:ascii="Book Antiqua" w:hAnsi="Book Antiqua"/>
          <w:sz w:val="24"/>
          <w:szCs w:val="24"/>
        </w:rPr>
        <w:t>June 12, 2017</w:t>
      </w:r>
    </w:p>
    <w:p w14:paraId="7222F38C" w14:textId="1379A703" w:rsidR="00C253B9" w:rsidRPr="006212FF" w:rsidRDefault="00C253B9" w:rsidP="006212FF">
      <w:pPr>
        <w:spacing w:after="0" w:line="360" w:lineRule="auto"/>
        <w:jc w:val="both"/>
        <w:rPr>
          <w:rFonts w:ascii="Book Antiqua" w:hAnsi="Book Antiqua"/>
          <w:sz w:val="24"/>
          <w:szCs w:val="24"/>
        </w:rPr>
      </w:pPr>
      <w:r w:rsidRPr="006212FF">
        <w:rPr>
          <w:rFonts w:ascii="Book Antiqua" w:hAnsi="Book Antiqua"/>
          <w:b/>
          <w:sz w:val="24"/>
          <w:szCs w:val="24"/>
        </w:rPr>
        <w:t>Article in press:</w:t>
      </w:r>
      <w:r w:rsidR="006212FF">
        <w:rPr>
          <w:rFonts w:ascii="Book Antiqua" w:hAnsi="Book Antiqua"/>
          <w:sz w:val="24"/>
          <w:szCs w:val="24"/>
        </w:rPr>
        <w:t xml:space="preserve"> </w:t>
      </w:r>
    </w:p>
    <w:p w14:paraId="41E63E04" w14:textId="77777777" w:rsidR="00C253B9" w:rsidRPr="006212FF" w:rsidRDefault="00C253B9" w:rsidP="006212FF">
      <w:pPr>
        <w:spacing w:after="0" w:line="360" w:lineRule="auto"/>
        <w:jc w:val="both"/>
        <w:rPr>
          <w:rFonts w:ascii="Book Antiqua" w:hAnsi="Book Antiqua"/>
          <w:b/>
          <w:sz w:val="24"/>
          <w:szCs w:val="24"/>
        </w:rPr>
      </w:pPr>
      <w:r w:rsidRPr="006212FF">
        <w:rPr>
          <w:rFonts w:ascii="Book Antiqua" w:hAnsi="Book Antiqua"/>
          <w:b/>
          <w:sz w:val="24"/>
          <w:szCs w:val="24"/>
        </w:rPr>
        <w:t xml:space="preserve">Published online: </w:t>
      </w:r>
    </w:p>
    <w:p w14:paraId="0D57F8F8" w14:textId="77777777" w:rsidR="00D1442F" w:rsidRPr="006212FF" w:rsidRDefault="00D1442F" w:rsidP="006212FF">
      <w:pPr>
        <w:spacing w:after="0" w:line="360" w:lineRule="auto"/>
        <w:jc w:val="both"/>
        <w:rPr>
          <w:rFonts w:ascii="Book Antiqua" w:hAnsi="Book Antiqua"/>
          <w:sz w:val="24"/>
          <w:szCs w:val="24"/>
        </w:rPr>
      </w:pPr>
      <w:r w:rsidRPr="006212FF">
        <w:rPr>
          <w:rFonts w:ascii="Book Antiqua" w:hAnsi="Book Antiqua"/>
          <w:sz w:val="24"/>
          <w:szCs w:val="24"/>
        </w:rPr>
        <w:br w:type="page"/>
      </w:r>
    </w:p>
    <w:p w14:paraId="427716BB" w14:textId="5D4DD101" w:rsidR="00BC1725" w:rsidRPr="006212FF" w:rsidRDefault="00BC1725" w:rsidP="006212FF">
      <w:pPr>
        <w:spacing w:after="0" w:line="360" w:lineRule="auto"/>
        <w:jc w:val="both"/>
        <w:rPr>
          <w:rFonts w:ascii="Book Antiqua" w:hAnsi="Book Antiqua"/>
          <w:b/>
          <w:sz w:val="24"/>
          <w:szCs w:val="24"/>
        </w:rPr>
      </w:pPr>
      <w:r w:rsidRPr="006212FF">
        <w:rPr>
          <w:rFonts w:ascii="Book Antiqua" w:hAnsi="Book Antiqua"/>
          <w:b/>
          <w:sz w:val="24"/>
          <w:szCs w:val="24"/>
        </w:rPr>
        <w:lastRenderedPageBreak/>
        <w:t>Abstract</w:t>
      </w:r>
    </w:p>
    <w:p w14:paraId="6DAFC9C2" w14:textId="42A7D82A" w:rsidR="003B3D1E" w:rsidRPr="006212FF" w:rsidRDefault="004E2990" w:rsidP="006212FF">
      <w:pPr>
        <w:spacing w:after="0" w:line="360" w:lineRule="auto"/>
        <w:jc w:val="both"/>
        <w:rPr>
          <w:rFonts w:ascii="Book Antiqua" w:hAnsi="Book Antiqua"/>
          <w:sz w:val="24"/>
          <w:szCs w:val="24"/>
        </w:rPr>
      </w:pPr>
      <w:r w:rsidRPr="006212FF">
        <w:rPr>
          <w:rFonts w:ascii="Book Antiqua" w:hAnsi="Book Antiqua"/>
          <w:sz w:val="24"/>
          <w:szCs w:val="24"/>
        </w:rPr>
        <w:t xml:space="preserve">In recent years, the use of mammalian target of </w:t>
      </w:r>
      <w:proofErr w:type="spellStart"/>
      <w:r w:rsidR="00E5702C" w:rsidRPr="006212FF">
        <w:rPr>
          <w:rFonts w:ascii="Book Antiqua" w:hAnsi="Book Antiqua"/>
          <w:sz w:val="24"/>
          <w:szCs w:val="24"/>
        </w:rPr>
        <w:t>rapamycin</w:t>
      </w:r>
      <w:proofErr w:type="spellEnd"/>
      <w:r w:rsidR="00E5702C" w:rsidRPr="006212FF">
        <w:rPr>
          <w:rFonts w:ascii="Book Antiqua" w:hAnsi="Book Antiqua"/>
          <w:sz w:val="24"/>
          <w:szCs w:val="24"/>
        </w:rPr>
        <w:t xml:space="preserve"> (</w:t>
      </w:r>
      <w:proofErr w:type="spellStart"/>
      <w:r w:rsidR="00E5702C" w:rsidRPr="006212FF">
        <w:rPr>
          <w:rFonts w:ascii="Book Antiqua" w:hAnsi="Book Antiqua"/>
          <w:sz w:val="24"/>
          <w:szCs w:val="24"/>
        </w:rPr>
        <w:t>mTOR</w:t>
      </w:r>
      <w:proofErr w:type="spellEnd"/>
      <w:r w:rsidR="00E5702C" w:rsidRPr="006212FF">
        <w:rPr>
          <w:rFonts w:ascii="Book Antiqua" w:hAnsi="Book Antiqua"/>
          <w:sz w:val="24"/>
          <w:szCs w:val="24"/>
        </w:rPr>
        <w:t>) inhibitors has</w:t>
      </w:r>
      <w:r w:rsidRPr="006212FF">
        <w:rPr>
          <w:rFonts w:ascii="Book Antiqua" w:hAnsi="Book Antiqua"/>
          <w:sz w:val="24"/>
          <w:szCs w:val="24"/>
        </w:rPr>
        <w:t xml:space="preserve"> gained traction in their use as alternative or adjunct </w:t>
      </w:r>
      <w:proofErr w:type="spellStart"/>
      <w:r w:rsidRPr="006212FF">
        <w:rPr>
          <w:rFonts w:ascii="Book Antiqua" w:hAnsi="Book Antiqua"/>
          <w:sz w:val="24"/>
          <w:szCs w:val="24"/>
        </w:rPr>
        <w:t>immunosuppressants</w:t>
      </w:r>
      <w:proofErr w:type="spellEnd"/>
      <w:r w:rsidRPr="006212FF">
        <w:rPr>
          <w:rFonts w:ascii="Book Antiqua" w:hAnsi="Book Antiqua"/>
          <w:sz w:val="24"/>
          <w:szCs w:val="24"/>
        </w:rPr>
        <w:t xml:space="preserve"> in the post-liver transplant</w:t>
      </w:r>
      <w:r w:rsidR="00FB604A" w:rsidRPr="006212FF">
        <w:rPr>
          <w:rFonts w:ascii="Book Antiqua" w:hAnsi="Book Antiqua"/>
          <w:sz w:val="24"/>
          <w:szCs w:val="24"/>
        </w:rPr>
        <w:t>ation</w:t>
      </w:r>
      <w:r w:rsidRPr="006212FF">
        <w:rPr>
          <w:rFonts w:ascii="Book Antiqua" w:hAnsi="Book Antiqua"/>
          <w:sz w:val="24"/>
          <w:szCs w:val="24"/>
        </w:rPr>
        <w:t xml:space="preserve"> (LT) setting.</w:t>
      </w:r>
      <w:r w:rsidR="006344CB" w:rsidRPr="006212FF">
        <w:rPr>
          <w:rFonts w:ascii="Book Antiqua" w:hAnsi="Book Antiqua"/>
          <w:sz w:val="24"/>
          <w:szCs w:val="24"/>
        </w:rPr>
        <w:t xml:space="preserve"> </w:t>
      </w:r>
      <w:r w:rsidR="00F1009A" w:rsidRPr="006212FF">
        <w:rPr>
          <w:rFonts w:ascii="Book Antiqua" w:hAnsi="Book Antiqua"/>
          <w:sz w:val="24"/>
          <w:szCs w:val="24"/>
        </w:rPr>
        <w:t>T</w:t>
      </w:r>
      <w:r w:rsidR="00E70F1F" w:rsidRPr="006212FF">
        <w:rPr>
          <w:rFonts w:ascii="Book Antiqua" w:hAnsi="Book Antiqua"/>
          <w:sz w:val="24"/>
          <w:szCs w:val="24"/>
        </w:rPr>
        <w:t xml:space="preserve">he efficacy </w:t>
      </w:r>
      <w:r w:rsidRPr="006212FF">
        <w:rPr>
          <w:rFonts w:ascii="Book Antiqua" w:hAnsi="Book Antiqua"/>
          <w:sz w:val="24"/>
          <w:szCs w:val="24"/>
        </w:rPr>
        <w:t xml:space="preserve">of </w:t>
      </w:r>
      <w:proofErr w:type="spellStart"/>
      <w:r w:rsidRPr="006212FF">
        <w:rPr>
          <w:rFonts w:ascii="Book Antiqua" w:hAnsi="Book Antiqua"/>
          <w:sz w:val="24"/>
          <w:szCs w:val="24"/>
        </w:rPr>
        <w:t>everolimus</w:t>
      </w:r>
      <w:proofErr w:type="spellEnd"/>
      <w:r w:rsidRPr="006212FF">
        <w:rPr>
          <w:rFonts w:ascii="Book Antiqua" w:hAnsi="Book Antiqua"/>
          <w:sz w:val="24"/>
          <w:szCs w:val="24"/>
        </w:rPr>
        <w:t xml:space="preserve"> (EVR) </w:t>
      </w:r>
      <w:r w:rsidR="00E70F1F" w:rsidRPr="006212FF">
        <w:rPr>
          <w:rFonts w:ascii="Book Antiqua" w:hAnsi="Book Antiqua"/>
          <w:sz w:val="24"/>
          <w:szCs w:val="24"/>
        </w:rPr>
        <w:t xml:space="preserve">in </w:t>
      </w:r>
      <w:r w:rsidR="00E70F1F" w:rsidRPr="006212FF">
        <w:rPr>
          <w:rFonts w:ascii="Book Antiqua" w:hAnsi="Book Antiqua"/>
          <w:i/>
          <w:sz w:val="24"/>
          <w:szCs w:val="24"/>
        </w:rPr>
        <w:t xml:space="preserve">de novo </w:t>
      </w:r>
      <w:r w:rsidRPr="006212FF">
        <w:rPr>
          <w:rFonts w:ascii="Book Antiqua" w:hAnsi="Book Antiqua"/>
          <w:sz w:val="24"/>
          <w:szCs w:val="24"/>
        </w:rPr>
        <w:t>LT</w:t>
      </w:r>
      <w:r w:rsidR="006344CB" w:rsidRPr="006212FF">
        <w:rPr>
          <w:rFonts w:ascii="Book Antiqua" w:hAnsi="Book Antiqua"/>
          <w:sz w:val="24"/>
          <w:szCs w:val="24"/>
        </w:rPr>
        <w:t xml:space="preserve"> </w:t>
      </w:r>
      <w:r w:rsidR="00F1009A" w:rsidRPr="006212FF">
        <w:rPr>
          <w:rFonts w:ascii="Book Antiqua" w:hAnsi="Book Antiqua"/>
          <w:sz w:val="24"/>
          <w:szCs w:val="24"/>
        </w:rPr>
        <w:t>is established and</w:t>
      </w:r>
      <w:r w:rsidR="006344CB" w:rsidRPr="006212FF">
        <w:rPr>
          <w:rFonts w:ascii="Book Antiqua" w:hAnsi="Book Antiqua"/>
          <w:sz w:val="24"/>
          <w:szCs w:val="24"/>
        </w:rPr>
        <w:t xml:space="preserve"> </w:t>
      </w:r>
      <w:r w:rsidR="005F1296" w:rsidRPr="006212FF">
        <w:rPr>
          <w:rFonts w:ascii="Book Antiqua" w:hAnsi="Book Antiqua"/>
          <w:sz w:val="24"/>
          <w:szCs w:val="24"/>
        </w:rPr>
        <w:t>a reasonable</w:t>
      </w:r>
      <w:r w:rsidR="00E70F1F" w:rsidRPr="006212FF">
        <w:rPr>
          <w:rFonts w:ascii="Book Antiqua" w:hAnsi="Book Antiqua"/>
          <w:sz w:val="24"/>
          <w:szCs w:val="24"/>
        </w:rPr>
        <w:t xml:space="preserve"> time to initiate EVR is</w:t>
      </w:r>
      <w:r w:rsidR="00F1009A" w:rsidRPr="006212FF">
        <w:rPr>
          <w:rFonts w:ascii="Book Antiqua" w:hAnsi="Book Antiqua"/>
          <w:sz w:val="24"/>
          <w:szCs w:val="24"/>
        </w:rPr>
        <w:t xml:space="preserve"> 30</w:t>
      </w:r>
      <w:r w:rsidR="002C220C" w:rsidRPr="006212FF">
        <w:rPr>
          <w:rFonts w:ascii="Book Antiqua" w:hAnsi="Book Antiqua"/>
          <w:sz w:val="24"/>
          <w:szCs w:val="24"/>
        </w:rPr>
        <w:t xml:space="preserve"> </w:t>
      </w:r>
      <w:r w:rsidR="00F1009A" w:rsidRPr="006212FF">
        <w:rPr>
          <w:rFonts w:ascii="Book Antiqua" w:hAnsi="Book Antiqua"/>
          <w:sz w:val="24"/>
          <w:szCs w:val="24"/>
        </w:rPr>
        <w:t xml:space="preserve">d from </w:t>
      </w:r>
      <w:r w:rsidR="002C220C" w:rsidRPr="006212FF">
        <w:rPr>
          <w:rFonts w:ascii="Book Antiqua" w:hAnsi="Book Antiqua"/>
          <w:sz w:val="24"/>
          <w:szCs w:val="24"/>
        </w:rPr>
        <w:t>LT</w:t>
      </w:r>
      <w:r w:rsidR="00F1009A" w:rsidRPr="006212FF">
        <w:rPr>
          <w:rFonts w:ascii="Book Antiqua" w:hAnsi="Book Antiqua"/>
          <w:sz w:val="24"/>
          <w:szCs w:val="24"/>
        </w:rPr>
        <w:t xml:space="preserve"> surgery. </w:t>
      </w:r>
      <w:r w:rsidR="001005F1" w:rsidRPr="006212FF">
        <w:rPr>
          <w:rFonts w:ascii="Book Antiqua" w:hAnsi="Book Antiqua"/>
          <w:sz w:val="24"/>
          <w:szCs w:val="24"/>
        </w:rPr>
        <w:t>Initiating EVR early post</w:t>
      </w:r>
      <w:r w:rsidRPr="006212FF">
        <w:rPr>
          <w:rFonts w:ascii="Book Antiqua" w:hAnsi="Book Antiqua"/>
          <w:sz w:val="24"/>
          <w:szCs w:val="24"/>
        </w:rPr>
        <w:t>-</w:t>
      </w:r>
      <w:r w:rsidR="002C220C" w:rsidRPr="006212FF">
        <w:rPr>
          <w:rFonts w:ascii="Book Antiqua" w:hAnsi="Book Antiqua"/>
          <w:sz w:val="24"/>
          <w:szCs w:val="24"/>
        </w:rPr>
        <w:t>LT</w:t>
      </w:r>
      <w:r w:rsidR="001005F1" w:rsidRPr="006212FF">
        <w:rPr>
          <w:rFonts w:ascii="Book Antiqua" w:hAnsi="Book Antiqua"/>
          <w:sz w:val="24"/>
          <w:szCs w:val="24"/>
        </w:rPr>
        <w:t xml:space="preserve"> </w:t>
      </w:r>
      <w:r w:rsidR="00B24ADC" w:rsidRPr="006212FF">
        <w:rPr>
          <w:rFonts w:ascii="Book Antiqua" w:hAnsi="Book Antiqua"/>
          <w:sz w:val="24"/>
          <w:szCs w:val="24"/>
        </w:rPr>
        <w:t xml:space="preserve">allows </w:t>
      </w:r>
      <w:r w:rsidRPr="006212FF">
        <w:rPr>
          <w:rFonts w:ascii="Book Antiqua" w:hAnsi="Book Antiqua"/>
          <w:sz w:val="24"/>
          <w:szCs w:val="24"/>
        </w:rPr>
        <w:t xml:space="preserve">for </w:t>
      </w:r>
      <w:proofErr w:type="spellStart"/>
      <w:r w:rsidRPr="006212FF">
        <w:rPr>
          <w:rFonts w:ascii="Book Antiqua" w:hAnsi="Book Antiqua"/>
          <w:sz w:val="24"/>
          <w:szCs w:val="24"/>
        </w:rPr>
        <w:t>calcineurin</w:t>
      </w:r>
      <w:proofErr w:type="spellEnd"/>
      <w:r w:rsidRPr="006212FF">
        <w:rPr>
          <w:rFonts w:ascii="Book Antiqua" w:hAnsi="Book Antiqua"/>
          <w:sz w:val="24"/>
          <w:szCs w:val="24"/>
        </w:rPr>
        <w:t xml:space="preserve"> inhibitor</w:t>
      </w:r>
      <w:r w:rsidR="00E5702C" w:rsidRPr="006212FF">
        <w:rPr>
          <w:rFonts w:ascii="Book Antiqua" w:hAnsi="Book Antiqua"/>
          <w:sz w:val="24"/>
          <w:szCs w:val="24"/>
        </w:rPr>
        <w:t xml:space="preserve"> </w:t>
      </w:r>
      <w:r w:rsidRPr="006212FF">
        <w:rPr>
          <w:rFonts w:ascii="Book Antiqua" w:hAnsi="Book Antiqua"/>
          <w:sz w:val="24"/>
          <w:szCs w:val="24"/>
        </w:rPr>
        <w:t>(</w:t>
      </w:r>
      <w:r w:rsidR="001005F1" w:rsidRPr="006212FF">
        <w:rPr>
          <w:rFonts w:ascii="Book Antiqua" w:hAnsi="Book Antiqua"/>
          <w:sz w:val="24"/>
          <w:szCs w:val="24"/>
        </w:rPr>
        <w:t>CNI</w:t>
      </w:r>
      <w:r w:rsidRPr="006212FF">
        <w:rPr>
          <w:rFonts w:ascii="Book Antiqua" w:hAnsi="Book Antiqua"/>
          <w:sz w:val="24"/>
          <w:szCs w:val="24"/>
        </w:rPr>
        <w:t>)</w:t>
      </w:r>
      <w:r w:rsidR="001005F1" w:rsidRPr="006212FF">
        <w:rPr>
          <w:rFonts w:ascii="Book Antiqua" w:hAnsi="Book Antiqua"/>
          <w:sz w:val="24"/>
          <w:szCs w:val="24"/>
        </w:rPr>
        <w:t xml:space="preserve"> reduction</w:t>
      </w:r>
      <w:r w:rsidRPr="006212FF">
        <w:rPr>
          <w:rFonts w:ascii="Book Antiqua" w:hAnsi="Book Antiqua"/>
          <w:sz w:val="24"/>
          <w:szCs w:val="24"/>
        </w:rPr>
        <w:t>,</w:t>
      </w:r>
      <w:r w:rsidR="001005F1" w:rsidRPr="006212FF">
        <w:rPr>
          <w:rFonts w:ascii="Book Antiqua" w:hAnsi="Book Antiqua"/>
          <w:sz w:val="24"/>
          <w:szCs w:val="24"/>
        </w:rPr>
        <w:t xml:space="preserve"> thus reduc</w:t>
      </w:r>
      <w:r w:rsidRPr="006212FF">
        <w:rPr>
          <w:rFonts w:ascii="Book Antiqua" w:hAnsi="Book Antiqua"/>
          <w:sz w:val="24"/>
          <w:szCs w:val="24"/>
        </w:rPr>
        <w:t>ing</w:t>
      </w:r>
      <w:r w:rsidR="001005F1" w:rsidRPr="006212FF">
        <w:rPr>
          <w:rFonts w:ascii="Book Antiqua" w:hAnsi="Book Antiqua"/>
          <w:sz w:val="24"/>
          <w:szCs w:val="24"/>
        </w:rPr>
        <w:t xml:space="preserve"> nephrotoxicity in </w:t>
      </w:r>
      <w:r w:rsidR="002C220C" w:rsidRPr="006212FF">
        <w:rPr>
          <w:rFonts w:ascii="Book Antiqua" w:hAnsi="Book Antiqua"/>
          <w:sz w:val="24"/>
          <w:szCs w:val="24"/>
        </w:rPr>
        <w:t>LT</w:t>
      </w:r>
      <w:r w:rsidR="001005F1" w:rsidRPr="006212FF">
        <w:rPr>
          <w:rFonts w:ascii="Book Antiqua" w:hAnsi="Book Antiqua"/>
          <w:sz w:val="24"/>
          <w:szCs w:val="24"/>
        </w:rPr>
        <w:t xml:space="preserve"> recipients.</w:t>
      </w:r>
      <w:r w:rsidR="006212FF">
        <w:rPr>
          <w:rFonts w:ascii="Book Antiqua" w:hAnsi="Book Antiqua"/>
          <w:sz w:val="24"/>
          <w:szCs w:val="24"/>
        </w:rPr>
        <w:t xml:space="preserve"> </w:t>
      </w:r>
      <w:r w:rsidR="00F1009A" w:rsidRPr="006212FF">
        <w:rPr>
          <w:rFonts w:ascii="Book Antiqua" w:hAnsi="Book Antiqua"/>
          <w:sz w:val="24"/>
          <w:szCs w:val="24"/>
        </w:rPr>
        <w:t>However, data</w:t>
      </w:r>
      <w:r w:rsidR="00E70F1F" w:rsidRPr="006212FF">
        <w:rPr>
          <w:rFonts w:ascii="Book Antiqua" w:hAnsi="Book Antiqua"/>
          <w:sz w:val="24"/>
          <w:szCs w:val="24"/>
        </w:rPr>
        <w:t xml:space="preserve"> is inadequate </w:t>
      </w:r>
      <w:r w:rsidR="002C220C" w:rsidRPr="006212FF">
        <w:rPr>
          <w:rFonts w:ascii="Book Antiqua" w:hAnsi="Book Antiqua"/>
          <w:sz w:val="24"/>
          <w:szCs w:val="24"/>
        </w:rPr>
        <w:t>on the</w:t>
      </w:r>
      <w:r w:rsidR="00E70F1F" w:rsidRPr="006212FF">
        <w:rPr>
          <w:rFonts w:ascii="Book Antiqua" w:hAnsi="Book Antiqua"/>
          <w:sz w:val="24"/>
          <w:szCs w:val="24"/>
        </w:rPr>
        <w:t xml:space="preserve"> </w:t>
      </w:r>
      <w:r w:rsidR="00F1009A" w:rsidRPr="006212FF">
        <w:rPr>
          <w:rFonts w:ascii="Book Antiqua" w:hAnsi="Book Antiqua"/>
          <w:sz w:val="24"/>
          <w:szCs w:val="24"/>
        </w:rPr>
        <w:t>appropriate timing for conversion from CNI</w:t>
      </w:r>
      <w:r w:rsidR="00B24ADC" w:rsidRPr="006212FF">
        <w:rPr>
          <w:rFonts w:ascii="Book Antiqua" w:hAnsi="Book Antiqua"/>
          <w:sz w:val="24"/>
          <w:szCs w:val="24"/>
        </w:rPr>
        <w:t xml:space="preserve"> </w:t>
      </w:r>
      <w:r w:rsidR="002C220C" w:rsidRPr="006212FF">
        <w:rPr>
          <w:rFonts w:ascii="Book Antiqua" w:hAnsi="Book Antiqua"/>
          <w:sz w:val="24"/>
          <w:szCs w:val="24"/>
        </w:rPr>
        <w:t xml:space="preserve">to EVR </w:t>
      </w:r>
      <w:r w:rsidR="001005F1" w:rsidRPr="006212FF">
        <w:rPr>
          <w:rFonts w:ascii="Book Antiqua" w:hAnsi="Book Antiqua"/>
          <w:sz w:val="24"/>
          <w:szCs w:val="24"/>
        </w:rPr>
        <w:t xml:space="preserve">maintenance </w:t>
      </w:r>
      <w:r w:rsidR="002C220C" w:rsidRPr="006212FF">
        <w:rPr>
          <w:rFonts w:ascii="Book Antiqua" w:hAnsi="Book Antiqua"/>
          <w:sz w:val="24"/>
          <w:szCs w:val="24"/>
        </w:rPr>
        <w:t xml:space="preserve">in order </w:t>
      </w:r>
      <w:r w:rsidR="00F1009A" w:rsidRPr="006212FF">
        <w:rPr>
          <w:rFonts w:ascii="Book Antiqua" w:hAnsi="Book Antiqua"/>
          <w:sz w:val="24"/>
          <w:szCs w:val="24"/>
        </w:rPr>
        <w:t xml:space="preserve">to achieve optimal </w:t>
      </w:r>
      <w:proofErr w:type="spellStart"/>
      <w:r w:rsidR="00F1009A" w:rsidRPr="006212FF">
        <w:rPr>
          <w:rFonts w:ascii="Book Antiqua" w:hAnsi="Book Antiqua"/>
          <w:sz w:val="24"/>
          <w:szCs w:val="24"/>
        </w:rPr>
        <w:t>renoprotective</w:t>
      </w:r>
      <w:proofErr w:type="spellEnd"/>
      <w:r w:rsidR="00F1009A" w:rsidRPr="006212FF">
        <w:rPr>
          <w:rFonts w:ascii="Book Antiqua" w:hAnsi="Book Antiqua"/>
          <w:sz w:val="24"/>
          <w:szCs w:val="24"/>
        </w:rPr>
        <w:t xml:space="preserve"> effect without compromising </w:t>
      </w:r>
      <w:r w:rsidR="002C220C" w:rsidRPr="006212FF">
        <w:rPr>
          <w:rFonts w:ascii="Book Antiqua" w:hAnsi="Book Antiqua"/>
          <w:sz w:val="24"/>
          <w:szCs w:val="24"/>
        </w:rPr>
        <w:t xml:space="preserve">drug </w:t>
      </w:r>
      <w:r w:rsidR="00F1009A" w:rsidRPr="006212FF">
        <w:rPr>
          <w:rFonts w:ascii="Book Antiqua" w:hAnsi="Book Antiqua"/>
          <w:sz w:val="24"/>
          <w:szCs w:val="24"/>
        </w:rPr>
        <w:t xml:space="preserve">efficacy. Adverse effects of </w:t>
      </w:r>
      <w:r w:rsidR="001005F1" w:rsidRPr="006212FF">
        <w:rPr>
          <w:rFonts w:ascii="Book Antiqua" w:hAnsi="Book Antiqua"/>
          <w:sz w:val="24"/>
          <w:szCs w:val="24"/>
        </w:rPr>
        <w:t>proteinuria, hypercholesterolemia and hyperlipidemia are significantly higher</w:t>
      </w:r>
      <w:r w:rsidR="00F1009A" w:rsidRPr="006212FF">
        <w:rPr>
          <w:rFonts w:ascii="Book Antiqua" w:hAnsi="Book Antiqua"/>
          <w:sz w:val="24"/>
          <w:szCs w:val="24"/>
        </w:rPr>
        <w:t xml:space="preserve"> as compa</w:t>
      </w:r>
      <w:r w:rsidR="00881D7C" w:rsidRPr="006212FF">
        <w:rPr>
          <w:rFonts w:ascii="Book Antiqua" w:hAnsi="Book Antiqua"/>
          <w:sz w:val="24"/>
          <w:szCs w:val="24"/>
        </w:rPr>
        <w:t>red to standard CNI</w:t>
      </w:r>
      <w:r w:rsidR="001005F1" w:rsidRPr="006212FF">
        <w:rPr>
          <w:rFonts w:ascii="Book Antiqua" w:hAnsi="Book Antiqua"/>
          <w:sz w:val="24"/>
          <w:szCs w:val="24"/>
        </w:rPr>
        <w:t xml:space="preserve"> and long</w:t>
      </w:r>
      <w:r w:rsidR="002C220C" w:rsidRPr="006212FF">
        <w:rPr>
          <w:rFonts w:ascii="Book Antiqua" w:hAnsi="Book Antiqua"/>
          <w:sz w:val="24"/>
          <w:szCs w:val="24"/>
        </w:rPr>
        <w:t>-</w:t>
      </w:r>
      <w:r w:rsidR="001005F1" w:rsidRPr="006212FF">
        <w:rPr>
          <w:rFonts w:ascii="Book Antiqua" w:hAnsi="Book Antiqua"/>
          <w:sz w:val="24"/>
          <w:szCs w:val="24"/>
        </w:rPr>
        <w:t>term implication</w:t>
      </w:r>
      <w:r w:rsidR="00455992" w:rsidRPr="006212FF">
        <w:rPr>
          <w:rFonts w:ascii="Book Antiqua" w:hAnsi="Book Antiqua"/>
          <w:sz w:val="24"/>
          <w:szCs w:val="24"/>
        </w:rPr>
        <w:t>s</w:t>
      </w:r>
      <w:r w:rsidR="001005F1" w:rsidRPr="006212FF">
        <w:rPr>
          <w:rFonts w:ascii="Book Antiqua" w:hAnsi="Book Antiqua"/>
          <w:sz w:val="24"/>
          <w:szCs w:val="24"/>
        </w:rPr>
        <w:t xml:space="preserve"> on graft and patient survival in </w:t>
      </w:r>
      <w:r w:rsidR="005F1296" w:rsidRPr="006212FF">
        <w:rPr>
          <w:rFonts w:ascii="Book Antiqua" w:hAnsi="Book Antiqua"/>
          <w:sz w:val="24"/>
          <w:szCs w:val="24"/>
        </w:rPr>
        <w:t>LT</w:t>
      </w:r>
      <w:r w:rsidR="001005F1" w:rsidRPr="006212FF">
        <w:rPr>
          <w:rFonts w:ascii="Book Antiqua" w:hAnsi="Book Antiqua"/>
          <w:sz w:val="24"/>
          <w:szCs w:val="24"/>
        </w:rPr>
        <w:t xml:space="preserve"> is still unclear</w:t>
      </w:r>
      <w:r w:rsidR="00881D7C" w:rsidRPr="006212FF">
        <w:rPr>
          <w:rFonts w:ascii="Book Antiqua" w:hAnsi="Book Antiqua"/>
          <w:sz w:val="24"/>
          <w:szCs w:val="24"/>
        </w:rPr>
        <w:t xml:space="preserve">. Future research to explore strategies to </w:t>
      </w:r>
      <w:proofErr w:type="spellStart"/>
      <w:r w:rsidR="00881D7C" w:rsidRPr="006212FF">
        <w:rPr>
          <w:rFonts w:ascii="Book Antiqua" w:hAnsi="Book Antiqua"/>
          <w:sz w:val="24"/>
          <w:szCs w:val="24"/>
        </w:rPr>
        <w:t>minimise</w:t>
      </w:r>
      <w:proofErr w:type="spellEnd"/>
      <w:r w:rsidR="00881D7C" w:rsidRPr="006212FF">
        <w:rPr>
          <w:rFonts w:ascii="Book Antiqua" w:hAnsi="Book Antiqua"/>
          <w:sz w:val="24"/>
          <w:szCs w:val="24"/>
        </w:rPr>
        <w:t xml:space="preserve"> EVR adverse effects will be crucial for </w:t>
      </w:r>
      <w:r w:rsidR="001005F1" w:rsidRPr="006212FF">
        <w:rPr>
          <w:rFonts w:ascii="Book Antiqua" w:hAnsi="Book Antiqua"/>
          <w:sz w:val="24"/>
          <w:szCs w:val="24"/>
        </w:rPr>
        <w:t xml:space="preserve">the success of </w:t>
      </w:r>
      <w:r w:rsidR="00881D7C" w:rsidRPr="006212FF">
        <w:rPr>
          <w:rFonts w:ascii="Book Antiqua" w:hAnsi="Book Antiqua"/>
          <w:sz w:val="24"/>
          <w:szCs w:val="24"/>
        </w:rPr>
        <w:t xml:space="preserve">EVR as </w:t>
      </w:r>
      <w:r w:rsidRPr="006212FF">
        <w:rPr>
          <w:rFonts w:ascii="Book Antiqua" w:hAnsi="Book Antiqua"/>
          <w:sz w:val="24"/>
          <w:szCs w:val="24"/>
        </w:rPr>
        <w:t xml:space="preserve">an </w:t>
      </w:r>
      <w:r w:rsidR="00881D7C" w:rsidRPr="006212FF">
        <w:rPr>
          <w:rFonts w:ascii="Book Antiqua" w:hAnsi="Book Antiqua"/>
          <w:sz w:val="24"/>
          <w:szCs w:val="24"/>
        </w:rPr>
        <w:t xml:space="preserve">important alternative </w:t>
      </w:r>
      <w:r w:rsidR="005F1296" w:rsidRPr="006212FF">
        <w:rPr>
          <w:rFonts w:ascii="Book Antiqua" w:hAnsi="Book Antiqua"/>
          <w:sz w:val="24"/>
          <w:szCs w:val="24"/>
        </w:rPr>
        <w:t xml:space="preserve">or adjunct </w:t>
      </w:r>
      <w:r w:rsidR="00881D7C" w:rsidRPr="006212FF">
        <w:rPr>
          <w:rFonts w:ascii="Book Antiqua" w:hAnsi="Book Antiqua"/>
          <w:sz w:val="24"/>
          <w:szCs w:val="24"/>
        </w:rPr>
        <w:t xml:space="preserve">immunosuppressive therapy in </w:t>
      </w:r>
      <w:r w:rsidR="005F1296" w:rsidRPr="006212FF">
        <w:rPr>
          <w:rFonts w:ascii="Book Antiqua" w:hAnsi="Book Antiqua"/>
          <w:sz w:val="24"/>
          <w:szCs w:val="24"/>
        </w:rPr>
        <w:t>LT</w:t>
      </w:r>
      <w:r w:rsidR="00881D7C" w:rsidRPr="006212FF">
        <w:rPr>
          <w:rFonts w:ascii="Book Antiqua" w:hAnsi="Book Antiqua"/>
          <w:sz w:val="24"/>
          <w:szCs w:val="24"/>
        </w:rPr>
        <w:t>.</w:t>
      </w:r>
    </w:p>
    <w:p w14:paraId="748E7E2B" w14:textId="77777777" w:rsidR="000843CF" w:rsidRPr="006212FF" w:rsidRDefault="000843CF" w:rsidP="006212FF">
      <w:pPr>
        <w:spacing w:after="0" w:line="360" w:lineRule="auto"/>
        <w:jc w:val="both"/>
        <w:rPr>
          <w:rFonts w:ascii="Book Antiqua" w:hAnsi="Book Antiqua"/>
          <w:sz w:val="24"/>
          <w:szCs w:val="24"/>
        </w:rPr>
      </w:pPr>
    </w:p>
    <w:p w14:paraId="0BDC0FAA" w14:textId="184A67F6" w:rsidR="00AE78F1" w:rsidRPr="006212FF" w:rsidRDefault="00246DE5" w:rsidP="006212FF">
      <w:pPr>
        <w:spacing w:after="0" w:line="360" w:lineRule="auto"/>
        <w:jc w:val="both"/>
        <w:rPr>
          <w:rFonts w:ascii="Book Antiqua" w:hAnsi="Book Antiqua"/>
          <w:sz w:val="24"/>
          <w:szCs w:val="24"/>
        </w:rPr>
      </w:pPr>
      <w:r w:rsidRPr="006212FF">
        <w:rPr>
          <w:rFonts w:ascii="Book Antiqua" w:hAnsi="Book Antiqua"/>
          <w:b/>
          <w:sz w:val="24"/>
          <w:szCs w:val="24"/>
        </w:rPr>
        <w:t>Key words</w:t>
      </w:r>
      <w:r w:rsidR="00C06701" w:rsidRPr="006212FF">
        <w:rPr>
          <w:rFonts w:ascii="Book Antiqua" w:hAnsi="Book Antiqua"/>
          <w:b/>
          <w:sz w:val="24"/>
          <w:szCs w:val="24"/>
        </w:rPr>
        <w:t>:</w:t>
      </w:r>
      <w:r w:rsidR="00C06701" w:rsidRPr="006212FF">
        <w:rPr>
          <w:rFonts w:ascii="Book Antiqua" w:hAnsi="Book Antiqua"/>
          <w:sz w:val="24"/>
          <w:szCs w:val="24"/>
        </w:rPr>
        <w:t xml:space="preserve"> </w:t>
      </w:r>
      <w:proofErr w:type="spellStart"/>
      <w:r w:rsidR="000843CF" w:rsidRPr="006212FF">
        <w:rPr>
          <w:rFonts w:ascii="Book Antiqua" w:hAnsi="Book Antiqua"/>
          <w:sz w:val="24"/>
          <w:szCs w:val="24"/>
        </w:rPr>
        <w:t>Everolimus</w:t>
      </w:r>
      <w:proofErr w:type="spellEnd"/>
      <w:r w:rsidR="000843CF" w:rsidRPr="006212FF">
        <w:rPr>
          <w:rFonts w:ascii="Book Antiqua" w:hAnsi="Book Antiqua"/>
          <w:sz w:val="24"/>
          <w:szCs w:val="24"/>
        </w:rPr>
        <w:t>;</w:t>
      </w:r>
      <w:r w:rsidR="00C06701" w:rsidRPr="006212FF">
        <w:rPr>
          <w:rFonts w:ascii="Book Antiqua" w:hAnsi="Book Antiqua"/>
          <w:sz w:val="24"/>
          <w:szCs w:val="24"/>
        </w:rPr>
        <w:t xml:space="preserve"> </w:t>
      </w:r>
      <w:r w:rsidR="000843CF" w:rsidRPr="006212FF">
        <w:rPr>
          <w:rFonts w:ascii="Book Antiqua" w:hAnsi="Book Antiqua"/>
          <w:sz w:val="24"/>
          <w:szCs w:val="24"/>
        </w:rPr>
        <w:t xml:space="preserve">Liver </w:t>
      </w:r>
      <w:r w:rsidR="00C06701" w:rsidRPr="006212FF">
        <w:rPr>
          <w:rFonts w:ascii="Book Antiqua" w:hAnsi="Book Antiqua"/>
          <w:sz w:val="24"/>
          <w:szCs w:val="24"/>
        </w:rPr>
        <w:t>transplant</w:t>
      </w:r>
      <w:r w:rsidR="005F1296" w:rsidRPr="006212FF">
        <w:rPr>
          <w:rFonts w:ascii="Book Antiqua" w:hAnsi="Book Antiqua"/>
          <w:sz w:val="24"/>
          <w:szCs w:val="24"/>
        </w:rPr>
        <w:t>ation</w:t>
      </w:r>
      <w:r w:rsidR="000843CF" w:rsidRPr="006212FF">
        <w:rPr>
          <w:rFonts w:ascii="Book Antiqua" w:hAnsi="Book Antiqua"/>
          <w:sz w:val="24"/>
          <w:szCs w:val="24"/>
        </w:rPr>
        <w:t>;</w:t>
      </w:r>
      <w:r w:rsidR="001005F1" w:rsidRPr="006212FF">
        <w:rPr>
          <w:rFonts w:ascii="Book Antiqua" w:hAnsi="Book Antiqua"/>
          <w:sz w:val="24"/>
          <w:szCs w:val="24"/>
        </w:rPr>
        <w:t xml:space="preserve"> </w:t>
      </w:r>
      <w:r w:rsidR="000843CF" w:rsidRPr="006212FF">
        <w:rPr>
          <w:rFonts w:ascii="Book Antiqua" w:hAnsi="Book Antiqua"/>
          <w:sz w:val="24"/>
          <w:szCs w:val="24"/>
        </w:rPr>
        <w:t>Immunosuppression;</w:t>
      </w:r>
      <w:r w:rsidR="005F1296" w:rsidRPr="006212FF">
        <w:rPr>
          <w:rFonts w:ascii="Book Antiqua" w:hAnsi="Book Antiqua"/>
          <w:sz w:val="24"/>
          <w:szCs w:val="24"/>
        </w:rPr>
        <w:t xml:space="preserve"> </w:t>
      </w:r>
      <w:r w:rsidR="000843CF" w:rsidRPr="006212FF">
        <w:rPr>
          <w:rFonts w:ascii="Book Antiqua" w:hAnsi="Book Antiqua"/>
          <w:sz w:val="24"/>
          <w:szCs w:val="24"/>
        </w:rPr>
        <w:t>Nephrotoxicity;</w:t>
      </w:r>
      <w:r w:rsidR="005F1296" w:rsidRPr="006212FF">
        <w:rPr>
          <w:rFonts w:ascii="Book Antiqua" w:hAnsi="Book Antiqua"/>
          <w:sz w:val="24"/>
          <w:szCs w:val="24"/>
        </w:rPr>
        <w:t xml:space="preserve"> </w:t>
      </w:r>
      <w:r w:rsidR="000843CF" w:rsidRPr="006212FF">
        <w:rPr>
          <w:rFonts w:ascii="Book Antiqua" w:hAnsi="Book Antiqua"/>
          <w:sz w:val="24"/>
          <w:szCs w:val="24"/>
        </w:rPr>
        <w:t xml:space="preserve">Mammalian target of </w:t>
      </w:r>
      <w:proofErr w:type="spellStart"/>
      <w:r w:rsidR="000843CF" w:rsidRPr="006212FF">
        <w:rPr>
          <w:rFonts w:ascii="Book Antiqua" w:hAnsi="Book Antiqua"/>
          <w:sz w:val="24"/>
          <w:szCs w:val="24"/>
        </w:rPr>
        <w:t>rapamycin</w:t>
      </w:r>
      <w:proofErr w:type="spellEnd"/>
      <w:r w:rsidR="005F1296" w:rsidRPr="006212FF">
        <w:rPr>
          <w:rFonts w:ascii="Book Antiqua" w:hAnsi="Book Antiqua"/>
          <w:sz w:val="24"/>
          <w:szCs w:val="24"/>
        </w:rPr>
        <w:t xml:space="preserve"> inhibitor</w:t>
      </w:r>
    </w:p>
    <w:p w14:paraId="65ACFC87" w14:textId="77777777" w:rsidR="00963783" w:rsidRPr="006212FF" w:rsidRDefault="00963783" w:rsidP="006212FF">
      <w:pPr>
        <w:spacing w:after="0" w:line="360" w:lineRule="auto"/>
        <w:jc w:val="both"/>
        <w:rPr>
          <w:rFonts w:ascii="Book Antiqua" w:hAnsi="Book Antiqua"/>
          <w:sz w:val="24"/>
          <w:szCs w:val="24"/>
        </w:rPr>
      </w:pPr>
    </w:p>
    <w:p w14:paraId="3B50ADA4" w14:textId="77777777" w:rsidR="000843CF" w:rsidRPr="006212FF" w:rsidRDefault="000843CF" w:rsidP="006212FF">
      <w:pPr>
        <w:spacing w:after="0" w:line="360" w:lineRule="auto"/>
        <w:jc w:val="both"/>
        <w:rPr>
          <w:rFonts w:ascii="Book Antiqua" w:hAnsi="Book Antiqua" w:cs="Arial"/>
          <w:sz w:val="24"/>
          <w:szCs w:val="24"/>
        </w:rPr>
      </w:pPr>
      <w:proofErr w:type="gramStart"/>
      <w:r w:rsidRPr="006212FF">
        <w:rPr>
          <w:rFonts w:ascii="Book Antiqua" w:hAnsi="Book Antiqua"/>
          <w:b/>
          <w:sz w:val="24"/>
          <w:szCs w:val="24"/>
        </w:rPr>
        <w:t xml:space="preserve">© </w:t>
      </w:r>
      <w:r w:rsidRPr="006212FF">
        <w:rPr>
          <w:rFonts w:ascii="Book Antiqua" w:hAnsi="Book Antiqua" w:cs="Arial"/>
          <w:b/>
          <w:sz w:val="24"/>
          <w:szCs w:val="24"/>
        </w:rPr>
        <w:t>The Author(s) 2017.</w:t>
      </w:r>
      <w:proofErr w:type="gramEnd"/>
      <w:r w:rsidRPr="006212FF">
        <w:rPr>
          <w:rFonts w:ascii="Book Antiqua" w:hAnsi="Book Antiqua" w:cs="Arial"/>
          <w:sz w:val="24"/>
          <w:szCs w:val="24"/>
        </w:rPr>
        <w:t xml:space="preserve"> Published by </w:t>
      </w:r>
      <w:proofErr w:type="spellStart"/>
      <w:r w:rsidRPr="006212FF">
        <w:rPr>
          <w:rFonts w:ascii="Book Antiqua" w:hAnsi="Book Antiqua" w:cs="Arial"/>
          <w:sz w:val="24"/>
          <w:szCs w:val="24"/>
        </w:rPr>
        <w:t>Baishideng</w:t>
      </w:r>
      <w:proofErr w:type="spellEnd"/>
      <w:r w:rsidRPr="006212FF">
        <w:rPr>
          <w:rFonts w:ascii="Book Antiqua" w:hAnsi="Book Antiqua" w:cs="Arial"/>
          <w:sz w:val="24"/>
          <w:szCs w:val="24"/>
        </w:rPr>
        <w:t xml:space="preserve"> Publishing Group Inc. All rights reserved.</w:t>
      </w:r>
    </w:p>
    <w:p w14:paraId="79831025" w14:textId="77777777" w:rsidR="000843CF" w:rsidRPr="006212FF" w:rsidRDefault="000843CF" w:rsidP="006212FF">
      <w:pPr>
        <w:spacing w:after="0" w:line="360" w:lineRule="auto"/>
        <w:jc w:val="both"/>
        <w:rPr>
          <w:rFonts w:ascii="Book Antiqua" w:hAnsi="Book Antiqua"/>
          <w:sz w:val="24"/>
          <w:szCs w:val="24"/>
        </w:rPr>
      </w:pPr>
    </w:p>
    <w:p w14:paraId="7B86917F" w14:textId="16D86630" w:rsidR="006616BA" w:rsidRPr="006212FF" w:rsidRDefault="006616BA" w:rsidP="006212FF">
      <w:pPr>
        <w:spacing w:after="0" w:line="360" w:lineRule="auto"/>
        <w:jc w:val="both"/>
        <w:rPr>
          <w:rFonts w:ascii="Book Antiqua" w:hAnsi="Book Antiqua"/>
          <w:sz w:val="24"/>
          <w:szCs w:val="24"/>
        </w:rPr>
      </w:pPr>
      <w:r w:rsidRPr="006212FF">
        <w:rPr>
          <w:rFonts w:ascii="Book Antiqua" w:hAnsi="Book Antiqua"/>
          <w:b/>
          <w:sz w:val="24"/>
          <w:szCs w:val="24"/>
        </w:rPr>
        <w:t>C</w:t>
      </w:r>
      <w:r w:rsidR="000843CF" w:rsidRPr="006212FF">
        <w:rPr>
          <w:rFonts w:ascii="Book Antiqua" w:hAnsi="Book Antiqua"/>
          <w:b/>
          <w:sz w:val="24"/>
          <w:szCs w:val="24"/>
        </w:rPr>
        <w:t xml:space="preserve">ore tip: </w:t>
      </w:r>
      <w:proofErr w:type="spellStart"/>
      <w:r w:rsidRPr="006212FF">
        <w:rPr>
          <w:rFonts w:ascii="Book Antiqua" w:hAnsi="Book Antiqua"/>
          <w:sz w:val="24"/>
          <w:szCs w:val="24"/>
        </w:rPr>
        <w:t>Everolimus</w:t>
      </w:r>
      <w:proofErr w:type="spellEnd"/>
      <w:r w:rsidRPr="006212FF">
        <w:rPr>
          <w:rFonts w:ascii="Book Antiqua" w:hAnsi="Book Antiqua"/>
          <w:sz w:val="24"/>
          <w:szCs w:val="24"/>
        </w:rPr>
        <w:t xml:space="preserve"> is </w:t>
      </w:r>
      <w:r w:rsidR="00A11E10" w:rsidRPr="006212FF">
        <w:rPr>
          <w:rFonts w:ascii="Book Antiqua" w:hAnsi="Book Antiqua"/>
          <w:sz w:val="24"/>
          <w:szCs w:val="24"/>
        </w:rPr>
        <w:t xml:space="preserve">the </w:t>
      </w:r>
      <w:r w:rsidRPr="006212FF">
        <w:rPr>
          <w:rFonts w:ascii="Book Antiqua" w:hAnsi="Book Antiqua"/>
          <w:sz w:val="24"/>
          <w:szCs w:val="24"/>
        </w:rPr>
        <w:t>most recently approved immun</w:t>
      </w:r>
      <w:r w:rsidR="00796830" w:rsidRPr="006212FF">
        <w:rPr>
          <w:rFonts w:ascii="Book Antiqua" w:hAnsi="Book Antiqua"/>
          <w:sz w:val="24"/>
          <w:szCs w:val="24"/>
        </w:rPr>
        <w:t>osuppressant</w:t>
      </w:r>
      <w:r w:rsidRPr="006212FF">
        <w:rPr>
          <w:rFonts w:ascii="Book Antiqua" w:hAnsi="Book Antiqua"/>
          <w:sz w:val="24"/>
          <w:szCs w:val="24"/>
        </w:rPr>
        <w:t xml:space="preserve"> </w:t>
      </w:r>
      <w:r w:rsidR="00796830" w:rsidRPr="006212FF">
        <w:rPr>
          <w:rFonts w:ascii="Book Antiqua" w:hAnsi="Book Antiqua"/>
          <w:sz w:val="24"/>
          <w:szCs w:val="24"/>
        </w:rPr>
        <w:t xml:space="preserve">for use </w:t>
      </w:r>
      <w:r w:rsidRPr="006212FF">
        <w:rPr>
          <w:rFonts w:ascii="Book Antiqua" w:hAnsi="Book Antiqua"/>
          <w:sz w:val="24"/>
          <w:szCs w:val="24"/>
        </w:rPr>
        <w:t xml:space="preserve">in </w:t>
      </w:r>
      <w:r w:rsidR="005857B1" w:rsidRPr="006212FF">
        <w:rPr>
          <w:rFonts w:ascii="Book Antiqua" w:hAnsi="Book Antiqua"/>
          <w:sz w:val="24"/>
          <w:szCs w:val="24"/>
        </w:rPr>
        <w:t>liver transplantation (LT)</w:t>
      </w:r>
      <w:r w:rsidRPr="006212FF">
        <w:rPr>
          <w:rFonts w:ascii="Book Antiqua" w:hAnsi="Book Antiqua"/>
          <w:sz w:val="24"/>
          <w:szCs w:val="24"/>
        </w:rPr>
        <w:t xml:space="preserve">. </w:t>
      </w:r>
      <w:r w:rsidR="00796830" w:rsidRPr="006212FF">
        <w:rPr>
          <w:rFonts w:ascii="Book Antiqua" w:hAnsi="Book Antiqua"/>
          <w:sz w:val="24"/>
          <w:szCs w:val="24"/>
        </w:rPr>
        <w:t xml:space="preserve">Its </w:t>
      </w:r>
      <w:proofErr w:type="spellStart"/>
      <w:r w:rsidR="00796830" w:rsidRPr="006212FF">
        <w:rPr>
          <w:rFonts w:ascii="Book Antiqua" w:hAnsi="Book Antiqua"/>
          <w:sz w:val="24"/>
          <w:szCs w:val="24"/>
        </w:rPr>
        <w:t>renoprotective</w:t>
      </w:r>
      <w:proofErr w:type="spellEnd"/>
      <w:r w:rsidR="00796830" w:rsidRPr="006212FF">
        <w:rPr>
          <w:rFonts w:ascii="Book Antiqua" w:hAnsi="Book Antiqua"/>
          <w:sz w:val="24"/>
          <w:szCs w:val="24"/>
        </w:rPr>
        <w:t xml:space="preserve"> effect is an attractive</w:t>
      </w:r>
      <w:r w:rsidR="00CC31FE" w:rsidRPr="006212FF">
        <w:rPr>
          <w:rFonts w:ascii="Book Antiqua" w:hAnsi="Book Antiqua"/>
          <w:sz w:val="24"/>
          <w:szCs w:val="24"/>
        </w:rPr>
        <w:t xml:space="preserve"> option for LT recipients</w:t>
      </w:r>
      <w:r w:rsidR="00B100E4" w:rsidRPr="006212FF">
        <w:rPr>
          <w:rFonts w:ascii="Book Antiqua" w:hAnsi="Book Antiqua"/>
          <w:sz w:val="24"/>
          <w:szCs w:val="24"/>
        </w:rPr>
        <w:t xml:space="preserve"> who have </w:t>
      </w:r>
      <w:proofErr w:type="spellStart"/>
      <w:r w:rsidR="006212FF" w:rsidRPr="006212FF">
        <w:rPr>
          <w:rFonts w:ascii="Book Antiqua" w:hAnsi="Book Antiqua"/>
          <w:sz w:val="24"/>
          <w:szCs w:val="24"/>
        </w:rPr>
        <w:t>calcineurin</w:t>
      </w:r>
      <w:proofErr w:type="spellEnd"/>
      <w:r w:rsidR="006212FF" w:rsidRPr="006212FF">
        <w:rPr>
          <w:rFonts w:ascii="Book Antiqua" w:hAnsi="Book Antiqua"/>
          <w:sz w:val="24"/>
          <w:szCs w:val="24"/>
        </w:rPr>
        <w:t xml:space="preserve"> inhibitor</w:t>
      </w:r>
      <w:r w:rsidR="00B100E4" w:rsidRPr="006212FF">
        <w:rPr>
          <w:rFonts w:ascii="Book Antiqua" w:hAnsi="Book Antiqua"/>
          <w:sz w:val="24"/>
          <w:szCs w:val="24"/>
        </w:rPr>
        <w:t xml:space="preserve">-induced nephrotoxicity. </w:t>
      </w:r>
      <w:r w:rsidR="00AC4692" w:rsidRPr="006212FF">
        <w:rPr>
          <w:rFonts w:ascii="Book Antiqua" w:hAnsi="Book Antiqua"/>
          <w:sz w:val="24"/>
          <w:szCs w:val="24"/>
        </w:rPr>
        <w:t xml:space="preserve">This review </w:t>
      </w:r>
      <w:r w:rsidR="00D9307E" w:rsidRPr="006212FF">
        <w:rPr>
          <w:rFonts w:ascii="Book Antiqua" w:hAnsi="Book Antiqua"/>
          <w:sz w:val="24"/>
          <w:szCs w:val="24"/>
        </w:rPr>
        <w:t xml:space="preserve">examines through data published, discovers gaps of evidences and </w:t>
      </w:r>
      <w:r w:rsidR="00B100E4" w:rsidRPr="006212FF">
        <w:rPr>
          <w:rFonts w:ascii="Book Antiqua" w:hAnsi="Book Antiqua"/>
          <w:sz w:val="24"/>
          <w:szCs w:val="24"/>
        </w:rPr>
        <w:t xml:space="preserve">discusses </w:t>
      </w:r>
      <w:r w:rsidRPr="006212FF">
        <w:rPr>
          <w:rFonts w:ascii="Book Antiqua" w:hAnsi="Book Antiqua"/>
          <w:sz w:val="24"/>
          <w:szCs w:val="24"/>
        </w:rPr>
        <w:t xml:space="preserve">the </w:t>
      </w:r>
      <w:r w:rsidR="00963783" w:rsidRPr="006212FF">
        <w:rPr>
          <w:rFonts w:ascii="Book Antiqua" w:hAnsi="Book Antiqua"/>
          <w:sz w:val="24"/>
          <w:szCs w:val="24"/>
        </w:rPr>
        <w:t xml:space="preserve">place in therapy for </w:t>
      </w:r>
      <w:proofErr w:type="spellStart"/>
      <w:r w:rsidR="006212FF" w:rsidRPr="006212FF">
        <w:rPr>
          <w:rFonts w:ascii="Book Antiqua" w:hAnsi="Book Antiqua"/>
          <w:sz w:val="24"/>
          <w:szCs w:val="24"/>
        </w:rPr>
        <w:t>everolimus</w:t>
      </w:r>
      <w:proofErr w:type="spellEnd"/>
      <w:r w:rsidR="006212FF" w:rsidRPr="006212FF">
        <w:rPr>
          <w:rFonts w:ascii="Book Antiqua" w:hAnsi="Book Antiqua"/>
          <w:sz w:val="24"/>
          <w:szCs w:val="24"/>
        </w:rPr>
        <w:t xml:space="preserve"> (EVR)</w:t>
      </w:r>
      <w:r w:rsidR="00963783" w:rsidRPr="006212FF">
        <w:rPr>
          <w:rFonts w:ascii="Book Antiqua" w:hAnsi="Book Antiqua"/>
          <w:sz w:val="24"/>
          <w:szCs w:val="24"/>
        </w:rPr>
        <w:t xml:space="preserve"> in LT</w:t>
      </w:r>
      <w:r w:rsidR="00D9307E" w:rsidRPr="006212FF">
        <w:rPr>
          <w:rFonts w:ascii="Book Antiqua" w:hAnsi="Book Antiqua"/>
          <w:sz w:val="24"/>
          <w:szCs w:val="24"/>
        </w:rPr>
        <w:t xml:space="preserve">. At the end of review, it </w:t>
      </w:r>
      <w:proofErr w:type="spellStart"/>
      <w:r w:rsidR="00D9307E" w:rsidRPr="006212FF">
        <w:rPr>
          <w:rFonts w:ascii="Book Antiqua" w:hAnsi="Book Antiqua"/>
          <w:sz w:val="24"/>
          <w:szCs w:val="24"/>
        </w:rPr>
        <w:t>summarise</w:t>
      </w:r>
      <w:r w:rsidR="00364186" w:rsidRPr="006212FF">
        <w:rPr>
          <w:rFonts w:ascii="Book Antiqua" w:hAnsi="Book Antiqua"/>
          <w:sz w:val="24"/>
          <w:szCs w:val="24"/>
        </w:rPr>
        <w:t>s</w:t>
      </w:r>
      <w:proofErr w:type="spellEnd"/>
      <w:r w:rsidR="00963783" w:rsidRPr="006212FF">
        <w:rPr>
          <w:rFonts w:ascii="Book Antiqua" w:hAnsi="Book Antiqua"/>
          <w:sz w:val="24"/>
          <w:szCs w:val="24"/>
        </w:rPr>
        <w:t xml:space="preserve"> </w:t>
      </w:r>
      <w:r w:rsidRPr="006212FF">
        <w:rPr>
          <w:rFonts w:ascii="Book Antiqua" w:hAnsi="Book Antiqua"/>
          <w:sz w:val="24"/>
          <w:szCs w:val="24"/>
        </w:rPr>
        <w:t>how EVR can benefit LT recipients</w:t>
      </w:r>
      <w:r w:rsidR="00B100E4" w:rsidRPr="006212FF">
        <w:rPr>
          <w:rFonts w:ascii="Book Antiqua" w:hAnsi="Book Antiqua"/>
          <w:sz w:val="24"/>
          <w:szCs w:val="24"/>
        </w:rPr>
        <w:t xml:space="preserve"> as well as </w:t>
      </w:r>
      <w:r w:rsidR="00963783" w:rsidRPr="006212FF">
        <w:rPr>
          <w:rFonts w:ascii="Book Antiqua" w:hAnsi="Book Antiqua"/>
          <w:sz w:val="24"/>
          <w:szCs w:val="24"/>
        </w:rPr>
        <w:t>the caveat</w:t>
      </w:r>
      <w:r w:rsidR="00B100E4" w:rsidRPr="006212FF">
        <w:rPr>
          <w:rFonts w:ascii="Book Antiqua" w:hAnsi="Book Antiqua"/>
          <w:sz w:val="24"/>
          <w:szCs w:val="24"/>
        </w:rPr>
        <w:t xml:space="preserve"> in using EVR.</w:t>
      </w:r>
    </w:p>
    <w:p w14:paraId="34935CFB" w14:textId="77777777" w:rsidR="006212FF" w:rsidRPr="006212FF" w:rsidRDefault="006212FF" w:rsidP="006212FF">
      <w:pPr>
        <w:spacing w:after="0" w:line="360" w:lineRule="auto"/>
        <w:jc w:val="both"/>
        <w:rPr>
          <w:rFonts w:ascii="Book Antiqua" w:hAnsi="Book Antiqua"/>
          <w:b/>
          <w:sz w:val="24"/>
          <w:szCs w:val="24"/>
        </w:rPr>
      </w:pPr>
    </w:p>
    <w:p w14:paraId="4CB32268" w14:textId="1E888E5F" w:rsidR="00963783" w:rsidRPr="006212FF" w:rsidRDefault="000E7D74" w:rsidP="006212FF">
      <w:pPr>
        <w:spacing w:after="0" w:line="360" w:lineRule="auto"/>
        <w:jc w:val="both"/>
        <w:rPr>
          <w:rFonts w:ascii="Book Antiqua" w:hAnsi="Book Antiqua"/>
          <w:sz w:val="24"/>
          <w:szCs w:val="24"/>
        </w:rPr>
      </w:pPr>
      <w:r w:rsidRPr="006212FF">
        <w:rPr>
          <w:rFonts w:ascii="Book Antiqua" w:hAnsi="Book Antiqua"/>
          <w:sz w:val="24"/>
          <w:szCs w:val="24"/>
        </w:rPr>
        <w:t>Yee ML, Tan HH</w:t>
      </w:r>
      <w:r w:rsidR="006212FF" w:rsidRPr="006212FF">
        <w:rPr>
          <w:rFonts w:ascii="Book Antiqua" w:hAnsi="Book Antiqua"/>
          <w:sz w:val="24"/>
          <w:szCs w:val="24"/>
        </w:rPr>
        <w:t xml:space="preserve">. </w:t>
      </w:r>
      <w:proofErr w:type="gramStart"/>
      <w:r w:rsidR="006212FF" w:rsidRPr="006212FF">
        <w:rPr>
          <w:rFonts w:ascii="Book Antiqua" w:hAnsi="Book Antiqua"/>
          <w:sz w:val="24"/>
          <w:szCs w:val="24"/>
        </w:rPr>
        <w:t xml:space="preserve">Use of </w:t>
      </w:r>
      <w:proofErr w:type="spellStart"/>
      <w:r w:rsidR="006212FF" w:rsidRPr="006212FF">
        <w:rPr>
          <w:rFonts w:ascii="Book Antiqua" w:hAnsi="Book Antiqua"/>
          <w:sz w:val="24"/>
          <w:szCs w:val="24"/>
        </w:rPr>
        <w:t>everolimus</w:t>
      </w:r>
      <w:proofErr w:type="spellEnd"/>
      <w:r w:rsidR="006212FF" w:rsidRPr="006212FF">
        <w:rPr>
          <w:rFonts w:ascii="Book Antiqua" w:hAnsi="Book Antiqua"/>
          <w:sz w:val="24"/>
          <w:szCs w:val="24"/>
        </w:rPr>
        <w:t xml:space="preserve"> in liver transplantation.</w:t>
      </w:r>
      <w:proofErr w:type="gramEnd"/>
      <w:r w:rsidR="006212FF" w:rsidRPr="006212FF">
        <w:rPr>
          <w:rFonts w:ascii="Book Antiqua" w:hAnsi="Book Antiqua"/>
          <w:i/>
          <w:iCs/>
          <w:sz w:val="24"/>
          <w:szCs w:val="24"/>
        </w:rPr>
        <w:t xml:space="preserve"> World J </w:t>
      </w:r>
      <w:proofErr w:type="spellStart"/>
      <w:r w:rsidR="006212FF" w:rsidRPr="006212FF">
        <w:rPr>
          <w:rFonts w:ascii="Book Antiqua" w:hAnsi="Book Antiqua"/>
          <w:i/>
          <w:iCs/>
          <w:sz w:val="24"/>
          <w:szCs w:val="24"/>
        </w:rPr>
        <w:t>Hepatol</w:t>
      </w:r>
      <w:proofErr w:type="spellEnd"/>
      <w:r w:rsidR="006212FF" w:rsidRPr="006212FF">
        <w:rPr>
          <w:rFonts w:ascii="Book Antiqua" w:hAnsi="Book Antiqua"/>
          <w:i/>
          <w:iCs/>
          <w:sz w:val="24"/>
          <w:szCs w:val="24"/>
        </w:rPr>
        <w:t xml:space="preserve"> </w:t>
      </w:r>
      <w:r w:rsidR="006212FF" w:rsidRPr="006212FF">
        <w:rPr>
          <w:rFonts w:ascii="Book Antiqua" w:hAnsi="Book Antiqua"/>
          <w:iCs/>
          <w:sz w:val="24"/>
          <w:szCs w:val="24"/>
        </w:rPr>
        <w:t xml:space="preserve">2017; </w:t>
      </w:r>
      <w:proofErr w:type="gramStart"/>
      <w:r w:rsidR="006212FF" w:rsidRPr="006212FF">
        <w:rPr>
          <w:rFonts w:ascii="Book Antiqua" w:hAnsi="Book Antiqua"/>
          <w:iCs/>
          <w:sz w:val="24"/>
          <w:szCs w:val="24"/>
        </w:rPr>
        <w:t>In</w:t>
      </w:r>
      <w:proofErr w:type="gramEnd"/>
      <w:r w:rsidR="006212FF" w:rsidRPr="006212FF">
        <w:rPr>
          <w:rFonts w:ascii="Book Antiqua" w:hAnsi="Book Antiqua"/>
          <w:iCs/>
          <w:sz w:val="24"/>
          <w:szCs w:val="24"/>
        </w:rPr>
        <w:t xml:space="preserve"> press</w:t>
      </w:r>
    </w:p>
    <w:p w14:paraId="30D63D53" w14:textId="77777777" w:rsidR="006212FF" w:rsidRPr="006212FF" w:rsidRDefault="006212FF" w:rsidP="006212FF">
      <w:pPr>
        <w:spacing w:after="0" w:line="360" w:lineRule="auto"/>
        <w:jc w:val="both"/>
        <w:rPr>
          <w:rFonts w:ascii="Book Antiqua" w:hAnsi="Book Antiqua"/>
          <w:b/>
          <w:sz w:val="24"/>
          <w:szCs w:val="24"/>
        </w:rPr>
      </w:pPr>
      <w:r w:rsidRPr="006212FF">
        <w:rPr>
          <w:rFonts w:ascii="Book Antiqua" w:hAnsi="Book Antiqua"/>
          <w:b/>
          <w:sz w:val="24"/>
          <w:szCs w:val="24"/>
        </w:rPr>
        <w:lastRenderedPageBreak/>
        <w:br w:type="page"/>
      </w:r>
    </w:p>
    <w:p w14:paraId="1C825831" w14:textId="77CA8ED3" w:rsidR="00BC1725" w:rsidRPr="006212FF" w:rsidRDefault="006212FF" w:rsidP="006212FF">
      <w:pPr>
        <w:spacing w:after="0" w:line="360" w:lineRule="auto"/>
        <w:jc w:val="both"/>
        <w:rPr>
          <w:rFonts w:ascii="Book Antiqua" w:hAnsi="Book Antiqua"/>
          <w:b/>
          <w:sz w:val="24"/>
          <w:szCs w:val="24"/>
        </w:rPr>
      </w:pPr>
      <w:r w:rsidRPr="006212FF">
        <w:rPr>
          <w:rFonts w:ascii="Book Antiqua" w:hAnsi="Book Antiqua"/>
          <w:b/>
          <w:sz w:val="24"/>
          <w:szCs w:val="24"/>
        </w:rPr>
        <w:lastRenderedPageBreak/>
        <w:t>INTRODUCTION</w:t>
      </w:r>
    </w:p>
    <w:p w14:paraId="4F7E1C4D" w14:textId="72CD2C6E" w:rsidR="0086509B" w:rsidRPr="006212FF" w:rsidRDefault="009E4C40" w:rsidP="006212FF">
      <w:pPr>
        <w:spacing w:after="0" w:line="360" w:lineRule="auto"/>
        <w:jc w:val="both"/>
        <w:rPr>
          <w:rFonts w:ascii="Book Antiqua" w:hAnsi="Book Antiqua"/>
          <w:sz w:val="24"/>
          <w:szCs w:val="24"/>
        </w:rPr>
      </w:pPr>
      <w:r w:rsidRPr="006212FF">
        <w:rPr>
          <w:rFonts w:ascii="Book Antiqua" w:hAnsi="Book Antiqua"/>
          <w:sz w:val="24"/>
          <w:szCs w:val="24"/>
        </w:rPr>
        <w:t xml:space="preserve">Since </w:t>
      </w:r>
      <w:r w:rsidR="00327EE2" w:rsidRPr="006212FF">
        <w:rPr>
          <w:rFonts w:ascii="Book Antiqua" w:hAnsi="Book Antiqua"/>
          <w:sz w:val="24"/>
          <w:szCs w:val="24"/>
        </w:rPr>
        <w:t xml:space="preserve">the </w:t>
      </w:r>
      <w:r w:rsidRPr="006212FF">
        <w:rPr>
          <w:rFonts w:ascii="Book Antiqua" w:hAnsi="Book Antiqua"/>
          <w:sz w:val="24"/>
          <w:szCs w:val="24"/>
        </w:rPr>
        <w:t>first liver transplant</w:t>
      </w:r>
      <w:r w:rsidR="002C220C" w:rsidRPr="006212FF">
        <w:rPr>
          <w:rFonts w:ascii="Book Antiqua" w:hAnsi="Book Antiqua"/>
          <w:sz w:val="24"/>
          <w:szCs w:val="24"/>
        </w:rPr>
        <w:t>ation (LT)</w:t>
      </w:r>
      <w:r w:rsidRPr="006212FF">
        <w:rPr>
          <w:rFonts w:ascii="Book Antiqua" w:hAnsi="Book Antiqua"/>
          <w:sz w:val="24"/>
          <w:szCs w:val="24"/>
        </w:rPr>
        <w:t xml:space="preserve"> surgery in 1963, </w:t>
      </w:r>
      <w:r w:rsidR="00AF157F" w:rsidRPr="006212FF">
        <w:rPr>
          <w:rFonts w:ascii="Book Antiqua" w:hAnsi="Book Antiqua"/>
          <w:sz w:val="24"/>
          <w:szCs w:val="24"/>
        </w:rPr>
        <w:t xml:space="preserve">surgical techniques and </w:t>
      </w:r>
      <w:r w:rsidRPr="006212FF">
        <w:rPr>
          <w:rFonts w:ascii="Book Antiqua" w:hAnsi="Book Antiqua"/>
          <w:sz w:val="24"/>
          <w:szCs w:val="24"/>
        </w:rPr>
        <w:t>immunosuppre</w:t>
      </w:r>
      <w:r w:rsidR="00AF157F" w:rsidRPr="006212FF">
        <w:rPr>
          <w:rFonts w:ascii="Book Antiqua" w:hAnsi="Book Antiqua"/>
          <w:sz w:val="24"/>
          <w:szCs w:val="24"/>
        </w:rPr>
        <w:t>ss</w:t>
      </w:r>
      <w:r w:rsidR="00B24ADC" w:rsidRPr="006212FF">
        <w:rPr>
          <w:rFonts w:ascii="Book Antiqua" w:hAnsi="Book Antiqua"/>
          <w:sz w:val="24"/>
          <w:szCs w:val="24"/>
        </w:rPr>
        <w:t xml:space="preserve">ion </w:t>
      </w:r>
      <w:r w:rsidR="00327EE2" w:rsidRPr="006212FF">
        <w:rPr>
          <w:rFonts w:ascii="Book Antiqua" w:hAnsi="Book Antiqua"/>
          <w:sz w:val="24"/>
          <w:szCs w:val="24"/>
        </w:rPr>
        <w:t>therapy</w:t>
      </w:r>
      <w:r w:rsidR="00B24ADC" w:rsidRPr="006212FF">
        <w:rPr>
          <w:rFonts w:ascii="Book Antiqua" w:hAnsi="Book Antiqua"/>
          <w:sz w:val="24"/>
          <w:szCs w:val="24"/>
        </w:rPr>
        <w:t xml:space="preserve"> </w:t>
      </w:r>
      <w:r w:rsidR="00AF157F" w:rsidRPr="006212FF">
        <w:rPr>
          <w:rFonts w:ascii="Book Antiqua" w:hAnsi="Book Antiqua"/>
          <w:sz w:val="24"/>
          <w:szCs w:val="24"/>
        </w:rPr>
        <w:t>have</w:t>
      </w:r>
      <w:r w:rsidR="00426E6A" w:rsidRPr="006212FF">
        <w:rPr>
          <w:rFonts w:ascii="Book Antiqua" w:hAnsi="Book Antiqua"/>
          <w:sz w:val="24"/>
          <w:szCs w:val="24"/>
        </w:rPr>
        <w:t xml:space="preserve"> </w:t>
      </w:r>
      <w:r w:rsidRPr="006212FF">
        <w:rPr>
          <w:rFonts w:ascii="Book Antiqua" w:hAnsi="Book Antiqua"/>
          <w:sz w:val="24"/>
          <w:szCs w:val="24"/>
        </w:rPr>
        <w:t>evolved much and impr</w:t>
      </w:r>
      <w:r w:rsidR="00F254A8" w:rsidRPr="006212FF">
        <w:rPr>
          <w:rFonts w:ascii="Book Antiqua" w:hAnsi="Book Antiqua"/>
          <w:sz w:val="24"/>
          <w:szCs w:val="24"/>
        </w:rPr>
        <w:t>oved patient outcomes.</w:t>
      </w:r>
      <w:r w:rsidR="00AF157F" w:rsidRPr="006212FF">
        <w:rPr>
          <w:rFonts w:ascii="Book Antiqua" w:hAnsi="Book Antiqua"/>
          <w:sz w:val="24"/>
          <w:szCs w:val="24"/>
        </w:rPr>
        <w:t xml:space="preserve"> Based on </w:t>
      </w:r>
      <w:r w:rsidR="002859CC" w:rsidRPr="006212FF">
        <w:rPr>
          <w:rFonts w:ascii="Book Antiqua" w:hAnsi="Book Antiqua"/>
          <w:sz w:val="24"/>
          <w:szCs w:val="24"/>
        </w:rPr>
        <w:t>Organ Procurement Transplant</w:t>
      </w:r>
      <w:r w:rsidR="0037247B" w:rsidRPr="006212FF">
        <w:rPr>
          <w:rFonts w:ascii="Book Antiqua" w:hAnsi="Book Antiqua"/>
          <w:sz w:val="24"/>
          <w:szCs w:val="24"/>
        </w:rPr>
        <w:t xml:space="preserve">ation </w:t>
      </w:r>
      <w:r w:rsidR="002859CC" w:rsidRPr="006212FF">
        <w:rPr>
          <w:rFonts w:ascii="Book Antiqua" w:hAnsi="Book Antiqua"/>
          <w:sz w:val="24"/>
          <w:szCs w:val="24"/>
        </w:rPr>
        <w:t>Network/Scientific</w:t>
      </w:r>
      <w:r w:rsidR="00786022" w:rsidRPr="006212FF">
        <w:rPr>
          <w:rFonts w:ascii="Book Antiqua" w:hAnsi="Book Antiqua"/>
          <w:sz w:val="24"/>
          <w:szCs w:val="24"/>
        </w:rPr>
        <w:t xml:space="preserve"> Registry of Transplant Recipients</w:t>
      </w:r>
      <w:r w:rsidR="002859CC" w:rsidRPr="006212FF">
        <w:rPr>
          <w:rFonts w:ascii="Book Antiqua" w:hAnsi="Book Antiqua"/>
          <w:sz w:val="24"/>
          <w:szCs w:val="24"/>
        </w:rPr>
        <w:t xml:space="preserve"> (OPTN/SRTR) </w:t>
      </w:r>
      <w:r w:rsidR="00AF157F" w:rsidRPr="006212FF">
        <w:rPr>
          <w:rFonts w:ascii="Book Antiqua" w:hAnsi="Book Antiqua"/>
          <w:sz w:val="24"/>
          <w:szCs w:val="24"/>
        </w:rPr>
        <w:t>data</w:t>
      </w:r>
      <w:r w:rsidR="00EC63A1" w:rsidRPr="006212FF">
        <w:rPr>
          <w:rFonts w:ascii="Book Antiqua" w:hAnsi="Book Antiqua"/>
          <w:sz w:val="24"/>
          <w:szCs w:val="24"/>
        </w:rPr>
        <w:t xml:space="preserve"> in 2013</w:t>
      </w:r>
      <w:r w:rsidR="00AF157F" w:rsidRPr="006212FF">
        <w:rPr>
          <w:rFonts w:ascii="Book Antiqua" w:hAnsi="Book Antiqua"/>
          <w:sz w:val="24"/>
          <w:szCs w:val="24"/>
        </w:rPr>
        <w:t xml:space="preserve">, the </w:t>
      </w:r>
      <w:r w:rsidR="00D43709" w:rsidRPr="006212FF">
        <w:rPr>
          <w:rFonts w:ascii="Book Antiqua" w:hAnsi="Book Antiqua"/>
          <w:sz w:val="24"/>
          <w:szCs w:val="24"/>
        </w:rPr>
        <w:t xml:space="preserve">5-year graft survival rate </w:t>
      </w:r>
      <w:r w:rsidR="00F254A8" w:rsidRPr="006212FF">
        <w:rPr>
          <w:rFonts w:ascii="Book Antiqua" w:hAnsi="Book Antiqua"/>
          <w:sz w:val="24"/>
          <w:szCs w:val="24"/>
        </w:rPr>
        <w:t xml:space="preserve">in </w:t>
      </w:r>
      <w:r w:rsidR="00327EE2" w:rsidRPr="006212FF">
        <w:rPr>
          <w:rFonts w:ascii="Book Antiqua" w:hAnsi="Book Antiqua"/>
          <w:sz w:val="24"/>
          <w:szCs w:val="24"/>
        </w:rPr>
        <w:t>LT</w:t>
      </w:r>
      <w:r w:rsidR="00426E6A" w:rsidRPr="006212FF">
        <w:rPr>
          <w:rFonts w:ascii="Book Antiqua" w:hAnsi="Book Antiqua"/>
          <w:sz w:val="24"/>
          <w:szCs w:val="24"/>
        </w:rPr>
        <w:t xml:space="preserve"> </w:t>
      </w:r>
      <w:r w:rsidR="00D43709" w:rsidRPr="006212FF">
        <w:rPr>
          <w:rFonts w:ascii="Book Antiqua" w:hAnsi="Book Antiqua"/>
          <w:sz w:val="24"/>
          <w:szCs w:val="24"/>
        </w:rPr>
        <w:t xml:space="preserve">is </w:t>
      </w:r>
      <w:r w:rsidR="00EC63A1" w:rsidRPr="006212FF">
        <w:rPr>
          <w:rFonts w:ascii="Book Antiqua" w:hAnsi="Book Antiqua"/>
          <w:sz w:val="24"/>
          <w:szCs w:val="24"/>
        </w:rPr>
        <w:t>as high as 76%</w:t>
      </w:r>
      <w:r w:rsidR="00BB6176" w:rsidRPr="006212FF">
        <w:rPr>
          <w:rFonts w:ascii="Book Antiqua" w:hAnsi="Book Antiqua"/>
          <w:sz w:val="24"/>
          <w:szCs w:val="24"/>
          <w:vertAlign w:val="superscript"/>
        </w:rPr>
        <w:t>[1]</w:t>
      </w:r>
      <w:r w:rsidR="00D43709" w:rsidRPr="006212FF">
        <w:rPr>
          <w:rFonts w:ascii="Book Antiqua" w:hAnsi="Book Antiqua"/>
          <w:sz w:val="24"/>
          <w:szCs w:val="24"/>
        </w:rPr>
        <w:t>.</w:t>
      </w:r>
      <w:r w:rsidR="00426E6A" w:rsidRPr="006212FF">
        <w:rPr>
          <w:rFonts w:ascii="Book Antiqua" w:hAnsi="Book Antiqua"/>
          <w:sz w:val="24"/>
          <w:szCs w:val="24"/>
        </w:rPr>
        <w:t xml:space="preserve"> </w:t>
      </w:r>
      <w:r w:rsidR="009077E5" w:rsidRPr="006212FF">
        <w:rPr>
          <w:rFonts w:ascii="Book Antiqua" w:hAnsi="Book Antiqua"/>
          <w:sz w:val="24"/>
          <w:szCs w:val="24"/>
        </w:rPr>
        <w:t xml:space="preserve">In most transplant centers, </w:t>
      </w:r>
      <w:r w:rsidR="006732A8" w:rsidRPr="006212FF">
        <w:rPr>
          <w:rFonts w:ascii="Book Antiqua" w:hAnsi="Book Antiqua"/>
          <w:sz w:val="24"/>
          <w:szCs w:val="24"/>
        </w:rPr>
        <w:t xml:space="preserve">LT </w:t>
      </w:r>
      <w:r w:rsidR="00FD6B00" w:rsidRPr="006212FF">
        <w:rPr>
          <w:rFonts w:ascii="Book Antiqua" w:hAnsi="Book Antiqua"/>
          <w:sz w:val="24"/>
          <w:szCs w:val="24"/>
        </w:rPr>
        <w:t>immunos</w:t>
      </w:r>
      <w:r w:rsidR="0086509B" w:rsidRPr="006212FF">
        <w:rPr>
          <w:rFonts w:ascii="Book Antiqua" w:hAnsi="Book Antiqua"/>
          <w:sz w:val="24"/>
          <w:szCs w:val="24"/>
        </w:rPr>
        <w:t>uppressive regime</w:t>
      </w:r>
      <w:r w:rsidR="00426E6A" w:rsidRPr="006212FF">
        <w:rPr>
          <w:rFonts w:ascii="Book Antiqua" w:hAnsi="Book Antiqua"/>
          <w:sz w:val="24"/>
          <w:szCs w:val="24"/>
        </w:rPr>
        <w:t xml:space="preserve">s </w:t>
      </w:r>
      <w:r w:rsidR="009077E5" w:rsidRPr="006212FF">
        <w:rPr>
          <w:rFonts w:ascii="Book Antiqua" w:hAnsi="Book Antiqua"/>
          <w:sz w:val="24"/>
          <w:szCs w:val="24"/>
        </w:rPr>
        <w:t>include</w:t>
      </w:r>
      <w:r w:rsidR="00426E6A" w:rsidRPr="006212FF">
        <w:rPr>
          <w:rFonts w:ascii="Book Antiqua" w:hAnsi="Book Antiqua"/>
          <w:sz w:val="24"/>
          <w:szCs w:val="24"/>
        </w:rPr>
        <w:t xml:space="preserve"> </w:t>
      </w:r>
      <w:proofErr w:type="spellStart"/>
      <w:r w:rsidR="0086509B" w:rsidRPr="006212FF">
        <w:rPr>
          <w:rFonts w:ascii="Book Antiqua" w:hAnsi="Book Antiqua"/>
          <w:sz w:val="24"/>
          <w:szCs w:val="24"/>
        </w:rPr>
        <w:t>calcineurin</w:t>
      </w:r>
      <w:proofErr w:type="spellEnd"/>
      <w:r w:rsidR="0086509B" w:rsidRPr="006212FF">
        <w:rPr>
          <w:rFonts w:ascii="Book Antiqua" w:hAnsi="Book Antiqua"/>
          <w:sz w:val="24"/>
          <w:szCs w:val="24"/>
        </w:rPr>
        <w:t xml:space="preserve"> inh</w:t>
      </w:r>
      <w:r w:rsidR="00623AC4" w:rsidRPr="006212FF">
        <w:rPr>
          <w:rFonts w:ascii="Book Antiqua" w:hAnsi="Book Antiqua"/>
          <w:sz w:val="24"/>
          <w:szCs w:val="24"/>
        </w:rPr>
        <w:t xml:space="preserve">ibitors (CNI), antimetabolites, </w:t>
      </w:r>
      <w:r w:rsidR="0086509B" w:rsidRPr="006212FF">
        <w:rPr>
          <w:rFonts w:ascii="Book Antiqua" w:hAnsi="Book Antiqua"/>
          <w:sz w:val="24"/>
          <w:szCs w:val="24"/>
        </w:rPr>
        <w:t xml:space="preserve">steroid </w:t>
      </w:r>
      <w:r w:rsidR="00FD6B00" w:rsidRPr="006212FF">
        <w:rPr>
          <w:rFonts w:ascii="Book Antiqua" w:hAnsi="Book Antiqua"/>
          <w:sz w:val="24"/>
          <w:szCs w:val="24"/>
        </w:rPr>
        <w:t>with</w:t>
      </w:r>
      <w:r w:rsidR="0086509B" w:rsidRPr="006212FF">
        <w:rPr>
          <w:rFonts w:ascii="Book Antiqua" w:hAnsi="Book Antiqua"/>
          <w:sz w:val="24"/>
          <w:szCs w:val="24"/>
        </w:rPr>
        <w:t xml:space="preserve"> or without induction </w:t>
      </w:r>
      <w:proofErr w:type="gramStart"/>
      <w:r w:rsidR="0086509B" w:rsidRPr="006212FF">
        <w:rPr>
          <w:rFonts w:ascii="Book Antiqua" w:hAnsi="Book Antiqua"/>
          <w:sz w:val="24"/>
          <w:szCs w:val="24"/>
        </w:rPr>
        <w:t>therapy</w:t>
      </w:r>
      <w:r w:rsidR="00E556B5" w:rsidRPr="006212FF">
        <w:rPr>
          <w:rFonts w:ascii="Book Antiqua" w:hAnsi="Book Antiqua"/>
          <w:sz w:val="24"/>
          <w:szCs w:val="24"/>
          <w:vertAlign w:val="superscript"/>
        </w:rPr>
        <w:t>[</w:t>
      </w:r>
      <w:proofErr w:type="gramEnd"/>
      <w:r w:rsidR="00E556B5" w:rsidRPr="006212FF">
        <w:rPr>
          <w:rFonts w:ascii="Book Antiqua" w:hAnsi="Book Antiqua"/>
          <w:sz w:val="24"/>
          <w:szCs w:val="24"/>
          <w:vertAlign w:val="superscript"/>
        </w:rPr>
        <w:t>2]</w:t>
      </w:r>
      <w:r w:rsidR="0086509B" w:rsidRPr="006212FF">
        <w:rPr>
          <w:rFonts w:ascii="Book Antiqua" w:hAnsi="Book Antiqua"/>
          <w:sz w:val="24"/>
          <w:szCs w:val="24"/>
        </w:rPr>
        <w:t>.</w:t>
      </w:r>
      <w:r w:rsidR="00137DE8" w:rsidRPr="006212FF">
        <w:rPr>
          <w:rFonts w:ascii="Book Antiqua" w:hAnsi="Book Antiqua"/>
          <w:sz w:val="24"/>
          <w:szCs w:val="24"/>
        </w:rPr>
        <w:t xml:space="preserve"> </w:t>
      </w:r>
      <w:r w:rsidR="00EC63A1" w:rsidRPr="006212FF">
        <w:rPr>
          <w:rFonts w:ascii="Book Antiqua" w:hAnsi="Book Antiqua"/>
          <w:sz w:val="24"/>
          <w:szCs w:val="24"/>
        </w:rPr>
        <w:t xml:space="preserve">For </w:t>
      </w:r>
      <w:r w:rsidR="0086509B" w:rsidRPr="006212FF">
        <w:rPr>
          <w:rFonts w:ascii="Book Antiqua" w:hAnsi="Book Antiqua"/>
          <w:sz w:val="24"/>
          <w:szCs w:val="24"/>
        </w:rPr>
        <w:t xml:space="preserve">the </w:t>
      </w:r>
      <w:r w:rsidR="00EC63A1" w:rsidRPr="006212FF">
        <w:rPr>
          <w:rFonts w:ascii="Book Antiqua" w:hAnsi="Book Antiqua"/>
          <w:sz w:val="24"/>
          <w:szCs w:val="24"/>
        </w:rPr>
        <w:t xml:space="preserve">past few decades, </w:t>
      </w:r>
      <w:r w:rsidR="003249E7" w:rsidRPr="006212FF">
        <w:rPr>
          <w:rFonts w:ascii="Book Antiqua" w:hAnsi="Book Antiqua"/>
          <w:sz w:val="24"/>
          <w:szCs w:val="24"/>
        </w:rPr>
        <w:t>CNI</w:t>
      </w:r>
      <w:r w:rsidR="006732A8" w:rsidRPr="006212FF">
        <w:rPr>
          <w:rFonts w:ascii="Book Antiqua" w:hAnsi="Book Antiqua"/>
          <w:sz w:val="24"/>
          <w:szCs w:val="24"/>
        </w:rPr>
        <w:t>s have been</w:t>
      </w:r>
      <w:r w:rsidR="0086509B" w:rsidRPr="006212FF">
        <w:rPr>
          <w:rFonts w:ascii="Book Antiqua" w:hAnsi="Book Antiqua"/>
          <w:sz w:val="24"/>
          <w:szCs w:val="24"/>
        </w:rPr>
        <w:t xml:space="preserve"> the cornerstone of immunosuppressant</w:t>
      </w:r>
      <w:r w:rsidR="00EC63A1" w:rsidRPr="006212FF">
        <w:rPr>
          <w:rFonts w:ascii="Book Antiqua" w:hAnsi="Book Antiqua"/>
          <w:sz w:val="24"/>
          <w:szCs w:val="24"/>
        </w:rPr>
        <w:t xml:space="preserve"> regimen</w:t>
      </w:r>
      <w:r w:rsidR="006732A8" w:rsidRPr="006212FF">
        <w:rPr>
          <w:rFonts w:ascii="Book Antiqua" w:hAnsi="Book Antiqua"/>
          <w:sz w:val="24"/>
          <w:szCs w:val="24"/>
        </w:rPr>
        <w:t>s</w:t>
      </w:r>
      <w:r w:rsidR="00EC63A1" w:rsidRPr="006212FF">
        <w:rPr>
          <w:rFonts w:ascii="Book Antiqua" w:hAnsi="Book Antiqua"/>
          <w:sz w:val="24"/>
          <w:szCs w:val="24"/>
        </w:rPr>
        <w:t xml:space="preserve"> f</w:t>
      </w:r>
      <w:r w:rsidR="00FD6B00" w:rsidRPr="006212FF">
        <w:rPr>
          <w:rFonts w:ascii="Book Antiqua" w:hAnsi="Book Antiqua"/>
          <w:sz w:val="24"/>
          <w:szCs w:val="24"/>
        </w:rPr>
        <w:t xml:space="preserve">or </w:t>
      </w:r>
      <w:r w:rsidR="006732A8" w:rsidRPr="006212FF">
        <w:rPr>
          <w:rFonts w:ascii="Book Antiqua" w:hAnsi="Book Antiqua"/>
          <w:sz w:val="24"/>
          <w:szCs w:val="24"/>
        </w:rPr>
        <w:t>LT</w:t>
      </w:r>
      <w:r w:rsidR="00FD6B00" w:rsidRPr="006212FF">
        <w:rPr>
          <w:rFonts w:ascii="Book Antiqua" w:hAnsi="Book Antiqua"/>
          <w:sz w:val="24"/>
          <w:szCs w:val="24"/>
        </w:rPr>
        <w:t xml:space="preserve"> recipients. </w:t>
      </w:r>
      <w:r w:rsidR="00193171" w:rsidRPr="006212FF">
        <w:rPr>
          <w:rFonts w:ascii="Book Antiqua" w:hAnsi="Book Antiqua"/>
          <w:sz w:val="24"/>
          <w:szCs w:val="24"/>
        </w:rPr>
        <w:t xml:space="preserve">The overall patient survival </w:t>
      </w:r>
      <w:r w:rsidR="003249E7" w:rsidRPr="006212FF">
        <w:rPr>
          <w:rFonts w:ascii="Book Antiqua" w:hAnsi="Book Antiqua"/>
          <w:sz w:val="24"/>
          <w:szCs w:val="24"/>
        </w:rPr>
        <w:t>at 1</w:t>
      </w:r>
      <w:r w:rsidR="006732A8" w:rsidRPr="006212FF">
        <w:rPr>
          <w:rFonts w:ascii="Book Antiqua" w:hAnsi="Book Antiqua"/>
          <w:sz w:val="24"/>
          <w:szCs w:val="24"/>
        </w:rPr>
        <w:t>-</w:t>
      </w:r>
      <w:r w:rsidR="003249E7" w:rsidRPr="006212FF">
        <w:rPr>
          <w:rFonts w:ascii="Book Antiqua" w:hAnsi="Book Antiqua"/>
          <w:sz w:val="24"/>
          <w:szCs w:val="24"/>
        </w:rPr>
        <w:t>, 5</w:t>
      </w:r>
      <w:r w:rsidR="006732A8" w:rsidRPr="006212FF">
        <w:rPr>
          <w:rFonts w:ascii="Book Antiqua" w:hAnsi="Book Antiqua"/>
          <w:sz w:val="24"/>
          <w:szCs w:val="24"/>
        </w:rPr>
        <w:t>-</w:t>
      </w:r>
      <w:r w:rsidR="003249E7" w:rsidRPr="006212FF">
        <w:rPr>
          <w:rFonts w:ascii="Book Antiqua" w:hAnsi="Book Antiqua"/>
          <w:sz w:val="24"/>
          <w:szCs w:val="24"/>
        </w:rPr>
        <w:t xml:space="preserve"> and 10</w:t>
      </w:r>
      <w:r w:rsidR="006732A8" w:rsidRPr="006212FF">
        <w:rPr>
          <w:rFonts w:ascii="Book Antiqua" w:hAnsi="Book Antiqua"/>
          <w:sz w:val="24"/>
          <w:szCs w:val="24"/>
        </w:rPr>
        <w:t>-</w:t>
      </w:r>
      <w:r w:rsidR="003249E7" w:rsidRPr="006212FF">
        <w:rPr>
          <w:rFonts w:ascii="Book Antiqua" w:hAnsi="Book Antiqua"/>
          <w:sz w:val="24"/>
          <w:szCs w:val="24"/>
        </w:rPr>
        <w:t>years for</w:t>
      </w:r>
      <w:r w:rsidR="00137DE8" w:rsidRPr="006212FF">
        <w:rPr>
          <w:rFonts w:ascii="Book Antiqua" w:hAnsi="Book Antiqua"/>
          <w:sz w:val="24"/>
          <w:szCs w:val="24"/>
        </w:rPr>
        <w:t xml:space="preserve"> </w:t>
      </w:r>
      <w:r w:rsidR="006732A8" w:rsidRPr="006212FF">
        <w:rPr>
          <w:rFonts w:ascii="Book Antiqua" w:hAnsi="Book Antiqua"/>
          <w:sz w:val="24"/>
          <w:szCs w:val="24"/>
        </w:rPr>
        <w:t>LT</w:t>
      </w:r>
      <w:r w:rsidR="00137DE8" w:rsidRPr="006212FF">
        <w:rPr>
          <w:rFonts w:ascii="Book Antiqua" w:hAnsi="Book Antiqua"/>
          <w:sz w:val="24"/>
          <w:szCs w:val="24"/>
        </w:rPr>
        <w:t xml:space="preserve"> </w:t>
      </w:r>
      <w:r w:rsidR="003249E7" w:rsidRPr="006212FF">
        <w:rPr>
          <w:rFonts w:ascii="Book Antiqua" w:hAnsi="Book Antiqua"/>
          <w:sz w:val="24"/>
          <w:szCs w:val="24"/>
        </w:rPr>
        <w:t xml:space="preserve">with </w:t>
      </w:r>
      <w:proofErr w:type="spellStart"/>
      <w:r w:rsidR="003249E7" w:rsidRPr="006212FF">
        <w:rPr>
          <w:rFonts w:ascii="Book Antiqua" w:hAnsi="Book Antiqua"/>
          <w:sz w:val="24"/>
          <w:szCs w:val="24"/>
        </w:rPr>
        <w:t>tacrolimus</w:t>
      </w:r>
      <w:proofErr w:type="spellEnd"/>
      <w:r w:rsidR="003249E7" w:rsidRPr="006212FF">
        <w:rPr>
          <w:rFonts w:ascii="Book Antiqua" w:hAnsi="Book Antiqua"/>
          <w:sz w:val="24"/>
          <w:szCs w:val="24"/>
        </w:rPr>
        <w:t xml:space="preserve"> (FK) were</w:t>
      </w:r>
      <w:r w:rsidR="00137DE8" w:rsidRPr="006212FF">
        <w:rPr>
          <w:rFonts w:ascii="Book Antiqua" w:hAnsi="Book Antiqua"/>
          <w:sz w:val="24"/>
          <w:szCs w:val="24"/>
        </w:rPr>
        <w:t xml:space="preserve"> </w:t>
      </w:r>
      <w:r w:rsidR="003249E7" w:rsidRPr="006212FF">
        <w:rPr>
          <w:rFonts w:ascii="Book Antiqua" w:hAnsi="Book Antiqua"/>
          <w:sz w:val="24"/>
          <w:szCs w:val="24"/>
        </w:rPr>
        <w:t>in range of 81</w:t>
      </w:r>
      <w:r w:rsidR="006212FF">
        <w:rPr>
          <w:rFonts w:ascii="Book Antiqua" w:hAnsi="Book Antiqua" w:hint="eastAsia"/>
          <w:sz w:val="24"/>
          <w:szCs w:val="24"/>
        </w:rPr>
        <w:t>%-</w:t>
      </w:r>
      <w:r w:rsidR="003249E7" w:rsidRPr="006212FF">
        <w:rPr>
          <w:rFonts w:ascii="Book Antiqua" w:hAnsi="Book Antiqua"/>
          <w:sz w:val="24"/>
          <w:szCs w:val="24"/>
        </w:rPr>
        <w:t>84%, 70</w:t>
      </w:r>
      <w:r w:rsidR="006212FF">
        <w:rPr>
          <w:rFonts w:ascii="Book Antiqua" w:hAnsi="Book Antiqua" w:hint="eastAsia"/>
          <w:sz w:val="24"/>
          <w:szCs w:val="24"/>
        </w:rPr>
        <w:t>%-</w:t>
      </w:r>
      <w:r w:rsidR="003249E7" w:rsidRPr="006212FF">
        <w:rPr>
          <w:rFonts w:ascii="Book Antiqua" w:hAnsi="Book Antiqua"/>
          <w:sz w:val="24"/>
          <w:szCs w:val="24"/>
        </w:rPr>
        <w:t>72% and 57</w:t>
      </w:r>
      <w:r w:rsidR="006212FF">
        <w:rPr>
          <w:rFonts w:ascii="Book Antiqua" w:hAnsi="Book Antiqua" w:hint="eastAsia"/>
          <w:sz w:val="24"/>
          <w:szCs w:val="24"/>
        </w:rPr>
        <w:t>%-</w:t>
      </w:r>
      <w:r w:rsidR="003249E7" w:rsidRPr="006212FF">
        <w:rPr>
          <w:rFonts w:ascii="Book Antiqua" w:hAnsi="Book Antiqua"/>
          <w:sz w:val="24"/>
          <w:szCs w:val="24"/>
        </w:rPr>
        <w:t xml:space="preserve">68% </w:t>
      </w:r>
      <w:proofErr w:type="gramStart"/>
      <w:r w:rsidR="003249E7" w:rsidRPr="006212FF">
        <w:rPr>
          <w:rFonts w:ascii="Book Antiqua" w:hAnsi="Book Antiqua"/>
          <w:sz w:val="24"/>
          <w:szCs w:val="24"/>
        </w:rPr>
        <w:t>respectively</w:t>
      </w:r>
      <w:r w:rsidR="006212FF">
        <w:rPr>
          <w:rFonts w:ascii="Book Antiqua" w:hAnsi="Book Antiqua"/>
          <w:sz w:val="24"/>
          <w:szCs w:val="24"/>
          <w:vertAlign w:val="superscript"/>
        </w:rPr>
        <w:t>[</w:t>
      </w:r>
      <w:proofErr w:type="gramEnd"/>
      <w:r w:rsidR="006212FF">
        <w:rPr>
          <w:rFonts w:ascii="Book Antiqua" w:hAnsi="Book Antiqua"/>
          <w:sz w:val="24"/>
          <w:szCs w:val="24"/>
          <w:vertAlign w:val="superscript"/>
        </w:rPr>
        <w:t>3,</w:t>
      </w:r>
      <w:r w:rsidR="00E556B5" w:rsidRPr="006212FF">
        <w:rPr>
          <w:rFonts w:ascii="Book Antiqua" w:hAnsi="Book Antiqua"/>
          <w:sz w:val="24"/>
          <w:szCs w:val="24"/>
          <w:vertAlign w:val="superscript"/>
        </w:rPr>
        <w:t>4]</w:t>
      </w:r>
      <w:r w:rsidR="00BE0BB0" w:rsidRPr="006212FF">
        <w:rPr>
          <w:rFonts w:ascii="Book Antiqua" w:hAnsi="Book Antiqua"/>
          <w:sz w:val="24"/>
          <w:szCs w:val="24"/>
        </w:rPr>
        <w:t>.</w:t>
      </w:r>
      <w:r w:rsidR="00533E95" w:rsidRPr="006212FF">
        <w:rPr>
          <w:rFonts w:ascii="Book Antiqua" w:hAnsi="Book Antiqua"/>
          <w:sz w:val="24"/>
          <w:szCs w:val="24"/>
        </w:rPr>
        <w:t xml:space="preserve"> </w:t>
      </w:r>
      <w:r w:rsidR="00623AC4" w:rsidRPr="006212FF">
        <w:rPr>
          <w:rFonts w:ascii="Book Antiqua" w:hAnsi="Book Antiqua"/>
          <w:sz w:val="24"/>
          <w:szCs w:val="24"/>
        </w:rPr>
        <w:t>Nonetheless</w:t>
      </w:r>
      <w:r w:rsidR="007E31A6" w:rsidRPr="006212FF">
        <w:rPr>
          <w:rFonts w:ascii="Book Antiqua" w:hAnsi="Book Antiqua"/>
          <w:sz w:val="24"/>
          <w:szCs w:val="24"/>
        </w:rPr>
        <w:t xml:space="preserve">, </w:t>
      </w:r>
      <w:r w:rsidR="004C4658" w:rsidRPr="006212FF">
        <w:rPr>
          <w:rFonts w:ascii="Book Antiqua" w:hAnsi="Book Antiqua"/>
          <w:sz w:val="24"/>
          <w:szCs w:val="24"/>
        </w:rPr>
        <w:t>CNI</w:t>
      </w:r>
      <w:r w:rsidR="006732A8" w:rsidRPr="006212FF">
        <w:rPr>
          <w:rFonts w:ascii="Book Antiqua" w:hAnsi="Book Antiqua"/>
          <w:sz w:val="24"/>
          <w:szCs w:val="24"/>
        </w:rPr>
        <w:t>s</w:t>
      </w:r>
      <w:r w:rsidR="004C4658" w:rsidRPr="006212FF">
        <w:rPr>
          <w:rFonts w:ascii="Book Antiqua" w:hAnsi="Book Antiqua"/>
          <w:sz w:val="24"/>
          <w:szCs w:val="24"/>
        </w:rPr>
        <w:t xml:space="preserve">, </w:t>
      </w:r>
      <w:r w:rsidR="00623AC4" w:rsidRPr="006212FF">
        <w:rPr>
          <w:rFonts w:ascii="Book Antiqua" w:hAnsi="Book Antiqua"/>
          <w:sz w:val="24"/>
          <w:szCs w:val="24"/>
        </w:rPr>
        <w:t>both</w:t>
      </w:r>
      <w:r w:rsidR="00736CE5" w:rsidRPr="006212FF">
        <w:rPr>
          <w:rFonts w:ascii="Book Antiqua" w:hAnsi="Book Antiqua"/>
          <w:sz w:val="24"/>
          <w:szCs w:val="24"/>
        </w:rPr>
        <w:t xml:space="preserve"> </w:t>
      </w:r>
      <w:r w:rsidR="004C4658" w:rsidRPr="006212FF">
        <w:rPr>
          <w:rFonts w:ascii="Book Antiqua" w:hAnsi="Book Antiqua"/>
          <w:sz w:val="24"/>
          <w:szCs w:val="24"/>
        </w:rPr>
        <w:t xml:space="preserve">FK </w:t>
      </w:r>
      <w:r w:rsidR="00623AC4" w:rsidRPr="006212FF">
        <w:rPr>
          <w:rFonts w:ascii="Book Antiqua" w:hAnsi="Book Antiqua"/>
          <w:sz w:val="24"/>
          <w:szCs w:val="24"/>
        </w:rPr>
        <w:t>and</w:t>
      </w:r>
      <w:r w:rsidR="00536518" w:rsidRPr="006212FF">
        <w:rPr>
          <w:rFonts w:ascii="Book Antiqua" w:hAnsi="Book Antiqua"/>
          <w:sz w:val="24"/>
          <w:szCs w:val="24"/>
        </w:rPr>
        <w:t xml:space="preserve"> </w:t>
      </w:r>
      <w:r w:rsidR="00736CE5" w:rsidRPr="006212FF">
        <w:rPr>
          <w:rFonts w:ascii="Book Antiqua" w:hAnsi="Book Antiqua"/>
          <w:sz w:val="24"/>
          <w:szCs w:val="24"/>
        </w:rPr>
        <w:t>cy</w:t>
      </w:r>
      <w:r w:rsidR="004C4658" w:rsidRPr="006212FF">
        <w:rPr>
          <w:rFonts w:ascii="Book Antiqua" w:hAnsi="Book Antiqua"/>
          <w:sz w:val="24"/>
          <w:szCs w:val="24"/>
        </w:rPr>
        <w:t>closporin</w:t>
      </w:r>
      <w:r w:rsidR="00736CE5" w:rsidRPr="006212FF">
        <w:rPr>
          <w:rFonts w:ascii="Book Antiqua" w:hAnsi="Book Antiqua"/>
          <w:sz w:val="24"/>
          <w:szCs w:val="24"/>
        </w:rPr>
        <w:t>e</w:t>
      </w:r>
      <w:r w:rsidR="004C4658" w:rsidRPr="006212FF">
        <w:rPr>
          <w:rFonts w:ascii="Book Antiqua" w:hAnsi="Book Antiqua"/>
          <w:sz w:val="24"/>
          <w:szCs w:val="24"/>
        </w:rPr>
        <w:t xml:space="preserve"> (</w:t>
      </w:r>
      <w:proofErr w:type="spellStart"/>
      <w:r w:rsidR="004C4658" w:rsidRPr="006212FF">
        <w:rPr>
          <w:rFonts w:ascii="Book Antiqua" w:hAnsi="Book Antiqua"/>
          <w:sz w:val="24"/>
          <w:szCs w:val="24"/>
        </w:rPr>
        <w:t>C</w:t>
      </w:r>
      <w:r w:rsidR="00332645" w:rsidRPr="006212FF">
        <w:rPr>
          <w:rFonts w:ascii="Book Antiqua" w:hAnsi="Book Antiqua"/>
          <w:sz w:val="24"/>
          <w:szCs w:val="24"/>
        </w:rPr>
        <w:t>s</w:t>
      </w:r>
      <w:r w:rsidR="004C4658" w:rsidRPr="006212FF">
        <w:rPr>
          <w:rFonts w:ascii="Book Antiqua" w:hAnsi="Book Antiqua"/>
          <w:sz w:val="24"/>
          <w:szCs w:val="24"/>
        </w:rPr>
        <w:t>A</w:t>
      </w:r>
      <w:proofErr w:type="spellEnd"/>
      <w:r w:rsidR="004C4658" w:rsidRPr="006212FF">
        <w:rPr>
          <w:rFonts w:ascii="Book Antiqua" w:hAnsi="Book Antiqua"/>
          <w:sz w:val="24"/>
          <w:szCs w:val="24"/>
        </w:rPr>
        <w:t>)</w:t>
      </w:r>
      <w:r w:rsidR="006732A8" w:rsidRPr="006212FF">
        <w:rPr>
          <w:rFonts w:ascii="Book Antiqua" w:hAnsi="Book Antiqua"/>
          <w:sz w:val="24"/>
          <w:szCs w:val="24"/>
        </w:rPr>
        <w:t>,</w:t>
      </w:r>
      <w:r w:rsidR="00536518" w:rsidRPr="006212FF">
        <w:rPr>
          <w:rFonts w:ascii="Book Antiqua" w:hAnsi="Book Antiqua"/>
          <w:sz w:val="24"/>
          <w:szCs w:val="24"/>
        </w:rPr>
        <w:t xml:space="preserve"> </w:t>
      </w:r>
      <w:r w:rsidR="007E31A6" w:rsidRPr="006212FF">
        <w:rPr>
          <w:rFonts w:ascii="Book Antiqua" w:hAnsi="Book Antiqua"/>
          <w:sz w:val="24"/>
          <w:szCs w:val="24"/>
        </w:rPr>
        <w:t xml:space="preserve">increase </w:t>
      </w:r>
      <w:r w:rsidR="006732A8" w:rsidRPr="006212FF">
        <w:rPr>
          <w:rFonts w:ascii="Book Antiqua" w:hAnsi="Book Antiqua"/>
          <w:sz w:val="24"/>
          <w:szCs w:val="24"/>
        </w:rPr>
        <w:t xml:space="preserve">the </w:t>
      </w:r>
      <w:r w:rsidR="007E31A6" w:rsidRPr="006212FF">
        <w:rPr>
          <w:rFonts w:ascii="Book Antiqua" w:hAnsi="Book Antiqua"/>
          <w:sz w:val="24"/>
          <w:szCs w:val="24"/>
        </w:rPr>
        <w:t xml:space="preserve">risk of </w:t>
      </w:r>
      <w:r w:rsidR="0086509B" w:rsidRPr="006212FF">
        <w:rPr>
          <w:rFonts w:ascii="Book Antiqua" w:hAnsi="Book Antiqua"/>
          <w:sz w:val="24"/>
          <w:szCs w:val="24"/>
        </w:rPr>
        <w:t>nephrotoxicity</w:t>
      </w:r>
      <w:r w:rsidR="007E31A6" w:rsidRPr="006212FF">
        <w:rPr>
          <w:rFonts w:ascii="Book Antiqua" w:hAnsi="Book Antiqua"/>
          <w:sz w:val="24"/>
          <w:szCs w:val="24"/>
        </w:rPr>
        <w:t xml:space="preserve">, diabetes, hypertension and </w:t>
      </w:r>
      <w:proofErr w:type="gramStart"/>
      <w:r w:rsidR="007E31A6" w:rsidRPr="006212FF">
        <w:rPr>
          <w:rFonts w:ascii="Book Antiqua" w:hAnsi="Book Antiqua"/>
          <w:sz w:val="24"/>
          <w:szCs w:val="24"/>
        </w:rPr>
        <w:t>neurotoxicity</w:t>
      </w:r>
      <w:r w:rsidR="00E556B5" w:rsidRPr="006212FF">
        <w:rPr>
          <w:rFonts w:ascii="Book Antiqua" w:hAnsi="Book Antiqua"/>
          <w:sz w:val="24"/>
          <w:szCs w:val="24"/>
          <w:vertAlign w:val="superscript"/>
        </w:rPr>
        <w:t>[</w:t>
      </w:r>
      <w:proofErr w:type="gramEnd"/>
      <w:r w:rsidR="00E556B5" w:rsidRPr="006212FF">
        <w:rPr>
          <w:rFonts w:ascii="Book Antiqua" w:hAnsi="Book Antiqua"/>
          <w:sz w:val="24"/>
          <w:szCs w:val="24"/>
          <w:vertAlign w:val="superscript"/>
        </w:rPr>
        <w:t>2]</w:t>
      </w:r>
      <w:r w:rsidR="007E31A6" w:rsidRPr="006212FF">
        <w:rPr>
          <w:rFonts w:ascii="Book Antiqua" w:hAnsi="Book Antiqua"/>
          <w:sz w:val="24"/>
          <w:szCs w:val="24"/>
        </w:rPr>
        <w:t>.</w:t>
      </w:r>
      <w:r w:rsidR="00326130" w:rsidRPr="006212FF">
        <w:rPr>
          <w:rFonts w:ascii="Book Antiqua" w:hAnsi="Book Antiqua"/>
          <w:sz w:val="24"/>
          <w:szCs w:val="24"/>
        </w:rPr>
        <w:t xml:space="preserve"> </w:t>
      </w:r>
      <w:proofErr w:type="spellStart"/>
      <w:r w:rsidR="003F7E28" w:rsidRPr="006212FF">
        <w:rPr>
          <w:rFonts w:ascii="Book Antiqua" w:hAnsi="Book Antiqua"/>
          <w:sz w:val="24"/>
          <w:szCs w:val="24"/>
        </w:rPr>
        <w:t>Ojo</w:t>
      </w:r>
      <w:proofErr w:type="spellEnd"/>
      <w:r w:rsidR="003F7E28" w:rsidRPr="006212FF">
        <w:rPr>
          <w:rFonts w:ascii="Book Antiqua" w:hAnsi="Book Antiqua"/>
          <w:sz w:val="24"/>
          <w:szCs w:val="24"/>
        </w:rPr>
        <w:t xml:space="preserve"> </w:t>
      </w:r>
      <w:r w:rsidR="003F7E28" w:rsidRPr="006212FF">
        <w:rPr>
          <w:rFonts w:ascii="Book Antiqua" w:hAnsi="Book Antiqua"/>
          <w:i/>
          <w:sz w:val="24"/>
          <w:szCs w:val="24"/>
        </w:rPr>
        <w:t>et</w:t>
      </w:r>
      <w:r w:rsidR="008900DA" w:rsidRPr="006212FF">
        <w:rPr>
          <w:rFonts w:ascii="Book Antiqua" w:hAnsi="Book Antiqua"/>
          <w:i/>
          <w:sz w:val="24"/>
          <w:szCs w:val="24"/>
        </w:rPr>
        <w:t xml:space="preserve"> </w:t>
      </w:r>
      <w:proofErr w:type="gramStart"/>
      <w:r w:rsidR="003F7E28" w:rsidRPr="006212FF">
        <w:rPr>
          <w:rFonts w:ascii="Book Antiqua" w:hAnsi="Book Antiqua"/>
          <w:i/>
          <w:sz w:val="24"/>
          <w:szCs w:val="24"/>
        </w:rPr>
        <w:t>al</w:t>
      </w:r>
      <w:r w:rsidR="006212FF" w:rsidRPr="006212FF">
        <w:rPr>
          <w:rFonts w:ascii="Book Antiqua" w:hAnsi="Book Antiqua"/>
          <w:sz w:val="24"/>
          <w:szCs w:val="24"/>
          <w:vertAlign w:val="superscript"/>
        </w:rPr>
        <w:t>[</w:t>
      </w:r>
      <w:proofErr w:type="gramEnd"/>
      <w:r w:rsidR="006212FF" w:rsidRPr="006212FF">
        <w:rPr>
          <w:rFonts w:ascii="Book Antiqua" w:hAnsi="Book Antiqua"/>
          <w:sz w:val="24"/>
          <w:szCs w:val="24"/>
          <w:vertAlign w:val="superscript"/>
        </w:rPr>
        <w:t>5]</w:t>
      </w:r>
      <w:r w:rsidR="003F7E28" w:rsidRPr="006212FF">
        <w:rPr>
          <w:rFonts w:ascii="Book Antiqua" w:hAnsi="Book Antiqua"/>
          <w:sz w:val="24"/>
          <w:szCs w:val="24"/>
        </w:rPr>
        <w:t xml:space="preserve"> reported a</w:t>
      </w:r>
      <w:r w:rsidR="006732A8" w:rsidRPr="006212FF">
        <w:rPr>
          <w:rFonts w:ascii="Book Antiqua" w:hAnsi="Book Antiqua"/>
          <w:sz w:val="24"/>
          <w:szCs w:val="24"/>
        </w:rPr>
        <w:t>s high as</w:t>
      </w:r>
      <w:r w:rsidR="007E31A6" w:rsidRPr="006212FF">
        <w:rPr>
          <w:rFonts w:ascii="Book Antiqua" w:hAnsi="Book Antiqua"/>
          <w:sz w:val="24"/>
          <w:szCs w:val="24"/>
        </w:rPr>
        <w:t xml:space="preserve"> 18% of </w:t>
      </w:r>
      <w:r w:rsidR="006732A8" w:rsidRPr="006212FF">
        <w:rPr>
          <w:rFonts w:ascii="Book Antiqua" w:hAnsi="Book Antiqua"/>
          <w:sz w:val="24"/>
          <w:szCs w:val="24"/>
        </w:rPr>
        <w:t>LT</w:t>
      </w:r>
      <w:r w:rsidR="007E31A6" w:rsidRPr="006212FF">
        <w:rPr>
          <w:rFonts w:ascii="Book Antiqua" w:hAnsi="Book Antiqua"/>
          <w:sz w:val="24"/>
          <w:szCs w:val="24"/>
        </w:rPr>
        <w:t xml:space="preserve"> recipients develop</w:t>
      </w:r>
      <w:r w:rsidR="00F97921" w:rsidRPr="006212FF">
        <w:rPr>
          <w:rFonts w:ascii="Book Antiqua" w:hAnsi="Book Antiqua"/>
          <w:sz w:val="24"/>
          <w:szCs w:val="24"/>
        </w:rPr>
        <w:t>ed</w:t>
      </w:r>
      <w:r w:rsidR="007E31A6" w:rsidRPr="006212FF">
        <w:rPr>
          <w:rFonts w:ascii="Book Antiqua" w:hAnsi="Book Antiqua"/>
          <w:sz w:val="24"/>
          <w:szCs w:val="24"/>
        </w:rPr>
        <w:t xml:space="preserve"> renal impairment within 5 years post</w:t>
      </w:r>
      <w:r w:rsidR="002C220C" w:rsidRPr="006212FF">
        <w:rPr>
          <w:rFonts w:ascii="Book Antiqua" w:hAnsi="Book Antiqua"/>
          <w:sz w:val="24"/>
          <w:szCs w:val="24"/>
        </w:rPr>
        <w:t>-LT</w:t>
      </w:r>
      <w:r w:rsidR="007E31A6" w:rsidRPr="006212FF">
        <w:rPr>
          <w:rFonts w:ascii="Book Antiqua" w:hAnsi="Book Antiqua"/>
          <w:sz w:val="24"/>
          <w:szCs w:val="24"/>
        </w:rPr>
        <w:t xml:space="preserve">. </w:t>
      </w:r>
      <w:r w:rsidR="000F4A31" w:rsidRPr="006212FF">
        <w:rPr>
          <w:rFonts w:ascii="Book Antiqua" w:hAnsi="Book Antiqua"/>
          <w:sz w:val="24"/>
          <w:szCs w:val="24"/>
        </w:rPr>
        <w:t>There</w:t>
      </w:r>
      <w:r w:rsidR="006732A8" w:rsidRPr="006212FF">
        <w:rPr>
          <w:rFonts w:ascii="Book Antiqua" w:hAnsi="Book Antiqua"/>
          <w:sz w:val="24"/>
          <w:szCs w:val="24"/>
        </w:rPr>
        <w:t>fore</w:t>
      </w:r>
      <w:r w:rsidR="000F4A31" w:rsidRPr="006212FF">
        <w:rPr>
          <w:rFonts w:ascii="Book Antiqua" w:hAnsi="Book Antiqua"/>
          <w:sz w:val="24"/>
          <w:szCs w:val="24"/>
        </w:rPr>
        <w:t xml:space="preserve"> much research </w:t>
      </w:r>
      <w:r w:rsidR="006732A8" w:rsidRPr="006212FF">
        <w:rPr>
          <w:rFonts w:ascii="Book Antiqua" w:hAnsi="Book Antiqua"/>
          <w:sz w:val="24"/>
          <w:szCs w:val="24"/>
        </w:rPr>
        <w:t>has been focused on</w:t>
      </w:r>
      <w:r w:rsidR="00326130" w:rsidRPr="006212FF">
        <w:rPr>
          <w:rFonts w:ascii="Book Antiqua" w:hAnsi="Book Antiqua"/>
          <w:sz w:val="24"/>
          <w:szCs w:val="24"/>
        </w:rPr>
        <w:t xml:space="preserve"> </w:t>
      </w:r>
      <w:r w:rsidR="000F4A31" w:rsidRPr="006212FF">
        <w:rPr>
          <w:rFonts w:ascii="Book Antiqua" w:hAnsi="Book Antiqua"/>
          <w:sz w:val="24"/>
          <w:szCs w:val="24"/>
        </w:rPr>
        <w:t>find</w:t>
      </w:r>
      <w:r w:rsidR="009077E5" w:rsidRPr="006212FF">
        <w:rPr>
          <w:rFonts w:ascii="Book Antiqua" w:hAnsi="Book Antiqua"/>
          <w:sz w:val="24"/>
          <w:szCs w:val="24"/>
        </w:rPr>
        <w:t>ing</w:t>
      </w:r>
      <w:r w:rsidR="000F4A31" w:rsidRPr="006212FF">
        <w:rPr>
          <w:rFonts w:ascii="Book Antiqua" w:hAnsi="Book Antiqua"/>
          <w:sz w:val="24"/>
          <w:szCs w:val="24"/>
        </w:rPr>
        <w:t xml:space="preserve"> strategies or alternative</w:t>
      </w:r>
      <w:r w:rsidR="006732A8" w:rsidRPr="006212FF">
        <w:rPr>
          <w:rFonts w:ascii="Book Antiqua" w:hAnsi="Book Antiqua"/>
          <w:sz w:val="24"/>
          <w:szCs w:val="24"/>
        </w:rPr>
        <w:t>s</w:t>
      </w:r>
      <w:r w:rsidR="000F4A31" w:rsidRPr="006212FF">
        <w:rPr>
          <w:rFonts w:ascii="Book Antiqua" w:hAnsi="Book Antiqua"/>
          <w:sz w:val="24"/>
          <w:szCs w:val="24"/>
        </w:rPr>
        <w:t xml:space="preserve"> to avoid or minimize nephrotoxicity</w:t>
      </w:r>
      <w:r w:rsidR="009077E5" w:rsidRPr="006212FF">
        <w:rPr>
          <w:rFonts w:ascii="Book Antiqua" w:hAnsi="Book Antiqua"/>
          <w:sz w:val="24"/>
          <w:szCs w:val="24"/>
        </w:rPr>
        <w:t xml:space="preserve"> in </w:t>
      </w:r>
      <w:r w:rsidR="006732A8" w:rsidRPr="006212FF">
        <w:rPr>
          <w:rFonts w:ascii="Book Antiqua" w:hAnsi="Book Antiqua"/>
          <w:sz w:val="24"/>
          <w:szCs w:val="24"/>
        </w:rPr>
        <w:t xml:space="preserve">the </w:t>
      </w:r>
      <w:r w:rsidR="009077E5" w:rsidRPr="006212FF">
        <w:rPr>
          <w:rFonts w:ascii="Book Antiqua" w:hAnsi="Book Antiqua"/>
          <w:sz w:val="24"/>
          <w:szCs w:val="24"/>
        </w:rPr>
        <w:t>past 10 years</w:t>
      </w:r>
      <w:r w:rsidR="00301FD7" w:rsidRPr="006212FF">
        <w:rPr>
          <w:rFonts w:ascii="Book Antiqua" w:hAnsi="Book Antiqua"/>
          <w:sz w:val="24"/>
          <w:szCs w:val="24"/>
        </w:rPr>
        <w:t xml:space="preserve"> and one of the more</w:t>
      </w:r>
      <w:r w:rsidR="00326130" w:rsidRPr="006212FF">
        <w:rPr>
          <w:rFonts w:ascii="Book Antiqua" w:hAnsi="Book Antiqua"/>
          <w:sz w:val="24"/>
          <w:szCs w:val="24"/>
        </w:rPr>
        <w:t xml:space="preserve"> </w:t>
      </w:r>
      <w:r w:rsidR="007E03B4" w:rsidRPr="006212FF">
        <w:rPr>
          <w:rFonts w:ascii="Book Antiqua" w:hAnsi="Book Antiqua"/>
          <w:sz w:val="24"/>
          <w:szCs w:val="24"/>
        </w:rPr>
        <w:t>recent drug classes to be used are the mammalian target o</w:t>
      </w:r>
      <w:r w:rsidR="00736CE5" w:rsidRPr="006212FF">
        <w:rPr>
          <w:rFonts w:ascii="Book Antiqua" w:hAnsi="Book Antiqua"/>
          <w:sz w:val="24"/>
          <w:szCs w:val="24"/>
        </w:rPr>
        <w:t xml:space="preserve">f </w:t>
      </w:r>
      <w:proofErr w:type="spellStart"/>
      <w:r w:rsidR="00736CE5" w:rsidRPr="006212FF">
        <w:rPr>
          <w:rFonts w:ascii="Book Antiqua" w:hAnsi="Book Antiqua"/>
          <w:sz w:val="24"/>
          <w:szCs w:val="24"/>
        </w:rPr>
        <w:t>rapamycin</w:t>
      </w:r>
      <w:proofErr w:type="spellEnd"/>
      <w:r w:rsidR="00736CE5" w:rsidRPr="006212FF">
        <w:rPr>
          <w:rFonts w:ascii="Book Antiqua" w:hAnsi="Book Antiqua"/>
          <w:sz w:val="24"/>
          <w:szCs w:val="24"/>
        </w:rPr>
        <w:t xml:space="preserve"> (</w:t>
      </w:r>
      <w:proofErr w:type="spellStart"/>
      <w:r w:rsidR="00736CE5" w:rsidRPr="006212FF">
        <w:rPr>
          <w:rFonts w:ascii="Book Antiqua" w:hAnsi="Book Antiqua"/>
          <w:sz w:val="24"/>
          <w:szCs w:val="24"/>
        </w:rPr>
        <w:t>mTOR</w:t>
      </w:r>
      <w:proofErr w:type="spellEnd"/>
      <w:r w:rsidR="00736CE5" w:rsidRPr="006212FF">
        <w:rPr>
          <w:rFonts w:ascii="Book Antiqua" w:hAnsi="Book Antiqua"/>
          <w:sz w:val="24"/>
          <w:szCs w:val="24"/>
        </w:rPr>
        <w:t xml:space="preserve">) inhibitors </w:t>
      </w:r>
      <w:r w:rsidR="006212FF">
        <w:rPr>
          <w:rFonts w:ascii="Book Antiqua" w:hAnsi="Book Antiqua" w:hint="eastAsia"/>
          <w:sz w:val="24"/>
          <w:szCs w:val="24"/>
        </w:rPr>
        <w:t>[</w:t>
      </w:r>
      <w:proofErr w:type="spellStart"/>
      <w:r w:rsidR="00736CE5" w:rsidRPr="006212FF">
        <w:rPr>
          <w:rFonts w:ascii="Book Antiqua" w:hAnsi="Book Antiqua"/>
          <w:sz w:val="24"/>
          <w:szCs w:val="24"/>
        </w:rPr>
        <w:t>s</w:t>
      </w:r>
      <w:r w:rsidR="007E03B4" w:rsidRPr="006212FF">
        <w:rPr>
          <w:rFonts w:ascii="Book Antiqua" w:hAnsi="Book Antiqua"/>
          <w:sz w:val="24"/>
          <w:szCs w:val="24"/>
        </w:rPr>
        <w:t>irolimus</w:t>
      </w:r>
      <w:proofErr w:type="spellEnd"/>
      <w:r w:rsidR="007E03B4" w:rsidRPr="006212FF">
        <w:rPr>
          <w:rFonts w:ascii="Book Antiqua" w:hAnsi="Book Antiqua"/>
          <w:sz w:val="24"/>
          <w:szCs w:val="24"/>
        </w:rPr>
        <w:t xml:space="preserve">, </w:t>
      </w:r>
      <w:proofErr w:type="spellStart"/>
      <w:r w:rsidR="007E03B4" w:rsidRPr="006212FF">
        <w:rPr>
          <w:rFonts w:ascii="Book Antiqua" w:hAnsi="Book Antiqua"/>
          <w:sz w:val="24"/>
          <w:szCs w:val="24"/>
        </w:rPr>
        <w:t>everolimus</w:t>
      </w:r>
      <w:proofErr w:type="spellEnd"/>
      <w:r w:rsidR="007E03B4" w:rsidRPr="006212FF">
        <w:rPr>
          <w:rFonts w:ascii="Book Antiqua" w:hAnsi="Book Antiqua"/>
          <w:sz w:val="24"/>
          <w:szCs w:val="24"/>
        </w:rPr>
        <w:t xml:space="preserve"> </w:t>
      </w:r>
      <w:r w:rsidR="006212FF" w:rsidRPr="006212FF">
        <w:rPr>
          <w:rFonts w:ascii="Book Antiqua" w:hAnsi="Book Antiqua"/>
          <w:sz w:val="24"/>
          <w:szCs w:val="24"/>
        </w:rPr>
        <w:t>(EVR)</w:t>
      </w:r>
      <w:r w:rsidR="006212FF">
        <w:rPr>
          <w:rFonts w:ascii="Book Antiqua" w:hAnsi="Book Antiqua" w:hint="eastAsia"/>
          <w:sz w:val="24"/>
          <w:szCs w:val="24"/>
        </w:rPr>
        <w:t>]</w:t>
      </w:r>
      <w:r w:rsidR="00301FD7" w:rsidRPr="006212FF">
        <w:rPr>
          <w:rFonts w:ascii="Book Antiqua" w:hAnsi="Book Antiqua"/>
          <w:sz w:val="24"/>
          <w:szCs w:val="24"/>
        </w:rPr>
        <w:t>.</w:t>
      </w:r>
    </w:p>
    <w:p w14:paraId="3410A145" w14:textId="651C9EF4" w:rsidR="00F90767" w:rsidRPr="006212FF" w:rsidRDefault="008C6C18" w:rsidP="006212FF">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EVR</w:t>
      </w:r>
      <w:r w:rsidR="004D1ECF" w:rsidRPr="006212FF">
        <w:rPr>
          <w:rFonts w:ascii="Book Antiqua" w:hAnsi="Book Antiqua"/>
          <w:sz w:val="24"/>
          <w:szCs w:val="24"/>
        </w:rPr>
        <w:t xml:space="preserve"> </w:t>
      </w:r>
      <w:r w:rsidR="00647C36" w:rsidRPr="006212FF">
        <w:rPr>
          <w:rFonts w:ascii="Book Antiqua" w:hAnsi="Book Antiqua"/>
          <w:sz w:val="24"/>
          <w:szCs w:val="24"/>
        </w:rPr>
        <w:t xml:space="preserve">was approved for </w:t>
      </w:r>
      <w:r w:rsidR="006732A8" w:rsidRPr="006212FF">
        <w:rPr>
          <w:rFonts w:ascii="Book Antiqua" w:hAnsi="Book Antiqua"/>
          <w:sz w:val="24"/>
          <w:szCs w:val="24"/>
        </w:rPr>
        <w:t xml:space="preserve">the </w:t>
      </w:r>
      <w:r w:rsidR="00647C36" w:rsidRPr="006212FF">
        <w:rPr>
          <w:rFonts w:ascii="Book Antiqua" w:hAnsi="Book Antiqua"/>
          <w:sz w:val="24"/>
          <w:szCs w:val="24"/>
        </w:rPr>
        <w:t xml:space="preserve">prevention of </w:t>
      </w:r>
      <w:r w:rsidR="006732A8" w:rsidRPr="006212FF">
        <w:rPr>
          <w:rFonts w:ascii="Book Antiqua" w:hAnsi="Book Antiqua"/>
          <w:sz w:val="24"/>
          <w:szCs w:val="24"/>
        </w:rPr>
        <w:t xml:space="preserve">graft </w:t>
      </w:r>
      <w:r w:rsidR="00647C36" w:rsidRPr="006212FF">
        <w:rPr>
          <w:rFonts w:ascii="Book Antiqua" w:hAnsi="Book Antiqua"/>
          <w:sz w:val="24"/>
          <w:szCs w:val="24"/>
        </w:rPr>
        <w:t xml:space="preserve">rejection </w:t>
      </w:r>
      <w:r w:rsidR="006732A8" w:rsidRPr="006212FF">
        <w:rPr>
          <w:rFonts w:ascii="Book Antiqua" w:hAnsi="Book Antiqua"/>
          <w:sz w:val="24"/>
          <w:szCs w:val="24"/>
        </w:rPr>
        <w:t>in</w:t>
      </w:r>
      <w:r w:rsidR="004D1ECF" w:rsidRPr="006212FF">
        <w:rPr>
          <w:rFonts w:ascii="Book Antiqua" w:hAnsi="Book Antiqua"/>
          <w:sz w:val="24"/>
          <w:szCs w:val="24"/>
        </w:rPr>
        <w:t xml:space="preserve"> </w:t>
      </w:r>
      <w:r w:rsidR="006732A8" w:rsidRPr="006212FF">
        <w:rPr>
          <w:rFonts w:ascii="Book Antiqua" w:hAnsi="Book Antiqua"/>
          <w:sz w:val="24"/>
          <w:szCs w:val="24"/>
        </w:rPr>
        <w:t xml:space="preserve">LT </w:t>
      </w:r>
      <w:r w:rsidR="000F1BE1" w:rsidRPr="006212FF">
        <w:rPr>
          <w:rFonts w:ascii="Book Antiqua" w:hAnsi="Book Antiqua"/>
          <w:sz w:val="24"/>
          <w:szCs w:val="24"/>
        </w:rPr>
        <w:t xml:space="preserve">when used </w:t>
      </w:r>
      <w:r w:rsidR="004C390C" w:rsidRPr="006212FF">
        <w:rPr>
          <w:rFonts w:ascii="Book Antiqua" w:hAnsi="Book Antiqua"/>
          <w:sz w:val="24"/>
          <w:szCs w:val="24"/>
        </w:rPr>
        <w:t xml:space="preserve">in </w:t>
      </w:r>
      <w:r w:rsidR="00957831" w:rsidRPr="006212FF">
        <w:rPr>
          <w:rFonts w:ascii="Book Antiqua" w:hAnsi="Book Antiqua"/>
          <w:sz w:val="24"/>
          <w:szCs w:val="24"/>
        </w:rPr>
        <w:t xml:space="preserve">combination with </w:t>
      </w:r>
      <w:r w:rsidR="000F1BE1" w:rsidRPr="006212FF">
        <w:rPr>
          <w:rFonts w:ascii="Book Antiqua" w:hAnsi="Book Antiqua"/>
          <w:sz w:val="24"/>
          <w:szCs w:val="24"/>
        </w:rPr>
        <w:t>both FK</w:t>
      </w:r>
      <w:r w:rsidR="00957831" w:rsidRPr="006212FF">
        <w:rPr>
          <w:rFonts w:ascii="Book Antiqua" w:hAnsi="Book Antiqua"/>
          <w:sz w:val="24"/>
          <w:szCs w:val="24"/>
        </w:rPr>
        <w:t xml:space="preserve"> </w:t>
      </w:r>
      <w:r w:rsidR="00052E98" w:rsidRPr="006212FF">
        <w:rPr>
          <w:rFonts w:ascii="Book Antiqua" w:hAnsi="Book Antiqua"/>
          <w:sz w:val="24"/>
          <w:szCs w:val="24"/>
        </w:rPr>
        <w:t>and</w:t>
      </w:r>
      <w:r w:rsidR="00957831" w:rsidRPr="006212FF">
        <w:rPr>
          <w:rFonts w:ascii="Book Antiqua" w:hAnsi="Book Antiqua"/>
          <w:sz w:val="24"/>
          <w:szCs w:val="24"/>
        </w:rPr>
        <w:t xml:space="preserve"> steroid in Europe (Oct</w:t>
      </w:r>
      <w:r w:rsidR="006212FF">
        <w:rPr>
          <w:rFonts w:ascii="Book Antiqua" w:hAnsi="Book Antiqua" w:hint="eastAsia"/>
          <w:sz w:val="24"/>
          <w:szCs w:val="24"/>
        </w:rPr>
        <w:t>ober</w:t>
      </w:r>
      <w:r w:rsidR="00957831" w:rsidRPr="006212FF">
        <w:rPr>
          <w:rFonts w:ascii="Book Antiqua" w:hAnsi="Book Antiqua"/>
          <w:sz w:val="24"/>
          <w:szCs w:val="24"/>
        </w:rPr>
        <w:t xml:space="preserve"> </w:t>
      </w:r>
      <w:r w:rsidR="004C390C" w:rsidRPr="006212FF">
        <w:rPr>
          <w:rFonts w:ascii="Book Antiqua" w:hAnsi="Book Antiqua"/>
          <w:sz w:val="24"/>
          <w:szCs w:val="24"/>
        </w:rPr>
        <w:t>2012</w:t>
      </w:r>
      <w:r w:rsidR="00957831" w:rsidRPr="006212FF">
        <w:rPr>
          <w:rFonts w:ascii="Book Antiqua" w:hAnsi="Book Antiqua"/>
          <w:sz w:val="24"/>
          <w:szCs w:val="24"/>
        </w:rPr>
        <w:t>)</w:t>
      </w:r>
      <w:r w:rsidR="003D3CE0" w:rsidRPr="006212FF">
        <w:rPr>
          <w:rFonts w:ascii="Book Antiqua" w:hAnsi="Book Antiqua"/>
          <w:sz w:val="24"/>
          <w:szCs w:val="24"/>
        </w:rPr>
        <w:t xml:space="preserve"> and in</w:t>
      </w:r>
      <w:r w:rsidR="004D1ECF" w:rsidRPr="006212FF">
        <w:rPr>
          <w:rFonts w:ascii="Book Antiqua" w:hAnsi="Book Antiqua"/>
          <w:sz w:val="24"/>
          <w:szCs w:val="24"/>
        </w:rPr>
        <w:t xml:space="preserve"> </w:t>
      </w:r>
      <w:r w:rsidR="006732A8" w:rsidRPr="006212FF">
        <w:rPr>
          <w:rFonts w:ascii="Book Antiqua" w:hAnsi="Book Antiqua"/>
          <w:sz w:val="24"/>
          <w:szCs w:val="24"/>
        </w:rPr>
        <w:t xml:space="preserve">the </w:t>
      </w:r>
      <w:r w:rsidR="00957831" w:rsidRPr="006212FF">
        <w:rPr>
          <w:rFonts w:ascii="Book Antiqua" w:hAnsi="Book Antiqua"/>
          <w:sz w:val="24"/>
          <w:szCs w:val="24"/>
        </w:rPr>
        <w:t>U</w:t>
      </w:r>
      <w:r w:rsidR="006732A8" w:rsidRPr="006212FF">
        <w:rPr>
          <w:rFonts w:ascii="Book Antiqua" w:hAnsi="Book Antiqua"/>
          <w:sz w:val="24"/>
          <w:szCs w:val="24"/>
        </w:rPr>
        <w:t xml:space="preserve">nited </w:t>
      </w:r>
      <w:r w:rsidR="00957831" w:rsidRPr="006212FF">
        <w:rPr>
          <w:rFonts w:ascii="Book Antiqua" w:hAnsi="Book Antiqua"/>
          <w:sz w:val="24"/>
          <w:szCs w:val="24"/>
        </w:rPr>
        <w:t>S</w:t>
      </w:r>
      <w:r w:rsidR="006732A8" w:rsidRPr="006212FF">
        <w:rPr>
          <w:rFonts w:ascii="Book Antiqua" w:hAnsi="Book Antiqua"/>
          <w:sz w:val="24"/>
          <w:szCs w:val="24"/>
        </w:rPr>
        <w:t>tates</w:t>
      </w:r>
      <w:r w:rsidR="00957831" w:rsidRPr="006212FF">
        <w:rPr>
          <w:rFonts w:ascii="Book Antiqua" w:hAnsi="Book Antiqua"/>
          <w:sz w:val="24"/>
          <w:szCs w:val="24"/>
        </w:rPr>
        <w:t xml:space="preserve"> (</w:t>
      </w:r>
      <w:r w:rsidR="003D3CE0" w:rsidRPr="006212FF">
        <w:rPr>
          <w:rFonts w:ascii="Book Antiqua" w:hAnsi="Book Antiqua"/>
          <w:sz w:val="24"/>
          <w:szCs w:val="24"/>
        </w:rPr>
        <w:t>Feb</w:t>
      </w:r>
      <w:r w:rsidR="006212FF">
        <w:rPr>
          <w:rFonts w:ascii="Book Antiqua" w:hAnsi="Book Antiqua" w:hint="eastAsia"/>
          <w:sz w:val="24"/>
          <w:szCs w:val="24"/>
        </w:rPr>
        <w:t>ruary</w:t>
      </w:r>
      <w:r w:rsidR="003D3CE0" w:rsidRPr="006212FF">
        <w:rPr>
          <w:rFonts w:ascii="Book Antiqua" w:hAnsi="Book Antiqua"/>
          <w:sz w:val="24"/>
          <w:szCs w:val="24"/>
        </w:rPr>
        <w:t xml:space="preserve"> 2013</w:t>
      </w:r>
      <w:r w:rsidR="00957831" w:rsidRPr="006212FF">
        <w:rPr>
          <w:rFonts w:ascii="Book Antiqua" w:hAnsi="Book Antiqua"/>
          <w:sz w:val="24"/>
          <w:szCs w:val="24"/>
        </w:rPr>
        <w:t>)</w:t>
      </w:r>
      <w:r w:rsidR="00F90767" w:rsidRPr="006212FF">
        <w:rPr>
          <w:rFonts w:ascii="Book Antiqua" w:hAnsi="Book Antiqua"/>
          <w:sz w:val="24"/>
          <w:szCs w:val="24"/>
        </w:rPr>
        <w:t>.</w:t>
      </w:r>
    </w:p>
    <w:p w14:paraId="7D07B219" w14:textId="77777777" w:rsidR="0015751B" w:rsidRPr="006212FF" w:rsidRDefault="0015751B" w:rsidP="006212FF">
      <w:pPr>
        <w:spacing w:after="0" w:line="360" w:lineRule="auto"/>
        <w:jc w:val="both"/>
        <w:rPr>
          <w:rFonts w:ascii="Book Antiqua" w:hAnsi="Book Antiqua"/>
          <w:sz w:val="24"/>
          <w:szCs w:val="24"/>
        </w:rPr>
      </w:pPr>
    </w:p>
    <w:p w14:paraId="526297D4" w14:textId="5606807C" w:rsidR="003F7E28" w:rsidRPr="006212FF" w:rsidRDefault="008D3FE3" w:rsidP="006212FF">
      <w:pPr>
        <w:spacing w:after="0" w:line="360" w:lineRule="auto"/>
        <w:jc w:val="both"/>
        <w:rPr>
          <w:rFonts w:ascii="Book Antiqua" w:hAnsi="Book Antiqua"/>
          <w:b/>
          <w:sz w:val="24"/>
          <w:szCs w:val="24"/>
        </w:rPr>
      </w:pPr>
      <w:r w:rsidRPr="006212FF">
        <w:rPr>
          <w:rFonts w:ascii="Book Antiqua" w:hAnsi="Book Antiqua"/>
          <w:b/>
          <w:sz w:val="24"/>
          <w:szCs w:val="24"/>
        </w:rPr>
        <w:t>PHARMACOLOGICAL PROPERTIES OF EVR</w:t>
      </w:r>
    </w:p>
    <w:p w14:paraId="13BF8A0F" w14:textId="7066091A" w:rsidR="00ED12E1" w:rsidRPr="006212FF" w:rsidRDefault="00ED12E1" w:rsidP="006212FF">
      <w:pPr>
        <w:spacing w:after="0" w:line="360" w:lineRule="auto"/>
        <w:jc w:val="both"/>
        <w:rPr>
          <w:rFonts w:ascii="Book Antiqua" w:hAnsi="Book Antiqua"/>
          <w:sz w:val="24"/>
          <w:szCs w:val="24"/>
        </w:rPr>
      </w:pPr>
      <w:r w:rsidRPr="006212FF">
        <w:rPr>
          <w:rFonts w:ascii="Book Antiqua" w:hAnsi="Book Antiqua"/>
          <w:sz w:val="24"/>
          <w:szCs w:val="24"/>
        </w:rPr>
        <w:t>EVR is</w:t>
      </w:r>
      <w:r w:rsidR="00714308" w:rsidRPr="006212FF">
        <w:rPr>
          <w:rFonts w:ascii="Book Antiqua" w:hAnsi="Book Antiqua"/>
          <w:sz w:val="24"/>
          <w:szCs w:val="24"/>
        </w:rPr>
        <w:t xml:space="preserve"> an </w:t>
      </w:r>
      <w:proofErr w:type="spellStart"/>
      <w:r w:rsidR="004D1ECF" w:rsidRPr="006212FF">
        <w:rPr>
          <w:rFonts w:ascii="Book Antiqua" w:hAnsi="Book Antiqua"/>
          <w:sz w:val="24"/>
          <w:szCs w:val="24"/>
        </w:rPr>
        <w:t>mTOR</w:t>
      </w:r>
      <w:proofErr w:type="spellEnd"/>
      <w:r w:rsidR="004D1ECF" w:rsidRPr="006212FF">
        <w:rPr>
          <w:rFonts w:ascii="Book Antiqua" w:hAnsi="Book Antiqua"/>
          <w:sz w:val="24"/>
          <w:szCs w:val="24"/>
        </w:rPr>
        <w:t xml:space="preserve"> </w:t>
      </w:r>
      <w:r w:rsidR="00714308" w:rsidRPr="006212FF">
        <w:rPr>
          <w:rFonts w:ascii="Book Antiqua" w:hAnsi="Book Antiqua"/>
          <w:sz w:val="24"/>
          <w:szCs w:val="24"/>
        </w:rPr>
        <w:t xml:space="preserve">inhibitor and has </w:t>
      </w:r>
      <w:proofErr w:type="spellStart"/>
      <w:r w:rsidR="00714308" w:rsidRPr="006212FF">
        <w:rPr>
          <w:rFonts w:ascii="Book Antiqua" w:hAnsi="Book Antiqua"/>
          <w:sz w:val="24"/>
          <w:szCs w:val="24"/>
        </w:rPr>
        <w:t>antiproliferative</w:t>
      </w:r>
      <w:proofErr w:type="spellEnd"/>
      <w:r w:rsidR="00714308" w:rsidRPr="006212FF">
        <w:rPr>
          <w:rFonts w:ascii="Book Antiqua" w:hAnsi="Book Antiqua"/>
          <w:sz w:val="24"/>
          <w:szCs w:val="24"/>
        </w:rPr>
        <w:t xml:space="preserve"> propert</w:t>
      </w:r>
      <w:r w:rsidR="006732A8" w:rsidRPr="006212FF">
        <w:rPr>
          <w:rFonts w:ascii="Book Antiqua" w:hAnsi="Book Antiqua"/>
          <w:sz w:val="24"/>
          <w:szCs w:val="24"/>
        </w:rPr>
        <w:t>ies</w:t>
      </w:r>
      <w:r w:rsidRPr="006212FF">
        <w:rPr>
          <w:rFonts w:ascii="Book Antiqua" w:hAnsi="Book Antiqua"/>
          <w:sz w:val="24"/>
          <w:szCs w:val="24"/>
        </w:rPr>
        <w:t>. It</w:t>
      </w:r>
      <w:r w:rsidR="00821C82" w:rsidRPr="006212FF">
        <w:rPr>
          <w:rFonts w:ascii="Book Antiqua" w:hAnsi="Book Antiqua"/>
          <w:sz w:val="24"/>
          <w:szCs w:val="24"/>
        </w:rPr>
        <w:t xml:space="preserve"> </w:t>
      </w:r>
      <w:r w:rsidR="007D16EB" w:rsidRPr="006212FF">
        <w:rPr>
          <w:rFonts w:ascii="Book Antiqua" w:hAnsi="Book Antiqua"/>
          <w:sz w:val="24"/>
          <w:szCs w:val="24"/>
        </w:rPr>
        <w:t>reduce</w:t>
      </w:r>
      <w:r w:rsidR="00714308" w:rsidRPr="006212FF">
        <w:rPr>
          <w:rFonts w:ascii="Book Antiqua" w:hAnsi="Book Antiqua"/>
          <w:sz w:val="24"/>
          <w:szCs w:val="24"/>
        </w:rPr>
        <w:t>s</w:t>
      </w:r>
      <w:r w:rsidR="007D16EB" w:rsidRPr="006212FF">
        <w:rPr>
          <w:rFonts w:ascii="Book Antiqua" w:hAnsi="Book Antiqua"/>
          <w:sz w:val="24"/>
          <w:szCs w:val="24"/>
        </w:rPr>
        <w:t xml:space="preserve"> protein sy</w:t>
      </w:r>
      <w:r w:rsidR="00821C82" w:rsidRPr="006212FF">
        <w:rPr>
          <w:rFonts w:ascii="Book Antiqua" w:hAnsi="Book Antiqua"/>
          <w:sz w:val="24"/>
          <w:szCs w:val="24"/>
        </w:rPr>
        <w:t>n</w:t>
      </w:r>
      <w:r w:rsidR="007D16EB" w:rsidRPr="006212FF">
        <w:rPr>
          <w:rFonts w:ascii="Book Antiqua" w:hAnsi="Book Antiqua"/>
          <w:sz w:val="24"/>
          <w:szCs w:val="24"/>
        </w:rPr>
        <w:t>thesis and cell proliferation by binding</w:t>
      </w:r>
      <w:r w:rsidR="000540EA" w:rsidRPr="006212FF">
        <w:rPr>
          <w:rFonts w:ascii="Book Antiqua" w:hAnsi="Book Antiqua"/>
          <w:sz w:val="24"/>
          <w:szCs w:val="24"/>
        </w:rPr>
        <w:t xml:space="preserve"> to FK binding proten-12</w:t>
      </w:r>
      <w:r w:rsidR="00821C82" w:rsidRPr="006212FF">
        <w:rPr>
          <w:rFonts w:ascii="Book Antiqua" w:hAnsi="Book Antiqua"/>
          <w:sz w:val="24"/>
          <w:szCs w:val="24"/>
        </w:rPr>
        <w:t xml:space="preserve"> </w:t>
      </w:r>
      <w:r w:rsidR="007D16EB" w:rsidRPr="006212FF">
        <w:rPr>
          <w:rFonts w:ascii="Book Antiqua" w:hAnsi="Book Antiqua"/>
          <w:sz w:val="24"/>
          <w:szCs w:val="24"/>
        </w:rPr>
        <w:t xml:space="preserve">to </w:t>
      </w:r>
      <w:r w:rsidR="000540EA" w:rsidRPr="006212FF">
        <w:rPr>
          <w:rFonts w:ascii="Book Antiqua" w:hAnsi="Book Antiqua"/>
          <w:sz w:val="24"/>
          <w:szCs w:val="24"/>
        </w:rPr>
        <w:t>form a complex t</w:t>
      </w:r>
      <w:r w:rsidR="007D16EB" w:rsidRPr="006212FF">
        <w:rPr>
          <w:rFonts w:ascii="Book Antiqua" w:hAnsi="Book Antiqua"/>
          <w:sz w:val="24"/>
          <w:szCs w:val="24"/>
        </w:rPr>
        <w:t>hat</w:t>
      </w:r>
      <w:r w:rsidR="000540EA" w:rsidRPr="006212FF">
        <w:rPr>
          <w:rFonts w:ascii="Book Antiqua" w:hAnsi="Book Antiqua"/>
          <w:sz w:val="24"/>
          <w:szCs w:val="24"/>
        </w:rPr>
        <w:t xml:space="preserve"> inhibit</w:t>
      </w:r>
      <w:r w:rsidR="006732A8" w:rsidRPr="006212FF">
        <w:rPr>
          <w:rFonts w:ascii="Book Antiqua" w:hAnsi="Book Antiqua"/>
          <w:sz w:val="24"/>
          <w:szCs w:val="24"/>
        </w:rPr>
        <w:t>s</w:t>
      </w:r>
      <w:r w:rsidR="000540EA" w:rsidRPr="006212FF">
        <w:rPr>
          <w:rFonts w:ascii="Book Antiqua" w:hAnsi="Book Antiqua"/>
          <w:sz w:val="24"/>
          <w:szCs w:val="24"/>
        </w:rPr>
        <w:t xml:space="preserve"> activation of </w:t>
      </w:r>
      <w:r w:rsidR="006732A8" w:rsidRPr="006212FF">
        <w:rPr>
          <w:rFonts w:ascii="Book Antiqua" w:hAnsi="Book Antiqua"/>
          <w:sz w:val="24"/>
          <w:szCs w:val="24"/>
        </w:rPr>
        <w:t xml:space="preserve">the </w:t>
      </w:r>
      <w:proofErr w:type="spellStart"/>
      <w:r w:rsidRPr="006212FF">
        <w:rPr>
          <w:rFonts w:ascii="Book Antiqua" w:hAnsi="Book Antiqua"/>
          <w:sz w:val="24"/>
          <w:szCs w:val="24"/>
        </w:rPr>
        <w:t>mTOR</w:t>
      </w:r>
      <w:proofErr w:type="spellEnd"/>
      <w:r w:rsidR="00821C82" w:rsidRPr="006212FF">
        <w:rPr>
          <w:rFonts w:ascii="Book Antiqua" w:hAnsi="Book Antiqua"/>
          <w:sz w:val="24"/>
          <w:szCs w:val="24"/>
        </w:rPr>
        <w:t xml:space="preserve"> </w:t>
      </w:r>
      <w:r w:rsidR="000540EA" w:rsidRPr="006212FF">
        <w:rPr>
          <w:rFonts w:ascii="Book Antiqua" w:hAnsi="Book Antiqua"/>
          <w:sz w:val="24"/>
          <w:szCs w:val="24"/>
        </w:rPr>
        <w:t>s</w:t>
      </w:r>
      <w:r w:rsidR="007D16EB" w:rsidRPr="006212FF">
        <w:rPr>
          <w:rFonts w:ascii="Book Antiqua" w:hAnsi="Book Antiqua"/>
          <w:sz w:val="24"/>
          <w:szCs w:val="24"/>
        </w:rPr>
        <w:t>erine threonine kinase activity</w:t>
      </w:r>
      <w:r w:rsidR="00A17C44" w:rsidRPr="006212FF">
        <w:rPr>
          <w:rFonts w:ascii="Book Antiqua" w:hAnsi="Book Antiqua"/>
          <w:sz w:val="24"/>
          <w:szCs w:val="24"/>
        </w:rPr>
        <w:t xml:space="preserve"> (Figure </w:t>
      </w:r>
      <w:r w:rsidR="00E556B5" w:rsidRPr="006212FF">
        <w:rPr>
          <w:rFonts w:ascii="Book Antiqua" w:hAnsi="Book Antiqua"/>
          <w:sz w:val="24"/>
          <w:szCs w:val="24"/>
        </w:rPr>
        <w:t>1</w:t>
      </w:r>
      <w:r w:rsidR="00A17C44" w:rsidRPr="006212FF">
        <w:rPr>
          <w:rFonts w:ascii="Book Antiqua" w:hAnsi="Book Antiqua"/>
          <w:sz w:val="24"/>
          <w:szCs w:val="24"/>
        </w:rPr>
        <w:t>)</w:t>
      </w:r>
      <w:r w:rsidR="007D16EB" w:rsidRPr="006212FF">
        <w:rPr>
          <w:rFonts w:ascii="Book Antiqua" w:hAnsi="Book Antiqua"/>
          <w:sz w:val="24"/>
          <w:szCs w:val="24"/>
        </w:rPr>
        <w:t>.</w:t>
      </w:r>
      <w:r w:rsidR="006212FF">
        <w:rPr>
          <w:rFonts w:ascii="Book Antiqua" w:hAnsi="Book Antiqua"/>
          <w:sz w:val="24"/>
          <w:szCs w:val="24"/>
        </w:rPr>
        <w:t xml:space="preserve"> </w:t>
      </w:r>
      <w:r w:rsidR="000540EA" w:rsidRPr="006212FF">
        <w:rPr>
          <w:rFonts w:ascii="Book Antiqua" w:hAnsi="Book Antiqua"/>
          <w:sz w:val="24"/>
          <w:szCs w:val="24"/>
        </w:rPr>
        <w:t xml:space="preserve">It also has </w:t>
      </w:r>
      <w:proofErr w:type="spellStart"/>
      <w:r w:rsidR="000540EA" w:rsidRPr="006212FF">
        <w:rPr>
          <w:rFonts w:ascii="Book Antiqua" w:hAnsi="Book Antiqua"/>
          <w:sz w:val="24"/>
          <w:szCs w:val="24"/>
        </w:rPr>
        <w:t>antiangiogenic</w:t>
      </w:r>
      <w:proofErr w:type="spellEnd"/>
      <w:r w:rsidR="000540EA" w:rsidRPr="006212FF">
        <w:rPr>
          <w:rFonts w:ascii="Book Antiqua" w:hAnsi="Book Antiqua"/>
          <w:sz w:val="24"/>
          <w:szCs w:val="24"/>
        </w:rPr>
        <w:t xml:space="preserve"> effect</w:t>
      </w:r>
      <w:r w:rsidR="007E03B4" w:rsidRPr="006212FF">
        <w:rPr>
          <w:rFonts w:ascii="Book Antiqua" w:hAnsi="Book Antiqua"/>
          <w:sz w:val="24"/>
          <w:szCs w:val="24"/>
        </w:rPr>
        <w:t>s</w:t>
      </w:r>
      <w:r w:rsidR="00821C82" w:rsidRPr="006212FF">
        <w:rPr>
          <w:rFonts w:ascii="Book Antiqua" w:hAnsi="Book Antiqua"/>
          <w:sz w:val="24"/>
          <w:szCs w:val="24"/>
        </w:rPr>
        <w:t xml:space="preserve"> </w:t>
      </w:r>
      <w:r w:rsidR="007D16EB" w:rsidRPr="006212FF">
        <w:rPr>
          <w:rFonts w:ascii="Book Antiqua" w:hAnsi="Book Antiqua"/>
          <w:sz w:val="24"/>
          <w:szCs w:val="24"/>
        </w:rPr>
        <w:t>by inhibiting expression of hypoxia inducible factor and vascular endothelial growth factor</w:t>
      </w:r>
      <w:r w:rsidR="00714308" w:rsidRPr="006212FF">
        <w:rPr>
          <w:rFonts w:ascii="Book Antiqua" w:hAnsi="Book Antiqua"/>
          <w:sz w:val="24"/>
          <w:szCs w:val="24"/>
        </w:rPr>
        <w:t>.</w:t>
      </w:r>
      <w:r w:rsidR="006212FF">
        <w:rPr>
          <w:rFonts w:ascii="Book Antiqua" w:hAnsi="Book Antiqua"/>
          <w:sz w:val="24"/>
          <w:szCs w:val="24"/>
        </w:rPr>
        <w:t xml:space="preserve"> </w:t>
      </w:r>
      <w:r w:rsidR="00BF0071" w:rsidRPr="006212FF">
        <w:rPr>
          <w:rFonts w:ascii="Book Antiqua" w:hAnsi="Book Antiqua"/>
          <w:sz w:val="24"/>
          <w:szCs w:val="24"/>
        </w:rPr>
        <w:t xml:space="preserve">In addition, </w:t>
      </w:r>
      <w:proofErr w:type="spellStart"/>
      <w:r w:rsidR="00BF0071" w:rsidRPr="006212FF">
        <w:rPr>
          <w:rFonts w:ascii="Book Antiqua" w:hAnsi="Book Antiqua"/>
          <w:sz w:val="24"/>
          <w:szCs w:val="24"/>
        </w:rPr>
        <w:t>mTOR</w:t>
      </w:r>
      <w:proofErr w:type="spellEnd"/>
      <w:r w:rsidR="00BF0071" w:rsidRPr="006212FF">
        <w:rPr>
          <w:rFonts w:ascii="Book Antiqua" w:hAnsi="Book Antiqua"/>
          <w:sz w:val="24"/>
          <w:szCs w:val="24"/>
        </w:rPr>
        <w:t xml:space="preserve"> may have additional importance in neuroendocrine cells and EVR has been shown to block the action o</w:t>
      </w:r>
      <w:r w:rsidR="00120E8F">
        <w:rPr>
          <w:rFonts w:ascii="Book Antiqua" w:hAnsi="Book Antiqua"/>
          <w:sz w:val="24"/>
          <w:szCs w:val="24"/>
        </w:rPr>
        <w:t xml:space="preserve">f IGF-1 in neuroendocrine </w:t>
      </w:r>
      <w:proofErr w:type="gramStart"/>
      <w:r w:rsidR="00120E8F">
        <w:rPr>
          <w:rFonts w:ascii="Book Antiqua" w:hAnsi="Book Antiqua"/>
          <w:sz w:val="24"/>
          <w:szCs w:val="24"/>
        </w:rPr>
        <w:t>cells</w:t>
      </w:r>
      <w:r w:rsidR="00AE0216" w:rsidRPr="006212FF">
        <w:rPr>
          <w:rFonts w:ascii="Book Antiqua" w:hAnsi="Book Antiqua"/>
          <w:sz w:val="24"/>
          <w:szCs w:val="24"/>
          <w:vertAlign w:val="superscript"/>
        </w:rPr>
        <w:t>[</w:t>
      </w:r>
      <w:proofErr w:type="gramEnd"/>
      <w:r w:rsidR="00AE0216" w:rsidRPr="006212FF">
        <w:rPr>
          <w:rFonts w:ascii="Book Antiqua" w:hAnsi="Book Antiqua"/>
          <w:sz w:val="24"/>
          <w:szCs w:val="24"/>
          <w:vertAlign w:val="superscript"/>
        </w:rPr>
        <w:t>6]</w:t>
      </w:r>
      <w:r w:rsidR="007E03B4" w:rsidRPr="006212FF">
        <w:rPr>
          <w:rFonts w:ascii="Book Antiqua" w:hAnsi="Book Antiqua"/>
          <w:sz w:val="24"/>
          <w:szCs w:val="24"/>
        </w:rPr>
        <w:t>.</w:t>
      </w:r>
    </w:p>
    <w:p w14:paraId="706D3BCE" w14:textId="77777777" w:rsidR="0019331B" w:rsidRDefault="00712464" w:rsidP="0019331B">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lastRenderedPageBreak/>
        <w:t xml:space="preserve">EVR is a derivative of </w:t>
      </w:r>
      <w:proofErr w:type="spellStart"/>
      <w:r w:rsidRPr="006212FF">
        <w:rPr>
          <w:rFonts w:ascii="Book Antiqua" w:hAnsi="Book Antiqua"/>
          <w:sz w:val="24"/>
          <w:szCs w:val="24"/>
        </w:rPr>
        <w:t>sirolimus</w:t>
      </w:r>
      <w:proofErr w:type="spellEnd"/>
      <w:r w:rsidRPr="006212FF">
        <w:rPr>
          <w:rFonts w:ascii="Book Antiqua" w:hAnsi="Book Antiqua"/>
          <w:sz w:val="24"/>
          <w:szCs w:val="24"/>
        </w:rPr>
        <w:t xml:space="preserve">, differing by one extra </w:t>
      </w:r>
      <w:proofErr w:type="spellStart"/>
      <w:r w:rsidRPr="006212FF">
        <w:rPr>
          <w:rFonts w:ascii="Book Antiqua" w:hAnsi="Book Antiqua"/>
          <w:sz w:val="24"/>
          <w:szCs w:val="24"/>
        </w:rPr>
        <w:t>hydroxyethyl</w:t>
      </w:r>
      <w:proofErr w:type="spellEnd"/>
      <w:r w:rsidRPr="006212FF">
        <w:rPr>
          <w:rFonts w:ascii="Book Antiqua" w:hAnsi="Book Antiqua"/>
          <w:sz w:val="24"/>
          <w:szCs w:val="24"/>
        </w:rPr>
        <w:t xml:space="preserve"> group at position 40 (Figure 2). Based on </w:t>
      </w:r>
      <w:proofErr w:type="spellStart"/>
      <w:r w:rsidRPr="006212FF">
        <w:rPr>
          <w:rFonts w:ascii="Book Antiqua" w:hAnsi="Book Antiqua"/>
          <w:sz w:val="24"/>
          <w:szCs w:val="24"/>
        </w:rPr>
        <w:t>pharmacokinectic</w:t>
      </w:r>
      <w:r w:rsidR="00F66BE5" w:rsidRPr="006212FF">
        <w:rPr>
          <w:rFonts w:ascii="Book Antiqua" w:hAnsi="Book Antiqua"/>
          <w:sz w:val="24"/>
          <w:szCs w:val="24"/>
        </w:rPr>
        <w:t>s</w:t>
      </w:r>
      <w:proofErr w:type="spellEnd"/>
      <w:r w:rsidRPr="006212FF">
        <w:rPr>
          <w:rFonts w:ascii="Book Antiqua" w:hAnsi="Book Antiqua"/>
          <w:sz w:val="24"/>
          <w:szCs w:val="24"/>
        </w:rPr>
        <w:t xml:space="preserve"> data, its absorption is rapid and bioavailability is variable, about 16</w:t>
      </w:r>
      <w:r w:rsidR="00120E8F">
        <w:rPr>
          <w:rFonts w:ascii="Book Antiqua" w:hAnsi="Book Antiqua" w:hint="eastAsia"/>
          <w:sz w:val="24"/>
          <w:szCs w:val="24"/>
        </w:rPr>
        <w:t>%</w:t>
      </w:r>
      <w:r w:rsidRPr="006212FF">
        <w:rPr>
          <w:rFonts w:ascii="Book Antiqua" w:hAnsi="Book Antiqua"/>
          <w:sz w:val="24"/>
          <w:szCs w:val="24"/>
        </w:rPr>
        <w:t xml:space="preserve">-20% </w:t>
      </w:r>
      <w:r w:rsidR="00120E8F">
        <w:rPr>
          <w:rFonts w:ascii="Book Antiqua" w:hAnsi="Book Antiqua"/>
          <w:sz w:val="24"/>
          <w:szCs w:val="24"/>
        </w:rPr>
        <w:t xml:space="preserve">(higher than </w:t>
      </w:r>
      <w:proofErr w:type="spellStart"/>
      <w:r w:rsidR="00120E8F">
        <w:rPr>
          <w:rFonts w:ascii="Book Antiqua" w:hAnsi="Book Antiqua"/>
          <w:sz w:val="24"/>
          <w:szCs w:val="24"/>
        </w:rPr>
        <w:t>sirolimus</w:t>
      </w:r>
      <w:proofErr w:type="spellEnd"/>
      <w:r w:rsidR="00120E8F">
        <w:rPr>
          <w:rFonts w:ascii="Book Antiqua" w:hAnsi="Book Antiqua"/>
          <w:sz w:val="24"/>
          <w:szCs w:val="24"/>
        </w:rPr>
        <w:t>’ 10</w:t>
      </w:r>
      <w:r w:rsidR="00120E8F">
        <w:rPr>
          <w:rFonts w:ascii="Book Antiqua" w:hAnsi="Book Antiqua" w:hint="eastAsia"/>
          <w:sz w:val="24"/>
          <w:szCs w:val="24"/>
        </w:rPr>
        <w:t>%</w:t>
      </w:r>
      <w:r w:rsidR="00120E8F">
        <w:rPr>
          <w:rFonts w:ascii="Book Antiqua" w:hAnsi="Book Antiqua"/>
          <w:sz w:val="24"/>
          <w:szCs w:val="24"/>
        </w:rPr>
        <w:t>-14%)</w:t>
      </w:r>
      <w:r w:rsidR="00120E8F">
        <w:rPr>
          <w:rFonts w:ascii="Book Antiqua" w:hAnsi="Book Antiqua"/>
          <w:sz w:val="24"/>
          <w:szCs w:val="24"/>
          <w:vertAlign w:val="superscript"/>
        </w:rPr>
        <w:t>[7,</w:t>
      </w:r>
      <w:r w:rsidRPr="006212FF">
        <w:rPr>
          <w:rFonts w:ascii="Book Antiqua" w:hAnsi="Book Antiqua"/>
          <w:sz w:val="24"/>
          <w:szCs w:val="24"/>
          <w:vertAlign w:val="superscript"/>
        </w:rPr>
        <w:t>8]</w:t>
      </w:r>
      <w:r w:rsidRPr="006212FF">
        <w:rPr>
          <w:rFonts w:ascii="Book Antiqua" w:hAnsi="Book Antiqua"/>
          <w:sz w:val="24"/>
          <w:szCs w:val="24"/>
        </w:rPr>
        <w:t xml:space="preserve">. EVR requires twice daily dosing as its elimination half-life is 32 h, which is shorter than </w:t>
      </w:r>
      <w:proofErr w:type="spellStart"/>
      <w:r w:rsidRPr="006212FF">
        <w:rPr>
          <w:rFonts w:ascii="Book Antiqua" w:hAnsi="Book Antiqua"/>
          <w:sz w:val="24"/>
          <w:szCs w:val="24"/>
        </w:rPr>
        <w:t>sirolimus</w:t>
      </w:r>
      <w:proofErr w:type="spellEnd"/>
      <w:r w:rsidRPr="006212FF">
        <w:rPr>
          <w:rFonts w:ascii="Book Antiqua" w:hAnsi="Book Antiqua"/>
          <w:sz w:val="24"/>
          <w:szCs w:val="24"/>
        </w:rPr>
        <w:t xml:space="preserve">' half-life of 62 h. Therefore, no loading dose is required for EVR and steady state can be achieved faster, in 4 d, </w:t>
      </w:r>
      <w:proofErr w:type="spellStart"/>
      <w:r w:rsidRPr="00120E8F">
        <w:rPr>
          <w:rFonts w:ascii="Book Antiqua" w:hAnsi="Book Antiqua"/>
          <w:i/>
          <w:sz w:val="24"/>
          <w:szCs w:val="24"/>
        </w:rPr>
        <w:t>vs</w:t>
      </w:r>
      <w:proofErr w:type="spellEnd"/>
      <w:r w:rsidRPr="006212FF">
        <w:rPr>
          <w:rFonts w:ascii="Book Antiqua" w:hAnsi="Book Antiqua"/>
          <w:sz w:val="24"/>
          <w:szCs w:val="24"/>
        </w:rPr>
        <w:t xml:space="preserve"> 6 d for </w:t>
      </w:r>
      <w:proofErr w:type="spellStart"/>
      <w:r w:rsidRPr="006212FF">
        <w:rPr>
          <w:rFonts w:ascii="Book Antiqua" w:hAnsi="Book Antiqua"/>
          <w:sz w:val="24"/>
          <w:szCs w:val="24"/>
        </w:rPr>
        <w:t>sirolimus</w:t>
      </w:r>
      <w:proofErr w:type="spellEnd"/>
      <w:r w:rsidRPr="006212FF">
        <w:rPr>
          <w:rFonts w:ascii="Book Antiqua" w:hAnsi="Book Antiqua"/>
          <w:sz w:val="24"/>
          <w:szCs w:val="24"/>
        </w:rPr>
        <w:t xml:space="preserve">. EVR is extensively </w:t>
      </w:r>
      <w:proofErr w:type="spellStart"/>
      <w:r w:rsidRPr="006212FF">
        <w:rPr>
          <w:rFonts w:ascii="Book Antiqua" w:hAnsi="Book Antiqua"/>
          <w:sz w:val="24"/>
          <w:szCs w:val="24"/>
        </w:rPr>
        <w:t>metabolised</w:t>
      </w:r>
      <w:proofErr w:type="spellEnd"/>
      <w:r w:rsidRPr="006212FF">
        <w:rPr>
          <w:rFonts w:ascii="Book Antiqua" w:hAnsi="Book Antiqua"/>
          <w:sz w:val="24"/>
          <w:szCs w:val="24"/>
        </w:rPr>
        <w:t xml:space="preserve"> in the liver via cytochrome P450-3A4 (CYP3A4) </w:t>
      </w:r>
      <w:r w:rsidR="00120E8F">
        <w:rPr>
          <w:rFonts w:ascii="Book Antiqua" w:hAnsi="Book Antiqua"/>
          <w:sz w:val="24"/>
          <w:szCs w:val="24"/>
        </w:rPr>
        <w:t xml:space="preserve">and has 6 </w:t>
      </w:r>
      <w:proofErr w:type="spellStart"/>
      <w:r w:rsidR="00120E8F">
        <w:rPr>
          <w:rFonts w:ascii="Book Antiqua" w:hAnsi="Book Antiqua"/>
          <w:sz w:val="24"/>
          <w:szCs w:val="24"/>
        </w:rPr>
        <w:t>w</w:t>
      </w:r>
      <w:r w:rsidRPr="006212FF">
        <w:rPr>
          <w:rFonts w:ascii="Book Antiqua" w:hAnsi="Book Antiqua"/>
          <w:sz w:val="24"/>
          <w:szCs w:val="24"/>
        </w:rPr>
        <w:t>k</w:t>
      </w:r>
      <w:proofErr w:type="spellEnd"/>
      <w:r w:rsidRPr="006212FF">
        <w:rPr>
          <w:rFonts w:ascii="Book Antiqua" w:hAnsi="Book Antiqua"/>
          <w:sz w:val="24"/>
          <w:szCs w:val="24"/>
        </w:rPr>
        <w:t xml:space="preserve"> metabolites. Similar to </w:t>
      </w:r>
      <w:proofErr w:type="spellStart"/>
      <w:r w:rsidRPr="006212FF">
        <w:rPr>
          <w:rFonts w:ascii="Book Antiqua" w:hAnsi="Book Antiqua"/>
          <w:sz w:val="24"/>
          <w:szCs w:val="24"/>
        </w:rPr>
        <w:t>sirolimus</w:t>
      </w:r>
      <w:proofErr w:type="spellEnd"/>
      <w:r w:rsidRPr="006212FF">
        <w:rPr>
          <w:rFonts w:ascii="Book Antiqua" w:hAnsi="Book Antiqua"/>
          <w:sz w:val="24"/>
          <w:szCs w:val="24"/>
        </w:rPr>
        <w:t>, it is a substrate of p-glycoprotein (</w:t>
      </w:r>
      <w:proofErr w:type="spellStart"/>
      <w:r w:rsidRPr="006212FF">
        <w:rPr>
          <w:rFonts w:ascii="Book Antiqua" w:hAnsi="Book Antiqua"/>
          <w:sz w:val="24"/>
          <w:szCs w:val="24"/>
        </w:rPr>
        <w:t>PgP</w:t>
      </w:r>
      <w:proofErr w:type="spellEnd"/>
      <w:r w:rsidRPr="006212FF">
        <w:rPr>
          <w:rFonts w:ascii="Book Antiqua" w:hAnsi="Book Antiqua"/>
          <w:sz w:val="24"/>
          <w:szCs w:val="24"/>
        </w:rPr>
        <w:t>) and CYP3A4 pathways. It interacts with strong and moderate inhibitors, inducers and substrates of CYP3A4 a</w:t>
      </w:r>
      <w:r w:rsidR="00120E8F">
        <w:rPr>
          <w:rFonts w:ascii="Book Antiqua" w:hAnsi="Book Antiqua"/>
          <w:sz w:val="24"/>
          <w:szCs w:val="24"/>
        </w:rPr>
        <w:t xml:space="preserve">nd </w:t>
      </w:r>
      <w:proofErr w:type="spellStart"/>
      <w:r w:rsidR="00120E8F">
        <w:rPr>
          <w:rFonts w:ascii="Book Antiqua" w:hAnsi="Book Antiqua"/>
          <w:sz w:val="24"/>
          <w:szCs w:val="24"/>
        </w:rPr>
        <w:t>PgP</w:t>
      </w:r>
      <w:proofErr w:type="spellEnd"/>
      <w:r w:rsidR="00120E8F">
        <w:rPr>
          <w:rFonts w:ascii="Book Antiqua" w:hAnsi="Book Antiqua"/>
          <w:sz w:val="24"/>
          <w:szCs w:val="24"/>
        </w:rPr>
        <w:t xml:space="preserve"> at different </w:t>
      </w:r>
      <w:proofErr w:type="gramStart"/>
      <w:r w:rsidR="00120E8F">
        <w:rPr>
          <w:rFonts w:ascii="Book Antiqua" w:hAnsi="Book Antiqua"/>
          <w:sz w:val="24"/>
          <w:szCs w:val="24"/>
        </w:rPr>
        <w:t>intensities</w:t>
      </w:r>
      <w:r w:rsidR="00120E8F">
        <w:rPr>
          <w:rFonts w:ascii="Book Antiqua" w:hAnsi="Book Antiqua"/>
          <w:sz w:val="24"/>
          <w:szCs w:val="24"/>
          <w:vertAlign w:val="superscript"/>
        </w:rPr>
        <w:t>[</w:t>
      </w:r>
      <w:proofErr w:type="gramEnd"/>
      <w:r w:rsidR="00120E8F">
        <w:rPr>
          <w:rFonts w:ascii="Book Antiqua" w:hAnsi="Book Antiqua"/>
          <w:sz w:val="24"/>
          <w:szCs w:val="24"/>
          <w:vertAlign w:val="superscript"/>
        </w:rPr>
        <w:t>9,</w:t>
      </w:r>
      <w:r w:rsidRPr="006212FF">
        <w:rPr>
          <w:rFonts w:ascii="Book Antiqua" w:hAnsi="Book Antiqua"/>
          <w:sz w:val="24"/>
          <w:szCs w:val="24"/>
          <w:vertAlign w:val="superscript"/>
        </w:rPr>
        <w:t>10]</w:t>
      </w:r>
      <w:r w:rsidRPr="006212FF">
        <w:rPr>
          <w:rFonts w:ascii="Book Antiqua" w:hAnsi="Book Antiqua"/>
          <w:sz w:val="24"/>
          <w:szCs w:val="24"/>
        </w:rPr>
        <w:t>.</w:t>
      </w:r>
      <w:r w:rsidR="006212FF">
        <w:rPr>
          <w:rFonts w:ascii="Book Antiqua" w:hAnsi="Book Antiqua"/>
          <w:sz w:val="24"/>
          <w:szCs w:val="24"/>
        </w:rPr>
        <w:t xml:space="preserve"> </w:t>
      </w:r>
      <w:proofErr w:type="spellStart"/>
      <w:r w:rsidRPr="006212FF">
        <w:rPr>
          <w:rFonts w:ascii="Book Antiqua" w:hAnsi="Book Antiqua"/>
          <w:sz w:val="24"/>
          <w:szCs w:val="24"/>
        </w:rPr>
        <w:t>CsA</w:t>
      </w:r>
      <w:proofErr w:type="spellEnd"/>
      <w:r w:rsidRPr="006212FF">
        <w:rPr>
          <w:rFonts w:ascii="Book Antiqua" w:hAnsi="Book Antiqua"/>
          <w:sz w:val="24"/>
          <w:szCs w:val="24"/>
        </w:rPr>
        <w:t xml:space="preserve"> increases the maximum concentration of EVR by 82%, EVR however does not influence trough level nor drug exposure (area under the curve, AUC) of </w:t>
      </w:r>
      <w:proofErr w:type="spellStart"/>
      <w:proofErr w:type="gramStart"/>
      <w:r w:rsidRPr="006212FF">
        <w:rPr>
          <w:rFonts w:ascii="Book Antiqua" w:hAnsi="Book Antiqua"/>
          <w:sz w:val="24"/>
          <w:szCs w:val="24"/>
        </w:rPr>
        <w:t>CsA</w:t>
      </w:r>
      <w:proofErr w:type="spellEnd"/>
      <w:r w:rsidR="00120E8F" w:rsidRPr="00120E8F">
        <w:rPr>
          <w:rFonts w:ascii="Book Antiqua" w:hAnsi="Book Antiqua" w:hint="eastAsia"/>
          <w:sz w:val="24"/>
          <w:szCs w:val="24"/>
          <w:vertAlign w:val="superscript"/>
        </w:rPr>
        <w:t>[</w:t>
      </w:r>
      <w:proofErr w:type="gramEnd"/>
      <w:r w:rsidRPr="00120E8F">
        <w:rPr>
          <w:rFonts w:ascii="Book Antiqua" w:hAnsi="Book Antiqua"/>
          <w:sz w:val="24"/>
          <w:szCs w:val="24"/>
          <w:vertAlign w:val="superscript"/>
        </w:rPr>
        <w:t>8</w:t>
      </w:r>
      <w:r w:rsidR="00120E8F" w:rsidRPr="00120E8F">
        <w:rPr>
          <w:rFonts w:ascii="Book Antiqua" w:hAnsi="Book Antiqua" w:hint="eastAsia"/>
          <w:sz w:val="24"/>
          <w:szCs w:val="24"/>
          <w:vertAlign w:val="superscript"/>
        </w:rPr>
        <w:t>]</w:t>
      </w:r>
      <w:r w:rsidRPr="006212FF">
        <w:rPr>
          <w:rFonts w:ascii="Book Antiqua" w:hAnsi="Book Antiqua"/>
          <w:sz w:val="24"/>
          <w:szCs w:val="24"/>
        </w:rPr>
        <w:t>. EVR is excreted mainly (80%)</w:t>
      </w:r>
      <w:r w:rsidR="00120E8F">
        <w:rPr>
          <w:rFonts w:ascii="Book Antiqua" w:hAnsi="Book Antiqua"/>
          <w:sz w:val="24"/>
          <w:szCs w:val="24"/>
        </w:rPr>
        <w:t xml:space="preserve"> </w:t>
      </w:r>
      <w:r w:rsidR="00120E8F" w:rsidRPr="00032DBF">
        <w:rPr>
          <w:rFonts w:ascii="Book Antiqua" w:hAnsi="Book Antiqua"/>
          <w:i/>
          <w:sz w:val="24"/>
          <w:szCs w:val="24"/>
        </w:rPr>
        <w:t>via</w:t>
      </w:r>
      <w:r w:rsidR="00120E8F">
        <w:rPr>
          <w:rFonts w:ascii="Book Antiqua" w:hAnsi="Book Antiqua"/>
          <w:sz w:val="24"/>
          <w:szCs w:val="24"/>
        </w:rPr>
        <w:t xml:space="preserve"> feces and only 5% in </w:t>
      </w:r>
      <w:proofErr w:type="gramStart"/>
      <w:r w:rsidR="00120E8F">
        <w:rPr>
          <w:rFonts w:ascii="Book Antiqua" w:hAnsi="Book Antiqua"/>
          <w:sz w:val="24"/>
          <w:szCs w:val="24"/>
        </w:rPr>
        <w:t>urine</w:t>
      </w:r>
      <w:r w:rsidR="00120E8F">
        <w:rPr>
          <w:rFonts w:ascii="Book Antiqua" w:hAnsi="Book Antiqua"/>
          <w:sz w:val="24"/>
          <w:szCs w:val="24"/>
          <w:vertAlign w:val="superscript"/>
        </w:rPr>
        <w:t>[</w:t>
      </w:r>
      <w:proofErr w:type="gramEnd"/>
      <w:r w:rsidR="00120E8F">
        <w:rPr>
          <w:rFonts w:ascii="Book Antiqua" w:hAnsi="Book Antiqua"/>
          <w:sz w:val="24"/>
          <w:szCs w:val="24"/>
          <w:vertAlign w:val="superscript"/>
        </w:rPr>
        <w:t>7,</w:t>
      </w:r>
      <w:r w:rsidRPr="006212FF">
        <w:rPr>
          <w:rFonts w:ascii="Book Antiqua" w:hAnsi="Book Antiqua"/>
          <w:sz w:val="24"/>
          <w:szCs w:val="24"/>
          <w:vertAlign w:val="superscript"/>
        </w:rPr>
        <w:t>8]</w:t>
      </w:r>
      <w:r w:rsidRPr="006212FF">
        <w:rPr>
          <w:rFonts w:ascii="Book Antiqua" w:hAnsi="Book Antiqua"/>
          <w:sz w:val="24"/>
          <w:szCs w:val="24"/>
        </w:rPr>
        <w:t>. There is no dose adjustment required in renal impairment but dose reduction is recommended for moderate and severe liver impairment.</w:t>
      </w:r>
      <w:r w:rsidR="006212FF">
        <w:rPr>
          <w:rFonts w:ascii="Book Antiqua" w:hAnsi="Book Antiqua"/>
          <w:sz w:val="24"/>
          <w:szCs w:val="24"/>
        </w:rPr>
        <w:t xml:space="preserve"> </w:t>
      </w:r>
      <w:r w:rsidRPr="006212FF">
        <w:rPr>
          <w:rFonts w:ascii="Book Antiqua" w:hAnsi="Book Antiqua"/>
          <w:sz w:val="24"/>
          <w:szCs w:val="24"/>
        </w:rPr>
        <w:t>As EVR has a narrow therapeutic index and immunogenicity varies post LT, therapeutic monitoring is essential for dose titration and monitoring. The EVR trough level (C</w:t>
      </w:r>
      <w:r w:rsidRPr="006212FF">
        <w:rPr>
          <w:rFonts w:ascii="Book Antiqua" w:hAnsi="Book Antiqua"/>
          <w:sz w:val="24"/>
          <w:szCs w:val="24"/>
          <w:vertAlign w:val="subscript"/>
        </w:rPr>
        <w:t>0</w:t>
      </w:r>
      <w:r w:rsidRPr="006212FF">
        <w:rPr>
          <w:rFonts w:ascii="Book Antiqua" w:hAnsi="Book Antiqua"/>
          <w:sz w:val="24"/>
          <w:szCs w:val="24"/>
        </w:rPr>
        <w:t xml:space="preserve">) correlates well (correlation coefficient of 0.86-0.94) with drug exposure, </w:t>
      </w:r>
      <w:r w:rsidRPr="00093E43">
        <w:rPr>
          <w:rFonts w:ascii="Book Antiqua" w:hAnsi="Book Antiqua"/>
          <w:i/>
          <w:sz w:val="24"/>
          <w:szCs w:val="24"/>
        </w:rPr>
        <w:t>i.e.</w:t>
      </w:r>
      <w:r w:rsidR="00093E43">
        <w:rPr>
          <w:rFonts w:ascii="Book Antiqua" w:hAnsi="Book Antiqua" w:hint="eastAsia"/>
          <w:sz w:val="24"/>
          <w:szCs w:val="24"/>
        </w:rPr>
        <w:t>,</w:t>
      </w:r>
      <w:r w:rsidRPr="006212FF">
        <w:rPr>
          <w:rFonts w:ascii="Book Antiqua" w:hAnsi="Book Antiqua"/>
          <w:sz w:val="24"/>
          <w:szCs w:val="24"/>
        </w:rPr>
        <w:t xml:space="preserve"> AUC, and has been recommended as </w:t>
      </w:r>
      <w:r w:rsidR="00093E43">
        <w:rPr>
          <w:rFonts w:ascii="Book Antiqua" w:hAnsi="Book Antiqua"/>
          <w:sz w:val="24"/>
          <w:szCs w:val="24"/>
        </w:rPr>
        <w:t xml:space="preserve">the standard for EVR </w:t>
      </w:r>
      <w:proofErr w:type="gramStart"/>
      <w:r w:rsidR="00093E43">
        <w:rPr>
          <w:rFonts w:ascii="Book Antiqua" w:hAnsi="Book Antiqua"/>
          <w:sz w:val="24"/>
          <w:szCs w:val="24"/>
        </w:rPr>
        <w:t>monitoring</w:t>
      </w:r>
      <w:r w:rsidR="00093E43">
        <w:rPr>
          <w:rFonts w:ascii="Book Antiqua" w:hAnsi="Book Antiqua"/>
          <w:sz w:val="24"/>
          <w:szCs w:val="24"/>
          <w:vertAlign w:val="superscript"/>
        </w:rPr>
        <w:t>[</w:t>
      </w:r>
      <w:proofErr w:type="gramEnd"/>
      <w:r w:rsidR="00093E43">
        <w:rPr>
          <w:rFonts w:ascii="Book Antiqua" w:hAnsi="Book Antiqua"/>
          <w:sz w:val="24"/>
          <w:szCs w:val="24"/>
          <w:vertAlign w:val="superscript"/>
        </w:rPr>
        <w:t>7,</w:t>
      </w:r>
      <w:r w:rsidRPr="006212FF">
        <w:rPr>
          <w:rFonts w:ascii="Book Antiqua" w:hAnsi="Book Antiqua"/>
          <w:sz w:val="24"/>
          <w:szCs w:val="24"/>
          <w:vertAlign w:val="superscript"/>
        </w:rPr>
        <w:t>11]</w:t>
      </w:r>
      <w:r w:rsidRPr="006212FF">
        <w:rPr>
          <w:rFonts w:ascii="Book Antiqua" w:hAnsi="Book Antiqua"/>
          <w:sz w:val="24"/>
          <w:szCs w:val="24"/>
        </w:rPr>
        <w:t xml:space="preserve">. </w:t>
      </w:r>
    </w:p>
    <w:p w14:paraId="003266CD" w14:textId="77777777" w:rsidR="0019331B" w:rsidRDefault="0019331B" w:rsidP="0019331B">
      <w:pPr>
        <w:spacing w:after="0" w:line="360" w:lineRule="auto"/>
        <w:jc w:val="both"/>
        <w:rPr>
          <w:rFonts w:ascii="Book Antiqua" w:hAnsi="Book Antiqua"/>
          <w:sz w:val="24"/>
          <w:szCs w:val="24"/>
        </w:rPr>
      </w:pPr>
    </w:p>
    <w:p w14:paraId="39D597F4" w14:textId="2E732F67" w:rsidR="00ED12E1" w:rsidRPr="0019331B" w:rsidRDefault="00024659" w:rsidP="0019331B">
      <w:pPr>
        <w:spacing w:after="0" w:line="360" w:lineRule="auto"/>
        <w:jc w:val="both"/>
        <w:rPr>
          <w:rFonts w:ascii="Book Antiqua" w:hAnsi="Book Antiqua"/>
          <w:i/>
          <w:sz w:val="24"/>
          <w:szCs w:val="24"/>
        </w:rPr>
      </w:pPr>
      <w:r w:rsidRPr="0019331B">
        <w:rPr>
          <w:rFonts w:ascii="Book Antiqua" w:hAnsi="Book Antiqua"/>
          <w:b/>
          <w:i/>
          <w:sz w:val="24"/>
          <w:szCs w:val="24"/>
        </w:rPr>
        <w:t>Key studies on the use of EVR in LT (Tables 1</w:t>
      </w:r>
      <w:r w:rsidR="0019331B" w:rsidRPr="0019331B">
        <w:rPr>
          <w:rFonts w:ascii="Book Antiqua" w:hAnsi="Book Antiqua" w:hint="eastAsia"/>
          <w:b/>
          <w:i/>
          <w:sz w:val="24"/>
          <w:szCs w:val="24"/>
        </w:rPr>
        <w:t xml:space="preserve"> and</w:t>
      </w:r>
      <w:r w:rsidRPr="0019331B">
        <w:rPr>
          <w:rFonts w:ascii="Book Antiqua" w:hAnsi="Book Antiqua"/>
          <w:b/>
          <w:i/>
          <w:sz w:val="24"/>
          <w:szCs w:val="24"/>
        </w:rPr>
        <w:t xml:space="preserve"> 2)</w:t>
      </w:r>
    </w:p>
    <w:p w14:paraId="127662F2" w14:textId="4CF9094A" w:rsidR="00316989" w:rsidRPr="006212FF" w:rsidRDefault="00B56185" w:rsidP="006212FF">
      <w:pPr>
        <w:spacing w:after="0" w:line="360" w:lineRule="auto"/>
        <w:jc w:val="both"/>
        <w:rPr>
          <w:rFonts w:ascii="Book Antiqua" w:hAnsi="Book Antiqua"/>
          <w:sz w:val="24"/>
          <w:szCs w:val="24"/>
        </w:rPr>
      </w:pPr>
      <w:r w:rsidRPr="006212FF">
        <w:rPr>
          <w:rFonts w:ascii="Book Antiqua" w:hAnsi="Book Antiqua"/>
          <w:sz w:val="24"/>
          <w:szCs w:val="24"/>
        </w:rPr>
        <w:t xml:space="preserve">Several </w:t>
      </w:r>
      <w:r w:rsidR="00316989" w:rsidRPr="006212FF">
        <w:rPr>
          <w:rFonts w:ascii="Book Antiqua" w:hAnsi="Book Antiqua"/>
          <w:sz w:val="24"/>
          <w:szCs w:val="24"/>
        </w:rPr>
        <w:t>studies</w:t>
      </w:r>
      <w:r w:rsidRPr="006212FF">
        <w:rPr>
          <w:rFonts w:ascii="Book Antiqua" w:hAnsi="Book Antiqua"/>
          <w:sz w:val="24"/>
          <w:szCs w:val="24"/>
        </w:rPr>
        <w:t>, both prospective and retrospective,</w:t>
      </w:r>
      <w:r w:rsidR="00316989" w:rsidRPr="006212FF">
        <w:rPr>
          <w:rFonts w:ascii="Book Antiqua" w:hAnsi="Book Antiqua"/>
          <w:sz w:val="24"/>
          <w:szCs w:val="24"/>
        </w:rPr>
        <w:t xml:space="preserve"> on EVR in </w:t>
      </w:r>
      <w:r w:rsidRPr="006212FF">
        <w:rPr>
          <w:rFonts w:ascii="Book Antiqua" w:hAnsi="Book Antiqua"/>
          <w:sz w:val="24"/>
          <w:szCs w:val="24"/>
        </w:rPr>
        <w:t>LT have been reported</w:t>
      </w:r>
      <w:r w:rsidR="00316989" w:rsidRPr="006212FF">
        <w:rPr>
          <w:rFonts w:ascii="Book Antiqua" w:hAnsi="Book Antiqua"/>
          <w:sz w:val="24"/>
          <w:szCs w:val="24"/>
        </w:rPr>
        <w:t>.</w:t>
      </w:r>
      <w:r w:rsidR="00144094" w:rsidRPr="006212FF">
        <w:rPr>
          <w:rFonts w:ascii="Book Antiqua" w:hAnsi="Book Antiqua"/>
          <w:sz w:val="24"/>
          <w:szCs w:val="24"/>
        </w:rPr>
        <w:t xml:space="preserve"> In a phase II study, Levy </w:t>
      </w:r>
      <w:r w:rsidR="00144094" w:rsidRPr="0019331B">
        <w:rPr>
          <w:rFonts w:ascii="Book Antiqua" w:hAnsi="Book Antiqua"/>
          <w:i/>
          <w:sz w:val="24"/>
          <w:szCs w:val="24"/>
        </w:rPr>
        <w:t xml:space="preserve">et </w:t>
      </w:r>
      <w:proofErr w:type="gramStart"/>
      <w:r w:rsidR="00144094" w:rsidRPr="0019331B">
        <w:rPr>
          <w:rFonts w:ascii="Book Antiqua" w:hAnsi="Book Antiqua"/>
          <w:i/>
          <w:sz w:val="24"/>
          <w:szCs w:val="24"/>
        </w:rPr>
        <w:t>al</w:t>
      </w:r>
      <w:r w:rsidR="0019331B" w:rsidRPr="006212FF">
        <w:rPr>
          <w:rFonts w:ascii="Book Antiqua" w:hAnsi="Book Antiqua"/>
          <w:sz w:val="24"/>
          <w:szCs w:val="24"/>
          <w:vertAlign w:val="superscript"/>
        </w:rPr>
        <w:t>[</w:t>
      </w:r>
      <w:proofErr w:type="gramEnd"/>
      <w:r w:rsidR="0019331B" w:rsidRPr="006212FF">
        <w:rPr>
          <w:rFonts w:ascii="Book Antiqua" w:hAnsi="Book Antiqua"/>
          <w:sz w:val="24"/>
          <w:szCs w:val="24"/>
          <w:vertAlign w:val="superscript"/>
        </w:rPr>
        <w:t>12]</w:t>
      </w:r>
      <w:r w:rsidR="00144094" w:rsidRPr="006212FF">
        <w:rPr>
          <w:rFonts w:ascii="Book Antiqua" w:hAnsi="Book Antiqua"/>
          <w:sz w:val="24"/>
          <w:szCs w:val="24"/>
        </w:rPr>
        <w:t xml:space="preserve"> compared different dosing regimen of EVR (0.5</w:t>
      </w:r>
      <w:r w:rsidR="0019331B">
        <w:rPr>
          <w:rFonts w:ascii="Book Antiqua" w:hAnsi="Book Antiqua" w:hint="eastAsia"/>
          <w:sz w:val="24"/>
          <w:szCs w:val="24"/>
        </w:rPr>
        <w:t xml:space="preserve"> </w:t>
      </w:r>
      <w:r w:rsidR="00144094" w:rsidRPr="006212FF">
        <w:rPr>
          <w:rFonts w:ascii="Book Antiqua" w:hAnsi="Book Antiqua"/>
          <w:sz w:val="24"/>
          <w:szCs w:val="24"/>
        </w:rPr>
        <w:t>mg BD, 1</w:t>
      </w:r>
      <w:r w:rsidR="0019331B">
        <w:rPr>
          <w:rFonts w:ascii="Book Antiqua" w:hAnsi="Book Antiqua" w:hint="eastAsia"/>
          <w:sz w:val="24"/>
          <w:szCs w:val="24"/>
        </w:rPr>
        <w:t xml:space="preserve"> </w:t>
      </w:r>
      <w:r w:rsidR="00144094" w:rsidRPr="006212FF">
        <w:rPr>
          <w:rFonts w:ascii="Book Antiqua" w:hAnsi="Book Antiqua"/>
          <w:sz w:val="24"/>
          <w:szCs w:val="24"/>
        </w:rPr>
        <w:t>mg BD and 2</w:t>
      </w:r>
      <w:r w:rsidR="0019331B">
        <w:rPr>
          <w:rFonts w:ascii="Book Antiqua" w:hAnsi="Book Antiqua" w:hint="eastAsia"/>
          <w:sz w:val="24"/>
          <w:szCs w:val="24"/>
        </w:rPr>
        <w:t xml:space="preserve"> </w:t>
      </w:r>
      <w:r w:rsidR="00144094" w:rsidRPr="006212FF">
        <w:rPr>
          <w:rFonts w:ascii="Book Antiqua" w:hAnsi="Book Antiqua"/>
          <w:sz w:val="24"/>
          <w:szCs w:val="24"/>
        </w:rPr>
        <w:t>mg BD) to placebo</w:t>
      </w:r>
      <w:r w:rsidR="00E6720C" w:rsidRPr="006212FF">
        <w:rPr>
          <w:rFonts w:ascii="Book Antiqua" w:hAnsi="Book Antiqua"/>
          <w:sz w:val="24"/>
          <w:szCs w:val="24"/>
        </w:rPr>
        <w:t>. The study</w:t>
      </w:r>
      <w:r w:rsidR="00144094" w:rsidRPr="006212FF">
        <w:rPr>
          <w:rFonts w:ascii="Book Antiqua" w:hAnsi="Book Antiqua"/>
          <w:sz w:val="24"/>
          <w:szCs w:val="24"/>
        </w:rPr>
        <w:t xml:space="preserve"> concluded that </w:t>
      </w:r>
      <w:r w:rsidR="00E6720C" w:rsidRPr="006212FF">
        <w:rPr>
          <w:rFonts w:ascii="Book Antiqua" w:hAnsi="Book Antiqua"/>
          <w:sz w:val="24"/>
          <w:szCs w:val="24"/>
        </w:rPr>
        <w:t xml:space="preserve">EVR in combination with </w:t>
      </w:r>
      <w:proofErr w:type="spellStart"/>
      <w:r w:rsidR="00E6720C" w:rsidRPr="006212FF">
        <w:rPr>
          <w:rFonts w:ascii="Book Antiqua" w:hAnsi="Book Antiqua"/>
          <w:sz w:val="24"/>
          <w:szCs w:val="24"/>
        </w:rPr>
        <w:t>C</w:t>
      </w:r>
      <w:r w:rsidR="009C0075" w:rsidRPr="006212FF">
        <w:rPr>
          <w:rFonts w:ascii="Book Antiqua" w:hAnsi="Book Antiqua"/>
          <w:sz w:val="24"/>
          <w:szCs w:val="24"/>
        </w:rPr>
        <w:t>s</w:t>
      </w:r>
      <w:r w:rsidR="00E6720C" w:rsidRPr="006212FF">
        <w:rPr>
          <w:rFonts w:ascii="Book Antiqua" w:hAnsi="Book Antiqua"/>
          <w:sz w:val="24"/>
          <w:szCs w:val="24"/>
        </w:rPr>
        <w:t>A</w:t>
      </w:r>
      <w:proofErr w:type="spellEnd"/>
      <w:r w:rsidR="00E6720C" w:rsidRPr="006212FF">
        <w:rPr>
          <w:rFonts w:ascii="Book Antiqua" w:hAnsi="Book Antiqua"/>
          <w:sz w:val="24"/>
          <w:szCs w:val="24"/>
        </w:rPr>
        <w:t xml:space="preserve"> could be a safe and tolerable alternative in </w:t>
      </w:r>
      <w:r w:rsidRPr="006212FF">
        <w:rPr>
          <w:rFonts w:ascii="Book Antiqua" w:hAnsi="Book Antiqua"/>
          <w:sz w:val="24"/>
          <w:szCs w:val="24"/>
        </w:rPr>
        <w:t>LT</w:t>
      </w:r>
      <w:r w:rsidR="002E4CCA" w:rsidRPr="006212FF">
        <w:rPr>
          <w:rFonts w:ascii="Book Antiqua" w:hAnsi="Book Antiqua"/>
          <w:sz w:val="24"/>
          <w:szCs w:val="24"/>
        </w:rPr>
        <w:t>, despite the</w:t>
      </w:r>
      <w:r w:rsidR="00E6720C" w:rsidRPr="006212FF">
        <w:rPr>
          <w:rFonts w:ascii="Book Antiqua" w:hAnsi="Book Antiqua"/>
          <w:sz w:val="24"/>
          <w:szCs w:val="24"/>
        </w:rPr>
        <w:t xml:space="preserve"> increase</w:t>
      </w:r>
      <w:r w:rsidR="002E4CCA" w:rsidRPr="006212FF">
        <w:rPr>
          <w:rFonts w:ascii="Book Antiqua" w:hAnsi="Book Antiqua"/>
          <w:sz w:val="24"/>
          <w:szCs w:val="24"/>
        </w:rPr>
        <w:t>d</w:t>
      </w:r>
      <w:r w:rsidR="00E6720C" w:rsidRPr="006212FF">
        <w:rPr>
          <w:rFonts w:ascii="Book Antiqua" w:hAnsi="Book Antiqua"/>
          <w:sz w:val="24"/>
          <w:szCs w:val="24"/>
        </w:rPr>
        <w:t xml:space="preserve"> incidence of adverse effects.</w:t>
      </w:r>
      <w:r w:rsidR="0019331B">
        <w:rPr>
          <w:rFonts w:ascii="Book Antiqua" w:hAnsi="Book Antiqua" w:hint="eastAsia"/>
          <w:sz w:val="24"/>
          <w:szCs w:val="24"/>
        </w:rPr>
        <w:t xml:space="preserve"> </w:t>
      </w:r>
      <w:r w:rsidRPr="006212FF">
        <w:rPr>
          <w:rFonts w:ascii="Book Antiqua" w:hAnsi="Book Antiqua"/>
          <w:sz w:val="24"/>
          <w:szCs w:val="24"/>
        </w:rPr>
        <w:t>There are 3 main</w:t>
      </w:r>
      <w:r w:rsidR="00BB58DF" w:rsidRPr="006212FF">
        <w:rPr>
          <w:rFonts w:ascii="Book Antiqua" w:hAnsi="Book Antiqua"/>
          <w:sz w:val="24"/>
          <w:szCs w:val="24"/>
        </w:rPr>
        <w:t xml:space="preserve"> </w:t>
      </w:r>
      <w:r w:rsidR="00316989" w:rsidRPr="006212FF">
        <w:rPr>
          <w:rFonts w:ascii="Book Antiqua" w:hAnsi="Book Antiqua"/>
          <w:sz w:val="24"/>
          <w:szCs w:val="24"/>
        </w:rPr>
        <w:t>phase III</w:t>
      </w:r>
      <w:r w:rsidR="00E16A4A" w:rsidRPr="006212FF">
        <w:rPr>
          <w:rFonts w:ascii="Book Antiqua" w:hAnsi="Book Antiqua"/>
          <w:sz w:val="24"/>
          <w:szCs w:val="24"/>
        </w:rPr>
        <w:t xml:space="preserve"> studies</w:t>
      </w:r>
      <w:r w:rsidRPr="006212FF">
        <w:rPr>
          <w:rFonts w:ascii="Book Antiqua" w:hAnsi="Book Antiqua"/>
          <w:sz w:val="24"/>
          <w:szCs w:val="24"/>
        </w:rPr>
        <w:t xml:space="preserve"> in the use of EVR in LT</w:t>
      </w:r>
      <w:r w:rsidR="00396EF5">
        <w:rPr>
          <w:rFonts w:ascii="Book Antiqua" w:hAnsi="Book Antiqua" w:hint="eastAsia"/>
          <w:sz w:val="24"/>
          <w:szCs w:val="24"/>
        </w:rPr>
        <w:t>,</w:t>
      </w:r>
      <w:r w:rsidR="00316989" w:rsidRPr="006212FF">
        <w:rPr>
          <w:rFonts w:ascii="Book Antiqua" w:hAnsi="Book Antiqua"/>
          <w:sz w:val="24"/>
          <w:szCs w:val="24"/>
        </w:rPr>
        <w:t xml:space="preserve"> </w:t>
      </w:r>
      <w:r w:rsidR="00316989" w:rsidRPr="00396EF5">
        <w:rPr>
          <w:rFonts w:ascii="Book Antiqua" w:hAnsi="Book Antiqua"/>
          <w:i/>
          <w:sz w:val="24"/>
          <w:szCs w:val="24"/>
        </w:rPr>
        <w:t>i.e.</w:t>
      </w:r>
      <w:r w:rsidR="00396EF5" w:rsidRPr="00396EF5">
        <w:rPr>
          <w:rFonts w:ascii="Book Antiqua" w:hAnsi="Book Antiqua" w:hint="eastAsia"/>
          <w:i/>
          <w:sz w:val="24"/>
          <w:szCs w:val="24"/>
        </w:rPr>
        <w:t>,</w:t>
      </w:r>
      <w:r w:rsidR="00316989" w:rsidRPr="006212FF">
        <w:rPr>
          <w:rFonts w:ascii="Book Antiqua" w:hAnsi="Book Antiqua"/>
          <w:sz w:val="24"/>
          <w:szCs w:val="24"/>
        </w:rPr>
        <w:t xml:space="preserve"> </w:t>
      </w:r>
      <w:r w:rsidR="00EE5220" w:rsidRPr="006212FF">
        <w:rPr>
          <w:rFonts w:ascii="Book Antiqua" w:hAnsi="Book Antiqua"/>
          <w:sz w:val="24"/>
          <w:szCs w:val="24"/>
        </w:rPr>
        <w:t xml:space="preserve">PROTECT, </w:t>
      </w:r>
      <w:r w:rsidR="00066CFF" w:rsidRPr="006212FF">
        <w:rPr>
          <w:rFonts w:ascii="Book Antiqua" w:hAnsi="Book Antiqua"/>
          <w:sz w:val="24"/>
          <w:szCs w:val="24"/>
        </w:rPr>
        <w:t xml:space="preserve">H2304 </w:t>
      </w:r>
      <w:r w:rsidR="00316989" w:rsidRPr="006212FF">
        <w:rPr>
          <w:rFonts w:ascii="Book Antiqua" w:hAnsi="Book Antiqua"/>
          <w:sz w:val="24"/>
          <w:szCs w:val="24"/>
        </w:rPr>
        <w:t xml:space="preserve">and RESCUE studies (Table 1). </w:t>
      </w:r>
      <w:r w:rsidR="00066CFF" w:rsidRPr="006212FF">
        <w:rPr>
          <w:rFonts w:ascii="Book Antiqua" w:hAnsi="Book Antiqua"/>
          <w:sz w:val="24"/>
          <w:szCs w:val="24"/>
        </w:rPr>
        <w:t>PROTECT, an</w:t>
      </w:r>
      <w:r w:rsidR="00B11ED0" w:rsidRPr="006212FF">
        <w:rPr>
          <w:rFonts w:ascii="Book Antiqua" w:hAnsi="Book Antiqua"/>
          <w:sz w:val="24"/>
          <w:szCs w:val="24"/>
        </w:rPr>
        <w:t xml:space="preserve"> open-label multi</w:t>
      </w:r>
      <w:r w:rsidRPr="006212FF">
        <w:rPr>
          <w:rFonts w:ascii="Book Antiqua" w:hAnsi="Book Antiqua"/>
          <w:sz w:val="24"/>
          <w:szCs w:val="24"/>
        </w:rPr>
        <w:t>-</w:t>
      </w:r>
      <w:r w:rsidR="00316989" w:rsidRPr="006212FF">
        <w:rPr>
          <w:rFonts w:ascii="Book Antiqua" w:hAnsi="Book Antiqua"/>
          <w:sz w:val="24"/>
          <w:szCs w:val="24"/>
        </w:rPr>
        <w:t xml:space="preserve">center prospective </w:t>
      </w:r>
      <w:proofErr w:type="spellStart"/>
      <w:r w:rsidR="00066CFF" w:rsidRPr="006212FF">
        <w:rPr>
          <w:rFonts w:ascii="Book Antiqua" w:hAnsi="Book Antiqua"/>
          <w:sz w:val="24"/>
          <w:szCs w:val="24"/>
        </w:rPr>
        <w:t>randomised</w:t>
      </w:r>
      <w:proofErr w:type="spellEnd"/>
      <w:r w:rsidR="00066CFF" w:rsidRPr="006212FF">
        <w:rPr>
          <w:rFonts w:ascii="Book Antiqua" w:hAnsi="Book Antiqua"/>
          <w:sz w:val="24"/>
          <w:szCs w:val="24"/>
        </w:rPr>
        <w:t xml:space="preserve"> controlled trial (</w:t>
      </w:r>
      <w:r w:rsidR="00316989" w:rsidRPr="006212FF">
        <w:rPr>
          <w:rFonts w:ascii="Book Antiqua" w:hAnsi="Book Antiqua"/>
          <w:sz w:val="24"/>
          <w:szCs w:val="24"/>
        </w:rPr>
        <w:t>RCT</w:t>
      </w:r>
      <w:r w:rsidR="00066CFF" w:rsidRPr="006212FF">
        <w:rPr>
          <w:rFonts w:ascii="Book Antiqua" w:hAnsi="Book Antiqua"/>
          <w:sz w:val="24"/>
          <w:szCs w:val="24"/>
        </w:rPr>
        <w:t>)</w:t>
      </w:r>
      <w:r w:rsidRPr="006212FF">
        <w:rPr>
          <w:rFonts w:ascii="Book Antiqua" w:hAnsi="Book Antiqua"/>
          <w:sz w:val="24"/>
          <w:szCs w:val="24"/>
        </w:rPr>
        <w:t xml:space="preserve"> recruited</w:t>
      </w:r>
      <w:r w:rsidR="009C0075" w:rsidRPr="006212FF">
        <w:rPr>
          <w:rFonts w:ascii="Book Antiqua" w:hAnsi="Book Antiqua"/>
          <w:sz w:val="24"/>
          <w:szCs w:val="24"/>
        </w:rPr>
        <w:t xml:space="preserve"> </w:t>
      </w:r>
      <w:r w:rsidR="00175910" w:rsidRPr="006212FF">
        <w:rPr>
          <w:rFonts w:ascii="Book Antiqua" w:hAnsi="Book Antiqua"/>
          <w:sz w:val="24"/>
          <w:szCs w:val="24"/>
        </w:rPr>
        <w:t>203</w:t>
      </w:r>
      <w:r w:rsidR="00316989" w:rsidRPr="006212FF">
        <w:rPr>
          <w:rFonts w:ascii="Book Antiqua" w:hAnsi="Book Antiqua"/>
          <w:sz w:val="24"/>
          <w:szCs w:val="24"/>
        </w:rPr>
        <w:t xml:space="preserve"> patients </w:t>
      </w:r>
      <w:proofErr w:type="spellStart"/>
      <w:r w:rsidR="00316989" w:rsidRPr="006212FF">
        <w:rPr>
          <w:rFonts w:ascii="Book Antiqua" w:hAnsi="Book Antiqua"/>
          <w:sz w:val="24"/>
          <w:szCs w:val="24"/>
        </w:rPr>
        <w:t>randomised</w:t>
      </w:r>
      <w:proofErr w:type="spellEnd"/>
      <w:r w:rsidR="00316989" w:rsidRPr="006212FF">
        <w:rPr>
          <w:rFonts w:ascii="Book Antiqua" w:hAnsi="Book Antiqua"/>
          <w:sz w:val="24"/>
          <w:szCs w:val="24"/>
        </w:rPr>
        <w:t xml:space="preserve"> to EVR </w:t>
      </w:r>
      <w:r w:rsidR="009406EA" w:rsidRPr="006212FF">
        <w:rPr>
          <w:rFonts w:ascii="Book Antiqua" w:hAnsi="Book Antiqua"/>
          <w:sz w:val="24"/>
          <w:szCs w:val="24"/>
        </w:rPr>
        <w:t>plus withdrawal of</w:t>
      </w:r>
      <w:r w:rsidR="00316989" w:rsidRPr="006212FF">
        <w:rPr>
          <w:rFonts w:ascii="Book Antiqua" w:hAnsi="Book Antiqua"/>
          <w:sz w:val="24"/>
          <w:szCs w:val="24"/>
        </w:rPr>
        <w:t xml:space="preserve"> CNI </w:t>
      </w:r>
      <w:r w:rsidR="009406EA" w:rsidRPr="006212FF">
        <w:rPr>
          <w:rFonts w:ascii="Book Antiqua" w:hAnsi="Book Antiqua"/>
          <w:sz w:val="24"/>
          <w:szCs w:val="24"/>
        </w:rPr>
        <w:t xml:space="preserve">by month 4 post-LT </w:t>
      </w:r>
      <w:proofErr w:type="spellStart"/>
      <w:r w:rsidR="00016F09" w:rsidRPr="00016F09">
        <w:rPr>
          <w:rFonts w:ascii="Book Antiqua" w:eastAsia="Times New Roman" w:hAnsi="Book Antiqua" w:cs="Times New Roman"/>
          <w:bCs/>
          <w:i/>
          <w:color w:val="000000"/>
          <w:sz w:val="24"/>
          <w:szCs w:val="24"/>
        </w:rPr>
        <w:t>vs</w:t>
      </w:r>
      <w:proofErr w:type="spellEnd"/>
      <w:r w:rsidR="00476A97" w:rsidRPr="006212FF">
        <w:rPr>
          <w:rFonts w:ascii="Book Antiqua" w:hAnsi="Book Antiqua"/>
          <w:sz w:val="24"/>
          <w:szCs w:val="24"/>
        </w:rPr>
        <w:t xml:space="preserve"> </w:t>
      </w:r>
      <w:r w:rsidR="009406EA" w:rsidRPr="006212FF">
        <w:rPr>
          <w:rFonts w:ascii="Book Antiqua" w:hAnsi="Book Antiqua"/>
          <w:sz w:val="24"/>
          <w:szCs w:val="24"/>
        </w:rPr>
        <w:t xml:space="preserve">continued </w:t>
      </w:r>
      <w:r w:rsidR="00316989" w:rsidRPr="006212FF">
        <w:rPr>
          <w:rFonts w:ascii="Book Antiqua" w:hAnsi="Book Antiqua"/>
          <w:sz w:val="24"/>
          <w:szCs w:val="24"/>
        </w:rPr>
        <w:t>standard CNI</w:t>
      </w:r>
      <w:r w:rsidR="00574EC3" w:rsidRPr="006212FF">
        <w:rPr>
          <w:rFonts w:ascii="Book Antiqua" w:hAnsi="Book Antiqua"/>
          <w:sz w:val="24"/>
          <w:szCs w:val="24"/>
        </w:rPr>
        <w:t xml:space="preserve"> till month 11</w:t>
      </w:r>
      <w:r w:rsidR="00946CBE" w:rsidRPr="006212FF">
        <w:rPr>
          <w:rFonts w:ascii="Book Antiqua" w:hAnsi="Book Antiqua"/>
          <w:sz w:val="24"/>
          <w:szCs w:val="24"/>
          <w:vertAlign w:val="superscript"/>
        </w:rPr>
        <w:t>[13]</w:t>
      </w:r>
      <w:r w:rsidR="00195509" w:rsidRPr="006212FF">
        <w:rPr>
          <w:rFonts w:ascii="Book Antiqua" w:hAnsi="Book Antiqua"/>
          <w:sz w:val="24"/>
          <w:szCs w:val="24"/>
        </w:rPr>
        <w:t xml:space="preserve">. </w:t>
      </w:r>
      <w:r w:rsidR="00CE0824" w:rsidRPr="006212FF">
        <w:rPr>
          <w:rFonts w:ascii="Book Antiqua" w:hAnsi="Book Antiqua"/>
          <w:sz w:val="24"/>
          <w:szCs w:val="24"/>
        </w:rPr>
        <w:t xml:space="preserve">Steroid was optional in either group. </w:t>
      </w:r>
      <w:r w:rsidR="00195509" w:rsidRPr="006212FF">
        <w:rPr>
          <w:rFonts w:ascii="Book Antiqua" w:hAnsi="Book Antiqua"/>
          <w:sz w:val="24"/>
          <w:szCs w:val="24"/>
        </w:rPr>
        <w:t xml:space="preserve">The study </w:t>
      </w:r>
      <w:r w:rsidR="00316989" w:rsidRPr="006212FF">
        <w:rPr>
          <w:rFonts w:ascii="Book Antiqua" w:hAnsi="Book Antiqua"/>
          <w:sz w:val="24"/>
          <w:szCs w:val="24"/>
        </w:rPr>
        <w:t xml:space="preserve">concluded significant improvement in renal function </w:t>
      </w:r>
      <w:r w:rsidR="00632C91" w:rsidRPr="006212FF">
        <w:rPr>
          <w:rFonts w:ascii="Book Antiqua" w:hAnsi="Book Antiqua"/>
          <w:sz w:val="24"/>
          <w:szCs w:val="24"/>
        </w:rPr>
        <w:t>(</w:t>
      </w:r>
      <w:r w:rsidR="007600BA" w:rsidRPr="006212FF">
        <w:rPr>
          <w:rFonts w:ascii="Book Antiqua" w:hAnsi="Book Antiqua"/>
          <w:sz w:val="24"/>
          <w:szCs w:val="24"/>
        </w:rPr>
        <w:t xml:space="preserve">estimated glomerular filtration rate, </w:t>
      </w:r>
      <w:r w:rsidR="007600BA" w:rsidRPr="0019331B">
        <w:rPr>
          <w:rFonts w:ascii="Book Antiqua" w:hAnsi="Book Antiqua"/>
          <w:i/>
          <w:sz w:val="24"/>
          <w:szCs w:val="24"/>
        </w:rPr>
        <w:t>i.e.</w:t>
      </w:r>
      <w:r w:rsidR="0019331B">
        <w:rPr>
          <w:rFonts w:ascii="Book Antiqua" w:hAnsi="Book Antiqua" w:hint="eastAsia"/>
          <w:sz w:val="24"/>
          <w:szCs w:val="24"/>
        </w:rPr>
        <w:t>,</w:t>
      </w:r>
      <w:r w:rsidR="007600BA" w:rsidRPr="006212FF">
        <w:rPr>
          <w:rFonts w:ascii="Book Antiqua" w:hAnsi="Book Antiqua"/>
          <w:sz w:val="24"/>
          <w:szCs w:val="24"/>
        </w:rPr>
        <w:t xml:space="preserve"> </w:t>
      </w:r>
      <w:proofErr w:type="spellStart"/>
      <w:r w:rsidR="00632C91" w:rsidRPr="006212FF">
        <w:rPr>
          <w:rFonts w:ascii="Book Antiqua" w:hAnsi="Book Antiqua"/>
          <w:sz w:val="24"/>
          <w:szCs w:val="24"/>
        </w:rPr>
        <w:t>eGFR</w:t>
      </w:r>
      <w:proofErr w:type="spellEnd"/>
      <w:r w:rsidR="00632C91" w:rsidRPr="006212FF">
        <w:rPr>
          <w:rFonts w:ascii="Book Antiqua" w:hAnsi="Book Antiqua"/>
          <w:sz w:val="24"/>
          <w:szCs w:val="24"/>
        </w:rPr>
        <w:t xml:space="preserve"> </w:t>
      </w:r>
      <w:r w:rsidR="00632C91" w:rsidRPr="006212FF">
        <w:rPr>
          <w:rFonts w:ascii="Book Antiqua" w:hAnsi="Book Antiqua"/>
          <w:sz w:val="24"/>
          <w:szCs w:val="24"/>
        </w:rPr>
        <w:lastRenderedPageBreak/>
        <w:t>improved by 7.8</w:t>
      </w:r>
      <w:r w:rsidR="0019331B">
        <w:rPr>
          <w:rFonts w:ascii="Book Antiqua" w:hAnsi="Book Antiqua" w:hint="eastAsia"/>
          <w:sz w:val="24"/>
          <w:szCs w:val="24"/>
        </w:rPr>
        <w:t xml:space="preserve"> </w:t>
      </w:r>
      <w:r w:rsidR="00632C91" w:rsidRPr="006212FF">
        <w:rPr>
          <w:rFonts w:ascii="Book Antiqua" w:hAnsi="Book Antiqua"/>
          <w:sz w:val="24"/>
          <w:szCs w:val="24"/>
        </w:rPr>
        <w:t>m</w:t>
      </w:r>
      <w:r w:rsidR="0019331B" w:rsidRPr="006212FF">
        <w:rPr>
          <w:rFonts w:ascii="Book Antiqua" w:hAnsi="Book Antiqua"/>
          <w:sz w:val="24"/>
          <w:szCs w:val="24"/>
        </w:rPr>
        <w:t>L</w:t>
      </w:r>
      <w:r w:rsidR="00632C91" w:rsidRPr="006212FF">
        <w:rPr>
          <w:rFonts w:ascii="Book Antiqua" w:hAnsi="Book Antiqua"/>
          <w:sz w:val="24"/>
          <w:szCs w:val="24"/>
        </w:rPr>
        <w:t xml:space="preserve">/min) </w:t>
      </w:r>
      <w:r w:rsidR="009406EA" w:rsidRPr="006212FF">
        <w:rPr>
          <w:rFonts w:ascii="Book Antiqua" w:hAnsi="Book Antiqua"/>
          <w:sz w:val="24"/>
          <w:szCs w:val="24"/>
        </w:rPr>
        <w:t>in the group with EVR, despite</w:t>
      </w:r>
      <w:r w:rsidR="00316989" w:rsidRPr="006212FF">
        <w:rPr>
          <w:rFonts w:ascii="Book Antiqua" w:hAnsi="Book Antiqua"/>
          <w:sz w:val="24"/>
          <w:szCs w:val="24"/>
        </w:rPr>
        <w:t xml:space="preserve"> similar mortality rate</w:t>
      </w:r>
      <w:r w:rsidR="009406EA" w:rsidRPr="006212FF">
        <w:rPr>
          <w:rFonts w:ascii="Book Antiqua" w:hAnsi="Book Antiqua"/>
          <w:sz w:val="24"/>
          <w:szCs w:val="24"/>
        </w:rPr>
        <w:t>s</w:t>
      </w:r>
      <w:r w:rsidR="009D4E90" w:rsidRPr="006212FF">
        <w:rPr>
          <w:rFonts w:ascii="Book Antiqua" w:hAnsi="Book Antiqua"/>
          <w:sz w:val="24"/>
          <w:szCs w:val="24"/>
        </w:rPr>
        <w:t xml:space="preserve">, </w:t>
      </w:r>
      <w:r w:rsidR="009406EA" w:rsidRPr="006212FF">
        <w:rPr>
          <w:rFonts w:ascii="Book Antiqua" w:hAnsi="Book Antiqua"/>
          <w:sz w:val="24"/>
          <w:szCs w:val="24"/>
        </w:rPr>
        <w:t>biopsy-proven rejection (</w:t>
      </w:r>
      <w:r w:rsidR="00316989" w:rsidRPr="006212FF">
        <w:rPr>
          <w:rFonts w:ascii="Book Antiqua" w:hAnsi="Book Antiqua"/>
          <w:sz w:val="24"/>
          <w:szCs w:val="24"/>
        </w:rPr>
        <w:t>BPAR</w:t>
      </w:r>
      <w:r w:rsidR="009406EA" w:rsidRPr="006212FF">
        <w:rPr>
          <w:rFonts w:ascii="Book Antiqua" w:hAnsi="Book Antiqua"/>
          <w:sz w:val="24"/>
          <w:szCs w:val="24"/>
        </w:rPr>
        <w:t>) rates and</w:t>
      </w:r>
      <w:r w:rsidR="00316989" w:rsidRPr="006212FF">
        <w:rPr>
          <w:rFonts w:ascii="Book Antiqua" w:hAnsi="Book Antiqua"/>
          <w:sz w:val="24"/>
          <w:szCs w:val="24"/>
        </w:rPr>
        <w:t xml:space="preserve"> efficacy failure</w:t>
      </w:r>
      <w:r w:rsidR="009406EA" w:rsidRPr="006212FF">
        <w:rPr>
          <w:rFonts w:ascii="Book Antiqua" w:hAnsi="Book Antiqua"/>
          <w:sz w:val="24"/>
          <w:szCs w:val="24"/>
        </w:rPr>
        <w:t xml:space="preserve"> rates betwee</w:t>
      </w:r>
      <w:r w:rsidR="00632C91" w:rsidRPr="006212FF">
        <w:rPr>
          <w:rFonts w:ascii="Book Antiqua" w:hAnsi="Book Antiqua"/>
          <w:sz w:val="24"/>
          <w:szCs w:val="24"/>
        </w:rPr>
        <w:t xml:space="preserve">n both groups. However, it </w:t>
      </w:r>
      <w:r w:rsidR="00BB495A" w:rsidRPr="006212FF">
        <w:rPr>
          <w:rFonts w:ascii="Book Antiqua" w:hAnsi="Book Antiqua"/>
          <w:sz w:val="24"/>
          <w:szCs w:val="24"/>
        </w:rPr>
        <w:t xml:space="preserve">also </w:t>
      </w:r>
      <w:r w:rsidR="009406EA" w:rsidRPr="006212FF">
        <w:rPr>
          <w:rFonts w:ascii="Book Antiqua" w:hAnsi="Book Antiqua"/>
          <w:sz w:val="24"/>
          <w:szCs w:val="24"/>
        </w:rPr>
        <w:t>reported</w:t>
      </w:r>
      <w:r w:rsidR="00354976" w:rsidRPr="006212FF">
        <w:rPr>
          <w:rFonts w:ascii="Book Antiqua" w:hAnsi="Book Antiqua"/>
          <w:sz w:val="24"/>
          <w:szCs w:val="24"/>
        </w:rPr>
        <w:t xml:space="preserve"> </w:t>
      </w:r>
      <w:r w:rsidR="009406EA" w:rsidRPr="006212FF">
        <w:rPr>
          <w:rFonts w:ascii="Book Antiqua" w:hAnsi="Book Antiqua"/>
          <w:sz w:val="24"/>
          <w:szCs w:val="24"/>
        </w:rPr>
        <w:t xml:space="preserve">a </w:t>
      </w:r>
      <w:r w:rsidR="00201950" w:rsidRPr="006212FF">
        <w:rPr>
          <w:rFonts w:ascii="Book Antiqua" w:hAnsi="Book Antiqua"/>
          <w:sz w:val="24"/>
          <w:szCs w:val="24"/>
        </w:rPr>
        <w:t xml:space="preserve">significantly </w:t>
      </w:r>
      <w:r w:rsidR="009406EA" w:rsidRPr="006212FF">
        <w:rPr>
          <w:rFonts w:ascii="Book Antiqua" w:hAnsi="Book Antiqua"/>
          <w:sz w:val="24"/>
          <w:szCs w:val="24"/>
        </w:rPr>
        <w:t xml:space="preserve">higher incidence </w:t>
      </w:r>
      <w:r w:rsidR="00316989" w:rsidRPr="006212FF">
        <w:rPr>
          <w:rFonts w:ascii="Book Antiqua" w:hAnsi="Book Antiqua"/>
          <w:sz w:val="24"/>
          <w:szCs w:val="24"/>
        </w:rPr>
        <w:t>of adverse effects</w:t>
      </w:r>
      <w:r w:rsidR="009D4E90" w:rsidRPr="006212FF">
        <w:rPr>
          <w:rFonts w:ascii="Book Antiqua" w:hAnsi="Book Antiqua"/>
          <w:sz w:val="24"/>
          <w:szCs w:val="24"/>
        </w:rPr>
        <w:t xml:space="preserve"> </w:t>
      </w:r>
      <w:r w:rsidR="00354976" w:rsidRPr="006212FF">
        <w:rPr>
          <w:rFonts w:ascii="Book Antiqua" w:hAnsi="Book Antiqua"/>
          <w:sz w:val="24"/>
          <w:szCs w:val="24"/>
        </w:rPr>
        <w:t>mainly</w:t>
      </w:r>
      <w:r w:rsidR="00BB495A" w:rsidRPr="006212FF">
        <w:rPr>
          <w:rFonts w:ascii="Book Antiqua" w:hAnsi="Book Antiqua"/>
          <w:sz w:val="24"/>
          <w:szCs w:val="24"/>
        </w:rPr>
        <w:t xml:space="preserve"> oral herpes, leukopenia, hypercholesterolemia, hyperlipidemia and proteinuria </w:t>
      </w:r>
      <w:r w:rsidR="00316989" w:rsidRPr="006212FF">
        <w:rPr>
          <w:rFonts w:ascii="Book Antiqua" w:hAnsi="Book Antiqua"/>
          <w:sz w:val="24"/>
          <w:szCs w:val="24"/>
        </w:rPr>
        <w:t xml:space="preserve">in </w:t>
      </w:r>
      <w:r w:rsidR="009406EA" w:rsidRPr="006212FF">
        <w:rPr>
          <w:rFonts w:ascii="Book Antiqua" w:hAnsi="Book Antiqua"/>
          <w:sz w:val="24"/>
          <w:szCs w:val="24"/>
        </w:rPr>
        <w:t xml:space="preserve">the </w:t>
      </w:r>
      <w:r w:rsidR="00316989" w:rsidRPr="006212FF">
        <w:rPr>
          <w:rFonts w:ascii="Book Antiqua" w:hAnsi="Book Antiqua"/>
          <w:sz w:val="24"/>
          <w:szCs w:val="24"/>
        </w:rPr>
        <w:t>EVR</w:t>
      </w:r>
      <w:r w:rsidR="009406EA" w:rsidRPr="006212FF">
        <w:rPr>
          <w:rFonts w:ascii="Book Antiqua" w:hAnsi="Book Antiqua"/>
          <w:sz w:val="24"/>
          <w:szCs w:val="24"/>
        </w:rPr>
        <w:t>-treated group</w:t>
      </w:r>
      <w:r w:rsidR="00316989" w:rsidRPr="006212FF">
        <w:rPr>
          <w:rFonts w:ascii="Book Antiqua" w:hAnsi="Book Antiqua"/>
          <w:sz w:val="24"/>
          <w:szCs w:val="24"/>
        </w:rPr>
        <w:t xml:space="preserve"> as compared to standard CNI. In </w:t>
      </w:r>
      <w:r w:rsidR="009406EA" w:rsidRPr="006212FF">
        <w:rPr>
          <w:rFonts w:ascii="Book Antiqua" w:hAnsi="Book Antiqua"/>
          <w:sz w:val="24"/>
          <w:szCs w:val="24"/>
        </w:rPr>
        <w:t>its subsequent study,</w:t>
      </w:r>
      <w:r w:rsidR="00316989" w:rsidRPr="006212FF">
        <w:rPr>
          <w:rFonts w:ascii="Book Antiqua" w:hAnsi="Book Antiqua"/>
          <w:sz w:val="24"/>
          <w:szCs w:val="24"/>
        </w:rPr>
        <w:t xml:space="preserve"> 81 patients </w:t>
      </w:r>
      <w:r w:rsidR="009406EA" w:rsidRPr="006212FF">
        <w:rPr>
          <w:rFonts w:ascii="Book Antiqua" w:hAnsi="Book Antiqua"/>
          <w:sz w:val="24"/>
          <w:szCs w:val="24"/>
        </w:rPr>
        <w:t xml:space="preserve">were further followed-up </w:t>
      </w:r>
      <w:r w:rsidR="004F3431" w:rsidRPr="006212FF">
        <w:rPr>
          <w:rFonts w:ascii="Book Antiqua" w:hAnsi="Book Antiqua"/>
          <w:sz w:val="24"/>
          <w:szCs w:val="24"/>
        </w:rPr>
        <w:t>till 3 year</w:t>
      </w:r>
      <w:r w:rsidR="00BB58DF" w:rsidRPr="006212FF">
        <w:rPr>
          <w:rFonts w:ascii="Book Antiqua" w:hAnsi="Book Antiqua"/>
          <w:sz w:val="24"/>
          <w:szCs w:val="24"/>
        </w:rPr>
        <w:t>s</w:t>
      </w:r>
      <w:r w:rsidR="00316989" w:rsidRPr="006212FF">
        <w:rPr>
          <w:rFonts w:ascii="Book Antiqua" w:hAnsi="Book Antiqua"/>
          <w:sz w:val="24"/>
          <w:szCs w:val="24"/>
        </w:rPr>
        <w:t xml:space="preserve">. </w:t>
      </w:r>
      <w:r w:rsidR="00857F00" w:rsidRPr="006212FF">
        <w:rPr>
          <w:rFonts w:ascii="Book Antiqua" w:hAnsi="Book Antiqua"/>
          <w:sz w:val="24"/>
          <w:szCs w:val="24"/>
        </w:rPr>
        <w:t xml:space="preserve">A </w:t>
      </w:r>
      <w:r w:rsidR="00316989" w:rsidRPr="006212FF">
        <w:rPr>
          <w:rFonts w:ascii="Book Antiqua" w:hAnsi="Book Antiqua" w:cs="Univers-Light"/>
          <w:sz w:val="24"/>
          <w:szCs w:val="24"/>
        </w:rPr>
        <w:t xml:space="preserve">significant difference in renal function continued </w:t>
      </w:r>
      <w:r w:rsidR="00AF231C" w:rsidRPr="006212FF">
        <w:rPr>
          <w:rFonts w:ascii="Book Antiqua" w:hAnsi="Book Antiqua" w:cs="Univers-Light"/>
          <w:sz w:val="24"/>
          <w:szCs w:val="24"/>
        </w:rPr>
        <w:t xml:space="preserve">to </w:t>
      </w:r>
      <w:r w:rsidR="00316989" w:rsidRPr="006212FF">
        <w:rPr>
          <w:rFonts w:ascii="Book Antiqua" w:hAnsi="Book Antiqua" w:cs="Univers-Light"/>
          <w:sz w:val="24"/>
          <w:szCs w:val="24"/>
        </w:rPr>
        <w:t xml:space="preserve">be seen between the EVR </w:t>
      </w:r>
      <w:r w:rsidR="00857F00" w:rsidRPr="006212FF">
        <w:rPr>
          <w:rFonts w:ascii="Book Antiqua" w:hAnsi="Book Antiqua" w:cs="Univers-Light"/>
          <w:sz w:val="24"/>
          <w:szCs w:val="24"/>
        </w:rPr>
        <w:t>with</w:t>
      </w:r>
      <w:r w:rsidR="00316989" w:rsidRPr="006212FF">
        <w:rPr>
          <w:rFonts w:ascii="Book Antiqua" w:hAnsi="Book Antiqua" w:cs="Univers-Light"/>
          <w:sz w:val="24"/>
          <w:szCs w:val="24"/>
        </w:rPr>
        <w:t xml:space="preserve"> </w:t>
      </w:r>
      <w:r w:rsidR="00857F00" w:rsidRPr="006212FF">
        <w:rPr>
          <w:rFonts w:ascii="Book Antiqua" w:hAnsi="Book Antiqua" w:cs="Univers-Light"/>
          <w:sz w:val="24"/>
          <w:szCs w:val="24"/>
        </w:rPr>
        <w:t>CNI-</w:t>
      </w:r>
      <w:r w:rsidR="00632C91" w:rsidRPr="006212FF">
        <w:rPr>
          <w:rFonts w:ascii="Book Antiqua" w:hAnsi="Book Antiqua" w:cs="Univers-Light"/>
          <w:sz w:val="24"/>
          <w:szCs w:val="24"/>
        </w:rPr>
        <w:t>withdrawal</w:t>
      </w:r>
      <w:r w:rsidR="00316989" w:rsidRPr="006212FF">
        <w:rPr>
          <w:rFonts w:ascii="Book Antiqua" w:hAnsi="Book Antiqua" w:cs="Univers-Light"/>
          <w:sz w:val="24"/>
          <w:szCs w:val="24"/>
        </w:rPr>
        <w:t xml:space="preserve"> </w:t>
      </w:r>
      <w:proofErr w:type="spellStart"/>
      <w:r w:rsidR="00016F09" w:rsidRPr="00016F09">
        <w:rPr>
          <w:rFonts w:ascii="Book Antiqua" w:eastAsia="Times New Roman" w:hAnsi="Book Antiqua" w:cs="Times New Roman"/>
          <w:bCs/>
          <w:i/>
          <w:color w:val="000000"/>
          <w:sz w:val="24"/>
          <w:szCs w:val="24"/>
        </w:rPr>
        <w:t>vs</w:t>
      </w:r>
      <w:proofErr w:type="spellEnd"/>
      <w:r w:rsidR="00857F00" w:rsidRPr="006212FF">
        <w:rPr>
          <w:rFonts w:ascii="Book Antiqua" w:hAnsi="Book Antiqua" w:cs="Univers-Light"/>
          <w:sz w:val="24"/>
          <w:szCs w:val="24"/>
        </w:rPr>
        <w:t xml:space="preserve"> the</w:t>
      </w:r>
      <w:r w:rsidR="00316989" w:rsidRPr="006212FF">
        <w:rPr>
          <w:rFonts w:ascii="Book Antiqua" w:hAnsi="Book Antiqua" w:cs="Univers-Light"/>
          <w:sz w:val="24"/>
          <w:szCs w:val="24"/>
        </w:rPr>
        <w:t xml:space="preserve"> control group at month 35 fro</w:t>
      </w:r>
      <w:r w:rsidR="00811050" w:rsidRPr="006212FF">
        <w:rPr>
          <w:rFonts w:ascii="Book Antiqua" w:hAnsi="Book Antiqua" w:cs="Univers-Light"/>
          <w:sz w:val="24"/>
          <w:szCs w:val="24"/>
        </w:rPr>
        <w:t>m randomization</w:t>
      </w:r>
      <w:r w:rsidR="00857F00" w:rsidRPr="006212FF">
        <w:rPr>
          <w:rFonts w:ascii="Book Antiqua" w:hAnsi="Book Antiqua" w:cs="Univers-Light"/>
          <w:sz w:val="24"/>
          <w:szCs w:val="24"/>
        </w:rPr>
        <w:t>, mainly due to t</w:t>
      </w:r>
      <w:r w:rsidR="00857F00" w:rsidRPr="006212FF">
        <w:rPr>
          <w:rFonts w:ascii="Book Antiqua" w:hAnsi="Book Antiqua"/>
          <w:sz w:val="24"/>
          <w:szCs w:val="24"/>
        </w:rPr>
        <w:t>he</w:t>
      </w:r>
      <w:r w:rsidR="00857F00" w:rsidRPr="006212FF">
        <w:rPr>
          <w:rFonts w:ascii="Book Antiqua" w:hAnsi="Book Antiqua" w:cs="Univers-Light"/>
          <w:sz w:val="24"/>
          <w:szCs w:val="24"/>
        </w:rPr>
        <w:t xml:space="preserve"> progressive deterioration of renal function in the standard CNI </w:t>
      </w:r>
      <w:proofErr w:type="gramStart"/>
      <w:r w:rsidR="00857F00" w:rsidRPr="006212FF">
        <w:rPr>
          <w:rFonts w:ascii="Book Antiqua" w:hAnsi="Book Antiqua" w:cs="Univers-Light"/>
          <w:sz w:val="24"/>
          <w:szCs w:val="24"/>
        </w:rPr>
        <w:t>group</w:t>
      </w:r>
      <w:r w:rsidR="00946CBE" w:rsidRPr="006212FF">
        <w:rPr>
          <w:rFonts w:ascii="Book Antiqua" w:hAnsi="Book Antiqua" w:cs="Univers-Light"/>
          <w:sz w:val="24"/>
          <w:szCs w:val="24"/>
          <w:vertAlign w:val="superscript"/>
        </w:rPr>
        <w:t>[</w:t>
      </w:r>
      <w:proofErr w:type="gramEnd"/>
      <w:r w:rsidR="00946CBE" w:rsidRPr="006212FF">
        <w:rPr>
          <w:rFonts w:ascii="Book Antiqua" w:hAnsi="Book Antiqua" w:cs="Univers-Light"/>
          <w:sz w:val="24"/>
          <w:szCs w:val="24"/>
          <w:vertAlign w:val="superscript"/>
        </w:rPr>
        <w:t>14]</w:t>
      </w:r>
      <w:r w:rsidR="00811050" w:rsidRPr="006212FF">
        <w:rPr>
          <w:rFonts w:ascii="Book Antiqua" w:hAnsi="Book Antiqua" w:cs="Univers-Light"/>
          <w:sz w:val="24"/>
          <w:szCs w:val="24"/>
        </w:rPr>
        <w:t>. R</w:t>
      </w:r>
      <w:r w:rsidR="00316989" w:rsidRPr="006212FF">
        <w:rPr>
          <w:rFonts w:ascii="Book Antiqua" w:hAnsi="Book Antiqua" w:cs="Univers-Light"/>
          <w:sz w:val="24"/>
          <w:szCs w:val="24"/>
        </w:rPr>
        <w:t>ecently</w:t>
      </w:r>
      <w:r w:rsidR="00811050" w:rsidRPr="006212FF">
        <w:rPr>
          <w:rFonts w:ascii="Book Antiqua" w:hAnsi="Book Antiqua" w:cs="Univers-Light"/>
          <w:sz w:val="24"/>
          <w:szCs w:val="24"/>
        </w:rPr>
        <w:t xml:space="preserve">, </w:t>
      </w:r>
      <w:r w:rsidR="00316989" w:rsidRPr="006212FF">
        <w:rPr>
          <w:rFonts w:ascii="Book Antiqua" w:hAnsi="Book Antiqua" w:cs="Univers-Light"/>
          <w:sz w:val="24"/>
          <w:szCs w:val="24"/>
        </w:rPr>
        <w:t>the 5-year follow</w:t>
      </w:r>
      <w:r w:rsidR="00857F00" w:rsidRPr="006212FF">
        <w:rPr>
          <w:rFonts w:ascii="Book Antiqua" w:hAnsi="Book Antiqua" w:cs="Univers-Light"/>
          <w:sz w:val="24"/>
          <w:szCs w:val="24"/>
        </w:rPr>
        <w:t>-</w:t>
      </w:r>
      <w:r w:rsidR="00316989" w:rsidRPr="006212FF">
        <w:rPr>
          <w:rFonts w:ascii="Book Antiqua" w:hAnsi="Book Antiqua" w:cs="Univers-Light"/>
          <w:sz w:val="24"/>
          <w:szCs w:val="24"/>
        </w:rPr>
        <w:t>up on the</w:t>
      </w:r>
      <w:r w:rsidR="00C902EA" w:rsidRPr="006212FF">
        <w:rPr>
          <w:rFonts w:ascii="Book Antiqua" w:hAnsi="Book Antiqua" w:cs="Univers-Light"/>
          <w:sz w:val="24"/>
          <w:szCs w:val="24"/>
        </w:rPr>
        <w:t>se</w:t>
      </w:r>
      <w:r w:rsidR="004F3431" w:rsidRPr="006212FF">
        <w:rPr>
          <w:rFonts w:ascii="Book Antiqua" w:hAnsi="Book Antiqua" w:cs="Univers-Light"/>
          <w:sz w:val="24"/>
          <w:szCs w:val="24"/>
        </w:rPr>
        <w:t xml:space="preserve"> same</w:t>
      </w:r>
      <w:r w:rsidR="00316989" w:rsidRPr="006212FF">
        <w:rPr>
          <w:rFonts w:ascii="Book Antiqua" w:hAnsi="Book Antiqua" w:cs="Univers-Light"/>
          <w:sz w:val="24"/>
          <w:szCs w:val="24"/>
        </w:rPr>
        <w:t xml:space="preserve"> 81 patients </w:t>
      </w:r>
      <w:r w:rsidR="004F3431" w:rsidRPr="006212FF">
        <w:rPr>
          <w:rFonts w:ascii="Book Antiqua" w:hAnsi="Book Antiqua" w:cs="Univers-Light"/>
          <w:sz w:val="24"/>
          <w:szCs w:val="24"/>
        </w:rPr>
        <w:t>has been</w:t>
      </w:r>
      <w:r w:rsidR="00811050" w:rsidRPr="006212FF">
        <w:rPr>
          <w:rFonts w:ascii="Book Antiqua" w:hAnsi="Book Antiqua" w:cs="Univers-Light"/>
          <w:sz w:val="24"/>
          <w:szCs w:val="24"/>
        </w:rPr>
        <w:t xml:space="preserve"> published</w:t>
      </w:r>
      <w:r w:rsidR="004F3431" w:rsidRPr="006212FF">
        <w:rPr>
          <w:rFonts w:ascii="Book Antiqua" w:hAnsi="Book Antiqua" w:cs="Univers-Light"/>
          <w:sz w:val="24"/>
          <w:szCs w:val="24"/>
        </w:rPr>
        <w:t>, reporting</w:t>
      </w:r>
      <w:r w:rsidR="00C902EA" w:rsidRPr="006212FF">
        <w:rPr>
          <w:rFonts w:ascii="Book Antiqua" w:hAnsi="Book Antiqua" w:cs="Univers-Light"/>
          <w:sz w:val="24"/>
          <w:szCs w:val="24"/>
        </w:rPr>
        <w:t xml:space="preserve"> </w:t>
      </w:r>
      <w:r w:rsidR="001A6D5F" w:rsidRPr="006212FF">
        <w:rPr>
          <w:rFonts w:ascii="Book Antiqua" w:hAnsi="Book Antiqua" w:cs="Univers-Light"/>
          <w:sz w:val="24"/>
          <w:szCs w:val="24"/>
        </w:rPr>
        <w:t xml:space="preserve">a </w:t>
      </w:r>
      <w:r w:rsidR="00857F00" w:rsidRPr="006212FF">
        <w:rPr>
          <w:rFonts w:ascii="Book Antiqua" w:hAnsi="Book Antiqua" w:cs="Univers-Light"/>
          <w:sz w:val="24"/>
          <w:szCs w:val="24"/>
        </w:rPr>
        <w:t>continued</w:t>
      </w:r>
      <w:r w:rsidR="00316989" w:rsidRPr="006212FF">
        <w:rPr>
          <w:rFonts w:ascii="Book Antiqua" w:hAnsi="Book Antiqua" w:cs="Univers-Light"/>
          <w:sz w:val="24"/>
          <w:szCs w:val="24"/>
        </w:rPr>
        <w:t xml:space="preserve"> </w:t>
      </w:r>
      <w:r w:rsidR="00811050" w:rsidRPr="006212FF">
        <w:rPr>
          <w:rFonts w:ascii="Book Antiqua" w:hAnsi="Book Antiqua" w:cs="Univers-Light"/>
          <w:sz w:val="24"/>
          <w:szCs w:val="24"/>
        </w:rPr>
        <w:t>improve</w:t>
      </w:r>
      <w:r w:rsidR="001A6D5F" w:rsidRPr="006212FF">
        <w:rPr>
          <w:rFonts w:ascii="Book Antiqua" w:hAnsi="Book Antiqua" w:cs="Univers-Light"/>
          <w:sz w:val="24"/>
          <w:szCs w:val="24"/>
        </w:rPr>
        <w:t>d</w:t>
      </w:r>
      <w:r w:rsidR="0013421D" w:rsidRPr="006212FF">
        <w:rPr>
          <w:rFonts w:ascii="Book Antiqua" w:hAnsi="Book Antiqua" w:cs="Univers-Light"/>
          <w:sz w:val="24"/>
          <w:szCs w:val="24"/>
        </w:rPr>
        <w:t xml:space="preserve"> </w:t>
      </w:r>
      <w:r w:rsidR="00BB58DF" w:rsidRPr="006212FF">
        <w:rPr>
          <w:rFonts w:ascii="Book Antiqua" w:hAnsi="Book Antiqua" w:cs="Univers-Light"/>
          <w:sz w:val="24"/>
          <w:szCs w:val="24"/>
        </w:rPr>
        <w:t xml:space="preserve">trend </w:t>
      </w:r>
      <w:r w:rsidR="00316989" w:rsidRPr="006212FF">
        <w:rPr>
          <w:rFonts w:ascii="Book Antiqua" w:hAnsi="Book Antiqua" w:cs="Univers-Light"/>
          <w:sz w:val="24"/>
          <w:szCs w:val="24"/>
        </w:rPr>
        <w:t>in renal function</w:t>
      </w:r>
      <w:r w:rsidR="001A6D5F" w:rsidRPr="006212FF">
        <w:rPr>
          <w:rFonts w:ascii="Book Antiqua" w:hAnsi="Book Antiqua" w:cs="Univers-Light"/>
          <w:sz w:val="24"/>
          <w:szCs w:val="24"/>
        </w:rPr>
        <w:t xml:space="preserve"> in the EVR-treated group</w:t>
      </w:r>
      <w:r w:rsidR="00F40BC7" w:rsidRPr="006212FF">
        <w:rPr>
          <w:rFonts w:ascii="Book Antiqua" w:hAnsi="Book Antiqua" w:cs="Univers-Light"/>
          <w:sz w:val="24"/>
          <w:szCs w:val="24"/>
        </w:rPr>
        <w:t xml:space="preserve"> (</w:t>
      </w:r>
      <w:proofErr w:type="spellStart"/>
      <w:r w:rsidR="00F40BC7" w:rsidRPr="006212FF">
        <w:rPr>
          <w:rFonts w:ascii="Book Antiqua" w:hAnsi="Book Antiqua" w:cs="Univers-Light"/>
          <w:sz w:val="24"/>
          <w:szCs w:val="24"/>
        </w:rPr>
        <w:t>eGFR</w:t>
      </w:r>
      <w:proofErr w:type="spellEnd"/>
      <w:r w:rsidR="00F40BC7" w:rsidRPr="006212FF">
        <w:rPr>
          <w:rFonts w:ascii="Book Antiqua" w:hAnsi="Book Antiqua" w:cs="Univers-Light"/>
          <w:sz w:val="24"/>
          <w:szCs w:val="24"/>
        </w:rPr>
        <w:t xml:space="preserve"> improved by 11.4</w:t>
      </w:r>
      <w:r w:rsidR="0019331B">
        <w:rPr>
          <w:rFonts w:ascii="Book Antiqua" w:hAnsi="Book Antiqua" w:cs="Univers-Light" w:hint="eastAsia"/>
          <w:sz w:val="24"/>
          <w:szCs w:val="24"/>
        </w:rPr>
        <w:t xml:space="preserve"> </w:t>
      </w:r>
      <w:r w:rsidR="00F40BC7" w:rsidRPr="006212FF">
        <w:rPr>
          <w:rFonts w:ascii="Book Antiqua" w:hAnsi="Book Antiqua" w:cs="Univers-Light"/>
          <w:sz w:val="24"/>
          <w:szCs w:val="24"/>
        </w:rPr>
        <w:t>m</w:t>
      </w:r>
      <w:r w:rsidR="0019331B" w:rsidRPr="006212FF">
        <w:rPr>
          <w:rFonts w:ascii="Book Antiqua" w:hAnsi="Book Antiqua" w:cs="Univers-Light"/>
          <w:sz w:val="24"/>
          <w:szCs w:val="24"/>
        </w:rPr>
        <w:t>L</w:t>
      </w:r>
      <w:r w:rsidR="00F40BC7" w:rsidRPr="006212FF">
        <w:rPr>
          <w:rFonts w:ascii="Book Antiqua" w:hAnsi="Book Antiqua" w:cs="Univers-Light"/>
          <w:sz w:val="24"/>
          <w:szCs w:val="24"/>
        </w:rPr>
        <w:t>/min</w:t>
      </w:r>
      <w:r w:rsidR="00BB64CE" w:rsidRPr="006212FF">
        <w:rPr>
          <w:rFonts w:ascii="Book Antiqua" w:hAnsi="Book Antiqua" w:cs="Univers-Light"/>
          <w:sz w:val="24"/>
          <w:szCs w:val="24"/>
        </w:rPr>
        <w:t xml:space="preserve">, </w:t>
      </w:r>
      <w:r w:rsidR="0019331B" w:rsidRPr="0019331B">
        <w:rPr>
          <w:rFonts w:ascii="Book Antiqua" w:hAnsi="Book Antiqua" w:cs="Univers-Light"/>
          <w:i/>
          <w:sz w:val="24"/>
          <w:szCs w:val="24"/>
        </w:rPr>
        <w:t xml:space="preserve">P </w:t>
      </w:r>
      <w:r w:rsidR="00BB64CE" w:rsidRPr="006212FF">
        <w:rPr>
          <w:rFonts w:ascii="Book Antiqua" w:hAnsi="Book Antiqua" w:cs="Univers-Light"/>
          <w:sz w:val="24"/>
          <w:szCs w:val="24"/>
        </w:rPr>
        <w:t>=</w:t>
      </w:r>
      <w:r w:rsidR="0019331B">
        <w:rPr>
          <w:rFonts w:ascii="Book Antiqua" w:hAnsi="Book Antiqua" w:cs="Univers-Light" w:hint="eastAsia"/>
          <w:sz w:val="24"/>
          <w:szCs w:val="24"/>
        </w:rPr>
        <w:t xml:space="preserve"> </w:t>
      </w:r>
      <w:r w:rsidR="00BB64CE" w:rsidRPr="006212FF">
        <w:rPr>
          <w:rFonts w:ascii="Book Antiqua" w:hAnsi="Book Antiqua" w:cs="Univers-Light"/>
          <w:sz w:val="24"/>
          <w:szCs w:val="24"/>
        </w:rPr>
        <w:t>0.021</w:t>
      </w:r>
      <w:r w:rsidR="00F40BC7" w:rsidRPr="006212FF">
        <w:rPr>
          <w:rFonts w:ascii="Book Antiqua" w:hAnsi="Book Antiqua" w:cs="Univers-Light"/>
          <w:sz w:val="24"/>
          <w:szCs w:val="24"/>
        </w:rPr>
        <w:t xml:space="preserve">) </w:t>
      </w:r>
      <w:r w:rsidR="00857F00" w:rsidRPr="006212FF">
        <w:rPr>
          <w:rFonts w:ascii="Book Antiqua" w:hAnsi="Book Antiqua" w:cs="Univers-Light"/>
          <w:sz w:val="24"/>
          <w:szCs w:val="24"/>
        </w:rPr>
        <w:t>with</w:t>
      </w:r>
      <w:r w:rsidR="0038417B" w:rsidRPr="006212FF">
        <w:rPr>
          <w:rFonts w:ascii="Book Antiqua" w:hAnsi="Book Antiqua" w:cs="Univers-Light"/>
          <w:sz w:val="24"/>
          <w:szCs w:val="24"/>
        </w:rPr>
        <w:t xml:space="preserve"> comparable</w:t>
      </w:r>
      <w:r w:rsidR="00316989" w:rsidRPr="006212FF">
        <w:rPr>
          <w:rFonts w:ascii="Book Antiqua" w:hAnsi="Book Antiqua" w:cs="Univers-Light"/>
          <w:sz w:val="24"/>
          <w:szCs w:val="24"/>
        </w:rPr>
        <w:t xml:space="preserve"> </w:t>
      </w:r>
      <w:r w:rsidR="00A421C7" w:rsidRPr="006212FF">
        <w:rPr>
          <w:rFonts w:ascii="Book Antiqua" w:hAnsi="Book Antiqua" w:cs="Univers-Light"/>
          <w:sz w:val="24"/>
          <w:szCs w:val="24"/>
        </w:rPr>
        <w:t>treatment failure</w:t>
      </w:r>
      <w:r w:rsidR="00857F00" w:rsidRPr="006212FF">
        <w:rPr>
          <w:rFonts w:ascii="Book Antiqua" w:hAnsi="Book Antiqua" w:cs="Univers-Light"/>
          <w:sz w:val="24"/>
          <w:szCs w:val="24"/>
        </w:rPr>
        <w:t xml:space="preserve"> rates</w:t>
      </w:r>
      <w:r w:rsidR="00A421C7" w:rsidRPr="006212FF">
        <w:rPr>
          <w:rFonts w:ascii="Book Antiqua" w:hAnsi="Book Antiqua" w:cs="Univers-Light"/>
          <w:sz w:val="24"/>
          <w:szCs w:val="24"/>
        </w:rPr>
        <w:t xml:space="preserve"> (9.8% in EVR group </w:t>
      </w:r>
      <w:proofErr w:type="spellStart"/>
      <w:r w:rsidR="00A421C7" w:rsidRPr="0019331B">
        <w:rPr>
          <w:rFonts w:ascii="Book Antiqua" w:hAnsi="Book Antiqua" w:cs="Univers-Light"/>
          <w:i/>
          <w:sz w:val="24"/>
          <w:szCs w:val="24"/>
        </w:rPr>
        <w:t>vs</w:t>
      </w:r>
      <w:proofErr w:type="spellEnd"/>
      <w:r w:rsidR="00A421C7" w:rsidRPr="0019331B">
        <w:rPr>
          <w:rFonts w:ascii="Book Antiqua" w:hAnsi="Book Antiqua" w:cs="Univers-Light"/>
          <w:i/>
          <w:sz w:val="24"/>
          <w:szCs w:val="24"/>
        </w:rPr>
        <w:t xml:space="preserve"> </w:t>
      </w:r>
      <w:r w:rsidR="00A421C7" w:rsidRPr="006212FF">
        <w:rPr>
          <w:rFonts w:ascii="Book Antiqua" w:hAnsi="Book Antiqua" w:cs="Univers-Light"/>
          <w:sz w:val="24"/>
          <w:szCs w:val="24"/>
        </w:rPr>
        <w:t>7.5%</w:t>
      </w:r>
      <w:r w:rsidR="00F40BC7" w:rsidRPr="006212FF">
        <w:rPr>
          <w:rFonts w:ascii="Book Antiqua" w:hAnsi="Book Antiqua" w:cs="Univers-Light"/>
          <w:sz w:val="24"/>
          <w:szCs w:val="24"/>
        </w:rPr>
        <w:t xml:space="preserve"> in standard CNI group, </w:t>
      </w:r>
      <w:r w:rsidR="0019331B" w:rsidRPr="0019331B">
        <w:rPr>
          <w:rFonts w:ascii="Book Antiqua" w:hAnsi="Book Antiqua" w:cs="Univers-Light"/>
          <w:i/>
          <w:sz w:val="24"/>
          <w:szCs w:val="24"/>
        </w:rPr>
        <w:t xml:space="preserve">P </w:t>
      </w:r>
      <w:r w:rsidR="00F40BC7" w:rsidRPr="006212FF">
        <w:rPr>
          <w:rFonts w:ascii="Book Antiqua" w:hAnsi="Book Antiqua" w:cs="Univers-Light"/>
          <w:sz w:val="24"/>
          <w:szCs w:val="24"/>
        </w:rPr>
        <w:t>=</w:t>
      </w:r>
      <w:r w:rsidR="0019331B">
        <w:rPr>
          <w:rFonts w:ascii="Book Antiqua" w:hAnsi="Book Antiqua" w:cs="Univers-Light" w:hint="eastAsia"/>
          <w:sz w:val="24"/>
          <w:szCs w:val="24"/>
        </w:rPr>
        <w:t xml:space="preserve"> </w:t>
      </w:r>
      <w:r w:rsidR="00F40BC7" w:rsidRPr="006212FF">
        <w:rPr>
          <w:rFonts w:ascii="Book Antiqua" w:hAnsi="Book Antiqua" w:cs="Univers-Light"/>
          <w:sz w:val="24"/>
          <w:szCs w:val="24"/>
        </w:rPr>
        <w:t xml:space="preserve">1.000) </w:t>
      </w:r>
      <w:r w:rsidR="00857F00" w:rsidRPr="006212FF">
        <w:rPr>
          <w:rFonts w:ascii="Book Antiqua" w:hAnsi="Book Antiqua" w:cs="Univers-Light"/>
          <w:sz w:val="24"/>
          <w:szCs w:val="24"/>
        </w:rPr>
        <w:t xml:space="preserve">in both </w:t>
      </w:r>
      <w:proofErr w:type="gramStart"/>
      <w:r w:rsidR="00857F00" w:rsidRPr="006212FF">
        <w:rPr>
          <w:rFonts w:ascii="Book Antiqua" w:hAnsi="Book Antiqua" w:cs="Univers-Light"/>
          <w:sz w:val="24"/>
          <w:szCs w:val="24"/>
        </w:rPr>
        <w:t>groups</w:t>
      </w:r>
      <w:r w:rsidR="00946CBE" w:rsidRPr="006212FF">
        <w:rPr>
          <w:rFonts w:ascii="Book Antiqua" w:hAnsi="Book Antiqua" w:cs="Univers-Light"/>
          <w:sz w:val="24"/>
          <w:szCs w:val="24"/>
          <w:vertAlign w:val="superscript"/>
        </w:rPr>
        <w:t>[</w:t>
      </w:r>
      <w:proofErr w:type="gramEnd"/>
      <w:r w:rsidR="00946CBE" w:rsidRPr="006212FF">
        <w:rPr>
          <w:rFonts w:ascii="Book Antiqua" w:hAnsi="Book Antiqua" w:cs="Univers-Light"/>
          <w:sz w:val="24"/>
          <w:szCs w:val="24"/>
          <w:vertAlign w:val="superscript"/>
        </w:rPr>
        <w:t>15]</w:t>
      </w:r>
      <w:r w:rsidR="00316989" w:rsidRPr="006212FF">
        <w:rPr>
          <w:rFonts w:ascii="Book Antiqua" w:hAnsi="Book Antiqua" w:cs="Univers-Light"/>
          <w:sz w:val="24"/>
          <w:szCs w:val="24"/>
        </w:rPr>
        <w:t xml:space="preserve">. </w:t>
      </w:r>
    </w:p>
    <w:p w14:paraId="62BEA851" w14:textId="66551E19" w:rsidR="00147295" w:rsidRPr="006212FF" w:rsidRDefault="00066CFF" w:rsidP="0019331B">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In another </w:t>
      </w:r>
      <w:r w:rsidR="00C96250" w:rsidRPr="006212FF">
        <w:rPr>
          <w:rFonts w:ascii="Book Antiqua" w:hAnsi="Book Antiqua"/>
          <w:sz w:val="24"/>
          <w:szCs w:val="24"/>
        </w:rPr>
        <w:t>open-label</w:t>
      </w:r>
      <w:r w:rsidR="00B11ED0" w:rsidRPr="006212FF">
        <w:rPr>
          <w:rFonts w:ascii="Book Antiqua" w:hAnsi="Book Antiqua"/>
          <w:sz w:val="24"/>
          <w:szCs w:val="24"/>
        </w:rPr>
        <w:t xml:space="preserve"> multi</w:t>
      </w:r>
      <w:r w:rsidR="004F3431" w:rsidRPr="006212FF">
        <w:rPr>
          <w:rFonts w:ascii="Book Antiqua" w:hAnsi="Book Antiqua"/>
          <w:sz w:val="24"/>
          <w:szCs w:val="24"/>
        </w:rPr>
        <w:t>-</w:t>
      </w:r>
      <w:r w:rsidR="00565630" w:rsidRPr="006212FF">
        <w:rPr>
          <w:rFonts w:ascii="Book Antiqua" w:hAnsi="Book Antiqua"/>
          <w:sz w:val="24"/>
          <w:szCs w:val="24"/>
        </w:rPr>
        <w:t xml:space="preserve">center </w:t>
      </w:r>
      <w:r w:rsidR="00BA1AE1" w:rsidRPr="006212FF">
        <w:rPr>
          <w:rFonts w:ascii="Book Antiqua" w:hAnsi="Book Antiqua"/>
          <w:sz w:val="24"/>
          <w:szCs w:val="24"/>
        </w:rPr>
        <w:t xml:space="preserve">prospective </w:t>
      </w:r>
      <w:r w:rsidRPr="006212FF">
        <w:rPr>
          <w:rFonts w:ascii="Book Antiqua" w:hAnsi="Book Antiqua"/>
          <w:sz w:val="24"/>
          <w:szCs w:val="24"/>
        </w:rPr>
        <w:t>RCT, H2304, 719 patient</w:t>
      </w:r>
      <w:r w:rsidR="00B11ED0" w:rsidRPr="006212FF">
        <w:rPr>
          <w:rFonts w:ascii="Book Antiqua" w:hAnsi="Book Antiqua"/>
          <w:sz w:val="24"/>
          <w:szCs w:val="24"/>
        </w:rPr>
        <w:t>s</w:t>
      </w:r>
      <w:r w:rsidR="00D73684" w:rsidRPr="006212FF">
        <w:rPr>
          <w:rFonts w:ascii="Book Antiqua" w:hAnsi="Book Antiqua"/>
          <w:sz w:val="24"/>
          <w:szCs w:val="24"/>
        </w:rPr>
        <w:t xml:space="preserve"> </w:t>
      </w:r>
      <w:r w:rsidR="00B11ED0" w:rsidRPr="006212FF">
        <w:rPr>
          <w:rFonts w:ascii="Book Antiqua" w:hAnsi="Book Antiqua"/>
          <w:sz w:val="24"/>
          <w:szCs w:val="24"/>
        </w:rPr>
        <w:t xml:space="preserve">were </w:t>
      </w:r>
      <w:proofErr w:type="spellStart"/>
      <w:r w:rsidR="00565630" w:rsidRPr="006212FF">
        <w:rPr>
          <w:rFonts w:ascii="Book Antiqua" w:hAnsi="Book Antiqua"/>
          <w:sz w:val="24"/>
          <w:szCs w:val="24"/>
        </w:rPr>
        <w:t>randomised</w:t>
      </w:r>
      <w:proofErr w:type="spellEnd"/>
      <w:r w:rsidR="00565630" w:rsidRPr="006212FF">
        <w:rPr>
          <w:rFonts w:ascii="Book Antiqua" w:hAnsi="Book Antiqua"/>
          <w:sz w:val="24"/>
          <w:szCs w:val="24"/>
        </w:rPr>
        <w:t xml:space="preserve"> to receive </w:t>
      </w:r>
      <w:r w:rsidR="004C5AAE" w:rsidRPr="006212FF">
        <w:rPr>
          <w:rFonts w:ascii="Book Antiqua" w:hAnsi="Book Antiqua"/>
          <w:sz w:val="24"/>
          <w:szCs w:val="24"/>
        </w:rPr>
        <w:t xml:space="preserve">EVR </w:t>
      </w:r>
      <w:r w:rsidR="00425CF0" w:rsidRPr="006212FF">
        <w:rPr>
          <w:rFonts w:ascii="Book Antiqua" w:hAnsi="Book Antiqua"/>
          <w:sz w:val="24"/>
          <w:szCs w:val="24"/>
        </w:rPr>
        <w:t>(EVR C</w:t>
      </w:r>
      <w:r w:rsidR="004A3410" w:rsidRPr="006212FF">
        <w:rPr>
          <w:rFonts w:ascii="Book Antiqua" w:hAnsi="Book Antiqua"/>
          <w:sz w:val="24"/>
          <w:szCs w:val="24"/>
          <w:vertAlign w:val="subscript"/>
        </w:rPr>
        <w:t>0</w:t>
      </w:r>
      <w:r w:rsidR="00425CF0" w:rsidRPr="006212FF">
        <w:rPr>
          <w:rFonts w:ascii="Book Antiqua" w:hAnsi="Book Antiqua"/>
          <w:sz w:val="24"/>
          <w:szCs w:val="24"/>
        </w:rPr>
        <w:t xml:space="preserve"> 3-8 </w:t>
      </w:r>
      <w:proofErr w:type="spellStart"/>
      <w:r w:rsidR="00425CF0" w:rsidRPr="006212FF">
        <w:rPr>
          <w:rFonts w:ascii="Book Antiqua" w:hAnsi="Book Antiqua"/>
          <w:sz w:val="24"/>
          <w:szCs w:val="24"/>
        </w:rPr>
        <w:t>ng</w:t>
      </w:r>
      <w:proofErr w:type="spellEnd"/>
      <w:r w:rsidR="00425CF0" w:rsidRPr="006212FF">
        <w:rPr>
          <w:rFonts w:ascii="Book Antiqua" w:hAnsi="Book Antiqua"/>
          <w:sz w:val="24"/>
          <w:szCs w:val="24"/>
        </w:rPr>
        <w:t xml:space="preserve">/mL) </w:t>
      </w:r>
      <w:r w:rsidR="004C5AAE" w:rsidRPr="006212FF">
        <w:rPr>
          <w:rFonts w:ascii="Book Antiqua" w:hAnsi="Book Antiqua"/>
          <w:sz w:val="24"/>
          <w:szCs w:val="24"/>
        </w:rPr>
        <w:t xml:space="preserve">with reduced </w:t>
      </w:r>
      <w:r w:rsidR="00565630" w:rsidRPr="006212FF">
        <w:rPr>
          <w:rFonts w:ascii="Book Antiqua" w:hAnsi="Book Antiqua"/>
          <w:sz w:val="24"/>
          <w:szCs w:val="24"/>
        </w:rPr>
        <w:t>FK</w:t>
      </w:r>
      <w:r w:rsidR="00845512" w:rsidRPr="006212FF">
        <w:rPr>
          <w:rFonts w:ascii="Book Antiqua" w:hAnsi="Book Antiqua"/>
          <w:sz w:val="24"/>
          <w:szCs w:val="24"/>
        </w:rPr>
        <w:t xml:space="preserve"> dosing (FK C</w:t>
      </w:r>
      <w:r w:rsidR="004A3410" w:rsidRPr="006212FF">
        <w:rPr>
          <w:rFonts w:ascii="Book Antiqua" w:hAnsi="Book Antiqua"/>
          <w:sz w:val="24"/>
          <w:szCs w:val="24"/>
          <w:vertAlign w:val="subscript"/>
        </w:rPr>
        <w:t>0</w:t>
      </w:r>
      <w:r w:rsidR="00845512" w:rsidRPr="006212FF">
        <w:rPr>
          <w:rFonts w:ascii="Book Antiqua" w:hAnsi="Book Antiqua"/>
          <w:sz w:val="24"/>
          <w:szCs w:val="24"/>
        </w:rPr>
        <w:t xml:space="preserve"> 3-5 </w:t>
      </w:r>
      <w:proofErr w:type="spellStart"/>
      <w:r w:rsidR="00845512" w:rsidRPr="006212FF">
        <w:rPr>
          <w:rFonts w:ascii="Book Antiqua" w:hAnsi="Book Antiqua"/>
          <w:sz w:val="24"/>
          <w:szCs w:val="24"/>
        </w:rPr>
        <w:t>ng</w:t>
      </w:r>
      <w:proofErr w:type="spellEnd"/>
      <w:r w:rsidR="00845512" w:rsidRPr="006212FF">
        <w:rPr>
          <w:rFonts w:ascii="Book Antiqua" w:hAnsi="Book Antiqua"/>
          <w:sz w:val="24"/>
          <w:szCs w:val="24"/>
        </w:rPr>
        <w:t>/mL)</w:t>
      </w:r>
      <w:r w:rsidR="004C5AAE" w:rsidRPr="006212FF">
        <w:rPr>
          <w:rFonts w:ascii="Book Antiqua" w:hAnsi="Book Antiqua"/>
          <w:sz w:val="24"/>
          <w:szCs w:val="24"/>
        </w:rPr>
        <w:t xml:space="preserve"> (</w:t>
      </w:r>
      <w:r w:rsidR="004C5AAE" w:rsidRPr="0019331B">
        <w:rPr>
          <w:rFonts w:ascii="Book Antiqua" w:hAnsi="Book Antiqua"/>
          <w:i/>
          <w:sz w:val="24"/>
          <w:szCs w:val="24"/>
        </w:rPr>
        <w:t>n</w:t>
      </w:r>
      <w:r w:rsidR="0019331B">
        <w:rPr>
          <w:rFonts w:ascii="Book Antiqua" w:hAnsi="Book Antiqua" w:hint="eastAsia"/>
          <w:sz w:val="24"/>
          <w:szCs w:val="24"/>
        </w:rPr>
        <w:t xml:space="preserve"> </w:t>
      </w:r>
      <w:r w:rsidR="004C5AAE" w:rsidRPr="006212FF">
        <w:rPr>
          <w:rFonts w:ascii="Book Antiqua" w:hAnsi="Book Antiqua"/>
          <w:sz w:val="24"/>
          <w:szCs w:val="24"/>
        </w:rPr>
        <w:t>=</w:t>
      </w:r>
      <w:r w:rsidR="0019331B">
        <w:rPr>
          <w:rFonts w:ascii="Book Antiqua" w:hAnsi="Book Antiqua" w:hint="eastAsia"/>
          <w:sz w:val="24"/>
          <w:szCs w:val="24"/>
        </w:rPr>
        <w:t xml:space="preserve"> </w:t>
      </w:r>
      <w:r w:rsidR="004C5AAE" w:rsidRPr="006212FF">
        <w:rPr>
          <w:rFonts w:ascii="Book Antiqua" w:hAnsi="Book Antiqua"/>
          <w:sz w:val="24"/>
          <w:szCs w:val="24"/>
        </w:rPr>
        <w:t>24</w:t>
      </w:r>
      <w:r w:rsidR="003536ED" w:rsidRPr="006212FF">
        <w:rPr>
          <w:rFonts w:ascii="Book Antiqua" w:hAnsi="Book Antiqua"/>
          <w:sz w:val="24"/>
          <w:szCs w:val="24"/>
        </w:rPr>
        <w:t>5</w:t>
      </w:r>
      <w:r w:rsidR="004C5AAE" w:rsidRPr="006212FF">
        <w:rPr>
          <w:rFonts w:ascii="Book Antiqua" w:hAnsi="Book Antiqua"/>
          <w:sz w:val="24"/>
          <w:szCs w:val="24"/>
        </w:rPr>
        <w:t xml:space="preserve">) </w:t>
      </w:r>
      <w:r w:rsidR="00845512" w:rsidRPr="006212FF">
        <w:rPr>
          <w:rFonts w:ascii="Book Antiqua" w:hAnsi="Book Antiqua"/>
          <w:sz w:val="24"/>
          <w:szCs w:val="24"/>
        </w:rPr>
        <w:t>or</w:t>
      </w:r>
      <w:r w:rsidR="00CA5B7E" w:rsidRPr="006212FF">
        <w:rPr>
          <w:rFonts w:ascii="Book Antiqua" w:hAnsi="Book Antiqua"/>
          <w:sz w:val="24"/>
          <w:szCs w:val="24"/>
        </w:rPr>
        <w:t xml:space="preserve"> </w:t>
      </w:r>
      <w:r w:rsidR="00972797" w:rsidRPr="006212FF">
        <w:rPr>
          <w:rFonts w:ascii="Book Antiqua" w:hAnsi="Book Antiqua"/>
          <w:sz w:val="24"/>
          <w:szCs w:val="24"/>
        </w:rPr>
        <w:t>control standard FK</w:t>
      </w:r>
      <w:r w:rsidR="00845512" w:rsidRPr="006212FF">
        <w:rPr>
          <w:rFonts w:ascii="Book Antiqua" w:hAnsi="Book Antiqua"/>
          <w:sz w:val="24"/>
          <w:szCs w:val="24"/>
        </w:rPr>
        <w:t xml:space="preserve"> dosing (FK C</w:t>
      </w:r>
      <w:r w:rsidR="004A3410" w:rsidRPr="006212FF">
        <w:rPr>
          <w:rFonts w:ascii="Book Antiqua" w:hAnsi="Book Antiqua"/>
          <w:sz w:val="24"/>
          <w:szCs w:val="24"/>
          <w:vertAlign w:val="subscript"/>
        </w:rPr>
        <w:t xml:space="preserve">0 </w:t>
      </w:r>
      <w:r w:rsidR="00845512" w:rsidRPr="006212FF">
        <w:rPr>
          <w:rFonts w:ascii="Book Antiqua" w:hAnsi="Book Antiqua"/>
          <w:sz w:val="24"/>
          <w:szCs w:val="24"/>
        </w:rPr>
        <w:t xml:space="preserve">8-12 </w:t>
      </w:r>
      <w:proofErr w:type="spellStart"/>
      <w:r w:rsidR="00845512" w:rsidRPr="006212FF">
        <w:rPr>
          <w:rFonts w:ascii="Book Antiqua" w:hAnsi="Book Antiqua"/>
          <w:sz w:val="24"/>
          <w:szCs w:val="24"/>
        </w:rPr>
        <w:t>ng</w:t>
      </w:r>
      <w:proofErr w:type="spellEnd"/>
      <w:r w:rsidR="00845512" w:rsidRPr="006212FF">
        <w:rPr>
          <w:rFonts w:ascii="Book Antiqua" w:hAnsi="Book Antiqua"/>
          <w:sz w:val="24"/>
          <w:szCs w:val="24"/>
        </w:rPr>
        <w:t>/mL till month 4 then C</w:t>
      </w:r>
      <w:r w:rsidR="004A3410" w:rsidRPr="006212FF">
        <w:rPr>
          <w:rFonts w:ascii="Book Antiqua" w:hAnsi="Book Antiqua"/>
          <w:sz w:val="24"/>
          <w:szCs w:val="24"/>
          <w:vertAlign w:val="subscript"/>
        </w:rPr>
        <w:t>0</w:t>
      </w:r>
      <w:r w:rsidR="00845512" w:rsidRPr="006212FF">
        <w:rPr>
          <w:rFonts w:ascii="Book Antiqua" w:hAnsi="Book Antiqua"/>
          <w:sz w:val="24"/>
          <w:szCs w:val="24"/>
        </w:rPr>
        <w:t xml:space="preserve"> 6-10 </w:t>
      </w:r>
      <w:proofErr w:type="spellStart"/>
      <w:r w:rsidR="00845512" w:rsidRPr="006212FF">
        <w:rPr>
          <w:rFonts w:ascii="Book Antiqua" w:hAnsi="Book Antiqua"/>
          <w:sz w:val="24"/>
          <w:szCs w:val="24"/>
        </w:rPr>
        <w:t>ng</w:t>
      </w:r>
      <w:proofErr w:type="spellEnd"/>
      <w:r w:rsidR="00845512" w:rsidRPr="006212FF">
        <w:rPr>
          <w:rFonts w:ascii="Book Antiqua" w:hAnsi="Book Antiqua"/>
          <w:sz w:val="24"/>
          <w:szCs w:val="24"/>
        </w:rPr>
        <w:t>/mL thereafter)</w:t>
      </w:r>
      <w:r w:rsidR="00CC6A75" w:rsidRPr="006212FF">
        <w:rPr>
          <w:rFonts w:ascii="Book Antiqua" w:hAnsi="Book Antiqua"/>
          <w:sz w:val="24"/>
          <w:szCs w:val="24"/>
        </w:rPr>
        <w:t xml:space="preserve"> </w:t>
      </w:r>
      <w:r w:rsidR="004C5AAE" w:rsidRPr="006212FF">
        <w:rPr>
          <w:rFonts w:ascii="Book Antiqua" w:hAnsi="Book Antiqua"/>
          <w:sz w:val="24"/>
          <w:szCs w:val="24"/>
        </w:rPr>
        <w:t>(</w:t>
      </w:r>
      <w:r w:rsidR="0019331B" w:rsidRPr="0019331B">
        <w:rPr>
          <w:rFonts w:ascii="Book Antiqua" w:hAnsi="Book Antiqua"/>
          <w:i/>
          <w:sz w:val="24"/>
          <w:szCs w:val="24"/>
        </w:rPr>
        <w:t>n</w:t>
      </w:r>
      <w:r w:rsidR="0019331B">
        <w:rPr>
          <w:rFonts w:ascii="Book Antiqua" w:hAnsi="Book Antiqua" w:hint="eastAsia"/>
          <w:sz w:val="24"/>
          <w:szCs w:val="24"/>
        </w:rPr>
        <w:t xml:space="preserve"> </w:t>
      </w:r>
      <w:r w:rsidR="0019331B" w:rsidRPr="006212FF">
        <w:rPr>
          <w:rFonts w:ascii="Book Antiqua" w:hAnsi="Book Antiqua"/>
          <w:sz w:val="24"/>
          <w:szCs w:val="24"/>
        </w:rPr>
        <w:t>=</w:t>
      </w:r>
      <w:r w:rsidR="0019331B">
        <w:rPr>
          <w:rFonts w:ascii="Book Antiqua" w:hAnsi="Book Antiqua" w:hint="eastAsia"/>
          <w:sz w:val="24"/>
          <w:szCs w:val="24"/>
        </w:rPr>
        <w:t xml:space="preserve"> </w:t>
      </w:r>
      <w:r w:rsidR="004C5AAE" w:rsidRPr="006212FF">
        <w:rPr>
          <w:rFonts w:ascii="Book Antiqua" w:hAnsi="Book Antiqua"/>
          <w:sz w:val="24"/>
          <w:szCs w:val="24"/>
        </w:rPr>
        <w:t>24</w:t>
      </w:r>
      <w:r w:rsidR="003536ED" w:rsidRPr="006212FF">
        <w:rPr>
          <w:rFonts w:ascii="Book Antiqua" w:hAnsi="Book Antiqua"/>
          <w:sz w:val="24"/>
          <w:szCs w:val="24"/>
        </w:rPr>
        <w:t>3</w:t>
      </w:r>
      <w:r w:rsidR="004C5AAE" w:rsidRPr="006212FF">
        <w:rPr>
          <w:rFonts w:ascii="Book Antiqua" w:hAnsi="Book Antiqua"/>
          <w:sz w:val="24"/>
          <w:szCs w:val="24"/>
        </w:rPr>
        <w:t>)</w:t>
      </w:r>
      <w:r w:rsidR="004E7F37" w:rsidRPr="006212FF">
        <w:rPr>
          <w:rFonts w:ascii="Book Antiqua" w:hAnsi="Book Antiqua"/>
          <w:sz w:val="24"/>
          <w:szCs w:val="24"/>
        </w:rPr>
        <w:t xml:space="preserve"> </w:t>
      </w:r>
      <w:r w:rsidR="00845512" w:rsidRPr="006212FF">
        <w:rPr>
          <w:rFonts w:ascii="Book Antiqua" w:hAnsi="Book Antiqua"/>
          <w:sz w:val="24"/>
          <w:szCs w:val="24"/>
        </w:rPr>
        <w:t>or</w:t>
      </w:r>
      <w:r w:rsidR="009C25F6" w:rsidRPr="006212FF">
        <w:rPr>
          <w:rFonts w:ascii="Book Antiqua" w:hAnsi="Book Antiqua"/>
          <w:sz w:val="24"/>
          <w:szCs w:val="24"/>
        </w:rPr>
        <w:t xml:space="preserve"> FK elimination</w:t>
      </w:r>
      <w:r w:rsidR="00CC6A75" w:rsidRPr="006212FF">
        <w:rPr>
          <w:rFonts w:ascii="Book Antiqua" w:hAnsi="Book Antiqua"/>
          <w:sz w:val="24"/>
          <w:szCs w:val="24"/>
        </w:rPr>
        <w:t xml:space="preserve"> </w:t>
      </w:r>
      <w:r w:rsidR="003A265C" w:rsidRPr="006212FF">
        <w:rPr>
          <w:rFonts w:ascii="Book Antiqua" w:hAnsi="Book Antiqua"/>
          <w:sz w:val="24"/>
          <w:szCs w:val="24"/>
        </w:rPr>
        <w:t>(EVR C</w:t>
      </w:r>
      <w:r w:rsidR="003A265C" w:rsidRPr="006212FF">
        <w:rPr>
          <w:rFonts w:ascii="Book Antiqua" w:hAnsi="Book Antiqua"/>
          <w:sz w:val="24"/>
          <w:szCs w:val="24"/>
          <w:vertAlign w:val="subscript"/>
        </w:rPr>
        <w:t>0</w:t>
      </w:r>
      <w:r w:rsidR="003A265C" w:rsidRPr="006212FF">
        <w:rPr>
          <w:rFonts w:ascii="Book Antiqua" w:hAnsi="Book Antiqua"/>
          <w:sz w:val="24"/>
          <w:szCs w:val="24"/>
        </w:rPr>
        <w:t xml:space="preserve"> 3-8 </w:t>
      </w:r>
      <w:proofErr w:type="spellStart"/>
      <w:r w:rsidR="003A265C" w:rsidRPr="006212FF">
        <w:rPr>
          <w:rFonts w:ascii="Book Antiqua" w:hAnsi="Book Antiqua"/>
          <w:sz w:val="24"/>
          <w:szCs w:val="24"/>
        </w:rPr>
        <w:t>ng</w:t>
      </w:r>
      <w:proofErr w:type="spellEnd"/>
      <w:r w:rsidR="003A265C" w:rsidRPr="006212FF">
        <w:rPr>
          <w:rFonts w:ascii="Book Antiqua" w:hAnsi="Book Antiqua"/>
          <w:sz w:val="24"/>
          <w:szCs w:val="24"/>
        </w:rPr>
        <w:t xml:space="preserve">/mL till month 4 then 6-10 </w:t>
      </w:r>
      <w:proofErr w:type="spellStart"/>
      <w:r w:rsidR="003A265C" w:rsidRPr="006212FF">
        <w:rPr>
          <w:rFonts w:ascii="Book Antiqua" w:hAnsi="Book Antiqua"/>
          <w:sz w:val="24"/>
          <w:szCs w:val="24"/>
        </w:rPr>
        <w:t>ng</w:t>
      </w:r>
      <w:proofErr w:type="spellEnd"/>
      <w:r w:rsidR="003A265C" w:rsidRPr="006212FF">
        <w:rPr>
          <w:rFonts w:ascii="Book Antiqua" w:hAnsi="Book Antiqua"/>
          <w:sz w:val="24"/>
          <w:szCs w:val="24"/>
        </w:rPr>
        <w:t>/mL thereafter</w:t>
      </w:r>
      <w:r w:rsidR="00AF231C" w:rsidRPr="006212FF">
        <w:rPr>
          <w:rFonts w:ascii="Book Antiqua" w:hAnsi="Book Antiqua"/>
          <w:sz w:val="24"/>
          <w:szCs w:val="24"/>
        </w:rPr>
        <w:t>,</w:t>
      </w:r>
      <w:r w:rsidR="003A265C" w:rsidRPr="006212FF">
        <w:rPr>
          <w:rFonts w:ascii="Book Antiqua" w:hAnsi="Book Antiqua"/>
          <w:sz w:val="24"/>
          <w:szCs w:val="24"/>
        </w:rPr>
        <w:t xml:space="preserve"> FK elimination </w:t>
      </w:r>
      <w:r w:rsidR="00AF231C" w:rsidRPr="006212FF">
        <w:rPr>
          <w:rFonts w:ascii="Book Antiqua" w:hAnsi="Book Antiqua"/>
          <w:sz w:val="24"/>
          <w:szCs w:val="24"/>
        </w:rPr>
        <w:t>from</w:t>
      </w:r>
      <w:r w:rsidR="003A265C" w:rsidRPr="006212FF">
        <w:rPr>
          <w:rFonts w:ascii="Book Antiqua" w:hAnsi="Book Antiqua"/>
          <w:sz w:val="24"/>
          <w:szCs w:val="24"/>
        </w:rPr>
        <w:t xml:space="preserve"> month 4 when EVR C</w:t>
      </w:r>
      <w:r w:rsidR="003A265C" w:rsidRPr="006212FF">
        <w:rPr>
          <w:rFonts w:ascii="Book Antiqua" w:hAnsi="Book Antiqua"/>
          <w:sz w:val="24"/>
          <w:szCs w:val="24"/>
          <w:vertAlign w:val="subscript"/>
        </w:rPr>
        <w:t>0</w:t>
      </w:r>
      <w:r w:rsidR="003A265C" w:rsidRPr="006212FF">
        <w:rPr>
          <w:rFonts w:ascii="Book Antiqua" w:hAnsi="Book Antiqua"/>
          <w:sz w:val="24"/>
          <w:szCs w:val="24"/>
        </w:rPr>
        <w:t xml:space="preserve"> 6-10 </w:t>
      </w:r>
      <w:proofErr w:type="spellStart"/>
      <w:r w:rsidR="003A265C" w:rsidRPr="006212FF">
        <w:rPr>
          <w:rFonts w:ascii="Book Antiqua" w:hAnsi="Book Antiqua"/>
          <w:sz w:val="24"/>
          <w:szCs w:val="24"/>
        </w:rPr>
        <w:t>ng</w:t>
      </w:r>
      <w:proofErr w:type="spellEnd"/>
      <w:r w:rsidR="003A265C" w:rsidRPr="006212FF">
        <w:rPr>
          <w:rFonts w:ascii="Book Antiqua" w:hAnsi="Book Antiqua"/>
          <w:sz w:val="24"/>
          <w:szCs w:val="24"/>
        </w:rPr>
        <w:t>/mL</w:t>
      </w:r>
      <w:r w:rsidR="00A32736" w:rsidRPr="006212FF">
        <w:rPr>
          <w:rFonts w:ascii="Book Antiqua" w:hAnsi="Book Antiqua"/>
          <w:sz w:val="24"/>
          <w:szCs w:val="24"/>
        </w:rPr>
        <w:t xml:space="preserve"> achieved</w:t>
      </w:r>
      <w:r w:rsidR="003A265C" w:rsidRPr="006212FF">
        <w:rPr>
          <w:rFonts w:ascii="Book Antiqua" w:hAnsi="Book Antiqua"/>
          <w:sz w:val="24"/>
          <w:szCs w:val="24"/>
        </w:rPr>
        <w:t xml:space="preserve"> ) (</w:t>
      </w:r>
      <w:r w:rsidR="0019331B" w:rsidRPr="0019331B">
        <w:rPr>
          <w:rFonts w:ascii="Book Antiqua" w:hAnsi="Book Antiqua"/>
          <w:i/>
          <w:sz w:val="24"/>
          <w:szCs w:val="24"/>
        </w:rPr>
        <w:t>n</w:t>
      </w:r>
      <w:r w:rsidR="0019331B">
        <w:rPr>
          <w:rFonts w:ascii="Book Antiqua" w:hAnsi="Book Antiqua" w:hint="eastAsia"/>
          <w:sz w:val="24"/>
          <w:szCs w:val="24"/>
        </w:rPr>
        <w:t xml:space="preserve"> </w:t>
      </w:r>
      <w:r w:rsidR="0019331B" w:rsidRPr="006212FF">
        <w:rPr>
          <w:rFonts w:ascii="Book Antiqua" w:hAnsi="Book Antiqua"/>
          <w:sz w:val="24"/>
          <w:szCs w:val="24"/>
        </w:rPr>
        <w:t>=</w:t>
      </w:r>
      <w:r w:rsidR="0019331B">
        <w:rPr>
          <w:rFonts w:ascii="Book Antiqua" w:hAnsi="Book Antiqua" w:hint="eastAsia"/>
          <w:sz w:val="24"/>
          <w:szCs w:val="24"/>
        </w:rPr>
        <w:t xml:space="preserve"> </w:t>
      </w:r>
      <w:r w:rsidR="003A265C" w:rsidRPr="006212FF">
        <w:rPr>
          <w:rFonts w:ascii="Book Antiqua" w:hAnsi="Book Antiqua"/>
          <w:sz w:val="24"/>
          <w:szCs w:val="24"/>
        </w:rPr>
        <w:t xml:space="preserve">231) </w:t>
      </w:r>
      <w:r w:rsidR="00F91B11" w:rsidRPr="006212FF">
        <w:rPr>
          <w:rFonts w:ascii="Book Antiqua" w:hAnsi="Book Antiqua"/>
          <w:sz w:val="24"/>
          <w:szCs w:val="24"/>
        </w:rPr>
        <w:t xml:space="preserve">at 1 </w:t>
      </w:r>
      <w:proofErr w:type="spellStart"/>
      <w:r w:rsidR="00F91B11" w:rsidRPr="006212FF">
        <w:rPr>
          <w:rFonts w:ascii="Book Antiqua" w:hAnsi="Book Antiqua"/>
          <w:sz w:val="24"/>
          <w:szCs w:val="24"/>
        </w:rPr>
        <w:t>mo</w:t>
      </w:r>
      <w:proofErr w:type="spellEnd"/>
      <w:r w:rsidR="00F91B11" w:rsidRPr="006212FF">
        <w:rPr>
          <w:rFonts w:ascii="Book Antiqua" w:hAnsi="Book Antiqua"/>
          <w:sz w:val="24"/>
          <w:szCs w:val="24"/>
        </w:rPr>
        <w:t xml:space="preserve"> post liver transplant</w:t>
      </w:r>
      <w:r w:rsidR="00946CBE" w:rsidRPr="006212FF">
        <w:rPr>
          <w:rFonts w:ascii="Book Antiqua" w:hAnsi="Book Antiqua"/>
          <w:sz w:val="24"/>
          <w:szCs w:val="24"/>
          <w:vertAlign w:val="superscript"/>
        </w:rPr>
        <w:t>[16]</w:t>
      </w:r>
      <w:r w:rsidR="00F91B11" w:rsidRPr="006212FF">
        <w:rPr>
          <w:rFonts w:ascii="Book Antiqua" w:hAnsi="Book Antiqua"/>
          <w:sz w:val="24"/>
          <w:szCs w:val="24"/>
        </w:rPr>
        <w:t xml:space="preserve">. </w:t>
      </w:r>
      <w:r w:rsidR="00CE0824" w:rsidRPr="006212FF">
        <w:rPr>
          <w:rFonts w:ascii="Book Antiqua" w:hAnsi="Book Antiqua"/>
          <w:sz w:val="24"/>
          <w:szCs w:val="24"/>
        </w:rPr>
        <w:t xml:space="preserve">Steroid was initiated at time of transplant up till at </w:t>
      </w:r>
      <w:r w:rsidR="00D145BF" w:rsidRPr="006212FF">
        <w:rPr>
          <w:rFonts w:ascii="Book Antiqua" w:hAnsi="Book Antiqua"/>
          <w:sz w:val="24"/>
          <w:szCs w:val="24"/>
        </w:rPr>
        <w:t xml:space="preserve">least 6 </w:t>
      </w:r>
      <w:proofErr w:type="spellStart"/>
      <w:proofErr w:type="gramStart"/>
      <w:r w:rsidR="00D145BF" w:rsidRPr="006212FF">
        <w:rPr>
          <w:rFonts w:ascii="Book Antiqua" w:hAnsi="Book Antiqua"/>
          <w:sz w:val="24"/>
          <w:szCs w:val="24"/>
        </w:rPr>
        <w:t>mo</w:t>
      </w:r>
      <w:proofErr w:type="spellEnd"/>
      <w:proofErr w:type="gramEnd"/>
      <w:r w:rsidR="00D145BF" w:rsidRPr="006212FF">
        <w:rPr>
          <w:rFonts w:ascii="Book Antiqua" w:hAnsi="Book Antiqua"/>
          <w:sz w:val="24"/>
          <w:szCs w:val="24"/>
        </w:rPr>
        <w:t xml:space="preserve"> from transplant while MMF was discontinued at the time of randomization. </w:t>
      </w:r>
      <w:r w:rsidR="00F91B11" w:rsidRPr="006212FF">
        <w:rPr>
          <w:rFonts w:ascii="Book Antiqua" w:hAnsi="Book Antiqua"/>
          <w:sz w:val="24"/>
          <w:szCs w:val="24"/>
        </w:rPr>
        <w:t>R</w:t>
      </w:r>
      <w:r w:rsidR="0083260A" w:rsidRPr="006212FF">
        <w:rPr>
          <w:rFonts w:ascii="Book Antiqua" w:hAnsi="Book Antiqua"/>
          <w:sz w:val="24"/>
          <w:szCs w:val="24"/>
        </w:rPr>
        <w:t xml:space="preserve">ecruitment </w:t>
      </w:r>
      <w:r w:rsidR="009C25F6" w:rsidRPr="006212FF">
        <w:rPr>
          <w:rFonts w:ascii="Book Antiqua" w:hAnsi="Book Antiqua"/>
          <w:sz w:val="24"/>
          <w:szCs w:val="24"/>
        </w:rPr>
        <w:t>to FK elimination group was terminated prematurely due to high</w:t>
      </w:r>
      <w:r w:rsidR="00084FC6" w:rsidRPr="006212FF">
        <w:rPr>
          <w:rFonts w:ascii="Book Antiqua" w:hAnsi="Book Antiqua"/>
          <w:sz w:val="24"/>
          <w:szCs w:val="24"/>
        </w:rPr>
        <w:t>er</w:t>
      </w:r>
      <w:r w:rsidR="0083260A" w:rsidRPr="006212FF">
        <w:rPr>
          <w:rFonts w:ascii="Book Antiqua" w:hAnsi="Book Antiqua"/>
          <w:sz w:val="24"/>
          <w:szCs w:val="24"/>
        </w:rPr>
        <w:t xml:space="preserve"> </w:t>
      </w:r>
      <w:r w:rsidR="00084FC6" w:rsidRPr="006212FF">
        <w:rPr>
          <w:rFonts w:ascii="Book Antiqua" w:hAnsi="Book Antiqua"/>
          <w:sz w:val="24"/>
          <w:szCs w:val="24"/>
        </w:rPr>
        <w:t xml:space="preserve">(19.5%) </w:t>
      </w:r>
      <w:r w:rsidR="009C25F6" w:rsidRPr="006212FF">
        <w:rPr>
          <w:rFonts w:ascii="Book Antiqua" w:hAnsi="Book Antiqua"/>
          <w:sz w:val="24"/>
          <w:szCs w:val="24"/>
        </w:rPr>
        <w:t xml:space="preserve">treated </w:t>
      </w:r>
      <w:r w:rsidR="00845512" w:rsidRPr="006212FF">
        <w:rPr>
          <w:rFonts w:ascii="Book Antiqua" w:hAnsi="Book Antiqua"/>
          <w:sz w:val="24"/>
          <w:szCs w:val="24"/>
        </w:rPr>
        <w:t>BPAR</w:t>
      </w:r>
      <w:r w:rsidR="0083260A" w:rsidRPr="006212FF">
        <w:rPr>
          <w:rFonts w:ascii="Book Antiqua" w:hAnsi="Book Antiqua"/>
          <w:sz w:val="24"/>
          <w:szCs w:val="24"/>
        </w:rPr>
        <w:t xml:space="preserve"> </w:t>
      </w:r>
      <w:r w:rsidR="009C25F6" w:rsidRPr="006212FF">
        <w:rPr>
          <w:rFonts w:ascii="Book Antiqua" w:hAnsi="Book Antiqua"/>
          <w:sz w:val="24"/>
          <w:szCs w:val="24"/>
        </w:rPr>
        <w:t>(</w:t>
      </w:r>
      <w:proofErr w:type="spellStart"/>
      <w:r w:rsidR="009C25F6" w:rsidRPr="006212FF">
        <w:rPr>
          <w:rFonts w:ascii="Book Antiqua" w:hAnsi="Book Antiqua"/>
          <w:sz w:val="24"/>
          <w:szCs w:val="24"/>
        </w:rPr>
        <w:t>tBPAR</w:t>
      </w:r>
      <w:proofErr w:type="spellEnd"/>
      <w:r w:rsidR="009C25F6" w:rsidRPr="006212FF">
        <w:rPr>
          <w:rFonts w:ascii="Book Antiqua" w:hAnsi="Book Antiqua"/>
          <w:sz w:val="24"/>
          <w:szCs w:val="24"/>
        </w:rPr>
        <w:t>)</w:t>
      </w:r>
      <w:r w:rsidR="00084FC6" w:rsidRPr="006212FF">
        <w:rPr>
          <w:rFonts w:ascii="Book Antiqua" w:hAnsi="Book Antiqua"/>
          <w:sz w:val="24"/>
          <w:szCs w:val="24"/>
        </w:rPr>
        <w:t xml:space="preserve"> </w:t>
      </w:r>
      <w:r w:rsidR="00AF231C" w:rsidRPr="006212FF">
        <w:rPr>
          <w:rFonts w:ascii="Book Antiqua" w:hAnsi="Book Antiqua"/>
          <w:sz w:val="24"/>
          <w:szCs w:val="24"/>
        </w:rPr>
        <w:t xml:space="preserve">episodes </w:t>
      </w:r>
      <w:r w:rsidR="00084FC6" w:rsidRPr="006212FF">
        <w:rPr>
          <w:rFonts w:ascii="Book Antiqua" w:hAnsi="Book Antiqua"/>
          <w:sz w:val="24"/>
          <w:szCs w:val="24"/>
        </w:rPr>
        <w:t xml:space="preserve">as compared to 6.5% and 9.5% of </w:t>
      </w:r>
      <w:proofErr w:type="spellStart"/>
      <w:r w:rsidR="00084FC6" w:rsidRPr="006212FF">
        <w:rPr>
          <w:rFonts w:ascii="Book Antiqua" w:hAnsi="Book Antiqua"/>
          <w:sz w:val="24"/>
          <w:szCs w:val="24"/>
        </w:rPr>
        <w:t>tBPAR</w:t>
      </w:r>
      <w:proofErr w:type="spellEnd"/>
      <w:r w:rsidR="00084FC6" w:rsidRPr="006212FF">
        <w:rPr>
          <w:rFonts w:ascii="Book Antiqua" w:hAnsi="Book Antiqua"/>
          <w:sz w:val="24"/>
          <w:szCs w:val="24"/>
        </w:rPr>
        <w:t xml:space="preserve"> in the EVR with reduced FK and control group</w:t>
      </w:r>
      <w:r w:rsidR="00AF231C" w:rsidRPr="006212FF">
        <w:rPr>
          <w:rFonts w:ascii="Book Antiqua" w:hAnsi="Book Antiqua"/>
          <w:sz w:val="24"/>
          <w:szCs w:val="24"/>
        </w:rPr>
        <w:t xml:space="preserve">, which clustered around the time of FK elimination at 4 </w:t>
      </w:r>
      <w:proofErr w:type="spellStart"/>
      <w:r w:rsidR="00AF231C" w:rsidRPr="006212FF">
        <w:rPr>
          <w:rFonts w:ascii="Book Antiqua" w:hAnsi="Book Antiqua"/>
          <w:sz w:val="24"/>
          <w:szCs w:val="24"/>
        </w:rPr>
        <w:t>mo</w:t>
      </w:r>
      <w:proofErr w:type="spellEnd"/>
      <w:r w:rsidR="00AF231C" w:rsidRPr="006212FF">
        <w:rPr>
          <w:rFonts w:ascii="Book Antiqua" w:hAnsi="Book Antiqua"/>
          <w:sz w:val="24"/>
          <w:szCs w:val="24"/>
        </w:rPr>
        <w:t xml:space="preserve"> post-randomi</w:t>
      </w:r>
      <w:r w:rsidR="00C53A7D" w:rsidRPr="006212FF">
        <w:rPr>
          <w:rFonts w:ascii="Book Antiqua" w:hAnsi="Book Antiqua"/>
          <w:sz w:val="24"/>
          <w:szCs w:val="24"/>
        </w:rPr>
        <w:t>z</w:t>
      </w:r>
      <w:r w:rsidR="00AF231C" w:rsidRPr="006212FF">
        <w:rPr>
          <w:rFonts w:ascii="Book Antiqua" w:hAnsi="Book Antiqua"/>
          <w:sz w:val="24"/>
          <w:szCs w:val="24"/>
        </w:rPr>
        <w:t>ation</w:t>
      </w:r>
      <w:r w:rsidR="004C5AAE" w:rsidRPr="006212FF">
        <w:rPr>
          <w:rFonts w:ascii="Book Antiqua" w:hAnsi="Book Antiqua"/>
          <w:sz w:val="24"/>
          <w:szCs w:val="24"/>
        </w:rPr>
        <w:t xml:space="preserve">. </w:t>
      </w:r>
      <w:r w:rsidR="00565630" w:rsidRPr="006212FF">
        <w:rPr>
          <w:rFonts w:ascii="Book Antiqua" w:hAnsi="Book Antiqua"/>
          <w:sz w:val="24"/>
          <w:szCs w:val="24"/>
        </w:rPr>
        <w:t xml:space="preserve">At the end of </w:t>
      </w:r>
      <w:r w:rsidR="00845512" w:rsidRPr="006212FF">
        <w:rPr>
          <w:rFonts w:ascii="Book Antiqua" w:hAnsi="Book Antiqua"/>
          <w:sz w:val="24"/>
          <w:szCs w:val="24"/>
        </w:rPr>
        <w:t>both the first and second year</w:t>
      </w:r>
      <w:r w:rsidR="003536ED" w:rsidRPr="006212FF">
        <w:rPr>
          <w:rFonts w:ascii="Book Antiqua" w:hAnsi="Book Antiqua"/>
          <w:sz w:val="24"/>
          <w:szCs w:val="24"/>
        </w:rPr>
        <w:t xml:space="preserve">, </w:t>
      </w:r>
      <w:r w:rsidR="00845512" w:rsidRPr="006212FF">
        <w:rPr>
          <w:rFonts w:ascii="Book Antiqua" w:hAnsi="Book Antiqua"/>
          <w:sz w:val="24"/>
          <w:szCs w:val="24"/>
        </w:rPr>
        <w:t xml:space="preserve">subjects in the </w:t>
      </w:r>
      <w:r w:rsidR="003536ED" w:rsidRPr="006212FF">
        <w:rPr>
          <w:rFonts w:ascii="Book Antiqua" w:hAnsi="Book Antiqua"/>
          <w:sz w:val="24"/>
          <w:szCs w:val="24"/>
        </w:rPr>
        <w:t>EVR with reduced FK group ha</w:t>
      </w:r>
      <w:r w:rsidR="00845512" w:rsidRPr="006212FF">
        <w:rPr>
          <w:rFonts w:ascii="Book Antiqua" w:hAnsi="Book Antiqua"/>
          <w:sz w:val="24"/>
          <w:szCs w:val="24"/>
        </w:rPr>
        <w:t>d</w:t>
      </w:r>
      <w:r w:rsidR="003536ED" w:rsidRPr="006212FF">
        <w:rPr>
          <w:rFonts w:ascii="Book Antiqua" w:hAnsi="Book Antiqua"/>
          <w:sz w:val="24"/>
          <w:szCs w:val="24"/>
        </w:rPr>
        <w:t xml:space="preserve"> improved renal function signif</w:t>
      </w:r>
      <w:r w:rsidR="00F91B11" w:rsidRPr="006212FF">
        <w:rPr>
          <w:rFonts w:ascii="Book Antiqua" w:hAnsi="Book Antiqua"/>
          <w:sz w:val="24"/>
          <w:szCs w:val="24"/>
        </w:rPr>
        <w:t>icantly with comparable primary efficacy</w:t>
      </w:r>
      <w:r w:rsidR="008641E7" w:rsidRPr="006212FF">
        <w:rPr>
          <w:rFonts w:ascii="Book Antiqua" w:hAnsi="Book Antiqua"/>
          <w:sz w:val="24"/>
          <w:szCs w:val="24"/>
        </w:rPr>
        <w:t xml:space="preserve"> </w:t>
      </w:r>
      <w:r w:rsidR="00F91B11" w:rsidRPr="006212FF">
        <w:rPr>
          <w:rFonts w:ascii="Book Antiqua" w:hAnsi="Book Antiqua"/>
          <w:sz w:val="24"/>
          <w:szCs w:val="24"/>
        </w:rPr>
        <w:t>(</w:t>
      </w:r>
      <w:proofErr w:type="spellStart"/>
      <w:r w:rsidR="00F91B11" w:rsidRPr="006212FF">
        <w:rPr>
          <w:rFonts w:ascii="Book Antiqua" w:hAnsi="Book Antiqua"/>
          <w:sz w:val="24"/>
          <w:szCs w:val="24"/>
        </w:rPr>
        <w:t>tBPAR</w:t>
      </w:r>
      <w:proofErr w:type="spellEnd"/>
      <w:r w:rsidR="00F91B11" w:rsidRPr="006212FF">
        <w:rPr>
          <w:rFonts w:ascii="Book Antiqua" w:hAnsi="Book Antiqua"/>
          <w:sz w:val="24"/>
          <w:szCs w:val="24"/>
        </w:rPr>
        <w:t xml:space="preserve">, graft loss and death) </w:t>
      </w:r>
      <w:r w:rsidR="003536ED" w:rsidRPr="006212FF">
        <w:rPr>
          <w:rFonts w:ascii="Book Antiqua" w:hAnsi="Book Antiqua"/>
          <w:sz w:val="24"/>
          <w:szCs w:val="24"/>
        </w:rPr>
        <w:t>but</w:t>
      </w:r>
      <w:r w:rsidR="00C07BB1" w:rsidRPr="006212FF">
        <w:rPr>
          <w:rFonts w:ascii="Book Antiqua" w:hAnsi="Book Antiqua"/>
          <w:sz w:val="24"/>
          <w:szCs w:val="24"/>
        </w:rPr>
        <w:t xml:space="preserve"> a</w:t>
      </w:r>
      <w:r w:rsidR="003536ED" w:rsidRPr="006212FF">
        <w:rPr>
          <w:rFonts w:ascii="Book Antiqua" w:hAnsi="Book Antiqua"/>
          <w:sz w:val="24"/>
          <w:szCs w:val="24"/>
        </w:rPr>
        <w:t xml:space="preserve"> higher </w:t>
      </w:r>
      <w:r w:rsidR="00C07BB1" w:rsidRPr="006212FF">
        <w:rPr>
          <w:rFonts w:ascii="Book Antiqua" w:hAnsi="Book Antiqua"/>
          <w:sz w:val="24"/>
          <w:szCs w:val="24"/>
        </w:rPr>
        <w:t>incidence</w:t>
      </w:r>
      <w:r w:rsidR="003536ED" w:rsidRPr="006212FF">
        <w:rPr>
          <w:rFonts w:ascii="Book Antiqua" w:hAnsi="Book Antiqua"/>
          <w:sz w:val="24"/>
          <w:szCs w:val="24"/>
        </w:rPr>
        <w:t xml:space="preserve"> of adverse effects</w:t>
      </w:r>
      <w:r w:rsidR="00603484" w:rsidRPr="006212FF">
        <w:rPr>
          <w:rFonts w:ascii="Book Antiqua" w:hAnsi="Book Antiqua"/>
          <w:sz w:val="24"/>
          <w:szCs w:val="24"/>
        </w:rPr>
        <w:t xml:space="preserve"> </w:t>
      </w:r>
      <w:r w:rsidR="004B5574" w:rsidRPr="006212FF">
        <w:rPr>
          <w:rFonts w:ascii="Book Antiqua" w:hAnsi="Book Antiqua"/>
          <w:sz w:val="24"/>
          <w:szCs w:val="24"/>
        </w:rPr>
        <w:t>(</w:t>
      </w:r>
      <w:r w:rsidR="00603484" w:rsidRPr="006212FF">
        <w:rPr>
          <w:rFonts w:ascii="Book Antiqua" w:hAnsi="Book Antiqua"/>
          <w:sz w:val="24"/>
          <w:szCs w:val="24"/>
        </w:rPr>
        <w:t xml:space="preserve">mainly hyperlipidemia, </w:t>
      </w:r>
      <w:r w:rsidR="004B5574" w:rsidRPr="006212FF">
        <w:rPr>
          <w:rFonts w:ascii="Book Antiqua" w:hAnsi="Book Antiqua"/>
          <w:sz w:val="24"/>
          <w:szCs w:val="24"/>
        </w:rPr>
        <w:t>neutropenia, p</w:t>
      </w:r>
      <w:r w:rsidR="0019331B">
        <w:rPr>
          <w:rFonts w:ascii="Book Antiqua" w:hAnsi="Book Antiqua"/>
          <w:sz w:val="24"/>
          <w:szCs w:val="24"/>
        </w:rPr>
        <w:t>eripheral edema and stomatitis/</w:t>
      </w:r>
      <w:r w:rsidR="004B5574" w:rsidRPr="006212FF">
        <w:rPr>
          <w:rFonts w:ascii="Book Antiqua" w:hAnsi="Book Antiqua"/>
          <w:sz w:val="24"/>
          <w:szCs w:val="24"/>
        </w:rPr>
        <w:t xml:space="preserve">mouth ulceration) </w:t>
      </w:r>
      <w:r w:rsidR="00972797" w:rsidRPr="006212FF">
        <w:rPr>
          <w:rFonts w:ascii="Book Antiqua" w:hAnsi="Book Antiqua"/>
          <w:sz w:val="24"/>
          <w:szCs w:val="24"/>
        </w:rPr>
        <w:t>than control</w:t>
      </w:r>
      <w:r w:rsidR="00C07BB1" w:rsidRPr="006212FF">
        <w:rPr>
          <w:rFonts w:ascii="Book Antiqua" w:hAnsi="Book Antiqua"/>
          <w:sz w:val="24"/>
          <w:szCs w:val="24"/>
        </w:rPr>
        <w:t>s</w:t>
      </w:r>
      <w:r w:rsidR="0019331B">
        <w:rPr>
          <w:rFonts w:ascii="Book Antiqua" w:hAnsi="Book Antiqua"/>
          <w:sz w:val="24"/>
          <w:szCs w:val="24"/>
          <w:vertAlign w:val="superscript"/>
        </w:rPr>
        <w:t>[16,</w:t>
      </w:r>
      <w:r w:rsidR="00C53A7D" w:rsidRPr="006212FF">
        <w:rPr>
          <w:rFonts w:ascii="Book Antiqua" w:hAnsi="Book Antiqua"/>
          <w:sz w:val="24"/>
          <w:szCs w:val="24"/>
          <w:vertAlign w:val="superscript"/>
        </w:rPr>
        <w:t>17]</w:t>
      </w:r>
      <w:r w:rsidR="003536ED" w:rsidRPr="006212FF">
        <w:rPr>
          <w:rFonts w:ascii="Book Antiqua" w:hAnsi="Book Antiqua"/>
          <w:sz w:val="24"/>
          <w:szCs w:val="24"/>
        </w:rPr>
        <w:t>.</w:t>
      </w:r>
      <w:r w:rsidR="009C25F6" w:rsidRPr="006212FF">
        <w:rPr>
          <w:rFonts w:ascii="Book Antiqua" w:hAnsi="Book Antiqua"/>
          <w:sz w:val="24"/>
          <w:szCs w:val="24"/>
        </w:rPr>
        <w:t xml:space="preserve"> At the end of </w:t>
      </w:r>
      <w:r w:rsidR="00575456" w:rsidRPr="006212FF">
        <w:rPr>
          <w:rFonts w:ascii="Book Antiqua" w:hAnsi="Book Antiqua"/>
          <w:sz w:val="24"/>
          <w:szCs w:val="24"/>
        </w:rPr>
        <w:t xml:space="preserve">the </w:t>
      </w:r>
      <w:r w:rsidR="00C07BB1" w:rsidRPr="006212FF">
        <w:rPr>
          <w:rFonts w:ascii="Book Antiqua" w:hAnsi="Book Antiqua"/>
          <w:sz w:val="24"/>
          <w:szCs w:val="24"/>
        </w:rPr>
        <w:t>third</w:t>
      </w:r>
      <w:r w:rsidR="00CC6A75" w:rsidRPr="006212FF">
        <w:rPr>
          <w:rFonts w:ascii="Book Antiqua" w:hAnsi="Book Antiqua"/>
          <w:sz w:val="24"/>
          <w:szCs w:val="24"/>
        </w:rPr>
        <w:t xml:space="preserve"> </w:t>
      </w:r>
      <w:r w:rsidR="009C25F6" w:rsidRPr="006212FF">
        <w:rPr>
          <w:rFonts w:ascii="Book Antiqua" w:hAnsi="Book Antiqua"/>
          <w:sz w:val="24"/>
          <w:szCs w:val="24"/>
        </w:rPr>
        <w:t xml:space="preserve">year, improvement in renal function was </w:t>
      </w:r>
      <w:r w:rsidR="007E2F5C" w:rsidRPr="006212FF">
        <w:rPr>
          <w:rFonts w:ascii="Book Antiqua" w:hAnsi="Book Antiqua"/>
          <w:sz w:val="24"/>
          <w:szCs w:val="24"/>
        </w:rPr>
        <w:t xml:space="preserve">consistently </w:t>
      </w:r>
      <w:r w:rsidR="009C25F6" w:rsidRPr="006212FF">
        <w:rPr>
          <w:rFonts w:ascii="Book Antiqua" w:hAnsi="Book Antiqua"/>
          <w:sz w:val="24"/>
          <w:szCs w:val="24"/>
        </w:rPr>
        <w:t>significant in EV</w:t>
      </w:r>
      <w:r w:rsidR="00041DC0" w:rsidRPr="006212FF">
        <w:rPr>
          <w:rFonts w:ascii="Book Antiqua" w:hAnsi="Book Antiqua"/>
          <w:sz w:val="24"/>
          <w:szCs w:val="24"/>
        </w:rPr>
        <w:t xml:space="preserve">R with reduced FK </w:t>
      </w:r>
      <w:r w:rsidR="00041DC0" w:rsidRPr="006212FF">
        <w:rPr>
          <w:rFonts w:ascii="Book Antiqua" w:hAnsi="Book Antiqua"/>
          <w:sz w:val="24"/>
          <w:szCs w:val="24"/>
        </w:rPr>
        <w:lastRenderedPageBreak/>
        <w:t>group</w:t>
      </w:r>
      <w:r w:rsidR="00A90A68" w:rsidRPr="006212FF">
        <w:rPr>
          <w:rFonts w:ascii="Book Antiqua" w:hAnsi="Book Antiqua"/>
          <w:sz w:val="24"/>
          <w:szCs w:val="24"/>
        </w:rPr>
        <w:t xml:space="preserve"> (</w:t>
      </w:r>
      <w:r w:rsidR="0019331B" w:rsidRPr="0019331B">
        <w:rPr>
          <w:rFonts w:ascii="Book Antiqua" w:hAnsi="Book Antiqua"/>
          <w:i/>
          <w:sz w:val="24"/>
          <w:szCs w:val="24"/>
        </w:rPr>
        <w:t>n</w:t>
      </w:r>
      <w:r w:rsidR="0019331B">
        <w:rPr>
          <w:rFonts w:ascii="Book Antiqua" w:hAnsi="Book Antiqua" w:hint="eastAsia"/>
          <w:sz w:val="24"/>
          <w:szCs w:val="24"/>
        </w:rPr>
        <w:t xml:space="preserve"> </w:t>
      </w:r>
      <w:r w:rsidR="0019331B" w:rsidRPr="006212FF">
        <w:rPr>
          <w:rFonts w:ascii="Book Antiqua" w:hAnsi="Book Antiqua"/>
          <w:sz w:val="24"/>
          <w:szCs w:val="24"/>
        </w:rPr>
        <w:t>=</w:t>
      </w:r>
      <w:r w:rsidR="0019331B">
        <w:rPr>
          <w:rFonts w:ascii="Book Antiqua" w:hAnsi="Book Antiqua" w:hint="eastAsia"/>
          <w:sz w:val="24"/>
          <w:szCs w:val="24"/>
        </w:rPr>
        <w:t xml:space="preserve"> </w:t>
      </w:r>
      <w:r w:rsidR="00A90A68" w:rsidRPr="006212FF">
        <w:rPr>
          <w:rFonts w:ascii="Book Antiqua" w:hAnsi="Book Antiqua"/>
          <w:sz w:val="24"/>
          <w:szCs w:val="24"/>
        </w:rPr>
        <w:t>106)</w:t>
      </w:r>
      <w:r w:rsidR="00041DC0" w:rsidRPr="006212FF">
        <w:rPr>
          <w:rFonts w:ascii="Book Antiqua" w:hAnsi="Book Antiqua"/>
          <w:sz w:val="24"/>
          <w:szCs w:val="24"/>
        </w:rPr>
        <w:t xml:space="preserve"> with comparable </w:t>
      </w:r>
      <w:proofErr w:type="spellStart"/>
      <w:r w:rsidR="00041DC0" w:rsidRPr="006212FF">
        <w:rPr>
          <w:rFonts w:ascii="Book Antiqua" w:hAnsi="Book Antiqua"/>
          <w:sz w:val="24"/>
          <w:szCs w:val="24"/>
        </w:rPr>
        <w:t>tBPAR</w:t>
      </w:r>
      <w:proofErr w:type="spellEnd"/>
      <w:r w:rsidR="00041DC0" w:rsidRPr="006212FF">
        <w:rPr>
          <w:rFonts w:ascii="Book Antiqua" w:hAnsi="Book Antiqua"/>
          <w:sz w:val="24"/>
          <w:szCs w:val="24"/>
        </w:rPr>
        <w:t xml:space="preserve"> rate</w:t>
      </w:r>
      <w:r w:rsidR="00C07BB1" w:rsidRPr="006212FF">
        <w:rPr>
          <w:rFonts w:ascii="Book Antiqua" w:hAnsi="Book Antiqua"/>
          <w:sz w:val="24"/>
          <w:szCs w:val="24"/>
        </w:rPr>
        <w:t>s</w:t>
      </w:r>
      <w:r w:rsidR="00041DC0" w:rsidRPr="006212FF">
        <w:rPr>
          <w:rFonts w:ascii="Book Antiqua" w:hAnsi="Book Antiqua"/>
          <w:sz w:val="24"/>
          <w:szCs w:val="24"/>
        </w:rPr>
        <w:t xml:space="preserve"> and adverse effects</w:t>
      </w:r>
      <w:r w:rsidR="004B0FE8" w:rsidRPr="006212FF">
        <w:rPr>
          <w:rFonts w:ascii="Book Antiqua" w:hAnsi="Book Antiqua"/>
          <w:sz w:val="24"/>
          <w:szCs w:val="24"/>
        </w:rPr>
        <w:t xml:space="preserve"> </w:t>
      </w:r>
      <w:r w:rsidR="00C07BB1" w:rsidRPr="006212FF">
        <w:rPr>
          <w:rFonts w:ascii="Book Antiqua" w:hAnsi="Book Antiqua"/>
          <w:sz w:val="24"/>
          <w:szCs w:val="24"/>
        </w:rPr>
        <w:t xml:space="preserve">as compared </w:t>
      </w:r>
      <w:r w:rsidR="00972797" w:rsidRPr="006212FF">
        <w:rPr>
          <w:rFonts w:ascii="Book Antiqua" w:hAnsi="Book Antiqua"/>
          <w:sz w:val="24"/>
          <w:szCs w:val="24"/>
        </w:rPr>
        <w:t xml:space="preserve">to </w:t>
      </w:r>
      <w:r w:rsidR="00C07BB1" w:rsidRPr="006212FF">
        <w:rPr>
          <w:rFonts w:ascii="Book Antiqua" w:hAnsi="Book Antiqua"/>
          <w:sz w:val="24"/>
          <w:szCs w:val="24"/>
        </w:rPr>
        <w:t xml:space="preserve">the </w:t>
      </w:r>
      <w:r w:rsidR="00972797" w:rsidRPr="006212FF">
        <w:rPr>
          <w:rFonts w:ascii="Book Antiqua" w:hAnsi="Book Antiqua"/>
          <w:sz w:val="24"/>
          <w:szCs w:val="24"/>
        </w:rPr>
        <w:t>standard FK group</w:t>
      </w:r>
      <w:r w:rsidR="00A90A68" w:rsidRPr="006212FF">
        <w:rPr>
          <w:rFonts w:ascii="Book Antiqua" w:hAnsi="Book Antiqua"/>
          <w:sz w:val="24"/>
          <w:szCs w:val="24"/>
        </w:rPr>
        <w:t xml:space="preserve"> (</w:t>
      </w:r>
      <w:r w:rsidR="0019331B" w:rsidRPr="0019331B">
        <w:rPr>
          <w:rFonts w:ascii="Book Antiqua" w:hAnsi="Book Antiqua"/>
          <w:i/>
          <w:sz w:val="24"/>
          <w:szCs w:val="24"/>
        </w:rPr>
        <w:t>n</w:t>
      </w:r>
      <w:r w:rsidR="0019331B">
        <w:rPr>
          <w:rFonts w:ascii="Book Antiqua" w:hAnsi="Book Antiqua" w:hint="eastAsia"/>
          <w:sz w:val="24"/>
          <w:szCs w:val="24"/>
        </w:rPr>
        <w:t xml:space="preserve"> </w:t>
      </w:r>
      <w:r w:rsidR="0019331B" w:rsidRPr="006212FF">
        <w:rPr>
          <w:rFonts w:ascii="Book Antiqua" w:hAnsi="Book Antiqua"/>
          <w:sz w:val="24"/>
          <w:szCs w:val="24"/>
        </w:rPr>
        <w:t>=</w:t>
      </w:r>
      <w:r w:rsidR="0019331B">
        <w:rPr>
          <w:rFonts w:ascii="Book Antiqua" w:hAnsi="Book Antiqua" w:hint="eastAsia"/>
          <w:sz w:val="24"/>
          <w:szCs w:val="24"/>
        </w:rPr>
        <w:t xml:space="preserve"> </w:t>
      </w:r>
      <w:r w:rsidR="00A90A68" w:rsidRPr="006212FF">
        <w:rPr>
          <w:rFonts w:ascii="Book Antiqua" w:hAnsi="Book Antiqua"/>
          <w:sz w:val="24"/>
          <w:szCs w:val="24"/>
        </w:rPr>
        <w:t>125)</w:t>
      </w:r>
      <w:r w:rsidR="00946CBE" w:rsidRPr="006212FF">
        <w:rPr>
          <w:rFonts w:ascii="Book Antiqua" w:hAnsi="Book Antiqua"/>
          <w:sz w:val="24"/>
          <w:szCs w:val="24"/>
          <w:vertAlign w:val="superscript"/>
        </w:rPr>
        <w:t>[18]</w:t>
      </w:r>
      <w:r w:rsidR="00041DC0" w:rsidRPr="006212FF">
        <w:rPr>
          <w:rFonts w:ascii="Book Antiqua" w:hAnsi="Book Antiqua"/>
          <w:sz w:val="24"/>
          <w:szCs w:val="24"/>
        </w:rPr>
        <w:t>.</w:t>
      </w:r>
    </w:p>
    <w:p w14:paraId="70224033" w14:textId="78994DD6" w:rsidR="00483FEF" w:rsidRDefault="00D71EDB" w:rsidP="0019331B">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The third Phase III study of interest, RESCUE, provides</w:t>
      </w:r>
      <w:r w:rsidR="00066CFF" w:rsidRPr="006212FF">
        <w:rPr>
          <w:rFonts w:ascii="Book Antiqua" w:hAnsi="Book Antiqua"/>
          <w:sz w:val="24"/>
          <w:szCs w:val="24"/>
        </w:rPr>
        <w:t xml:space="preserve"> evidence for converting </w:t>
      </w:r>
      <w:r w:rsidR="00EC6059" w:rsidRPr="006212FF">
        <w:rPr>
          <w:rFonts w:ascii="Book Antiqua" w:hAnsi="Book Antiqua"/>
          <w:sz w:val="24"/>
          <w:szCs w:val="24"/>
        </w:rPr>
        <w:t xml:space="preserve">to </w:t>
      </w:r>
      <w:r w:rsidR="00066CFF" w:rsidRPr="006212FF">
        <w:rPr>
          <w:rFonts w:ascii="Book Antiqua" w:hAnsi="Book Antiqua"/>
          <w:sz w:val="24"/>
          <w:szCs w:val="24"/>
        </w:rPr>
        <w:t xml:space="preserve">EVR 1 year </w:t>
      </w:r>
      <w:r w:rsidRPr="006212FF">
        <w:rPr>
          <w:rFonts w:ascii="Book Antiqua" w:hAnsi="Book Antiqua"/>
          <w:sz w:val="24"/>
          <w:szCs w:val="24"/>
        </w:rPr>
        <w:t>post-LT</w:t>
      </w:r>
      <w:r w:rsidR="00FD3DD7" w:rsidRPr="006212FF">
        <w:rPr>
          <w:rFonts w:ascii="Book Antiqua" w:hAnsi="Book Antiqua"/>
          <w:sz w:val="24"/>
          <w:szCs w:val="24"/>
        </w:rPr>
        <w:t xml:space="preserve"> </w:t>
      </w:r>
      <w:r w:rsidR="00A0501F" w:rsidRPr="006212FF">
        <w:rPr>
          <w:rFonts w:ascii="Book Antiqua" w:hAnsi="Book Antiqua"/>
          <w:sz w:val="24"/>
          <w:szCs w:val="24"/>
        </w:rPr>
        <w:t>(Table 2)</w:t>
      </w:r>
      <w:r w:rsidR="00C53A7D" w:rsidRPr="006212FF">
        <w:rPr>
          <w:rFonts w:ascii="Book Antiqua" w:hAnsi="Book Antiqua"/>
          <w:sz w:val="24"/>
          <w:szCs w:val="24"/>
          <w:vertAlign w:val="superscript"/>
        </w:rPr>
        <w:t>[19]</w:t>
      </w:r>
      <w:r w:rsidR="00066CFF" w:rsidRPr="006212FF">
        <w:rPr>
          <w:rFonts w:ascii="Book Antiqua" w:hAnsi="Book Antiqua"/>
          <w:sz w:val="24"/>
          <w:szCs w:val="24"/>
        </w:rPr>
        <w:t>. I</w:t>
      </w:r>
      <w:r w:rsidR="00EC6059" w:rsidRPr="006212FF">
        <w:rPr>
          <w:rFonts w:ascii="Book Antiqua" w:hAnsi="Book Antiqua"/>
          <w:sz w:val="24"/>
          <w:szCs w:val="24"/>
        </w:rPr>
        <w:t xml:space="preserve">n this 6 </w:t>
      </w:r>
      <w:proofErr w:type="spellStart"/>
      <w:r w:rsidR="00EC6059" w:rsidRPr="006212FF">
        <w:rPr>
          <w:rFonts w:ascii="Book Antiqua" w:hAnsi="Book Antiqua"/>
          <w:sz w:val="24"/>
          <w:szCs w:val="24"/>
        </w:rPr>
        <w:t>mo</w:t>
      </w:r>
      <w:proofErr w:type="spellEnd"/>
      <w:r w:rsidR="00EC6059" w:rsidRPr="006212FF">
        <w:rPr>
          <w:rFonts w:ascii="Book Antiqua" w:hAnsi="Book Antiqua"/>
          <w:sz w:val="24"/>
          <w:szCs w:val="24"/>
        </w:rPr>
        <w:t xml:space="preserve"> open-label multi</w:t>
      </w:r>
      <w:r w:rsidRPr="006212FF">
        <w:rPr>
          <w:rFonts w:ascii="Book Antiqua" w:hAnsi="Book Antiqua"/>
          <w:sz w:val="24"/>
          <w:szCs w:val="24"/>
        </w:rPr>
        <w:t>-</w:t>
      </w:r>
      <w:r w:rsidR="00066CFF" w:rsidRPr="006212FF">
        <w:rPr>
          <w:rFonts w:ascii="Book Antiqua" w:hAnsi="Book Antiqua"/>
          <w:sz w:val="24"/>
          <w:szCs w:val="24"/>
        </w:rPr>
        <w:t xml:space="preserve">center prospective </w:t>
      </w:r>
      <w:r w:rsidRPr="006212FF">
        <w:rPr>
          <w:rFonts w:ascii="Book Antiqua" w:hAnsi="Book Antiqua"/>
          <w:sz w:val="24"/>
          <w:szCs w:val="24"/>
        </w:rPr>
        <w:t>RCT</w:t>
      </w:r>
      <w:r w:rsidR="00066CFF" w:rsidRPr="006212FF">
        <w:rPr>
          <w:rFonts w:ascii="Book Antiqua" w:hAnsi="Book Antiqua"/>
          <w:sz w:val="24"/>
          <w:szCs w:val="24"/>
        </w:rPr>
        <w:t xml:space="preserve">, 154 patient were </w:t>
      </w:r>
      <w:r w:rsidR="00C7490F" w:rsidRPr="006212FF">
        <w:rPr>
          <w:rFonts w:ascii="Book Antiqua" w:hAnsi="Book Antiqua"/>
          <w:sz w:val="24"/>
          <w:szCs w:val="24"/>
        </w:rPr>
        <w:t>follow</w:t>
      </w:r>
      <w:r w:rsidRPr="006212FF">
        <w:rPr>
          <w:rFonts w:ascii="Book Antiqua" w:hAnsi="Book Antiqua"/>
          <w:sz w:val="24"/>
          <w:szCs w:val="24"/>
        </w:rPr>
        <w:t>ed-</w:t>
      </w:r>
      <w:r w:rsidR="00C7490F" w:rsidRPr="006212FF">
        <w:rPr>
          <w:rFonts w:ascii="Book Antiqua" w:hAnsi="Book Antiqua"/>
          <w:sz w:val="24"/>
          <w:szCs w:val="24"/>
        </w:rPr>
        <w:t xml:space="preserve">up </w:t>
      </w:r>
      <w:r w:rsidRPr="006212FF">
        <w:rPr>
          <w:rFonts w:ascii="Book Antiqua" w:hAnsi="Book Antiqua"/>
          <w:sz w:val="24"/>
          <w:szCs w:val="24"/>
        </w:rPr>
        <w:t>for</w:t>
      </w:r>
      <w:r w:rsidR="00C7490F" w:rsidRPr="006212FF">
        <w:rPr>
          <w:rFonts w:ascii="Book Antiqua" w:hAnsi="Book Antiqua"/>
          <w:sz w:val="24"/>
          <w:szCs w:val="24"/>
        </w:rPr>
        <w:t xml:space="preserve"> 12 mo</w:t>
      </w:r>
      <w:r w:rsidR="00066CFF" w:rsidRPr="006212FF">
        <w:rPr>
          <w:rFonts w:ascii="Book Antiqua" w:hAnsi="Book Antiqua"/>
          <w:sz w:val="24"/>
          <w:szCs w:val="24"/>
        </w:rPr>
        <w:t>. The studied group, EVR with CNI reduction or elimination was compared to standard CNI</w:t>
      </w:r>
      <w:r w:rsidR="00E10E0F" w:rsidRPr="006212FF">
        <w:rPr>
          <w:rFonts w:ascii="Book Antiqua" w:hAnsi="Book Antiqua"/>
          <w:sz w:val="24"/>
          <w:szCs w:val="24"/>
        </w:rPr>
        <w:t xml:space="preserve"> with or without MMF, azathioprine or steroid in both groups. </w:t>
      </w:r>
      <w:r w:rsidR="00827726" w:rsidRPr="006212FF">
        <w:rPr>
          <w:rFonts w:ascii="Book Antiqua" w:hAnsi="Book Antiqua"/>
          <w:sz w:val="24"/>
          <w:szCs w:val="24"/>
        </w:rPr>
        <w:t xml:space="preserve">While all concurrent </w:t>
      </w:r>
      <w:proofErr w:type="spellStart"/>
      <w:r w:rsidR="00581B1E" w:rsidRPr="006212FF">
        <w:rPr>
          <w:rFonts w:ascii="Book Antiqua" w:hAnsi="Book Antiqua"/>
          <w:sz w:val="24"/>
          <w:szCs w:val="24"/>
        </w:rPr>
        <w:t>immunosuppressants</w:t>
      </w:r>
      <w:proofErr w:type="spellEnd"/>
      <w:r w:rsidR="00827726" w:rsidRPr="006212FF">
        <w:rPr>
          <w:rFonts w:ascii="Book Antiqua" w:hAnsi="Book Antiqua"/>
          <w:sz w:val="24"/>
          <w:szCs w:val="24"/>
        </w:rPr>
        <w:t xml:space="preserve"> were kept the same in control group, MMF was discontinued at day 1 in the</w:t>
      </w:r>
      <w:r w:rsidR="00E10E0F" w:rsidRPr="006212FF">
        <w:rPr>
          <w:rFonts w:ascii="Book Antiqua" w:hAnsi="Book Antiqua"/>
          <w:sz w:val="24"/>
          <w:szCs w:val="24"/>
        </w:rPr>
        <w:t xml:space="preserve"> EVR group</w:t>
      </w:r>
      <w:r w:rsidR="00581B1E" w:rsidRPr="006212FF">
        <w:rPr>
          <w:rFonts w:ascii="Book Antiqua" w:hAnsi="Book Antiqua"/>
          <w:sz w:val="24"/>
          <w:szCs w:val="24"/>
        </w:rPr>
        <w:t>.</w:t>
      </w:r>
      <w:r w:rsidR="006212FF">
        <w:rPr>
          <w:rFonts w:ascii="Book Antiqua" w:hAnsi="Book Antiqua"/>
          <w:sz w:val="24"/>
          <w:szCs w:val="24"/>
        </w:rPr>
        <w:t xml:space="preserve"> </w:t>
      </w:r>
      <w:r w:rsidR="00066CFF" w:rsidRPr="006212FF">
        <w:rPr>
          <w:rFonts w:ascii="Book Antiqua" w:hAnsi="Book Antiqua"/>
          <w:sz w:val="24"/>
          <w:szCs w:val="24"/>
        </w:rPr>
        <w:t xml:space="preserve">Despite </w:t>
      </w:r>
      <w:r w:rsidR="00ED4A08" w:rsidRPr="006212FF">
        <w:rPr>
          <w:rFonts w:ascii="Book Antiqua" w:hAnsi="Book Antiqua"/>
          <w:sz w:val="24"/>
          <w:szCs w:val="24"/>
        </w:rPr>
        <w:t>no graft loss</w:t>
      </w:r>
      <w:r w:rsidR="00BE6CE6" w:rsidRPr="006212FF">
        <w:rPr>
          <w:rFonts w:ascii="Book Antiqua" w:hAnsi="Book Antiqua"/>
          <w:sz w:val="24"/>
          <w:szCs w:val="24"/>
        </w:rPr>
        <w:t>,</w:t>
      </w:r>
      <w:r w:rsidR="00ED4A08" w:rsidRPr="006212FF">
        <w:rPr>
          <w:rFonts w:ascii="Book Antiqua" w:hAnsi="Book Antiqua"/>
          <w:sz w:val="24"/>
          <w:szCs w:val="24"/>
        </w:rPr>
        <w:t xml:space="preserve"> </w:t>
      </w:r>
      <w:r w:rsidR="00066CFF" w:rsidRPr="006212FF">
        <w:rPr>
          <w:rFonts w:ascii="Book Antiqua" w:hAnsi="Book Antiqua"/>
          <w:sz w:val="24"/>
          <w:szCs w:val="24"/>
        </w:rPr>
        <w:t xml:space="preserve">BPAR </w:t>
      </w:r>
      <w:r w:rsidR="00ED4A08" w:rsidRPr="006212FF">
        <w:rPr>
          <w:rFonts w:ascii="Book Antiqua" w:hAnsi="Book Antiqua"/>
          <w:sz w:val="24"/>
          <w:szCs w:val="24"/>
        </w:rPr>
        <w:t>in EVR group at month 12 (4.2%) were higher than standard CNI group (1.4%).</w:t>
      </w:r>
      <w:r w:rsidR="00066CFF" w:rsidRPr="006212FF">
        <w:rPr>
          <w:rFonts w:ascii="Book Antiqua" w:hAnsi="Book Antiqua"/>
          <w:sz w:val="24"/>
          <w:szCs w:val="24"/>
        </w:rPr>
        <w:t xml:space="preserve"> </w:t>
      </w:r>
      <w:r w:rsidR="00ED4A08" w:rsidRPr="006212FF">
        <w:rPr>
          <w:rFonts w:ascii="Book Antiqua" w:hAnsi="Book Antiqua"/>
          <w:sz w:val="24"/>
          <w:szCs w:val="24"/>
        </w:rPr>
        <w:t xml:space="preserve">Furthermore, </w:t>
      </w:r>
      <w:r w:rsidR="00066CFF" w:rsidRPr="006212FF">
        <w:rPr>
          <w:rFonts w:ascii="Book Antiqua" w:hAnsi="Book Antiqua"/>
          <w:sz w:val="24"/>
          <w:szCs w:val="24"/>
        </w:rPr>
        <w:t xml:space="preserve">the improvement of renal function in </w:t>
      </w:r>
      <w:r w:rsidRPr="006212FF">
        <w:rPr>
          <w:rFonts w:ascii="Book Antiqua" w:hAnsi="Book Antiqua"/>
          <w:sz w:val="24"/>
          <w:szCs w:val="24"/>
        </w:rPr>
        <w:t xml:space="preserve">the </w:t>
      </w:r>
      <w:r w:rsidR="00066CFF" w:rsidRPr="006212FF">
        <w:rPr>
          <w:rFonts w:ascii="Book Antiqua" w:hAnsi="Book Antiqua"/>
          <w:sz w:val="24"/>
          <w:szCs w:val="24"/>
        </w:rPr>
        <w:t>studied group was not statistically significant at 12-mo follow up</w:t>
      </w:r>
      <w:r w:rsidR="00CC6A75" w:rsidRPr="006212FF">
        <w:rPr>
          <w:rFonts w:ascii="Book Antiqua" w:hAnsi="Book Antiqua"/>
          <w:sz w:val="24"/>
          <w:szCs w:val="24"/>
        </w:rPr>
        <w:t>.</w:t>
      </w:r>
    </w:p>
    <w:p w14:paraId="312AE5DB" w14:textId="77777777" w:rsidR="002B0BA0" w:rsidRDefault="002B0BA0" w:rsidP="006212FF">
      <w:pPr>
        <w:spacing w:after="0" w:line="360" w:lineRule="auto"/>
        <w:jc w:val="both"/>
        <w:rPr>
          <w:rFonts w:ascii="Book Antiqua" w:hAnsi="Book Antiqua"/>
          <w:b/>
          <w:sz w:val="24"/>
          <w:szCs w:val="24"/>
        </w:rPr>
      </w:pPr>
    </w:p>
    <w:p w14:paraId="6D05E507" w14:textId="61DA3107" w:rsidR="00863EA5" w:rsidRPr="006212FF" w:rsidRDefault="002B0BA0" w:rsidP="006212FF">
      <w:pPr>
        <w:spacing w:after="0" w:line="360" w:lineRule="auto"/>
        <w:jc w:val="both"/>
        <w:rPr>
          <w:rFonts w:ascii="Book Antiqua" w:hAnsi="Book Antiqua"/>
          <w:b/>
          <w:sz w:val="24"/>
          <w:szCs w:val="24"/>
        </w:rPr>
      </w:pPr>
      <w:r w:rsidRPr="006212FF">
        <w:rPr>
          <w:rFonts w:ascii="Book Antiqua" w:hAnsi="Book Antiqua"/>
          <w:b/>
          <w:sz w:val="24"/>
          <w:szCs w:val="24"/>
        </w:rPr>
        <w:t>EFFICACY OF EVR IN LT</w:t>
      </w:r>
    </w:p>
    <w:p w14:paraId="16302B2A" w14:textId="303DC9B1" w:rsidR="00C902EA" w:rsidRPr="002B0BA0" w:rsidRDefault="004A3410" w:rsidP="002B0BA0">
      <w:pPr>
        <w:pStyle w:val="ListParagraph"/>
        <w:spacing w:after="0" w:line="360" w:lineRule="auto"/>
        <w:ind w:left="0"/>
        <w:jc w:val="both"/>
        <w:rPr>
          <w:rFonts w:ascii="Book Antiqua" w:hAnsi="Book Antiqua"/>
          <w:b/>
          <w:i/>
          <w:sz w:val="24"/>
          <w:szCs w:val="24"/>
        </w:rPr>
      </w:pPr>
      <w:r w:rsidRPr="002B0BA0">
        <w:rPr>
          <w:rFonts w:ascii="Book Antiqua" w:hAnsi="Book Antiqua"/>
          <w:b/>
          <w:i/>
          <w:sz w:val="24"/>
          <w:szCs w:val="24"/>
        </w:rPr>
        <w:t>De novo</w:t>
      </w:r>
      <w:r w:rsidR="00EC740E" w:rsidRPr="002B0BA0">
        <w:rPr>
          <w:rFonts w:ascii="Book Antiqua" w:hAnsi="Book Antiqua"/>
          <w:b/>
          <w:i/>
          <w:sz w:val="24"/>
          <w:szCs w:val="24"/>
        </w:rPr>
        <w:t xml:space="preserve"> therapy</w:t>
      </w:r>
      <w:r w:rsidRPr="002B0BA0">
        <w:rPr>
          <w:rFonts w:ascii="Book Antiqua" w:hAnsi="Book Antiqua"/>
          <w:b/>
          <w:i/>
          <w:sz w:val="24"/>
          <w:szCs w:val="24"/>
        </w:rPr>
        <w:t xml:space="preserve"> </w:t>
      </w:r>
    </w:p>
    <w:p w14:paraId="50F4BA35" w14:textId="5F4C09A5" w:rsidR="00425CF0" w:rsidRPr="006212FF" w:rsidRDefault="00A13E9E" w:rsidP="006212FF">
      <w:pPr>
        <w:spacing w:after="0" w:line="360" w:lineRule="auto"/>
        <w:jc w:val="both"/>
        <w:rPr>
          <w:rFonts w:ascii="Book Antiqua" w:hAnsi="Book Antiqua"/>
          <w:sz w:val="24"/>
          <w:szCs w:val="24"/>
        </w:rPr>
      </w:pPr>
      <w:r w:rsidRPr="006212FF">
        <w:rPr>
          <w:rFonts w:ascii="Book Antiqua" w:hAnsi="Book Antiqua"/>
          <w:sz w:val="24"/>
          <w:szCs w:val="24"/>
        </w:rPr>
        <w:t xml:space="preserve">In the PROTECT study, the efficacy of EVR in LT was still doubtful with conflicting results. Initial results reported comparable composite BPAR, graft loss and death rates in the EVR-treated (20.8%) and the control (20.4%) group, </w:t>
      </w:r>
      <w:r w:rsidR="00743DF1" w:rsidRPr="006212FF">
        <w:rPr>
          <w:rFonts w:ascii="Book Antiqua" w:hAnsi="Book Antiqua"/>
          <w:sz w:val="24"/>
          <w:szCs w:val="24"/>
        </w:rPr>
        <w:t>up to month 11 of follow-</w:t>
      </w:r>
      <w:proofErr w:type="gramStart"/>
      <w:r w:rsidR="00743DF1" w:rsidRPr="006212FF">
        <w:rPr>
          <w:rFonts w:ascii="Book Antiqua" w:hAnsi="Book Antiqua"/>
          <w:sz w:val="24"/>
          <w:szCs w:val="24"/>
        </w:rPr>
        <w:t>up</w:t>
      </w:r>
      <w:r w:rsidR="007F10AC" w:rsidRPr="006212FF">
        <w:rPr>
          <w:rFonts w:ascii="Book Antiqua" w:hAnsi="Book Antiqua"/>
          <w:sz w:val="24"/>
          <w:szCs w:val="24"/>
          <w:vertAlign w:val="superscript"/>
        </w:rPr>
        <w:t>[</w:t>
      </w:r>
      <w:proofErr w:type="gramEnd"/>
      <w:r w:rsidR="007F10AC" w:rsidRPr="006212FF">
        <w:rPr>
          <w:rFonts w:ascii="Book Antiqua" w:hAnsi="Book Antiqua"/>
          <w:sz w:val="24"/>
          <w:szCs w:val="24"/>
          <w:vertAlign w:val="superscript"/>
        </w:rPr>
        <w:t>13]</w:t>
      </w:r>
      <w:r w:rsidRPr="006212FF">
        <w:rPr>
          <w:rFonts w:ascii="Book Antiqua" w:hAnsi="Book Antiqua"/>
          <w:sz w:val="24"/>
          <w:szCs w:val="24"/>
        </w:rPr>
        <w:t xml:space="preserve">. </w:t>
      </w:r>
      <w:r w:rsidR="00743DF1" w:rsidRPr="006212FF">
        <w:rPr>
          <w:rFonts w:ascii="Book Antiqua" w:hAnsi="Book Antiqua"/>
          <w:sz w:val="24"/>
          <w:szCs w:val="24"/>
        </w:rPr>
        <w:t xml:space="preserve">A similar comparable trend for its composite end-points in the extension study (from month 11 to month 35) results were reported at the end of 35 </w:t>
      </w:r>
      <w:proofErr w:type="spellStart"/>
      <w:r w:rsidR="00743DF1" w:rsidRPr="006212FF">
        <w:rPr>
          <w:rFonts w:ascii="Book Antiqua" w:hAnsi="Book Antiqua"/>
          <w:sz w:val="24"/>
          <w:szCs w:val="24"/>
        </w:rPr>
        <w:t>mo</w:t>
      </w:r>
      <w:proofErr w:type="spellEnd"/>
      <w:r w:rsidR="00743DF1" w:rsidRPr="006212FF">
        <w:rPr>
          <w:rFonts w:ascii="Book Antiqua" w:hAnsi="Book Antiqua"/>
          <w:sz w:val="24"/>
          <w:szCs w:val="24"/>
        </w:rPr>
        <w:t xml:space="preserve">, despite a difference at baseline between both </w:t>
      </w:r>
      <w:proofErr w:type="gramStart"/>
      <w:r w:rsidR="00743DF1" w:rsidRPr="006212FF">
        <w:rPr>
          <w:rFonts w:ascii="Book Antiqua" w:hAnsi="Book Antiqua"/>
          <w:sz w:val="24"/>
          <w:szCs w:val="24"/>
        </w:rPr>
        <w:t>groups</w:t>
      </w:r>
      <w:r w:rsidR="007F10AC" w:rsidRPr="006212FF">
        <w:rPr>
          <w:rFonts w:ascii="Book Antiqua" w:hAnsi="Book Antiqua"/>
          <w:sz w:val="24"/>
          <w:szCs w:val="24"/>
          <w:vertAlign w:val="superscript"/>
        </w:rPr>
        <w:t>[</w:t>
      </w:r>
      <w:proofErr w:type="gramEnd"/>
      <w:r w:rsidR="007F10AC" w:rsidRPr="006212FF">
        <w:rPr>
          <w:rFonts w:ascii="Book Antiqua" w:hAnsi="Book Antiqua"/>
          <w:sz w:val="24"/>
          <w:szCs w:val="24"/>
          <w:vertAlign w:val="superscript"/>
        </w:rPr>
        <w:t>14]</w:t>
      </w:r>
      <w:r w:rsidRPr="006212FF">
        <w:rPr>
          <w:rFonts w:ascii="Book Antiqua" w:hAnsi="Book Antiqua"/>
          <w:sz w:val="24"/>
          <w:szCs w:val="24"/>
        </w:rPr>
        <w:t>.</w:t>
      </w:r>
      <w:r w:rsidR="006212FF">
        <w:rPr>
          <w:rFonts w:ascii="Book Antiqua" w:hAnsi="Book Antiqua"/>
          <w:sz w:val="24"/>
          <w:szCs w:val="24"/>
        </w:rPr>
        <w:t xml:space="preserve"> </w:t>
      </w:r>
      <w:r w:rsidR="00743DF1" w:rsidRPr="006212FF">
        <w:rPr>
          <w:rFonts w:ascii="Book Antiqua" w:hAnsi="Book Antiqua"/>
          <w:sz w:val="24"/>
          <w:szCs w:val="24"/>
        </w:rPr>
        <w:t>Treatment efficacy with EVR</w:t>
      </w:r>
      <w:r w:rsidRPr="006212FF">
        <w:rPr>
          <w:rFonts w:ascii="Book Antiqua" w:hAnsi="Book Antiqua"/>
          <w:sz w:val="24"/>
          <w:szCs w:val="24"/>
        </w:rPr>
        <w:t xml:space="preserve"> was difficult to </w:t>
      </w:r>
      <w:proofErr w:type="spellStart"/>
      <w:r w:rsidRPr="006212FF">
        <w:rPr>
          <w:rFonts w:ascii="Book Antiqua" w:hAnsi="Book Antiqua"/>
          <w:sz w:val="24"/>
          <w:szCs w:val="24"/>
        </w:rPr>
        <w:t>analyse</w:t>
      </w:r>
      <w:proofErr w:type="spellEnd"/>
      <w:r w:rsidRPr="006212FF">
        <w:rPr>
          <w:rFonts w:ascii="Book Antiqua" w:hAnsi="Book Antiqua"/>
          <w:sz w:val="24"/>
          <w:szCs w:val="24"/>
        </w:rPr>
        <w:t xml:space="preserve"> due to high discontinuation rates of drugs used in both groups due to adverse drug reactions (49.5% in EVR group and 38.2% in control CNI group).</w:t>
      </w:r>
      <w:r w:rsidR="006212FF">
        <w:rPr>
          <w:rFonts w:ascii="Book Antiqua" w:hAnsi="Book Antiqua"/>
          <w:sz w:val="24"/>
          <w:szCs w:val="24"/>
        </w:rPr>
        <w:t xml:space="preserve"> </w:t>
      </w:r>
      <w:r w:rsidRPr="006212FF">
        <w:rPr>
          <w:rFonts w:ascii="Book Antiqua" w:hAnsi="Book Antiqua"/>
          <w:sz w:val="24"/>
          <w:szCs w:val="24"/>
        </w:rPr>
        <w:t xml:space="preserve">The discontinuation of CNI by end of month 4 could have compromised efficacy of immunosuppressive therapy. This similar finding was reported in the H2304 Study where efficacy failure (BPAR) in the FK elimination group was significantly higher (19.9%) as compared to control group (10.7%), </w:t>
      </w:r>
      <w:r w:rsidR="000728E8" w:rsidRPr="000728E8">
        <w:rPr>
          <w:rFonts w:ascii="Book Antiqua" w:hAnsi="Book Antiqua"/>
          <w:i/>
          <w:sz w:val="24"/>
          <w:szCs w:val="24"/>
        </w:rPr>
        <w:t>P</w:t>
      </w:r>
      <w:r w:rsidR="000728E8">
        <w:rPr>
          <w:rFonts w:ascii="Book Antiqua" w:hAnsi="Book Antiqua" w:hint="eastAsia"/>
          <w:sz w:val="24"/>
          <w:szCs w:val="24"/>
        </w:rPr>
        <w:t xml:space="preserve"> </w:t>
      </w:r>
      <w:r w:rsidRPr="006212FF">
        <w:rPr>
          <w:rFonts w:ascii="Book Antiqua" w:hAnsi="Book Antiqua"/>
          <w:sz w:val="24"/>
          <w:szCs w:val="24"/>
        </w:rPr>
        <w:t>=</w:t>
      </w:r>
      <w:r w:rsidR="000728E8">
        <w:rPr>
          <w:rFonts w:ascii="Book Antiqua" w:hAnsi="Book Antiqua" w:hint="eastAsia"/>
          <w:sz w:val="24"/>
          <w:szCs w:val="24"/>
        </w:rPr>
        <w:t xml:space="preserve"> </w:t>
      </w:r>
      <w:r w:rsidRPr="006212FF">
        <w:rPr>
          <w:rFonts w:ascii="Book Antiqua" w:hAnsi="Book Antiqua"/>
          <w:sz w:val="24"/>
          <w:szCs w:val="24"/>
        </w:rPr>
        <w:t xml:space="preserve">0.005. Hence, EVR </w:t>
      </w:r>
      <w:proofErr w:type="spellStart"/>
      <w:r w:rsidRPr="006212FF">
        <w:rPr>
          <w:rFonts w:ascii="Book Antiqua" w:hAnsi="Book Antiqua"/>
          <w:sz w:val="24"/>
          <w:szCs w:val="24"/>
        </w:rPr>
        <w:t>monotherapy</w:t>
      </w:r>
      <w:proofErr w:type="spellEnd"/>
      <w:r w:rsidRPr="006212FF">
        <w:rPr>
          <w:rFonts w:ascii="Book Antiqua" w:hAnsi="Book Antiqua"/>
          <w:sz w:val="24"/>
          <w:szCs w:val="24"/>
        </w:rPr>
        <w:t xml:space="preserve"> is not recommended in LT and EVR should instead be used in combination with CNI.</w:t>
      </w:r>
      <w:r w:rsidR="005317C2">
        <w:rPr>
          <w:rFonts w:ascii="Book Antiqua" w:hAnsi="Book Antiqua" w:hint="eastAsia"/>
          <w:sz w:val="24"/>
          <w:szCs w:val="24"/>
        </w:rPr>
        <w:t xml:space="preserve"> </w:t>
      </w:r>
      <w:r w:rsidR="00863EA5" w:rsidRPr="006212FF">
        <w:rPr>
          <w:rFonts w:ascii="Book Antiqua" w:hAnsi="Book Antiqua"/>
          <w:sz w:val="24"/>
          <w:szCs w:val="24"/>
        </w:rPr>
        <w:t xml:space="preserve">EVR efficacy in </w:t>
      </w:r>
      <w:r w:rsidR="00863EA5" w:rsidRPr="006212FF">
        <w:rPr>
          <w:rFonts w:ascii="Book Antiqua" w:hAnsi="Book Antiqua"/>
          <w:i/>
          <w:sz w:val="24"/>
          <w:szCs w:val="24"/>
        </w:rPr>
        <w:t>de novo</w:t>
      </w:r>
      <w:r w:rsidR="00863EA5" w:rsidRPr="006212FF">
        <w:rPr>
          <w:rFonts w:ascii="Book Antiqua" w:hAnsi="Book Antiqua"/>
          <w:sz w:val="24"/>
          <w:szCs w:val="24"/>
        </w:rPr>
        <w:t xml:space="preserve"> </w:t>
      </w:r>
      <w:r w:rsidR="00425CF0" w:rsidRPr="006212FF">
        <w:rPr>
          <w:rFonts w:ascii="Book Antiqua" w:hAnsi="Book Antiqua"/>
          <w:sz w:val="24"/>
          <w:szCs w:val="24"/>
        </w:rPr>
        <w:t>LT</w:t>
      </w:r>
      <w:r w:rsidRPr="006212FF">
        <w:rPr>
          <w:rFonts w:ascii="Book Antiqua" w:hAnsi="Book Antiqua"/>
          <w:sz w:val="24"/>
          <w:szCs w:val="24"/>
        </w:rPr>
        <w:t>, and hence, U</w:t>
      </w:r>
      <w:r w:rsidR="000728E8">
        <w:rPr>
          <w:rFonts w:ascii="Book Antiqua" w:hAnsi="Book Antiqua" w:hint="eastAsia"/>
          <w:sz w:val="24"/>
          <w:szCs w:val="24"/>
        </w:rPr>
        <w:t xml:space="preserve">nited </w:t>
      </w:r>
      <w:r w:rsidR="000728E8">
        <w:rPr>
          <w:rFonts w:ascii="Book Antiqua" w:hAnsi="Book Antiqua"/>
          <w:sz w:val="24"/>
          <w:szCs w:val="24"/>
        </w:rPr>
        <w:t>S</w:t>
      </w:r>
      <w:r w:rsidR="000728E8">
        <w:rPr>
          <w:rFonts w:ascii="Book Antiqua" w:hAnsi="Book Antiqua" w:hint="eastAsia"/>
          <w:sz w:val="24"/>
          <w:szCs w:val="24"/>
        </w:rPr>
        <w:t>tates</w:t>
      </w:r>
      <w:r w:rsidRPr="006212FF">
        <w:rPr>
          <w:rFonts w:ascii="Book Antiqua" w:hAnsi="Book Antiqua"/>
          <w:sz w:val="24"/>
          <w:szCs w:val="24"/>
        </w:rPr>
        <w:t xml:space="preserve"> FDA and Europe EMEA approval</w:t>
      </w:r>
      <w:r w:rsidR="00863EA5" w:rsidRPr="006212FF">
        <w:rPr>
          <w:rFonts w:ascii="Book Antiqua" w:hAnsi="Book Antiqua"/>
          <w:sz w:val="24"/>
          <w:szCs w:val="24"/>
        </w:rPr>
        <w:t xml:space="preserve"> is based on results from </w:t>
      </w:r>
      <w:r w:rsidR="00425CF0" w:rsidRPr="006212FF">
        <w:rPr>
          <w:rFonts w:ascii="Book Antiqua" w:hAnsi="Book Antiqua"/>
          <w:sz w:val="24"/>
          <w:szCs w:val="24"/>
        </w:rPr>
        <w:t xml:space="preserve">De Simone’s </w:t>
      </w:r>
      <w:r w:rsidRPr="006212FF">
        <w:rPr>
          <w:rFonts w:ascii="Book Antiqua" w:hAnsi="Book Antiqua"/>
          <w:sz w:val="24"/>
          <w:szCs w:val="24"/>
        </w:rPr>
        <w:t xml:space="preserve">landmark </w:t>
      </w:r>
      <w:r w:rsidR="00863EA5" w:rsidRPr="006212FF">
        <w:rPr>
          <w:rFonts w:ascii="Book Antiqua" w:hAnsi="Book Antiqua"/>
          <w:sz w:val="24"/>
          <w:szCs w:val="24"/>
        </w:rPr>
        <w:t>H2304 study (Table 1)</w:t>
      </w:r>
      <w:r w:rsidR="007F10AC" w:rsidRPr="006212FF">
        <w:rPr>
          <w:rFonts w:ascii="Book Antiqua" w:hAnsi="Book Antiqua"/>
          <w:sz w:val="24"/>
          <w:szCs w:val="24"/>
          <w:vertAlign w:val="superscript"/>
        </w:rPr>
        <w:t>[16]</w:t>
      </w:r>
      <w:r w:rsidR="00863EA5" w:rsidRPr="006212FF">
        <w:rPr>
          <w:rFonts w:ascii="Book Antiqua" w:hAnsi="Book Antiqua"/>
          <w:sz w:val="24"/>
          <w:szCs w:val="24"/>
        </w:rPr>
        <w:t xml:space="preserve">. The </w:t>
      </w:r>
      <w:r w:rsidR="00425CF0" w:rsidRPr="006212FF">
        <w:rPr>
          <w:rFonts w:ascii="Book Antiqua" w:hAnsi="Book Antiqua"/>
          <w:sz w:val="24"/>
          <w:szCs w:val="24"/>
        </w:rPr>
        <w:t xml:space="preserve">reported </w:t>
      </w:r>
      <w:r w:rsidR="00863EA5" w:rsidRPr="006212FF">
        <w:rPr>
          <w:rFonts w:ascii="Book Antiqua" w:hAnsi="Book Antiqua"/>
          <w:sz w:val="24"/>
          <w:szCs w:val="24"/>
        </w:rPr>
        <w:t>outcome</w:t>
      </w:r>
      <w:r w:rsidR="00425CF0" w:rsidRPr="006212FF">
        <w:rPr>
          <w:rFonts w:ascii="Book Antiqua" w:hAnsi="Book Antiqua"/>
          <w:sz w:val="24"/>
          <w:szCs w:val="24"/>
        </w:rPr>
        <w:t>s</w:t>
      </w:r>
      <w:r w:rsidR="00863EA5" w:rsidRPr="006212FF">
        <w:rPr>
          <w:rFonts w:ascii="Book Antiqua" w:hAnsi="Book Antiqua"/>
          <w:sz w:val="24"/>
          <w:szCs w:val="24"/>
        </w:rPr>
        <w:t xml:space="preserve"> of </w:t>
      </w:r>
      <w:r w:rsidR="00425CF0" w:rsidRPr="006212FF">
        <w:rPr>
          <w:rFonts w:ascii="Book Antiqua" w:hAnsi="Book Antiqua"/>
          <w:sz w:val="24"/>
          <w:szCs w:val="24"/>
        </w:rPr>
        <w:t>BAPR</w:t>
      </w:r>
      <w:r w:rsidR="00863EA5" w:rsidRPr="006212FF">
        <w:rPr>
          <w:rFonts w:ascii="Book Antiqua" w:hAnsi="Book Antiqua"/>
          <w:sz w:val="24"/>
          <w:szCs w:val="24"/>
        </w:rPr>
        <w:t xml:space="preserve">, graft loss and death </w:t>
      </w:r>
      <w:r w:rsidR="00425CF0" w:rsidRPr="006212FF">
        <w:rPr>
          <w:rFonts w:ascii="Book Antiqua" w:hAnsi="Book Antiqua"/>
          <w:sz w:val="24"/>
          <w:szCs w:val="24"/>
        </w:rPr>
        <w:t xml:space="preserve">in the treatment group </w:t>
      </w:r>
      <w:r w:rsidR="00863EA5" w:rsidRPr="006212FF">
        <w:rPr>
          <w:rFonts w:ascii="Book Antiqua" w:hAnsi="Book Antiqua"/>
          <w:sz w:val="24"/>
          <w:szCs w:val="24"/>
        </w:rPr>
        <w:t>w</w:t>
      </w:r>
      <w:r w:rsidR="00425CF0" w:rsidRPr="006212FF">
        <w:rPr>
          <w:rFonts w:ascii="Book Antiqua" w:hAnsi="Book Antiqua"/>
          <w:sz w:val="24"/>
          <w:szCs w:val="24"/>
        </w:rPr>
        <w:t>ere</w:t>
      </w:r>
      <w:r w:rsidR="00863EA5" w:rsidRPr="006212FF">
        <w:rPr>
          <w:rFonts w:ascii="Book Antiqua" w:hAnsi="Book Antiqua"/>
          <w:sz w:val="24"/>
          <w:szCs w:val="24"/>
        </w:rPr>
        <w:t xml:space="preserve"> non-inferior to the</w:t>
      </w:r>
      <w:r w:rsidR="00425CF0" w:rsidRPr="006212FF">
        <w:rPr>
          <w:rFonts w:ascii="Book Antiqua" w:hAnsi="Book Antiqua"/>
          <w:sz w:val="24"/>
          <w:szCs w:val="24"/>
        </w:rPr>
        <w:t xml:space="preserve"> </w:t>
      </w:r>
      <w:r w:rsidR="00425CF0" w:rsidRPr="006212FF">
        <w:rPr>
          <w:rFonts w:ascii="Book Antiqua" w:hAnsi="Book Antiqua"/>
          <w:sz w:val="24"/>
          <w:szCs w:val="24"/>
        </w:rPr>
        <w:lastRenderedPageBreak/>
        <w:t>control group on</w:t>
      </w:r>
      <w:r w:rsidR="00863EA5" w:rsidRPr="006212FF">
        <w:rPr>
          <w:rFonts w:ascii="Book Antiqua" w:hAnsi="Book Antiqua"/>
          <w:sz w:val="24"/>
          <w:szCs w:val="24"/>
        </w:rPr>
        <w:t xml:space="preserve"> FK </w:t>
      </w:r>
      <w:r w:rsidR="00425CF0" w:rsidRPr="006212FF">
        <w:rPr>
          <w:rFonts w:ascii="Book Antiqua" w:hAnsi="Book Antiqua"/>
          <w:sz w:val="24"/>
          <w:szCs w:val="24"/>
        </w:rPr>
        <w:t>alone</w:t>
      </w:r>
      <w:r w:rsidR="00863EA5" w:rsidRPr="006212FF">
        <w:rPr>
          <w:rFonts w:ascii="Book Antiqua" w:hAnsi="Book Antiqua"/>
          <w:sz w:val="24"/>
          <w:szCs w:val="24"/>
        </w:rPr>
        <w:t xml:space="preserve">. In the post-hoc analysis for H2304 study, </w:t>
      </w:r>
      <w:r w:rsidR="009A1616" w:rsidRPr="006212FF">
        <w:rPr>
          <w:rFonts w:ascii="Book Antiqua" w:hAnsi="Book Antiqua"/>
          <w:sz w:val="24"/>
          <w:szCs w:val="24"/>
        </w:rPr>
        <w:t xml:space="preserve">incidence of </w:t>
      </w:r>
      <w:proofErr w:type="spellStart"/>
      <w:r w:rsidR="00863EA5" w:rsidRPr="006212FF">
        <w:rPr>
          <w:rFonts w:ascii="Book Antiqua" w:hAnsi="Book Antiqua"/>
          <w:sz w:val="24"/>
          <w:szCs w:val="24"/>
        </w:rPr>
        <w:t>tBPAR</w:t>
      </w:r>
      <w:proofErr w:type="spellEnd"/>
      <w:r w:rsidR="00863EA5" w:rsidRPr="006212FF">
        <w:rPr>
          <w:rFonts w:ascii="Book Antiqua" w:hAnsi="Book Antiqua"/>
          <w:sz w:val="24"/>
          <w:szCs w:val="24"/>
        </w:rPr>
        <w:t xml:space="preserve"> was lower in those </w:t>
      </w:r>
      <w:r w:rsidR="00425CF0" w:rsidRPr="006212FF">
        <w:rPr>
          <w:rFonts w:ascii="Book Antiqua" w:hAnsi="Book Antiqua"/>
          <w:sz w:val="24"/>
          <w:szCs w:val="24"/>
        </w:rPr>
        <w:t xml:space="preserve">aged </w:t>
      </w:r>
      <w:r w:rsidR="00863EA5" w:rsidRPr="006212FF">
        <w:rPr>
          <w:rFonts w:ascii="Book Antiqua" w:hAnsi="Book Antiqua"/>
          <w:sz w:val="24"/>
          <w:szCs w:val="24"/>
        </w:rPr>
        <w:t xml:space="preserve">&lt; 60 years and </w:t>
      </w:r>
      <w:r w:rsidR="00425CF0" w:rsidRPr="006212FF">
        <w:rPr>
          <w:rFonts w:ascii="Book Antiqua" w:hAnsi="Book Antiqua"/>
          <w:sz w:val="24"/>
          <w:szCs w:val="24"/>
        </w:rPr>
        <w:t>hepatitis C virus (</w:t>
      </w:r>
      <w:r w:rsidR="00863EA5" w:rsidRPr="006212FF">
        <w:rPr>
          <w:rFonts w:ascii="Book Antiqua" w:hAnsi="Book Antiqua"/>
          <w:sz w:val="24"/>
          <w:szCs w:val="24"/>
        </w:rPr>
        <w:t>HCV</w:t>
      </w:r>
      <w:r w:rsidR="00425CF0" w:rsidRPr="006212FF">
        <w:rPr>
          <w:rFonts w:ascii="Book Antiqua" w:hAnsi="Book Antiqua"/>
          <w:sz w:val="24"/>
          <w:szCs w:val="24"/>
        </w:rPr>
        <w:t>)</w:t>
      </w:r>
      <w:r w:rsidR="000728E8">
        <w:rPr>
          <w:rFonts w:ascii="Book Antiqua" w:hAnsi="Book Antiqua"/>
          <w:sz w:val="24"/>
          <w:szCs w:val="24"/>
        </w:rPr>
        <w:t>-</w:t>
      </w:r>
      <w:proofErr w:type="gramStart"/>
      <w:r w:rsidR="000728E8">
        <w:rPr>
          <w:rFonts w:ascii="Book Antiqua" w:hAnsi="Book Antiqua"/>
          <w:sz w:val="24"/>
          <w:szCs w:val="24"/>
        </w:rPr>
        <w:t>negative</w:t>
      </w:r>
      <w:r w:rsidR="00E65A6C" w:rsidRPr="006212FF">
        <w:rPr>
          <w:rFonts w:ascii="Book Antiqua" w:hAnsi="Book Antiqua"/>
          <w:sz w:val="24"/>
          <w:szCs w:val="24"/>
          <w:vertAlign w:val="superscript"/>
        </w:rPr>
        <w:t>[</w:t>
      </w:r>
      <w:proofErr w:type="gramEnd"/>
      <w:r w:rsidR="00E65A6C" w:rsidRPr="006212FF">
        <w:rPr>
          <w:rFonts w:ascii="Book Antiqua" w:hAnsi="Book Antiqua"/>
          <w:sz w:val="24"/>
          <w:szCs w:val="24"/>
          <w:vertAlign w:val="superscript"/>
        </w:rPr>
        <w:t>20]</w:t>
      </w:r>
      <w:r w:rsidR="00863EA5" w:rsidRPr="006212FF">
        <w:rPr>
          <w:rFonts w:ascii="Book Antiqua" w:hAnsi="Book Antiqua"/>
          <w:sz w:val="24"/>
          <w:szCs w:val="24"/>
        </w:rPr>
        <w:t xml:space="preserve">. </w:t>
      </w:r>
    </w:p>
    <w:p w14:paraId="0A215FF0" w14:textId="031AEB5E" w:rsidR="00B32364" w:rsidRPr="006212FF" w:rsidRDefault="00863EA5" w:rsidP="000728E8">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Based on phase III studies (Table 1), EVR is approved for use 30</w:t>
      </w:r>
      <w:r w:rsidR="00E11BD4" w:rsidRPr="006212FF">
        <w:rPr>
          <w:rFonts w:ascii="Book Antiqua" w:hAnsi="Book Antiqua"/>
          <w:sz w:val="24"/>
          <w:szCs w:val="24"/>
        </w:rPr>
        <w:t xml:space="preserve"> </w:t>
      </w:r>
      <w:r w:rsidRPr="006212FF">
        <w:rPr>
          <w:rFonts w:ascii="Book Antiqua" w:hAnsi="Book Antiqua"/>
          <w:sz w:val="24"/>
          <w:szCs w:val="24"/>
        </w:rPr>
        <w:t xml:space="preserve">d from </w:t>
      </w:r>
      <w:r w:rsidR="00D25696" w:rsidRPr="006212FF">
        <w:rPr>
          <w:rFonts w:ascii="Book Antiqua" w:hAnsi="Book Antiqua"/>
          <w:sz w:val="24"/>
          <w:szCs w:val="24"/>
        </w:rPr>
        <w:t>LT</w:t>
      </w:r>
      <w:r w:rsidRPr="006212FF">
        <w:rPr>
          <w:rFonts w:ascii="Book Antiqua" w:hAnsi="Book Antiqua"/>
          <w:sz w:val="24"/>
          <w:szCs w:val="24"/>
        </w:rPr>
        <w:t xml:space="preserve">. </w:t>
      </w:r>
      <w:r w:rsidR="00D25696" w:rsidRPr="006212FF">
        <w:rPr>
          <w:rFonts w:ascii="Book Antiqua" w:hAnsi="Book Antiqua"/>
          <w:sz w:val="24"/>
          <w:szCs w:val="24"/>
        </w:rPr>
        <w:t>H</w:t>
      </w:r>
      <w:r w:rsidRPr="006212FF">
        <w:rPr>
          <w:rFonts w:ascii="Book Antiqua" w:hAnsi="Book Antiqua"/>
          <w:sz w:val="24"/>
          <w:szCs w:val="24"/>
        </w:rPr>
        <w:t>owever</w:t>
      </w:r>
      <w:r w:rsidR="00D25696" w:rsidRPr="006212FF">
        <w:rPr>
          <w:rFonts w:ascii="Book Antiqua" w:hAnsi="Book Antiqua"/>
          <w:sz w:val="24"/>
          <w:szCs w:val="24"/>
        </w:rPr>
        <w:t>, there is</w:t>
      </w:r>
      <w:r w:rsidRPr="006212FF">
        <w:rPr>
          <w:rFonts w:ascii="Book Antiqua" w:hAnsi="Book Antiqua"/>
          <w:sz w:val="24"/>
          <w:szCs w:val="24"/>
        </w:rPr>
        <w:t xml:space="preserve"> </w:t>
      </w:r>
      <w:r w:rsidR="00A13E9E" w:rsidRPr="006212FF">
        <w:rPr>
          <w:rFonts w:ascii="Book Antiqua" w:hAnsi="Book Antiqua"/>
          <w:sz w:val="24"/>
          <w:szCs w:val="24"/>
        </w:rPr>
        <w:t>emerging</w:t>
      </w:r>
      <w:r w:rsidRPr="006212FF">
        <w:rPr>
          <w:rFonts w:ascii="Book Antiqua" w:hAnsi="Book Antiqua"/>
          <w:sz w:val="24"/>
          <w:szCs w:val="24"/>
        </w:rPr>
        <w:t xml:space="preserve"> data on </w:t>
      </w:r>
      <w:r w:rsidR="00D25696" w:rsidRPr="006212FF">
        <w:rPr>
          <w:rFonts w:ascii="Book Antiqua" w:hAnsi="Book Antiqua"/>
          <w:sz w:val="24"/>
          <w:szCs w:val="24"/>
        </w:rPr>
        <w:t xml:space="preserve">the </w:t>
      </w:r>
      <w:r w:rsidRPr="006212FF">
        <w:rPr>
          <w:rFonts w:ascii="Book Antiqua" w:hAnsi="Book Antiqua"/>
          <w:sz w:val="24"/>
          <w:szCs w:val="24"/>
        </w:rPr>
        <w:t xml:space="preserve">safety and efficacy </w:t>
      </w:r>
      <w:r w:rsidR="00D25696" w:rsidRPr="006212FF">
        <w:rPr>
          <w:rFonts w:ascii="Book Antiqua" w:hAnsi="Book Antiqua"/>
          <w:sz w:val="24"/>
          <w:szCs w:val="24"/>
        </w:rPr>
        <w:t>o</w:t>
      </w:r>
      <w:r w:rsidRPr="006212FF">
        <w:rPr>
          <w:rFonts w:ascii="Book Antiqua" w:hAnsi="Book Antiqua"/>
          <w:sz w:val="24"/>
          <w:szCs w:val="24"/>
        </w:rPr>
        <w:t xml:space="preserve">f EVR initiation within 30 d from </w:t>
      </w:r>
      <w:r w:rsidR="00D25696" w:rsidRPr="006212FF">
        <w:rPr>
          <w:rFonts w:ascii="Book Antiqua" w:hAnsi="Book Antiqua"/>
          <w:sz w:val="24"/>
          <w:szCs w:val="24"/>
        </w:rPr>
        <w:t>LT</w:t>
      </w:r>
      <w:r w:rsidR="001B7F67" w:rsidRPr="006212FF">
        <w:rPr>
          <w:rFonts w:ascii="Book Antiqua" w:hAnsi="Book Antiqua"/>
          <w:sz w:val="24"/>
          <w:szCs w:val="24"/>
        </w:rPr>
        <w:t xml:space="preserve">. </w:t>
      </w:r>
      <w:proofErr w:type="spellStart"/>
      <w:r w:rsidRPr="006212FF">
        <w:rPr>
          <w:rFonts w:ascii="Book Antiqua" w:hAnsi="Book Antiqua"/>
          <w:sz w:val="24"/>
          <w:szCs w:val="24"/>
        </w:rPr>
        <w:t>Masetti</w:t>
      </w:r>
      <w:proofErr w:type="spellEnd"/>
      <w:r w:rsidRPr="006212FF">
        <w:rPr>
          <w:rFonts w:ascii="Book Antiqua" w:hAnsi="Book Antiqua"/>
          <w:sz w:val="24"/>
          <w:szCs w:val="24"/>
        </w:rPr>
        <w:t xml:space="preserve"> </w:t>
      </w:r>
      <w:r w:rsidRPr="000728E8">
        <w:rPr>
          <w:rFonts w:ascii="Book Antiqua" w:hAnsi="Book Antiqua"/>
          <w:i/>
          <w:sz w:val="24"/>
          <w:szCs w:val="24"/>
        </w:rPr>
        <w:t>et al</w:t>
      </w:r>
      <w:r w:rsidR="000728E8">
        <w:rPr>
          <w:rFonts w:ascii="Book Antiqua" w:hAnsi="Book Antiqua" w:hint="eastAsia"/>
          <w:sz w:val="24"/>
          <w:szCs w:val="24"/>
          <w:vertAlign w:val="superscript"/>
        </w:rPr>
        <w:t>[21]</w:t>
      </w:r>
      <w:r w:rsidR="00D25696" w:rsidRPr="006212FF">
        <w:rPr>
          <w:rFonts w:ascii="Book Antiqua" w:hAnsi="Book Antiqua"/>
          <w:sz w:val="24"/>
          <w:szCs w:val="24"/>
        </w:rPr>
        <w:t xml:space="preserve">’s </w:t>
      </w:r>
      <w:r w:rsidR="00B32364" w:rsidRPr="006212FF">
        <w:rPr>
          <w:rFonts w:ascii="Book Antiqua" w:hAnsi="Book Antiqua"/>
          <w:sz w:val="24"/>
          <w:szCs w:val="24"/>
        </w:rPr>
        <w:t xml:space="preserve">prospective, </w:t>
      </w:r>
      <w:r w:rsidR="00D25696" w:rsidRPr="006212FF">
        <w:rPr>
          <w:rFonts w:ascii="Book Antiqua" w:hAnsi="Book Antiqua"/>
          <w:sz w:val="24"/>
          <w:szCs w:val="24"/>
        </w:rPr>
        <w:t>single-cent</w:t>
      </w:r>
      <w:r w:rsidR="00F738A9" w:rsidRPr="006212FF">
        <w:rPr>
          <w:rFonts w:ascii="Book Antiqua" w:hAnsi="Book Antiqua"/>
          <w:sz w:val="24"/>
          <w:szCs w:val="24"/>
        </w:rPr>
        <w:t>er</w:t>
      </w:r>
      <w:r w:rsidR="00D25696" w:rsidRPr="006212FF">
        <w:rPr>
          <w:rFonts w:ascii="Book Antiqua" w:hAnsi="Book Antiqua"/>
          <w:sz w:val="24"/>
          <w:szCs w:val="24"/>
        </w:rPr>
        <w:t xml:space="preserve"> randomized trial</w:t>
      </w:r>
      <w:r w:rsidRPr="006212FF">
        <w:rPr>
          <w:rFonts w:ascii="Book Antiqua" w:hAnsi="Book Antiqua"/>
          <w:sz w:val="24"/>
          <w:szCs w:val="24"/>
        </w:rPr>
        <w:t xml:space="preserve"> described early initiation of EVR at day 10 from </w:t>
      </w:r>
      <w:r w:rsidR="00D25696" w:rsidRPr="006212FF">
        <w:rPr>
          <w:rFonts w:ascii="Book Antiqua" w:hAnsi="Book Antiqua"/>
          <w:sz w:val="24"/>
          <w:szCs w:val="24"/>
        </w:rPr>
        <w:t>LT</w:t>
      </w:r>
      <w:r w:rsidRPr="006212FF">
        <w:rPr>
          <w:rFonts w:ascii="Book Antiqua" w:hAnsi="Book Antiqua"/>
          <w:sz w:val="24"/>
          <w:szCs w:val="24"/>
        </w:rPr>
        <w:t xml:space="preserve"> in 52 patients </w:t>
      </w:r>
      <w:r w:rsidR="00AA660F" w:rsidRPr="006212FF">
        <w:rPr>
          <w:rFonts w:ascii="Book Antiqua" w:hAnsi="Book Antiqua"/>
          <w:sz w:val="24"/>
          <w:szCs w:val="24"/>
        </w:rPr>
        <w:t>(EVR C</w:t>
      </w:r>
      <w:r w:rsidR="00AA660F" w:rsidRPr="006212FF">
        <w:rPr>
          <w:rFonts w:ascii="Book Antiqua" w:hAnsi="Book Antiqua"/>
          <w:sz w:val="24"/>
          <w:szCs w:val="24"/>
          <w:vertAlign w:val="subscript"/>
        </w:rPr>
        <w:t>0</w:t>
      </w:r>
      <w:r w:rsidR="00AA660F" w:rsidRPr="006212FF">
        <w:rPr>
          <w:rFonts w:ascii="Book Antiqua" w:hAnsi="Book Antiqua"/>
          <w:sz w:val="24"/>
          <w:szCs w:val="24"/>
        </w:rPr>
        <w:t xml:space="preserve"> 6-10</w:t>
      </w:r>
      <w:r w:rsidR="000728E8">
        <w:rPr>
          <w:rFonts w:ascii="Book Antiqua" w:hAnsi="Book Antiqua" w:hint="eastAsia"/>
          <w:sz w:val="24"/>
          <w:szCs w:val="24"/>
        </w:rPr>
        <w:t xml:space="preserve"> </w:t>
      </w:r>
      <w:proofErr w:type="spellStart"/>
      <w:r w:rsidR="00AA660F" w:rsidRPr="006212FF">
        <w:rPr>
          <w:rFonts w:ascii="Book Antiqua" w:hAnsi="Book Antiqua"/>
          <w:sz w:val="24"/>
          <w:szCs w:val="24"/>
        </w:rPr>
        <w:t>ng</w:t>
      </w:r>
      <w:proofErr w:type="spellEnd"/>
      <w:r w:rsidR="00AA660F" w:rsidRPr="006212FF">
        <w:rPr>
          <w:rFonts w:ascii="Book Antiqua" w:hAnsi="Book Antiqua"/>
          <w:sz w:val="24"/>
          <w:szCs w:val="24"/>
        </w:rPr>
        <w:t>/mL till day 30,</w:t>
      </w:r>
      <w:r w:rsidR="00A13E9E" w:rsidRPr="006212FF">
        <w:rPr>
          <w:rFonts w:ascii="Book Antiqua" w:hAnsi="Book Antiqua"/>
          <w:sz w:val="24"/>
          <w:szCs w:val="24"/>
        </w:rPr>
        <w:t xml:space="preserve"> then</w:t>
      </w:r>
      <w:r w:rsidR="00AA660F" w:rsidRPr="006212FF">
        <w:rPr>
          <w:rFonts w:ascii="Book Antiqua" w:hAnsi="Book Antiqua"/>
          <w:sz w:val="24"/>
          <w:szCs w:val="24"/>
        </w:rPr>
        <w:t xml:space="preserve"> </w:t>
      </w:r>
      <w:r w:rsidR="000766D2" w:rsidRPr="006212FF">
        <w:rPr>
          <w:rFonts w:ascii="Book Antiqua" w:hAnsi="Book Antiqua"/>
          <w:sz w:val="24"/>
          <w:szCs w:val="24"/>
        </w:rPr>
        <w:t>C</w:t>
      </w:r>
      <w:r w:rsidR="000766D2" w:rsidRPr="006212FF">
        <w:rPr>
          <w:rFonts w:ascii="Book Antiqua" w:hAnsi="Book Antiqua"/>
          <w:sz w:val="24"/>
          <w:szCs w:val="24"/>
          <w:vertAlign w:val="subscript"/>
        </w:rPr>
        <w:t>0</w:t>
      </w:r>
      <w:r w:rsidR="000766D2" w:rsidRPr="006212FF">
        <w:rPr>
          <w:rFonts w:ascii="Book Antiqua" w:hAnsi="Book Antiqua"/>
          <w:sz w:val="24"/>
          <w:szCs w:val="24"/>
        </w:rPr>
        <w:t xml:space="preserve"> </w:t>
      </w:r>
      <w:r w:rsidR="00AA660F" w:rsidRPr="006212FF">
        <w:rPr>
          <w:rFonts w:ascii="Book Antiqua" w:hAnsi="Book Antiqua"/>
          <w:sz w:val="24"/>
          <w:szCs w:val="24"/>
        </w:rPr>
        <w:t>8-12</w:t>
      </w:r>
      <w:r w:rsidR="000728E8">
        <w:rPr>
          <w:rFonts w:ascii="Book Antiqua" w:hAnsi="Book Antiqua" w:hint="eastAsia"/>
          <w:sz w:val="24"/>
          <w:szCs w:val="24"/>
        </w:rPr>
        <w:t xml:space="preserve"> </w:t>
      </w:r>
      <w:proofErr w:type="spellStart"/>
      <w:r w:rsidR="00AA660F" w:rsidRPr="006212FF">
        <w:rPr>
          <w:rFonts w:ascii="Book Antiqua" w:hAnsi="Book Antiqua"/>
          <w:sz w:val="24"/>
          <w:szCs w:val="24"/>
        </w:rPr>
        <w:t>ng</w:t>
      </w:r>
      <w:proofErr w:type="spellEnd"/>
      <w:r w:rsidR="00AA660F" w:rsidRPr="006212FF">
        <w:rPr>
          <w:rFonts w:ascii="Book Antiqua" w:hAnsi="Book Antiqua"/>
          <w:sz w:val="24"/>
          <w:szCs w:val="24"/>
        </w:rPr>
        <w:t>/mL</w:t>
      </w:r>
      <w:r w:rsidR="006212FF">
        <w:rPr>
          <w:rFonts w:ascii="Book Antiqua" w:hAnsi="Book Antiqua"/>
          <w:sz w:val="24"/>
          <w:szCs w:val="24"/>
        </w:rPr>
        <w:t xml:space="preserve"> </w:t>
      </w:r>
      <w:r w:rsidR="00A13E9E" w:rsidRPr="006212FF">
        <w:rPr>
          <w:rFonts w:ascii="Book Antiqua" w:hAnsi="Book Antiqua"/>
          <w:sz w:val="24"/>
          <w:szCs w:val="24"/>
        </w:rPr>
        <w:t>(</w:t>
      </w:r>
      <w:r w:rsidR="00D0616B" w:rsidRPr="006212FF">
        <w:rPr>
          <w:rFonts w:ascii="Book Antiqua" w:hAnsi="Book Antiqua"/>
          <w:sz w:val="24"/>
          <w:szCs w:val="24"/>
        </w:rPr>
        <w:t xml:space="preserve">when </w:t>
      </w:r>
      <w:proofErr w:type="spellStart"/>
      <w:r w:rsidR="00D0616B" w:rsidRPr="006212FF">
        <w:rPr>
          <w:rFonts w:ascii="Book Antiqua" w:hAnsi="Book Antiqua"/>
          <w:sz w:val="24"/>
          <w:szCs w:val="24"/>
        </w:rPr>
        <w:t>CsA</w:t>
      </w:r>
      <w:proofErr w:type="spellEnd"/>
      <w:r w:rsidR="00D0616B" w:rsidRPr="006212FF">
        <w:rPr>
          <w:rFonts w:ascii="Book Antiqua" w:hAnsi="Book Antiqua"/>
          <w:sz w:val="24"/>
          <w:szCs w:val="24"/>
        </w:rPr>
        <w:t xml:space="preserve"> was discontinued </w:t>
      </w:r>
      <w:r w:rsidR="00A13E9E" w:rsidRPr="006212FF">
        <w:rPr>
          <w:rFonts w:ascii="Book Antiqua" w:hAnsi="Book Antiqua"/>
          <w:sz w:val="24"/>
          <w:szCs w:val="24"/>
        </w:rPr>
        <w:t>from</w:t>
      </w:r>
      <w:r w:rsidR="00D0616B" w:rsidRPr="006212FF">
        <w:rPr>
          <w:rFonts w:ascii="Book Antiqua" w:hAnsi="Book Antiqua"/>
          <w:sz w:val="24"/>
          <w:szCs w:val="24"/>
        </w:rPr>
        <w:t xml:space="preserve"> day 30</w:t>
      </w:r>
      <w:r w:rsidR="00A13E9E" w:rsidRPr="006212FF">
        <w:rPr>
          <w:rFonts w:ascii="Book Antiqua" w:hAnsi="Book Antiqua"/>
          <w:sz w:val="24"/>
          <w:szCs w:val="24"/>
        </w:rPr>
        <w:t>) till month 6</w:t>
      </w:r>
      <w:r w:rsidR="00D0616B" w:rsidRPr="006212FF">
        <w:rPr>
          <w:rFonts w:ascii="Book Antiqua" w:hAnsi="Book Antiqua"/>
          <w:sz w:val="24"/>
          <w:szCs w:val="24"/>
        </w:rPr>
        <w:t xml:space="preserve"> </w:t>
      </w:r>
      <w:r w:rsidR="00AA660F" w:rsidRPr="006212FF">
        <w:rPr>
          <w:rFonts w:ascii="Book Antiqua" w:hAnsi="Book Antiqua"/>
          <w:sz w:val="24"/>
          <w:szCs w:val="24"/>
        </w:rPr>
        <w:t xml:space="preserve">and </w:t>
      </w:r>
      <w:r w:rsidR="000766D2" w:rsidRPr="006212FF">
        <w:rPr>
          <w:rFonts w:ascii="Book Antiqua" w:hAnsi="Book Antiqua"/>
          <w:sz w:val="24"/>
          <w:szCs w:val="24"/>
        </w:rPr>
        <w:t>then C</w:t>
      </w:r>
      <w:r w:rsidR="000766D2" w:rsidRPr="006212FF">
        <w:rPr>
          <w:rFonts w:ascii="Book Antiqua" w:hAnsi="Book Antiqua"/>
          <w:sz w:val="24"/>
          <w:szCs w:val="24"/>
          <w:vertAlign w:val="subscript"/>
        </w:rPr>
        <w:t>0</w:t>
      </w:r>
      <w:r w:rsidR="000766D2" w:rsidRPr="006212FF">
        <w:rPr>
          <w:rFonts w:ascii="Book Antiqua" w:hAnsi="Book Antiqua"/>
          <w:sz w:val="24"/>
          <w:szCs w:val="24"/>
        </w:rPr>
        <w:t xml:space="preserve"> </w:t>
      </w:r>
      <w:r w:rsidR="00AA660F" w:rsidRPr="006212FF">
        <w:rPr>
          <w:rFonts w:ascii="Book Antiqua" w:hAnsi="Book Antiqua"/>
          <w:sz w:val="24"/>
          <w:szCs w:val="24"/>
        </w:rPr>
        <w:t>6-10</w:t>
      </w:r>
      <w:r w:rsidR="000728E8">
        <w:rPr>
          <w:rFonts w:ascii="Book Antiqua" w:hAnsi="Book Antiqua" w:hint="eastAsia"/>
          <w:sz w:val="24"/>
          <w:szCs w:val="24"/>
        </w:rPr>
        <w:t xml:space="preserve"> </w:t>
      </w:r>
      <w:proofErr w:type="spellStart"/>
      <w:r w:rsidR="00AA660F" w:rsidRPr="006212FF">
        <w:rPr>
          <w:rFonts w:ascii="Book Antiqua" w:hAnsi="Book Antiqua"/>
          <w:sz w:val="24"/>
          <w:szCs w:val="24"/>
        </w:rPr>
        <w:t>ng</w:t>
      </w:r>
      <w:proofErr w:type="spellEnd"/>
      <w:r w:rsidR="00AA660F" w:rsidRPr="006212FF">
        <w:rPr>
          <w:rFonts w:ascii="Book Antiqua" w:hAnsi="Book Antiqua"/>
          <w:sz w:val="24"/>
          <w:szCs w:val="24"/>
        </w:rPr>
        <w:t xml:space="preserve">/mL thereafter) </w:t>
      </w:r>
      <w:proofErr w:type="spellStart"/>
      <w:r w:rsidR="00016F09" w:rsidRPr="00016F09">
        <w:rPr>
          <w:rFonts w:ascii="Book Antiqua" w:eastAsia="Times New Roman" w:hAnsi="Book Antiqua" w:cs="Times New Roman"/>
          <w:bCs/>
          <w:i/>
          <w:color w:val="000000"/>
          <w:sz w:val="24"/>
          <w:szCs w:val="24"/>
        </w:rPr>
        <w:t>vs</w:t>
      </w:r>
      <w:proofErr w:type="spellEnd"/>
      <w:r w:rsidR="0070023E" w:rsidRPr="006212FF">
        <w:rPr>
          <w:rFonts w:ascii="Book Antiqua" w:hAnsi="Book Antiqua"/>
          <w:sz w:val="24"/>
          <w:szCs w:val="24"/>
        </w:rPr>
        <w:t xml:space="preserve"> standard </w:t>
      </w:r>
      <w:proofErr w:type="spellStart"/>
      <w:r w:rsidR="0070023E" w:rsidRPr="006212FF">
        <w:rPr>
          <w:rFonts w:ascii="Book Antiqua" w:hAnsi="Book Antiqua"/>
          <w:sz w:val="24"/>
          <w:szCs w:val="24"/>
        </w:rPr>
        <w:t>CsA</w:t>
      </w:r>
      <w:proofErr w:type="spellEnd"/>
      <w:r w:rsidR="0070023E" w:rsidRPr="006212FF">
        <w:rPr>
          <w:rFonts w:ascii="Book Antiqua" w:hAnsi="Book Antiqua"/>
          <w:sz w:val="24"/>
          <w:szCs w:val="24"/>
        </w:rPr>
        <w:t xml:space="preserve"> in 26 patients</w:t>
      </w:r>
      <w:r w:rsidR="00143F15" w:rsidRPr="006212FF">
        <w:rPr>
          <w:rFonts w:ascii="Book Antiqua" w:hAnsi="Book Antiqua"/>
          <w:sz w:val="24"/>
          <w:szCs w:val="24"/>
        </w:rPr>
        <w:t xml:space="preserve"> (</w:t>
      </w:r>
      <w:proofErr w:type="spellStart"/>
      <w:r w:rsidR="00143F15" w:rsidRPr="006212FF">
        <w:rPr>
          <w:rFonts w:ascii="Book Antiqua" w:hAnsi="Book Antiqua"/>
          <w:sz w:val="24"/>
          <w:szCs w:val="24"/>
        </w:rPr>
        <w:t>CsA</w:t>
      </w:r>
      <w:proofErr w:type="spellEnd"/>
      <w:r w:rsidR="00143F15" w:rsidRPr="006212FF">
        <w:rPr>
          <w:rFonts w:ascii="Book Antiqua" w:hAnsi="Book Antiqua"/>
          <w:sz w:val="24"/>
          <w:szCs w:val="24"/>
        </w:rPr>
        <w:t xml:space="preserve"> C</w:t>
      </w:r>
      <w:r w:rsidR="00143F15" w:rsidRPr="006212FF">
        <w:rPr>
          <w:rFonts w:ascii="Book Antiqua" w:hAnsi="Book Antiqua"/>
          <w:sz w:val="24"/>
          <w:szCs w:val="24"/>
          <w:vertAlign w:val="subscript"/>
        </w:rPr>
        <w:t>0</w:t>
      </w:r>
      <w:r w:rsidR="00143F15" w:rsidRPr="006212FF">
        <w:rPr>
          <w:rFonts w:ascii="Book Antiqua" w:hAnsi="Book Antiqua"/>
          <w:sz w:val="24"/>
          <w:szCs w:val="24"/>
        </w:rPr>
        <w:t xml:space="preserve"> 225 ± 25 </w:t>
      </w:r>
      <w:proofErr w:type="spellStart"/>
      <w:r w:rsidR="00143F15" w:rsidRPr="006212FF">
        <w:rPr>
          <w:rFonts w:ascii="Book Antiqua" w:hAnsi="Book Antiqua"/>
          <w:sz w:val="24"/>
          <w:szCs w:val="24"/>
        </w:rPr>
        <w:t>ng</w:t>
      </w:r>
      <w:proofErr w:type="spellEnd"/>
      <w:r w:rsidR="00143F15" w:rsidRPr="006212FF">
        <w:rPr>
          <w:rFonts w:ascii="Book Antiqua" w:hAnsi="Book Antiqua"/>
          <w:sz w:val="24"/>
          <w:szCs w:val="24"/>
        </w:rPr>
        <w:t>/mL till day 30, 200 ± 25</w:t>
      </w:r>
      <w:r w:rsidR="000728E8">
        <w:rPr>
          <w:rFonts w:ascii="Book Antiqua" w:hAnsi="Book Antiqua" w:hint="eastAsia"/>
          <w:sz w:val="24"/>
          <w:szCs w:val="24"/>
        </w:rPr>
        <w:t xml:space="preserve"> </w:t>
      </w:r>
      <w:proofErr w:type="spellStart"/>
      <w:r w:rsidR="00143F15" w:rsidRPr="006212FF">
        <w:rPr>
          <w:rFonts w:ascii="Book Antiqua" w:hAnsi="Book Antiqua"/>
          <w:sz w:val="24"/>
          <w:szCs w:val="24"/>
        </w:rPr>
        <w:t>ng</w:t>
      </w:r>
      <w:proofErr w:type="spellEnd"/>
      <w:r w:rsidR="00143F15" w:rsidRPr="006212FF">
        <w:rPr>
          <w:rFonts w:ascii="Book Antiqua" w:hAnsi="Book Antiqua"/>
          <w:sz w:val="24"/>
          <w:szCs w:val="24"/>
        </w:rPr>
        <w:t xml:space="preserve">/mL till month 6 and 150 ± </w:t>
      </w:r>
      <w:r w:rsidR="00875731" w:rsidRPr="006212FF">
        <w:rPr>
          <w:rFonts w:ascii="Book Antiqua" w:hAnsi="Book Antiqua"/>
          <w:sz w:val="24"/>
          <w:szCs w:val="24"/>
        </w:rPr>
        <w:t>25</w:t>
      </w:r>
      <w:r w:rsidR="000728E8">
        <w:rPr>
          <w:rFonts w:ascii="Book Antiqua" w:hAnsi="Book Antiqua" w:hint="eastAsia"/>
          <w:sz w:val="24"/>
          <w:szCs w:val="24"/>
        </w:rPr>
        <w:t xml:space="preserve"> </w:t>
      </w:r>
      <w:proofErr w:type="spellStart"/>
      <w:r w:rsidR="000728E8">
        <w:rPr>
          <w:rFonts w:ascii="Book Antiqua" w:hAnsi="Book Antiqua"/>
          <w:sz w:val="24"/>
          <w:szCs w:val="24"/>
        </w:rPr>
        <w:t>ng</w:t>
      </w:r>
      <w:proofErr w:type="spellEnd"/>
      <w:r w:rsidR="000728E8">
        <w:rPr>
          <w:rFonts w:ascii="Book Antiqua" w:hAnsi="Book Antiqua"/>
          <w:sz w:val="24"/>
          <w:szCs w:val="24"/>
        </w:rPr>
        <w:t>/mL thereafter)</w:t>
      </w:r>
      <w:r w:rsidR="00E65A6C" w:rsidRPr="006212FF">
        <w:rPr>
          <w:rFonts w:ascii="Book Antiqua" w:hAnsi="Book Antiqua"/>
          <w:sz w:val="24"/>
          <w:szCs w:val="24"/>
          <w:vertAlign w:val="superscript"/>
        </w:rPr>
        <w:t>[21]</w:t>
      </w:r>
      <w:r w:rsidR="0070023E" w:rsidRPr="006212FF">
        <w:rPr>
          <w:rFonts w:ascii="Book Antiqua" w:hAnsi="Book Antiqua"/>
          <w:sz w:val="24"/>
          <w:szCs w:val="24"/>
        </w:rPr>
        <w:t>.</w:t>
      </w:r>
      <w:r w:rsidR="00B57D23" w:rsidRPr="006212FF">
        <w:rPr>
          <w:rFonts w:ascii="Book Antiqua" w:hAnsi="Book Antiqua"/>
          <w:sz w:val="24"/>
          <w:szCs w:val="24"/>
        </w:rPr>
        <w:t xml:space="preserve"> There was </w:t>
      </w:r>
      <w:proofErr w:type="gramStart"/>
      <w:r w:rsidR="000766D2" w:rsidRPr="006212FF">
        <w:rPr>
          <w:rFonts w:ascii="Book Antiqua" w:hAnsi="Book Antiqua"/>
          <w:sz w:val="24"/>
          <w:szCs w:val="24"/>
        </w:rPr>
        <w:t xml:space="preserve">no difference in </w:t>
      </w:r>
      <w:r w:rsidR="00611D9E" w:rsidRPr="006212FF">
        <w:rPr>
          <w:rFonts w:ascii="Book Antiqua" w:hAnsi="Book Antiqua"/>
          <w:sz w:val="24"/>
          <w:szCs w:val="24"/>
        </w:rPr>
        <w:t>BPAR</w:t>
      </w:r>
      <w:r w:rsidR="000766D2" w:rsidRPr="006212FF">
        <w:rPr>
          <w:rFonts w:ascii="Book Antiqua" w:hAnsi="Book Antiqua"/>
          <w:sz w:val="24"/>
          <w:szCs w:val="24"/>
        </w:rPr>
        <w:t xml:space="preserve"> nor</w:t>
      </w:r>
      <w:proofErr w:type="gramEnd"/>
      <w:r w:rsidR="000766D2" w:rsidRPr="006212FF">
        <w:rPr>
          <w:rFonts w:ascii="Book Antiqua" w:hAnsi="Book Antiqua"/>
          <w:sz w:val="24"/>
          <w:szCs w:val="24"/>
        </w:rPr>
        <w:t xml:space="preserve"> patient survival rates</w:t>
      </w:r>
      <w:r w:rsidRPr="006212FF">
        <w:rPr>
          <w:rFonts w:ascii="Book Antiqua" w:hAnsi="Book Antiqua"/>
          <w:sz w:val="24"/>
          <w:szCs w:val="24"/>
        </w:rPr>
        <w:t xml:space="preserve"> </w:t>
      </w:r>
      <w:r w:rsidR="0055419A" w:rsidRPr="006212FF">
        <w:rPr>
          <w:rFonts w:ascii="Book Antiqua" w:hAnsi="Book Antiqua"/>
          <w:sz w:val="24"/>
          <w:szCs w:val="24"/>
        </w:rPr>
        <w:t xml:space="preserve">in </w:t>
      </w:r>
      <w:r w:rsidR="000766D2" w:rsidRPr="006212FF">
        <w:rPr>
          <w:rFonts w:ascii="Book Antiqua" w:hAnsi="Book Antiqua"/>
          <w:sz w:val="24"/>
          <w:szCs w:val="24"/>
        </w:rPr>
        <w:t>both groups</w:t>
      </w:r>
      <w:r w:rsidRPr="006212FF">
        <w:rPr>
          <w:rFonts w:ascii="Book Antiqua" w:hAnsi="Book Antiqua"/>
          <w:sz w:val="24"/>
          <w:szCs w:val="24"/>
        </w:rPr>
        <w:t xml:space="preserve">. </w:t>
      </w:r>
      <w:r w:rsidR="007E0154" w:rsidRPr="006212FF">
        <w:rPr>
          <w:rFonts w:ascii="Book Antiqua" w:hAnsi="Book Antiqua"/>
          <w:sz w:val="24"/>
          <w:szCs w:val="24"/>
        </w:rPr>
        <w:t>The s</w:t>
      </w:r>
      <w:r w:rsidR="002D03D4" w:rsidRPr="006212FF">
        <w:rPr>
          <w:rFonts w:ascii="Book Antiqua" w:hAnsi="Book Antiqua"/>
          <w:sz w:val="24"/>
          <w:szCs w:val="24"/>
        </w:rPr>
        <w:t>t</w:t>
      </w:r>
      <w:r w:rsidR="007E0154" w:rsidRPr="006212FF">
        <w:rPr>
          <w:rFonts w:ascii="Book Antiqua" w:hAnsi="Book Antiqua"/>
          <w:sz w:val="24"/>
          <w:szCs w:val="24"/>
        </w:rPr>
        <w:t>udy concluded that</w:t>
      </w:r>
      <w:r w:rsidR="00B32364" w:rsidRPr="006212FF">
        <w:rPr>
          <w:rFonts w:ascii="Book Antiqua" w:hAnsi="Book Antiqua"/>
          <w:sz w:val="24"/>
          <w:szCs w:val="24"/>
        </w:rPr>
        <w:t xml:space="preserve"> e</w:t>
      </w:r>
      <w:r w:rsidRPr="006212FF">
        <w:rPr>
          <w:rFonts w:ascii="Book Antiqua" w:hAnsi="Book Antiqua"/>
          <w:sz w:val="24"/>
          <w:szCs w:val="24"/>
        </w:rPr>
        <w:t xml:space="preserve">arly withdrawal of </w:t>
      </w:r>
      <w:proofErr w:type="spellStart"/>
      <w:r w:rsidRPr="006212FF">
        <w:rPr>
          <w:rFonts w:ascii="Book Antiqua" w:hAnsi="Book Antiqua"/>
          <w:sz w:val="24"/>
          <w:szCs w:val="24"/>
        </w:rPr>
        <w:t>C</w:t>
      </w:r>
      <w:r w:rsidR="00203FB6" w:rsidRPr="006212FF">
        <w:rPr>
          <w:rFonts w:ascii="Book Antiqua" w:hAnsi="Book Antiqua"/>
          <w:sz w:val="24"/>
          <w:szCs w:val="24"/>
        </w:rPr>
        <w:t>s</w:t>
      </w:r>
      <w:r w:rsidRPr="006212FF">
        <w:rPr>
          <w:rFonts w:ascii="Book Antiqua" w:hAnsi="Book Antiqua"/>
          <w:sz w:val="24"/>
          <w:szCs w:val="24"/>
        </w:rPr>
        <w:t>A</w:t>
      </w:r>
      <w:proofErr w:type="spellEnd"/>
      <w:r w:rsidRPr="006212FF">
        <w:rPr>
          <w:rFonts w:ascii="Book Antiqua" w:hAnsi="Book Antiqua"/>
          <w:sz w:val="24"/>
          <w:szCs w:val="24"/>
        </w:rPr>
        <w:t xml:space="preserve"> and </w:t>
      </w:r>
      <w:r w:rsidR="000766D2" w:rsidRPr="006212FF">
        <w:rPr>
          <w:rFonts w:ascii="Book Antiqua" w:hAnsi="Book Antiqua"/>
          <w:sz w:val="24"/>
          <w:szCs w:val="24"/>
        </w:rPr>
        <w:t xml:space="preserve">early </w:t>
      </w:r>
      <w:r w:rsidRPr="006212FF">
        <w:rPr>
          <w:rFonts w:ascii="Book Antiqua" w:hAnsi="Book Antiqua"/>
          <w:sz w:val="24"/>
          <w:szCs w:val="24"/>
        </w:rPr>
        <w:t xml:space="preserve">EVR use in </w:t>
      </w:r>
      <w:r w:rsidRPr="006212FF">
        <w:rPr>
          <w:rFonts w:ascii="Book Antiqua" w:hAnsi="Book Antiqua"/>
          <w:i/>
          <w:sz w:val="24"/>
          <w:szCs w:val="24"/>
        </w:rPr>
        <w:t>de novo</w:t>
      </w:r>
      <w:r w:rsidRPr="006212FF">
        <w:rPr>
          <w:rFonts w:ascii="Book Antiqua" w:hAnsi="Book Antiqua"/>
          <w:sz w:val="24"/>
          <w:szCs w:val="24"/>
        </w:rPr>
        <w:t xml:space="preserve"> </w:t>
      </w:r>
      <w:r w:rsidR="00B32364" w:rsidRPr="006212FF">
        <w:rPr>
          <w:rFonts w:ascii="Book Antiqua" w:hAnsi="Book Antiqua"/>
          <w:sz w:val="24"/>
          <w:szCs w:val="24"/>
        </w:rPr>
        <w:t>LT</w:t>
      </w:r>
      <w:r w:rsidR="00547928" w:rsidRPr="006212FF">
        <w:rPr>
          <w:rFonts w:ascii="Book Antiqua" w:hAnsi="Book Antiqua"/>
          <w:sz w:val="24"/>
          <w:szCs w:val="24"/>
        </w:rPr>
        <w:t xml:space="preserve"> </w:t>
      </w:r>
      <w:r w:rsidRPr="006212FF">
        <w:rPr>
          <w:rFonts w:ascii="Book Antiqua" w:hAnsi="Book Antiqua"/>
          <w:sz w:val="24"/>
          <w:szCs w:val="24"/>
        </w:rPr>
        <w:t>recipients significantly improved renal function (</w:t>
      </w:r>
      <w:proofErr w:type="spellStart"/>
      <w:r w:rsidR="007E0154" w:rsidRPr="006212FF">
        <w:rPr>
          <w:rFonts w:ascii="Book Antiqua" w:hAnsi="Book Antiqua"/>
          <w:sz w:val="24"/>
          <w:szCs w:val="24"/>
        </w:rPr>
        <w:t>eGFR</w:t>
      </w:r>
      <w:proofErr w:type="spellEnd"/>
      <w:r w:rsidR="007E0154" w:rsidRPr="006212FF">
        <w:rPr>
          <w:rFonts w:ascii="Book Antiqua" w:hAnsi="Book Antiqua"/>
          <w:sz w:val="24"/>
          <w:szCs w:val="24"/>
        </w:rPr>
        <w:t xml:space="preserve"> </w:t>
      </w:r>
      <w:r w:rsidRPr="006212FF">
        <w:rPr>
          <w:rFonts w:ascii="Book Antiqua" w:hAnsi="Book Antiqua"/>
          <w:sz w:val="24"/>
          <w:szCs w:val="24"/>
        </w:rPr>
        <w:t>87.7</w:t>
      </w:r>
      <w:r w:rsidR="000728E8">
        <w:rPr>
          <w:rFonts w:ascii="Book Antiqua" w:hAnsi="Book Antiqua" w:hint="eastAsia"/>
          <w:sz w:val="24"/>
          <w:szCs w:val="24"/>
        </w:rPr>
        <w:t xml:space="preserve"> </w:t>
      </w:r>
      <w:r w:rsidRPr="006212FF">
        <w:rPr>
          <w:rFonts w:ascii="Book Antiqua" w:hAnsi="Book Antiqua"/>
          <w:sz w:val="24"/>
          <w:szCs w:val="24"/>
        </w:rPr>
        <w:t>m</w:t>
      </w:r>
      <w:r w:rsidR="000728E8" w:rsidRPr="006212FF">
        <w:rPr>
          <w:rFonts w:ascii="Book Antiqua" w:hAnsi="Book Antiqua"/>
          <w:sz w:val="24"/>
          <w:szCs w:val="24"/>
        </w:rPr>
        <w:t>L</w:t>
      </w:r>
      <w:r w:rsidRPr="006212FF">
        <w:rPr>
          <w:rFonts w:ascii="Book Antiqua" w:hAnsi="Book Antiqua"/>
          <w:sz w:val="24"/>
          <w:szCs w:val="24"/>
        </w:rPr>
        <w:t xml:space="preserve">/min </w:t>
      </w:r>
      <w:r w:rsidR="00306099" w:rsidRPr="006212FF">
        <w:rPr>
          <w:rFonts w:ascii="Book Antiqua" w:hAnsi="Book Antiqua"/>
          <w:sz w:val="24"/>
          <w:szCs w:val="24"/>
        </w:rPr>
        <w:t>in EVR group</w:t>
      </w:r>
      <w:r w:rsidR="00306099" w:rsidRPr="000728E8">
        <w:rPr>
          <w:rFonts w:ascii="Book Antiqua" w:hAnsi="Book Antiqua"/>
          <w:i/>
          <w:sz w:val="24"/>
          <w:szCs w:val="24"/>
        </w:rPr>
        <w:t xml:space="preserve"> </w:t>
      </w:r>
      <w:proofErr w:type="spellStart"/>
      <w:r w:rsidRPr="000728E8">
        <w:rPr>
          <w:rFonts w:ascii="Book Antiqua" w:hAnsi="Book Antiqua"/>
          <w:i/>
          <w:sz w:val="24"/>
          <w:szCs w:val="24"/>
        </w:rPr>
        <w:t>vs</w:t>
      </w:r>
      <w:proofErr w:type="spellEnd"/>
      <w:r w:rsidRPr="006212FF">
        <w:rPr>
          <w:rFonts w:ascii="Book Antiqua" w:hAnsi="Book Antiqua"/>
          <w:sz w:val="24"/>
          <w:szCs w:val="24"/>
        </w:rPr>
        <w:t xml:space="preserve"> 59.9</w:t>
      </w:r>
      <w:r w:rsidR="000728E8">
        <w:rPr>
          <w:rFonts w:ascii="Book Antiqua" w:hAnsi="Book Antiqua" w:hint="eastAsia"/>
          <w:sz w:val="24"/>
          <w:szCs w:val="24"/>
        </w:rPr>
        <w:t xml:space="preserve"> </w:t>
      </w:r>
      <w:r w:rsidRPr="006212FF">
        <w:rPr>
          <w:rFonts w:ascii="Book Antiqua" w:hAnsi="Book Antiqua"/>
          <w:sz w:val="24"/>
          <w:szCs w:val="24"/>
        </w:rPr>
        <w:t>m</w:t>
      </w:r>
      <w:r w:rsidR="000728E8" w:rsidRPr="006212FF">
        <w:rPr>
          <w:rFonts w:ascii="Book Antiqua" w:hAnsi="Book Antiqua"/>
          <w:sz w:val="24"/>
          <w:szCs w:val="24"/>
        </w:rPr>
        <w:t>L</w:t>
      </w:r>
      <w:r w:rsidRPr="006212FF">
        <w:rPr>
          <w:rFonts w:ascii="Book Antiqua" w:hAnsi="Book Antiqua"/>
          <w:sz w:val="24"/>
          <w:szCs w:val="24"/>
        </w:rPr>
        <w:t>/min</w:t>
      </w:r>
      <w:r w:rsidR="00306099" w:rsidRPr="006212FF">
        <w:rPr>
          <w:rFonts w:ascii="Book Antiqua" w:hAnsi="Book Antiqua"/>
          <w:sz w:val="24"/>
          <w:szCs w:val="24"/>
        </w:rPr>
        <w:t xml:space="preserve"> in standard </w:t>
      </w:r>
      <w:proofErr w:type="spellStart"/>
      <w:r w:rsidR="00306099" w:rsidRPr="006212FF">
        <w:rPr>
          <w:rFonts w:ascii="Book Antiqua" w:hAnsi="Book Antiqua"/>
          <w:sz w:val="24"/>
          <w:szCs w:val="24"/>
        </w:rPr>
        <w:t>CsA</w:t>
      </w:r>
      <w:proofErr w:type="spellEnd"/>
      <w:r w:rsidR="00306099" w:rsidRPr="006212FF">
        <w:rPr>
          <w:rFonts w:ascii="Book Antiqua" w:hAnsi="Book Antiqua"/>
          <w:sz w:val="24"/>
          <w:szCs w:val="24"/>
        </w:rPr>
        <w:t xml:space="preserve"> group</w:t>
      </w:r>
      <w:r w:rsidRPr="006212FF">
        <w:rPr>
          <w:rFonts w:ascii="Book Antiqua" w:hAnsi="Book Antiqua"/>
          <w:sz w:val="24"/>
          <w:szCs w:val="24"/>
        </w:rPr>
        <w:t xml:space="preserve">) and reduced incidence of </w:t>
      </w:r>
      <w:r w:rsidR="007600BA" w:rsidRPr="006212FF">
        <w:rPr>
          <w:rFonts w:ascii="Book Antiqua" w:hAnsi="Book Antiqua"/>
          <w:sz w:val="24"/>
          <w:szCs w:val="24"/>
        </w:rPr>
        <w:t>chronic kidney disease (</w:t>
      </w:r>
      <w:r w:rsidRPr="006212FF">
        <w:rPr>
          <w:rFonts w:ascii="Book Antiqua" w:hAnsi="Book Antiqua"/>
          <w:sz w:val="24"/>
          <w:szCs w:val="24"/>
        </w:rPr>
        <w:t>CKD</w:t>
      </w:r>
      <w:r w:rsidR="007600BA" w:rsidRPr="006212FF">
        <w:rPr>
          <w:rFonts w:ascii="Book Antiqua" w:hAnsi="Book Antiqua"/>
          <w:sz w:val="24"/>
          <w:szCs w:val="24"/>
        </w:rPr>
        <w:t>)</w:t>
      </w:r>
      <w:r w:rsidRPr="006212FF">
        <w:rPr>
          <w:rFonts w:ascii="Book Antiqua" w:hAnsi="Book Antiqua"/>
          <w:sz w:val="24"/>
          <w:szCs w:val="24"/>
        </w:rPr>
        <w:t xml:space="preserve"> stage</w:t>
      </w:r>
      <w:r w:rsidR="000766D2" w:rsidRPr="006212FF">
        <w:rPr>
          <w:rFonts w:ascii="Book Antiqua" w:hAnsi="Book Antiqua"/>
          <w:sz w:val="24"/>
          <w:szCs w:val="24"/>
        </w:rPr>
        <w:t xml:space="preserve"> </w:t>
      </w:r>
      <w:r w:rsidRPr="006212FF">
        <w:rPr>
          <w:rFonts w:ascii="Book Antiqua" w:hAnsi="Book Antiqua"/>
          <w:sz w:val="24"/>
          <w:szCs w:val="24"/>
        </w:rPr>
        <w:t xml:space="preserve">≥ 3 (15.4% in EVR group </w:t>
      </w:r>
      <w:proofErr w:type="spellStart"/>
      <w:r w:rsidRPr="000728E8">
        <w:rPr>
          <w:rFonts w:ascii="Book Antiqua" w:hAnsi="Book Antiqua"/>
          <w:i/>
          <w:sz w:val="24"/>
          <w:szCs w:val="24"/>
        </w:rPr>
        <w:t>vs</w:t>
      </w:r>
      <w:proofErr w:type="spellEnd"/>
      <w:r w:rsidRPr="000728E8">
        <w:rPr>
          <w:rFonts w:ascii="Book Antiqua" w:hAnsi="Book Antiqua"/>
          <w:i/>
          <w:sz w:val="24"/>
          <w:szCs w:val="24"/>
        </w:rPr>
        <w:t xml:space="preserve"> </w:t>
      </w:r>
      <w:r w:rsidRPr="006212FF">
        <w:rPr>
          <w:rFonts w:ascii="Book Antiqua" w:hAnsi="Book Antiqua"/>
          <w:sz w:val="24"/>
          <w:szCs w:val="24"/>
        </w:rPr>
        <w:t xml:space="preserve">52.2% in </w:t>
      </w:r>
      <w:proofErr w:type="spellStart"/>
      <w:r w:rsidRPr="006212FF">
        <w:rPr>
          <w:rFonts w:ascii="Book Antiqua" w:hAnsi="Book Antiqua"/>
          <w:sz w:val="24"/>
          <w:szCs w:val="24"/>
        </w:rPr>
        <w:t>C</w:t>
      </w:r>
      <w:r w:rsidR="007E0154" w:rsidRPr="006212FF">
        <w:rPr>
          <w:rFonts w:ascii="Book Antiqua" w:hAnsi="Book Antiqua"/>
          <w:sz w:val="24"/>
          <w:szCs w:val="24"/>
        </w:rPr>
        <w:t>s</w:t>
      </w:r>
      <w:r w:rsidRPr="006212FF">
        <w:rPr>
          <w:rFonts w:ascii="Book Antiqua" w:hAnsi="Book Antiqua"/>
          <w:sz w:val="24"/>
          <w:szCs w:val="24"/>
        </w:rPr>
        <w:t>A</w:t>
      </w:r>
      <w:proofErr w:type="spellEnd"/>
      <w:r w:rsidRPr="006212FF">
        <w:rPr>
          <w:rFonts w:ascii="Book Antiqua" w:hAnsi="Book Antiqua"/>
          <w:sz w:val="24"/>
          <w:szCs w:val="24"/>
        </w:rPr>
        <w:t xml:space="preserve"> group</w:t>
      </w:r>
      <w:r w:rsidR="00B32364" w:rsidRPr="006212FF">
        <w:rPr>
          <w:rFonts w:ascii="Book Antiqua" w:hAnsi="Book Antiqua"/>
          <w:sz w:val="24"/>
          <w:szCs w:val="24"/>
        </w:rPr>
        <w:t xml:space="preserve">, </w:t>
      </w:r>
      <w:r w:rsidR="000728E8" w:rsidRPr="000728E8">
        <w:rPr>
          <w:rFonts w:ascii="Book Antiqua" w:hAnsi="Book Antiqua"/>
          <w:i/>
          <w:sz w:val="24"/>
          <w:szCs w:val="24"/>
        </w:rPr>
        <w:t>P</w:t>
      </w:r>
      <w:r w:rsidR="000728E8">
        <w:rPr>
          <w:rFonts w:ascii="Book Antiqua" w:hAnsi="Book Antiqua" w:hint="eastAsia"/>
          <w:sz w:val="24"/>
          <w:szCs w:val="24"/>
        </w:rPr>
        <w:t xml:space="preserve"> </w:t>
      </w:r>
      <w:r w:rsidR="00B32364" w:rsidRPr="006212FF">
        <w:rPr>
          <w:rFonts w:ascii="Book Antiqua" w:hAnsi="Book Antiqua"/>
          <w:sz w:val="24"/>
          <w:szCs w:val="24"/>
        </w:rPr>
        <w:t>=</w:t>
      </w:r>
      <w:r w:rsidR="000728E8">
        <w:rPr>
          <w:rFonts w:ascii="Book Antiqua" w:hAnsi="Book Antiqua" w:hint="eastAsia"/>
          <w:sz w:val="24"/>
          <w:szCs w:val="24"/>
        </w:rPr>
        <w:t xml:space="preserve"> </w:t>
      </w:r>
      <w:r w:rsidR="007E0154" w:rsidRPr="006212FF">
        <w:rPr>
          <w:rFonts w:ascii="Book Antiqua" w:hAnsi="Book Antiqua"/>
          <w:sz w:val="24"/>
          <w:szCs w:val="24"/>
        </w:rPr>
        <w:t>0.005</w:t>
      </w:r>
      <w:r w:rsidRPr="006212FF">
        <w:rPr>
          <w:rFonts w:ascii="Book Antiqua" w:hAnsi="Book Antiqua"/>
          <w:sz w:val="24"/>
          <w:szCs w:val="24"/>
        </w:rPr>
        <w:t>) at 1 year post</w:t>
      </w:r>
      <w:r w:rsidR="00B32364" w:rsidRPr="006212FF">
        <w:rPr>
          <w:rFonts w:ascii="Book Antiqua" w:hAnsi="Book Antiqua"/>
          <w:sz w:val="24"/>
          <w:szCs w:val="24"/>
        </w:rPr>
        <w:t>-LT</w:t>
      </w:r>
      <w:r w:rsidRPr="006212FF">
        <w:rPr>
          <w:rFonts w:ascii="Book Antiqua" w:hAnsi="Book Antiqua"/>
          <w:sz w:val="24"/>
          <w:szCs w:val="24"/>
        </w:rPr>
        <w:t>.</w:t>
      </w:r>
    </w:p>
    <w:p w14:paraId="4999D1C4" w14:textId="2920077B" w:rsidR="002D6F0B" w:rsidRPr="006212FF" w:rsidRDefault="002D6F0B" w:rsidP="000728E8">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In a </w:t>
      </w:r>
      <w:r w:rsidR="00723370" w:rsidRPr="006212FF">
        <w:rPr>
          <w:rFonts w:ascii="Book Antiqua" w:hAnsi="Book Antiqua"/>
          <w:sz w:val="24"/>
          <w:szCs w:val="24"/>
        </w:rPr>
        <w:t>single-center prospective</w:t>
      </w:r>
      <w:r w:rsidRPr="006212FF">
        <w:rPr>
          <w:rFonts w:ascii="Book Antiqua" w:hAnsi="Book Antiqua"/>
          <w:sz w:val="24"/>
          <w:szCs w:val="24"/>
        </w:rPr>
        <w:t xml:space="preserve"> cohort study, safety of EVR use in the early post-</w:t>
      </w:r>
      <w:r w:rsidR="000766D2" w:rsidRPr="006212FF">
        <w:rPr>
          <w:rFonts w:ascii="Book Antiqua" w:hAnsi="Book Antiqua"/>
          <w:sz w:val="24"/>
          <w:szCs w:val="24"/>
        </w:rPr>
        <w:t>LT</w:t>
      </w:r>
      <w:r w:rsidRPr="006212FF">
        <w:rPr>
          <w:rFonts w:ascii="Book Antiqua" w:hAnsi="Book Antiqua"/>
          <w:sz w:val="24"/>
          <w:szCs w:val="24"/>
        </w:rPr>
        <w:t xml:space="preserve"> was evaluated in 43 </w:t>
      </w:r>
      <w:r w:rsidR="000766D2" w:rsidRPr="006212FF">
        <w:rPr>
          <w:rFonts w:ascii="Book Antiqua" w:hAnsi="Book Antiqua"/>
          <w:sz w:val="24"/>
          <w:szCs w:val="24"/>
        </w:rPr>
        <w:t xml:space="preserve">living donor LT </w:t>
      </w:r>
      <w:proofErr w:type="gramStart"/>
      <w:r w:rsidR="000766D2" w:rsidRPr="006212FF">
        <w:rPr>
          <w:rFonts w:ascii="Book Antiqua" w:hAnsi="Book Antiqua"/>
          <w:sz w:val="24"/>
          <w:szCs w:val="24"/>
        </w:rPr>
        <w:t>recipients</w:t>
      </w:r>
      <w:r w:rsidR="00E65A6C" w:rsidRPr="006212FF">
        <w:rPr>
          <w:rFonts w:ascii="Book Antiqua" w:hAnsi="Book Antiqua"/>
          <w:sz w:val="24"/>
          <w:szCs w:val="24"/>
          <w:vertAlign w:val="superscript"/>
        </w:rPr>
        <w:t>[</w:t>
      </w:r>
      <w:proofErr w:type="gramEnd"/>
      <w:r w:rsidR="00E65A6C" w:rsidRPr="006212FF">
        <w:rPr>
          <w:rFonts w:ascii="Book Antiqua" w:hAnsi="Book Antiqua"/>
          <w:sz w:val="24"/>
          <w:szCs w:val="24"/>
          <w:vertAlign w:val="superscript"/>
        </w:rPr>
        <w:t>22]</w:t>
      </w:r>
      <w:r w:rsidRPr="006212FF">
        <w:rPr>
          <w:rFonts w:ascii="Book Antiqua" w:hAnsi="Book Antiqua"/>
          <w:sz w:val="24"/>
          <w:szCs w:val="24"/>
        </w:rPr>
        <w:t xml:space="preserve">. </w:t>
      </w:r>
      <w:r w:rsidR="00B211BD" w:rsidRPr="006212FF">
        <w:rPr>
          <w:rFonts w:ascii="Book Antiqua" w:hAnsi="Book Antiqua"/>
          <w:sz w:val="24"/>
          <w:szCs w:val="24"/>
        </w:rPr>
        <w:t xml:space="preserve">All patients received </w:t>
      </w:r>
      <w:proofErr w:type="spellStart"/>
      <w:r w:rsidR="00B211BD" w:rsidRPr="006212FF">
        <w:rPr>
          <w:rFonts w:ascii="Book Antiqua" w:hAnsi="Book Antiqua"/>
          <w:sz w:val="24"/>
          <w:szCs w:val="24"/>
        </w:rPr>
        <w:t>bas</w:t>
      </w:r>
      <w:r w:rsidR="00603590" w:rsidRPr="006212FF">
        <w:rPr>
          <w:rFonts w:ascii="Book Antiqua" w:hAnsi="Book Antiqua"/>
          <w:sz w:val="24"/>
          <w:szCs w:val="24"/>
        </w:rPr>
        <w:t>iliximab</w:t>
      </w:r>
      <w:proofErr w:type="spellEnd"/>
      <w:r w:rsidR="00603590" w:rsidRPr="006212FF">
        <w:rPr>
          <w:rFonts w:ascii="Book Antiqua" w:hAnsi="Book Antiqua"/>
          <w:sz w:val="24"/>
          <w:szCs w:val="24"/>
        </w:rPr>
        <w:t xml:space="preserve">, steroid, </w:t>
      </w:r>
      <w:r w:rsidR="000766D2" w:rsidRPr="006212FF">
        <w:rPr>
          <w:rFonts w:ascii="Book Antiqua" w:hAnsi="Book Antiqua"/>
          <w:sz w:val="24"/>
          <w:szCs w:val="24"/>
        </w:rPr>
        <w:t>FK</w:t>
      </w:r>
      <w:r w:rsidR="00603590" w:rsidRPr="006212FF">
        <w:rPr>
          <w:rFonts w:ascii="Book Antiqua" w:hAnsi="Book Antiqua"/>
          <w:sz w:val="24"/>
          <w:szCs w:val="24"/>
        </w:rPr>
        <w:t xml:space="preserve"> and MMF as immunosuppressive therapy where s</w:t>
      </w:r>
      <w:r w:rsidR="00B211BD" w:rsidRPr="006212FF">
        <w:rPr>
          <w:rFonts w:ascii="Book Antiqua" w:hAnsi="Book Antiqua"/>
          <w:sz w:val="24"/>
          <w:szCs w:val="24"/>
        </w:rPr>
        <w:t>teroid was discontinued</w:t>
      </w:r>
      <w:r w:rsidR="000728E8">
        <w:rPr>
          <w:rFonts w:ascii="Book Antiqua" w:hAnsi="Book Antiqua"/>
          <w:sz w:val="24"/>
          <w:szCs w:val="24"/>
        </w:rPr>
        <w:t xml:space="preserve"> after 2 </w:t>
      </w:r>
      <w:proofErr w:type="spellStart"/>
      <w:r w:rsidR="000728E8">
        <w:rPr>
          <w:rFonts w:ascii="Book Antiqua" w:hAnsi="Book Antiqua"/>
          <w:sz w:val="24"/>
          <w:szCs w:val="24"/>
        </w:rPr>
        <w:t>wk</w:t>
      </w:r>
      <w:proofErr w:type="spellEnd"/>
      <w:r w:rsidR="00603590" w:rsidRPr="006212FF">
        <w:rPr>
          <w:rFonts w:ascii="Book Antiqua" w:hAnsi="Book Antiqua"/>
          <w:sz w:val="24"/>
          <w:szCs w:val="24"/>
        </w:rPr>
        <w:t xml:space="preserve"> from transplant and </w:t>
      </w:r>
      <w:r w:rsidR="00B211BD" w:rsidRPr="006212FF">
        <w:rPr>
          <w:rFonts w:ascii="Book Antiqua" w:hAnsi="Book Antiqua"/>
          <w:sz w:val="24"/>
          <w:szCs w:val="24"/>
        </w:rPr>
        <w:t>FK was maintained at C</w:t>
      </w:r>
      <w:r w:rsidR="00B211BD" w:rsidRPr="006212FF">
        <w:rPr>
          <w:rFonts w:ascii="Book Antiqua" w:hAnsi="Book Antiqua"/>
          <w:sz w:val="24"/>
          <w:szCs w:val="24"/>
          <w:vertAlign w:val="subscript"/>
        </w:rPr>
        <w:t>0</w:t>
      </w:r>
      <w:r w:rsidR="00B211BD" w:rsidRPr="006212FF">
        <w:rPr>
          <w:rFonts w:ascii="Book Antiqua" w:hAnsi="Book Antiqua"/>
          <w:sz w:val="24"/>
          <w:szCs w:val="24"/>
        </w:rPr>
        <w:t xml:space="preserve"> of 8-10</w:t>
      </w:r>
      <w:r w:rsidR="000728E8">
        <w:rPr>
          <w:rFonts w:ascii="Book Antiqua" w:hAnsi="Book Antiqua" w:hint="eastAsia"/>
          <w:sz w:val="24"/>
          <w:szCs w:val="24"/>
        </w:rPr>
        <w:t xml:space="preserve"> </w:t>
      </w:r>
      <w:proofErr w:type="spellStart"/>
      <w:r w:rsidR="00B211BD" w:rsidRPr="006212FF">
        <w:rPr>
          <w:rFonts w:ascii="Book Antiqua" w:hAnsi="Book Antiqua"/>
          <w:sz w:val="24"/>
          <w:szCs w:val="24"/>
        </w:rPr>
        <w:t>ng</w:t>
      </w:r>
      <w:proofErr w:type="spellEnd"/>
      <w:r w:rsidR="00B211BD" w:rsidRPr="006212FF">
        <w:rPr>
          <w:rFonts w:ascii="Book Antiqua" w:hAnsi="Book Antiqua"/>
          <w:sz w:val="24"/>
          <w:szCs w:val="24"/>
        </w:rPr>
        <w:t>/</w:t>
      </w:r>
      <w:proofErr w:type="spellStart"/>
      <w:r w:rsidR="00B211BD" w:rsidRPr="006212FF">
        <w:rPr>
          <w:rFonts w:ascii="Book Antiqua" w:hAnsi="Book Antiqua"/>
          <w:sz w:val="24"/>
          <w:szCs w:val="24"/>
        </w:rPr>
        <w:t>mL</w:t>
      </w:r>
      <w:r w:rsidR="00603590" w:rsidRPr="006212FF">
        <w:rPr>
          <w:rFonts w:ascii="Book Antiqua" w:hAnsi="Book Antiqua"/>
          <w:sz w:val="24"/>
          <w:szCs w:val="24"/>
        </w:rPr>
        <w:t>.</w:t>
      </w:r>
      <w:proofErr w:type="spellEnd"/>
      <w:r w:rsidR="00603590" w:rsidRPr="006212FF">
        <w:rPr>
          <w:rFonts w:ascii="Book Antiqua" w:hAnsi="Book Antiqua"/>
          <w:sz w:val="24"/>
          <w:szCs w:val="24"/>
        </w:rPr>
        <w:t xml:space="preserve"> EVR was introduced from low dose of 0.25</w:t>
      </w:r>
      <w:r w:rsidR="000728E8">
        <w:rPr>
          <w:rFonts w:ascii="Book Antiqua" w:hAnsi="Book Antiqua" w:hint="eastAsia"/>
          <w:sz w:val="24"/>
          <w:szCs w:val="24"/>
        </w:rPr>
        <w:t xml:space="preserve"> </w:t>
      </w:r>
      <w:r w:rsidR="00603590" w:rsidRPr="006212FF">
        <w:rPr>
          <w:rFonts w:ascii="Book Antiqua" w:hAnsi="Book Antiqua"/>
          <w:sz w:val="24"/>
          <w:szCs w:val="24"/>
        </w:rPr>
        <w:t>mg BD and titrate</w:t>
      </w:r>
      <w:r w:rsidR="00723370" w:rsidRPr="006212FF">
        <w:rPr>
          <w:rFonts w:ascii="Book Antiqua" w:hAnsi="Book Antiqua"/>
          <w:sz w:val="24"/>
          <w:szCs w:val="24"/>
        </w:rPr>
        <w:t>d</w:t>
      </w:r>
      <w:r w:rsidR="00603590" w:rsidRPr="006212FF">
        <w:rPr>
          <w:rFonts w:ascii="Book Antiqua" w:hAnsi="Book Antiqua"/>
          <w:sz w:val="24"/>
          <w:szCs w:val="24"/>
        </w:rPr>
        <w:t xml:space="preserve"> to 0.5</w:t>
      </w:r>
      <w:r w:rsidR="000728E8">
        <w:rPr>
          <w:rFonts w:ascii="Book Antiqua" w:hAnsi="Book Antiqua" w:hint="eastAsia"/>
          <w:sz w:val="24"/>
          <w:szCs w:val="24"/>
        </w:rPr>
        <w:t xml:space="preserve"> </w:t>
      </w:r>
      <w:r w:rsidR="00603590" w:rsidRPr="006212FF">
        <w:rPr>
          <w:rFonts w:ascii="Book Antiqua" w:hAnsi="Book Antiqua"/>
          <w:sz w:val="24"/>
          <w:szCs w:val="24"/>
        </w:rPr>
        <w:t>mg BD to achieve C</w:t>
      </w:r>
      <w:r w:rsidR="00603590" w:rsidRPr="006212FF">
        <w:rPr>
          <w:rFonts w:ascii="Book Antiqua" w:hAnsi="Book Antiqua"/>
          <w:sz w:val="24"/>
          <w:szCs w:val="24"/>
          <w:vertAlign w:val="subscript"/>
        </w:rPr>
        <w:t>0</w:t>
      </w:r>
      <w:r w:rsidR="00603590" w:rsidRPr="006212FF">
        <w:rPr>
          <w:rFonts w:ascii="Book Antiqua" w:hAnsi="Book Antiqua"/>
          <w:sz w:val="24"/>
          <w:szCs w:val="24"/>
        </w:rPr>
        <w:t xml:space="preserve"> of 3-5</w:t>
      </w:r>
      <w:r w:rsidR="000728E8">
        <w:rPr>
          <w:rFonts w:ascii="Book Antiqua" w:hAnsi="Book Antiqua" w:hint="eastAsia"/>
          <w:sz w:val="24"/>
          <w:szCs w:val="24"/>
        </w:rPr>
        <w:t xml:space="preserve"> </w:t>
      </w:r>
      <w:proofErr w:type="spellStart"/>
      <w:r w:rsidR="00603590" w:rsidRPr="006212FF">
        <w:rPr>
          <w:rFonts w:ascii="Book Antiqua" w:hAnsi="Book Antiqua"/>
          <w:sz w:val="24"/>
          <w:szCs w:val="24"/>
        </w:rPr>
        <w:t>ng</w:t>
      </w:r>
      <w:proofErr w:type="spellEnd"/>
      <w:r w:rsidR="00603590" w:rsidRPr="006212FF">
        <w:rPr>
          <w:rFonts w:ascii="Book Antiqua" w:hAnsi="Book Antiqua"/>
          <w:sz w:val="24"/>
          <w:szCs w:val="24"/>
        </w:rPr>
        <w:t>/mL while FK was kept at C</w:t>
      </w:r>
      <w:r w:rsidR="00603590" w:rsidRPr="006212FF">
        <w:rPr>
          <w:rFonts w:ascii="Book Antiqua" w:hAnsi="Book Antiqua"/>
          <w:sz w:val="24"/>
          <w:szCs w:val="24"/>
          <w:vertAlign w:val="subscript"/>
        </w:rPr>
        <w:t>0</w:t>
      </w:r>
      <w:r w:rsidR="006B2B9A" w:rsidRPr="006212FF">
        <w:rPr>
          <w:rFonts w:ascii="Book Antiqua" w:hAnsi="Book Antiqua"/>
          <w:sz w:val="24"/>
          <w:szCs w:val="24"/>
        </w:rPr>
        <w:t xml:space="preserve"> of 6-8</w:t>
      </w:r>
      <w:r w:rsidR="000728E8">
        <w:rPr>
          <w:rFonts w:ascii="Book Antiqua" w:hAnsi="Book Antiqua" w:hint="eastAsia"/>
          <w:sz w:val="24"/>
          <w:szCs w:val="24"/>
        </w:rPr>
        <w:t xml:space="preserve"> </w:t>
      </w:r>
      <w:proofErr w:type="spellStart"/>
      <w:r w:rsidR="006B2B9A" w:rsidRPr="006212FF">
        <w:rPr>
          <w:rFonts w:ascii="Book Antiqua" w:hAnsi="Book Antiqua"/>
          <w:sz w:val="24"/>
          <w:szCs w:val="24"/>
        </w:rPr>
        <w:t>ng</w:t>
      </w:r>
      <w:proofErr w:type="spellEnd"/>
      <w:r w:rsidR="006B2B9A" w:rsidRPr="006212FF">
        <w:rPr>
          <w:rFonts w:ascii="Book Antiqua" w:hAnsi="Book Antiqua"/>
          <w:sz w:val="24"/>
          <w:szCs w:val="24"/>
        </w:rPr>
        <w:t>/</w:t>
      </w:r>
      <w:proofErr w:type="spellStart"/>
      <w:r w:rsidR="006B2B9A" w:rsidRPr="006212FF">
        <w:rPr>
          <w:rFonts w:ascii="Book Antiqua" w:hAnsi="Book Antiqua"/>
          <w:sz w:val="24"/>
          <w:szCs w:val="24"/>
        </w:rPr>
        <w:t>mL.</w:t>
      </w:r>
      <w:proofErr w:type="spellEnd"/>
      <w:r w:rsidR="006B2B9A" w:rsidRPr="006212FF">
        <w:rPr>
          <w:rFonts w:ascii="Book Antiqua" w:hAnsi="Book Antiqua"/>
          <w:sz w:val="24"/>
          <w:szCs w:val="24"/>
        </w:rPr>
        <w:t xml:space="preserve"> </w:t>
      </w:r>
      <w:r w:rsidRPr="006212FF">
        <w:rPr>
          <w:rFonts w:ascii="Book Antiqua" w:hAnsi="Book Antiqua"/>
          <w:sz w:val="24"/>
          <w:szCs w:val="24"/>
        </w:rPr>
        <w:t>Mean time for EVR initiation was 12</w:t>
      </w:r>
      <w:r w:rsidR="000766D2" w:rsidRPr="006212FF">
        <w:rPr>
          <w:rFonts w:ascii="Book Antiqua" w:hAnsi="Book Antiqua"/>
          <w:sz w:val="24"/>
          <w:szCs w:val="24"/>
        </w:rPr>
        <w:t xml:space="preserve"> </w:t>
      </w:r>
      <w:r w:rsidRPr="006212FF">
        <w:rPr>
          <w:rFonts w:ascii="Book Antiqua" w:hAnsi="Book Antiqua"/>
          <w:sz w:val="24"/>
          <w:szCs w:val="24"/>
        </w:rPr>
        <w:t>±</w:t>
      </w:r>
      <w:r w:rsidR="000766D2" w:rsidRPr="006212FF">
        <w:rPr>
          <w:rFonts w:ascii="Book Antiqua" w:hAnsi="Book Antiqua"/>
          <w:sz w:val="24"/>
          <w:szCs w:val="24"/>
        </w:rPr>
        <w:t xml:space="preserve"> </w:t>
      </w:r>
      <w:r w:rsidRPr="006212FF">
        <w:rPr>
          <w:rFonts w:ascii="Book Antiqua" w:hAnsi="Book Antiqua"/>
          <w:sz w:val="24"/>
          <w:szCs w:val="24"/>
        </w:rPr>
        <w:t>8 d (</w:t>
      </w:r>
      <w:r w:rsidR="000766D2" w:rsidRPr="006212FF">
        <w:rPr>
          <w:rFonts w:ascii="Book Antiqua" w:hAnsi="Book Antiqua"/>
          <w:sz w:val="24"/>
          <w:szCs w:val="24"/>
        </w:rPr>
        <w:t xml:space="preserve">range: </w:t>
      </w:r>
      <w:r w:rsidR="00B211BD" w:rsidRPr="006212FF">
        <w:rPr>
          <w:rFonts w:ascii="Book Antiqua" w:hAnsi="Book Antiqua"/>
          <w:sz w:val="24"/>
          <w:szCs w:val="24"/>
        </w:rPr>
        <w:t>4</w:t>
      </w:r>
      <w:r w:rsidR="000728E8">
        <w:rPr>
          <w:rFonts w:ascii="Book Antiqua" w:hAnsi="Book Antiqua" w:hint="eastAsia"/>
          <w:sz w:val="24"/>
          <w:szCs w:val="24"/>
        </w:rPr>
        <w:t>-</w:t>
      </w:r>
      <w:r w:rsidR="00B211BD" w:rsidRPr="006212FF">
        <w:rPr>
          <w:rFonts w:ascii="Book Antiqua" w:hAnsi="Book Antiqua"/>
          <w:sz w:val="24"/>
          <w:szCs w:val="24"/>
        </w:rPr>
        <w:t xml:space="preserve">20 d) from transplant where 33 patients </w:t>
      </w:r>
      <w:r w:rsidR="000766D2" w:rsidRPr="006212FF">
        <w:rPr>
          <w:rFonts w:ascii="Book Antiqua" w:hAnsi="Book Antiqua"/>
          <w:sz w:val="24"/>
          <w:szCs w:val="24"/>
        </w:rPr>
        <w:t xml:space="preserve">were initiated </w:t>
      </w:r>
      <w:r w:rsidR="00B211BD" w:rsidRPr="006212FF">
        <w:rPr>
          <w:rFonts w:ascii="Book Antiqua" w:hAnsi="Book Antiqua"/>
          <w:sz w:val="24"/>
          <w:szCs w:val="24"/>
        </w:rPr>
        <w:t>within</w:t>
      </w:r>
      <w:r w:rsidR="000766D2" w:rsidRPr="006212FF">
        <w:rPr>
          <w:rFonts w:ascii="Book Antiqua" w:hAnsi="Book Antiqua"/>
          <w:sz w:val="24"/>
          <w:szCs w:val="24"/>
        </w:rPr>
        <w:t xml:space="preserve"> the</w:t>
      </w:r>
      <w:r w:rsidR="00B211BD" w:rsidRPr="006212FF">
        <w:rPr>
          <w:rFonts w:ascii="Book Antiqua" w:hAnsi="Book Antiqua"/>
          <w:sz w:val="24"/>
          <w:szCs w:val="24"/>
        </w:rPr>
        <w:t xml:space="preserve"> 1</w:t>
      </w:r>
      <w:r w:rsidR="00B211BD" w:rsidRPr="006212FF">
        <w:rPr>
          <w:rFonts w:ascii="Book Antiqua" w:hAnsi="Book Antiqua"/>
          <w:sz w:val="24"/>
          <w:szCs w:val="24"/>
          <w:vertAlign w:val="superscript"/>
        </w:rPr>
        <w:t>st</w:t>
      </w:r>
      <w:r w:rsidR="00B211BD" w:rsidRPr="006212FF">
        <w:rPr>
          <w:rFonts w:ascii="Book Antiqua" w:hAnsi="Book Antiqua"/>
          <w:sz w:val="24"/>
          <w:szCs w:val="24"/>
        </w:rPr>
        <w:t xml:space="preserve"> week, 9 patients within </w:t>
      </w:r>
      <w:r w:rsidR="000766D2" w:rsidRPr="006212FF">
        <w:rPr>
          <w:rFonts w:ascii="Book Antiqua" w:hAnsi="Book Antiqua"/>
          <w:sz w:val="24"/>
          <w:szCs w:val="24"/>
        </w:rPr>
        <w:t xml:space="preserve">the </w:t>
      </w:r>
      <w:r w:rsidR="00B211BD" w:rsidRPr="006212FF">
        <w:rPr>
          <w:rFonts w:ascii="Book Antiqua" w:hAnsi="Book Antiqua"/>
          <w:sz w:val="24"/>
          <w:szCs w:val="24"/>
        </w:rPr>
        <w:t>2</w:t>
      </w:r>
      <w:r w:rsidR="00B211BD" w:rsidRPr="006212FF">
        <w:rPr>
          <w:rFonts w:ascii="Book Antiqua" w:hAnsi="Book Antiqua"/>
          <w:sz w:val="24"/>
          <w:szCs w:val="24"/>
          <w:vertAlign w:val="superscript"/>
        </w:rPr>
        <w:t>nd</w:t>
      </w:r>
      <w:r w:rsidR="00B211BD" w:rsidRPr="006212FF">
        <w:rPr>
          <w:rFonts w:ascii="Book Antiqua" w:hAnsi="Book Antiqua"/>
          <w:sz w:val="24"/>
          <w:szCs w:val="24"/>
        </w:rPr>
        <w:t xml:space="preserve"> week and 1 patient on day 20. </w:t>
      </w:r>
      <w:r w:rsidR="00AD07BD" w:rsidRPr="006212FF">
        <w:rPr>
          <w:rFonts w:ascii="Book Antiqua" w:hAnsi="Book Antiqua"/>
          <w:sz w:val="24"/>
          <w:szCs w:val="24"/>
        </w:rPr>
        <w:t>EVR was continued for</w:t>
      </w:r>
      <w:r w:rsidR="00723370" w:rsidRPr="006212FF">
        <w:rPr>
          <w:rFonts w:ascii="Book Antiqua" w:hAnsi="Book Antiqua"/>
          <w:sz w:val="24"/>
          <w:szCs w:val="24"/>
        </w:rPr>
        <w:t xml:space="preserve"> an average of 97 </w:t>
      </w:r>
      <w:r w:rsidR="000766D2" w:rsidRPr="006212FF">
        <w:rPr>
          <w:rFonts w:ascii="Book Antiqua" w:hAnsi="Book Antiqua"/>
          <w:sz w:val="24"/>
          <w:szCs w:val="24"/>
        </w:rPr>
        <w:t xml:space="preserve">d </w:t>
      </w:r>
      <w:r w:rsidR="00AD07BD" w:rsidRPr="006212FF">
        <w:rPr>
          <w:rFonts w:ascii="Book Antiqua" w:hAnsi="Book Antiqua"/>
          <w:sz w:val="24"/>
          <w:szCs w:val="24"/>
        </w:rPr>
        <w:t>(range</w:t>
      </w:r>
      <w:r w:rsidR="000766D2" w:rsidRPr="006212FF">
        <w:rPr>
          <w:rFonts w:ascii="Book Antiqua" w:hAnsi="Book Antiqua"/>
          <w:sz w:val="24"/>
          <w:szCs w:val="24"/>
        </w:rPr>
        <w:t>:</w:t>
      </w:r>
      <w:r w:rsidR="00AD07BD" w:rsidRPr="006212FF">
        <w:rPr>
          <w:rFonts w:ascii="Book Antiqua" w:hAnsi="Book Antiqua"/>
          <w:sz w:val="24"/>
          <w:szCs w:val="24"/>
        </w:rPr>
        <w:t xml:space="preserve"> 26</w:t>
      </w:r>
      <w:r w:rsidR="003106F2">
        <w:rPr>
          <w:rFonts w:ascii="Book Antiqua" w:hAnsi="Book Antiqua" w:hint="eastAsia"/>
          <w:sz w:val="24"/>
          <w:szCs w:val="24"/>
        </w:rPr>
        <w:t>-</w:t>
      </w:r>
      <w:r w:rsidR="00AD07BD" w:rsidRPr="006212FF">
        <w:rPr>
          <w:rFonts w:ascii="Book Antiqua" w:hAnsi="Book Antiqua"/>
          <w:sz w:val="24"/>
          <w:szCs w:val="24"/>
        </w:rPr>
        <w:t>190</w:t>
      </w:r>
      <w:r w:rsidR="000766D2" w:rsidRPr="006212FF">
        <w:rPr>
          <w:rFonts w:ascii="Book Antiqua" w:hAnsi="Book Antiqua"/>
          <w:sz w:val="24"/>
          <w:szCs w:val="24"/>
        </w:rPr>
        <w:t xml:space="preserve"> d</w:t>
      </w:r>
      <w:r w:rsidR="00723370" w:rsidRPr="006212FF">
        <w:rPr>
          <w:rFonts w:ascii="Book Antiqua" w:hAnsi="Book Antiqua"/>
          <w:sz w:val="24"/>
          <w:szCs w:val="24"/>
        </w:rPr>
        <w:t>) from transplant</w:t>
      </w:r>
      <w:r w:rsidR="00AD07BD" w:rsidRPr="006212FF">
        <w:rPr>
          <w:rFonts w:ascii="Book Antiqua" w:hAnsi="Book Antiqua"/>
          <w:sz w:val="24"/>
          <w:szCs w:val="24"/>
        </w:rPr>
        <w:t>. The</w:t>
      </w:r>
      <w:r w:rsidR="00723370" w:rsidRPr="006212FF">
        <w:rPr>
          <w:rFonts w:ascii="Book Antiqua" w:hAnsi="Book Antiqua"/>
          <w:sz w:val="24"/>
          <w:szCs w:val="24"/>
        </w:rPr>
        <w:t xml:space="preserve"> </w:t>
      </w:r>
      <w:r w:rsidR="00AD07BD" w:rsidRPr="006212FF">
        <w:rPr>
          <w:rFonts w:ascii="Book Antiqua" w:hAnsi="Book Antiqua"/>
          <w:sz w:val="24"/>
          <w:szCs w:val="24"/>
        </w:rPr>
        <w:t xml:space="preserve">mean </w:t>
      </w:r>
      <w:r w:rsidR="00723370" w:rsidRPr="006212FF">
        <w:rPr>
          <w:rFonts w:ascii="Book Antiqua" w:hAnsi="Book Antiqua"/>
          <w:sz w:val="24"/>
          <w:szCs w:val="24"/>
        </w:rPr>
        <w:t xml:space="preserve">follow up </w:t>
      </w:r>
      <w:r w:rsidR="00AD07BD" w:rsidRPr="006212FF">
        <w:rPr>
          <w:rFonts w:ascii="Book Antiqua" w:hAnsi="Book Antiqua"/>
          <w:sz w:val="24"/>
          <w:szCs w:val="24"/>
        </w:rPr>
        <w:t>was 9</w:t>
      </w:r>
      <w:r w:rsidR="000766D2" w:rsidRPr="006212FF">
        <w:rPr>
          <w:rFonts w:ascii="Book Antiqua" w:hAnsi="Book Antiqua"/>
          <w:sz w:val="24"/>
          <w:szCs w:val="24"/>
        </w:rPr>
        <w:t xml:space="preserve"> </w:t>
      </w:r>
      <w:r w:rsidR="00AD07BD" w:rsidRPr="006212FF">
        <w:rPr>
          <w:rFonts w:ascii="Book Antiqua" w:hAnsi="Book Antiqua"/>
          <w:sz w:val="24"/>
          <w:szCs w:val="24"/>
        </w:rPr>
        <w:t>±</w:t>
      </w:r>
      <w:r w:rsidR="000766D2" w:rsidRPr="006212FF">
        <w:rPr>
          <w:rFonts w:ascii="Book Antiqua" w:hAnsi="Book Antiqua"/>
          <w:sz w:val="24"/>
          <w:szCs w:val="24"/>
        </w:rPr>
        <w:t xml:space="preserve"> </w:t>
      </w:r>
      <w:r w:rsidR="00AD07BD" w:rsidRPr="006212FF">
        <w:rPr>
          <w:rFonts w:ascii="Book Antiqua" w:hAnsi="Book Antiqua"/>
          <w:sz w:val="24"/>
          <w:szCs w:val="24"/>
        </w:rPr>
        <w:t xml:space="preserve">6 </w:t>
      </w:r>
      <w:proofErr w:type="spellStart"/>
      <w:r w:rsidR="000766D2" w:rsidRPr="006212FF">
        <w:rPr>
          <w:rFonts w:ascii="Book Antiqua" w:hAnsi="Book Antiqua"/>
          <w:sz w:val="24"/>
          <w:szCs w:val="24"/>
        </w:rPr>
        <w:t>mo</w:t>
      </w:r>
      <w:proofErr w:type="spellEnd"/>
      <w:r w:rsidR="000766D2" w:rsidRPr="006212FF">
        <w:rPr>
          <w:rFonts w:ascii="Book Antiqua" w:hAnsi="Book Antiqua"/>
          <w:sz w:val="24"/>
          <w:szCs w:val="24"/>
        </w:rPr>
        <w:t xml:space="preserve"> </w:t>
      </w:r>
      <w:r w:rsidR="00AD07BD" w:rsidRPr="006212FF">
        <w:rPr>
          <w:rFonts w:ascii="Book Antiqua" w:hAnsi="Book Antiqua"/>
          <w:sz w:val="24"/>
          <w:szCs w:val="24"/>
        </w:rPr>
        <w:t>(range</w:t>
      </w:r>
      <w:r w:rsidR="000766D2" w:rsidRPr="006212FF">
        <w:rPr>
          <w:rFonts w:ascii="Book Antiqua" w:hAnsi="Book Antiqua"/>
          <w:sz w:val="24"/>
          <w:szCs w:val="24"/>
        </w:rPr>
        <w:t>:</w:t>
      </w:r>
      <w:r w:rsidR="00AD07BD" w:rsidRPr="006212FF">
        <w:rPr>
          <w:rFonts w:ascii="Book Antiqua" w:hAnsi="Book Antiqua"/>
          <w:sz w:val="24"/>
          <w:szCs w:val="24"/>
        </w:rPr>
        <w:t xml:space="preserve"> 3</w:t>
      </w:r>
      <w:r w:rsidR="003106F2">
        <w:rPr>
          <w:rFonts w:ascii="Book Antiqua" w:hAnsi="Book Antiqua" w:hint="eastAsia"/>
          <w:sz w:val="24"/>
          <w:szCs w:val="24"/>
        </w:rPr>
        <w:t>-</w:t>
      </w:r>
      <w:r w:rsidR="00AD07BD" w:rsidRPr="006212FF">
        <w:rPr>
          <w:rFonts w:ascii="Book Antiqua" w:hAnsi="Book Antiqua"/>
          <w:sz w:val="24"/>
          <w:szCs w:val="24"/>
        </w:rPr>
        <w:t>15</w:t>
      </w:r>
      <w:r w:rsidR="000766D2" w:rsidRPr="006212FF">
        <w:rPr>
          <w:rFonts w:ascii="Book Antiqua" w:hAnsi="Book Antiqua"/>
          <w:sz w:val="24"/>
          <w:szCs w:val="24"/>
        </w:rPr>
        <w:t xml:space="preserve"> </w:t>
      </w:r>
      <w:proofErr w:type="spellStart"/>
      <w:r w:rsidR="000766D2" w:rsidRPr="006212FF">
        <w:rPr>
          <w:rFonts w:ascii="Book Antiqua" w:hAnsi="Book Antiqua"/>
          <w:sz w:val="24"/>
          <w:szCs w:val="24"/>
        </w:rPr>
        <w:t>mo</w:t>
      </w:r>
      <w:proofErr w:type="spellEnd"/>
      <w:r w:rsidR="00AD07BD" w:rsidRPr="006212FF">
        <w:rPr>
          <w:rFonts w:ascii="Book Antiqua" w:hAnsi="Book Antiqua"/>
          <w:sz w:val="24"/>
          <w:szCs w:val="24"/>
        </w:rPr>
        <w:t xml:space="preserve">) </w:t>
      </w:r>
      <w:r w:rsidR="00723370" w:rsidRPr="006212FF">
        <w:rPr>
          <w:rFonts w:ascii="Book Antiqua" w:hAnsi="Book Antiqua"/>
          <w:sz w:val="24"/>
          <w:szCs w:val="24"/>
        </w:rPr>
        <w:t xml:space="preserve">till discontinuation of EVR or death. </w:t>
      </w:r>
      <w:r w:rsidR="00AD07BD" w:rsidRPr="006212FF">
        <w:rPr>
          <w:rFonts w:ascii="Book Antiqua" w:hAnsi="Book Antiqua"/>
          <w:sz w:val="24"/>
          <w:szCs w:val="24"/>
        </w:rPr>
        <w:t>No acute rejection</w:t>
      </w:r>
      <w:r w:rsidR="0098224A" w:rsidRPr="006212FF">
        <w:rPr>
          <w:rFonts w:ascii="Book Antiqua" w:hAnsi="Book Antiqua"/>
          <w:sz w:val="24"/>
          <w:szCs w:val="24"/>
        </w:rPr>
        <w:t xml:space="preserve"> episodes were reported.</w:t>
      </w:r>
      <w:r w:rsidR="00723370" w:rsidRPr="006212FF">
        <w:rPr>
          <w:rFonts w:ascii="Book Antiqua" w:hAnsi="Book Antiqua"/>
          <w:sz w:val="24"/>
          <w:szCs w:val="24"/>
        </w:rPr>
        <w:t xml:space="preserve"> </w:t>
      </w:r>
    </w:p>
    <w:p w14:paraId="3AF0DE92" w14:textId="1DD580CC" w:rsidR="004F5667" w:rsidRPr="006212FF" w:rsidRDefault="00863EA5" w:rsidP="003106F2">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In a retrospective study, </w:t>
      </w:r>
      <w:proofErr w:type="spellStart"/>
      <w:r w:rsidRPr="006212FF">
        <w:rPr>
          <w:rFonts w:ascii="Book Antiqua" w:hAnsi="Book Antiqua"/>
          <w:sz w:val="24"/>
          <w:szCs w:val="24"/>
        </w:rPr>
        <w:t>Gastaca</w:t>
      </w:r>
      <w:proofErr w:type="spellEnd"/>
      <w:r w:rsidRPr="003106F2">
        <w:rPr>
          <w:rFonts w:ascii="Book Antiqua" w:hAnsi="Book Antiqua"/>
          <w:i/>
          <w:sz w:val="24"/>
          <w:szCs w:val="24"/>
        </w:rPr>
        <w:t xml:space="preserve"> et </w:t>
      </w:r>
      <w:proofErr w:type="gramStart"/>
      <w:r w:rsidRPr="003106F2">
        <w:rPr>
          <w:rFonts w:ascii="Book Antiqua" w:hAnsi="Book Antiqua"/>
          <w:i/>
          <w:sz w:val="24"/>
          <w:szCs w:val="24"/>
        </w:rPr>
        <w:t>al</w:t>
      </w:r>
      <w:r w:rsidR="003106F2" w:rsidRPr="006212FF">
        <w:rPr>
          <w:rFonts w:ascii="Book Antiqua" w:hAnsi="Book Antiqua"/>
          <w:sz w:val="24"/>
          <w:szCs w:val="24"/>
          <w:vertAlign w:val="superscript"/>
        </w:rPr>
        <w:t>[</w:t>
      </w:r>
      <w:proofErr w:type="gramEnd"/>
      <w:r w:rsidR="003106F2" w:rsidRPr="006212FF">
        <w:rPr>
          <w:rFonts w:ascii="Book Antiqua" w:hAnsi="Book Antiqua"/>
          <w:sz w:val="24"/>
          <w:szCs w:val="24"/>
          <w:vertAlign w:val="superscript"/>
        </w:rPr>
        <w:t>23]</w:t>
      </w:r>
      <w:r w:rsidRPr="006212FF">
        <w:rPr>
          <w:rFonts w:ascii="Book Antiqua" w:hAnsi="Book Antiqua"/>
          <w:sz w:val="24"/>
          <w:szCs w:val="24"/>
        </w:rPr>
        <w:t xml:space="preserve"> reported 92.7% patient survival </w:t>
      </w:r>
      <w:r w:rsidR="000B2C7E" w:rsidRPr="006212FF">
        <w:rPr>
          <w:rFonts w:ascii="Book Antiqua" w:hAnsi="Book Antiqua"/>
          <w:sz w:val="24"/>
          <w:szCs w:val="24"/>
        </w:rPr>
        <w:t xml:space="preserve">rates </w:t>
      </w:r>
      <w:r w:rsidRPr="006212FF">
        <w:rPr>
          <w:rFonts w:ascii="Book Antiqua" w:hAnsi="Book Antiqua"/>
          <w:sz w:val="24"/>
          <w:szCs w:val="24"/>
        </w:rPr>
        <w:t xml:space="preserve">at 1 year </w:t>
      </w:r>
      <w:r w:rsidR="000B2C7E" w:rsidRPr="006212FF">
        <w:rPr>
          <w:rFonts w:ascii="Book Antiqua" w:hAnsi="Book Antiqua"/>
          <w:sz w:val="24"/>
          <w:szCs w:val="24"/>
        </w:rPr>
        <w:t xml:space="preserve">post-LT </w:t>
      </w:r>
      <w:r w:rsidRPr="006212FF">
        <w:rPr>
          <w:rFonts w:ascii="Book Antiqua" w:hAnsi="Book Antiqua"/>
          <w:sz w:val="24"/>
          <w:szCs w:val="24"/>
        </w:rPr>
        <w:t xml:space="preserve">for 28 patients who </w:t>
      </w:r>
      <w:r w:rsidR="000B2C7E" w:rsidRPr="006212FF">
        <w:rPr>
          <w:rFonts w:ascii="Book Antiqua" w:hAnsi="Book Antiqua"/>
          <w:sz w:val="24"/>
          <w:szCs w:val="24"/>
        </w:rPr>
        <w:t>had</w:t>
      </w:r>
      <w:r w:rsidRPr="006212FF">
        <w:rPr>
          <w:rFonts w:ascii="Book Antiqua" w:hAnsi="Book Antiqua"/>
          <w:sz w:val="24"/>
          <w:szCs w:val="24"/>
        </w:rPr>
        <w:t xml:space="preserve"> EVR </w:t>
      </w:r>
      <w:r w:rsidR="000B2C7E" w:rsidRPr="006212FF">
        <w:rPr>
          <w:rFonts w:ascii="Book Antiqua" w:hAnsi="Book Antiqua"/>
          <w:sz w:val="24"/>
          <w:szCs w:val="24"/>
        </w:rPr>
        <w:t>initiated early</w:t>
      </w:r>
      <w:r w:rsidRPr="006212FF">
        <w:rPr>
          <w:rFonts w:ascii="Book Antiqua" w:hAnsi="Book Antiqua"/>
          <w:sz w:val="24"/>
          <w:szCs w:val="24"/>
        </w:rPr>
        <w:t xml:space="preserve"> </w:t>
      </w:r>
      <w:r w:rsidR="000B2C7E" w:rsidRPr="006212FF">
        <w:rPr>
          <w:rFonts w:ascii="Book Antiqua" w:hAnsi="Book Antiqua"/>
          <w:sz w:val="24"/>
          <w:szCs w:val="24"/>
        </w:rPr>
        <w:t>post-LT (median 14 d)</w:t>
      </w:r>
      <w:r w:rsidRPr="006212FF">
        <w:rPr>
          <w:rFonts w:ascii="Book Antiqua" w:hAnsi="Book Antiqua"/>
          <w:sz w:val="24"/>
          <w:szCs w:val="24"/>
        </w:rPr>
        <w:t xml:space="preserve"> </w:t>
      </w:r>
      <w:r w:rsidR="003C655A" w:rsidRPr="006212FF">
        <w:rPr>
          <w:rFonts w:ascii="Book Antiqua" w:hAnsi="Book Antiqua"/>
          <w:sz w:val="24"/>
          <w:szCs w:val="24"/>
        </w:rPr>
        <w:t xml:space="preserve">where 85.7% was in combination with MMF </w:t>
      </w:r>
      <w:r w:rsidR="00D34CCA" w:rsidRPr="006212FF">
        <w:rPr>
          <w:rFonts w:ascii="Book Antiqua" w:hAnsi="Book Antiqua"/>
          <w:sz w:val="24"/>
          <w:szCs w:val="24"/>
        </w:rPr>
        <w:t xml:space="preserve">or enteric-coated </w:t>
      </w:r>
      <w:proofErr w:type="spellStart"/>
      <w:r w:rsidR="00D34CCA" w:rsidRPr="006212FF">
        <w:rPr>
          <w:rFonts w:ascii="Book Antiqua" w:hAnsi="Book Antiqua"/>
          <w:sz w:val="24"/>
          <w:szCs w:val="24"/>
        </w:rPr>
        <w:t>mycophenolate</w:t>
      </w:r>
      <w:proofErr w:type="spellEnd"/>
      <w:r w:rsidR="00D34CCA" w:rsidRPr="006212FF">
        <w:rPr>
          <w:rFonts w:ascii="Book Antiqua" w:hAnsi="Book Antiqua"/>
          <w:sz w:val="24"/>
          <w:szCs w:val="24"/>
        </w:rPr>
        <w:t xml:space="preserve"> sodium </w:t>
      </w:r>
      <w:r w:rsidR="003C655A" w:rsidRPr="006212FF">
        <w:rPr>
          <w:rFonts w:ascii="Book Antiqua" w:hAnsi="Book Antiqua"/>
          <w:sz w:val="24"/>
          <w:szCs w:val="24"/>
        </w:rPr>
        <w:t>and steroid</w:t>
      </w:r>
      <w:r w:rsidRPr="006212FF">
        <w:rPr>
          <w:rFonts w:ascii="Book Antiqua" w:hAnsi="Book Antiqua"/>
          <w:sz w:val="24"/>
          <w:szCs w:val="24"/>
        </w:rPr>
        <w:t xml:space="preserve">. Nonetheless, more concrete data is warranted for EVR initiation within 30 d from </w:t>
      </w:r>
      <w:r w:rsidR="000B2C7E" w:rsidRPr="006212FF">
        <w:rPr>
          <w:rFonts w:ascii="Book Antiqua" w:hAnsi="Book Antiqua"/>
          <w:sz w:val="24"/>
          <w:szCs w:val="24"/>
        </w:rPr>
        <w:t>LT</w:t>
      </w:r>
      <w:r w:rsidRPr="006212FF">
        <w:rPr>
          <w:rFonts w:ascii="Book Antiqua" w:hAnsi="Book Antiqua"/>
          <w:sz w:val="24"/>
          <w:szCs w:val="24"/>
        </w:rPr>
        <w:t>.</w:t>
      </w:r>
    </w:p>
    <w:p w14:paraId="58187976" w14:textId="77777777" w:rsidR="003106F2" w:rsidRPr="005317C2" w:rsidRDefault="003106F2" w:rsidP="003106F2">
      <w:pPr>
        <w:pStyle w:val="ListParagraph"/>
        <w:spacing w:after="0" w:line="360" w:lineRule="auto"/>
        <w:ind w:left="0"/>
        <w:jc w:val="both"/>
        <w:rPr>
          <w:rFonts w:ascii="Book Antiqua" w:hAnsi="Book Antiqua"/>
          <w:sz w:val="24"/>
          <w:szCs w:val="24"/>
          <w:u w:val="single"/>
        </w:rPr>
      </w:pPr>
    </w:p>
    <w:p w14:paraId="5D3B5C7F" w14:textId="77777777" w:rsidR="00C902EA" w:rsidRPr="003106F2" w:rsidRDefault="004A3410" w:rsidP="003106F2">
      <w:pPr>
        <w:pStyle w:val="ListParagraph"/>
        <w:spacing w:after="0" w:line="360" w:lineRule="auto"/>
        <w:ind w:left="0"/>
        <w:jc w:val="both"/>
        <w:rPr>
          <w:rFonts w:ascii="Book Antiqua" w:hAnsi="Book Antiqua"/>
          <w:b/>
          <w:i/>
          <w:sz w:val="24"/>
          <w:szCs w:val="24"/>
        </w:rPr>
      </w:pPr>
      <w:r w:rsidRPr="003106F2">
        <w:rPr>
          <w:rFonts w:ascii="Book Antiqua" w:hAnsi="Book Antiqua"/>
          <w:b/>
          <w:i/>
          <w:sz w:val="24"/>
          <w:szCs w:val="24"/>
        </w:rPr>
        <w:t>Maintenance therapy</w:t>
      </w:r>
    </w:p>
    <w:p w14:paraId="49586A4C" w14:textId="76C05B2E" w:rsidR="00863EA5" w:rsidRPr="006212FF" w:rsidRDefault="00863EA5" w:rsidP="006212FF">
      <w:pPr>
        <w:spacing w:after="0" w:line="360" w:lineRule="auto"/>
        <w:jc w:val="both"/>
        <w:rPr>
          <w:rFonts w:ascii="Book Antiqua" w:hAnsi="Book Antiqua"/>
          <w:sz w:val="24"/>
          <w:szCs w:val="24"/>
          <w:u w:val="single"/>
        </w:rPr>
      </w:pPr>
      <w:r w:rsidRPr="006212FF">
        <w:rPr>
          <w:rFonts w:ascii="Book Antiqua" w:hAnsi="Book Antiqua"/>
          <w:sz w:val="24"/>
          <w:szCs w:val="24"/>
        </w:rPr>
        <w:lastRenderedPageBreak/>
        <w:t>The efficacy data for EVR as maintenance immunosuppressi</w:t>
      </w:r>
      <w:r w:rsidR="003D681C" w:rsidRPr="006212FF">
        <w:rPr>
          <w:rFonts w:ascii="Book Antiqua" w:hAnsi="Book Antiqua"/>
          <w:sz w:val="24"/>
          <w:szCs w:val="24"/>
        </w:rPr>
        <w:t>on</w:t>
      </w:r>
      <w:r w:rsidR="00183F09" w:rsidRPr="006212FF">
        <w:rPr>
          <w:rFonts w:ascii="Book Antiqua" w:hAnsi="Book Antiqua"/>
          <w:sz w:val="24"/>
          <w:szCs w:val="24"/>
        </w:rPr>
        <w:t xml:space="preserve"> in LT is</w:t>
      </w:r>
      <w:r w:rsidRPr="006212FF">
        <w:rPr>
          <w:rFonts w:ascii="Book Antiqua" w:hAnsi="Book Antiqua"/>
          <w:sz w:val="24"/>
          <w:szCs w:val="24"/>
        </w:rPr>
        <w:t xml:space="preserve"> sparse</w:t>
      </w:r>
      <w:r w:rsidR="00AA08C3" w:rsidRPr="006212FF">
        <w:rPr>
          <w:rFonts w:ascii="Book Antiqua" w:hAnsi="Book Antiqua"/>
          <w:sz w:val="24"/>
          <w:szCs w:val="24"/>
        </w:rPr>
        <w:t xml:space="preserve">; </w:t>
      </w:r>
      <w:r w:rsidR="00183F09" w:rsidRPr="006212FF">
        <w:rPr>
          <w:rFonts w:ascii="Book Antiqua" w:hAnsi="Book Antiqua"/>
          <w:sz w:val="24"/>
          <w:szCs w:val="24"/>
        </w:rPr>
        <w:t>with</w:t>
      </w:r>
      <w:r w:rsidRPr="006212FF">
        <w:rPr>
          <w:rFonts w:ascii="Book Antiqua" w:hAnsi="Book Antiqua"/>
          <w:sz w:val="24"/>
          <w:szCs w:val="24"/>
        </w:rPr>
        <w:t xml:space="preserve"> only one </w:t>
      </w:r>
      <w:r w:rsidR="00183F09" w:rsidRPr="006212FF">
        <w:rPr>
          <w:rFonts w:ascii="Book Antiqua" w:hAnsi="Book Antiqua"/>
          <w:sz w:val="24"/>
          <w:szCs w:val="24"/>
        </w:rPr>
        <w:t>RCT to date</w:t>
      </w:r>
      <w:r w:rsidRPr="006212FF">
        <w:rPr>
          <w:rFonts w:ascii="Book Antiqua" w:hAnsi="Book Antiqua"/>
          <w:sz w:val="24"/>
          <w:szCs w:val="24"/>
        </w:rPr>
        <w:t xml:space="preserve"> (Table 2). De Simone </w:t>
      </w:r>
      <w:r w:rsidRPr="00B64861">
        <w:rPr>
          <w:rFonts w:ascii="Book Antiqua" w:hAnsi="Book Antiqua"/>
          <w:i/>
          <w:sz w:val="24"/>
          <w:szCs w:val="24"/>
        </w:rPr>
        <w:t xml:space="preserve">et </w:t>
      </w:r>
      <w:proofErr w:type="gramStart"/>
      <w:r w:rsidRPr="00B64861">
        <w:rPr>
          <w:rFonts w:ascii="Book Antiqua" w:hAnsi="Book Antiqua"/>
          <w:i/>
          <w:sz w:val="24"/>
          <w:szCs w:val="24"/>
        </w:rPr>
        <w:t>al</w:t>
      </w:r>
      <w:r w:rsidR="00B64861" w:rsidRPr="006212FF">
        <w:rPr>
          <w:rFonts w:ascii="Book Antiqua" w:hAnsi="Book Antiqua"/>
          <w:sz w:val="24"/>
          <w:szCs w:val="24"/>
          <w:vertAlign w:val="superscript"/>
        </w:rPr>
        <w:t>[</w:t>
      </w:r>
      <w:proofErr w:type="gramEnd"/>
      <w:r w:rsidR="00B64861" w:rsidRPr="006212FF">
        <w:rPr>
          <w:rFonts w:ascii="Book Antiqua" w:hAnsi="Book Antiqua"/>
          <w:sz w:val="24"/>
          <w:szCs w:val="24"/>
          <w:vertAlign w:val="superscript"/>
        </w:rPr>
        <w:t>19]</w:t>
      </w:r>
      <w:r w:rsidR="00B64861">
        <w:rPr>
          <w:rFonts w:ascii="Book Antiqua" w:hAnsi="Book Antiqua"/>
          <w:sz w:val="24"/>
          <w:szCs w:val="24"/>
        </w:rPr>
        <w:t>’</w:t>
      </w:r>
      <w:r w:rsidR="003D681C" w:rsidRPr="006212FF">
        <w:rPr>
          <w:rFonts w:ascii="Book Antiqua" w:hAnsi="Book Antiqua"/>
          <w:sz w:val="24"/>
          <w:szCs w:val="24"/>
        </w:rPr>
        <w:t xml:space="preserve">s </w:t>
      </w:r>
      <w:r w:rsidR="00183F09" w:rsidRPr="006212FF">
        <w:rPr>
          <w:rFonts w:ascii="Book Antiqua" w:hAnsi="Book Antiqua"/>
          <w:sz w:val="24"/>
          <w:szCs w:val="24"/>
        </w:rPr>
        <w:t>RCT</w:t>
      </w:r>
      <w:r w:rsidRPr="006212FF">
        <w:rPr>
          <w:rFonts w:ascii="Book Antiqua" w:hAnsi="Book Antiqua"/>
          <w:sz w:val="24"/>
          <w:szCs w:val="24"/>
        </w:rPr>
        <w:t xml:space="preserve"> reported results of conversion from CNI-based to EVR-based </w:t>
      </w:r>
      <w:r w:rsidR="00183F09" w:rsidRPr="006212FF">
        <w:rPr>
          <w:rFonts w:ascii="Book Antiqua" w:hAnsi="Book Antiqua"/>
          <w:sz w:val="24"/>
          <w:szCs w:val="24"/>
        </w:rPr>
        <w:t xml:space="preserve">maintenance immunosuppression </w:t>
      </w:r>
      <w:r w:rsidRPr="006212FF">
        <w:rPr>
          <w:rFonts w:ascii="Book Antiqua" w:hAnsi="Book Antiqua"/>
          <w:sz w:val="24"/>
          <w:szCs w:val="24"/>
        </w:rPr>
        <w:t xml:space="preserve">after 12 </w:t>
      </w:r>
      <w:proofErr w:type="spellStart"/>
      <w:r w:rsidRPr="006212FF">
        <w:rPr>
          <w:rFonts w:ascii="Book Antiqua" w:hAnsi="Book Antiqua"/>
          <w:sz w:val="24"/>
          <w:szCs w:val="24"/>
        </w:rPr>
        <w:t>mo</w:t>
      </w:r>
      <w:proofErr w:type="spellEnd"/>
      <w:r w:rsidR="00AA08C3" w:rsidRPr="006212FF">
        <w:rPr>
          <w:rFonts w:ascii="Book Antiqua" w:hAnsi="Book Antiqua"/>
          <w:sz w:val="24"/>
          <w:szCs w:val="24"/>
        </w:rPr>
        <w:t xml:space="preserve"> </w:t>
      </w:r>
      <w:r w:rsidR="00183F09" w:rsidRPr="006212FF">
        <w:rPr>
          <w:rFonts w:ascii="Book Antiqua" w:hAnsi="Book Antiqua"/>
          <w:sz w:val="24"/>
          <w:szCs w:val="24"/>
        </w:rPr>
        <w:t xml:space="preserve">and </w:t>
      </w:r>
      <w:r w:rsidRPr="006212FF">
        <w:rPr>
          <w:rFonts w:ascii="Book Antiqua" w:hAnsi="Book Antiqua"/>
          <w:sz w:val="24"/>
          <w:szCs w:val="24"/>
        </w:rPr>
        <w:t xml:space="preserve">up till 60 months </w:t>
      </w:r>
      <w:r w:rsidR="00183F09" w:rsidRPr="006212FF">
        <w:rPr>
          <w:rFonts w:ascii="Book Antiqua" w:hAnsi="Book Antiqua"/>
          <w:sz w:val="24"/>
          <w:szCs w:val="24"/>
        </w:rPr>
        <w:t>post-LT.</w:t>
      </w:r>
      <w:r w:rsidR="00A84CC4" w:rsidRPr="006212FF">
        <w:rPr>
          <w:rFonts w:ascii="Book Antiqua" w:hAnsi="Book Antiqua"/>
          <w:sz w:val="24"/>
          <w:szCs w:val="24"/>
        </w:rPr>
        <w:t xml:space="preserve"> </w:t>
      </w:r>
      <w:r w:rsidR="00183F09" w:rsidRPr="006212FF">
        <w:rPr>
          <w:rFonts w:ascii="Book Antiqua" w:hAnsi="Book Antiqua"/>
          <w:sz w:val="24"/>
          <w:szCs w:val="24"/>
        </w:rPr>
        <w:t>Although t</w:t>
      </w:r>
      <w:r w:rsidRPr="006212FF">
        <w:rPr>
          <w:rFonts w:ascii="Book Antiqua" w:hAnsi="Book Antiqua"/>
          <w:sz w:val="24"/>
          <w:szCs w:val="24"/>
        </w:rPr>
        <w:t xml:space="preserve">he composite endpoint of BPAR, graft loss and death was </w:t>
      </w:r>
      <w:r w:rsidR="00F076B7" w:rsidRPr="006212FF">
        <w:rPr>
          <w:rFonts w:ascii="Book Antiqua" w:hAnsi="Book Antiqua"/>
          <w:sz w:val="24"/>
          <w:szCs w:val="24"/>
        </w:rPr>
        <w:t>low</w:t>
      </w:r>
      <w:r w:rsidR="00A32837" w:rsidRPr="006212FF">
        <w:rPr>
          <w:rFonts w:ascii="Book Antiqua" w:hAnsi="Book Antiqua"/>
          <w:sz w:val="24"/>
          <w:szCs w:val="24"/>
        </w:rPr>
        <w:t xml:space="preserve"> </w:t>
      </w:r>
      <w:r w:rsidR="00183F09" w:rsidRPr="006212FF">
        <w:rPr>
          <w:rFonts w:ascii="Book Antiqua" w:hAnsi="Book Antiqua"/>
          <w:sz w:val="24"/>
          <w:szCs w:val="24"/>
        </w:rPr>
        <w:t>overall in both groups, it was</w:t>
      </w:r>
      <w:r w:rsidR="00A32837" w:rsidRPr="006212FF">
        <w:rPr>
          <w:rFonts w:ascii="Book Antiqua" w:hAnsi="Book Antiqua"/>
          <w:sz w:val="24"/>
          <w:szCs w:val="24"/>
        </w:rPr>
        <w:t xml:space="preserve"> </w:t>
      </w:r>
      <w:r w:rsidRPr="006212FF">
        <w:rPr>
          <w:rFonts w:ascii="Book Antiqua" w:hAnsi="Book Antiqua"/>
          <w:sz w:val="24"/>
          <w:szCs w:val="24"/>
        </w:rPr>
        <w:t>double in</w:t>
      </w:r>
      <w:r w:rsidR="00183F09" w:rsidRPr="006212FF">
        <w:rPr>
          <w:rFonts w:ascii="Book Antiqua" w:hAnsi="Book Antiqua"/>
          <w:sz w:val="24"/>
          <w:szCs w:val="24"/>
        </w:rPr>
        <w:t xml:space="preserve"> the</w:t>
      </w:r>
      <w:r w:rsidRPr="006212FF">
        <w:rPr>
          <w:rFonts w:ascii="Book Antiqua" w:hAnsi="Book Antiqua"/>
          <w:sz w:val="24"/>
          <w:szCs w:val="24"/>
        </w:rPr>
        <w:t xml:space="preserve"> EVR group</w:t>
      </w:r>
      <w:r w:rsidR="006D57BF" w:rsidRPr="006212FF">
        <w:rPr>
          <w:rFonts w:ascii="Book Antiqua" w:hAnsi="Book Antiqua"/>
          <w:sz w:val="24"/>
          <w:szCs w:val="24"/>
        </w:rPr>
        <w:t xml:space="preserve"> (8.3%)</w:t>
      </w:r>
      <w:r w:rsidR="00576471" w:rsidRPr="006212FF">
        <w:rPr>
          <w:rFonts w:ascii="Book Antiqua" w:hAnsi="Book Antiqua"/>
          <w:sz w:val="24"/>
          <w:szCs w:val="24"/>
        </w:rPr>
        <w:t xml:space="preserve"> </w:t>
      </w:r>
      <w:r w:rsidRPr="006212FF">
        <w:rPr>
          <w:rFonts w:ascii="Book Antiqua" w:hAnsi="Book Antiqua"/>
          <w:sz w:val="24"/>
          <w:szCs w:val="24"/>
        </w:rPr>
        <w:t>as compared to control</w:t>
      </w:r>
      <w:r w:rsidR="005D3978" w:rsidRPr="006212FF">
        <w:rPr>
          <w:rFonts w:ascii="Book Antiqua" w:hAnsi="Book Antiqua"/>
          <w:sz w:val="24"/>
          <w:szCs w:val="24"/>
        </w:rPr>
        <w:t xml:space="preserve"> </w:t>
      </w:r>
      <w:r w:rsidR="006D57BF" w:rsidRPr="006212FF">
        <w:rPr>
          <w:rFonts w:ascii="Book Antiqua" w:hAnsi="Book Antiqua"/>
          <w:sz w:val="24"/>
          <w:szCs w:val="24"/>
        </w:rPr>
        <w:t xml:space="preserve">group </w:t>
      </w:r>
      <w:r w:rsidR="009A0EA0" w:rsidRPr="006212FF">
        <w:rPr>
          <w:rFonts w:ascii="Book Antiqua" w:hAnsi="Book Antiqua"/>
          <w:sz w:val="24"/>
          <w:szCs w:val="24"/>
        </w:rPr>
        <w:t>(</w:t>
      </w:r>
      <w:r w:rsidR="00B64861">
        <w:rPr>
          <w:rFonts w:ascii="Book Antiqua" w:hAnsi="Book Antiqua"/>
          <w:sz w:val="24"/>
          <w:szCs w:val="24"/>
        </w:rPr>
        <w:t>4.1%)</w:t>
      </w:r>
      <w:r w:rsidR="00E65A6C" w:rsidRPr="006212FF">
        <w:rPr>
          <w:rFonts w:ascii="Book Antiqua" w:hAnsi="Book Antiqua"/>
          <w:sz w:val="24"/>
          <w:szCs w:val="24"/>
          <w:vertAlign w:val="superscript"/>
        </w:rPr>
        <w:t>[19]</w:t>
      </w:r>
      <w:r w:rsidRPr="006212FF">
        <w:rPr>
          <w:rFonts w:ascii="Book Antiqua" w:hAnsi="Book Antiqua"/>
          <w:sz w:val="24"/>
          <w:szCs w:val="24"/>
        </w:rPr>
        <w:t>.</w:t>
      </w:r>
    </w:p>
    <w:p w14:paraId="5DC1BC3A" w14:textId="1AD2704F" w:rsidR="00EC206D" w:rsidRPr="006212FF" w:rsidRDefault="00863EA5" w:rsidP="00B64861">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In a</w:t>
      </w:r>
      <w:r w:rsidR="0087012C" w:rsidRPr="006212FF">
        <w:rPr>
          <w:rFonts w:ascii="Book Antiqua" w:hAnsi="Book Antiqua"/>
          <w:sz w:val="24"/>
          <w:szCs w:val="24"/>
        </w:rPr>
        <w:t>nother</w:t>
      </w:r>
      <w:r w:rsidRPr="006212FF">
        <w:rPr>
          <w:rFonts w:ascii="Book Antiqua" w:hAnsi="Book Antiqua"/>
          <w:sz w:val="24"/>
          <w:szCs w:val="24"/>
        </w:rPr>
        <w:t xml:space="preserve"> prospective cohort study</w:t>
      </w:r>
      <w:r w:rsidR="0087012C" w:rsidRPr="006212FF">
        <w:rPr>
          <w:rFonts w:ascii="Book Antiqua" w:hAnsi="Book Antiqua"/>
          <w:sz w:val="24"/>
          <w:szCs w:val="24"/>
        </w:rPr>
        <w:t xml:space="preserve"> by De Simone </w:t>
      </w:r>
      <w:r w:rsidR="0087012C" w:rsidRPr="00B64861">
        <w:rPr>
          <w:rFonts w:ascii="Book Antiqua" w:hAnsi="Book Antiqua"/>
          <w:i/>
          <w:sz w:val="24"/>
          <w:szCs w:val="24"/>
        </w:rPr>
        <w:t>et al</w:t>
      </w:r>
      <w:r w:rsidR="00B64861" w:rsidRPr="006212FF">
        <w:rPr>
          <w:rFonts w:ascii="Book Antiqua" w:hAnsi="Book Antiqua"/>
          <w:sz w:val="24"/>
          <w:szCs w:val="24"/>
          <w:vertAlign w:val="superscript"/>
        </w:rPr>
        <w:t>[24]</w:t>
      </w:r>
      <w:r w:rsidRPr="006212FF">
        <w:rPr>
          <w:rFonts w:ascii="Book Antiqua" w:hAnsi="Book Antiqua"/>
          <w:sz w:val="24"/>
          <w:szCs w:val="24"/>
        </w:rPr>
        <w:t>, 40 patients were converted to EVR at mean of 45.5</w:t>
      </w:r>
      <w:r w:rsidR="0087012C" w:rsidRPr="006212FF">
        <w:rPr>
          <w:rFonts w:ascii="Book Antiqua" w:hAnsi="Book Antiqua"/>
          <w:sz w:val="24"/>
          <w:szCs w:val="24"/>
        </w:rPr>
        <w:t xml:space="preserve"> ±</w:t>
      </w:r>
      <w:r w:rsidRPr="006212FF">
        <w:rPr>
          <w:rFonts w:ascii="Book Antiqua" w:hAnsi="Book Antiqua"/>
          <w:sz w:val="24"/>
          <w:szCs w:val="24"/>
        </w:rPr>
        <w:t xml:space="preserve"> </w:t>
      </w:r>
      <w:r w:rsidR="0087012C" w:rsidRPr="006212FF">
        <w:rPr>
          <w:rFonts w:ascii="Book Antiqua" w:hAnsi="Book Antiqua"/>
          <w:sz w:val="24"/>
          <w:szCs w:val="24"/>
        </w:rPr>
        <w:t xml:space="preserve">31.2 </w:t>
      </w:r>
      <w:proofErr w:type="spellStart"/>
      <w:r w:rsidRPr="006212FF">
        <w:rPr>
          <w:rFonts w:ascii="Book Antiqua" w:hAnsi="Book Antiqua"/>
          <w:sz w:val="24"/>
          <w:szCs w:val="24"/>
        </w:rPr>
        <w:t>mo</w:t>
      </w:r>
      <w:proofErr w:type="spellEnd"/>
      <w:r w:rsidRPr="006212FF">
        <w:rPr>
          <w:rFonts w:ascii="Book Antiqua" w:hAnsi="Book Antiqua"/>
          <w:sz w:val="24"/>
          <w:szCs w:val="24"/>
        </w:rPr>
        <w:t xml:space="preserve"> </w:t>
      </w:r>
      <w:r w:rsidR="0087012C" w:rsidRPr="006212FF">
        <w:rPr>
          <w:rFonts w:ascii="Book Antiqua" w:hAnsi="Book Antiqua"/>
          <w:sz w:val="24"/>
          <w:szCs w:val="24"/>
        </w:rPr>
        <w:t xml:space="preserve">from transplant </w:t>
      </w:r>
      <w:r w:rsidRPr="006212FF">
        <w:rPr>
          <w:rFonts w:ascii="Book Antiqua" w:hAnsi="Book Antiqua"/>
          <w:sz w:val="24"/>
          <w:szCs w:val="24"/>
        </w:rPr>
        <w:t>and CNI was tapered by 50% every</w:t>
      </w:r>
      <w:r w:rsidR="00B64861">
        <w:rPr>
          <w:rFonts w:ascii="Book Antiqua" w:hAnsi="Book Antiqua"/>
          <w:sz w:val="24"/>
          <w:szCs w:val="24"/>
        </w:rPr>
        <w:t xml:space="preserve"> week and withdrawn over 4 </w:t>
      </w:r>
      <w:proofErr w:type="spellStart"/>
      <w:r w:rsidR="00B64861">
        <w:rPr>
          <w:rFonts w:ascii="Book Antiqua" w:hAnsi="Book Antiqua"/>
          <w:sz w:val="24"/>
          <w:szCs w:val="24"/>
        </w:rPr>
        <w:t>wk</w:t>
      </w:r>
      <w:proofErr w:type="spellEnd"/>
      <w:r w:rsidR="006A0F4F" w:rsidRPr="006212FF">
        <w:rPr>
          <w:rFonts w:ascii="Book Antiqua" w:hAnsi="Book Antiqua"/>
          <w:sz w:val="24"/>
          <w:szCs w:val="24"/>
        </w:rPr>
        <w:t xml:space="preserve"> with or without MMF or azathioprine and steroid</w:t>
      </w:r>
      <w:r w:rsidRPr="006212FF">
        <w:rPr>
          <w:rFonts w:ascii="Book Antiqua" w:hAnsi="Book Antiqua"/>
          <w:sz w:val="24"/>
          <w:szCs w:val="24"/>
        </w:rPr>
        <w:t xml:space="preserve">. </w:t>
      </w:r>
      <w:r w:rsidR="006A0F4F" w:rsidRPr="006212FF">
        <w:rPr>
          <w:rFonts w:ascii="Book Antiqua" w:hAnsi="Book Antiqua"/>
          <w:sz w:val="24"/>
          <w:szCs w:val="24"/>
        </w:rPr>
        <w:t xml:space="preserve">Concurrent MMF or azathioprine was discontinued at day 1 of conversion while steroid was remained unchanged in the EVR group. </w:t>
      </w:r>
      <w:r w:rsidR="00F04E2F" w:rsidRPr="006212FF">
        <w:rPr>
          <w:rFonts w:ascii="Book Antiqua" w:hAnsi="Book Antiqua"/>
          <w:sz w:val="24"/>
          <w:szCs w:val="24"/>
        </w:rPr>
        <w:t>Indication</w:t>
      </w:r>
      <w:r w:rsidR="0053133D" w:rsidRPr="006212FF">
        <w:rPr>
          <w:rFonts w:ascii="Book Antiqua" w:hAnsi="Book Antiqua"/>
          <w:sz w:val="24"/>
          <w:szCs w:val="24"/>
        </w:rPr>
        <w:t>s</w:t>
      </w:r>
      <w:r w:rsidR="00F04E2F" w:rsidRPr="006212FF">
        <w:rPr>
          <w:rFonts w:ascii="Book Antiqua" w:hAnsi="Book Antiqua"/>
          <w:sz w:val="24"/>
          <w:szCs w:val="24"/>
        </w:rPr>
        <w:t xml:space="preserve"> for conversion to EVR included</w:t>
      </w:r>
      <w:r w:rsidR="0053133D" w:rsidRPr="006212FF">
        <w:rPr>
          <w:rFonts w:ascii="Book Antiqua" w:hAnsi="Book Antiqua"/>
          <w:sz w:val="24"/>
          <w:szCs w:val="24"/>
        </w:rPr>
        <w:t xml:space="preserve"> deterioration of</w:t>
      </w:r>
      <w:r w:rsidR="00F04E2F" w:rsidRPr="006212FF">
        <w:rPr>
          <w:rFonts w:ascii="Book Antiqua" w:hAnsi="Book Antiqua"/>
          <w:sz w:val="24"/>
          <w:szCs w:val="24"/>
        </w:rPr>
        <w:t xml:space="preserve"> </w:t>
      </w:r>
      <w:r w:rsidR="0053133D" w:rsidRPr="006212FF">
        <w:rPr>
          <w:rFonts w:ascii="Book Antiqua" w:hAnsi="Book Antiqua"/>
          <w:sz w:val="24"/>
          <w:szCs w:val="24"/>
        </w:rPr>
        <w:t>renal function (90.0%), CNI-associated peripheral neuropathy (7.5%)</w:t>
      </w:r>
      <w:r w:rsidR="007B287D" w:rsidRPr="006212FF">
        <w:rPr>
          <w:rFonts w:ascii="Book Antiqua" w:hAnsi="Book Antiqua"/>
          <w:sz w:val="24"/>
          <w:szCs w:val="24"/>
        </w:rPr>
        <w:t xml:space="preserve"> </w:t>
      </w:r>
      <w:r w:rsidR="0053133D" w:rsidRPr="006212FF">
        <w:rPr>
          <w:rFonts w:ascii="Book Antiqua" w:hAnsi="Book Antiqua"/>
          <w:sz w:val="24"/>
          <w:szCs w:val="24"/>
        </w:rPr>
        <w:t xml:space="preserve">and CNI-associated </w:t>
      </w:r>
      <w:proofErr w:type="spellStart"/>
      <w:r w:rsidR="0053133D" w:rsidRPr="006212FF">
        <w:rPr>
          <w:rFonts w:ascii="Book Antiqua" w:hAnsi="Book Antiqua"/>
          <w:sz w:val="24"/>
          <w:szCs w:val="24"/>
        </w:rPr>
        <w:t>microangiopathy</w:t>
      </w:r>
      <w:proofErr w:type="spellEnd"/>
      <w:r w:rsidR="0053133D" w:rsidRPr="006212FF">
        <w:rPr>
          <w:rFonts w:ascii="Book Antiqua" w:hAnsi="Book Antiqua"/>
          <w:sz w:val="24"/>
          <w:szCs w:val="24"/>
        </w:rPr>
        <w:t xml:space="preserve"> (2.5%).</w:t>
      </w:r>
      <w:r w:rsidR="00F04E2F" w:rsidRPr="006212FF">
        <w:rPr>
          <w:rFonts w:ascii="Book Antiqua" w:hAnsi="Book Antiqua"/>
          <w:sz w:val="24"/>
          <w:szCs w:val="24"/>
        </w:rPr>
        <w:t xml:space="preserve"> </w:t>
      </w:r>
      <w:r w:rsidRPr="006212FF">
        <w:rPr>
          <w:rFonts w:ascii="Book Antiqua" w:hAnsi="Book Antiqua"/>
          <w:sz w:val="24"/>
          <w:szCs w:val="24"/>
        </w:rPr>
        <w:t xml:space="preserve">Despite </w:t>
      </w:r>
      <w:r w:rsidR="00F27509" w:rsidRPr="006212FF">
        <w:rPr>
          <w:rFonts w:ascii="Book Antiqua" w:hAnsi="Book Antiqua"/>
          <w:sz w:val="24"/>
          <w:szCs w:val="24"/>
        </w:rPr>
        <w:t xml:space="preserve">a 100% </w:t>
      </w:r>
      <w:r w:rsidRPr="006212FF">
        <w:rPr>
          <w:rFonts w:ascii="Book Antiqua" w:hAnsi="Book Antiqua"/>
          <w:sz w:val="24"/>
          <w:szCs w:val="24"/>
        </w:rPr>
        <w:t xml:space="preserve">patient and graft survival </w:t>
      </w:r>
      <w:r w:rsidR="00F27509" w:rsidRPr="006212FF">
        <w:rPr>
          <w:rFonts w:ascii="Book Antiqua" w:hAnsi="Book Antiqua"/>
          <w:sz w:val="24"/>
          <w:szCs w:val="24"/>
        </w:rPr>
        <w:t xml:space="preserve">rate </w:t>
      </w:r>
      <w:r w:rsidRPr="006212FF">
        <w:rPr>
          <w:rFonts w:ascii="Book Antiqua" w:hAnsi="Book Antiqua"/>
          <w:sz w:val="24"/>
          <w:szCs w:val="24"/>
        </w:rPr>
        <w:t>at 12</w:t>
      </w:r>
      <w:r w:rsidR="00B64861">
        <w:rPr>
          <w:rFonts w:ascii="Book Antiqua" w:hAnsi="Book Antiqua"/>
          <w:sz w:val="24"/>
          <w:szCs w:val="24"/>
        </w:rPr>
        <w:t xml:space="preserve"> </w:t>
      </w:r>
      <w:proofErr w:type="spellStart"/>
      <w:r w:rsidR="00B64861">
        <w:rPr>
          <w:rFonts w:ascii="Book Antiqua" w:hAnsi="Book Antiqua"/>
          <w:sz w:val="24"/>
          <w:szCs w:val="24"/>
        </w:rPr>
        <w:t>mo</w:t>
      </w:r>
      <w:proofErr w:type="spellEnd"/>
      <w:r w:rsidRPr="006212FF">
        <w:rPr>
          <w:rFonts w:ascii="Book Antiqua" w:hAnsi="Book Antiqua"/>
          <w:sz w:val="24"/>
          <w:szCs w:val="24"/>
        </w:rPr>
        <w:t xml:space="preserve"> post</w:t>
      </w:r>
      <w:r w:rsidR="00F27509" w:rsidRPr="006212FF">
        <w:rPr>
          <w:rFonts w:ascii="Book Antiqua" w:hAnsi="Book Antiqua"/>
          <w:sz w:val="24"/>
          <w:szCs w:val="24"/>
        </w:rPr>
        <w:t>-</w:t>
      </w:r>
      <w:r w:rsidRPr="006212FF">
        <w:rPr>
          <w:rFonts w:ascii="Book Antiqua" w:hAnsi="Book Antiqua"/>
          <w:sz w:val="24"/>
          <w:szCs w:val="24"/>
        </w:rPr>
        <w:t xml:space="preserve">conversion, </w:t>
      </w:r>
      <w:r w:rsidR="00F27509" w:rsidRPr="006212FF">
        <w:rPr>
          <w:rFonts w:ascii="Book Antiqua" w:hAnsi="Book Antiqua"/>
          <w:sz w:val="24"/>
          <w:szCs w:val="24"/>
        </w:rPr>
        <w:t xml:space="preserve">the incidence of </w:t>
      </w:r>
      <w:r w:rsidRPr="006212FF">
        <w:rPr>
          <w:rFonts w:ascii="Book Antiqua" w:hAnsi="Book Antiqua"/>
          <w:sz w:val="24"/>
          <w:szCs w:val="24"/>
        </w:rPr>
        <w:t xml:space="preserve">BPAR was 15% and 4 </w:t>
      </w:r>
      <w:r w:rsidR="00F27509" w:rsidRPr="006212FF">
        <w:rPr>
          <w:rFonts w:ascii="Book Antiqua" w:hAnsi="Book Antiqua"/>
          <w:sz w:val="24"/>
          <w:szCs w:val="24"/>
        </w:rPr>
        <w:t xml:space="preserve">of the </w:t>
      </w:r>
      <w:r w:rsidRPr="006212FF">
        <w:rPr>
          <w:rFonts w:ascii="Book Antiqua" w:hAnsi="Book Antiqua"/>
          <w:sz w:val="24"/>
          <w:szCs w:val="24"/>
        </w:rPr>
        <w:t xml:space="preserve">patients (10%) </w:t>
      </w:r>
      <w:r w:rsidR="00F27509" w:rsidRPr="006212FF">
        <w:rPr>
          <w:rFonts w:ascii="Book Antiqua" w:hAnsi="Book Antiqua"/>
          <w:sz w:val="24"/>
          <w:szCs w:val="24"/>
        </w:rPr>
        <w:t xml:space="preserve">had to be </w:t>
      </w:r>
      <w:r w:rsidR="00F04E2F" w:rsidRPr="006212FF">
        <w:rPr>
          <w:rFonts w:ascii="Book Antiqua" w:hAnsi="Book Antiqua"/>
          <w:sz w:val="24"/>
          <w:szCs w:val="24"/>
        </w:rPr>
        <w:t>switched back to CNI</w:t>
      </w:r>
      <w:r w:rsidR="00EC206D" w:rsidRPr="006212FF">
        <w:rPr>
          <w:rFonts w:ascii="Book Antiqua" w:hAnsi="Book Antiqua"/>
          <w:sz w:val="24"/>
          <w:szCs w:val="24"/>
        </w:rPr>
        <w:t xml:space="preserve"> for this reason</w:t>
      </w:r>
      <w:r w:rsidR="00F04E2F" w:rsidRPr="006212FF">
        <w:rPr>
          <w:rFonts w:ascii="Book Antiqua" w:hAnsi="Book Antiqua"/>
          <w:sz w:val="24"/>
          <w:szCs w:val="24"/>
        </w:rPr>
        <w:t xml:space="preserve">. </w:t>
      </w:r>
    </w:p>
    <w:p w14:paraId="5FF2D09B" w14:textId="4CCBCA75" w:rsidR="00863EA5" w:rsidRPr="006212FF" w:rsidRDefault="00863EA5" w:rsidP="00B64861">
      <w:pPr>
        <w:spacing w:after="0" w:line="360" w:lineRule="auto"/>
        <w:ind w:firstLineChars="100" w:firstLine="240"/>
        <w:jc w:val="both"/>
        <w:rPr>
          <w:rFonts w:ascii="Book Antiqua" w:hAnsi="Book Antiqua"/>
          <w:sz w:val="24"/>
          <w:szCs w:val="24"/>
        </w:rPr>
      </w:pPr>
      <w:proofErr w:type="spellStart"/>
      <w:r w:rsidRPr="006212FF">
        <w:rPr>
          <w:rFonts w:ascii="Book Antiqua" w:hAnsi="Book Antiqua"/>
          <w:sz w:val="24"/>
          <w:szCs w:val="24"/>
        </w:rPr>
        <w:t>Castroagudin</w:t>
      </w:r>
      <w:proofErr w:type="spellEnd"/>
      <w:r w:rsidRPr="006212FF">
        <w:rPr>
          <w:rFonts w:ascii="Book Antiqua" w:hAnsi="Book Antiqua"/>
          <w:sz w:val="24"/>
          <w:szCs w:val="24"/>
        </w:rPr>
        <w:t xml:space="preserve"> </w:t>
      </w:r>
      <w:r w:rsidRPr="00B64861">
        <w:rPr>
          <w:rFonts w:ascii="Book Antiqua" w:hAnsi="Book Antiqua"/>
          <w:i/>
          <w:sz w:val="24"/>
          <w:szCs w:val="24"/>
        </w:rPr>
        <w:t xml:space="preserve">et </w:t>
      </w:r>
      <w:proofErr w:type="gramStart"/>
      <w:r w:rsidRPr="00B64861">
        <w:rPr>
          <w:rFonts w:ascii="Book Antiqua" w:hAnsi="Book Antiqua"/>
          <w:i/>
          <w:sz w:val="24"/>
          <w:szCs w:val="24"/>
        </w:rPr>
        <w:t>al</w:t>
      </w:r>
      <w:r w:rsidR="00B64861" w:rsidRPr="006212FF">
        <w:rPr>
          <w:rFonts w:ascii="Book Antiqua" w:hAnsi="Book Antiqua"/>
          <w:sz w:val="24"/>
          <w:szCs w:val="24"/>
          <w:vertAlign w:val="superscript"/>
        </w:rPr>
        <w:t>[</w:t>
      </w:r>
      <w:proofErr w:type="gramEnd"/>
      <w:r w:rsidR="00B64861" w:rsidRPr="006212FF">
        <w:rPr>
          <w:rFonts w:ascii="Book Antiqua" w:hAnsi="Book Antiqua"/>
          <w:sz w:val="24"/>
          <w:szCs w:val="24"/>
          <w:vertAlign w:val="superscript"/>
        </w:rPr>
        <w:t>25]</w:t>
      </w:r>
      <w:r w:rsidRPr="006212FF">
        <w:rPr>
          <w:rFonts w:ascii="Book Antiqua" w:hAnsi="Book Antiqua"/>
          <w:sz w:val="24"/>
          <w:szCs w:val="24"/>
        </w:rPr>
        <w:t xml:space="preserve"> </w:t>
      </w:r>
      <w:proofErr w:type="spellStart"/>
      <w:r w:rsidRPr="006212FF">
        <w:rPr>
          <w:rFonts w:ascii="Book Antiqua" w:hAnsi="Book Antiqua"/>
          <w:sz w:val="24"/>
          <w:szCs w:val="24"/>
        </w:rPr>
        <w:t>analysed</w:t>
      </w:r>
      <w:proofErr w:type="spellEnd"/>
      <w:r w:rsidRPr="006212FF">
        <w:rPr>
          <w:rFonts w:ascii="Book Antiqua" w:hAnsi="Book Antiqua"/>
          <w:sz w:val="24"/>
          <w:szCs w:val="24"/>
        </w:rPr>
        <w:t xml:space="preserve"> impact on renal function post conversion to EVR at mean 62.4 </w:t>
      </w:r>
      <w:r w:rsidR="0087012C" w:rsidRPr="006212FF">
        <w:rPr>
          <w:rFonts w:ascii="Book Antiqua" w:hAnsi="Book Antiqua"/>
          <w:sz w:val="24"/>
          <w:szCs w:val="24"/>
        </w:rPr>
        <w:t xml:space="preserve">± 36.6 </w:t>
      </w:r>
      <w:proofErr w:type="spellStart"/>
      <w:r w:rsidRPr="006212FF">
        <w:rPr>
          <w:rFonts w:ascii="Book Antiqua" w:hAnsi="Book Antiqua"/>
          <w:sz w:val="24"/>
          <w:szCs w:val="24"/>
        </w:rPr>
        <w:t>mo</w:t>
      </w:r>
      <w:proofErr w:type="spellEnd"/>
      <w:r w:rsidRPr="006212FF">
        <w:rPr>
          <w:rFonts w:ascii="Book Antiqua" w:hAnsi="Book Antiqua"/>
          <w:sz w:val="24"/>
          <w:szCs w:val="24"/>
        </w:rPr>
        <w:t xml:space="preserve"> from </w:t>
      </w:r>
      <w:r w:rsidR="00EC206D" w:rsidRPr="006212FF">
        <w:rPr>
          <w:rFonts w:ascii="Book Antiqua" w:hAnsi="Book Antiqua"/>
          <w:sz w:val="24"/>
          <w:szCs w:val="24"/>
        </w:rPr>
        <w:t>LT</w:t>
      </w:r>
      <w:r w:rsidR="00140077" w:rsidRPr="006212FF">
        <w:rPr>
          <w:rFonts w:ascii="Book Antiqua" w:hAnsi="Book Antiqua"/>
          <w:sz w:val="24"/>
          <w:szCs w:val="24"/>
        </w:rPr>
        <w:t xml:space="preserve"> in 21 patients with CKD</w:t>
      </w:r>
      <w:r w:rsidRPr="006212FF">
        <w:rPr>
          <w:rFonts w:ascii="Book Antiqua" w:hAnsi="Book Antiqua"/>
          <w:sz w:val="24"/>
          <w:szCs w:val="24"/>
        </w:rPr>
        <w:t>. Twenty patients (95%)</w:t>
      </w:r>
      <w:r w:rsidR="009D2F1A" w:rsidRPr="006212FF">
        <w:rPr>
          <w:rFonts w:ascii="Book Antiqua" w:hAnsi="Book Antiqua"/>
          <w:sz w:val="24"/>
          <w:szCs w:val="24"/>
        </w:rPr>
        <w:t xml:space="preserve"> were able to have</w:t>
      </w:r>
      <w:r w:rsidRPr="006212FF">
        <w:rPr>
          <w:rFonts w:ascii="Book Antiqua" w:hAnsi="Book Antiqua"/>
          <w:sz w:val="24"/>
          <w:szCs w:val="24"/>
        </w:rPr>
        <w:t xml:space="preserve"> CNI </w:t>
      </w:r>
      <w:r w:rsidR="009D2F1A" w:rsidRPr="006212FF">
        <w:rPr>
          <w:rFonts w:ascii="Book Antiqua" w:hAnsi="Book Antiqua"/>
          <w:sz w:val="24"/>
          <w:szCs w:val="24"/>
        </w:rPr>
        <w:t xml:space="preserve">completely </w:t>
      </w:r>
      <w:r w:rsidRPr="006212FF">
        <w:rPr>
          <w:rFonts w:ascii="Book Antiqua" w:hAnsi="Book Antiqua"/>
          <w:sz w:val="24"/>
          <w:szCs w:val="24"/>
        </w:rPr>
        <w:t xml:space="preserve">withdrawn. From </w:t>
      </w:r>
      <w:r w:rsidR="009D2F1A" w:rsidRPr="006212FF">
        <w:rPr>
          <w:rFonts w:ascii="Book Antiqua" w:hAnsi="Book Antiqua"/>
          <w:sz w:val="24"/>
          <w:szCs w:val="24"/>
        </w:rPr>
        <w:t xml:space="preserve">a </w:t>
      </w:r>
      <w:r w:rsidRPr="006212FF">
        <w:rPr>
          <w:rFonts w:ascii="Book Antiqua" w:hAnsi="Book Antiqua"/>
          <w:sz w:val="24"/>
          <w:szCs w:val="24"/>
        </w:rPr>
        <w:t xml:space="preserve">baseline </w:t>
      </w:r>
      <w:proofErr w:type="spellStart"/>
      <w:r w:rsidR="009D2F1A" w:rsidRPr="006212FF">
        <w:rPr>
          <w:rFonts w:ascii="Book Antiqua" w:hAnsi="Book Antiqua"/>
          <w:sz w:val="24"/>
          <w:szCs w:val="24"/>
        </w:rPr>
        <w:t>eGFR</w:t>
      </w:r>
      <w:proofErr w:type="spellEnd"/>
      <w:r w:rsidR="009D2F1A" w:rsidRPr="006212FF">
        <w:rPr>
          <w:rFonts w:ascii="Book Antiqua" w:hAnsi="Book Antiqua"/>
          <w:sz w:val="24"/>
          <w:szCs w:val="24"/>
        </w:rPr>
        <w:t xml:space="preserve"> </w:t>
      </w:r>
      <w:r w:rsidRPr="006212FF">
        <w:rPr>
          <w:rFonts w:ascii="Book Antiqua" w:hAnsi="Book Antiqua"/>
          <w:sz w:val="24"/>
          <w:szCs w:val="24"/>
        </w:rPr>
        <w:t>of 42</w:t>
      </w:r>
      <w:r w:rsidR="00EC206D" w:rsidRPr="006212FF">
        <w:rPr>
          <w:rFonts w:ascii="Book Antiqua" w:hAnsi="Book Antiqua"/>
          <w:sz w:val="24"/>
          <w:szCs w:val="24"/>
        </w:rPr>
        <w:t>.1</w:t>
      </w:r>
      <w:r w:rsidR="000A0E0D" w:rsidRPr="006212FF">
        <w:rPr>
          <w:rFonts w:ascii="Book Antiqua" w:hAnsi="Book Antiqua"/>
          <w:sz w:val="24"/>
          <w:szCs w:val="24"/>
        </w:rPr>
        <w:t xml:space="preserve"> ± </w:t>
      </w:r>
      <w:r w:rsidR="00EC206D" w:rsidRPr="006212FF">
        <w:rPr>
          <w:rFonts w:ascii="Book Antiqua" w:hAnsi="Book Antiqua"/>
          <w:sz w:val="24"/>
          <w:szCs w:val="24"/>
        </w:rPr>
        <w:t>8.7</w:t>
      </w:r>
      <w:r w:rsidR="000A0E0D" w:rsidRPr="006212FF">
        <w:rPr>
          <w:rFonts w:ascii="Book Antiqua" w:hAnsi="Book Antiqua"/>
          <w:sz w:val="24"/>
          <w:szCs w:val="24"/>
        </w:rPr>
        <w:t xml:space="preserve"> </w:t>
      </w:r>
      <w:r w:rsidRPr="006212FF">
        <w:rPr>
          <w:rFonts w:ascii="Book Antiqua" w:hAnsi="Book Antiqua"/>
          <w:sz w:val="24"/>
          <w:szCs w:val="24"/>
        </w:rPr>
        <w:t>m</w:t>
      </w:r>
      <w:r w:rsidR="00B64861" w:rsidRPr="006212FF">
        <w:rPr>
          <w:rFonts w:ascii="Book Antiqua" w:hAnsi="Book Antiqua"/>
          <w:sz w:val="24"/>
          <w:szCs w:val="24"/>
        </w:rPr>
        <w:t>L</w:t>
      </w:r>
      <w:r w:rsidRPr="006212FF">
        <w:rPr>
          <w:rFonts w:ascii="Book Antiqua" w:hAnsi="Book Antiqua"/>
          <w:sz w:val="24"/>
          <w:szCs w:val="24"/>
        </w:rPr>
        <w:t>/min, renal function</w:t>
      </w:r>
      <w:r w:rsidR="009D2F1A" w:rsidRPr="006212FF">
        <w:rPr>
          <w:rFonts w:ascii="Book Antiqua" w:hAnsi="Book Antiqua"/>
          <w:sz w:val="24"/>
          <w:szCs w:val="24"/>
        </w:rPr>
        <w:t xml:space="preserve"> improved to</w:t>
      </w:r>
      <w:r w:rsidR="00940150" w:rsidRPr="006212FF">
        <w:rPr>
          <w:rFonts w:ascii="Book Antiqua" w:hAnsi="Book Antiqua"/>
          <w:sz w:val="24"/>
          <w:szCs w:val="24"/>
        </w:rPr>
        <w:t xml:space="preserve"> </w:t>
      </w:r>
      <w:proofErr w:type="spellStart"/>
      <w:r w:rsidR="009D2F1A" w:rsidRPr="006212FF">
        <w:rPr>
          <w:rFonts w:ascii="Book Antiqua" w:hAnsi="Book Antiqua"/>
          <w:sz w:val="24"/>
          <w:szCs w:val="24"/>
        </w:rPr>
        <w:t>eGFR</w:t>
      </w:r>
      <w:proofErr w:type="spellEnd"/>
      <w:r w:rsidR="009D2F1A" w:rsidRPr="006212FF">
        <w:rPr>
          <w:rFonts w:ascii="Book Antiqua" w:hAnsi="Book Antiqua"/>
          <w:sz w:val="24"/>
          <w:szCs w:val="24"/>
        </w:rPr>
        <w:t xml:space="preserve"> </w:t>
      </w:r>
      <w:r w:rsidR="00EC206D" w:rsidRPr="006212FF">
        <w:rPr>
          <w:rFonts w:ascii="Book Antiqua" w:hAnsi="Book Antiqua"/>
          <w:sz w:val="24"/>
          <w:szCs w:val="24"/>
        </w:rPr>
        <w:t>49.8</w:t>
      </w:r>
      <w:r w:rsidR="000A0E0D" w:rsidRPr="006212FF">
        <w:rPr>
          <w:rFonts w:ascii="Book Antiqua" w:hAnsi="Book Antiqua"/>
          <w:sz w:val="24"/>
          <w:szCs w:val="24"/>
        </w:rPr>
        <w:t xml:space="preserve"> ± 10</w:t>
      </w:r>
      <w:r w:rsidR="00EC206D" w:rsidRPr="006212FF">
        <w:rPr>
          <w:rFonts w:ascii="Book Antiqua" w:hAnsi="Book Antiqua"/>
          <w:sz w:val="24"/>
          <w:szCs w:val="24"/>
        </w:rPr>
        <w:t>.3</w:t>
      </w:r>
      <w:r w:rsidR="000A0E0D" w:rsidRPr="006212FF">
        <w:rPr>
          <w:rFonts w:ascii="Book Antiqua" w:hAnsi="Book Antiqua"/>
          <w:sz w:val="24"/>
          <w:szCs w:val="24"/>
        </w:rPr>
        <w:t xml:space="preserve"> </w:t>
      </w:r>
      <w:r w:rsidRPr="006212FF">
        <w:rPr>
          <w:rFonts w:ascii="Book Antiqua" w:hAnsi="Book Antiqua"/>
          <w:sz w:val="24"/>
          <w:szCs w:val="24"/>
        </w:rPr>
        <w:t>m</w:t>
      </w:r>
      <w:r w:rsidR="00B64861" w:rsidRPr="006212FF">
        <w:rPr>
          <w:rFonts w:ascii="Book Antiqua" w:hAnsi="Book Antiqua"/>
          <w:sz w:val="24"/>
          <w:szCs w:val="24"/>
        </w:rPr>
        <w:t>L</w:t>
      </w:r>
      <w:r w:rsidRPr="006212FF">
        <w:rPr>
          <w:rFonts w:ascii="Book Antiqua" w:hAnsi="Book Antiqua"/>
          <w:sz w:val="24"/>
          <w:szCs w:val="24"/>
        </w:rPr>
        <w:t xml:space="preserve">/min at the end of 360 d from conversion. </w:t>
      </w:r>
    </w:p>
    <w:p w14:paraId="0139B2D6" w14:textId="38DE6622" w:rsidR="00592E0E" w:rsidRPr="006212FF" w:rsidRDefault="00863EA5" w:rsidP="006212FF">
      <w:pPr>
        <w:spacing w:after="0" w:line="360" w:lineRule="auto"/>
        <w:jc w:val="both"/>
        <w:rPr>
          <w:rFonts w:ascii="Book Antiqua" w:hAnsi="Book Antiqua"/>
          <w:sz w:val="24"/>
          <w:szCs w:val="24"/>
        </w:rPr>
      </w:pPr>
      <w:r w:rsidRPr="006212FF">
        <w:rPr>
          <w:rFonts w:ascii="Book Antiqua" w:hAnsi="Book Antiqua"/>
          <w:sz w:val="24"/>
          <w:szCs w:val="24"/>
        </w:rPr>
        <w:t xml:space="preserve">In a retrospective study, </w:t>
      </w:r>
      <w:proofErr w:type="spellStart"/>
      <w:r w:rsidRPr="006212FF">
        <w:rPr>
          <w:rFonts w:ascii="Book Antiqua" w:hAnsi="Book Antiqua"/>
          <w:sz w:val="24"/>
          <w:szCs w:val="24"/>
        </w:rPr>
        <w:t>Saliba</w:t>
      </w:r>
      <w:proofErr w:type="spellEnd"/>
      <w:r w:rsidRPr="006212FF">
        <w:rPr>
          <w:rFonts w:ascii="Book Antiqua" w:hAnsi="Book Antiqua"/>
          <w:sz w:val="24"/>
          <w:szCs w:val="24"/>
        </w:rPr>
        <w:t xml:space="preserve"> </w:t>
      </w:r>
      <w:r w:rsidRPr="00BA0CF6">
        <w:rPr>
          <w:rFonts w:ascii="Book Antiqua" w:hAnsi="Book Antiqua"/>
          <w:i/>
          <w:sz w:val="24"/>
          <w:szCs w:val="24"/>
        </w:rPr>
        <w:t xml:space="preserve">et </w:t>
      </w:r>
      <w:proofErr w:type="gramStart"/>
      <w:r w:rsidRPr="00BA0CF6">
        <w:rPr>
          <w:rFonts w:ascii="Book Antiqua" w:hAnsi="Book Antiqua"/>
          <w:i/>
          <w:sz w:val="24"/>
          <w:szCs w:val="24"/>
        </w:rPr>
        <w:t>al</w:t>
      </w:r>
      <w:r w:rsidR="00BA0CF6" w:rsidRPr="006212FF">
        <w:rPr>
          <w:rFonts w:ascii="Book Antiqua" w:hAnsi="Book Antiqua"/>
          <w:sz w:val="24"/>
          <w:szCs w:val="24"/>
          <w:vertAlign w:val="superscript"/>
        </w:rPr>
        <w:t>[</w:t>
      </w:r>
      <w:proofErr w:type="gramEnd"/>
      <w:r w:rsidR="00BA0CF6" w:rsidRPr="006212FF">
        <w:rPr>
          <w:rFonts w:ascii="Book Antiqua" w:hAnsi="Book Antiqua"/>
          <w:sz w:val="24"/>
          <w:szCs w:val="24"/>
          <w:vertAlign w:val="superscript"/>
        </w:rPr>
        <w:t>26]</w:t>
      </w:r>
      <w:r w:rsidRPr="006212FF">
        <w:rPr>
          <w:rFonts w:ascii="Book Antiqua" w:hAnsi="Book Antiqua"/>
          <w:sz w:val="24"/>
          <w:szCs w:val="24"/>
        </w:rPr>
        <w:t xml:space="preserve"> described 240 patients </w:t>
      </w:r>
      <w:r w:rsidR="009D2F1A" w:rsidRPr="006212FF">
        <w:rPr>
          <w:rFonts w:ascii="Book Antiqua" w:hAnsi="Book Antiqua"/>
          <w:sz w:val="24"/>
          <w:szCs w:val="24"/>
        </w:rPr>
        <w:t xml:space="preserve">who </w:t>
      </w:r>
      <w:r w:rsidRPr="006212FF">
        <w:rPr>
          <w:rFonts w:ascii="Book Antiqua" w:hAnsi="Book Antiqua"/>
          <w:sz w:val="24"/>
          <w:szCs w:val="24"/>
        </w:rPr>
        <w:t>were successful</w:t>
      </w:r>
      <w:r w:rsidR="00EC206D" w:rsidRPr="006212FF">
        <w:rPr>
          <w:rFonts w:ascii="Book Antiqua" w:hAnsi="Book Antiqua"/>
          <w:sz w:val="24"/>
          <w:szCs w:val="24"/>
        </w:rPr>
        <w:t>ly</w:t>
      </w:r>
      <w:r w:rsidRPr="006212FF">
        <w:rPr>
          <w:rFonts w:ascii="Book Antiqua" w:hAnsi="Book Antiqua"/>
          <w:sz w:val="24"/>
          <w:szCs w:val="24"/>
        </w:rPr>
        <w:t xml:space="preserve"> converted to EVR at median of 3 years from transplant </w:t>
      </w:r>
      <w:r w:rsidR="009D2F1A" w:rsidRPr="006212FF">
        <w:rPr>
          <w:rFonts w:ascii="Book Antiqua" w:hAnsi="Book Antiqua"/>
          <w:sz w:val="24"/>
          <w:szCs w:val="24"/>
        </w:rPr>
        <w:t>with a low</w:t>
      </w:r>
      <w:r w:rsidRPr="006212FF">
        <w:rPr>
          <w:rFonts w:ascii="Book Antiqua" w:hAnsi="Book Antiqua"/>
          <w:sz w:val="24"/>
          <w:szCs w:val="24"/>
        </w:rPr>
        <w:t xml:space="preserve"> overall rejection rate</w:t>
      </w:r>
      <w:r w:rsidR="00140077" w:rsidRPr="006212FF">
        <w:rPr>
          <w:rFonts w:ascii="Book Antiqua" w:hAnsi="Book Antiqua"/>
          <w:sz w:val="24"/>
          <w:szCs w:val="24"/>
        </w:rPr>
        <w:t xml:space="preserve"> (1.6%)</w:t>
      </w:r>
      <w:r w:rsidR="000F3EF8" w:rsidRPr="006212FF">
        <w:rPr>
          <w:rFonts w:ascii="Book Antiqua" w:hAnsi="Book Antiqua"/>
          <w:sz w:val="24"/>
          <w:szCs w:val="24"/>
        </w:rPr>
        <w:t xml:space="preserve">. </w:t>
      </w:r>
      <w:r w:rsidRPr="006212FF">
        <w:rPr>
          <w:rFonts w:ascii="Book Antiqua" w:hAnsi="Book Antiqua"/>
          <w:sz w:val="24"/>
          <w:szCs w:val="24"/>
        </w:rPr>
        <w:t>At 12 month</w:t>
      </w:r>
      <w:r w:rsidR="009D2F1A" w:rsidRPr="006212FF">
        <w:rPr>
          <w:rFonts w:ascii="Book Antiqua" w:hAnsi="Book Antiqua"/>
          <w:sz w:val="24"/>
          <w:szCs w:val="24"/>
        </w:rPr>
        <w:t>s</w:t>
      </w:r>
      <w:r w:rsidRPr="006212FF">
        <w:rPr>
          <w:rFonts w:ascii="Book Antiqua" w:hAnsi="Book Antiqua"/>
          <w:sz w:val="24"/>
          <w:szCs w:val="24"/>
        </w:rPr>
        <w:t xml:space="preserve"> post conversion, 61% of patients ha</w:t>
      </w:r>
      <w:r w:rsidR="009D2F1A" w:rsidRPr="006212FF">
        <w:rPr>
          <w:rFonts w:ascii="Book Antiqua" w:hAnsi="Book Antiqua"/>
          <w:sz w:val="24"/>
          <w:szCs w:val="24"/>
        </w:rPr>
        <w:t>d</w:t>
      </w:r>
      <w:r w:rsidRPr="006212FF">
        <w:rPr>
          <w:rFonts w:ascii="Book Antiqua" w:hAnsi="Book Antiqua"/>
          <w:sz w:val="24"/>
          <w:szCs w:val="24"/>
        </w:rPr>
        <w:t xml:space="preserve"> CNI discontinued. Mean EVR C</w:t>
      </w:r>
      <w:r w:rsidR="004A3410" w:rsidRPr="006212FF">
        <w:rPr>
          <w:rFonts w:ascii="Book Antiqua" w:hAnsi="Book Antiqua"/>
          <w:sz w:val="24"/>
          <w:szCs w:val="24"/>
          <w:vertAlign w:val="subscript"/>
        </w:rPr>
        <w:t>0</w:t>
      </w:r>
      <w:r w:rsidRPr="006212FF">
        <w:rPr>
          <w:rFonts w:ascii="Book Antiqua" w:hAnsi="Book Antiqua"/>
          <w:sz w:val="24"/>
          <w:szCs w:val="24"/>
        </w:rPr>
        <w:t xml:space="preserve"> was 7.3 </w:t>
      </w:r>
      <w:proofErr w:type="spellStart"/>
      <w:r w:rsidRPr="006212FF">
        <w:rPr>
          <w:rFonts w:ascii="Book Antiqua" w:hAnsi="Book Antiqua"/>
          <w:sz w:val="24"/>
          <w:szCs w:val="24"/>
        </w:rPr>
        <w:t>ng</w:t>
      </w:r>
      <w:proofErr w:type="spellEnd"/>
      <w:r w:rsidRPr="006212FF">
        <w:rPr>
          <w:rFonts w:ascii="Book Antiqua" w:hAnsi="Book Antiqua"/>
          <w:sz w:val="24"/>
          <w:szCs w:val="24"/>
        </w:rPr>
        <w:t xml:space="preserve">/mL and 8.1 </w:t>
      </w:r>
      <w:proofErr w:type="spellStart"/>
      <w:r w:rsidRPr="006212FF">
        <w:rPr>
          <w:rFonts w:ascii="Book Antiqua" w:hAnsi="Book Antiqua"/>
          <w:sz w:val="24"/>
          <w:szCs w:val="24"/>
        </w:rPr>
        <w:t>ng</w:t>
      </w:r>
      <w:proofErr w:type="spellEnd"/>
      <w:r w:rsidRPr="006212FF">
        <w:rPr>
          <w:rFonts w:ascii="Book Antiqua" w:hAnsi="Book Antiqua"/>
          <w:sz w:val="24"/>
          <w:szCs w:val="24"/>
        </w:rPr>
        <w:t>/mL at month 1 and 12 post conversion respectively while mean EVR C</w:t>
      </w:r>
      <w:r w:rsidR="004A3410" w:rsidRPr="006212FF">
        <w:rPr>
          <w:rFonts w:ascii="Book Antiqua" w:hAnsi="Book Antiqua"/>
          <w:sz w:val="24"/>
          <w:szCs w:val="24"/>
          <w:vertAlign w:val="subscript"/>
        </w:rPr>
        <w:t>0</w:t>
      </w:r>
      <w:r w:rsidRPr="006212FF">
        <w:rPr>
          <w:rFonts w:ascii="Book Antiqua" w:hAnsi="Book Antiqua"/>
          <w:sz w:val="24"/>
          <w:szCs w:val="24"/>
        </w:rPr>
        <w:t xml:space="preserve"> was higher (8.8 </w:t>
      </w:r>
      <w:proofErr w:type="spellStart"/>
      <w:r w:rsidRPr="006212FF">
        <w:rPr>
          <w:rFonts w:ascii="Book Antiqua" w:hAnsi="Book Antiqua"/>
          <w:sz w:val="24"/>
          <w:szCs w:val="24"/>
        </w:rPr>
        <w:t>ng</w:t>
      </w:r>
      <w:proofErr w:type="spellEnd"/>
      <w:r w:rsidRPr="006212FF">
        <w:rPr>
          <w:rFonts w:ascii="Book Antiqua" w:hAnsi="Book Antiqua"/>
          <w:sz w:val="24"/>
          <w:szCs w:val="24"/>
        </w:rPr>
        <w:t xml:space="preserve">/mL) in 40 patients who were kept </w:t>
      </w:r>
      <w:r w:rsidR="009D2F1A" w:rsidRPr="006212FF">
        <w:rPr>
          <w:rFonts w:ascii="Book Antiqua" w:hAnsi="Book Antiqua"/>
          <w:sz w:val="24"/>
          <w:szCs w:val="24"/>
        </w:rPr>
        <w:t xml:space="preserve">on </w:t>
      </w:r>
      <w:r w:rsidRPr="006212FF">
        <w:rPr>
          <w:rFonts w:ascii="Book Antiqua" w:hAnsi="Book Antiqua"/>
          <w:sz w:val="24"/>
          <w:szCs w:val="24"/>
        </w:rPr>
        <w:t xml:space="preserve">EVR </w:t>
      </w:r>
      <w:proofErr w:type="spellStart"/>
      <w:r w:rsidRPr="006212FF">
        <w:rPr>
          <w:rFonts w:ascii="Book Antiqua" w:hAnsi="Book Antiqua"/>
          <w:sz w:val="24"/>
          <w:szCs w:val="24"/>
        </w:rPr>
        <w:t>monotherapy</w:t>
      </w:r>
      <w:proofErr w:type="spellEnd"/>
      <w:r w:rsidRPr="006212FF">
        <w:rPr>
          <w:rFonts w:ascii="Book Antiqua" w:hAnsi="Book Antiqua"/>
          <w:sz w:val="24"/>
          <w:szCs w:val="24"/>
        </w:rPr>
        <w:t xml:space="preserve"> at month 12.</w:t>
      </w:r>
      <w:r w:rsidR="003452BF" w:rsidRPr="006212FF">
        <w:rPr>
          <w:rFonts w:ascii="Book Antiqua" w:hAnsi="Book Antiqua"/>
          <w:sz w:val="24"/>
          <w:szCs w:val="24"/>
        </w:rPr>
        <w:t xml:space="preserve"> Immunosuppress</w:t>
      </w:r>
      <w:r w:rsidR="00DF67F5" w:rsidRPr="006212FF">
        <w:rPr>
          <w:rFonts w:ascii="Book Antiqua" w:hAnsi="Book Antiqua"/>
          <w:sz w:val="24"/>
          <w:szCs w:val="24"/>
        </w:rPr>
        <w:t>ion therapy</w:t>
      </w:r>
      <w:r w:rsidR="003452BF" w:rsidRPr="006212FF">
        <w:rPr>
          <w:rFonts w:ascii="Book Antiqua" w:hAnsi="Book Antiqua"/>
          <w:sz w:val="24"/>
          <w:szCs w:val="24"/>
        </w:rPr>
        <w:t xml:space="preserve"> was in combination with or without MMF and steroid in both groups.</w:t>
      </w:r>
      <w:r w:rsidRPr="006212FF">
        <w:rPr>
          <w:rFonts w:ascii="Book Antiqua" w:hAnsi="Book Antiqua"/>
          <w:sz w:val="24"/>
          <w:szCs w:val="24"/>
        </w:rPr>
        <w:t xml:space="preserve"> Renal function was markedly improved in patients who were converted within </w:t>
      </w:r>
      <w:r w:rsidR="009D2F1A" w:rsidRPr="006212FF">
        <w:rPr>
          <w:rFonts w:ascii="Book Antiqua" w:hAnsi="Book Antiqua"/>
          <w:sz w:val="24"/>
          <w:szCs w:val="24"/>
        </w:rPr>
        <w:t xml:space="preserve">the </w:t>
      </w:r>
      <w:r w:rsidRPr="006212FF">
        <w:rPr>
          <w:rFonts w:ascii="Book Antiqua" w:hAnsi="Book Antiqua"/>
          <w:sz w:val="24"/>
          <w:szCs w:val="24"/>
        </w:rPr>
        <w:t>first year from transplant (</w:t>
      </w:r>
      <w:r w:rsidRPr="00BA0CF6">
        <w:rPr>
          <w:rFonts w:ascii="Book Antiqua" w:hAnsi="Book Antiqua"/>
          <w:i/>
          <w:sz w:val="24"/>
          <w:szCs w:val="24"/>
        </w:rPr>
        <w:t>n</w:t>
      </w:r>
      <w:r w:rsidR="00BA0CF6" w:rsidRPr="00BA0CF6">
        <w:rPr>
          <w:rFonts w:ascii="Book Antiqua" w:hAnsi="Book Antiqua" w:hint="eastAsia"/>
          <w:i/>
          <w:sz w:val="24"/>
          <w:szCs w:val="24"/>
        </w:rPr>
        <w:t xml:space="preserve"> </w:t>
      </w:r>
      <w:r w:rsidRPr="006212FF">
        <w:rPr>
          <w:rFonts w:ascii="Book Antiqua" w:hAnsi="Book Antiqua"/>
          <w:sz w:val="24"/>
          <w:szCs w:val="24"/>
        </w:rPr>
        <w:t>=</w:t>
      </w:r>
      <w:r w:rsidR="00BA0CF6">
        <w:rPr>
          <w:rFonts w:ascii="Book Antiqua" w:hAnsi="Book Antiqua" w:hint="eastAsia"/>
          <w:sz w:val="24"/>
          <w:szCs w:val="24"/>
        </w:rPr>
        <w:t xml:space="preserve"> </w:t>
      </w:r>
      <w:r w:rsidRPr="006212FF">
        <w:rPr>
          <w:rFonts w:ascii="Book Antiqua" w:hAnsi="Book Antiqua"/>
          <w:sz w:val="24"/>
          <w:szCs w:val="24"/>
        </w:rPr>
        <w:t>68) as compared to conversion after 1 year from transplant (</w:t>
      </w:r>
      <w:r w:rsidR="00BA0CF6" w:rsidRPr="00BA0CF6">
        <w:rPr>
          <w:rFonts w:ascii="Book Antiqua" w:hAnsi="Book Antiqua"/>
          <w:i/>
          <w:sz w:val="24"/>
          <w:szCs w:val="24"/>
        </w:rPr>
        <w:t>n</w:t>
      </w:r>
      <w:r w:rsidR="00BA0CF6" w:rsidRPr="00BA0CF6">
        <w:rPr>
          <w:rFonts w:ascii="Book Antiqua" w:hAnsi="Book Antiqua" w:hint="eastAsia"/>
          <w:i/>
          <w:sz w:val="24"/>
          <w:szCs w:val="24"/>
        </w:rPr>
        <w:t xml:space="preserve"> </w:t>
      </w:r>
      <w:r w:rsidRPr="006212FF">
        <w:rPr>
          <w:rFonts w:ascii="Book Antiqua" w:hAnsi="Book Antiqua"/>
          <w:sz w:val="24"/>
          <w:szCs w:val="24"/>
        </w:rPr>
        <w:t>=</w:t>
      </w:r>
      <w:r w:rsidR="00BA0CF6">
        <w:rPr>
          <w:rFonts w:ascii="Book Antiqua" w:hAnsi="Book Antiqua" w:hint="eastAsia"/>
          <w:sz w:val="24"/>
          <w:szCs w:val="24"/>
        </w:rPr>
        <w:t xml:space="preserve"> </w:t>
      </w:r>
      <w:r w:rsidRPr="006212FF">
        <w:rPr>
          <w:rFonts w:ascii="Book Antiqua" w:hAnsi="Book Antiqua"/>
          <w:sz w:val="24"/>
          <w:szCs w:val="24"/>
        </w:rPr>
        <w:t xml:space="preserve">172), </w:t>
      </w:r>
      <w:r w:rsidR="00D747D0" w:rsidRPr="006212FF">
        <w:rPr>
          <w:rFonts w:ascii="Book Antiqua" w:hAnsi="Book Antiqua"/>
          <w:sz w:val="24"/>
          <w:szCs w:val="24"/>
        </w:rPr>
        <w:t xml:space="preserve">calculated </w:t>
      </w:r>
      <w:proofErr w:type="spellStart"/>
      <w:r w:rsidR="00D747D0" w:rsidRPr="006212FF">
        <w:rPr>
          <w:rFonts w:ascii="Book Antiqua" w:hAnsi="Book Antiqua"/>
          <w:sz w:val="24"/>
          <w:szCs w:val="24"/>
        </w:rPr>
        <w:t>creatinine</w:t>
      </w:r>
      <w:proofErr w:type="spellEnd"/>
      <w:r w:rsidR="00D747D0" w:rsidRPr="006212FF">
        <w:rPr>
          <w:rFonts w:ascii="Book Antiqua" w:hAnsi="Book Antiqua"/>
          <w:sz w:val="24"/>
          <w:szCs w:val="24"/>
        </w:rPr>
        <w:t xml:space="preserve"> clearance </w:t>
      </w:r>
      <w:r w:rsidRPr="006212FF">
        <w:rPr>
          <w:rFonts w:ascii="Book Antiqua" w:hAnsi="Book Antiqua"/>
          <w:sz w:val="24"/>
          <w:szCs w:val="24"/>
        </w:rPr>
        <w:t>12.5</w:t>
      </w:r>
      <w:r w:rsidR="00BA0CF6">
        <w:rPr>
          <w:rFonts w:ascii="Book Antiqua" w:hAnsi="Book Antiqua" w:hint="eastAsia"/>
          <w:sz w:val="24"/>
          <w:szCs w:val="24"/>
        </w:rPr>
        <w:t xml:space="preserve"> </w:t>
      </w:r>
      <w:r w:rsidRPr="006212FF">
        <w:rPr>
          <w:rFonts w:ascii="Book Antiqua" w:hAnsi="Book Antiqua"/>
          <w:sz w:val="24"/>
          <w:szCs w:val="24"/>
        </w:rPr>
        <w:t>m</w:t>
      </w:r>
      <w:r w:rsidR="00BA0CF6" w:rsidRPr="006212FF">
        <w:rPr>
          <w:rFonts w:ascii="Book Antiqua" w:hAnsi="Book Antiqua"/>
          <w:sz w:val="24"/>
          <w:szCs w:val="24"/>
        </w:rPr>
        <w:t>L</w:t>
      </w:r>
      <w:r w:rsidRPr="006212FF">
        <w:rPr>
          <w:rFonts w:ascii="Book Antiqua" w:hAnsi="Book Antiqua"/>
          <w:sz w:val="24"/>
          <w:szCs w:val="24"/>
        </w:rPr>
        <w:t xml:space="preserve">/min </w:t>
      </w:r>
      <w:proofErr w:type="spellStart"/>
      <w:r w:rsidR="00016F09" w:rsidRPr="00016F09">
        <w:rPr>
          <w:rFonts w:ascii="Book Antiqua" w:eastAsia="Times New Roman" w:hAnsi="Book Antiqua" w:cs="Times New Roman"/>
          <w:bCs/>
          <w:i/>
          <w:color w:val="000000"/>
          <w:sz w:val="24"/>
          <w:szCs w:val="24"/>
        </w:rPr>
        <w:t>vs</w:t>
      </w:r>
      <w:proofErr w:type="spellEnd"/>
      <w:r w:rsidRPr="006212FF">
        <w:rPr>
          <w:rFonts w:ascii="Book Antiqua" w:hAnsi="Book Antiqua"/>
          <w:sz w:val="24"/>
          <w:szCs w:val="24"/>
        </w:rPr>
        <w:t xml:space="preserve"> 5.5</w:t>
      </w:r>
      <w:r w:rsidR="00BA0CF6">
        <w:rPr>
          <w:rFonts w:ascii="Book Antiqua" w:hAnsi="Book Antiqua" w:hint="eastAsia"/>
          <w:sz w:val="24"/>
          <w:szCs w:val="24"/>
        </w:rPr>
        <w:t xml:space="preserve"> </w:t>
      </w:r>
      <w:r w:rsidRPr="006212FF">
        <w:rPr>
          <w:rFonts w:ascii="Book Antiqua" w:hAnsi="Book Antiqua"/>
          <w:sz w:val="24"/>
          <w:szCs w:val="24"/>
        </w:rPr>
        <w:t>m</w:t>
      </w:r>
      <w:r w:rsidR="00BA0CF6" w:rsidRPr="006212FF">
        <w:rPr>
          <w:rFonts w:ascii="Book Antiqua" w:hAnsi="Book Antiqua"/>
          <w:sz w:val="24"/>
          <w:szCs w:val="24"/>
        </w:rPr>
        <w:t>L</w:t>
      </w:r>
      <w:r w:rsidRPr="006212FF">
        <w:rPr>
          <w:rFonts w:ascii="Book Antiqua" w:hAnsi="Book Antiqua"/>
          <w:sz w:val="24"/>
          <w:szCs w:val="24"/>
        </w:rPr>
        <w:t>/min based on Cockcroft-</w:t>
      </w:r>
      <w:proofErr w:type="spellStart"/>
      <w:r w:rsidRPr="006212FF">
        <w:rPr>
          <w:rFonts w:ascii="Book Antiqua" w:hAnsi="Book Antiqua"/>
          <w:sz w:val="24"/>
          <w:szCs w:val="24"/>
        </w:rPr>
        <w:t>Gault</w:t>
      </w:r>
      <w:proofErr w:type="spellEnd"/>
      <w:r w:rsidRPr="006212FF">
        <w:rPr>
          <w:rFonts w:ascii="Book Antiqua" w:hAnsi="Book Antiqua"/>
          <w:sz w:val="24"/>
          <w:szCs w:val="24"/>
        </w:rPr>
        <w:t xml:space="preserve"> formula. </w:t>
      </w:r>
    </w:p>
    <w:p w14:paraId="1D8E7E22" w14:textId="6035083A" w:rsidR="00863EA5" w:rsidRDefault="00863EA5" w:rsidP="00BA0CF6">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lastRenderedPageBreak/>
        <w:t>In another retrospective study, 477 patients were recruited and 157 (33%) were converted to EVR for indication of renal dysfun</w:t>
      </w:r>
      <w:r w:rsidR="00374E7E" w:rsidRPr="006212FF">
        <w:rPr>
          <w:rFonts w:ascii="Book Antiqua" w:hAnsi="Book Antiqua"/>
          <w:sz w:val="24"/>
          <w:szCs w:val="24"/>
        </w:rPr>
        <w:t xml:space="preserve">ction at median of 24 </w:t>
      </w:r>
      <w:proofErr w:type="spellStart"/>
      <w:proofErr w:type="gramStart"/>
      <w:r w:rsidR="00374E7E" w:rsidRPr="006212FF">
        <w:rPr>
          <w:rFonts w:ascii="Book Antiqua" w:hAnsi="Book Antiqua"/>
          <w:sz w:val="24"/>
          <w:szCs w:val="24"/>
        </w:rPr>
        <w:t>mo</w:t>
      </w:r>
      <w:proofErr w:type="spellEnd"/>
      <w:r w:rsidR="00E65A6C" w:rsidRPr="006212FF">
        <w:rPr>
          <w:rFonts w:ascii="Book Antiqua" w:hAnsi="Book Antiqua"/>
          <w:sz w:val="24"/>
          <w:szCs w:val="24"/>
          <w:vertAlign w:val="superscript"/>
        </w:rPr>
        <w:t>[</w:t>
      </w:r>
      <w:proofErr w:type="gramEnd"/>
      <w:r w:rsidR="00E65A6C" w:rsidRPr="006212FF">
        <w:rPr>
          <w:rFonts w:ascii="Book Antiqua" w:hAnsi="Book Antiqua"/>
          <w:sz w:val="24"/>
          <w:szCs w:val="24"/>
          <w:vertAlign w:val="superscript"/>
        </w:rPr>
        <w:t>27]</w:t>
      </w:r>
      <w:r w:rsidRPr="006212FF">
        <w:rPr>
          <w:rFonts w:ascii="Book Antiqua" w:hAnsi="Book Antiqua"/>
          <w:sz w:val="24"/>
          <w:szCs w:val="24"/>
        </w:rPr>
        <w:t xml:space="preserve">. Significant improvement of renal function was observed in patients who were converted to EVR within 1 year from transplant but not in patients who were converted after 5 years from transplant. Of note, in patients who were converted in between 1-5 years from transplant, the improvement in renal function was only </w:t>
      </w:r>
      <w:r w:rsidR="00D747D0" w:rsidRPr="006212FF">
        <w:rPr>
          <w:rFonts w:ascii="Book Antiqua" w:hAnsi="Book Antiqua"/>
          <w:sz w:val="24"/>
          <w:szCs w:val="24"/>
        </w:rPr>
        <w:t xml:space="preserve">appreciable </w:t>
      </w:r>
      <w:r w:rsidRPr="006212FF">
        <w:rPr>
          <w:rFonts w:ascii="Book Antiqua" w:hAnsi="Book Antiqua"/>
          <w:sz w:val="24"/>
          <w:szCs w:val="24"/>
        </w:rPr>
        <w:t xml:space="preserve">at month 3 and 6 but </w:t>
      </w:r>
      <w:r w:rsidR="00D747D0" w:rsidRPr="006212FF">
        <w:rPr>
          <w:rFonts w:ascii="Book Antiqua" w:hAnsi="Book Antiqua"/>
          <w:sz w:val="24"/>
          <w:szCs w:val="24"/>
        </w:rPr>
        <w:t xml:space="preserve">did </w:t>
      </w:r>
      <w:r w:rsidRPr="006212FF">
        <w:rPr>
          <w:rFonts w:ascii="Book Antiqua" w:hAnsi="Book Antiqua"/>
          <w:sz w:val="24"/>
          <w:szCs w:val="24"/>
        </w:rPr>
        <w:t xml:space="preserve">not persist at 12 </w:t>
      </w:r>
      <w:proofErr w:type="spellStart"/>
      <w:r w:rsidRPr="006212FF">
        <w:rPr>
          <w:rFonts w:ascii="Book Antiqua" w:hAnsi="Book Antiqua"/>
          <w:sz w:val="24"/>
          <w:szCs w:val="24"/>
        </w:rPr>
        <w:t>mo</w:t>
      </w:r>
      <w:proofErr w:type="spellEnd"/>
      <w:r w:rsidRPr="006212FF">
        <w:rPr>
          <w:rFonts w:ascii="Book Antiqua" w:hAnsi="Book Antiqua"/>
          <w:sz w:val="24"/>
          <w:szCs w:val="24"/>
        </w:rPr>
        <w:t xml:space="preserve"> post conversion. Overall </w:t>
      </w:r>
      <w:r w:rsidR="00D747D0" w:rsidRPr="006212FF">
        <w:rPr>
          <w:rFonts w:ascii="Book Antiqua" w:hAnsi="Book Antiqua"/>
          <w:sz w:val="24"/>
          <w:szCs w:val="24"/>
        </w:rPr>
        <w:t xml:space="preserve">graft </w:t>
      </w:r>
      <w:r w:rsidRPr="006212FF">
        <w:rPr>
          <w:rFonts w:ascii="Book Antiqua" w:hAnsi="Book Antiqua"/>
          <w:sz w:val="24"/>
          <w:szCs w:val="24"/>
        </w:rPr>
        <w:t xml:space="preserve">rejection rate was 5.9% which mostly occurred at 3 and 6 </w:t>
      </w:r>
      <w:proofErr w:type="spellStart"/>
      <w:r w:rsidRPr="006212FF">
        <w:rPr>
          <w:rFonts w:ascii="Book Antiqua" w:hAnsi="Book Antiqua"/>
          <w:sz w:val="24"/>
          <w:szCs w:val="24"/>
        </w:rPr>
        <w:t>mo</w:t>
      </w:r>
      <w:proofErr w:type="spellEnd"/>
      <w:r w:rsidRPr="006212FF">
        <w:rPr>
          <w:rFonts w:ascii="Book Antiqua" w:hAnsi="Book Antiqua"/>
          <w:sz w:val="24"/>
          <w:szCs w:val="24"/>
        </w:rPr>
        <w:t xml:space="preserve"> post conversion. </w:t>
      </w:r>
    </w:p>
    <w:p w14:paraId="6D89844A" w14:textId="77777777" w:rsidR="00BA0CF6" w:rsidRPr="006212FF" w:rsidRDefault="00BA0CF6" w:rsidP="00BA0CF6">
      <w:pPr>
        <w:spacing w:after="0" w:line="360" w:lineRule="auto"/>
        <w:ind w:firstLineChars="100" w:firstLine="240"/>
        <w:jc w:val="both"/>
        <w:rPr>
          <w:rFonts w:ascii="Book Antiqua" w:hAnsi="Book Antiqua"/>
          <w:sz w:val="24"/>
          <w:szCs w:val="24"/>
        </w:rPr>
      </w:pPr>
    </w:p>
    <w:p w14:paraId="7E4A9395" w14:textId="7AA7A191" w:rsidR="00BC1725" w:rsidRPr="006212FF" w:rsidRDefault="00BA0CF6" w:rsidP="006212FF">
      <w:pPr>
        <w:spacing w:after="0" w:line="360" w:lineRule="auto"/>
        <w:jc w:val="both"/>
        <w:rPr>
          <w:rFonts w:ascii="Book Antiqua" w:hAnsi="Book Antiqua"/>
          <w:b/>
          <w:sz w:val="24"/>
          <w:szCs w:val="24"/>
        </w:rPr>
      </w:pPr>
      <w:r w:rsidRPr="006212FF">
        <w:rPr>
          <w:rFonts w:ascii="Book Antiqua" w:hAnsi="Book Antiqua"/>
          <w:b/>
          <w:sz w:val="24"/>
          <w:szCs w:val="24"/>
        </w:rPr>
        <w:t>VALUE OF EVR IN LT</w:t>
      </w:r>
    </w:p>
    <w:p w14:paraId="0E0CBC3C" w14:textId="77777777" w:rsidR="00C902EA" w:rsidRPr="00BA0CF6" w:rsidRDefault="004A3410" w:rsidP="00BA0CF6">
      <w:pPr>
        <w:pStyle w:val="ListParagraph"/>
        <w:spacing w:after="0" w:line="360" w:lineRule="auto"/>
        <w:ind w:left="0"/>
        <w:jc w:val="both"/>
        <w:rPr>
          <w:rFonts w:ascii="Book Antiqua" w:hAnsi="Book Antiqua"/>
          <w:b/>
          <w:i/>
          <w:sz w:val="24"/>
          <w:szCs w:val="24"/>
        </w:rPr>
      </w:pPr>
      <w:proofErr w:type="spellStart"/>
      <w:r w:rsidRPr="00BA0CF6">
        <w:rPr>
          <w:rFonts w:ascii="Book Antiqua" w:hAnsi="Book Antiqua"/>
          <w:b/>
          <w:i/>
          <w:sz w:val="24"/>
          <w:szCs w:val="24"/>
        </w:rPr>
        <w:t>Renoprotective</w:t>
      </w:r>
      <w:proofErr w:type="spellEnd"/>
      <w:r w:rsidRPr="00BA0CF6">
        <w:rPr>
          <w:rFonts w:ascii="Book Antiqua" w:hAnsi="Book Antiqua"/>
          <w:b/>
          <w:i/>
          <w:sz w:val="24"/>
          <w:szCs w:val="24"/>
        </w:rPr>
        <w:t xml:space="preserve"> effect </w:t>
      </w:r>
    </w:p>
    <w:p w14:paraId="199DFC14" w14:textId="4122BD00" w:rsidR="00760ECD" w:rsidRPr="006212FF" w:rsidRDefault="00D77D70" w:rsidP="006212FF">
      <w:pPr>
        <w:spacing w:after="0" w:line="360" w:lineRule="auto"/>
        <w:jc w:val="both"/>
        <w:rPr>
          <w:rFonts w:ascii="Book Antiqua" w:hAnsi="Book Antiqua"/>
          <w:sz w:val="24"/>
          <w:szCs w:val="24"/>
        </w:rPr>
      </w:pPr>
      <w:r w:rsidRPr="006212FF">
        <w:rPr>
          <w:rFonts w:ascii="Book Antiqua" w:hAnsi="Book Antiqua"/>
          <w:sz w:val="24"/>
          <w:szCs w:val="24"/>
        </w:rPr>
        <w:t>L</w:t>
      </w:r>
      <w:r w:rsidR="00DC1AB8" w:rsidRPr="006212FF">
        <w:rPr>
          <w:rFonts w:ascii="Book Antiqua" w:hAnsi="Book Antiqua"/>
          <w:sz w:val="24"/>
          <w:szCs w:val="24"/>
        </w:rPr>
        <w:t>ong</w:t>
      </w:r>
      <w:r w:rsidR="005C5F1F" w:rsidRPr="006212FF">
        <w:rPr>
          <w:rFonts w:ascii="Book Antiqua" w:hAnsi="Book Antiqua"/>
          <w:sz w:val="24"/>
          <w:szCs w:val="24"/>
        </w:rPr>
        <w:t>-</w:t>
      </w:r>
      <w:r w:rsidR="00DC1AB8" w:rsidRPr="006212FF">
        <w:rPr>
          <w:rFonts w:ascii="Book Antiqua" w:hAnsi="Book Antiqua"/>
          <w:sz w:val="24"/>
          <w:szCs w:val="24"/>
        </w:rPr>
        <w:t xml:space="preserve">term </w:t>
      </w:r>
      <w:proofErr w:type="spellStart"/>
      <w:r w:rsidR="00DC1AB8" w:rsidRPr="006212FF">
        <w:rPr>
          <w:rFonts w:ascii="Book Antiqua" w:hAnsi="Book Antiqua"/>
          <w:sz w:val="24"/>
          <w:szCs w:val="24"/>
        </w:rPr>
        <w:t>renoprotective</w:t>
      </w:r>
      <w:proofErr w:type="spellEnd"/>
      <w:r w:rsidR="00DC1AB8" w:rsidRPr="006212FF">
        <w:rPr>
          <w:rFonts w:ascii="Book Antiqua" w:hAnsi="Book Antiqua"/>
          <w:sz w:val="24"/>
          <w:szCs w:val="24"/>
        </w:rPr>
        <w:t xml:space="preserve"> benefits</w:t>
      </w:r>
      <w:r w:rsidRPr="006212FF">
        <w:rPr>
          <w:rFonts w:ascii="Book Antiqua" w:hAnsi="Book Antiqua"/>
          <w:sz w:val="24"/>
          <w:szCs w:val="24"/>
        </w:rPr>
        <w:t xml:space="preserve"> of EVR in LT have been</w:t>
      </w:r>
      <w:r w:rsidR="009A0EA0" w:rsidRPr="006212FF">
        <w:rPr>
          <w:rFonts w:ascii="Book Antiqua" w:hAnsi="Book Antiqua"/>
          <w:sz w:val="24"/>
          <w:szCs w:val="24"/>
        </w:rPr>
        <w:t xml:space="preserve"> </w:t>
      </w:r>
      <w:r w:rsidRPr="006212FF">
        <w:rPr>
          <w:rFonts w:ascii="Book Antiqua" w:hAnsi="Book Antiqua"/>
          <w:sz w:val="24"/>
          <w:szCs w:val="24"/>
        </w:rPr>
        <w:t>demonstrated</w:t>
      </w:r>
      <w:r w:rsidR="00DC1AB8" w:rsidRPr="006212FF">
        <w:rPr>
          <w:rFonts w:ascii="Book Antiqua" w:hAnsi="Book Antiqua"/>
          <w:sz w:val="24"/>
          <w:szCs w:val="24"/>
        </w:rPr>
        <w:t xml:space="preserve"> in</w:t>
      </w:r>
      <w:r w:rsidRPr="006212FF">
        <w:rPr>
          <w:rFonts w:ascii="Book Antiqua" w:hAnsi="Book Antiqua"/>
          <w:sz w:val="24"/>
          <w:szCs w:val="24"/>
        </w:rPr>
        <w:t xml:space="preserve"> the</w:t>
      </w:r>
      <w:r w:rsidR="00DC1AB8" w:rsidRPr="006212FF">
        <w:rPr>
          <w:rFonts w:ascii="Book Antiqua" w:hAnsi="Book Antiqua"/>
          <w:sz w:val="24"/>
          <w:szCs w:val="24"/>
        </w:rPr>
        <w:t xml:space="preserve"> H2304 </w:t>
      </w:r>
      <w:proofErr w:type="gramStart"/>
      <w:r w:rsidR="00D66EFA" w:rsidRPr="006212FF">
        <w:rPr>
          <w:rFonts w:ascii="Book Antiqua" w:hAnsi="Book Antiqua"/>
          <w:sz w:val="24"/>
          <w:szCs w:val="24"/>
        </w:rPr>
        <w:t>s</w:t>
      </w:r>
      <w:r w:rsidR="00DC1AB8" w:rsidRPr="006212FF">
        <w:rPr>
          <w:rFonts w:ascii="Book Antiqua" w:hAnsi="Book Antiqua"/>
          <w:sz w:val="24"/>
          <w:szCs w:val="24"/>
        </w:rPr>
        <w:t>tudy</w:t>
      </w:r>
      <w:r w:rsidR="00E65A6C" w:rsidRPr="006212FF">
        <w:rPr>
          <w:rFonts w:ascii="Book Antiqua" w:hAnsi="Book Antiqua"/>
          <w:sz w:val="24"/>
          <w:szCs w:val="24"/>
          <w:vertAlign w:val="superscript"/>
        </w:rPr>
        <w:t>[</w:t>
      </w:r>
      <w:proofErr w:type="gramEnd"/>
      <w:r w:rsidR="00E65A6C" w:rsidRPr="006212FF">
        <w:rPr>
          <w:rFonts w:ascii="Book Antiqua" w:hAnsi="Book Antiqua"/>
          <w:sz w:val="24"/>
          <w:szCs w:val="24"/>
          <w:vertAlign w:val="superscript"/>
        </w:rPr>
        <w:t>16-18]</w:t>
      </w:r>
      <w:r w:rsidR="00DC1AB8" w:rsidRPr="006212FF">
        <w:rPr>
          <w:rFonts w:ascii="Book Antiqua" w:hAnsi="Book Antiqua"/>
          <w:sz w:val="24"/>
          <w:szCs w:val="24"/>
        </w:rPr>
        <w:t>.</w:t>
      </w:r>
      <w:r w:rsidR="00F24489" w:rsidRPr="006212FF">
        <w:rPr>
          <w:rFonts w:ascii="Book Antiqua" w:hAnsi="Book Antiqua"/>
          <w:sz w:val="24"/>
          <w:szCs w:val="24"/>
        </w:rPr>
        <w:t xml:space="preserve"> </w:t>
      </w:r>
      <w:r w:rsidR="004C4658" w:rsidRPr="006212FF">
        <w:rPr>
          <w:rFonts w:ascii="Book Antiqua" w:hAnsi="Book Antiqua"/>
          <w:sz w:val="24"/>
          <w:szCs w:val="24"/>
        </w:rPr>
        <w:t>Based on the results</w:t>
      </w:r>
      <w:r w:rsidR="00861491" w:rsidRPr="006212FF">
        <w:rPr>
          <w:rFonts w:ascii="Book Antiqua" w:hAnsi="Book Antiqua"/>
          <w:sz w:val="24"/>
          <w:szCs w:val="24"/>
        </w:rPr>
        <w:t xml:space="preserve">, </w:t>
      </w:r>
      <w:r w:rsidR="004C4658" w:rsidRPr="006212FF">
        <w:rPr>
          <w:rFonts w:ascii="Book Antiqua" w:hAnsi="Book Antiqua"/>
          <w:sz w:val="24"/>
          <w:szCs w:val="24"/>
        </w:rPr>
        <w:t xml:space="preserve">De Simone </w:t>
      </w:r>
      <w:r w:rsidR="004C4658" w:rsidRPr="007F29ED">
        <w:rPr>
          <w:rFonts w:ascii="Book Antiqua" w:hAnsi="Book Antiqua"/>
          <w:i/>
          <w:sz w:val="24"/>
          <w:szCs w:val="24"/>
        </w:rPr>
        <w:t xml:space="preserve">et </w:t>
      </w:r>
      <w:proofErr w:type="gramStart"/>
      <w:r w:rsidR="004C4658" w:rsidRPr="007F29ED">
        <w:rPr>
          <w:rFonts w:ascii="Book Antiqua" w:hAnsi="Book Antiqua"/>
          <w:i/>
          <w:sz w:val="24"/>
          <w:szCs w:val="24"/>
        </w:rPr>
        <w:t>al</w:t>
      </w:r>
      <w:r w:rsidR="007F29ED">
        <w:rPr>
          <w:rFonts w:ascii="Book Antiqua" w:hAnsi="Book Antiqua" w:hint="eastAsia"/>
          <w:sz w:val="24"/>
          <w:szCs w:val="24"/>
          <w:vertAlign w:val="superscript"/>
        </w:rPr>
        <w:t>[</w:t>
      </w:r>
      <w:proofErr w:type="gramEnd"/>
      <w:r w:rsidR="007F29ED">
        <w:rPr>
          <w:rFonts w:ascii="Book Antiqua" w:hAnsi="Book Antiqua" w:hint="eastAsia"/>
          <w:sz w:val="24"/>
          <w:szCs w:val="24"/>
          <w:vertAlign w:val="superscript"/>
        </w:rPr>
        <w:t>16]</w:t>
      </w:r>
      <w:r w:rsidR="004C4658" w:rsidRPr="006212FF">
        <w:rPr>
          <w:rFonts w:ascii="Book Antiqua" w:hAnsi="Book Antiqua"/>
          <w:sz w:val="24"/>
          <w:szCs w:val="24"/>
        </w:rPr>
        <w:t xml:space="preserve"> showed that </w:t>
      </w:r>
      <w:r w:rsidR="00861491" w:rsidRPr="006212FF">
        <w:rPr>
          <w:rFonts w:ascii="Book Antiqua" w:hAnsi="Book Antiqua"/>
          <w:sz w:val="24"/>
          <w:szCs w:val="24"/>
        </w:rPr>
        <w:t>EVR</w:t>
      </w:r>
      <w:r w:rsidR="004C4658" w:rsidRPr="006212FF">
        <w:rPr>
          <w:rFonts w:ascii="Book Antiqua" w:hAnsi="Book Antiqua"/>
          <w:sz w:val="24"/>
          <w:szCs w:val="24"/>
        </w:rPr>
        <w:t xml:space="preserve"> with reduced </w:t>
      </w:r>
      <w:r w:rsidR="00D20DEB" w:rsidRPr="006212FF">
        <w:rPr>
          <w:rFonts w:ascii="Book Antiqua" w:hAnsi="Book Antiqua"/>
          <w:sz w:val="24"/>
          <w:szCs w:val="24"/>
        </w:rPr>
        <w:t xml:space="preserve">FK dose </w:t>
      </w:r>
      <w:r w:rsidR="004C4658" w:rsidRPr="006212FF">
        <w:rPr>
          <w:rFonts w:ascii="Book Antiqua" w:hAnsi="Book Antiqua"/>
          <w:sz w:val="24"/>
          <w:szCs w:val="24"/>
        </w:rPr>
        <w:t xml:space="preserve">is as efficacious as </w:t>
      </w:r>
      <w:r w:rsidR="00D20DEB" w:rsidRPr="006212FF">
        <w:rPr>
          <w:rFonts w:ascii="Book Antiqua" w:hAnsi="Book Antiqua"/>
          <w:sz w:val="24"/>
          <w:szCs w:val="24"/>
        </w:rPr>
        <w:t xml:space="preserve">the FK </w:t>
      </w:r>
      <w:r w:rsidR="001B3A14" w:rsidRPr="006212FF">
        <w:rPr>
          <w:rFonts w:ascii="Book Antiqua" w:hAnsi="Book Antiqua"/>
          <w:sz w:val="24"/>
          <w:szCs w:val="24"/>
        </w:rPr>
        <w:t>standard regime</w:t>
      </w:r>
      <w:r w:rsidRPr="006212FF">
        <w:rPr>
          <w:rFonts w:ascii="Book Antiqua" w:hAnsi="Book Antiqua"/>
          <w:sz w:val="24"/>
          <w:szCs w:val="24"/>
        </w:rPr>
        <w:t xml:space="preserve">n </w:t>
      </w:r>
      <w:r w:rsidR="00D20DEB" w:rsidRPr="006212FF">
        <w:rPr>
          <w:rFonts w:ascii="Book Antiqua" w:hAnsi="Book Antiqua"/>
          <w:sz w:val="24"/>
          <w:szCs w:val="24"/>
        </w:rPr>
        <w:t>in the control</w:t>
      </w:r>
      <w:r w:rsidRPr="006212FF">
        <w:rPr>
          <w:rFonts w:ascii="Book Antiqua" w:hAnsi="Book Antiqua"/>
          <w:sz w:val="24"/>
          <w:szCs w:val="24"/>
        </w:rPr>
        <w:t xml:space="preserve"> group </w:t>
      </w:r>
      <w:r w:rsidR="004C4658" w:rsidRPr="006212FF">
        <w:rPr>
          <w:rFonts w:ascii="Book Antiqua" w:hAnsi="Book Antiqua"/>
          <w:sz w:val="24"/>
          <w:szCs w:val="24"/>
        </w:rPr>
        <w:t>and improve</w:t>
      </w:r>
      <w:r w:rsidRPr="006212FF">
        <w:rPr>
          <w:rFonts w:ascii="Book Antiqua" w:hAnsi="Book Antiqua"/>
          <w:sz w:val="24"/>
          <w:szCs w:val="24"/>
        </w:rPr>
        <w:t>d</w:t>
      </w:r>
      <w:r w:rsidR="00F25809" w:rsidRPr="006212FF">
        <w:rPr>
          <w:rFonts w:ascii="Book Antiqua" w:hAnsi="Book Antiqua"/>
          <w:sz w:val="24"/>
          <w:szCs w:val="24"/>
        </w:rPr>
        <w:t xml:space="preserve"> patients’ </w:t>
      </w:r>
      <w:proofErr w:type="spellStart"/>
      <w:r w:rsidR="00F25809" w:rsidRPr="006212FF">
        <w:rPr>
          <w:rFonts w:ascii="Book Antiqua" w:hAnsi="Book Antiqua"/>
          <w:sz w:val="24"/>
          <w:szCs w:val="24"/>
        </w:rPr>
        <w:t>eGFR</w:t>
      </w:r>
      <w:proofErr w:type="spellEnd"/>
      <w:r w:rsidR="00F25809" w:rsidRPr="006212FF">
        <w:rPr>
          <w:rFonts w:ascii="Book Antiqua" w:hAnsi="Book Antiqua"/>
          <w:sz w:val="24"/>
          <w:szCs w:val="24"/>
        </w:rPr>
        <w:t xml:space="preserve"> </w:t>
      </w:r>
      <w:r w:rsidR="004C4658" w:rsidRPr="006212FF">
        <w:rPr>
          <w:rFonts w:ascii="Book Antiqua" w:hAnsi="Book Antiqua"/>
          <w:sz w:val="24"/>
          <w:szCs w:val="24"/>
        </w:rPr>
        <w:t>by 8.5</w:t>
      </w:r>
      <w:r w:rsidR="00994F3D">
        <w:rPr>
          <w:rFonts w:ascii="Book Antiqua" w:hAnsi="Book Antiqua" w:hint="eastAsia"/>
          <w:sz w:val="24"/>
          <w:szCs w:val="24"/>
        </w:rPr>
        <w:t xml:space="preserve"> </w:t>
      </w:r>
      <w:r w:rsidR="004C4658" w:rsidRPr="006212FF">
        <w:rPr>
          <w:rFonts w:ascii="Book Antiqua" w:hAnsi="Book Antiqua"/>
          <w:sz w:val="24"/>
          <w:szCs w:val="24"/>
        </w:rPr>
        <w:t>m</w:t>
      </w:r>
      <w:r w:rsidR="00994F3D" w:rsidRPr="006212FF">
        <w:rPr>
          <w:rFonts w:ascii="Book Antiqua" w:hAnsi="Book Antiqua"/>
          <w:sz w:val="24"/>
          <w:szCs w:val="24"/>
        </w:rPr>
        <w:t>L</w:t>
      </w:r>
      <w:r w:rsidR="004C4658" w:rsidRPr="006212FF">
        <w:rPr>
          <w:rFonts w:ascii="Book Antiqua" w:hAnsi="Book Antiqua"/>
          <w:sz w:val="24"/>
          <w:szCs w:val="24"/>
        </w:rPr>
        <w:t>/min</w:t>
      </w:r>
      <w:r w:rsidR="00F25809" w:rsidRPr="006212FF">
        <w:rPr>
          <w:rFonts w:ascii="Book Antiqua" w:hAnsi="Book Antiqua"/>
          <w:sz w:val="24"/>
          <w:szCs w:val="24"/>
        </w:rPr>
        <w:t xml:space="preserve"> at month </w:t>
      </w:r>
      <w:r w:rsidR="009D0ED8" w:rsidRPr="006212FF">
        <w:rPr>
          <w:rFonts w:ascii="Book Antiqua" w:hAnsi="Book Antiqua"/>
          <w:sz w:val="24"/>
          <w:szCs w:val="24"/>
        </w:rPr>
        <w:t>12</w:t>
      </w:r>
      <w:r w:rsidR="00F25809" w:rsidRPr="006212FF">
        <w:rPr>
          <w:rFonts w:ascii="Book Antiqua" w:hAnsi="Book Antiqua"/>
          <w:sz w:val="24"/>
          <w:szCs w:val="24"/>
        </w:rPr>
        <w:t xml:space="preserve">. The improvement trend in </w:t>
      </w:r>
      <w:proofErr w:type="spellStart"/>
      <w:r w:rsidR="00F25809" w:rsidRPr="006212FF">
        <w:rPr>
          <w:rFonts w:ascii="Book Antiqua" w:hAnsi="Book Antiqua"/>
          <w:sz w:val="24"/>
          <w:szCs w:val="24"/>
        </w:rPr>
        <w:t>eGFR</w:t>
      </w:r>
      <w:proofErr w:type="spellEnd"/>
      <w:r w:rsidR="00F25809" w:rsidRPr="006212FF">
        <w:rPr>
          <w:rFonts w:ascii="Book Antiqua" w:hAnsi="Book Antiqua"/>
          <w:sz w:val="24"/>
          <w:szCs w:val="24"/>
        </w:rPr>
        <w:t xml:space="preserve"> continued</w:t>
      </w:r>
      <w:r w:rsidR="000D6A27" w:rsidRPr="006212FF">
        <w:rPr>
          <w:rFonts w:ascii="Book Antiqua" w:hAnsi="Book Antiqua"/>
          <w:sz w:val="24"/>
          <w:szCs w:val="24"/>
        </w:rPr>
        <w:t xml:space="preserve"> to be seen at month 24 </w:t>
      </w:r>
      <w:r w:rsidR="00F25809" w:rsidRPr="006212FF">
        <w:rPr>
          <w:rFonts w:ascii="Book Antiqua" w:hAnsi="Book Antiqua"/>
          <w:sz w:val="24"/>
          <w:szCs w:val="24"/>
        </w:rPr>
        <w:t>(</w:t>
      </w:r>
      <w:proofErr w:type="spellStart"/>
      <w:r w:rsidR="000D6A27" w:rsidRPr="006212FF">
        <w:rPr>
          <w:rFonts w:ascii="Book Antiqua" w:hAnsi="Book Antiqua"/>
          <w:sz w:val="24"/>
          <w:szCs w:val="24"/>
        </w:rPr>
        <w:t>eGFR</w:t>
      </w:r>
      <w:proofErr w:type="spellEnd"/>
      <w:r w:rsidR="000D6A27" w:rsidRPr="006212FF">
        <w:rPr>
          <w:rFonts w:ascii="Book Antiqua" w:hAnsi="Book Antiqua"/>
          <w:sz w:val="24"/>
          <w:szCs w:val="24"/>
        </w:rPr>
        <w:t xml:space="preserve"> improved </w:t>
      </w:r>
      <w:r w:rsidR="00F25809" w:rsidRPr="006212FF">
        <w:rPr>
          <w:rFonts w:ascii="Book Antiqua" w:hAnsi="Book Antiqua"/>
          <w:sz w:val="24"/>
          <w:szCs w:val="24"/>
        </w:rPr>
        <w:t>by 6.7</w:t>
      </w:r>
      <w:r w:rsidR="00994F3D">
        <w:rPr>
          <w:rFonts w:ascii="Book Antiqua" w:hAnsi="Book Antiqua" w:hint="eastAsia"/>
          <w:sz w:val="24"/>
          <w:szCs w:val="24"/>
        </w:rPr>
        <w:t xml:space="preserve"> </w:t>
      </w:r>
      <w:r w:rsidR="00F25809" w:rsidRPr="006212FF">
        <w:rPr>
          <w:rFonts w:ascii="Book Antiqua" w:hAnsi="Book Antiqua"/>
          <w:sz w:val="24"/>
          <w:szCs w:val="24"/>
        </w:rPr>
        <w:t>m</w:t>
      </w:r>
      <w:r w:rsidR="00994F3D" w:rsidRPr="006212FF">
        <w:rPr>
          <w:rFonts w:ascii="Book Antiqua" w:hAnsi="Book Antiqua"/>
          <w:sz w:val="24"/>
          <w:szCs w:val="24"/>
        </w:rPr>
        <w:t>L</w:t>
      </w:r>
      <w:r w:rsidR="00F25809" w:rsidRPr="006212FF">
        <w:rPr>
          <w:rFonts w:ascii="Book Antiqua" w:hAnsi="Book Antiqua"/>
          <w:sz w:val="24"/>
          <w:szCs w:val="24"/>
        </w:rPr>
        <w:t>/min</w:t>
      </w:r>
      <w:r w:rsidR="000D6A27" w:rsidRPr="006212FF">
        <w:rPr>
          <w:rFonts w:ascii="Book Antiqua" w:hAnsi="Book Antiqua"/>
          <w:sz w:val="24"/>
          <w:szCs w:val="24"/>
        </w:rPr>
        <w:t xml:space="preserve">) </w:t>
      </w:r>
      <w:r w:rsidR="00F25809" w:rsidRPr="006212FF">
        <w:rPr>
          <w:rFonts w:ascii="Book Antiqua" w:hAnsi="Book Antiqua"/>
          <w:sz w:val="24"/>
          <w:szCs w:val="24"/>
        </w:rPr>
        <w:t xml:space="preserve">and </w:t>
      </w:r>
      <w:r w:rsidR="000D6A27" w:rsidRPr="006212FF">
        <w:rPr>
          <w:rFonts w:ascii="Book Antiqua" w:hAnsi="Book Antiqua"/>
          <w:sz w:val="24"/>
          <w:szCs w:val="24"/>
        </w:rPr>
        <w:t>at month 36 (</w:t>
      </w:r>
      <w:proofErr w:type="spellStart"/>
      <w:r w:rsidR="000D6A27" w:rsidRPr="006212FF">
        <w:rPr>
          <w:rFonts w:ascii="Book Antiqua" w:hAnsi="Book Antiqua"/>
          <w:sz w:val="24"/>
          <w:szCs w:val="24"/>
        </w:rPr>
        <w:t>eGFR</w:t>
      </w:r>
      <w:proofErr w:type="spellEnd"/>
      <w:r w:rsidR="000D6A27" w:rsidRPr="006212FF">
        <w:rPr>
          <w:rFonts w:ascii="Book Antiqua" w:hAnsi="Book Antiqua"/>
          <w:sz w:val="24"/>
          <w:szCs w:val="24"/>
        </w:rPr>
        <w:t xml:space="preserve"> improved by </w:t>
      </w:r>
      <w:r w:rsidR="00F25809" w:rsidRPr="006212FF">
        <w:rPr>
          <w:rFonts w:ascii="Book Antiqua" w:hAnsi="Book Antiqua"/>
          <w:sz w:val="24"/>
          <w:szCs w:val="24"/>
        </w:rPr>
        <w:t>8.5</w:t>
      </w:r>
      <w:r w:rsidR="00994F3D">
        <w:rPr>
          <w:rFonts w:ascii="Book Antiqua" w:hAnsi="Book Antiqua" w:hint="eastAsia"/>
          <w:sz w:val="24"/>
          <w:szCs w:val="24"/>
        </w:rPr>
        <w:t xml:space="preserve"> </w:t>
      </w:r>
      <w:r w:rsidR="00F25809" w:rsidRPr="006212FF">
        <w:rPr>
          <w:rFonts w:ascii="Book Antiqua" w:hAnsi="Book Antiqua"/>
          <w:sz w:val="24"/>
          <w:szCs w:val="24"/>
        </w:rPr>
        <w:t>m</w:t>
      </w:r>
      <w:r w:rsidR="00994F3D" w:rsidRPr="006212FF">
        <w:rPr>
          <w:rFonts w:ascii="Book Antiqua" w:hAnsi="Book Antiqua"/>
          <w:sz w:val="24"/>
          <w:szCs w:val="24"/>
        </w:rPr>
        <w:t>L</w:t>
      </w:r>
      <w:r w:rsidR="00F25809" w:rsidRPr="006212FF">
        <w:rPr>
          <w:rFonts w:ascii="Book Antiqua" w:hAnsi="Book Antiqua"/>
          <w:sz w:val="24"/>
          <w:szCs w:val="24"/>
        </w:rPr>
        <w:t>/min</w:t>
      </w:r>
      <w:r w:rsidR="000D6A27" w:rsidRPr="006212FF">
        <w:rPr>
          <w:rFonts w:ascii="Book Antiqua" w:hAnsi="Book Antiqua"/>
          <w:sz w:val="24"/>
          <w:szCs w:val="24"/>
        </w:rPr>
        <w:t>) of follow-up</w:t>
      </w:r>
      <w:r w:rsidR="00F25809" w:rsidRPr="006212FF">
        <w:rPr>
          <w:rFonts w:ascii="Book Antiqua" w:hAnsi="Book Antiqua"/>
          <w:sz w:val="24"/>
          <w:szCs w:val="24"/>
        </w:rPr>
        <w:t xml:space="preserve"> (Table 1)</w:t>
      </w:r>
      <w:r w:rsidR="004C4658" w:rsidRPr="006212FF">
        <w:rPr>
          <w:rFonts w:ascii="Book Antiqua" w:hAnsi="Book Antiqua"/>
          <w:sz w:val="24"/>
          <w:szCs w:val="24"/>
        </w:rPr>
        <w:t>.</w:t>
      </w:r>
      <w:r w:rsidR="00F25809" w:rsidRPr="006212FF">
        <w:rPr>
          <w:rFonts w:ascii="Book Antiqua" w:hAnsi="Book Antiqua"/>
          <w:sz w:val="24"/>
          <w:szCs w:val="24"/>
        </w:rPr>
        <w:t xml:space="preserve"> </w:t>
      </w:r>
      <w:r w:rsidRPr="006212FF">
        <w:rPr>
          <w:rFonts w:ascii="Book Antiqua" w:hAnsi="Book Antiqua"/>
          <w:sz w:val="24"/>
          <w:szCs w:val="24"/>
        </w:rPr>
        <w:t>However, it can also be argued that t</w:t>
      </w:r>
      <w:r w:rsidR="00057842" w:rsidRPr="006212FF">
        <w:rPr>
          <w:rFonts w:ascii="Book Antiqua" w:hAnsi="Book Antiqua"/>
          <w:sz w:val="24"/>
          <w:szCs w:val="24"/>
        </w:rPr>
        <w:t xml:space="preserve">he H2304 </w:t>
      </w:r>
      <w:r w:rsidR="000D6A27" w:rsidRPr="006212FF">
        <w:rPr>
          <w:rFonts w:ascii="Book Antiqua" w:hAnsi="Book Antiqua"/>
          <w:sz w:val="24"/>
          <w:szCs w:val="24"/>
        </w:rPr>
        <w:t xml:space="preserve">study </w:t>
      </w:r>
      <w:r w:rsidR="00C32E86" w:rsidRPr="006212FF">
        <w:rPr>
          <w:rFonts w:ascii="Book Antiqua" w:hAnsi="Book Antiqua"/>
          <w:sz w:val="24"/>
          <w:szCs w:val="24"/>
        </w:rPr>
        <w:t>had unintentionally recruited a</w:t>
      </w:r>
      <w:r w:rsidR="009A0EA0" w:rsidRPr="006212FF">
        <w:rPr>
          <w:rFonts w:ascii="Book Antiqua" w:hAnsi="Book Antiqua"/>
          <w:sz w:val="24"/>
          <w:szCs w:val="24"/>
        </w:rPr>
        <w:t xml:space="preserve"> </w:t>
      </w:r>
      <w:r w:rsidR="000B36E4" w:rsidRPr="006212FF">
        <w:rPr>
          <w:rFonts w:ascii="Book Antiqua" w:hAnsi="Book Antiqua"/>
          <w:sz w:val="24"/>
          <w:szCs w:val="24"/>
        </w:rPr>
        <w:t xml:space="preserve">majority of patients (72.3%) </w:t>
      </w:r>
      <w:r w:rsidR="00C32E86" w:rsidRPr="006212FF">
        <w:rPr>
          <w:rFonts w:ascii="Book Antiqua" w:hAnsi="Book Antiqua"/>
          <w:sz w:val="24"/>
          <w:szCs w:val="24"/>
        </w:rPr>
        <w:t>with better baseline renal functions of</w:t>
      </w:r>
      <w:r w:rsidR="000B36E4" w:rsidRPr="006212FF">
        <w:rPr>
          <w:rFonts w:ascii="Book Antiqua" w:hAnsi="Book Antiqua"/>
          <w:sz w:val="24"/>
          <w:szCs w:val="24"/>
        </w:rPr>
        <w:t xml:space="preserve"> </w:t>
      </w:r>
      <w:proofErr w:type="spellStart"/>
      <w:r w:rsidR="000B36E4" w:rsidRPr="006212FF">
        <w:rPr>
          <w:rFonts w:ascii="Book Antiqua" w:hAnsi="Book Antiqua"/>
          <w:sz w:val="24"/>
          <w:szCs w:val="24"/>
        </w:rPr>
        <w:t>eGFR</w:t>
      </w:r>
      <w:proofErr w:type="spellEnd"/>
      <w:r w:rsidR="003333E7" w:rsidRPr="006212FF">
        <w:rPr>
          <w:rFonts w:ascii="Book Antiqua" w:hAnsi="Book Antiqua"/>
          <w:sz w:val="24"/>
          <w:szCs w:val="24"/>
        </w:rPr>
        <w:t xml:space="preserve"> </w:t>
      </w:r>
      <w:r w:rsidR="000B36E4" w:rsidRPr="006212FF">
        <w:rPr>
          <w:rFonts w:ascii="Book Antiqua" w:hAnsi="Book Antiqua"/>
          <w:sz w:val="24"/>
          <w:szCs w:val="24"/>
        </w:rPr>
        <w:t>≥ 60</w:t>
      </w:r>
      <w:r w:rsidR="000D6A27" w:rsidRPr="006212FF">
        <w:rPr>
          <w:rFonts w:ascii="Book Antiqua" w:hAnsi="Book Antiqua"/>
          <w:sz w:val="24"/>
          <w:szCs w:val="24"/>
        </w:rPr>
        <w:t xml:space="preserve"> </w:t>
      </w:r>
      <w:r w:rsidR="000B36E4" w:rsidRPr="006212FF">
        <w:rPr>
          <w:rFonts w:ascii="Book Antiqua" w:hAnsi="Book Antiqua"/>
          <w:sz w:val="24"/>
          <w:szCs w:val="24"/>
        </w:rPr>
        <w:t>m</w:t>
      </w:r>
      <w:r w:rsidR="00994F3D" w:rsidRPr="006212FF">
        <w:rPr>
          <w:rFonts w:ascii="Book Antiqua" w:hAnsi="Book Antiqua"/>
          <w:sz w:val="24"/>
          <w:szCs w:val="24"/>
        </w:rPr>
        <w:t>L</w:t>
      </w:r>
      <w:r w:rsidR="000B36E4" w:rsidRPr="006212FF">
        <w:rPr>
          <w:rFonts w:ascii="Book Antiqua" w:hAnsi="Book Antiqua"/>
          <w:sz w:val="24"/>
          <w:szCs w:val="24"/>
        </w:rPr>
        <w:t xml:space="preserve">/min, with mean </w:t>
      </w:r>
      <w:r w:rsidR="00057842" w:rsidRPr="006212FF">
        <w:rPr>
          <w:rFonts w:ascii="Book Antiqua" w:hAnsi="Book Antiqua"/>
          <w:sz w:val="24"/>
          <w:szCs w:val="24"/>
        </w:rPr>
        <w:t xml:space="preserve">baseline </w:t>
      </w:r>
      <w:r w:rsidR="000B36E4" w:rsidRPr="006212FF">
        <w:rPr>
          <w:rFonts w:ascii="Book Antiqua" w:hAnsi="Book Antiqua"/>
          <w:sz w:val="24"/>
          <w:szCs w:val="24"/>
        </w:rPr>
        <w:t xml:space="preserve">of </w:t>
      </w:r>
      <w:r w:rsidR="002F3D44" w:rsidRPr="006212FF">
        <w:rPr>
          <w:rFonts w:ascii="Book Antiqua" w:hAnsi="Book Antiqua"/>
          <w:sz w:val="24"/>
          <w:szCs w:val="24"/>
        </w:rPr>
        <w:t>80.8</w:t>
      </w:r>
      <w:r w:rsidR="000D6A27" w:rsidRPr="006212FF">
        <w:rPr>
          <w:rFonts w:ascii="Book Antiqua" w:hAnsi="Book Antiqua"/>
          <w:sz w:val="24"/>
          <w:szCs w:val="24"/>
        </w:rPr>
        <w:t xml:space="preserve"> </w:t>
      </w:r>
      <w:r w:rsidR="00057842" w:rsidRPr="006212FF">
        <w:rPr>
          <w:rFonts w:ascii="Book Antiqua" w:hAnsi="Book Antiqua"/>
          <w:sz w:val="24"/>
          <w:szCs w:val="24"/>
        </w:rPr>
        <w:t>m</w:t>
      </w:r>
      <w:r w:rsidR="00994F3D" w:rsidRPr="006212FF">
        <w:rPr>
          <w:rFonts w:ascii="Book Antiqua" w:hAnsi="Book Antiqua"/>
          <w:sz w:val="24"/>
          <w:szCs w:val="24"/>
        </w:rPr>
        <w:t>L</w:t>
      </w:r>
      <w:r w:rsidR="00057842" w:rsidRPr="006212FF">
        <w:rPr>
          <w:rFonts w:ascii="Book Antiqua" w:hAnsi="Book Antiqua"/>
          <w:sz w:val="24"/>
          <w:szCs w:val="24"/>
        </w:rPr>
        <w:t>/min</w:t>
      </w:r>
      <w:r w:rsidR="000B36E4" w:rsidRPr="006212FF">
        <w:rPr>
          <w:rFonts w:ascii="Book Antiqua" w:hAnsi="Book Antiqua"/>
          <w:sz w:val="24"/>
          <w:szCs w:val="24"/>
        </w:rPr>
        <w:t xml:space="preserve"> in EVR group and 78</w:t>
      </w:r>
      <w:r w:rsidR="002F3D44" w:rsidRPr="006212FF">
        <w:rPr>
          <w:rFonts w:ascii="Book Antiqua" w:hAnsi="Book Antiqua"/>
          <w:sz w:val="24"/>
          <w:szCs w:val="24"/>
        </w:rPr>
        <w:t>.9</w:t>
      </w:r>
      <w:r w:rsidR="000D6A27" w:rsidRPr="006212FF">
        <w:rPr>
          <w:rFonts w:ascii="Book Antiqua" w:hAnsi="Book Antiqua"/>
          <w:sz w:val="24"/>
          <w:szCs w:val="24"/>
        </w:rPr>
        <w:t xml:space="preserve"> </w:t>
      </w:r>
      <w:r w:rsidR="000B36E4" w:rsidRPr="006212FF">
        <w:rPr>
          <w:rFonts w:ascii="Book Antiqua" w:hAnsi="Book Antiqua"/>
          <w:sz w:val="24"/>
          <w:szCs w:val="24"/>
        </w:rPr>
        <w:t>m</w:t>
      </w:r>
      <w:r w:rsidR="00994F3D" w:rsidRPr="006212FF">
        <w:rPr>
          <w:rFonts w:ascii="Book Antiqua" w:hAnsi="Book Antiqua"/>
          <w:sz w:val="24"/>
          <w:szCs w:val="24"/>
        </w:rPr>
        <w:t>L</w:t>
      </w:r>
      <w:r w:rsidR="000B36E4" w:rsidRPr="006212FF">
        <w:rPr>
          <w:rFonts w:ascii="Book Antiqua" w:hAnsi="Book Antiqua"/>
          <w:sz w:val="24"/>
          <w:szCs w:val="24"/>
        </w:rPr>
        <w:t>/min in control group</w:t>
      </w:r>
      <w:r w:rsidR="00057842" w:rsidRPr="006212FF">
        <w:rPr>
          <w:rFonts w:ascii="Book Antiqua" w:hAnsi="Book Antiqua"/>
          <w:sz w:val="24"/>
          <w:szCs w:val="24"/>
        </w:rPr>
        <w:t>.</w:t>
      </w:r>
      <w:r w:rsidR="00C42C85" w:rsidRPr="006212FF">
        <w:rPr>
          <w:rFonts w:ascii="Book Antiqua" w:hAnsi="Book Antiqua"/>
          <w:sz w:val="24"/>
          <w:szCs w:val="24"/>
        </w:rPr>
        <w:t xml:space="preserve"> </w:t>
      </w:r>
      <w:r w:rsidR="006275AF" w:rsidRPr="006212FF">
        <w:rPr>
          <w:rFonts w:ascii="Book Antiqua" w:hAnsi="Book Antiqua"/>
          <w:sz w:val="24"/>
          <w:szCs w:val="24"/>
        </w:rPr>
        <w:t xml:space="preserve">Similar high baseline </w:t>
      </w:r>
      <w:proofErr w:type="spellStart"/>
      <w:r w:rsidR="006275AF" w:rsidRPr="006212FF">
        <w:rPr>
          <w:rFonts w:ascii="Book Antiqua" w:hAnsi="Book Antiqua"/>
          <w:sz w:val="24"/>
          <w:szCs w:val="24"/>
        </w:rPr>
        <w:t>eGFR</w:t>
      </w:r>
      <w:proofErr w:type="spellEnd"/>
      <w:r w:rsidR="006275AF" w:rsidRPr="006212FF">
        <w:rPr>
          <w:rFonts w:ascii="Book Antiqua" w:hAnsi="Book Antiqua"/>
          <w:sz w:val="24"/>
          <w:szCs w:val="24"/>
        </w:rPr>
        <w:t xml:space="preserve"> (</w:t>
      </w:r>
      <w:r w:rsidR="00DB70E4" w:rsidRPr="006212FF">
        <w:rPr>
          <w:rFonts w:ascii="Book Antiqua" w:hAnsi="Book Antiqua"/>
          <w:sz w:val="24"/>
          <w:szCs w:val="24"/>
        </w:rPr>
        <w:t xml:space="preserve">78.0 </w:t>
      </w:r>
      <w:r w:rsidR="006275AF" w:rsidRPr="006212FF">
        <w:rPr>
          <w:rFonts w:ascii="Book Antiqua" w:hAnsi="Book Antiqua"/>
          <w:sz w:val="24"/>
          <w:szCs w:val="24"/>
        </w:rPr>
        <w:t>m</w:t>
      </w:r>
      <w:r w:rsidR="00994F3D" w:rsidRPr="006212FF">
        <w:rPr>
          <w:rFonts w:ascii="Book Antiqua" w:hAnsi="Book Antiqua"/>
          <w:sz w:val="24"/>
          <w:szCs w:val="24"/>
        </w:rPr>
        <w:t>L</w:t>
      </w:r>
      <w:r w:rsidR="006275AF" w:rsidRPr="006212FF">
        <w:rPr>
          <w:rFonts w:ascii="Book Antiqua" w:hAnsi="Book Antiqua"/>
          <w:sz w:val="24"/>
          <w:szCs w:val="24"/>
        </w:rPr>
        <w:t xml:space="preserve">/min and </w:t>
      </w:r>
      <w:r w:rsidR="00DB70E4" w:rsidRPr="006212FF">
        <w:rPr>
          <w:rFonts w:ascii="Book Antiqua" w:hAnsi="Book Antiqua"/>
          <w:sz w:val="24"/>
          <w:szCs w:val="24"/>
        </w:rPr>
        <w:t xml:space="preserve">74.9 </w:t>
      </w:r>
      <w:r w:rsidR="006275AF" w:rsidRPr="006212FF">
        <w:rPr>
          <w:rFonts w:ascii="Book Antiqua" w:hAnsi="Book Antiqua"/>
          <w:sz w:val="24"/>
          <w:szCs w:val="24"/>
        </w:rPr>
        <w:t>m</w:t>
      </w:r>
      <w:r w:rsidR="00994F3D" w:rsidRPr="006212FF">
        <w:rPr>
          <w:rFonts w:ascii="Book Antiqua" w:hAnsi="Book Antiqua"/>
          <w:sz w:val="24"/>
          <w:szCs w:val="24"/>
        </w:rPr>
        <w:t>L</w:t>
      </w:r>
      <w:r w:rsidR="006275AF" w:rsidRPr="006212FF">
        <w:rPr>
          <w:rFonts w:ascii="Book Antiqua" w:hAnsi="Book Antiqua"/>
          <w:sz w:val="24"/>
          <w:szCs w:val="24"/>
        </w:rPr>
        <w:t>/min in EVR and control groups respectively) w</w:t>
      </w:r>
      <w:r w:rsidR="00F24489" w:rsidRPr="006212FF">
        <w:rPr>
          <w:rFonts w:ascii="Book Antiqua" w:hAnsi="Book Antiqua"/>
          <w:sz w:val="24"/>
          <w:szCs w:val="24"/>
        </w:rPr>
        <w:t>ere also</w:t>
      </w:r>
      <w:r w:rsidR="006275AF" w:rsidRPr="006212FF">
        <w:rPr>
          <w:rFonts w:ascii="Book Antiqua" w:hAnsi="Book Antiqua"/>
          <w:sz w:val="24"/>
          <w:szCs w:val="24"/>
        </w:rPr>
        <w:t xml:space="preserve"> seen in</w:t>
      </w:r>
      <w:r w:rsidR="00C32E86" w:rsidRPr="006212FF">
        <w:rPr>
          <w:rFonts w:ascii="Book Antiqua" w:hAnsi="Book Antiqua"/>
          <w:sz w:val="24"/>
          <w:szCs w:val="24"/>
        </w:rPr>
        <w:t xml:space="preserve"> the</w:t>
      </w:r>
      <w:r w:rsidR="006275AF" w:rsidRPr="006212FF">
        <w:rPr>
          <w:rFonts w:ascii="Book Antiqua" w:hAnsi="Book Antiqua"/>
          <w:sz w:val="24"/>
          <w:szCs w:val="24"/>
        </w:rPr>
        <w:t xml:space="preserve"> PROTECT study. </w:t>
      </w:r>
      <w:r w:rsidR="00F24489" w:rsidRPr="006212FF">
        <w:rPr>
          <w:rFonts w:ascii="Book Antiqua" w:hAnsi="Book Antiqua"/>
          <w:sz w:val="24"/>
          <w:szCs w:val="24"/>
        </w:rPr>
        <w:t>In t</w:t>
      </w:r>
      <w:r w:rsidR="006275AF" w:rsidRPr="006212FF">
        <w:rPr>
          <w:rFonts w:ascii="Book Antiqua" w:hAnsi="Book Antiqua"/>
          <w:sz w:val="24"/>
          <w:szCs w:val="24"/>
        </w:rPr>
        <w:t xml:space="preserve">he RESCUE study, baseline </w:t>
      </w:r>
      <w:proofErr w:type="spellStart"/>
      <w:r w:rsidR="006275AF" w:rsidRPr="006212FF">
        <w:rPr>
          <w:rFonts w:ascii="Book Antiqua" w:hAnsi="Book Antiqua"/>
          <w:sz w:val="24"/>
          <w:szCs w:val="24"/>
        </w:rPr>
        <w:t>eGFR</w:t>
      </w:r>
      <w:proofErr w:type="spellEnd"/>
      <w:r w:rsidR="006275AF" w:rsidRPr="006212FF">
        <w:rPr>
          <w:rFonts w:ascii="Book Antiqua" w:hAnsi="Book Antiqua"/>
          <w:sz w:val="24"/>
          <w:szCs w:val="24"/>
        </w:rPr>
        <w:t xml:space="preserve"> was 51.0</w:t>
      </w:r>
      <w:r w:rsidR="00F24489" w:rsidRPr="006212FF">
        <w:rPr>
          <w:rFonts w:ascii="Book Antiqua" w:hAnsi="Book Antiqua"/>
          <w:sz w:val="24"/>
          <w:szCs w:val="24"/>
        </w:rPr>
        <w:t xml:space="preserve"> </w:t>
      </w:r>
      <w:r w:rsidR="006275AF" w:rsidRPr="006212FF">
        <w:rPr>
          <w:rFonts w:ascii="Book Antiqua" w:hAnsi="Book Antiqua"/>
          <w:sz w:val="24"/>
          <w:szCs w:val="24"/>
        </w:rPr>
        <w:t>m</w:t>
      </w:r>
      <w:r w:rsidR="00994F3D" w:rsidRPr="006212FF">
        <w:rPr>
          <w:rFonts w:ascii="Book Antiqua" w:hAnsi="Book Antiqua"/>
          <w:sz w:val="24"/>
          <w:szCs w:val="24"/>
        </w:rPr>
        <w:t>L</w:t>
      </w:r>
      <w:r w:rsidR="006275AF" w:rsidRPr="006212FF">
        <w:rPr>
          <w:rFonts w:ascii="Book Antiqua" w:hAnsi="Book Antiqua"/>
          <w:sz w:val="24"/>
          <w:szCs w:val="24"/>
        </w:rPr>
        <w:t>/min and 50.3</w:t>
      </w:r>
      <w:r w:rsidR="00F24489" w:rsidRPr="006212FF">
        <w:rPr>
          <w:rFonts w:ascii="Book Antiqua" w:hAnsi="Book Antiqua"/>
          <w:sz w:val="24"/>
          <w:szCs w:val="24"/>
        </w:rPr>
        <w:t xml:space="preserve"> </w:t>
      </w:r>
      <w:r w:rsidR="006275AF" w:rsidRPr="006212FF">
        <w:rPr>
          <w:rFonts w:ascii="Book Antiqua" w:hAnsi="Book Antiqua"/>
          <w:sz w:val="24"/>
          <w:szCs w:val="24"/>
        </w:rPr>
        <w:t>m</w:t>
      </w:r>
      <w:r w:rsidR="00994F3D" w:rsidRPr="006212FF">
        <w:rPr>
          <w:rFonts w:ascii="Book Antiqua" w:hAnsi="Book Antiqua"/>
          <w:sz w:val="24"/>
          <w:szCs w:val="24"/>
        </w:rPr>
        <w:t>L</w:t>
      </w:r>
      <w:r w:rsidR="006275AF" w:rsidRPr="006212FF">
        <w:rPr>
          <w:rFonts w:ascii="Book Antiqua" w:hAnsi="Book Antiqua"/>
          <w:sz w:val="24"/>
          <w:szCs w:val="24"/>
        </w:rPr>
        <w:t>/min</w:t>
      </w:r>
      <w:r w:rsidR="000F3EF8" w:rsidRPr="006212FF">
        <w:rPr>
          <w:rFonts w:ascii="Book Antiqua" w:hAnsi="Book Antiqua"/>
          <w:sz w:val="24"/>
          <w:szCs w:val="24"/>
        </w:rPr>
        <w:t xml:space="preserve"> </w:t>
      </w:r>
      <w:r w:rsidR="006275AF" w:rsidRPr="006212FF">
        <w:rPr>
          <w:rFonts w:ascii="Book Antiqua" w:hAnsi="Book Antiqua"/>
          <w:sz w:val="24"/>
          <w:szCs w:val="24"/>
        </w:rPr>
        <w:t>in EVR and control groups.</w:t>
      </w:r>
      <w:r w:rsidR="006212FF">
        <w:rPr>
          <w:rFonts w:ascii="Book Antiqua" w:hAnsi="Book Antiqua"/>
          <w:sz w:val="24"/>
          <w:szCs w:val="24"/>
        </w:rPr>
        <w:t xml:space="preserve"> </w:t>
      </w:r>
      <w:r w:rsidR="00760ECD" w:rsidRPr="006212FF">
        <w:rPr>
          <w:rFonts w:ascii="Book Antiqua" w:hAnsi="Book Antiqua"/>
          <w:sz w:val="24"/>
          <w:szCs w:val="24"/>
        </w:rPr>
        <w:t>Clearly, results in th</w:t>
      </w:r>
      <w:r w:rsidR="00C32E86" w:rsidRPr="006212FF">
        <w:rPr>
          <w:rFonts w:ascii="Book Antiqua" w:hAnsi="Book Antiqua"/>
          <w:sz w:val="24"/>
          <w:szCs w:val="24"/>
        </w:rPr>
        <w:t>ese</w:t>
      </w:r>
      <w:r w:rsidR="00760ECD" w:rsidRPr="006212FF">
        <w:rPr>
          <w:rFonts w:ascii="Book Antiqua" w:hAnsi="Book Antiqua"/>
          <w:sz w:val="24"/>
          <w:szCs w:val="24"/>
        </w:rPr>
        <w:t xml:space="preserve"> stud</w:t>
      </w:r>
      <w:r w:rsidR="00C32E86" w:rsidRPr="006212FF">
        <w:rPr>
          <w:rFonts w:ascii="Book Antiqua" w:hAnsi="Book Antiqua"/>
          <w:sz w:val="24"/>
          <w:szCs w:val="24"/>
        </w:rPr>
        <w:t>ies</w:t>
      </w:r>
      <w:r w:rsidR="00760ECD" w:rsidRPr="006212FF">
        <w:rPr>
          <w:rFonts w:ascii="Book Antiqua" w:hAnsi="Book Antiqua"/>
          <w:sz w:val="24"/>
          <w:szCs w:val="24"/>
        </w:rPr>
        <w:t xml:space="preserve"> sh</w:t>
      </w:r>
      <w:r w:rsidR="00C32E86" w:rsidRPr="006212FF">
        <w:rPr>
          <w:rFonts w:ascii="Book Antiqua" w:hAnsi="Book Antiqua"/>
          <w:sz w:val="24"/>
          <w:szCs w:val="24"/>
        </w:rPr>
        <w:t>ould</w:t>
      </w:r>
      <w:r w:rsidR="00760ECD" w:rsidRPr="006212FF">
        <w:rPr>
          <w:rFonts w:ascii="Book Antiqua" w:hAnsi="Book Antiqua"/>
          <w:sz w:val="24"/>
          <w:szCs w:val="24"/>
        </w:rPr>
        <w:t xml:space="preserve"> not be </w:t>
      </w:r>
      <w:proofErr w:type="spellStart"/>
      <w:r w:rsidR="00760ECD" w:rsidRPr="006212FF">
        <w:rPr>
          <w:rFonts w:ascii="Book Antiqua" w:hAnsi="Book Antiqua"/>
          <w:sz w:val="24"/>
          <w:szCs w:val="24"/>
        </w:rPr>
        <w:t>generalised</w:t>
      </w:r>
      <w:proofErr w:type="spellEnd"/>
      <w:r w:rsidR="00760ECD" w:rsidRPr="006212FF">
        <w:rPr>
          <w:rFonts w:ascii="Book Antiqua" w:hAnsi="Book Antiqua"/>
          <w:sz w:val="24"/>
          <w:szCs w:val="24"/>
        </w:rPr>
        <w:t xml:space="preserve"> </w:t>
      </w:r>
      <w:r w:rsidR="00C32E86" w:rsidRPr="006212FF">
        <w:rPr>
          <w:rFonts w:ascii="Book Antiqua" w:hAnsi="Book Antiqua"/>
          <w:sz w:val="24"/>
          <w:szCs w:val="24"/>
        </w:rPr>
        <w:t>to</w:t>
      </w:r>
      <w:r w:rsidR="000F3EF8" w:rsidRPr="006212FF">
        <w:rPr>
          <w:rFonts w:ascii="Book Antiqua" w:hAnsi="Book Antiqua"/>
          <w:sz w:val="24"/>
          <w:szCs w:val="24"/>
        </w:rPr>
        <w:t xml:space="preserve"> </w:t>
      </w:r>
      <w:r w:rsidR="00C32E86" w:rsidRPr="006212FF">
        <w:rPr>
          <w:rFonts w:ascii="Book Antiqua" w:hAnsi="Book Antiqua"/>
          <w:sz w:val="24"/>
          <w:szCs w:val="24"/>
        </w:rPr>
        <w:t>LT</w:t>
      </w:r>
      <w:r w:rsidR="00760ECD" w:rsidRPr="006212FF">
        <w:rPr>
          <w:rFonts w:ascii="Book Antiqua" w:hAnsi="Book Antiqua"/>
          <w:sz w:val="24"/>
          <w:szCs w:val="24"/>
        </w:rPr>
        <w:t xml:space="preserve"> recipients w</w:t>
      </w:r>
      <w:r w:rsidR="00C32E86" w:rsidRPr="006212FF">
        <w:rPr>
          <w:rFonts w:ascii="Book Antiqua" w:hAnsi="Book Antiqua"/>
          <w:sz w:val="24"/>
          <w:szCs w:val="24"/>
        </w:rPr>
        <w:t>ith</w:t>
      </w:r>
      <w:r w:rsidR="00760ECD" w:rsidRPr="006212FF">
        <w:rPr>
          <w:rFonts w:ascii="Book Antiqua" w:hAnsi="Book Antiqua"/>
          <w:sz w:val="24"/>
          <w:szCs w:val="24"/>
        </w:rPr>
        <w:t xml:space="preserve"> </w:t>
      </w:r>
      <w:proofErr w:type="spellStart"/>
      <w:r w:rsidR="00760ECD" w:rsidRPr="006212FF">
        <w:rPr>
          <w:rFonts w:ascii="Book Antiqua" w:hAnsi="Book Antiqua"/>
          <w:sz w:val="24"/>
          <w:szCs w:val="24"/>
        </w:rPr>
        <w:t>eGFR</w:t>
      </w:r>
      <w:proofErr w:type="spellEnd"/>
      <w:r w:rsidR="003333E7" w:rsidRPr="006212FF">
        <w:rPr>
          <w:rFonts w:ascii="Book Antiqua" w:hAnsi="Book Antiqua"/>
          <w:sz w:val="24"/>
          <w:szCs w:val="24"/>
        </w:rPr>
        <w:t xml:space="preserve"> </w:t>
      </w:r>
      <w:r w:rsidR="006275AF" w:rsidRPr="006212FF">
        <w:rPr>
          <w:rFonts w:ascii="Book Antiqua" w:hAnsi="Book Antiqua"/>
          <w:sz w:val="24"/>
          <w:szCs w:val="24"/>
        </w:rPr>
        <w:t>&lt;</w:t>
      </w:r>
      <w:r w:rsidR="00994F3D">
        <w:rPr>
          <w:rFonts w:ascii="Book Antiqua" w:hAnsi="Book Antiqua" w:hint="eastAsia"/>
          <w:sz w:val="24"/>
          <w:szCs w:val="24"/>
        </w:rPr>
        <w:t xml:space="preserve"> </w:t>
      </w:r>
      <w:r w:rsidR="00C32E86" w:rsidRPr="006212FF">
        <w:rPr>
          <w:rFonts w:ascii="Book Antiqua" w:hAnsi="Book Antiqua"/>
          <w:sz w:val="24"/>
          <w:szCs w:val="24"/>
        </w:rPr>
        <w:t>5</w:t>
      </w:r>
      <w:r w:rsidR="006275AF" w:rsidRPr="006212FF">
        <w:rPr>
          <w:rFonts w:ascii="Book Antiqua" w:hAnsi="Book Antiqua"/>
          <w:sz w:val="24"/>
          <w:szCs w:val="24"/>
        </w:rPr>
        <w:t>0</w:t>
      </w:r>
      <w:r w:rsidR="00327459" w:rsidRPr="006212FF">
        <w:rPr>
          <w:rFonts w:ascii="Book Antiqua" w:hAnsi="Book Antiqua"/>
          <w:sz w:val="24"/>
          <w:szCs w:val="24"/>
        </w:rPr>
        <w:t xml:space="preserve"> </w:t>
      </w:r>
      <w:r w:rsidR="006275AF" w:rsidRPr="006212FF">
        <w:rPr>
          <w:rFonts w:ascii="Book Antiqua" w:hAnsi="Book Antiqua"/>
          <w:sz w:val="24"/>
          <w:szCs w:val="24"/>
        </w:rPr>
        <w:t>m</w:t>
      </w:r>
      <w:r w:rsidR="00994F3D" w:rsidRPr="006212FF">
        <w:rPr>
          <w:rFonts w:ascii="Book Antiqua" w:hAnsi="Book Antiqua"/>
          <w:sz w:val="24"/>
          <w:szCs w:val="24"/>
        </w:rPr>
        <w:t>L</w:t>
      </w:r>
      <w:r w:rsidR="006275AF" w:rsidRPr="006212FF">
        <w:rPr>
          <w:rFonts w:ascii="Book Antiqua" w:hAnsi="Book Antiqua"/>
          <w:sz w:val="24"/>
          <w:szCs w:val="24"/>
        </w:rPr>
        <w:t>/min</w:t>
      </w:r>
      <w:r w:rsidR="00C32E86" w:rsidRPr="006212FF">
        <w:rPr>
          <w:rFonts w:ascii="Book Antiqua" w:hAnsi="Book Antiqua"/>
          <w:sz w:val="24"/>
          <w:szCs w:val="24"/>
        </w:rPr>
        <w:t>, where similar</w:t>
      </w:r>
      <w:r w:rsidR="006275AF" w:rsidRPr="006212FF">
        <w:rPr>
          <w:rFonts w:ascii="Book Antiqua" w:hAnsi="Book Antiqua"/>
          <w:sz w:val="24"/>
          <w:szCs w:val="24"/>
        </w:rPr>
        <w:t xml:space="preserve"> benefits </w:t>
      </w:r>
      <w:r w:rsidR="00C32E86" w:rsidRPr="006212FF">
        <w:rPr>
          <w:rFonts w:ascii="Book Antiqua" w:hAnsi="Book Antiqua"/>
          <w:sz w:val="24"/>
          <w:szCs w:val="24"/>
        </w:rPr>
        <w:t>might be</w:t>
      </w:r>
      <w:r w:rsidR="006275AF" w:rsidRPr="006212FF">
        <w:rPr>
          <w:rFonts w:ascii="Book Antiqua" w:hAnsi="Book Antiqua"/>
          <w:sz w:val="24"/>
          <w:szCs w:val="24"/>
        </w:rPr>
        <w:t xml:space="preserve"> doubtful</w:t>
      </w:r>
      <w:r w:rsidR="00C32E86" w:rsidRPr="006212FF">
        <w:rPr>
          <w:rFonts w:ascii="Book Antiqua" w:hAnsi="Book Antiqua"/>
          <w:sz w:val="24"/>
          <w:szCs w:val="24"/>
        </w:rPr>
        <w:t>.</w:t>
      </w:r>
      <w:r w:rsidR="00BE22B0" w:rsidRPr="006212FF">
        <w:rPr>
          <w:rFonts w:ascii="Book Antiqua" w:hAnsi="Book Antiqua"/>
          <w:sz w:val="24"/>
          <w:szCs w:val="24"/>
        </w:rPr>
        <w:t xml:space="preserve"> This was reaffirmed with the H2304 </w:t>
      </w:r>
      <w:r w:rsidR="00BE22B0" w:rsidRPr="005317C2">
        <w:rPr>
          <w:rFonts w:ascii="Book Antiqua" w:hAnsi="Book Antiqua"/>
          <w:i/>
          <w:sz w:val="24"/>
          <w:szCs w:val="24"/>
        </w:rPr>
        <w:t>post-hoc</w:t>
      </w:r>
      <w:r w:rsidR="00BE22B0" w:rsidRPr="006212FF">
        <w:rPr>
          <w:rFonts w:ascii="Book Antiqua" w:hAnsi="Book Antiqua"/>
          <w:sz w:val="24"/>
          <w:szCs w:val="24"/>
        </w:rPr>
        <w:t xml:space="preserve"> analysis</w:t>
      </w:r>
      <w:r w:rsidR="000F3EF8" w:rsidRPr="006212FF">
        <w:rPr>
          <w:rFonts w:ascii="Book Antiqua" w:hAnsi="Book Antiqua"/>
          <w:sz w:val="24"/>
          <w:szCs w:val="24"/>
        </w:rPr>
        <w:t xml:space="preserve"> </w:t>
      </w:r>
      <w:r w:rsidR="00C32E86" w:rsidRPr="006212FF">
        <w:rPr>
          <w:rFonts w:ascii="Book Antiqua" w:hAnsi="Book Antiqua"/>
          <w:sz w:val="24"/>
          <w:szCs w:val="24"/>
        </w:rPr>
        <w:t xml:space="preserve">which showed </w:t>
      </w:r>
      <w:r w:rsidR="003C60CC" w:rsidRPr="006212FF">
        <w:rPr>
          <w:rFonts w:ascii="Book Antiqua" w:hAnsi="Book Antiqua"/>
          <w:sz w:val="24"/>
          <w:szCs w:val="24"/>
        </w:rPr>
        <w:t xml:space="preserve">that renal improvement was not observed in patients with </w:t>
      </w:r>
      <w:proofErr w:type="spellStart"/>
      <w:r w:rsidR="003C60CC" w:rsidRPr="006212FF">
        <w:rPr>
          <w:rFonts w:ascii="Book Antiqua" w:hAnsi="Book Antiqua"/>
          <w:sz w:val="24"/>
          <w:szCs w:val="24"/>
        </w:rPr>
        <w:t>eGFR</w:t>
      </w:r>
      <w:proofErr w:type="spellEnd"/>
      <w:r w:rsidR="003C60CC" w:rsidRPr="006212FF">
        <w:rPr>
          <w:rFonts w:ascii="Book Antiqua" w:hAnsi="Book Antiqua"/>
          <w:sz w:val="24"/>
          <w:szCs w:val="24"/>
        </w:rPr>
        <w:t xml:space="preserve"> of 30 to &lt; 55</w:t>
      </w:r>
      <w:r w:rsidR="00327459" w:rsidRPr="006212FF">
        <w:rPr>
          <w:rFonts w:ascii="Book Antiqua" w:hAnsi="Book Antiqua"/>
          <w:sz w:val="24"/>
          <w:szCs w:val="24"/>
        </w:rPr>
        <w:t xml:space="preserve"> </w:t>
      </w:r>
      <w:r w:rsidR="003C60CC" w:rsidRPr="006212FF">
        <w:rPr>
          <w:rFonts w:ascii="Book Antiqua" w:hAnsi="Book Antiqua"/>
          <w:sz w:val="24"/>
          <w:szCs w:val="24"/>
        </w:rPr>
        <w:t>m</w:t>
      </w:r>
      <w:r w:rsidR="00994F3D" w:rsidRPr="006212FF">
        <w:rPr>
          <w:rFonts w:ascii="Book Antiqua" w:hAnsi="Book Antiqua"/>
          <w:sz w:val="24"/>
          <w:szCs w:val="24"/>
        </w:rPr>
        <w:t>L</w:t>
      </w:r>
      <w:r w:rsidR="00994F3D">
        <w:rPr>
          <w:rFonts w:ascii="Book Antiqua" w:hAnsi="Book Antiqua"/>
          <w:sz w:val="24"/>
          <w:szCs w:val="24"/>
        </w:rPr>
        <w:t>/</w:t>
      </w:r>
      <w:proofErr w:type="gramStart"/>
      <w:r w:rsidR="00994F3D">
        <w:rPr>
          <w:rFonts w:ascii="Book Antiqua" w:hAnsi="Book Antiqua"/>
          <w:sz w:val="24"/>
          <w:szCs w:val="24"/>
        </w:rPr>
        <w:t>min</w:t>
      </w:r>
      <w:r w:rsidR="00E65A6C" w:rsidRPr="006212FF">
        <w:rPr>
          <w:rFonts w:ascii="Book Antiqua" w:hAnsi="Book Antiqua"/>
          <w:sz w:val="24"/>
          <w:szCs w:val="24"/>
          <w:vertAlign w:val="superscript"/>
        </w:rPr>
        <w:t>[</w:t>
      </w:r>
      <w:proofErr w:type="gramEnd"/>
      <w:r w:rsidR="00E65A6C" w:rsidRPr="006212FF">
        <w:rPr>
          <w:rFonts w:ascii="Book Antiqua" w:hAnsi="Book Antiqua"/>
          <w:sz w:val="24"/>
          <w:szCs w:val="24"/>
          <w:vertAlign w:val="superscript"/>
        </w:rPr>
        <w:t>20]</w:t>
      </w:r>
      <w:r w:rsidR="003C60CC" w:rsidRPr="006212FF">
        <w:rPr>
          <w:rFonts w:ascii="Book Antiqua" w:hAnsi="Book Antiqua"/>
          <w:sz w:val="24"/>
          <w:szCs w:val="24"/>
        </w:rPr>
        <w:t>.</w:t>
      </w:r>
      <w:r w:rsidR="00F24489" w:rsidRPr="006212FF">
        <w:rPr>
          <w:rFonts w:ascii="Book Antiqua" w:hAnsi="Book Antiqua"/>
          <w:sz w:val="24"/>
          <w:szCs w:val="24"/>
        </w:rPr>
        <w:t xml:space="preserve"> </w:t>
      </w:r>
      <w:r w:rsidR="00A853BE" w:rsidRPr="006212FF">
        <w:rPr>
          <w:rFonts w:ascii="Book Antiqua" w:hAnsi="Book Antiqua"/>
          <w:sz w:val="24"/>
          <w:szCs w:val="24"/>
        </w:rPr>
        <w:t>Th</w:t>
      </w:r>
      <w:r w:rsidR="00C32E86" w:rsidRPr="006212FF">
        <w:rPr>
          <w:rFonts w:ascii="Book Antiqua" w:hAnsi="Book Antiqua"/>
          <w:sz w:val="24"/>
          <w:szCs w:val="24"/>
        </w:rPr>
        <w:t>is</w:t>
      </w:r>
      <w:r w:rsidR="00A853BE" w:rsidRPr="006212FF">
        <w:rPr>
          <w:rFonts w:ascii="Book Antiqua" w:hAnsi="Book Antiqua"/>
          <w:sz w:val="24"/>
          <w:szCs w:val="24"/>
        </w:rPr>
        <w:t xml:space="preserve"> analysis suggested</w:t>
      </w:r>
      <w:r w:rsidR="00C32E86" w:rsidRPr="006212FF">
        <w:rPr>
          <w:rFonts w:ascii="Book Antiqua" w:hAnsi="Book Antiqua"/>
          <w:sz w:val="24"/>
          <w:szCs w:val="24"/>
        </w:rPr>
        <w:t xml:space="preserve"> that</w:t>
      </w:r>
      <w:r w:rsidR="00A853BE" w:rsidRPr="006212FF">
        <w:rPr>
          <w:rFonts w:ascii="Book Antiqua" w:hAnsi="Book Antiqua"/>
          <w:sz w:val="24"/>
          <w:szCs w:val="24"/>
        </w:rPr>
        <w:t xml:space="preserve"> EVR </w:t>
      </w:r>
      <w:proofErr w:type="spellStart"/>
      <w:r w:rsidR="00A853BE" w:rsidRPr="006212FF">
        <w:rPr>
          <w:rFonts w:ascii="Book Antiqua" w:hAnsi="Book Antiqua"/>
          <w:sz w:val="24"/>
          <w:szCs w:val="24"/>
        </w:rPr>
        <w:t>renoprotective</w:t>
      </w:r>
      <w:proofErr w:type="spellEnd"/>
      <w:r w:rsidR="00A853BE" w:rsidRPr="006212FF">
        <w:rPr>
          <w:rFonts w:ascii="Book Antiqua" w:hAnsi="Book Antiqua"/>
          <w:sz w:val="24"/>
          <w:szCs w:val="24"/>
        </w:rPr>
        <w:t xml:space="preserve"> effect was observed particularly in patients</w:t>
      </w:r>
      <w:r w:rsidR="00C32E86" w:rsidRPr="006212FF">
        <w:rPr>
          <w:rFonts w:ascii="Book Antiqua" w:hAnsi="Book Antiqua"/>
          <w:sz w:val="24"/>
          <w:szCs w:val="24"/>
        </w:rPr>
        <w:t xml:space="preserve"> aged</w:t>
      </w:r>
      <w:r w:rsidR="00641235" w:rsidRPr="006212FF">
        <w:rPr>
          <w:rFonts w:ascii="Book Antiqua" w:hAnsi="Book Antiqua"/>
          <w:sz w:val="24"/>
          <w:szCs w:val="24"/>
        </w:rPr>
        <w:t xml:space="preserve"> </w:t>
      </w:r>
      <w:r w:rsidR="00A853BE" w:rsidRPr="006212FF">
        <w:rPr>
          <w:rFonts w:ascii="Book Antiqua" w:hAnsi="Book Antiqua"/>
          <w:sz w:val="24"/>
          <w:szCs w:val="24"/>
        </w:rPr>
        <w:t>&lt; 60 years, female</w:t>
      </w:r>
      <w:r w:rsidR="00C32E86" w:rsidRPr="006212FF">
        <w:rPr>
          <w:rFonts w:ascii="Book Antiqua" w:hAnsi="Book Antiqua"/>
          <w:sz w:val="24"/>
          <w:szCs w:val="24"/>
        </w:rPr>
        <w:t xml:space="preserve"> gender</w:t>
      </w:r>
      <w:r w:rsidR="00A853BE" w:rsidRPr="006212FF">
        <w:rPr>
          <w:rFonts w:ascii="Book Antiqua" w:hAnsi="Book Antiqua"/>
          <w:sz w:val="24"/>
          <w:szCs w:val="24"/>
        </w:rPr>
        <w:t xml:space="preserve">, HCV-negative </w:t>
      </w:r>
      <w:r w:rsidR="00C32E86" w:rsidRPr="006212FF">
        <w:rPr>
          <w:rFonts w:ascii="Book Antiqua" w:hAnsi="Book Antiqua"/>
          <w:sz w:val="24"/>
          <w:szCs w:val="24"/>
        </w:rPr>
        <w:t xml:space="preserve">and in those </w:t>
      </w:r>
      <w:r w:rsidR="00A853BE" w:rsidRPr="006212FF">
        <w:rPr>
          <w:rFonts w:ascii="Book Antiqua" w:hAnsi="Book Antiqua"/>
          <w:sz w:val="24"/>
          <w:szCs w:val="24"/>
        </w:rPr>
        <w:t xml:space="preserve">with baseline </w:t>
      </w:r>
      <w:proofErr w:type="spellStart"/>
      <w:r w:rsidR="00A853BE" w:rsidRPr="006212FF">
        <w:rPr>
          <w:rFonts w:ascii="Book Antiqua" w:hAnsi="Book Antiqua"/>
          <w:sz w:val="24"/>
          <w:szCs w:val="24"/>
        </w:rPr>
        <w:t>eGFR</w:t>
      </w:r>
      <w:proofErr w:type="spellEnd"/>
      <w:r w:rsidR="00A853BE" w:rsidRPr="006212FF">
        <w:rPr>
          <w:rFonts w:ascii="Book Antiqua" w:hAnsi="Book Antiqua"/>
          <w:sz w:val="24"/>
          <w:szCs w:val="24"/>
        </w:rPr>
        <w:t xml:space="preserve"> o</w:t>
      </w:r>
      <w:r w:rsidR="009A0EA0" w:rsidRPr="006212FF">
        <w:rPr>
          <w:rFonts w:ascii="Book Antiqua" w:hAnsi="Book Antiqua"/>
          <w:sz w:val="24"/>
          <w:szCs w:val="24"/>
        </w:rPr>
        <w:t>f 55 to &lt; 70</w:t>
      </w:r>
      <w:r w:rsidR="00641235" w:rsidRPr="006212FF">
        <w:rPr>
          <w:rFonts w:ascii="Book Antiqua" w:hAnsi="Book Antiqua"/>
          <w:sz w:val="24"/>
          <w:szCs w:val="24"/>
        </w:rPr>
        <w:t xml:space="preserve"> </w:t>
      </w:r>
      <w:r w:rsidR="009A0EA0" w:rsidRPr="006212FF">
        <w:rPr>
          <w:rFonts w:ascii="Book Antiqua" w:hAnsi="Book Antiqua"/>
          <w:sz w:val="24"/>
          <w:szCs w:val="24"/>
        </w:rPr>
        <w:t>m</w:t>
      </w:r>
      <w:r w:rsidR="00994F3D" w:rsidRPr="006212FF">
        <w:rPr>
          <w:rFonts w:ascii="Book Antiqua" w:hAnsi="Book Antiqua"/>
          <w:sz w:val="24"/>
          <w:szCs w:val="24"/>
        </w:rPr>
        <w:t>L</w:t>
      </w:r>
      <w:r w:rsidR="009A0EA0" w:rsidRPr="006212FF">
        <w:rPr>
          <w:rFonts w:ascii="Book Antiqua" w:hAnsi="Book Antiqua"/>
          <w:sz w:val="24"/>
          <w:szCs w:val="24"/>
        </w:rPr>
        <w:t>/min</w:t>
      </w:r>
      <w:r w:rsidR="00A853BE" w:rsidRPr="006212FF">
        <w:rPr>
          <w:rFonts w:ascii="Book Antiqua" w:hAnsi="Book Antiqua"/>
          <w:sz w:val="24"/>
          <w:szCs w:val="24"/>
        </w:rPr>
        <w:t>.</w:t>
      </w:r>
    </w:p>
    <w:p w14:paraId="6466D765" w14:textId="4590F755" w:rsidR="007E439F" w:rsidRPr="006212FF" w:rsidRDefault="001B3A14" w:rsidP="00994F3D">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lastRenderedPageBreak/>
        <w:t>The FK</w:t>
      </w:r>
      <w:r w:rsidR="0038409A" w:rsidRPr="006212FF">
        <w:rPr>
          <w:rFonts w:ascii="Book Antiqua" w:hAnsi="Book Antiqua"/>
          <w:sz w:val="24"/>
          <w:szCs w:val="24"/>
        </w:rPr>
        <w:t xml:space="preserve"> dose</w:t>
      </w:r>
      <w:r w:rsidRPr="006212FF">
        <w:rPr>
          <w:rFonts w:ascii="Book Antiqua" w:hAnsi="Book Antiqua"/>
          <w:sz w:val="24"/>
          <w:szCs w:val="24"/>
        </w:rPr>
        <w:t xml:space="preserve"> in </w:t>
      </w:r>
      <w:r w:rsidR="0038409A" w:rsidRPr="006212FF">
        <w:rPr>
          <w:rFonts w:ascii="Book Antiqua" w:hAnsi="Book Antiqua"/>
          <w:sz w:val="24"/>
          <w:szCs w:val="24"/>
        </w:rPr>
        <w:t xml:space="preserve">the </w:t>
      </w:r>
      <w:r w:rsidRPr="006212FF">
        <w:rPr>
          <w:rFonts w:ascii="Book Antiqua" w:hAnsi="Book Antiqua"/>
          <w:sz w:val="24"/>
          <w:szCs w:val="24"/>
        </w:rPr>
        <w:t xml:space="preserve">control group </w:t>
      </w:r>
      <w:r w:rsidR="00F24489" w:rsidRPr="006212FF">
        <w:rPr>
          <w:rFonts w:ascii="Book Antiqua" w:hAnsi="Book Antiqua"/>
          <w:sz w:val="24"/>
          <w:szCs w:val="24"/>
        </w:rPr>
        <w:t xml:space="preserve">of the H2304 study </w:t>
      </w:r>
      <w:r w:rsidRPr="006212FF">
        <w:rPr>
          <w:rFonts w:ascii="Book Antiqua" w:hAnsi="Book Antiqua"/>
          <w:sz w:val="24"/>
          <w:szCs w:val="24"/>
        </w:rPr>
        <w:t>was maintained at target C</w:t>
      </w:r>
      <w:r w:rsidR="004A3410" w:rsidRPr="006212FF">
        <w:rPr>
          <w:rFonts w:ascii="Book Antiqua" w:hAnsi="Book Antiqua"/>
          <w:sz w:val="24"/>
          <w:szCs w:val="24"/>
          <w:vertAlign w:val="subscript"/>
        </w:rPr>
        <w:t>0</w:t>
      </w:r>
      <w:r w:rsidRPr="006212FF">
        <w:rPr>
          <w:rFonts w:ascii="Book Antiqua" w:hAnsi="Book Antiqua"/>
          <w:sz w:val="24"/>
          <w:szCs w:val="24"/>
        </w:rPr>
        <w:t xml:space="preserve"> of 8</w:t>
      </w:r>
      <w:r w:rsidR="00994F3D">
        <w:rPr>
          <w:rFonts w:ascii="Book Antiqua" w:hAnsi="Book Antiqua" w:hint="eastAsia"/>
          <w:sz w:val="24"/>
          <w:szCs w:val="24"/>
        </w:rPr>
        <w:t>-</w:t>
      </w:r>
      <w:r w:rsidRPr="006212FF">
        <w:rPr>
          <w:rFonts w:ascii="Book Antiqua" w:hAnsi="Book Antiqua"/>
          <w:sz w:val="24"/>
          <w:szCs w:val="24"/>
        </w:rPr>
        <w:t xml:space="preserve">12 </w:t>
      </w:r>
      <w:proofErr w:type="spellStart"/>
      <w:r w:rsidRPr="006212FF">
        <w:rPr>
          <w:rFonts w:ascii="Book Antiqua" w:hAnsi="Book Antiqua"/>
          <w:sz w:val="24"/>
          <w:szCs w:val="24"/>
        </w:rPr>
        <w:t>ng</w:t>
      </w:r>
      <w:proofErr w:type="spellEnd"/>
      <w:r w:rsidRPr="006212FF">
        <w:rPr>
          <w:rFonts w:ascii="Book Antiqua" w:hAnsi="Book Antiqua"/>
          <w:sz w:val="24"/>
          <w:szCs w:val="24"/>
        </w:rPr>
        <w:t xml:space="preserve">/mL until month 4 and then </w:t>
      </w:r>
      <w:r w:rsidR="004B0DA8" w:rsidRPr="006212FF">
        <w:rPr>
          <w:rFonts w:ascii="Book Antiqua" w:hAnsi="Book Antiqua"/>
          <w:sz w:val="24"/>
          <w:szCs w:val="24"/>
        </w:rPr>
        <w:t>tapered to target C</w:t>
      </w:r>
      <w:r w:rsidR="004A3410" w:rsidRPr="006212FF">
        <w:rPr>
          <w:rFonts w:ascii="Book Antiqua" w:hAnsi="Book Antiqua"/>
          <w:sz w:val="24"/>
          <w:szCs w:val="24"/>
          <w:vertAlign w:val="subscript"/>
        </w:rPr>
        <w:t>0</w:t>
      </w:r>
      <w:r w:rsidR="004B0DA8" w:rsidRPr="006212FF">
        <w:rPr>
          <w:rFonts w:ascii="Book Antiqua" w:hAnsi="Book Antiqua"/>
          <w:sz w:val="24"/>
          <w:szCs w:val="24"/>
        </w:rPr>
        <w:t xml:space="preserve"> of 6–10 </w:t>
      </w:r>
      <w:proofErr w:type="spellStart"/>
      <w:r w:rsidR="004B0DA8" w:rsidRPr="006212FF">
        <w:rPr>
          <w:rFonts w:ascii="Book Antiqua" w:hAnsi="Book Antiqua"/>
          <w:sz w:val="24"/>
          <w:szCs w:val="24"/>
        </w:rPr>
        <w:t>ng</w:t>
      </w:r>
      <w:proofErr w:type="spellEnd"/>
      <w:r w:rsidR="004B0DA8" w:rsidRPr="006212FF">
        <w:rPr>
          <w:rFonts w:ascii="Book Antiqua" w:hAnsi="Book Antiqua"/>
          <w:sz w:val="24"/>
          <w:szCs w:val="24"/>
        </w:rPr>
        <w:t>/</w:t>
      </w:r>
      <w:r w:rsidRPr="006212FF">
        <w:rPr>
          <w:rFonts w:ascii="Book Antiqua" w:hAnsi="Book Antiqua"/>
          <w:sz w:val="24"/>
          <w:szCs w:val="24"/>
        </w:rPr>
        <w:t xml:space="preserve">mL for the remainder of the study. The FK </w:t>
      </w:r>
      <w:r w:rsidR="005C19F4" w:rsidRPr="006212FF">
        <w:rPr>
          <w:rFonts w:ascii="Book Antiqua" w:hAnsi="Book Antiqua"/>
          <w:sz w:val="24"/>
          <w:szCs w:val="24"/>
        </w:rPr>
        <w:t>C</w:t>
      </w:r>
      <w:r w:rsidR="005C19F4" w:rsidRPr="006212FF">
        <w:rPr>
          <w:rFonts w:ascii="Book Antiqua" w:hAnsi="Book Antiqua"/>
          <w:sz w:val="24"/>
          <w:szCs w:val="24"/>
          <w:vertAlign w:val="subscript"/>
        </w:rPr>
        <w:t>0</w:t>
      </w:r>
      <w:r w:rsidR="0038409A" w:rsidRPr="006212FF">
        <w:rPr>
          <w:rFonts w:ascii="Book Antiqua" w:hAnsi="Book Antiqua"/>
          <w:sz w:val="24"/>
          <w:szCs w:val="24"/>
        </w:rPr>
        <w:t xml:space="preserve"> </w:t>
      </w:r>
      <w:r w:rsidRPr="006212FF">
        <w:rPr>
          <w:rFonts w:ascii="Book Antiqua" w:hAnsi="Book Antiqua"/>
          <w:sz w:val="24"/>
          <w:szCs w:val="24"/>
        </w:rPr>
        <w:t xml:space="preserve">in EVR group </w:t>
      </w:r>
      <w:r w:rsidR="002E56B8" w:rsidRPr="006212FF">
        <w:rPr>
          <w:rFonts w:ascii="Book Antiqua" w:hAnsi="Book Antiqua"/>
          <w:sz w:val="24"/>
          <w:szCs w:val="24"/>
        </w:rPr>
        <w:t>was</w:t>
      </w:r>
      <w:r w:rsidR="000F3EF8" w:rsidRPr="006212FF">
        <w:rPr>
          <w:rFonts w:ascii="Book Antiqua" w:hAnsi="Book Antiqua"/>
          <w:sz w:val="24"/>
          <w:szCs w:val="24"/>
        </w:rPr>
        <w:t xml:space="preserve"> </w:t>
      </w:r>
      <w:r w:rsidR="00016F09">
        <w:rPr>
          <w:rFonts w:ascii="Book Antiqua" w:hAnsi="Book Antiqua"/>
          <w:sz w:val="24"/>
          <w:szCs w:val="24"/>
        </w:rPr>
        <w:t>targeted to be 3</w:t>
      </w:r>
      <w:r w:rsidR="00641235" w:rsidRPr="006212FF">
        <w:rPr>
          <w:rFonts w:ascii="Book Antiqua" w:hAnsi="Book Antiqua"/>
          <w:sz w:val="24"/>
          <w:szCs w:val="24"/>
        </w:rPr>
        <w:t xml:space="preserve">-5 </w:t>
      </w:r>
      <w:proofErr w:type="spellStart"/>
      <w:r w:rsidR="00641235" w:rsidRPr="006212FF">
        <w:rPr>
          <w:rFonts w:ascii="Book Antiqua" w:hAnsi="Book Antiqua"/>
          <w:sz w:val="24"/>
          <w:szCs w:val="24"/>
        </w:rPr>
        <w:t>ng</w:t>
      </w:r>
      <w:proofErr w:type="spellEnd"/>
      <w:r w:rsidR="00641235" w:rsidRPr="006212FF">
        <w:rPr>
          <w:rFonts w:ascii="Book Antiqua" w:hAnsi="Book Antiqua"/>
          <w:sz w:val="24"/>
          <w:szCs w:val="24"/>
        </w:rPr>
        <w:t xml:space="preserve">/mL from </w:t>
      </w:r>
      <w:proofErr w:type="gramStart"/>
      <w:r w:rsidR="00641235" w:rsidRPr="006212FF">
        <w:rPr>
          <w:rFonts w:ascii="Book Antiqua" w:hAnsi="Book Antiqua"/>
          <w:sz w:val="24"/>
          <w:szCs w:val="24"/>
        </w:rPr>
        <w:t>1 month</w:t>
      </w:r>
      <w:proofErr w:type="gramEnd"/>
      <w:r w:rsidR="00641235" w:rsidRPr="006212FF">
        <w:rPr>
          <w:rFonts w:ascii="Book Antiqua" w:hAnsi="Book Antiqua"/>
          <w:sz w:val="24"/>
          <w:szCs w:val="24"/>
        </w:rPr>
        <w:t xml:space="preserve"> post-LT, though majority of patients </w:t>
      </w:r>
      <w:r w:rsidR="006275AF" w:rsidRPr="006212FF">
        <w:rPr>
          <w:rFonts w:ascii="Book Antiqua" w:hAnsi="Book Antiqua"/>
          <w:sz w:val="24"/>
          <w:szCs w:val="24"/>
        </w:rPr>
        <w:t>maintained</w:t>
      </w:r>
      <w:r w:rsidR="005260E5" w:rsidRPr="006212FF">
        <w:rPr>
          <w:rFonts w:ascii="Book Antiqua" w:hAnsi="Book Antiqua"/>
          <w:sz w:val="24"/>
          <w:szCs w:val="24"/>
        </w:rPr>
        <w:t xml:space="preserve"> </w:t>
      </w:r>
      <w:r w:rsidR="00641235" w:rsidRPr="006212FF">
        <w:rPr>
          <w:rFonts w:ascii="Book Antiqua" w:hAnsi="Book Antiqua"/>
          <w:sz w:val="24"/>
          <w:szCs w:val="24"/>
        </w:rPr>
        <w:t xml:space="preserve">levels </w:t>
      </w:r>
      <w:r w:rsidR="005C19F4" w:rsidRPr="006212FF">
        <w:rPr>
          <w:rFonts w:ascii="Book Antiqua" w:hAnsi="Book Antiqua"/>
          <w:sz w:val="24"/>
          <w:szCs w:val="24"/>
        </w:rPr>
        <w:t>slightly above</w:t>
      </w:r>
      <w:r w:rsidR="00641235" w:rsidRPr="006212FF">
        <w:rPr>
          <w:rFonts w:ascii="Book Antiqua" w:hAnsi="Book Antiqua"/>
          <w:sz w:val="24"/>
          <w:szCs w:val="24"/>
        </w:rPr>
        <w:t xml:space="preserve"> </w:t>
      </w:r>
      <w:r w:rsidR="005260E5" w:rsidRPr="006212FF">
        <w:rPr>
          <w:rFonts w:ascii="Book Antiqua" w:hAnsi="Book Antiqua"/>
          <w:sz w:val="24"/>
          <w:szCs w:val="24"/>
        </w:rPr>
        <w:t>5</w:t>
      </w:r>
      <w:r w:rsidR="00583D7D">
        <w:rPr>
          <w:rFonts w:ascii="Book Antiqua" w:hAnsi="Book Antiqua" w:hint="eastAsia"/>
          <w:sz w:val="24"/>
          <w:szCs w:val="24"/>
        </w:rPr>
        <w:t xml:space="preserve"> </w:t>
      </w:r>
      <w:proofErr w:type="spellStart"/>
      <w:r w:rsidR="005260E5" w:rsidRPr="006212FF">
        <w:rPr>
          <w:rFonts w:ascii="Book Antiqua" w:hAnsi="Book Antiqua"/>
          <w:sz w:val="24"/>
          <w:szCs w:val="24"/>
        </w:rPr>
        <w:t>ng</w:t>
      </w:r>
      <w:proofErr w:type="spellEnd"/>
      <w:r w:rsidR="005260E5" w:rsidRPr="006212FF">
        <w:rPr>
          <w:rFonts w:ascii="Book Antiqua" w:hAnsi="Book Antiqua"/>
          <w:sz w:val="24"/>
          <w:szCs w:val="24"/>
        </w:rPr>
        <w:t>/</w:t>
      </w:r>
      <w:r w:rsidRPr="006212FF">
        <w:rPr>
          <w:rFonts w:ascii="Book Antiqua" w:hAnsi="Book Antiqua"/>
          <w:sz w:val="24"/>
          <w:szCs w:val="24"/>
        </w:rPr>
        <w:t xml:space="preserve">mL </w:t>
      </w:r>
      <w:r w:rsidR="006275AF" w:rsidRPr="006212FF">
        <w:rPr>
          <w:rFonts w:ascii="Book Antiqua" w:hAnsi="Book Antiqua"/>
          <w:sz w:val="24"/>
          <w:szCs w:val="24"/>
        </w:rPr>
        <w:t>from month 3 onwards till month 12 of</w:t>
      </w:r>
      <w:r w:rsidRPr="006212FF">
        <w:rPr>
          <w:rFonts w:ascii="Book Antiqua" w:hAnsi="Book Antiqua"/>
          <w:sz w:val="24"/>
          <w:szCs w:val="24"/>
        </w:rPr>
        <w:t xml:space="preserve"> study period. </w:t>
      </w:r>
      <w:r w:rsidR="0038409A" w:rsidRPr="006212FF">
        <w:rPr>
          <w:rFonts w:ascii="Book Antiqua" w:hAnsi="Book Antiqua"/>
          <w:sz w:val="24"/>
          <w:szCs w:val="24"/>
        </w:rPr>
        <w:t>Hence, the a</w:t>
      </w:r>
      <w:r w:rsidR="008D1B42" w:rsidRPr="006212FF">
        <w:rPr>
          <w:rFonts w:ascii="Book Antiqua" w:hAnsi="Book Antiqua"/>
          <w:sz w:val="24"/>
          <w:szCs w:val="24"/>
        </w:rPr>
        <w:t>ddition of EVR early post</w:t>
      </w:r>
      <w:r w:rsidR="0038409A" w:rsidRPr="006212FF">
        <w:rPr>
          <w:rFonts w:ascii="Book Antiqua" w:hAnsi="Book Antiqua"/>
          <w:sz w:val="24"/>
          <w:szCs w:val="24"/>
        </w:rPr>
        <w:t>-LT</w:t>
      </w:r>
      <w:r w:rsidR="008D1B42" w:rsidRPr="006212FF">
        <w:rPr>
          <w:rFonts w:ascii="Book Antiqua" w:hAnsi="Book Antiqua"/>
          <w:sz w:val="24"/>
          <w:szCs w:val="24"/>
        </w:rPr>
        <w:t xml:space="preserve"> allowed tapering of FK safely without </w:t>
      </w:r>
      <w:r w:rsidR="0038409A" w:rsidRPr="006212FF">
        <w:rPr>
          <w:rFonts w:ascii="Book Antiqua" w:hAnsi="Book Antiqua"/>
          <w:sz w:val="24"/>
          <w:szCs w:val="24"/>
        </w:rPr>
        <w:t xml:space="preserve">an </w:t>
      </w:r>
      <w:r w:rsidR="008D1B42" w:rsidRPr="006212FF">
        <w:rPr>
          <w:rFonts w:ascii="Book Antiqua" w:hAnsi="Book Antiqua"/>
          <w:sz w:val="24"/>
          <w:szCs w:val="24"/>
        </w:rPr>
        <w:t>increase</w:t>
      </w:r>
      <w:r w:rsidR="00C42C85" w:rsidRPr="006212FF">
        <w:rPr>
          <w:rFonts w:ascii="Book Antiqua" w:hAnsi="Book Antiqua"/>
          <w:sz w:val="24"/>
          <w:szCs w:val="24"/>
        </w:rPr>
        <w:t>d</w:t>
      </w:r>
      <w:r w:rsidR="008D1B42" w:rsidRPr="006212FF">
        <w:rPr>
          <w:rFonts w:ascii="Book Antiqua" w:hAnsi="Book Antiqua"/>
          <w:sz w:val="24"/>
          <w:szCs w:val="24"/>
        </w:rPr>
        <w:t xml:space="preserve"> risk of rejection.</w:t>
      </w:r>
      <w:r w:rsidRPr="006212FF">
        <w:rPr>
          <w:rFonts w:ascii="Book Antiqua" w:hAnsi="Book Antiqua"/>
          <w:sz w:val="24"/>
          <w:szCs w:val="24"/>
        </w:rPr>
        <w:t xml:space="preserve"> T</w:t>
      </w:r>
      <w:r w:rsidR="00D20DEB" w:rsidRPr="006212FF">
        <w:rPr>
          <w:rFonts w:ascii="Book Antiqua" w:hAnsi="Book Antiqua"/>
          <w:sz w:val="24"/>
          <w:szCs w:val="24"/>
        </w:rPr>
        <w:t>he decrease in renal impairment was possibly contributed b</w:t>
      </w:r>
      <w:r w:rsidR="00987F9A" w:rsidRPr="006212FF">
        <w:rPr>
          <w:rFonts w:ascii="Book Antiqua" w:hAnsi="Book Antiqua"/>
          <w:sz w:val="24"/>
          <w:szCs w:val="24"/>
        </w:rPr>
        <w:t xml:space="preserve">y the reduced CNI level. It </w:t>
      </w:r>
      <w:r w:rsidR="00CA7C80" w:rsidRPr="006212FF">
        <w:rPr>
          <w:rFonts w:ascii="Book Antiqua" w:hAnsi="Book Antiqua"/>
          <w:sz w:val="24"/>
          <w:szCs w:val="24"/>
        </w:rPr>
        <w:t xml:space="preserve">has been </w:t>
      </w:r>
      <w:r w:rsidR="00987F9A" w:rsidRPr="006212FF">
        <w:rPr>
          <w:rFonts w:ascii="Book Antiqua" w:hAnsi="Book Antiqua"/>
          <w:sz w:val="24"/>
          <w:szCs w:val="24"/>
        </w:rPr>
        <w:t>proven that CNI minimization strategy improve</w:t>
      </w:r>
      <w:r w:rsidR="00DE17C4" w:rsidRPr="006212FF">
        <w:rPr>
          <w:rFonts w:ascii="Book Antiqua" w:hAnsi="Book Antiqua"/>
          <w:sz w:val="24"/>
          <w:szCs w:val="24"/>
        </w:rPr>
        <w:t>s</w:t>
      </w:r>
      <w:r w:rsidR="00987F9A" w:rsidRPr="006212FF">
        <w:rPr>
          <w:rFonts w:ascii="Book Antiqua" w:hAnsi="Book Antiqua"/>
          <w:sz w:val="24"/>
          <w:szCs w:val="24"/>
        </w:rPr>
        <w:t xml:space="preserve"> renal function </w:t>
      </w:r>
      <w:r w:rsidR="00DE17C4" w:rsidRPr="006212FF">
        <w:rPr>
          <w:rFonts w:ascii="Book Antiqua" w:hAnsi="Book Antiqua"/>
          <w:sz w:val="24"/>
          <w:szCs w:val="24"/>
        </w:rPr>
        <w:t>in</w:t>
      </w:r>
      <w:r w:rsidR="0038409A" w:rsidRPr="006212FF">
        <w:rPr>
          <w:rFonts w:ascii="Book Antiqua" w:hAnsi="Book Antiqua"/>
          <w:sz w:val="24"/>
          <w:szCs w:val="24"/>
        </w:rPr>
        <w:t xml:space="preserve"> LT</w:t>
      </w:r>
      <w:r w:rsidR="00583D7D">
        <w:rPr>
          <w:rFonts w:ascii="Book Antiqua" w:hAnsi="Book Antiqua"/>
          <w:sz w:val="24"/>
          <w:szCs w:val="24"/>
        </w:rPr>
        <w:t xml:space="preserve"> </w:t>
      </w:r>
      <w:proofErr w:type="gramStart"/>
      <w:r w:rsidR="00583D7D">
        <w:rPr>
          <w:rFonts w:ascii="Book Antiqua" w:hAnsi="Book Antiqua"/>
          <w:sz w:val="24"/>
          <w:szCs w:val="24"/>
        </w:rPr>
        <w:t>recipients</w:t>
      </w:r>
      <w:r w:rsidR="00206664" w:rsidRPr="006212FF">
        <w:rPr>
          <w:rFonts w:ascii="Book Antiqua" w:hAnsi="Book Antiqua"/>
          <w:sz w:val="24"/>
          <w:szCs w:val="24"/>
          <w:vertAlign w:val="superscript"/>
        </w:rPr>
        <w:t>[</w:t>
      </w:r>
      <w:proofErr w:type="gramEnd"/>
      <w:r w:rsidR="00206664" w:rsidRPr="006212FF">
        <w:rPr>
          <w:rFonts w:ascii="Book Antiqua" w:hAnsi="Book Antiqua"/>
          <w:sz w:val="24"/>
          <w:szCs w:val="24"/>
          <w:vertAlign w:val="superscript"/>
        </w:rPr>
        <w:t>28-30]</w:t>
      </w:r>
      <w:r w:rsidR="00673DE1" w:rsidRPr="006212FF">
        <w:rPr>
          <w:rFonts w:ascii="Book Antiqua" w:hAnsi="Book Antiqua"/>
          <w:sz w:val="24"/>
          <w:szCs w:val="24"/>
        </w:rPr>
        <w:t xml:space="preserve">. </w:t>
      </w:r>
    </w:p>
    <w:p w14:paraId="5CDC3A2B" w14:textId="12473931" w:rsidR="00C902EA" w:rsidRPr="006212FF" w:rsidRDefault="00FB60C4" w:rsidP="00583D7D">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Before EVR was start</w:t>
      </w:r>
      <w:r w:rsidR="003C60CC" w:rsidRPr="006212FF">
        <w:rPr>
          <w:rFonts w:ascii="Book Antiqua" w:hAnsi="Book Antiqua"/>
          <w:sz w:val="24"/>
          <w:szCs w:val="24"/>
        </w:rPr>
        <w:t>ed</w:t>
      </w:r>
      <w:r w:rsidR="001E7E3F" w:rsidRPr="006212FF">
        <w:rPr>
          <w:rFonts w:ascii="Book Antiqua" w:hAnsi="Book Antiqua"/>
          <w:sz w:val="24"/>
          <w:szCs w:val="24"/>
        </w:rPr>
        <w:t xml:space="preserve"> in the H2304 study</w:t>
      </w:r>
      <w:r w:rsidR="003C60CC" w:rsidRPr="006212FF">
        <w:rPr>
          <w:rFonts w:ascii="Book Antiqua" w:hAnsi="Book Antiqua"/>
          <w:sz w:val="24"/>
          <w:szCs w:val="24"/>
        </w:rPr>
        <w:t>, majority (70%) of patients w</w:t>
      </w:r>
      <w:r w:rsidR="0038409A" w:rsidRPr="006212FF">
        <w:rPr>
          <w:rFonts w:ascii="Book Antiqua" w:hAnsi="Book Antiqua"/>
          <w:sz w:val="24"/>
          <w:szCs w:val="24"/>
        </w:rPr>
        <w:t>ere also</w:t>
      </w:r>
      <w:r w:rsidR="000F3EF8" w:rsidRPr="006212FF">
        <w:rPr>
          <w:rFonts w:ascii="Book Antiqua" w:hAnsi="Book Antiqua"/>
          <w:sz w:val="24"/>
          <w:szCs w:val="24"/>
        </w:rPr>
        <w:t xml:space="preserve"> </w:t>
      </w:r>
      <w:r w:rsidRPr="006212FF">
        <w:rPr>
          <w:rFonts w:ascii="Book Antiqua" w:hAnsi="Book Antiqua"/>
          <w:sz w:val="24"/>
          <w:szCs w:val="24"/>
        </w:rPr>
        <w:t xml:space="preserve">on </w:t>
      </w:r>
      <w:proofErr w:type="spellStart"/>
      <w:r w:rsidRPr="006212FF">
        <w:rPr>
          <w:rFonts w:ascii="Book Antiqua" w:hAnsi="Book Antiqua"/>
          <w:sz w:val="24"/>
          <w:szCs w:val="24"/>
        </w:rPr>
        <w:t>mycophenolate</w:t>
      </w:r>
      <w:proofErr w:type="spellEnd"/>
      <w:r w:rsidR="00FD3DD7" w:rsidRPr="006212FF">
        <w:rPr>
          <w:rFonts w:ascii="Book Antiqua" w:hAnsi="Book Antiqua"/>
          <w:sz w:val="24"/>
          <w:szCs w:val="24"/>
        </w:rPr>
        <w:t xml:space="preserve"> </w:t>
      </w:r>
      <w:proofErr w:type="spellStart"/>
      <w:r w:rsidRPr="006212FF">
        <w:rPr>
          <w:rFonts w:ascii="Book Antiqua" w:hAnsi="Book Antiqua"/>
          <w:sz w:val="24"/>
          <w:szCs w:val="24"/>
        </w:rPr>
        <w:t>mofetil</w:t>
      </w:r>
      <w:proofErr w:type="spellEnd"/>
      <w:r w:rsidRPr="006212FF">
        <w:rPr>
          <w:rFonts w:ascii="Book Antiqua" w:hAnsi="Book Antiqua"/>
          <w:sz w:val="24"/>
          <w:szCs w:val="24"/>
        </w:rPr>
        <w:t xml:space="preserve"> (MMF) </w:t>
      </w:r>
      <w:r w:rsidR="0038409A" w:rsidRPr="006212FF">
        <w:rPr>
          <w:rFonts w:ascii="Book Antiqua" w:hAnsi="Book Antiqua"/>
          <w:sz w:val="24"/>
          <w:szCs w:val="24"/>
        </w:rPr>
        <w:t>which</w:t>
      </w:r>
      <w:r w:rsidRPr="006212FF">
        <w:rPr>
          <w:rFonts w:ascii="Book Antiqua" w:hAnsi="Book Antiqua"/>
          <w:sz w:val="24"/>
          <w:szCs w:val="24"/>
        </w:rPr>
        <w:t xml:space="preserve"> was disco</w:t>
      </w:r>
      <w:r w:rsidR="00CA7C80" w:rsidRPr="006212FF">
        <w:rPr>
          <w:rFonts w:ascii="Book Antiqua" w:hAnsi="Book Antiqua"/>
          <w:sz w:val="24"/>
          <w:szCs w:val="24"/>
        </w:rPr>
        <w:t xml:space="preserve">ntinued according to protocol. It </w:t>
      </w:r>
      <w:r w:rsidR="0038409A" w:rsidRPr="006212FF">
        <w:rPr>
          <w:rFonts w:ascii="Book Antiqua" w:hAnsi="Book Antiqua"/>
          <w:sz w:val="24"/>
          <w:szCs w:val="24"/>
        </w:rPr>
        <w:t xml:space="preserve">would </w:t>
      </w:r>
      <w:r w:rsidR="00CA7C80" w:rsidRPr="006212FF">
        <w:rPr>
          <w:rFonts w:ascii="Book Antiqua" w:hAnsi="Book Antiqua"/>
          <w:sz w:val="24"/>
          <w:szCs w:val="24"/>
        </w:rPr>
        <w:t>seem</w:t>
      </w:r>
      <w:r w:rsidR="000F3EF8" w:rsidRPr="006212FF">
        <w:rPr>
          <w:rFonts w:ascii="Book Antiqua" w:hAnsi="Book Antiqua"/>
          <w:sz w:val="24"/>
          <w:szCs w:val="24"/>
        </w:rPr>
        <w:t xml:space="preserve"> </w:t>
      </w:r>
      <w:r w:rsidR="0038409A" w:rsidRPr="006212FF">
        <w:rPr>
          <w:rFonts w:ascii="Book Antiqua" w:hAnsi="Book Antiqua"/>
          <w:sz w:val="24"/>
          <w:szCs w:val="24"/>
        </w:rPr>
        <w:t>logical in</w:t>
      </w:r>
      <w:r w:rsidR="002E56B8" w:rsidRPr="006212FF">
        <w:rPr>
          <w:rFonts w:ascii="Book Antiqua" w:hAnsi="Book Antiqua"/>
          <w:sz w:val="24"/>
          <w:szCs w:val="24"/>
        </w:rPr>
        <w:t xml:space="preserve"> clinical practi</w:t>
      </w:r>
      <w:r w:rsidR="00CA7C80" w:rsidRPr="006212FF">
        <w:rPr>
          <w:rFonts w:ascii="Book Antiqua" w:hAnsi="Book Antiqua"/>
          <w:sz w:val="24"/>
          <w:szCs w:val="24"/>
        </w:rPr>
        <w:t>ce to have another non-CNI</w:t>
      </w:r>
      <w:r w:rsidR="0038409A" w:rsidRPr="006212FF">
        <w:rPr>
          <w:rFonts w:ascii="Book Antiqua" w:hAnsi="Book Antiqua"/>
          <w:sz w:val="24"/>
          <w:szCs w:val="24"/>
        </w:rPr>
        <w:t xml:space="preserve"> immunosup</w:t>
      </w:r>
      <w:r w:rsidR="000F3EF8" w:rsidRPr="006212FF">
        <w:rPr>
          <w:rFonts w:ascii="Book Antiqua" w:hAnsi="Book Antiqua"/>
          <w:sz w:val="24"/>
          <w:szCs w:val="24"/>
        </w:rPr>
        <w:t>pressant</w:t>
      </w:r>
      <w:r w:rsidR="00CA7C80" w:rsidRPr="006212FF">
        <w:rPr>
          <w:rFonts w:ascii="Book Antiqua" w:hAnsi="Book Antiqua"/>
          <w:sz w:val="24"/>
          <w:szCs w:val="24"/>
        </w:rPr>
        <w:t xml:space="preserve">, </w:t>
      </w:r>
      <w:r w:rsidR="0038409A" w:rsidRPr="006212FF">
        <w:rPr>
          <w:rFonts w:ascii="Book Antiqua" w:hAnsi="Book Antiqua"/>
          <w:sz w:val="24"/>
          <w:szCs w:val="24"/>
        </w:rPr>
        <w:t>in</w:t>
      </w:r>
      <w:r w:rsidR="00CA7C80" w:rsidRPr="006212FF">
        <w:rPr>
          <w:rFonts w:ascii="Book Antiqua" w:hAnsi="Book Antiqua"/>
          <w:sz w:val="24"/>
          <w:szCs w:val="24"/>
        </w:rPr>
        <w:t xml:space="preserve"> combin</w:t>
      </w:r>
      <w:r w:rsidR="0038409A" w:rsidRPr="006212FF">
        <w:rPr>
          <w:rFonts w:ascii="Book Antiqua" w:hAnsi="Book Antiqua"/>
          <w:sz w:val="24"/>
          <w:szCs w:val="24"/>
        </w:rPr>
        <w:t xml:space="preserve">ation </w:t>
      </w:r>
      <w:r w:rsidR="00CA7C80" w:rsidRPr="006212FF">
        <w:rPr>
          <w:rFonts w:ascii="Book Antiqua" w:hAnsi="Book Antiqua"/>
          <w:sz w:val="24"/>
          <w:szCs w:val="24"/>
        </w:rPr>
        <w:t>with reduced CNI</w:t>
      </w:r>
      <w:r w:rsidR="0038409A" w:rsidRPr="006212FF">
        <w:rPr>
          <w:rFonts w:ascii="Book Antiqua" w:hAnsi="Book Antiqua"/>
          <w:sz w:val="24"/>
          <w:szCs w:val="24"/>
        </w:rPr>
        <w:t xml:space="preserve"> doses</w:t>
      </w:r>
      <w:r w:rsidR="00CA7C80" w:rsidRPr="006212FF">
        <w:rPr>
          <w:rFonts w:ascii="Book Antiqua" w:hAnsi="Book Antiqua"/>
          <w:sz w:val="24"/>
          <w:szCs w:val="24"/>
        </w:rPr>
        <w:t xml:space="preserve">. </w:t>
      </w:r>
      <w:r w:rsidR="0038409A" w:rsidRPr="006212FF">
        <w:rPr>
          <w:rFonts w:ascii="Book Antiqua" w:hAnsi="Book Antiqua"/>
          <w:sz w:val="24"/>
          <w:szCs w:val="24"/>
        </w:rPr>
        <w:t xml:space="preserve">In fact, the </w:t>
      </w:r>
      <w:r w:rsidR="00D20DEB" w:rsidRPr="006212FF">
        <w:rPr>
          <w:rFonts w:ascii="Book Antiqua" w:hAnsi="Book Antiqua"/>
          <w:sz w:val="24"/>
          <w:szCs w:val="24"/>
        </w:rPr>
        <w:t xml:space="preserve">combination of MMF with reduced CNI has been </w:t>
      </w:r>
      <w:r w:rsidR="0038409A" w:rsidRPr="006212FF">
        <w:rPr>
          <w:rFonts w:ascii="Book Antiqua" w:hAnsi="Book Antiqua"/>
          <w:sz w:val="24"/>
          <w:szCs w:val="24"/>
        </w:rPr>
        <w:t>a</w:t>
      </w:r>
      <w:r w:rsidR="00D20DEB" w:rsidRPr="006212FF">
        <w:rPr>
          <w:rFonts w:ascii="Book Antiqua" w:hAnsi="Book Antiqua"/>
          <w:sz w:val="24"/>
          <w:szCs w:val="24"/>
        </w:rPr>
        <w:t xml:space="preserve"> strategy </w:t>
      </w:r>
      <w:r w:rsidR="00D667CE" w:rsidRPr="006212FF">
        <w:rPr>
          <w:rFonts w:ascii="Book Antiqua" w:hAnsi="Book Antiqua"/>
          <w:sz w:val="24"/>
          <w:szCs w:val="24"/>
        </w:rPr>
        <w:t xml:space="preserve">which </w:t>
      </w:r>
      <w:r w:rsidR="00D20DEB" w:rsidRPr="006212FF">
        <w:rPr>
          <w:rFonts w:ascii="Book Antiqua" w:hAnsi="Book Antiqua"/>
          <w:sz w:val="24"/>
          <w:szCs w:val="24"/>
        </w:rPr>
        <w:t>m</w:t>
      </w:r>
      <w:r w:rsidRPr="006212FF">
        <w:rPr>
          <w:rFonts w:ascii="Book Antiqua" w:hAnsi="Book Antiqua"/>
          <w:sz w:val="24"/>
          <w:szCs w:val="24"/>
        </w:rPr>
        <w:t>any</w:t>
      </w:r>
      <w:r w:rsidR="00D20DEB" w:rsidRPr="006212FF">
        <w:rPr>
          <w:rFonts w:ascii="Book Antiqua" w:hAnsi="Book Antiqua"/>
          <w:sz w:val="24"/>
          <w:szCs w:val="24"/>
        </w:rPr>
        <w:t xml:space="preserve"> clinicians adopt to m</w:t>
      </w:r>
      <w:r w:rsidR="00583D7D">
        <w:rPr>
          <w:rFonts w:ascii="Book Antiqua" w:hAnsi="Book Antiqua"/>
          <w:sz w:val="24"/>
          <w:szCs w:val="24"/>
        </w:rPr>
        <w:t xml:space="preserve">inimize CNI </w:t>
      </w:r>
      <w:proofErr w:type="gramStart"/>
      <w:r w:rsidR="00583D7D">
        <w:rPr>
          <w:rFonts w:ascii="Book Antiqua" w:hAnsi="Book Antiqua"/>
          <w:sz w:val="24"/>
          <w:szCs w:val="24"/>
        </w:rPr>
        <w:t>nephrotoxicity</w:t>
      </w:r>
      <w:r w:rsidR="00583D7D">
        <w:rPr>
          <w:rFonts w:ascii="Book Antiqua" w:hAnsi="Book Antiqua"/>
          <w:sz w:val="24"/>
          <w:szCs w:val="24"/>
          <w:vertAlign w:val="superscript"/>
        </w:rPr>
        <w:t>[</w:t>
      </w:r>
      <w:proofErr w:type="gramEnd"/>
      <w:r w:rsidR="00583D7D">
        <w:rPr>
          <w:rFonts w:ascii="Book Antiqua" w:hAnsi="Book Antiqua"/>
          <w:sz w:val="24"/>
          <w:szCs w:val="24"/>
          <w:vertAlign w:val="superscript"/>
        </w:rPr>
        <w:t>29,</w:t>
      </w:r>
      <w:r w:rsidR="009D15E1" w:rsidRPr="006212FF">
        <w:rPr>
          <w:rFonts w:ascii="Book Antiqua" w:hAnsi="Book Antiqua"/>
          <w:sz w:val="24"/>
          <w:szCs w:val="24"/>
          <w:vertAlign w:val="superscript"/>
        </w:rPr>
        <w:t>30]</w:t>
      </w:r>
      <w:r w:rsidR="00D20DEB" w:rsidRPr="006212FF">
        <w:rPr>
          <w:rFonts w:ascii="Book Antiqua" w:hAnsi="Book Antiqua"/>
          <w:sz w:val="24"/>
          <w:szCs w:val="24"/>
        </w:rPr>
        <w:t xml:space="preserve">. </w:t>
      </w:r>
      <w:r w:rsidR="00B4335F" w:rsidRPr="006212FF">
        <w:rPr>
          <w:rFonts w:ascii="Book Antiqua" w:hAnsi="Book Antiqua"/>
          <w:sz w:val="24"/>
          <w:szCs w:val="24"/>
        </w:rPr>
        <w:t>A case</w:t>
      </w:r>
      <w:r w:rsidR="00964BD9" w:rsidRPr="006212FF">
        <w:rPr>
          <w:rFonts w:ascii="Book Antiqua" w:hAnsi="Book Antiqua"/>
          <w:sz w:val="24"/>
          <w:szCs w:val="24"/>
        </w:rPr>
        <w:t>-</w:t>
      </w:r>
      <w:r w:rsidR="00B4335F" w:rsidRPr="006212FF">
        <w:rPr>
          <w:rFonts w:ascii="Book Antiqua" w:hAnsi="Book Antiqua"/>
          <w:sz w:val="24"/>
          <w:szCs w:val="24"/>
        </w:rPr>
        <w:t xml:space="preserve">control study described 20 patients on </w:t>
      </w:r>
      <w:r w:rsidR="00693D15" w:rsidRPr="006212FF">
        <w:rPr>
          <w:rFonts w:ascii="Book Antiqua" w:hAnsi="Book Antiqua"/>
          <w:i/>
          <w:sz w:val="24"/>
          <w:szCs w:val="24"/>
        </w:rPr>
        <w:t>de novo</w:t>
      </w:r>
      <w:r w:rsidR="00693D15" w:rsidRPr="006212FF">
        <w:rPr>
          <w:rFonts w:ascii="Book Antiqua" w:hAnsi="Book Antiqua"/>
          <w:sz w:val="24"/>
          <w:szCs w:val="24"/>
        </w:rPr>
        <w:t xml:space="preserve"> </w:t>
      </w:r>
      <w:r w:rsidR="00B4335F" w:rsidRPr="006212FF">
        <w:rPr>
          <w:rFonts w:ascii="Book Antiqua" w:hAnsi="Book Antiqua"/>
          <w:sz w:val="24"/>
          <w:szCs w:val="24"/>
        </w:rPr>
        <w:t>EVR plus MMF</w:t>
      </w:r>
      <w:r w:rsidR="00BE2587" w:rsidRPr="006212FF">
        <w:rPr>
          <w:rFonts w:ascii="Book Antiqua" w:hAnsi="Book Antiqua"/>
          <w:sz w:val="24"/>
          <w:szCs w:val="24"/>
        </w:rPr>
        <w:t xml:space="preserve"> and steroids</w:t>
      </w:r>
      <w:r w:rsidR="00B4335F" w:rsidRPr="006212FF">
        <w:rPr>
          <w:rFonts w:ascii="Book Antiqua" w:hAnsi="Book Antiqua"/>
          <w:sz w:val="24"/>
          <w:szCs w:val="24"/>
        </w:rPr>
        <w:t xml:space="preserve"> without CNI in comparison to 31 control</w:t>
      </w:r>
      <w:r w:rsidR="00964BD9" w:rsidRPr="006212FF">
        <w:rPr>
          <w:rFonts w:ascii="Book Antiqua" w:hAnsi="Book Antiqua"/>
          <w:sz w:val="24"/>
          <w:szCs w:val="24"/>
        </w:rPr>
        <w:t>s</w:t>
      </w:r>
      <w:r w:rsidR="00B4335F" w:rsidRPr="006212FF">
        <w:rPr>
          <w:rFonts w:ascii="Book Antiqua" w:hAnsi="Book Antiqua"/>
          <w:sz w:val="24"/>
          <w:szCs w:val="24"/>
        </w:rPr>
        <w:t xml:space="preserve"> of FK plus MMF</w:t>
      </w:r>
      <w:r w:rsidR="00BE2587" w:rsidRPr="006212FF">
        <w:rPr>
          <w:rFonts w:ascii="Book Antiqua" w:hAnsi="Book Antiqua"/>
          <w:sz w:val="24"/>
          <w:szCs w:val="24"/>
        </w:rPr>
        <w:t xml:space="preserve"> and </w:t>
      </w:r>
      <w:proofErr w:type="gramStart"/>
      <w:r w:rsidR="00BE2587" w:rsidRPr="006212FF">
        <w:rPr>
          <w:rFonts w:ascii="Book Antiqua" w:hAnsi="Book Antiqua"/>
          <w:sz w:val="24"/>
          <w:szCs w:val="24"/>
        </w:rPr>
        <w:t>steroids</w:t>
      </w:r>
      <w:r w:rsidR="009D15E1" w:rsidRPr="006212FF">
        <w:rPr>
          <w:rFonts w:ascii="Book Antiqua" w:hAnsi="Book Antiqua"/>
          <w:sz w:val="24"/>
          <w:szCs w:val="24"/>
          <w:vertAlign w:val="superscript"/>
        </w:rPr>
        <w:t>[</w:t>
      </w:r>
      <w:proofErr w:type="gramEnd"/>
      <w:r w:rsidR="009D15E1" w:rsidRPr="006212FF">
        <w:rPr>
          <w:rFonts w:ascii="Book Antiqua" w:hAnsi="Book Antiqua"/>
          <w:sz w:val="24"/>
          <w:szCs w:val="24"/>
          <w:vertAlign w:val="superscript"/>
        </w:rPr>
        <w:t>31]</w:t>
      </w:r>
      <w:r w:rsidR="00693D15" w:rsidRPr="006212FF">
        <w:rPr>
          <w:rFonts w:ascii="Book Antiqua" w:hAnsi="Book Antiqua"/>
          <w:sz w:val="24"/>
          <w:szCs w:val="24"/>
        </w:rPr>
        <w:t xml:space="preserve">. The </w:t>
      </w:r>
      <w:proofErr w:type="spellStart"/>
      <w:r w:rsidR="00693D15" w:rsidRPr="006212FF">
        <w:rPr>
          <w:rFonts w:ascii="Book Antiqua" w:hAnsi="Book Antiqua"/>
          <w:sz w:val="24"/>
          <w:szCs w:val="24"/>
        </w:rPr>
        <w:t>eGFR</w:t>
      </w:r>
      <w:proofErr w:type="spellEnd"/>
      <w:r w:rsidR="00693D15" w:rsidRPr="006212FF">
        <w:rPr>
          <w:rFonts w:ascii="Book Antiqua" w:hAnsi="Book Antiqua"/>
          <w:sz w:val="24"/>
          <w:szCs w:val="24"/>
        </w:rPr>
        <w:t xml:space="preserve"> in both groups were no</w:t>
      </w:r>
      <w:r w:rsidR="009D0ED8" w:rsidRPr="006212FF">
        <w:rPr>
          <w:rFonts w:ascii="Book Antiqua" w:hAnsi="Book Antiqua"/>
          <w:sz w:val="24"/>
          <w:szCs w:val="24"/>
        </w:rPr>
        <w:t>t</w:t>
      </w:r>
      <w:r w:rsidR="00693D15" w:rsidRPr="006212FF">
        <w:rPr>
          <w:rFonts w:ascii="Book Antiqua" w:hAnsi="Book Antiqua"/>
          <w:sz w:val="24"/>
          <w:szCs w:val="24"/>
        </w:rPr>
        <w:t xml:space="preserve"> statistical</w:t>
      </w:r>
      <w:r w:rsidR="000F1CFE" w:rsidRPr="006212FF">
        <w:rPr>
          <w:rFonts w:ascii="Book Antiqua" w:hAnsi="Book Antiqua"/>
          <w:sz w:val="24"/>
          <w:szCs w:val="24"/>
        </w:rPr>
        <w:t>ly</w:t>
      </w:r>
      <w:r w:rsidR="00693D15" w:rsidRPr="006212FF">
        <w:rPr>
          <w:rFonts w:ascii="Book Antiqua" w:hAnsi="Book Antiqua"/>
          <w:sz w:val="24"/>
          <w:szCs w:val="24"/>
        </w:rPr>
        <w:t xml:space="preserve"> differen</w:t>
      </w:r>
      <w:r w:rsidR="009D0ED8" w:rsidRPr="006212FF">
        <w:rPr>
          <w:rFonts w:ascii="Book Antiqua" w:hAnsi="Book Antiqua"/>
          <w:sz w:val="24"/>
          <w:szCs w:val="24"/>
        </w:rPr>
        <w:t>t</w:t>
      </w:r>
      <w:r w:rsidR="00693D15" w:rsidRPr="006212FF">
        <w:rPr>
          <w:rFonts w:ascii="Book Antiqua" w:hAnsi="Book Antiqua"/>
          <w:sz w:val="24"/>
          <w:szCs w:val="24"/>
        </w:rPr>
        <w:t xml:space="preserve"> at the end of 1- and 2-year</w:t>
      </w:r>
      <w:r w:rsidR="00964BD9" w:rsidRPr="006212FF">
        <w:rPr>
          <w:rFonts w:ascii="Book Antiqua" w:hAnsi="Book Antiqua"/>
          <w:sz w:val="24"/>
          <w:szCs w:val="24"/>
        </w:rPr>
        <w:t>s follow-up</w:t>
      </w:r>
      <w:r w:rsidR="00693D15" w:rsidRPr="006212FF">
        <w:rPr>
          <w:rFonts w:ascii="Book Antiqua" w:hAnsi="Book Antiqua"/>
          <w:sz w:val="24"/>
          <w:szCs w:val="24"/>
        </w:rPr>
        <w:t xml:space="preserve"> but </w:t>
      </w:r>
      <w:r w:rsidR="000F1CFE" w:rsidRPr="006212FF">
        <w:rPr>
          <w:rFonts w:ascii="Book Antiqua" w:hAnsi="Book Antiqua"/>
          <w:sz w:val="24"/>
          <w:szCs w:val="24"/>
        </w:rPr>
        <w:t xml:space="preserve">a </w:t>
      </w:r>
      <w:r w:rsidR="00B4335F" w:rsidRPr="006212FF">
        <w:rPr>
          <w:rFonts w:ascii="Book Antiqua" w:hAnsi="Book Antiqua"/>
          <w:sz w:val="24"/>
          <w:szCs w:val="24"/>
        </w:rPr>
        <w:t xml:space="preserve">35% of rejection rate at </w:t>
      </w:r>
      <w:r w:rsidR="00693D15" w:rsidRPr="006212FF">
        <w:rPr>
          <w:rFonts w:ascii="Book Antiqua" w:hAnsi="Book Antiqua"/>
          <w:sz w:val="24"/>
          <w:szCs w:val="24"/>
        </w:rPr>
        <w:t>2 year</w:t>
      </w:r>
      <w:r w:rsidR="000F1CFE" w:rsidRPr="006212FF">
        <w:rPr>
          <w:rFonts w:ascii="Book Antiqua" w:hAnsi="Book Antiqua"/>
          <w:sz w:val="24"/>
          <w:szCs w:val="24"/>
        </w:rPr>
        <w:t>s</w:t>
      </w:r>
      <w:r w:rsidR="00B4335F" w:rsidRPr="006212FF">
        <w:rPr>
          <w:rFonts w:ascii="Book Antiqua" w:hAnsi="Book Antiqua"/>
          <w:sz w:val="24"/>
          <w:szCs w:val="24"/>
        </w:rPr>
        <w:t xml:space="preserve"> from LT</w:t>
      </w:r>
      <w:r w:rsidR="00693D15" w:rsidRPr="006212FF">
        <w:rPr>
          <w:rFonts w:ascii="Book Antiqua" w:hAnsi="Book Antiqua"/>
          <w:sz w:val="24"/>
          <w:szCs w:val="24"/>
        </w:rPr>
        <w:t xml:space="preserve"> </w:t>
      </w:r>
      <w:r w:rsidR="008B0377" w:rsidRPr="006212FF">
        <w:rPr>
          <w:rFonts w:ascii="Book Antiqua" w:hAnsi="Book Antiqua"/>
          <w:sz w:val="24"/>
          <w:szCs w:val="24"/>
        </w:rPr>
        <w:t>in EVR group</w:t>
      </w:r>
      <w:r w:rsidR="000F1CFE" w:rsidRPr="006212FF">
        <w:rPr>
          <w:rFonts w:ascii="Book Antiqua" w:hAnsi="Book Antiqua"/>
          <w:sz w:val="24"/>
          <w:szCs w:val="24"/>
        </w:rPr>
        <w:t xml:space="preserve"> was reported and attributed to difficulty achieving target drug levels</w:t>
      </w:r>
      <w:r w:rsidR="00B4335F" w:rsidRPr="006212FF">
        <w:rPr>
          <w:rFonts w:ascii="Book Antiqua" w:hAnsi="Book Antiqua"/>
          <w:sz w:val="24"/>
          <w:szCs w:val="24"/>
        </w:rPr>
        <w:t xml:space="preserve">. </w:t>
      </w:r>
      <w:r w:rsidR="000F1CFE" w:rsidRPr="006212FF">
        <w:rPr>
          <w:rFonts w:ascii="Book Antiqua" w:hAnsi="Book Antiqua"/>
          <w:sz w:val="24"/>
          <w:szCs w:val="24"/>
        </w:rPr>
        <w:t>T</w:t>
      </w:r>
      <w:r w:rsidR="00D20DEB" w:rsidRPr="006212FF">
        <w:rPr>
          <w:rFonts w:ascii="Book Antiqua" w:hAnsi="Book Antiqua"/>
          <w:sz w:val="24"/>
          <w:szCs w:val="24"/>
        </w:rPr>
        <w:t>here is no head-to-h</w:t>
      </w:r>
      <w:r w:rsidR="00C42C85" w:rsidRPr="006212FF">
        <w:rPr>
          <w:rFonts w:ascii="Book Antiqua" w:hAnsi="Book Antiqua"/>
          <w:sz w:val="24"/>
          <w:szCs w:val="24"/>
        </w:rPr>
        <w:t xml:space="preserve">ead </w:t>
      </w:r>
      <w:r w:rsidR="008A08CE" w:rsidRPr="006212FF">
        <w:rPr>
          <w:rFonts w:ascii="Book Antiqua" w:hAnsi="Book Antiqua"/>
          <w:sz w:val="24"/>
          <w:szCs w:val="24"/>
        </w:rPr>
        <w:t>RCT</w:t>
      </w:r>
      <w:r w:rsidR="00C42C85" w:rsidRPr="006212FF">
        <w:rPr>
          <w:rFonts w:ascii="Book Antiqua" w:hAnsi="Book Antiqua"/>
          <w:sz w:val="24"/>
          <w:szCs w:val="24"/>
        </w:rPr>
        <w:t xml:space="preserve"> </w:t>
      </w:r>
      <w:r w:rsidR="00CA7C80" w:rsidRPr="006212FF">
        <w:rPr>
          <w:rFonts w:ascii="Book Antiqua" w:hAnsi="Book Antiqua"/>
          <w:sz w:val="24"/>
          <w:szCs w:val="24"/>
        </w:rPr>
        <w:t>compar</w:t>
      </w:r>
      <w:r w:rsidR="00D667CE" w:rsidRPr="006212FF">
        <w:rPr>
          <w:rFonts w:ascii="Book Antiqua" w:hAnsi="Book Antiqua"/>
          <w:sz w:val="24"/>
          <w:szCs w:val="24"/>
        </w:rPr>
        <w:t>ing</w:t>
      </w:r>
      <w:r w:rsidR="00CA7C80" w:rsidRPr="006212FF">
        <w:rPr>
          <w:rFonts w:ascii="Book Antiqua" w:hAnsi="Book Antiqua"/>
          <w:sz w:val="24"/>
          <w:szCs w:val="24"/>
        </w:rPr>
        <w:t xml:space="preserve"> </w:t>
      </w:r>
      <w:r w:rsidR="00633898" w:rsidRPr="006212FF">
        <w:rPr>
          <w:rFonts w:ascii="Book Antiqua" w:hAnsi="Book Antiqua"/>
          <w:sz w:val="24"/>
          <w:szCs w:val="24"/>
        </w:rPr>
        <w:t>EVR</w:t>
      </w:r>
      <w:r w:rsidR="00CA7C80" w:rsidRPr="006212FF">
        <w:rPr>
          <w:rFonts w:ascii="Book Antiqua" w:hAnsi="Book Antiqua"/>
          <w:sz w:val="24"/>
          <w:szCs w:val="24"/>
        </w:rPr>
        <w:t xml:space="preserve">-based </w:t>
      </w:r>
      <w:r w:rsidR="00D20DEB" w:rsidRPr="006212FF">
        <w:rPr>
          <w:rFonts w:ascii="Book Antiqua" w:hAnsi="Book Antiqua"/>
          <w:sz w:val="24"/>
          <w:szCs w:val="24"/>
        </w:rPr>
        <w:t xml:space="preserve">and </w:t>
      </w:r>
      <w:r w:rsidR="00633898" w:rsidRPr="006212FF">
        <w:rPr>
          <w:rFonts w:ascii="Book Antiqua" w:hAnsi="Book Antiqua"/>
          <w:sz w:val="24"/>
          <w:szCs w:val="24"/>
        </w:rPr>
        <w:t>MMF</w:t>
      </w:r>
      <w:r w:rsidR="00D20DEB" w:rsidRPr="006212FF">
        <w:rPr>
          <w:rFonts w:ascii="Book Antiqua" w:hAnsi="Book Antiqua"/>
          <w:sz w:val="24"/>
          <w:szCs w:val="24"/>
        </w:rPr>
        <w:t xml:space="preserve">-based </w:t>
      </w:r>
      <w:r w:rsidR="00D667CE" w:rsidRPr="006212FF">
        <w:rPr>
          <w:rFonts w:ascii="Book Antiqua" w:hAnsi="Book Antiqua"/>
          <w:sz w:val="24"/>
          <w:szCs w:val="24"/>
        </w:rPr>
        <w:t xml:space="preserve">LT immunosuppression </w:t>
      </w:r>
      <w:r w:rsidR="00D20DEB" w:rsidRPr="006212FF">
        <w:rPr>
          <w:rFonts w:ascii="Book Antiqua" w:hAnsi="Book Antiqua"/>
          <w:sz w:val="24"/>
          <w:szCs w:val="24"/>
        </w:rPr>
        <w:t>regime</w:t>
      </w:r>
      <w:r w:rsidR="00D667CE" w:rsidRPr="006212FF">
        <w:rPr>
          <w:rFonts w:ascii="Book Antiqua" w:hAnsi="Book Antiqua"/>
          <w:sz w:val="24"/>
          <w:szCs w:val="24"/>
        </w:rPr>
        <w:t>s to date</w:t>
      </w:r>
      <w:r w:rsidR="00D20DEB" w:rsidRPr="006212FF">
        <w:rPr>
          <w:rFonts w:ascii="Book Antiqua" w:hAnsi="Book Antiqua"/>
          <w:sz w:val="24"/>
          <w:szCs w:val="24"/>
        </w:rPr>
        <w:t xml:space="preserve">. </w:t>
      </w:r>
    </w:p>
    <w:p w14:paraId="07B07897" w14:textId="685C5398" w:rsidR="00C902EA" w:rsidRPr="006212FF" w:rsidRDefault="002E56B8" w:rsidP="00583D7D">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On the other hand, </w:t>
      </w:r>
      <w:r w:rsidR="001658DE" w:rsidRPr="006212FF">
        <w:rPr>
          <w:rFonts w:ascii="Book Antiqua" w:hAnsi="Book Antiqua"/>
          <w:sz w:val="24"/>
          <w:szCs w:val="24"/>
        </w:rPr>
        <w:t xml:space="preserve">the evidence for </w:t>
      </w:r>
      <w:r w:rsidR="00125A5A" w:rsidRPr="006212FF">
        <w:rPr>
          <w:rFonts w:ascii="Book Antiqua" w:hAnsi="Book Antiqua"/>
          <w:sz w:val="24"/>
          <w:szCs w:val="24"/>
        </w:rPr>
        <w:t xml:space="preserve">EVR </w:t>
      </w:r>
      <w:proofErr w:type="spellStart"/>
      <w:r w:rsidR="001658DE" w:rsidRPr="006212FF">
        <w:rPr>
          <w:rFonts w:ascii="Book Antiqua" w:hAnsi="Book Antiqua"/>
          <w:sz w:val="24"/>
          <w:szCs w:val="24"/>
        </w:rPr>
        <w:t>renoprotective</w:t>
      </w:r>
      <w:proofErr w:type="spellEnd"/>
      <w:r w:rsidR="001658DE" w:rsidRPr="006212FF">
        <w:rPr>
          <w:rFonts w:ascii="Book Antiqua" w:hAnsi="Book Antiqua"/>
          <w:sz w:val="24"/>
          <w:szCs w:val="24"/>
        </w:rPr>
        <w:t xml:space="preserve"> effect </w:t>
      </w:r>
      <w:r w:rsidR="00125A5A" w:rsidRPr="006212FF">
        <w:rPr>
          <w:rFonts w:ascii="Book Antiqua" w:hAnsi="Book Antiqua"/>
          <w:sz w:val="24"/>
          <w:szCs w:val="24"/>
        </w:rPr>
        <w:t>in c</w:t>
      </w:r>
      <w:r w:rsidR="001658DE" w:rsidRPr="006212FF">
        <w:rPr>
          <w:rFonts w:ascii="Book Antiqua" w:hAnsi="Book Antiqua"/>
          <w:sz w:val="24"/>
          <w:szCs w:val="24"/>
        </w:rPr>
        <w:t>onversion</w:t>
      </w:r>
      <w:r w:rsidR="00125A5A" w:rsidRPr="006212FF">
        <w:rPr>
          <w:rFonts w:ascii="Book Antiqua" w:hAnsi="Book Antiqua"/>
          <w:sz w:val="24"/>
          <w:szCs w:val="24"/>
        </w:rPr>
        <w:t xml:space="preserve"> after 6 </w:t>
      </w:r>
      <w:proofErr w:type="spellStart"/>
      <w:r w:rsidR="00125A5A" w:rsidRPr="006212FF">
        <w:rPr>
          <w:rFonts w:ascii="Book Antiqua" w:hAnsi="Book Antiqua"/>
          <w:sz w:val="24"/>
          <w:szCs w:val="24"/>
        </w:rPr>
        <w:t>mo</w:t>
      </w:r>
      <w:proofErr w:type="spellEnd"/>
      <w:r w:rsidR="00125A5A" w:rsidRPr="006212FF">
        <w:rPr>
          <w:rFonts w:ascii="Book Antiqua" w:hAnsi="Book Antiqua"/>
          <w:sz w:val="24"/>
          <w:szCs w:val="24"/>
        </w:rPr>
        <w:t xml:space="preserve"> post-LT </w:t>
      </w:r>
      <w:r w:rsidR="00332645" w:rsidRPr="006212FF">
        <w:rPr>
          <w:rFonts w:ascii="Book Antiqua" w:hAnsi="Book Antiqua"/>
          <w:sz w:val="24"/>
          <w:szCs w:val="24"/>
        </w:rPr>
        <w:t>is</w:t>
      </w:r>
      <w:r w:rsidR="001658DE" w:rsidRPr="006212FF">
        <w:rPr>
          <w:rFonts w:ascii="Book Antiqua" w:hAnsi="Book Antiqua"/>
          <w:sz w:val="24"/>
          <w:szCs w:val="24"/>
        </w:rPr>
        <w:t xml:space="preserve"> lacking. The RESCUE Study </w:t>
      </w:r>
      <w:r w:rsidR="007D778C" w:rsidRPr="006212FF">
        <w:rPr>
          <w:rFonts w:ascii="Book Antiqua" w:hAnsi="Book Antiqua"/>
          <w:sz w:val="24"/>
          <w:szCs w:val="24"/>
        </w:rPr>
        <w:t xml:space="preserve">which </w:t>
      </w:r>
      <w:r w:rsidR="001658DE" w:rsidRPr="006212FF">
        <w:rPr>
          <w:rFonts w:ascii="Book Antiqua" w:hAnsi="Book Antiqua"/>
          <w:sz w:val="24"/>
          <w:szCs w:val="24"/>
        </w:rPr>
        <w:t>showed</w:t>
      </w:r>
      <w:r w:rsidR="00C42C85" w:rsidRPr="006212FF">
        <w:rPr>
          <w:rFonts w:ascii="Book Antiqua" w:hAnsi="Book Antiqua"/>
          <w:sz w:val="24"/>
          <w:szCs w:val="24"/>
        </w:rPr>
        <w:t xml:space="preserve"> </w:t>
      </w:r>
      <w:r w:rsidR="007D778C" w:rsidRPr="006212FF">
        <w:rPr>
          <w:rFonts w:ascii="Book Antiqua" w:hAnsi="Book Antiqua"/>
          <w:sz w:val="24"/>
          <w:szCs w:val="24"/>
        </w:rPr>
        <w:t xml:space="preserve">an </w:t>
      </w:r>
      <w:r w:rsidR="001658DE" w:rsidRPr="006212FF">
        <w:rPr>
          <w:rFonts w:ascii="Book Antiqua" w:hAnsi="Book Antiqua"/>
          <w:sz w:val="24"/>
          <w:szCs w:val="24"/>
        </w:rPr>
        <w:t xml:space="preserve">increased composite outcome of BPAR, graft loss and death </w:t>
      </w:r>
      <w:r w:rsidR="007D778C" w:rsidRPr="006212FF">
        <w:rPr>
          <w:rFonts w:ascii="Book Antiqua" w:hAnsi="Book Antiqua"/>
          <w:sz w:val="24"/>
          <w:szCs w:val="24"/>
        </w:rPr>
        <w:t>demonstrated an</w:t>
      </w:r>
      <w:r w:rsidR="001658DE" w:rsidRPr="006212FF">
        <w:rPr>
          <w:rFonts w:ascii="Book Antiqua" w:hAnsi="Book Antiqua"/>
          <w:sz w:val="24"/>
          <w:szCs w:val="24"/>
        </w:rPr>
        <w:t xml:space="preserve"> improvement of </w:t>
      </w:r>
      <w:proofErr w:type="spellStart"/>
      <w:r w:rsidR="007D778C" w:rsidRPr="006212FF">
        <w:rPr>
          <w:rFonts w:ascii="Book Antiqua" w:hAnsi="Book Antiqua"/>
          <w:sz w:val="24"/>
          <w:szCs w:val="24"/>
        </w:rPr>
        <w:t>eGFR</w:t>
      </w:r>
      <w:proofErr w:type="spellEnd"/>
      <w:r w:rsidR="007D778C" w:rsidRPr="006212FF">
        <w:rPr>
          <w:rFonts w:ascii="Book Antiqua" w:hAnsi="Book Antiqua"/>
          <w:sz w:val="24"/>
          <w:szCs w:val="24"/>
        </w:rPr>
        <w:t xml:space="preserve"> by </w:t>
      </w:r>
      <w:r w:rsidR="00964BD9" w:rsidRPr="006212FF">
        <w:rPr>
          <w:rFonts w:ascii="Book Antiqua" w:hAnsi="Book Antiqua"/>
          <w:sz w:val="24"/>
          <w:szCs w:val="24"/>
        </w:rPr>
        <w:t xml:space="preserve">only </w:t>
      </w:r>
      <w:r w:rsidR="001658DE" w:rsidRPr="006212FF">
        <w:rPr>
          <w:rFonts w:ascii="Book Antiqua" w:hAnsi="Book Antiqua"/>
          <w:sz w:val="24"/>
          <w:szCs w:val="24"/>
        </w:rPr>
        <w:t>1.1</w:t>
      </w:r>
      <w:r w:rsidR="00964BD9" w:rsidRPr="006212FF">
        <w:rPr>
          <w:rFonts w:ascii="Book Antiqua" w:hAnsi="Book Antiqua"/>
          <w:sz w:val="24"/>
          <w:szCs w:val="24"/>
        </w:rPr>
        <w:t xml:space="preserve"> </w:t>
      </w:r>
      <w:r w:rsidR="001658DE" w:rsidRPr="006212FF">
        <w:rPr>
          <w:rFonts w:ascii="Book Antiqua" w:hAnsi="Book Antiqua"/>
          <w:sz w:val="24"/>
          <w:szCs w:val="24"/>
        </w:rPr>
        <w:t>m</w:t>
      </w:r>
      <w:r w:rsidR="00583D7D" w:rsidRPr="006212FF">
        <w:rPr>
          <w:rFonts w:ascii="Book Antiqua" w:hAnsi="Book Antiqua"/>
          <w:sz w:val="24"/>
          <w:szCs w:val="24"/>
        </w:rPr>
        <w:t>L</w:t>
      </w:r>
      <w:r w:rsidR="001658DE" w:rsidRPr="006212FF">
        <w:rPr>
          <w:rFonts w:ascii="Book Antiqua" w:hAnsi="Book Antiqua"/>
          <w:sz w:val="24"/>
          <w:szCs w:val="24"/>
        </w:rPr>
        <w:t xml:space="preserve">/min at the end of 1 year. </w:t>
      </w:r>
      <w:r w:rsidR="007D778C" w:rsidRPr="006212FF">
        <w:rPr>
          <w:rFonts w:ascii="Book Antiqua" w:hAnsi="Book Antiqua"/>
          <w:sz w:val="24"/>
          <w:szCs w:val="24"/>
        </w:rPr>
        <w:t>In this study, t</w:t>
      </w:r>
      <w:r w:rsidR="001658DE" w:rsidRPr="006212FF">
        <w:rPr>
          <w:rFonts w:ascii="Book Antiqua" w:hAnsi="Book Antiqua"/>
          <w:sz w:val="24"/>
          <w:szCs w:val="24"/>
        </w:rPr>
        <w:t xml:space="preserve">he conversion to EVR </w:t>
      </w:r>
      <w:r w:rsidR="007D778C" w:rsidRPr="006212FF">
        <w:rPr>
          <w:rFonts w:ascii="Book Antiqua" w:hAnsi="Book Antiqua"/>
          <w:sz w:val="24"/>
          <w:szCs w:val="24"/>
        </w:rPr>
        <w:t xml:space="preserve">occurred </w:t>
      </w:r>
      <w:r w:rsidR="001658DE" w:rsidRPr="006212FF">
        <w:rPr>
          <w:rFonts w:ascii="Book Antiqua" w:hAnsi="Book Antiqua"/>
          <w:sz w:val="24"/>
          <w:szCs w:val="24"/>
        </w:rPr>
        <w:t xml:space="preserve">at </w:t>
      </w:r>
      <w:r w:rsidR="007D778C" w:rsidRPr="006212FF">
        <w:rPr>
          <w:rFonts w:ascii="Book Antiqua" w:hAnsi="Book Antiqua"/>
          <w:sz w:val="24"/>
          <w:szCs w:val="24"/>
        </w:rPr>
        <w:t>mean</w:t>
      </w:r>
      <w:r w:rsidR="00332645" w:rsidRPr="006212FF">
        <w:rPr>
          <w:rFonts w:ascii="Book Antiqua" w:hAnsi="Book Antiqua"/>
          <w:sz w:val="24"/>
          <w:szCs w:val="24"/>
        </w:rPr>
        <w:t xml:space="preserve"> 3</w:t>
      </w:r>
      <w:r w:rsidR="002C1C2D" w:rsidRPr="006212FF">
        <w:rPr>
          <w:rFonts w:ascii="Book Antiqua" w:hAnsi="Book Antiqua"/>
          <w:sz w:val="24"/>
          <w:szCs w:val="24"/>
        </w:rPr>
        <w:t xml:space="preserve">.3 ± 1.7 </w:t>
      </w:r>
      <w:r w:rsidR="00332645" w:rsidRPr="006212FF">
        <w:rPr>
          <w:rFonts w:ascii="Book Antiqua" w:hAnsi="Book Antiqua"/>
          <w:sz w:val="24"/>
          <w:szCs w:val="24"/>
        </w:rPr>
        <w:t>years</w:t>
      </w:r>
      <w:r w:rsidR="002C1C2D" w:rsidRPr="006212FF">
        <w:rPr>
          <w:rFonts w:ascii="Book Antiqua" w:hAnsi="Book Antiqua"/>
          <w:sz w:val="24"/>
          <w:szCs w:val="24"/>
        </w:rPr>
        <w:t xml:space="preserve"> </w:t>
      </w:r>
      <w:r w:rsidR="001658DE" w:rsidRPr="006212FF">
        <w:rPr>
          <w:rFonts w:ascii="Book Antiqua" w:hAnsi="Book Antiqua"/>
          <w:sz w:val="24"/>
          <w:szCs w:val="24"/>
        </w:rPr>
        <w:t xml:space="preserve">from transplant. </w:t>
      </w:r>
      <w:r w:rsidR="006D7677" w:rsidRPr="006212FF">
        <w:rPr>
          <w:rFonts w:ascii="Book Antiqua" w:hAnsi="Book Antiqua"/>
          <w:sz w:val="24"/>
          <w:szCs w:val="24"/>
        </w:rPr>
        <w:t xml:space="preserve">In a retrospective observational study, </w:t>
      </w:r>
      <w:proofErr w:type="spellStart"/>
      <w:r w:rsidR="006D7677" w:rsidRPr="006212FF">
        <w:rPr>
          <w:rFonts w:ascii="Book Antiqua" w:hAnsi="Book Antiqua"/>
          <w:sz w:val="24"/>
          <w:szCs w:val="24"/>
        </w:rPr>
        <w:t>Saliba</w:t>
      </w:r>
      <w:proofErr w:type="spellEnd"/>
      <w:r w:rsidR="006D7677" w:rsidRPr="001A7A1A">
        <w:rPr>
          <w:rFonts w:ascii="Book Antiqua" w:hAnsi="Book Antiqua"/>
          <w:i/>
          <w:sz w:val="24"/>
          <w:szCs w:val="24"/>
        </w:rPr>
        <w:t xml:space="preserve"> et </w:t>
      </w:r>
      <w:proofErr w:type="gramStart"/>
      <w:r w:rsidR="006D7677" w:rsidRPr="001A7A1A">
        <w:rPr>
          <w:rFonts w:ascii="Book Antiqua" w:hAnsi="Book Antiqua"/>
          <w:i/>
          <w:sz w:val="24"/>
          <w:szCs w:val="24"/>
        </w:rPr>
        <w:t>al</w:t>
      </w:r>
      <w:r w:rsidR="001A7A1A" w:rsidRPr="006212FF">
        <w:rPr>
          <w:rFonts w:ascii="Book Antiqua" w:hAnsi="Book Antiqua"/>
          <w:sz w:val="24"/>
          <w:szCs w:val="24"/>
          <w:vertAlign w:val="superscript"/>
        </w:rPr>
        <w:t>[</w:t>
      </w:r>
      <w:proofErr w:type="gramEnd"/>
      <w:r w:rsidR="001A7A1A" w:rsidRPr="006212FF">
        <w:rPr>
          <w:rFonts w:ascii="Book Antiqua" w:hAnsi="Book Antiqua"/>
          <w:sz w:val="24"/>
          <w:szCs w:val="24"/>
          <w:vertAlign w:val="superscript"/>
        </w:rPr>
        <w:t>26]</w:t>
      </w:r>
      <w:r w:rsidR="006D7677" w:rsidRPr="006212FF">
        <w:rPr>
          <w:rFonts w:ascii="Book Antiqua" w:hAnsi="Book Antiqua"/>
          <w:sz w:val="24"/>
          <w:szCs w:val="24"/>
        </w:rPr>
        <w:t xml:space="preserve"> </w:t>
      </w:r>
      <w:r w:rsidR="007D778C" w:rsidRPr="006212FF">
        <w:rPr>
          <w:rFonts w:ascii="Book Antiqua" w:hAnsi="Book Antiqua"/>
          <w:sz w:val="24"/>
          <w:szCs w:val="24"/>
        </w:rPr>
        <w:t>found</w:t>
      </w:r>
      <w:r w:rsidR="006D7677" w:rsidRPr="006212FF">
        <w:rPr>
          <w:rFonts w:ascii="Book Antiqua" w:hAnsi="Book Antiqua"/>
          <w:sz w:val="24"/>
          <w:szCs w:val="24"/>
        </w:rPr>
        <w:t xml:space="preserve"> the improvement in renal fu</w:t>
      </w:r>
      <w:r w:rsidR="0089217E" w:rsidRPr="006212FF">
        <w:rPr>
          <w:rFonts w:ascii="Book Antiqua" w:hAnsi="Book Antiqua"/>
          <w:sz w:val="24"/>
          <w:szCs w:val="24"/>
        </w:rPr>
        <w:t xml:space="preserve">nction </w:t>
      </w:r>
      <w:r w:rsidR="007D778C" w:rsidRPr="006212FF">
        <w:rPr>
          <w:rFonts w:ascii="Book Antiqua" w:hAnsi="Book Antiqua"/>
          <w:sz w:val="24"/>
          <w:szCs w:val="24"/>
        </w:rPr>
        <w:t>to be</w:t>
      </w:r>
      <w:r w:rsidR="0089217E" w:rsidRPr="006212FF">
        <w:rPr>
          <w:rFonts w:ascii="Book Antiqua" w:hAnsi="Book Antiqua"/>
          <w:sz w:val="24"/>
          <w:szCs w:val="24"/>
        </w:rPr>
        <w:t xml:space="preserve"> </w:t>
      </w:r>
      <w:r w:rsidR="00964BD9" w:rsidRPr="006212FF">
        <w:rPr>
          <w:rFonts w:ascii="Book Antiqua" w:hAnsi="Book Antiqua"/>
          <w:sz w:val="24"/>
          <w:szCs w:val="24"/>
        </w:rPr>
        <w:t>greater</w:t>
      </w:r>
      <w:r w:rsidR="0089217E" w:rsidRPr="006212FF">
        <w:rPr>
          <w:rFonts w:ascii="Book Antiqua" w:hAnsi="Book Antiqua"/>
          <w:sz w:val="24"/>
          <w:szCs w:val="24"/>
        </w:rPr>
        <w:t xml:space="preserve"> </w:t>
      </w:r>
      <w:r w:rsidR="006D7677" w:rsidRPr="006212FF">
        <w:rPr>
          <w:rFonts w:ascii="Book Antiqua" w:hAnsi="Book Antiqua"/>
          <w:sz w:val="24"/>
          <w:szCs w:val="24"/>
        </w:rPr>
        <w:t xml:space="preserve">when conversion to EVR was within first year </w:t>
      </w:r>
      <w:r w:rsidR="007D778C" w:rsidRPr="006212FF">
        <w:rPr>
          <w:rFonts w:ascii="Book Antiqua" w:hAnsi="Book Antiqua"/>
          <w:sz w:val="24"/>
          <w:szCs w:val="24"/>
        </w:rPr>
        <w:t xml:space="preserve">post-LT </w:t>
      </w:r>
      <w:r w:rsidR="00964BD9" w:rsidRPr="006212FF">
        <w:rPr>
          <w:rFonts w:ascii="Book Antiqua" w:hAnsi="Book Antiqua"/>
          <w:sz w:val="24"/>
          <w:szCs w:val="24"/>
        </w:rPr>
        <w:t>(</w:t>
      </w:r>
      <w:proofErr w:type="spellStart"/>
      <w:r w:rsidR="00964BD9" w:rsidRPr="006212FF">
        <w:rPr>
          <w:rFonts w:ascii="Book Antiqua" w:hAnsi="Book Antiqua"/>
          <w:sz w:val="24"/>
          <w:szCs w:val="24"/>
        </w:rPr>
        <w:t>eGFR</w:t>
      </w:r>
      <w:proofErr w:type="spellEnd"/>
      <w:r w:rsidR="00964BD9" w:rsidRPr="006212FF">
        <w:rPr>
          <w:rFonts w:ascii="Book Antiqua" w:hAnsi="Book Antiqua"/>
          <w:sz w:val="24"/>
          <w:szCs w:val="24"/>
        </w:rPr>
        <w:t xml:space="preserve"> increased from 77.5 to 90.0 mL/min, </w:t>
      </w:r>
      <w:r w:rsidR="00964BD9" w:rsidRPr="00016F09">
        <w:rPr>
          <w:rFonts w:ascii="Book Antiqua" w:hAnsi="Book Antiqua"/>
          <w:i/>
          <w:sz w:val="24"/>
          <w:szCs w:val="24"/>
        </w:rPr>
        <w:t>P</w:t>
      </w:r>
      <w:r w:rsidR="00016F09">
        <w:rPr>
          <w:rFonts w:ascii="Book Antiqua" w:hAnsi="Book Antiqua" w:hint="eastAsia"/>
          <w:sz w:val="24"/>
          <w:szCs w:val="24"/>
        </w:rPr>
        <w:t xml:space="preserve"> </w:t>
      </w:r>
      <w:r w:rsidR="00964BD9" w:rsidRPr="006212FF">
        <w:rPr>
          <w:rFonts w:ascii="Book Antiqua" w:hAnsi="Book Antiqua"/>
          <w:sz w:val="24"/>
          <w:szCs w:val="24"/>
        </w:rPr>
        <w:t>=</w:t>
      </w:r>
      <w:r w:rsidR="00016F09">
        <w:rPr>
          <w:rFonts w:ascii="Book Antiqua" w:hAnsi="Book Antiqua" w:hint="eastAsia"/>
          <w:sz w:val="24"/>
          <w:szCs w:val="24"/>
        </w:rPr>
        <w:t xml:space="preserve"> </w:t>
      </w:r>
      <w:r w:rsidR="00964BD9" w:rsidRPr="006212FF">
        <w:rPr>
          <w:rFonts w:ascii="Book Antiqua" w:hAnsi="Book Antiqua"/>
          <w:sz w:val="24"/>
          <w:szCs w:val="24"/>
        </w:rPr>
        <w:t xml:space="preserve">0.04) </w:t>
      </w:r>
      <w:proofErr w:type="spellStart"/>
      <w:r w:rsidR="00016F09" w:rsidRPr="00016F09">
        <w:rPr>
          <w:rFonts w:ascii="Book Antiqua" w:eastAsia="Times New Roman" w:hAnsi="Book Antiqua" w:cs="Times New Roman"/>
          <w:bCs/>
          <w:i/>
          <w:color w:val="000000"/>
          <w:sz w:val="24"/>
          <w:szCs w:val="24"/>
        </w:rPr>
        <w:t>vs</w:t>
      </w:r>
      <w:proofErr w:type="spellEnd"/>
      <w:r w:rsidR="007D778C" w:rsidRPr="006212FF">
        <w:rPr>
          <w:rFonts w:ascii="Book Antiqua" w:hAnsi="Book Antiqua"/>
          <w:sz w:val="24"/>
          <w:szCs w:val="24"/>
        </w:rPr>
        <w:t xml:space="preserve"> those who were converted </w:t>
      </w:r>
      <w:r w:rsidR="00660658" w:rsidRPr="006212FF">
        <w:rPr>
          <w:rFonts w:ascii="Book Antiqua" w:hAnsi="Book Antiqua"/>
          <w:sz w:val="24"/>
          <w:szCs w:val="24"/>
        </w:rPr>
        <w:t>beyond</w:t>
      </w:r>
      <w:r w:rsidR="00433313" w:rsidRPr="006212FF">
        <w:rPr>
          <w:rFonts w:ascii="Book Antiqua" w:hAnsi="Book Antiqua"/>
          <w:sz w:val="24"/>
          <w:szCs w:val="24"/>
        </w:rPr>
        <w:t xml:space="preserve"> 1 year</w:t>
      </w:r>
      <w:r w:rsidR="007D778C" w:rsidRPr="006212FF">
        <w:rPr>
          <w:rFonts w:ascii="Book Antiqua" w:hAnsi="Book Antiqua"/>
          <w:sz w:val="24"/>
          <w:szCs w:val="24"/>
        </w:rPr>
        <w:t xml:space="preserve"> post-LT </w:t>
      </w:r>
      <w:r w:rsidR="00964BD9" w:rsidRPr="006212FF">
        <w:rPr>
          <w:rFonts w:ascii="Book Antiqua" w:hAnsi="Book Antiqua"/>
          <w:sz w:val="24"/>
          <w:szCs w:val="24"/>
        </w:rPr>
        <w:t>(</w:t>
      </w:r>
      <w:proofErr w:type="spellStart"/>
      <w:r w:rsidR="00964BD9" w:rsidRPr="006212FF">
        <w:rPr>
          <w:rFonts w:ascii="Book Antiqua" w:hAnsi="Book Antiqua"/>
          <w:sz w:val="24"/>
          <w:szCs w:val="24"/>
        </w:rPr>
        <w:t>eGFR</w:t>
      </w:r>
      <w:proofErr w:type="spellEnd"/>
      <w:r w:rsidR="00964BD9" w:rsidRPr="006212FF">
        <w:rPr>
          <w:rFonts w:ascii="Book Antiqua" w:hAnsi="Book Antiqua"/>
          <w:sz w:val="24"/>
          <w:szCs w:val="24"/>
        </w:rPr>
        <w:t xml:space="preserve"> increased from 59.1 to 64.6 mL/min, </w:t>
      </w:r>
      <w:r w:rsidR="00583D7D" w:rsidRPr="00583D7D">
        <w:rPr>
          <w:rFonts w:ascii="Book Antiqua" w:hAnsi="Book Antiqua"/>
          <w:i/>
          <w:sz w:val="24"/>
          <w:szCs w:val="24"/>
        </w:rPr>
        <w:t>P</w:t>
      </w:r>
      <w:r w:rsidR="00583D7D">
        <w:rPr>
          <w:rFonts w:ascii="Book Antiqua" w:hAnsi="Book Antiqua" w:hint="eastAsia"/>
          <w:sz w:val="24"/>
          <w:szCs w:val="24"/>
        </w:rPr>
        <w:t xml:space="preserve"> </w:t>
      </w:r>
      <w:r w:rsidR="00964BD9" w:rsidRPr="006212FF">
        <w:rPr>
          <w:rFonts w:ascii="Book Antiqua" w:hAnsi="Book Antiqua"/>
          <w:sz w:val="24"/>
          <w:szCs w:val="24"/>
        </w:rPr>
        <w:t>=</w:t>
      </w:r>
      <w:r w:rsidR="00583D7D">
        <w:rPr>
          <w:rFonts w:ascii="Book Antiqua" w:hAnsi="Book Antiqua" w:hint="eastAsia"/>
          <w:sz w:val="24"/>
          <w:szCs w:val="24"/>
        </w:rPr>
        <w:t xml:space="preserve"> </w:t>
      </w:r>
      <w:r w:rsidR="00964BD9" w:rsidRPr="006212FF">
        <w:rPr>
          <w:rFonts w:ascii="Book Antiqua" w:hAnsi="Book Antiqua"/>
          <w:sz w:val="24"/>
          <w:szCs w:val="24"/>
        </w:rPr>
        <w:t>0.01)</w:t>
      </w:r>
      <w:r w:rsidR="009D15E1" w:rsidRPr="006212FF">
        <w:rPr>
          <w:rFonts w:ascii="Book Antiqua" w:hAnsi="Book Antiqua"/>
          <w:sz w:val="24"/>
          <w:szCs w:val="24"/>
          <w:vertAlign w:val="superscript"/>
        </w:rPr>
        <w:t>[26]</w:t>
      </w:r>
      <w:r w:rsidR="00B129A8" w:rsidRPr="006212FF">
        <w:rPr>
          <w:rFonts w:ascii="Book Antiqua" w:hAnsi="Book Antiqua"/>
          <w:sz w:val="24"/>
          <w:szCs w:val="24"/>
        </w:rPr>
        <w:t>.</w:t>
      </w:r>
      <w:r w:rsidR="00CF79F5" w:rsidRPr="006212FF">
        <w:rPr>
          <w:rFonts w:ascii="Book Antiqua" w:hAnsi="Book Antiqua"/>
          <w:sz w:val="24"/>
          <w:szCs w:val="24"/>
        </w:rPr>
        <w:t xml:space="preserve"> The findings </w:t>
      </w:r>
      <w:proofErr w:type="spellStart"/>
      <w:r w:rsidR="00CF79F5" w:rsidRPr="006212FF">
        <w:rPr>
          <w:rFonts w:ascii="Book Antiqua" w:hAnsi="Book Antiqua"/>
          <w:sz w:val="24"/>
          <w:szCs w:val="24"/>
        </w:rPr>
        <w:t>Castroagud</w:t>
      </w:r>
      <w:r w:rsidR="00F076B7" w:rsidRPr="006212FF">
        <w:rPr>
          <w:rFonts w:ascii="Book Antiqua" w:hAnsi="Book Antiqua"/>
          <w:sz w:val="24"/>
          <w:szCs w:val="24"/>
        </w:rPr>
        <w:t>in</w:t>
      </w:r>
      <w:proofErr w:type="spellEnd"/>
      <w:r w:rsidR="00506DAC" w:rsidRPr="006212FF">
        <w:rPr>
          <w:rFonts w:ascii="Book Antiqua" w:hAnsi="Book Antiqua"/>
          <w:sz w:val="24"/>
          <w:szCs w:val="24"/>
        </w:rPr>
        <w:t xml:space="preserve"> </w:t>
      </w:r>
      <w:r w:rsidR="00CF79F5" w:rsidRPr="00583D7D">
        <w:rPr>
          <w:rFonts w:ascii="Book Antiqua" w:hAnsi="Book Antiqua"/>
          <w:i/>
          <w:sz w:val="24"/>
          <w:szCs w:val="24"/>
        </w:rPr>
        <w:t xml:space="preserve">et </w:t>
      </w:r>
      <w:proofErr w:type="gramStart"/>
      <w:r w:rsidR="00CF79F5" w:rsidRPr="00583D7D">
        <w:rPr>
          <w:rFonts w:ascii="Book Antiqua" w:hAnsi="Book Antiqua"/>
          <w:i/>
          <w:sz w:val="24"/>
          <w:szCs w:val="24"/>
        </w:rPr>
        <w:t>al</w:t>
      </w:r>
      <w:r w:rsidR="00583D7D" w:rsidRPr="006212FF">
        <w:rPr>
          <w:rFonts w:ascii="Book Antiqua" w:hAnsi="Book Antiqua"/>
          <w:sz w:val="24"/>
          <w:szCs w:val="24"/>
          <w:vertAlign w:val="superscript"/>
        </w:rPr>
        <w:t>[</w:t>
      </w:r>
      <w:proofErr w:type="gramEnd"/>
      <w:r w:rsidR="00583D7D" w:rsidRPr="006212FF">
        <w:rPr>
          <w:rFonts w:ascii="Book Antiqua" w:hAnsi="Book Antiqua"/>
          <w:sz w:val="24"/>
          <w:szCs w:val="24"/>
          <w:vertAlign w:val="superscript"/>
        </w:rPr>
        <w:t>25]</w:t>
      </w:r>
      <w:r w:rsidR="00CF79F5" w:rsidRPr="006212FF">
        <w:rPr>
          <w:rFonts w:ascii="Book Antiqua" w:hAnsi="Book Antiqua"/>
          <w:sz w:val="24"/>
          <w:szCs w:val="24"/>
        </w:rPr>
        <w:t xml:space="preserve"> reported </w:t>
      </w:r>
      <w:r w:rsidR="0052129B" w:rsidRPr="006212FF">
        <w:rPr>
          <w:rFonts w:ascii="Book Antiqua" w:hAnsi="Book Antiqua"/>
          <w:sz w:val="24"/>
          <w:szCs w:val="24"/>
        </w:rPr>
        <w:t xml:space="preserve">in a retrospective study </w:t>
      </w:r>
      <w:r w:rsidR="00CF79F5" w:rsidRPr="006212FF">
        <w:rPr>
          <w:rFonts w:ascii="Book Antiqua" w:hAnsi="Book Antiqua"/>
          <w:sz w:val="24"/>
          <w:szCs w:val="24"/>
        </w:rPr>
        <w:t xml:space="preserve">echoed </w:t>
      </w:r>
      <w:r w:rsidR="00CF79F5" w:rsidRPr="006212FF">
        <w:rPr>
          <w:rFonts w:ascii="Book Antiqua" w:hAnsi="Book Antiqua"/>
          <w:sz w:val="24"/>
          <w:szCs w:val="24"/>
        </w:rPr>
        <w:lastRenderedPageBreak/>
        <w:t xml:space="preserve">the less remarkable renal improvement </w:t>
      </w:r>
      <w:r w:rsidR="00631858" w:rsidRPr="006212FF">
        <w:rPr>
          <w:rFonts w:ascii="Book Antiqua" w:hAnsi="Book Antiqua"/>
          <w:sz w:val="24"/>
          <w:szCs w:val="24"/>
        </w:rPr>
        <w:t>(</w:t>
      </w:r>
      <w:proofErr w:type="spellStart"/>
      <w:r w:rsidR="00631858" w:rsidRPr="006212FF">
        <w:rPr>
          <w:rFonts w:ascii="Book Antiqua" w:hAnsi="Book Antiqua"/>
          <w:sz w:val="24"/>
          <w:szCs w:val="24"/>
        </w:rPr>
        <w:t>eGFR</w:t>
      </w:r>
      <w:proofErr w:type="spellEnd"/>
      <w:r w:rsidR="009D5769" w:rsidRPr="006212FF">
        <w:rPr>
          <w:rFonts w:ascii="Book Antiqua" w:hAnsi="Book Antiqua"/>
          <w:sz w:val="24"/>
          <w:szCs w:val="24"/>
        </w:rPr>
        <w:t xml:space="preserve"> improved by </w:t>
      </w:r>
      <w:r w:rsidR="00631858" w:rsidRPr="006212FF">
        <w:rPr>
          <w:rFonts w:ascii="Book Antiqua" w:hAnsi="Book Antiqua"/>
          <w:sz w:val="24"/>
          <w:szCs w:val="24"/>
        </w:rPr>
        <w:t>7.7</w:t>
      </w:r>
      <w:r w:rsidR="00583D7D">
        <w:rPr>
          <w:rFonts w:ascii="Book Antiqua" w:hAnsi="Book Antiqua" w:hint="eastAsia"/>
          <w:sz w:val="24"/>
          <w:szCs w:val="24"/>
        </w:rPr>
        <w:t xml:space="preserve"> </w:t>
      </w:r>
      <w:r w:rsidR="00631858" w:rsidRPr="006212FF">
        <w:rPr>
          <w:rFonts w:ascii="Book Antiqua" w:hAnsi="Book Antiqua"/>
          <w:sz w:val="24"/>
          <w:szCs w:val="24"/>
        </w:rPr>
        <w:t>m</w:t>
      </w:r>
      <w:r w:rsidR="00583D7D" w:rsidRPr="006212FF">
        <w:rPr>
          <w:rFonts w:ascii="Book Antiqua" w:hAnsi="Book Antiqua"/>
          <w:sz w:val="24"/>
          <w:szCs w:val="24"/>
        </w:rPr>
        <w:t>L</w:t>
      </w:r>
      <w:r w:rsidR="00631858" w:rsidRPr="006212FF">
        <w:rPr>
          <w:rFonts w:ascii="Book Antiqua" w:hAnsi="Book Antiqua"/>
          <w:sz w:val="24"/>
          <w:szCs w:val="24"/>
        </w:rPr>
        <w:t xml:space="preserve">/min at month 12) </w:t>
      </w:r>
      <w:r w:rsidR="00CF79F5" w:rsidRPr="006212FF">
        <w:rPr>
          <w:rFonts w:ascii="Book Antiqua" w:hAnsi="Book Antiqua"/>
          <w:sz w:val="24"/>
          <w:szCs w:val="24"/>
        </w:rPr>
        <w:t>when conversion</w:t>
      </w:r>
      <w:r w:rsidR="007956DB" w:rsidRPr="006212FF">
        <w:rPr>
          <w:rFonts w:ascii="Book Antiqua" w:hAnsi="Book Antiqua"/>
          <w:sz w:val="24"/>
          <w:szCs w:val="24"/>
        </w:rPr>
        <w:t xml:space="preserve"> </w:t>
      </w:r>
      <w:r w:rsidR="00CF79F5" w:rsidRPr="006212FF">
        <w:rPr>
          <w:rFonts w:ascii="Book Antiqua" w:hAnsi="Book Antiqua"/>
          <w:sz w:val="24"/>
          <w:szCs w:val="24"/>
        </w:rPr>
        <w:t xml:space="preserve">to EVR </w:t>
      </w:r>
      <w:r w:rsidR="00964BD9" w:rsidRPr="006212FF">
        <w:rPr>
          <w:rFonts w:ascii="Book Antiqua" w:hAnsi="Book Antiqua"/>
          <w:sz w:val="24"/>
          <w:szCs w:val="24"/>
        </w:rPr>
        <w:t>occurred</w:t>
      </w:r>
      <w:r w:rsidR="0052129B" w:rsidRPr="006212FF">
        <w:rPr>
          <w:rFonts w:ascii="Book Antiqua" w:hAnsi="Book Antiqua"/>
          <w:sz w:val="24"/>
          <w:szCs w:val="24"/>
        </w:rPr>
        <w:t xml:space="preserve"> </w:t>
      </w:r>
      <w:r w:rsidR="0001648A" w:rsidRPr="006212FF">
        <w:rPr>
          <w:rFonts w:ascii="Book Antiqua" w:hAnsi="Book Antiqua"/>
          <w:sz w:val="24"/>
          <w:szCs w:val="24"/>
        </w:rPr>
        <w:t xml:space="preserve">at </w:t>
      </w:r>
      <w:r w:rsidR="0052129B" w:rsidRPr="006212FF">
        <w:rPr>
          <w:rFonts w:ascii="Book Antiqua" w:hAnsi="Book Antiqua"/>
          <w:sz w:val="24"/>
          <w:szCs w:val="24"/>
        </w:rPr>
        <w:t xml:space="preserve">5.2 </w:t>
      </w:r>
      <w:r w:rsidR="007956DB" w:rsidRPr="006212FF">
        <w:rPr>
          <w:rFonts w:ascii="Book Antiqua" w:hAnsi="Book Antiqua"/>
          <w:sz w:val="24"/>
          <w:szCs w:val="24"/>
        </w:rPr>
        <w:t xml:space="preserve">± 3.1 </w:t>
      </w:r>
      <w:r w:rsidR="0052129B" w:rsidRPr="006212FF">
        <w:rPr>
          <w:rFonts w:ascii="Book Antiqua" w:hAnsi="Book Antiqua"/>
          <w:sz w:val="24"/>
          <w:szCs w:val="24"/>
        </w:rPr>
        <w:t xml:space="preserve">years from transplant. </w:t>
      </w:r>
    </w:p>
    <w:p w14:paraId="180EDABA" w14:textId="52FBA675" w:rsidR="00292324" w:rsidRPr="006212FF" w:rsidRDefault="005B1CF3" w:rsidP="00583D7D">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Thus, t</w:t>
      </w:r>
      <w:r w:rsidR="00CE3C3A" w:rsidRPr="006212FF">
        <w:rPr>
          <w:rFonts w:ascii="Book Antiqua" w:hAnsi="Book Antiqua"/>
          <w:sz w:val="24"/>
          <w:szCs w:val="24"/>
        </w:rPr>
        <w:t xml:space="preserve">he </w:t>
      </w:r>
      <w:r w:rsidR="004B0DA8" w:rsidRPr="006212FF">
        <w:rPr>
          <w:rFonts w:ascii="Book Antiqua" w:hAnsi="Book Antiqua"/>
          <w:sz w:val="24"/>
          <w:szCs w:val="24"/>
        </w:rPr>
        <w:t>best</w:t>
      </w:r>
      <w:r w:rsidR="00CE3C3A" w:rsidRPr="006212FF">
        <w:rPr>
          <w:rFonts w:ascii="Book Antiqua" w:hAnsi="Book Antiqua"/>
          <w:sz w:val="24"/>
          <w:szCs w:val="24"/>
        </w:rPr>
        <w:t xml:space="preserve"> time point for conversion to EVR for opti</w:t>
      </w:r>
      <w:r w:rsidR="00082D84" w:rsidRPr="006212FF">
        <w:rPr>
          <w:rFonts w:ascii="Book Antiqua" w:hAnsi="Book Antiqua"/>
          <w:sz w:val="24"/>
          <w:szCs w:val="24"/>
        </w:rPr>
        <w:t xml:space="preserve">mal </w:t>
      </w:r>
      <w:proofErr w:type="spellStart"/>
      <w:r w:rsidR="00082D84" w:rsidRPr="006212FF">
        <w:rPr>
          <w:rFonts w:ascii="Book Antiqua" w:hAnsi="Book Antiqua"/>
          <w:sz w:val="24"/>
          <w:szCs w:val="24"/>
        </w:rPr>
        <w:t>renoprotective</w:t>
      </w:r>
      <w:proofErr w:type="spellEnd"/>
      <w:r w:rsidR="00082D84" w:rsidRPr="006212FF">
        <w:rPr>
          <w:rFonts w:ascii="Book Antiqua" w:hAnsi="Book Antiqua"/>
          <w:sz w:val="24"/>
          <w:szCs w:val="24"/>
        </w:rPr>
        <w:t xml:space="preserve"> effect is still unclear and </w:t>
      </w:r>
      <w:r w:rsidR="00CE3C3A" w:rsidRPr="006212FF">
        <w:rPr>
          <w:rFonts w:ascii="Book Antiqua" w:hAnsi="Book Antiqua"/>
          <w:sz w:val="24"/>
          <w:szCs w:val="24"/>
        </w:rPr>
        <w:t>further studies</w:t>
      </w:r>
      <w:r w:rsidR="00082D84" w:rsidRPr="006212FF">
        <w:rPr>
          <w:rFonts w:ascii="Book Antiqua" w:hAnsi="Book Antiqua"/>
          <w:sz w:val="24"/>
          <w:szCs w:val="24"/>
        </w:rPr>
        <w:t xml:space="preserve"> are warranted</w:t>
      </w:r>
      <w:r w:rsidR="00CE3C3A" w:rsidRPr="006212FF">
        <w:rPr>
          <w:rFonts w:ascii="Book Antiqua" w:hAnsi="Book Antiqua"/>
          <w:sz w:val="24"/>
          <w:szCs w:val="24"/>
        </w:rPr>
        <w:t xml:space="preserve">. </w:t>
      </w:r>
      <w:r w:rsidRPr="006212FF">
        <w:rPr>
          <w:rFonts w:ascii="Book Antiqua" w:hAnsi="Book Antiqua"/>
          <w:sz w:val="24"/>
          <w:szCs w:val="24"/>
        </w:rPr>
        <w:t xml:space="preserve">Although it would appear, from current available data, that earlier conversion (within 12 </w:t>
      </w:r>
      <w:proofErr w:type="spellStart"/>
      <w:r w:rsidRPr="006212FF">
        <w:rPr>
          <w:rFonts w:ascii="Book Antiqua" w:hAnsi="Book Antiqua"/>
          <w:sz w:val="24"/>
          <w:szCs w:val="24"/>
        </w:rPr>
        <w:t>mo</w:t>
      </w:r>
      <w:proofErr w:type="spellEnd"/>
      <w:r w:rsidRPr="006212FF">
        <w:rPr>
          <w:rFonts w:ascii="Book Antiqua" w:hAnsi="Book Antiqua"/>
          <w:sz w:val="24"/>
          <w:szCs w:val="24"/>
        </w:rPr>
        <w:t xml:space="preserve"> post-LT) is better than late conversion (beyond 3 years post-LT); and that renal protective effects are more prominent with mild renal impairment (</w:t>
      </w:r>
      <w:proofErr w:type="spellStart"/>
      <w:r w:rsidRPr="006212FF">
        <w:rPr>
          <w:rFonts w:ascii="Book Antiqua" w:hAnsi="Book Antiqua"/>
          <w:sz w:val="24"/>
          <w:szCs w:val="24"/>
        </w:rPr>
        <w:t>eGFR</w:t>
      </w:r>
      <w:proofErr w:type="spellEnd"/>
      <w:r w:rsidRPr="006212FF">
        <w:rPr>
          <w:rFonts w:ascii="Book Antiqua" w:hAnsi="Book Antiqua"/>
          <w:sz w:val="24"/>
          <w:szCs w:val="24"/>
        </w:rPr>
        <w:t xml:space="preserve"> &gt;</w:t>
      </w:r>
      <w:r w:rsidR="00583D7D">
        <w:rPr>
          <w:rFonts w:ascii="Book Antiqua" w:hAnsi="Book Antiqua" w:hint="eastAsia"/>
          <w:sz w:val="24"/>
          <w:szCs w:val="24"/>
        </w:rPr>
        <w:t xml:space="preserve"> </w:t>
      </w:r>
      <w:r w:rsidRPr="006212FF">
        <w:rPr>
          <w:rFonts w:ascii="Book Antiqua" w:hAnsi="Book Antiqua"/>
          <w:sz w:val="24"/>
          <w:szCs w:val="24"/>
        </w:rPr>
        <w:t>60 mL/min) rather than with moderate-severe renal impairment (</w:t>
      </w:r>
      <w:proofErr w:type="spellStart"/>
      <w:r w:rsidRPr="006212FF">
        <w:rPr>
          <w:rFonts w:ascii="Book Antiqua" w:hAnsi="Book Antiqua"/>
          <w:sz w:val="24"/>
          <w:szCs w:val="24"/>
        </w:rPr>
        <w:t>eGFR</w:t>
      </w:r>
      <w:proofErr w:type="spellEnd"/>
      <w:r w:rsidRPr="006212FF">
        <w:rPr>
          <w:rFonts w:ascii="Book Antiqua" w:hAnsi="Book Antiqua"/>
          <w:sz w:val="24"/>
          <w:szCs w:val="24"/>
        </w:rPr>
        <w:t xml:space="preserve"> &lt; 55 mL/min).</w:t>
      </w:r>
    </w:p>
    <w:p w14:paraId="0CE9C8F2" w14:textId="77777777" w:rsidR="00921796" w:rsidRPr="006212FF" w:rsidRDefault="00921796" w:rsidP="006212FF">
      <w:pPr>
        <w:spacing w:after="0" w:line="360" w:lineRule="auto"/>
        <w:jc w:val="both"/>
        <w:rPr>
          <w:rFonts w:ascii="Book Antiqua" w:hAnsi="Book Antiqua"/>
          <w:sz w:val="24"/>
          <w:szCs w:val="24"/>
        </w:rPr>
      </w:pPr>
    </w:p>
    <w:p w14:paraId="7FCEA84D" w14:textId="77777777" w:rsidR="00C902EA" w:rsidRPr="00583D7D" w:rsidRDefault="008A4E40" w:rsidP="00583D7D">
      <w:pPr>
        <w:pStyle w:val="ListParagraph"/>
        <w:spacing w:after="0" w:line="360" w:lineRule="auto"/>
        <w:ind w:left="0"/>
        <w:jc w:val="both"/>
        <w:rPr>
          <w:rFonts w:ascii="Book Antiqua" w:hAnsi="Book Antiqua"/>
          <w:b/>
          <w:i/>
          <w:sz w:val="24"/>
          <w:szCs w:val="24"/>
        </w:rPr>
      </w:pPr>
      <w:r w:rsidRPr="00583D7D">
        <w:rPr>
          <w:rFonts w:ascii="Book Antiqua" w:hAnsi="Book Antiqua"/>
          <w:b/>
          <w:i/>
          <w:sz w:val="24"/>
          <w:szCs w:val="24"/>
        </w:rPr>
        <w:t>Alternative for CNI-induced n</w:t>
      </w:r>
      <w:r w:rsidR="004A3410" w:rsidRPr="00583D7D">
        <w:rPr>
          <w:rFonts w:ascii="Book Antiqua" w:hAnsi="Book Antiqua"/>
          <w:b/>
          <w:i/>
          <w:sz w:val="24"/>
          <w:szCs w:val="24"/>
        </w:rPr>
        <w:t>eurotoxicity</w:t>
      </w:r>
    </w:p>
    <w:p w14:paraId="2646953F" w14:textId="4BF68174" w:rsidR="00EB328F" w:rsidRPr="006212FF" w:rsidRDefault="00052634" w:rsidP="006212FF">
      <w:pPr>
        <w:spacing w:after="0" w:line="360" w:lineRule="auto"/>
        <w:jc w:val="both"/>
        <w:rPr>
          <w:rFonts w:ascii="Book Antiqua" w:hAnsi="Book Antiqua" w:cstheme="minorHAnsi"/>
          <w:sz w:val="24"/>
          <w:szCs w:val="24"/>
        </w:rPr>
      </w:pPr>
      <w:r w:rsidRPr="006212FF">
        <w:rPr>
          <w:rFonts w:ascii="Book Antiqua" w:hAnsi="Book Antiqua" w:cstheme="minorHAnsi"/>
          <w:sz w:val="24"/>
          <w:szCs w:val="24"/>
        </w:rPr>
        <w:t>Bilbao</w:t>
      </w:r>
      <w:r w:rsidR="002E3B82" w:rsidRPr="006212FF">
        <w:rPr>
          <w:rFonts w:ascii="Book Antiqua" w:hAnsi="Book Antiqua" w:cstheme="minorHAnsi"/>
          <w:sz w:val="24"/>
          <w:szCs w:val="24"/>
        </w:rPr>
        <w:t xml:space="preserve"> </w:t>
      </w:r>
      <w:r w:rsidR="002E3B82" w:rsidRPr="00415EF2">
        <w:rPr>
          <w:rFonts w:ascii="Book Antiqua" w:hAnsi="Book Antiqua" w:cstheme="minorHAnsi"/>
          <w:i/>
          <w:sz w:val="24"/>
          <w:szCs w:val="24"/>
        </w:rPr>
        <w:t>et al</w:t>
      </w:r>
      <w:r w:rsidR="00415EF2" w:rsidRPr="006212FF">
        <w:rPr>
          <w:rFonts w:ascii="Book Antiqua" w:hAnsi="Book Antiqua" w:cstheme="minorHAnsi"/>
          <w:sz w:val="24"/>
          <w:szCs w:val="24"/>
          <w:vertAlign w:val="superscript"/>
        </w:rPr>
        <w:t>[32]</w:t>
      </w:r>
      <w:r w:rsidR="002E3B82" w:rsidRPr="006212FF">
        <w:rPr>
          <w:rFonts w:ascii="Book Antiqua" w:hAnsi="Book Antiqua" w:cstheme="minorHAnsi"/>
          <w:sz w:val="24"/>
          <w:szCs w:val="24"/>
        </w:rPr>
        <w:t xml:space="preserve"> reported a retrospective analysis on </w:t>
      </w:r>
      <w:r w:rsidR="005B1CF3" w:rsidRPr="006212FF">
        <w:rPr>
          <w:rFonts w:ascii="Book Antiqua" w:hAnsi="Book Antiqua" w:cstheme="minorHAnsi"/>
          <w:sz w:val="24"/>
          <w:szCs w:val="24"/>
        </w:rPr>
        <w:t xml:space="preserve">the </w:t>
      </w:r>
      <w:r w:rsidR="002E3B82" w:rsidRPr="006212FF">
        <w:rPr>
          <w:rFonts w:ascii="Book Antiqua" w:hAnsi="Book Antiqua" w:cstheme="minorHAnsi"/>
          <w:sz w:val="24"/>
          <w:szCs w:val="24"/>
        </w:rPr>
        <w:t xml:space="preserve">use of EVR in </w:t>
      </w:r>
      <w:r w:rsidR="005B1CF3" w:rsidRPr="006212FF">
        <w:rPr>
          <w:rFonts w:ascii="Book Antiqua" w:hAnsi="Book Antiqua" w:cstheme="minorHAnsi"/>
          <w:sz w:val="24"/>
          <w:szCs w:val="24"/>
        </w:rPr>
        <w:t xml:space="preserve">10 </w:t>
      </w:r>
      <w:r w:rsidR="002E3B82" w:rsidRPr="006212FF">
        <w:rPr>
          <w:rFonts w:ascii="Book Antiqua" w:hAnsi="Book Antiqua" w:cstheme="minorHAnsi"/>
          <w:sz w:val="24"/>
          <w:szCs w:val="24"/>
        </w:rPr>
        <w:t xml:space="preserve">patients who experienced </w:t>
      </w:r>
      <w:r w:rsidR="00EB328F" w:rsidRPr="006212FF">
        <w:rPr>
          <w:rFonts w:ascii="Book Antiqua" w:hAnsi="Book Antiqua" w:cstheme="minorHAnsi"/>
          <w:sz w:val="24"/>
          <w:szCs w:val="24"/>
        </w:rPr>
        <w:t>FK</w:t>
      </w:r>
      <w:r w:rsidR="005B1CF3" w:rsidRPr="006212FF">
        <w:rPr>
          <w:rFonts w:ascii="Book Antiqua" w:hAnsi="Book Antiqua" w:cstheme="minorHAnsi"/>
          <w:sz w:val="24"/>
          <w:szCs w:val="24"/>
        </w:rPr>
        <w:t>-</w:t>
      </w:r>
      <w:r w:rsidR="002E3B82" w:rsidRPr="006212FF">
        <w:rPr>
          <w:rFonts w:ascii="Book Antiqua" w:hAnsi="Book Antiqua" w:cstheme="minorHAnsi"/>
          <w:sz w:val="24"/>
          <w:szCs w:val="24"/>
        </w:rPr>
        <w:t xml:space="preserve">neurotoxicity </w:t>
      </w:r>
      <w:r w:rsidR="005B1CF3" w:rsidRPr="006212FF">
        <w:rPr>
          <w:rFonts w:ascii="Book Antiqua" w:hAnsi="Book Antiqua" w:cstheme="minorHAnsi"/>
          <w:sz w:val="24"/>
          <w:szCs w:val="24"/>
        </w:rPr>
        <w:t xml:space="preserve">requiring the discontinuation of </w:t>
      </w:r>
      <w:r w:rsidR="00EB328F" w:rsidRPr="006212FF">
        <w:rPr>
          <w:rFonts w:ascii="Book Antiqua" w:hAnsi="Book Antiqua" w:cstheme="minorHAnsi"/>
          <w:sz w:val="24"/>
          <w:szCs w:val="24"/>
        </w:rPr>
        <w:t>FK</w:t>
      </w:r>
      <w:r w:rsidR="005B1CF3" w:rsidRPr="006212FF">
        <w:rPr>
          <w:rFonts w:ascii="Book Antiqua" w:hAnsi="Book Antiqua" w:cstheme="minorHAnsi"/>
          <w:sz w:val="24"/>
          <w:szCs w:val="24"/>
        </w:rPr>
        <w:t xml:space="preserve"> in the first 3 </w:t>
      </w:r>
      <w:proofErr w:type="spellStart"/>
      <w:r w:rsidR="005B1CF3" w:rsidRPr="006212FF">
        <w:rPr>
          <w:rFonts w:ascii="Book Antiqua" w:hAnsi="Book Antiqua" w:cstheme="minorHAnsi"/>
          <w:sz w:val="24"/>
          <w:szCs w:val="24"/>
        </w:rPr>
        <w:t>mo</w:t>
      </w:r>
      <w:proofErr w:type="spellEnd"/>
      <w:r w:rsidR="005B1CF3" w:rsidRPr="006212FF">
        <w:rPr>
          <w:rFonts w:ascii="Book Antiqua" w:hAnsi="Book Antiqua" w:cstheme="minorHAnsi"/>
          <w:sz w:val="24"/>
          <w:szCs w:val="24"/>
        </w:rPr>
        <w:t xml:space="preserve"> post-LT</w:t>
      </w:r>
      <w:r w:rsidR="002E3B82" w:rsidRPr="006212FF">
        <w:rPr>
          <w:rFonts w:ascii="Book Antiqua" w:hAnsi="Book Antiqua" w:cstheme="minorHAnsi"/>
          <w:sz w:val="24"/>
          <w:szCs w:val="24"/>
        </w:rPr>
        <w:t xml:space="preserve">. </w:t>
      </w:r>
      <w:r w:rsidR="00EB328F" w:rsidRPr="006212FF">
        <w:rPr>
          <w:rFonts w:ascii="Book Antiqua" w:hAnsi="Book Antiqua" w:cstheme="minorHAnsi"/>
          <w:sz w:val="24"/>
          <w:szCs w:val="24"/>
        </w:rPr>
        <w:t xml:space="preserve">Seven of the patients were converted to </w:t>
      </w:r>
      <w:proofErr w:type="spellStart"/>
      <w:r w:rsidR="00EB328F" w:rsidRPr="006212FF">
        <w:rPr>
          <w:rFonts w:ascii="Book Antiqua" w:hAnsi="Book Antiqua" w:cstheme="minorHAnsi"/>
          <w:sz w:val="24"/>
          <w:szCs w:val="24"/>
        </w:rPr>
        <w:t>everolimus</w:t>
      </w:r>
      <w:proofErr w:type="spellEnd"/>
      <w:r w:rsidR="00EB328F" w:rsidRPr="006212FF">
        <w:rPr>
          <w:rFonts w:ascii="Book Antiqua" w:hAnsi="Book Antiqua" w:cstheme="minorHAnsi"/>
          <w:sz w:val="24"/>
          <w:szCs w:val="24"/>
        </w:rPr>
        <w:t xml:space="preserve"> in the first month post-LT and the remaining 3 were converted in the second or third month. </w:t>
      </w:r>
    </w:p>
    <w:p w14:paraId="361BA19C" w14:textId="587159E6" w:rsidR="00052634" w:rsidRPr="006212FF" w:rsidRDefault="00072D51" w:rsidP="00D30BDA">
      <w:pPr>
        <w:spacing w:after="0" w:line="360" w:lineRule="auto"/>
        <w:ind w:firstLineChars="100" w:firstLine="240"/>
        <w:jc w:val="both"/>
        <w:rPr>
          <w:rFonts w:ascii="Book Antiqua" w:hAnsi="Book Antiqua" w:cstheme="minorHAnsi"/>
          <w:sz w:val="24"/>
          <w:szCs w:val="24"/>
        </w:rPr>
      </w:pPr>
      <w:r w:rsidRPr="006212FF">
        <w:rPr>
          <w:rFonts w:ascii="Book Antiqua" w:hAnsi="Book Antiqua" w:cstheme="minorHAnsi"/>
          <w:sz w:val="24"/>
          <w:szCs w:val="24"/>
        </w:rPr>
        <w:t>However, w</w:t>
      </w:r>
      <w:r w:rsidR="0090181F" w:rsidRPr="006212FF">
        <w:rPr>
          <w:rFonts w:ascii="Book Antiqua" w:hAnsi="Book Antiqua" w:cstheme="minorHAnsi"/>
          <w:sz w:val="24"/>
          <w:szCs w:val="24"/>
        </w:rPr>
        <w:t xml:space="preserve">ithin </w:t>
      </w:r>
      <w:r w:rsidR="00A80AC5" w:rsidRPr="006212FF">
        <w:rPr>
          <w:rFonts w:ascii="Book Antiqua" w:hAnsi="Book Antiqua" w:cstheme="minorHAnsi"/>
          <w:sz w:val="24"/>
          <w:szCs w:val="24"/>
        </w:rPr>
        <w:t>80 d</w:t>
      </w:r>
      <w:r w:rsidR="0090181F" w:rsidRPr="006212FF">
        <w:rPr>
          <w:rFonts w:ascii="Book Antiqua" w:hAnsi="Book Antiqua" w:cstheme="minorHAnsi"/>
          <w:sz w:val="24"/>
          <w:szCs w:val="24"/>
        </w:rPr>
        <w:t xml:space="preserve"> post conversion, </w:t>
      </w:r>
      <w:r w:rsidRPr="006212FF">
        <w:rPr>
          <w:rFonts w:ascii="Book Antiqua" w:hAnsi="Book Antiqua" w:cstheme="minorHAnsi"/>
          <w:sz w:val="24"/>
          <w:szCs w:val="24"/>
        </w:rPr>
        <w:t xml:space="preserve">graft </w:t>
      </w:r>
      <w:r w:rsidR="0090181F" w:rsidRPr="006212FF">
        <w:rPr>
          <w:rFonts w:ascii="Book Antiqua" w:hAnsi="Book Antiqua" w:cstheme="minorHAnsi"/>
          <w:sz w:val="24"/>
          <w:szCs w:val="24"/>
        </w:rPr>
        <w:t xml:space="preserve">rejection occurred in 4 </w:t>
      </w:r>
      <w:r w:rsidR="00C85F50" w:rsidRPr="006212FF">
        <w:rPr>
          <w:rFonts w:ascii="Book Antiqua" w:hAnsi="Book Antiqua" w:cstheme="minorHAnsi"/>
          <w:sz w:val="24"/>
          <w:szCs w:val="24"/>
        </w:rPr>
        <w:t xml:space="preserve">of the 10 </w:t>
      </w:r>
      <w:r w:rsidR="0090181F" w:rsidRPr="006212FF">
        <w:rPr>
          <w:rFonts w:ascii="Book Antiqua" w:hAnsi="Book Antiqua" w:cstheme="minorHAnsi"/>
          <w:sz w:val="24"/>
          <w:szCs w:val="24"/>
        </w:rPr>
        <w:t>patients</w:t>
      </w:r>
      <w:r w:rsidRPr="006212FF">
        <w:rPr>
          <w:rFonts w:ascii="Book Antiqua" w:hAnsi="Book Antiqua" w:cstheme="minorHAnsi"/>
          <w:sz w:val="24"/>
          <w:szCs w:val="24"/>
        </w:rPr>
        <w:t>,</w:t>
      </w:r>
      <w:r w:rsidR="00EB328F" w:rsidRPr="006212FF">
        <w:rPr>
          <w:rFonts w:ascii="Book Antiqua" w:hAnsi="Book Antiqua" w:cstheme="minorHAnsi"/>
          <w:sz w:val="24"/>
          <w:szCs w:val="24"/>
        </w:rPr>
        <w:t xml:space="preserve"> all of whom were on triple immunosuppression (</w:t>
      </w:r>
      <w:r w:rsidR="00EB328F" w:rsidRPr="00D30BDA">
        <w:rPr>
          <w:rFonts w:ascii="Book Antiqua" w:hAnsi="Book Antiqua" w:cstheme="minorHAnsi"/>
          <w:i/>
          <w:sz w:val="24"/>
          <w:szCs w:val="24"/>
        </w:rPr>
        <w:t>i</w:t>
      </w:r>
      <w:r w:rsidR="00D30BDA" w:rsidRPr="00D30BDA">
        <w:rPr>
          <w:rFonts w:ascii="Book Antiqua" w:hAnsi="Book Antiqua" w:cstheme="minorHAnsi" w:hint="eastAsia"/>
          <w:i/>
          <w:sz w:val="24"/>
          <w:szCs w:val="24"/>
        </w:rPr>
        <w:t>.</w:t>
      </w:r>
      <w:r w:rsidR="00EB328F" w:rsidRPr="00D30BDA">
        <w:rPr>
          <w:rFonts w:ascii="Book Antiqua" w:hAnsi="Book Antiqua" w:cstheme="minorHAnsi"/>
          <w:i/>
          <w:sz w:val="24"/>
          <w:szCs w:val="24"/>
        </w:rPr>
        <w:t>e.</w:t>
      </w:r>
      <w:r w:rsidR="00D30BDA">
        <w:rPr>
          <w:rFonts w:ascii="Book Antiqua" w:hAnsi="Book Antiqua" w:cstheme="minorHAnsi" w:hint="eastAsia"/>
          <w:sz w:val="24"/>
          <w:szCs w:val="24"/>
        </w:rPr>
        <w:t>,</w:t>
      </w:r>
      <w:r w:rsidR="00EB328F" w:rsidRPr="006212FF">
        <w:rPr>
          <w:rFonts w:ascii="Book Antiqua" w:hAnsi="Book Antiqua" w:cstheme="minorHAnsi"/>
          <w:sz w:val="24"/>
          <w:szCs w:val="24"/>
        </w:rPr>
        <w:t xml:space="preserve"> EVR plus MMF plus steroids) at the time of graft rejection.</w:t>
      </w:r>
      <w:r w:rsidR="006212FF">
        <w:rPr>
          <w:rFonts w:ascii="Book Antiqua" w:hAnsi="Book Antiqua" w:cstheme="minorHAnsi"/>
          <w:sz w:val="24"/>
          <w:szCs w:val="24"/>
        </w:rPr>
        <w:t xml:space="preserve"> </w:t>
      </w:r>
      <w:r w:rsidR="00747F9C" w:rsidRPr="006212FF">
        <w:rPr>
          <w:rFonts w:ascii="Book Antiqua" w:hAnsi="Book Antiqua" w:cstheme="minorHAnsi"/>
          <w:sz w:val="24"/>
          <w:szCs w:val="24"/>
        </w:rPr>
        <w:t xml:space="preserve">All 4 patients </w:t>
      </w:r>
      <w:r w:rsidR="00C405B6" w:rsidRPr="006212FF">
        <w:rPr>
          <w:rFonts w:ascii="Book Antiqua" w:hAnsi="Book Antiqua" w:cstheme="minorHAnsi"/>
          <w:sz w:val="24"/>
          <w:szCs w:val="24"/>
        </w:rPr>
        <w:t>subsequently</w:t>
      </w:r>
      <w:r w:rsidR="00566D82" w:rsidRPr="006212FF">
        <w:rPr>
          <w:rFonts w:ascii="Book Antiqua" w:hAnsi="Book Antiqua" w:cstheme="minorHAnsi"/>
          <w:sz w:val="24"/>
          <w:szCs w:val="24"/>
        </w:rPr>
        <w:t xml:space="preserve"> </w:t>
      </w:r>
      <w:r w:rsidR="00747F9C" w:rsidRPr="006212FF">
        <w:rPr>
          <w:rFonts w:ascii="Book Antiqua" w:hAnsi="Book Antiqua" w:cstheme="minorHAnsi"/>
          <w:sz w:val="24"/>
          <w:szCs w:val="24"/>
        </w:rPr>
        <w:t xml:space="preserve">had CNI (3 with FK, 1 with </w:t>
      </w:r>
      <w:proofErr w:type="spellStart"/>
      <w:r w:rsidR="00747F9C" w:rsidRPr="006212FF">
        <w:rPr>
          <w:rFonts w:ascii="Book Antiqua" w:hAnsi="Book Antiqua" w:cstheme="minorHAnsi"/>
          <w:sz w:val="24"/>
          <w:szCs w:val="24"/>
        </w:rPr>
        <w:t>CsA</w:t>
      </w:r>
      <w:proofErr w:type="spellEnd"/>
      <w:r w:rsidR="00747F9C" w:rsidRPr="006212FF">
        <w:rPr>
          <w:rFonts w:ascii="Book Antiqua" w:hAnsi="Book Antiqua" w:cstheme="minorHAnsi"/>
          <w:sz w:val="24"/>
          <w:szCs w:val="24"/>
        </w:rPr>
        <w:t xml:space="preserve">) </w:t>
      </w:r>
      <w:r w:rsidR="00570412" w:rsidRPr="006212FF">
        <w:rPr>
          <w:rFonts w:ascii="Book Antiqua" w:hAnsi="Book Antiqua" w:cstheme="minorHAnsi"/>
          <w:sz w:val="24"/>
          <w:szCs w:val="24"/>
        </w:rPr>
        <w:t>re-introduced</w:t>
      </w:r>
      <w:r w:rsidR="00747F9C" w:rsidRPr="006212FF">
        <w:rPr>
          <w:rFonts w:ascii="Book Antiqua" w:hAnsi="Book Antiqua" w:cstheme="minorHAnsi"/>
          <w:sz w:val="24"/>
          <w:szCs w:val="24"/>
        </w:rPr>
        <w:t>,</w:t>
      </w:r>
      <w:r w:rsidR="00570412" w:rsidRPr="006212FF">
        <w:rPr>
          <w:rFonts w:ascii="Book Antiqua" w:hAnsi="Book Antiqua" w:cstheme="minorHAnsi"/>
          <w:sz w:val="24"/>
          <w:szCs w:val="24"/>
        </w:rPr>
        <w:t xml:space="preserve"> </w:t>
      </w:r>
      <w:r w:rsidR="00C405B6" w:rsidRPr="006212FF">
        <w:rPr>
          <w:rFonts w:ascii="Book Antiqua" w:hAnsi="Book Antiqua" w:cstheme="minorHAnsi"/>
          <w:sz w:val="24"/>
          <w:szCs w:val="24"/>
        </w:rPr>
        <w:t xml:space="preserve">without recurrence of neurotoxicity. </w:t>
      </w:r>
      <w:r w:rsidR="00570412" w:rsidRPr="006212FF">
        <w:rPr>
          <w:rFonts w:ascii="Book Antiqua" w:hAnsi="Book Antiqua" w:cstheme="minorHAnsi"/>
          <w:sz w:val="24"/>
          <w:szCs w:val="24"/>
        </w:rPr>
        <w:t>The findings suggest</w:t>
      </w:r>
      <w:r w:rsidR="005A43B5" w:rsidRPr="006212FF">
        <w:rPr>
          <w:rFonts w:ascii="Book Antiqua" w:hAnsi="Book Antiqua" w:cstheme="minorHAnsi"/>
          <w:sz w:val="24"/>
          <w:szCs w:val="24"/>
        </w:rPr>
        <w:t xml:space="preserve"> EVR </w:t>
      </w:r>
      <w:r w:rsidR="00BE0D70" w:rsidRPr="006212FF">
        <w:rPr>
          <w:rFonts w:ascii="Book Antiqua" w:hAnsi="Book Antiqua" w:cstheme="minorHAnsi"/>
          <w:sz w:val="24"/>
          <w:szCs w:val="24"/>
        </w:rPr>
        <w:t>use</w:t>
      </w:r>
      <w:r w:rsidR="00F30B04" w:rsidRPr="006212FF">
        <w:rPr>
          <w:rFonts w:ascii="Book Antiqua" w:hAnsi="Book Antiqua" w:cstheme="minorHAnsi"/>
          <w:sz w:val="24"/>
          <w:szCs w:val="24"/>
        </w:rPr>
        <w:t xml:space="preserve"> enable</w:t>
      </w:r>
      <w:r w:rsidR="00C85F50" w:rsidRPr="006212FF">
        <w:rPr>
          <w:rFonts w:ascii="Book Antiqua" w:hAnsi="Book Antiqua" w:cstheme="minorHAnsi"/>
          <w:sz w:val="24"/>
          <w:szCs w:val="24"/>
        </w:rPr>
        <w:t>s</w:t>
      </w:r>
      <w:r w:rsidR="00F30B04" w:rsidRPr="006212FF">
        <w:rPr>
          <w:rFonts w:ascii="Book Antiqua" w:hAnsi="Book Antiqua" w:cstheme="minorHAnsi"/>
          <w:sz w:val="24"/>
          <w:szCs w:val="24"/>
        </w:rPr>
        <w:t xml:space="preserve"> a</w:t>
      </w:r>
      <w:r w:rsidR="005A43B5" w:rsidRPr="006212FF">
        <w:rPr>
          <w:rFonts w:ascii="Book Antiqua" w:hAnsi="Book Antiqua" w:cstheme="minorHAnsi"/>
          <w:sz w:val="24"/>
          <w:szCs w:val="24"/>
        </w:rPr>
        <w:t xml:space="preserve"> </w:t>
      </w:r>
      <w:r w:rsidR="00F30B04" w:rsidRPr="006212FF">
        <w:rPr>
          <w:rFonts w:ascii="Book Antiqua" w:hAnsi="Book Antiqua" w:cstheme="minorHAnsi"/>
          <w:sz w:val="24"/>
          <w:szCs w:val="24"/>
        </w:rPr>
        <w:t xml:space="preserve">temporary </w:t>
      </w:r>
      <w:r w:rsidR="00BE0D70" w:rsidRPr="006212FF">
        <w:rPr>
          <w:rFonts w:ascii="Book Antiqua" w:hAnsi="Book Antiqua" w:cstheme="minorHAnsi"/>
          <w:sz w:val="24"/>
          <w:szCs w:val="24"/>
        </w:rPr>
        <w:t xml:space="preserve">withdrawal </w:t>
      </w:r>
      <w:r w:rsidR="00C85F50" w:rsidRPr="006212FF">
        <w:rPr>
          <w:rFonts w:ascii="Book Antiqua" w:hAnsi="Book Antiqua" w:cstheme="minorHAnsi"/>
          <w:sz w:val="24"/>
          <w:szCs w:val="24"/>
        </w:rPr>
        <w:t xml:space="preserve">of </w:t>
      </w:r>
      <w:r w:rsidR="00BE0D70" w:rsidRPr="006212FF">
        <w:rPr>
          <w:rFonts w:ascii="Book Antiqua" w:hAnsi="Book Antiqua" w:cstheme="minorHAnsi"/>
          <w:sz w:val="24"/>
          <w:szCs w:val="24"/>
        </w:rPr>
        <w:t xml:space="preserve">CNI </w:t>
      </w:r>
      <w:r w:rsidR="00F30B04" w:rsidRPr="006212FF">
        <w:rPr>
          <w:rFonts w:ascii="Book Antiqua" w:hAnsi="Book Antiqua" w:cstheme="minorHAnsi"/>
          <w:sz w:val="24"/>
          <w:szCs w:val="24"/>
        </w:rPr>
        <w:t>in</w:t>
      </w:r>
      <w:r w:rsidR="005A43B5" w:rsidRPr="006212FF">
        <w:rPr>
          <w:rFonts w:ascii="Book Antiqua" w:hAnsi="Book Antiqua" w:cstheme="minorHAnsi"/>
          <w:sz w:val="24"/>
          <w:szCs w:val="24"/>
        </w:rPr>
        <w:t xml:space="preserve"> mana</w:t>
      </w:r>
      <w:r w:rsidR="00F30B04" w:rsidRPr="006212FF">
        <w:rPr>
          <w:rFonts w:ascii="Book Antiqua" w:hAnsi="Book Antiqua" w:cstheme="minorHAnsi"/>
          <w:sz w:val="24"/>
          <w:szCs w:val="24"/>
        </w:rPr>
        <w:t>ging</w:t>
      </w:r>
      <w:r w:rsidR="005A43B5" w:rsidRPr="006212FF">
        <w:rPr>
          <w:rFonts w:ascii="Book Antiqua" w:hAnsi="Book Antiqua" w:cstheme="minorHAnsi"/>
          <w:sz w:val="24"/>
          <w:szCs w:val="24"/>
        </w:rPr>
        <w:t xml:space="preserve"> CNI-induced neurotoxicity</w:t>
      </w:r>
      <w:r w:rsidR="00C85F50" w:rsidRPr="006212FF">
        <w:rPr>
          <w:rFonts w:ascii="Book Antiqua" w:hAnsi="Book Antiqua" w:cstheme="minorHAnsi"/>
          <w:sz w:val="24"/>
          <w:szCs w:val="24"/>
        </w:rPr>
        <w:t>. R</w:t>
      </w:r>
      <w:r w:rsidR="00052634" w:rsidRPr="006212FF">
        <w:rPr>
          <w:rFonts w:ascii="Book Antiqua" w:hAnsi="Book Antiqua" w:cstheme="minorHAnsi"/>
          <w:sz w:val="24"/>
          <w:szCs w:val="24"/>
        </w:rPr>
        <w:t>e-introduc</w:t>
      </w:r>
      <w:r w:rsidR="00C85F50" w:rsidRPr="006212FF">
        <w:rPr>
          <w:rFonts w:ascii="Book Antiqua" w:hAnsi="Book Antiqua" w:cstheme="minorHAnsi"/>
          <w:sz w:val="24"/>
          <w:szCs w:val="24"/>
        </w:rPr>
        <w:t>tion of</w:t>
      </w:r>
      <w:r w:rsidR="00052634" w:rsidRPr="006212FF">
        <w:rPr>
          <w:rFonts w:ascii="Book Antiqua" w:hAnsi="Book Antiqua" w:cstheme="minorHAnsi"/>
          <w:sz w:val="24"/>
          <w:szCs w:val="24"/>
        </w:rPr>
        <w:t xml:space="preserve"> CNI</w:t>
      </w:r>
      <w:r w:rsidR="008B14AB" w:rsidRPr="006212FF">
        <w:rPr>
          <w:rFonts w:ascii="Book Antiqua" w:hAnsi="Book Antiqua" w:cstheme="minorHAnsi"/>
          <w:sz w:val="24"/>
          <w:szCs w:val="24"/>
        </w:rPr>
        <w:t xml:space="preserve"> </w:t>
      </w:r>
      <w:r w:rsidR="00C85F50" w:rsidRPr="006212FF">
        <w:rPr>
          <w:rFonts w:ascii="Book Antiqua" w:hAnsi="Book Antiqua" w:cstheme="minorHAnsi"/>
          <w:sz w:val="24"/>
          <w:szCs w:val="24"/>
        </w:rPr>
        <w:t>may</w:t>
      </w:r>
      <w:r w:rsidR="008B14AB" w:rsidRPr="006212FF">
        <w:rPr>
          <w:rFonts w:ascii="Book Antiqua" w:hAnsi="Book Antiqua" w:cstheme="minorHAnsi"/>
          <w:sz w:val="24"/>
          <w:szCs w:val="24"/>
        </w:rPr>
        <w:t xml:space="preserve"> be </w:t>
      </w:r>
      <w:r w:rsidR="00F30B04" w:rsidRPr="006212FF">
        <w:rPr>
          <w:rFonts w:ascii="Book Antiqua" w:hAnsi="Book Antiqua" w:cstheme="minorHAnsi"/>
          <w:sz w:val="24"/>
          <w:szCs w:val="24"/>
        </w:rPr>
        <w:t xml:space="preserve">prudent </w:t>
      </w:r>
      <w:r w:rsidR="005A43B5" w:rsidRPr="006212FF">
        <w:rPr>
          <w:rFonts w:ascii="Book Antiqua" w:hAnsi="Book Antiqua" w:cstheme="minorHAnsi"/>
          <w:sz w:val="24"/>
          <w:szCs w:val="24"/>
        </w:rPr>
        <w:t xml:space="preserve">after resolution </w:t>
      </w:r>
      <w:r w:rsidR="00F30B04" w:rsidRPr="006212FF">
        <w:rPr>
          <w:rFonts w:ascii="Book Antiqua" w:hAnsi="Book Antiqua" w:cstheme="minorHAnsi"/>
          <w:sz w:val="24"/>
          <w:szCs w:val="24"/>
        </w:rPr>
        <w:t>of neurotoxicity in view of high rejection rate</w:t>
      </w:r>
      <w:r w:rsidR="00C85F50" w:rsidRPr="006212FF">
        <w:rPr>
          <w:rFonts w:ascii="Book Antiqua" w:hAnsi="Book Antiqua" w:cstheme="minorHAnsi"/>
          <w:sz w:val="24"/>
          <w:szCs w:val="24"/>
        </w:rPr>
        <w:t>s,</w:t>
      </w:r>
      <w:r w:rsidR="00F30B04" w:rsidRPr="006212FF">
        <w:rPr>
          <w:rFonts w:ascii="Book Antiqua" w:hAnsi="Book Antiqua" w:cstheme="minorHAnsi"/>
          <w:sz w:val="24"/>
          <w:szCs w:val="24"/>
        </w:rPr>
        <w:t xml:space="preserve"> </w:t>
      </w:r>
      <w:r w:rsidR="00C85F50" w:rsidRPr="006212FF">
        <w:rPr>
          <w:rFonts w:ascii="Book Antiqua" w:hAnsi="Book Antiqua" w:cstheme="minorHAnsi"/>
          <w:sz w:val="24"/>
          <w:szCs w:val="24"/>
        </w:rPr>
        <w:t>especially</w:t>
      </w:r>
      <w:r w:rsidR="00F30B04" w:rsidRPr="006212FF">
        <w:rPr>
          <w:rFonts w:ascii="Book Antiqua" w:hAnsi="Book Antiqua" w:cstheme="minorHAnsi"/>
          <w:sz w:val="24"/>
          <w:szCs w:val="24"/>
        </w:rPr>
        <w:t xml:space="preserve"> within first 3 </w:t>
      </w:r>
      <w:proofErr w:type="spellStart"/>
      <w:proofErr w:type="gramStart"/>
      <w:r w:rsidR="00F30B04" w:rsidRPr="006212FF">
        <w:rPr>
          <w:rFonts w:ascii="Book Antiqua" w:hAnsi="Book Antiqua" w:cstheme="minorHAnsi"/>
          <w:sz w:val="24"/>
          <w:szCs w:val="24"/>
        </w:rPr>
        <w:t>mo</w:t>
      </w:r>
      <w:proofErr w:type="spellEnd"/>
      <w:proofErr w:type="gramEnd"/>
      <w:r w:rsidR="00F30B04" w:rsidRPr="006212FF">
        <w:rPr>
          <w:rFonts w:ascii="Book Antiqua" w:hAnsi="Book Antiqua" w:cstheme="minorHAnsi"/>
          <w:sz w:val="24"/>
          <w:szCs w:val="24"/>
        </w:rPr>
        <w:t xml:space="preserve"> post-transplant</w:t>
      </w:r>
      <w:r w:rsidR="00C85F50" w:rsidRPr="006212FF">
        <w:rPr>
          <w:rFonts w:ascii="Book Antiqua" w:hAnsi="Book Antiqua" w:cstheme="minorHAnsi"/>
          <w:sz w:val="24"/>
          <w:szCs w:val="24"/>
        </w:rPr>
        <w:t>,</w:t>
      </w:r>
      <w:r w:rsidR="00F30B04" w:rsidRPr="006212FF">
        <w:rPr>
          <w:rFonts w:ascii="Book Antiqua" w:hAnsi="Book Antiqua" w:cstheme="minorHAnsi"/>
          <w:sz w:val="24"/>
          <w:szCs w:val="24"/>
        </w:rPr>
        <w:t xml:space="preserve"> </w:t>
      </w:r>
      <w:r w:rsidR="00747F9C" w:rsidRPr="006212FF">
        <w:rPr>
          <w:rFonts w:ascii="Book Antiqua" w:hAnsi="Book Antiqua" w:cstheme="minorHAnsi"/>
          <w:sz w:val="24"/>
          <w:szCs w:val="24"/>
        </w:rPr>
        <w:t xml:space="preserve">when EVR is not used in combination </w:t>
      </w:r>
      <w:r w:rsidR="00C85F50" w:rsidRPr="006212FF">
        <w:rPr>
          <w:rFonts w:ascii="Book Antiqua" w:hAnsi="Book Antiqua" w:cstheme="minorHAnsi"/>
          <w:sz w:val="24"/>
          <w:szCs w:val="24"/>
        </w:rPr>
        <w:t xml:space="preserve">with </w:t>
      </w:r>
      <w:r w:rsidR="00747F9C" w:rsidRPr="006212FF">
        <w:rPr>
          <w:rFonts w:ascii="Book Antiqua" w:hAnsi="Book Antiqua" w:cstheme="minorHAnsi"/>
          <w:sz w:val="24"/>
          <w:szCs w:val="24"/>
        </w:rPr>
        <w:t>CNI.</w:t>
      </w:r>
      <w:r w:rsidR="00F151E7" w:rsidRPr="006212FF">
        <w:rPr>
          <w:rFonts w:ascii="Book Antiqua" w:hAnsi="Book Antiqua" w:cstheme="minorHAnsi"/>
          <w:sz w:val="24"/>
          <w:szCs w:val="24"/>
        </w:rPr>
        <w:t xml:space="preserve"> </w:t>
      </w:r>
      <w:r w:rsidR="00747F9C" w:rsidRPr="006212FF">
        <w:rPr>
          <w:rFonts w:ascii="Book Antiqua" w:hAnsi="Book Antiqua" w:cstheme="minorHAnsi"/>
          <w:sz w:val="24"/>
          <w:szCs w:val="24"/>
        </w:rPr>
        <w:t xml:space="preserve">Furthermore, in patients with acute rejection, the introduction of </w:t>
      </w:r>
      <w:proofErr w:type="spellStart"/>
      <w:r w:rsidR="00747F9C" w:rsidRPr="006212FF">
        <w:rPr>
          <w:rFonts w:ascii="Book Antiqua" w:hAnsi="Book Antiqua" w:cstheme="minorHAnsi"/>
          <w:sz w:val="24"/>
          <w:szCs w:val="24"/>
        </w:rPr>
        <w:t>CsA</w:t>
      </w:r>
      <w:proofErr w:type="spellEnd"/>
      <w:r w:rsidR="00747F9C" w:rsidRPr="006212FF">
        <w:rPr>
          <w:rFonts w:ascii="Book Antiqua" w:hAnsi="Book Antiqua" w:cstheme="minorHAnsi"/>
          <w:sz w:val="24"/>
          <w:szCs w:val="24"/>
        </w:rPr>
        <w:t xml:space="preserve"> or re-introduction of FK may be possible because the risk of further neurologic complications may be low.</w:t>
      </w:r>
      <w:r w:rsidR="006212FF">
        <w:rPr>
          <w:rFonts w:ascii="Book Antiqua" w:hAnsi="Book Antiqua" w:cstheme="minorHAnsi"/>
          <w:sz w:val="24"/>
          <w:szCs w:val="24"/>
        </w:rPr>
        <w:t xml:space="preserve"> </w:t>
      </w:r>
    </w:p>
    <w:p w14:paraId="5D13BF74" w14:textId="77777777" w:rsidR="0002628C" w:rsidRPr="00562BA7" w:rsidRDefault="0002628C" w:rsidP="006212FF">
      <w:pPr>
        <w:spacing w:after="0" w:line="360" w:lineRule="auto"/>
        <w:jc w:val="both"/>
        <w:rPr>
          <w:rFonts w:ascii="Book Antiqua" w:hAnsi="Book Antiqua" w:cstheme="minorHAnsi"/>
          <w:b/>
          <w:i/>
          <w:sz w:val="24"/>
          <w:szCs w:val="24"/>
        </w:rPr>
      </w:pPr>
    </w:p>
    <w:p w14:paraId="59A4A08D" w14:textId="77777777" w:rsidR="00C902EA" w:rsidRPr="00562BA7" w:rsidRDefault="004A3410" w:rsidP="00562BA7">
      <w:pPr>
        <w:pStyle w:val="ListParagraph"/>
        <w:spacing w:after="0" w:line="360" w:lineRule="auto"/>
        <w:ind w:left="0"/>
        <w:jc w:val="both"/>
        <w:rPr>
          <w:rFonts w:ascii="Book Antiqua" w:hAnsi="Book Antiqua" w:cstheme="minorHAnsi"/>
          <w:b/>
          <w:i/>
          <w:sz w:val="24"/>
          <w:szCs w:val="24"/>
        </w:rPr>
      </w:pPr>
      <w:r w:rsidRPr="00562BA7">
        <w:rPr>
          <w:rFonts w:ascii="Book Antiqua" w:hAnsi="Book Antiqua" w:cstheme="minorHAnsi"/>
          <w:b/>
          <w:i/>
          <w:sz w:val="24"/>
          <w:szCs w:val="24"/>
        </w:rPr>
        <w:t>Preventi</w:t>
      </w:r>
      <w:r w:rsidR="008A4E40" w:rsidRPr="00562BA7">
        <w:rPr>
          <w:rFonts w:ascii="Book Antiqua" w:hAnsi="Book Antiqua" w:cstheme="minorHAnsi"/>
          <w:b/>
          <w:i/>
          <w:sz w:val="24"/>
          <w:szCs w:val="24"/>
        </w:rPr>
        <w:t>on of hepatocellular carcinoma r</w:t>
      </w:r>
      <w:r w:rsidRPr="00562BA7">
        <w:rPr>
          <w:rFonts w:ascii="Book Antiqua" w:hAnsi="Book Antiqua" w:cstheme="minorHAnsi"/>
          <w:b/>
          <w:i/>
          <w:sz w:val="24"/>
          <w:szCs w:val="24"/>
        </w:rPr>
        <w:t xml:space="preserve">ecurrence </w:t>
      </w:r>
    </w:p>
    <w:p w14:paraId="1BB03224" w14:textId="4890321C" w:rsidR="00EE423B" w:rsidRPr="006212FF" w:rsidRDefault="00215D8D" w:rsidP="006212FF">
      <w:pPr>
        <w:pStyle w:val="Default"/>
        <w:spacing w:line="360" w:lineRule="auto"/>
        <w:jc w:val="both"/>
        <w:rPr>
          <w:rFonts w:ascii="Book Antiqua" w:hAnsi="Book Antiqua" w:cstheme="minorHAnsi"/>
        </w:rPr>
      </w:pPr>
      <w:r w:rsidRPr="006212FF">
        <w:rPr>
          <w:rFonts w:ascii="Book Antiqua" w:hAnsi="Book Antiqua" w:cstheme="minorHAnsi"/>
        </w:rPr>
        <w:t>EVR has</w:t>
      </w:r>
      <w:r w:rsidR="00BA08C0" w:rsidRPr="006212FF">
        <w:rPr>
          <w:rFonts w:ascii="Book Antiqua" w:hAnsi="Book Antiqua" w:cstheme="minorHAnsi"/>
        </w:rPr>
        <w:t xml:space="preserve"> proven efficacy </w:t>
      </w:r>
      <w:r w:rsidRPr="006212FF">
        <w:rPr>
          <w:rFonts w:ascii="Book Antiqua" w:hAnsi="Book Antiqua" w:cstheme="minorHAnsi"/>
        </w:rPr>
        <w:t>against</w:t>
      </w:r>
      <w:r w:rsidR="00BA08C0" w:rsidRPr="006212FF">
        <w:rPr>
          <w:rFonts w:ascii="Book Antiqua" w:hAnsi="Book Antiqua" w:cstheme="minorHAnsi"/>
        </w:rPr>
        <w:t xml:space="preserve"> breast cancer, ren</w:t>
      </w:r>
      <w:r w:rsidR="00C96768" w:rsidRPr="006212FF">
        <w:rPr>
          <w:rFonts w:ascii="Book Antiqua" w:hAnsi="Book Antiqua" w:cstheme="minorHAnsi"/>
        </w:rPr>
        <w:t xml:space="preserve">al cell carcinoma, </w:t>
      </w:r>
      <w:r w:rsidR="00570412" w:rsidRPr="006212FF">
        <w:rPr>
          <w:rFonts w:ascii="Book Antiqua" w:hAnsi="Book Antiqua" w:cstheme="minorHAnsi"/>
        </w:rPr>
        <w:t xml:space="preserve">neuroendocrine </w:t>
      </w:r>
      <w:proofErr w:type="spellStart"/>
      <w:r w:rsidR="00570412" w:rsidRPr="006212FF">
        <w:rPr>
          <w:rFonts w:ascii="Book Antiqua" w:hAnsi="Book Antiqua" w:cstheme="minorHAnsi"/>
        </w:rPr>
        <w:t>tumours</w:t>
      </w:r>
      <w:proofErr w:type="spellEnd"/>
      <w:r w:rsidR="00C96768" w:rsidRPr="006212FF">
        <w:rPr>
          <w:rFonts w:ascii="Book Antiqua" w:hAnsi="Book Antiqua" w:cstheme="minorHAnsi"/>
        </w:rPr>
        <w:t xml:space="preserve"> and </w:t>
      </w:r>
      <w:proofErr w:type="spellStart"/>
      <w:r w:rsidR="00C96768" w:rsidRPr="006212FF">
        <w:rPr>
          <w:rFonts w:ascii="Book Antiqua" w:hAnsi="Book Antiqua" w:cstheme="minorHAnsi"/>
        </w:rPr>
        <w:t>sube</w:t>
      </w:r>
      <w:r w:rsidR="00562BA7">
        <w:rPr>
          <w:rFonts w:ascii="Book Antiqua" w:hAnsi="Book Antiqua" w:cstheme="minorHAnsi"/>
        </w:rPr>
        <w:t>pendymal</w:t>
      </w:r>
      <w:proofErr w:type="spellEnd"/>
      <w:r w:rsidR="00562BA7">
        <w:rPr>
          <w:rFonts w:ascii="Book Antiqua" w:hAnsi="Book Antiqua" w:cstheme="minorHAnsi"/>
        </w:rPr>
        <w:t xml:space="preserve"> giant cell </w:t>
      </w:r>
      <w:proofErr w:type="gramStart"/>
      <w:r w:rsidR="00562BA7">
        <w:rPr>
          <w:rFonts w:ascii="Book Antiqua" w:hAnsi="Book Antiqua" w:cstheme="minorHAnsi"/>
        </w:rPr>
        <w:t>astrocytoma</w:t>
      </w:r>
      <w:r w:rsidR="0029301E" w:rsidRPr="006212FF">
        <w:rPr>
          <w:rFonts w:ascii="Book Antiqua" w:hAnsi="Book Antiqua" w:cstheme="minorHAnsi"/>
          <w:vertAlign w:val="superscript"/>
        </w:rPr>
        <w:t>[</w:t>
      </w:r>
      <w:proofErr w:type="gramEnd"/>
      <w:r w:rsidR="0029301E" w:rsidRPr="006212FF">
        <w:rPr>
          <w:rFonts w:ascii="Book Antiqua" w:hAnsi="Book Antiqua" w:cstheme="minorHAnsi"/>
          <w:vertAlign w:val="superscript"/>
        </w:rPr>
        <w:t>33]</w:t>
      </w:r>
      <w:r w:rsidR="00AE6735" w:rsidRPr="006212FF">
        <w:rPr>
          <w:rFonts w:ascii="Book Antiqua" w:hAnsi="Book Antiqua" w:cstheme="minorHAnsi"/>
        </w:rPr>
        <w:t xml:space="preserve">. </w:t>
      </w:r>
      <w:r w:rsidR="00931110" w:rsidRPr="006212FF">
        <w:rPr>
          <w:rFonts w:ascii="Book Antiqua" w:hAnsi="Book Antiqua" w:cstheme="minorHAnsi"/>
        </w:rPr>
        <w:t xml:space="preserve">There is no data on </w:t>
      </w:r>
      <w:r w:rsidR="00931110" w:rsidRPr="006212FF">
        <w:rPr>
          <w:rFonts w:ascii="Book Antiqua" w:hAnsi="Book Antiqua" w:cstheme="minorHAnsi"/>
          <w:i/>
        </w:rPr>
        <w:t>de novo</w:t>
      </w:r>
      <w:r w:rsidR="00931110" w:rsidRPr="006212FF">
        <w:rPr>
          <w:rFonts w:ascii="Book Antiqua" w:hAnsi="Book Antiqua" w:cstheme="minorHAnsi"/>
        </w:rPr>
        <w:t xml:space="preserve"> </w:t>
      </w:r>
      <w:r w:rsidRPr="006212FF">
        <w:rPr>
          <w:rFonts w:ascii="Book Antiqua" w:hAnsi="Book Antiqua" w:cstheme="minorHAnsi"/>
        </w:rPr>
        <w:t>hepatocellular carcinoma (</w:t>
      </w:r>
      <w:r w:rsidR="00931110" w:rsidRPr="006212FF">
        <w:rPr>
          <w:rFonts w:ascii="Book Antiqua" w:hAnsi="Book Antiqua" w:cstheme="minorHAnsi"/>
        </w:rPr>
        <w:t>HCC</w:t>
      </w:r>
      <w:r w:rsidRPr="006212FF">
        <w:rPr>
          <w:rFonts w:ascii="Book Antiqua" w:hAnsi="Book Antiqua" w:cstheme="minorHAnsi"/>
        </w:rPr>
        <w:t>)</w:t>
      </w:r>
      <w:r w:rsidR="00931110" w:rsidRPr="006212FF">
        <w:rPr>
          <w:rFonts w:ascii="Book Antiqua" w:hAnsi="Book Antiqua" w:cstheme="minorHAnsi"/>
        </w:rPr>
        <w:t xml:space="preserve">. </w:t>
      </w:r>
      <w:r w:rsidR="00A24D98" w:rsidRPr="006212FF">
        <w:rPr>
          <w:rFonts w:ascii="Book Antiqua" w:hAnsi="Book Antiqua" w:cstheme="minorHAnsi"/>
        </w:rPr>
        <w:t xml:space="preserve">The HCC </w:t>
      </w:r>
      <w:r w:rsidR="00BA08C0" w:rsidRPr="006212FF">
        <w:rPr>
          <w:rFonts w:ascii="Book Antiqua" w:hAnsi="Book Antiqua" w:cstheme="minorHAnsi"/>
        </w:rPr>
        <w:t xml:space="preserve">recurrence </w:t>
      </w:r>
      <w:r w:rsidR="00A24D98" w:rsidRPr="006212FF">
        <w:rPr>
          <w:rFonts w:ascii="Book Antiqua" w:hAnsi="Book Antiqua" w:cstheme="minorHAnsi"/>
        </w:rPr>
        <w:t>rate pos</w:t>
      </w:r>
      <w:r w:rsidR="002928F5" w:rsidRPr="006212FF">
        <w:rPr>
          <w:rFonts w:ascii="Book Antiqua" w:hAnsi="Book Antiqua" w:cstheme="minorHAnsi"/>
        </w:rPr>
        <w:t>t</w:t>
      </w:r>
      <w:r w:rsidRPr="006212FF">
        <w:rPr>
          <w:rFonts w:ascii="Book Antiqua" w:hAnsi="Book Antiqua" w:cstheme="minorHAnsi"/>
        </w:rPr>
        <w:t>-LT</w:t>
      </w:r>
      <w:r w:rsidR="002928F5" w:rsidRPr="006212FF">
        <w:rPr>
          <w:rFonts w:ascii="Book Antiqua" w:hAnsi="Book Antiqua" w:cstheme="minorHAnsi"/>
        </w:rPr>
        <w:t xml:space="preserve"> is 8</w:t>
      </w:r>
      <w:r w:rsidR="00562BA7">
        <w:rPr>
          <w:rFonts w:ascii="Book Antiqua" w:hAnsi="Book Antiqua" w:cstheme="minorHAnsi" w:hint="eastAsia"/>
        </w:rPr>
        <w:t>%-</w:t>
      </w:r>
      <w:r w:rsidR="002928F5" w:rsidRPr="006212FF">
        <w:rPr>
          <w:rFonts w:ascii="Book Antiqua" w:hAnsi="Book Antiqua" w:cstheme="minorHAnsi"/>
        </w:rPr>
        <w:t>20%</w:t>
      </w:r>
      <w:r w:rsidRPr="006212FF">
        <w:rPr>
          <w:rFonts w:ascii="Book Antiqua" w:hAnsi="Book Antiqua" w:cstheme="minorHAnsi"/>
        </w:rPr>
        <w:t>, with</w:t>
      </w:r>
      <w:r w:rsidR="000E2467" w:rsidRPr="006212FF">
        <w:rPr>
          <w:rFonts w:ascii="Book Antiqua" w:hAnsi="Book Antiqua" w:cstheme="minorHAnsi"/>
        </w:rPr>
        <w:t xml:space="preserve"> </w:t>
      </w:r>
      <w:r w:rsidR="002928F5" w:rsidRPr="006212FF">
        <w:rPr>
          <w:rFonts w:ascii="Book Antiqua" w:hAnsi="Book Antiqua" w:cstheme="minorHAnsi"/>
        </w:rPr>
        <w:t>most occurr</w:t>
      </w:r>
      <w:r w:rsidRPr="006212FF">
        <w:rPr>
          <w:rFonts w:ascii="Book Antiqua" w:hAnsi="Book Antiqua" w:cstheme="minorHAnsi"/>
        </w:rPr>
        <w:t>ing</w:t>
      </w:r>
      <w:r w:rsidR="002928F5" w:rsidRPr="006212FF">
        <w:rPr>
          <w:rFonts w:ascii="Book Antiqua" w:hAnsi="Book Antiqua" w:cstheme="minorHAnsi"/>
        </w:rPr>
        <w:t xml:space="preserve"> within</w:t>
      </w:r>
      <w:r w:rsidRPr="006212FF">
        <w:rPr>
          <w:rFonts w:ascii="Book Antiqua" w:hAnsi="Book Antiqua" w:cstheme="minorHAnsi"/>
        </w:rPr>
        <w:t xml:space="preserve"> the</w:t>
      </w:r>
      <w:r w:rsidR="002928F5" w:rsidRPr="006212FF">
        <w:rPr>
          <w:rFonts w:ascii="Book Antiqua" w:hAnsi="Book Antiqua" w:cstheme="minorHAnsi"/>
        </w:rPr>
        <w:t xml:space="preserve"> first 2 years post</w:t>
      </w:r>
      <w:r w:rsidRPr="006212FF">
        <w:rPr>
          <w:rFonts w:ascii="Book Antiqua" w:hAnsi="Book Antiqua" w:cstheme="minorHAnsi"/>
        </w:rPr>
        <w:t>-</w:t>
      </w:r>
      <w:proofErr w:type="gramStart"/>
      <w:r w:rsidR="00E01726" w:rsidRPr="006212FF">
        <w:rPr>
          <w:rFonts w:ascii="Book Antiqua" w:hAnsi="Book Antiqua" w:cstheme="minorHAnsi"/>
        </w:rPr>
        <w:t>LT</w:t>
      </w:r>
      <w:r w:rsidR="00562BA7">
        <w:rPr>
          <w:rFonts w:ascii="Book Antiqua" w:hAnsi="Book Antiqua" w:cstheme="minorHAnsi"/>
          <w:vertAlign w:val="superscript"/>
        </w:rPr>
        <w:t>[</w:t>
      </w:r>
      <w:proofErr w:type="gramEnd"/>
      <w:r w:rsidR="00562BA7">
        <w:rPr>
          <w:rFonts w:ascii="Book Antiqua" w:hAnsi="Book Antiqua" w:cstheme="minorHAnsi"/>
          <w:vertAlign w:val="superscript"/>
        </w:rPr>
        <w:t>34,</w:t>
      </w:r>
      <w:r w:rsidR="0029301E" w:rsidRPr="006212FF">
        <w:rPr>
          <w:rFonts w:ascii="Book Antiqua" w:hAnsi="Book Antiqua" w:cstheme="minorHAnsi"/>
          <w:vertAlign w:val="superscript"/>
        </w:rPr>
        <w:t>35]</w:t>
      </w:r>
      <w:r w:rsidR="00F079C3" w:rsidRPr="006212FF">
        <w:rPr>
          <w:rFonts w:ascii="Book Antiqua" w:hAnsi="Book Antiqua" w:cstheme="minorHAnsi"/>
        </w:rPr>
        <w:t xml:space="preserve">. There is no RCT </w:t>
      </w:r>
      <w:r w:rsidR="004A77DA" w:rsidRPr="006212FF">
        <w:rPr>
          <w:rFonts w:ascii="Book Antiqua" w:hAnsi="Book Antiqua" w:cstheme="minorHAnsi"/>
        </w:rPr>
        <w:t xml:space="preserve">on EVR </w:t>
      </w:r>
      <w:r w:rsidRPr="006212FF">
        <w:rPr>
          <w:rFonts w:ascii="Book Antiqua" w:hAnsi="Book Antiqua" w:cstheme="minorHAnsi"/>
        </w:rPr>
        <w:t xml:space="preserve">for the </w:t>
      </w:r>
      <w:r w:rsidRPr="006212FF">
        <w:rPr>
          <w:rFonts w:ascii="Book Antiqua" w:hAnsi="Book Antiqua" w:cstheme="minorHAnsi"/>
        </w:rPr>
        <w:lastRenderedPageBreak/>
        <w:t>prevention of</w:t>
      </w:r>
      <w:r w:rsidR="008A1BAF" w:rsidRPr="006212FF">
        <w:rPr>
          <w:rFonts w:ascii="Book Antiqua" w:hAnsi="Book Antiqua" w:cstheme="minorHAnsi"/>
        </w:rPr>
        <w:t xml:space="preserve"> HCC recurrence. </w:t>
      </w:r>
      <w:r w:rsidR="004F5667" w:rsidRPr="006212FF">
        <w:rPr>
          <w:rFonts w:ascii="Book Antiqua" w:hAnsi="Book Antiqua" w:cstheme="minorHAnsi"/>
        </w:rPr>
        <w:t xml:space="preserve">In </w:t>
      </w:r>
      <w:proofErr w:type="spellStart"/>
      <w:r w:rsidR="004C69EA" w:rsidRPr="006212FF">
        <w:rPr>
          <w:rFonts w:ascii="Book Antiqua" w:hAnsi="Book Antiqua" w:cstheme="minorHAnsi"/>
        </w:rPr>
        <w:t>Jeng</w:t>
      </w:r>
      <w:proofErr w:type="spellEnd"/>
      <w:r w:rsidR="004C69EA" w:rsidRPr="00562BA7">
        <w:rPr>
          <w:rFonts w:ascii="Book Antiqua" w:hAnsi="Book Antiqua" w:cstheme="minorHAnsi"/>
          <w:i/>
        </w:rPr>
        <w:t xml:space="preserve"> et </w:t>
      </w:r>
      <w:proofErr w:type="gramStart"/>
      <w:r w:rsidR="004C69EA" w:rsidRPr="00562BA7">
        <w:rPr>
          <w:rFonts w:ascii="Book Antiqua" w:hAnsi="Book Antiqua" w:cstheme="minorHAnsi"/>
          <w:i/>
        </w:rPr>
        <w:t>al</w:t>
      </w:r>
      <w:r w:rsidR="00562BA7" w:rsidRPr="006212FF">
        <w:rPr>
          <w:rFonts w:ascii="Book Antiqua" w:hAnsi="Book Antiqua" w:cstheme="minorHAnsi"/>
          <w:vertAlign w:val="superscript"/>
        </w:rPr>
        <w:t>[</w:t>
      </w:r>
      <w:proofErr w:type="gramEnd"/>
      <w:r w:rsidR="00562BA7" w:rsidRPr="006212FF">
        <w:rPr>
          <w:rFonts w:ascii="Book Antiqua" w:hAnsi="Book Antiqua" w:cstheme="minorHAnsi"/>
          <w:vertAlign w:val="superscript"/>
        </w:rPr>
        <w:t>22]</w:t>
      </w:r>
      <w:r w:rsidR="004C69EA" w:rsidRPr="006212FF">
        <w:rPr>
          <w:rFonts w:ascii="Book Antiqua" w:hAnsi="Book Antiqua" w:cstheme="minorHAnsi"/>
        </w:rPr>
        <w:t xml:space="preserve">’s </w:t>
      </w:r>
      <w:r w:rsidR="004F5667" w:rsidRPr="006212FF">
        <w:rPr>
          <w:rFonts w:ascii="Book Antiqua" w:hAnsi="Book Antiqua" w:cstheme="minorHAnsi"/>
        </w:rPr>
        <w:t>single</w:t>
      </w:r>
      <w:r w:rsidR="004C69EA" w:rsidRPr="006212FF">
        <w:rPr>
          <w:rFonts w:ascii="Book Antiqua" w:hAnsi="Book Antiqua" w:cstheme="minorHAnsi"/>
        </w:rPr>
        <w:t>-</w:t>
      </w:r>
      <w:proofErr w:type="spellStart"/>
      <w:r w:rsidR="004C69EA" w:rsidRPr="006212FF">
        <w:rPr>
          <w:rFonts w:ascii="Book Antiqua" w:hAnsi="Book Antiqua" w:cstheme="minorHAnsi"/>
        </w:rPr>
        <w:t>centre</w:t>
      </w:r>
      <w:proofErr w:type="spellEnd"/>
      <w:r w:rsidR="004F5667" w:rsidRPr="006212FF">
        <w:rPr>
          <w:rFonts w:ascii="Book Antiqua" w:hAnsi="Book Antiqua" w:cstheme="minorHAnsi"/>
        </w:rPr>
        <w:t xml:space="preserve"> prospective non-</w:t>
      </w:r>
      <w:proofErr w:type="spellStart"/>
      <w:r w:rsidR="004F5667" w:rsidRPr="006212FF">
        <w:rPr>
          <w:rFonts w:ascii="Book Antiqua" w:hAnsi="Book Antiqua" w:cstheme="minorHAnsi"/>
        </w:rPr>
        <w:t>r</w:t>
      </w:r>
      <w:r w:rsidR="004C69EA" w:rsidRPr="006212FF">
        <w:rPr>
          <w:rFonts w:ascii="Book Antiqua" w:hAnsi="Book Antiqua" w:cstheme="minorHAnsi"/>
        </w:rPr>
        <w:t>a</w:t>
      </w:r>
      <w:r w:rsidR="004F5667" w:rsidRPr="006212FF">
        <w:rPr>
          <w:rFonts w:ascii="Book Antiqua" w:hAnsi="Book Antiqua" w:cstheme="minorHAnsi"/>
        </w:rPr>
        <w:t>ndomised</w:t>
      </w:r>
      <w:proofErr w:type="spellEnd"/>
      <w:r w:rsidR="004F5667" w:rsidRPr="006212FF">
        <w:rPr>
          <w:rFonts w:ascii="Book Antiqua" w:hAnsi="Book Antiqua" w:cstheme="minorHAnsi"/>
        </w:rPr>
        <w:t xml:space="preserve"> study, HCC recurre</w:t>
      </w:r>
      <w:r w:rsidR="00DF2C93" w:rsidRPr="006212FF">
        <w:rPr>
          <w:rFonts w:ascii="Book Antiqua" w:hAnsi="Book Antiqua" w:cstheme="minorHAnsi"/>
        </w:rPr>
        <w:t>d</w:t>
      </w:r>
      <w:r w:rsidR="004C69EA" w:rsidRPr="006212FF">
        <w:rPr>
          <w:rFonts w:ascii="Book Antiqua" w:hAnsi="Book Antiqua" w:cstheme="minorHAnsi"/>
        </w:rPr>
        <w:t xml:space="preserve"> in 7% of</w:t>
      </w:r>
      <w:r w:rsidR="004F5667" w:rsidRPr="006212FF">
        <w:rPr>
          <w:rFonts w:ascii="Book Antiqua" w:hAnsi="Book Antiqua" w:cstheme="minorHAnsi"/>
        </w:rPr>
        <w:t xml:space="preserve"> </w:t>
      </w:r>
      <w:r w:rsidR="00DF2C93" w:rsidRPr="006212FF">
        <w:rPr>
          <w:rFonts w:ascii="Book Antiqua" w:hAnsi="Book Antiqua" w:cstheme="minorHAnsi"/>
        </w:rPr>
        <w:t xml:space="preserve">the </w:t>
      </w:r>
      <w:r w:rsidR="004F5667" w:rsidRPr="006212FF">
        <w:rPr>
          <w:rFonts w:ascii="Book Antiqua" w:hAnsi="Book Antiqua" w:cstheme="minorHAnsi"/>
        </w:rPr>
        <w:t xml:space="preserve">patients using EVR. </w:t>
      </w:r>
      <w:r w:rsidR="008A1BAF" w:rsidRPr="006212FF">
        <w:rPr>
          <w:rFonts w:ascii="Book Antiqua" w:hAnsi="Book Antiqua" w:cstheme="minorHAnsi"/>
        </w:rPr>
        <w:t>In</w:t>
      </w:r>
      <w:r w:rsidR="004A77DA" w:rsidRPr="006212FF">
        <w:rPr>
          <w:rFonts w:ascii="Book Antiqua" w:hAnsi="Book Antiqua" w:cstheme="minorHAnsi"/>
        </w:rPr>
        <w:t xml:space="preserve"> retrospectiv</w:t>
      </w:r>
      <w:r w:rsidR="00570412" w:rsidRPr="006212FF">
        <w:rPr>
          <w:rFonts w:ascii="Book Antiqua" w:hAnsi="Book Antiqua" w:cstheme="minorHAnsi"/>
        </w:rPr>
        <w:t>e</w:t>
      </w:r>
      <w:r w:rsidR="008A1BAF" w:rsidRPr="006212FF">
        <w:rPr>
          <w:rFonts w:ascii="Book Antiqua" w:hAnsi="Book Antiqua" w:cstheme="minorHAnsi"/>
        </w:rPr>
        <w:t xml:space="preserve"> studies</w:t>
      </w:r>
      <w:r w:rsidR="00570412" w:rsidRPr="006212FF">
        <w:rPr>
          <w:rFonts w:ascii="Book Antiqua" w:hAnsi="Book Antiqua" w:cstheme="minorHAnsi"/>
        </w:rPr>
        <w:t xml:space="preserve">, it </w:t>
      </w:r>
      <w:r w:rsidR="0071610C" w:rsidRPr="006212FF">
        <w:rPr>
          <w:rFonts w:ascii="Book Antiqua" w:hAnsi="Book Antiqua" w:cstheme="minorHAnsi"/>
        </w:rPr>
        <w:t>has been</w:t>
      </w:r>
      <w:r w:rsidR="000E2467" w:rsidRPr="006212FF">
        <w:rPr>
          <w:rFonts w:ascii="Book Antiqua" w:hAnsi="Book Antiqua" w:cstheme="minorHAnsi"/>
        </w:rPr>
        <w:t xml:space="preserve"> </w:t>
      </w:r>
      <w:r w:rsidR="008A1BAF" w:rsidRPr="006212FF">
        <w:rPr>
          <w:rFonts w:ascii="Book Antiqua" w:hAnsi="Book Antiqua" w:cstheme="minorHAnsi"/>
        </w:rPr>
        <w:t>observed</w:t>
      </w:r>
      <w:r w:rsidR="00570412" w:rsidRPr="006212FF">
        <w:rPr>
          <w:rFonts w:ascii="Book Antiqua" w:hAnsi="Book Antiqua" w:cstheme="minorHAnsi"/>
        </w:rPr>
        <w:t xml:space="preserve"> that EVR has</w:t>
      </w:r>
      <w:r w:rsidR="008A1BAF" w:rsidRPr="006212FF">
        <w:rPr>
          <w:rFonts w:ascii="Book Antiqua" w:hAnsi="Book Antiqua" w:cstheme="minorHAnsi"/>
        </w:rPr>
        <w:t xml:space="preserve"> </w:t>
      </w:r>
      <w:r w:rsidR="00A1552F" w:rsidRPr="006212FF">
        <w:rPr>
          <w:rFonts w:ascii="Book Antiqua" w:hAnsi="Book Antiqua" w:cstheme="minorHAnsi"/>
        </w:rPr>
        <w:t>no</w:t>
      </w:r>
      <w:r w:rsidR="00F079C3" w:rsidRPr="006212FF">
        <w:rPr>
          <w:rFonts w:ascii="Book Antiqua" w:hAnsi="Book Antiqua" w:cstheme="minorHAnsi"/>
        </w:rPr>
        <w:t xml:space="preserve"> HCC recurrence</w:t>
      </w:r>
      <w:r w:rsidR="000E2467" w:rsidRPr="006212FF">
        <w:rPr>
          <w:rFonts w:ascii="Book Antiqua" w:hAnsi="Book Antiqua" w:cstheme="minorHAnsi"/>
        </w:rPr>
        <w:t xml:space="preserve"> </w:t>
      </w:r>
      <w:r w:rsidR="00570412" w:rsidRPr="006212FF">
        <w:rPr>
          <w:rFonts w:ascii="Book Antiqua" w:hAnsi="Book Antiqua" w:cstheme="minorHAnsi"/>
        </w:rPr>
        <w:t>post-</w:t>
      </w:r>
      <w:r w:rsidRPr="006212FF">
        <w:rPr>
          <w:rFonts w:ascii="Book Antiqua" w:hAnsi="Book Antiqua" w:cstheme="minorHAnsi"/>
        </w:rPr>
        <w:t>LT</w:t>
      </w:r>
      <w:r w:rsidR="00F57647" w:rsidRPr="006212FF">
        <w:rPr>
          <w:rFonts w:ascii="Book Antiqua" w:hAnsi="Book Antiqua" w:cstheme="minorHAnsi"/>
        </w:rPr>
        <w:t xml:space="preserve"> </w:t>
      </w:r>
      <w:r w:rsidR="00E1766B" w:rsidRPr="006212FF">
        <w:rPr>
          <w:rFonts w:ascii="Book Antiqua" w:hAnsi="Book Antiqua" w:cstheme="minorHAnsi"/>
        </w:rPr>
        <w:t xml:space="preserve">during a mean follow-up of 11.2 ± 6.8 </w:t>
      </w:r>
      <w:proofErr w:type="spellStart"/>
      <w:r w:rsidR="00E1766B" w:rsidRPr="006212FF">
        <w:rPr>
          <w:rFonts w:ascii="Book Antiqua" w:hAnsi="Book Antiqua" w:cstheme="minorHAnsi"/>
        </w:rPr>
        <w:t>mo</w:t>
      </w:r>
      <w:proofErr w:type="spellEnd"/>
      <w:r w:rsidR="00F966AF" w:rsidRPr="006212FF">
        <w:rPr>
          <w:rFonts w:ascii="Book Antiqua" w:hAnsi="Book Antiqua" w:cstheme="minorHAnsi"/>
        </w:rPr>
        <w:t xml:space="preserve"> </w:t>
      </w:r>
      <w:r w:rsidR="0043246B" w:rsidRPr="006212FF">
        <w:rPr>
          <w:rFonts w:ascii="Book Antiqua" w:hAnsi="Book Antiqua" w:cstheme="minorHAnsi"/>
        </w:rPr>
        <w:t xml:space="preserve">in 44 patients </w:t>
      </w:r>
      <w:r w:rsidR="00F966AF" w:rsidRPr="006212FF">
        <w:rPr>
          <w:rFonts w:ascii="Book Antiqua" w:hAnsi="Book Antiqua" w:cstheme="minorHAnsi"/>
        </w:rPr>
        <w:t>and</w:t>
      </w:r>
      <w:r w:rsidR="0043246B" w:rsidRPr="006212FF">
        <w:rPr>
          <w:rFonts w:ascii="Book Antiqua" w:hAnsi="Book Antiqua" w:cstheme="minorHAnsi"/>
        </w:rPr>
        <w:t xml:space="preserve"> 48 </w:t>
      </w:r>
      <w:proofErr w:type="spellStart"/>
      <w:r w:rsidR="0043246B" w:rsidRPr="006212FF">
        <w:rPr>
          <w:rFonts w:ascii="Book Antiqua" w:hAnsi="Book Antiqua" w:cstheme="minorHAnsi"/>
        </w:rPr>
        <w:t>mo</w:t>
      </w:r>
      <w:proofErr w:type="spellEnd"/>
      <w:r w:rsidR="0043246B" w:rsidRPr="006212FF">
        <w:rPr>
          <w:rFonts w:ascii="Book Antiqua" w:hAnsi="Book Antiqua" w:cstheme="minorHAnsi"/>
        </w:rPr>
        <w:t xml:space="preserve"> (</w:t>
      </w:r>
      <w:r w:rsidR="00EF00B4" w:rsidRPr="006212FF">
        <w:rPr>
          <w:rFonts w:ascii="Book Antiqua" w:hAnsi="Book Antiqua" w:cstheme="minorHAnsi"/>
        </w:rPr>
        <w:t xml:space="preserve">range: </w:t>
      </w:r>
      <w:r w:rsidR="0043246B" w:rsidRPr="006212FF">
        <w:rPr>
          <w:rFonts w:ascii="Book Antiqua" w:hAnsi="Book Antiqua" w:cstheme="minorHAnsi"/>
        </w:rPr>
        <w:t xml:space="preserve">11-76 </w:t>
      </w:r>
      <w:proofErr w:type="spellStart"/>
      <w:r w:rsidR="0043246B" w:rsidRPr="006212FF">
        <w:rPr>
          <w:rFonts w:ascii="Book Antiqua" w:hAnsi="Book Antiqua" w:cstheme="minorHAnsi"/>
        </w:rPr>
        <w:t>mo</w:t>
      </w:r>
      <w:proofErr w:type="spellEnd"/>
      <w:r w:rsidR="0043246B" w:rsidRPr="006212FF">
        <w:rPr>
          <w:rFonts w:ascii="Book Antiqua" w:hAnsi="Book Antiqua" w:cstheme="minorHAnsi"/>
        </w:rPr>
        <w:t>)</w:t>
      </w:r>
      <w:r w:rsidR="0098456B" w:rsidRPr="006212FF">
        <w:rPr>
          <w:rFonts w:ascii="Book Antiqua" w:hAnsi="Book Antiqua" w:cstheme="minorHAnsi"/>
        </w:rPr>
        <w:t xml:space="preserve"> in 21</w:t>
      </w:r>
      <w:r w:rsidR="0043246B" w:rsidRPr="006212FF">
        <w:rPr>
          <w:rFonts w:ascii="Book Antiqua" w:hAnsi="Book Antiqua" w:cstheme="minorHAnsi"/>
        </w:rPr>
        <w:t xml:space="preserve"> patients </w:t>
      </w:r>
      <w:proofErr w:type="gramStart"/>
      <w:r w:rsidR="0043246B" w:rsidRPr="006212FF">
        <w:rPr>
          <w:rFonts w:ascii="Book Antiqua" w:hAnsi="Book Antiqua" w:cstheme="minorHAnsi"/>
        </w:rPr>
        <w:t>respectively</w:t>
      </w:r>
      <w:r w:rsidR="00562BA7">
        <w:rPr>
          <w:rFonts w:ascii="Book Antiqua" w:hAnsi="Book Antiqua" w:cstheme="minorHAnsi"/>
          <w:vertAlign w:val="superscript"/>
        </w:rPr>
        <w:t>[</w:t>
      </w:r>
      <w:proofErr w:type="gramEnd"/>
      <w:r w:rsidR="00562BA7">
        <w:rPr>
          <w:rFonts w:ascii="Book Antiqua" w:hAnsi="Book Antiqua" w:cstheme="minorHAnsi"/>
          <w:vertAlign w:val="superscript"/>
        </w:rPr>
        <w:t>26,</w:t>
      </w:r>
      <w:r w:rsidR="0029301E" w:rsidRPr="006212FF">
        <w:rPr>
          <w:rFonts w:ascii="Book Antiqua" w:hAnsi="Book Antiqua" w:cstheme="minorHAnsi"/>
          <w:vertAlign w:val="superscript"/>
        </w:rPr>
        <w:t>36]</w:t>
      </w:r>
      <w:r w:rsidR="004A77DA" w:rsidRPr="006212FF">
        <w:rPr>
          <w:rFonts w:ascii="Book Antiqua" w:hAnsi="Book Antiqua" w:cstheme="minorHAnsi"/>
        </w:rPr>
        <w:t xml:space="preserve">. </w:t>
      </w:r>
      <w:r w:rsidR="00931110" w:rsidRPr="006212FF">
        <w:rPr>
          <w:rFonts w:ascii="Book Antiqua" w:hAnsi="Book Antiqua" w:cstheme="minorHAnsi"/>
        </w:rPr>
        <w:t xml:space="preserve">In a systematic review, </w:t>
      </w:r>
      <w:r w:rsidR="0071610C" w:rsidRPr="006212FF">
        <w:rPr>
          <w:rFonts w:ascii="Book Antiqua" w:hAnsi="Book Antiqua" w:cstheme="minorHAnsi"/>
        </w:rPr>
        <w:t>LT</w:t>
      </w:r>
      <w:r w:rsidR="00931110" w:rsidRPr="006212FF">
        <w:rPr>
          <w:rFonts w:ascii="Book Antiqua" w:hAnsi="Book Antiqua" w:cstheme="minorHAnsi"/>
        </w:rPr>
        <w:t xml:space="preserve"> recipients who were on </w:t>
      </w:r>
      <w:proofErr w:type="spellStart"/>
      <w:r w:rsidR="00931110" w:rsidRPr="006212FF">
        <w:rPr>
          <w:rFonts w:ascii="Book Antiqua" w:hAnsi="Book Antiqua" w:cstheme="minorHAnsi"/>
        </w:rPr>
        <w:t>mTOR</w:t>
      </w:r>
      <w:proofErr w:type="spellEnd"/>
      <w:r w:rsidR="000E2467" w:rsidRPr="006212FF">
        <w:rPr>
          <w:rFonts w:ascii="Book Antiqua" w:hAnsi="Book Antiqua" w:cstheme="minorHAnsi"/>
        </w:rPr>
        <w:t xml:space="preserve"> </w:t>
      </w:r>
      <w:r w:rsidR="00931110" w:rsidRPr="006212FF">
        <w:rPr>
          <w:rFonts w:ascii="Book Antiqua" w:hAnsi="Book Antiqua" w:cstheme="minorHAnsi"/>
        </w:rPr>
        <w:t>inhibitors</w:t>
      </w:r>
      <w:r w:rsidR="0071610C" w:rsidRPr="006212FF">
        <w:rPr>
          <w:rFonts w:ascii="Book Antiqua" w:hAnsi="Book Antiqua" w:cstheme="minorHAnsi"/>
        </w:rPr>
        <w:t xml:space="preserve"> (</w:t>
      </w:r>
      <w:proofErr w:type="spellStart"/>
      <w:r w:rsidR="0071610C" w:rsidRPr="006212FF">
        <w:rPr>
          <w:rFonts w:ascii="Book Antiqua" w:hAnsi="Book Antiqua" w:cstheme="minorHAnsi"/>
        </w:rPr>
        <w:t>sirolimus</w:t>
      </w:r>
      <w:proofErr w:type="spellEnd"/>
      <w:r w:rsidR="0071610C" w:rsidRPr="006212FF">
        <w:rPr>
          <w:rFonts w:ascii="Book Antiqua" w:hAnsi="Book Antiqua" w:cstheme="minorHAnsi"/>
        </w:rPr>
        <w:t xml:space="preserve"> or EVR)</w:t>
      </w:r>
      <w:r w:rsidR="00931110" w:rsidRPr="006212FF">
        <w:rPr>
          <w:rFonts w:ascii="Book Antiqua" w:hAnsi="Book Antiqua" w:cstheme="minorHAnsi"/>
        </w:rPr>
        <w:t xml:space="preserve"> ha</w:t>
      </w:r>
      <w:r w:rsidR="0071610C" w:rsidRPr="006212FF">
        <w:rPr>
          <w:rFonts w:ascii="Book Antiqua" w:hAnsi="Book Antiqua" w:cstheme="minorHAnsi"/>
        </w:rPr>
        <w:t>d</w:t>
      </w:r>
      <w:r w:rsidR="00931110" w:rsidRPr="006212FF">
        <w:rPr>
          <w:rFonts w:ascii="Book Antiqua" w:hAnsi="Book Antiqua" w:cstheme="minorHAnsi"/>
        </w:rPr>
        <w:t xml:space="preserve"> lower HCC recurrence </w:t>
      </w:r>
      <w:proofErr w:type="gramStart"/>
      <w:r w:rsidR="00931110" w:rsidRPr="006212FF">
        <w:rPr>
          <w:rFonts w:ascii="Book Antiqua" w:hAnsi="Book Antiqua" w:cstheme="minorHAnsi"/>
        </w:rPr>
        <w:t>rate</w:t>
      </w:r>
      <w:r w:rsidR="0071610C" w:rsidRPr="006212FF">
        <w:rPr>
          <w:rFonts w:ascii="Book Antiqua" w:hAnsi="Book Antiqua" w:cstheme="minorHAnsi"/>
        </w:rPr>
        <w:t>s</w:t>
      </w:r>
      <w:r w:rsidR="0029301E" w:rsidRPr="006212FF">
        <w:rPr>
          <w:rFonts w:ascii="Book Antiqua" w:hAnsi="Book Antiqua" w:cstheme="minorHAnsi"/>
          <w:vertAlign w:val="superscript"/>
        </w:rPr>
        <w:t>[</w:t>
      </w:r>
      <w:proofErr w:type="gramEnd"/>
      <w:r w:rsidR="0029301E" w:rsidRPr="006212FF">
        <w:rPr>
          <w:rFonts w:ascii="Book Antiqua" w:hAnsi="Book Antiqua" w:cstheme="minorHAnsi"/>
          <w:vertAlign w:val="superscript"/>
        </w:rPr>
        <w:t>37]</w:t>
      </w:r>
      <w:r w:rsidR="00931110" w:rsidRPr="006212FF">
        <w:rPr>
          <w:rFonts w:ascii="Book Antiqua" w:hAnsi="Book Antiqua" w:cstheme="minorHAnsi"/>
        </w:rPr>
        <w:t xml:space="preserve">. </w:t>
      </w:r>
      <w:r w:rsidR="0071610C" w:rsidRPr="006212FF">
        <w:rPr>
          <w:rFonts w:ascii="Book Antiqua" w:hAnsi="Book Antiqua" w:cstheme="minorHAnsi"/>
        </w:rPr>
        <w:t>However, t</w:t>
      </w:r>
      <w:r w:rsidR="00F079C3" w:rsidRPr="006212FF">
        <w:rPr>
          <w:rFonts w:ascii="Book Antiqua" w:hAnsi="Book Antiqua" w:cstheme="minorHAnsi"/>
        </w:rPr>
        <w:t>he f</w:t>
      </w:r>
      <w:r w:rsidR="001D2BCF" w:rsidRPr="006212FF">
        <w:rPr>
          <w:rFonts w:ascii="Book Antiqua" w:hAnsi="Book Antiqua" w:cstheme="minorHAnsi"/>
        </w:rPr>
        <w:t xml:space="preserve">ollow up period </w:t>
      </w:r>
      <w:r w:rsidR="0071610C" w:rsidRPr="006212FF">
        <w:rPr>
          <w:rFonts w:ascii="Book Antiqua" w:hAnsi="Book Antiqua" w:cstheme="minorHAnsi"/>
        </w:rPr>
        <w:t xml:space="preserve">varied widely </w:t>
      </w:r>
      <w:r w:rsidR="00F079C3" w:rsidRPr="006212FF">
        <w:rPr>
          <w:rFonts w:ascii="Book Antiqua" w:hAnsi="Book Antiqua" w:cstheme="minorHAnsi"/>
        </w:rPr>
        <w:t xml:space="preserve">among the </w:t>
      </w:r>
      <w:r w:rsidR="0071610C" w:rsidRPr="006212FF">
        <w:rPr>
          <w:rFonts w:ascii="Book Antiqua" w:hAnsi="Book Antiqua" w:cstheme="minorHAnsi"/>
        </w:rPr>
        <w:t xml:space="preserve">groups on </w:t>
      </w:r>
      <w:r w:rsidR="00F079C3" w:rsidRPr="006212FF">
        <w:rPr>
          <w:rFonts w:ascii="Book Antiqua" w:hAnsi="Book Antiqua" w:cstheme="minorHAnsi"/>
        </w:rPr>
        <w:t>CNI</w:t>
      </w:r>
      <w:r w:rsidR="0071610C" w:rsidRPr="006212FF">
        <w:rPr>
          <w:rFonts w:ascii="Book Antiqua" w:hAnsi="Book Antiqua" w:cstheme="minorHAnsi"/>
        </w:rPr>
        <w:t xml:space="preserve"> (42 </w:t>
      </w:r>
      <w:proofErr w:type="spellStart"/>
      <w:r w:rsidR="0071610C" w:rsidRPr="006212FF">
        <w:rPr>
          <w:rFonts w:ascii="Book Antiqua" w:hAnsi="Book Antiqua" w:cstheme="minorHAnsi"/>
        </w:rPr>
        <w:t>mo</w:t>
      </w:r>
      <w:proofErr w:type="spellEnd"/>
      <w:r w:rsidR="0071610C" w:rsidRPr="006212FF">
        <w:rPr>
          <w:rFonts w:ascii="Book Antiqua" w:hAnsi="Book Antiqua" w:cstheme="minorHAnsi"/>
        </w:rPr>
        <w:t>)</w:t>
      </w:r>
      <w:r w:rsidR="00F079C3" w:rsidRPr="006212FF">
        <w:rPr>
          <w:rFonts w:ascii="Book Antiqua" w:hAnsi="Book Antiqua" w:cstheme="minorHAnsi"/>
        </w:rPr>
        <w:t xml:space="preserve">, </w:t>
      </w:r>
      <w:proofErr w:type="spellStart"/>
      <w:r w:rsidR="00F079C3" w:rsidRPr="006212FF">
        <w:rPr>
          <w:rFonts w:ascii="Book Antiqua" w:hAnsi="Book Antiqua" w:cstheme="minorHAnsi"/>
        </w:rPr>
        <w:t>sirolimus</w:t>
      </w:r>
      <w:proofErr w:type="spellEnd"/>
      <w:r w:rsidR="0071610C" w:rsidRPr="006212FF">
        <w:rPr>
          <w:rFonts w:ascii="Book Antiqua" w:hAnsi="Book Antiqua" w:cstheme="minorHAnsi"/>
        </w:rPr>
        <w:t xml:space="preserve"> (30 </w:t>
      </w:r>
      <w:proofErr w:type="spellStart"/>
      <w:r w:rsidR="0071610C" w:rsidRPr="006212FF">
        <w:rPr>
          <w:rFonts w:ascii="Book Antiqua" w:hAnsi="Book Antiqua" w:cstheme="minorHAnsi"/>
        </w:rPr>
        <w:t>mo</w:t>
      </w:r>
      <w:proofErr w:type="spellEnd"/>
      <w:r w:rsidR="0071610C" w:rsidRPr="006212FF">
        <w:rPr>
          <w:rFonts w:ascii="Book Antiqua" w:hAnsi="Book Antiqua" w:cstheme="minorHAnsi"/>
        </w:rPr>
        <w:t>)</w:t>
      </w:r>
      <w:r w:rsidR="000E2467" w:rsidRPr="006212FF">
        <w:rPr>
          <w:rFonts w:ascii="Book Antiqua" w:hAnsi="Book Antiqua" w:cstheme="minorHAnsi"/>
        </w:rPr>
        <w:t xml:space="preserve"> </w:t>
      </w:r>
      <w:r w:rsidR="001D2BCF" w:rsidRPr="006212FF">
        <w:rPr>
          <w:rFonts w:ascii="Book Antiqua" w:hAnsi="Book Antiqua" w:cstheme="minorHAnsi"/>
        </w:rPr>
        <w:t xml:space="preserve">and </w:t>
      </w:r>
      <w:r w:rsidR="00F079C3" w:rsidRPr="006212FF">
        <w:rPr>
          <w:rFonts w:ascii="Book Antiqua" w:hAnsi="Book Antiqua" w:cstheme="minorHAnsi"/>
        </w:rPr>
        <w:t xml:space="preserve">EVR (19 months). No </w:t>
      </w:r>
      <w:r w:rsidR="001D2BCF" w:rsidRPr="006212FF">
        <w:rPr>
          <w:rFonts w:ascii="Book Antiqua" w:hAnsi="Book Antiqua" w:cstheme="minorHAnsi"/>
        </w:rPr>
        <w:t xml:space="preserve">mortality data </w:t>
      </w:r>
      <w:r w:rsidR="0071610C" w:rsidRPr="006212FF">
        <w:rPr>
          <w:rFonts w:ascii="Book Antiqua" w:hAnsi="Book Antiqua" w:cstheme="minorHAnsi"/>
        </w:rPr>
        <w:t xml:space="preserve">was presented </w:t>
      </w:r>
      <w:r w:rsidR="00F079C3" w:rsidRPr="006212FF">
        <w:rPr>
          <w:rFonts w:ascii="Book Antiqua" w:hAnsi="Book Antiqua" w:cstheme="minorHAnsi"/>
        </w:rPr>
        <w:t>in this review</w:t>
      </w:r>
      <w:r w:rsidR="001D2BCF" w:rsidRPr="006212FF">
        <w:rPr>
          <w:rFonts w:ascii="Book Antiqua" w:hAnsi="Book Antiqua" w:cstheme="minorHAnsi"/>
        </w:rPr>
        <w:t>.</w:t>
      </w:r>
    </w:p>
    <w:p w14:paraId="51805EA7" w14:textId="77777777" w:rsidR="00D033C2" w:rsidRPr="006212FF" w:rsidRDefault="00D033C2" w:rsidP="006212FF">
      <w:pPr>
        <w:spacing w:after="0" w:line="360" w:lineRule="auto"/>
        <w:jc w:val="both"/>
        <w:rPr>
          <w:rFonts w:ascii="Book Antiqua" w:hAnsi="Book Antiqua" w:cstheme="minorHAnsi"/>
          <w:sz w:val="24"/>
          <w:szCs w:val="24"/>
        </w:rPr>
      </w:pPr>
    </w:p>
    <w:p w14:paraId="44BC02C3" w14:textId="7E65DF75" w:rsidR="00C902EA" w:rsidRPr="00562BA7" w:rsidRDefault="004A3410" w:rsidP="00562BA7">
      <w:pPr>
        <w:pStyle w:val="ListParagraph"/>
        <w:spacing w:after="0" w:line="360" w:lineRule="auto"/>
        <w:ind w:left="0"/>
        <w:jc w:val="both"/>
        <w:rPr>
          <w:rFonts w:ascii="Book Antiqua" w:hAnsi="Book Antiqua" w:cstheme="minorHAnsi"/>
          <w:b/>
          <w:i/>
          <w:sz w:val="24"/>
          <w:szCs w:val="24"/>
        </w:rPr>
      </w:pPr>
      <w:r w:rsidRPr="00562BA7">
        <w:rPr>
          <w:rFonts w:ascii="Book Antiqua" w:hAnsi="Book Antiqua" w:cstheme="minorHAnsi"/>
          <w:b/>
          <w:i/>
          <w:sz w:val="24"/>
          <w:szCs w:val="24"/>
        </w:rPr>
        <w:t>Hepatitis C</w:t>
      </w:r>
      <w:r w:rsidR="00DF2C93" w:rsidRPr="00562BA7">
        <w:rPr>
          <w:rFonts w:ascii="Book Antiqua" w:hAnsi="Book Antiqua" w:cstheme="minorHAnsi"/>
          <w:b/>
          <w:i/>
          <w:sz w:val="24"/>
          <w:szCs w:val="24"/>
        </w:rPr>
        <w:t xml:space="preserve"> and liver fibrosis</w:t>
      </w:r>
    </w:p>
    <w:p w14:paraId="7BC2C15D" w14:textId="31F19C3D" w:rsidR="00E635E4" w:rsidRPr="006212FF" w:rsidRDefault="004D6E9A" w:rsidP="006212FF">
      <w:pPr>
        <w:spacing w:after="0" w:line="360" w:lineRule="auto"/>
        <w:jc w:val="both"/>
        <w:rPr>
          <w:rFonts w:ascii="Book Antiqua" w:hAnsi="Book Antiqua" w:cstheme="minorHAnsi"/>
          <w:sz w:val="24"/>
          <w:szCs w:val="24"/>
        </w:rPr>
      </w:pPr>
      <w:r w:rsidRPr="006212FF">
        <w:rPr>
          <w:rFonts w:ascii="Book Antiqua" w:hAnsi="Book Antiqua" w:cstheme="minorHAnsi"/>
          <w:sz w:val="24"/>
          <w:szCs w:val="24"/>
        </w:rPr>
        <w:t>In an open-label multi</w:t>
      </w:r>
      <w:r w:rsidR="00EC0A83" w:rsidRPr="006212FF">
        <w:rPr>
          <w:rFonts w:ascii="Book Antiqua" w:hAnsi="Book Antiqua" w:cstheme="minorHAnsi"/>
          <w:sz w:val="24"/>
          <w:szCs w:val="24"/>
        </w:rPr>
        <w:t>-</w:t>
      </w:r>
      <w:r w:rsidRPr="006212FF">
        <w:rPr>
          <w:rFonts w:ascii="Book Antiqua" w:hAnsi="Book Antiqua" w:cstheme="minorHAnsi"/>
          <w:sz w:val="24"/>
          <w:szCs w:val="24"/>
        </w:rPr>
        <w:t xml:space="preserve">center </w:t>
      </w:r>
      <w:proofErr w:type="spellStart"/>
      <w:r w:rsidRPr="006212FF">
        <w:rPr>
          <w:rFonts w:ascii="Book Antiqua" w:hAnsi="Book Antiqua" w:cstheme="minorHAnsi"/>
          <w:sz w:val="24"/>
          <w:szCs w:val="24"/>
        </w:rPr>
        <w:t>randomised</w:t>
      </w:r>
      <w:proofErr w:type="spellEnd"/>
      <w:r w:rsidRPr="006212FF">
        <w:rPr>
          <w:rFonts w:ascii="Book Antiqua" w:hAnsi="Book Antiqua" w:cstheme="minorHAnsi"/>
          <w:sz w:val="24"/>
          <w:szCs w:val="24"/>
        </w:rPr>
        <w:t xml:space="preserve"> study, </w:t>
      </w:r>
      <w:r w:rsidR="00E635E4" w:rsidRPr="006212FF">
        <w:rPr>
          <w:rFonts w:ascii="Book Antiqua" w:hAnsi="Book Antiqua" w:cstheme="minorHAnsi"/>
          <w:sz w:val="24"/>
          <w:szCs w:val="24"/>
        </w:rPr>
        <w:t>conversion to EVR delay</w:t>
      </w:r>
      <w:r w:rsidR="00EC0A83" w:rsidRPr="006212FF">
        <w:rPr>
          <w:rFonts w:ascii="Book Antiqua" w:hAnsi="Book Antiqua" w:cstheme="minorHAnsi"/>
          <w:sz w:val="24"/>
          <w:szCs w:val="24"/>
        </w:rPr>
        <w:t>ed</w:t>
      </w:r>
      <w:r w:rsidR="000E2467" w:rsidRPr="006212FF">
        <w:rPr>
          <w:rFonts w:ascii="Book Antiqua" w:hAnsi="Book Antiqua" w:cstheme="minorHAnsi"/>
          <w:sz w:val="24"/>
          <w:szCs w:val="24"/>
        </w:rPr>
        <w:t xml:space="preserve"> </w:t>
      </w:r>
      <w:r w:rsidR="00EC0A83" w:rsidRPr="006212FF">
        <w:rPr>
          <w:rFonts w:ascii="Book Antiqua" w:hAnsi="Book Antiqua" w:cstheme="minorHAnsi"/>
          <w:sz w:val="24"/>
          <w:szCs w:val="24"/>
        </w:rPr>
        <w:t xml:space="preserve">histological </w:t>
      </w:r>
      <w:r w:rsidR="00E635E4" w:rsidRPr="006212FF">
        <w:rPr>
          <w:rFonts w:ascii="Book Antiqua" w:hAnsi="Book Antiqua" w:cstheme="minorHAnsi"/>
          <w:sz w:val="24"/>
          <w:szCs w:val="24"/>
        </w:rPr>
        <w:t xml:space="preserve">fibrosis progression in </w:t>
      </w:r>
      <w:r w:rsidRPr="006212FF">
        <w:rPr>
          <w:rFonts w:ascii="Book Antiqua" w:hAnsi="Book Antiqua" w:cstheme="minorHAnsi"/>
          <w:sz w:val="24"/>
          <w:szCs w:val="24"/>
        </w:rPr>
        <w:t>43</w:t>
      </w:r>
      <w:r w:rsidR="00EC0A83" w:rsidRPr="006212FF">
        <w:rPr>
          <w:rFonts w:ascii="Book Antiqua" w:hAnsi="Book Antiqua" w:cstheme="minorHAnsi"/>
          <w:sz w:val="24"/>
          <w:szCs w:val="24"/>
        </w:rPr>
        <w:t xml:space="preserve"> LT</w:t>
      </w:r>
      <w:r w:rsidR="000E2467" w:rsidRPr="006212FF">
        <w:rPr>
          <w:rFonts w:ascii="Book Antiqua" w:hAnsi="Book Antiqua" w:cstheme="minorHAnsi"/>
          <w:sz w:val="24"/>
          <w:szCs w:val="24"/>
        </w:rPr>
        <w:t xml:space="preserve"> </w:t>
      </w:r>
      <w:r w:rsidR="00EC0A83" w:rsidRPr="006212FF">
        <w:rPr>
          <w:rFonts w:ascii="Book Antiqua" w:hAnsi="Book Antiqua" w:cstheme="minorHAnsi"/>
          <w:sz w:val="24"/>
          <w:szCs w:val="24"/>
        </w:rPr>
        <w:t>reci</w:t>
      </w:r>
      <w:r w:rsidR="00E635E4" w:rsidRPr="006212FF">
        <w:rPr>
          <w:rFonts w:ascii="Book Antiqua" w:hAnsi="Book Antiqua" w:cstheme="minorHAnsi"/>
          <w:sz w:val="24"/>
          <w:szCs w:val="24"/>
        </w:rPr>
        <w:t>pient</w:t>
      </w:r>
      <w:r w:rsidR="00361C58" w:rsidRPr="006212FF">
        <w:rPr>
          <w:rFonts w:ascii="Book Antiqua" w:hAnsi="Book Antiqua" w:cstheme="minorHAnsi"/>
          <w:sz w:val="24"/>
          <w:szCs w:val="24"/>
        </w:rPr>
        <w:t xml:space="preserve">s with </w:t>
      </w:r>
      <w:r w:rsidR="00EC0A83" w:rsidRPr="006212FF">
        <w:rPr>
          <w:rFonts w:ascii="Book Antiqua" w:hAnsi="Book Antiqua" w:cstheme="minorHAnsi"/>
          <w:sz w:val="24"/>
          <w:szCs w:val="24"/>
        </w:rPr>
        <w:t>HCV</w:t>
      </w:r>
      <w:r w:rsidR="00361C58" w:rsidRPr="006212FF">
        <w:rPr>
          <w:rFonts w:ascii="Book Antiqua" w:hAnsi="Book Antiqua" w:cstheme="minorHAnsi"/>
          <w:sz w:val="24"/>
          <w:szCs w:val="24"/>
        </w:rPr>
        <w:t xml:space="preserve"> recurrence as compared to FK-based immunosuppressive </w:t>
      </w:r>
      <w:proofErr w:type="gramStart"/>
      <w:r w:rsidR="00EC0A83" w:rsidRPr="006212FF">
        <w:rPr>
          <w:rFonts w:ascii="Book Antiqua" w:hAnsi="Book Antiqua" w:cstheme="minorHAnsi"/>
          <w:sz w:val="24"/>
          <w:szCs w:val="24"/>
        </w:rPr>
        <w:t>therapy</w:t>
      </w:r>
      <w:r w:rsidR="0029301E" w:rsidRPr="006212FF">
        <w:rPr>
          <w:rFonts w:ascii="Book Antiqua" w:hAnsi="Book Antiqua" w:cstheme="minorHAnsi"/>
          <w:sz w:val="24"/>
          <w:szCs w:val="24"/>
          <w:vertAlign w:val="superscript"/>
        </w:rPr>
        <w:t>[</w:t>
      </w:r>
      <w:proofErr w:type="gramEnd"/>
      <w:r w:rsidR="0029301E" w:rsidRPr="006212FF">
        <w:rPr>
          <w:rFonts w:ascii="Book Antiqua" w:hAnsi="Book Antiqua" w:cstheme="minorHAnsi"/>
          <w:sz w:val="24"/>
          <w:szCs w:val="24"/>
          <w:vertAlign w:val="superscript"/>
        </w:rPr>
        <w:t>38]</w:t>
      </w:r>
      <w:r w:rsidR="00D033C2" w:rsidRPr="006212FF">
        <w:rPr>
          <w:rFonts w:ascii="Book Antiqua" w:hAnsi="Book Antiqua" w:cstheme="minorHAnsi"/>
          <w:sz w:val="24"/>
          <w:szCs w:val="24"/>
        </w:rPr>
        <w:t>.</w:t>
      </w:r>
      <w:r w:rsidR="006212FF">
        <w:rPr>
          <w:rFonts w:ascii="Book Antiqua" w:hAnsi="Book Antiqua" w:cstheme="minorHAnsi"/>
          <w:sz w:val="24"/>
          <w:szCs w:val="24"/>
        </w:rPr>
        <w:t xml:space="preserve"> </w:t>
      </w:r>
      <w:r w:rsidR="00DF2C93" w:rsidRPr="006212FF">
        <w:rPr>
          <w:rFonts w:ascii="Book Antiqua" w:hAnsi="Book Antiqua" w:cstheme="minorHAnsi"/>
          <w:sz w:val="24"/>
          <w:szCs w:val="24"/>
        </w:rPr>
        <w:t xml:space="preserve">However, this potential benefit was not observed in the extended H2304 study, where </w:t>
      </w:r>
      <w:r w:rsidR="00FE0732" w:rsidRPr="006212FF">
        <w:rPr>
          <w:rFonts w:ascii="Book Antiqua" w:hAnsi="Book Antiqua" w:cstheme="minorHAnsi"/>
          <w:sz w:val="24"/>
          <w:szCs w:val="24"/>
        </w:rPr>
        <w:t xml:space="preserve">no significant difference in </w:t>
      </w:r>
      <w:r w:rsidR="00EC0A83" w:rsidRPr="006212FF">
        <w:rPr>
          <w:rFonts w:ascii="Book Antiqua" w:hAnsi="Book Antiqua" w:cstheme="minorHAnsi"/>
          <w:sz w:val="24"/>
          <w:szCs w:val="24"/>
        </w:rPr>
        <w:t xml:space="preserve">histological fibrosis </w:t>
      </w:r>
      <w:r w:rsidR="000A47D6" w:rsidRPr="006212FF">
        <w:rPr>
          <w:rFonts w:ascii="Book Antiqua" w:hAnsi="Book Antiqua" w:cstheme="minorHAnsi"/>
          <w:sz w:val="24"/>
          <w:szCs w:val="24"/>
        </w:rPr>
        <w:t>s</w:t>
      </w:r>
      <w:r w:rsidR="00FE0732" w:rsidRPr="006212FF">
        <w:rPr>
          <w:rFonts w:ascii="Book Antiqua" w:hAnsi="Book Antiqua" w:cstheme="minorHAnsi"/>
          <w:sz w:val="24"/>
          <w:szCs w:val="24"/>
        </w:rPr>
        <w:t>core</w:t>
      </w:r>
      <w:r w:rsidR="00EC0A83" w:rsidRPr="006212FF">
        <w:rPr>
          <w:rFonts w:ascii="Book Antiqua" w:hAnsi="Book Antiqua" w:cstheme="minorHAnsi"/>
          <w:sz w:val="24"/>
          <w:szCs w:val="24"/>
        </w:rPr>
        <w:t>s</w:t>
      </w:r>
      <w:r w:rsidR="00FE0732" w:rsidRPr="006212FF">
        <w:rPr>
          <w:rFonts w:ascii="Book Antiqua" w:hAnsi="Book Antiqua" w:cstheme="minorHAnsi"/>
          <w:sz w:val="24"/>
          <w:szCs w:val="24"/>
        </w:rPr>
        <w:t xml:space="preserve"> between </w:t>
      </w:r>
      <w:r w:rsidR="00EC0A83" w:rsidRPr="006212FF">
        <w:rPr>
          <w:rFonts w:ascii="Book Antiqua" w:hAnsi="Book Antiqua" w:cstheme="minorHAnsi"/>
          <w:sz w:val="24"/>
          <w:szCs w:val="24"/>
        </w:rPr>
        <w:t xml:space="preserve">the </w:t>
      </w:r>
      <w:r w:rsidR="00FE0732" w:rsidRPr="006212FF">
        <w:rPr>
          <w:rFonts w:ascii="Book Antiqua" w:hAnsi="Book Antiqua" w:cstheme="minorHAnsi"/>
          <w:sz w:val="24"/>
          <w:szCs w:val="24"/>
        </w:rPr>
        <w:t xml:space="preserve">EVR and control groups </w:t>
      </w:r>
      <w:r w:rsidR="00DF2C93" w:rsidRPr="006212FF">
        <w:rPr>
          <w:rFonts w:ascii="Book Antiqua" w:hAnsi="Book Antiqua" w:cstheme="minorHAnsi"/>
          <w:sz w:val="24"/>
          <w:szCs w:val="24"/>
        </w:rPr>
        <w:t xml:space="preserve">was reported </w:t>
      </w:r>
      <w:r w:rsidR="00FE0732" w:rsidRPr="006212FF">
        <w:rPr>
          <w:rFonts w:ascii="Book Antiqua" w:hAnsi="Book Antiqua" w:cstheme="minorHAnsi"/>
          <w:sz w:val="24"/>
          <w:szCs w:val="24"/>
        </w:rPr>
        <w:t>at the end of 3 year</w:t>
      </w:r>
      <w:r w:rsidR="00A04055" w:rsidRPr="006212FF">
        <w:rPr>
          <w:rFonts w:ascii="Book Antiqua" w:hAnsi="Book Antiqua" w:cstheme="minorHAnsi"/>
          <w:sz w:val="24"/>
          <w:szCs w:val="24"/>
        </w:rPr>
        <w:t>s</w:t>
      </w:r>
      <w:r w:rsidR="00DF2C93" w:rsidRPr="006212FF">
        <w:rPr>
          <w:rFonts w:ascii="Book Antiqua" w:hAnsi="Book Antiqua" w:cstheme="minorHAnsi"/>
          <w:sz w:val="24"/>
          <w:szCs w:val="24"/>
        </w:rPr>
        <w:t xml:space="preserve"> of follow-</w:t>
      </w:r>
      <w:proofErr w:type="gramStart"/>
      <w:r w:rsidR="00DF2C93" w:rsidRPr="006212FF">
        <w:rPr>
          <w:rFonts w:ascii="Book Antiqua" w:hAnsi="Book Antiqua" w:cstheme="minorHAnsi"/>
          <w:sz w:val="24"/>
          <w:szCs w:val="24"/>
        </w:rPr>
        <w:t>up</w:t>
      </w:r>
      <w:r w:rsidR="0029301E" w:rsidRPr="006212FF">
        <w:rPr>
          <w:rFonts w:ascii="Book Antiqua" w:hAnsi="Book Antiqua" w:cstheme="minorHAnsi"/>
          <w:sz w:val="24"/>
          <w:szCs w:val="24"/>
          <w:vertAlign w:val="superscript"/>
        </w:rPr>
        <w:t>[</w:t>
      </w:r>
      <w:proofErr w:type="gramEnd"/>
      <w:r w:rsidR="0029301E" w:rsidRPr="006212FF">
        <w:rPr>
          <w:rFonts w:ascii="Book Antiqua" w:hAnsi="Book Antiqua" w:cstheme="minorHAnsi"/>
          <w:sz w:val="24"/>
          <w:szCs w:val="24"/>
          <w:vertAlign w:val="superscript"/>
        </w:rPr>
        <w:t>16]</w:t>
      </w:r>
      <w:r w:rsidR="00FE0732" w:rsidRPr="006212FF">
        <w:rPr>
          <w:rFonts w:ascii="Book Antiqua" w:hAnsi="Book Antiqua" w:cstheme="minorHAnsi"/>
          <w:sz w:val="24"/>
          <w:szCs w:val="24"/>
        </w:rPr>
        <w:t xml:space="preserve">. </w:t>
      </w:r>
      <w:r w:rsidR="00DF2C93" w:rsidRPr="006212FF">
        <w:rPr>
          <w:rFonts w:ascii="Book Antiqua" w:hAnsi="Book Antiqua" w:cstheme="minorHAnsi"/>
          <w:sz w:val="24"/>
          <w:szCs w:val="24"/>
        </w:rPr>
        <w:t>Hence, m</w:t>
      </w:r>
      <w:r w:rsidR="004F71C2" w:rsidRPr="006212FF">
        <w:rPr>
          <w:rFonts w:ascii="Book Antiqua" w:hAnsi="Book Antiqua" w:cstheme="minorHAnsi"/>
          <w:sz w:val="24"/>
          <w:szCs w:val="24"/>
        </w:rPr>
        <w:t>ore studies are warranted to confirm</w:t>
      </w:r>
      <w:r w:rsidR="000B4BDD" w:rsidRPr="006212FF">
        <w:rPr>
          <w:rFonts w:ascii="Book Antiqua" w:hAnsi="Book Antiqua" w:cstheme="minorHAnsi"/>
          <w:sz w:val="24"/>
          <w:szCs w:val="24"/>
        </w:rPr>
        <w:t xml:space="preserve"> EVR benefit in delay</w:t>
      </w:r>
      <w:r w:rsidR="00DF2C93" w:rsidRPr="006212FF">
        <w:rPr>
          <w:rFonts w:ascii="Book Antiqua" w:hAnsi="Book Antiqua" w:cstheme="minorHAnsi"/>
          <w:sz w:val="24"/>
          <w:szCs w:val="24"/>
        </w:rPr>
        <w:t>ing liver</w:t>
      </w:r>
      <w:r w:rsidR="000B4BDD" w:rsidRPr="006212FF">
        <w:rPr>
          <w:rFonts w:ascii="Book Antiqua" w:hAnsi="Book Antiqua" w:cstheme="minorHAnsi"/>
          <w:sz w:val="24"/>
          <w:szCs w:val="24"/>
        </w:rPr>
        <w:t xml:space="preserve"> fibrosis progression of hepatitis C.</w:t>
      </w:r>
    </w:p>
    <w:p w14:paraId="7980F468" w14:textId="77777777" w:rsidR="00925649" w:rsidRPr="006212FF" w:rsidRDefault="00925649" w:rsidP="006212FF">
      <w:pPr>
        <w:spacing w:after="0" w:line="360" w:lineRule="auto"/>
        <w:jc w:val="both"/>
        <w:rPr>
          <w:rFonts w:ascii="Book Antiqua" w:hAnsi="Book Antiqua" w:cstheme="minorHAnsi"/>
          <w:sz w:val="24"/>
          <w:szCs w:val="24"/>
        </w:rPr>
      </w:pPr>
    </w:p>
    <w:p w14:paraId="632D4213" w14:textId="317AE9B7" w:rsidR="00925649" w:rsidRPr="006212FF" w:rsidRDefault="00562BA7" w:rsidP="006212FF">
      <w:pPr>
        <w:spacing w:after="0" w:line="360" w:lineRule="auto"/>
        <w:jc w:val="both"/>
        <w:rPr>
          <w:rFonts w:ascii="Book Antiqua" w:hAnsi="Book Antiqua"/>
          <w:b/>
          <w:sz w:val="24"/>
          <w:szCs w:val="24"/>
        </w:rPr>
      </w:pPr>
      <w:r w:rsidRPr="006212FF">
        <w:rPr>
          <w:rFonts w:ascii="Book Antiqua" w:hAnsi="Book Antiqua"/>
          <w:b/>
          <w:sz w:val="24"/>
          <w:szCs w:val="24"/>
        </w:rPr>
        <w:t>ADVERSE EFFECTS OF EVR</w:t>
      </w:r>
    </w:p>
    <w:p w14:paraId="5A4CBC53" w14:textId="6D5A5D11" w:rsidR="00C95C2A" w:rsidRPr="006212FF" w:rsidRDefault="00925649" w:rsidP="006212FF">
      <w:pPr>
        <w:spacing w:after="0" w:line="360" w:lineRule="auto"/>
        <w:jc w:val="both"/>
        <w:rPr>
          <w:rFonts w:ascii="Book Antiqua" w:hAnsi="Book Antiqua"/>
          <w:sz w:val="24"/>
          <w:szCs w:val="24"/>
        </w:rPr>
      </w:pPr>
      <w:r w:rsidRPr="006212FF">
        <w:rPr>
          <w:rFonts w:ascii="Book Antiqua" w:hAnsi="Book Antiqua"/>
          <w:sz w:val="24"/>
          <w:szCs w:val="24"/>
        </w:rPr>
        <w:t xml:space="preserve">The most common adverse effects of EVR use in LT recipients </w:t>
      </w:r>
      <w:r w:rsidR="007915EC" w:rsidRPr="006212FF">
        <w:rPr>
          <w:rFonts w:ascii="Book Antiqua" w:hAnsi="Book Antiqua"/>
          <w:sz w:val="24"/>
          <w:szCs w:val="24"/>
        </w:rPr>
        <w:t>are infections (50.6%</w:t>
      </w:r>
      <w:r w:rsidR="00D14D83" w:rsidRPr="006212FF">
        <w:rPr>
          <w:rFonts w:ascii="Book Antiqua" w:hAnsi="Book Antiqua"/>
          <w:sz w:val="24"/>
          <w:szCs w:val="24"/>
        </w:rPr>
        <w:t>)</w:t>
      </w:r>
      <w:r w:rsidR="007915EC" w:rsidRPr="006212FF">
        <w:rPr>
          <w:rFonts w:ascii="Book Antiqua" w:hAnsi="Book Antiqua"/>
          <w:sz w:val="24"/>
          <w:szCs w:val="24"/>
        </w:rPr>
        <w:t xml:space="preserve">, </w:t>
      </w:r>
      <w:proofErr w:type="spellStart"/>
      <w:r w:rsidRPr="006212FF">
        <w:rPr>
          <w:rFonts w:ascii="Book Antiqua" w:hAnsi="Book Antiqua"/>
          <w:sz w:val="24"/>
          <w:szCs w:val="24"/>
        </w:rPr>
        <w:t>hyperlipidaemia</w:t>
      </w:r>
      <w:proofErr w:type="spellEnd"/>
      <w:r w:rsidR="00D14D83" w:rsidRPr="006212FF">
        <w:rPr>
          <w:rFonts w:ascii="Book Antiqua" w:hAnsi="Book Antiqua"/>
          <w:sz w:val="24"/>
          <w:szCs w:val="24"/>
        </w:rPr>
        <w:t xml:space="preserve"> (23.7%)</w:t>
      </w:r>
      <w:r w:rsidRPr="006212FF">
        <w:rPr>
          <w:rFonts w:ascii="Book Antiqua" w:hAnsi="Book Antiqua"/>
          <w:sz w:val="24"/>
          <w:szCs w:val="24"/>
        </w:rPr>
        <w:t>, hypertension</w:t>
      </w:r>
      <w:r w:rsidR="00D14D83" w:rsidRPr="006212FF">
        <w:rPr>
          <w:rFonts w:ascii="Book Antiqua" w:hAnsi="Book Antiqua"/>
          <w:sz w:val="24"/>
          <w:szCs w:val="24"/>
        </w:rPr>
        <w:t xml:space="preserve"> (18.0%)</w:t>
      </w:r>
      <w:r w:rsidRPr="006212FF">
        <w:rPr>
          <w:rFonts w:ascii="Book Antiqua" w:hAnsi="Book Antiqua"/>
          <w:sz w:val="24"/>
          <w:szCs w:val="24"/>
        </w:rPr>
        <w:t xml:space="preserve">, </w:t>
      </w:r>
      <w:r w:rsidR="00D14D83" w:rsidRPr="006212FF">
        <w:rPr>
          <w:rFonts w:ascii="Book Antiqua" w:hAnsi="Book Antiqua"/>
          <w:sz w:val="24"/>
          <w:szCs w:val="24"/>
        </w:rPr>
        <w:t xml:space="preserve">peripheral </w:t>
      </w:r>
      <w:proofErr w:type="spellStart"/>
      <w:r w:rsidR="00D14D83" w:rsidRPr="006212FF">
        <w:rPr>
          <w:rFonts w:ascii="Book Antiqua" w:hAnsi="Book Antiqua"/>
          <w:sz w:val="24"/>
          <w:szCs w:val="24"/>
        </w:rPr>
        <w:t>oedema</w:t>
      </w:r>
      <w:proofErr w:type="spellEnd"/>
      <w:r w:rsidR="00D14D83" w:rsidRPr="006212FF">
        <w:rPr>
          <w:rFonts w:ascii="Book Antiqua" w:hAnsi="Book Antiqua"/>
          <w:sz w:val="24"/>
          <w:szCs w:val="24"/>
        </w:rPr>
        <w:t xml:space="preserve"> (17.6%), leukopenia (14.3%), </w:t>
      </w:r>
      <w:r w:rsidRPr="006212FF">
        <w:rPr>
          <w:rFonts w:ascii="Book Antiqua" w:hAnsi="Book Antiqua"/>
          <w:sz w:val="24"/>
          <w:szCs w:val="24"/>
        </w:rPr>
        <w:t xml:space="preserve">and </w:t>
      </w:r>
      <w:r w:rsidR="007915EC" w:rsidRPr="006212FF">
        <w:rPr>
          <w:rFonts w:ascii="Book Antiqua" w:hAnsi="Book Antiqua"/>
          <w:sz w:val="24"/>
          <w:szCs w:val="24"/>
        </w:rPr>
        <w:t>wound healing impairment</w:t>
      </w:r>
      <w:r w:rsidR="00D14D83" w:rsidRPr="006212FF">
        <w:rPr>
          <w:rFonts w:ascii="Book Antiqua" w:hAnsi="Book Antiqua"/>
          <w:sz w:val="24"/>
          <w:szCs w:val="24"/>
        </w:rPr>
        <w:t xml:space="preserve"> (11.0%)</w:t>
      </w:r>
      <w:r w:rsidR="00562BA7">
        <w:rPr>
          <w:rFonts w:ascii="Book Antiqua" w:hAnsi="Book Antiqua"/>
          <w:sz w:val="24"/>
          <w:szCs w:val="24"/>
          <w:vertAlign w:val="superscript"/>
        </w:rPr>
        <w:t>[8,</w:t>
      </w:r>
      <w:r w:rsidR="0029301E" w:rsidRPr="006212FF">
        <w:rPr>
          <w:rFonts w:ascii="Book Antiqua" w:hAnsi="Book Antiqua"/>
          <w:sz w:val="24"/>
          <w:szCs w:val="24"/>
          <w:vertAlign w:val="superscript"/>
        </w:rPr>
        <w:t>9]</w:t>
      </w:r>
      <w:r w:rsidRPr="006212FF">
        <w:rPr>
          <w:rFonts w:ascii="Book Antiqua" w:hAnsi="Book Antiqua"/>
          <w:sz w:val="24"/>
          <w:szCs w:val="24"/>
        </w:rPr>
        <w:t xml:space="preserve">. </w:t>
      </w:r>
      <w:r w:rsidR="00A956E8" w:rsidRPr="006212FF">
        <w:rPr>
          <w:rFonts w:ascii="Book Antiqua" w:hAnsi="Book Antiqua"/>
          <w:sz w:val="24"/>
          <w:szCs w:val="24"/>
        </w:rPr>
        <w:t xml:space="preserve">In </w:t>
      </w:r>
      <w:r w:rsidR="00074026" w:rsidRPr="006212FF">
        <w:rPr>
          <w:rFonts w:ascii="Book Antiqua" w:hAnsi="Book Antiqua"/>
          <w:sz w:val="24"/>
          <w:szCs w:val="24"/>
        </w:rPr>
        <w:t xml:space="preserve">a </w:t>
      </w:r>
      <w:r w:rsidR="00A956E8" w:rsidRPr="006212FF">
        <w:rPr>
          <w:rFonts w:ascii="Book Antiqua" w:hAnsi="Book Antiqua"/>
          <w:sz w:val="24"/>
          <w:szCs w:val="24"/>
        </w:rPr>
        <w:t xml:space="preserve">phase II study, </w:t>
      </w:r>
      <w:r w:rsidR="00074026" w:rsidRPr="006212FF">
        <w:rPr>
          <w:rFonts w:ascii="Book Antiqua" w:hAnsi="Book Antiqua"/>
          <w:sz w:val="24"/>
          <w:szCs w:val="24"/>
        </w:rPr>
        <w:t xml:space="preserve">the </w:t>
      </w:r>
      <w:r w:rsidR="00A956E8" w:rsidRPr="006212FF">
        <w:rPr>
          <w:rFonts w:ascii="Book Antiqua" w:hAnsi="Book Antiqua"/>
          <w:sz w:val="24"/>
          <w:szCs w:val="24"/>
        </w:rPr>
        <w:t>incidence of adverse effects was higher in patients with higher daily EVR dose</w:t>
      </w:r>
      <w:r w:rsidR="00074026" w:rsidRPr="006212FF">
        <w:rPr>
          <w:rFonts w:ascii="Book Antiqua" w:hAnsi="Book Antiqua"/>
          <w:sz w:val="24"/>
          <w:szCs w:val="24"/>
        </w:rPr>
        <w:t>s,</w:t>
      </w:r>
      <w:r w:rsidR="00A956E8" w:rsidRPr="006212FF">
        <w:rPr>
          <w:rFonts w:ascii="Book Antiqua" w:hAnsi="Book Antiqua"/>
          <w:sz w:val="24"/>
          <w:szCs w:val="24"/>
        </w:rPr>
        <w:t xml:space="preserve"> especially </w:t>
      </w:r>
      <w:r w:rsidR="00074026" w:rsidRPr="006212FF">
        <w:rPr>
          <w:rFonts w:ascii="Book Antiqua" w:hAnsi="Book Antiqua"/>
          <w:sz w:val="24"/>
          <w:szCs w:val="24"/>
        </w:rPr>
        <w:t>&gt;</w:t>
      </w:r>
      <w:r w:rsidR="00A956E8" w:rsidRPr="006212FF">
        <w:rPr>
          <w:rFonts w:ascii="Book Antiqua" w:hAnsi="Book Antiqua"/>
          <w:sz w:val="24"/>
          <w:szCs w:val="24"/>
        </w:rPr>
        <w:t xml:space="preserve"> 4</w:t>
      </w:r>
      <w:r w:rsidR="00562BA7">
        <w:rPr>
          <w:rFonts w:ascii="Book Antiqua" w:hAnsi="Book Antiqua" w:hint="eastAsia"/>
          <w:sz w:val="24"/>
          <w:szCs w:val="24"/>
        </w:rPr>
        <w:t xml:space="preserve"> </w:t>
      </w:r>
      <w:r w:rsidR="00562BA7">
        <w:rPr>
          <w:rFonts w:ascii="Book Antiqua" w:hAnsi="Book Antiqua"/>
          <w:sz w:val="24"/>
          <w:szCs w:val="24"/>
        </w:rPr>
        <w:t>mg/</w:t>
      </w:r>
      <w:proofErr w:type="gramStart"/>
      <w:r w:rsidR="00562BA7">
        <w:rPr>
          <w:rFonts w:ascii="Book Antiqua" w:hAnsi="Book Antiqua"/>
          <w:sz w:val="24"/>
          <w:szCs w:val="24"/>
        </w:rPr>
        <w:t>d</w:t>
      </w:r>
      <w:r w:rsidR="0029301E" w:rsidRPr="006212FF">
        <w:rPr>
          <w:rFonts w:ascii="Book Antiqua" w:hAnsi="Book Antiqua"/>
          <w:sz w:val="24"/>
          <w:szCs w:val="24"/>
          <w:vertAlign w:val="superscript"/>
        </w:rPr>
        <w:t>[</w:t>
      </w:r>
      <w:proofErr w:type="gramEnd"/>
      <w:r w:rsidR="0029301E" w:rsidRPr="006212FF">
        <w:rPr>
          <w:rFonts w:ascii="Book Antiqua" w:hAnsi="Book Antiqua"/>
          <w:sz w:val="24"/>
          <w:szCs w:val="24"/>
          <w:vertAlign w:val="superscript"/>
        </w:rPr>
        <w:t>11]</w:t>
      </w:r>
      <w:r w:rsidR="00A956E8" w:rsidRPr="006212FF">
        <w:rPr>
          <w:rFonts w:ascii="Book Antiqua" w:hAnsi="Book Antiqua"/>
          <w:sz w:val="24"/>
          <w:szCs w:val="24"/>
        </w:rPr>
        <w:t xml:space="preserve">. </w:t>
      </w:r>
      <w:r w:rsidR="00C95C2A" w:rsidRPr="006212FF">
        <w:rPr>
          <w:rFonts w:ascii="Book Antiqua" w:hAnsi="Book Antiqua"/>
          <w:sz w:val="24"/>
          <w:szCs w:val="24"/>
        </w:rPr>
        <w:t xml:space="preserve">In </w:t>
      </w:r>
      <w:r w:rsidR="00C95C2A" w:rsidRPr="006212FF">
        <w:rPr>
          <w:rFonts w:ascii="Book Antiqua" w:hAnsi="Book Antiqua"/>
          <w:i/>
          <w:sz w:val="24"/>
          <w:szCs w:val="24"/>
        </w:rPr>
        <w:t>de novo</w:t>
      </w:r>
      <w:r w:rsidR="00C95C2A" w:rsidRPr="006212FF">
        <w:rPr>
          <w:rFonts w:ascii="Book Antiqua" w:hAnsi="Book Antiqua"/>
          <w:sz w:val="24"/>
          <w:szCs w:val="24"/>
        </w:rPr>
        <w:t xml:space="preserve"> LT, t</w:t>
      </w:r>
      <w:r w:rsidRPr="006212FF">
        <w:rPr>
          <w:rFonts w:ascii="Book Antiqua" w:hAnsi="Book Antiqua"/>
          <w:sz w:val="24"/>
          <w:szCs w:val="24"/>
        </w:rPr>
        <w:t xml:space="preserve">he discontinuation of EVR due to adverse effects was higher in </w:t>
      </w:r>
      <w:r w:rsidR="00074026" w:rsidRPr="006212FF">
        <w:rPr>
          <w:rFonts w:ascii="Book Antiqua" w:hAnsi="Book Antiqua"/>
          <w:sz w:val="24"/>
          <w:szCs w:val="24"/>
        </w:rPr>
        <w:t xml:space="preserve">the </w:t>
      </w:r>
      <w:r w:rsidRPr="006212FF">
        <w:rPr>
          <w:rFonts w:ascii="Book Antiqua" w:hAnsi="Book Antiqua"/>
          <w:sz w:val="24"/>
          <w:szCs w:val="24"/>
        </w:rPr>
        <w:t xml:space="preserve">EVR group, 25.7%, which was nearly double of the control (14.1%) in this </w:t>
      </w:r>
      <w:proofErr w:type="gramStart"/>
      <w:r w:rsidRPr="006212FF">
        <w:rPr>
          <w:rFonts w:ascii="Book Antiqua" w:hAnsi="Book Antiqua"/>
          <w:sz w:val="24"/>
          <w:szCs w:val="24"/>
        </w:rPr>
        <w:t>study</w:t>
      </w:r>
      <w:r w:rsidR="0029301E" w:rsidRPr="006212FF">
        <w:rPr>
          <w:rFonts w:ascii="Book Antiqua" w:hAnsi="Book Antiqua"/>
          <w:sz w:val="24"/>
          <w:szCs w:val="24"/>
          <w:vertAlign w:val="superscript"/>
        </w:rPr>
        <w:t>[</w:t>
      </w:r>
      <w:proofErr w:type="gramEnd"/>
      <w:r w:rsidR="0029301E" w:rsidRPr="006212FF">
        <w:rPr>
          <w:rFonts w:ascii="Book Antiqua" w:hAnsi="Book Antiqua"/>
          <w:sz w:val="24"/>
          <w:szCs w:val="24"/>
          <w:vertAlign w:val="superscript"/>
        </w:rPr>
        <w:t>16]</w:t>
      </w:r>
      <w:r w:rsidRPr="006212FF">
        <w:rPr>
          <w:rFonts w:ascii="Book Antiqua" w:hAnsi="Book Antiqua"/>
          <w:sz w:val="24"/>
          <w:szCs w:val="24"/>
        </w:rPr>
        <w:t>. The common adverse effects that led to EVR discontinuation w</w:t>
      </w:r>
      <w:r w:rsidR="00074026" w:rsidRPr="006212FF">
        <w:rPr>
          <w:rFonts w:ascii="Book Antiqua" w:hAnsi="Book Antiqua"/>
          <w:sz w:val="24"/>
          <w:szCs w:val="24"/>
        </w:rPr>
        <w:t>ere</w:t>
      </w:r>
      <w:r w:rsidRPr="006212FF">
        <w:rPr>
          <w:rFonts w:ascii="Book Antiqua" w:hAnsi="Book Antiqua"/>
          <w:sz w:val="24"/>
          <w:szCs w:val="24"/>
        </w:rPr>
        <w:t xml:space="preserve"> proteinuria, delay</w:t>
      </w:r>
      <w:r w:rsidR="00641A68" w:rsidRPr="006212FF">
        <w:rPr>
          <w:rFonts w:ascii="Book Antiqua" w:hAnsi="Book Antiqua"/>
          <w:sz w:val="24"/>
          <w:szCs w:val="24"/>
        </w:rPr>
        <w:t>ed</w:t>
      </w:r>
      <w:r w:rsidRPr="006212FF">
        <w:rPr>
          <w:rFonts w:ascii="Book Antiqua" w:hAnsi="Book Antiqua"/>
          <w:sz w:val="24"/>
          <w:szCs w:val="24"/>
        </w:rPr>
        <w:t xml:space="preserve"> wound healing, pancytopenia, leukopenia and thrombocytopenia.</w:t>
      </w:r>
      <w:r w:rsidR="00C95C2A" w:rsidRPr="006212FF">
        <w:rPr>
          <w:rFonts w:ascii="Book Antiqua" w:hAnsi="Book Antiqua"/>
          <w:sz w:val="24"/>
          <w:szCs w:val="24"/>
        </w:rPr>
        <w:t xml:space="preserve"> </w:t>
      </w:r>
    </w:p>
    <w:p w14:paraId="4CE1ABCC" w14:textId="2D17FF24" w:rsidR="007E54C8" w:rsidRPr="006212FF" w:rsidRDefault="00074026" w:rsidP="00562BA7">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In </w:t>
      </w:r>
      <w:r w:rsidR="00C95C2A" w:rsidRPr="006212FF">
        <w:rPr>
          <w:rFonts w:ascii="Book Antiqua" w:hAnsi="Book Antiqua"/>
          <w:sz w:val="24"/>
          <w:szCs w:val="24"/>
        </w:rPr>
        <w:t xml:space="preserve">maintenance therapy, </w:t>
      </w:r>
      <w:r w:rsidR="00925649" w:rsidRPr="006212FF">
        <w:rPr>
          <w:rFonts w:ascii="Book Antiqua" w:hAnsi="Book Antiqua"/>
          <w:sz w:val="24"/>
          <w:szCs w:val="24"/>
        </w:rPr>
        <w:t>22% of patients discontinued EVR due to adverse effect</w:t>
      </w:r>
      <w:r w:rsidRPr="006212FF">
        <w:rPr>
          <w:rFonts w:ascii="Book Antiqua" w:hAnsi="Book Antiqua"/>
          <w:sz w:val="24"/>
          <w:szCs w:val="24"/>
        </w:rPr>
        <w:t>s</w:t>
      </w:r>
      <w:r w:rsidR="00925649" w:rsidRPr="006212FF">
        <w:rPr>
          <w:rFonts w:ascii="Book Antiqua" w:hAnsi="Book Antiqua"/>
          <w:sz w:val="24"/>
          <w:szCs w:val="24"/>
        </w:rPr>
        <w:t xml:space="preserve"> while no patient</w:t>
      </w:r>
      <w:r w:rsidRPr="006212FF">
        <w:rPr>
          <w:rFonts w:ascii="Book Antiqua" w:hAnsi="Book Antiqua"/>
          <w:sz w:val="24"/>
          <w:szCs w:val="24"/>
        </w:rPr>
        <w:t>s</w:t>
      </w:r>
      <w:r w:rsidR="00925649" w:rsidRPr="006212FF">
        <w:rPr>
          <w:rFonts w:ascii="Book Antiqua" w:hAnsi="Book Antiqua"/>
          <w:sz w:val="24"/>
          <w:szCs w:val="24"/>
        </w:rPr>
        <w:t xml:space="preserve"> in</w:t>
      </w:r>
      <w:r w:rsidR="00D62B51" w:rsidRPr="006212FF">
        <w:rPr>
          <w:rFonts w:ascii="Book Antiqua" w:hAnsi="Book Antiqua"/>
          <w:sz w:val="24"/>
          <w:szCs w:val="24"/>
        </w:rPr>
        <w:t xml:space="preserve"> </w:t>
      </w:r>
      <w:r w:rsidRPr="006212FF">
        <w:rPr>
          <w:rFonts w:ascii="Book Antiqua" w:hAnsi="Book Antiqua"/>
          <w:sz w:val="24"/>
          <w:szCs w:val="24"/>
        </w:rPr>
        <w:t xml:space="preserve">the </w:t>
      </w:r>
      <w:r w:rsidR="00925649" w:rsidRPr="006212FF">
        <w:rPr>
          <w:rFonts w:ascii="Book Antiqua" w:hAnsi="Book Antiqua"/>
          <w:sz w:val="24"/>
          <w:szCs w:val="24"/>
        </w:rPr>
        <w:t xml:space="preserve">control group discontinued study </w:t>
      </w:r>
      <w:proofErr w:type="gramStart"/>
      <w:r w:rsidR="00925649" w:rsidRPr="006212FF">
        <w:rPr>
          <w:rFonts w:ascii="Book Antiqua" w:hAnsi="Book Antiqua"/>
          <w:sz w:val="24"/>
          <w:szCs w:val="24"/>
        </w:rPr>
        <w:t>medication</w:t>
      </w:r>
      <w:r w:rsidR="0029301E" w:rsidRPr="006212FF">
        <w:rPr>
          <w:rFonts w:ascii="Book Antiqua" w:hAnsi="Book Antiqua"/>
          <w:sz w:val="24"/>
          <w:szCs w:val="24"/>
          <w:vertAlign w:val="superscript"/>
        </w:rPr>
        <w:t>[</w:t>
      </w:r>
      <w:proofErr w:type="gramEnd"/>
      <w:r w:rsidR="0029301E" w:rsidRPr="006212FF">
        <w:rPr>
          <w:rFonts w:ascii="Book Antiqua" w:hAnsi="Book Antiqua"/>
          <w:sz w:val="24"/>
          <w:szCs w:val="24"/>
          <w:vertAlign w:val="superscript"/>
        </w:rPr>
        <w:t>18]</w:t>
      </w:r>
      <w:r w:rsidR="00925649" w:rsidRPr="006212FF">
        <w:rPr>
          <w:rFonts w:ascii="Book Antiqua" w:hAnsi="Book Antiqua"/>
          <w:sz w:val="24"/>
          <w:szCs w:val="24"/>
        </w:rPr>
        <w:t>. The adverse effects that led to EVR discontinuation include</w:t>
      </w:r>
      <w:r w:rsidR="00B808D7" w:rsidRPr="006212FF">
        <w:rPr>
          <w:rFonts w:ascii="Book Antiqua" w:hAnsi="Book Antiqua"/>
          <w:sz w:val="24"/>
          <w:szCs w:val="24"/>
        </w:rPr>
        <w:t>d</w:t>
      </w:r>
      <w:r w:rsidR="00925649" w:rsidRPr="006212FF">
        <w:rPr>
          <w:rFonts w:ascii="Book Antiqua" w:hAnsi="Book Antiqua"/>
          <w:sz w:val="24"/>
          <w:szCs w:val="24"/>
        </w:rPr>
        <w:t xml:space="preserve"> leukopenia, protein</w:t>
      </w:r>
      <w:r w:rsidR="00D62B51" w:rsidRPr="006212FF">
        <w:rPr>
          <w:rFonts w:ascii="Book Antiqua" w:hAnsi="Book Antiqua"/>
          <w:sz w:val="24"/>
          <w:szCs w:val="24"/>
        </w:rPr>
        <w:t xml:space="preserve">uria, thrombotic </w:t>
      </w:r>
      <w:proofErr w:type="spellStart"/>
      <w:r w:rsidR="00925649" w:rsidRPr="006212FF">
        <w:rPr>
          <w:rFonts w:ascii="Book Antiqua" w:hAnsi="Book Antiqua"/>
          <w:sz w:val="24"/>
          <w:szCs w:val="24"/>
        </w:rPr>
        <w:lastRenderedPageBreak/>
        <w:t>microangiopathy</w:t>
      </w:r>
      <w:proofErr w:type="spellEnd"/>
      <w:r w:rsidR="00925649" w:rsidRPr="006212FF">
        <w:rPr>
          <w:rFonts w:ascii="Book Antiqua" w:hAnsi="Book Antiqua"/>
          <w:sz w:val="24"/>
          <w:szCs w:val="24"/>
        </w:rPr>
        <w:t>, elevation in hepatic enzymes, increased HCV viral load</w:t>
      </w:r>
      <w:r w:rsidR="00925649" w:rsidRPr="006212FF">
        <w:rPr>
          <w:rFonts w:ascii="Book Antiqua" w:eastAsia="Bookman-Light" w:hAnsi="Book Antiqua" w:cs="Bookman-Light"/>
          <w:color w:val="231F20"/>
          <w:sz w:val="24"/>
          <w:szCs w:val="24"/>
        </w:rPr>
        <w:t>,</w:t>
      </w:r>
      <w:r w:rsidR="00EB647F" w:rsidRPr="006212FF">
        <w:rPr>
          <w:rFonts w:ascii="Book Antiqua" w:eastAsia="Bookman-Light" w:hAnsi="Book Antiqua" w:cs="Bookman-Light"/>
          <w:color w:val="231F20"/>
          <w:sz w:val="24"/>
          <w:szCs w:val="24"/>
        </w:rPr>
        <w:t xml:space="preserve"> </w:t>
      </w:r>
      <w:r w:rsidR="00925649" w:rsidRPr="006212FF">
        <w:rPr>
          <w:rFonts w:ascii="Book Antiqua" w:eastAsia="Bookman-Light" w:hAnsi="Book Antiqua" w:cs="Bookman-Light"/>
          <w:color w:val="231F20"/>
          <w:sz w:val="24"/>
          <w:szCs w:val="24"/>
        </w:rPr>
        <w:t>hypertriglyceridemia, renal impairment,</w:t>
      </w:r>
      <w:r w:rsidR="00EB647F" w:rsidRPr="006212FF">
        <w:rPr>
          <w:rFonts w:ascii="Book Antiqua" w:eastAsia="Bookman-Light" w:hAnsi="Book Antiqua" w:cs="Bookman-Light"/>
          <w:color w:val="231F20"/>
          <w:sz w:val="24"/>
          <w:szCs w:val="24"/>
        </w:rPr>
        <w:t xml:space="preserve"> </w:t>
      </w:r>
      <w:r w:rsidR="00925649" w:rsidRPr="006212FF">
        <w:rPr>
          <w:rFonts w:ascii="Book Antiqua" w:eastAsia="Bookman-Light" w:hAnsi="Book Antiqua" w:cs="Bookman-Light"/>
          <w:color w:val="231F20"/>
          <w:sz w:val="24"/>
          <w:szCs w:val="24"/>
        </w:rPr>
        <w:t>interstitial lung disease, pneumonitis,</w:t>
      </w:r>
      <w:r w:rsidR="00EB647F" w:rsidRPr="006212FF">
        <w:rPr>
          <w:rFonts w:ascii="Book Antiqua" w:eastAsia="Bookman-Light" w:hAnsi="Book Antiqua" w:cs="Bookman-Light"/>
          <w:color w:val="231F20"/>
          <w:sz w:val="24"/>
          <w:szCs w:val="24"/>
        </w:rPr>
        <w:t xml:space="preserve"> </w:t>
      </w:r>
      <w:r w:rsidR="00925649" w:rsidRPr="006212FF">
        <w:rPr>
          <w:rFonts w:ascii="Book Antiqua" w:eastAsia="Bookman-Light" w:hAnsi="Book Antiqua" w:cs="Bookman-Light"/>
          <w:color w:val="231F20"/>
          <w:sz w:val="24"/>
          <w:szCs w:val="24"/>
        </w:rPr>
        <w:t>pulmonary fibrosis and stomatitis.</w:t>
      </w:r>
      <w:r w:rsidR="00C95C2A" w:rsidRPr="006212FF">
        <w:rPr>
          <w:rFonts w:ascii="Book Antiqua" w:hAnsi="Book Antiqua"/>
          <w:sz w:val="24"/>
          <w:szCs w:val="24"/>
        </w:rPr>
        <w:t xml:space="preserve"> </w:t>
      </w:r>
      <w:r w:rsidR="00925649" w:rsidRPr="006212FF">
        <w:rPr>
          <w:rFonts w:ascii="Book Antiqua" w:eastAsia="Bookman-Light" w:hAnsi="Book Antiqua" w:cs="Bookman-Light"/>
          <w:color w:val="231F20"/>
          <w:sz w:val="24"/>
          <w:szCs w:val="24"/>
        </w:rPr>
        <w:t>In a study on 94 patients converting to EVR at mean of 5 years from transplant, as</w:t>
      </w:r>
      <w:r w:rsidR="00925649" w:rsidRPr="006212FF">
        <w:rPr>
          <w:rFonts w:ascii="Book Antiqua" w:hAnsi="Book Antiqua"/>
          <w:sz w:val="24"/>
          <w:szCs w:val="24"/>
        </w:rPr>
        <w:t xml:space="preserve"> many as </w:t>
      </w:r>
      <w:r w:rsidR="00925649" w:rsidRPr="006212FF">
        <w:rPr>
          <w:rFonts w:ascii="Book Antiqua" w:hAnsi="Book Antiqua" w:cstheme="minorHAnsi"/>
          <w:sz w:val="24"/>
          <w:szCs w:val="24"/>
        </w:rPr>
        <w:t>70% of patients experienced adverse reaction and 16% required EVR to be discontinued despite mean EVR C</w:t>
      </w:r>
      <w:r w:rsidR="00925649" w:rsidRPr="006212FF">
        <w:rPr>
          <w:rFonts w:ascii="Book Antiqua" w:hAnsi="Book Antiqua" w:cstheme="minorHAnsi"/>
          <w:sz w:val="24"/>
          <w:szCs w:val="24"/>
          <w:vertAlign w:val="subscript"/>
        </w:rPr>
        <w:t>0</w:t>
      </w:r>
      <w:r w:rsidR="00D62B51" w:rsidRPr="006212FF">
        <w:rPr>
          <w:rFonts w:ascii="Book Antiqua" w:hAnsi="Book Antiqua" w:cstheme="minorHAnsi"/>
          <w:sz w:val="24"/>
          <w:szCs w:val="24"/>
          <w:vertAlign w:val="subscript"/>
        </w:rPr>
        <w:t xml:space="preserve"> </w:t>
      </w:r>
      <w:r w:rsidR="00925649" w:rsidRPr="006212FF">
        <w:rPr>
          <w:rFonts w:ascii="Book Antiqua" w:hAnsi="Book Antiqua" w:cstheme="minorHAnsi"/>
          <w:sz w:val="24"/>
          <w:szCs w:val="24"/>
        </w:rPr>
        <w:t xml:space="preserve">level being </w:t>
      </w:r>
      <w:r w:rsidR="00925649" w:rsidRPr="006212FF">
        <w:rPr>
          <w:rFonts w:ascii="Book Antiqua" w:hAnsi="Book Antiqua"/>
          <w:sz w:val="24"/>
          <w:szCs w:val="24"/>
        </w:rPr>
        <w:t xml:space="preserve">at </w:t>
      </w:r>
      <w:r w:rsidR="00436C5F" w:rsidRPr="006212FF">
        <w:rPr>
          <w:rFonts w:ascii="Book Antiqua" w:hAnsi="Book Antiqua"/>
          <w:sz w:val="24"/>
          <w:szCs w:val="24"/>
        </w:rPr>
        <w:t xml:space="preserve">only </w:t>
      </w:r>
      <w:r w:rsidR="00562BA7">
        <w:rPr>
          <w:rFonts w:ascii="Book Antiqua" w:hAnsi="Book Antiqua"/>
          <w:sz w:val="24"/>
          <w:szCs w:val="24"/>
        </w:rPr>
        <w:t>6</w:t>
      </w:r>
      <w:r w:rsidR="00562BA7">
        <w:rPr>
          <w:rFonts w:ascii="Book Antiqua" w:hAnsi="Book Antiqua" w:hint="eastAsia"/>
          <w:sz w:val="24"/>
          <w:szCs w:val="24"/>
        </w:rPr>
        <w:t xml:space="preserve"> </w:t>
      </w:r>
      <w:proofErr w:type="spellStart"/>
      <w:r w:rsidR="00562BA7">
        <w:rPr>
          <w:rFonts w:ascii="Book Antiqua" w:hAnsi="Book Antiqua"/>
          <w:sz w:val="24"/>
          <w:szCs w:val="24"/>
        </w:rPr>
        <w:t>ng</w:t>
      </w:r>
      <w:proofErr w:type="spellEnd"/>
      <w:r w:rsidR="00562BA7">
        <w:rPr>
          <w:rFonts w:ascii="Book Antiqua" w:hAnsi="Book Antiqua"/>
          <w:sz w:val="24"/>
          <w:szCs w:val="24"/>
        </w:rPr>
        <w:t>/mL</w:t>
      </w:r>
      <w:r w:rsidR="00331E8E" w:rsidRPr="006212FF">
        <w:rPr>
          <w:rFonts w:ascii="Book Antiqua" w:hAnsi="Book Antiqua"/>
          <w:sz w:val="24"/>
          <w:szCs w:val="24"/>
          <w:vertAlign w:val="superscript"/>
        </w:rPr>
        <w:t>[39]</w:t>
      </w:r>
      <w:r w:rsidR="00925649" w:rsidRPr="006212FF">
        <w:rPr>
          <w:rFonts w:ascii="Book Antiqua" w:hAnsi="Book Antiqua"/>
          <w:sz w:val="24"/>
          <w:szCs w:val="24"/>
        </w:rPr>
        <w:t>.</w:t>
      </w:r>
      <w:r w:rsidR="004D10F5" w:rsidRPr="006212FF">
        <w:rPr>
          <w:rFonts w:ascii="Book Antiqua" w:hAnsi="Book Antiqua"/>
          <w:sz w:val="24"/>
          <w:szCs w:val="24"/>
        </w:rPr>
        <w:t xml:space="preserve"> </w:t>
      </w:r>
    </w:p>
    <w:p w14:paraId="4AA165FA" w14:textId="77777777" w:rsidR="00AC7601" w:rsidRPr="006212FF" w:rsidRDefault="00AC7601" w:rsidP="006212FF">
      <w:pPr>
        <w:spacing w:after="0" w:line="360" w:lineRule="auto"/>
        <w:jc w:val="both"/>
        <w:rPr>
          <w:rFonts w:ascii="Book Antiqua" w:hAnsi="Book Antiqua"/>
          <w:sz w:val="24"/>
          <w:szCs w:val="24"/>
        </w:rPr>
      </w:pPr>
    </w:p>
    <w:p w14:paraId="773C357C" w14:textId="2B6763FA" w:rsidR="00551C51" w:rsidRPr="00562BA7" w:rsidRDefault="00551C51" w:rsidP="00562BA7">
      <w:pPr>
        <w:pStyle w:val="ListParagraph"/>
        <w:spacing w:after="0" w:line="360" w:lineRule="auto"/>
        <w:ind w:left="0"/>
        <w:jc w:val="both"/>
        <w:rPr>
          <w:rFonts w:ascii="Book Antiqua" w:hAnsi="Book Antiqua"/>
          <w:b/>
          <w:i/>
          <w:sz w:val="24"/>
          <w:szCs w:val="24"/>
        </w:rPr>
      </w:pPr>
      <w:r w:rsidRPr="00562BA7">
        <w:rPr>
          <w:rFonts w:ascii="Book Antiqua" w:hAnsi="Book Antiqua"/>
          <w:b/>
          <w:i/>
          <w:sz w:val="24"/>
          <w:szCs w:val="24"/>
        </w:rPr>
        <w:t xml:space="preserve">Hepatic </w:t>
      </w:r>
      <w:r w:rsidR="00562BA7" w:rsidRPr="00562BA7">
        <w:rPr>
          <w:rFonts w:ascii="Book Antiqua" w:hAnsi="Book Antiqua"/>
          <w:b/>
          <w:i/>
          <w:sz w:val="24"/>
          <w:szCs w:val="24"/>
        </w:rPr>
        <w:t>artery thrombosi</w:t>
      </w:r>
      <w:r w:rsidRPr="00562BA7">
        <w:rPr>
          <w:rFonts w:ascii="Book Antiqua" w:hAnsi="Book Antiqua"/>
          <w:b/>
          <w:i/>
          <w:sz w:val="24"/>
          <w:szCs w:val="24"/>
        </w:rPr>
        <w:t xml:space="preserve">s </w:t>
      </w:r>
    </w:p>
    <w:p w14:paraId="5BDCC491" w14:textId="28BEB249" w:rsidR="00551C51" w:rsidRPr="006212FF" w:rsidRDefault="00551C51" w:rsidP="006212FF">
      <w:pPr>
        <w:spacing w:after="0" w:line="360" w:lineRule="auto"/>
        <w:jc w:val="both"/>
        <w:rPr>
          <w:rFonts w:ascii="Book Antiqua" w:hAnsi="Book Antiqua"/>
          <w:sz w:val="24"/>
          <w:szCs w:val="24"/>
        </w:rPr>
      </w:pPr>
      <w:r w:rsidRPr="006212FF">
        <w:rPr>
          <w:rFonts w:ascii="Book Antiqua" w:hAnsi="Book Antiqua"/>
          <w:sz w:val="24"/>
          <w:szCs w:val="24"/>
        </w:rPr>
        <w:t>In February 2013, the U</w:t>
      </w:r>
      <w:r w:rsidR="006225FA">
        <w:rPr>
          <w:rFonts w:ascii="Book Antiqua" w:hAnsi="Book Antiqua" w:hint="eastAsia"/>
          <w:sz w:val="24"/>
          <w:szCs w:val="24"/>
        </w:rPr>
        <w:t xml:space="preserve">nited </w:t>
      </w:r>
      <w:r w:rsidRPr="006212FF">
        <w:rPr>
          <w:rFonts w:ascii="Book Antiqua" w:hAnsi="Book Antiqua"/>
          <w:sz w:val="24"/>
          <w:szCs w:val="24"/>
        </w:rPr>
        <w:t>S</w:t>
      </w:r>
      <w:r w:rsidR="006225FA">
        <w:rPr>
          <w:rFonts w:ascii="Book Antiqua" w:hAnsi="Book Antiqua" w:hint="eastAsia"/>
          <w:sz w:val="24"/>
          <w:szCs w:val="24"/>
        </w:rPr>
        <w:t>tates</w:t>
      </w:r>
      <w:r w:rsidRPr="006212FF">
        <w:rPr>
          <w:rFonts w:ascii="Book Antiqua" w:hAnsi="Book Antiqua"/>
          <w:sz w:val="24"/>
          <w:szCs w:val="24"/>
        </w:rPr>
        <w:t xml:space="preserve"> Food and Drug Administration included a warning of hepatic artery thrombosis (HAT) in the EVR p</w:t>
      </w:r>
      <w:r w:rsidR="00B808D7" w:rsidRPr="006212FF">
        <w:rPr>
          <w:rFonts w:ascii="Book Antiqua" w:hAnsi="Book Antiqua"/>
          <w:sz w:val="24"/>
          <w:szCs w:val="24"/>
        </w:rPr>
        <w:t>roduct insert</w:t>
      </w:r>
      <w:r w:rsidRPr="006212FF">
        <w:rPr>
          <w:rFonts w:ascii="Book Antiqua" w:hAnsi="Book Antiqua"/>
          <w:sz w:val="24"/>
          <w:szCs w:val="24"/>
        </w:rPr>
        <w:t xml:space="preserve">. Most of the reported cases </w:t>
      </w:r>
      <w:r w:rsidR="00B808D7" w:rsidRPr="006212FF">
        <w:rPr>
          <w:rFonts w:ascii="Book Antiqua" w:hAnsi="Book Antiqua"/>
          <w:sz w:val="24"/>
          <w:szCs w:val="24"/>
        </w:rPr>
        <w:t xml:space="preserve">of HAT in the presence of </w:t>
      </w:r>
      <w:proofErr w:type="spellStart"/>
      <w:r w:rsidR="00B808D7" w:rsidRPr="006212FF">
        <w:rPr>
          <w:rFonts w:ascii="Book Antiqua" w:hAnsi="Book Antiqua"/>
          <w:sz w:val="24"/>
          <w:szCs w:val="24"/>
        </w:rPr>
        <w:t>mTOR</w:t>
      </w:r>
      <w:proofErr w:type="spellEnd"/>
      <w:r w:rsidR="00B808D7" w:rsidRPr="006212FF">
        <w:rPr>
          <w:rFonts w:ascii="Book Antiqua" w:hAnsi="Book Antiqua"/>
          <w:sz w:val="24"/>
          <w:szCs w:val="24"/>
        </w:rPr>
        <w:t xml:space="preserve"> inhibition </w:t>
      </w:r>
      <w:r w:rsidRPr="006212FF">
        <w:rPr>
          <w:rFonts w:ascii="Book Antiqua" w:hAnsi="Book Antiqua"/>
          <w:sz w:val="24"/>
          <w:szCs w:val="24"/>
        </w:rPr>
        <w:t xml:space="preserve">occurred within the first 30 d from transplant surgery, leading to graft loss or death. Therefore, in most EVR studies, randomization was started only 30 d after transplant surgery. </w:t>
      </w:r>
    </w:p>
    <w:p w14:paraId="3F6DC585" w14:textId="0DA598B4" w:rsidR="00551C51" w:rsidRPr="006212FF" w:rsidRDefault="00551C51" w:rsidP="008D45B5">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One case of HAT was reported in the H2304 study, occurring in a subject who had a prior history of HAT before randomization. There were no reports of HAT in the PROTECT nor RESCUE studies. In the RESCUE study, although an adverse effect of thrombotic </w:t>
      </w:r>
      <w:proofErr w:type="spellStart"/>
      <w:r w:rsidRPr="006212FF">
        <w:rPr>
          <w:rFonts w:ascii="Book Antiqua" w:hAnsi="Book Antiqua"/>
          <w:sz w:val="24"/>
          <w:szCs w:val="24"/>
        </w:rPr>
        <w:t>microangiopathy</w:t>
      </w:r>
      <w:proofErr w:type="spellEnd"/>
      <w:r w:rsidRPr="006212FF">
        <w:rPr>
          <w:rFonts w:ascii="Book Antiqua" w:hAnsi="Book Antiqua"/>
          <w:sz w:val="24"/>
          <w:szCs w:val="24"/>
        </w:rPr>
        <w:t xml:space="preserve"> was reported, there w</w:t>
      </w:r>
      <w:r w:rsidR="00B808D7" w:rsidRPr="006212FF">
        <w:rPr>
          <w:rFonts w:ascii="Book Antiqua" w:hAnsi="Book Antiqua"/>
          <w:sz w:val="24"/>
          <w:szCs w:val="24"/>
        </w:rPr>
        <w:t>ere</w:t>
      </w:r>
      <w:r w:rsidRPr="006212FF">
        <w:rPr>
          <w:rFonts w:ascii="Book Antiqua" w:hAnsi="Book Antiqua"/>
          <w:sz w:val="24"/>
          <w:szCs w:val="24"/>
        </w:rPr>
        <w:t xml:space="preserve"> </w:t>
      </w:r>
      <w:r w:rsidR="00B808D7" w:rsidRPr="006212FF">
        <w:rPr>
          <w:rFonts w:ascii="Book Antiqua" w:hAnsi="Book Antiqua"/>
          <w:sz w:val="24"/>
          <w:szCs w:val="24"/>
        </w:rPr>
        <w:t>no specific</w:t>
      </w:r>
      <w:r w:rsidRPr="006212FF">
        <w:rPr>
          <w:rFonts w:ascii="Book Antiqua" w:hAnsi="Book Antiqua"/>
          <w:sz w:val="24"/>
          <w:szCs w:val="24"/>
        </w:rPr>
        <w:t xml:space="preserve"> detail</w:t>
      </w:r>
      <w:r w:rsidR="00B808D7" w:rsidRPr="006212FF">
        <w:rPr>
          <w:rFonts w:ascii="Book Antiqua" w:hAnsi="Book Antiqua"/>
          <w:sz w:val="24"/>
          <w:szCs w:val="24"/>
        </w:rPr>
        <w:t>s</w:t>
      </w:r>
      <w:r w:rsidRPr="006212FF">
        <w:rPr>
          <w:rFonts w:ascii="Book Antiqua" w:hAnsi="Book Antiqua"/>
          <w:sz w:val="24"/>
          <w:szCs w:val="24"/>
        </w:rPr>
        <w:t xml:space="preserve"> of its incidence </w:t>
      </w:r>
      <w:proofErr w:type="gramStart"/>
      <w:r w:rsidR="00B808D7" w:rsidRPr="006212FF">
        <w:rPr>
          <w:rFonts w:ascii="Book Antiqua" w:hAnsi="Book Antiqua"/>
          <w:sz w:val="24"/>
          <w:szCs w:val="24"/>
        </w:rPr>
        <w:t>nor</w:t>
      </w:r>
      <w:proofErr w:type="gramEnd"/>
      <w:r w:rsidRPr="006212FF">
        <w:rPr>
          <w:rFonts w:ascii="Book Antiqua" w:hAnsi="Book Antiqua"/>
          <w:sz w:val="24"/>
          <w:szCs w:val="24"/>
        </w:rPr>
        <w:t xml:space="preserve"> eventual outcomes. Combination of EVR and CNI has also been reported to increase the risk of throm</w:t>
      </w:r>
      <w:r w:rsidR="008D45B5">
        <w:rPr>
          <w:rFonts w:ascii="Book Antiqua" w:hAnsi="Book Antiqua"/>
          <w:sz w:val="24"/>
          <w:szCs w:val="24"/>
        </w:rPr>
        <w:t xml:space="preserve">botic </w:t>
      </w:r>
      <w:proofErr w:type="spellStart"/>
      <w:r w:rsidR="008D45B5">
        <w:rPr>
          <w:rFonts w:ascii="Book Antiqua" w:hAnsi="Book Antiqua"/>
          <w:sz w:val="24"/>
          <w:szCs w:val="24"/>
        </w:rPr>
        <w:t>microangiopathy</w:t>
      </w:r>
      <w:proofErr w:type="spellEnd"/>
      <w:r w:rsidR="008D45B5">
        <w:rPr>
          <w:rFonts w:ascii="Book Antiqua" w:hAnsi="Book Antiqua"/>
          <w:sz w:val="24"/>
          <w:szCs w:val="24"/>
        </w:rPr>
        <w:t xml:space="preserve"> </w:t>
      </w:r>
      <w:proofErr w:type="gramStart"/>
      <w:r w:rsidR="008D45B5">
        <w:rPr>
          <w:rFonts w:ascii="Book Antiqua" w:hAnsi="Book Antiqua"/>
          <w:sz w:val="24"/>
          <w:szCs w:val="24"/>
        </w:rPr>
        <w:t>elsewhere</w:t>
      </w:r>
      <w:r w:rsidR="00331E8E" w:rsidRPr="006212FF">
        <w:rPr>
          <w:rFonts w:ascii="Book Antiqua" w:hAnsi="Book Antiqua"/>
          <w:sz w:val="24"/>
          <w:szCs w:val="24"/>
          <w:vertAlign w:val="superscript"/>
        </w:rPr>
        <w:t>[</w:t>
      </w:r>
      <w:proofErr w:type="gramEnd"/>
      <w:r w:rsidR="00331E8E" w:rsidRPr="006212FF">
        <w:rPr>
          <w:rFonts w:ascii="Book Antiqua" w:hAnsi="Book Antiqua"/>
          <w:sz w:val="24"/>
          <w:szCs w:val="24"/>
          <w:vertAlign w:val="superscript"/>
        </w:rPr>
        <w:t>40]</w:t>
      </w:r>
      <w:r w:rsidRPr="006212FF">
        <w:rPr>
          <w:rFonts w:ascii="Book Antiqua" w:hAnsi="Book Antiqua"/>
          <w:sz w:val="24"/>
          <w:szCs w:val="24"/>
        </w:rPr>
        <w:t>.</w:t>
      </w:r>
      <w:r w:rsidR="0084330A" w:rsidRPr="006212FF">
        <w:rPr>
          <w:rFonts w:ascii="Book Antiqua" w:hAnsi="Book Antiqua"/>
          <w:sz w:val="24"/>
          <w:szCs w:val="24"/>
        </w:rPr>
        <w:t xml:space="preserve"> </w:t>
      </w:r>
    </w:p>
    <w:p w14:paraId="203BEF0C" w14:textId="78CB5A60" w:rsidR="00436C5F" w:rsidRPr="006212FF" w:rsidRDefault="00436C5F" w:rsidP="008D45B5">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In </w:t>
      </w:r>
      <w:proofErr w:type="spellStart"/>
      <w:r w:rsidRPr="006212FF">
        <w:rPr>
          <w:rFonts w:ascii="Book Antiqua" w:hAnsi="Book Antiqua"/>
          <w:sz w:val="24"/>
          <w:szCs w:val="24"/>
        </w:rPr>
        <w:t>Massetti</w:t>
      </w:r>
      <w:proofErr w:type="spellEnd"/>
      <w:r w:rsidRPr="006212FF">
        <w:rPr>
          <w:rFonts w:ascii="Book Antiqua" w:hAnsi="Book Antiqua"/>
          <w:sz w:val="24"/>
          <w:szCs w:val="24"/>
        </w:rPr>
        <w:t xml:space="preserve"> </w:t>
      </w:r>
      <w:r w:rsidRPr="008D45B5">
        <w:rPr>
          <w:rFonts w:ascii="Book Antiqua" w:hAnsi="Book Antiqua"/>
          <w:i/>
          <w:sz w:val="24"/>
          <w:szCs w:val="24"/>
        </w:rPr>
        <w:t xml:space="preserve">et </w:t>
      </w:r>
      <w:proofErr w:type="gramStart"/>
      <w:r w:rsidRPr="008D45B5">
        <w:rPr>
          <w:rFonts w:ascii="Book Antiqua" w:hAnsi="Book Antiqua"/>
          <w:i/>
          <w:sz w:val="24"/>
          <w:szCs w:val="24"/>
        </w:rPr>
        <w:t>al</w:t>
      </w:r>
      <w:r w:rsidR="008D45B5" w:rsidRPr="006212FF">
        <w:rPr>
          <w:rFonts w:ascii="Book Antiqua" w:hAnsi="Book Antiqua"/>
          <w:sz w:val="24"/>
          <w:szCs w:val="24"/>
          <w:vertAlign w:val="superscript"/>
        </w:rPr>
        <w:t>[</w:t>
      </w:r>
      <w:proofErr w:type="gramEnd"/>
      <w:r w:rsidR="008D45B5" w:rsidRPr="006212FF">
        <w:rPr>
          <w:rFonts w:ascii="Book Antiqua" w:hAnsi="Book Antiqua"/>
          <w:sz w:val="24"/>
          <w:szCs w:val="24"/>
          <w:vertAlign w:val="superscript"/>
        </w:rPr>
        <w:t>21]</w:t>
      </w:r>
      <w:r w:rsidRPr="006212FF">
        <w:rPr>
          <w:rFonts w:ascii="Book Antiqua" w:hAnsi="Book Antiqua"/>
          <w:sz w:val="24"/>
          <w:szCs w:val="24"/>
        </w:rPr>
        <w:t xml:space="preserve">’s study on the early use of EVR within the first 30 d of LT, no </w:t>
      </w:r>
      <w:r w:rsidR="004B098A" w:rsidRPr="006212FF">
        <w:rPr>
          <w:rFonts w:ascii="Book Antiqua" w:hAnsi="Book Antiqua"/>
          <w:sz w:val="24"/>
          <w:szCs w:val="24"/>
        </w:rPr>
        <w:t xml:space="preserve">HAT was reported </w:t>
      </w:r>
      <w:r w:rsidRPr="006212FF">
        <w:rPr>
          <w:rFonts w:ascii="Book Antiqua" w:hAnsi="Book Antiqua"/>
          <w:sz w:val="24"/>
          <w:szCs w:val="24"/>
        </w:rPr>
        <w:t>with EVR use</w:t>
      </w:r>
      <w:r w:rsidR="00280EE2" w:rsidRPr="006212FF">
        <w:rPr>
          <w:rFonts w:ascii="Book Antiqua" w:hAnsi="Book Antiqua"/>
          <w:sz w:val="24"/>
          <w:szCs w:val="24"/>
        </w:rPr>
        <w:t xml:space="preserve">. This is </w:t>
      </w:r>
      <w:r w:rsidR="004B098A" w:rsidRPr="006212FF">
        <w:rPr>
          <w:rFonts w:ascii="Book Antiqua" w:hAnsi="Book Antiqua"/>
          <w:sz w:val="24"/>
          <w:szCs w:val="24"/>
        </w:rPr>
        <w:t xml:space="preserve">in contrast to </w:t>
      </w:r>
      <w:r w:rsidR="00280EE2" w:rsidRPr="006212FF">
        <w:rPr>
          <w:rFonts w:ascii="Book Antiqua" w:hAnsi="Book Antiqua"/>
          <w:sz w:val="24"/>
          <w:szCs w:val="24"/>
        </w:rPr>
        <w:t xml:space="preserve">the control </w:t>
      </w:r>
      <w:proofErr w:type="spellStart"/>
      <w:r w:rsidR="00280EE2" w:rsidRPr="006212FF">
        <w:rPr>
          <w:rFonts w:ascii="Book Antiqua" w:hAnsi="Book Antiqua"/>
          <w:sz w:val="24"/>
          <w:szCs w:val="24"/>
        </w:rPr>
        <w:t>CsA</w:t>
      </w:r>
      <w:proofErr w:type="spellEnd"/>
      <w:r w:rsidR="00280EE2" w:rsidRPr="006212FF">
        <w:rPr>
          <w:rFonts w:ascii="Book Antiqua" w:hAnsi="Book Antiqua"/>
          <w:sz w:val="24"/>
          <w:szCs w:val="24"/>
        </w:rPr>
        <w:t xml:space="preserve"> group which had </w:t>
      </w:r>
      <w:r w:rsidR="004B098A" w:rsidRPr="006212FF">
        <w:rPr>
          <w:rFonts w:ascii="Book Antiqua" w:hAnsi="Book Antiqua"/>
          <w:sz w:val="24"/>
          <w:szCs w:val="24"/>
        </w:rPr>
        <w:t xml:space="preserve">2 </w:t>
      </w:r>
      <w:r w:rsidR="0053188B" w:rsidRPr="006212FF">
        <w:rPr>
          <w:rFonts w:ascii="Book Antiqua" w:hAnsi="Book Antiqua"/>
          <w:sz w:val="24"/>
          <w:szCs w:val="24"/>
        </w:rPr>
        <w:t xml:space="preserve">(7.6%) </w:t>
      </w:r>
      <w:r w:rsidR="00280EE2" w:rsidRPr="006212FF">
        <w:rPr>
          <w:rFonts w:ascii="Book Antiqua" w:hAnsi="Book Antiqua"/>
          <w:sz w:val="24"/>
          <w:szCs w:val="24"/>
        </w:rPr>
        <w:t xml:space="preserve">patients with </w:t>
      </w:r>
      <w:r w:rsidR="004B098A" w:rsidRPr="006212FF">
        <w:rPr>
          <w:rFonts w:ascii="Book Antiqua" w:hAnsi="Book Antiqua"/>
          <w:sz w:val="24"/>
          <w:szCs w:val="24"/>
        </w:rPr>
        <w:t>HAT and 2</w:t>
      </w:r>
      <w:r w:rsidR="0053188B" w:rsidRPr="006212FF">
        <w:rPr>
          <w:rFonts w:ascii="Book Antiqua" w:hAnsi="Book Antiqua"/>
          <w:sz w:val="24"/>
          <w:szCs w:val="24"/>
        </w:rPr>
        <w:t xml:space="preserve"> (7.6%)</w:t>
      </w:r>
      <w:r w:rsidR="004B098A" w:rsidRPr="006212FF">
        <w:rPr>
          <w:rFonts w:ascii="Book Antiqua" w:hAnsi="Book Antiqua"/>
          <w:sz w:val="24"/>
          <w:szCs w:val="24"/>
        </w:rPr>
        <w:t xml:space="preserve"> </w:t>
      </w:r>
      <w:r w:rsidR="00280EE2" w:rsidRPr="006212FF">
        <w:rPr>
          <w:rFonts w:ascii="Book Antiqua" w:hAnsi="Book Antiqua"/>
          <w:sz w:val="24"/>
          <w:szCs w:val="24"/>
        </w:rPr>
        <w:t xml:space="preserve">patient with </w:t>
      </w:r>
      <w:r w:rsidR="004B098A" w:rsidRPr="006212FF">
        <w:rPr>
          <w:rFonts w:ascii="Book Antiqua" w:hAnsi="Book Antiqua"/>
          <w:sz w:val="24"/>
          <w:szCs w:val="24"/>
        </w:rPr>
        <w:t>hepatic artery stenosis.</w:t>
      </w:r>
      <w:r w:rsidR="0053188B" w:rsidRPr="006212FF">
        <w:rPr>
          <w:rFonts w:ascii="Book Antiqua" w:hAnsi="Book Antiqua"/>
          <w:sz w:val="24"/>
          <w:szCs w:val="24"/>
        </w:rPr>
        <w:t xml:space="preserve"> Although there was a significant higher rate of hepatic stenosis and thrombosis in </w:t>
      </w:r>
      <w:proofErr w:type="spellStart"/>
      <w:r w:rsidR="0053188B" w:rsidRPr="006212FF">
        <w:rPr>
          <w:rFonts w:ascii="Book Antiqua" w:hAnsi="Book Antiqua"/>
          <w:sz w:val="24"/>
          <w:szCs w:val="24"/>
        </w:rPr>
        <w:t>CsA</w:t>
      </w:r>
      <w:proofErr w:type="spellEnd"/>
      <w:r w:rsidR="0053188B" w:rsidRPr="006212FF">
        <w:rPr>
          <w:rFonts w:ascii="Book Antiqua" w:hAnsi="Book Antiqua"/>
          <w:sz w:val="24"/>
          <w:szCs w:val="24"/>
        </w:rPr>
        <w:t xml:space="preserve"> group, </w:t>
      </w:r>
      <w:r w:rsidR="002B59F9" w:rsidRPr="006212FF">
        <w:rPr>
          <w:rFonts w:ascii="Book Antiqua" w:hAnsi="Book Antiqua"/>
          <w:sz w:val="24"/>
          <w:szCs w:val="24"/>
        </w:rPr>
        <w:t xml:space="preserve">it is </w:t>
      </w:r>
      <w:r w:rsidR="009F3A10" w:rsidRPr="006212FF">
        <w:rPr>
          <w:rFonts w:ascii="Book Antiqua" w:hAnsi="Book Antiqua"/>
          <w:sz w:val="24"/>
          <w:szCs w:val="24"/>
        </w:rPr>
        <w:t xml:space="preserve">important </w:t>
      </w:r>
      <w:r w:rsidR="002B59F9" w:rsidRPr="006212FF">
        <w:rPr>
          <w:rFonts w:ascii="Book Antiqua" w:hAnsi="Book Antiqua"/>
          <w:sz w:val="24"/>
          <w:szCs w:val="24"/>
        </w:rPr>
        <w:t xml:space="preserve">to note </w:t>
      </w:r>
      <w:r w:rsidR="0053188B" w:rsidRPr="006212FF">
        <w:rPr>
          <w:rFonts w:ascii="Book Antiqua" w:hAnsi="Book Antiqua"/>
          <w:sz w:val="24"/>
          <w:szCs w:val="24"/>
        </w:rPr>
        <w:t>number of patients</w:t>
      </w:r>
      <w:r w:rsidR="002B59F9" w:rsidRPr="006212FF">
        <w:rPr>
          <w:rFonts w:ascii="Book Antiqua" w:hAnsi="Book Antiqua"/>
          <w:sz w:val="24"/>
          <w:szCs w:val="24"/>
        </w:rPr>
        <w:t xml:space="preserve"> in </w:t>
      </w:r>
      <w:proofErr w:type="spellStart"/>
      <w:r w:rsidR="002B59F9" w:rsidRPr="006212FF">
        <w:rPr>
          <w:rFonts w:ascii="Book Antiqua" w:hAnsi="Book Antiqua"/>
          <w:sz w:val="24"/>
          <w:szCs w:val="24"/>
        </w:rPr>
        <w:t>CsA</w:t>
      </w:r>
      <w:proofErr w:type="spellEnd"/>
      <w:r w:rsidR="002B59F9" w:rsidRPr="006212FF">
        <w:rPr>
          <w:rFonts w:ascii="Book Antiqua" w:hAnsi="Book Antiqua"/>
          <w:sz w:val="24"/>
          <w:szCs w:val="24"/>
        </w:rPr>
        <w:t xml:space="preserve"> group (</w:t>
      </w:r>
      <w:r w:rsidR="002B59F9" w:rsidRPr="008D45B5">
        <w:rPr>
          <w:rFonts w:ascii="Book Antiqua" w:hAnsi="Book Antiqua"/>
          <w:i/>
          <w:sz w:val="24"/>
          <w:szCs w:val="24"/>
        </w:rPr>
        <w:t>n</w:t>
      </w:r>
      <w:r w:rsidR="008D45B5">
        <w:rPr>
          <w:rFonts w:ascii="Book Antiqua" w:hAnsi="Book Antiqua" w:hint="eastAsia"/>
          <w:sz w:val="24"/>
          <w:szCs w:val="24"/>
        </w:rPr>
        <w:t xml:space="preserve"> </w:t>
      </w:r>
      <w:r w:rsidR="002B59F9" w:rsidRPr="006212FF">
        <w:rPr>
          <w:rFonts w:ascii="Book Antiqua" w:hAnsi="Book Antiqua"/>
          <w:sz w:val="24"/>
          <w:szCs w:val="24"/>
        </w:rPr>
        <w:t>=</w:t>
      </w:r>
      <w:r w:rsidR="008D45B5">
        <w:rPr>
          <w:rFonts w:ascii="Book Antiqua" w:hAnsi="Book Antiqua" w:hint="eastAsia"/>
          <w:sz w:val="24"/>
          <w:szCs w:val="24"/>
        </w:rPr>
        <w:t xml:space="preserve"> </w:t>
      </w:r>
      <w:r w:rsidR="002B59F9" w:rsidRPr="006212FF">
        <w:rPr>
          <w:rFonts w:ascii="Book Antiqua" w:hAnsi="Book Antiqua"/>
          <w:sz w:val="24"/>
          <w:szCs w:val="24"/>
        </w:rPr>
        <w:t>26) was just half of patients in EVR group (</w:t>
      </w:r>
      <w:r w:rsidR="008D45B5" w:rsidRPr="008D45B5">
        <w:rPr>
          <w:rFonts w:ascii="Book Antiqua" w:hAnsi="Book Antiqua"/>
          <w:i/>
          <w:sz w:val="24"/>
          <w:szCs w:val="24"/>
        </w:rPr>
        <w:t>n</w:t>
      </w:r>
      <w:r w:rsidR="008D45B5">
        <w:rPr>
          <w:rFonts w:ascii="Book Antiqua" w:hAnsi="Book Antiqua" w:hint="eastAsia"/>
          <w:sz w:val="24"/>
          <w:szCs w:val="24"/>
        </w:rPr>
        <w:t xml:space="preserve"> </w:t>
      </w:r>
      <w:r w:rsidR="008D45B5" w:rsidRPr="006212FF">
        <w:rPr>
          <w:rFonts w:ascii="Book Antiqua" w:hAnsi="Book Antiqua"/>
          <w:sz w:val="24"/>
          <w:szCs w:val="24"/>
        </w:rPr>
        <w:t>=</w:t>
      </w:r>
      <w:r w:rsidR="008D45B5">
        <w:rPr>
          <w:rFonts w:ascii="Book Antiqua" w:hAnsi="Book Antiqua" w:hint="eastAsia"/>
          <w:sz w:val="24"/>
          <w:szCs w:val="24"/>
        </w:rPr>
        <w:t xml:space="preserve"> </w:t>
      </w:r>
      <w:r w:rsidR="002B59F9" w:rsidRPr="006212FF">
        <w:rPr>
          <w:rFonts w:ascii="Book Antiqua" w:hAnsi="Book Antiqua"/>
          <w:sz w:val="24"/>
          <w:szCs w:val="24"/>
        </w:rPr>
        <w:t>52).</w:t>
      </w:r>
    </w:p>
    <w:p w14:paraId="2849B4C0" w14:textId="7AB8A4FD" w:rsidR="002B59F9" w:rsidRPr="006212FF" w:rsidRDefault="002B59F9" w:rsidP="008D45B5">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In another prospective cohort study, </w:t>
      </w:r>
      <w:r w:rsidR="00C05BBB" w:rsidRPr="006212FF">
        <w:rPr>
          <w:rFonts w:ascii="Book Antiqua" w:hAnsi="Book Antiqua"/>
          <w:sz w:val="24"/>
          <w:szCs w:val="24"/>
        </w:rPr>
        <w:t>no</w:t>
      </w:r>
      <w:r w:rsidRPr="006212FF">
        <w:rPr>
          <w:rFonts w:ascii="Book Antiqua" w:hAnsi="Book Antiqua"/>
          <w:sz w:val="24"/>
          <w:szCs w:val="24"/>
        </w:rPr>
        <w:t xml:space="preserve"> HAT </w:t>
      </w:r>
      <w:r w:rsidR="00681DA4" w:rsidRPr="006212FF">
        <w:rPr>
          <w:rFonts w:ascii="Book Antiqua" w:hAnsi="Book Antiqua"/>
          <w:sz w:val="24"/>
          <w:szCs w:val="24"/>
        </w:rPr>
        <w:t>was reported</w:t>
      </w:r>
      <w:r w:rsidR="00C05BBB" w:rsidRPr="006212FF">
        <w:rPr>
          <w:rFonts w:ascii="Book Antiqua" w:hAnsi="Book Antiqua"/>
          <w:sz w:val="24"/>
          <w:szCs w:val="24"/>
        </w:rPr>
        <w:t xml:space="preserve"> </w:t>
      </w:r>
      <w:r w:rsidRPr="006212FF">
        <w:rPr>
          <w:rFonts w:ascii="Book Antiqua" w:hAnsi="Book Antiqua"/>
          <w:sz w:val="24"/>
          <w:szCs w:val="24"/>
        </w:rPr>
        <w:t>with EVR use in 43 patients in the early</w:t>
      </w:r>
      <w:r w:rsidR="004C2F11" w:rsidRPr="006212FF">
        <w:rPr>
          <w:rFonts w:ascii="Book Antiqua" w:hAnsi="Book Antiqua"/>
          <w:sz w:val="24"/>
          <w:szCs w:val="24"/>
        </w:rPr>
        <w:t xml:space="preserve"> </w:t>
      </w:r>
      <w:r w:rsidRPr="006212FF">
        <w:rPr>
          <w:rFonts w:ascii="Book Antiqua" w:hAnsi="Book Antiqua"/>
          <w:sz w:val="24"/>
          <w:szCs w:val="24"/>
        </w:rPr>
        <w:t>(33 patients within week 1, 9 patients within week 2 and 1 at day 20 from transplant)</w:t>
      </w:r>
      <w:r w:rsidR="00280EE2" w:rsidRPr="006212FF">
        <w:rPr>
          <w:rFonts w:ascii="Book Antiqua" w:hAnsi="Book Antiqua"/>
          <w:sz w:val="24"/>
          <w:szCs w:val="24"/>
        </w:rPr>
        <w:t xml:space="preserve"> post-LT </w:t>
      </w:r>
      <w:proofErr w:type="gramStart"/>
      <w:r w:rsidR="00280EE2" w:rsidRPr="006212FF">
        <w:rPr>
          <w:rFonts w:ascii="Book Antiqua" w:hAnsi="Book Antiqua"/>
          <w:sz w:val="24"/>
          <w:szCs w:val="24"/>
        </w:rPr>
        <w:t>period</w:t>
      </w:r>
      <w:r w:rsidR="00331E8E" w:rsidRPr="006212FF">
        <w:rPr>
          <w:rFonts w:ascii="Book Antiqua" w:hAnsi="Book Antiqua"/>
          <w:sz w:val="24"/>
          <w:szCs w:val="24"/>
          <w:vertAlign w:val="superscript"/>
        </w:rPr>
        <w:t>[</w:t>
      </w:r>
      <w:proofErr w:type="gramEnd"/>
      <w:r w:rsidR="00331E8E" w:rsidRPr="006212FF">
        <w:rPr>
          <w:rFonts w:ascii="Book Antiqua" w:hAnsi="Book Antiqua"/>
          <w:sz w:val="24"/>
          <w:szCs w:val="24"/>
          <w:vertAlign w:val="superscript"/>
        </w:rPr>
        <w:t>22]</w:t>
      </w:r>
      <w:r w:rsidR="00C05BBB" w:rsidRPr="006212FF">
        <w:rPr>
          <w:rFonts w:ascii="Book Antiqua" w:hAnsi="Book Antiqua"/>
          <w:sz w:val="24"/>
          <w:szCs w:val="24"/>
        </w:rPr>
        <w:t>. Similarly,</w:t>
      </w:r>
      <w:r w:rsidR="00681DA4" w:rsidRPr="006212FF">
        <w:rPr>
          <w:rFonts w:ascii="Book Antiqua" w:hAnsi="Book Antiqua"/>
          <w:sz w:val="24"/>
          <w:szCs w:val="24"/>
        </w:rPr>
        <w:t xml:space="preserve"> in a retrospective study</w:t>
      </w:r>
      <w:r w:rsidR="00C05BBB" w:rsidRPr="006212FF">
        <w:rPr>
          <w:rFonts w:ascii="Book Antiqua" w:hAnsi="Book Antiqua"/>
          <w:sz w:val="24"/>
          <w:szCs w:val="24"/>
        </w:rPr>
        <w:t xml:space="preserve">, no HAT was </w:t>
      </w:r>
      <w:r w:rsidR="00681DA4" w:rsidRPr="006212FF">
        <w:rPr>
          <w:rFonts w:ascii="Book Antiqua" w:hAnsi="Book Antiqua"/>
          <w:sz w:val="24"/>
          <w:szCs w:val="24"/>
        </w:rPr>
        <w:t>observed</w:t>
      </w:r>
      <w:r w:rsidR="00C05BBB" w:rsidRPr="006212FF">
        <w:rPr>
          <w:rFonts w:ascii="Book Antiqua" w:hAnsi="Book Antiqua"/>
          <w:sz w:val="24"/>
          <w:szCs w:val="24"/>
        </w:rPr>
        <w:t xml:space="preserve"> in 28 patients when EVR was initiated at</w:t>
      </w:r>
      <w:r w:rsidR="008D45B5">
        <w:rPr>
          <w:rFonts w:ascii="Book Antiqua" w:hAnsi="Book Antiqua"/>
          <w:sz w:val="24"/>
          <w:szCs w:val="24"/>
        </w:rPr>
        <w:t xml:space="preserve"> median of 14 (range 4-24) </w:t>
      </w:r>
      <w:proofErr w:type="gramStart"/>
      <w:r w:rsidR="008D45B5">
        <w:rPr>
          <w:rFonts w:ascii="Book Antiqua" w:hAnsi="Book Antiqua"/>
          <w:sz w:val="24"/>
          <w:szCs w:val="24"/>
        </w:rPr>
        <w:t>d</w:t>
      </w:r>
      <w:r w:rsidR="00331E8E" w:rsidRPr="006212FF">
        <w:rPr>
          <w:rFonts w:ascii="Book Antiqua" w:hAnsi="Book Antiqua"/>
          <w:sz w:val="24"/>
          <w:szCs w:val="24"/>
          <w:vertAlign w:val="superscript"/>
        </w:rPr>
        <w:t>[</w:t>
      </w:r>
      <w:proofErr w:type="gramEnd"/>
      <w:r w:rsidR="00331E8E" w:rsidRPr="006212FF">
        <w:rPr>
          <w:rFonts w:ascii="Book Antiqua" w:hAnsi="Book Antiqua"/>
          <w:sz w:val="24"/>
          <w:szCs w:val="24"/>
          <w:vertAlign w:val="superscript"/>
        </w:rPr>
        <w:t>23]</w:t>
      </w:r>
      <w:r w:rsidR="00C05BBB" w:rsidRPr="006212FF">
        <w:rPr>
          <w:rFonts w:ascii="Book Antiqua" w:hAnsi="Book Antiqua"/>
          <w:sz w:val="24"/>
          <w:szCs w:val="24"/>
        </w:rPr>
        <w:t>.</w:t>
      </w:r>
    </w:p>
    <w:p w14:paraId="189E7A72" w14:textId="77777777" w:rsidR="008D45B5" w:rsidRDefault="008D45B5" w:rsidP="008D45B5">
      <w:pPr>
        <w:pStyle w:val="ListParagraph"/>
        <w:spacing w:after="0" w:line="360" w:lineRule="auto"/>
        <w:ind w:left="0"/>
        <w:jc w:val="both"/>
        <w:rPr>
          <w:rFonts w:ascii="Book Antiqua" w:hAnsi="Book Antiqua"/>
          <w:sz w:val="24"/>
          <w:szCs w:val="24"/>
        </w:rPr>
      </w:pPr>
    </w:p>
    <w:p w14:paraId="238BE4E4" w14:textId="6942E444" w:rsidR="00551C51" w:rsidRPr="008D45B5" w:rsidRDefault="00DD546F" w:rsidP="008D45B5">
      <w:pPr>
        <w:pStyle w:val="ListParagraph"/>
        <w:spacing w:after="0" w:line="360" w:lineRule="auto"/>
        <w:ind w:left="0"/>
        <w:jc w:val="both"/>
        <w:rPr>
          <w:rFonts w:ascii="Book Antiqua" w:hAnsi="Book Antiqua"/>
          <w:b/>
          <w:i/>
          <w:sz w:val="24"/>
          <w:szCs w:val="24"/>
        </w:rPr>
      </w:pPr>
      <w:r w:rsidRPr="008D45B5">
        <w:rPr>
          <w:rFonts w:ascii="Book Antiqua" w:hAnsi="Book Antiqua"/>
          <w:b/>
          <w:i/>
          <w:sz w:val="24"/>
          <w:szCs w:val="24"/>
        </w:rPr>
        <w:lastRenderedPageBreak/>
        <w:t xml:space="preserve">Impaired </w:t>
      </w:r>
      <w:r w:rsidR="004138AF" w:rsidRPr="008D45B5">
        <w:rPr>
          <w:rFonts w:ascii="Book Antiqua" w:hAnsi="Book Antiqua"/>
          <w:b/>
          <w:i/>
          <w:sz w:val="24"/>
          <w:szCs w:val="24"/>
        </w:rPr>
        <w:t>w</w:t>
      </w:r>
      <w:r w:rsidR="00551C51" w:rsidRPr="008D45B5">
        <w:rPr>
          <w:rFonts w:ascii="Book Antiqua" w:hAnsi="Book Antiqua"/>
          <w:b/>
          <w:i/>
          <w:sz w:val="24"/>
          <w:szCs w:val="24"/>
        </w:rPr>
        <w:t xml:space="preserve">ound </w:t>
      </w:r>
      <w:r w:rsidR="004138AF" w:rsidRPr="008D45B5">
        <w:rPr>
          <w:rFonts w:ascii="Book Antiqua" w:hAnsi="Book Antiqua"/>
          <w:b/>
          <w:i/>
          <w:sz w:val="24"/>
          <w:szCs w:val="24"/>
        </w:rPr>
        <w:t>h</w:t>
      </w:r>
      <w:r w:rsidR="00551C51" w:rsidRPr="008D45B5">
        <w:rPr>
          <w:rFonts w:ascii="Book Antiqua" w:hAnsi="Book Antiqua"/>
          <w:b/>
          <w:i/>
          <w:sz w:val="24"/>
          <w:szCs w:val="24"/>
        </w:rPr>
        <w:t>ealing</w:t>
      </w:r>
    </w:p>
    <w:p w14:paraId="48D8BE24" w14:textId="321A65F2" w:rsidR="00551C51" w:rsidRPr="006212FF" w:rsidRDefault="00551C51" w:rsidP="006212FF">
      <w:pPr>
        <w:spacing w:after="0" w:line="360" w:lineRule="auto"/>
        <w:jc w:val="both"/>
        <w:rPr>
          <w:rFonts w:ascii="Book Antiqua" w:hAnsi="Book Antiqua"/>
          <w:sz w:val="24"/>
          <w:szCs w:val="24"/>
        </w:rPr>
      </w:pPr>
      <w:r w:rsidRPr="006212FF">
        <w:rPr>
          <w:rFonts w:ascii="Book Antiqua" w:hAnsi="Book Antiqua"/>
          <w:sz w:val="24"/>
          <w:szCs w:val="24"/>
        </w:rPr>
        <w:t>Wound healing is an important care issue for post-transplant surgery.</w:t>
      </w:r>
      <w:r w:rsidR="00E24FA6" w:rsidRPr="006212FF">
        <w:rPr>
          <w:rFonts w:ascii="Book Antiqua" w:hAnsi="Book Antiqua"/>
          <w:sz w:val="24"/>
          <w:szCs w:val="24"/>
        </w:rPr>
        <w:t xml:space="preserve"> </w:t>
      </w:r>
      <w:proofErr w:type="spellStart"/>
      <w:r w:rsidR="00E24FA6" w:rsidRPr="006212FF">
        <w:rPr>
          <w:rFonts w:ascii="Book Antiqua" w:hAnsi="Book Antiqua"/>
          <w:sz w:val="24"/>
          <w:szCs w:val="24"/>
        </w:rPr>
        <w:t>Sirolimus</w:t>
      </w:r>
      <w:proofErr w:type="spellEnd"/>
      <w:r w:rsidR="00E24FA6" w:rsidRPr="006212FF">
        <w:rPr>
          <w:rFonts w:ascii="Book Antiqua" w:hAnsi="Book Antiqua"/>
          <w:sz w:val="24"/>
          <w:szCs w:val="24"/>
        </w:rPr>
        <w:t xml:space="preserve"> </w:t>
      </w:r>
      <w:r w:rsidR="00B22A27" w:rsidRPr="006212FF">
        <w:rPr>
          <w:rFonts w:ascii="Book Antiqua" w:hAnsi="Book Antiqua"/>
          <w:sz w:val="24"/>
          <w:szCs w:val="24"/>
        </w:rPr>
        <w:t xml:space="preserve">has as high as 36% incidence rate of </w:t>
      </w:r>
      <w:r w:rsidR="00E24FA6" w:rsidRPr="006212FF">
        <w:rPr>
          <w:rFonts w:ascii="Book Antiqua" w:hAnsi="Book Antiqua"/>
          <w:sz w:val="24"/>
          <w:szCs w:val="24"/>
        </w:rPr>
        <w:t>impair</w:t>
      </w:r>
      <w:r w:rsidR="004138AF" w:rsidRPr="006212FF">
        <w:rPr>
          <w:rFonts w:ascii="Book Antiqua" w:hAnsi="Book Antiqua"/>
          <w:sz w:val="24"/>
          <w:szCs w:val="24"/>
        </w:rPr>
        <w:t>ed</w:t>
      </w:r>
      <w:r w:rsidR="00E24FA6" w:rsidRPr="006212FF">
        <w:rPr>
          <w:rFonts w:ascii="Book Antiqua" w:hAnsi="Book Antiqua"/>
          <w:sz w:val="24"/>
          <w:szCs w:val="24"/>
        </w:rPr>
        <w:t xml:space="preserve"> wo</w:t>
      </w:r>
      <w:r w:rsidR="00D22B0C">
        <w:rPr>
          <w:rFonts w:ascii="Book Antiqua" w:hAnsi="Book Antiqua"/>
          <w:sz w:val="24"/>
          <w:szCs w:val="24"/>
        </w:rPr>
        <w:t xml:space="preserve">und </w:t>
      </w:r>
      <w:proofErr w:type="gramStart"/>
      <w:r w:rsidR="00D22B0C">
        <w:rPr>
          <w:rFonts w:ascii="Book Antiqua" w:hAnsi="Book Antiqua"/>
          <w:sz w:val="24"/>
          <w:szCs w:val="24"/>
        </w:rPr>
        <w:t>healing</w:t>
      </w:r>
      <w:r w:rsidR="00331E8E" w:rsidRPr="006212FF">
        <w:rPr>
          <w:rFonts w:ascii="Book Antiqua" w:hAnsi="Book Antiqua"/>
          <w:sz w:val="24"/>
          <w:szCs w:val="24"/>
          <w:vertAlign w:val="superscript"/>
        </w:rPr>
        <w:t>[</w:t>
      </w:r>
      <w:proofErr w:type="gramEnd"/>
      <w:r w:rsidR="00331E8E" w:rsidRPr="006212FF">
        <w:rPr>
          <w:rFonts w:ascii="Book Antiqua" w:hAnsi="Book Antiqua"/>
          <w:sz w:val="24"/>
          <w:szCs w:val="24"/>
          <w:vertAlign w:val="superscript"/>
        </w:rPr>
        <w:t>41</w:t>
      </w:r>
      <w:r w:rsidR="00D22B0C">
        <w:rPr>
          <w:rFonts w:ascii="Book Antiqua" w:hAnsi="Book Antiqua" w:hint="eastAsia"/>
          <w:sz w:val="24"/>
          <w:szCs w:val="24"/>
          <w:vertAlign w:val="superscript"/>
        </w:rPr>
        <w:t>]</w:t>
      </w:r>
      <w:r w:rsidR="00E24FA6" w:rsidRPr="006212FF">
        <w:rPr>
          <w:rFonts w:ascii="Book Antiqua" w:hAnsi="Book Antiqua"/>
          <w:sz w:val="24"/>
          <w:szCs w:val="24"/>
        </w:rPr>
        <w:t>.</w:t>
      </w:r>
      <w:r w:rsidR="00657C01" w:rsidRPr="006212FF">
        <w:rPr>
          <w:rFonts w:ascii="Book Antiqua" w:hAnsi="Book Antiqua"/>
          <w:sz w:val="24"/>
          <w:szCs w:val="24"/>
        </w:rPr>
        <w:t xml:space="preserve"> </w:t>
      </w:r>
      <w:r w:rsidR="00131173" w:rsidRPr="006212FF">
        <w:rPr>
          <w:rFonts w:ascii="Book Antiqua" w:hAnsi="Book Antiqua"/>
          <w:sz w:val="24"/>
          <w:szCs w:val="24"/>
        </w:rPr>
        <w:t xml:space="preserve">Furthermore, it was reported that </w:t>
      </w:r>
      <w:proofErr w:type="spellStart"/>
      <w:r w:rsidR="00131173" w:rsidRPr="006212FF">
        <w:rPr>
          <w:rFonts w:ascii="Book Antiqua" w:hAnsi="Book Antiqua"/>
          <w:sz w:val="24"/>
          <w:szCs w:val="24"/>
        </w:rPr>
        <w:t>mTOR</w:t>
      </w:r>
      <w:proofErr w:type="spellEnd"/>
      <w:r w:rsidR="00131173" w:rsidRPr="006212FF">
        <w:rPr>
          <w:rFonts w:ascii="Book Antiqua" w:hAnsi="Book Antiqua"/>
          <w:sz w:val="24"/>
          <w:szCs w:val="24"/>
        </w:rPr>
        <w:t xml:space="preserve"> inhibitor is an independent risk fac</w:t>
      </w:r>
      <w:r w:rsidR="00D22B0C">
        <w:rPr>
          <w:rFonts w:ascii="Book Antiqua" w:hAnsi="Book Antiqua"/>
          <w:sz w:val="24"/>
          <w:szCs w:val="24"/>
        </w:rPr>
        <w:t xml:space="preserve">tor for incisional hernia in </w:t>
      </w:r>
      <w:proofErr w:type="gramStart"/>
      <w:r w:rsidR="00D22B0C">
        <w:rPr>
          <w:rFonts w:ascii="Book Antiqua" w:hAnsi="Book Antiqua"/>
          <w:sz w:val="24"/>
          <w:szCs w:val="24"/>
        </w:rPr>
        <w:t>LT</w:t>
      </w:r>
      <w:r w:rsidR="00331E8E" w:rsidRPr="006212FF">
        <w:rPr>
          <w:rFonts w:ascii="Book Antiqua" w:hAnsi="Book Antiqua"/>
          <w:sz w:val="24"/>
          <w:szCs w:val="24"/>
          <w:vertAlign w:val="superscript"/>
        </w:rPr>
        <w:t>[</w:t>
      </w:r>
      <w:proofErr w:type="gramEnd"/>
      <w:r w:rsidR="00331E8E" w:rsidRPr="006212FF">
        <w:rPr>
          <w:rFonts w:ascii="Book Antiqua" w:hAnsi="Book Antiqua"/>
          <w:sz w:val="24"/>
          <w:szCs w:val="24"/>
          <w:vertAlign w:val="superscript"/>
        </w:rPr>
        <w:t>42]</w:t>
      </w:r>
      <w:r w:rsidR="00131173" w:rsidRPr="006212FF">
        <w:rPr>
          <w:rFonts w:ascii="Book Antiqua" w:hAnsi="Book Antiqua"/>
          <w:sz w:val="24"/>
          <w:szCs w:val="24"/>
        </w:rPr>
        <w:t xml:space="preserve">. </w:t>
      </w:r>
      <w:r w:rsidRPr="006212FF">
        <w:rPr>
          <w:rFonts w:ascii="Book Antiqua" w:hAnsi="Book Antiqua"/>
          <w:sz w:val="24"/>
          <w:szCs w:val="24"/>
        </w:rPr>
        <w:t xml:space="preserve">Impairment of wound healing between EVR and control group was presented in the PROTECT study (3.0% </w:t>
      </w:r>
      <w:proofErr w:type="spellStart"/>
      <w:r w:rsidRPr="00D22B0C">
        <w:rPr>
          <w:rFonts w:ascii="Book Antiqua" w:hAnsi="Book Antiqua"/>
          <w:i/>
          <w:sz w:val="24"/>
          <w:szCs w:val="24"/>
        </w:rPr>
        <w:t>vs</w:t>
      </w:r>
      <w:proofErr w:type="spellEnd"/>
      <w:r w:rsidRPr="006212FF">
        <w:rPr>
          <w:rFonts w:ascii="Book Antiqua" w:hAnsi="Book Antiqua"/>
          <w:sz w:val="24"/>
          <w:szCs w:val="24"/>
        </w:rPr>
        <w:t xml:space="preserve"> 4.9% at 11 </w:t>
      </w:r>
      <w:proofErr w:type="spellStart"/>
      <w:r w:rsidRPr="006212FF">
        <w:rPr>
          <w:rFonts w:ascii="Book Antiqua" w:hAnsi="Book Antiqua"/>
          <w:sz w:val="24"/>
          <w:szCs w:val="24"/>
        </w:rPr>
        <w:t>mo</w:t>
      </w:r>
      <w:proofErr w:type="spellEnd"/>
      <w:r w:rsidRPr="006212FF">
        <w:rPr>
          <w:rFonts w:ascii="Book Antiqua" w:hAnsi="Book Antiqua"/>
          <w:sz w:val="24"/>
          <w:szCs w:val="24"/>
        </w:rPr>
        <w:t xml:space="preserve">) and H2304 study (11.0% </w:t>
      </w:r>
      <w:proofErr w:type="spellStart"/>
      <w:r w:rsidR="00D22B0C" w:rsidRPr="00D22B0C">
        <w:rPr>
          <w:rFonts w:ascii="Book Antiqua" w:hAnsi="Book Antiqua"/>
          <w:i/>
          <w:sz w:val="24"/>
          <w:szCs w:val="24"/>
        </w:rPr>
        <w:t>vs</w:t>
      </w:r>
      <w:proofErr w:type="spellEnd"/>
      <w:r w:rsidRPr="006212FF">
        <w:rPr>
          <w:rFonts w:ascii="Book Antiqua" w:hAnsi="Book Antiqua"/>
          <w:sz w:val="24"/>
          <w:szCs w:val="24"/>
        </w:rPr>
        <w:t xml:space="preserve"> 7.9% at 1 year, RR</w:t>
      </w:r>
      <w:r w:rsidR="00D22B0C">
        <w:rPr>
          <w:rFonts w:ascii="Book Antiqua" w:hAnsi="Book Antiqua" w:hint="eastAsia"/>
          <w:sz w:val="24"/>
          <w:szCs w:val="24"/>
        </w:rPr>
        <w:t xml:space="preserve"> </w:t>
      </w:r>
      <w:r w:rsidRPr="006212FF">
        <w:rPr>
          <w:rFonts w:ascii="Book Antiqua" w:hAnsi="Book Antiqua"/>
          <w:sz w:val="24"/>
          <w:szCs w:val="24"/>
        </w:rPr>
        <w:t>=</w:t>
      </w:r>
      <w:r w:rsidR="00D22B0C">
        <w:rPr>
          <w:rFonts w:ascii="Book Antiqua" w:hAnsi="Book Antiqua" w:hint="eastAsia"/>
          <w:sz w:val="24"/>
          <w:szCs w:val="24"/>
        </w:rPr>
        <w:t xml:space="preserve"> </w:t>
      </w:r>
      <w:r w:rsidRPr="006212FF">
        <w:rPr>
          <w:rFonts w:ascii="Book Antiqua" w:hAnsi="Book Antiqua"/>
          <w:sz w:val="24"/>
          <w:szCs w:val="24"/>
        </w:rPr>
        <w:t>1.40, 95%CI</w:t>
      </w:r>
      <w:r w:rsidR="00D22B0C">
        <w:rPr>
          <w:rFonts w:ascii="Book Antiqua" w:hAnsi="Book Antiqua" w:hint="eastAsia"/>
          <w:sz w:val="24"/>
          <w:szCs w:val="24"/>
        </w:rPr>
        <w:t>:</w:t>
      </w:r>
      <w:r w:rsidRPr="006212FF">
        <w:rPr>
          <w:rFonts w:ascii="Book Antiqua" w:hAnsi="Book Antiqua"/>
          <w:sz w:val="24"/>
          <w:szCs w:val="24"/>
        </w:rPr>
        <w:t xml:space="preserve"> 0.80, 2.45; 11.0% </w:t>
      </w:r>
      <w:proofErr w:type="spellStart"/>
      <w:r w:rsidR="00D22B0C" w:rsidRPr="00D22B0C">
        <w:rPr>
          <w:rFonts w:ascii="Book Antiqua" w:hAnsi="Book Antiqua"/>
          <w:i/>
          <w:sz w:val="24"/>
          <w:szCs w:val="24"/>
        </w:rPr>
        <w:t>vs</w:t>
      </w:r>
      <w:proofErr w:type="spellEnd"/>
      <w:r w:rsidRPr="006212FF">
        <w:rPr>
          <w:rFonts w:ascii="Book Antiqua" w:hAnsi="Book Antiqua"/>
          <w:sz w:val="24"/>
          <w:szCs w:val="24"/>
        </w:rPr>
        <w:t xml:space="preserve"> 8.3% at 2 year, </w:t>
      </w:r>
      <w:r w:rsidR="00D22B0C" w:rsidRPr="00D22B0C">
        <w:rPr>
          <w:rFonts w:ascii="Book Antiqua" w:hAnsi="Book Antiqua"/>
          <w:i/>
          <w:sz w:val="24"/>
          <w:szCs w:val="24"/>
        </w:rPr>
        <w:t>P</w:t>
      </w:r>
      <w:r w:rsidR="00D22B0C">
        <w:rPr>
          <w:rFonts w:ascii="Book Antiqua" w:hAnsi="Book Antiqua" w:hint="eastAsia"/>
          <w:sz w:val="24"/>
          <w:szCs w:val="24"/>
        </w:rPr>
        <w:t xml:space="preserve"> </w:t>
      </w:r>
      <w:r w:rsidR="00D22B0C">
        <w:rPr>
          <w:rFonts w:ascii="Book Antiqua" w:hAnsi="Book Antiqua"/>
          <w:sz w:val="24"/>
          <w:szCs w:val="24"/>
        </w:rPr>
        <w:t>= 0.36)</w:t>
      </w:r>
      <w:r w:rsidR="00D22B0C">
        <w:rPr>
          <w:rFonts w:ascii="Book Antiqua" w:hAnsi="Book Antiqua"/>
          <w:sz w:val="24"/>
          <w:szCs w:val="24"/>
          <w:vertAlign w:val="superscript"/>
        </w:rPr>
        <w:t>[13,16,</w:t>
      </w:r>
      <w:r w:rsidR="00331E8E" w:rsidRPr="006212FF">
        <w:rPr>
          <w:rFonts w:ascii="Book Antiqua" w:hAnsi="Book Antiqua"/>
          <w:sz w:val="24"/>
          <w:szCs w:val="24"/>
          <w:vertAlign w:val="superscript"/>
        </w:rPr>
        <w:t>17]</w:t>
      </w:r>
      <w:r w:rsidRPr="006212FF">
        <w:rPr>
          <w:rFonts w:ascii="Book Antiqua" w:hAnsi="Book Antiqua"/>
          <w:sz w:val="24"/>
          <w:szCs w:val="24"/>
        </w:rPr>
        <w:t>. Both studies also reported an increase of incisional hernia with EVR exposure</w:t>
      </w:r>
      <w:r w:rsidR="00196B9F" w:rsidRPr="006212FF">
        <w:rPr>
          <w:rFonts w:ascii="Book Antiqua" w:hAnsi="Book Antiqua"/>
          <w:sz w:val="24"/>
          <w:szCs w:val="24"/>
        </w:rPr>
        <w:t xml:space="preserve">, although the difference did not reach statistical significance in either </w:t>
      </w:r>
      <w:proofErr w:type="gramStart"/>
      <w:r w:rsidR="00196B9F" w:rsidRPr="006212FF">
        <w:rPr>
          <w:rFonts w:ascii="Book Antiqua" w:hAnsi="Book Antiqua"/>
          <w:sz w:val="24"/>
          <w:szCs w:val="24"/>
        </w:rPr>
        <w:t>study</w:t>
      </w:r>
      <w:r w:rsidR="00D22B0C">
        <w:rPr>
          <w:rFonts w:ascii="Book Antiqua" w:hAnsi="Book Antiqua"/>
          <w:sz w:val="24"/>
          <w:szCs w:val="24"/>
          <w:vertAlign w:val="superscript"/>
        </w:rPr>
        <w:t>[</w:t>
      </w:r>
      <w:proofErr w:type="gramEnd"/>
      <w:r w:rsidR="00D22B0C">
        <w:rPr>
          <w:rFonts w:ascii="Book Antiqua" w:hAnsi="Book Antiqua"/>
          <w:sz w:val="24"/>
          <w:szCs w:val="24"/>
          <w:vertAlign w:val="superscript"/>
        </w:rPr>
        <w:t>14,</w:t>
      </w:r>
      <w:r w:rsidR="00331E8E" w:rsidRPr="006212FF">
        <w:rPr>
          <w:rFonts w:ascii="Book Antiqua" w:hAnsi="Book Antiqua"/>
          <w:sz w:val="24"/>
          <w:szCs w:val="24"/>
          <w:vertAlign w:val="superscript"/>
        </w:rPr>
        <w:t>17]</w:t>
      </w:r>
      <w:r w:rsidRPr="006212FF">
        <w:rPr>
          <w:rFonts w:ascii="Book Antiqua" w:hAnsi="Book Antiqua"/>
          <w:sz w:val="24"/>
          <w:szCs w:val="24"/>
        </w:rPr>
        <w:t xml:space="preserve">. </w:t>
      </w:r>
      <w:r w:rsidR="00196B9F" w:rsidRPr="006212FF">
        <w:rPr>
          <w:rFonts w:ascii="Book Antiqua" w:hAnsi="Book Antiqua"/>
          <w:sz w:val="24"/>
          <w:szCs w:val="24"/>
        </w:rPr>
        <w:t xml:space="preserve">Similarly, </w:t>
      </w:r>
      <w:proofErr w:type="spellStart"/>
      <w:r w:rsidRPr="006212FF">
        <w:rPr>
          <w:rFonts w:ascii="Book Antiqua" w:hAnsi="Book Antiqua"/>
          <w:sz w:val="24"/>
          <w:szCs w:val="24"/>
        </w:rPr>
        <w:t>Masetti</w:t>
      </w:r>
      <w:proofErr w:type="spellEnd"/>
      <w:r w:rsidRPr="00D22B0C">
        <w:rPr>
          <w:rFonts w:ascii="Book Antiqua" w:hAnsi="Book Antiqua"/>
          <w:i/>
          <w:sz w:val="24"/>
          <w:szCs w:val="24"/>
        </w:rPr>
        <w:t xml:space="preserve"> et </w:t>
      </w:r>
      <w:proofErr w:type="gramStart"/>
      <w:r w:rsidRPr="00D22B0C">
        <w:rPr>
          <w:rFonts w:ascii="Book Antiqua" w:hAnsi="Book Antiqua"/>
          <w:i/>
          <w:sz w:val="24"/>
          <w:szCs w:val="24"/>
        </w:rPr>
        <w:t>al</w:t>
      </w:r>
      <w:r w:rsidR="00D22B0C" w:rsidRPr="006212FF">
        <w:rPr>
          <w:rFonts w:ascii="Book Antiqua" w:hAnsi="Book Antiqua"/>
          <w:sz w:val="24"/>
          <w:szCs w:val="24"/>
          <w:vertAlign w:val="superscript"/>
        </w:rPr>
        <w:t>[</w:t>
      </w:r>
      <w:proofErr w:type="gramEnd"/>
      <w:r w:rsidR="00D22B0C" w:rsidRPr="006212FF">
        <w:rPr>
          <w:rFonts w:ascii="Book Antiqua" w:hAnsi="Book Antiqua"/>
          <w:sz w:val="24"/>
          <w:szCs w:val="24"/>
          <w:vertAlign w:val="superscript"/>
        </w:rPr>
        <w:t>21]</w:t>
      </w:r>
      <w:r w:rsidRPr="006212FF">
        <w:rPr>
          <w:rFonts w:ascii="Book Antiqua" w:hAnsi="Book Antiqua"/>
          <w:sz w:val="24"/>
          <w:szCs w:val="24"/>
        </w:rPr>
        <w:t xml:space="preserve"> reported a </w:t>
      </w:r>
      <w:r w:rsidR="00196B9F" w:rsidRPr="006212FF">
        <w:rPr>
          <w:rFonts w:ascii="Book Antiqua" w:hAnsi="Book Antiqua"/>
          <w:sz w:val="24"/>
          <w:szCs w:val="24"/>
        </w:rPr>
        <w:t xml:space="preserve">non-significant </w:t>
      </w:r>
      <w:r w:rsidRPr="006212FF">
        <w:rPr>
          <w:rFonts w:ascii="Book Antiqua" w:hAnsi="Book Antiqua"/>
          <w:sz w:val="24"/>
          <w:szCs w:val="24"/>
        </w:rPr>
        <w:t xml:space="preserve">increase </w:t>
      </w:r>
      <w:r w:rsidR="00196B9F" w:rsidRPr="006212FF">
        <w:rPr>
          <w:rFonts w:ascii="Book Antiqua" w:hAnsi="Book Antiqua"/>
          <w:sz w:val="24"/>
          <w:szCs w:val="24"/>
        </w:rPr>
        <w:t>in</w:t>
      </w:r>
      <w:r w:rsidRPr="006212FF">
        <w:rPr>
          <w:rFonts w:ascii="Book Antiqua" w:hAnsi="Book Antiqua"/>
          <w:sz w:val="24"/>
          <w:szCs w:val="24"/>
        </w:rPr>
        <w:t xml:space="preserve"> incisional </w:t>
      </w:r>
      <w:r w:rsidR="000A0214" w:rsidRPr="006212FF">
        <w:rPr>
          <w:rFonts w:ascii="Book Antiqua" w:hAnsi="Book Antiqua"/>
          <w:sz w:val="24"/>
          <w:szCs w:val="24"/>
        </w:rPr>
        <w:t xml:space="preserve">hernia in </w:t>
      </w:r>
      <w:r w:rsidR="00196B9F" w:rsidRPr="006212FF">
        <w:rPr>
          <w:rFonts w:ascii="Book Antiqua" w:hAnsi="Book Antiqua"/>
          <w:sz w:val="24"/>
          <w:szCs w:val="24"/>
        </w:rPr>
        <w:t xml:space="preserve">the </w:t>
      </w:r>
      <w:r w:rsidR="000A0214" w:rsidRPr="006212FF">
        <w:rPr>
          <w:rFonts w:ascii="Book Antiqua" w:hAnsi="Book Antiqua"/>
          <w:sz w:val="24"/>
          <w:szCs w:val="24"/>
        </w:rPr>
        <w:t>EVR group</w:t>
      </w:r>
      <w:r w:rsidRPr="006212FF">
        <w:rPr>
          <w:rFonts w:ascii="Book Antiqua" w:hAnsi="Book Antiqua"/>
          <w:sz w:val="24"/>
          <w:szCs w:val="24"/>
        </w:rPr>
        <w:t>. Th</w:t>
      </w:r>
      <w:r w:rsidR="00131173" w:rsidRPr="006212FF">
        <w:rPr>
          <w:rFonts w:ascii="Book Antiqua" w:hAnsi="Book Antiqua"/>
          <w:sz w:val="24"/>
          <w:szCs w:val="24"/>
        </w:rPr>
        <w:t>e</w:t>
      </w:r>
      <w:r w:rsidRPr="006212FF">
        <w:rPr>
          <w:rFonts w:ascii="Book Antiqua" w:hAnsi="Book Antiqua"/>
          <w:sz w:val="24"/>
          <w:szCs w:val="24"/>
        </w:rPr>
        <w:t xml:space="preserve"> finding</w:t>
      </w:r>
      <w:r w:rsidR="00131173" w:rsidRPr="006212FF">
        <w:rPr>
          <w:rFonts w:ascii="Book Antiqua" w:hAnsi="Book Antiqua"/>
          <w:sz w:val="24"/>
          <w:szCs w:val="24"/>
        </w:rPr>
        <w:t>s in these studies</w:t>
      </w:r>
      <w:r w:rsidRPr="006212FF">
        <w:rPr>
          <w:rFonts w:ascii="Book Antiqua" w:hAnsi="Book Antiqua"/>
          <w:sz w:val="24"/>
          <w:szCs w:val="24"/>
        </w:rPr>
        <w:t xml:space="preserve"> w</w:t>
      </w:r>
      <w:r w:rsidR="00131173" w:rsidRPr="006212FF">
        <w:rPr>
          <w:rFonts w:ascii="Book Antiqua" w:hAnsi="Book Antiqua"/>
          <w:sz w:val="24"/>
          <w:szCs w:val="24"/>
        </w:rPr>
        <w:t>ere</w:t>
      </w:r>
      <w:r w:rsidRPr="006212FF">
        <w:rPr>
          <w:rFonts w:ascii="Book Antiqua" w:hAnsi="Book Antiqua"/>
          <w:sz w:val="24"/>
          <w:szCs w:val="24"/>
        </w:rPr>
        <w:t xml:space="preserve"> similar to the not statistically significant increase of wound healing impairment in renal transplant patients using EVR as compared to standard</w:t>
      </w:r>
      <w:r w:rsidR="00D22B0C">
        <w:rPr>
          <w:rFonts w:ascii="Book Antiqua" w:hAnsi="Book Antiqua"/>
          <w:sz w:val="24"/>
          <w:szCs w:val="24"/>
        </w:rPr>
        <w:t xml:space="preserve"> CNI reported by </w:t>
      </w:r>
      <w:proofErr w:type="spellStart"/>
      <w:r w:rsidR="00D22B0C">
        <w:rPr>
          <w:rFonts w:ascii="Book Antiqua" w:hAnsi="Book Antiqua"/>
          <w:sz w:val="24"/>
          <w:szCs w:val="24"/>
        </w:rPr>
        <w:t>Nashan</w:t>
      </w:r>
      <w:proofErr w:type="spellEnd"/>
      <w:r w:rsidR="00D22B0C">
        <w:rPr>
          <w:rFonts w:ascii="Book Antiqua" w:hAnsi="Book Antiqua"/>
          <w:sz w:val="24"/>
          <w:szCs w:val="24"/>
        </w:rPr>
        <w:t xml:space="preserve"> </w:t>
      </w:r>
      <w:r w:rsidR="00D22B0C" w:rsidRPr="00D22B0C">
        <w:rPr>
          <w:rFonts w:ascii="Book Antiqua" w:hAnsi="Book Antiqua"/>
          <w:i/>
          <w:sz w:val="24"/>
          <w:szCs w:val="24"/>
        </w:rPr>
        <w:t xml:space="preserve">et </w:t>
      </w:r>
      <w:proofErr w:type="gramStart"/>
      <w:r w:rsidR="00D22B0C" w:rsidRPr="00D22B0C">
        <w:rPr>
          <w:rFonts w:ascii="Book Antiqua" w:hAnsi="Book Antiqua"/>
          <w:i/>
          <w:sz w:val="24"/>
          <w:szCs w:val="24"/>
        </w:rPr>
        <w:t>al</w:t>
      </w:r>
      <w:r w:rsidR="00331E8E" w:rsidRPr="006212FF">
        <w:rPr>
          <w:rFonts w:ascii="Book Antiqua" w:hAnsi="Book Antiqua"/>
          <w:sz w:val="24"/>
          <w:szCs w:val="24"/>
          <w:vertAlign w:val="superscript"/>
        </w:rPr>
        <w:t>[</w:t>
      </w:r>
      <w:proofErr w:type="gramEnd"/>
      <w:r w:rsidR="00331E8E" w:rsidRPr="006212FF">
        <w:rPr>
          <w:rFonts w:ascii="Book Antiqua" w:hAnsi="Book Antiqua"/>
          <w:sz w:val="24"/>
          <w:szCs w:val="24"/>
          <w:vertAlign w:val="superscript"/>
        </w:rPr>
        <w:t>43]</w:t>
      </w:r>
      <w:r w:rsidRPr="006212FF">
        <w:rPr>
          <w:rFonts w:ascii="Book Antiqua" w:hAnsi="Book Antiqua"/>
          <w:sz w:val="24"/>
          <w:szCs w:val="24"/>
        </w:rPr>
        <w:t xml:space="preserve">. </w:t>
      </w:r>
    </w:p>
    <w:p w14:paraId="3E035793" w14:textId="72914B31" w:rsidR="00657C01" w:rsidRPr="006212FF" w:rsidRDefault="007C21B4" w:rsidP="00D22B0C">
      <w:pPr>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Generally, impaired wound healing </w:t>
      </w:r>
      <w:r w:rsidR="00D30CFA" w:rsidRPr="006212FF">
        <w:rPr>
          <w:rFonts w:ascii="Book Antiqua" w:hAnsi="Book Antiqua"/>
          <w:sz w:val="24"/>
          <w:szCs w:val="24"/>
        </w:rPr>
        <w:t>rates with</w:t>
      </w:r>
      <w:r w:rsidRPr="006212FF">
        <w:rPr>
          <w:rFonts w:ascii="Book Antiqua" w:hAnsi="Book Antiqua"/>
          <w:sz w:val="24"/>
          <w:szCs w:val="24"/>
        </w:rPr>
        <w:t xml:space="preserve"> EVR</w:t>
      </w:r>
      <w:r w:rsidR="00D30CFA" w:rsidRPr="006212FF">
        <w:rPr>
          <w:rFonts w:ascii="Book Antiqua" w:hAnsi="Book Antiqua"/>
          <w:sz w:val="24"/>
          <w:szCs w:val="24"/>
        </w:rPr>
        <w:t xml:space="preserve"> use</w:t>
      </w:r>
      <w:r w:rsidRPr="006212FF">
        <w:rPr>
          <w:rFonts w:ascii="Book Antiqua" w:hAnsi="Book Antiqua"/>
          <w:sz w:val="24"/>
          <w:szCs w:val="24"/>
        </w:rPr>
        <w:t xml:space="preserve"> ranges from 11</w:t>
      </w:r>
      <w:r w:rsidR="00D22B0C">
        <w:rPr>
          <w:rFonts w:ascii="Book Antiqua" w:hAnsi="Book Antiqua" w:hint="eastAsia"/>
          <w:sz w:val="24"/>
          <w:szCs w:val="24"/>
        </w:rPr>
        <w:t>%</w:t>
      </w:r>
      <w:r w:rsidRPr="006212FF">
        <w:rPr>
          <w:rFonts w:ascii="Book Antiqua" w:hAnsi="Book Antiqua"/>
          <w:sz w:val="24"/>
          <w:szCs w:val="24"/>
        </w:rPr>
        <w:t>-35%</w:t>
      </w:r>
      <w:r w:rsidR="00331E8E" w:rsidRPr="006212FF">
        <w:rPr>
          <w:rFonts w:ascii="Book Antiqua" w:hAnsi="Book Antiqua"/>
          <w:sz w:val="24"/>
          <w:szCs w:val="24"/>
          <w:vertAlign w:val="superscript"/>
        </w:rPr>
        <w:t>[41]</w:t>
      </w:r>
      <w:r w:rsidRPr="006212FF">
        <w:rPr>
          <w:rFonts w:ascii="Book Antiqua" w:hAnsi="Book Antiqua"/>
          <w:sz w:val="24"/>
          <w:szCs w:val="24"/>
        </w:rPr>
        <w:t xml:space="preserve">. </w:t>
      </w:r>
      <w:r w:rsidR="00196B9F" w:rsidRPr="006212FF">
        <w:rPr>
          <w:rFonts w:ascii="Book Antiqua" w:hAnsi="Book Antiqua"/>
          <w:sz w:val="24"/>
          <w:szCs w:val="24"/>
        </w:rPr>
        <w:t xml:space="preserve">Despite the lack of statistical significance, </w:t>
      </w:r>
      <w:r w:rsidR="00657C01" w:rsidRPr="006212FF">
        <w:rPr>
          <w:rFonts w:ascii="Book Antiqua" w:hAnsi="Book Antiqua"/>
          <w:sz w:val="24"/>
          <w:szCs w:val="24"/>
        </w:rPr>
        <w:t>further analys</w:t>
      </w:r>
      <w:r w:rsidR="00196B9F" w:rsidRPr="006212FF">
        <w:rPr>
          <w:rFonts w:ascii="Book Antiqua" w:hAnsi="Book Antiqua"/>
          <w:sz w:val="24"/>
          <w:szCs w:val="24"/>
        </w:rPr>
        <w:t>e</w:t>
      </w:r>
      <w:r w:rsidR="00657C01" w:rsidRPr="006212FF">
        <w:rPr>
          <w:rFonts w:ascii="Book Antiqua" w:hAnsi="Book Antiqua"/>
          <w:sz w:val="24"/>
          <w:szCs w:val="24"/>
        </w:rPr>
        <w:t>s or stud</w:t>
      </w:r>
      <w:r w:rsidR="00196B9F" w:rsidRPr="006212FF">
        <w:rPr>
          <w:rFonts w:ascii="Book Antiqua" w:hAnsi="Book Antiqua"/>
          <w:sz w:val="24"/>
          <w:szCs w:val="24"/>
        </w:rPr>
        <w:t>ies</w:t>
      </w:r>
      <w:r w:rsidR="00657C01" w:rsidRPr="006212FF">
        <w:rPr>
          <w:rFonts w:ascii="Book Antiqua" w:hAnsi="Book Antiqua"/>
          <w:sz w:val="24"/>
          <w:szCs w:val="24"/>
        </w:rPr>
        <w:t xml:space="preserve"> to guide the optimal t</w:t>
      </w:r>
      <w:r w:rsidR="00E62C8F" w:rsidRPr="006212FF">
        <w:rPr>
          <w:rFonts w:ascii="Book Antiqua" w:hAnsi="Book Antiqua"/>
          <w:sz w:val="24"/>
          <w:szCs w:val="24"/>
        </w:rPr>
        <w:t xml:space="preserve">ime for initiation of EVR in LT </w:t>
      </w:r>
      <w:r w:rsidR="00196B9F" w:rsidRPr="006212FF">
        <w:rPr>
          <w:rFonts w:ascii="Book Antiqua" w:hAnsi="Book Antiqua"/>
          <w:sz w:val="24"/>
          <w:szCs w:val="24"/>
        </w:rPr>
        <w:t xml:space="preserve">are warranted, </w:t>
      </w:r>
      <w:r w:rsidR="00E62C8F" w:rsidRPr="006212FF">
        <w:rPr>
          <w:rFonts w:ascii="Book Antiqua" w:hAnsi="Book Antiqua"/>
          <w:sz w:val="24"/>
          <w:szCs w:val="24"/>
        </w:rPr>
        <w:t xml:space="preserve">especially when EVR is </w:t>
      </w:r>
      <w:r w:rsidR="00196B9F" w:rsidRPr="006212FF">
        <w:rPr>
          <w:rFonts w:ascii="Book Antiqua" w:hAnsi="Book Antiqua"/>
          <w:sz w:val="24"/>
          <w:szCs w:val="24"/>
        </w:rPr>
        <w:t xml:space="preserve">used in </w:t>
      </w:r>
      <w:r w:rsidR="00E62C8F" w:rsidRPr="006212FF">
        <w:rPr>
          <w:rFonts w:ascii="Book Antiqua" w:hAnsi="Book Antiqua"/>
          <w:sz w:val="24"/>
          <w:szCs w:val="24"/>
        </w:rPr>
        <w:t>combin</w:t>
      </w:r>
      <w:r w:rsidR="00196B9F" w:rsidRPr="006212FF">
        <w:rPr>
          <w:rFonts w:ascii="Book Antiqua" w:hAnsi="Book Antiqua"/>
          <w:sz w:val="24"/>
          <w:szCs w:val="24"/>
        </w:rPr>
        <w:t>ation</w:t>
      </w:r>
      <w:r w:rsidR="00E62C8F" w:rsidRPr="006212FF">
        <w:rPr>
          <w:rFonts w:ascii="Book Antiqua" w:hAnsi="Book Antiqua"/>
          <w:sz w:val="24"/>
          <w:szCs w:val="24"/>
        </w:rPr>
        <w:t xml:space="preserve"> with other </w:t>
      </w:r>
      <w:proofErr w:type="spellStart"/>
      <w:r w:rsidR="00E62C8F" w:rsidRPr="006212FF">
        <w:rPr>
          <w:rFonts w:ascii="Book Antiqua" w:hAnsi="Book Antiqua"/>
          <w:sz w:val="24"/>
          <w:szCs w:val="24"/>
        </w:rPr>
        <w:t>immunosuppressants</w:t>
      </w:r>
      <w:proofErr w:type="spellEnd"/>
      <w:r w:rsidR="00E62C8F" w:rsidRPr="006212FF">
        <w:rPr>
          <w:rFonts w:ascii="Book Antiqua" w:hAnsi="Book Antiqua"/>
          <w:sz w:val="24"/>
          <w:szCs w:val="24"/>
        </w:rPr>
        <w:t xml:space="preserve"> that may delay healing process as well.</w:t>
      </w:r>
    </w:p>
    <w:p w14:paraId="21437CD8" w14:textId="77777777" w:rsidR="00551C51" w:rsidRPr="006212FF" w:rsidRDefault="00551C51" w:rsidP="006212FF">
      <w:pPr>
        <w:spacing w:after="0" w:line="360" w:lineRule="auto"/>
        <w:jc w:val="both"/>
        <w:rPr>
          <w:rFonts w:ascii="Book Antiqua" w:hAnsi="Book Antiqua"/>
          <w:sz w:val="24"/>
          <w:szCs w:val="24"/>
        </w:rPr>
      </w:pPr>
      <w:r w:rsidRPr="006212FF">
        <w:rPr>
          <w:rFonts w:ascii="Book Antiqua" w:hAnsi="Book Antiqua"/>
          <w:sz w:val="24"/>
          <w:szCs w:val="24"/>
        </w:rPr>
        <w:t xml:space="preserve"> </w:t>
      </w:r>
    </w:p>
    <w:p w14:paraId="35192729" w14:textId="77777777" w:rsidR="00925649" w:rsidRPr="00D22B0C" w:rsidRDefault="00925649" w:rsidP="00D22B0C">
      <w:pPr>
        <w:pStyle w:val="ListParagraph"/>
        <w:spacing w:after="0" w:line="360" w:lineRule="auto"/>
        <w:ind w:left="0"/>
        <w:jc w:val="both"/>
        <w:rPr>
          <w:rFonts w:ascii="Book Antiqua" w:hAnsi="Book Antiqua"/>
          <w:b/>
          <w:i/>
          <w:sz w:val="24"/>
          <w:szCs w:val="24"/>
        </w:rPr>
      </w:pPr>
      <w:r w:rsidRPr="00D22B0C">
        <w:rPr>
          <w:rFonts w:ascii="Book Antiqua" w:hAnsi="Book Antiqua"/>
          <w:b/>
          <w:i/>
          <w:sz w:val="24"/>
          <w:szCs w:val="24"/>
        </w:rPr>
        <w:t>Infection</w:t>
      </w:r>
    </w:p>
    <w:p w14:paraId="799A2265" w14:textId="22DAF9D5" w:rsidR="00627FA0" w:rsidRPr="006212FF" w:rsidRDefault="00925649" w:rsidP="006212FF">
      <w:pPr>
        <w:spacing w:after="0" w:line="360" w:lineRule="auto"/>
        <w:jc w:val="both"/>
        <w:rPr>
          <w:rFonts w:ascii="Book Antiqua" w:hAnsi="Book Antiqua" w:cstheme="minorHAnsi"/>
          <w:sz w:val="24"/>
          <w:szCs w:val="24"/>
        </w:rPr>
      </w:pPr>
      <w:r w:rsidRPr="006212FF">
        <w:rPr>
          <w:rFonts w:ascii="Book Antiqua" w:hAnsi="Book Antiqua"/>
          <w:sz w:val="24"/>
          <w:szCs w:val="24"/>
        </w:rPr>
        <w:t>The risk of infection is of concern in post-transplant care</w:t>
      </w:r>
      <w:r w:rsidR="00B357F9" w:rsidRPr="006212FF">
        <w:rPr>
          <w:rFonts w:ascii="Book Antiqua" w:hAnsi="Book Antiqua"/>
          <w:sz w:val="24"/>
          <w:szCs w:val="24"/>
        </w:rPr>
        <w:t xml:space="preserve"> and</w:t>
      </w:r>
      <w:r w:rsidRPr="006212FF">
        <w:rPr>
          <w:rFonts w:ascii="Book Antiqua" w:hAnsi="Book Antiqua"/>
          <w:sz w:val="24"/>
          <w:szCs w:val="24"/>
        </w:rPr>
        <w:t xml:space="preserve"> the higher incidence of infection with EVR should not be overlooked. In the H2304 study, the overall incidence of any infection at 1 year wa</w:t>
      </w:r>
      <w:r w:rsidR="00D22B0C">
        <w:rPr>
          <w:rFonts w:ascii="Book Antiqua" w:hAnsi="Book Antiqua"/>
          <w:sz w:val="24"/>
          <w:szCs w:val="24"/>
        </w:rPr>
        <w:t xml:space="preserve">s not statistically </w:t>
      </w:r>
      <w:proofErr w:type="gramStart"/>
      <w:r w:rsidR="00D22B0C">
        <w:rPr>
          <w:rFonts w:ascii="Book Antiqua" w:hAnsi="Book Antiqua"/>
          <w:sz w:val="24"/>
          <w:szCs w:val="24"/>
        </w:rPr>
        <w:t>significant</w:t>
      </w:r>
      <w:r w:rsidR="00331E8E" w:rsidRPr="006212FF">
        <w:rPr>
          <w:rFonts w:ascii="Book Antiqua" w:hAnsi="Book Antiqua"/>
          <w:sz w:val="24"/>
          <w:szCs w:val="24"/>
          <w:vertAlign w:val="superscript"/>
        </w:rPr>
        <w:t>[</w:t>
      </w:r>
      <w:proofErr w:type="gramEnd"/>
      <w:r w:rsidR="00331E8E" w:rsidRPr="006212FF">
        <w:rPr>
          <w:rFonts w:ascii="Book Antiqua" w:hAnsi="Book Antiqua"/>
          <w:sz w:val="24"/>
          <w:szCs w:val="24"/>
          <w:vertAlign w:val="superscript"/>
        </w:rPr>
        <w:t>16]</w:t>
      </w:r>
      <w:r w:rsidRPr="006212FF">
        <w:rPr>
          <w:rFonts w:ascii="Book Antiqua" w:hAnsi="Book Antiqua"/>
          <w:sz w:val="24"/>
          <w:szCs w:val="24"/>
        </w:rPr>
        <w:t xml:space="preserve">. However, there was an increase for any serious infection (13.9% in EVR group </w:t>
      </w:r>
      <w:proofErr w:type="spellStart"/>
      <w:r w:rsidR="00D22B0C" w:rsidRPr="00D22B0C">
        <w:rPr>
          <w:rFonts w:ascii="Book Antiqua" w:hAnsi="Book Antiqua"/>
          <w:i/>
          <w:sz w:val="24"/>
          <w:szCs w:val="24"/>
        </w:rPr>
        <w:t>vs</w:t>
      </w:r>
      <w:proofErr w:type="spellEnd"/>
      <w:r w:rsidRPr="006212FF">
        <w:rPr>
          <w:rFonts w:ascii="Book Antiqua" w:hAnsi="Book Antiqua"/>
          <w:sz w:val="24"/>
          <w:szCs w:val="24"/>
        </w:rPr>
        <w:t xml:space="preserve"> 7.9% in control, RR</w:t>
      </w:r>
      <w:r w:rsidR="00D22B0C">
        <w:rPr>
          <w:rFonts w:ascii="Book Antiqua" w:hAnsi="Book Antiqua" w:hint="eastAsia"/>
          <w:sz w:val="24"/>
          <w:szCs w:val="24"/>
        </w:rPr>
        <w:t xml:space="preserve"> </w:t>
      </w:r>
      <w:r w:rsidRPr="006212FF">
        <w:rPr>
          <w:rFonts w:ascii="Book Antiqua" w:hAnsi="Book Antiqua"/>
          <w:sz w:val="24"/>
          <w:szCs w:val="24"/>
        </w:rPr>
        <w:t>=</w:t>
      </w:r>
      <w:r w:rsidR="00D22B0C">
        <w:rPr>
          <w:rFonts w:ascii="Book Antiqua" w:hAnsi="Book Antiqua" w:hint="eastAsia"/>
          <w:sz w:val="24"/>
          <w:szCs w:val="24"/>
        </w:rPr>
        <w:t xml:space="preserve"> </w:t>
      </w:r>
      <w:r w:rsidRPr="006212FF">
        <w:rPr>
          <w:rFonts w:ascii="Book Antiqua" w:hAnsi="Book Antiqua"/>
          <w:sz w:val="24"/>
          <w:szCs w:val="24"/>
        </w:rPr>
        <w:t xml:space="preserve">1.76 95%CI: 1.03, 3.00) </w:t>
      </w:r>
      <w:r w:rsidR="00627FA0" w:rsidRPr="006212FF">
        <w:rPr>
          <w:rFonts w:ascii="Book Antiqua" w:hAnsi="Book Antiqua"/>
          <w:sz w:val="24"/>
          <w:szCs w:val="24"/>
        </w:rPr>
        <w:t xml:space="preserve">which included pneumonia and hepatitis C. </w:t>
      </w:r>
      <w:r w:rsidR="00514385" w:rsidRPr="006212FF">
        <w:rPr>
          <w:rFonts w:ascii="Book Antiqua" w:hAnsi="Book Antiqua"/>
          <w:sz w:val="24"/>
          <w:szCs w:val="24"/>
        </w:rPr>
        <w:t>The overall</w:t>
      </w:r>
      <w:r w:rsidRPr="006212FF">
        <w:rPr>
          <w:rFonts w:ascii="Book Antiqua" w:hAnsi="Book Antiqua"/>
          <w:sz w:val="24"/>
          <w:szCs w:val="24"/>
        </w:rPr>
        <w:t xml:space="preserve"> incidence of any infection was </w:t>
      </w:r>
      <w:r w:rsidR="00751754" w:rsidRPr="006212FF">
        <w:rPr>
          <w:rFonts w:ascii="Book Antiqua" w:hAnsi="Book Antiqua"/>
          <w:sz w:val="24"/>
          <w:szCs w:val="24"/>
        </w:rPr>
        <w:t xml:space="preserve">also </w:t>
      </w:r>
      <w:r w:rsidRPr="006212FF">
        <w:rPr>
          <w:rFonts w:ascii="Book Antiqua" w:hAnsi="Book Antiqua"/>
          <w:sz w:val="24"/>
          <w:szCs w:val="24"/>
        </w:rPr>
        <w:t xml:space="preserve">comparable between EVR and control groups in the 2-year and 3-year follow up (56.3% </w:t>
      </w:r>
      <w:proofErr w:type="spellStart"/>
      <w:r w:rsidR="00D22B0C" w:rsidRPr="00D22B0C">
        <w:rPr>
          <w:rFonts w:ascii="Book Antiqua" w:hAnsi="Book Antiqua"/>
          <w:i/>
          <w:sz w:val="24"/>
          <w:szCs w:val="24"/>
        </w:rPr>
        <w:t>vs</w:t>
      </w:r>
      <w:proofErr w:type="spellEnd"/>
      <w:r w:rsidRPr="006212FF">
        <w:rPr>
          <w:rFonts w:ascii="Book Antiqua" w:hAnsi="Book Antiqua"/>
          <w:sz w:val="24"/>
          <w:szCs w:val="24"/>
        </w:rPr>
        <w:t xml:space="preserve"> 51.7% and 70.8% </w:t>
      </w:r>
      <w:proofErr w:type="spellStart"/>
      <w:r w:rsidR="00D22B0C" w:rsidRPr="00D22B0C">
        <w:rPr>
          <w:rFonts w:ascii="Book Antiqua" w:hAnsi="Book Antiqua"/>
          <w:i/>
          <w:sz w:val="24"/>
          <w:szCs w:val="24"/>
        </w:rPr>
        <w:t>vs</w:t>
      </w:r>
      <w:proofErr w:type="spellEnd"/>
      <w:r w:rsidR="00D22B0C" w:rsidRPr="006212FF">
        <w:rPr>
          <w:rFonts w:ascii="Book Antiqua" w:hAnsi="Book Antiqua"/>
          <w:sz w:val="24"/>
          <w:szCs w:val="24"/>
        </w:rPr>
        <w:t xml:space="preserve"> </w:t>
      </w:r>
      <w:r w:rsidRPr="006212FF">
        <w:rPr>
          <w:rFonts w:ascii="Book Antiqua" w:hAnsi="Book Antiqua"/>
          <w:sz w:val="24"/>
          <w:szCs w:val="24"/>
        </w:rPr>
        <w:t>64.0% respectively)</w:t>
      </w:r>
      <w:r w:rsidR="00514385" w:rsidRPr="006212FF">
        <w:rPr>
          <w:rFonts w:ascii="Book Antiqua" w:hAnsi="Book Antiqua"/>
          <w:sz w:val="24"/>
          <w:szCs w:val="24"/>
        </w:rPr>
        <w:t xml:space="preserve"> period, without a significant difference in the rates of serious infections</w:t>
      </w:r>
      <w:r w:rsidRPr="006212FF">
        <w:rPr>
          <w:rFonts w:ascii="Book Antiqua" w:hAnsi="Book Antiqua"/>
          <w:sz w:val="24"/>
          <w:szCs w:val="24"/>
        </w:rPr>
        <w:t>.</w:t>
      </w:r>
      <w:r w:rsidR="00627FA0" w:rsidRPr="006212FF">
        <w:rPr>
          <w:rFonts w:ascii="Book Antiqua" w:hAnsi="Book Antiqua" w:cstheme="minorHAnsi"/>
          <w:sz w:val="24"/>
          <w:szCs w:val="24"/>
        </w:rPr>
        <w:t xml:space="preserve"> </w:t>
      </w:r>
    </w:p>
    <w:p w14:paraId="1F0B9A6F" w14:textId="32ADC4E9" w:rsidR="00925649" w:rsidRPr="006212FF" w:rsidRDefault="00925649" w:rsidP="00D22B0C">
      <w:pPr>
        <w:autoSpaceDE w:val="0"/>
        <w:autoSpaceDN w:val="0"/>
        <w:adjustRightInd w:val="0"/>
        <w:spacing w:after="0" w:line="360" w:lineRule="auto"/>
        <w:ind w:firstLineChars="100" w:firstLine="240"/>
        <w:jc w:val="both"/>
        <w:rPr>
          <w:rFonts w:ascii="Book Antiqua" w:eastAsia="Bookman-Light" w:hAnsi="Book Antiqua" w:cs="Bookman-Light"/>
          <w:color w:val="231F20"/>
          <w:sz w:val="24"/>
          <w:szCs w:val="24"/>
        </w:rPr>
      </w:pPr>
      <w:r w:rsidRPr="006212FF">
        <w:rPr>
          <w:rFonts w:ascii="Book Antiqua" w:hAnsi="Book Antiqua"/>
          <w:sz w:val="24"/>
          <w:szCs w:val="24"/>
        </w:rPr>
        <w:t xml:space="preserve">In the PROTECT study, </w:t>
      </w:r>
      <w:r w:rsidR="0028227B" w:rsidRPr="006212FF">
        <w:rPr>
          <w:rFonts w:ascii="Book Antiqua" w:hAnsi="Book Antiqua"/>
          <w:sz w:val="24"/>
          <w:szCs w:val="24"/>
        </w:rPr>
        <w:t>Kaplan-Mei</w:t>
      </w:r>
      <w:r w:rsidR="00A0674C" w:rsidRPr="006212FF">
        <w:rPr>
          <w:rFonts w:ascii="Book Antiqua" w:hAnsi="Book Antiqua"/>
          <w:sz w:val="24"/>
          <w:szCs w:val="24"/>
        </w:rPr>
        <w:t xml:space="preserve">er survival plot showed </w:t>
      </w:r>
      <w:r w:rsidR="00C94498" w:rsidRPr="006212FF">
        <w:rPr>
          <w:rFonts w:ascii="Book Antiqua" w:hAnsi="Book Antiqua"/>
          <w:sz w:val="24"/>
          <w:szCs w:val="24"/>
        </w:rPr>
        <w:t xml:space="preserve">the </w:t>
      </w:r>
      <w:r w:rsidR="00A0674C" w:rsidRPr="006212FF">
        <w:rPr>
          <w:rFonts w:ascii="Book Antiqua" w:hAnsi="Book Antiqua"/>
          <w:sz w:val="24"/>
          <w:szCs w:val="24"/>
        </w:rPr>
        <w:t>occurrence</w:t>
      </w:r>
      <w:r w:rsidRPr="006212FF">
        <w:rPr>
          <w:rFonts w:ascii="Book Antiqua" w:hAnsi="Book Antiqua"/>
          <w:sz w:val="24"/>
          <w:szCs w:val="24"/>
        </w:rPr>
        <w:t xml:space="preserve"> of any infection was higher in the EVR group as compared to standard CNI group (</w:t>
      </w:r>
      <w:r w:rsidR="00A0674C" w:rsidRPr="006212FF">
        <w:rPr>
          <w:rFonts w:ascii="Book Antiqua" w:hAnsi="Book Antiqua"/>
          <w:sz w:val="24"/>
          <w:szCs w:val="24"/>
        </w:rPr>
        <w:t>79.5</w:t>
      </w:r>
      <w:r w:rsidRPr="006212FF">
        <w:rPr>
          <w:rFonts w:ascii="Book Antiqua" w:hAnsi="Book Antiqua"/>
          <w:sz w:val="24"/>
          <w:szCs w:val="24"/>
        </w:rPr>
        <w:t xml:space="preserve">% </w:t>
      </w:r>
      <w:proofErr w:type="spellStart"/>
      <w:r w:rsidR="00C844F8" w:rsidRPr="00D22B0C">
        <w:rPr>
          <w:rFonts w:ascii="Book Antiqua" w:hAnsi="Book Antiqua"/>
          <w:i/>
          <w:sz w:val="24"/>
          <w:szCs w:val="24"/>
        </w:rPr>
        <w:t>vs</w:t>
      </w:r>
      <w:proofErr w:type="spellEnd"/>
      <w:r w:rsidRPr="006212FF">
        <w:rPr>
          <w:rFonts w:ascii="Book Antiqua" w:hAnsi="Book Antiqua"/>
          <w:sz w:val="24"/>
          <w:szCs w:val="24"/>
        </w:rPr>
        <w:t xml:space="preserve"> </w:t>
      </w:r>
      <w:r w:rsidR="00A0674C" w:rsidRPr="006212FF">
        <w:rPr>
          <w:rFonts w:ascii="Book Antiqua" w:hAnsi="Book Antiqua"/>
          <w:sz w:val="24"/>
          <w:szCs w:val="24"/>
        </w:rPr>
        <w:t>68.3</w:t>
      </w:r>
      <w:r w:rsidRPr="006212FF">
        <w:rPr>
          <w:rFonts w:ascii="Book Antiqua" w:hAnsi="Book Antiqua"/>
          <w:sz w:val="24"/>
          <w:szCs w:val="24"/>
        </w:rPr>
        <w:t>%</w:t>
      </w:r>
      <w:r w:rsidR="00A0674C" w:rsidRPr="006212FF">
        <w:rPr>
          <w:rFonts w:ascii="Book Antiqua" w:hAnsi="Book Antiqua"/>
          <w:sz w:val="24"/>
          <w:szCs w:val="24"/>
        </w:rPr>
        <w:t xml:space="preserve">, </w:t>
      </w:r>
      <w:r w:rsidR="00C844F8" w:rsidRPr="00C844F8">
        <w:rPr>
          <w:rFonts w:ascii="Book Antiqua" w:hAnsi="Book Antiqua"/>
          <w:i/>
          <w:sz w:val="24"/>
          <w:szCs w:val="24"/>
        </w:rPr>
        <w:t>P</w:t>
      </w:r>
      <w:r w:rsidR="00C844F8">
        <w:rPr>
          <w:rFonts w:ascii="Book Antiqua" w:hAnsi="Book Antiqua" w:hint="eastAsia"/>
          <w:sz w:val="24"/>
          <w:szCs w:val="24"/>
        </w:rPr>
        <w:t xml:space="preserve"> </w:t>
      </w:r>
      <w:r w:rsidR="00A0674C" w:rsidRPr="006212FF">
        <w:rPr>
          <w:rFonts w:ascii="Book Antiqua" w:hAnsi="Book Antiqua"/>
          <w:sz w:val="24"/>
          <w:szCs w:val="24"/>
        </w:rPr>
        <w:t>=</w:t>
      </w:r>
      <w:r w:rsidR="00C844F8">
        <w:rPr>
          <w:rFonts w:ascii="Book Antiqua" w:hAnsi="Book Antiqua" w:hint="eastAsia"/>
          <w:sz w:val="24"/>
          <w:szCs w:val="24"/>
        </w:rPr>
        <w:t xml:space="preserve"> </w:t>
      </w:r>
      <w:r w:rsidR="00A0674C" w:rsidRPr="006212FF">
        <w:rPr>
          <w:rFonts w:ascii="Book Antiqua" w:hAnsi="Book Antiqua"/>
          <w:sz w:val="24"/>
          <w:szCs w:val="24"/>
        </w:rPr>
        <w:t>0.050</w:t>
      </w:r>
      <w:r w:rsidRPr="006212FF">
        <w:rPr>
          <w:rFonts w:ascii="Book Antiqua" w:hAnsi="Book Antiqua"/>
          <w:sz w:val="24"/>
          <w:szCs w:val="24"/>
        </w:rPr>
        <w:t xml:space="preserve">) at 11 </w:t>
      </w:r>
      <w:proofErr w:type="spellStart"/>
      <w:r w:rsidRPr="006212FF">
        <w:rPr>
          <w:rFonts w:ascii="Book Antiqua" w:hAnsi="Book Antiqua"/>
          <w:sz w:val="24"/>
          <w:szCs w:val="24"/>
        </w:rPr>
        <w:t>mo</w:t>
      </w:r>
      <w:proofErr w:type="spellEnd"/>
      <w:r w:rsidRPr="006212FF">
        <w:rPr>
          <w:rFonts w:ascii="Book Antiqua" w:hAnsi="Book Antiqua"/>
          <w:sz w:val="24"/>
          <w:szCs w:val="24"/>
        </w:rPr>
        <w:t xml:space="preserve"> from randomization particularly oral herpes, sinusitis and </w:t>
      </w:r>
      <w:r w:rsidR="00C844F8">
        <w:rPr>
          <w:rFonts w:ascii="Book Antiqua" w:hAnsi="Book Antiqua"/>
          <w:sz w:val="24"/>
          <w:szCs w:val="24"/>
        </w:rPr>
        <w:lastRenderedPageBreak/>
        <w:t>wound infection</w:t>
      </w:r>
      <w:r w:rsidR="00331E8E" w:rsidRPr="006212FF">
        <w:rPr>
          <w:rFonts w:ascii="Book Antiqua" w:hAnsi="Book Antiqua"/>
          <w:sz w:val="24"/>
          <w:szCs w:val="24"/>
          <w:vertAlign w:val="superscript"/>
        </w:rPr>
        <w:t>[13]</w:t>
      </w:r>
      <w:r w:rsidRPr="006212FF">
        <w:rPr>
          <w:rFonts w:ascii="Book Antiqua" w:hAnsi="Book Antiqua"/>
          <w:sz w:val="24"/>
          <w:szCs w:val="24"/>
        </w:rPr>
        <w:t xml:space="preserve">. In the RESCUE study, 31.9% of patients in EVR group </w:t>
      </w:r>
      <w:proofErr w:type="spellStart"/>
      <w:r w:rsidR="00016F09" w:rsidRPr="00016F09">
        <w:rPr>
          <w:rFonts w:ascii="Book Antiqua" w:eastAsia="Times New Roman" w:hAnsi="Book Antiqua" w:cs="Times New Roman"/>
          <w:bCs/>
          <w:i/>
          <w:color w:val="000000"/>
          <w:sz w:val="24"/>
          <w:szCs w:val="24"/>
        </w:rPr>
        <w:t>vs</w:t>
      </w:r>
      <w:proofErr w:type="spellEnd"/>
      <w:r w:rsidRPr="006212FF">
        <w:rPr>
          <w:rFonts w:ascii="Book Antiqua" w:hAnsi="Book Antiqua"/>
          <w:sz w:val="24"/>
          <w:szCs w:val="24"/>
        </w:rPr>
        <w:t xml:space="preserve"> 21.9% in standard CNI group experienced infections which included</w:t>
      </w:r>
      <w:r w:rsidRPr="006212FF">
        <w:rPr>
          <w:rFonts w:ascii="Book Antiqua" w:eastAsia="Bookman-Light" w:hAnsi="Book Antiqua" w:cs="Bookman-Light"/>
          <w:color w:val="231F20"/>
          <w:sz w:val="24"/>
          <w:szCs w:val="24"/>
        </w:rPr>
        <w:t xml:space="preserve"> stomatitis, herpes simplex, bronchitis and urinary tract </w:t>
      </w:r>
      <w:proofErr w:type="gramStart"/>
      <w:r w:rsidRPr="006212FF">
        <w:rPr>
          <w:rFonts w:ascii="Book Antiqua" w:eastAsia="Bookman-Light" w:hAnsi="Book Antiqua" w:cs="Bookman-Light"/>
          <w:color w:val="231F20"/>
          <w:sz w:val="24"/>
          <w:szCs w:val="24"/>
        </w:rPr>
        <w:t>infections</w:t>
      </w:r>
      <w:r w:rsidR="00331E8E" w:rsidRPr="006212FF">
        <w:rPr>
          <w:rFonts w:ascii="Book Antiqua" w:eastAsia="Bookman-Light" w:hAnsi="Book Antiqua" w:cs="Bookman-Light"/>
          <w:color w:val="231F20"/>
          <w:sz w:val="24"/>
          <w:szCs w:val="24"/>
          <w:vertAlign w:val="superscript"/>
        </w:rPr>
        <w:t>[</w:t>
      </w:r>
      <w:proofErr w:type="gramEnd"/>
      <w:r w:rsidR="00331E8E" w:rsidRPr="006212FF">
        <w:rPr>
          <w:rFonts w:ascii="Book Antiqua" w:eastAsia="Bookman-Light" w:hAnsi="Book Antiqua" w:cs="Bookman-Light"/>
          <w:color w:val="231F20"/>
          <w:sz w:val="24"/>
          <w:szCs w:val="24"/>
          <w:vertAlign w:val="superscript"/>
        </w:rPr>
        <w:t>19]</w:t>
      </w:r>
      <w:r w:rsidRPr="006212FF">
        <w:rPr>
          <w:rFonts w:ascii="Book Antiqua" w:eastAsia="Bookman-Light" w:hAnsi="Book Antiqua" w:cs="Bookman-Light"/>
          <w:color w:val="231F20"/>
          <w:sz w:val="24"/>
          <w:szCs w:val="24"/>
        </w:rPr>
        <w:t>.</w:t>
      </w:r>
      <w:r w:rsidR="00AD57FD" w:rsidRPr="006212FF">
        <w:rPr>
          <w:rFonts w:ascii="Book Antiqua" w:eastAsia="Bookman-Light" w:hAnsi="Book Antiqua" w:cs="Bookman-Light"/>
          <w:color w:val="231F20"/>
          <w:sz w:val="24"/>
          <w:szCs w:val="24"/>
        </w:rPr>
        <w:t xml:space="preserve"> </w:t>
      </w:r>
      <w:r w:rsidR="00627FA0" w:rsidRPr="006212FF">
        <w:rPr>
          <w:rFonts w:ascii="Book Antiqua" w:eastAsia="Bookman-Light" w:hAnsi="Book Antiqua" w:cs="Bookman-Light"/>
          <w:color w:val="231F20"/>
          <w:sz w:val="24"/>
          <w:szCs w:val="24"/>
        </w:rPr>
        <w:t>Of note, it also</w:t>
      </w:r>
      <w:r w:rsidR="00627FA0" w:rsidRPr="006212FF">
        <w:rPr>
          <w:rFonts w:ascii="Book Antiqua" w:hAnsi="Book Antiqua" w:cstheme="minorHAnsi"/>
          <w:sz w:val="24"/>
          <w:szCs w:val="24"/>
        </w:rPr>
        <w:t xml:space="preserve"> reported a significant increase in HCV viral load in their EVR group (6.9%, </w:t>
      </w:r>
      <w:r w:rsidR="00C844F8" w:rsidRPr="00C844F8">
        <w:rPr>
          <w:rFonts w:ascii="Book Antiqua" w:hAnsi="Book Antiqua" w:cstheme="minorHAnsi"/>
          <w:i/>
          <w:sz w:val="24"/>
          <w:szCs w:val="24"/>
        </w:rPr>
        <w:t>P</w:t>
      </w:r>
      <w:r w:rsidR="00C844F8">
        <w:rPr>
          <w:rFonts w:ascii="Book Antiqua" w:hAnsi="Book Antiqua" w:cstheme="minorHAnsi" w:hint="eastAsia"/>
          <w:sz w:val="24"/>
          <w:szCs w:val="24"/>
        </w:rPr>
        <w:t xml:space="preserve"> </w:t>
      </w:r>
      <w:r w:rsidR="00627FA0" w:rsidRPr="006212FF">
        <w:rPr>
          <w:rFonts w:ascii="Book Antiqua" w:hAnsi="Book Antiqua" w:cstheme="minorHAnsi"/>
          <w:sz w:val="24"/>
          <w:szCs w:val="24"/>
        </w:rPr>
        <w:t>=</w:t>
      </w:r>
      <w:r w:rsidR="00C844F8">
        <w:rPr>
          <w:rFonts w:ascii="Book Antiqua" w:hAnsi="Book Antiqua" w:cstheme="minorHAnsi" w:hint="eastAsia"/>
          <w:sz w:val="24"/>
          <w:szCs w:val="24"/>
        </w:rPr>
        <w:t xml:space="preserve"> </w:t>
      </w:r>
      <w:r w:rsidR="00627FA0" w:rsidRPr="006212FF">
        <w:rPr>
          <w:rFonts w:ascii="Book Antiqua" w:hAnsi="Book Antiqua" w:cstheme="minorHAnsi"/>
          <w:sz w:val="24"/>
          <w:szCs w:val="24"/>
        </w:rPr>
        <w:t xml:space="preserve">0.028) as compared to none in the control group. </w:t>
      </w:r>
      <w:r w:rsidR="006C15B7" w:rsidRPr="006212FF">
        <w:rPr>
          <w:rFonts w:ascii="Book Antiqua" w:eastAsia="Bookman-Light" w:hAnsi="Book Antiqua" w:cs="Bookman-Light"/>
          <w:color w:val="231F20"/>
          <w:sz w:val="24"/>
          <w:szCs w:val="24"/>
        </w:rPr>
        <w:t>Although statistical difference was unknown, the author</w:t>
      </w:r>
      <w:r w:rsidR="006775B7" w:rsidRPr="006212FF">
        <w:rPr>
          <w:rFonts w:ascii="Book Antiqua" w:eastAsia="Bookman-Light" w:hAnsi="Book Antiqua" w:cs="Bookman-Light"/>
          <w:color w:val="231F20"/>
          <w:sz w:val="24"/>
          <w:szCs w:val="24"/>
        </w:rPr>
        <w:t>s also</w:t>
      </w:r>
      <w:r w:rsidR="006C15B7" w:rsidRPr="006212FF">
        <w:rPr>
          <w:rFonts w:ascii="Book Antiqua" w:eastAsia="Bookman-Light" w:hAnsi="Book Antiqua" w:cs="Bookman-Light"/>
          <w:color w:val="231F20"/>
          <w:sz w:val="24"/>
          <w:szCs w:val="24"/>
        </w:rPr>
        <w:t xml:space="preserve"> reported 15.3% </w:t>
      </w:r>
      <w:r w:rsidR="006775B7" w:rsidRPr="006212FF">
        <w:rPr>
          <w:rFonts w:ascii="Book Antiqua" w:eastAsia="Bookman-Light" w:hAnsi="Book Antiqua" w:cs="Bookman-Light"/>
          <w:color w:val="231F20"/>
          <w:sz w:val="24"/>
          <w:szCs w:val="24"/>
        </w:rPr>
        <w:t>(</w:t>
      </w:r>
      <w:r w:rsidR="006C15B7" w:rsidRPr="006212FF">
        <w:rPr>
          <w:rFonts w:ascii="Book Antiqua" w:eastAsia="Bookman-Light" w:hAnsi="Book Antiqua" w:cs="Bookman-Light"/>
          <w:color w:val="231F20"/>
          <w:sz w:val="24"/>
          <w:szCs w:val="24"/>
        </w:rPr>
        <w:t>EVR group</w:t>
      </w:r>
      <w:r w:rsidR="006775B7" w:rsidRPr="006212FF">
        <w:rPr>
          <w:rFonts w:ascii="Book Antiqua" w:eastAsia="Bookman-Light" w:hAnsi="Book Antiqua" w:cs="Bookman-Light"/>
          <w:color w:val="231F20"/>
          <w:sz w:val="24"/>
          <w:szCs w:val="24"/>
        </w:rPr>
        <w:t>)</w:t>
      </w:r>
      <w:r w:rsidR="006C15B7" w:rsidRPr="006212FF">
        <w:rPr>
          <w:rFonts w:ascii="Book Antiqua" w:eastAsia="Bookman-Light" w:hAnsi="Book Antiqua" w:cs="Bookman-Light"/>
          <w:color w:val="231F20"/>
          <w:sz w:val="24"/>
          <w:szCs w:val="24"/>
        </w:rPr>
        <w:t xml:space="preserve"> in contrast to 1.4% </w:t>
      </w:r>
      <w:r w:rsidR="006775B7" w:rsidRPr="006212FF">
        <w:rPr>
          <w:rFonts w:ascii="Book Antiqua" w:eastAsia="Bookman-Light" w:hAnsi="Book Antiqua" w:cs="Bookman-Light"/>
          <w:color w:val="231F20"/>
          <w:sz w:val="24"/>
          <w:szCs w:val="24"/>
        </w:rPr>
        <w:t>(</w:t>
      </w:r>
      <w:r w:rsidR="006C15B7" w:rsidRPr="006212FF">
        <w:rPr>
          <w:rFonts w:ascii="Book Antiqua" w:eastAsia="Bookman-Light" w:hAnsi="Book Antiqua" w:cs="Bookman-Light"/>
          <w:color w:val="231F20"/>
          <w:sz w:val="24"/>
          <w:szCs w:val="24"/>
        </w:rPr>
        <w:t>standard CNI group</w:t>
      </w:r>
      <w:r w:rsidR="006775B7" w:rsidRPr="006212FF">
        <w:rPr>
          <w:rFonts w:ascii="Book Antiqua" w:eastAsia="Bookman-Light" w:hAnsi="Book Antiqua" w:cs="Bookman-Light"/>
          <w:color w:val="231F20"/>
          <w:sz w:val="24"/>
          <w:szCs w:val="24"/>
        </w:rPr>
        <w:t>)</w:t>
      </w:r>
      <w:r w:rsidR="006C15B7" w:rsidRPr="006212FF">
        <w:rPr>
          <w:rFonts w:ascii="Book Antiqua" w:eastAsia="Bookman-Light" w:hAnsi="Book Antiqua" w:cs="Bookman-Light"/>
          <w:color w:val="231F20"/>
          <w:sz w:val="24"/>
          <w:szCs w:val="24"/>
        </w:rPr>
        <w:t xml:space="preserve"> of infection</w:t>
      </w:r>
      <w:r w:rsidR="006775B7" w:rsidRPr="006212FF">
        <w:rPr>
          <w:rFonts w:ascii="Book Antiqua" w:eastAsia="Bookman-Light" w:hAnsi="Book Antiqua" w:cs="Bookman-Light"/>
          <w:color w:val="231F20"/>
          <w:sz w:val="24"/>
          <w:szCs w:val="24"/>
        </w:rPr>
        <w:t>s</w:t>
      </w:r>
      <w:r w:rsidR="006C15B7" w:rsidRPr="006212FF">
        <w:rPr>
          <w:rFonts w:ascii="Book Antiqua" w:eastAsia="Bookman-Light" w:hAnsi="Book Antiqua" w:cs="Bookman-Light"/>
          <w:color w:val="231F20"/>
          <w:sz w:val="24"/>
          <w:szCs w:val="24"/>
        </w:rPr>
        <w:t xml:space="preserve"> </w:t>
      </w:r>
      <w:r w:rsidR="006775B7" w:rsidRPr="006212FF">
        <w:rPr>
          <w:rFonts w:ascii="Book Antiqua" w:eastAsia="Bookman-Light" w:hAnsi="Book Antiqua" w:cs="Bookman-Light"/>
          <w:color w:val="231F20"/>
          <w:sz w:val="24"/>
          <w:szCs w:val="24"/>
        </w:rPr>
        <w:t>being</w:t>
      </w:r>
      <w:r w:rsidR="006C15B7" w:rsidRPr="006212FF">
        <w:rPr>
          <w:rFonts w:ascii="Book Antiqua" w:eastAsia="Bookman-Light" w:hAnsi="Book Antiqua" w:cs="Bookman-Light"/>
          <w:color w:val="231F20"/>
          <w:sz w:val="24"/>
          <w:szCs w:val="24"/>
        </w:rPr>
        <w:t xml:space="preserve"> related to studied drug.</w:t>
      </w:r>
    </w:p>
    <w:p w14:paraId="67242EDD" w14:textId="44FE44FE" w:rsidR="00E245B5" w:rsidRPr="006212FF" w:rsidRDefault="00E245B5" w:rsidP="00C844F8">
      <w:pPr>
        <w:autoSpaceDE w:val="0"/>
        <w:autoSpaceDN w:val="0"/>
        <w:adjustRightInd w:val="0"/>
        <w:spacing w:after="0" w:line="360" w:lineRule="auto"/>
        <w:ind w:firstLineChars="100" w:firstLine="240"/>
        <w:jc w:val="both"/>
        <w:rPr>
          <w:rFonts w:ascii="Book Antiqua" w:eastAsia="Bookman-Light" w:hAnsi="Book Antiqua" w:cs="Bookman-Light"/>
          <w:color w:val="231F20"/>
          <w:sz w:val="24"/>
          <w:szCs w:val="24"/>
        </w:rPr>
      </w:pPr>
      <w:r w:rsidRPr="006212FF">
        <w:rPr>
          <w:rFonts w:ascii="Book Antiqua" w:eastAsia="Bookman-Light" w:hAnsi="Book Antiqua" w:cs="Bookman-Light"/>
          <w:color w:val="231F20"/>
          <w:sz w:val="24"/>
          <w:szCs w:val="24"/>
        </w:rPr>
        <w:t>Incidence of infection was the same in both EVR and control g</w:t>
      </w:r>
      <w:r w:rsidR="00C844F8">
        <w:rPr>
          <w:rFonts w:ascii="Book Antiqua" w:eastAsia="Bookman-Light" w:hAnsi="Book Antiqua" w:cs="Bookman-Light"/>
          <w:color w:val="231F20"/>
          <w:sz w:val="24"/>
          <w:szCs w:val="24"/>
        </w:rPr>
        <w:t xml:space="preserve">roups, 46.2% in </w:t>
      </w:r>
      <w:proofErr w:type="spellStart"/>
      <w:r w:rsidR="00C844F8">
        <w:rPr>
          <w:rFonts w:ascii="Book Antiqua" w:eastAsia="Bookman-Light" w:hAnsi="Book Antiqua" w:cs="Bookman-Light"/>
          <w:color w:val="231F20"/>
          <w:sz w:val="24"/>
          <w:szCs w:val="24"/>
        </w:rPr>
        <w:t>Masetti’s</w:t>
      </w:r>
      <w:proofErr w:type="spellEnd"/>
      <w:r w:rsidR="00C844F8">
        <w:rPr>
          <w:rFonts w:ascii="Book Antiqua" w:eastAsia="Bookman-Light" w:hAnsi="Book Antiqua" w:cs="Bookman-Light"/>
          <w:color w:val="231F20"/>
          <w:sz w:val="24"/>
          <w:szCs w:val="24"/>
        </w:rPr>
        <w:t xml:space="preserve"> </w:t>
      </w:r>
      <w:proofErr w:type="gramStart"/>
      <w:r w:rsidR="00C844F8">
        <w:rPr>
          <w:rFonts w:ascii="Book Antiqua" w:eastAsia="Bookman-Light" w:hAnsi="Book Antiqua" w:cs="Bookman-Light"/>
          <w:color w:val="231F20"/>
          <w:sz w:val="24"/>
          <w:szCs w:val="24"/>
        </w:rPr>
        <w:t>study</w:t>
      </w:r>
      <w:r w:rsidR="00331E8E" w:rsidRPr="006212FF">
        <w:rPr>
          <w:rFonts w:ascii="Book Antiqua" w:eastAsia="Bookman-Light" w:hAnsi="Book Antiqua" w:cs="Bookman-Light"/>
          <w:color w:val="231F20"/>
          <w:sz w:val="24"/>
          <w:szCs w:val="24"/>
          <w:vertAlign w:val="superscript"/>
        </w:rPr>
        <w:t>[</w:t>
      </w:r>
      <w:proofErr w:type="gramEnd"/>
      <w:r w:rsidR="00331E8E" w:rsidRPr="006212FF">
        <w:rPr>
          <w:rFonts w:ascii="Book Antiqua" w:eastAsia="Bookman-Light" w:hAnsi="Book Antiqua" w:cs="Bookman-Light"/>
          <w:color w:val="231F20"/>
          <w:sz w:val="24"/>
          <w:szCs w:val="24"/>
          <w:vertAlign w:val="superscript"/>
        </w:rPr>
        <w:t>21]</w:t>
      </w:r>
      <w:r w:rsidRPr="006212FF">
        <w:rPr>
          <w:rFonts w:ascii="Book Antiqua" w:eastAsia="Bookman-Light" w:hAnsi="Book Antiqua" w:cs="Bookman-Light"/>
          <w:color w:val="231F20"/>
          <w:sz w:val="24"/>
          <w:szCs w:val="24"/>
        </w:rPr>
        <w:t xml:space="preserve">. In a retrospective observational study, infection was 60.7% with </w:t>
      </w:r>
      <w:r w:rsidRPr="006212FF">
        <w:rPr>
          <w:rFonts w:ascii="Book Antiqua" w:eastAsia="Bookman-Light" w:hAnsi="Book Antiqua" w:cs="Bookman-Light"/>
          <w:i/>
          <w:color w:val="231F20"/>
          <w:sz w:val="24"/>
          <w:szCs w:val="24"/>
        </w:rPr>
        <w:t>de novo</w:t>
      </w:r>
      <w:r w:rsidRPr="006212FF">
        <w:rPr>
          <w:rFonts w:ascii="Book Antiqua" w:eastAsia="Bookman-Light" w:hAnsi="Book Antiqua" w:cs="Bookman-Light"/>
          <w:color w:val="231F20"/>
          <w:sz w:val="24"/>
          <w:szCs w:val="24"/>
        </w:rPr>
        <w:t xml:space="preserve"> EVR use in 28 patients. </w:t>
      </w:r>
      <w:r w:rsidR="00AA7F0E" w:rsidRPr="006212FF">
        <w:rPr>
          <w:rFonts w:ascii="Book Antiqua" w:eastAsia="Bookman-Light" w:hAnsi="Book Antiqua" w:cs="Bookman-Light"/>
          <w:color w:val="231F20"/>
          <w:sz w:val="24"/>
          <w:szCs w:val="24"/>
        </w:rPr>
        <w:t>On the other hand, o</w:t>
      </w:r>
      <w:r w:rsidRPr="006212FF">
        <w:rPr>
          <w:rFonts w:ascii="Book Antiqua" w:eastAsia="Bookman-Light" w:hAnsi="Book Antiqua" w:cs="Bookman-Light"/>
          <w:color w:val="231F20"/>
          <w:sz w:val="24"/>
          <w:szCs w:val="24"/>
        </w:rPr>
        <w:t xml:space="preserve">nly 1 </w:t>
      </w:r>
      <w:r w:rsidR="006775B7" w:rsidRPr="006212FF">
        <w:rPr>
          <w:rFonts w:ascii="Book Antiqua" w:eastAsia="Bookman-Light" w:hAnsi="Book Antiqua" w:cs="Bookman-Light"/>
          <w:color w:val="231F20"/>
          <w:sz w:val="24"/>
          <w:szCs w:val="24"/>
        </w:rPr>
        <w:t>case</w:t>
      </w:r>
      <w:r w:rsidRPr="006212FF">
        <w:rPr>
          <w:rFonts w:ascii="Book Antiqua" w:eastAsia="Bookman-Light" w:hAnsi="Book Antiqua" w:cs="Bookman-Light"/>
          <w:color w:val="231F20"/>
          <w:sz w:val="24"/>
          <w:szCs w:val="24"/>
        </w:rPr>
        <w:t xml:space="preserve"> of </w:t>
      </w:r>
      <w:r w:rsidR="00AA7F0E" w:rsidRPr="006212FF">
        <w:rPr>
          <w:rFonts w:ascii="Book Antiqua" w:eastAsia="Bookman-Light" w:hAnsi="Book Antiqua" w:cs="Bookman-Light"/>
          <w:color w:val="231F20"/>
          <w:sz w:val="24"/>
          <w:szCs w:val="24"/>
        </w:rPr>
        <w:t xml:space="preserve">infection was reported in a </w:t>
      </w:r>
      <w:r w:rsidR="00C844F8">
        <w:rPr>
          <w:rFonts w:ascii="Book Antiqua" w:eastAsia="Bookman-Light" w:hAnsi="Book Antiqua" w:cs="Bookman-Light"/>
          <w:color w:val="231F20"/>
          <w:sz w:val="24"/>
          <w:szCs w:val="24"/>
        </w:rPr>
        <w:t xml:space="preserve">single-center prospective </w:t>
      </w:r>
      <w:proofErr w:type="gramStart"/>
      <w:r w:rsidR="00C844F8">
        <w:rPr>
          <w:rFonts w:ascii="Book Antiqua" w:eastAsia="Bookman-Light" w:hAnsi="Book Antiqua" w:cs="Bookman-Light"/>
          <w:color w:val="231F20"/>
          <w:sz w:val="24"/>
          <w:szCs w:val="24"/>
        </w:rPr>
        <w:t>study</w:t>
      </w:r>
      <w:r w:rsidR="00331E8E" w:rsidRPr="006212FF">
        <w:rPr>
          <w:rFonts w:ascii="Book Antiqua" w:eastAsia="Bookman-Light" w:hAnsi="Book Antiqua" w:cs="Bookman-Light"/>
          <w:color w:val="231F20"/>
          <w:sz w:val="24"/>
          <w:szCs w:val="24"/>
          <w:vertAlign w:val="superscript"/>
        </w:rPr>
        <w:t>[</w:t>
      </w:r>
      <w:proofErr w:type="gramEnd"/>
      <w:r w:rsidR="00331E8E" w:rsidRPr="006212FF">
        <w:rPr>
          <w:rFonts w:ascii="Book Antiqua" w:eastAsia="Bookman-Light" w:hAnsi="Book Antiqua" w:cs="Bookman-Light"/>
          <w:color w:val="231F20"/>
          <w:sz w:val="24"/>
          <w:szCs w:val="24"/>
          <w:vertAlign w:val="superscript"/>
        </w:rPr>
        <w:t>22]</w:t>
      </w:r>
      <w:r w:rsidR="00AA7F0E" w:rsidRPr="006212FF">
        <w:rPr>
          <w:rFonts w:ascii="Book Antiqua" w:eastAsia="Bookman-Light" w:hAnsi="Book Antiqua" w:cs="Bookman-Light"/>
          <w:color w:val="231F20"/>
          <w:sz w:val="24"/>
          <w:szCs w:val="24"/>
        </w:rPr>
        <w:t xml:space="preserve">. There was no clear definition of infection and the disparity could possibly </w:t>
      </w:r>
      <w:r w:rsidR="007600BA" w:rsidRPr="006212FF">
        <w:rPr>
          <w:rFonts w:ascii="Book Antiqua" w:eastAsia="Bookman-Light" w:hAnsi="Book Antiqua" w:cs="Bookman-Light"/>
          <w:color w:val="231F20"/>
          <w:sz w:val="24"/>
          <w:szCs w:val="24"/>
        </w:rPr>
        <w:t xml:space="preserve">be </w:t>
      </w:r>
      <w:r w:rsidR="00AA7F0E" w:rsidRPr="006212FF">
        <w:rPr>
          <w:rFonts w:ascii="Book Antiqua" w:eastAsia="Bookman-Light" w:hAnsi="Book Antiqua" w:cs="Bookman-Light"/>
          <w:color w:val="231F20"/>
          <w:sz w:val="24"/>
          <w:szCs w:val="24"/>
        </w:rPr>
        <w:t>due to different definition among various studies.</w:t>
      </w:r>
    </w:p>
    <w:p w14:paraId="1B306A45" w14:textId="77777777" w:rsidR="00925649" w:rsidRPr="006212FF" w:rsidRDefault="00925649" w:rsidP="006212FF">
      <w:pPr>
        <w:spacing w:after="0" w:line="360" w:lineRule="auto"/>
        <w:jc w:val="both"/>
        <w:rPr>
          <w:rFonts w:ascii="Book Antiqua" w:eastAsia="Times New Roman" w:hAnsi="Book Antiqua" w:cs="Times New Roman"/>
          <w:bCs/>
          <w:color w:val="000000"/>
          <w:sz w:val="24"/>
          <w:szCs w:val="24"/>
        </w:rPr>
      </w:pPr>
    </w:p>
    <w:p w14:paraId="2B6999A8" w14:textId="77777777" w:rsidR="004D056E" w:rsidRPr="00C844F8" w:rsidRDefault="004D056E" w:rsidP="00C844F8">
      <w:pPr>
        <w:pStyle w:val="ListParagraph"/>
        <w:spacing w:after="0" w:line="360" w:lineRule="auto"/>
        <w:ind w:left="0"/>
        <w:jc w:val="both"/>
        <w:rPr>
          <w:rFonts w:ascii="Book Antiqua" w:eastAsia="Times New Roman" w:hAnsi="Book Antiqua" w:cs="Times New Roman"/>
          <w:bCs/>
          <w:i/>
          <w:color w:val="000000"/>
          <w:sz w:val="24"/>
          <w:szCs w:val="24"/>
        </w:rPr>
      </w:pPr>
      <w:r w:rsidRPr="00C844F8">
        <w:rPr>
          <w:rFonts w:ascii="Book Antiqua" w:eastAsia="Times New Roman" w:hAnsi="Book Antiqua" w:cs="Times New Roman"/>
          <w:bCs/>
          <w:i/>
          <w:color w:val="000000"/>
          <w:sz w:val="24"/>
          <w:szCs w:val="24"/>
        </w:rPr>
        <w:t>Stomatitis</w:t>
      </w:r>
    </w:p>
    <w:p w14:paraId="0D388B8A" w14:textId="4707AF23" w:rsidR="004D056E" w:rsidRPr="006212FF" w:rsidRDefault="00C06964" w:rsidP="006212FF">
      <w:pPr>
        <w:spacing w:after="0" w:line="360" w:lineRule="auto"/>
        <w:jc w:val="both"/>
        <w:rPr>
          <w:rFonts w:ascii="Book Antiqua" w:eastAsia="Times New Roman" w:hAnsi="Book Antiqua" w:cs="Times New Roman"/>
          <w:bCs/>
          <w:color w:val="000000"/>
          <w:sz w:val="24"/>
          <w:szCs w:val="24"/>
        </w:rPr>
      </w:pPr>
      <w:r w:rsidRPr="006212FF">
        <w:rPr>
          <w:rFonts w:ascii="Book Antiqua" w:eastAsia="Times New Roman" w:hAnsi="Book Antiqua" w:cs="Times New Roman"/>
          <w:bCs/>
          <w:color w:val="000000"/>
          <w:sz w:val="24"/>
          <w:szCs w:val="24"/>
        </w:rPr>
        <w:t>Stomatitis incidence</w:t>
      </w:r>
      <w:r w:rsidR="00E306A1" w:rsidRPr="006212FF">
        <w:rPr>
          <w:rFonts w:ascii="Book Antiqua" w:eastAsia="Times New Roman" w:hAnsi="Book Antiqua" w:cs="Times New Roman"/>
          <w:bCs/>
          <w:color w:val="000000"/>
          <w:sz w:val="24"/>
          <w:szCs w:val="24"/>
        </w:rPr>
        <w:t xml:space="preserve"> </w:t>
      </w:r>
      <w:r w:rsidR="004D056E" w:rsidRPr="006212FF">
        <w:rPr>
          <w:rFonts w:ascii="Book Antiqua" w:eastAsia="Times New Roman" w:hAnsi="Book Antiqua" w:cs="Times New Roman"/>
          <w:bCs/>
          <w:color w:val="000000"/>
          <w:sz w:val="24"/>
          <w:szCs w:val="24"/>
        </w:rPr>
        <w:t xml:space="preserve">was significantly higher (10.6%, 26.4%) in EVR group as compared to </w:t>
      </w:r>
      <w:r w:rsidR="00623AE2" w:rsidRPr="006212FF">
        <w:rPr>
          <w:rFonts w:ascii="Book Antiqua" w:eastAsia="Times New Roman" w:hAnsi="Book Antiqua" w:cs="Times New Roman"/>
          <w:bCs/>
          <w:color w:val="000000"/>
          <w:sz w:val="24"/>
          <w:szCs w:val="24"/>
        </w:rPr>
        <w:t>standard CNI group (1.2%, 0%) at 1-year and 2 year follow up of</w:t>
      </w:r>
      <w:r w:rsidR="004D056E" w:rsidRPr="006212FF">
        <w:rPr>
          <w:rFonts w:ascii="Book Antiqua" w:eastAsia="Times New Roman" w:hAnsi="Book Antiqua" w:cs="Times New Roman"/>
          <w:bCs/>
          <w:color w:val="000000"/>
          <w:sz w:val="24"/>
          <w:szCs w:val="24"/>
        </w:rPr>
        <w:t xml:space="preserve"> </w:t>
      </w:r>
      <w:r w:rsidR="00E306A1" w:rsidRPr="006212FF">
        <w:rPr>
          <w:rFonts w:ascii="Book Antiqua" w:eastAsia="Times New Roman" w:hAnsi="Book Antiqua" w:cs="Times New Roman"/>
          <w:bCs/>
          <w:color w:val="000000"/>
          <w:sz w:val="24"/>
          <w:szCs w:val="24"/>
        </w:rPr>
        <w:t xml:space="preserve">the </w:t>
      </w:r>
      <w:r w:rsidR="004D056E" w:rsidRPr="006212FF">
        <w:rPr>
          <w:rFonts w:ascii="Book Antiqua" w:eastAsia="Times New Roman" w:hAnsi="Book Antiqua" w:cs="Times New Roman"/>
          <w:bCs/>
          <w:color w:val="000000"/>
          <w:sz w:val="24"/>
          <w:szCs w:val="24"/>
        </w:rPr>
        <w:t>H2304 (</w:t>
      </w:r>
      <w:r w:rsidR="00C844F8" w:rsidRPr="00C844F8">
        <w:rPr>
          <w:rFonts w:ascii="Book Antiqua" w:eastAsia="Times New Roman" w:hAnsi="Book Antiqua" w:cs="Times New Roman"/>
          <w:bCs/>
          <w:i/>
          <w:color w:val="000000"/>
          <w:sz w:val="24"/>
          <w:szCs w:val="24"/>
        </w:rPr>
        <w:t>P</w:t>
      </w:r>
      <w:r w:rsidR="00C844F8" w:rsidRPr="00C844F8">
        <w:rPr>
          <w:rFonts w:ascii="Book Antiqua" w:hAnsi="Book Antiqua" w:cs="Times New Roman"/>
          <w:bCs/>
          <w:i/>
          <w:color w:val="000000"/>
          <w:sz w:val="24"/>
          <w:szCs w:val="24"/>
        </w:rPr>
        <w:t xml:space="preserve"> </w:t>
      </w:r>
      <w:r w:rsidR="004D056E" w:rsidRPr="006212FF">
        <w:rPr>
          <w:rFonts w:ascii="Book Antiqua" w:eastAsia="Times New Roman" w:hAnsi="Book Antiqua" w:cs="Times New Roman"/>
          <w:bCs/>
          <w:color w:val="000000"/>
          <w:sz w:val="24"/>
          <w:szCs w:val="24"/>
        </w:rPr>
        <w:t>&lt;</w:t>
      </w:r>
      <w:r w:rsidR="00C844F8">
        <w:rPr>
          <w:rFonts w:ascii="Book Antiqua" w:hAnsi="Book Antiqua" w:cs="Times New Roman" w:hint="eastAsia"/>
          <w:bCs/>
          <w:color w:val="000000"/>
          <w:sz w:val="24"/>
          <w:szCs w:val="24"/>
        </w:rPr>
        <w:t xml:space="preserve"> </w:t>
      </w:r>
      <w:r w:rsidR="004D056E" w:rsidRPr="006212FF">
        <w:rPr>
          <w:rFonts w:ascii="Book Antiqua" w:eastAsia="Times New Roman" w:hAnsi="Book Antiqua" w:cs="Times New Roman"/>
          <w:bCs/>
          <w:color w:val="000000"/>
          <w:sz w:val="24"/>
          <w:szCs w:val="24"/>
        </w:rPr>
        <w:t>0.001) an</w:t>
      </w:r>
      <w:r w:rsidR="00D17892" w:rsidRPr="006212FF">
        <w:rPr>
          <w:rFonts w:ascii="Book Antiqua" w:eastAsia="Times New Roman" w:hAnsi="Book Antiqua" w:cs="Times New Roman"/>
          <w:bCs/>
          <w:color w:val="000000"/>
          <w:sz w:val="24"/>
          <w:szCs w:val="24"/>
        </w:rPr>
        <w:t>d RESCUE (</w:t>
      </w:r>
      <w:r w:rsidR="00C844F8" w:rsidRPr="00C844F8">
        <w:rPr>
          <w:rFonts w:ascii="Book Antiqua" w:eastAsia="Times New Roman" w:hAnsi="Book Antiqua" w:cs="Times New Roman"/>
          <w:bCs/>
          <w:i/>
          <w:color w:val="000000"/>
          <w:sz w:val="24"/>
          <w:szCs w:val="24"/>
        </w:rPr>
        <w:t>P</w:t>
      </w:r>
      <w:r w:rsidR="00C844F8">
        <w:rPr>
          <w:rFonts w:ascii="Book Antiqua" w:hAnsi="Book Antiqua" w:cs="Times New Roman" w:hint="eastAsia"/>
          <w:bCs/>
          <w:i/>
          <w:color w:val="000000"/>
          <w:sz w:val="24"/>
          <w:szCs w:val="24"/>
        </w:rPr>
        <w:t xml:space="preserve"> </w:t>
      </w:r>
      <w:r w:rsidR="00D17892" w:rsidRPr="006212FF">
        <w:rPr>
          <w:rFonts w:ascii="Book Antiqua" w:eastAsia="Times New Roman" w:hAnsi="Book Antiqua" w:cs="Times New Roman"/>
          <w:bCs/>
          <w:color w:val="000000"/>
          <w:sz w:val="24"/>
          <w:szCs w:val="24"/>
        </w:rPr>
        <w:t>&lt;</w:t>
      </w:r>
      <w:r w:rsidR="00C844F8">
        <w:rPr>
          <w:rFonts w:ascii="Book Antiqua" w:hAnsi="Book Antiqua" w:cs="Times New Roman" w:hint="eastAsia"/>
          <w:bCs/>
          <w:color w:val="000000"/>
          <w:sz w:val="24"/>
          <w:szCs w:val="24"/>
        </w:rPr>
        <w:t xml:space="preserve"> </w:t>
      </w:r>
      <w:r w:rsidR="00D17892" w:rsidRPr="006212FF">
        <w:rPr>
          <w:rFonts w:ascii="Book Antiqua" w:eastAsia="Times New Roman" w:hAnsi="Book Antiqua" w:cs="Times New Roman"/>
          <w:bCs/>
          <w:color w:val="000000"/>
          <w:sz w:val="24"/>
          <w:szCs w:val="24"/>
        </w:rPr>
        <w:t>0.010) stud</w:t>
      </w:r>
      <w:r w:rsidR="00E306A1" w:rsidRPr="006212FF">
        <w:rPr>
          <w:rFonts w:ascii="Book Antiqua" w:eastAsia="Times New Roman" w:hAnsi="Book Antiqua" w:cs="Times New Roman"/>
          <w:bCs/>
          <w:color w:val="000000"/>
          <w:sz w:val="24"/>
          <w:szCs w:val="24"/>
        </w:rPr>
        <w:t>ies</w:t>
      </w:r>
      <w:r w:rsidR="00C844F8">
        <w:rPr>
          <w:rFonts w:ascii="Book Antiqua" w:eastAsia="Times New Roman" w:hAnsi="Book Antiqua" w:cs="Times New Roman"/>
          <w:bCs/>
          <w:color w:val="000000"/>
          <w:sz w:val="24"/>
          <w:szCs w:val="24"/>
          <w:vertAlign w:val="superscript"/>
        </w:rPr>
        <w:t>[17,</w:t>
      </w:r>
      <w:r w:rsidR="00331E8E" w:rsidRPr="006212FF">
        <w:rPr>
          <w:rFonts w:ascii="Book Antiqua" w:eastAsia="Times New Roman" w:hAnsi="Book Antiqua" w:cs="Times New Roman"/>
          <w:bCs/>
          <w:color w:val="000000"/>
          <w:sz w:val="24"/>
          <w:szCs w:val="24"/>
          <w:vertAlign w:val="superscript"/>
        </w:rPr>
        <w:t>19]</w:t>
      </w:r>
      <w:r w:rsidR="004D056E" w:rsidRPr="006212FF">
        <w:rPr>
          <w:rFonts w:ascii="Book Antiqua" w:eastAsia="Times New Roman" w:hAnsi="Book Antiqua" w:cs="Times New Roman"/>
          <w:bCs/>
          <w:color w:val="000000"/>
          <w:sz w:val="24"/>
          <w:szCs w:val="24"/>
        </w:rPr>
        <w:t xml:space="preserve">. </w:t>
      </w:r>
      <w:r w:rsidR="00E306A1" w:rsidRPr="006212FF">
        <w:rPr>
          <w:rFonts w:ascii="Book Antiqua" w:eastAsia="Times New Roman" w:hAnsi="Book Antiqua" w:cs="Times New Roman"/>
          <w:bCs/>
          <w:color w:val="000000"/>
          <w:sz w:val="24"/>
          <w:szCs w:val="24"/>
        </w:rPr>
        <w:t>S</w:t>
      </w:r>
      <w:r w:rsidR="004D056E" w:rsidRPr="006212FF">
        <w:rPr>
          <w:rFonts w:ascii="Book Antiqua" w:eastAsia="Times New Roman" w:hAnsi="Book Antiqua" w:cs="Times New Roman"/>
          <w:bCs/>
          <w:color w:val="000000"/>
          <w:sz w:val="24"/>
          <w:szCs w:val="24"/>
        </w:rPr>
        <w:t xml:space="preserve">tomatitis has also been reported as one of the common adverse effects when EVR was used as maintenance immunosuppressive </w:t>
      </w:r>
      <w:proofErr w:type="gramStart"/>
      <w:r w:rsidR="004D056E" w:rsidRPr="006212FF">
        <w:rPr>
          <w:rFonts w:ascii="Book Antiqua" w:eastAsia="Times New Roman" w:hAnsi="Book Antiqua" w:cs="Times New Roman"/>
          <w:bCs/>
          <w:color w:val="000000"/>
          <w:sz w:val="24"/>
          <w:szCs w:val="24"/>
        </w:rPr>
        <w:t>thera</w:t>
      </w:r>
      <w:r w:rsidR="00C844F8">
        <w:rPr>
          <w:rFonts w:ascii="Book Antiqua" w:eastAsia="Times New Roman" w:hAnsi="Book Antiqua" w:cs="Times New Roman"/>
          <w:bCs/>
          <w:color w:val="000000"/>
          <w:sz w:val="24"/>
          <w:szCs w:val="24"/>
        </w:rPr>
        <w:t>py</w:t>
      </w:r>
      <w:r w:rsidR="00C844F8">
        <w:rPr>
          <w:rFonts w:ascii="Book Antiqua" w:eastAsia="Times New Roman" w:hAnsi="Book Antiqua" w:cs="Times New Roman"/>
          <w:bCs/>
          <w:color w:val="000000"/>
          <w:sz w:val="24"/>
          <w:szCs w:val="24"/>
          <w:vertAlign w:val="superscript"/>
        </w:rPr>
        <w:t>[</w:t>
      </w:r>
      <w:proofErr w:type="gramEnd"/>
      <w:r w:rsidR="00C844F8">
        <w:rPr>
          <w:rFonts w:ascii="Book Antiqua" w:eastAsia="Times New Roman" w:hAnsi="Book Antiqua" w:cs="Times New Roman"/>
          <w:bCs/>
          <w:color w:val="000000"/>
          <w:sz w:val="24"/>
          <w:szCs w:val="24"/>
          <w:vertAlign w:val="superscript"/>
        </w:rPr>
        <w:t>22,</w:t>
      </w:r>
      <w:r w:rsidR="00331E8E" w:rsidRPr="006212FF">
        <w:rPr>
          <w:rFonts w:ascii="Book Antiqua" w:eastAsia="Times New Roman" w:hAnsi="Book Antiqua" w:cs="Times New Roman"/>
          <w:bCs/>
          <w:color w:val="000000"/>
          <w:sz w:val="24"/>
          <w:szCs w:val="24"/>
          <w:vertAlign w:val="superscript"/>
        </w:rPr>
        <w:t>24]</w:t>
      </w:r>
      <w:r w:rsidR="00B645AE" w:rsidRPr="006212FF">
        <w:rPr>
          <w:rFonts w:ascii="Book Antiqua" w:eastAsia="Times New Roman" w:hAnsi="Book Antiqua" w:cs="Times New Roman"/>
          <w:bCs/>
          <w:color w:val="000000"/>
          <w:sz w:val="24"/>
          <w:szCs w:val="24"/>
        </w:rPr>
        <w:t>. M</w:t>
      </w:r>
      <w:r w:rsidR="004D056E" w:rsidRPr="006212FF">
        <w:rPr>
          <w:rFonts w:ascii="Book Antiqua" w:eastAsia="Times New Roman" w:hAnsi="Book Antiqua" w:cs="Times New Roman"/>
          <w:bCs/>
          <w:color w:val="000000"/>
          <w:sz w:val="24"/>
          <w:szCs w:val="24"/>
        </w:rPr>
        <w:t xml:space="preserve">anagement strategies </w:t>
      </w:r>
      <w:r w:rsidR="00B645AE" w:rsidRPr="006212FF">
        <w:rPr>
          <w:rFonts w:ascii="Book Antiqua" w:eastAsia="Times New Roman" w:hAnsi="Book Antiqua" w:cs="Times New Roman"/>
          <w:bCs/>
          <w:color w:val="000000"/>
          <w:sz w:val="24"/>
          <w:szCs w:val="24"/>
        </w:rPr>
        <w:t xml:space="preserve">for stomatitis include </w:t>
      </w:r>
      <w:r w:rsidR="00E306A1" w:rsidRPr="006212FF">
        <w:rPr>
          <w:rFonts w:ascii="Book Antiqua" w:eastAsia="Times New Roman" w:hAnsi="Book Antiqua" w:cs="Times New Roman"/>
          <w:bCs/>
          <w:color w:val="000000"/>
          <w:sz w:val="24"/>
          <w:szCs w:val="24"/>
        </w:rPr>
        <w:t xml:space="preserve">the </w:t>
      </w:r>
      <w:r w:rsidR="00B645AE" w:rsidRPr="006212FF">
        <w:rPr>
          <w:rFonts w:ascii="Book Antiqua" w:eastAsia="Times New Roman" w:hAnsi="Book Antiqua" w:cs="Times New Roman"/>
          <w:bCs/>
          <w:color w:val="000000"/>
          <w:sz w:val="24"/>
          <w:szCs w:val="24"/>
        </w:rPr>
        <w:t>use of</w:t>
      </w:r>
      <w:r w:rsidR="004D056E" w:rsidRPr="006212FF">
        <w:rPr>
          <w:rFonts w:ascii="Book Antiqua" w:eastAsia="Times New Roman" w:hAnsi="Book Antiqua" w:cs="Times New Roman"/>
          <w:bCs/>
          <w:color w:val="000000"/>
          <w:sz w:val="24"/>
          <w:szCs w:val="24"/>
        </w:rPr>
        <w:t xml:space="preserve"> local anesthetic, </w:t>
      </w:r>
      <w:proofErr w:type="spellStart"/>
      <w:r w:rsidR="004D056E" w:rsidRPr="006212FF">
        <w:rPr>
          <w:rFonts w:ascii="Book Antiqua" w:eastAsia="Times New Roman" w:hAnsi="Book Antiqua" w:cs="Times New Roman"/>
          <w:bCs/>
          <w:color w:val="000000"/>
          <w:sz w:val="24"/>
          <w:szCs w:val="24"/>
        </w:rPr>
        <w:t>intralesional</w:t>
      </w:r>
      <w:proofErr w:type="spellEnd"/>
      <w:r w:rsidR="004D056E" w:rsidRPr="006212FF">
        <w:rPr>
          <w:rFonts w:ascii="Book Antiqua" w:eastAsia="Times New Roman" w:hAnsi="Book Antiqua" w:cs="Times New Roman"/>
          <w:bCs/>
          <w:color w:val="000000"/>
          <w:sz w:val="24"/>
          <w:szCs w:val="24"/>
        </w:rPr>
        <w:t xml:space="preserve"> and topical steroid to con</w:t>
      </w:r>
      <w:r w:rsidR="00C844F8">
        <w:rPr>
          <w:rFonts w:ascii="Book Antiqua" w:eastAsia="Times New Roman" w:hAnsi="Book Antiqua" w:cs="Times New Roman"/>
          <w:bCs/>
          <w:color w:val="000000"/>
          <w:sz w:val="24"/>
          <w:szCs w:val="24"/>
        </w:rPr>
        <w:t xml:space="preserve">trol stomatitis and reduce </w:t>
      </w:r>
      <w:proofErr w:type="gramStart"/>
      <w:r w:rsidR="00C844F8">
        <w:rPr>
          <w:rFonts w:ascii="Book Antiqua" w:eastAsia="Times New Roman" w:hAnsi="Book Antiqua" w:cs="Times New Roman"/>
          <w:bCs/>
          <w:color w:val="000000"/>
          <w:sz w:val="24"/>
          <w:szCs w:val="24"/>
        </w:rPr>
        <w:t>pain</w:t>
      </w:r>
      <w:r w:rsidR="00C844F8">
        <w:rPr>
          <w:rFonts w:ascii="Book Antiqua" w:eastAsia="Times New Roman" w:hAnsi="Book Antiqua" w:cs="Times New Roman"/>
          <w:bCs/>
          <w:color w:val="000000"/>
          <w:sz w:val="24"/>
          <w:szCs w:val="24"/>
          <w:vertAlign w:val="superscript"/>
        </w:rPr>
        <w:t>[</w:t>
      </w:r>
      <w:proofErr w:type="gramEnd"/>
      <w:r w:rsidR="00C844F8">
        <w:rPr>
          <w:rFonts w:ascii="Book Antiqua" w:eastAsia="Times New Roman" w:hAnsi="Book Antiqua" w:cs="Times New Roman"/>
          <w:bCs/>
          <w:color w:val="000000"/>
          <w:sz w:val="24"/>
          <w:szCs w:val="24"/>
          <w:vertAlign w:val="superscript"/>
        </w:rPr>
        <w:t>41,44,</w:t>
      </w:r>
      <w:r w:rsidR="00082724" w:rsidRPr="006212FF">
        <w:rPr>
          <w:rFonts w:ascii="Book Antiqua" w:eastAsia="Times New Roman" w:hAnsi="Book Antiqua" w:cs="Times New Roman"/>
          <w:bCs/>
          <w:color w:val="000000"/>
          <w:sz w:val="24"/>
          <w:szCs w:val="24"/>
          <w:vertAlign w:val="superscript"/>
        </w:rPr>
        <w:t>45]</w:t>
      </w:r>
      <w:r w:rsidR="004D056E" w:rsidRPr="006212FF">
        <w:rPr>
          <w:rFonts w:ascii="Book Antiqua" w:eastAsia="Times New Roman" w:hAnsi="Book Antiqua" w:cs="Times New Roman"/>
          <w:bCs/>
          <w:color w:val="000000"/>
          <w:sz w:val="24"/>
          <w:szCs w:val="24"/>
        </w:rPr>
        <w:t xml:space="preserve">. </w:t>
      </w:r>
      <w:r w:rsidR="00E306A1" w:rsidRPr="006212FF">
        <w:rPr>
          <w:rFonts w:ascii="Book Antiqua" w:eastAsia="Times New Roman" w:hAnsi="Book Antiqua" w:cs="Times New Roman"/>
          <w:bCs/>
          <w:color w:val="000000"/>
          <w:sz w:val="24"/>
          <w:szCs w:val="24"/>
        </w:rPr>
        <w:t>EVR has also been used as an</w:t>
      </w:r>
      <w:r w:rsidR="004D056E" w:rsidRPr="006212FF">
        <w:rPr>
          <w:rFonts w:ascii="Book Antiqua" w:eastAsia="Times New Roman" w:hAnsi="Book Antiqua" w:cs="Times New Roman"/>
          <w:bCs/>
          <w:color w:val="000000"/>
          <w:sz w:val="24"/>
          <w:szCs w:val="24"/>
        </w:rPr>
        <w:t xml:space="preserve"> alternative for </w:t>
      </w:r>
      <w:r w:rsidR="00E306A1" w:rsidRPr="006212FF">
        <w:rPr>
          <w:rFonts w:ascii="Book Antiqua" w:eastAsia="Times New Roman" w:hAnsi="Book Antiqua" w:cs="Times New Roman"/>
          <w:bCs/>
          <w:color w:val="000000"/>
          <w:sz w:val="24"/>
          <w:szCs w:val="24"/>
        </w:rPr>
        <w:t xml:space="preserve">renal </w:t>
      </w:r>
      <w:r w:rsidR="004D056E" w:rsidRPr="006212FF">
        <w:rPr>
          <w:rFonts w:ascii="Book Antiqua" w:eastAsia="Times New Roman" w:hAnsi="Book Antiqua" w:cs="Times New Roman"/>
          <w:bCs/>
          <w:color w:val="000000"/>
          <w:sz w:val="24"/>
          <w:szCs w:val="24"/>
        </w:rPr>
        <w:t>transplant recipients who experienc</w:t>
      </w:r>
      <w:r w:rsidR="00C844F8">
        <w:rPr>
          <w:rFonts w:ascii="Book Antiqua" w:eastAsia="Times New Roman" w:hAnsi="Book Antiqua" w:cs="Times New Roman"/>
          <w:bCs/>
          <w:color w:val="000000"/>
          <w:sz w:val="24"/>
          <w:szCs w:val="24"/>
        </w:rPr>
        <w:t xml:space="preserve">ed </w:t>
      </w:r>
      <w:proofErr w:type="spellStart"/>
      <w:r w:rsidR="00C844F8">
        <w:rPr>
          <w:rFonts w:ascii="Book Antiqua" w:eastAsia="Times New Roman" w:hAnsi="Book Antiqua" w:cs="Times New Roman"/>
          <w:bCs/>
          <w:color w:val="000000"/>
          <w:sz w:val="24"/>
          <w:szCs w:val="24"/>
        </w:rPr>
        <w:t>sirolimus</w:t>
      </w:r>
      <w:proofErr w:type="spellEnd"/>
      <w:r w:rsidR="00C844F8">
        <w:rPr>
          <w:rFonts w:ascii="Book Antiqua" w:eastAsia="Times New Roman" w:hAnsi="Book Antiqua" w:cs="Times New Roman"/>
          <w:bCs/>
          <w:color w:val="000000"/>
          <w:sz w:val="24"/>
          <w:szCs w:val="24"/>
        </w:rPr>
        <w:t xml:space="preserve">-induced </w:t>
      </w:r>
      <w:proofErr w:type="gramStart"/>
      <w:r w:rsidR="00C844F8">
        <w:rPr>
          <w:rFonts w:ascii="Book Antiqua" w:eastAsia="Times New Roman" w:hAnsi="Book Antiqua" w:cs="Times New Roman"/>
          <w:bCs/>
          <w:color w:val="000000"/>
          <w:sz w:val="24"/>
          <w:szCs w:val="24"/>
        </w:rPr>
        <w:t>stomatitis</w:t>
      </w:r>
      <w:r w:rsidR="00082724" w:rsidRPr="006212FF">
        <w:rPr>
          <w:rFonts w:ascii="Book Antiqua" w:eastAsia="Times New Roman" w:hAnsi="Book Antiqua" w:cs="Times New Roman"/>
          <w:bCs/>
          <w:color w:val="000000"/>
          <w:sz w:val="24"/>
          <w:szCs w:val="24"/>
          <w:vertAlign w:val="superscript"/>
        </w:rPr>
        <w:t>[</w:t>
      </w:r>
      <w:proofErr w:type="gramEnd"/>
      <w:r w:rsidR="00082724" w:rsidRPr="006212FF">
        <w:rPr>
          <w:rFonts w:ascii="Book Antiqua" w:eastAsia="Times New Roman" w:hAnsi="Book Antiqua" w:cs="Times New Roman"/>
          <w:bCs/>
          <w:color w:val="000000"/>
          <w:sz w:val="24"/>
          <w:szCs w:val="24"/>
          <w:vertAlign w:val="superscript"/>
        </w:rPr>
        <w:t>46]</w:t>
      </w:r>
      <w:r w:rsidR="004D056E" w:rsidRPr="006212FF">
        <w:rPr>
          <w:rFonts w:ascii="Book Antiqua" w:eastAsia="Times New Roman" w:hAnsi="Book Antiqua" w:cs="Times New Roman"/>
          <w:bCs/>
          <w:color w:val="000000"/>
          <w:sz w:val="24"/>
          <w:szCs w:val="24"/>
        </w:rPr>
        <w:t>.</w:t>
      </w:r>
    </w:p>
    <w:p w14:paraId="4D4DE7E0" w14:textId="77BC24E0" w:rsidR="007B0DB3" w:rsidRPr="006212FF" w:rsidRDefault="007B0DB3" w:rsidP="00C844F8">
      <w:pPr>
        <w:spacing w:after="0" w:line="360" w:lineRule="auto"/>
        <w:ind w:firstLineChars="100" w:firstLine="240"/>
        <w:jc w:val="both"/>
        <w:rPr>
          <w:rFonts w:ascii="Book Antiqua" w:eastAsia="Times New Roman" w:hAnsi="Book Antiqua" w:cs="Times New Roman"/>
          <w:bCs/>
          <w:color w:val="000000"/>
          <w:sz w:val="24"/>
          <w:szCs w:val="24"/>
        </w:rPr>
      </w:pPr>
      <w:r w:rsidRPr="006212FF">
        <w:rPr>
          <w:rFonts w:ascii="Book Antiqua" w:eastAsia="Times New Roman" w:hAnsi="Book Antiqua" w:cs="Times New Roman"/>
          <w:bCs/>
          <w:color w:val="000000"/>
          <w:sz w:val="24"/>
          <w:szCs w:val="24"/>
        </w:rPr>
        <w:t xml:space="preserve">In general, </w:t>
      </w:r>
      <w:proofErr w:type="spellStart"/>
      <w:r w:rsidRPr="006212FF">
        <w:rPr>
          <w:rFonts w:ascii="Book Antiqua" w:eastAsia="Times New Roman" w:hAnsi="Book Antiqua" w:cs="Times New Roman"/>
          <w:bCs/>
          <w:color w:val="000000"/>
          <w:sz w:val="24"/>
          <w:szCs w:val="24"/>
        </w:rPr>
        <w:t>mTOR</w:t>
      </w:r>
      <w:proofErr w:type="spellEnd"/>
      <w:r w:rsidRPr="006212FF">
        <w:rPr>
          <w:rFonts w:ascii="Book Antiqua" w:eastAsia="Times New Roman" w:hAnsi="Book Antiqua" w:cs="Times New Roman"/>
          <w:bCs/>
          <w:color w:val="000000"/>
          <w:sz w:val="24"/>
          <w:szCs w:val="24"/>
        </w:rPr>
        <w:t xml:space="preserve"> in</w:t>
      </w:r>
      <w:r w:rsidR="00E306A1" w:rsidRPr="006212FF">
        <w:rPr>
          <w:rFonts w:ascii="Book Antiqua" w:eastAsia="Times New Roman" w:hAnsi="Book Antiqua" w:cs="Times New Roman"/>
          <w:bCs/>
          <w:color w:val="000000"/>
          <w:sz w:val="24"/>
          <w:szCs w:val="24"/>
        </w:rPr>
        <w:t>h</w:t>
      </w:r>
      <w:r w:rsidR="00C844F8">
        <w:rPr>
          <w:rFonts w:ascii="Book Antiqua" w:eastAsia="Times New Roman" w:hAnsi="Book Antiqua" w:cs="Times New Roman"/>
          <w:bCs/>
          <w:color w:val="000000"/>
          <w:sz w:val="24"/>
          <w:szCs w:val="24"/>
        </w:rPr>
        <w:t>ibitor</w:t>
      </w:r>
      <w:r w:rsidRPr="006212FF">
        <w:rPr>
          <w:rFonts w:ascii="Book Antiqua" w:eastAsia="Times New Roman" w:hAnsi="Book Antiqua" w:cs="Times New Roman"/>
          <w:bCs/>
          <w:color w:val="000000"/>
          <w:sz w:val="24"/>
          <w:szCs w:val="24"/>
        </w:rPr>
        <w:t xml:space="preserve">-associated stomatitis is generally not </w:t>
      </w:r>
      <w:r w:rsidR="00C844F8">
        <w:rPr>
          <w:rFonts w:ascii="Book Antiqua" w:eastAsia="Times New Roman" w:hAnsi="Book Antiqua" w:cs="Times New Roman"/>
          <w:bCs/>
          <w:color w:val="000000"/>
          <w:sz w:val="24"/>
          <w:szCs w:val="24"/>
        </w:rPr>
        <w:t>severe (&lt;</w:t>
      </w:r>
      <w:r w:rsidR="00C844F8">
        <w:rPr>
          <w:rFonts w:ascii="Book Antiqua" w:hAnsi="Book Antiqua" w:cs="Times New Roman" w:hint="eastAsia"/>
          <w:bCs/>
          <w:color w:val="000000"/>
          <w:sz w:val="24"/>
          <w:szCs w:val="24"/>
        </w:rPr>
        <w:t xml:space="preserve"> </w:t>
      </w:r>
      <w:r w:rsidR="00C844F8">
        <w:rPr>
          <w:rFonts w:ascii="Book Antiqua" w:eastAsia="Times New Roman" w:hAnsi="Book Antiqua" w:cs="Times New Roman"/>
          <w:bCs/>
          <w:color w:val="000000"/>
          <w:sz w:val="24"/>
          <w:szCs w:val="24"/>
        </w:rPr>
        <w:t>5% is Grade 3 or 4)</w:t>
      </w:r>
      <w:r w:rsidR="00082724" w:rsidRPr="006212FF">
        <w:rPr>
          <w:rFonts w:ascii="Book Antiqua" w:eastAsia="Times New Roman" w:hAnsi="Book Antiqua" w:cs="Times New Roman"/>
          <w:bCs/>
          <w:color w:val="000000"/>
          <w:sz w:val="24"/>
          <w:szCs w:val="24"/>
          <w:vertAlign w:val="superscript"/>
        </w:rPr>
        <w:t>[41]</w:t>
      </w:r>
      <w:r w:rsidRPr="006212FF">
        <w:rPr>
          <w:rFonts w:ascii="Book Antiqua" w:eastAsia="Times New Roman" w:hAnsi="Book Antiqua" w:cs="Times New Roman"/>
          <w:bCs/>
          <w:color w:val="000000"/>
          <w:sz w:val="24"/>
          <w:szCs w:val="24"/>
        </w:rPr>
        <w:t xml:space="preserve">. </w:t>
      </w:r>
      <w:r w:rsidR="00E306A1" w:rsidRPr="006212FF">
        <w:rPr>
          <w:rFonts w:ascii="Book Antiqua" w:eastAsia="Times New Roman" w:hAnsi="Book Antiqua" w:cs="Times New Roman"/>
          <w:bCs/>
          <w:color w:val="000000"/>
          <w:sz w:val="24"/>
          <w:szCs w:val="24"/>
        </w:rPr>
        <w:t>However, i</w:t>
      </w:r>
      <w:r w:rsidRPr="006212FF">
        <w:rPr>
          <w:rFonts w:ascii="Book Antiqua" w:eastAsia="Times New Roman" w:hAnsi="Book Antiqua" w:cs="Times New Roman"/>
          <w:bCs/>
          <w:color w:val="000000"/>
          <w:sz w:val="24"/>
          <w:szCs w:val="24"/>
        </w:rPr>
        <w:t>f nutrition status is compromised due to poor oral intake secondary to stomatitis, dose reduction or even withdrawal may be warranted.</w:t>
      </w:r>
    </w:p>
    <w:p w14:paraId="40C565CD" w14:textId="77777777" w:rsidR="001D6D97" w:rsidRPr="006212FF" w:rsidRDefault="001D6D97" w:rsidP="006212FF">
      <w:pPr>
        <w:spacing w:after="0" w:line="360" w:lineRule="auto"/>
        <w:jc w:val="both"/>
        <w:rPr>
          <w:rFonts w:ascii="Book Antiqua" w:eastAsia="Times New Roman" w:hAnsi="Book Antiqua" w:cs="Times New Roman"/>
          <w:bCs/>
          <w:color w:val="000000"/>
          <w:sz w:val="24"/>
          <w:szCs w:val="24"/>
        </w:rPr>
      </w:pPr>
    </w:p>
    <w:p w14:paraId="6FDF32C0" w14:textId="1A03450C" w:rsidR="00C26A4B" w:rsidRPr="00C844F8" w:rsidRDefault="00C26A4B" w:rsidP="006212FF">
      <w:pPr>
        <w:spacing w:after="0" w:line="360" w:lineRule="auto"/>
        <w:jc w:val="both"/>
        <w:rPr>
          <w:rFonts w:ascii="Book Antiqua" w:eastAsia="Times New Roman" w:hAnsi="Book Antiqua" w:cs="Times New Roman"/>
          <w:b/>
          <w:bCs/>
          <w:i/>
          <w:color w:val="000000"/>
          <w:sz w:val="24"/>
          <w:szCs w:val="24"/>
        </w:rPr>
      </w:pPr>
      <w:r w:rsidRPr="00C844F8">
        <w:rPr>
          <w:rFonts w:ascii="Book Antiqua" w:eastAsia="Times New Roman" w:hAnsi="Book Antiqua" w:cs="Times New Roman"/>
          <w:b/>
          <w:bCs/>
          <w:i/>
          <w:color w:val="000000"/>
          <w:sz w:val="24"/>
          <w:szCs w:val="24"/>
        </w:rPr>
        <w:t>Peripheral edema</w:t>
      </w:r>
    </w:p>
    <w:p w14:paraId="16B90CED" w14:textId="1DF78BB3" w:rsidR="00F51C24" w:rsidRPr="006212FF" w:rsidRDefault="00F51C24" w:rsidP="006212FF">
      <w:pPr>
        <w:spacing w:after="0" w:line="360" w:lineRule="auto"/>
        <w:jc w:val="both"/>
        <w:rPr>
          <w:rFonts w:ascii="Book Antiqua" w:eastAsia="Times New Roman" w:hAnsi="Book Antiqua" w:cs="Times New Roman"/>
          <w:bCs/>
          <w:color w:val="000000"/>
          <w:sz w:val="24"/>
          <w:szCs w:val="24"/>
        </w:rPr>
      </w:pPr>
      <w:proofErr w:type="spellStart"/>
      <w:proofErr w:type="gramStart"/>
      <w:r w:rsidRPr="006212FF">
        <w:rPr>
          <w:rFonts w:ascii="Book Antiqua" w:eastAsia="Times New Roman" w:hAnsi="Book Antiqua" w:cs="Times New Roman"/>
          <w:bCs/>
          <w:color w:val="000000"/>
          <w:sz w:val="24"/>
          <w:szCs w:val="24"/>
        </w:rPr>
        <w:t>mTOR</w:t>
      </w:r>
      <w:proofErr w:type="spellEnd"/>
      <w:proofErr w:type="gramEnd"/>
      <w:r w:rsidRPr="006212FF">
        <w:rPr>
          <w:rFonts w:ascii="Book Antiqua" w:eastAsia="Times New Roman" w:hAnsi="Book Antiqua" w:cs="Times New Roman"/>
          <w:bCs/>
          <w:color w:val="000000"/>
          <w:sz w:val="24"/>
          <w:szCs w:val="24"/>
        </w:rPr>
        <w:t xml:space="preserve"> inhibitor adverse effect of peripheral edema </w:t>
      </w:r>
      <w:r w:rsidR="00C06964" w:rsidRPr="006212FF">
        <w:rPr>
          <w:rFonts w:ascii="Book Antiqua" w:eastAsia="Times New Roman" w:hAnsi="Book Antiqua" w:cs="Times New Roman"/>
          <w:bCs/>
          <w:color w:val="000000"/>
          <w:sz w:val="24"/>
          <w:szCs w:val="24"/>
        </w:rPr>
        <w:t>may be</w:t>
      </w:r>
      <w:r w:rsidRPr="006212FF">
        <w:rPr>
          <w:rFonts w:ascii="Book Antiqua" w:eastAsia="Times New Roman" w:hAnsi="Book Antiqua" w:cs="Times New Roman"/>
          <w:bCs/>
          <w:color w:val="000000"/>
          <w:sz w:val="24"/>
          <w:szCs w:val="24"/>
        </w:rPr>
        <w:t xml:space="preserve"> relate</w:t>
      </w:r>
      <w:r w:rsidR="00C06964" w:rsidRPr="006212FF">
        <w:rPr>
          <w:rFonts w:ascii="Book Antiqua" w:eastAsia="Times New Roman" w:hAnsi="Book Antiqua" w:cs="Times New Roman"/>
          <w:bCs/>
          <w:color w:val="000000"/>
          <w:sz w:val="24"/>
          <w:szCs w:val="24"/>
        </w:rPr>
        <w:t>d</w:t>
      </w:r>
      <w:r w:rsidRPr="006212FF">
        <w:rPr>
          <w:rFonts w:ascii="Book Antiqua" w:eastAsia="Times New Roman" w:hAnsi="Book Antiqua" w:cs="Times New Roman"/>
          <w:bCs/>
          <w:color w:val="000000"/>
          <w:sz w:val="24"/>
          <w:szCs w:val="24"/>
        </w:rPr>
        <w:t xml:space="preserve"> to its </w:t>
      </w:r>
      <w:r w:rsidR="009B745E" w:rsidRPr="006212FF">
        <w:rPr>
          <w:rFonts w:ascii="Book Antiqua" w:eastAsia="Times New Roman" w:hAnsi="Book Antiqua" w:cs="Times New Roman"/>
          <w:bCs/>
          <w:color w:val="000000"/>
          <w:sz w:val="24"/>
          <w:szCs w:val="24"/>
        </w:rPr>
        <w:t>anti-</w:t>
      </w:r>
      <w:proofErr w:type="spellStart"/>
      <w:r w:rsidR="009B745E" w:rsidRPr="006212FF">
        <w:rPr>
          <w:rFonts w:ascii="Book Antiqua" w:eastAsia="Times New Roman" w:hAnsi="Book Antiqua" w:cs="Times New Roman"/>
          <w:bCs/>
          <w:color w:val="000000"/>
          <w:sz w:val="24"/>
          <w:szCs w:val="24"/>
        </w:rPr>
        <w:t>l</w:t>
      </w:r>
      <w:r w:rsidRPr="006212FF">
        <w:rPr>
          <w:rFonts w:ascii="Book Antiqua" w:eastAsia="Times New Roman" w:hAnsi="Book Antiqua" w:cs="Times New Roman"/>
          <w:bCs/>
          <w:color w:val="000000"/>
          <w:sz w:val="24"/>
          <w:szCs w:val="24"/>
        </w:rPr>
        <w:t>ymphangiogene</w:t>
      </w:r>
      <w:r w:rsidR="009B745E" w:rsidRPr="006212FF">
        <w:rPr>
          <w:rFonts w:ascii="Book Antiqua" w:eastAsia="Times New Roman" w:hAnsi="Book Antiqua" w:cs="Times New Roman"/>
          <w:bCs/>
          <w:color w:val="000000"/>
          <w:sz w:val="24"/>
          <w:szCs w:val="24"/>
        </w:rPr>
        <w:t>tic</w:t>
      </w:r>
      <w:proofErr w:type="spellEnd"/>
      <w:r w:rsidRPr="006212FF">
        <w:rPr>
          <w:rFonts w:ascii="Book Antiqua" w:eastAsia="Times New Roman" w:hAnsi="Book Antiqua" w:cs="Times New Roman"/>
          <w:bCs/>
          <w:color w:val="000000"/>
          <w:sz w:val="24"/>
          <w:szCs w:val="24"/>
        </w:rPr>
        <w:t xml:space="preserve"> </w:t>
      </w:r>
      <w:r w:rsidR="001C7ED4" w:rsidRPr="006212FF">
        <w:rPr>
          <w:rFonts w:ascii="Book Antiqua" w:eastAsia="Times New Roman" w:hAnsi="Book Antiqua" w:cs="Times New Roman"/>
          <w:bCs/>
          <w:color w:val="000000"/>
          <w:sz w:val="24"/>
          <w:szCs w:val="24"/>
        </w:rPr>
        <w:t>effect</w:t>
      </w:r>
      <w:r w:rsidR="00C06964" w:rsidRPr="006212FF">
        <w:rPr>
          <w:rFonts w:ascii="Book Antiqua" w:eastAsia="Times New Roman" w:hAnsi="Book Antiqua" w:cs="Times New Roman"/>
          <w:bCs/>
          <w:color w:val="000000"/>
          <w:sz w:val="24"/>
          <w:szCs w:val="24"/>
        </w:rPr>
        <w:t>,</w:t>
      </w:r>
      <w:r w:rsidR="001C7ED4" w:rsidRPr="006212FF">
        <w:rPr>
          <w:rFonts w:ascii="Book Antiqua" w:eastAsia="Times New Roman" w:hAnsi="Book Antiqua" w:cs="Times New Roman"/>
          <w:bCs/>
          <w:color w:val="000000"/>
          <w:sz w:val="24"/>
          <w:szCs w:val="24"/>
        </w:rPr>
        <w:t xml:space="preserve"> </w:t>
      </w:r>
      <w:r w:rsidRPr="006212FF">
        <w:rPr>
          <w:rFonts w:ascii="Book Antiqua" w:eastAsia="Times New Roman" w:hAnsi="Book Antiqua" w:cs="Times New Roman"/>
          <w:bCs/>
          <w:color w:val="000000"/>
          <w:sz w:val="24"/>
          <w:szCs w:val="24"/>
        </w:rPr>
        <w:t>lead</w:t>
      </w:r>
      <w:r w:rsidR="00C06964" w:rsidRPr="006212FF">
        <w:rPr>
          <w:rFonts w:ascii="Book Antiqua" w:eastAsia="Times New Roman" w:hAnsi="Book Antiqua" w:cs="Times New Roman"/>
          <w:bCs/>
          <w:color w:val="000000"/>
          <w:sz w:val="24"/>
          <w:szCs w:val="24"/>
        </w:rPr>
        <w:t>ing</w:t>
      </w:r>
      <w:r w:rsidRPr="006212FF">
        <w:rPr>
          <w:rFonts w:ascii="Book Antiqua" w:eastAsia="Times New Roman" w:hAnsi="Book Antiqua" w:cs="Times New Roman"/>
          <w:bCs/>
          <w:color w:val="000000"/>
          <w:sz w:val="24"/>
          <w:szCs w:val="24"/>
        </w:rPr>
        <w:t xml:space="preserve"> to lymphedema and capillary leak </w:t>
      </w:r>
      <w:r w:rsidR="00C844F8">
        <w:rPr>
          <w:rFonts w:ascii="Book Antiqua" w:eastAsia="Times New Roman" w:hAnsi="Book Antiqua" w:cs="Times New Roman"/>
          <w:bCs/>
          <w:color w:val="000000"/>
          <w:sz w:val="24"/>
          <w:szCs w:val="24"/>
        </w:rPr>
        <w:t>which may not be reversible</w:t>
      </w:r>
      <w:r w:rsidR="0069217D" w:rsidRPr="006212FF">
        <w:rPr>
          <w:rFonts w:ascii="Book Antiqua" w:eastAsia="Times New Roman" w:hAnsi="Book Antiqua" w:cs="Times New Roman"/>
          <w:bCs/>
          <w:color w:val="000000"/>
          <w:sz w:val="24"/>
          <w:szCs w:val="24"/>
          <w:vertAlign w:val="superscript"/>
        </w:rPr>
        <w:t>[41]</w:t>
      </w:r>
      <w:r w:rsidRPr="006212FF">
        <w:rPr>
          <w:rFonts w:ascii="Book Antiqua" w:eastAsia="Times New Roman" w:hAnsi="Book Antiqua" w:cs="Times New Roman"/>
          <w:bCs/>
          <w:color w:val="000000"/>
          <w:sz w:val="24"/>
          <w:szCs w:val="24"/>
        </w:rPr>
        <w:t xml:space="preserve">. </w:t>
      </w:r>
      <w:r w:rsidR="00E10AEE" w:rsidRPr="006212FF">
        <w:rPr>
          <w:rFonts w:ascii="Book Antiqua" w:eastAsia="Times New Roman" w:hAnsi="Book Antiqua" w:cs="Times New Roman"/>
          <w:bCs/>
          <w:color w:val="000000"/>
          <w:sz w:val="24"/>
          <w:szCs w:val="24"/>
        </w:rPr>
        <w:t xml:space="preserve">In all 3 main phase III studies, peripheral edema was reported </w:t>
      </w:r>
      <w:r w:rsidR="00C06964" w:rsidRPr="006212FF">
        <w:rPr>
          <w:rFonts w:ascii="Book Antiqua" w:eastAsia="Times New Roman" w:hAnsi="Book Antiqua" w:cs="Times New Roman"/>
          <w:bCs/>
          <w:color w:val="000000"/>
          <w:sz w:val="24"/>
          <w:szCs w:val="24"/>
        </w:rPr>
        <w:t xml:space="preserve">to be </w:t>
      </w:r>
      <w:r w:rsidR="00E10AEE" w:rsidRPr="006212FF">
        <w:rPr>
          <w:rFonts w:ascii="Book Antiqua" w:eastAsia="Times New Roman" w:hAnsi="Book Antiqua" w:cs="Times New Roman"/>
          <w:bCs/>
          <w:color w:val="000000"/>
          <w:sz w:val="24"/>
          <w:szCs w:val="24"/>
        </w:rPr>
        <w:lastRenderedPageBreak/>
        <w:t xml:space="preserve">significantly higher in EVR group in comparison to control group. </w:t>
      </w:r>
      <w:r w:rsidR="00B9335C" w:rsidRPr="006212FF">
        <w:rPr>
          <w:rFonts w:ascii="Book Antiqua" w:eastAsia="Times New Roman" w:hAnsi="Book Antiqua" w:cs="Times New Roman"/>
          <w:bCs/>
          <w:color w:val="000000"/>
          <w:sz w:val="24"/>
          <w:szCs w:val="24"/>
        </w:rPr>
        <w:t>In the PROTECT study, p</w:t>
      </w:r>
      <w:r w:rsidR="00A91F5E" w:rsidRPr="006212FF">
        <w:rPr>
          <w:rFonts w:ascii="Book Antiqua" w:eastAsia="Times New Roman" w:hAnsi="Book Antiqua" w:cs="Times New Roman"/>
          <w:bCs/>
          <w:color w:val="000000"/>
          <w:sz w:val="24"/>
          <w:szCs w:val="24"/>
        </w:rPr>
        <w:t xml:space="preserve">eripheral edema was consistently higher in EVR group (26.8%) </w:t>
      </w:r>
      <w:proofErr w:type="spellStart"/>
      <w:r w:rsidR="00A91F5E" w:rsidRPr="00016F09">
        <w:rPr>
          <w:rFonts w:ascii="Book Antiqua" w:eastAsia="Times New Roman" w:hAnsi="Book Antiqua" w:cs="Times New Roman"/>
          <w:bCs/>
          <w:i/>
          <w:color w:val="000000"/>
          <w:sz w:val="24"/>
          <w:szCs w:val="24"/>
        </w:rPr>
        <w:t>vs</w:t>
      </w:r>
      <w:proofErr w:type="spellEnd"/>
      <w:r w:rsidR="00A91F5E" w:rsidRPr="006212FF">
        <w:rPr>
          <w:rFonts w:ascii="Book Antiqua" w:eastAsia="Times New Roman" w:hAnsi="Book Antiqua" w:cs="Times New Roman"/>
          <w:bCs/>
          <w:color w:val="000000"/>
          <w:sz w:val="24"/>
          <w:szCs w:val="24"/>
        </w:rPr>
        <w:t xml:space="preserve"> in standard CNI group (12.5%), </w:t>
      </w:r>
      <w:r w:rsidR="00C844F8" w:rsidRPr="00C844F8">
        <w:rPr>
          <w:rFonts w:ascii="Book Antiqua" w:eastAsia="Times New Roman" w:hAnsi="Book Antiqua" w:cs="Times New Roman"/>
          <w:bCs/>
          <w:i/>
          <w:color w:val="000000"/>
          <w:sz w:val="24"/>
          <w:szCs w:val="24"/>
        </w:rPr>
        <w:t>P</w:t>
      </w:r>
      <w:r w:rsidR="00C844F8">
        <w:rPr>
          <w:rFonts w:ascii="Book Antiqua" w:hAnsi="Book Antiqua" w:cs="Times New Roman" w:hint="eastAsia"/>
          <w:bCs/>
          <w:color w:val="000000"/>
          <w:sz w:val="24"/>
          <w:szCs w:val="24"/>
        </w:rPr>
        <w:t xml:space="preserve"> </w:t>
      </w:r>
      <w:r w:rsidR="00A91F5E" w:rsidRPr="006212FF">
        <w:rPr>
          <w:rFonts w:ascii="Book Antiqua" w:eastAsia="Times New Roman" w:hAnsi="Book Antiqua" w:cs="Times New Roman"/>
          <w:bCs/>
          <w:color w:val="000000"/>
          <w:sz w:val="24"/>
          <w:szCs w:val="24"/>
        </w:rPr>
        <w:t>=</w:t>
      </w:r>
      <w:r w:rsidR="00C844F8">
        <w:rPr>
          <w:rFonts w:ascii="Book Antiqua" w:hAnsi="Book Antiqua" w:cs="Times New Roman" w:hint="eastAsia"/>
          <w:bCs/>
          <w:color w:val="000000"/>
          <w:sz w:val="24"/>
          <w:szCs w:val="24"/>
        </w:rPr>
        <w:t xml:space="preserve"> </w:t>
      </w:r>
      <w:r w:rsidR="00A91F5E" w:rsidRPr="006212FF">
        <w:rPr>
          <w:rFonts w:ascii="Book Antiqua" w:eastAsia="Times New Roman" w:hAnsi="Book Antiqua" w:cs="Times New Roman"/>
          <w:bCs/>
          <w:color w:val="000000"/>
          <w:sz w:val="24"/>
          <w:szCs w:val="24"/>
        </w:rPr>
        <w:t>0.162 at month 11</w:t>
      </w:r>
      <w:r w:rsidR="0069217D" w:rsidRPr="006212FF">
        <w:rPr>
          <w:rFonts w:ascii="Book Antiqua" w:eastAsia="Times New Roman" w:hAnsi="Book Antiqua" w:cs="Times New Roman"/>
          <w:bCs/>
          <w:color w:val="000000"/>
          <w:sz w:val="24"/>
          <w:szCs w:val="24"/>
          <w:vertAlign w:val="superscript"/>
        </w:rPr>
        <w:t>[13]</w:t>
      </w:r>
      <w:r w:rsidR="00A91F5E" w:rsidRPr="006212FF">
        <w:rPr>
          <w:rFonts w:ascii="Book Antiqua" w:eastAsia="Times New Roman" w:hAnsi="Book Antiqua" w:cs="Times New Roman"/>
          <w:bCs/>
          <w:color w:val="000000"/>
          <w:sz w:val="24"/>
          <w:szCs w:val="24"/>
        </w:rPr>
        <w:t xml:space="preserve">. </w:t>
      </w:r>
      <w:r w:rsidR="00671869" w:rsidRPr="006212FF">
        <w:rPr>
          <w:rFonts w:ascii="Book Antiqua" w:eastAsia="Times New Roman" w:hAnsi="Book Antiqua" w:cs="Times New Roman"/>
          <w:bCs/>
          <w:color w:val="000000"/>
          <w:sz w:val="24"/>
          <w:szCs w:val="24"/>
        </w:rPr>
        <w:t>The incidence of peripheral edema continued to increase i</w:t>
      </w:r>
      <w:r w:rsidR="00A91F5E" w:rsidRPr="006212FF">
        <w:rPr>
          <w:rFonts w:ascii="Book Antiqua" w:eastAsia="Times New Roman" w:hAnsi="Book Antiqua" w:cs="Times New Roman"/>
          <w:bCs/>
          <w:color w:val="000000"/>
          <w:sz w:val="24"/>
          <w:szCs w:val="24"/>
        </w:rPr>
        <w:t xml:space="preserve">n the extension study </w:t>
      </w:r>
      <w:r w:rsidR="00671869" w:rsidRPr="006212FF">
        <w:rPr>
          <w:rFonts w:ascii="Book Antiqua" w:eastAsia="Times New Roman" w:hAnsi="Book Antiqua" w:cs="Times New Roman"/>
          <w:bCs/>
          <w:color w:val="000000"/>
          <w:sz w:val="24"/>
          <w:szCs w:val="24"/>
        </w:rPr>
        <w:t>period from month 11</w:t>
      </w:r>
      <w:r w:rsidR="00C844F8">
        <w:rPr>
          <w:rFonts w:ascii="Book Antiqua" w:hAnsi="Book Antiqua" w:cs="Times New Roman" w:hint="eastAsia"/>
          <w:bCs/>
          <w:color w:val="000000"/>
          <w:sz w:val="24"/>
          <w:szCs w:val="24"/>
        </w:rPr>
        <w:t>-</w:t>
      </w:r>
      <w:r w:rsidR="00671869" w:rsidRPr="006212FF">
        <w:rPr>
          <w:rFonts w:ascii="Book Antiqua" w:eastAsia="Times New Roman" w:hAnsi="Book Antiqua" w:cs="Times New Roman"/>
          <w:bCs/>
          <w:color w:val="000000"/>
          <w:sz w:val="24"/>
          <w:szCs w:val="24"/>
        </w:rPr>
        <w:t xml:space="preserve">35 (22% in EVR group </w:t>
      </w:r>
      <w:proofErr w:type="spellStart"/>
      <w:r w:rsidR="00671869" w:rsidRPr="00C844F8">
        <w:rPr>
          <w:rFonts w:ascii="Book Antiqua" w:eastAsia="Times New Roman" w:hAnsi="Book Antiqua" w:cs="Times New Roman"/>
          <w:bCs/>
          <w:i/>
          <w:color w:val="000000"/>
          <w:sz w:val="24"/>
          <w:szCs w:val="24"/>
        </w:rPr>
        <w:t>vs</w:t>
      </w:r>
      <w:proofErr w:type="spellEnd"/>
      <w:r w:rsidR="00671869" w:rsidRPr="006212FF">
        <w:rPr>
          <w:rFonts w:ascii="Book Antiqua" w:eastAsia="Times New Roman" w:hAnsi="Book Antiqua" w:cs="Times New Roman"/>
          <w:bCs/>
          <w:color w:val="000000"/>
          <w:sz w:val="24"/>
          <w:szCs w:val="24"/>
        </w:rPr>
        <w:t xml:space="preserve"> 5% in standard CNI group, </w:t>
      </w:r>
      <w:r w:rsidR="00C844F8" w:rsidRPr="00C844F8">
        <w:rPr>
          <w:rFonts w:ascii="Book Antiqua" w:eastAsia="Times New Roman" w:hAnsi="Book Antiqua" w:cs="Times New Roman"/>
          <w:bCs/>
          <w:i/>
          <w:color w:val="000000"/>
          <w:sz w:val="24"/>
          <w:szCs w:val="24"/>
        </w:rPr>
        <w:t>P</w:t>
      </w:r>
      <w:r w:rsidR="00C844F8">
        <w:rPr>
          <w:rFonts w:ascii="Book Antiqua" w:hAnsi="Book Antiqua" w:cs="Times New Roman" w:hint="eastAsia"/>
          <w:bCs/>
          <w:color w:val="000000"/>
          <w:sz w:val="24"/>
          <w:szCs w:val="24"/>
        </w:rPr>
        <w:t xml:space="preserve"> </w:t>
      </w:r>
      <w:r w:rsidR="00C844F8" w:rsidRPr="006212FF">
        <w:rPr>
          <w:rFonts w:ascii="Book Antiqua" w:eastAsia="Times New Roman" w:hAnsi="Book Antiqua" w:cs="Times New Roman"/>
          <w:bCs/>
          <w:color w:val="000000"/>
          <w:sz w:val="24"/>
          <w:szCs w:val="24"/>
        </w:rPr>
        <w:t>=</w:t>
      </w:r>
      <w:r w:rsidR="00C844F8">
        <w:rPr>
          <w:rFonts w:ascii="Book Antiqua" w:hAnsi="Book Antiqua" w:cs="Times New Roman" w:hint="eastAsia"/>
          <w:bCs/>
          <w:color w:val="000000"/>
          <w:sz w:val="24"/>
          <w:szCs w:val="24"/>
        </w:rPr>
        <w:t xml:space="preserve"> </w:t>
      </w:r>
      <w:r w:rsidR="00671869" w:rsidRPr="006212FF">
        <w:rPr>
          <w:rFonts w:ascii="Book Antiqua" w:eastAsia="Times New Roman" w:hAnsi="Book Antiqua" w:cs="Times New Roman"/>
          <w:bCs/>
          <w:color w:val="000000"/>
          <w:sz w:val="24"/>
          <w:szCs w:val="24"/>
        </w:rPr>
        <w:t>0.048) and from month 11-59 (31.7% in EVR group</w:t>
      </w:r>
      <w:r w:rsidR="00671869" w:rsidRPr="00C844F8">
        <w:rPr>
          <w:rFonts w:ascii="Book Antiqua" w:eastAsia="Times New Roman" w:hAnsi="Book Antiqua" w:cs="Times New Roman"/>
          <w:bCs/>
          <w:i/>
          <w:color w:val="000000"/>
          <w:sz w:val="24"/>
          <w:szCs w:val="24"/>
        </w:rPr>
        <w:t xml:space="preserve"> </w:t>
      </w:r>
      <w:proofErr w:type="spellStart"/>
      <w:r w:rsidR="00671869" w:rsidRPr="00C844F8">
        <w:rPr>
          <w:rFonts w:ascii="Book Antiqua" w:eastAsia="Times New Roman" w:hAnsi="Book Antiqua" w:cs="Times New Roman"/>
          <w:bCs/>
          <w:i/>
          <w:color w:val="000000"/>
          <w:sz w:val="24"/>
          <w:szCs w:val="24"/>
        </w:rPr>
        <w:t>vs</w:t>
      </w:r>
      <w:proofErr w:type="spellEnd"/>
      <w:r w:rsidR="00671869" w:rsidRPr="00C844F8">
        <w:rPr>
          <w:rFonts w:ascii="Book Antiqua" w:eastAsia="Times New Roman" w:hAnsi="Book Antiqua" w:cs="Times New Roman"/>
          <w:bCs/>
          <w:i/>
          <w:color w:val="000000"/>
          <w:sz w:val="24"/>
          <w:szCs w:val="24"/>
        </w:rPr>
        <w:t xml:space="preserve"> </w:t>
      </w:r>
      <w:r w:rsidR="00671869" w:rsidRPr="006212FF">
        <w:rPr>
          <w:rFonts w:ascii="Book Antiqua" w:eastAsia="Times New Roman" w:hAnsi="Book Antiqua" w:cs="Times New Roman"/>
          <w:bCs/>
          <w:color w:val="000000"/>
          <w:sz w:val="24"/>
          <w:szCs w:val="24"/>
        </w:rPr>
        <w:t xml:space="preserve">7.5% in standard CNI group, </w:t>
      </w:r>
      <w:r w:rsidR="00C844F8" w:rsidRPr="00C844F8">
        <w:rPr>
          <w:rFonts w:ascii="Book Antiqua" w:eastAsia="Times New Roman" w:hAnsi="Book Antiqua" w:cs="Times New Roman"/>
          <w:bCs/>
          <w:i/>
          <w:color w:val="000000"/>
          <w:sz w:val="24"/>
          <w:szCs w:val="24"/>
        </w:rPr>
        <w:t>P</w:t>
      </w:r>
      <w:r w:rsidR="00C844F8">
        <w:rPr>
          <w:rFonts w:ascii="Book Antiqua" w:hAnsi="Book Antiqua" w:cs="Times New Roman" w:hint="eastAsia"/>
          <w:bCs/>
          <w:color w:val="000000"/>
          <w:sz w:val="24"/>
          <w:szCs w:val="24"/>
        </w:rPr>
        <w:t xml:space="preserve"> </w:t>
      </w:r>
      <w:r w:rsidR="00C844F8" w:rsidRPr="006212FF">
        <w:rPr>
          <w:rFonts w:ascii="Book Antiqua" w:eastAsia="Times New Roman" w:hAnsi="Book Antiqua" w:cs="Times New Roman"/>
          <w:bCs/>
          <w:color w:val="000000"/>
          <w:sz w:val="24"/>
          <w:szCs w:val="24"/>
        </w:rPr>
        <w:t>=</w:t>
      </w:r>
      <w:r w:rsidR="00C844F8">
        <w:rPr>
          <w:rFonts w:ascii="Book Antiqua" w:hAnsi="Book Antiqua" w:cs="Times New Roman" w:hint="eastAsia"/>
          <w:bCs/>
          <w:color w:val="000000"/>
          <w:sz w:val="24"/>
          <w:szCs w:val="24"/>
        </w:rPr>
        <w:t xml:space="preserve"> </w:t>
      </w:r>
      <w:r w:rsidR="00C844F8">
        <w:rPr>
          <w:rFonts w:ascii="Book Antiqua" w:eastAsia="Times New Roman" w:hAnsi="Book Antiqua" w:cs="Times New Roman"/>
          <w:bCs/>
          <w:color w:val="000000"/>
          <w:sz w:val="24"/>
          <w:szCs w:val="24"/>
        </w:rPr>
        <w:t>0.011)</w:t>
      </w:r>
      <w:r w:rsidR="00C844F8">
        <w:rPr>
          <w:rFonts w:ascii="Book Antiqua" w:eastAsia="Times New Roman" w:hAnsi="Book Antiqua" w:cs="Times New Roman"/>
          <w:bCs/>
          <w:color w:val="000000"/>
          <w:sz w:val="24"/>
          <w:szCs w:val="24"/>
          <w:vertAlign w:val="superscript"/>
        </w:rPr>
        <w:t>[14,</w:t>
      </w:r>
      <w:r w:rsidR="0069217D" w:rsidRPr="006212FF">
        <w:rPr>
          <w:rFonts w:ascii="Book Antiqua" w:eastAsia="Times New Roman" w:hAnsi="Book Antiqua" w:cs="Times New Roman"/>
          <w:bCs/>
          <w:color w:val="000000"/>
          <w:sz w:val="24"/>
          <w:szCs w:val="24"/>
          <w:vertAlign w:val="superscript"/>
        </w:rPr>
        <w:t>15]</w:t>
      </w:r>
      <w:r w:rsidRPr="006212FF">
        <w:rPr>
          <w:rFonts w:ascii="Book Antiqua" w:eastAsia="Times New Roman" w:hAnsi="Book Antiqua" w:cs="Times New Roman"/>
          <w:bCs/>
          <w:color w:val="000000"/>
          <w:sz w:val="24"/>
          <w:szCs w:val="24"/>
        </w:rPr>
        <w:t xml:space="preserve">. </w:t>
      </w:r>
      <w:r w:rsidR="00E10AEE" w:rsidRPr="006212FF">
        <w:rPr>
          <w:rFonts w:ascii="Book Antiqua" w:eastAsia="Times New Roman" w:hAnsi="Book Antiqua" w:cs="Times New Roman"/>
          <w:bCs/>
          <w:color w:val="000000"/>
          <w:sz w:val="24"/>
          <w:szCs w:val="24"/>
        </w:rPr>
        <w:t xml:space="preserve">In </w:t>
      </w:r>
      <w:r w:rsidR="00A91F5E" w:rsidRPr="006212FF">
        <w:rPr>
          <w:rFonts w:ascii="Book Antiqua" w:eastAsia="Times New Roman" w:hAnsi="Book Antiqua" w:cs="Times New Roman"/>
          <w:bCs/>
          <w:color w:val="000000"/>
          <w:sz w:val="24"/>
          <w:szCs w:val="24"/>
        </w:rPr>
        <w:t>H2304</w:t>
      </w:r>
      <w:r w:rsidR="00E10AEE" w:rsidRPr="006212FF">
        <w:rPr>
          <w:rFonts w:ascii="Book Antiqua" w:eastAsia="Times New Roman" w:hAnsi="Book Antiqua" w:cs="Times New Roman"/>
          <w:bCs/>
          <w:color w:val="000000"/>
          <w:sz w:val="24"/>
          <w:szCs w:val="24"/>
        </w:rPr>
        <w:t xml:space="preserve"> study, </w:t>
      </w:r>
      <w:r w:rsidR="00B9335C" w:rsidRPr="006212FF">
        <w:rPr>
          <w:rFonts w:ascii="Book Antiqua" w:eastAsia="Times New Roman" w:hAnsi="Book Antiqua" w:cs="Times New Roman"/>
          <w:bCs/>
          <w:color w:val="000000"/>
          <w:sz w:val="24"/>
          <w:szCs w:val="24"/>
        </w:rPr>
        <w:t>17.6% and 22.4% in EVR group as compared to 10.8% and 14.9% in the standard CNI group experienced peripheral edema at 1-year (RR</w:t>
      </w:r>
      <w:r w:rsidR="00C844F8">
        <w:rPr>
          <w:rFonts w:ascii="Book Antiqua" w:hAnsi="Book Antiqua" w:cs="Times New Roman" w:hint="eastAsia"/>
          <w:bCs/>
          <w:color w:val="000000"/>
          <w:sz w:val="24"/>
          <w:szCs w:val="24"/>
        </w:rPr>
        <w:t xml:space="preserve"> </w:t>
      </w:r>
      <w:r w:rsidR="00B9335C" w:rsidRPr="006212FF">
        <w:rPr>
          <w:rFonts w:ascii="Book Antiqua" w:eastAsia="Times New Roman" w:hAnsi="Book Antiqua" w:cs="Times New Roman"/>
          <w:bCs/>
          <w:color w:val="000000"/>
          <w:sz w:val="24"/>
          <w:szCs w:val="24"/>
        </w:rPr>
        <w:t>=</w:t>
      </w:r>
      <w:r w:rsidR="00C844F8">
        <w:rPr>
          <w:rFonts w:ascii="Book Antiqua" w:hAnsi="Book Antiqua" w:cs="Times New Roman" w:hint="eastAsia"/>
          <w:bCs/>
          <w:color w:val="000000"/>
          <w:sz w:val="24"/>
          <w:szCs w:val="24"/>
        </w:rPr>
        <w:t xml:space="preserve"> </w:t>
      </w:r>
      <w:r w:rsidR="00B9335C" w:rsidRPr="006212FF">
        <w:rPr>
          <w:rFonts w:ascii="Book Antiqua" w:eastAsia="Times New Roman" w:hAnsi="Book Antiqua" w:cs="Times New Roman"/>
          <w:bCs/>
          <w:color w:val="000000"/>
          <w:sz w:val="24"/>
          <w:szCs w:val="24"/>
        </w:rPr>
        <w:t>1.63, 95%CI: 1.03, 2.56) and at 2-year</w:t>
      </w:r>
      <w:r w:rsidR="00A91F5E" w:rsidRPr="006212FF">
        <w:rPr>
          <w:rFonts w:ascii="Book Antiqua" w:eastAsia="Times New Roman" w:hAnsi="Book Antiqua" w:cs="Times New Roman"/>
          <w:bCs/>
          <w:color w:val="000000"/>
          <w:sz w:val="24"/>
          <w:szCs w:val="24"/>
        </w:rPr>
        <w:t xml:space="preserve"> </w:t>
      </w:r>
      <w:r w:rsidR="00B9335C" w:rsidRPr="006212FF">
        <w:rPr>
          <w:rFonts w:ascii="Book Antiqua" w:eastAsia="Times New Roman" w:hAnsi="Book Antiqua" w:cs="Times New Roman"/>
          <w:bCs/>
          <w:color w:val="000000"/>
          <w:sz w:val="24"/>
          <w:szCs w:val="24"/>
        </w:rPr>
        <w:t>(</w:t>
      </w:r>
      <w:r w:rsidR="00C844F8" w:rsidRPr="00C844F8">
        <w:rPr>
          <w:rFonts w:ascii="Book Antiqua" w:eastAsia="Times New Roman" w:hAnsi="Book Antiqua" w:cs="Times New Roman"/>
          <w:bCs/>
          <w:i/>
          <w:color w:val="000000"/>
          <w:sz w:val="24"/>
          <w:szCs w:val="24"/>
        </w:rPr>
        <w:t>P</w:t>
      </w:r>
      <w:r w:rsidR="00C844F8">
        <w:rPr>
          <w:rFonts w:ascii="Book Antiqua" w:hAnsi="Book Antiqua" w:cs="Times New Roman" w:hint="eastAsia"/>
          <w:bCs/>
          <w:color w:val="000000"/>
          <w:sz w:val="24"/>
          <w:szCs w:val="24"/>
        </w:rPr>
        <w:t xml:space="preserve"> </w:t>
      </w:r>
      <w:r w:rsidR="00C844F8" w:rsidRPr="006212FF">
        <w:rPr>
          <w:rFonts w:ascii="Book Antiqua" w:eastAsia="Times New Roman" w:hAnsi="Book Antiqua" w:cs="Times New Roman"/>
          <w:bCs/>
          <w:color w:val="000000"/>
          <w:sz w:val="24"/>
          <w:szCs w:val="24"/>
        </w:rPr>
        <w:t>=</w:t>
      </w:r>
      <w:r w:rsidR="00C844F8">
        <w:rPr>
          <w:rFonts w:ascii="Book Antiqua" w:hAnsi="Book Antiqua" w:cs="Times New Roman" w:hint="eastAsia"/>
          <w:bCs/>
          <w:color w:val="000000"/>
          <w:sz w:val="24"/>
          <w:szCs w:val="24"/>
        </w:rPr>
        <w:t xml:space="preserve"> </w:t>
      </w:r>
      <w:r w:rsidR="003344F6" w:rsidRPr="006212FF">
        <w:rPr>
          <w:rFonts w:ascii="Book Antiqua" w:eastAsia="Times New Roman" w:hAnsi="Book Antiqua" w:cs="Times New Roman"/>
          <w:bCs/>
          <w:color w:val="000000"/>
          <w:sz w:val="24"/>
          <w:szCs w:val="24"/>
        </w:rPr>
        <w:t xml:space="preserve">0.036) </w:t>
      </w:r>
      <w:r w:rsidR="00B9335C" w:rsidRPr="006212FF">
        <w:rPr>
          <w:rFonts w:ascii="Book Antiqua" w:eastAsia="Times New Roman" w:hAnsi="Book Antiqua" w:cs="Times New Roman"/>
          <w:bCs/>
          <w:color w:val="000000"/>
          <w:sz w:val="24"/>
          <w:szCs w:val="24"/>
        </w:rPr>
        <w:t>respectively</w:t>
      </w:r>
      <w:r w:rsidR="00C844F8">
        <w:rPr>
          <w:rFonts w:ascii="Book Antiqua" w:eastAsia="Times New Roman" w:hAnsi="Book Antiqua" w:cs="Times New Roman"/>
          <w:bCs/>
          <w:color w:val="000000"/>
          <w:sz w:val="24"/>
          <w:szCs w:val="24"/>
          <w:vertAlign w:val="superscript"/>
        </w:rPr>
        <w:t>[16,</w:t>
      </w:r>
      <w:r w:rsidR="0069217D" w:rsidRPr="006212FF">
        <w:rPr>
          <w:rFonts w:ascii="Book Antiqua" w:eastAsia="Times New Roman" w:hAnsi="Book Antiqua" w:cs="Times New Roman"/>
          <w:bCs/>
          <w:color w:val="000000"/>
          <w:sz w:val="24"/>
          <w:szCs w:val="24"/>
          <w:vertAlign w:val="superscript"/>
        </w:rPr>
        <w:t>17]</w:t>
      </w:r>
      <w:r w:rsidR="003344F6" w:rsidRPr="006212FF">
        <w:rPr>
          <w:rFonts w:ascii="Book Antiqua" w:eastAsia="Times New Roman" w:hAnsi="Book Antiqua" w:cs="Times New Roman"/>
          <w:bCs/>
          <w:color w:val="000000"/>
          <w:sz w:val="24"/>
          <w:szCs w:val="24"/>
        </w:rPr>
        <w:t>. Similar trend was observed in the</w:t>
      </w:r>
      <w:r w:rsidR="00A045A1" w:rsidRPr="006212FF">
        <w:rPr>
          <w:rFonts w:ascii="Book Antiqua" w:eastAsia="Times New Roman" w:hAnsi="Book Antiqua" w:cs="Times New Roman"/>
          <w:bCs/>
          <w:color w:val="000000"/>
          <w:sz w:val="24"/>
          <w:szCs w:val="24"/>
        </w:rPr>
        <w:t xml:space="preserve"> RESCUE</w:t>
      </w:r>
      <w:r w:rsidR="003344F6" w:rsidRPr="006212FF">
        <w:rPr>
          <w:rFonts w:ascii="Book Antiqua" w:eastAsia="Times New Roman" w:hAnsi="Book Antiqua" w:cs="Times New Roman"/>
          <w:bCs/>
          <w:color w:val="000000"/>
          <w:sz w:val="24"/>
          <w:szCs w:val="24"/>
        </w:rPr>
        <w:t xml:space="preserve"> study</w:t>
      </w:r>
      <w:r w:rsidR="00A045A1" w:rsidRPr="006212FF">
        <w:rPr>
          <w:rFonts w:ascii="Book Antiqua" w:eastAsia="Times New Roman" w:hAnsi="Book Antiqua" w:cs="Times New Roman"/>
          <w:bCs/>
          <w:color w:val="000000"/>
          <w:sz w:val="24"/>
          <w:szCs w:val="24"/>
        </w:rPr>
        <w:t xml:space="preserve">, </w:t>
      </w:r>
      <w:r w:rsidR="00D81EE1" w:rsidRPr="006212FF">
        <w:rPr>
          <w:rFonts w:ascii="Book Antiqua" w:eastAsia="Times New Roman" w:hAnsi="Book Antiqua" w:cs="Times New Roman"/>
          <w:bCs/>
          <w:color w:val="000000"/>
          <w:sz w:val="24"/>
          <w:szCs w:val="24"/>
        </w:rPr>
        <w:t xml:space="preserve">with the incidence of peripheral </w:t>
      </w:r>
      <w:proofErr w:type="spellStart"/>
      <w:r w:rsidR="00D81EE1" w:rsidRPr="006212FF">
        <w:rPr>
          <w:rFonts w:ascii="Book Antiqua" w:eastAsia="Times New Roman" w:hAnsi="Book Antiqua" w:cs="Times New Roman"/>
          <w:bCs/>
          <w:color w:val="000000"/>
          <w:sz w:val="24"/>
          <w:szCs w:val="24"/>
        </w:rPr>
        <w:t>oedema</w:t>
      </w:r>
      <w:proofErr w:type="spellEnd"/>
      <w:r w:rsidR="00D81EE1" w:rsidRPr="006212FF">
        <w:rPr>
          <w:rFonts w:ascii="Book Antiqua" w:eastAsia="Times New Roman" w:hAnsi="Book Antiqua" w:cs="Times New Roman"/>
          <w:bCs/>
          <w:color w:val="000000"/>
          <w:sz w:val="24"/>
          <w:szCs w:val="24"/>
        </w:rPr>
        <w:t xml:space="preserve"> </w:t>
      </w:r>
      <w:r w:rsidR="00A045A1" w:rsidRPr="006212FF">
        <w:rPr>
          <w:rFonts w:ascii="Book Antiqua" w:eastAsia="Times New Roman" w:hAnsi="Book Antiqua" w:cs="Times New Roman"/>
          <w:bCs/>
          <w:color w:val="000000"/>
          <w:sz w:val="24"/>
          <w:szCs w:val="24"/>
        </w:rPr>
        <w:t>5.6%</w:t>
      </w:r>
      <w:r w:rsidR="003344F6" w:rsidRPr="006212FF">
        <w:rPr>
          <w:rFonts w:ascii="Book Antiqua" w:eastAsia="Times New Roman" w:hAnsi="Book Antiqua" w:cs="Times New Roman"/>
          <w:bCs/>
          <w:color w:val="000000"/>
          <w:sz w:val="24"/>
          <w:szCs w:val="24"/>
        </w:rPr>
        <w:t xml:space="preserve"> in EVR group and</w:t>
      </w:r>
      <w:r w:rsidR="00A045A1" w:rsidRPr="006212FF">
        <w:rPr>
          <w:rFonts w:ascii="Book Antiqua" w:eastAsia="Times New Roman" w:hAnsi="Book Antiqua" w:cs="Times New Roman"/>
          <w:bCs/>
          <w:color w:val="000000"/>
          <w:sz w:val="24"/>
          <w:szCs w:val="24"/>
        </w:rPr>
        <w:t xml:space="preserve"> 1.4%</w:t>
      </w:r>
      <w:r w:rsidR="00C844F8">
        <w:rPr>
          <w:rFonts w:ascii="Book Antiqua" w:eastAsia="Times New Roman" w:hAnsi="Book Antiqua" w:cs="Times New Roman"/>
          <w:bCs/>
          <w:color w:val="000000"/>
          <w:sz w:val="24"/>
          <w:szCs w:val="24"/>
        </w:rPr>
        <w:t xml:space="preserve"> in the standard CNI </w:t>
      </w:r>
      <w:proofErr w:type="gramStart"/>
      <w:r w:rsidR="00C844F8">
        <w:rPr>
          <w:rFonts w:ascii="Book Antiqua" w:eastAsia="Times New Roman" w:hAnsi="Book Antiqua" w:cs="Times New Roman"/>
          <w:bCs/>
          <w:color w:val="000000"/>
          <w:sz w:val="24"/>
          <w:szCs w:val="24"/>
        </w:rPr>
        <w:t>group</w:t>
      </w:r>
      <w:r w:rsidR="0069217D" w:rsidRPr="006212FF">
        <w:rPr>
          <w:rFonts w:ascii="Book Antiqua" w:eastAsia="Times New Roman" w:hAnsi="Book Antiqua" w:cs="Times New Roman"/>
          <w:bCs/>
          <w:color w:val="000000"/>
          <w:sz w:val="24"/>
          <w:szCs w:val="24"/>
          <w:vertAlign w:val="superscript"/>
        </w:rPr>
        <w:t>[</w:t>
      </w:r>
      <w:proofErr w:type="gramEnd"/>
      <w:r w:rsidR="0069217D" w:rsidRPr="006212FF">
        <w:rPr>
          <w:rFonts w:ascii="Book Antiqua" w:eastAsia="Times New Roman" w:hAnsi="Book Antiqua" w:cs="Times New Roman"/>
          <w:bCs/>
          <w:color w:val="000000"/>
          <w:sz w:val="24"/>
          <w:szCs w:val="24"/>
          <w:vertAlign w:val="superscript"/>
        </w:rPr>
        <w:t>19]</w:t>
      </w:r>
      <w:r w:rsidR="00DD050C" w:rsidRPr="006212FF">
        <w:rPr>
          <w:rFonts w:ascii="Book Antiqua" w:eastAsia="Times New Roman" w:hAnsi="Book Antiqua" w:cs="Times New Roman"/>
          <w:bCs/>
          <w:color w:val="000000"/>
          <w:sz w:val="24"/>
          <w:szCs w:val="24"/>
        </w:rPr>
        <w:t xml:space="preserve">. </w:t>
      </w:r>
      <w:r w:rsidRPr="006212FF">
        <w:rPr>
          <w:rFonts w:ascii="Book Antiqua" w:eastAsia="Times New Roman" w:hAnsi="Book Antiqua" w:cs="Times New Roman"/>
          <w:bCs/>
          <w:color w:val="000000"/>
          <w:sz w:val="24"/>
          <w:szCs w:val="24"/>
        </w:rPr>
        <w:t xml:space="preserve">Nonetheless, peripheral edema was </w:t>
      </w:r>
      <w:r w:rsidR="00F900E3" w:rsidRPr="006212FF">
        <w:rPr>
          <w:rFonts w:ascii="Book Antiqua" w:eastAsia="Times New Roman" w:hAnsi="Book Antiqua" w:cs="Times New Roman"/>
          <w:bCs/>
          <w:color w:val="000000"/>
          <w:sz w:val="24"/>
          <w:szCs w:val="24"/>
        </w:rPr>
        <w:t xml:space="preserve">not </w:t>
      </w:r>
      <w:r w:rsidRPr="006212FF">
        <w:rPr>
          <w:rFonts w:ascii="Book Antiqua" w:eastAsia="Times New Roman" w:hAnsi="Book Antiqua" w:cs="Times New Roman"/>
          <w:bCs/>
          <w:color w:val="000000"/>
          <w:sz w:val="24"/>
          <w:szCs w:val="24"/>
        </w:rPr>
        <w:t>reported</w:t>
      </w:r>
      <w:r w:rsidR="00F900E3" w:rsidRPr="006212FF">
        <w:rPr>
          <w:rFonts w:ascii="Book Antiqua" w:eastAsia="Times New Roman" w:hAnsi="Book Antiqua" w:cs="Times New Roman"/>
          <w:bCs/>
          <w:color w:val="000000"/>
          <w:sz w:val="24"/>
          <w:szCs w:val="24"/>
        </w:rPr>
        <w:t xml:space="preserve"> as one of the adverse effects that led to drug discontinuation</w:t>
      </w:r>
      <w:r w:rsidRPr="006212FF">
        <w:rPr>
          <w:rFonts w:ascii="Book Antiqua" w:eastAsia="Times New Roman" w:hAnsi="Book Antiqua" w:cs="Times New Roman"/>
          <w:bCs/>
          <w:color w:val="000000"/>
          <w:sz w:val="24"/>
          <w:szCs w:val="24"/>
        </w:rPr>
        <w:t xml:space="preserve"> in all above studies.</w:t>
      </w:r>
    </w:p>
    <w:p w14:paraId="5431AF39" w14:textId="77777777" w:rsidR="00F02C47" w:rsidRPr="006212FF" w:rsidRDefault="00F02C47" w:rsidP="006212FF">
      <w:pPr>
        <w:spacing w:after="0" w:line="360" w:lineRule="auto"/>
        <w:jc w:val="both"/>
        <w:rPr>
          <w:rFonts w:ascii="Book Antiqua" w:eastAsia="Times New Roman" w:hAnsi="Book Antiqua" w:cs="Times New Roman"/>
          <w:bCs/>
          <w:color w:val="000000"/>
          <w:sz w:val="24"/>
          <w:szCs w:val="24"/>
        </w:rPr>
      </w:pPr>
    </w:p>
    <w:p w14:paraId="111BF05B" w14:textId="6EF86ABA" w:rsidR="004D056E" w:rsidRPr="00C844F8" w:rsidRDefault="004D056E" w:rsidP="006212FF">
      <w:pPr>
        <w:spacing w:after="0" w:line="360" w:lineRule="auto"/>
        <w:jc w:val="both"/>
        <w:rPr>
          <w:rFonts w:ascii="Book Antiqua" w:eastAsia="Times New Roman" w:hAnsi="Book Antiqua" w:cs="Times New Roman"/>
          <w:b/>
          <w:bCs/>
          <w:i/>
          <w:color w:val="000000"/>
          <w:sz w:val="24"/>
          <w:szCs w:val="24"/>
        </w:rPr>
      </w:pPr>
      <w:r w:rsidRPr="00C844F8">
        <w:rPr>
          <w:rFonts w:ascii="Book Antiqua" w:eastAsia="Times New Roman" w:hAnsi="Book Antiqua" w:cs="Times New Roman"/>
          <w:b/>
          <w:bCs/>
          <w:i/>
          <w:color w:val="000000"/>
          <w:sz w:val="24"/>
          <w:szCs w:val="24"/>
        </w:rPr>
        <w:t>Proteinuria</w:t>
      </w:r>
    </w:p>
    <w:p w14:paraId="77E093F2" w14:textId="22A65944" w:rsidR="004D056E" w:rsidRPr="006212FF" w:rsidRDefault="00A359CC" w:rsidP="006212FF">
      <w:pPr>
        <w:spacing w:after="0" w:line="360" w:lineRule="auto"/>
        <w:jc w:val="both"/>
        <w:rPr>
          <w:rFonts w:ascii="Book Antiqua" w:eastAsia="Times New Roman" w:hAnsi="Book Antiqua" w:cs="Times New Roman"/>
          <w:bCs/>
          <w:color w:val="000000"/>
          <w:sz w:val="24"/>
          <w:szCs w:val="24"/>
        </w:rPr>
      </w:pPr>
      <w:r w:rsidRPr="006212FF">
        <w:rPr>
          <w:rFonts w:ascii="Book Antiqua" w:eastAsia="Times New Roman" w:hAnsi="Book Antiqua" w:cs="Times New Roman"/>
          <w:bCs/>
          <w:color w:val="000000"/>
          <w:sz w:val="24"/>
          <w:szCs w:val="24"/>
        </w:rPr>
        <w:t xml:space="preserve">It is unclear how </w:t>
      </w:r>
      <w:proofErr w:type="spellStart"/>
      <w:r w:rsidRPr="006212FF">
        <w:rPr>
          <w:rFonts w:ascii="Book Antiqua" w:eastAsia="Times New Roman" w:hAnsi="Book Antiqua" w:cs="Times New Roman"/>
          <w:bCs/>
          <w:color w:val="000000"/>
          <w:sz w:val="24"/>
          <w:szCs w:val="24"/>
        </w:rPr>
        <w:t>mTOR</w:t>
      </w:r>
      <w:proofErr w:type="spellEnd"/>
      <w:r w:rsidRPr="006212FF">
        <w:rPr>
          <w:rFonts w:ascii="Book Antiqua" w:eastAsia="Times New Roman" w:hAnsi="Book Antiqua" w:cs="Times New Roman"/>
          <w:bCs/>
          <w:color w:val="000000"/>
          <w:sz w:val="24"/>
          <w:szCs w:val="24"/>
        </w:rPr>
        <w:t xml:space="preserve"> inhibitors influence glomerulus per</w:t>
      </w:r>
      <w:r w:rsidR="00140085">
        <w:rPr>
          <w:rFonts w:ascii="Book Antiqua" w:eastAsia="Times New Roman" w:hAnsi="Book Antiqua" w:cs="Times New Roman"/>
          <w:bCs/>
          <w:color w:val="000000"/>
          <w:sz w:val="24"/>
          <w:szCs w:val="24"/>
        </w:rPr>
        <w:t xml:space="preserve">meability and cause </w:t>
      </w:r>
      <w:proofErr w:type="gramStart"/>
      <w:r w:rsidR="00140085">
        <w:rPr>
          <w:rFonts w:ascii="Book Antiqua" w:eastAsia="Times New Roman" w:hAnsi="Book Antiqua" w:cs="Times New Roman"/>
          <w:bCs/>
          <w:color w:val="000000"/>
          <w:sz w:val="24"/>
          <w:szCs w:val="24"/>
        </w:rPr>
        <w:t>proteinuria</w:t>
      </w:r>
      <w:r w:rsidR="0069217D" w:rsidRPr="006212FF">
        <w:rPr>
          <w:rFonts w:ascii="Book Antiqua" w:eastAsia="Times New Roman" w:hAnsi="Book Antiqua" w:cs="Times New Roman"/>
          <w:bCs/>
          <w:color w:val="000000"/>
          <w:sz w:val="24"/>
          <w:szCs w:val="24"/>
          <w:vertAlign w:val="superscript"/>
        </w:rPr>
        <w:t>[</w:t>
      </w:r>
      <w:proofErr w:type="gramEnd"/>
      <w:r w:rsidR="0069217D" w:rsidRPr="006212FF">
        <w:rPr>
          <w:rFonts w:ascii="Book Antiqua" w:eastAsia="Times New Roman" w:hAnsi="Book Antiqua" w:cs="Times New Roman"/>
          <w:bCs/>
          <w:color w:val="000000"/>
          <w:sz w:val="24"/>
          <w:szCs w:val="24"/>
          <w:vertAlign w:val="superscript"/>
        </w:rPr>
        <w:t>41]</w:t>
      </w:r>
      <w:r w:rsidRPr="006212FF">
        <w:rPr>
          <w:rFonts w:ascii="Book Antiqua" w:eastAsia="Times New Roman" w:hAnsi="Book Antiqua" w:cs="Times New Roman"/>
          <w:bCs/>
          <w:color w:val="000000"/>
          <w:sz w:val="24"/>
          <w:szCs w:val="24"/>
        </w:rPr>
        <w:t xml:space="preserve">. </w:t>
      </w:r>
      <w:r w:rsidR="005706C2" w:rsidRPr="006212FF">
        <w:rPr>
          <w:rFonts w:ascii="Book Antiqua" w:eastAsia="Times New Roman" w:hAnsi="Book Antiqua" w:cs="Times New Roman"/>
          <w:bCs/>
          <w:color w:val="000000"/>
          <w:sz w:val="24"/>
          <w:szCs w:val="24"/>
        </w:rPr>
        <w:t>Nonetheless, as proteinuria is an indicator of kidney injury and strong predicator for cardiovascular</w:t>
      </w:r>
      <w:r w:rsidR="00833952" w:rsidRPr="006212FF">
        <w:rPr>
          <w:rFonts w:ascii="Book Antiqua" w:eastAsia="Times New Roman" w:hAnsi="Book Antiqua" w:cs="Times New Roman"/>
          <w:bCs/>
          <w:color w:val="000000"/>
          <w:sz w:val="24"/>
          <w:szCs w:val="24"/>
        </w:rPr>
        <w:t xml:space="preserve"> events</w:t>
      </w:r>
      <w:r w:rsidR="005706C2" w:rsidRPr="006212FF">
        <w:rPr>
          <w:rFonts w:ascii="Book Antiqua" w:eastAsia="Times New Roman" w:hAnsi="Book Antiqua" w:cs="Times New Roman"/>
          <w:bCs/>
          <w:color w:val="000000"/>
          <w:sz w:val="24"/>
          <w:szCs w:val="24"/>
        </w:rPr>
        <w:t xml:space="preserve">, this adverse effect </w:t>
      </w:r>
      <w:r w:rsidR="00833952" w:rsidRPr="006212FF">
        <w:rPr>
          <w:rFonts w:ascii="Book Antiqua" w:eastAsia="Times New Roman" w:hAnsi="Book Antiqua" w:cs="Times New Roman"/>
          <w:bCs/>
          <w:color w:val="000000"/>
          <w:sz w:val="24"/>
          <w:szCs w:val="24"/>
        </w:rPr>
        <w:t>warrants clinical attention</w:t>
      </w:r>
      <w:r w:rsidR="005706C2" w:rsidRPr="006212FF">
        <w:rPr>
          <w:rFonts w:ascii="Book Antiqua" w:eastAsia="Times New Roman" w:hAnsi="Book Antiqua" w:cs="Times New Roman"/>
          <w:bCs/>
          <w:color w:val="000000"/>
          <w:sz w:val="24"/>
          <w:szCs w:val="24"/>
        </w:rPr>
        <w:t>. P</w:t>
      </w:r>
      <w:r w:rsidR="004D056E" w:rsidRPr="006212FF">
        <w:rPr>
          <w:rFonts w:ascii="Book Antiqua" w:eastAsia="Times New Roman" w:hAnsi="Book Antiqua" w:cs="Times New Roman"/>
          <w:bCs/>
          <w:color w:val="000000"/>
          <w:sz w:val="24"/>
          <w:szCs w:val="24"/>
        </w:rPr>
        <w:t xml:space="preserve">atients with </w:t>
      </w:r>
      <w:r w:rsidR="004D056E" w:rsidRPr="006212FF">
        <w:rPr>
          <w:rFonts w:ascii="Book Antiqua" w:hAnsi="Book Antiqua"/>
          <w:sz w:val="24"/>
          <w:szCs w:val="24"/>
        </w:rPr>
        <w:t>proteinuria (≥ 1</w:t>
      </w:r>
      <w:r w:rsidR="00140085">
        <w:rPr>
          <w:rFonts w:ascii="Book Antiqua" w:hAnsi="Book Antiqua" w:hint="eastAsia"/>
          <w:sz w:val="24"/>
          <w:szCs w:val="24"/>
        </w:rPr>
        <w:t xml:space="preserve"> </w:t>
      </w:r>
      <w:r w:rsidR="004D056E" w:rsidRPr="006212FF">
        <w:rPr>
          <w:rFonts w:ascii="Book Antiqua" w:hAnsi="Book Antiqua"/>
          <w:sz w:val="24"/>
          <w:szCs w:val="24"/>
        </w:rPr>
        <w:t>g/24</w:t>
      </w:r>
      <w:r w:rsidR="00140085">
        <w:rPr>
          <w:rFonts w:ascii="Book Antiqua" w:hAnsi="Book Antiqua" w:hint="eastAsia"/>
          <w:sz w:val="24"/>
          <w:szCs w:val="24"/>
        </w:rPr>
        <w:t xml:space="preserve"> </w:t>
      </w:r>
      <w:r w:rsidR="004D056E" w:rsidRPr="006212FF">
        <w:rPr>
          <w:rFonts w:ascii="Book Antiqua" w:hAnsi="Book Antiqua"/>
          <w:sz w:val="24"/>
          <w:szCs w:val="24"/>
        </w:rPr>
        <w:t>h) were exc</w:t>
      </w:r>
      <w:r w:rsidR="00140085">
        <w:rPr>
          <w:rFonts w:ascii="Book Antiqua" w:hAnsi="Book Antiqua"/>
          <w:sz w:val="24"/>
          <w:szCs w:val="24"/>
        </w:rPr>
        <w:t xml:space="preserve">luded in H2304 and RESCUE </w:t>
      </w:r>
      <w:proofErr w:type="gramStart"/>
      <w:r w:rsidR="00140085">
        <w:rPr>
          <w:rFonts w:ascii="Book Antiqua" w:hAnsi="Book Antiqua"/>
          <w:sz w:val="24"/>
          <w:szCs w:val="24"/>
        </w:rPr>
        <w:t>study</w:t>
      </w:r>
      <w:r w:rsidR="00140085">
        <w:rPr>
          <w:rFonts w:ascii="Book Antiqua" w:hAnsi="Book Antiqua"/>
          <w:sz w:val="24"/>
          <w:szCs w:val="24"/>
          <w:vertAlign w:val="superscript"/>
        </w:rPr>
        <w:t>[</w:t>
      </w:r>
      <w:proofErr w:type="gramEnd"/>
      <w:r w:rsidR="00140085">
        <w:rPr>
          <w:rFonts w:ascii="Book Antiqua" w:hAnsi="Book Antiqua"/>
          <w:sz w:val="24"/>
          <w:szCs w:val="24"/>
          <w:vertAlign w:val="superscript"/>
        </w:rPr>
        <w:t>15,</w:t>
      </w:r>
      <w:r w:rsidR="0069217D" w:rsidRPr="006212FF">
        <w:rPr>
          <w:rFonts w:ascii="Book Antiqua" w:hAnsi="Book Antiqua"/>
          <w:sz w:val="24"/>
          <w:szCs w:val="24"/>
          <w:vertAlign w:val="superscript"/>
        </w:rPr>
        <w:t>18]</w:t>
      </w:r>
      <w:r w:rsidR="004D056E" w:rsidRPr="006212FF">
        <w:rPr>
          <w:rFonts w:ascii="Book Antiqua" w:hAnsi="Book Antiqua"/>
          <w:sz w:val="24"/>
          <w:szCs w:val="24"/>
        </w:rPr>
        <w:t xml:space="preserve">. At the end of 1 year of H2304 study, 2.9% in EVR group </w:t>
      </w:r>
      <w:r w:rsidR="00833952" w:rsidRPr="006212FF">
        <w:rPr>
          <w:rFonts w:ascii="Book Antiqua" w:hAnsi="Book Antiqua"/>
          <w:sz w:val="24"/>
          <w:szCs w:val="24"/>
        </w:rPr>
        <w:t>developed</w:t>
      </w:r>
      <w:r w:rsidR="004D056E" w:rsidRPr="006212FF">
        <w:rPr>
          <w:rFonts w:ascii="Book Antiqua" w:hAnsi="Book Antiqua"/>
          <w:sz w:val="24"/>
          <w:szCs w:val="24"/>
        </w:rPr>
        <w:t xml:space="preserve"> proteinuria as compared to 0.4% in standard CNI group (</w:t>
      </w:r>
      <w:r w:rsidR="00140085">
        <w:rPr>
          <w:rFonts w:ascii="Book Antiqua" w:hAnsi="Book Antiqua"/>
          <w:sz w:val="24"/>
          <w:szCs w:val="24"/>
        </w:rPr>
        <w:t>RR</w:t>
      </w:r>
      <w:r w:rsidR="00140085">
        <w:rPr>
          <w:rFonts w:ascii="Book Antiqua" w:hAnsi="Book Antiqua" w:hint="eastAsia"/>
          <w:sz w:val="24"/>
          <w:szCs w:val="24"/>
        </w:rPr>
        <w:t xml:space="preserve"> </w:t>
      </w:r>
      <w:r w:rsidR="00140085">
        <w:rPr>
          <w:rFonts w:ascii="Book Antiqua" w:hAnsi="Book Antiqua"/>
          <w:sz w:val="24"/>
          <w:szCs w:val="24"/>
        </w:rPr>
        <w:t>=</w:t>
      </w:r>
      <w:r w:rsidR="00140085">
        <w:rPr>
          <w:rFonts w:ascii="Book Antiqua" w:hAnsi="Book Antiqua" w:hint="eastAsia"/>
          <w:sz w:val="24"/>
          <w:szCs w:val="24"/>
        </w:rPr>
        <w:t xml:space="preserve"> </w:t>
      </w:r>
      <w:r w:rsidR="00140085">
        <w:rPr>
          <w:rFonts w:ascii="Book Antiqua" w:hAnsi="Book Antiqua"/>
          <w:sz w:val="24"/>
          <w:szCs w:val="24"/>
        </w:rPr>
        <w:t>6.89, 95%</w:t>
      </w:r>
      <w:r w:rsidR="00E62C8F" w:rsidRPr="006212FF">
        <w:rPr>
          <w:rFonts w:ascii="Book Antiqua" w:hAnsi="Book Antiqua"/>
          <w:sz w:val="24"/>
          <w:szCs w:val="24"/>
        </w:rPr>
        <w:t>CI: 0.85, 55.54)</w:t>
      </w:r>
      <w:r w:rsidR="007D6096" w:rsidRPr="006212FF">
        <w:rPr>
          <w:rFonts w:ascii="Book Antiqua" w:hAnsi="Book Antiqua"/>
          <w:sz w:val="24"/>
          <w:szCs w:val="24"/>
          <w:vertAlign w:val="superscript"/>
        </w:rPr>
        <w:t>[16]</w:t>
      </w:r>
      <w:r w:rsidR="004D056E" w:rsidRPr="006212FF">
        <w:rPr>
          <w:rFonts w:ascii="Book Antiqua" w:hAnsi="Book Antiqua"/>
          <w:sz w:val="24"/>
          <w:szCs w:val="24"/>
        </w:rPr>
        <w:t xml:space="preserve">. In the subsequent follow up year, proteinuria was the most frequent adverse event that resulting in discontinuation of EVR (3.3%) in contrast </w:t>
      </w:r>
      <w:r w:rsidR="006C5011">
        <w:rPr>
          <w:rFonts w:ascii="Book Antiqua" w:hAnsi="Book Antiqua"/>
          <w:sz w:val="24"/>
          <w:szCs w:val="24"/>
        </w:rPr>
        <w:t>to standard CNI group (0.4%)</w:t>
      </w:r>
      <w:r w:rsidR="007D6096" w:rsidRPr="006212FF">
        <w:rPr>
          <w:rFonts w:ascii="Book Antiqua" w:hAnsi="Book Antiqua"/>
          <w:sz w:val="24"/>
          <w:szCs w:val="24"/>
          <w:vertAlign w:val="superscript"/>
        </w:rPr>
        <w:t>[17]</w:t>
      </w:r>
      <w:r w:rsidR="004D056E" w:rsidRPr="006212FF">
        <w:rPr>
          <w:rFonts w:ascii="Book Antiqua" w:hAnsi="Book Antiqua"/>
          <w:sz w:val="24"/>
          <w:szCs w:val="24"/>
        </w:rPr>
        <w:t xml:space="preserve">. In </w:t>
      </w:r>
      <w:r w:rsidR="00833952" w:rsidRPr="006212FF">
        <w:rPr>
          <w:rFonts w:ascii="Book Antiqua" w:hAnsi="Book Antiqua"/>
          <w:sz w:val="24"/>
          <w:szCs w:val="24"/>
        </w:rPr>
        <w:t xml:space="preserve">the </w:t>
      </w:r>
      <w:r w:rsidR="004D056E" w:rsidRPr="006212FF">
        <w:rPr>
          <w:rFonts w:ascii="Book Antiqua" w:hAnsi="Book Antiqua"/>
          <w:sz w:val="24"/>
          <w:szCs w:val="24"/>
        </w:rPr>
        <w:t>RESCUE study, 2 out of 16 patients requir</w:t>
      </w:r>
      <w:r w:rsidR="00833952" w:rsidRPr="006212FF">
        <w:rPr>
          <w:rFonts w:ascii="Book Antiqua" w:hAnsi="Book Antiqua"/>
          <w:sz w:val="24"/>
          <w:szCs w:val="24"/>
        </w:rPr>
        <w:t>ed</w:t>
      </w:r>
      <w:r w:rsidR="004D056E" w:rsidRPr="006212FF">
        <w:rPr>
          <w:rFonts w:ascii="Book Antiqua" w:hAnsi="Book Antiqua"/>
          <w:sz w:val="24"/>
          <w:szCs w:val="24"/>
        </w:rPr>
        <w:t xml:space="preserve"> discontinuation of EVR due to proteinuria</w:t>
      </w:r>
      <w:r w:rsidR="00833952" w:rsidRPr="006212FF">
        <w:rPr>
          <w:rFonts w:ascii="Book Antiqua" w:hAnsi="Book Antiqua"/>
          <w:sz w:val="24"/>
          <w:szCs w:val="24"/>
        </w:rPr>
        <w:t>,</w:t>
      </w:r>
      <w:r w:rsidR="004D056E" w:rsidRPr="006212FF">
        <w:rPr>
          <w:rFonts w:ascii="Book Antiqua" w:hAnsi="Book Antiqua"/>
          <w:sz w:val="24"/>
          <w:szCs w:val="24"/>
        </w:rPr>
        <w:t xml:space="preserve"> while no patients </w:t>
      </w:r>
      <w:r w:rsidR="00833952" w:rsidRPr="006212FF">
        <w:rPr>
          <w:rFonts w:ascii="Book Antiqua" w:hAnsi="Book Antiqua"/>
          <w:sz w:val="24"/>
          <w:szCs w:val="24"/>
        </w:rPr>
        <w:t xml:space="preserve">required </w:t>
      </w:r>
      <w:r w:rsidR="004D056E" w:rsidRPr="006212FF">
        <w:rPr>
          <w:rFonts w:ascii="Book Antiqua" w:hAnsi="Book Antiqua"/>
          <w:sz w:val="24"/>
          <w:szCs w:val="24"/>
        </w:rPr>
        <w:t>drug discontin</w:t>
      </w:r>
      <w:r w:rsidR="00E62C8F" w:rsidRPr="006212FF">
        <w:rPr>
          <w:rFonts w:ascii="Book Antiqua" w:hAnsi="Book Antiqua"/>
          <w:sz w:val="24"/>
          <w:szCs w:val="24"/>
        </w:rPr>
        <w:t xml:space="preserve">uation in </w:t>
      </w:r>
      <w:r w:rsidR="00833952" w:rsidRPr="006212FF">
        <w:rPr>
          <w:rFonts w:ascii="Book Antiqua" w:hAnsi="Book Antiqua"/>
          <w:sz w:val="24"/>
          <w:szCs w:val="24"/>
        </w:rPr>
        <w:t xml:space="preserve">the </w:t>
      </w:r>
      <w:r w:rsidR="00E62C8F" w:rsidRPr="006212FF">
        <w:rPr>
          <w:rFonts w:ascii="Book Antiqua" w:hAnsi="Book Antiqua"/>
          <w:sz w:val="24"/>
          <w:szCs w:val="24"/>
        </w:rPr>
        <w:t>standard CNI group</w:t>
      </w:r>
      <w:r w:rsidR="00833952" w:rsidRPr="006212FF">
        <w:rPr>
          <w:rFonts w:ascii="Book Antiqua" w:hAnsi="Book Antiqua"/>
          <w:sz w:val="24"/>
          <w:szCs w:val="24"/>
        </w:rPr>
        <w:t xml:space="preserve"> for the same </w:t>
      </w:r>
      <w:proofErr w:type="gramStart"/>
      <w:r w:rsidR="00833952" w:rsidRPr="006212FF">
        <w:rPr>
          <w:rFonts w:ascii="Book Antiqua" w:hAnsi="Book Antiqua"/>
          <w:sz w:val="24"/>
          <w:szCs w:val="24"/>
        </w:rPr>
        <w:t>reason</w:t>
      </w:r>
      <w:r w:rsidR="007D6096" w:rsidRPr="006212FF">
        <w:rPr>
          <w:rFonts w:ascii="Book Antiqua" w:hAnsi="Book Antiqua"/>
          <w:sz w:val="24"/>
          <w:szCs w:val="24"/>
          <w:vertAlign w:val="superscript"/>
        </w:rPr>
        <w:t>[</w:t>
      </w:r>
      <w:proofErr w:type="gramEnd"/>
      <w:r w:rsidR="007D6096" w:rsidRPr="006212FF">
        <w:rPr>
          <w:rFonts w:ascii="Book Antiqua" w:hAnsi="Book Antiqua"/>
          <w:sz w:val="24"/>
          <w:szCs w:val="24"/>
          <w:vertAlign w:val="superscript"/>
        </w:rPr>
        <w:t>19]</w:t>
      </w:r>
      <w:r w:rsidR="004D056E" w:rsidRPr="006212FF">
        <w:rPr>
          <w:rFonts w:ascii="Book Antiqua" w:hAnsi="Book Antiqua"/>
          <w:sz w:val="24"/>
          <w:szCs w:val="24"/>
        </w:rPr>
        <w:t>. Similarly, incidence of proteinu</w:t>
      </w:r>
      <w:r w:rsidR="00830CB4" w:rsidRPr="006212FF">
        <w:rPr>
          <w:rFonts w:ascii="Book Antiqua" w:hAnsi="Book Antiqua"/>
          <w:sz w:val="24"/>
          <w:szCs w:val="24"/>
        </w:rPr>
        <w:t>ria was significantly higher in EVR group (9.9</w:t>
      </w:r>
      <w:r w:rsidR="004D056E" w:rsidRPr="006212FF">
        <w:rPr>
          <w:rFonts w:ascii="Book Antiqua" w:hAnsi="Book Antiqua"/>
          <w:sz w:val="24"/>
          <w:szCs w:val="24"/>
        </w:rPr>
        <w:t xml:space="preserve">%) as compared to </w:t>
      </w:r>
      <w:r w:rsidR="00830CB4" w:rsidRPr="006212FF">
        <w:rPr>
          <w:rFonts w:ascii="Book Antiqua" w:hAnsi="Book Antiqua"/>
          <w:sz w:val="24"/>
          <w:szCs w:val="24"/>
        </w:rPr>
        <w:t>the</w:t>
      </w:r>
      <w:r w:rsidR="004D056E" w:rsidRPr="006212FF">
        <w:rPr>
          <w:rFonts w:ascii="Book Antiqua" w:hAnsi="Book Antiqua"/>
          <w:sz w:val="24"/>
          <w:szCs w:val="24"/>
        </w:rPr>
        <w:t xml:space="preserve"> standard CNI group</w:t>
      </w:r>
      <w:r w:rsidR="00830CB4" w:rsidRPr="006212FF">
        <w:rPr>
          <w:rFonts w:ascii="Book Antiqua" w:hAnsi="Book Antiqua"/>
          <w:sz w:val="24"/>
          <w:szCs w:val="24"/>
        </w:rPr>
        <w:t xml:space="preserve"> (2.0%)</w:t>
      </w:r>
      <w:r w:rsidR="004D056E" w:rsidRPr="006212FF">
        <w:rPr>
          <w:rFonts w:ascii="Book Antiqua" w:hAnsi="Book Antiqua"/>
          <w:sz w:val="24"/>
          <w:szCs w:val="24"/>
        </w:rPr>
        <w:t xml:space="preserve"> at month 11</w:t>
      </w:r>
      <w:r w:rsidR="00830CB4" w:rsidRPr="006212FF">
        <w:rPr>
          <w:rFonts w:ascii="Book Antiqua" w:hAnsi="Book Antiqua"/>
          <w:sz w:val="24"/>
          <w:szCs w:val="24"/>
        </w:rPr>
        <w:t xml:space="preserve"> in the PROTECT study</w:t>
      </w:r>
      <w:r w:rsidR="006C5011" w:rsidRPr="006C5011">
        <w:rPr>
          <w:rFonts w:ascii="Book Antiqua" w:hAnsi="Book Antiqua" w:hint="eastAsia"/>
          <w:sz w:val="24"/>
          <w:szCs w:val="24"/>
          <w:vertAlign w:val="superscript"/>
        </w:rPr>
        <w:t>[</w:t>
      </w:r>
      <w:r w:rsidR="00830CB4" w:rsidRPr="006C5011">
        <w:rPr>
          <w:rFonts w:ascii="Book Antiqua" w:hAnsi="Book Antiqua"/>
          <w:sz w:val="24"/>
          <w:szCs w:val="24"/>
          <w:vertAlign w:val="superscript"/>
        </w:rPr>
        <w:t>13</w:t>
      </w:r>
      <w:r w:rsidR="006C5011" w:rsidRPr="006C5011">
        <w:rPr>
          <w:rFonts w:ascii="Book Antiqua" w:hAnsi="Book Antiqua" w:hint="eastAsia"/>
          <w:sz w:val="24"/>
          <w:szCs w:val="24"/>
          <w:vertAlign w:val="superscript"/>
        </w:rPr>
        <w:t>]</w:t>
      </w:r>
      <w:r w:rsidR="00830CB4" w:rsidRPr="006212FF">
        <w:rPr>
          <w:rFonts w:ascii="Book Antiqua" w:hAnsi="Book Antiqua"/>
          <w:sz w:val="24"/>
          <w:szCs w:val="24"/>
        </w:rPr>
        <w:t xml:space="preserve">. A similar trend in their extension study up to </w:t>
      </w:r>
      <w:r w:rsidR="004D056E" w:rsidRPr="006212FF">
        <w:rPr>
          <w:rFonts w:ascii="Book Antiqua" w:hAnsi="Book Antiqua"/>
          <w:sz w:val="24"/>
          <w:szCs w:val="24"/>
        </w:rPr>
        <w:t xml:space="preserve">month 59 </w:t>
      </w:r>
      <w:r w:rsidR="00830CB4" w:rsidRPr="006212FF">
        <w:rPr>
          <w:rFonts w:ascii="Book Antiqua" w:hAnsi="Book Antiqua"/>
          <w:sz w:val="24"/>
          <w:szCs w:val="24"/>
        </w:rPr>
        <w:t xml:space="preserve">was seen, albeit without statistical </w:t>
      </w:r>
      <w:proofErr w:type="gramStart"/>
      <w:r w:rsidR="00830CB4" w:rsidRPr="006212FF">
        <w:rPr>
          <w:rFonts w:ascii="Book Antiqua" w:hAnsi="Book Antiqua"/>
          <w:sz w:val="24"/>
          <w:szCs w:val="24"/>
        </w:rPr>
        <w:t>difference</w:t>
      </w:r>
      <w:r w:rsidR="007D6096" w:rsidRPr="006212FF">
        <w:rPr>
          <w:rFonts w:ascii="Book Antiqua" w:hAnsi="Book Antiqua"/>
          <w:sz w:val="24"/>
          <w:szCs w:val="24"/>
          <w:vertAlign w:val="superscript"/>
        </w:rPr>
        <w:t>[</w:t>
      </w:r>
      <w:proofErr w:type="gramEnd"/>
      <w:r w:rsidR="007D6096" w:rsidRPr="006212FF">
        <w:rPr>
          <w:rFonts w:ascii="Book Antiqua" w:hAnsi="Book Antiqua"/>
          <w:sz w:val="24"/>
          <w:szCs w:val="24"/>
          <w:vertAlign w:val="superscript"/>
        </w:rPr>
        <w:t>15]</w:t>
      </w:r>
      <w:r w:rsidR="004D056E" w:rsidRPr="006212FF">
        <w:rPr>
          <w:rFonts w:ascii="Book Antiqua" w:hAnsi="Book Antiqua"/>
          <w:sz w:val="24"/>
          <w:szCs w:val="24"/>
        </w:rPr>
        <w:t>.</w:t>
      </w:r>
      <w:r w:rsidR="004D056E" w:rsidRPr="006212FF">
        <w:rPr>
          <w:rFonts w:ascii="Book Antiqua" w:eastAsia="Times New Roman" w:hAnsi="Book Antiqua" w:cs="Times New Roman"/>
          <w:bCs/>
          <w:color w:val="000000"/>
          <w:sz w:val="24"/>
          <w:szCs w:val="24"/>
        </w:rPr>
        <w:t xml:space="preserve"> </w:t>
      </w:r>
    </w:p>
    <w:p w14:paraId="7D98904A" w14:textId="4BCD0C7F" w:rsidR="00574838" w:rsidRPr="006212FF" w:rsidRDefault="00574838" w:rsidP="006C5011">
      <w:pPr>
        <w:spacing w:after="0" w:line="360" w:lineRule="auto"/>
        <w:ind w:firstLineChars="100" w:firstLine="240"/>
        <w:jc w:val="both"/>
        <w:rPr>
          <w:rFonts w:ascii="Book Antiqua" w:hAnsi="Book Antiqua"/>
          <w:sz w:val="24"/>
          <w:szCs w:val="24"/>
        </w:rPr>
      </w:pPr>
      <w:r w:rsidRPr="006212FF">
        <w:rPr>
          <w:rFonts w:ascii="Book Antiqua" w:eastAsia="Times New Roman" w:hAnsi="Book Antiqua" w:cs="Times New Roman"/>
          <w:bCs/>
          <w:color w:val="000000"/>
          <w:sz w:val="24"/>
          <w:szCs w:val="24"/>
        </w:rPr>
        <w:lastRenderedPageBreak/>
        <w:t>The characteristic and long</w:t>
      </w:r>
      <w:r w:rsidR="00833952" w:rsidRPr="006212FF">
        <w:rPr>
          <w:rFonts w:ascii="Book Antiqua" w:eastAsia="Times New Roman" w:hAnsi="Book Antiqua" w:cs="Times New Roman"/>
          <w:bCs/>
          <w:color w:val="000000"/>
          <w:sz w:val="24"/>
          <w:szCs w:val="24"/>
        </w:rPr>
        <w:t>-</w:t>
      </w:r>
      <w:r w:rsidRPr="006212FF">
        <w:rPr>
          <w:rFonts w:ascii="Book Antiqua" w:eastAsia="Times New Roman" w:hAnsi="Book Antiqua" w:cs="Times New Roman"/>
          <w:bCs/>
          <w:color w:val="000000"/>
          <w:sz w:val="24"/>
          <w:szCs w:val="24"/>
        </w:rPr>
        <w:t xml:space="preserve">term outcomes of patients experiencing proteinuria, which could </w:t>
      </w:r>
      <w:r w:rsidR="00E77317" w:rsidRPr="006212FF">
        <w:rPr>
          <w:rFonts w:ascii="Book Antiqua" w:eastAsia="Times New Roman" w:hAnsi="Book Antiqua" w:cs="Times New Roman"/>
          <w:bCs/>
          <w:color w:val="000000"/>
          <w:sz w:val="24"/>
          <w:szCs w:val="24"/>
        </w:rPr>
        <w:t xml:space="preserve">possibly </w:t>
      </w:r>
      <w:r w:rsidRPr="006212FF">
        <w:rPr>
          <w:rFonts w:ascii="Book Antiqua" w:eastAsia="Times New Roman" w:hAnsi="Book Antiqua" w:cs="Times New Roman"/>
          <w:bCs/>
          <w:color w:val="000000"/>
          <w:sz w:val="24"/>
          <w:szCs w:val="24"/>
        </w:rPr>
        <w:t>guide patient selection and risk</w:t>
      </w:r>
      <w:r w:rsidR="00833952" w:rsidRPr="006212FF">
        <w:rPr>
          <w:rFonts w:ascii="Book Antiqua" w:eastAsia="Times New Roman" w:hAnsi="Book Antiqua" w:cs="Times New Roman"/>
          <w:bCs/>
          <w:color w:val="000000"/>
          <w:sz w:val="24"/>
          <w:szCs w:val="24"/>
        </w:rPr>
        <w:t>-</w:t>
      </w:r>
      <w:r w:rsidRPr="006212FF">
        <w:rPr>
          <w:rFonts w:ascii="Book Antiqua" w:eastAsia="Times New Roman" w:hAnsi="Book Antiqua" w:cs="Times New Roman"/>
          <w:bCs/>
          <w:color w:val="000000"/>
          <w:sz w:val="24"/>
          <w:szCs w:val="24"/>
        </w:rPr>
        <w:t>benefit consideration to use EVR in LT, are lacking</w:t>
      </w:r>
      <w:r w:rsidR="00833952" w:rsidRPr="006212FF">
        <w:rPr>
          <w:rFonts w:ascii="Book Antiqua" w:eastAsia="Times New Roman" w:hAnsi="Book Antiqua" w:cs="Times New Roman"/>
          <w:bCs/>
          <w:color w:val="000000"/>
          <w:sz w:val="24"/>
          <w:szCs w:val="24"/>
        </w:rPr>
        <w:t>.</w:t>
      </w:r>
    </w:p>
    <w:p w14:paraId="60E45DF1" w14:textId="77777777" w:rsidR="003B3289" w:rsidRPr="006212FF" w:rsidRDefault="00AF4F63" w:rsidP="006212FF">
      <w:pPr>
        <w:spacing w:after="0" w:line="360" w:lineRule="auto"/>
        <w:jc w:val="both"/>
        <w:rPr>
          <w:rFonts w:ascii="Book Antiqua" w:eastAsia="Times New Roman" w:hAnsi="Book Antiqua" w:cs="Times New Roman"/>
          <w:bCs/>
          <w:color w:val="000000"/>
          <w:sz w:val="24"/>
          <w:szCs w:val="24"/>
        </w:rPr>
      </w:pPr>
      <w:r w:rsidRPr="006212FF">
        <w:rPr>
          <w:rFonts w:ascii="Book Antiqua" w:eastAsia="Times New Roman" w:hAnsi="Book Antiqua" w:cs="Times New Roman"/>
          <w:bCs/>
          <w:color w:val="000000"/>
          <w:sz w:val="24"/>
          <w:szCs w:val="24"/>
        </w:rPr>
        <w:tab/>
      </w:r>
    </w:p>
    <w:p w14:paraId="33F4D885" w14:textId="62BB3E92" w:rsidR="00C26A4B" w:rsidRPr="006C5011" w:rsidRDefault="005E2B0A" w:rsidP="006212FF">
      <w:pPr>
        <w:spacing w:after="0" w:line="360" w:lineRule="auto"/>
        <w:jc w:val="both"/>
        <w:rPr>
          <w:rFonts w:ascii="Book Antiqua" w:eastAsia="Times New Roman" w:hAnsi="Book Antiqua" w:cs="Times New Roman"/>
          <w:b/>
          <w:bCs/>
          <w:i/>
          <w:color w:val="000000"/>
          <w:sz w:val="24"/>
          <w:szCs w:val="24"/>
        </w:rPr>
      </w:pPr>
      <w:r w:rsidRPr="006C5011">
        <w:rPr>
          <w:rFonts w:ascii="Book Antiqua" w:eastAsia="Times New Roman" w:hAnsi="Book Antiqua" w:cs="Times New Roman"/>
          <w:b/>
          <w:bCs/>
          <w:i/>
          <w:color w:val="000000"/>
          <w:sz w:val="24"/>
          <w:szCs w:val="24"/>
        </w:rPr>
        <w:t>H</w:t>
      </w:r>
      <w:r w:rsidR="00C26A4B" w:rsidRPr="006C5011">
        <w:rPr>
          <w:rFonts w:ascii="Book Antiqua" w:eastAsia="Times New Roman" w:hAnsi="Book Antiqua" w:cs="Times New Roman"/>
          <w:b/>
          <w:bCs/>
          <w:i/>
          <w:color w:val="000000"/>
          <w:sz w:val="24"/>
          <w:szCs w:val="24"/>
        </w:rPr>
        <w:t>yperlipidemia</w:t>
      </w:r>
    </w:p>
    <w:p w14:paraId="5323245B" w14:textId="61DCE86B" w:rsidR="00C26A4B" w:rsidRPr="006212FF" w:rsidRDefault="004C487C" w:rsidP="006212FF">
      <w:pPr>
        <w:spacing w:after="0" w:line="360" w:lineRule="auto"/>
        <w:jc w:val="both"/>
        <w:rPr>
          <w:rFonts w:ascii="Book Antiqua" w:eastAsia="Times New Roman" w:hAnsi="Book Antiqua" w:cs="Times New Roman"/>
          <w:bCs/>
          <w:color w:val="000000"/>
          <w:sz w:val="24"/>
          <w:szCs w:val="24"/>
        </w:rPr>
      </w:pPr>
      <w:r w:rsidRPr="006212FF">
        <w:rPr>
          <w:rFonts w:ascii="Book Antiqua" w:eastAsia="Times New Roman" w:hAnsi="Book Antiqua" w:cs="Times New Roman"/>
          <w:bCs/>
          <w:color w:val="000000"/>
          <w:sz w:val="24"/>
          <w:szCs w:val="24"/>
        </w:rPr>
        <w:t>Hyperlipidemia is one of the most common adv</w:t>
      </w:r>
      <w:r w:rsidR="006C5011">
        <w:rPr>
          <w:rFonts w:ascii="Book Antiqua" w:eastAsia="Times New Roman" w:hAnsi="Book Antiqua" w:cs="Times New Roman"/>
          <w:bCs/>
          <w:color w:val="000000"/>
          <w:sz w:val="24"/>
          <w:szCs w:val="24"/>
        </w:rPr>
        <w:t xml:space="preserve">erse effects of </w:t>
      </w:r>
      <w:proofErr w:type="spellStart"/>
      <w:r w:rsidR="006C5011">
        <w:rPr>
          <w:rFonts w:ascii="Book Antiqua" w:eastAsia="Times New Roman" w:hAnsi="Book Antiqua" w:cs="Times New Roman"/>
          <w:bCs/>
          <w:color w:val="000000"/>
          <w:sz w:val="24"/>
          <w:szCs w:val="24"/>
        </w:rPr>
        <w:t>mTOR</w:t>
      </w:r>
      <w:proofErr w:type="spellEnd"/>
      <w:r w:rsidR="006C5011">
        <w:rPr>
          <w:rFonts w:ascii="Book Antiqua" w:eastAsia="Times New Roman" w:hAnsi="Book Antiqua" w:cs="Times New Roman"/>
          <w:bCs/>
          <w:color w:val="000000"/>
          <w:sz w:val="24"/>
          <w:szCs w:val="24"/>
        </w:rPr>
        <w:t xml:space="preserve"> </w:t>
      </w:r>
      <w:proofErr w:type="gramStart"/>
      <w:r w:rsidR="006C5011">
        <w:rPr>
          <w:rFonts w:ascii="Book Antiqua" w:eastAsia="Times New Roman" w:hAnsi="Book Antiqua" w:cs="Times New Roman"/>
          <w:bCs/>
          <w:color w:val="000000"/>
          <w:sz w:val="24"/>
          <w:szCs w:val="24"/>
        </w:rPr>
        <w:t>inhibitors</w:t>
      </w:r>
      <w:r w:rsidR="007D6096" w:rsidRPr="006212FF">
        <w:rPr>
          <w:rFonts w:ascii="Book Antiqua" w:eastAsia="Times New Roman" w:hAnsi="Book Antiqua" w:cs="Times New Roman"/>
          <w:bCs/>
          <w:color w:val="000000"/>
          <w:sz w:val="24"/>
          <w:szCs w:val="24"/>
          <w:vertAlign w:val="superscript"/>
        </w:rPr>
        <w:t>[</w:t>
      </w:r>
      <w:proofErr w:type="gramEnd"/>
      <w:r w:rsidR="007D6096" w:rsidRPr="006212FF">
        <w:rPr>
          <w:rFonts w:ascii="Book Antiqua" w:eastAsia="Times New Roman" w:hAnsi="Book Antiqua" w:cs="Times New Roman"/>
          <w:bCs/>
          <w:color w:val="000000"/>
          <w:sz w:val="24"/>
          <w:szCs w:val="24"/>
          <w:vertAlign w:val="superscript"/>
        </w:rPr>
        <w:t>41]</w:t>
      </w:r>
      <w:r w:rsidRPr="006212FF">
        <w:rPr>
          <w:rFonts w:ascii="Book Antiqua" w:eastAsia="Times New Roman" w:hAnsi="Book Antiqua" w:cs="Times New Roman"/>
          <w:bCs/>
          <w:color w:val="000000"/>
          <w:sz w:val="24"/>
          <w:szCs w:val="24"/>
        </w:rPr>
        <w:t xml:space="preserve">. </w:t>
      </w:r>
      <w:r w:rsidR="005E2B0A" w:rsidRPr="006212FF">
        <w:rPr>
          <w:rFonts w:ascii="Book Antiqua" w:eastAsia="Times New Roman" w:hAnsi="Book Antiqua" w:cs="Times New Roman"/>
          <w:bCs/>
          <w:color w:val="000000"/>
          <w:sz w:val="24"/>
          <w:szCs w:val="24"/>
        </w:rPr>
        <w:t>Fro</w:t>
      </w:r>
      <w:r w:rsidR="000523F8" w:rsidRPr="006212FF">
        <w:rPr>
          <w:rFonts w:ascii="Book Antiqua" w:eastAsia="Times New Roman" w:hAnsi="Book Antiqua" w:cs="Times New Roman"/>
          <w:bCs/>
          <w:color w:val="000000"/>
          <w:sz w:val="24"/>
          <w:szCs w:val="24"/>
        </w:rPr>
        <w:t>m phase II stud</w:t>
      </w:r>
      <w:r w:rsidR="00531C66" w:rsidRPr="006212FF">
        <w:rPr>
          <w:rFonts w:ascii="Book Antiqua" w:eastAsia="Times New Roman" w:hAnsi="Book Antiqua" w:cs="Times New Roman"/>
          <w:bCs/>
          <w:color w:val="000000"/>
          <w:sz w:val="24"/>
          <w:szCs w:val="24"/>
        </w:rPr>
        <w:t>ies</w:t>
      </w:r>
      <w:r w:rsidR="000523F8" w:rsidRPr="006212FF">
        <w:rPr>
          <w:rFonts w:ascii="Book Antiqua" w:eastAsia="Times New Roman" w:hAnsi="Book Antiqua" w:cs="Times New Roman"/>
          <w:bCs/>
          <w:color w:val="000000"/>
          <w:sz w:val="24"/>
          <w:szCs w:val="24"/>
        </w:rPr>
        <w:t>,</w:t>
      </w:r>
      <w:r w:rsidR="005E2B0A" w:rsidRPr="006212FF">
        <w:rPr>
          <w:rFonts w:ascii="Book Antiqua" w:eastAsia="Times New Roman" w:hAnsi="Book Antiqua" w:cs="Times New Roman"/>
          <w:bCs/>
          <w:color w:val="000000"/>
          <w:sz w:val="24"/>
          <w:szCs w:val="24"/>
        </w:rPr>
        <w:t xml:space="preserve"> </w:t>
      </w:r>
      <w:r w:rsidR="000523F8" w:rsidRPr="006212FF">
        <w:rPr>
          <w:rFonts w:ascii="Book Antiqua" w:eastAsia="Times New Roman" w:hAnsi="Book Antiqua" w:cs="Times New Roman"/>
          <w:bCs/>
          <w:color w:val="000000"/>
          <w:sz w:val="24"/>
          <w:szCs w:val="24"/>
        </w:rPr>
        <w:t xml:space="preserve">a trend of dose-dependent hyperlipidemia was </w:t>
      </w:r>
      <w:proofErr w:type="gramStart"/>
      <w:r w:rsidR="000523F8" w:rsidRPr="006212FF">
        <w:rPr>
          <w:rFonts w:ascii="Book Antiqua" w:eastAsia="Times New Roman" w:hAnsi="Book Antiqua" w:cs="Times New Roman"/>
          <w:bCs/>
          <w:color w:val="000000"/>
          <w:sz w:val="24"/>
          <w:szCs w:val="24"/>
        </w:rPr>
        <w:t>observed</w:t>
      </w:r>
      <w:r w:rsidR="007D6096" w:rsidRPr="006212FF">
        <w:rPr>
          <w:rFonts w:ascii="Book Antiqua" w:eastAsia="Times New Roman" w:hAnsi="Book Antiqua" w:cs="Times New Roman"/>
          <w:bCs/>
          <w:color w:val="000000"/>
          <w:sz w:val="24"/>
          <w:szCs w:val="24"/>
          <w:vertAlign w:val="superscript"/>
        </w:rPr>
        <w:t>[</w:t>
      </w:r>
      <w:proofErr w:type="gramEnd"/>
      <w:r w:rsidR="007D6096" w:rsidRPr="006212FF">
        <w:rPr>
          <w:rFonts w:ascii="Book Antiqua" w:eastAsia="Times New Roman" w:hAnsi="Book Antiqua" w:cs="Times New Roman"/>
          <w:bCs/>
          <w:color w:val="000000"/>
          <w:sz w:val="24"/>
          <w:szCs w:val="24"/>
          <w:vertAlign w:val="superscript"/>
        </w:rPr>
        <w:t>11]</w:t>
      </w:r>
      <w:r w:rsidR="005E2B0A" w:rsidRPr="006212FF">
        <w:rPr>
          <w:rFonts w:ascii="Book Antiqua" w:eastAsia="Times New Roman" w:hAnsi="Book Antiqua" w:cs="Times New Roman"/>
          <w:bCs/>
          <w:color w:val="000000"/>
          <w:sz w:val="24"/>
          <w:szCs w:val="24"/>
        </w:rPr>
        <w:t>.</w:t>
      </w:r>
      <w:r w:rsidR="00F66302" w:rsidRPr="006212FF">
        <w:rPr>
          <w:rFonts w:ascii="Book Antiqua" w:eastAsia="Times New Roman" w:hAnsi="Book Antiqua" w:cs="Times New Roman"/>
          <w:bCs/>
          <w:color w:val="000000"/>
          <w:sz w:val="24"/>
          <w:szCs w:val="24"/>
        </w:rPr>
        <w:t xml:space="preserve"> </w:t>
      </w:r>
      <w:proofErr w:type="spellStart"/>
      <w:r w:rsidR="005C6056" w:rsidRPr="006212FF">
        <w:rPr>
          <w:rFonts w:ascii="Book Antiqua" w:eastAsia="Times New Roman" w:hAnsi="Book Antiqua" w:cs="Times New Roman"/>
          <w:bCs/>
          <w:color w:val="000000"/>
          <w:sz w:val="24"/>
          <w:szCs w:val="24"/>
        </w:rPr>
        <w:t>Masetti</w:t>
      </w:r>
      <w:proofErr w:type="spellEnd"/>
      <w:r w:rsidR="005C6056" w:rsidRPr="006212FF">
        <w:rPr>
          <w:rFonts w:ascii="Book Antiqua" w:eastAsia="Times New Roman" w:hAnsi="Book Antiqua" w:cs="Times New Roman"/>
          <w:bCs/>
          <w:color w:val="000000"/>
          <w:sz w:val="24"/>
          <w:szCs w:val="24"/>
        </w:rPr>
        <w:t xml:space="preserve"> </w:t>
      </w:r>
      <w:r w:rsidR="005C6056" w:rsidRPr="006C5011">
        <w:rPr>
          <w:rFonts w:ascii="Book Antiqua" w:eastAsia="Times New Roman" w:hAnsi="Book Antiqua" w:cs="Times New Roman"/>
          <w:bCs/>
          <w:i/>
          <w:color w:val="000000"/>
          <w:sz w:val="24"/>
          <w:szCs w:val="24"/>
        </w:rPr>
        <w:t xml:space="preserve">et </w:t>
      </w:r>
      <w:proofErr w:type="gramStart"/>
      <w:r w:rsidR="005C6056" w:rsidRPr="006C5011">
        <w:rPr>
          <w:rFonts w:ascii="Book Antiqua" w:eastAsia="Times New Roman" w:hAnsi="Book Antiqua" w:cs="Times New Roman"/>
          <w:bCs/>
          <w:i/>
          <w:color w:val="000000"/>
          <w:sz w:val="24"/>
          <w:szCs w:val="24"/>
        </w:rPr>
        <w:t>al</w:t>
      </w:r>
      <w:r w:rsidR="006C5011" w:rsidRPr="006212FF">
        <w:rPr>
          <w:rFonts w:ascii="Book Antiqua" w:eastAsia="Times New Roman" w:hAnsi="Book Antiqua" w:cs="Times New Roman"/>
          <w:bCs/>
          <w:color w:val="000000"/>
          <w:sz w:val="24"/>
          <w:szCs w:val="24"/>
          <w:vertAlign w:val="superscript"/>
        </w:rPr>
        <w:t>[</w:t>
      </w:r>
      <w:proofErr w:type="gramEnd"/>
      <w:r w:rsidR="006C5011" w:rsidRPr="006212FF">
        <w:rPr>
          <w:rFonts w:ascii="Book Antiqua" w:eastAsia="Times New Roman" w:hAnsi="Book Antiqua" w:cs="Times New Roman"/>
          <w:bCs/>
          <w:color w:val="000000"/>
          <w:sz w:val="24"/>
          <w:szCs w:val="24"/>
          <w:vertAlign w:val="superscript"/>
        </w:rPr>
        <w:t>21]</w:t>
      </w:r>
      <w:r w:rsidR="007B559D" w:rsidRPr="006212FF">
        <w:rPr>
          <w:rFonts w:ascii="Book Antiqua" w:eastAsia="Times New Roman" w:hAnsi="Book Antiqua" w:cs="Times New Roman"/>
          <w:bCs/>
          <w:color w:val="000000"/>
          <w:sz w:val="24"/>
          <w:szCs w:val="24"/>
        </w:rPr>
        <w:t xml:space="preserve"> reported significant increase in the incidence of hyperlipidemia but not hyper</w:t>
      </w:r>
      <w:r w:rsidR="005C6056" w:rsidRPr="006212FF">
        <w:rPr>
          <w:rFonts w:ascii="Book Antiqua" w:eastAsia="Times New Roman" w:hAnsi="Book Antiqua" w:cs="Times New Roman"/>
          <w:bCs/>
          <w:color w:val="000000"/>
          <w:sz w:val="24"/>
          <w:szCs w:val="24"/>
        </w:rPr>
        <w:t>triglyceridemia with</w:t>
      </w:r>
      <w:r w:rsidR="00B55319" w:rsidRPr="006212FF">
        <w:rPr>
          <w:rFonts w:ascii="Book Antiqua" w:eastAsia="Times New Roman" w:hAnsi="Book Antiqua" w:cs="Times New Roman"/>
          <w:bCs/>
          <w:color w:val="000000"/>
          <w:sz w:val="24"/>
          <w:szCs w:val="24"/>
        </w:rPr>
        <w:t xml:space="preserve"> EVR use</w:t>
      </w:r>
      <w:r w:rsidR="007B559D" w:rsidRPr="006212FF">
        <w:rPr>
          <w:rFonts w:ascii="Book Antiqua" w:eastAsia="Times New Roman" w:hAnsi="Book Antiqua" w:cs="Times New Roman"/>
          <w:bCs/>
          <w:color w:val="000000"/>
          <w:sz w:val="24"/>
          <w:szCs w:val="24"/>
        </w:rPr>
        <w:t xml:space="preserve">. </w:t>
      </w:r>
      <w:r w:rsidRPr="006212FF">
        <w:rPr>
          <w:rFonts w:ascii="Book Antiqua" w:eastAsia="Times New Roman" w:hAnsi="Book Antiqua" w:cs="Times New Roman"/>
          <w:bCs/>
          <w:color w:val="000000"/>
          <w:sz w:val="24"/>
          <w:szCs w:val="24"/>
        </w:rPr>
        <w:t xml:space="preserve">In H2304, 23.3% in EVR group </w:t>
      </w:r>
      <w:proofErr w:type="spellStart"/>
      <w:r w:rsidR="00016F09" w:rsidRPr="00016F09">
        <w:rPr>
          <w:rFonts w:ascii="Book Antiqua" w:eastAsia="Times New Roman" w:hAnsi="Book Antiqua" w:cs="Times New Roman"/>
          <w:bCs/>
          <w:i/>
          <w:color w:val="000000"/>
          <w:sz w:val="24"/>
          <w:szCs w:val="24"/>
        </w:rPr>
        <w:t>vs</w:t>
      </w:r>
      <w:proofErr w:type="spellEnd"/>
      <w:r w:rsidR="00F66302" w:rsidRPr="006212FF">
        <w:rPr>
          <w:rFonts w:ascii="Book Antiqua" w:eastAsia="Times New Roman" w:hAnsi="Book Antiqua" w:cs="Times New Roman"/>
          <w:bCs/>
          <w:color w:val="000000"/>
          <w:sz w:val="24"/>
          <w:szCs w:val="24"/>
        </w:rPr>
        <w:t xml:space="preserve"> 17.8% in standard CNI group </w:t>
      </w:r>
      <w:r w:rsidRPr="006212FF">
        <w:rPr>
          <w:rFonts w:ascii="Book Antiqua" w:eastAsia="Times New Roman" w:hAnsi="Book Antiqua" w:cs="Times New Roman"/>
          <w:bCs/>
          <w:color w:val="000000"/>
          <w:sz w:val="24"/>
          <w:szCs w:val="24"/>
        </w:rPr>
        <w:t>required lipid-lowing therapy (</w:t>
      </w:r>
      <w:r w:rsidR="006C5011" w:rsidRPr="006C5011">
        <w:rPr>
          <w:rFonts w:ascii="Book Antiqua" w:eastAsia="Times New Roman" w:hAnsi="Book Antiqua" w:cs="Times New Roman"/>
          <w:bCs/>
          <w:i/>
          <w:color w:val="000000"/>
          <w:sz w:val="24"/>
          <w:szCs w:val="24"/>
        </w:rPr>
        <w:t>P</w:t>
      </w:r>
      <w:r w:rsidR="006C5011">
        <w:rPr>
          <w:rFonts w:ascii="Book Antiqua" w:hAnsi="Book Antiqua" w:cs="Times New Roman" w:hint="eastAsia"/>
          <w:bCs/>
          <w:color w:val="000000"/>
          <w:sz w:val="24"/>
          <w:szCs w:val="24"/>
        </w:rPr>
        <w:t xml:space="preserve"> </w:t>
      </w:r>
      <w:r w:rsidRPr="006212FF">
        <w:rPr>
          <w:rFonts w:ascii="Book Antiqua" w:eastAsia="Times New Roman" w:hAnsi="Book Antiqua" w:cs="Times New Roman"/>
          <w:bCs/>
          <w:color w:val="000000"/>
          <w:sz w:val="24"/>
          <w:szCs w:val="24"/>
        </w:rPr>
        <w:t>=</w:t>
      </w:r>
      <w:r w:rsidR="006C5011">
        <w:rPr>
          <w:rFonts w:ascii="Book Antiqua" w:hAnsi="Book Antiqua" w:cs="Times New Roman" w:hint="eastAsia"/>
          <w:bCs/>
          <w:color w:val="000000"/>
          <w:sz w:val="24"/>
          <w:szCs w:val="24"/>
        </w:rPr>
        <w:t xml:space="preserve"> </w:t>
      </w:r>
      <w:r w:rsidRPr="006212FF">
        <w:rPr>
          <w:rFonts w:ascii="Book Antiqua" w:eastAsia="Times New Roman" w:hAnsi="Book Antiqua" w:cs="Times New Roman"/>
          <w:bCs/>
          <w:color w:val="000000"/>
          <w:sz w:val="24"/>
          <w:szCs w:val="24"/>
        </w:rPr>
        <w:t>0.944)</w:t>
      </w:r>
      <w:r w:rsidR="00F66302" w:rsidRPr="006212FF">
        <w:rPr>
          <w:rFonts w:ascii="Book Antiqua" w:eastAsia="Times New Roman" w:hAnsi="Book Antiqua" w:cs="Times New Roman"/>
          <w:bCs/>
          <w:color w:val="000000"/>
          <w:sz w:val="24"/>
          <w:szCs w:val="24"/>
        </w:rPr>
        <w:t xml:space="preserve"> at the end of 1 year and </w:t>
      </w:r>
      <w:r w:rsidR="00531C66" w:rsidRPr="006212FF">
        <w:rPr>
          <w:rFonts w:ascii="Book Antiqua" w:eastAsia="Times New Roman" w:hAnsi="Book Antiqua" w:cs="Times New Roman"/>
          <w:bCs/>
          <w:color w:val="000000"/>
          <w:sz w:val="24"/>
          <w:szCs w:val="24"/>
        </w:rPr>
        <w:t xml:space="preserve">the </w:t>
      </w:r>
      <w:r w:rsidR="00F66302" w:rsidRPr="006212FF">
        <w:rPr>
          <w:rFonts w:ascii="Book Antiqua" w:eastAsia="Times New Roman" w:hAnsi="Book Antiqua" w:cs="Times New Roman"/>
          <w:bCs/>
          <w:color w:val="000000"/>
          <w:sz w:val="24"/>
          <w:szCs w:val="24"/>
        </w:rPr>
        <w:t xml:space="preserve">incidence of hyperlipidemia was </w:t>
      </w:r>
      <w:r w:rsidR="00531C66" w:rsidRPr="006212FF">
        <w:rPr>
          <w:rFonts w:ascii="Book Antiqua" w:eastAsia="Times New Roman" w:hAnsi="Book Antiqua" w:cs="Times New Roman"/>
          <w:bCs/>
          <w:color w:val="000000"/>
          <w:sz w:val="24"/>
          <w:szCs w:val="24"/>
        </w:rPr>
        <w:t xml:space="preserve">significantly </w:t>
      </w:r>
      <w:r w:rsidR="00F66302" w:rsidRPr="006212FF">
        <w:rPr>
          <w:rFonts w:ascii="Book Antiqua" w:eastAsia="Times New Roman" w:hAnsi="Book Antiqua" w:cs="Times New Roman"/>
          <w:bCs/>
          <w:color w:val="000000"/>
          <w:sz w:val="24"/>
          <w:szCs w:val="24"/>
        </w:rPr>
        <w:t>higher (26.9%</w:t>
      </w:r>
      <w:r w:rsidRPr="006212FF">
        <w:rPr>
          <w:rFonts w:ascii="Book Antiqua" w:eastAsia="Times New Roman" w:hAnsi="Book Antiqua" w:cs="Times New Roman"/>
          <w:bCs/>
          <w:color w:val="000000"/>
          <w:sz w:val="24"/>
          <w:szCs w:val="24"/>
        </w:rPr>
        <w:t xml:space="preserve"> </w:t>
      </w:r>
      <w:r w:rsidR="00AF3408" w:rsidRPr="006212FF">
        <w:rPr>
          <w:rFonts w:ascii="Book Antiqua" w:eastAsia="Times New Roman" w:hAnsi="Book Antiqua" w:cs="Times New Roman"/>
          <w:bCs/>
          <w:color w:val="000000"/>
          <w:sz w:val="24"/>
          <w:szCs w:val="24"/>
        </w:rPr>
        <w:t xml:space="preserve">in EVR group </w:t>
      </w:r>
      <w:proofErr w:type="spellStart"/>
      <w:r w:rsidR="00AF3408" w:rsidRPr="006C5011">
        <w:rPr>
          <w:rFonts w:ascii="Book Antiqua" w:eastAsia="Times New Roman" w:hAnsi="Book Antiqua" w:cs="Times New Roman"/>
          <w:bCs/>
          <w:i/>
          <w:color w:val="000000"/>
          <w:sz w:val="24"/>
          <w:szCs w:val="24"/>
        </w:rPr>
        <w:t>vs</w:t>
      </w:r>
      <w:proofErr w:type="spellEnd"/>
      <w:r w:rsidR="00AF3408" w:rsidRPr="006212FF">
        <w:rPr>
          <w:rFonts w:ascii="Book Antiqua" w:eastAsia="Times New Roman" w:hAnsi="Book Antiqua" w:cs="Times New Roman"/>
          <w:bCs/>
          <w:color w:val="000000"/>
          <w:sz w:val="24"/>
          <w:szCs w:val="24"/>
        </w:rPr>
        <w:t xml:space="preserve"> 11.6% in standard CNI, </w:t>
      </w:r>
      <w:r w:rsidR="006C5011" w:rsidRPr="006C5011">
        <w:rPr>
          <w:rFonts w:ascii="Book Antiqua" w:eastAsia="Times New Roman" w:hAnsi="Book Antiqua" w:cs="Times New Roman"/>
          <w:bCs/>
          <w:i/>
          <w:color w:val="000000"/>
          <w:sz w:val="24"/>
          <w:szCs w:val="24"/>
        </w:rPr>
        <w:t>P</w:t>
      </w:r>
      <w:r w:rsidR="006C5011" w:rsidRPr="006212FF">
        <w:rPr>
          <w:rFonts w:ascii="Book Antiqua" w:eastAsia="Times New Roman" w:hAnsi="Book Antiqua" w:cs="Times New Roman"/>
          <w:bCs/>
          <w:color w:val="000000"/>
          <w:sz w:val="24"/>
          <w:szCs w:val="24"/>
        </w:rPr>
        <w:t xml:space="preserve"> </w:t>
      </w:r>
      <w:r w:rsidR="00AF3408" w:rsidRPr="006212FF">
        <w:rPr>
          <w:rFonts w:ascii="Book Antiqua" w:eastAsia="Times New Roman" w:hAnsi="Book Antiqua" w:cs="Times New Roman"/>
          <w:bCs/>
          <w:color w:val="000000"/>
          <w:sz w:val="24"/>
          <w:szCs w:val="24"/>
        </w:rPr>
        <w:t>&lt;</w:t>
      </w:r>
      <w:r w:rsidR="006C5011">
        <w:rPr>
          <w:rFonts w:ascii="Book Antiqua" w:hAnsi="Book Antiqua" w:cs="Times New Roman" w:hint="eastAsia"/>
          <w:bCs/>
          <w:color w:val="000000"/>
          <w:sz w:val="24"/>
          <w:szCs w:val="24"/>
        </w:rPr>
        <w:t xml:space="preserve"> </w:t>
      </w:r>
      <w:r w:rsidR="00AF3408" w:rsidRPr="006212FF">
        <w:rPr>
          <w:rFonts w:ascii="Book Antiqua" w:eastAsia="Times New Roman" w:hAnsi="Book Antiqua" w:cs="Times New Roman"/>
          <w:bCs/>
          <w:color w:val="000000"/>
          <w:sz w:val="24"/>
          <w:szCs w:val="24"/>
        </w:rPr>
        <w:t>0.001) at the end of 2 year</w:t>
      </w:r>
      <w:r w:rsidR="00531C66" w:rsidRPr="006212FF">
        <w:rPr>
          <w:rFonts w:ascii="Book Antiqua" w:eastAsia="Times New Roman" w:hAnsi="Book Antiqua" w:cs="Times New Roman"/>
          <w:bCs/>
          <w:color w:val="000000"/>
          <w:sz w:val="24"/>
          <w:szCs w:val="24"/>
        </w:rPr>
        <w:t>s</w:t>
      </w:r>
      <w:r w:rsidR="006C5011">
        <w:rPr>
          <w:rFonts w:ascii="Book Antiqua" w:eastAsia="Times New Roman" w:hAnsi="Book Antiqua" w:cs="Times New Roman"/>
          <w:bCs/>
          <w:color w:val="000000"/>
          <w:sz w:val="24"/>
          <w:szCs w:val="24"/>
          <w:vertAlign w:val="superscript"/>
        </w:rPr>
        <w:t>[16,</w:t>
      </w:r>
      <w:r w:rsidR="007D6096" w:rsidRPr="006212FF">
        <w:rPr>
          <w:rFonts w:ascii="Book Antiqua" w:eastAsia="Times New Roman" w:hAnsi="Book Antiqua" w:cs="Times New Roman"/>
          <w:bCs/>
          <w:color w:val="000000"/>
          <w:sz w:val="24"/>
          <w:szCs w:val="24"/>
          <w:vertAlign w:val="superscript"/>
        </w:rPr>
        <w:t>17]</w:t>
      </w:r>
      <w:r w:rsidRPr="006212FF">
        <w:rPr>
          <w:rFonts w:ascii="Book Antiqua" w:eastAsia="Times New Roman" w:hAnsi="Book Antiqua" w:cs="Times New Roman"/>
          <w:bCs/>
          <w:color w:val="000000"/>
          <w:sz w:val="24"/>
          <w:szCs w:val="24"/>
        </w:rPr>
        <w:t xml:space="preserve">. </w:t>
      </w:r>
      <w:r w:rsidR="000B3074" w:rsidRPr="006212FF">
        <w:rPr>
          <w:rFonts w:ascii="Book Antiqua" w:eastAsia="Times New Roman" w:hAnsi="Book Antiqua" w:cs="Times New Roman"/>
          <w:bCs/>
          <w:color w:val="000000"/>
          <w:sz w:val="24"/>
          <w:szCs w:val="24"/>
        </w:rPr>
        <w:t>In</w:t>
      </w:r>
      <w:r w:rsidR="00AA57D3" w:rsidRPr="006212FF">
        <w:rPr>
          <w:rFonts w:ascii="Book Antiqua" w:eastAsia="Times New Roman" w:hAnsi="Book Antiqua" w:cs="Times New Roman"/>
          <w:bCs/>
          <w:color w:val="000000"/>
          <w:sz w:val="24"/>
          <w:szCs w:val="24"/>
        </w:rPr>
        <w:t xml:space="preserve"> the</w:t>
      </w:r>
      <w:r w:rsidR="000B3074" w:rsidRPr="006212FF">
        <w:rPr>
          <w:rFonts w:ascii="Book Antiqua" w:eastAsia="Times New Roman" w:hAnsi="Book Antiqua" w:cs="Times New Roman"/>
          <w:bCs/>
          <w:color w:val="000000"/>
          <w:sz w:val="24"/>
          <w:szCs w:val="24"/>
        </w:rPr>
        <w:t xml:space="preserve"> PROTECT study, </w:t>
      </w:r>
      <w:r w:rsidR="00D4153A" w:rsidRPr="006212FF">
        <w:rPr>
          <w:rFonts w:ascii="Book Antiqua" w:eastAsia="Times New Roman" w:hAnsi="Book Antiqua" w:cs="Times New Roman"/>
          <w:bCs/>
          <w:color w:val="000000"/>
          <w:sz w:val="24"/>
          <w:szCs w:val="24"/>
        </w:rPr>
        <w:t xml:space="preserve">EVR use </w:t>
      </w:r>
      <w:r w:rsidR="00AA57D3" w:rsidRPr="006212FF">
        <w:rPr>
          <w:rFonts w:ascii="Book Antiqua" w:eastAsia="Times New Roman" w:hAnsi="Book Antiqua" w:cs="Times New Roman"/>
          <w:bCs/>
          <w:color w:val="000000"/>
          <w:sz w:val="24"/>
          <w:szCs w:val="24"/>
        </w:rPr>
        <w:t xml:space="preserve">was associated with an </w:t>
      </w:r>
      <w:r w:rsidR="00D4153A" w:rsidRPr="006212FF">
        <w:rPr>
          <w:rFonts w:ascii="Book Antiqua" w:eastAsia="Times New Roman" w:hAnsi="Book Antiqua" w:cs="Times New Roman"/>
          <w:bCs/>
          <w:color w:val="000000"/>
          <w:sz w:val="24"/>
          <w:szCs w:val="24"/>
        </w:rPr>
        <w:t>increase</w:t>
      </w:r>
      <w:r w:rsidR="00AA57D3" w:rsidRPr="006212FF">
        <w:rPr>
          <w:rFonts w:ascii="Book Antiqua" w:eastAsia="Times New Roman" w:hAnsi="Book Antiqua" w:cs="Times New Roman"/>
          <w:bCs/>
          <w:color w:val="000000"/>
          <w:sz w:val="24"/>
          <w:szCs w:val="24"/>
        </w:rPr>
        <w:t>d incidence of</w:t>
      </w:r>
      <w:r w:rsidR="00D4153A" w:rsidRPr="006212FF">
        <w:rPr>
          <w:rFonts w:ascii="Book Antiqua" w:eastAsia="Times New Roman" w:hAnsi="Book Antiqua" w:cs="Times New Roman"/>
          <w:bCs/>
          <w:color w:val="000000"/>
          <w:sz w:val="24"/>
          <w:szCs w:val="24"/>
        </w:rPr>
        <w:t xml:space="preserve"> </w:t>
      </w:r>
      <w:r w:rsidR="000B3074" w:rsidRPr="006212FF">
        <w:rPr>
          <w:rFonts w:ascii="Book Antiqua" w:eastAsia="Times New Roman" w:hAnsi="Book Antiqua" w:cs="Times New Roman"/>
          <w:bCs/>
          <w:color w:val="000000"/>
          <w:sz w:val="24"/>
          <w:szCs w:val="24"/>
        </w:rPr>
        <w:t>hyperlipidem</w:t>
      </w:r>
      <w:r w:rsidR="00D4153A" w:rsidRPr="006212FF">
        <w:rPr>
          <w:rFonts w:ascii="Book Antiqua" w:eastAsia="Times New Roman" w:hAnsi="Book Antiqua" w:cs="Times New Roman"/>
          <w:bCs/>
          <w:color w:val="000000"/>
          <w:sz w:val="24"/>
          <w:szCs w:val="24"/>
        </w:rPr>
        <w:t xml:space="preserve">ia </w:t>
      </w:r>
      <w:r w:rsidR="00AA57D3" w:rsidRPr="006212FF">
        <w:rPr>
          <w:rFonts w:ascii="Book Antiqua" w:eastAsia="Times New Roman" w:hAnsi="Book Antiqua" w:cs="Times New Roman"/>
          <w:bCs/>
          <w:color w:val="000000"/>
          <w:sz w:val="24"/>
          <w:szCs w:val="24"/>
        </w:rPr>
        <w:t xml:space="preserve">as compared to controls </w:t>
      </w:r>
      <w:r w:rsidR="000B3074" w:rsidRPr="006212FF">
        <w:rPr>
          <w:rFonts w:ascii="Book Antiqua" w:eastAsia="Times New Roman" w:hAnsi="Book Antiqua" w:cs="Times New Roman"/>
          <w:bCs/>
          <w:color w:val="000000"/>
          <w:sz w:val="24"/>
          <w:szCs w:val="24"/>
        </w:rPr>
        <w:t xml:space="preserve">(11.9% </w:t>
      </w:r>
      <w:proofErr w:type="spellStart"/>
      <w:r w:rsidR="000B3074" w:rsidRPr="006C5011">
        <w:rPr>
          <w:rFonts w:ascii="Book Antiqua" w:eastAsia="Times New Roman" w:hAnsi="Book Antiqua" w:cs="Times New Roman"/>
          <w:bCs/>
          <w:i/>
          <w:color w:val="000000"/>
          <w:sz w:val="24"/>
          <w:szCs w:val="24"/>
        </w:rPr>
        <w:t>vs</w:t>
      </w:r>
      <w:proofErr w:type="spellEnd"/>
      <w:r w:rsidR="000B3074" w:rsidRPr="006C5011">
        <w:rPr>
          <w:rFonts w:ascii="Book Antiqua" w:eastAsia="Times New Roman" w:hAnsi="Book Antiqua" w:cs="Times New Roman"/>
          <w:bCs/>
          <w:i/>
          <w:color w:val="000000"/>
          <w:sz w:val="24"/>
          <w:szCs w:val="24"/>
        </w:rPr>
        <w:t xml:space="preserve"> </w:t>
      </w:r>
      <w:r w:rsidR="000B3074" w:rsidRPr="006212FF">
        <w:rPr>
          <w:rFonts w:ascii="Book Antiqua" w:eastAsia="Times New Roman" w:hAnsi="Book Antiqua" w:cs="Times New Roman"/>
          <w:bCs/>
          <w:color w:val="000000"/>
          <w:sz w:val="24"/>
          <w:szCs w:val="24"/>
        </w:rPr>
        <w:t xml:space="preserve">2.0%, </w:t>
      </w:r>
      <w:r w:rsidR="006C5011" w:rsidRPr="006C5011">
        <w:rPr>
          <w:rFonts w:ascii="Book Antiqua" w:eastAsia="Times New Roman" w:hAnsi="Book Antiqua" w:cs="Times New Roman"/>
          <w:bCs/>
          <w:i/>
          <w:color w:val="000000"/>
          <w:sz w:val="24"/>
          <w:szCs w:val="24"/>
        </w:rPr>
        <w:t>P</w:t>
      </w:r>
      <w:r w:rsidR="006C5011">
        <w:rPr>
          <w:rFonts w:ascii="Book Antiqua" w:hAnsi="Book Antiqua" w:cs="Times New Roman" w:hint="eastAsia"/>
          <w:bCs/>
          <w:color w:val="000000"/>
          <w:sz w:val="24"/>
          <w:szCs w:val="24"/>
        </w:rPr>
        <w:t xml:space="preserve"> </w:t>
      </w:r>
      <w:r w:rsidR="000B3074" w:rsidRPr="006212FF">
        <w:rPr>
          <w:rFonts w:ascii="Book Antiqua" w:eastAsia="Times New Roman" w:hAnsi="Book Antiqua" w:cs="Times New Roman"/>
          <w:bCs/>
          <w:color w:val="000000"/>
          <w:sz w:val="24"/>
          <w:szCs w:val="24"/>
        </w:rPr>
        <w:t>&lt;</w:t>
      </w:r>
      <w:r w:rsidR="006C5011">
        <w:rPr>
          <w:rFonts w:ascii="Book Antiqua" w:hAnsi="Book Antiqua" w:cs="Times New Roman" w:hint="eastAsia"/>
          <w:bCs/>
          <w:color w:val="000000"/>
          <w:sz w:val="24"/>
          <w:szCs w:val="24"/>
        </w:rPr>
        <w:t xml:space="preserve"> </w:t>
      </w:r>
      <w:r w:rsidR="000B3074" w:rsidRPr="006212FF">
        <w:rPr>
          <w:rFonts w:ascii="Book Antiqua" w:eastAsia="Times New Roman" w:hAnsi="Book Antiqua" w:cs="Times New Roman"/>
          <w:bCs/>
          <w:color w:val="000000"/>
          <w:sz w:val="24"/>
          <w:szCs w:val="24"/>
        </w:rPr>
        <w:t>0.05) at month 11</w:t>
      </w:r>
      <w:r w:rsidR="00521434" w:rsidRPr="006212FF">
        <w:rPr>
          <w:rFonts w:ascii="Book Antiqua" w:eastAsia="Times New Roman" w:hAnsi="Book Antiqua" w:cs="Times New Roman"/>
          <w:bCs/>
          <w:color w:val="000000"/>
          <w:sz w:val="24"/>
          <w:szCs w:val="24"/>
          <w:vertAlign w:val="superscript"/>
        </w:rPr>
        <w:t>[13]</w:t>
      </w:r>
      <w:r w:rsidR="00AA57D3" w:rsidRPr="006212FF">
        <w:rPr>
          <w:rFonts w:ascii="Book Antiqua" w:eastAsia="Times New Roman" w:hAnsi="Book Antiqua" w:cs="Times New Roman"/>
          <w:bCs/>
          <w:color w:val="000000"/>
          <w:sz w:val="24"/>
          <w:szCs w:val="24"/>
        </w:rPr>
        <w:t>.</w:t>
      </w:r>
      <w:r w:rsidR="00AA7F0E" w:rsidRPr="006212FF">
        <w:rPr>
          <w:rFonts w:ascii="Book Antiqua" w:eastAsia="Times New Roman" w:hAnsi="Book Antiqua" w:cs="Times New Roman"/>
          <w:bCs/>
          <w:color w:val="000000"/>
          <w:sz w:val="24"/>
          <w:szCs w:val="24"/>
        </w:rPr>
        <w:t xml:space="preserve"> </w:t>
      </w:r>
    </w:p>
    <w:p w14:paraId="0636A030" w14:textId="29D27703" w:rsidR="005E2B0A" w:rsidRPr="006212FF" w:rsidRDefault="005247EE" w:rsidP="006C5011">
      <w:pPr>
        <w:spacing w:after="0" w:line="360" w:lineRule="auto"/>
        <w:ind w:firstLineChars="100" w:firstLine="240"/>
        <w:jc w:val="both"/>
        <w:rPr>
          <w:rFonts w:ascii="Book Antiqua" w:hAnsi="Book Antiqua"/>
          <w:sz w:val="24"/>
          <w:szCs w:val="24"/>
        </w:rPr>
      </w:pPr>
      <w:r w:rsidRPr="006212FF">
        <w:rPr>
          <w:rFonts w:ascii="Book Antiqua" w:eastAsia="Times New Roman" w:hAnsi="Book Antiqua" w:cs="Times New Roman"/>
          <w:bCs/>
          <w:color w:val="000000"/>
          <w:sz w:val="24"/>
          <w:szCs w:val="24"/>
        </w:rPr>
        <w:t xml:space="preserve">Although cardiovascular risk in LT is lower than renal and cardiac transplant, cardiovascular disease is still one of </w:t>
      </w:r>
      <w:r w:rsidR="006C5011">
        <w:rPr>
          <w:rFonts w:ascii="Book Antiqua" w:eastAsia="Times New Roman" w:hAnsi="Book Antiqua" w:cs="Times New Roman"/>
          <w:bCs/>
          <w:color w:val="000000"/>
          <w:sz w:val="24"/>
          <w:szCs w:val="24"/>
        </w:rPr>
        <w:t xml:space="preserve">the leading causes of </w:t>
      </w:r>
      <w:proofErr w:type="gramStart"/>
      <w:r w:rsidR="006C5011">
        <w:rPr>
          <w:rFonts w:ascii="Book Antiqua" w:eastAsia="Times New Roman" w:hAnsi="Book Antiqua" w:cs="Times New Roman"/>
          <w:bCs/>
          <w:color w:val="000000"/>
          <w:sz w:val="24"/>
          <w:szCs w:val="24"/>
        </w:rPr>
        <w:t>morbidity</w:t>
      </w:r>
      <w:r w:rsidR="00580124" w:rsidRPr="006212FF">
        <w:rPr>
          <w:rFonts w:ascii="Book Antiqua" w:eastAsia="Times New Roman" w:hAnsi="Book Antiqua" w:cs="Times New Roman"/>
          <w:bCs/>
          <w:color w:val="000000"/>
          <w:sz w:val="24"/>
          <w:szCs w:val="24"/>
          <w:vertAlign w:val="superscript"/>
        </w:rPr>
        <w:t>[</w:t>
      </w:r>
      <w:proofErr w:type="gramEnd"/>
      <w:r w:rsidR="00580124" w:rsidRPr="006212FF">
        <w:rPr>
          <w:rFonts w:ascii="Book Antiqua" w:eastAsia="Times New Roman" w:hAnsi="Book Antiqua" w:cs="Times New Roman"/>
          <w:bCs/>
          <w:color w:val="000000"/>
          <w:sz w:val="24"/>
          <w:szCs w:val="24"/>
          <w:vertAlign w:val="superscript"/>
        </w:rPr>
        <w:t>47]</w:t>
      </w:r>
      <w:r w:rsidRPr="006212FF">
        <w:rPr>
          <w:rFonts w:ascii="Book Antiqua" w:eastAsia="Times New Roman" w:hAnsi="Book Antiqua" w:cs="Times New Roman"/>
          <w:bCs/>
          <w:color w:val="000000"/>
          <w:sz w:val="24"/>
          <w:szCs w:val="24"/>
        </w:rPr>
        <w:t>.</w:t>
      </w:r>
      <w:r w:rsidR="009D3934" w:rsidRPr="006212FF">
        <w:rPr>
          <w:rFonts w:ascii="Book Antiqua" w:eastAsia="Times New Roman" w:hAnsi="Book Antiqua" w:cs="Times New Roman"/>
          <w:bCs/>
          <w:color w:val="000000"/>
          <w:sz w:val="24"/>
          <w:szCs w:val="24"/>
        </w:rPr>
        <w:t xml:space="preserve"> </w:t>
      </w:r>
      <w:r w:rsidR="00256C8D" w:rsidRPr="006212FF">
        <w:rPr>
          <w:rFonts w:ascii="Book Antiqua" w:eastAsia="Times New Roman" w:hAnsi="Book Antiqua" w:cs="Times New Roman"/>
          <w:bCs/>
          <w:color w:val="000000"/>
          <w:sz w:val="24"/>
          <w:szCs w:val="24"/>
        </w:rPr>
        <w:t xml:space="preserve">Undoubtedly, there is a range of effective lipid-lowing therapy in managing hyperlipidemia, </w:t>
      </w:r>
      <w:r w:rsidR="003356E3" w:rsidRPr="006212FF">
        <w:rPr>
          <w:rFonts w:ascii="Book Antiqua" w:eastAsia="Times New Roman" w:hAnsi="Book Antiqua" w:cs="Times New Roman"/>
          <w:bCs/>
          <w:color w:val="000000"/>
          <w:sz w:val="24"/>
          <w:szCs w:val="24"/>
        </w:rPr>
        <w:t xml:space="preserve">and </w:t>
      </w:r>
      <w:r w:rsidR="00256C8D" w:rsidRPr="006212FF">
        <w:rPr>
          <w:rFonts w:ascii="Book Antiqua" w:eastAsia="Times New Roman" w:hAnsi="Book Antiqua" w:cs="Times New Roman"/>
          <w:bCs/>
          <w:color w:val="000000"/>
          <w:sz w:val="24"/>
          <w:szCs w:val="24"/>
        </w:rPr>
        <w:t xml:space="preserve">it is prudent to always weigh </w:t>
      </w:r>
      <w:r w:rsidR="005D7473" w:rsidRPr="006212FF">
        <w:rPr>
          <w:rFonts w:ascii="Book Antiqua" w:eastAsia="Times New Roman" w:hAnsi="Book Antiqua" w:cs="Times New Roman"/>
          <w:bCs/>
          <w:color w:val="000000"/>
          <w:sz w:val="24"/>
          <w:szCs w:val="24"/>
        </w:rPr>
        <w:t xml:space="preserve">cardiovascular </w:t>
      </w:r>
      <w:r w:rsidR="00256C8D" w:rsidRPr="006212FF">
        <w:rPr>
          <w:rFonts w:ascii="Book Antiqua" w:eastAsia="Times New Roman" w:hAnsi="Book Antiqua" w:cs="Times New Roman"/>
          <w:bCs/>
          <w:color w:val="000000"/>
          <w:sz w:val="24"/>
          <w:szCs w:val="24"/>
        </w:rPr>
        <w:t>risk</w:t>
      </w:r>
      <w:r w:rsidR="005D7473" w:rsidRPr="006212FF">
        <w:rPr>
          <w:rFonts w:ascii="Book Antiqua" w:eastAsia="Times New Roman" w:hAnsi="Book Antiqua" w:cs="Times New Roman"/>
          <w:bCs/>
          <w:color w:val="000000"/>
          <w:sz w:val="24"/>
          <w:szCs w:val="24"/>
        </w:rPr>
        <w:t>s over the</w:t>
      </w:r>
      <w:r w:rsidR="00256C8D" w:rsidRPr="006212FF">
        <w:rPr>
          <w:rFonts w:ascii="Book Antiqua" w:eastAsia="Times New Roman" w:hAnsi="Book Antiqua" w:cs="Times New Roman"/>
          <w:bCs/>
          <w:color w:val="000000"/>
          <w:sz w:val="24"/>
          <w:szCs w:val="24"/>
        </w:rPr>
        <w:t xml:space="preserve"> benefit</w:t>
      </w:r>
      <w:r w:rsidR="005D7473" w:rsidRPr="006212FF">
        <w:rPr>
          <w:rFonts w:ascii="Book Antiqua" w:eastAsia="Times New Roman" w:hAnsi="Book Antiqua" w:cs="Times New Roman"/>
          <w:bCs/>
          <w:color w:val="000000"/>
          <w:sz w:val="24"/>
          <w:szCs w:val="24"/>
        </w:rPr>
        <w:t>s</w:t>
      </w:r>
      <w:r w:rsidR="00256C8D" w:rsidRPr="006212FF">
        <w:rPr>
          <w:rFonts w:ascii="Book Antiqua" w:eastAsia="Times New Roman" w:hAnsi="Book Antiqua" w:cs="Times New Roman"/>
          <w:bCs/>
          <w:color w:val="000000"/>
          <w:sz w:val="24"/>
          <w:szCs w:val="24"/>
        </w:rPr>
        <w:t xml:space="preserve"> before initiation or conversion to EVR.</w:t>
      </w:r>
      <w:r w:rsidR="00BE03F2" w:rsidRPr="006212FF">
        <w:rPr>
          <w:rFonts w:ascii="Book Antiqua" w:hAnsi="Book Antiqua"/>
          <w:sz w:val="24"/>
          <w:szCs w:val="24"/>
        </w:rPr>
        <w:t xml:space="preserve"> </w:t>
      </w:r>
    </w:p>
    <w:p w14:paraId="659EF5B1" w14:textId="77777777" w:rsidR="00A11E10" w:rsidRPr="006212FF" w:rsidRDefault="00A11E10" w:rsidP="006212FF">
      <w:pPr>
        <w:spacing w:after="0" w:line="360" w:lineRule="auto"/>
        <w:jc w:val="both"/>
        <w:rPr>
          <w:rFonts w:ascii="Book Antiqua" w:hAnsi="Book Antiqua"/>
          <w:sz w:val="24"/>
          <w:szCs w:val="24"/>
        </w:rPr>
      </w:pPr>
    </w:p>
    <w:p w14:paraId="2A670349" w14:textId="68F48C4E" w:rsidR="00A11E10" w:rsidRPr="006212FF" w:rsidRDefault="006C5011" w:rsidP="006212FF">
      <w:pPr>
        <w:spacing w:after="0" w:line="360" w:lineRule="auto"/>
        <w:jc w:val="both"/>
        <w:rPr>
          <w:rFonts w:ascii="Book Antiqua" w:hAnsi="Book Antiqua"/>
          <w:b/>
          <w:sz w:val="24"/>
          <w:szCs w:val="24"/>
        </w:rPr>
      </w:pPr>
      <w:r w:rsidRPr="006212FF">
        <w:rPr>
          <w:rFonts w:ascii="Book Antiqua" w:hAnsi="Book Antiqua"/>
          <w:b/>
          <w:sz w:val="24"/>
          <w:szCs w:val="24"/>
        </w:rPr>
        <w:t>RECOMMENDATION</w:t>
      </w:r>
    </w:p>
    <w:p w14:paraId="58EED50F" w14:textId="007B4B24" w:rsidR="00B7686B" w:rsidRPr="006212FF" w:rsidRDefault="00B7686B" w:rsidP="006212FF">
      <w:pPr>
        <w:spacing w:after="0" w:line="360" w:lineRule="auto"/>
        <w:jc w:val="both"/>
        <w:rPr>
          <w:rFonts w:ascii="Book Antiqua" w:hAnsi="Book Antiqua"/>
          <w:sz w:val="24"/>
          <w:szCs w:val="24"/>
        </w:rPr>
      </w:pPr>
      <w:r w:rsidRPr="006212FF">
        <w:rPr>
          <w:rFonts w:ascii="Book Antiqua" w:hAnsi="Book Antiqua"/>
          <w:sz w:val="24"/>
          <w:szCs w:val="24"/>
        </w:rPr>
        <w:t>A working group has recently consolidated recommendations for EVR use in LT bas</w:t>
      </w:r>
      <w:r w:rsidR="006C5011">
        <w:rPr>
          <w:rFonts w:ascii="Book Antiqua" w:hAnsi="Book Antiqua"/>
          <w:sz w:val="24"/>
          <w:szCs w:val="24"/>
        </w:rPr>
        <w:t xml:space="preserve">ed on consensus and </w:t>
      </w:r>
      <w:proofErr w:type="gramStart"/>
      <w:r w:rsidR="006C5011">
        <w:rPr>
          <w:rFonts w:ascii="Book Antiqua" w:hAnsi="Book Antiqua"/>
          <w:sz w:val="24"/>
          <w:szCs w:val="24"/>
        </w:rPr>
        <w:t>experiences</w:t>
      </w:r>
      <w:r w:rsidRPr="006212FF">
        <w:rPr>
          <w:rFonts w:ascii="Book Antiqua" w:hAnsi="Book Antiqua"/>
          <w:sz w:val="24"/>
          <w:szCs w:val="24"/>
          <w:vertAlign w:val="superscript"/>
        </w:rPr>
        <w:t>[</w:t>
      </w:r>
      <w:proofErr w:type="gramEnd"/>
      <w:r w:rsidRPr="006212FF">
        <w:rPr>
          <w:rFonts w:ascii="Book Antiqua" w:hAnsi="Book Antiqua"/>
          <w:sz w:val="24"/>
          <w:szCs w:val="24"/>
          <w:vertAlign w:val="superscript"/>
        </w:rPr>
        <w:t>4</w:t>
      </w:r>
      <w:r w:rsidR="00F73CBC" w:rsidRPr="006212FF">
        <w:rPr>
          <w:rFonts w:ascii="Book Antiqua" w:hAnsi="Book Antiqua"/>
          <w:sz w:val="24"/>
          <w:szCs w:val="24"/>
          <w:vertAlign w:val="superscript"/>
        </w:rPr>
        <w:t>8</w:t>
      </w:r>
      <w:r w:rsidRPr="006212FF">
        <w:rPr>
          <w:rFonts w:ascii="Book Antiqua" w:hAnsi="Book Antiqua"/>
          <w:sz w:val="24"/>
          <w:szCs w:val="24"/>
          <w:vertAlign w:val="superscript"/>
        </w:rPr>
        <w:t>]</w:t>
      </w:r>
      <w:r w:rsidR="00287385" w:rsidRPr="006212FF">
        <w:rPr>
          <w:rFonts w:ascii="Book Antiqua" w:hAnsi="Book Antiqua"/>
          <w:sz w:val="24"/>
          <w:szCs w:val="24"/>
        </w:rPr>
        <w:t>.</w:t>
      </w:r>
      <w:r w:rsidRPr="006212FF">
        <w:rPr>
          <w:rFonts w:ascii="Book Antiqua" w:hAnsi="Book Antiqua"/>
          <w:sz w:val="24"/>
          <w:szCs w:val="24"/>
        </w:rPr>
        <w:t xml:space="preserve"> It provides some guidance while more outcome data is warranted to establish a comprehensive guideline for EVR use in LT. Based on current available data discussed in this review, EVR is an appropriate immunosuppressant for LT recipients as listed in Table 3. </w:t>
      </w:r>
    </w:p>
    <w:p w14:paraId="2492DA03" w14:textId="4712F30D" w:rsidR="00094F0B" w:rsidRPr="006212FF" w:rsidRDefault="00094F0B" w:rsidP="006C5011">
      <w:pPr>
        <w:autoSpaceDE w:val="0"/>
        <w:autoSpaceDN w:val="0"/>
        <w:adjustRightInd w:val="0"/>
        <w:spacing w:after="0" w:line="360" w:lineRule="auto"/>
        <w:ind w:firstLineChars="100" w:firstLine="240"/>
        <w:jc w:val="both"/>
        <w:rPr>
          <w:rFonts w:ascii="Book Antiqua" w:hAnsi="Book Antiqua"/>
          <w:sz w:val="24"/>
          <w:szCs w:val="24"/>
        </w:rPr>
      </w:pPr>
      <w:r w:rsidRPr="006212FF">
        <w:rPr>
          <w:rFonts w:ascii="Book Antiqua" w:hAnsi="Book Antiqua"/>
          <w:sz w:val="24"/>
          <w:szCs w:val="24"/>
        </w:rPr>
        <w:t xml:space="preserve">The increased risk of adverse effects could off-set the benefit of EVR particularly in preserving renal function. Although it has been mentioned that dose reduction was exercised in managing EVR adverse effects, but there were no details on the methods or </w:t>
      </w:r>
      <w:proofErr w:type="gramStart"/>
      <w:r w:rsidR="006C5011">
        <w:rPr>
          <w:rFonts w:ascii="Book Antiqua" w:hAnsi="Book Antiqua"/>
          <w:sz w:val="24"/>
          <w:szCs w:val="24"/>
        </w:rPr>
        <w:lastRenderedPageBreak/>
        <w:t>outcomes</w:t>
      </w:r>
      <w:r w:rsidR="006C5011">
        <w:rPr>
          <w:rFonts w:ascii="Book Antiqua" w:hAnsi="Book Antiqua"/>
          <w:sz w:val="24"/>
          <w:szCs w:val="24"/>
          <w:vertAlign w:val="superscript"/>
        </w:rPr>
        <w:t>[</w:t>
      </w:r>
      <w:proofErr w:type="gramEnd"/>
      <w:r w:rsidR="006C5011">
        <w:rPr>
          <w:rFonts w:ascii="Book Antiqua" w:hAnsi="Book Antiqua"/>
          <w:sz w:val="24"/>
          <w:szCs w:val="24"/>
          <w:vertAlign w:val="superscript"/>
        </w:rPr>
        <w:t>24,41,</w:t>
      </w:r>
      <w:r w:rsidRPr="006212FF">
        <w:rPr>
          <w:rFonts w:ascii="Book Antiqua" w:hAnsi="Book Antiqua"/>
          <w:sz w:val="24"/>
          <w:szCs w:val="24"/>
          <w:vertAlign w:val="superscript"/>
        </w:rPr>
        <w:t>4</w:t>
      </w:r>
      <w:r w:rsidR="00F73CBC" w:rsidRPr="006212FF">
        <w:rPr>
          <w:rFonts w:ascii="Book Antiqua" w:hAnsi="Book Antiqua"/>
          <w:sz w:val="24"/>
          <w:szCs w:val="24"/>
          <w:vertAlign w:val="superscript"/>
        </w:rPr>
        <w:t>9</w:t>
      </w:r>
      <w:r w:rsidRPr="006212FF">
        <w:rPr>
          <w:rFonts w:ascii="Book Antiqua" w:hAnsi="Book Antiqua"/>
          <w:sz w:val="24"/>
          <w:szCs w:val="24"/>
          <w:vertAlign w:val="superscript"/>
        </w:rPr>
        <w:t>]</w:t>
      </w:r>
      <w:r w:rsidRPr="006212FF">
        <w:rPr>
          <w:rFonts w:ascii="Book Antiqua" w:hAnsi="Book Antiqua"/>
          <w:sz w:val="24"/>
          <w:szCs w:val="24"/>
        </w:rPr>
        <w:t xml:space="preserve">. Patient selection and strategies to reduce and </w:t>
      </w:r>
      <w:proofErr w:type="spellStart"/>
      <w:r w:rsidRPr="006212FF">
        <w:rPr>
          <w:rFonts w:ascii="Book Antiqua" w:hAnsi="Book Antiqua"/>
          <w:sz w:val="24"/>
          <w:szCs w:val="24"/>
        </w:rPr>
        <w:t>minimise</w:t>
      </w:r>
      <w:proofErr w:type="spellEnd"/>
      <w:r w:rsidRPr="006212FF">
        <w:rPr>
          <w:rFonts w:ascii="Book Antiqua" w:hAnsi="Book Antiqua"/>
          <w:sz w:val="24"/>
          <w:szCs w:val="24"/>
        </w:rPr>
        <w:t xml:space="preserve"> adverse effects will be key in determining the success of EVR use in LT.</w:t>
      </w:r>
      <w:r w:rsidR="006212FF">
        <w:rPr>
          <w:rFonts w:ascii="Book Antiqua" w:hAnsi="Book Antiqua"/>
          <w:sz w:val="24"/>
          <w:szCs w:val="24"/>
        </w:rPr>
        <w:t xml:space="preserve"> </w:t>
      </w:r>
    </w:p>
    <w:p w14:paraId="5F97C372" w14:textId="77777777" w:rsidR="006C5011" w:rsidRDefault="006C5011" w:rsidP="006212FF">
      <w:pPr>
        <w:spacing w:after="0" w:line="360" w:lineRule="auto"/>
        <w:jc w:val="both"/>
        <w:rPr>
          <w:rFonts w:ascii="Book Antiqua" w:hAnsi="Book Antiqua"/>
          <w:sz w:val="24"/>
          <w:szCs w:val="24"/>
        </w:rPr>
      </w:pPr>
    </w:p>
    <w:p w14:paraId="7294A868" w14:textId="7DD72E8A" w:rsidR="004323A1" w:rsidRPr="006C5011" w:rsidRDefault="006C5011" w:rsidP="006212FF">
      <w:pPr>
        <w:spacing w:after="0" w:line="360" w:lineRule="auto"/>
        <w:jc w:val="both"/>
        <w:rPr>
          <w:rFonts w:ascii="Book Antiqua" w:hAnsi="Book Antiqua"/>
          <w:sz w:val="24"/>
          <w:szCs w:val="24"/>
        </w:rPr>
      </w:pPr>
      <w:r w:rsidRPr="006212FF">
        <w:rPr>
          <w:rFonts w:ascii="Book Antiqua" w:hAnsi="Book Antiqua"/>
          <w:b/>
          <w:sz w:val="24"/>
          <w:szCs w:val="24"/>
        </w:rPr>
        <w:t>CONCLUSION</w:t>
      </w:r>
    </w:p>
    <w:p w14:paraId="4C0D9631" w14:textId="71979A0F" w:rsidR="0055234C" w:rsidRPr="006212FF" w:rsidRDefault="00C06701" w:rsidP="006212FF">
      <w:pPr>
        <w:spacing w:after="0" w:line="360" w:lineRule="auto"/>
        <w:jc w:val="both"/>
        <w:rPr>
          <w:rFonts w:ascii="Book Antiqua" w:hAnsi="Book Antiqua"/>
          <w:sz w:val="24"/>
          <w:szCs w:val="24"/>
        </w:rPr>
      </w:pPr>
      <w:r w:rsidRPr="006212FF">
        <w:rPr>
          <w:rFonts w:ascii="Book Antiqua" w:hAnsi="Book Antiqua"/>
          <w:sz w:val="24"/>
          <w:szCs w:val="24"/>
        </w:rPr>
        <w:t>E</w:t>
      </w:r>
      <w:r w:rsidR="00037815" w:rsidRPr="006212FF">
        <w:rPr>
          <w:rFonts w:ascii="Book Antiqua" w:hAnsi="Book Antiqua"/>
          <w:sz w:val="24"/>
          <w:szCs w:val="24"/>
        </w:rPr>
        <w:t>VR</w:t>
      </w:r>
      <w:r w:rsidRPr="006212FF">
        <w:rPr>
          <w:rFonts w:ascii="Book Antiqua" w:hAnsi="Book Antiqua"/>
          <w:sz w:val="24"/>
          <w:szCs w:val="24"/>
        </w:rPr>
        <w:t xml:space="preserve"> could be a viable alternative immuno</w:t>
      </w:r>
      <w:r w:rsidR="002C2907" w:rsidRPr="006212FF">
        <w:rPr>
          <w:rFonts w:ascii="Book Antiqua" w:hAnsi="Book Antiqua"/>
          <w:sz w:val="24"/>
          <w:szCs w:val="24"/>
        </w:rPr>
        <w:t>su</w:t>
      </w:r>
      <w:r w:rsidRPr="006212FF">
        <w:rPr>
          <w:rFonts w:ascii="Book Antiqua" w:hAnsi="Book Antiqua"/>
          <w:sz w:val="24"/>
          <w:szCs w:val="24"/>
        </w:rPr>
        <w:t>ppress</w:t>
      </w:r>
      <w:r w:rsidR="00E466D5" w:rsidRPr="006212FF">
        <w:rPr>
          <w:rFonts w:ascii="Book Antiqua" w:hAnsi="Book Antiqua"/>
          <w:sz w:val="24"/>
          <w:szCs w:val="24"/>
        </w:rPr>
        <w:t>ant in LT</w:t>
      </w:r>
      <w:r w:rsidRPr="006212FF">
        <w:rPr>
          <w:rFonts w:ascii="Book Antiqua" w:hAnsi="Book Antiqua"/>
          <w:sz w:val="24"/>
          <w:szCs w:val="24"/>
        </w:rPr>
        <w:t xml:space="preserve"> recipients who are at risk of renal impairment.</w:t>
      </w:r>
      <w:r w:rsidR="006212FF">
        <w:rPr>
          <w:rFonts w:ascii="Book Antiqua" w:hAnsi="Book Antiqua"/>
          <w:sz w:val="24"/>
          <w:szCs w:val="24"/>
        </w:rPr>
        <w:t xml:space="preserve"> </w:t>
      </w:r>
      <w:r w:rsidRPr="006212FF">
        <w:rPr>
          <w:rFonts w:ascii="Book Antiqua" w:hAnsi="Book Antiqua"/>
          <w:sz w:val="24"/>
          <w:szCs w:val="24"/>
        </w:rPr>
        <w:t xml:space="preserve">Initiating EVR early </w:t>
      </w:r>
      <w:r w:rsidR="00FC7FB1" w:rsidRPr="006212FF">
        <w:rPr>
          <w:rFonts w:ascii="Book Antiqua" w:hAnsi="Book Antiqua"/>
          <w:sz w:val="24"/>
          <w:szCs w:val="24"/>
        </w:rPr>
        <w:t xml:space="preserve">(from 30 d post-LT and before </w:t>
      </w:r>
      <w:proofErr w:type="spellStart"/>
      <w:r w:rsidR="00FC7FB1" w:rsidRPr="006212FF">
        <w:rPr>
          <w:rFonts w:ascii="Book Antiqua" w:hAnsi="Book Antiqua"/>
          <w:sz w:val="24"/>
          <w:szCs w:val="24"/>
        </w:rPr>
        <w:t>eGFR</w:t>
      </w:r>
      <w:proofErr w:type="spellEnd"/>
      <w:r w:rsidR="00FC7FB1" w:rsidRPr="006212FF">
        <w:rPr>
          <w:rFonts w:ascii="Book Antiqua" w:hAnsi="Book Antiqua"/>
          <w:sz w:val="24"/>
          <w:szCs w:val="24"/>
        </w:rPr>
        <w:t xml:space="preserve"> &lt;</w:t>
      </w:r>
      <w:r w:rsidR="006C5011">
        <w:rPr>
          <w:rFonts w:ascii="Book Antiqua" w:hAnsi="Book Antiqua" w:hint="eastAsia"/>
          <w:sz w:val="24"/>
          <w:szCs w:val="24"/>
        </w:rPr>
        <w:t xml:space="preserve"> </w:t>
      </w:r>
      <w:r w:rsidR="00FC7FB1" w:rsidRPr="006212FF">
        <w:rPr>
          <w:rFonts w:ascii="Book Antiqua" w:hAnsi="Book Antiqua"/>
          <w:sz w:val="24"/>
          <w:szCs w:val="24"/>
        </w:rPr>
        <w:t xml:space="preserve">55 mL/min) </w:t>
      </w:r>
      <w:r w:rsidRPr="006212FF">
        <w:rPr>
          <w:rFonts w:ascii="Book Antiqua" w:hAnsi="Book Antiqua"/>
          <w:sz w:val="24"/>
          <w:szCs w:val="24"/>
        </w:rPr>
        <w:t>post</w:t>
      </w:r>
      <w:r w:rsidR="00E24674" w:rsidRPr="006212FF">
        <w:rPr>
          <w:rFonts w:ascii="Book Antiqua" w:hAnsi="Book Antiqua"/>
          <w:sz w:val="24"/>
          <w:szCs w:val="24"/>
        </w:rPr>
        <w:t>-</w:t>
      </w:r>
      <w:r w:rsidRPr="006212FF">
        <w:rPr>
          <w:rFonts w:ascii="Book Antiqua" w:hAnsi="Book Antiqua"/>
          <w:sz w:val="24"/>
          <w:szCs w:val="24"/>
        </w:rPr>
        <w:t>transplant allow</w:t>
      </w:r>
      <w:r w:rsidR="00037815" w:rsidRPr="006212FF">
        <w:rPr>
          <w:rFonts w:ascii="Book Antiqua" w:hAnsi="Book Antiqua"/>
          <w:sz w:val="24"/>
          <w:szCs w:val="24"/>
        </w:rPr>
        <w:t>s</w:t>
      </w:r>
      <w:r w:rsidRPr="006212FF">
        <w:rPr>
          <w:rFonts w:ascii="Book Antiqua" w:hAnsi="Book Antiqua"/>
          <w:sz w:val="24"/>
          <w:szCs w:val="24"/>
        </w:rPr>
        <w:t xml:space="preserve"> CNI reduction and thus reduce</w:t>
      </w:r>
      <w:r w:rsidR="00E466D5" w:rsidRPr="006212FF">
        <w:rPr>
          <w:rFonts w:ascii="Book Antiqua" w:hAnsi="Book Antiqua"/>
          <w:sz w:val="24"/>
          <w:szCs w:val="24"/>
        </w:rPr>
        <w:t>s</w:t>
      </w:r>
      <w:r w:rsidR="001B06A1" w:rsidRPr="006212FF">
        <w:rPr>
          <w:rFonts w:ascii="Book Antiqua" w:hAnsi="Book Antiqua"/>
          <w:sz w:val="24"/>
          <w:szCs w:val="24"/>
        </w:rPr>
        <w:t xml:space="preserve"> </w:t>
      </w:r>
      <w:r w:rsidR="00037815" w:rsidRPr="006212FF">
        <w:rPr>
          <w:rFonts w:ascii="Book Antiqua" w:hAnsi="Book Antiqua"/>
          <w:sz w:val="24"/>
          <w:szCs w:val="24"/>
        </w:rPr>
        <w:t xml:space="preserve">CNI </w:t>
      </w:r>
      <w:r w:rsidRPr="006212FF">
        <w:rPr>
          <w:rFonts w:ascii="Book Antiqua" w:hAnsi="Book Antiqua"/>
          <w:sz w:val="24"/>
          <w:szCs w:val="24"/>
        </w:rPr>
        <w:t>nephrotoxicity</w:t>
      </w:r>
      <w:r w:rsidR="00E466D5" w:rsidRPr="006212FF">
        <w:rPr>
          <w:rFonts w:ascii="Book Antiqua" w:hAnsi="Book Antiqua"/>
          <w:sz w:val="24"/>
          <w:szCs w:val="24"/>
        </w:rPr>
        <w:t>.</w:t>
      </w:r>
      <w:r w:rsidR="001B06A1" w:rsidRPr="006212FF">
        <w:rPr>
          <w:rFonts w:ascii="Book Antiqua" w:hAnsi="Book Antiqua"/>
          <w:sz w:val="24"/>
          <w:szCs w:val="24"/>
        </w:rPr>
        <w:t xml:space="preserve"> </w:t>
      </w:r>
      <w:r w:rsidR="00924204" w:rsidRPr="006212FF">
        <w:rPr>
          <w:rFonts w:ascii="Book Antiqua" w:hAnsi="Book Antiqua"/>
          <w:sz w:val="24"/>
          <w:szCs w:val="24"/>
        </w:rPr>
        <w:t>Future research to strengthen EVR initiation, switch, or combination strategies and cost-effectiveness analyses would be important.</w:t>
      </w:r>
    </w:p>
    <w:p w14:paraId="7AA65CA8" w14:textId="77777777" w:rsidR="00635A44" w:rsidRPr="006212FF" w:rsidRDefault="00635A44" w:rsidP="006212FF">
      <w:pPr>
        <w:spacing w:after="0" w:line="360" w:lineRule="auto"/>
        <w:jc w:val="both"/>
        <w:rPr>
          <w:rFonts w:ascii="Book Antiqua" w:hAnsi="Book Antiqua"/>
          <w:b/>
          <w:sz w:val="24"/>
          <w:szCs w:val="24"/>
        </w:rPr>
      </w:pPr>
    </w:p>
    <w:p w14:paraId="5B3D9D6E" w14:textId="149DF948" w:rsidR="00F66BE5" w:rsidRPr="006212FF" w:rsidRDefault="00F66BE5" w:rsidP="006212FF">
      <w:pPr>
        <w:spacing w:after="0" w:line="360" w:lineRule="auto"/>
        <w:jc w:val="both"/>
        <w:rPr>
          <w:rFonts w:ascii="Book Antiqua" w:hAnsi="Book Antiqua"/>
          <w:b/>
          <w:sz w:val="24"/>
          <w:szCs w:val="24"/>
        </w:rPr>
      </w:pPr>
      <w:r w:rsidRPr="006212FF">
        <w:rPr>
          <w:rFonts w:ascii="Book Antiqua" w:hAnsi="Book Antiqua"/>
          <w:b/>
          <w:sz w:val="24"/>
          <w:szCs w:val="24"/>
        </w:rPr>
        <w:br w:type="page"/>
      </w:r>
    </w:p>
    <w:p w14:paraId="1F1B2BB3" w14:textId="629C2EF0" w:rsidR="00791B5B" w:rsidRPr="007661F2" w:rsidRDefault="00016F09" w:rsidP="007661F2">
      <w:pPr>
        <w:spacing w:after="0" w:line="360" w:lineRule="auto"/>
        <w:jc w:val="both"/>
        <w:rPr>
          <w:rFonts w:ascii="Book Antiqua" w:hAnsi="Book Antiqua"/>
          <w:b/>
          <w:sz w:val="24"/>
          <w:szCs w:val="24"/>
        </w:rPr>
      </w:pPr>
      <w:r w:rsidRPr="007661F2">
        <w:rPr>
          <w:rFonts w:ascii="Book Antiqua" w:hAnsi="Book Antiqua"/>
          <w:b/>
          <w:sz w:val="24"/>
          <w:szCs w:val="24"/>
        </w:rPr>
        <w:lastRenderedPageBreak/>
        <w:t>REFERENCES</w:t>
      </w:r>
    </w:p>
    <w:p w14:paraId="5450F85F"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 </w:t>
      </w:r>
      <w:r w:rsidRPr="007661F2">
        <w:rPr>
          <w:rFonts w:ascii="Book Antiqua" w:eastAsia="宋体" w:hAnsi="Book Antiqua" w:cs="宋体"/>
          <w:b/>
          <w:bCs/>
          <w:sz w:val="24"/>
          <w:szCs w:val="24"/>
        </w:rPr>
        <w:t>Kim WR</w:t>
      </w:r>
      <w:r w:rsidRPr="007661F2">
        <w:rPr>
          <w:rFonts w:ascii="Book Antiqua" w:eastAsia="宋体" w:hAnsi="Book Antiqua" w:cs="宋体"/>
          <w:sz w:val="24"/>
          <w:szCs w:val="24"/>
        </w:rPr>
        <w:t xml:space="preserve">, Lake JR, Smith JM, </w:t>
      </w:r>
      <w:proofErr w:type="spellStart"/>
      <w:r w:rsidRPr="007661F2">
        <w:rPr>
          <w:rFonts w:ascii="Book Antiqua" w:eastAsia="宋体" w:hAnsi="Book Antiqua" w:cs="宋体"/>
          <w:sz w:val="24"/>
          <w:szCs w:val="24"/>
        </w:rPr>
        <w:t>Skeans</w:t>
      </w:r>
      <w:proofErr w:type="spellEnd"/>
      <w:r w:rsidRPr="007661F2">
        <w:rPr>
          <w:rFonts w:ascii="Book Antiqua" w:eastAsia="宋体" w:hAnsi="Book Antiqua" w:cs="宋体"/>
          <w:sz w:val="24"/>
          <w:szCs w:val="24"/>
        </w:rPr>
        <w:t xml:space="preserve"> MA, </w:t>
      </w:r>
      <w:proofErr w:type="spellStart"/>
      <w:r w:rsidRPr="007661F2">
        <w:rPr>
          <w:rFonts w:ascii="Book Antiqua" w:eastAsia="宋体" w:hAnsi="Book Antiqua" w:cs="宋体"/>
          <w:sz w:val="24"/>
          <w:szCs w:val="24"/>
        </w:rPr>
        <w:t>Schladt</w:t>
      </w:r>
      <w:proofErr w:type="spellEnd"/>
      <w:r w:rsidRPr="007661F2">
        <w:rPr>
          <w:rFonts w:ascii="Book Antiqua" w:eastAsia="宋体" w:hAnsi="Book Antiqua" w:cs="宋体"/>
          <w:sz w:val="24"/>
          <w:szCs w:val="24"/>
        </w:rPr>
        <w:t xml:space="preserve"> DP, Edwards EB, Harper AM, </w:t>
      </w:r>
      <w:proofErr w:type="spellStart"/>
      <w:r w:rsidRPr="007661F2">
        <w:rPr>
          <w:rFonts w:ascii="Book Antiqua" w:eastAsia="宋体" w:hAnsi="Book Antiqua" w:cs="宋体"/>
          <w:sz w:val="24"/>
          <w:szCs w:val="24"/>
        </w:rPr>
        <w:t>Wainright</w:t>
      </w:r>
      <w:proofErr w:type="spellEnd"/>
      <w:r w:rsidRPr="007661F2">
        <w:rPr>
          <w:rFonts w:ascii="Book Antiqua" w:eastAsia="宋体" w:hAnsi="Book Antiqua" w:cs="宋体"/>
          <w:sz w:val="24"/>
          <w:szCs w:val="24"/>
        </w:rPr>
        <w:t xml:space="preserve"> JL, Snyder JJ, </w:t>
      </w:r>
      <w:proofErr w:type="spellStart"/>
      <w:r w:rsidRPr="007661F2">
        <w:rPr>
          <w:rFonts w:ascii="Book Antiqua" w:eastAsia="宋体" w:hAnsi="Book Antiqua" w:cs="宋体"/>
          <w:sz w:val="24"/>
          <w:szCs w:val="24"/>
        </w:rPr>
        <w:t>Israni</w:t>
      </w:r>
      <w:proofErr w:type="spellEnd"/>
      <w:r w:rsidRPr="007661F2">
        <w:rPr>
          <w:rFonts w:ascii="Book Antiqua" w:eastAsia="宋体" w:hAnsi="Book Antiqua" w:cs="宋体"/>
          <w:sz w:val="24"/>
          <w:szCs w:val="24"/>
        </w:rPr>
        <w:t xml:space="preserve"> AK, </w:t>
      </w:r>
      <w:proofErr w:type="spellStart"/>
      <w:r w:rsidRPr="007661F2">
        <w:rPr>
          <w:rFonts w:ascii="Book Antiqua" w:eastAsia="宋体" w:hAnsi="Book Antiqua" w:cs="宋体"/>
          <w:sz w:val="24"/>
          <w:szCs w:val="24"/>
        </w:rPr>
        <w:t>Kasiske</w:t>
      </w:r>
      <w:proofErr w:type="spellEnd"/>
      <w:r w:rsidRPr="007661F2">
        <w:rPr>
          <w:rFonts w:ascii="Book Antiqua" w:eastAsia="宋体" w:hAnsi="Book Antiqua" w:cs="宋体"/>
          <w:sz w:val="24"/>
          <w:szCs w:val="24"/>
        </w:rPr>
        <w:t xml:space="preserve"> BL. OPTN/SRTR 2013 Annual Data Report: liver. </w:t>
      </w:r>
      <w:r w:rsidRPr="007661F2">
        <w:rPr>
          <w:rFonts w:ascii="Book Antiqua" w:eastAsia="宋体" w:hAnsi="Book Antiqua" w:cs="宋体"/>
          <w:i/>
          <w:iCs/>
          <w:sz w:val="24"/>
          <w:szCs w:val="24"/>
        </w:rPr>
        <w:t>Am J Transplant</w:t>
      </w:r>
      <w:r w:rsidRPr="007661F2">
        <w:rPr>
          <w:rFonts w:ascii="Book Antiqua" w:eastAsia="宋体" w:hAnsi="Book Antiqua" w:cs="宋体"/>
          <w:sz w:val="24"/>
          <w:szCs w:val="24"/>
        </w:rPr>
        <w:t xml:space="preserve"> 2015; </w:t>
      </w:r>
      <w:r w:rsidRPr="007661F2">
        <w:rPr>
          <w:rFonts w:ascii="Book Antiqua" w:eastAsia="宋体" w:hAnsi="Book Antiqua" w:cs="宋体"/>
          <w:b/>
          <w:bCs/>
          <w:sz w:val="24"/>
          <w:szCs w:val="24"/>
        </w:rPr>
        <w:t xml:space="preserve">15 </w:t>
      </w:r>
      <w:proofErr w:type="spellStart"/>
      <w:r w:rsidRPr="007661F2">
        <w:rPr>
          <w:rFonts w:ascii="Book Antiqua" w:eastAsia="宋体" w:hAnsi="Book Antiqua" w:cs="宋体"/>
          <w:bCs/>
          <w:sz w:val="24"/>
          <w:szCs w:val="24"/>
        </w:rPr>
        <w:t>Suppl</w:t>
      </w:r>
      <w:proofErr w:type="spellEnd"/>
      <w:r w:rsidRPr="007661F2">
        <w:rPr>
          <w:rFonts w:ascii="Book Antiqua" w:eastAsia="宋体" w:hAnsi="Book Antiqua" w:cs="宋体"/>
          <w:bCs/>
          <w:sz w:val="24"/>
          <w:szCs w:val="24"/>
        </w:rPr>
        <w:t xml:space="preserve"> 2</w:t>
      </w:r>
      <w:r w:rsidRPr="007661F2">
        <w:rPr>
          <w:rFonts w:ascii="Book Antiqua" w:eastAsia="宋体" w:hAnsi="Book Antiqua" w:cs="宋体"/>
          <w:sz w:val="24"/>
          <w:szCs w:val="24"/>
        </w:rPr>
        <w:t>: 1-28 [PMID: 25626341 DOI: 10.1111/ajt.13197]</w:t>
      </w:r>
    </w:p>
    <w:p w14:paraId="415547C0"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 </w:t>
      </w:r>
      <w:proofErr w:type="spellStart"/>
      <w:r w:rsidRPr="007661F2">
        <w:rPr>
          <w:rFonts w:ascii="Book Antiqua" w:eastAsia="宋体" w:hAnsi="Book Antiqua" w:cs="宋体"/>
          <w:b/>
          <w:bCs/>
          <w:sz w:val="24"/>
          <w:szCs w:val="24"/>
        </w:rPr>
        <w:t>Moini</w:t>
      </w:r>
      <w:proofErr w:type="spellEnd"/>
      <w:r w:rsidRPr="007661F2">
        <w:rPr>
          <w:rFonts w:ascii="Book Antiqua" w:eastAsia="宋体" w:hAnsi="Book Antiqua" w:cs="宋体"/>
          <w:b/>
          <w:bCs/>
          <w:sz w:val="24"/>
          <w:szCs w:val="24"/>
        </w:rPr>
        <w:t xml:space="preserve"> M</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Schilsky</w:t>
      </w:r>
      <w:proofErr w:type="spellEnd"/>
      <w:r w:rsidRPr="007661F2">
        <w:rPr>
          <w:rFonts w:ascii="Book Antiqua" w:eastAsia="宋体" w:hAnsi="Book Antiqua" w:cs="宋体"/>
          <w:sz w:val="24"/>
          <w:szCs w:val="24"/>
        </w:rPr>
        <w:t xml:space="preserve"> ML, </w:t>
      </w:r>
      <w:proofErr w:type="spellStart"/>
      <w:r w:rsidRPr="007661F2">
        <w:rPr>
          <w:rFonts w:ascii="Book Antiqua" w:eastAsia="宋体" w:hAnsi="Book Antiqua" w:cs="宋体"/>
          <w:sz w:val="24"/>
          <w:szCs w:val="24"/>
        </w:rPr>
        <w:t>Tichy</w:t>
      </w:r>
      <w:proofErr w:type="spellEnd"/>
      <w:r w:rsidRPr="007661F2">
        <w:rPr>
          <w:rFonts w:ascii="Book Antiqua" w:eastAsia="宋体" w:hAnsi="Book Antiqua" w:cs="宋体"/>
          <w:sz w:val="24"/>
          <w:szCs w:val="24"/>
        </w:rPr>
        <w:t xml:space="preserve"> EM. Review on immunosuppression in liver transplantation. </w:t>
      </w:r>
      <w:r w:rsidRPr="007661F2">
        <w:rPr>
          <w:rFonts w:ascii="Book Antiqua" w:eastAsia="宋体" w:hAnsi="Book Antiqua" w:cs="宋体"/>
          <w:i/>
          <w:iCs/>
          <w:sz w:val="24"/>
          <w:szCs w:val="24"/>
        </w:rPr>
        <w:t xml:space="preserve">World J </w:t>
      </w:r>
      <w:proofErr w:type="spellStart"/>
      <w:r w:rsidRPr="007661F2">
        <w:rPr>
          <w:rFonts w:ascii="Book Antiqua" w:eastAsia="宋体" w:hAnsi="Book Antiqua" w:cs="宋体"/>
          <w:i/>
          <w:iCs/>
          <w:sz w:val="24"/>
          <w:szCs w:val="24"/>
        </w:rPr>
        <w:t>Hepatol</w:t>
      </w:r>
      <w:proofErr w:type="spellEnd"/>
      <w:r w:rsidRPr="007661F2">
        <w:rPr>
          <w:rFonts w:ascii="Book Antiqua" w:eastAsia="宋体" w:hAnsi="Book Antiqua" w:cs="宋体"/>
          <w:sz w:val="24"/>
          <w:szCs w:val="24"/>
        </w:rPr>
        <w:t xml:space="preserve"> 2015; </w:t>
      </w:r>
      <w:r w:rsidRPr="007661F2">
        <w:rPr>
          <w:rFonts w:ascii="Book Antiqua" w:eastAsia="宋体" w:hAnsi="Book Antiqua" w:cs="宋体"/>
          <w:b/>
          <w:bCs/>
          <w:sz w:val="24"/>
          <w:szCs w:val="24"/>
        </w:rPr>
        <w:t>7</w:t>
      </w:r>
      <w:r w:rsidRPr="007661F2">
        <w:rPr>
          <w:rFonts w:ascii="Book Antiqua" w:eastAsia="宋体" w:hAnsi="Book Antiqua" w:cs="宋体"/>
          <w:sz w:val="24"/>
          <w:szCs w:val="24"/>
        </w:rPr>
        <w:t>: 1355-1368 [PMID: 26052381 DOI: 10.4254/wjh.v7.i10.1355]</w:t>
      </w:r>
    </w:p>
    <w:p w14:paraId="7FAE7886"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3 </w:t>
      </w:r>
      <w:r w:rsidRPr="007661F2">
        <w:rPr>
          <w:rFonts w:ascii="Book Antiqua" w:eastAsia="宋体" w:hAnsi="Book Antiqua" w:cs="宋体"/>
          <w:b/>
          <w:bCs/>
          <w:sz w:val="24"/>
          <w:szCs w:val="24"/>
        </w:rPr>
        <w:t>Jain A</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Singhal</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Fontes</w:t>
      </w:r>
      <w:proofErr w:type="spellEnd"/>
      <w:r w:rsidRPr="007661F2">
        <w:rPr>
          <w:rFonts w:ascii="Book Antiqua" w:eastAsia="宋体" w:hAnsi="Book Antiqua" w:cs="宋体"/>
          <w:sz w:val="24"/>
          <w:szCs w:val="24"/>
        </w:rPr>
        <w:t xml:space="preserve"> P, </w:t>
      </w:r>
      <w:proofErr w:type="spellStart"/>
      <w:r w:rsidRPr="007661F2">
        <w:rPr>
          <w:rFonts w:ascii="Book Antiqua" w:eastAsia="宋体" w:hAnsi="Book Antiqua" w:cs="宋体"/>
          <w:sz w:val="24"/>
          <w:szCs w:val="24"/>
        </w:rPr>
        <w:t>Mazariegos</w:t>
      </w:r>
      <w:proofErr w:type="spellEnd"/>
      <w:r w:rsidRPr="007661F2">
        <w:rPr>
          <w:rFonts w:ascii="Book Antiqua" w:eastAsia="宋体" w:hAnsi="Book Antiqua" w:cs="宋体"/>
          <w:sz w:val="24"/>
          <w:szCs w:val="24"/>
        </w:rPr>
        <w:t xml:space="preserve"> G, </w:t>
      </w:r>
      <w:proofErr w:type="spellStart"/>
      <w:r w:rsidRPr="007661F2">
        <w:rPr>
          <w:rFonts w:ascii="Book Antiqua" w:eastAsia="宋体" w:hAnsi="Book Antiqua" w:cs="宋体"/>
          <w:sz w:val="24"/>
          <w:szCs w:val="24"/>
        </w:rPr>
        <w:t>DeVera</w:t>
      </w:r>
      <w:proofErr w:type="spellEnd"/>
      <w:r w:rsidRPr="007661F2">
        <w:rPr>
          <w:rFonts w:ascii="Book Antiqua" w:eastAsia="宋体" w:hAnsi="Book Antiqua" w:cs="宋体"/>
          <w:sz w:val="24"/>
          <w:szCs w:val="24"/>
        </w:rPr>
        <w:t xml:space="preserve"> ME, </w:t>
      </w:r>
      <w:proofErr w:type="spellStart"/>
      <w:r w:rsidRPr="007661F2">
        <w:rPr>
          <w:rFonts w:ascii="Book Antiqua" w:eastAsia="宋体" w:hAnsi="Book Antiqua" w:cs="宋体"/>
          <w:sz w:val="24"/>
          <w:szCs w:val="24"/>
        </w:rPr>
        <w:t>Cacciarelli</w:t>
      </w:r>
      <w:proofErr w:type="spellEnd"/>
      <w:r w:rsidRPr="007661F2">
        <w:rPr>
          <w:rFonts w:ascii="Book Antiqua" w:eastAsia="宋体" w:hAnsi="Book Antiqua" w:cs="宋体"/>
          <w:sz w:val="24"/>
          <w:szCs w:val="24"/>
        </w:rPr>
        <w:t xml:space="preserve"> T, Lopez RC, Sindhi R, </w:t>
      </w:r>
      <w:proofErr w:type="spellStart"/>
      <w:r w:rsidRPr="007661F2">
        <w:rPr>
          <w:rFonts w:ascii="Book Antiqua" w:eastAsia="宋体" w:hAnsi="Book Antiqua" w:cs="宋体"/>
          <w:sz w:val="24"/>
          <w:szCs w:val="24"/>
        </w:rPr>
        <w:t>Humar</w:t>
      </w:r>
      <w:proofErr w:type="spellEnd"/>
      <w:r w:rsidRPr="007661F2">
        <w:rPr>
          <w:rFonts w:ascii="Book Antiqua" w:eastAsia="宋体" w:hAnsi="Book Antiqua" w:cs="宋体"/>
          <w:sz w:val="24"/>
          <w:szCs w:val="24"/>
        </w:rPr>
        <w:t xml:space="preserve"> A, Marsh JW. One thousand consecutive primary liver transplants under </w:t>
      </w:r>
      <w:proofErr w:type="spellStart"/>
      <w:r w:rsidRPr="007661F2">
        <w:rPr>
          <w:rFonts w:ascii="Book Antiqua" w:eastAsia="宋体" w:hAnsi="Book Antiqua" w:cs="宋体"/>
          <w:sz w:val="24"/>
          <w:szCs w:val="24"/>
        </w:rPr>
        <w:t>tacrolimus</w:t>
      </w:r>
      <w:proofErr w:type="spellEnd"/>
      <w:r w:rsidRPr="007661F2">
        <w:rPr>
          <w:rFonts w:ascii="Book Antiqua" w:eastAsia="宋体" w:hAnsi="Book Antiqua" w:cs="宋体"/>
          <w:sz w:val="24"/>
          <w:szCs w:val="24"/>
        </w:rPr>
        <w:t xml:space="preserve"> immunosuppression: a 17- to 20-year longitudinal follow-up. </w:t>
      </w:r>
      <w:r w:rsidRPr="007661F2">
        <w:rPr>
          <w:rFonts w:ascii="Book Antiqua" w:eastAsia="宋体" w:hAnsi="Book Antiqua" w:cs="宋体"/>
          <w:i/>
          <w:iCs/>
          <w:sz w:val="24"/>
          <w:szCs w:val="24"/>
        </w:rPr>
        <w:t>Transplantation</w:t>
      </w:r>
      <w:r w:rsidRPr="007661F2">
        <w:rPr>
          <w:rFonts w:ascii="Book Antiqua" w:eastAsia="宋体" w:hAnsi="Book Antiqua" w:cs="宋体"/>
          <w:sz w:val="24"/>
          <w:szCs w:val="24"/>
        </w:rPr>
        <w:t xml:space="preserve"> 2011; </w:t>
      </w:r>
      <w:r w:rsidRPr="007661F2">
        <w:rPr>
          <w:rFonts w:ascii="Book Antiqua" w:eastAsia="宋体" w:hAnsi="Book Antiqua" w:cs="宋体"/>
          <w:b/>
          <w:bCs/>
          <w:sz w:val="24"/>
          <w:szCs w:val="24"/>
        </w:rPr>
        <w:t>91</w:t>
      </w:r>
      <w:r w:rsidRPr="007661F2">
        <w:rPr>
          <w:rFonts w:ascii="Book Antiqua" w:eastAsia="宋体" w:hAnsi="Book Antiqua" w:cs="宋体"/>
          <w:sz w:val="24"/>
          <w:szCs w:val="24"/>
        </w:rPr>
        <w:t>: 1025-1030 [PMID: 21378604 DOI: 10.1097/TP.0b013e3182129215]</w:t>
      </w:r>
    </w:p>
    <w:p w14:paraId="63529C79" w14:textId="5F251635"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4 </w:t>
      </w:r>
      <w:proofErr w:type="spellStart"/>
      <w:r w:rsidRPr="007661F2">
        <w:rPr>
          <w:rFonts w:ascii="Book Antiqua" w:eastAsia="宋体" w:hAnsi="Book Antiqua" w:cs="宋体"/>
          <w:b/>
          <w:bCs/>
          <w:sz w:val="24"/>
          <w:szCs w:val="24"/>
        </w:rPr>
        <w:t>Busuttil</w:t>
      </w:r>
      <w:proofErr w:type="spellEnd"/>
      <w:r w:rsidRPr="007661F2">
        <w:rPr>
          <w:rFonts w:ascii="Book Antiqua" w:eastAsia="宋体" w:hAnsi="Book Antiqua" w:cs="宋体"/>
          <w:b/>
          <w:bCs/>
          <w:sz w:val="24"/>
          <w:szCs w:val="24"/>
        </w:rPr>
        <w:t xml:space="preserve"> RW</w:t>
      </w:r>
      <w:r w:rsidRPr="007661F2">
        <w:rPr>
          <w:rFonts w:ascii="Book Antiqua" w:eastAsia="宋体" w:hAnsi="Book Antiqua" w:cs="宋体"/>
          <w:sz w:val="24"/>
          <w:szCs w:val="24"/>
        </w:rPr>
        <w:t xml:space="preserve">, Farmer DG, </w:t>
      </w:r>
      <w:proofErr w:type="spellStart"/>
      <w:r w:rsidRPr="007661F2">
        <w:rPr>
          <w:rFonts w:ascii="Book Antiqua" w:eastAsia="宋体" w:hAnsi="Book Antiqua" w:cs="宋体"/>
          <w:sz w:val="24"/>
          <w:szCs w:val="24"/>
        </w:rPr>
        <w:t>Yersiz</w:t>
      </w:r>
      <w:proofErr w:type="spellEnd"/>
      <w:r w:rsidRPr="007661F2">
        <w:rPr>
          <w:rFonts w:ascii="Book Antiqua" w:eastAsia="宋体" w:hAnsi="Book Antiqua" w:cs="宋体"/>
          <w:sz w:val="24"/>
          <w:szCs w:val="24"/>
        </w:rPr>
        <w:t xml:space="preserve"> H, Hiatt JR, </w:t>
      </w:r>
      <w:proofErr w:type="spellStart"/>
      <w:r w:rsidRPr="007661F2">
        <w:rPr>
          <w:rFonts w:ascii="Book Antiqua" w:eastAsia="宋体" w:hAnsi="Book Antiqua" w:cs="宋体"/>
          <w:sz w:val="24"/>
          <w:szCs w:val="24"/>
        </w:rPr>
        <w:t>McDiarmid</w:t>
      </w:r>
      <w:proofErr w:type="spellEnd"/>
      <w:r w:rsidRPr="007661F2">
        <w:rPr>
          <w:rFonts w:ascii="Book Antiqua" w:eastAsia="宋体" w:hAnsi="Book Antiqua" w:cs="宋体"/>
          <w:sz w:val="24"/>
          <w:szCs w:val="24"/>
        </w:rPr>
        <w:t xml:space="preserve"> SV, Goldstein LI, Saab S, Han S, </w:t>
      </w:r>
      <w:proofErr w:type="spellStart"/>
      <w:r w:rsidRPr="007661F2">
        <w:rPr>
          <w:rFonts w:ascii="Book Antiqua" w:eastAsia="宋体" w:hAnsi="Book Antiqua" w:cs="宋体"/>
          <w:sz w:val="24"/>
          <w:szCs w:val="24"/>
        </w:rPr>
        <w:t>Durazo</w:t>
      </w:r>
      <w:proofErr w:type="spellEnd"/>
      <w:r w:rsidRPr="007661F2">
        <w:rPr>
          <w:rFonts w:ascii="Book Antiqua" w:eastAsia="宋体" w:hAnsi="Book Antiqua" w:cs="宋体"/>
          <w:sz w:val="24"/>
          <w:szCs w:val="24"/>
        </w:rPr>
        <w:t xml:space="preserve"> F, Weaver M, Cao C, Chen T, </w:t>
      </w:r>
      <w:proofErr w:type="spellStart"/>
      <w:r w:rsidRPr="007661F2">
        <w:rPr>
          <w:rFonts w:ascii="Book Antiqua" w:eastAsia="宋体" w:hAnsi="Book Antiqua" w:cs="宋体"/>
          <w:sz w:val="24"/>
          <w:szCs w:val="24"/>
        </w:rPr>
        <w:t>Lipshutz</w:t>
      </w:r>
      <w:proofErr w:type="spellEnd"/>
      <w:r w:rsidRPr="007661F2">
        <w:rPr>
          <w:rFonts w:ascii="Book Antiqua" w:eastAsia="宋体" w:hAnsi="Book Antiqua" w:cs="宋体"/>
          <w:sz w:val="24"/>
          <w:szCs w:val="24"/>
        </w:rPr>
        <w:t xml:space="preserve"> GS, Holt C, Gordon S, </w:t>
      </w:r>
      <w:proofErr w:type="spellStart"/>
      <w:r w:rsidRPr="007661F2">
        <w:rPr>
          <w:rFonts w:ascii="Book Antiqua" w:eastAsia="宋体" w:hAnsi="Book Antiqua" w:cs="宋体"/>
          <w:sz w:val="24"/>
          <w:szCs w:val="24"/>
        </w:rPr>
        <w:t>Gornbein</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Amersi</w:t>
      </w:r>
      <w:proofErr w:type="spellEnd"/>
      <w:r w:rsidRPr="007661F2">
        <w:rPr>
          <w:rFonts w:ascii="Book Antiqua" w:eastAsia="宋体" w:hAnsi="Book Antiqua" w:cs="宋体"/>
          <w:sz w:val="24"/>
          <w:szCs w:val="24"/>
        </w:rPr>
        <w:t xml:space="preserve"> F, </w:t>
      </w:r>
      <w:proofErr w:type="spellStart"/>
      <w:r w:rsidRPr="007661F2">
        <w:rPr>
          <w:rFonts w:ascii="Book Antiqua" w:eastAsia="宋体" w:hAnsi="Book Antiqua" w:cs="宋体"/>
          <w:sz w:val="24"/>
          <w:szCs w:val="24"/>
        </w:rPr>
        <w:t>Ghobrial</w:t>
      </w:r>
      <w:proofErr w:type="spellEnd"/>
      <w:r w:rsidRPr="007661F2">
        <w:rPr>
          <w:rFonts w:ascii="Book Antiqua" w:eastAsia="宋体" w:hAnsi="Book Antiqua" w:cs="宋体"/>
          <w:sz w:val="24"/>
          <w:szCs w:val="24"/>
        </w:rPr>
        <w:t xml:space="preserve"> RM. Analysis of long-term outcomes of 3200 liver transplantations over two decades: a single-center experience. </w:t>
      </w:r>
      <w:r w:rsidRPr="007661F2">
        <w:rPr>
          <w:rFonts w:ascii="Book Antiqua" w:eastAsia="宋体" w:hAnsi="Book Antiqua" w:cs="宋体"/>
          <w:i/>
          <w:iCs/>
          <w:sz w:val="24"/>
          <w:szCs w:val="24"/>
        </w:rPr>
        <w:t xml:space="preserve">Ann </w:t>
      </w:r>
      <w:proofErr w:type="spellStart"/>
      <w:r w:rsidRPr="007661F2">
        <w:rPr>
          <w:rFonts w:ascii="Book Antiqua" w:eastAsia="宋体" w:hAnsi="Book Antiqua" w:cs="宋体"/>
          <w:i/>
          <w:iCs/>
          <w:sz w:val="24"/>
          <w:szCs w:val="24"/>
        </w:rPr>
        <w:t>Surg</w:t>
      </w:r>
      <w:proofErr w:type="spellEnd"/>
      <w:r w:rsidRPr="007661F2">
        <w:rPr>
          <w:rFonts w:ascii="Book Antiqua" w:eastAsia="宋体" w:hAnsi="Book Antiqua" w:cs="宋体"/>
          <w:sz w:val="24"/>
          <w:szCs w:val="24"/>
        </w:rPr>
        <w:t xml:space="preserve"> 2005; </w:t>
      </w:r>
      <w:r w:rsidRPr="007661F2">
        <w:rPr>
          <w:rFonts w:ascii="Book Antiqua" w:eastAsia="宋体" w:hAnsi="Book Antiqua" w:cs="宋体"/>
          <w:b/>
          <w:bCs/>
          <w:sz w:val="24"/>
          <w:szCs w:val="24"/>
        </w:rPr>
        <w:t>241</w:t>
      </w:r>
      <w:r w:rsidRPr="007661F2">
        <w:rPr>
          <w:rFonts w:ascii="Book Antiqua" w:eastAsia="宋体" w:hAnsi="Book Antiqua" w:cs="宋体"/>
          <w:sz w:val="24"/>
          <w:szCs w:val="24"/>
        </w:rPr>
        <w:t>: 905-</w:t>
      </w:r>
      <w:r w:rsidR="002F1A2D">
        <w:rPr>
          <w:rFonts w:ascii="Book Antiqua" w:eastAsia="宋体" w:hAnsi="Book Antiqua" w:cs="宋体" w:hint="eastAsia"/>
          <w:sz w:val="24"/>
          <w:szCs w:val="24"/>
        </w:rPr>
        <w:t>9</w:t>
      </w:r>
      <w:r w:rsidRPr="007661F2">
        <w:rPr>
          <w:rFonts w:ascii="Book Antiqua" w:eastAsia="宋体" w:hAnsi="Book Antiqua" w:cs="宋体"/>
          <w:sz w:val="24"/>
          <w:szCs w:val="24"/>
        </w:rPr>
        <w:t>16; discussion 916-</w:t>
      </w:r>
      <w:r w:rsidR="002F1A2D">
        <w:rPr>
          <w:rFonts w:ascii="Book Antiqua" w:eastAsia="宋体" w:hAnsi="Book Antiqua" w:cs="宋体" w:hint="eastAsia"/>
          <w:sz w:val="24"/>
          <w:szCs w:val="24"/>
        </w:rPr>
        <w:t>91</w:t>
      </w:r>
      <w:r w:rsidRPr="007661F2">
        <w:rPr>
          <w:rFonts w:ascii="Book Antiqua" w:eastAsia="宋体" w:hAnsi="Book Antiqua" w:cs="宋体"/>
          <w:sz w:val="24"/>
          <w:szCs w:val="24"/>
        </w:rPr>
        <w:t>8 [PMID: 15912040 DOI: 10.1097/01.sla.0000164077.77912.98]</w:t>
      </w:r>
    </w:p>
    <w:p w14:paraId="7349A818"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5 </w:t>
      </w:r>
      <w:proofErr w:type="spellStart"/>
      <w:r w:rsidRPr="007661F2">
        <w:rPr>
          <w:rFonts w:ascii="Book Antiqua" w:eastAsia="宋体" w:hAnsi="Book Antiqua" w:cs="宋体"/>
          <w:b/>
          <w:bCs/>
          <w:sz w:val="24"/>
          <w:szCs w:val="24"/>
        </w:rPr>
        <w:t>Ojo</w:t>
      </w:r>
      <w:proofErr w:type="spellEnd"/>
      <w:r w:rsidRPr="007661F2">
        <w:rPr>
          <w:rFonts w:ascii="Book Antiqua" w:eastAsia="宋体" w:hAnsi="Book Antiqua" w:cs="宋体"/>
          <w:b/>
          <w:bCs/>
          <w:sz w:val="24"/>
          <w:szCs w:val="24"/>
        </w:rPr>
        <w:t xml:space="preserve"> AO</w:t>
      </w:r>
      <w:r w:rsidRPr="007661F2">
        <w:rPr>
          <w:rFonts w:ascii="Book Antiqua" w:eastAsia="宋体" w:hAnsi="Book Antiqua" w:cs="宋体"/>
          <w:sz w:val="24"/>
          <w:szCs w:val="24"/>
        </w:rPr>
        <w:t xml:space="preserve">, Held PJ, Port FK, Wolfe RA, </w:t>
      </w:r>
      <w:proofErr w:type="spellStart"/>
      <w:r w:rsidRPr="007661F2">
        <w:rPr>
          <w:rFonts w:ascii="Book Antiqua" w:eastAsia="宋体" w:hAnsi="Book Antiqua" w:cs="宋体"/>
          <w:sz w:val="24"/>
          <w:szCs w:val="24"/>
        </w:rPr>
        <w:t>Leichtman</w:t>
      </w:r>
      <w:proofErr w:type="spellEnd"/>
      <w:r w:rsidRPr="007661F2">
        <w:rPr>
          <w:rFonts w:ascii="Book Antiqua" w:eastAsia="宋体" w:hAnsi="Book Antiqua" w:cs="宋体"/>
          <w:sz w:val="24"/>
          <w:szCs w:val="24"/>
        </w:rPr>
        <w:t xml:space="preserve"> AB, Young EW, </w:t>
      </w:r>
      <w:proofErr w:type="spellStart"/>
      <w:r w:rsidRPr="007661F2">
        <w:rPr>
          <w:rFonts w:ascii="Book Antiqua" w:eastAsia="宋体" w:hAnsi="Book Antiqua" w:cs="宋体"/>
          <w:sz w:val="24"/>
          <w:szCs w:val="24"/>
        </w:rPr>
        <w:t>Arndorfer</w:t>
      </w:r>
      <w:proofErr w:type="spellEnd"/>
      <w:r w:rsidRPr="007661F2">
        <w:rPr>
          <w:rFonts w:ascii="Book Antiqua" w:eastAsia="宋体" w:hAnsi="Book Antiqua" w:cs="宋体"/>
          <w:sz w:val="24"/>
          <w:szCs w:val="24"/>
        </w:rPr>
        <w:t xml:space="preserve"> J, Christensen L, Merion RM. Chronic renal failure after transplantation of a </w:t>
      </w:r>
      <w:proofErr w:type="spellStart"/>
      <w:r w:rsidRPr="007661F2">
        <w:rPr>
          <w:rFonts w:ascii="Book Antiqua" w:eastAsia="宋体" w:hAnsi="Book Antiqua" w:cs="宋体"/>
          <w:sz w:val="24"/>
          <w:szCs w:val="24"/>
        </w:rPr>
        <w:t>nonrenal</w:t>
      </w:r>
      <w:proofErr w:type="spellEnd"/>
      <w:r w:rsidRPr="007661F2">
        <w:rPr>
          <w:rFonts w:ascii="Book Antiqua" w:eastAsia="宋体" w:hAnsi="Book Antiqua" w:cs="宋体"/>
          <w:sz w:val="24"/>
          <w:szCs w:val="24"/>
        </w:rPr>
        <w:t xml:space="preserve"> organ. </w:t>
      </w:r>
      <w:r w:rsidRPr="007661F2">
        <w:rPr>
          <w:rFonts w:ascii="Book Antiqua" w:eastAsia="宋体" w:hAnsi="Book Antiqua" w:cs="宋体"/>
          <w:i/>
          <w:iCs/>
          <w:sz w:val="24"/>
          <w:szCs w:val="24"/>
        </w:rPr>
        <w:t xml:space="preserve">N </w:t>
      </w:r>
      <w:proofErr w:type="spellStart"/>
      <w:r w:rsidRPr="007661F2">
        <w:rPr>
          <w:rFonts w:ascii="Book Antiqua" w:eastAsia="宋体" w:hAnsi="Book Antiqua" w:cs="宋体"/>
          <w:i/>
          <w:iCs/>
          <w:sz w:val="24"/>
          <w:szCs w:val="24"/>
        </w:rPr>
        <w:t>Engl</w:t>
      </w:r>
      <w:proofErr w:type="spellEnd"/>
      <w:r w:rsidRPr="007661F2">
        <w:rPr>
          <w:rFonts w:ascii="Book Antiqua" w:eastAsia="宋体" w:hAnsi="Book Antiqua" w:cs="宋体"/>
          <w:i/>
          <w:iCs/>
          <w:sz w:val="24"/>
          <w:szCs w:val="24"/>
        </w:rPr>
        <w:t xml:space="preserve"> J Med</w:t>
      </w:r>
      <w:r w:rsidRPr="007661F2">
        <w:rPr>
          <w:rFonts w:ascii="Book Antiqua" w:eastAsia="宋体" w:hAnsi="Book Antiqua" w:cs="宋体"/>
          <w:sz w:val="24"/>
          <w:szCs w:val="24"/>
        </w:rPr>
        <w:t xml:space="preserve"> 2003; </w:t>
      </w:r>
      <w:r w:rsidRPr="007661F2">
        <w:rPr>
          <w:rFonts w:ascii="Book Antiqua" w:eastAsia="宋体" w:hAnsi="Book Antiqua" w:cs="宋体"/>
          <w:b/>
          <w:bCs/>
          <w:sz w:val="24"/>
          <w:szCs w:val="24"/>
        </w:rPr>
        <w:t>349</w:t>
      </w:r>
      <w:r w:rsidRPr="007661F2">
        <w:rPr>
          <w:rFonts w:ascii="Book Antiqua" w:eastAsia="宋体" w:hAnsi="Book Antiqua" w:cs="宋体"/>
          <w:sz w:val="24"/>
          <w:szCs w:val="24"/>
        </w:rPr>
        <w:t>: 931-940 [PMID: 12954741 DOI: 10.1056/NEJMoa021744]</w:t>
      </w:r>
    </w:p>
    <w:p w14:paraId="6BC28E43" w14:textId="4467D5C1"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6 </w:t>
      </w:r>
      <w:r w:rsidRPr="007661F2">
        <w:rPr>
          <w:rFonts w:ascii="Book Antiqua" w:eastAsia="宋体" w:hAnsi="Book Antiqua" w:cs="宋体"/>
          <w:b/>
          <w:bCs/>
          <w:sz w:val="24"/>
          <w:szCs w:val="24"/>
        </w:rPr>
        <w:t xml:space="preserve">von </w:t>
      </w:r>
      <w:proofErr w:type="spellStart"/>
      <w:r w:rsidRPr="007661F2">
        <w:rPr>
          <w:rFonts w:ascii="Book Antiqua" w:eastAsia="宋体" w:hAnsi="Book Antiqua" w:cs="宋体"/>
          <w:b/>
          <w:bCs/>
          <w:sz w:val="24"/>
          <w:szCs w:val="24"/>
        </w:rPr>
        <w:t>Wichert</w:t>
      </w:r>
      <w:proofErr w:type="spellEnd"/>
      <w:r w:rsidRPr="007661F2">
        <w:rPr>
          <w:rFonts w:ascii="Book Antiqua" w:eastAsia="宋体" w:hAnsi="Book Antiqua" w:cs="宋体"/>
          <w:b/>
          <w:bCs/>
          <w:sz w:val="24"/>
          <w:szCs w:val="24"/>
        </w:rPr>
        <w:t xml:space="preserve"> G</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Jehle</w:t>
      </w:r>
      <w:proofErr w:type="spellEnd"/>
      <w:r w:rsidRPr="007661F2">
        <w:rPr>
          <w:rFonts w:ascii="Book Antiqua" w:eastAsia="宋体" w:hAnsi="Book Antiqua" w:cs="宋体"/>
          <w:sz w:val="24"/>
          <w:szCs w:val="24"/>
        </w:rPr>
        <w:t xml:space="preserve"> PM, </w:t>
      </w:r>
      <w:proofErr w:type="spellStart"/>
      <w:r w:rsidRPr="007661F2">
        <w:rPr>
          <w:rFonts w:ascii="Book Antiqua" w:eastAsia="宋体" w:hAnsi="Book Antiqua" w:cs="宋体"/>
          <w:sz w:val="24"/>
          <w:szCs w:val="24"/>
        </w:rPr>
        <w:t>Hoeflich</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Koschnick</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Dralle</w:t>
      </w:r>
      <w:proofErr w:type="spellEnd"/>
      <w:r w:rsidRPr="007661F2">
        <w:rPr>
          <w:rFonts w:ascii="Book Antiqua" w:eastAsia="宋体" w:hAnsi="Book Antiqua" w:cs="宋体"/>
          <w:sz w:val="24"/>
          <w:szCs w:val="24"/>
        </w:rPr>
        <w:t xml:space="preserve"> H, Wolf E, </w:t>
      </w:r>
      <w:proofErr w:type="spellStart"/>
      <w:r w:rsidRPr="007661F2">
        <w:rPr>
          <w:rFonts w:ascii="Book Antiqua" w:eastAsia="宋体" w:hAnsi="Book Antiqua" w:cs="宋体"/>
          <w:sz w:val="24"/>
          <w:szCs w:val="24"/>
        </w:rPr>
        <w:t>Wiedenmann</w:t>
      </w:r>
      <w:proofErr w:type="spellEnd"/>
      <w:r w:rsidRPr="007661F2">
        <w:rPr>
          <w:rFonts w:ascii="Book Antiqua" w:eastAsia="宋体" w:hAnsi="Book Antiqua" w:cs="宋体"/>
          <w:sz w:val="24"/>
          <w:szCs w:val="24"/>
        </w:rPr>
        <w:t xml:space="preserve"> B, Boehm BO, Adler G, </w:t>
      </w:r>
      <w:proofErr w:type="spellStart"/>
      <w:r w:rsidRPr="007661F2">
        <w:rPr>
          <w:rFonts w:ascii="Book Antiqua" w:eastAsia="宋体" w:hAnsi="Book Antiqua" w:cs="宋体"/>
          <w:sz w:val="24"/>
          <w:szCs w:val="24"/>
        </w:rPr>
        <w:t>Seufferlein</w:t>
      </w:r>
      <w:proofErr w:type="spellEnd"/>
      <w:r w:rsidRPr="007661F2">
        <w:rPr>
          <w:rFonts w:ascii="Book Antiqua" w:eastAsia="宋体" w:hAnsi="Book Antiqua" w:cs="宋体"/>
          <w:sz w:val="24"/>
          <w:szCs w:val="24"/>
        </w:rPr>
        <w:t xml:space="preserve"> T. Insulin-like growth factor-I is an </w:t>
      </w:r>
      <w:proofErr w:type="spellStart"/>
      <w:r w:rsidRPr="007661F2">
        <w:rPr>
          <w:rFonts w:ascii="Book Antiqua" w:eastAsia="宋体" w:hAnsi="Book Antiqua" w:cs="宋体"/>
          <w:sz w:val="24"/>
          <w:szCs w:val="24"/>
        </w:rPr>
        <w:t>autocrine</w:t>
      </w:r>
      <w:proofErr w:type="spellEnd"/>
      <w:r w:rsidRPr="007661F2">
        <w:rPr>
          <w:rFonts w:ascii="Book Antiqua" w:eastAsia="宋体" w:hAnsi="Book Antiqua" w:cs="宋体"/>
          <w:sz w:val="24"/>
          <w:szCs w:val="24"/>
        </w:rPr>
        <w:t xml:space="preserve"> regulator of </w:t>
      </w:r>
      <w:proofErr w:type="spellStart"/>
      <w:r w:rsidRPr="007661F2">
        <w:rPr>
          <w:rFonts w:ascii="Book Antiqua" w:eastAsia="宋体" w:hAnsi="Book Antiqua" w:cs="宋体"/>
          <w:sz w:val="24"/>
          <w:szCs w:val="24"/>
        </w:rPr>
        <w:t>chromogranin</w:t>
      </w:r>
      <w:proofErr w:type="spellEnd"/>
      <w:r w:rsidRPr="007661F2">
        <w:rPr>
          <w:rFonts w:ascii="Book Antiqua" w:eastAsia="宋体" w:hAnsi="Book Antiqua" w:cs="宋体"/>
          <w:sz w:val="24"/>
          <w:szCs w:val="24"/>
        </w:rPr>
        <w:t xml:space="preserve"> A secretion and growth in human neuroendocrine tumor cells. </w:t>
      </w:r>
      <w:r w:rsidRPr="007661F2">
        <w:rPr>
          <w:rFonts w:ascii="Book Antiqua" w:eastAsia="宋体" w:hAnsi="Book Antiqua" w:cs="宋体"/>
          <w:i/>
          <w:iCs/>
          <w:sz w:val="24"/>
          <w:szCs w:val="24"/>
        </w:rPr>
        <w:t>Cancer Res</w:t>
      </w:r>
      <w:r w:rsidRPr="007661F2">
        <w:rPr>
          <w:rFonts w:ascii="Book Antiqua" w:eastAsia="宋体" w:hAnsi="Book Antiqua" w:cs="宋体"/>
          <w:sz w:val="24"/>
          <w:szCs w:val="24"/>
        </w:rPr>
        <w:t xml:space="preserve"> 2000; </w:t>
      </w:r>
      <w:r w:rsidRPr="007661F2">
        <w:rPr>
          <w:rFonts w:ascii="Book Antiqua" w:eastAsia="宋体" w:hAnsi="Book Antiqua" w:cs="宋体"/>
          <w:b/>
          <w:bCs/>
          <w:sz w:val="24"/>
          <w:szCs w:val="24"/>
        </w:rPr>
        <w:t>60</w:t>
      </w:r>
      <w:r w:rsidRPr="007661F2">
        <w:rPr>
          <w:rFonts w:ascii="Book Antiqua" w:eastAsia="宋体" w:hAnsi="Book Antiqua" w:cs="宋体"/>
          <w:sz w:val="24"/>
          <w:szCs w:val="24"/>
        </w:rPr>
        <w:t>: 4573-4581 [PMID: 10969809]</w:t>
      </w:r>
    </w:p>
    <w:p w14:paraId="21D88F9C"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7 </w:t>
      </w:r>
      <w:r w:rsidRPr="007661F2">
        <w:rPr>
          <w:rFonts w:ascii="Book Antiqua" w:eastAsia="宋体" w:hAnsi="Book Antiqua" w:cs="宋体"/>
          <w:b/>
          <w:bCs/>
          <w:sz w:val="24"/>
          <w:szCs w:val="24"/>
        </w:rPr>
        <w:t>Kirchner GI</w:t>
      </w:r>
      <w:r w:rsidRPr="007661F2">
        <w:rPr>
          <w:rFonts w:ascii="Book Antiqua" w:eastAsia="宋体" w:hAnsi="Book Antiqua" w:cs="宋体"/>
          <w:sz w:val="24"/>
          <w:szCs w:val="24"/>
        </w:rPr>
        <w:t>, Meier-</w:t>
      </w:r>
      <w:proofErr w:type="spellStart"/>
      <w:r w:rsidRPr="007661F2">
        <w:rPr>
          <w:rFonts w:ascii="Book Antiqua" w:eastAsia="宋体" w:hAnsi="Book Antiqua" w:cs="宋体"/>
          <w:sz w:val="24"/>
          <w:szCs w:val="24"/>
        </w:rPr>
        <w:t>Wiedenbach</w:t>
      </w:r>
      <w:proofErr w:type="spellEnd"/>
      <w:r w:rsidRPr="007661F2">
        <w:rPr>
          <w:rFonts w:ascii="Book Antiqua" w:eastAsia="宋体" w:hAnsi="Book Antiqua" w:cs="宋体"/>
          <w:sz w:val="24"/>
          <w:szCs w:val="24"/>
        </w:rPr>
        <w:t xml:space="preserve"> I, </w:t>
      </w:r>
      <w:proofErr w:type="spellStart"/>
      <w:r w:rsidRPr="007661F2">
        <w:rPr>
          <w:rFonts w:ascii="Book Antiqua" w:eastAsia="宋体" w:hAnsi="Book Antiqua" w:cs="宋体"/>
          <w:sz w:val="24"/>
          <w:szCs w:val="24"/>
        </w:rPr>
        <w:t>Manns</w:t>
      </w:r>
      <w:proofErr w:type="spellEnd"/>
      <w:r w:rsidRPr="007661F2">
        <w:rPr>
          <w:rFonts w:ascii="Book Antiqua" w:eastAsia="宋体" w:hAnsi="Book Antiqua" w:cs="宋体"/>
          <w:sz w:val="24"/>
          <w:szCs w:val="24"/>
        </w:rPr>
        <w:t xml:space="preserve"> MP. </w:t>
      </w:r>
      <w:proofErr w:type="gramStart"/>
      <w:r w:rsidRPr="007661F2">
        <w:rPr>
          <w:rFonts w:ascii="Book Antiqua" w:eastAsia="宋体" w:hAnsi="Book Antiqua" w:cs="宋体"/>
          <w:sz w:val="24"/>
          <w:szCs w:val="24"/>
        </w:rPr>
        <w:t xml:space="preserve">Clinical pharmacokinetics of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w:t>
      </w:r>
      <w:proofErr w:type="gramEnd"/>
      <w:r w:rsidRPr="007661F2">
        <w:rPr>
          <w:rFonts w:ascii="Book Antiqua" w:eastAsia="宋体" w:hAnsi="Book Antiqua" w:cs="宋体"/>
          <w:sz w:val="24"/>
          <w:szCs w:val="24"/>
        </w:rPr>
        <w:t xml:space="preserve"> </w:t>
      </w:r>
      <w:proofErr w:type="spellStart"/>
      <w:r w:rsidRPr="007661F2">
        <w:rPr>
          <w:rFonts w:ascii="Book Antiqua" w:eastAsia="宋体" w:hAnsi="Book Antiqua" w:cs="宋体"/>
          <w:i/>
          <w:iCs/>
          <w:sz w:val="24"/>
          <w:szCs w:val="24"/>
        </w:rPr>
        <w:t>Clin</w:t>
      </w:r>
      <w:proofErr w:type="spellEnd"/>
      <w:r w:rsidRPr="007661F2">
        <w:rPr>
          <w:rFonts w:ascii="Book Antiqua" w:eastAsia="宋体" w:hAnsi="Book Antiqua" w:cs="宋体"/>
          <w:i/>
          <w:iCs/>
          <w:sz w:val="24"/>
          <w:szCs w:val="24"/>
        </w:rPr>
        <w:t xml:space="preserve"> </w:t>
      </w:r>
      <w:proofErr w:type="spellStart"/>
      <w:r w:rsidRPr="007661F2">
        <w:rPr>
          <w:rFonts w:ascii="Book Antiqua" w:eastAsia="宋体" w:hAnsi="Book Antiqua" w:cs="宋体"/>
          <w:i/>
          <w:iCs/>
          <w:sz w:val="24"/>
          <w:szCs w:val="24"/>
        </w:rPr>
        <w:t>Pharmacokinet</w:t>
      </w:r>
      <w:proofErr w:type="spellEnd"/>
      <w:r w:rsidRPr="007661F2">
        <w:rPr>
          <w:rFonts w:ascii="Book Antiqua" w:eastAsia="宋体" w:hAnsi="Book Antiqua" w:cs="宋体"/>
          <w:sz w:val="24"/>
          <w:szCs w:val="24"/>
        </w:rPr>
        <w:t xml:space="preserve"> 2004; </w:t>
      </w:r>
      <w:r w:rsidRPr="007661F2">
        <w:rPr>
          <w:rFonts w:ascii="Book Antiqua" w:eastAsia="宋体" w:hAnsi="Book Antiqua" w:cs="宋体"/>
          <w:b/>
          <w:bCs/>
          <w:sz w:val="24"/>
          <w:szCs w:val="24"/>
        </w:rPr>
        <w:t>43</w:t>
      </w:r>
      <w:r w:rsidRPr="007661F2">
        <w:rPr>
          <w:rFonts w:ascii="Book Antiqua" w:eastAsia="宋体" w:hAnsi="Book Antiqua" w:cs="宋体"/>
          <w:sz w:val="24"/>
          <w:szCs w:val="24"/>
        </w:rPr>
        <w:t>: 83-95 [PMID: 14748618 DOI: 10.2165/00003088-200443020-00002]</w:t>
      </w:r>
    </w:p>
    <w:p w14:paraId="0C0A2379"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8 </w:t>
      </w:r>
      <w:proofErr w:type="spellStart"/>
      <w:r w:rsidRPr="007661F2">
        <w:rPr>
          <w:rFonts w:ascii="Book Antiqua" w:eastAsia="宋体" w:hAnsi="Book Antiqua" w:cs="宋体"/>
          <w:b/>
          <w:bCs/>
          <w:sz w:val="24"/>
          <w:szCs w:val="24"/>
        </w:rPr>
        <w:t>Gabardi</w:t>
      </w:r>
      <w:proofErr w:type="spellEnd"/>
      <w:r w:rsidRPr="007661F2">
        <w:rPr>
          <w:rFonts w:ascii="Book Antiqua" w:eastAsia="宋体" w:hAnsi="Book Antiqua" w:cs="宋体"/>
          <w:b/>
          <w:bCs/>
          <w:sz w:val="24"/>
          <w:szCs w:val="24"/>
        </w:rPr>
        <w:t xml:space="preserve"> S</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Baroletti</w:t>
      </w:r>
      <w:proofErr w:type="spellEnd"/>
      <w:r w:rsidRPr="007661F2">
        <w:rPr>
          <w:rFonts w:ascii="Book Antiqua" w:eastAsia="宋体" w:hAnsi="Book Antiqua" w:cs="宋体"/>
          <w:sz w:val="24"/>
          <w:szCs w:val="24"/>
        </w:rPr>
        <w:t xml:space="preserve"> SA.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a proliferation signal inhibitor with clinical applications in organ transplantation, oncology, and cardiology. </w:t>
      </w:r>
      <w:r w:rsidRPr="007661F2">
        <w:rPr>
          <w:rFonts w:ascii="Book Antiqua" w:eastAsia="宋体" w:hAnsi="Book Antiqua" w:cs="宋体"/>
          <w:i/>
          <w:iCs/>
          <w:sz w:val="24"/>
          <w:szCs w:val="24"/>
        </w:rPr>
        <w:t>Pharmacotherapy</w:t>
      </w:r>
      <w:r w:rsidRPr="007661F2">
        <w:rPr>
          <w:rFonts w:ascii="Book Antiqua" w:eastAsia="宋体" w:hAnsi="Book Antiqua" w:cs="宋体"/>
          <w:sz w:val="24"/>
          <w:szCs w:val="24"/>
        </w:rPr>
        <w:t xml:space="preserve"> 2010; </w:t>
      </w:r>
      <w:r w:rsidRPr="007661F2">
        <w:rPr>
          <w:rFonts w:ascii="Book Antiqua" w:eastAsia="宋体" w:hAnsi="Book Antiqua" w:cs="宋体"/>
          <w:b/>
          <w:bCs/>
          <w:sz w:val="24"/>
          <w:szCs w:val="24"/>
        </w:rPr>
        <w:t>30</w:t>
      </w:r>
      <w:r w:rsidRPr="007661F2">
        <w:rPr>
          <w:rFonts w:ascii="Book Antiqua" w:eastAsia="宋体" w:hAnsi="Book Antiqua" w:cs="宋体"/>
          <w:sz w:val="24"/>
          <w:szCs w:val="24"/>
        </w:rPr>
        <w:t>: 1044-1056 [PMID: 20874042 DOI: 10.1592/phco.30.10.1044]</w:t>
      </w:r>
    </w:p>
    <w:p w14:paraId="7BFF9D97" w14:textId="63B2EF8E" w:rsidR="007661F2" w:rsidRPr="007661F2" w:rsidRDefault="002F1A2D" w:rsidP="007661F2">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9 </w:t>
      </w:r>
      <w:proofErr w:type="spellStart"/>
      <w:r w:rsidR="007661F2" w:rsidRPr="007661F2">
        <w:rPr>
          <w:rFonts w:ascii="Book Antiqua" w:eastAsia="宋体" w:hAnsi="Book Antiqua" w:cs="宋体"/>
          <w:sz w:val="24"/>
          <w:szCs w:val="24"/>
        </w:rPr>
        <w:t>Certican</w:t>
      </w:r>
      <w:proofErr w:type="spellEnd"/>
      <w:r w:rsidR="007661F2" w:rsidRPr="007661F2">
        <w:rPr>
          <w:rFonts w:ascii="Book Antiqua" w:eastAsia="宋体" w:hAnsi="Book Antiqua" w:cs="宋体"/>
          <w:sz w:val="24"/>
          <w:szCs w:val="24"/>
        </w:rPr>
        <w:t xml:space="preserve"> (</w:t>
      </w:r>
      <w:proofErr w:type="spellStart"/>
      <w:r w:rsidR="007661F2" w:rsidRPr="007661F2">
        <w:rPr>
          <w:rFonts w:ascii="Book Antiqua" w:eastAsia="宋体" w:hAnsi="Book Antiqua" w:cs="宋体"/>
          <w:sz w:val="24"/>
          <w:szCs w:val="24"/>
        </w:rPr>
        <w:t>Everolimus</w:t>
      </w:r>
      <w:proofErr w:type="spellEnd"/>
      <w:r w:rsidR="007661F2" w:rsidRPr="007661F2">
        <w:rPr>
          <w:rFonts w:ascii="Book Antiqua" w:eastAsia="宋体" w:hAnsi="Book Antiqua" w:cs="宋体"/>
          <w:sz w:val="24"/>
          <w:szCs w:val="24"/>
        </w:rPr>
        <w:t>) Product Insert.</w:t>
      </w:r>
      <w:proofErr w:type="gramEnd"/>
      <w:r w:rsidR="007661F2" w:rsidRPr="007661F2">
        <w:rPr>
          <w:rFonts w:ascii="Book Antiqua" w:eastAsia="宋体" w:hAnsi="Book Antiqua" w:cs="宋体"/>
          <w:sz w:val="24"/>
          <w:szCs w:val="24"/>
        </w:rPr>
        <w:t xml:space="preserve"> Novartis, Mar 2013</w:t>
      </w:r>
    </w:p>
    <w:p w14:paraId="184D9262"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lastRenderedPageBreak/>
        <w:t xml:space="preserve">10 </w:t>
      </w:r>
      <w:proofErr w:type="spellStart"/>
      <w:r w:rsidRPr="007661F2">
        <w:rPr>
          <w:rFonts w:ascii="Book Antiqua" w:eastAsia="宋体" w:hAnsi="Book Antiqua" w:cs="宋体"/>
          <w:b/>
          <w:bCs/>
          <w:sz w:val="24"/>
          <w:szCs w:val="24"/>
        </w:rPr>
        <w:t>Niioka</w:t>
      </w:r>
      <w:proofErr w:type="spellEnd"/>
      <w:r w:rsidRPr="007661F2">
        <w:rPr>
          <w:rFonts w:ascii="Book Antiqua" w:eastAsia="宋体" w:hAnsi="Book Antiqua" w:cs="宋体"/>
          <w:b/>
          <w:bCs/>
          <w:sz w:val="24"/>
          <w:szCs w:val="24"/>
        </w:rPr>
        <w:t xml:space="preserve"> T</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Kagaya</w:t>
      </w:r>
      <w:proofErr w:type="spellEnd"/>
      <w:r w:rsidRPr="007661F2">
        <w:rPr>
          <w:rFonts w:ascii="Book Antiqua" w:eastAsia="宋体" w:hAnsi="Book Antiqua" w:cs="宋体"/>
          <w:sz w:val="24"/>
          <w:szCs w:val="24"/>
        </w:rPr>
        <w:t xml:space="preserve"> H, Saito M, Inoue T, </w:t>
      </w:r>
      <w:proofErr w:type="spellStart"/>
      <w:r w:rsidRPr="007661F2">
        <w:rPr>
          <w:rFonts w:ascii="Book Antiqua" w:eastAsia="宋体" w:hAnsi="Book Antiqua" w:cs="宋体"/>
          <w:sz w:val="24"/>
          <w:szCs w:val="24"/>
        </w:rPr>
        <w:t>Numakura</w:t>
      </w:r>
      <w:proofErr w:type="spellEnd"/>
      <w:r w:rsidRPr="007661F2">
        <w:rPr>
          <w:rFonts w:ascii="Book Antiqua" w:eastAsia="宋体" w:hAnsi="Book Antiqua" w:cs="宋体"/>
          <w:sz w:val="24"/>
          <w:szCs w:val="24"/>
        </w:rPr>
        <w:t xml:space="preserve"> K, Yamamoto R, </w:t>
      </w:r>
      <w:proofErr w:type="spellStart"/>
      <w:r w:rsidRPr="007661F2">
        <w:rPr>
          <w:rFonts w:ascii="Book Antiqua" w:eastAsia="宋体" w:hAnsi="Book Antiqua" w:cs="宋体"/>
          <w:sz w:val="24"/>
          <w:szCs w:val="24"/>
        </w:rPr>
        <w:t>Akamine</w:t>
      </w:r>
      <w:proofErr w:type="spellEnd"/>
      <w:r w:rsidRPr="007661F2">
        <w:rPr>
          <w:rFonts w:ascii="Book Antiqua" w:eastAsia="宋体" w:hAnsi="Book Antiqua" w:cs="宋体"/>
          <w:sz w:val="24"/>
          <w:szCs w:val="24"/>
        </w:rPr>
        <w:t xml:space="preserve"> Y, </w:t>
      </w:r>
      <w:proofErr w:type="spellStart"/>
      <w:r w:rsidRPr="007661F2">
        <w:rPr>
          <w:rFonts w:ascii="Book Antiqua" w:eastAsia="宋体" w:hAnsi="Book Antiqua" w:cs="宋体"/>
          <w:sz w:val="24"/>
          <w:szCs w:val="24"/>
        </w:rPr>
        <w:t>Habuchi</w:t>
      </w:r>
      <w:proofErr w:type="spellEnd"/>
      <w:r w:rsidRPr="007661F2">
        <w:rPr>
          <w:rFonts w:ascii="Book Antiqua" w:eastAsia="宋体" w:hAnsi="Book Antiqua" w:cs="宋体"/>
          <w:sz w:val="24"/>
          <w:szCs w:val="24"/>
        </w:rPr>
        <w:t xml:space="preserve"> T, Satoh S, Miura M. Influence of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on the pharmacokinetics of </w:t>
      </w:r>
      <w:proofErr w:type="spellStart"/>
      <w:r w:rsidRPr="007661F2">
        <w:rPr>
          <w:rFonts w:ascii="Book Antiqua" w:eastAsia="宋体" w:hAnsi="Book Antiqua" w:cs="宋体"/>
          <w:sz w:val="24"/>
          <w:szCs w:val="24"/>
        </w:rPr>
        <w:t>tacrolimus</w:t>
      </w:r>
      <w:proofErr w:type="spellEnd"/>
      <w:r w:rsidRPr="007661F2">
        <w:rPr>
          <w:rFonts w:ascii="Book Antiqua" w:eastAsia="宋体" w:hAnsi="Book Antiqua" w:cs="宋体"/>
          <w:sz w:val="24"/>
          <w:szCs w:val="24"/>
        </w:rPr>
        <w:t xml:space="preserve"> in Japanese renal transplant patients. </w:t>
      </w:r>
      <w:proofErr w:type="spellStart"/>
      <w:r w:rsidRPr="007661F2">
        <w:rPr>
          <w:rFonts w:ascii="Book Antiqua" w:eastAsia="宋体" w:hAnsi="Book Antiqua" w:cs="宋体"/>
          <w:i/>
          <w:iCs/>
          <w:sz w:val="24"/>
          <w:szCs w:val="24"/>
        </w:rPr>
        <w:t>Int</w:t>
      </w:r>
      <w:proofErr w:type="spellEnd"/>
      <w:r w:rsidRPr="007661F2">
        <w:rPr>
          <w:rFonts w:ascii="Book Antiqua" w:eastAsia="宋体" w:hAnsi="Book Antiqua" w:cs="宋体"/>
          <w:i/>
          <w:iCs/>
          <w:sz w:val="24"/>
          <w:szCs w:val="24"/>
        </w:rPr>
        <w:t xml:space="preserve"> J </w:t>
      </w:r>
      <w:proofErr w:type="spellStart"/>
      <w:r w:rsidRPr="007661F2">
        <w:rPr>
          <w:rFonts w:ascii="Book Antiqua" w:eastAsia="宋体" w:hAnsi="Book Antiqua" w:cs="宋体"/>
          <w:i/>
          <w:iCs/>
          <w:sz w:val="24"/>
          <w:szCs w:val="24"/>
        </w:rPr>
        <w:t>Urol</w:t>
      </w:r>
      <w:proofErr w:type="spellEnd"/>
      <w:r w:rsidRPr="007661F2">
        <w:rPr>
          <w:rFonts w:ascii="Book Antiqua" w:eastAsia="宋体" w:hAnsi="Book Antiqua" w:cs="宋体"/>
          <w:sz w:val="24"/>
          <w:szCs w:val="24"/>
        </w:rPr>
        <w:t xml:space="preserve"> 2016; </w:t>
      </w:r>
      <w:r w:rsidRPr="007661F2">
        <w:rPr>
          <w:rFonts w:ascii="Book Antiqua" w:eastAsia="宋体" w:hAnsi="Book Antiqua" w:cs="宋体"/>
          <w:b/>
          <w:bCs/>
          <w:sz w:val="24"/>
          <w:szCs w:val="24"/>
        </w:rPr>
        <w:t>23</w:t>
      </w:r>
      <w:r w:rsidRPr="007661F2">
        <w:rPr>
          <w:rFonts w:ascii="Book Antiqua" w:eastAsia="宋体" w:hAnsi="Book Antiqua" w:cs="宋体"/>
          <w:sz w:val="24"/>
          <w:szCs w:val="24"/>
        </w:rPr>
        <w:t>: 484-490 [PMID: 26990259 DOI: 10.1111/iju.13081]</w:t>
      </w:r>
    </w:p>
    <w:p w14:paraId="72F57C0F"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11 </w:t>
      </w:r>
      <w:proofErr w:type="spellStart"/>
      <w:r w:rsidRPr="007661F2">
        <w:rPr>
          <w:rFonts w:ascii="Book Antiqua" w:eastAsia="宋体" w:hAnsi="Book Antiqua" w:cs="宋体"/>
          <w:b/>
          <w:bCs/>
          <w:sz w:val="24"/>
          <w:szCs w:val="24"/>
        </w:rPr>
        <w:t>Shipkova</w:t>
      </w:r>
      <w:proofErr w:type="spellEnd"/>
      <w:r w:rsidRPr="007661F2">
        <w:rPr>
          <w:rFonts w:ascii="Book Antiqua" w:eastAsia="宋体" w:hAnsi="Book Antiqua" w:cs="宋体"/>
          <w:b/>
          <w:bCs/>
          <w:sz w:val="24"/>
          <w:szCs w:val="24"/>
        </w:rPr>
        <w:t xml:space="preserve"> M</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Hesselink</w:t>
      </w:r>
      <w:proofErr w:type="spellEnd"/>
      <w:r w:rsidRPr="007661F2">
        <w:rPr>
          <w:rFonts w:ascii="Book Antiqua" w:eastAsia="宋体" w:hAnsi="Book Antiqua" w:cs="宋体"/>
          <w:sz w:val="24"/>
          <w:szCs w:val="24"/>
        </w:rPr>
        <w:t xml:space="preserve"> DA, Holt DW, </w:t>
      </w:r>
      <w:proofErr w:type="spellStart"/>
      <w:r w:rsidRPr="007661F2">
        <w:rPr>
          <w:rFonts w:ascii="Book Antiqua" w:eastAsia="宋体" w:hAnsi="Book Antiqua" w:cs="宋体"/>
          <w:sz w:val="24"/>
          <w:szCs w:val="24"/>
        </w:rPr>
        <w:t>Billaud</w:t>
      </w:r>
      <w:proofErr w:type="spellEnd"/>
      <w:r w:rsidRPr="007661F2">
        <w:rPr>
          <w:rFonts w:ascii="Book Antiqua" w:eastAsia="宋体" w:hAnsi="Book Antiqua" w:cs="宋体"/>
          <w:sz w:val="24"/>
          <w:szCs w:val="24"/>
        </w:rPr>
        <w:t xml:space="preserve"> EM, van </w:t>
      </w:r>
      <w:proofErr w:type="spellStart"/>
      <w:r w:rsidRPr="007661F2">
        <w:rPr>
          <w:rFonts w:ascii="Book Antiqua" w:eastAsia="宋体" w:hAnsi="Book Antiqua" w:cs="宋体"/>
          <w:sz w:val="24"/>
          <w:szCs w:val="24"/>
        </w:rPr>
        <w:t>Gelder</w:t>
      </w:r>
      <w:proofErr w:type="spellEnd"/>
      <w:r w:rsidRPr="007661F2">
        <w:rPr>
          <w:rFonts w:ascii="Book Antiqua" w:eastAsia="宋体" w:hAnsi="Book Antiqua" w:cs="宋体"/>
          <w:sz w:val="24"/>
          <w:szCs w:val="24"/>
        </w:rPr>
        <w:t xml:space="preserve"> T, </w:t>
      </w:r>
      <w:proofErr w:type="spellStart"/>
      <w:r w:rsidRPr="007661F2">
        <w:rPr>
          <w:rFonts w:ascii="Book Antiqua" w:eastAsia="宋体" w:hAnsi="Book Antiqua" w:cs="宋体"/>
          <w:sz w:val="24"/>
          <w:szCs w:val="24"/>
        </w:rPr>
        <w:t>Kunicki</w:t>
      </w:r>
      <w:proofErr w:type="spellEnd"/>
      <w:r w:rsidRPr="007661F2">
        <w:rPr>
          <w:rFonts w:ascii="Book Antiqua" w:eastAsia="宋体" w:hAnsi="Book Antiqua" w:cs="宋体"/>
          <w:sz w:val="24"/>
          <w:szCs w:val="24"/>
        </w:rPr>
        <w:t xml:space="preserve"> PK, Brunet M, </w:t>
      </w:r>
      <w:proofErr w:type="spellStart"/>
      <w:r w:rsidRPr="007661F2">
        <w:rPr>
          <w:rFonts w:ascii="Book Antiqua" w:eastAsia="宋体" w:hAnsi="Book Antiqua" w:cs="宋体"/>
          <w:sz w:val="24"/>
          <w:szCs w:val="24"/>
        </w:rPr>
        <w:t>Budde</w:t>
      </w:r>
      <w:proofErr w:type="spellEnd"/>
      <w:r w:rsidRPr="007661F2">
        <w:rPr>
          <w:rFonts w:ascii="Book Antiqua" w:eastAsia="宋体" w:hAnsi="Book Antiqua" w:cs="宋体"/>
          <w:sz w:val="24"/>
          <w:szCs w:val="24"/>
        </w:rPr>
        <w:t xml:space="preserve"> K, </w:t>
      </w:r>
      <w:proofErr w:type="spellStart"/>
      <w:r w:rsidRPr="007661F2">
        <w:rPr>
          <w:rFonts w:ascii="Book Antiqua" w:eastAsia="宋体" w:hAnsi="Book Antiqua" w:cs="宋体"/>
          <w:sz w:val="24"/>
          <w:szCs w:val="24"/>
        </w:rPr>
        <w:t>Barten</w:t>
      </w:r>
      <w:proofErr w:type="spellEnd"/>
      <w:r w:rsidRPr="007661F2">
        <w:rPr>
          <w:rFonts w:ascii="Book Antiqua" w:eastAsia="宋体" w:hAnsi="Book Antiqua" w:cs="宋体"/>
          <w:sz w:val="24"/>
          <w:szCs w:val="24"/>
        </w:rPr>
        <w:t xml:space="preserve"> MJ, De Simone P, Wieland E, </w:t>
      </w:r>
      <w:proofErr w:type="spellStart"/>
      <w:r w:rsidRPr="007661F2">
        <w:rPr>
          <w:rFonts w:ascii="Book Antiqua" w:eastAsia="宋体" w:hAnsi="Book Antiqua" w:cs="宋体"/>
          <w:sz w:val="24"/>
          <w:szCs w:val="24"/>
        </w:rPr>
        <w:t>López</w:t>
      </w:r>
      <w:proofErr w:type="spellEnd"/>
      <w:r w:rsidRPr="007661F2">
        <w:rPr>
          <w:rFonts w:ascii="Book Antiqua" w:eastAsia="宋体" w:hAnsi="Book Antiqua" w:cs="宋体"/>
          <w:sz w:val="24"/>
          <w:szCs w:val="24"/>
        </w:rPr>
        <w:t xml:space="preserve"> OM, Masuda S, </w:t>
      </w:r>
      <w:proofErr w:type="spellStart"/>
      <w:r w:rsidRPr="007661F2">
        <w:rPr>
          <w:rFonts w:ascii="Book Antiqua" w:eastAsia="宋体" w:hAnsi="Book Antiqua" w:cs="宋体"/>
          <w:sz w:val="24"/>
          <w:szCs w:val="24"/>
        </w:rPr>
        <w:t>Seger</w:t>
      </w:r>
      <w:proofErr w:type="spellEnd"/>
      <w:r w:rsidRPr="007661F2">
        <w:rPr>
          <w:rFonts w:ascii="Book Antiqua" w:eastAsia="宋体" w:hAnsi="Book Antiqua" w:cs="宋体"/>
          <w:sz w:val="24"/>
          <w:szCs w:val="24"/>
        </w:rPr>
        <w:t xml:space="preserve"> C, Picard N, </w:t>
      </w:r>
      <w:proofErr w:type="spellStart"/>
      <w:r w:rsidRPr="007661F2">
        <w:rPr>
          <w:rFonts w:ascii="Book Antiqua" w:eastAsia="宋体" w:hAnsi="Book Antiqua" w:cs="宋体"/>
          <w:sz w:val="24"/>
          <w:szCs w:val="24"/>
        </w:rPr>
        <w:t>Oellerich</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Langman</w:t>
      </w:r>
      <w:proofErr w:type="spellEnd"/>
      <w:r w:rsidRPr="007661F2">
        <w:rPr>
          <w:rFonts w:ascii="Book Antiqua" w:eastAsia="宋体" w:hAnsi="Book Antiqua" w:cs="宋体"/>
          <w:sz w:val="24"/>
          <w:szCs w:val="24"/>
        </w:rPr>
        <w:t xml:space="preserve"> LJ, </w:t>
      </w:r>
      <w:proofErr w:type="spellStart"/>
      <w:r w:rsidRPr="007661F2">
        <w:rPr>
          <w:rFonts w:ascii="Book Antiqua" w:eastAsia="宋体" w:hAnsi="Book Antiqua" w:cs="宋体"/>
          <w:sz w:val="24"/>
          <w:szCs w:val="24"/>
        </w:rPr>
        <w:t>Wallemacq</w:t>
      </w:r>
      <w:proofErr w:type="spellEnd"/>
      <w:r w:rsidRPr="007661F2">
        <w:rPr>
          <w:rFonts w:ascii="Book Antiqua" w:eastAsia="宋体" w:hAnsi="Book Antiqua" w:cs="宋体"/>
          <w:sz w:val="24"/>
          <w:szCs w:val="24"/>
        </w:rPr>
        <w:t xml:space="preserve"> P, Morris RG, Thompson C, </w:t>
      </w:r>
      <w:proofErr w:type="spellStart"/>
      <w:r w:rsidRPr="007661F2">
        <w:rPr>
          <w:rFonts w:ascii="Book Antiqua" w:eastAsia="宋体" w:hAnsi="Book Antiqua" w:cs="宋体"/>
          <w:sz w:val="24"/>
          <w:szCs w:val="24"/>
        </w:rPr>
        <w:t>Marquet</w:t>
      </w:r>
      <w:proofErr w:type="spellEnd"/>
      <w:r w:rsidRPr="007661F2">
        <w:rPr>
          <w:rFonts w:ascii="Book Antiqua" w:eastAsia="宋体" w:hAnsi="Book Antiqua" w:cs="宋体"/>
          <w:sz w:val="24"/>
          <w:szCs w:val="24"/>
        </w:rPr>
        <w:t xml:space="preserve"> P. Therapeutic Drug Monitoring of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A Consensus Report. </w:t>
      </w:r>
      <w:proofErr w:type="spellStart"/>
      <w:r w:rsidRPr="007661F2">
        <w:rPr>
          <w:rFonts w:ascii="Book Antiqua" w:eastAsia="宋体" w:hAnsi="Book Antiqua" w:cs="宋体"/>
          <w:i/>
          <w:iCs/>
          <w:sz w:val="24"/>
          <w:szCs w:val="24"/>
        </w:rPr>
        <w:t>Ther</w:t>
      </w:r>
      <w:proofErr w:type="spellEnd"/>
      <w:r w:rsidRPr="007661F2">
        <w:rPr>
          <w:rFonts w:ascii="Book Antiqua" w:eastAsia="宋体" w:hAnsi="Book Antiqua" w:cs="宋体"/>
          <w:i/>
          <w:iCs/>
          <w:sz w:val="24"/>
          <w:szCs w:val="24"/>
        </w:rPr>
        <w:t xml:space="preserve"> Drug </w:t>
      </w:r>
      <w:proofErr w:type="spellStart"/>
      <w:r w:rsidRPr="007661F2">
        <w:rPr>
          <w:rFonts w:ascii="Book Antiqua" w:eastAsia="宋体" w:hAnsi="Book Antiqua" w:cs="宋体"/>
          <w:i/>
          <w:iCs/>
          <w:sz w:val="24"/>
          <w:szCs w:val="24"/>
        </w:rPr>
        <w:t>Monit</w:t>
      </w:r>
      <w:proofErr w:type="spellEnd"/>
      <w:r w:rsidRPr="007661F2">
        <w:rPr>
          <w:rFonts w:ascii="Book Antiqua" w:eastAsia="宋体" w:hAnsi="Book Antiqua" w:cs="宋体"/>
          <w:sz w:val="24"/>
          <w:szCs w:val="24"/>
        </w:rPr>
        <w:t xml:space="preserve"> 2016; </w:t>
      </w:r>
      <w:r w:rsidRPr="007661F2">
        <w:rPr>
          <w:rFonts w:ascii="Book Antiqua" w:eastAsia="宋体" w:hAnsi="Book Antiqua" w:cs="宋体"/>
          <w:b/>
          <w:bCs/>
          <w:sz w:val="24"/>
          <w:szCs w:val="24"/>
        </w:rPr>
        <w:t>38</w:t>
      </w:r>
      <w:r w:rsidRPr="007661F2">
        <w:rPr>
          <w:rFonts w:ascii="Book Antiqua" w:eastAsia="宋体" w:hAnsi="Book Antiqua" w:cs="宋体"/>
          <w:sz w:val="24"/>
          <w:szCs w:val="24"/>
        </w:rPr>
        <w:t>: 143-169 [PMID: 26982492 DOI: 10.1097/FTD.0000000000000260]</w:t>
      </w:r>
    </w:p>
    <w:p w14:paraId="4EA55012"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12 </w:t>
      </w:r>
      <w:r w:rsidRPr="007661F2">
        <w:rPr>
          <w:rFonts w:ascii="Book Antiqua" w:eastAsia="宋体" w:hAnsi="Book Antiqua" w:cs="宋体"/>
          <w:b/>
          <w:bCs/>
          <w:sz w:val="24"/>
          <w:szCs w:val="24"/>
        </w:rPr>
        <w:t>Levy G</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Schmidli</w:t>
      </w:r>
      <w:proofErr w:type="spellEnd"/>
      <w:r w:rsidRPr="007661F2">
        <w:rPr>
          <w:rFonts w:ascii="Book Antiqua" w:eastAsia="宋体" w:hAnsi="Book Antiqua" w:cs="宋体"/>
          <w:sz w:val="24"/>
          <w:szCs w:val="24"/>
        </w:rPr>
        <w:t xml:space="preserve"> H, Punch J, Tuttle-Newhall E, Mayer D, </w:t>
      </w:r>
      <w:proofErr w:type="spellStart"/>
      <w:r w:rsidRPr="007661F2">
        <w:rPr>
          <w:rFonts w:ascii="Book Antiqua" w:eastAsia="宋体" w:hAnsi="Book Antiqua" w:cs="宋体"/>
          <w:sz w:val="24"/>
          <w:szCs w:val="24"/>
        </w:rPr>
        <w:t>Neuhaus</w:t>
      </w:r>
      <w:proofErr w:type="spellEnd"/>
      <w:r w:rsidRPr="007661F2">
        <w:rPr>
          <w:rFonts w:ascii="Book Antiqua" w:eastAsia="宋体" w:hAnsi="Book Antiqua" w:cs="宋体"/>
          <w:sz w:val="24"/>
          <w:szCs w:val="24"/>
        </w:rPr>
        <w:t xml:space="preserve"> P, Samuel D, </w:t>
      </w:r>
      <w:proofErr w:type="spellStart"/>
      <w:r w:rsidRPr="007661F2">
        <w:rPr>
          <w:rFonts w:ascii="Book Antiqua" w:eastAsia="宋体" w:hAnsi="Book Antiqua" w:cs="宋体"/>
          <w:sz w:val="24"/>
          <w:szCs w:val="24"/>
        </w:rPr>
        <w:t>Nashan</w:t>
      </w:r>
      <w:proofErr w:type="spellEnd"/>
      <w:r w:rsidRPr="007661F2">
        <w:rPr>
          <w:rFonts w:ascii="Book Antiqua" w:eastAsia="宋体" w:hAnsi="Book Antiqua" w:cs="宋体"/>
          <w:sz w:val="24"/>
          <w:szCs w:val="24"/>
        </w:rPr>
        <w:t xml:space="preserve"> B, </w:t>
      </w:r>
      <w:proofErr w:type="spellStart"/>
      <w:r w:rsidRPr="007661F2">
        <w:rPr>
          <w:rFonts w:ascii="Book Antiqua" w:eastAsia="宋体" w:hAnsi="Book Antiqua" w:cs="宋体"/>
          <w:sz w:val="24"/>
          <w:szCs w:val="24"/>
        </w:rPr>
        <w:t>Klempnauer</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Langnas</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Calmus</w:t>
      </w:r>
      <w:proofErr w:type="spellEnd"/>
      <w:r w:rsidRPr="007661F2">
        <w:rPr>
          <w:rFonts w:ascii="Book Antiqua" w:eastAsia="宋体" w:hAnsi="Book Antiqua" w:cs="宋体"/>
          <w:sz w:val="24"/>
          <w:szCs w:val="24"/>
        </w:rPr>
        <w:t xml:space="preserve"> Y, </w:t>
      </w:r>
      <w:proofErr w:type="spellStart"/>
      <w:r w:rsidRPr="007661F2">
        <w:rPr>
          <w:rFonts w:ascii="Book Antiqua" w:eastAsia="宋体" w:hAnsi="Book Antiqua" w:cs="宋体"/>
          <w:sz w:val="24"/>
          <w:szCs w:val="24"/>
        </w:rPr>
        <w:t>Rogiers</w:t>
      </w:r>
      <w:proofErr w:type="spellEnd"/>
      <w:r w:rsidRPr="007661F2">
        <w:rPr>
          <w:rFonts w:ascii="Book Antiqua" w:eastAsia="宋体" w:hAnsi="Book Antiqua" w:cs="宋体"/>
          <w:sz w:val="24"/>
          <w:szCs w:val="24"/>
        </w:rPr>
        <w:t xml:space="preserve"> X, </w:t>
      </w:r>
      <w:proofErr w:type="spellStart"/>
      <w:r w:rsidRPr="007661F2">
        <w:rPr>
          <w:rFonts w:ascii="Book Antiqua" w:eastAsia="宋体" w:hAnsi="Book Antiqua" w:cs="宋体"/>
          <w:sz w:val="24"/>
          <w:szCs w:val="24"/>
        </w:rPr>
        <w:t>Abecassis</w:t>
      </w:r>
      <w:proofErr w:type="spellEnd"/>
      <w:r w:rsidRPr="007661F2">
        <w:rPr>
          <w:rFonts w:ascii="Book Antiqua" w:eastAsia="宋体" w:hAnsi="Book Antiqua" w:cs="宋体"/>
          <w:sz w:val="24"/>
          <w:szCs w:val="24"/>
        </w:rPr>
        <w:t xml:space="preserve"> M, Freeman R, </w:t>
      </w:r>
      <w:proofErr w:type="spellStart"/>
      <w:r w:rsidRPr="007661F2">
        <w:rPr>
          <w:rFonts w:ascii="Book Antiqua" w:eastAsia="宋体" w:hAnsi="Book Antiqua" w:cs="宋体"/>
          <w:sz w:val="24"/>
          <w:szCs w:val="24"/>
        </w:rPr>
        <w:t>Sloof</w:t>
      </w:r>
      <w:proofErr w:type="spellEnd"/>
      <w:r w:rsidRPr="007661F2">
        <w:rPr>
          <w:rFonts w:ascii="Book Antiqua" w:eastAsia="宋体" w:hAnsi="Book Antiqua" w:cs="宋体"/>
          <w:sz w:val="24"/>
          <w:szCs w:val="24"/>
        </w:rPr>
        <w:t xml:space="preserve"> M, Roberts J, Fischer L. Safety, tolerability, and efficacy of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in de novo liver transplant recipients: 12- and 36-month results. </w:t>
      </w:r>
      <w:r w:rsidRPr="007661F2">
        <w:rPr>
          <w:rFonts w:ascii="Book Antiqua" w:eastAsia="宋体" w:hAnsi="Book Antiqua" w:cs="宋体"/>
          <w:i/>
          <w:iCs/>
          <w:sz w:val="24"/>
          <w:szCs w:val="24"/>
        </w:rPr>
        <w:t xml:space="preserve">Liver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sz w:val="24"/>
          <w:szCs w:val="24"/>
        </w:rPr>
        <w:t xml:space="preserve"> 2006; </w:t>
      </w:r>
      <w:r w:rsidRPr="007661F2">
        <w:rPr>
          <w:rFonts w:ascii="Book Antiqua" w:eastAsia="宋体" w:hAnsi="Book Antiqua" w:cs="宋体"/>
          <w:b/>
          <w:bCs/>
          <w:sz w:val="24"/>
          <w:szCs w:val="24"/>
        </w:rPr>
        <w:t>12</w:t>
      </w:r>
      <w:r w:rsidRPr="007661F2">
        <w:rPr>
          <w:rFonts w:ascii="Book Antiqua" w:eastAsia="宋体" w:hAnsi="Book Antiqua" w:cs="宋体"/>
          <w:sz w:val="24"/>
          <w:szCs w:val="24"/>
        </w:rPr>
        <w:t>: 1640-1648 [PMID: 16598777 DOI: 10.1002/lt.20707]</w:t>
      </w:r>
    </w:p>
    <w:p w14:paraId="36FDAFB6"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13 </w:t>
      </w:r>
      <w:r w:rsidRPr="007661F2">
        <w:rPr>
          <w:rFonts w:ascii="Book Antiqua" w:eastAsia="宋体" w:hAnsi="Book Antiqua" w:cs="宋体"/>
          <w:b/>
          <w:bCs/>
          <w:sz w:val="24"/>
          <w:szCs w:val="24"/>
        </w:rPr>
        <w:t>Fischer L</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Klempnauer</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Beckebaum</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Metselaar</w:t>
      </w:r>
      <w:proofErr w:type="spellEnd"/>
      <w:r w:rsidRPr="007661F2">
        <w:rPr>
          <w:rFonts w:ascii="Book Antiqua" w:eastAsia="宋体" w:hAnsi="Book Antiqua" w:cs="宋体"/>
          <w:sz w:val="24"/>
          <w:szCs w:val="24"/>
        </w:rPr>
        <w:t xml:space="preserve"> HJ, </w:t>
      </w:r>
      <w:proofErr w:type="spellStart"/>
      <w:r w:rsidRPr="007661F2">
        <w:rPr>
          <w:rFonts w:ascii="Book Antiqua" w:eastAsia="宋体" w:hAnsi="Book Antiqua" w:cs="宋体"/>
          <w:sz w:val="24"/>
          <w:szCs w:val="24"/>
        </w:rPr>
        <w:t>Neuhaus</w:t>
      </w:r>
      <w:proofErr w:type="spellEnd"/>
      <w:r w:rsidRPr="007661F2">
        <w:rPr>
          <w:rFonts w:ascii="Book Antiqua" w:eastAsia="宋体" w:hAnsi="Book Antiqua" w:cs="宋体"/>
          <w:sz w:val="24"/>
          <w:szCs w:val="24"/>
        </w:rPr>
        <w:t xml:space="preserve"> P, </w:t>
      </w:r>
      <w:proofErr w:type="spellStart"/>
      <w:r w:rsidRPr="007661F2">
        <w:rPr>
          <w:rFonts w:ascii="Book Antiqua" w:eastAsia="宋体" w:hAnsi="Book Antiqua" w:cs="宋体"/>
          <w:sz w:val="24"/>
          <w:szCs w:val="24"/>
        </w:rPr>
        <w:t>Schemmer</w:t>
      </w:r>
      <w:proofErr w:type="spellEnd"/>
      <w:r w:rsidRPr="007661F2">
        <w:rPr>
          <w:rFonts w:ascii="Book Antiqua" w:eastAsia="宋体" w:hAnsi="Book Antiqua" w:cs="宋体"/>
          <w:sz w:val="24"/>
          <w:szCs w:val="24"/>
        </w:rPr>
        <w:t xml:space="preserve"> P, </w:t>
      </w:r>
      <w:proofErr w:type="spellStart"/>
      <w:r w:rsidRPr="007661F2">
        <w:rPr>
          <w:rFonts w:ascii="Book Antiqua" w:eastAsia="宋体" w:hAnsi="Book Antiqua" w:cs="宋体"/>
          <w:sz w:val="24"/>
          <w:szCs w:val="24"/>
        </w:rPr>
        <w:t>Settmacher</w:t>
      </w:r>
      <w:proofErr w:type="spellEnd"/>
      <w:r w:rsidRPr="007661F2">
        <w:rPr>
          <w:rFonts w:ascii="Book Antiqua" w:eastAsia="宋体" w:hAnsi="Book Antiqua" w:cs="宋体"/>
          <w:sz w:val="24"/>
          <w:szCs w:val="24"/>
        </w:rPr>
        <w:t xml:space="preserve"> U, </w:t>
      </w:r>
      <w:proofErr w:type="spellStart"/>
      <w:r w:rsidRPr="007661F2">
        <w:rPr>
          <w:rFonts w:ascii="Book Antiqua" w:eastAsia="宋体" w:hAnsi="Book Antiqua" w:cs="宋体"/>
          <w:sz w:val="24"/>
          <w:szCs w:val="24"/>
        </w:rPr>
        <w:t>Heyne</w:t>
      </w:r>
      <w:proofErr w:type="spellEnd"/>
      <w:r w:rsidRPr="007661F2">
        <w:rPr>
          <w:rFonts w:ascii="Book Antiqua" w:eastAsia="宋体" w:hAnsi="Book Antiqua" w:cs="宋体"/>
          <w:sz w:val="24"/>
          <w:szCs w:val="24"/>
        </w:rPr>
        <w:t xml:space="preserve"> N, </w:t>
      </w:r>
      <w:proofErr w:type="spellStart"/>
      <w:r w:rsidRPr="007661F2">
        <w:rPr>
          <w:rFonts w:ascii="Book Antiqua" w:eastAsia="宋体" w:hAnsi="Book Antiqua" w:cs="宋体"/>
          <w:sz w:val="24"/>
          <w:szCs w:val="24"/>
        </w:rPr>
        <w:t>Clavien</w:t>
      </w:r>
      <w:proofErr w:type="spellEnd"/>
      <w:r w:rsidRPr="007661F2">
        <w:rPr>
          <w:rFonts w:ascii="Book Antiqua" w:eastAsia="宋体" w:hAnsi="Book Antiqua" w:cs="宋体"/>
          <w:sz w:val="24"/>
          <w:szCs w:val="24"/>
        </w:rPr>
        <w:t xml:space="preserve"> PA, </w:t>
      </w:r>
      <w:proofErr w:type="spellStart"/>
      <w:r w:rsidRPr="007661F2">
        <w:rPr>
          <w:rFonts w:ascii="Book Antiqua" w:eastAsia="宋体" w:hAnsi="Book Antiqua" w:cs="宋体"/>
          <w:sz w:val="24"/>
          <w:szCs w:val="24"/>
        </w:rPr>
        <w:t>Muehlbacher</w:t>
      </w:r>
      <w:proofErr w:type="spellEnd"/>
      <w:r w:rsidRPr="007661F2">
        <w:rPr>
          <w:rFonts w:ascii="Book Antiqua" w:eastAsia="宋体" w:hAnsi="Book Antiqua" w:cs="宋体"/>
          <w:sz w:val="24"/>
          <w:szCs w:val="24"/>
        </w:rPr>
        <w:t xml:space="preserve"> F, </w:t>
      </w:r>
      <w:proofErr w:type="spellStart"/>
      <w:r w:rsidRPr="007661F2">
        <w:rPr>
          <w:rFonts w:ascii="Book Antiqua" w:eastAsia="宋体" w:hAnsi="Book Antiqua" w:cs="宋体"/>
          <w:sz w:val="24"/>
          <w:szCs w:val="24"/>
        </w:rPr>
        <w:t>Morard</w:t>
      </w:r>
      <w:proofErr w:type="spellEnd"/>
      <w:r w:rsidRPr="007661F2">
        <w:rPr>
          <w:rFonts w:ascii="Book Antiqua" w:eastAsia="宋体" w:hAnsi="Book Antiqua" w:cs="宋体"/>
          <w:sz w:val="24"/>
          <w:szCs w:val="24"/>
        </w:rPr>
        <w:t xml:space="preserve"> I, </w:t>
      </w:r>
      <w:proofErr w:type="spellStart"/>
      <w:r w:rsidRPr="007661F2">
        <w:rPr>
          <w:rFonts w:ascii="Book Antiqua" w:eastAsia="宋体" w:hAnsi="Book Antiqua" w:cs="宋体"/>
          <w:sz w:val="24"/>
          <w:szCs w:val="24"/>
        </w:rPr>
        <w:t>Wolters</w:t>
      </w:r>
      <w:proofErr w:type="spellEnd"/>
      <w:r w:rsidRPr="007661F2">
        <w:rPr>
          <w:rFonts w:ascii="Book Antiqua" w:eastAsia="宋体" w:hAnsi="Book Antiqua" w:cs="宋体"/>
          <w:sz w:val="24"/>
          <w:szCs w:val="24"/>
        </w:rPr>
        <w:t xml:space="preserve"> H, Vogel W, Becker T, </w:t>
      </w:r>
      <w:proofErr w:type="spellStart"/>
      <w:r w:rsidRPr="007661F2">
        <w:rPr>
          <w:rFonts w:ascii="Book Antiqua" w:eastAsia="宋体" w:hAnsi="Book Antiqua" w:cs="宋体"/>
          <w:sz w:val="24"/>
          <w:szCs w:val="24"/>
        </w:rPr>
        <w:t>Sterneck</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Lehner</w:t>
      </w:r>
      <w:proofErr w:type="spellEnd"/>
      <w:r w:rsidRPr="007661F2">
        <w:rPr>
          <w:rFonts w:ascii="Book Antiqua" w:eastAsia="宋体" w:hAnsi="Book Antiqua" w:cs="宋体"/>
          <w:sz w:val="24"/>
          <w:szCs w:val="24"/>
        </w:rPr>
        <w:t xml:space="preserve"> F, Klein C, </w:t>
      </w:r>
      <w:proofErr w:type="spellStart"/>
      <w:r w:rsidRPr="007661F2">
        <w:rPr>
          <w:rFonts w:ascii="Book Antiqua" w:eastAsia="宋体" w:hAnsi="Book Antiqua" w:cs="宋体"/>
          <w:sz w:val="24"/>
          <w:szCs w:val="24"/>
        </w:rPr>
        <w:t>Kazemier</w:t>
      </w:r>
      <w:proofErr w:type="spellEnd"/>
      <w:r w:rsidRPr="007661F2">
        <w:rPr>
          <w:rFonts w:ascii="Book Antiqua" w:eastAsia="宋体" w:hAnsi="Book Antiqua" w:cs="宋体"/>
          <w:sz w:val="24"/>
          <w:szCs w:val="24"/>
        </w:rPr>
        <w:t xml:space="preserve"> G, </w:t>
      </w:r>
      <w:proofErr w:type="spellStart"/>
      <w:r w:rsidRPr="007661F2">
        <w:rPr>
          <w:rFonts w:ascii="Book Antiqua" w:eastAsia="宋体" w:hAnsi="Book Antiqua" w:cs="宋体"/>
          <w:sz w:val="24"/>
          <w:szCs w:val="24"/>
        </w:rPr>
        <w:t>Pascher</w:t>
      </w:r>
      <w:proofErr w:type="spellEnd"/>
      <w:r w:rsidRPr="007661F2">
        <w:rPr>
          <w:rFonts w:ascii="Book Antiqua" w:eastAsia="宋体" w:hAnsi="Book Antiqua" w:cs="宋体"/>
          <w:sz w:val="24"/>
          <w:szCs w:val="24"/>
        </w:rPr>
        <w:t xml:space="preserve"> A, Schmidt J, </w:t>
      </w:r>
      <w:proofErr w:type="spellStart"/>
      <w:r w:rsidRPr="007661F2">
        <w:rPr>
          <w:rFonts w:ascii="Book Antiqua" w:eastAsia="宋体" w:hAnsi="Book Antiqua" w:cs="宋体"/>
          <w:sz w:val="24"/>
          <w:szCs w:val="24"/>
        </w:rPr>
        <w:t>Rauchfuss</w:t>
      </w:r>
      <w:proofErr w:type="spellEnd"/>
      <w:r w:rsidRPr="007661F2">
        <w:rPr>
          <w:rFonts w:ascii="Book Antiqua" w:eastAsia="宋体" w:hAnsi="Book Antiqua" w:cs="宋体"/>
          <w:sz w:val="24"/>
          <w:szCs w:val="24"/>
        </w:rPr>
        <w:t xml:space="preserve"> F, </w:t>
      </w:r>
      <w:proofErr w:type="spellStart"/>
      <w:r w:rsidRPr="007661F2">
        <w:rPr>
          <w:rFonts w:ascii="Book Antiqua" w:eastAsia="宋体" w:hAnsi="Book Antiqua" w:cs="宋体"/>
          <w:sz w:val="24"/>
          <w:szCs w:val="24"/>
        </w:rPr>
        <w:t>Schnitzbauer</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Nadalin</w:t>
      </w:r>
      <w:proofErr w:type="spellEnd"/>
      <w:r w:rsidRPr="007661F2">
        <w:rPr>
          <w:rFonts w:ascii="Book Antiqua" w:eastAsia="宋体" w:hAnsi="Book Antiqua" w:cs="宋体"/>
          <w:sz w:val="24"/>
          <w:szCs w:val="24"/>
        </w:rPr>
        <w:t xml:space="preserve"> S, Hack M, </w:t>
      </w:r>
      <w:proofErr w:type="spellStart"/>
      <w:r w:rsidRPr="007661F2">
        <w:rPr>
          <w:rFonts w:ascii="Book Antiqua" w:eastAsia="宋体" w:hAnsi="Book Antiqua" w:cs="宋体"/>
          <w:sz w:val="24"/>
          <w:szCs w:val="24"/>
        </w:rPr>
        <w:t>Ladenburger</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Schlitt</w:t>
      </w:r>
      <w:proofErr w:type="spellEnd"/>
      <w:r w:rsidRPr="007661F2">
        <w:rPr>
          <w:rFonts w:ascii="Book Antiqua" w:eastAsia="宋体" w:hAnsi="Book Antiqua" w:cs="宋体"/>
          <w:sz w:val="24"/>
          <w:szCs w:val="24"/>
        </w:rPr>
        <w:t xml:space="preserve"> HJ. A randomized, controlled study to assess the conversion from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-inhibitors to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after liver transplantation--PROTECT. </w:t>
      </w:r>
      <w:r w:rsidRPr="007661F2">
        <w:rPr>
          <w:rFonts w:ascii="Book Antiqua" w:eastAsia="宋体" w:hAnsi="Book Antiqua" w:cs="宋体"/>
          <w:i/>
          <w:iCs/>
          <w:sz w:val="24"/>
          <w:szCs w:val="24"/>
        </w:rPr>
        <w:t>Am J Transplant</w:t>
      </w:r>
      <w:r w:rsidRPr="007661F2">
        <w:rPr>
          <w:rFonts w:ascii="Book Antiqua" w:eastAsia="宋体" w:hAnsi="Book Antiqua" w:cs="宋体"/>
          <w:sz w:val="24"/>
          <w:szCs w:val="24"/>
        </w:rPr>
        <w:t xml:space="preserve"> 2012; </w:t>
      </w:r>
      <w:r w:rsidRPr="007661F2">
        <w:rPr>
          <w:rFonts w:ascii="Book Antiqua" w:eastAsia="宋体" w:hAnsi="Book Antiqua" w:cs="宋体"/>
          <w:b/>
          <w:bCs/>
          <w:sz w:val="24"/>
          <w:szCs w:val="24"/>
        </w:rPr>
        <w:t>12</w:t>
      </w:r>
      <w:r w:rsidRPr="007661F2">
        <w:rPr>
          <w:rFonts w:ascii="Book Antiqua" w:eastAsia="宋体" w:hAnsi="Book Antiqua" w:cs="宋体"/>
          <w:sz w:val="24"/>
          <w:szCs w:val="24"/>
        </w:rPr>
        <w:t>: 1855-1865 [PMID: 22494671 DOI: 10.1111/j.1600-6143.2012.04049.x]</w:t>
      </w:r>
    </w:p>
    <w:p w14:paraId="3D4AA58B"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14 </w:t>
      </w:r>
      <w:proofErr w:type="spellStart"/>
      <w:r w:rsidRPr="007661F2">
        <w:rPr>
          <w:rFonts w:ascii="Book Antiqua" w:eastAsia="宋体" w:hAnsi="Book Antiqua" w:cs="宋体"/>
          <w:b/>
          <w:bCs/>
          <w:sz w:val="24"/>
          <w:szCs w:val="24"/>
        </w:rPr>
        <w:t>Sterneck</w:t>
      </w:r>
      <w:proofErr w:type="spellEnd"/>
      <w:r w:rsidRPr="007661F2">
        <w:rPr>
          <w:rFonts w:ascii="Book Antiqua" w:eastAsia="宋体" w:hAnsi="Book Antiqua" w:cs="宋体"/>
          <w:b/>
          <w:bCs/>
          <w:sz w:val="24"/>
          <w:szCs w:val="24"/>
        </w:rPr>
        <w:t xml:space="preserve"> M</w:t>
      </w:r>
      <w:r w:rsidRPr="007661F2">
        <w:rPr>
          <w:rFonts w:ascii="Book Antiqua" w:eastAsia="宋体" w:hAnsi="Book Antiqua" w:cs="宋体"/>
          <w:sz w:val="24"/>
          <w:szCs w:val="24"/>
        </w:rPr>
        <w:t xml:space="preserve">, Kaiser GM, </w:t>
      </w:r>
      <w:proofErr w:type="spellStart"/>
      <w:r w:rsidRPr="007661F2">
        <w:rPr>
          <w:rFonts w:ascii="Book Antiqua" w:eastAsia="宋体" w:hAnsi="Book Antiqua" w:cs="宋体"/>
          <w:sz w:val="24"/>
          <w:szCs w:val="24"/>
        </w:rPr>
        <w:t>Heyne</w:t>
      </w:r>
      <w:proofErr w:type="spellEnd"/>
      <w:r w:rsidRPr="007661F2">
        <w:rPr>
          <w:rFonts w:ascii="Book Antiqua" w:eastAsia="宋体" w:hAnsi="Book Antiqua" w:cs="宋体"/>
          <w:sz w:val="24"/>
          <w:szCs w:val="24"/>
        </w:rPr>
        <w:t xml:space="preserve"> N, Richter N, </w:t>
      </w:r>
      <w:proofErr w:type="spellStart"/>
      <w:r w:rsidRPr="007661F2">
        <w:rPr>
          <w:rFonts w:ascii="Book Antiqua" w:eastAsia="宋体" w:hAnsi="Book Antiqua" w:cs="宋体"/>
          <w:sz w:val="24"/>
          <w:szCs w:val="24"/>
        </w:rPr>
        <w:t>Rauchfuss</w:t>
      </w:r>
      <w:proofErr w:type="spellEnd"/>
      <w:r w:rsidRPr="007661F2">
        <w:rPr>
          <w:rFonts w:ascii="Book Antiqua" w:eastAsia="宋体" w:hAnsi="Book Antiqua" w:cs="宋体"/>
          <w:sz w:val="24"/>
          <w:szCs w:val="24"/>
        </w:rPr>
        <w:t xml:space="preserve"> F, </w:t>
      </w:r>
      <w:proofErr w:type="spellStart"/>
      <w:r w:rsidRPr="007661F2">
        <w:rPr>
          <w:rFonts w:ascii="Book Antiqua" w:eastAsia="宋体" w:hAnsi="Book Antiqua" w:cs="宋体"/>
          <w:sz w:val="24"/>
          <w:szCs w:val="24"/>
        </w:rPr>
        <w:t>Pascher</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Schemmer</w:t>
      </w:r>
      <w:proofErr w:type="spellEnd"/>
      <w:r w:rsidRPr="007661F2">
        <w:rPr>
          <w:rFonts w:ascii="Book Antiqua" w:eastAsia="宋体" w:hAnsi="Book Antiqua" w:cs="宋体"/>
          <w:sz w:val="24"/>
          <w:szCs w:val="24"/>
        </w:rPr>
        <w:t xml:space="preserve"> P, Fischer L, Klein CG, </w:t>
      </w:r>
      <w:proofErr w:type="spellStart"/>
      <w:r w:rsidRPr="007661F2">
        <w:rPr>
          <w:rFonts w:ascii="Book Antiqua" w:eastAsia="宋体" w:hAnsi="Book Antiqua" w:cs="宋体"/>
          <w:sz w:val="24"/>
          <w:szCs w:val="24"/>
        </w:rPr>
        <w:t>Nadalin</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Lehner</w:t>
      </w:r>
      <w:proofErr w:type="spellEnd"/>
      <w:r w:rsidRPr="007661F2">
        <w:rPr>
          <w:rFonts w:ascii="Book Antiqua" w:eastAsia="宋体" w:hAnsi="Book Antiqua" w:cs="宋体"/>
          <w:sz w:val="24"/>
          <w:szCs w:val="24"/>
        </w:rPr>
        <w:t xml:space="preserve"> F, </w:t>
      </w:r>
      <w:proofErr w:type="spellStart"/>
      <w:r w:rsidRPr="007661F2">
        <w:rPr>
          <w:rFonts w:ascii="Book Antiqua" w:eastAsia="宋体" w:hAnsi="Book Antiqua" w:cs="宋体"/>
          <w:sz w:val="24"/>
          <w:szCs w:val="24"/>
        </w:rPr>
        <w:t>Settmacher</w:t>
      </w:r>
      <w:proofErr w:type="spellEnd"/>
      <w:r w:rsidRPr="007661F2">
        <w:rPr>
          <w:rFonts w:ascii="Book Antiqua" w:eastAsia="宋体" w:hAnsi="Book Antiqua" w:cs="宋体"/>
          <w:sz w:val="24"/>
          <w:szCs w:val="24"/>
        </w:rPr>
        <w:t xml:space="preserve"> U, </w:t>
      </w:r>
      <w:proofErr w:type="spellStart"/>
      <w:r w:rsidRPr="007661F2">
        <w:rPr>
          <w:rFonts w:ascii="Book Antiqua" w:eastAsia="宋体" w:hAnsi="Book Antiqua" w:cs="宋体"/>
          <w:sz w:val="24"/>
          <w:szCs w:val="24"/>
        </w:rPr>
        <w:t>Neuhaus</w:t>
      </w:r>
      <w:proofErr w:type="spellEnd"/>
      <w:r w:rsidRPr="007661F2">
        <w:rPr>
          <w:rFonts w:ascii="Book Antiqua" w:eastAsia="宋体" w:hAnsi="Book Antiqua" w:cs="宋体"/>
          <w:sz w:val="24"/>
          <w:szCs w:val="24"/>
        </w:rPr>
        <w:t xml:space="preserve"> P, </w:t>
      </w:r>
      <w:proofErr w:type="spellStart"/>
      <w:r w:rsidRPr="007661F2">
        <w:rPr>
          <w:rFonts w:ascii="Book Antiqua" w:eastAsia="宋体" w:hAnsi="Book Antiqua" w:cs="宋体"/>
          <w:sz w:val="24"/>
          <w:szCs w:val="24"/>
        </w:rPr>
        <w:t>Gotthardt</w:t>
      </w:r>
      <w:proofErr w:type="spellEnd"/>
      <w:r w:rsidRPr="007661F2">
        <w:rPr>
          <w:rFonts w:ascii="Book Antiqua" w:eastAsia="宋体" w:hAnsi="Book Antiqua" w:cs="宋体"/>
          <w:sz w:val="24"/>
          <w:szCs w:val="24"/>
        </w:rPr>
        <w:t xml:space="preserve"> D, Loss M, </w:t>
      </w:r>
      <w:proofErr w:type="spellStart"/>
      <w:r w:rsidRPr="007661F2">
        <w:rPr>
          <w:rFonts w:ascii="Book Antiqua" w:eastAsia="宋体" w:hAnsi="Book Antiqua" w:cs="宋体"/>
          <w:sz w:val="24"/>
          <w:szCs w:val="24"/>
        </w:rPr>
        <w:t>Ladenburger</w:t>
      </w:r>
      <w:proofErr w:type="spellEnd"/>
      <w:r w:rsidRPr="007661F2">
        <w:rPr>
          <w:rFonts w:ascii="Book Antiqua" w:eastAsia="宋体" w:hAnsi="Book Antiqua" w:cs="宋体"/>
          <w:sz w:val="24"/>
          <w:szCs w:val="24"/>
        </w:rPr>
        <w:t xml:space="preserve"> S, Paulus EM, </w:t>
      </w:r>
      <w:proofErr w:type="spellStart"/>
      <w:r w:rsidRPr="007661F2">
        <w:rPr>
          <w:rFonts w:ascii="Book Antiqua" w:eastAsia="宋体" w:hAnsi="Book Antiqua" w:cs="宋体"/>
          <w:sz w:val="24"/>
          <w:szCs w:val="24"/>
        </w:rPr>
        <w:t>Mertens</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Schlitt</w:t>
      </w:r>
      <w:proofErr w:type="spellEnd"/>
      <w:r w:rsidRPr="007661F2">
        <w:rPr>
          <w:rFonts w:ascii="Book Antiqua" w:eastAsia="宋体" w:hAnsi="Book Antiqua" w:cs="宋体"/>
          <w:sz w:val="24"/>
          <w:szCs w:val="24"/>
        </w:rPr>
        <w:t xml:space="preserve"> HJ.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and early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 inhibitor withdrawal: 3-year results from a randomized trial in liver transplantation. </w:t>
      </w:r>
      <w:r w:rsidRPr="007661F2">
        <w:rPr>
          <w:rFonts w:ascii="Book Antiqua" w:eastAsia="宋体" w:hAnsi="Book Antiqua" w:cs="宋体"/>
          <w:i/>
          <w:iCs/>
          <w:sz w:val="24"/>
          <w:szCs w:val="24"/>
        </w:rPr>
        <w:t>Am J Transplant</w:t>
      </w:r>
      <w:r w:rsidRPr="007661F2">
        <w:rPr>
          <w:rFonts w:ascii="Book Antiqua" w:eastAsia="宋体" w:hAnsi="Book Antiqua" w:cs="宋体"/>
          <w:sz w:val="24"/>
          <w:szCs w:val="24"/>
        </w:rPr>
        <w:t xml:space="preserve"> 2014; </w:t>
      </w:r>
      <w:r w:rsidRPr="007661F2">
        <w:rPr>
          <w:rFonts w:ascii="Book Antiqua" w:eastAsia="宋体" w:hAnsi="Book Antiqua" w:cs="宋体"/>
          <w:b/>
          <w:bCs/>
          <w:sz w:val="24"/>
          <w:szCs w:val="24"/>
        </w:rPr>
        <w:t>14</w:t>
      </w:r>
      <w:r w:rsidRPr="007661F2">
        <w:rPr>
          <w:rFonts w:ascii="Book Antiqua" w:eastAsia="宋体" w:hAnsi="Book Antiqua" w:cs="宋体"/>
          <w:sz w:val="24"/>
          <w:szCs w:val="24"/>
        </w:rPr>
        <w:t>: 701-710 [PMID: 24502384 DOI: 10.1111/ajt.12615]</w:t>
      </w:r>
    </w:p>
    <w:p w14:paraId="73BDA9D2"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15 </w:t>
      </w:r>
      <w:proofErr w:type="spellStart"/>
      <w:r w:rsidRPr="007661F2">
        <w:rPr>
          <w:rFonts w:ascii="Book Antiqua" w:eastAsia="宋体" w:hAnsi="Book Antiqua" w:cs="宋体"/>
          <w:b/>
          <w:bCs/>
          <w:sz w:val="24"/>
          <w:szCs w:val="24"/>
        </w:rPr>
        <w:t>Sterneck</w:t>
      </w:r>
      <w:proofErr w:type="spellEnd"/>
      <w:r w:rsidRPr="007661F2">
        <w:rPr>
          <w:rFonts w:ascii="Book Antiqua" w:eastAsia="宋体" w:hAnsi="Book Antiqua" w:cs="宋体"/>
          <w:b/>
          <w:bCs/>
          <w:sz w:val="24"/>
          <w:szCs w:val="24"/>
        </w:rPr>
        <w:t xml:space="preserve"> M</w:t>
      </w:r>
      <w:r w:rsidRPr="007661F2">
        <w:rPr>
          <w:rFonts w:ascii="Book Antiqua" w:eastAsia="宋体" w:hAnsi="Book Antiqua" w:cs="宋体"/>
          <w:sz w:val="24"/>
          <w:szCs w:val="24"/>
        </w:rPr>
        <w:t xml:space="preserve">, Kaiser GM, </w:t>
      </w:r>
      <w:proofErr w:type="spellStart"/>
      <w:r w:rsidRPr="007661F2">
        <w:rPr>
          <w:rFonts w:ascii="Book Antiqua" w:eastAsia="宋体" w:hAnsi="Book Antiqua" w:cs="宋体"/>
          <w:sz w:val="24"/>
          <w:szCs w:val="24"/>
        </w:rPr>
        <w:t>Heyne</w:t>
      </w:r>
      <w:proofErr w:type="spellEnd"/>
      <w:r w:rsidRPr="007661F2">
        <w:rPr>
          <w:rFonts w:ascii="Book Antiqua" w:eastAsia="宋体" w:hAnsi="Book Antiqua" w:cs="宋体"/>
          <w:sz w:val="24"/>
          <w:szCs w:val="24"/>
        </w:rPr>
        <w:t xml:space="preserve"> N, Richter N, </w:t>
      </w:r>
      <w:proofErr w:type="spellStart"/>
      <w:r w:rsidRPr="007661F2">
        <w:rPr>
          <w:rFonts w:ascii="Book Antiqua" w:eastAsia="宋体" w:hAnsi="Book Antiqua" w:cs="宋体"/>
          <w:sz w:val="24"/>
          <w:szCs w:val="24"/>
        </w:rPr>
        <w:t>Rauchfuss</w:t>
      </w:r>
      <w:proofErr w:type="spellEnd"/>
      <w:r w:rsidRPr="007661F2">
        <w:rPr>
          <w:rFonts w:ascii="Book Antiqua" w:eastAsia="宋体" w:hAnsi="Book Antiqua" w:cs="宋体"/>
          <w:sz w:val="24"/>
          <w:szCs w:val="24"/>
        </w:rPr>
        <w:t xml:space="preserve"> F, </w:t>
      </w:r>
      <w:proofErr w:type="spellStart"/>
      <w:r w:rsidRPr="007661F2">
        <w:rPr>
          <w:rFonts w:ascii="Book Antiqua" w:eastAsia="宋体" w:hAnsi="Book Antiqua" w:cs="宋体"/>
          <w:sz w:val="24"/>
          <w:szCs w:val="24"/>
        </w:rPr>
        <w:t>Pascher</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Schemmer</w:t>
      </w:r>
      <w:proofErr w:type="spellEnd"/>
      <w:r w:rsidRPr="007661F2">
        <w:rPr>
          <w:rFonts w:ascii="Book Antiqua" w:eastAsia="宋体" w:hAnsi="Book Antiqua" w:cs="宋体"/>
          <w:sz w:val="24"/>
          <w:szCs w:val="24"/>
        </w:rPr>
        <w:t xml:space="preserve"> P, Fischer L, Klein CG, </w:t>
      </w:r>
      <w:proofErr w:type="spellStart"/>
      <w:r w:rsidRPr="007661F2">
        <w:rPr>
          <w:rFonts w:ascii="Book Antiqua" w:eastAsia="宋体" w:hAnsi="Book Antiqua" w:cs="宋体"/>
          <w:sz w:val="24"/>
          <w:szCs w:val="24"/>
        </w:rPr>
        <w:t>Nadalin</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Lehner</w:t>
      </w:r>
      <w:proofErr w:type="spellEnd"/>
      <w:r w:rsidRPr="007661F2">
        <w:rPr>
          <w:rFonts w:ascii="Book Antiqua" w:eastAsia="宋体" w:hAnsi="Book Antiqua" w:cs="宋体"/>
          <w:sz w:val="24"/>
          <w:szCs w:val="24"/>
        </w:rPr>
        <w:t xml:space="preserve"> F, </w:t>
      </w:r>
      <w:proofErr w:type="spellStart"/>
      <w:r w:rsidRPr="007661F2">
        <w:rPr>
          <w:rFonts w:ascii="Book Antiqua" w:eastAsia="宋体" w:hAnsi="Book Antiqua" w:cs="宋体"/>
          <w:sz w:val="24"/>
          <w:szCs w:val="24"/>
        </w:rPr>
        <w:t>Settmacher</w:t>
      </w:r>
      <w:proofErr w:type="spellEnd"/>
      <w:r w:rsidRPr="007661F2">
        <w:rPr>
          <w:rFonts w:ascii="Book Antiqua" w:eastAsia="宋体" w:hAnsi="Book Antiqua" w:cs="宋体"/>
          <w:sz w:val="24"/>
          <w:szCs w:val="24"/>
        </w:rPr>
        <w:t xml:space="preserve"> U, </w:t>
      </w:r>
      <w:proofErr w:type="spellStart"/>
      <w:r w:rsidRPr="007661F2">
        <w:rPr>
          <w:rFonts w:ascii="Book Antiqua" w:eastAsia="宋体" w:hAnsi="Book Antiqua" w:cs="宋体"/>
          <w:sz w:val="24"/>
          <w:szCs w:val="24"/>
        </w:rPr>
        <w:t>Gotthardt</w:t>
      </w:r>
      <w:proofErr w:type="spellEnd"/>
      <w:r w:rsidRPr="007661F2">
        <w:rPr>
          <w:rFonts w:ascii="Book Antiqua" w:eastAsia="宋体" w:hAnsi="Book Antiqua" w:cs="宋体"/>
          <w:sz w:val="24"/>
          <w:szCs w:val="24"/>
        </w:rPr>
        <w:t xml:space="preserve"> D, Loss M, </w:t>
      </w:r>
      <w:proofErr w:type="spellStart"/>
      <w:r w:rsidRPr="007661F2">
        <w:rPr>
          <w:rFonts w:ascii="Book Antiqua" w:eastAsia="宋体" w:hAnsi="Book Antiqua" w:cs="宋体"/>
          <w:sz w:val="24"/>
          <w:szCs w:val="24"/>
        </w:rPr>
        <w:t>Ladenburger</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Wimmer</w:t>
      </w:r>
      <w:proofErr w:type="spellEnd"/>
      <w:r w:rsidRPr="007661F2">
        <w:rPr>
          <w:rFonts w:ascii="Book Antiqua" w:eastAsia="宋体" w:hAnsi="Book Antiqua" w:cs="宋体"/>
          <w:sz w:val="24"/>
          <w:szCs w:val="24"/>
        </w:rPr>
        <w:t xml:space="preserve"> P, </w:t>
      </w:r>
      <w:proofErr w:type="spellStart"/>
      <w:r w:rsidRPr="007661F2">
        <w:rPr>
          <w:rFonts w:ascii="Book Antiqua" w:eastAsia="宋体" w:hAnsi="Book Antiqua" w:cs="宋体"/>
          <w:sz w:val="24"/>
          <w:szCs w:val="24"/>
        </w:rPr>
        <w:t>Dworak</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Schlitt</w:t>
      </w:r>
      <w:proofErr w:type="spellEnd"/>
      <w:r w:rsidRPr="007661F2">
        <w:rPr>
          <w:rFonts w:ascii="Book Antiqua" w:eastAsia="宋体" w:hAnsi="Book Antiqua" w:cs="宋体"/>
          <w:sz w:val="24"/>
          <w:szCs w:val="24"/>
        </w:rPr>
        <w:t xml:space="preserve"> HJ. Long-term follow-up of five </w:t>
      </w:r>
      <w:proofErr w:type="spellStart"/>
      <w:r w:rsidRPr="007661F2">
        <w:rPr>
          <w:rFonts w:ascii="Book Antiqua" w:eastAsia="宋体" w:hAnsi="Book Antiqua" w:cs="宋体"/>
          <w:sz w:val="24"/>
          <w:szCs w:val="24"/>
        </w:rPr>
        <w:t>yr</w:t>
      </w:r>
      <w:proofErr w:type="spellEnd"/>
      <w:r w:rsidRPr="007661F2">
        <w:rPr>
          <w:rFonts w:ascii="Book Antiqua" w:eastAsia="宋体" w:hAnsi="Book Antiqua" w:cs="宋体"/>
          <w:sz w:val="24"/>
          <w:szCs w:val="24"/>
        </w:rPr>
        <w:t xml:space="preserve"> shows superior renal function with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plus early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 inhibitor withdrawal in </w:t>
      </w:r>
      <w:r w:rsidRPr="007661F2">
        <w:rPr>
          <w:rFonts w:ascii="Book Antiqua" w:eastAsia="宋体" w:hAnsi="Book Antiqua" w:cs="宋体"/>
          <w:sz w:val="24"/>
          <w:szCs w:val="24"/>
        </w:rPr>
        <w:lastRenderedPageBreak/>
        <w:t xml:space="preserve">the PROTECT randomized liver transplantation study. </w:t>
      </w:r>
      <w:proofErr w:type="spellStart"/>
      <w:r w:rsidRPr="007661F2">
        <w:rPr>
          <w:rFonts w:ascii="Book Antiqua" w:eastAsia="宋体" w:hAnsi="Book Antiqua" w:cs="宋体"/>
          <w:i/>
          <w:iCs/>
          <w:sz w:val="24"/>
          <w:szCs w:val="24"/>
        </w:rPr>
        <w:t>Clin</w:t>
      </w:r>
      <w:proofErr w:type="spellEnd"/>
      <w:r w:rsidRPr="007661F2">
        <w:rPr>
          <w:rFonts w:ascii="Book Antiqua" w:eastAsia="宋体" w:hAnsi="Book Antiqua" w:cs="宋体"/>
          <w:i/>
          <w:iCs/>
          <w:sz w:val="24"/>
          <w:szCs w:val="24"/>
        </w:rPr>
        <w:t xml:space="preserve"> Transplant</w:t>
      </w:r>
      <w:r w:rsidRPr="007661F2">
        <w:rPr>
          <w:rFonts w:ascii="Book Antiqua" w:eastAsia="宋体" w:hAnsi="Book Antiqua" w:cs="宋体"/>
          <w:sz w:val="24"/>
          <w:szCs w:val="24"/>
        </w:rPr>
        <w:t xml:space="preserve"> 2016; </w:t>
      </w:r>
      <w:r w:rsidRPr="007661F2">
        <w:rPr>
          <w:rFonts w:ascii="Book Antiqua" w:eastAsia="宋体" w:hAnsi="Book Antiqua" w:cs="宋体"/>
          <w:b/>
          <w:bCs/>
          <w:sz w:val="24"/>
          <w:szCs w:val="24"/>
        </w:rPr>
        <w:t>30</w:t>
      </w:r>
      <w:r w:rsidRPr="007661F2">
        <w:rPr>
          <w:rFonts w:ascii="Book Antiqua" w:eastAsia="宋体" w:hAnsi="Book Antiqua" w:cs="宋体"/>
          <w:sz w:val="24"/>
          <w:szCs w:val="24"/>
        </w:rPr>
        <w:t>: 741-748 [PMID: 27160359 DOI: 10.1111/ctr.12744]</w:t>
      </w:r>
    </w:p>
    <w:p w14:paraId="4E28E5CF"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16 </w:t>
      </w:r>
      <w:r w:rsidRPr="007661F2">
        <w:rPr>
          <w:rFonts w:ascii="Book Antiqua" w:eastAsia="宋体" w:hAnsi="Book Antiqua" w:cs="宋体"/>
          <w:b/>
          <w:bCs/>
          <w:sz w:val="24"/>
          <w:szCs w:val="24"/>
        </w:rPr>
        <w:t>De Simone P</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Nevens</w:t>
      </w:r>
      <w:proofErr w:type="spellEnd"/>
      <w:r w:rsidRPr="007661F2">
        <w:rPr>
          <w:rFonts w:ascii="Book Antiqua" w:eastAsia="宋体" w:hAnsi="Book Antiqua" w:cs="宋体"/>
          <w:sz w:val="24"/>
          <w:szCs w:val="24"/>
        </w:rPr>
        <w:t xml:space="preserve"> F, De </w:t>
      </w:r>
      <w:proofErr w:type="spellStart"/>
      <w:r w:rsidRPr="007661F2">
        <w:rPr>
          <w:rFonts w:ascii="Book Antiqua" w:eastAsia="宋体" w:hAnsi="Book Antiqua" w:cs="宋体"/>
          <w:sz w:val="24"/>
          <w:szCs w:val="24"/>
        </w:rPr>
        <w:t>Carlis</w:t>
      </w:r>
      <w:proofErr w:type="spellEnd"/>
      <w:r w:rsidRPr="007661F2">
        <w:rPr>
          <w:rFonts w:ascii="Book Antiqua" w:eastAsia="宋体" w:hAnsi="Book Antiqua" w:cs="宋体"/>
          <w:sz w:val="24"/>
          <w:szCs w:val="24"/>
        </w:rPr>
        <w:t xml:space="preserve"> L, </w:t>
      </w:r>
      <w:proofErr w:type="spellStart"/>
      <w:r w:rsidRPr="007661F2">
        <w:rPr>
          <w:rFonts w:ascii="Book Antiqua" w:eastAsia="宋体" w:hAnsi="Book Antiqua" w:cs="宋体"/>
          <w:sz w:val="24"/>
          <w:szCs w:val="24"/>
        </w:rPr>
        <w:t>Metselaar</w:t>
      </w:r>
      <w:proofErr w:type="spellEnd"/>
      <w:r w:rsidRPr="007661F2">
        <w:rPr>
          <w:rFonts w:ascii="Book Antiqua" w:eastAsia="宋体" w:hAnsi="Book Antiqua" w:cs="宋体"/>
          <w:sz w:val="24"/>
          <w:szCs w:val="24"/>
        </w:rPr>
        <w:t xml:space="preserve"> HJ, </w:t>
      </w:r>
      <w:proofErr w:type="spellStart"/>
      <w:r w:rsidRPr="007661F2">
        <w:rPr>
          <w:rFonts w:ascii="Book Antiqua" w:eastAsia="宋体" w:hAnsi="Book Antiqua" w:cs="宋体"/>
          <w:sz w:val="24"/>
          <w:szCs w:val="24"/>
        </w:rPr>
        <w:t>Beckebaum</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Saliba</w:t>
      </w:r>
      <w:proofErr w:type="spellEnd"/>
      <w:r w:rsidRPr="007661F2">
        <w:rPr>
          <w:rFonts w:ascii="Book Antiqua" w:eastAsia="宋体" w:hAnsi="Book Antiqua" w:cs="宋体"/>
          <w:sz w:val="24"/>
          <w:szCs w:val="24"/>
        </w:rPr>
        <w:t xml:space="preserve"> F, Jonas S, Sudan D, Fung J, Fischer L, </w:t>
      </w:r>
      <w:proofErr w:type="spellStart"/>
      <w:r w:rsidRPr="007661F2">
        <w:rPr>
          <w:rFonts w:ascii="Book Antiqua" w:eastAsia="宋体" w:hAnsi="Book Antiqua" w:cs="宋体"/>
          <w:sz w:val="24"/>
          <w:szCs w:val="24"/>
        </w:rPr>
        <w:t>Duvoux</w:t>
      </w:r>
      <w:proofErr w:type="spellEnd"/>
      <w:r w:rsidRPr="007661F2">
        <w:rPr>
          <w:rFonts w:ascii="Book Antiqua" w:eastAsia="宋体" w:hAnsi="Book Antiqua" w:cs="宋体"/>
          <w:sz w:val="24"/>
          <w:szCs w:val="24"/>
        </w:rPr>
        <w:t xml:space="preserve"> C, </w:t>
      </w:r>
      <w:proofErr w:type="spellStart"/>
      <w:r w:rsidRPr="007661F2">
        <w:rPr>
          <w:rFonts w:ascii="Book Antiqua" w:eastAsia="宋体" w:hAnsi="Book Antiqua" w:cs="宋体"/>
          <w:sz w:val="24"/>
          <w:szCs w:val="24"/>
        </w:rPr>
        <w:t>Chavin</w:t>
      </w:r>
      <w:proofErr w:type="spellEnd"/>
      <w:r w:rsidRPr="007661F2">
        <w:rPr>
          <w:rFonts w:ascii="Book Antiqua" w:eastAsia="宋体" w:hAnsi="Book Antiqua" w:cs="宋体"/>
          <w:sz w:val="24"/>
          <w:szCs w:val="24"/>
        </w:rPr>
        <w:t xml:space="preserve"> KD, </w:t>
      </w:r>
      <w:proofErr w:type="spellStart"/>
      <w:r w:rsidRPr="007661F2">
        <w:rPr>
          <w:rFonts w:ascii="Book Antiqua" w:eastAsia="宋体" w:hAnsi="Book Antiqua" w:cs="宋体"/>
          <w:sz w:val="24"/>
          <w:szCs w:val="24"/>
        </w:rPr>
        <w:t>Koneru</w:t>
      </w:r>
      <w:proofErr w:type="spellEnd"/>
      <w:r w:rsidRPr="007661F2">
        <w:rPr>
          <w:rFonts w:ascii="Book Antiqua" w:eastAsia="宋体" w:hAnsi="Book Antiqua" w:cs="宋体"/>
          <w:sz w:val="24"/>
          <w:szCs w:val="24"/>
        </w:rPr>
        <w:t xml:space="preserve"> B, Huang MA, Chapman WC, </w:t>
      </w:r>
      <w:proofErr w:type="spellStart"/>
      <w:r w:rsidRPr="007661F2">
        <w:rPr>
          <w:rFonts w:ascii="Book Antiqua" w:eastAsia="宋体" w:hAnsi="Book Antiqua" w:cs="宋体"/>
          <w:sz w:val="24"/>
          <w:szCs w:val="24"/>
        </w:rPr>
        <w:t>Foltys</w:t>
      </w:r>
      <w:proofErr w:type="spellEnd"/>
      <w:r w:rsidRPr="007661F2">
        <w:rPr>
          <w:rFonts w:ascii="Book Antiqua" w:eastAsia="宋体" w:hAnsi="Book Antiqua" w:cs="宋体"/>
          <w:sz w:val="24"/>
          <w:szCs w:val="24"/>
        </w:rPr>
        <w:t xml:space="preserve"> D, Witte S, Jiang H, </w:t>
      </w:r>
      <w:proofErr w:type="spellStart"/>
      <w:r w:rsidRPr="007661F2">
        <w:rPr>
          <w:rFonts w:ascii="Book Antiqua" w:eastAsia="宋体" w:hAnsi="Book Antiqua" w:cs="宋体"/>
          <w:sz w:val="24"/>
          <w:szCs w:val="24"/>
        </w:rPr>
        <w:t>Hexham</w:t>
      </w:r>
      <w:proofErr w:type="spellEnd"/>
      <w:r w:rsidRPr="007661F2">
        <w:rPr>
          <w:rFonts w:ascii="Book Antiqua" w:eastAsia="宋体" w:hAnsi="Book Antiqua" w:cs="宋体"/>
          <w:sz w:val="24"/>
          <w:szCs w:val="24"/>
        </w:rPr>
        <w:t xml:space="preserve"> JM, </w:t>
      </w:r>
      <w:proofErr w:type="spellStart"/>
      <w:r w:rsidRPr="007661F2">
        <w:rPr>
          <w:rFonts w:ascii="Book Antiqua" w:eastAsia="宋体" w:hAnsi="Book Antiqua" w:cs="宋体"/>
          <w:sz w:val="24"/>
          <w:szCs w:val="24"/>
        </w:rPr>
        <w:t>Junge</w:t>
      </w:r>
      <w:proofErr w:type="spellEnd"/>
      <w:r w:rsidRPr="007661F2">
        <w:rPr>
          <w:rFonts w:ascii="Book Antiqua" w:eastAsia="宋体" w:hAnsi="Book Antiqua" w:cs="宋体"/>
          <w:sz w:val="24"/>
          <w:szCs w:val="24"/>
        </w:rPr>
        <w:t xml:space="preserve"> G.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with reduced </w:t>
      </w:r>
      <w:proofErr w:type="spellStart"/>
      <w:r w:rsidRPr="007661F2">
        <w:rPr>
          <w:rFonts w:ascii="Book Antiqua" w:eastAsia="宋体" w:hAnsi="Book Antiqua" w:cs="宋体"/>
          <w:sz w:val="24"/>
          <w:szCs w:val="24"/>
        </w:rPr>
        <w:t>tacrolimus</w:t>
      </w:r>
      <w:proofErr w:type="spellEnd"/>
      <w:r w:rsidRPr="007661F2">
        <w:rPr>
          <w:rFonts w:ascii="Book Antiqua" w:eastAsia="宋体" w:hAnsi="Book Antiqua" w:cs="宋体"/>
          <w:sz w:val="24"/>
          <w:szCs w:val="24"/>
        </w:rPr>
        <w:t xml:space="preserve"> improves renal function in de novo liver transplant recipients: a randomized controlled trial. </w:t>
      </w:r>
      <w:r w:rsidRPr="007661F2">
        <w:rPr>
          <w:rFonts w:ascii="Book Antiqua" w:eastAsia="宋体" w:hAnsi="Book Antiqua" w:cs="宋体"/>
          <w:i/>
          <w:iCs/>
          <w:sz w:val="24"/>
          <w:szCs w:val="24"/>
        </w:rPr>
        <w:t>Am J Transplant</w:t>
      </w:r>
      <w:r w:rsidRPr="007661F2">
        <w:rPr>
          <w:rFonts w:ascii="Book Antiqua" w:eastAsia="宋体" w:hAnsi="Book Antiqua" w:cs="宋体"/>
          <w:sz w:val="24"/>
          <w:szCs w:val="24"/>
        </w:rPr>
        <w:t xml:space="preserve"> 2012; </w:t>
      </w:r>
      <w:r w:rsidRPr="007661F2">
        <w:rPr>
          <w:rFonts w:ascii="Book Antiqua" w:eastAsia="宋体" w:hAnsi="Book Antiqua" w:cs="宋体"/>
          <w:b/>
          <w:bCs/>
          <w:sz w:val="24"/>
          <w:szCs w:val="24"/>
        </w:rPr>
        <w:t>12</w:t>
      </w:r>
      <w:r w:rsidRPr="007661F2">
        <w:rPr>
          <w:rFonts w:ascii="Book Antiqua" w:eastAsia="宋体" w:hAnsi="Book Antiqua" w:cs="宋体"/>
          <w:sz w:val="24"/>
          <w:szCs w:val="24"/>
        </w:rPr>
        <w:t>: 3008-3020 [PMID: 22882750 DOI: 10.1111/j.1600-6143.2012.04212.x]</w:t>
      </w:r>
    </w:p>
    <w:p w14:paraId="12050E18"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17 </w:t>
      </w:r>
      <w:proofErr w:type="spellStart"/>
      <w:r w:rsidRPr="007661F2">
        <w:rPr>
          <w:rFonts w:ascii="Book Antiqua" w:eastAsia="宋体" w:hAnsi="Book Antiqua" w:cs="宋体"/>
          <w:b/>
          <w:bCs/>
          <w:sz w:val="24"/>
          <w:szCs w:val="24"/>
        </w:rPr>
        <w:t>Saliba</w:t>
      </w:r>
      <w:proofErr w:type="spellEnd"/>
      <w:r w:rsidRPr="007661F2">
        <w:rPr>
          <w:rFonts w:ascii="Book Antiqua" w:eastAsia="宋体" w:hAnsi="Book Antiqua" w:cs="宋体"/>
          <w:b/>
          <w:bCs/>
          <w:sz w:val="24"/>
          <w:szCs w:val="24"/>
        </w:rPr>
        <w:t xml:space="preserve"> F</w:t>
      </w:r>
      <w:r w:rsidRPr="007661F2">
        <w:rPr>
          <w:rFonts w:ascii="Book Antiqua" w:eastAsia="宋体" w:hAnsi="Book Antiqua" w:cs="宋体"/>
          <w:sz w:val="24"/>
          <w:szCs w:val="24"/>
        </w:rPr>
        <w:t xml:space="preserve">, De Simone P, </w:t>
      </w:r>
      <w:proofErr w:type="spellStart"/>
      <w:r w:rsidRPr="007661F2">
        <w:rPr>
          <w:rFonts w:ascii="Book Antiqua" w:eastAsia="宋体" w:hAnsi="Book Antiqua" w:cs="宋体"/>
          <w:sz w:val="24"/>
          <w:szCs w:val="24"/>
        </w:rPr>
        <w:t>Nevens</w:t>
      </w:r>
      <w:proofErr w:type="spellEnd"/>
      <w:r w:rsidRPr="007661F2">
        <w:rPr>
          <w:rFonts w:ascii="Book Antiqua" w:eastAsia="宋体" w:hAnsi="Book Antiqua" w:cs="宋体"/>
          <w:sz w:val="24"/>
          <w:szCs w:val="24"/>
        </w:rPr>
        <w:t xml:space="preserve"> F, De </w:t>
      </w:r>
      <w:proofErr w:type="spellStart"/>
      <w:r w:rsidRPr="007661F2">
        <w:rPr>
          <w:rFonts w:ascii="Book Antiqua" w:eastAsia="宋体" w:hAnsi="Book Antiqua" w:cs="宋体"/>
          <w:sz w:val="24"/>
          <w:szCs w:val="24"/>
        </w:rPr>
        <w:t>Carlis</w:t>
      </w:r>
      <w:proofErr w:type="spellEnd"/>
      <w:r w:rsidRPr="007661F2">
        <w:rPr>
          <w:rFonts w:ascii="Book Antiqua" w:eastAsia="宋体" w:hAnsi="Book Antiqua" w:cs="宋体"/>
          <w:sz w:val="24"/>
          <w:szCs w:val="24"/>
        </w:rPr>
        <w:t xml:space="preserve"> L, </w:t>
      </w:r>
      <w:proofErr w:type="spellStart"/>
      <w:r w:rsidRPr="007661F2">
        <w:rPr>
          <w:rFonts w:ascii="Book Antiqua" w:eastAsia="宋体" w:hAnsi="Book Antiqua" w:cs="宋体"/>
          <w:sz w:val="24"/>
          <w:szCs w:val="24"/>
        </w:rPr>
        <w:t>Metselaar</w:t>
      </w:r>
      <w:proofErr w:type="spellEnd"/>
      <w:r w:rsidRPr="007661F2">
        <w:rPr>
          <w:rFonts w:ascii="Book Antiqua" w:eastAsia="宋体" w:hAnsi="Book Antiqua" w:cs="宋体"/>
          <w:sz w:val="24"/>
          <w:szCs w:val="24"/>
        </w:rPr>
        <w:t xml:space="preserve"> HJ, </w:t>
      </w:r>
      <w:proofErr w:type="spellStart"/>
      <w:r w:rsidRPr="007661F2">
        <w:rPr>
          <w:rFonts w:ascii="Book Antiqua" w:eastAsia="宋体" w:hAnsi="Book Antiqua" w:cs="宋体"/>
          <w:sz w:val="24"/>
          <w:szCs w:val="24"/>
        </w:rPr>
        <w:t>Beckebaum</w:t>
      </w:r>
      <w:proofErr w:type="spellEnd"/>
      <w:r w:rsidRPr="007661F2">
        <w:rPr>
          <w:rFonts w:ascii="Book Antiqua" w:eastAsia="宋体" w:hAnsi="Book Antiqua" w:cs="宋体"/>
          <w:sz w:val="24"/>
          <w:szCs w:val="24"/>
        </w:rPr>
        <w:t xml:space="preserve"> S, Jonas S, Sudan D, Fischer L, </w:t>
      </w:r>
      <w:proofErr w:type="spellStart"/>
      <w:r w:rsidRPr="007661F2">
        <w:rPr>
          <w:rFonts w:ascii="Book Antiqua" w:eastAsia="宋体" w:hAnsi="Book Antiqua" w:cs="宋体"/>
          <w:sz w:val="24"/>
          <w:szCs w:val="24"/>
        </w:rPr>
        <w:t>Duvoux</w:t>
      </w:r>
      <w:proofErr w:type="spellEnd"/>
      <w:r w:rsidRPr="007661F2">
        <w:rPr>
          <w:rFonts w:ascii="Book Antiqua" w:eastAsia="宋体" w:hAnsi="Book Antiqua" w:cs="宋体"/>
          <w:sz w:val="24"/>
          <w:szCs w:val="24"/>
        </w:rPr>
        <w:t xml:space="preserve"> C, </w:t>
      </w:r>
      <w:proofErr w:type="spellStart"/>
      <w:r w:rsidRPr="007661F2">
        <w:rPr>
          <w:rFonts w:ascii="Book Antiqua" w:eastAsia="宋体" w:hAnsi="Book Antiqua" w:cs="宋体"/>
          <w:sz w:val="24"/>
          <w:szCs w:val="24"/>
        </w:rPr>
        <w:t>Chavin</w:t>
      </w:r>
      <w:proofErr w:type="spellEnd"/>
      <w:r w:rsidRPr="007661F2">
        <w:rPr>
          <w:rFonts w:ascii="Book Antiqua" w:eastAsia="宋体" w:hAnsi="Book Antiqua" w:cs="宋体"/>
          <w:sz w:val="24"/>
          <w:szCs w:val="24"/>
        </w:rPr>
        <w:t xml:space="preserve"> KD, </w:t>
      </w:r>
      <w:proofErr w:type="spellStart"/>
      <w:r w:rsidRPr="007661F2">
        <w:rPr>
          <w:rFonts w:ascii="Book Antiqua" w:eastAsia="宋体" w:hAnsi="Book Antiqua" w:cs="宋体"/>
          <w:sz w:val="24"/>
          <w:szCs w:val="24"/>
        </w:rPr>
        <w:t>Koneru</w:t>
      </w:r>
      <w:proofErr w:type="spellEnd"/>
      <w:r w:rsidRPr="007661F2">
        <w:rPr>
          <w:rFonts w:ascii="Book Antiqua" w:eastAsia="宋体" w:hAnsi="Book Antiqua" w:cs="宋体"/>
          <w:sz w:val="24"/>
          <w:szCs w:val="24"/>
        </w:rPr>
        <w:t xml:space="preserve"> B, Huang MA, Chapman WC, </w:t>
      </w:r>
      <w:proofErr w:type="spellStart"/>
      <w:r w:rsidRPr="007661F2">
        <w:rPr>
          <w:rFonts w:ascii="Book Antiqua" w:eastAsia="宋体" w:hAnsi="Book Antiqua" w:cs="宋体"/>
          <w:sz w:val="24"/>
          <w:szCs w:val="24"/>
        </w:rPr>
        <w:t>Foltys</w:t>
      </w:r>
      <w:proofErr w:type="spellEnd"/>
      <w:r w:rsidRPr="007661F2">
        <w:rPr>
          <w:rFonts w:ascii="Book Antiqua" w:eastAsia="宋体" w:hAnsi="Book Antiqua" w:cs="宋体"/>
          <w:sz w:val="24"/>
          <w:szCs w:val="24"/>
        </w:rPr>
        <w:t xml:space="preserve"> D, Dong G, Lopez PM, Fung J, </w:t>
      </w:r>
      <w:proofErr w:type="spellStart"/>
      <w:r w:rsidRPr="007661F2">
        <w:rPr>
          <w:rFonts w:ascii="Book Antiqua" w:eastAsia="宋体" w:hAnsi="Book Antiqua" w:cs="宋体"/>
          <w:sz w:val="24"/>
          <w:szCs w:val="24"/>
        </w:rPr>
        <w:t>Junge</w:t>
      </w:r>
      <w:proofErr w:type="spellEnd"/>
      <w:r w:rsidRPr="007661F2">
        <w:rPr>
          <w:rFonts w:ascii="Book Antiqua" w:eastAsia="宋体" w:hAnsi="Book Antiqua" w:cs="宋体"/>
          <w:sz w:val="24"/>
          <w:szCs w:val="24"/>
        </w:rPr>
        <w:t xml:space="preserve"> G. Renal function at two years in liver transplant patients receiving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results of a randomized, multicenter study. </w:t>
      </w:r>
      <w:r w:rsidRPr="007661F2">
        <w:rPr>
          <w:rFonts w:ascii="Book Antiqua" w:eastAsia="宋体" w:hAnsi="Book Antiqua" w:cs="宋体"/>
          <w:i/>
          <w:iCs/>
          <w:sz w:val="24"/>
          <w:szCs w:val="24"/>
        </w:rPr>
        <w:t>Am J Transplant</w:t>
      </w:r>
      <w:r w:rsidRPr="007661F2">
        <w:rPr>
          <w:rFonts w:ascii="Book Antiqua" w:eastAsia="宋体" w:hAnsi="Book Antiqua" w:cs="宋体"/>
          <w:sz w:val="24"/>
          <w:szCs w:val="24"/>
        </w:rPr>
        <w:t xml:space="preserve"> 2013; </w:t>
      </w:r>
      <w:r w:rsidRPr="007661F2">
        <w:rPr>
          <w:rFonts w:ascii="Book Antiqua" w:eastAsia="宋体" w:hAnsi="Book Antiqua" w:cs="宋体"/>
          <w:b/>
          <w:bCs/>
          <w:sz w:val="24"/>
          <w:szCs w:val="24"/>
        </w:rPr>
        <w:t>13</w:t>
      </w:r>
      <w:r w:rsidRPr="007661F2">
        <w:rPr>
          <w:rFonts w:ascii="Book Antiqua" w:eastAsia="宋体" w:hAnsi="Book Antiqua" w:cs="宋体"/>
          <w:sz w:val="24"/>
          <w:szCs w:val="24"/>
        </w:rPr>
        <w:t>: 1734-1745 [PMID: 23714399 DOI: 10.1111/ajt.12280]</w:t>
      </w:r>
    </w:p>
    <w:p w14:paraId="66FA64AA"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18 </w:t>
      </w:r>
      <w:r w:rsidRPr="007661F2">
        <w:rPr>
          <w:rFonts w:ascii="Book Antiqua" w:eastAsia="宋体" w:hAnsi="Book Antiqua" w:cs="宋体"/>
          <w:b/>
          <w:bCs/>
          <w:sz w:val="24"/>
          <w:szCs w:val="24"/>
        </w:rPr>
        <w:t>Fischer L</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Saliba</w:t>
      </w:r>
      <w:proofErr w:type="spellEnd"/>
      <w:r w:rsidRPr="007661F2">
        <w:rPr>
          <w:rFonts w:ascii="Book Antiqua" w:eastAsia="宋体" w:hAnsi="Book Antiqua" w:cs="宋体"/>
          <w:sz w:val="24"/>
          <w:szCs w:val="24"/>
        </w:rPr>
        <w:t xml:space="preserve"> F, Kaiser GM, De </w:t>
      </w:r>
      <w:proofErr w:type="spellStart"/>
      <w:r w:rsidRPr="007661F2">
        <w:rPr>
          <w:rFonts w:ascii="Book Antiqua" w:eastAsia="宋体" w:hAnsi="Book Antiqua" w:cs="宋体"/>
          <w:sz w:val="24"/>
          <w:szCs w:val="24"/>
        </w:rPr>
        <w:t>Carlis</w:t>
      </w:r>
      <w:proofErr w:type="spellEnd"/>
      <w:r w:rsidRPr="007661F2">
        <w:rPr>
          <w:rFonts w:ascii="Book Antiqua" w:eastAsia="宋体" w:hAnsi="Book Antiqua" w:cs="宋体"/>
          <w:sz w:val="24"/>
          <w:szCs w:val="24"/>
        </w:rPr>
        <w:t xml:space="preserve"> L, </w:t>
      </w:r>
      <w:proofErr w:type="spellStart"/>
      <w:r w:rsidRPr="007661F2">
        <w:rPr>
          <w:rFonts w:ascii="Book Antiqua" w:eastAsia="宋体" w:hAnsi="Book Antiqua" w:cs="宋体"/>
          <w:sz w:val="24"/>
          <w:szCs w:val="24"/>
        </w:rPr>
        <w:t>Metselaar</w:t>
      </w:r>
      <w:proofErr w:type="spellEnd"/>
      <w:r w:rsidRPr="007661F2">
        <w:rPr>
          <w:rFonts w:ascii="Book Antiqua" w:eastAsia="宋体" w:hAnsi="Book Antiqua" w:cs="宋体"/>
          <w:sz w:val="24"/>
          <w:szCs w:val="24"/>
        </w:rPr>
        <w:t xml:space="preserve"> HJ, De Simone P, </w:t>
      </w:r>
      <w:proofErr w:type="spellStart"/>
      <w:r w:rsidRPr="007661F2">
        <w:rPr>
          <w:rFonts w:ascii="Book Antiqua" w:eastAsia="宋体" w:hAnsi="Book Antiqua" w:cs="宋体"/>
          <w:sz w:val="24"/>
          <w:szCs w:val="24"/>
        </w:rPr>
        <w:t>Duvoux</w:t>
      </w:r>
      <w:proofErr w:type="spellEnd"/>
      <w:r w:rsidRPr="007661F2">
        <w:rPr>
          <w:rFonts w:ascii="Book Antiqua" w:eastAsia="宋体" w:hAnsi="Book Antiqua" w:cs="宋体"/>
          <w:sz w:val="24"/>
          <w:szCs w:val="24"/>
        </w:rPr>
        <w:t xml:space="preserve"> C, </w:t>
      </w:r>
      <w:proofErr w:type="spellStart"/>
      <w:r w:rsidRPr="007661F2">
        <w:rPr>
          <w:rFonts w:ascii="Book Antiqua" w:eastAsia="宋体" w:hAnsi="Book Antiqua" w:cs="宋体"/>
          <w:sz w:val="24"/>
          <w:szCs w:val="24"/>
        </w:rPr>
        <w:t>Nevens</w:t>
      </w:r>
      <w:proofErr w:type="spellEnd"/>
      <w:r w:rsidRPr="007661F2">
        <w:rPr>
          <w:rFonts w:ascii="Book Antiqua" w:eastAsia="宋体" w:hAnsi="Book Antiqua" w:cs="宋体"/>
          <w:sz w:val="24"/>
          <w:szCs w:val="24"/>
        </w:rPr>
        <w:t xml:space="preserve"> F, Fung JJ, Dong G, </w:t>
      </w:r>
      <w:proofErr w:type="spellStart"/>
      <w:r w:rsidRPr="007661F2">
        <w:rPr>
          <w:rFonts w:ascii="Book Antiqua" w:eastAsia="宋体" w:hAnsi="Book Antiqua" w:cs="宋体"/>
          <w:sz w:val="24"/>
          <w:szCs w:val="24"/>
        </w:rPr>
        <w:t>Rauer</w:t>
      </w:r>
      <w:proofErr w:type="spellEnd"/>
      <w:r w:rsidRPr="007661F2">
        <w:rPr>
          <w:rFonts w:ascii="Book Antiqua" w:eastAsia="宋体" w:hAnsi="Book Antiqua" w:cs="宋体"/>
          <w:sz w:val="24"/>
          <w:szCs w:val="24"/>
        </w:rPr>
        <w:t xml:space="preserve"> B, </w:t>
      </w:r>
      <w:proofErr w:type="spellStart"/>
      <w:r w:rsidRPr="007661F2">
        <w:rPr>
          <w:rFonts w:ascii="Book Antiqua" w:eastAsia="宋体" w:hAnsi="Book Antiqua" w:cs="宋体"/>
          <w:sz w:val="24"/>
          <w:szCs w:val="24"/>
        </w:rPr>
        <w:t>Junge</w:t>
      </w:r>
      <w:proofErr w:type="spellEnd"/>
      <w:r w:rsidRPr="007661F2">
        <w:rPr>
          <w:rFonts w:ascii="Book Antiqua" w:eastAsia="宋体" w:hAnsi="Book Antiqua" w:cs="宋体"/>
          <w:sz w:val="24"/>
          <w:szCs w:val="24"/>
        </w:rPr>
        <w:t xml:space="preserve"> G. Three-year Outcomes in De Novo Liver Transplant Patients Receiving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With Reduced </w:t>
      </w:r>
      <w:proofErr w:type="spellStart"/>
      <w:r w:rsidRPr="007661F2">
        <w:rPr>
          <w:rFonts w:ascii="Book Antiqua" w:eastAsia="宋体" w:hAnsi="Book Antiqua" w:cs="宋体"/>
          <w:sz w:val="24"/>
          <w:szCs w:val="24"/>
        </w:rPr>
        <w:t>Tacrolimus</w:t>
      </w:r>
      <w:proofErr w:type="spellEnd"/>
      <w:r w:rsidRPr="007661F2">
        <w:rPr>
          <w:rFonts w:ascii="Book Antiqua" w:eastAsia="宋体" w:hAnsi="Book Antiqua" w:cs="宋体"/>
          <w:sz w:val="24"/>
          <w:szCs w:val="24"/>
        </w:rPr>
        <w:t xml:space="preserve">: Follow-Up Results From a Randomized, Multicenter Study. </w:t>
      </w:r>
      <w:r w:rsidRPr="007661F2">
        <w:rPr>
          <w:rFonts w:ascii="Book Antiqua" w:eastAsia="宋体" w:hAnsi="Book Antiqua" w:cs="宋体"/>
          <w:i/>
          <w:iCs/>
          <w:sz w:val="24"/>
          <w:szCs w:val="24"/>
        </w:rPr>
        <w:t>Transplantation</w:t>
      </w:r>
      <w:r w:rsidRPr="007661F2">
        <w:rPr>
          <w:rFonts w:ascii="Book Antiqua" w:eastAsia="宋体" w:hAnsi="Book Antiqua" w:cs="宋体"/>
          <w:sz w:val="24"/>
          <w:szCs w:val="24"/>
        </w:rPr>
        <w:t xml:space="preserve"> 2015; </w:t>
      </w:r>
      <w:r w:rsidRPr="007661F2">
        <w:rPr>
          <w:rFonts w:ascii="Book Antiqua" w:eastAsia="宋体" w:hAnsi="Book Antiqua" w:cs="宋体"/>
          <w:b/>
          <w:bCs/>
          <w:sz w:val="24"/>
          <w:szCs w:val="24"/>
        </w:rPr>
        <w:t>99</w:t>
      </w:r>
      <w:r w:rsidRPr="007661F2">
        <w:rPr>
          <w:rFonts w:ascii="Book Antiqua" w:eastAsia="宋体" w:hAnsi="Book Antiqua" w:cs="宋体"/>
          <w:sz w:val="24"/>
          <w:szCs w:val="24"/>
        </w:rPr>
        <w:t>: 1455-1462 [PMID: 26151607 DOI: 10.1097/TP.0000000000000555]</w:t>
      </w:r>
    </w:p>
    <w:p w14:paraId="2EF4C592"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19 </w:t>
      </w:r>
      <w:r w:rsidRPr="007661F2">
        <w:rPr>
          <w:rFonts w:ascii="Book Antiqua" w:eastAsia="宋体" w:hAnsi="Book Antiqua" w:cs="宋体"/>
          <w:b/>
          <w:bCs/>
          <w:sz w:val="24"/>
          <w:szCs w:val="24"/>
        </w:rPr>
        <w:t>De Simone P</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Metselaar</w:t>
      </w:r>
      <w:proofErr w:type="spellEnd"/>
      <w:r w:rsidRPr="007661F2">
        <w:rPr>
          <w:rFonts w:ascii="Book Antiqua" w:eastAsia="宋体" w:hAnsi="Book Antiqua" w:cs="宋体"/>
          <w:sz w:val="24"/>
          <w:szCs w:val="24"/>
        </w:rPr>
        <w:t xml:space="preserve"> HJ, Fischer L, </w:t>
      </w:r>
      <w:proofErr w:type="spellStart"/>
      <w:r w:rsidRPr="007661F2">
        <w:rPr>
          <w:rFonts w:ascii="Book Antiqua" w:eastAsia="宋体" w:hAnsi="Book Antiqua" w:cs="宋体"/>
          <w:sz w:val="24"/>
          <w:szCs w:val="24"/>
        </w:rPr>
        <w:t>Dumortier</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Boudjema</w:t>
      </w:r>
      <w:proofErr w:type="spellEnd"/>
      <w:r w:rsidRPr="007661F2">
        <w:rPr>
          <w:rFonts w:ascii="Book Antiqua" w:eastAsia="宋体" w:hAnsi="Book Antiqua" w:cs="宋体"/>
          <w:sz w:val="24"/>
          <w:szCs w:val="24"/>
        </w:rPr>
        <w:t xml:space="preserve"> K, </w:t>
      </w:r>
      <w:proofErr w:type="spellStart"/>
      <w:r w:rsidRPr="007661F2">
        <w:rPr>
          <w:rFonts w:ascii="Book Antiqua" w:eastAsia="宋体" w:hAnsi="Book Antiqua" w:cs="宋体"/>
          <w:sz w:val="24"/>
          <w:szCs w:val="24"/>
        </w:rPr>
        <w:t>Hardwigsen</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Rostaing</w:t>
      </w:r>
      <w:proofErr w:type="spellEnd"/>
      <w:r w:rsidRPr="007661F2">
        <w:rPr>
          <w:rFonts w:ascii="Book Antiqua" w:eastAsia="宋体" w:hAnsi="Book Antiqua" w:cs="宋体"/>
          <w:sz w:val="24"/>
          <w:szCs w:val="24"/>
        </w:rPr>
        <w:t xml:space="preserve"> L, De </w:t>
      </w:r>
      <w:proofErr w:type="spellStart"/>
      <w:r w:rsidRPr="007661F2">
        <w:rPr>
          <w:rFonts w:ascii="Book Antiqua" w:eastAsia="宋体" w:hAnsi="Book Antiqua" w:cs="宋体"/>
          <w:sz w:val="24"/>
          <w:szCs w:val="24"/>
        </w:rPr>
        <w:t>Carlis</w:t>
      </w:r>
      <w:proofErr w:type="spellEnd"/>
      <w:r w:rsidRPr="007661F2">
        <w:rPr>
          <w:rFonts w:ascii="Book Antiqua" w:eastAsia="宋体" w:hAnsi="Book Antiqua" w:cs="宋体"/>
          <w:sz w:val="24"/>
          <w:szCs w:val="24"/>
        </w:rPr>
        <w:t xml:space="preserve"> L, </w:t>
      </w:r>
      <w:proofErr w:type="spellStart"/>
      <w:r w:rsidRPr="007661F2">
        <w:rPr>
          <w:rFonts w:ascii="Book Antiqua" w:eastAsia="宋体" w:hAnsi="Book Antiqua" w:cs="宋体"/>
          <w:sz w:val="24"/>
          <w:szCs w:val="24"/>
        </w:rPr>
        <w:t>Saliba</w:t>
      </w:r>
      <w:proofErr w:type="spellEnd"/>
      <w:r w:rsidRPr="007661F2">
        <w:rPr>
          <w:rFonts w:ascii="Book Antiqua" w:eastAsia="宋体" w:hAnsi="Book Antiqua" w:cs="宋体"/>
          <w:sz w:val="24"/>
          <w:szCs w:val="24"/>
        </w:rPr>
        <w:t xml:space="preserve"> F, </w:t>
      </w:r>
      <w:proofErr w:type="spellStart"/>
      <w:r w:rsidRPr="007661F2">
        <w:rPr>
          <w:rFonts w:ascii="Book Antiqua" w:eastAsia="宋体" w:hAnsi="Book Antiqua" w:cs="宋体"/>
          <w:sz w:val="24"/>
          <w:szCs w:val="24"/>
        </w:rPr>
        <w:t>Nevens</w:t>
      </w:r>
      <w:proofErr w:type="spellEnd"/>
      <w:r w:rsidRPr="007661F2">
        <w:rPr>
          <w:rFonts w:ascii="Book Antiqua" w:eastAsia="宋体" w:hAnsi="Book Antiqua" w:cs="宋体"/>
          <w:sz w:val="24"/>
          <w:szCs w:val="24"/>
        </w:rPr>
        <w:t xml:space="preserve"> F. Conversion from a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 inhibitor to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therapy in maintenance liver transplant recipients: a prospective, randomized, multicenter trial. </w:t>
      </w:r>
      <w:r w:rsidRPr="007661F2">
        <w:rPr>
          <w:rFonts w:ascii="Book Antiqua" w:eastAsia="宋体" w:hAnsi="Book Antiqua" w:cs="宋体"/>
          <w:i/>
          <w:iCs/>
          <w:sz w:val="24"/>
          <w:szCs w:val="24"/>
        </w:rPr>
        <w:t xml:space="preserve">Liver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sz w:val="24"/>
          <w:szCs w:val="24"/>
        </w:rPr>
        <w:t xml:space="preserve"> 2009; </w:t>
      </w:r>
      <w:r w:rsidRPr="007661F2">
        <w:rPr>
          <w:rFonts w:ascii="Book Antiqua" w:eastAsia="宋体" w:hAnsi="Book Antiqua" w:cs="宋体"/>
          <w:b/>
          <w:bCs/>
          <w:sz w:val="24"/>
          <w:szCs w:val="24"/>
        </w:rPr>
        <w:t>15</w:t>
      </w:r>
      <w:r w:rsidRPr="007661F2">
        <w:rPr>
          <w:rFonts w:ascii="Book Antiqua" w:eastAsia="宋体" w:hAnsi="Book Antiqua" w:cs="宋体"/>
          <w:sz w:val="24"/>
          <w:szCs w:val="24"/>
        </w:rPr>
        <w:t>: 1262-1269 [PMID: 19790150 DOI: 10.1002/lt.21827]</w:t>
      </w:r>
    </w:p>
    <w:p w14:paraId="7F4C3685"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20 </w:t>
      </w:r>
      <w:r w:rsidRPr="007661F2">
        <w:rPr>
          <w:rFonts w:ascii="Book Antiqua" w:eastAsia="宋体" w:hAnsi="Book Antiqua" w:cs="宋体"/>
          <w:b/>
          <w:bCs/>
          <w:sz w:val="24"/>
          <w:szCs w:val="24"/>
        </w:rPr>
        <w:t>De Simone P</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Saliba</w:t>
      </w:r>
      <w:proofErr w:type="spellEnd"/>
      <w:r w:rsidRPr="007661F2">
        <w:rPr>
          <w:rFonts w:ascii="Book Antiqua" w:eastAsia="宋体" w:hAnsi="Book Antiqua" w:cs="宋体"/>
          <w:sz w:val="24"/>
          <w:szCs w:val="24"/>
        </w:rPr>
        <w:t xml:space="preserve"> F, Dong G, </w:t>
      </w:r>
      <w:proofErr w:type="spellStart"/>
      <w:r w:rsidRPr="007661F2">
        <w:rPr>
          <w:rFonts w:ascii="Book Antiqua" w:eastAsia="宋体" w:hAnsi="Book Antiqua" w:cs="宋体"/>
          <w:sz w:val="24"/>
          <w:szCs w:val="24"/>
        </w:rPr>
        <w:t>Escrig</w:t>
      </w:r>
      <w:proofErr w:type="spellEnd"/>
      <w:r w:rsidRPr="007661F2">
        <w:rPr>
          <w:rFonts w:ascii="Book Antiqua" w:eastAsia="宋体" w:hAnsi="Book Antiqua" w:cs="宋体"/>
          <w:sz w:val="24"/>
          <w:szCs w:val="24"/>
        </w:rPr>
        <w:t xml:space="preserve"> C, Fischer L. Do patient characteristics influence efficacy and renal outcomes in liver transplant patients receiving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w:t>
      </w:r>
      <w:proofErr w:type="spellStart"/>
      <w:r w:rsidRPr="007661F2">
        <w:rPr>
          <w:rFonts w:ascii="Book Antiqua" w:eastAsia="宋体" w:hAnsi="Book Antiqua" w:cs="宋体"/>
          <w:i/>
          <w:iCs/>
          <w:sz w:val="24"/>
          <w:szCs w:val="24"/>
        </w:rPr>
        <w:t>Clin</w:t>
      </w:r>
      <w:proofErr w:type="spellEnd"/>
      <w:r w:rsidRPr="007661F2">
        <w:rPr>
          <w:rFonts w:ascii="Book Antiqua" w:eastAsia="宋体" w:hAnsi="Book Antiqua" w:cs="宋体"/>
          <w:i/>
          <w:iCs/>
          <w:sz w:val="24"/>
          <w:szCs w:val="24"/>
        </w:rPr>
        <w:t xml:space="preserve"> Transplant</w:t>
      </w:r>
      <w:r w:rsidRPr="007661F2">
        <w:rPr>
          <w:rFonts w:ascii="Book Antiqua" w:eastAsia="宋体" w:hAnsi="Book Antiqua" w:cs="宋体"/>
          <w:sz w:val="24"/>
          <w:szCs w:val="24"/>
        </w:rPr>
        <w:t xml:space="preserve"> 2016; </w:t>
      </w:r>
      <w:r w:rsidRPr="007661F2">
        <w:rPr>
          <w:rFonts w:ascii="Book Antiqua" w:eastAsia="宋体" w:hAnsi="Book Antiqua" w:cs="宋体"/>
          <w:b/>
          <w:bCs/>
          <w:sz w:val="24"/>
          <w:szCs w:val="24"/>
        </w:rPr>
        <w:t>30</w:t>
      </w:r>
      <w:r w:rsidRPr="007661F2">
        <w:rPr>
          <w:rFonts w:ascii="Book Antiqua" w:eastAsia="宋体" w:hAnsi="Book Antiqua" w:cs="宋体"/>
          <w:sz w:val="24"/>
          <w:szCs w:val="24"/>
        </w:rPr>
        <w:t>: 279-288 [PMID: 26717035 DOI: 10.1111/ctr.12687]</w:t>
      </w:r>
    </w:p>
    <w:p w14:paraId="29D48D45"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21 </w:t>
      </w:r>
      <w:proofErr w:type="spellStart"/>
      <w:r w:rsidRPr="007661F2">
        <w:rPr>
          <w:rFonts w:ascii="Book Antiqua" w:eastAsia="宋体" w:hAnsi="Book Antiqua" w:cs="宋体"/>
          <w:b/>
          <w:bCs/>
          <w:sz w:val="24"/>
          <w:szCs w:val="24"/>
        </w:rPr>
        <w:t>Masetti</w:t>
      </w:r>
      <w:proofErr w:type="spellEnd"/>
      <w:r w:rsidRPr="007661F2">
        <w:rPr>
          <w:rFonts w:ascii="Book Antiqua" w:eastAsia="宋体" w:hAnsi="Book Antiqua" w:cs="宋体"/>
          <w:b/>
          <w:bCs/>
          <w:sz w:val="24"/>
          <w:szCs w:val="24"/>
        </w:rPr>
        <w:t xml:space="preserve"> M</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Montalti</w:t>
      </w:r>
      <w:proofErr w:type="spellEnd"/>
      <w:r w:rsidRPr="007661F2">
        <w:rPr>
          <w:rFonts w:ascii="Book Antiqua" w:eastAsia="宋体" w:hAnsi="Book Antiqua" w:cs="宋体"/>
          <w:sz w:val="24"/>
          <w:szCs w:val="24"/>
        </w:rPr>
        <w:t xml:space="preserve"> R, </w:t>
      </w:r>
      <w:proofErr w:type="spellStart"/>
      <w:r w:rsidRPr="007661F2">
        <w:rPr>
          <w:rFonts w:ascii="Book Antiqua" w:eastAsia="宋体" w:hAnsi="Book Antiqua" w:cs="宋体"/>
          <w:sz w:val="24"/>
          <w:szCs w:val="24"/>
        </w:rPr>
        <w:t>Rompianesi</w:t>
      </w:r>
      <w:proofErr w:type="spellEnd"/>
      <w:r w:rsidRPr="007661F2">
        <w:rPr>
          <w:rFonts w:ascii="Book Antiqua" w:eastAsia="宋体" w:hAnsi="Book Antiqua" w:cs="宋体"/>
          <w:sz w:val="24"/>
          <w:szCs w:val="24"/>
        </w:rPr>
        <w:t xml:space="preserve"> G, </w:t>
      </w:r>
      <w:proofErr w:type="spellStart"/>
      <w:r w:rsidRPr="007661F2">
        <w:rPr>
          <w:rFonts w:ascii="Book Antiqua" w:eastAsia="宋体" w:hAnsi="Book Antiqua" w:cs="宋体"/>
          <w:sz w:val="24"/>
          <w:szCs w:val="24"/>
        </w:rPr>
        <w:t>Codeluppi</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Gerring</w:t>
      </w:r>
      <w:proofErr w:type="spellEnd"/>
      <w:r w:rsidRPr="007661F2">
        <w:rPr>
          <w:rFonts w:ascii="Book Antiqua" w:eastAsia="宋体" w:hAnsi="Book Antiqua" w:cs="宋体"/>
          <w:sz w:val="24"/>
          <w:szCs w:val="24"/>
        </w:rPr>
        <w:t xml:space="preserve"> R, Romano A, </w:t>
      </w:r>
      <w:proofErr w:type="spellStart"/>
      <w:r w:rsidRPr="007661F2">
        <w:rPr>
          <w:rFonts w:ascii="Book Antiqua" w:eastAsia="宋体" w:hAnsi="Book Antiqua" w:cs="宋体"/>
          <w:sz w:val="24"/>
          <w:szCs w:val="24"/>
        </w:rPr>
        <w:t>Begliomini</w:t>
      </w:r>
      <w:proofErr w:type="spellEnd"/>
      <w:r w:rsidRPr="007661F2">
        <w:rPr>
          <w:rFonts w:ascii="Book Antiqua" w:eastAsia="宋体" w:hAnsi="Book Antiqua" w:cs="宋体"/>
          <w:sz w:val="24"/>
          <w:szCs w:val="24"/>
        </w:rPr>
        <w:t xml:space="preserve"> B, Di Benedetto F, </w:t>
      </w:r>
      <w:proofErr w:type="spellStart"/>
      <w:r w:rsidRPr="007661F2">
        <w:rPr>
          <w:rFonts w:ascii="Book Antiqua" w:eastAsia="宋体" w:hAnsi="Book Antiqua" w:cs="宋体"/>
          <w:sz w:val="24"/>
          <w:szCs w:val="24"/>
        </w:rPr>
        <w:t>Gerunda</w:t>
      </w:r>
      <w:proofErr w:type="spellEnd"/>
      <w:r w:rsidRPr="007661F2">
        <w:rPr>
          <w:rFonts w:ascii="Book Antiqua" w:eastAsia="宋体" w:hAnsi="Book Antiqua" w:cs="宋体"/>
          <w:sz w:val="24"/>
          <w:szCs w:val="24"/>
        </w:rPr>
        <w:t xml:space="preserve"> GE. Early withdrawal of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 inhibitors and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monotherapy</w:t>
      </w:r>
      <w:proofErr w:type="spellEnd"/>
      <w:r w:rsidRPr="007661F2">
        <w:rPr>
          <w:rFonts w:ascii="Book Antiqua" w:eastAsia="宋体" w:hAnsi="Book Antiqua" w:cs="宋体"/>
          <w:sz w:val="24"/>
          <w:szCs w:val="24"/>
        </w:rPr>
        <w:t xml:space="preserve"> in de novo liver transplant recipients preserves renal </w:t>
      </w:r>
      <w:r w:rsidRPr="007661F2">
        <w:rPr>
          <w:rFonts w:ascii="Book Antiqua" w:eastAsia="宋体" w:hAnsi="Book Antiqua" w:cs="宋体"/>
          <w:sz w:val="24"/>
          <w:szCs w:val="24"/>
        </w:rPr>
        <w:lastRenderedPageBreak/>
        <w:t xml:space="preserve">function. </w:t>
      </w:r>
      <w:r w:rsidRPr="007661F2">
        <w:rPr>
          <w:rFonts w:ascii="Book Antiqua" w:eastAsia="宋体" w:hAnsi="Book Antiqua" w:cs="宋体"/>
          <w:i/>
          <w:iCs/>
          <w:sz w:val="24"/>
          <w:szCs w:val="24"/>
        </w:rPr>
        <w:t>Am J Transplant</w:t>
      </w:r>
      <w:r w:rsidRPr="007661F2">
        <w:rPr>
          <w:rFonts w:ascii="Book Antiqua" w:eastAsia="宋体" w:hAnsi="Book Antiqua" w:cs="宋体"/>
          <w:sz w:val="24"/>
          <w:szCs w:val="24"/>
        </w:rPr>
        <w:t xml:space="preserve"> 2010; </w:t>
      </w:r>
      <w:r w:rsidRPr="007661F2">
        <w:rPr>
          <w:rFonts w:ascii="Book Antiqua" w:eastAsia="宋体" w:hAnsi="Book Antiqua" w:cs="宋体"/>
          <w:b/>
          <w:bCs/>
          <w:sz w:val="24"/>
          <w:szCs w:val="24"/>
        </w:rPr>
        <w:t>10</w:t>
      </w:r>
      <w:r w:rsidRPr="007661F2">
        <w:rPr>
          <w:rFonts w:ascii="Book Antiqua" w:eastAsia="宋体" w:hAnsi="Book Antiqua" w:cs="宋体"/>
          <w:sz w:val="24"/>
          <w:szCs w:val="24"/>
        </w:rPr>
        <w:t>: 2252-2262 [PMID: 20486905 DOI: 10.1111/j.1600-6143.2010.03128.x]</w:t>
      </w:r>
    </w:p>
    <w:p w14:paraId="5A3C5AC5"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22 </w:t>
      </w:r>
      <w:proofErr w:type="spellStart"/>
      <w:r w:rsidRPr="007661F2">
        <w:rPr>
          <w:rFonts w:ascii="Book Antiqua" w:eastAsia="宋体" w:hAnsi="Book Antiqua" w:cs="宋体"/>
          <w:b/>
          <w:bCs/>
          <w:sz w:val="24"/>
          <w:szCs w:val="24"/>
        </w:rPr>
        <w:t>Jeng</w:t>
      </w:r>
      <w:proofErr w:type="spellEnd"/>
      <w:r w:rsidRPr="007661F2">
        <w:rPr>
          <w:rFonts w:ascii="Book Antiqua" w:eastAsia="宋体" w:hAnsi="Book Antiqua" w:cs="宋体"/>
          <w:b/>
          <w:bCs/>
          <w:sz w:val="24"/>
          <w:szCs w:val="24"/>
        </w:rPr>
        <w:t xml:space="preserve"> LB</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Thorat</w:t>
      </w:r>
      <w:proofErr w:type="spellEnd"/>
      <w:r w:rsidRPr="007661F2">
        <w:rPr>
          <w:rFonts w:ascii="Book Antiqua" w:eastAsia="宋体" w:hAnsi="Book Antiqua" w:cs="宋体"/>
          <w:sz w:val="24"/>
          <w:szCs w:val="24"/>
        </w:rPr>
        <w:t xml:space="preserve"> A, Hsieh YW, Yang HR, </w:t>
      </w:r>
      <w:proofErr w:type="spellStart"/>
      <w:r w:rsidRPr="007661F2">
        <w:rPr>
          <w:rFonts w:ascii="Book Antiqua" w:eastAsia="宋体" w:hAnsi="Book Antiqua" w:cs="宋体"/>
          <w:sz w:val="24"/>
          <w:szCs w:val="24"/>
        </w:rPr>
        <w:t>Yeh</w:t>
      </w:r>
      <w:proofErr w:type="spellEnd"/>
      <w:r w:rsidRPr="007661F2">
        <w:rPr>
          <w:rFonts w:ascii="Book Antiqua" w:eastAsia="宋体" w:hAnsi="Book Antiqua" w:cs="宋体"/>
          <w:sz w:val="24"/>
          <w:szCs w:val="24"/>
        </w:rPr>
        <w:t xml:space="preserve"> CC, Chen TH, Hsu SC, Hsu CH. Experience of using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in the early stage of living donor liver transplantation. </w:t>
      </w:r>
      <w:r w:rsidRPr="007661F2">
        <w:rPr>
          <w:rFonts w:ascii="Book Antiqua" w:eastAsia="宋体" w:hAnsi="Book Antiqua" w:cs="宋体"/>
          <w:i/>
          <w:iCs/>
          <w:sz w:val="24"/>
          <w:szCs w:val="24"/>
        </w:rPr>
        <w:t xml:space="preserve">Transplant </w:t>
      </w:r>
      <w:proofErr w:type="spellStart"/>
      <w:r w:rsidRPr="007661F2">
        <w:rPr>
          <w:rFonts w:ascii="Book Antiqua" w:eastAsia="宋体" w:hAnsi="Book Antiqua" w:cs="宋体"/>
          <w:i/>
          <w:iCs/>
          <w:sz w:val="24"/>
          <w:szCs w:val="24"/>
        </w:rPr>
        <w:t>Proc</w:t>
      </w:r>
      <w:proofErr w:type="spellEnd"/>
      <w:r w:rsidRPr="007661F2">
        <w:rPr>
          <w:rFonts w:ascii="Book Antiqua" w:eastAsia="宋体" w:hAnsi="Book Antiqua" w:cs="宋体"/>
          <w:sz w:val="24"/>
          <w:szCs w:val="24"/>
        </w:rPr>
        <w:t xml:space="preserve"> 2014; </w:t>
      </w:r>
      <w:r w:rsidRPr="007661F2">
        <w:rPr>
          <w:rFonts w:ascii="Book Antiqua" w:eastAsia="宋体" w:hAnsi="Book Antiqua" w:cs="宋体"/>
          <w:b/>
          <w:bCs/>
          <w:sz w:val="24"/>
          <w:szCs w:val="24"/>
        </w:rPr>
        <w:t>46</w:t>
      </w:r>
      <w:r w:rsidRPr="007661F2">
        <w:rPr>
          <w:rFonts w:ascii="Book Antiqua" w:eastAsia="宋体" w:hAnsi="Book Antiqua" w:cs="宋体"/>
          <w:sz w:val="24"/>
          <w:szCs w:val="24"/>
        </w:rPr>
        <w:t>: 744-748 [PMID: 24767339 DOI: 10.1016/j.transproceed.2013.11.068]</w:t>
      </w:r>
    </w:p>
    <w:p w14:paraId="58731513"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23 </w:t>
      </w:r>
      <w:proofErr w:type="spellStart"/>
      <w:r w:rsidRPr="007661F2">
        <w:rPr>
          <w:rFonts w:ascii="Book Antiqua" w:eastAsia="宋体" w:hAnsi="Book Antiqua" w:cs="宋体"/>
          <w:b/>
          <w:bCs/>
          <w:sz w:val="24"/>
          <w:szCs w:val="24"/>
        </w:rPr>
        <w:t>Gastaca</w:t>
      </w:r>
      <w:proofErr w:type="spellEnd"/>
      <w:r w:rsidRPr="007661F2">
        <w:rPr>
          <w:rFonts w:ascii="Book Antiqua" w:eastAsia="宋体" w:hAnsi="Book Antiqua" w:cs="宋体"/>
          <w:b/>
          <w:bCs/>
          <w:sz w:val="24"/>
          <w:szCs w:val="24"/>
        </w:rPr>
        <w:t xml:space="preserve"> M</w:t>
      </w:r>
      <w:r w:rsidRPr="007661F2">
        <w:rPr>
          <w:rFonts w:ascii="Book Antiqua" w:eastAsia="宋体" w:hAnsi="Book Antiqua" w:cs="宋体"/>
          <w:sz w:val="24"/>
          <w:szCs w:val="24"/>
        </w:rPr>
        <w:t xml:space="preserve">, Bilbao I, Jimenez M, Bustamante J, </w:t>
      </w:r>
      <w:proofErr w:type="spellStart"/>
      <w:r w:rsidRPr="007661F2">
        <w:rPr>
          <w:rFonts w:ascii="Book Antiqua" w:eastAsia="宋体" w:hAnsi="Book Antiqua" w:cs="宋体"/>
          <w:sz w:val="24"/>
          <w:szCs w:val="24"/>
        </w:rPr>
        <w:t>Dopazo</w:t>
      </w:r>
      <w:proofErr w:type="spellEnd"/>
      <w:r w:rsidRPr="007661F2">
        <w:rPr>
          <w:rFonts w:ascii="Book Antiqua" w:eastAsia="宋体" w:hAnsi="Book Antiqua" w:cs="宋体"/>
          <w:sz w:val="24"/>
          <w:szCs w:val="24"/>
        </w:rPr>
        <w:t xml:space="preserve"> C, Gonzalez R, </w:t>
      </w:r>
      <w:proofErr w:type="spellStart"/>
      <w:r w:rsidRPr="007661F2">
        <w:rPr>
          <w:rFonts w:ascii="Book Antiqua" w:eastAsia="宋体" w:hAnsi="Book Antiqua" w:cs="宋体"/>
          <w:sz w:val="24"/>
          <w:szCs w:val="24"/>
        </w:rPr>
        <w:t>Charco</w:t>
      </w:r>
      <w:proofErr w:type="spellEnd"/>
      <w:r w:rsidRPr="007661F2">
        <w:rPr>
          <w:rFonts w:ascii="Book Antiqua" w:eastAsia="宋体" w:hAnsi="Book Antiqua" w:cs="宋体"/>
          <w:sz w:val="24"/>
          <w:szCs w:val="24"/>
        </w:rPr>
        <w:t xml:space="preserve"> R, </w:t>
      </w:r>
      <w:proofErr w:type="spellStart"/>
      <w:r w:rsidRPr="007661F2">
        <w:rPr>
          <w:rFonts w:ascii="Book Antiqua" w:eastAsia="宋体" w:hAnsi="Book Antiqua" w:cs="宋体"/>
          <w:sz w:val="24"/>
          <w:szCs w:val="24"/>
        </w:rPr>
        <w:t>Santoyo</w:t>
      </w:r>
      <w:proofErr w:type="spellEnd"/>
      <w:r w:rsidRPr="007661F2">
        <w:rPr>
          <w:rFonts w:ascii="Book Antiqua" w:eastAsia="宋体" w:hAnsi="Book Antiqua" w:cs="宋体"/>
          <w:sz w:val="24"/>
          <w:szCs w:val="24"/>
        </w:rPr>
        <w:t xml:space="preserve"> J, Ortiz de </w:t>
      </w:r>
      <w:proofErr w:type="spellStart"/>
      <w:r w:rsidRPr="007661F2">
        <w:rPr>
          <w:rFonts w:ascii="Book Antiqua" w:eastAsia="宋体" w:hAnsi="Book Antiqua" w:cs="宋体"/>
          <w:sz w:val="24"/>
          <w:szCs w:val="24"/>
        </w:rPr>
        <w:t>Urbina</w:t>
      </w:r>
      <w:proofErr w:type="spellEnd"/>
      <w:r w:rsidRPr="007661F2">
        <w:rPr>
          <w:rFonts w:ascii="Book Antiqua" w:eastAsia="宋体" w:hAnsi="Book Antiqua" w:cs="宋体"/>
          <w:sz w:val="24"/>
          <w:szCs w:val="24"/>
        </w:rPr>
        <w:t xml:space="preserve"> J. Safety and Efficacy of Early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When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 Inhibitors Are Not Recommended in </w:t>
      </w:r>
      <w:proofErr w:type="spellStart"/>
      <w:r w:rsidRPr="007661F2">
        <w:rPr>
          <w:rFonts w:ascii="Book Antiqua" w:eastAsia="宋体" w:hAnsi="Book Antiqua" w:cs="宋体"/>
          <w:sz w:val="24"/>
          <w:szCs w:val="24"/>
        </w:rPr>
        <w:t>Orthotopic</w:t>
      </w:r>
      <w:proofErr w:type="spellEnd"/>
      <w:r w:rsidRPr="007661F2">
        <w:rPr>
          <w:rFonts w:ascii="Book Antiqua" w:eastAsia="宋体" w:hAnsi="Book Antiqua" w:cs="宋体"/>
          <w:sz w:val="24"/>
          <w:szCs w:val="24"/>
        </w:rPr>
        <w:t xml:space="preserve"> Liver Transplantation. </w:t>
      </w:r>
      <w:r w:rsidRPr="007661F2">
        <w:rPr>
          <w:rFonts w:ascii="Book Antiqua" w:eastAsia="宋体" w:hAnsi="Book Antiqua" w:cs="宋体"/>
          <w:i/>
          <w:iCs/>
          <w:sz w:val="24"/>
          <w:szCs w:val="24"/>
        </w:rPr>
        <w:t xml:space="preserve">Transplant </w:t>
      </w:r>
      <w:proofErr w:type="spellStart"/>
      <w:r w:rsidRPr="007661F2">
        <w:rPr>
          <w:rFonts w:ascii="Book Antiqua" w:eastAsia="宋体" w:hAnsi="Book Antiqua" w:cs="宋体"/>
          <w:i/>
          <w:iCs/>
          <w:sz w:val="24"/>
          <w:szCs w:val="24"/>
        </w:rPr>
        <w:t>Proc</w:t>
      </w:r>
      <w:proofErr w:type="spellEnd"/>
      <w:r w:rsidRPr="007661F2">
        <w:rPr>
          <w:rFonts w:ascii="Book Antiqua" w:eastAsia="宋体" w:hAnsi="Book Antiqua" w:cs="宋体"/>
          <w:sz w:val="24"/>
          <w:szCs w:val="24"/>
        </w:rPr>
        <w:t xml:space="preserve"> 2016; </w:t>
      </w:r>
      <w:r w:rsidRPr="007661F2">
        <w:rPr>
          <w:rFonts w:ascii="Book Antiqua" w:eastAsia="宋体" w:hAnsi="Book Antiqua" w:cs="宋体"/>
          <w:b/>
          <w:bCs/>
          <w:sz w:val="24"/>
          <w:szCs w:val="24"/>
        </w:rPr>
        <w:t>48</w:t>
      </w:r>
      <w:r w:rsidRPr="007661F2">
        <w:rPr>
          <w:rFonts w:ascii="Book Antiqua" w:eastAsia="宋体" w:hAnsi="Book Antiqua" w:cs="宋体"/>
          <w:sz w:val="24"/>
          <w:szCs w:val="24"/>
        </w:rPr>
        <w:t>: 2506-2509 [PMID: 27742336 DOI: 10.1016/j.transproceed.2016.08.027]</w:t>
      </w:r>
    </w:p>
    <w:p w14:paraId="51FC6E1E"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24 </w:t>
      </w:r>
      <w:r w:rsidRPr="007661F2">
        <w:rPr>
          <w:rFonts w:ascii="Book Antiqua" w:eastAsia="宋体" w:hAnsi="Book Antiqua" w:cs="宋体"/>
          <w:b/>
          <w:bCs/>
          <w:sz w:val="24"/>
          <w:szCs w:val="24"/>
        </w:rPr>
        <w:t>De Simone P</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Carrai</w:t>
      </w:r>
      <w:proofErr w:type="spellEnd"/>
      <w:r w:rsidRPr="007661F2">
        <w:rPr>
          <w:rFonts w:ascii="Book Antiqua" w:eastAsia="宋体" w:hAnsi="Book Antiqua" w:cs="宋体"/>
          <w:sz w:val="24"/>
          <w:szCs w:val="24"/>
        </w:rPr>
        <w:t xml:space="preserve"> P, </w:t>
      </w:r>
      <w:proofErr w:type="spellStart"/>
      <w:r w:rsidRPr="007661F2">
        <w:rPr>
          <w:rFonts w:ascii="Book Antiqua" w:eastAsia="宋体" w:hAnsi="Book Antiqua" w:cs="宋体"/>
          <w:sz w:val="24"/>
          <w:szCs w:val="24"/>
        </w:rPr>
        <w:t>Precisi</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Petruccelli</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Baldoni</w:t>
      </w:r>
      <w:proofErr w:type="spellEnd"/>
      <w:r w:rsidRPr="007661F2">
        <w:rPr>
          <w:rFonts w:ascii="Book Antiqua" w:eastAsia="宋体" w:hAnsi="Book Antiqua" w:cs="宋体"/>
          <w:sz w:val="24"/>
          <w:szCs w:val="24"/>
        </w:rPr>
        <w:t xml:space="preserve"> L, </w:t>
      </w:r>
      <w:proofErr w:type="spellStart"/>
      <w:r w:rsidRPr="007661F2">
        <w:rPr>
          <w:rFonts w:ascii="Book Antiqua" w:eastAsia="宋体" w:hAnsi="Book Antiqua" w:cs="宋体"/>
          <w:sz w:val="24"/>
          <w:szCs w:val="24"/>
        </w:rPr>
        <w:t>Balzano</w:t>
      </w:r>
      <w:proofErr w:type="spellEnd"/>
      <w:r w:rsidRPr="007661F2">
        <w:rPr>
          <w:rFonts w:ascii="Book Antiqua" w:eastAsia="宋体" w:hAnsi="Book Antiqua" w:cs="宋体"/>
          <w:sz w:val="24"/>
          <w:szCs w:val="24"/>
        </w:rPr>
        <w:t xml:space="preserve"> E, </w:t>
      </w:r>
      <w:proofErr w:type="spellStart"/>
      <w:r w:rsidRPr="007661F2">
        <w:rPr>
          <w:rFonts w:ascii="Book Antiqua" w:eastAsia="宋体" w:hAnsi="Book Antiqua" w:cs="宋体"/>
          <w:sz w:val="24"/>
          <w:szCs w:val="24"/>
        </w:rPr>
        <w:t>Ducci</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Caneschi</w:t>
      </w:r>
      <w:proofErr w:type="spellEnd"/>
      <w:r w:rsidRPr="007661F2">
        <w:rPr>
          <w:rFonts w:ascii="Book Antiqua" w:eastAsia="宋体" w:hAnsi="Book Antiqua" w:cs="宋体"/>
          <w:sz w:val="24"/>
          <w:szCs w:val="24"/>
        </w:rPr>
        <w:t xml:space="preserve"> F, </w:t>
      </w:r>
      <w:proofErr w:type="spellStart"/>
      <w:r w:rsidRPr="007661F2">
        <w:rPr>
          <w:rFonts w:ascii="Book Antiqua" w:eastAsia="宋体" w:hAnsi="Book Antiqua" w:cs="宋体"/>
          <w:sz w:val="24"/>
          <w:szCs w:val="24"/>
        </w:rPr>
        <w:t>Coletti</w:t>
      </w:r>
      <w:proofErr w:type="spellEnd"/>
      <w:r w:rsidRPr="007661F2">
        <w:rPr>
          <w:rFonts w:ascii="Book Antiqua" w:eastAsia="宋体" w:hAnsi="Book Antiqua" w:cs="宋体"/>
          <w:sz w:val="24"/>
          <w:szCs w:val="24"/>
        </w:rPr>
        <w:t xml:space="preserve"> L, </w:t>
      </w:r>
      <w:proofErr w:type="spellStart"/>
      <w:r w:rsidRPr="007661F2">
        <w:rPr>
          <w:rFonts w:ascii="Book Antiqua" w:eastAsia="宋体" w:hAnsi="Book Antiqua" w:cs="宋体"/>
          <w:sz w:val="24"/>
          <w:szCs w:val="24"/>
        </w:rPr>
        <w:t>Campani</w:t>
      </w:r>
      <w:proofErr w:type="spellEnd"/>
      <w:r w:rsidRPr="007661F2">
        <w:rPr>
          <w:rFonts w:ascii="Book Antiqua" w:eastAsia="宋体" w:hAnsi="Book Antiqua" w:cs="宋体"/>
          <w:sz w:val="24"/>
          <w:szCs w:val="24"/>
        </w:rPr>
        <w:t xml:space="preserve"> D, </w:t>
      </w:r>
      <w:proofErr w:type="spellStart"/>
      <w:r w:rsidRPr="007661F2">
        <w:rPr>
          <w:rFonts w:ascii="Book Antiqua" w:eastAsia="宋体" w:hAnsi="Book Antiqua" w:cs="宋体"/>
          <w:sz w:val="24"/>
          <w:szCs w:val="24"/>
        </w:rPr>
        <w:t>Filipponi</w:t>
      </w:r>
      <w:proofErr w:type="spellEnd"/>
      <w:r w:rsidRPr="007661F2">
        <w:rPr>
          <w:rFonts w:ascii="Book Antiqua" w:eastAsia="宋体" w:hAnsi="Book Antiqua" w:cs="宋体"/>
          <w:sz w:val="24"/>
          <w:szCs w:val="24"/>
        </w:rPr>
        <w:t xml:space="preserve"> F. Conversion to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monotherapy</w:t>
      </w:r>
      <w:proofErr w:type="spellEnd"/>
      <w:r w:rsidRPr="007661F2">
        <w:rPr>
          <w:rFonts w:ascii="Book Antiqua" w:eastAsia="宋体" w:hAnsi="Book Antiqua" w:cs="宋体"/>
          <w:sz w:val="24"/>
          <w:szCs w:val="24"/>
        </w:rPr>
        <w:t xml:space="preserve"> in maintenance liver transplantation: feasibility, safety, and impact on renal function.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i/>
          <w:iCs/>
          <w:sz w:val="24"/>
          <w:szCs w:val="24"/>
        </w:rPr>
        <w:t xml:space="preserve"> </w:t>
      </w:r>
      <w:proofErr w:type="spellStart"/>
      <w:r w:rsidRPr="007661F2">
        <w:rPr>
          <w:rFonts w:ascii="Book Antiqua" w:eastAsia="宋体" w:hAnsi="Book Antiqua" w:cs="宋体"/>
          <w:i/>
          <w:iCs/>
          <w:sz w:val="24"/>
          <w:szCs w:val="24"/>
        </w:rPr>
        <w:t>Int</w:t>
      </w:r>
      <w:proofErr w:type="spellEnd"/>
      <w:r w:rsidRPr="007661F2">
        <w:rPr>
          <w:rFonts w:ascii="Book Antiqua" w:eastAsia="宋体" w:hAnsi="Book Antiqua" w:cs="宋体"/>
          <w:sz w:val="24"/>
          <w:szCs w:val="24"/>
        </w:rPr>
        <w:t xml:space="preserve"> 2009; </w:t>
      </w:r>
      <w:r w:rsidRPr="007661F2">
        <w:rPr>
          <w:rFonts w:ascii="Book Antiqua" w:eastAsia="宋体" w:hAnsi="Book Antiqua" w:cs="宋体"/>
          <w:b/>
          <w:bCs/>
          <w:sz w:val="24"/>
          <w:szCs w:val="24"/>
        </w:rPr>
        <w:t>22</w:t>
      </w:r>
      <w:r w:rsidRPr="007661F2">
        <w:rPr>
          <w:rFonts w:ascii="Book Antiqua" w:eastAsia="宋体" w:hAnsi="Book Antiqua" w:cs="宋体"/>
          <w:sz w:val="24"/>
          <w:szCs w:val="24"/>
        </w:rPr>
        <w:t>: 279-286 [PMID: 19054383 DOI: 10.1111/j.1432-2277.2008.00768.x]</w:t>
      </w:r>
    </w:p>
    <w:p w14:paraId="5C19442C"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25 </w:t>
      </w:r>
      <w:proofErr w:type="spellStart"/>
      <w:r w:rsidRPr="007661F2">
        <w:rPr>
          <w:rFonts w:ascii="Book Antiqua" w:eastAsia="宋体" w:hAnsi="Book Antiqua" w:cs="宋体"/>
          <w:b/>
          <w:bCs/>
          <w:sz w:val="24"/>
          <w:szCs w:val="24"/>
        </w:rPr>
        <w:t>Castroagudín</w:t>
      </w:r>
      <w:proofErr w:type="spellEnd"/>
      <w:r w:rsidRPr="007661F2">
        <w:rPr>
          <w:rFonts w:ascii="Book Antiqua" w:eastAsia="宋体" w:hAnsi="Book Antiqua" w:cs="宋体"/>
          <w:b/>
          <w:bCs/>
          <w:sz w:val="24"/>
          <w:szCs w:val="24"/>
        </w:rPr>
        <w:t xml:space="preserve"> JF</w:t>
      </w:r>
      <w:r w:rsidRPr="007661F2">
        <w:rPr>
          <w:rFonts w:ascii="Book Antiqua" w:eastAsia="宋体" w:hAnsi="Book Antiqua" w:cs="宋体"/>
          <w:sz w:val="24"/>
          <w:szCs w:val="24"/>
        </w:rPr>
        <w:t xml:space="preserve">, Molina E, Romero R, Otero E, Tomé S, Varo E. Improvement of renal function after the switch from a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 inhibitor to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in liver transplant recipients with chronic renal dysfunction. </w:t>
      </w:r>
      <w:r w:rsidRPr="007661F2">
        <w:rPr>
          <w:rFonts w:ascii="Book Antiqua" w:eastAsia="宋体" w:hAnsi="Book Antiqua" w:cs="宋体"/>
          <w:i/>
          <w:iCs/>
          <w:sz w:val="24"/>
          <w:szCs w:val="24"/>
        </w:rPr>
        <w:t xml:space="preserve">Liver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sz w:val="24"/>
          <w:szCs w:val="24"/>
        </w:rPr>
        <w:t xml:space="preserve"> 2009; </w:t>
      </w:r>
      <w:r w:rsidRPr="007661F2">
        <w:rPr>
          <w:rFonts w:ascii="Book Antiqua" w:eastAsia="宋体" w:hAnsi="Book Antiqua" w:cs="宋体"/>
          <w:b/>
          <w:bCs/>
          <w:sz w:val="24"/>
          <w:szCs w:val="24"/>
        </w:rPr>
        <w:t>15</w:t>
      </w:r>
      <w:r w:rsidRPr="007661F2">
        <w:rPr>
          <w:rFonts w:ascii="Book Antiqua" w:eastAsia="宋体" w:hAnsi="Book Antiqua" w:cs="宋体"/>
          <w:sz w:val="24"/>
          <w:szCs w:val="24"/>
        </w:rPr>
        <w:t>: 1792-1797 [PMID: 19938140 DOI: 10.1002/lt.21920]</w:t>
      </w:r>
    </w:p>
    <w:p w14:paraId="50592C91"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26 </w:t>
      </w:r>
      <w:proofErr w:type="spellStart"/>
      <w:r w:rsidRPr="007661F2">
        <w:rPr>
          <w:rFonts w:ascii="Book Antiqua" w:eastAsia="宋体" w:hAnsi="Book Antiqua" w:cs="宋体"/>
          <w:b/>
          <w:bCs/>
          <w:sz w:val="24"/>
          <w:szCs w:val="24"/>
        </w:rPr>
        <w:t>Saliba</w:t>
      </w:r>
      <w:proofErr w:type="spellEnd"/>
      <w:r w:rsidRPr="007661F2">
        <w:rPr>
          <w:rFonts w:ascii="Book Antiqua" w:eastAsia="宋体" w:hAnsi="Book Antiqua" w:cs="宋体"/>
          <w:b/>
          <w:bCs/>
          <w:sz w:val="24"/>
          <w:szCs w:val="24"/>
        </w:rPr>
        <w:t xml:space="preserve"> F</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Dharancy</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Lorho</w:t>
      </w:r>
      <w:proofErr w:type="spellEnd"/>
      <w:r w:rsidRPr="007661F2">
        <w:rPr>
          <w:rFonts w:ascii="Book Antiqua" w:eastAsia="宋体" w:hAnsi="Book Antiqua" w:cs="宋体"/>
          <w:sz w:val="24"/>
          <w:szCs w:val="24"/>
        </w:rPr>
        <w:t xml:space="preserve"> R, Conti F, </w:t>
      </w:r>
      <w:proofErr w:type="spellStart"/>
      <w:r w:rsidRPr="007661F2">
        <w:rPr>
          <w:rFonts w:ascii="Book Antiqua" w:eastAsia="宋体" w:hAnsi="Book Antiqua" w:cs="宋体"/>
          <w:sz w:val="24"/>
          <w:szCs w:val="24"/>
        </w:rPr>
        <w:t>Radenne</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Neau-Cransac</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Hurtova</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Hardwigsen</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Calmus</w:t>
      </w:r>
      <w:proofErr w:type="spellEnd"/>
      <w:r w:rsidRPr="007661F2">
        <w:rPr>
          <w:rFonts w:ascii="Book Antiqua" w:eastAsia="宋体" w:hAnsi="Book Antiqua" w:cs="宋体"/>
          <w:sz w:val="24"/>
          <w:szCs w:val="24"/>
        </w:rPr>
        <w:t xml:space="preserve"> Y, </w:t>
      </w:r>
      <w:proofErr w:type="spellStart"/>
      <w:r w:rsidRPr="007661F2">
        <w:rPr>
          <w:rFonts w:ascii="Book Antiqua" w:eastAsia="宋体" w:hAnsi="Book Antiqua" w:cs="宋体"/>
          <w:sz w:val="24"/>
          <w:szCs w:val="24"/>
        </w:rPr>
        <w:t>Dumortier</w:t>
      </w:r>
      <w:proofErr w:type="spellEnd"/>
      <w:r w:rsidRPr="007661F2">
        <w:rPr>
          <w:rFonts w:ascii="Book Antiqua" w:eastAsia="宋体" w:hAnsi="Book Antiqua" w:cs="宋体"/>
          <w:sz w:val="24"/>
          <w:szCs w:val="24"/>
        </w:rPr>
        <w:t xml:space="preserve"> J. Conversion to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in maintenance liver transplant patients: a multicenter, retrospective analysis. </w:t>
      </w:r>
      <w:r w:rsidRPr="007661F2">
        <w:rPr>
          <w:rFonts w:ascii="Book Antiqua" w:eastAsia="宋体" w:hAnsi="Book Antiqua" w:cs="宋体"/>
          <w:i/>
          <w:iCs/>
          <w:sz w:val="24"/>
          <w:szCs w:val="24"/>
        </w:rPr>
        <w:t xml:space="preserve">Liver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sz w:val="24"/>
          <w:szCs w:val="24"/>
        </w:rPr>
        <w:t xml:space="preserve"> 2011; </w:t>
      </w:r>
      <w:r w:rsidRPr="007661F2">
        <w:rPr>
          <w:rFonts w:ascii="Book Antiqua" w:eastAsia="宋体" w:hAnsi="Book Antiqua" w:cs="宋体"/>
          <w:b/>
          <w:bCs/>
          <w:sz w:val="24"/>
          <w:szCs w:val="24"/>
        </w:rPr>
        <w:t>17</w:t>
      </w:r>
      <w:r w:rsidRPr="007661F2">
        <w:rPr>
          <w:rFonts w:ascii="Book Antiqua" w:eastAsia="宋体" w:hAnsi="Book Antiqua" w:cs="宋体"/>
          <w:sz w:val="24"/>
          <w:szCs w:val="24"/>
        </w:rPr>
        <w:t>: 905-913 [PMID: 21384525 DOI: 10.1002/lt.22292]</w:t>
      </w:r>
    </w:p>
    <w:p w14:paraId="080F95B0"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27 </w:t>
      </w:r>
      <w:r w:rsidRPr="007661F2">
        <w:rPr>
          <w:rFonts w:ascii="Book Antiqua" w:eastAsia="宋体" w:hAnsi="Book Antiqua" w:cs="宋体"/>
          <w:b/>
          <w:bCs/>
          <w:sz w:val="24"/>
          <w:szCs w:val="24"/>
        </w:rPr>
        <w:t>Bilbao I</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Salcedo</w:t>
      </w:r>
      <w:proofErr w:type="spellEnd"/>
      <w:r w:rsidRPr="007661F2">
        <w:rPr>
          <w:rFonts w:ascii="Book Antiqua" w:eastAsia="宋体" w:hAnsi="Book Antiqua" w:cs="宋体"/>
          <w:sz w:val="24"/>
          <w:szCs w:val="24"/>
        </w:rPr>
        <w:t xml:space="preserve"> M, Gómez MA, Jimenez C, </w:t>
      </w:r>
      <w:proofErr w:type="spellStart"/>
      <w:r w:rsidRPr="007661F2">
        <w:rPr>
          <w:rFonts w:ascii="Book Antiqua" w:eastAsia="宋体" w:hAnsi="Book Antiqua" w:cs="宋体"/>
          <w:sz w:val="24"/>
          <w:szCs w:val="24"/>
        </w:rPr>
        <w:t>Castroagudín</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Fabregat</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Almohalla</w:t>
      </w:r>
      <w:proofErr w:type="spellEnd"/>
      <w:r w:rsidRPr="007661F2">
        <w:rPr>
          <w:rFonts w:ascii="Book Antiqua" w:eastAsia="宋体" w:hAnsi="Book Antiqua" w:cs="宋体"/>
          <w:sz w:val="24"/>
          <w:szCs w:val="24"/>
        </w:rPr>
        <w:t xml:space="preserve"> C, </w:t>
      </w:r>
      <w:proofErr w:type="spellStart"/>
      <w:r w:rsidRPr="007661F2">
        <w:rPr>
          <w:rFonts w:ascii="Book Antiqua" w:eastAsia="宋体" w:hAnsi="Book Antiqua" w:cs="宋体"/>
          <w:sz w:val="24"/>
          <w:szCs w:val="24"/>
        </w:rPr>
        <w:t>Herrero</w:t>
      </w:r>
      <w:proofErr w:type="spellEnd"/>
      <w:r w:rsidRPr="007661F2">
        <w:rPr>
          <w:rFonts w:ascii="Book Antiqua" w:eastAsia="宋体" w:hAnsi="Book Antiqua" w:cs="宋体"/>
          <w:sz w:val="24"/>
          <w:szCs w:val="24"/>
        </w:rPr>
        <w:t xml:space="preserve"> I, </w:t>
      </w:r>
      <w:proofErr w:type="spellStart"/>
      <w:r w:rsidRPr="007661F2">
        <w:rPr>
          <w:rFonts w:ascii="Book Antiqua" w:eastAsia="宋体" w:hAnsi="Book Antiqua" w:cs="宋体"/>
          <w:sz w:val="24"/>
          <w:szCs w:val="24"/>
        </w:rPr>
        <w:t>Cuervas</w:t>
      </w:r>
      <w:proofErr w:type="spellEnd"/>
      <w:r w:rsidRPr="007661F2">
        <w:rPr>
          <w:rFonts w:ascii="Book Antiqua" w:eastAsia="宋体" w:hAnsi="Book Antiqua" w:cs="宋体"/>
          <w:sz w:val="24"/>
          <w:szCs w:val="24"/>
        </w:rPr>
        <w:t xml:space="preserve">-Mons V, Otero A, </w:t>
      </w:r>
      <w:proofErr w:type="spellStart"/>
      <w:r w:rsidRPr="007661F2">
        <w:rPr>
          <w:rFonts w:ascii="Book Antiqua" w:eastAsia="宋体" w:hAnsi="Book Antiqua" w:cs="宋体"/>
          <w:sz w:val="24"/>
          <w:szCs w:val="24"/>
        </w:rPr>
        <w:t>Rubín</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Miras</w:t>
      </w:r>
      <w:proofErr w:type="spellEnd"/>
      <w:r w:rsidRPr="007661F2">
        <w:rPr>
          <w:rFonts w:ascii="Book Antiqua" w:eastAsia="宋体" w:hAnsi="Book Antiqua" w:cs="宋体"/>
          <w:sz w:val="24"/>
          <w:szCs w:val="24"/>
        </w:rPr>
        <w:t xml:space="preserve"> M, Rodrigo J, Serrano T, </w:t>
      </w:r>
      <w:proofErr w:type="spellStart"/>
      <w:r w:rsidRPr="007661F2">
        <w:rPr>
          <w:rFonts w:ascii="Book Antiqua" w:eastAsia="宋体" w:hAnsi="Book Antiqua" w:cs="宋体"/>
          <w:sz w:val="24"/>
          <w:szCs w:val="24"/>
        </w:rPr>
        <w:t>Crespo</w:t>
      </w:r>
      <w:proofErr w:type="spellEnd"/>
      <w:r w:rsidRPr="007661F2">
        <w:rPr>
          <w:rFonts w:ascii="Book Antiqua" w:eastAsia="宋体" w:hAnsi="Book Antiqua" w:cs="宋体"/>
          <w:sz w:val="24"/>
          <w:szCs w:val="24"/>
        </w:rPr>
        <w:t xml:space="preserve"> G, De la Mata M, Bustamante J, Gonzalez-</w:t>
      </w:r>
      <w:proofErr w:type="spellStart"/>
      <w:r w:rsidRPr="007661F2">
        <w:rPr>
          <w:rFonts w:ascii="Book Antiqua" w:eastAsia="宋体" w:hAnsi="Book Antiqua" w:cs="宋体"/>
          <w:sz w:val="24"/>
          <w:szCs w:val="24"/>
        </w:rPr>
        <w:t>Dieguez</w:t>
      </w:r>
      <w:proofErr w:type="spellEnd"/>
      <w:r w:rsidRPr="007661F2">
        <w:rPr>
          <w:rFonts w:ascii="Book Antiqua" w:eastAsia="宋体" w:hAnsi="Book Antiqua" w:cs="宋体"/>
          <w:sz w:val="24"/>
          <w:szCs w:val="24"/>
        </w:rPr>
        <w:t xml:space="preserve"> ML, Moreno A, Narvaez I, </w:t>
      </w:r>
      <w:proofErr w:type="spellStart"/>
      <w:r w:rsidRPr="007661F2">
        <w:rPr>
          <w:rFonts w:ascii="Book Antiqua" w:eastAsia="宋体" w:hAnsi="Book Antiqua" w:cs="宋体"/>
          <w:sz w:val="24"/>
          <w:szCs w:val="24"/>
        </w:rPr>
        <w:t>Guilera</w:t>
      </w:r>
      <w:proofErr w:type="spellEnd"/>
      <w:r w:rsidRPr="007661F2">
        <w:rPr>
          <w:rFonts w:ascii="Book Antiqua" w:eastAsia="宋体" w:hAnsi="Book Antiqua" w:cs="宋体"/>
          <w:sz w:val="24"/>
          <w:szCs w:val="24"/>
        </w:rPr>
        <w:t xml:space="preserve"> M. Renal function improvement in liver transplant recipients after early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conversion: A clinical practice cohort study in Spain. </w:t>
      </w:r>
      <w:r w:rsidRPr="007661F2">
        <w:rPr>
          <w:rFonts w:ascii="Book Antiqua" w:eastAsia="宋体" w:hAnsi="Book Antiqua" w:cs="宋体"/>
          <w:i/>
          <w:iCs/>
          <w:sz w:val="24"/>
          <w:szCs w:val="24"/>
        </w:rPr>
        <w:t xml:space="preserve">Liver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sz w:val="24"/>
          <w:szCs w:val="24"/>
        </w:rPr>
        <w:t xml:space="preserve"> 2015; </w:t>
      </w:r>
      <w:r w:rsidRPr="007661F2">
        <w:rPr>
          <w:rFonts w:ascii="Book Antiqua" w:eastAsia="宋体" w:hAnsi="Book Antiqua" w:cs="宋体"/>
          <w:b/>
          <w:bCs/>
          <w:sz w:val="24"/>
          <w:szCs w:val="24"/>
        </w:rPr>
        <w:t>21</w:t>
      </w:r>
      <w:r w:rsidRPr="007661F2">
        <w:rPr>
          <w:rFonts w:ascii="Book Antiqua" w:eastAsia="宋体" w:hAnsi="Book Antiqua" w:cs="宋体"/>
          <w:sz w:val="24"/>
          <w:szCs w:val="24"/>
        </w:rPr>
        <w:t>: 1056-1065 [PMID: 25990257 DOI: 10.1002/lt.24172]</w:t>
      </w:r>
    </w:p>
    <w:p w14:paraId="58EE40B3"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lastRenderedPageBreak/>
        <w:t xml:space="preserve">28 </w:t>
      </w:r>
      <w:proofErr w:type="spellStart"/>
      <w:r w:rsidRPr="007661F2">
        <w:rPr>
          <w:rFonts w:ascii="Book Antiqua" w:eastAsia="宋体" w:hAnsi="Book Antiqua" w:cs="宋体"/>
          <w:b/>
          <w:bCs/>
          <w:sz w:val="24"/>
          <w:szCs w:val="24"/>
        </w:rPr>
        <w:t>Farkas</w:t>
      </w:r>
      <w:proofErr w:type="spellEnd"/>
      <w:r w:rsidRPr="007661F2">
        <w:rPr>
          <w:rFonts w:ascii="Book Antiqua" w:eastAsia="宋体" w:hAnsi="Book Antiqua" w:cs="宋体"/>
          <w:b/>
          <w:bCs/>
          <w:sz w:val="24"/>
          <w:szCs w:val="24"/>
        </w:rPr>
        <w:t xml:space="preserve"> SA</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Schnitzbauer</w:t>
      </w:r>
      <w:proofErr w:type="spellEnd"/>
      <w:r w:rsidRPr="007661F2">
        <w:rPr>
          <w:rFonts w:ascii="Book Antiqua" w:eastAsia="宋体" w:hAnsi="Book Antiqua" w:cs="宋体"/>
          <w:sz w:val="24"/>
          <w:szCs w:val="24"/>
        </w:rPr>
        <w:t xml:space="preserve"> AA, Kirchner G, </w:t>
      </w:r>
      <w:proofErr w:type="spellStart"/>
      <w:r w:rsidRPr="007661F2">
        <w:rPr>
          <w:rFonts w:ascii="Book Antiqua" w:eastAsia="宋体" w:hAnsi="Book Antiqua" w:cs="宋体"/>
          <w:sz w:val="24"/>
          <w:szCs w:val="24"/>
        </w:rPr>
        <w:t>Obed</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Banas</w:t>
      </w:r>
      <w:proofErr w:type="spellEnd"/>
      <w:r w:rsidRPr="007661F2">
        <w:rPr>
          <w:rFonts w:ascii="Book Antiqua" w:eastAsia="宋体" w:hAnsi="Book Antiqua" w:cs="宋体"/>
          <w:sz w:val="24"/>
          <w:szCs w:val="24"/>
        </w:rPr>
        <w:t xml:space="preserve"> B, </w:t>
      </w:r>
      <w:proofErr w:type="spellStart"/>
      <w:r w:rsidRPr="007661F2">
        <w:rPr>
          <w:rFonts w:ascii="Book Antiqua" w:eastAsia="宋体" w:hAnsi="Book Antiqua" w:cs="宋体"/>
          <w:sz w:val="24"/>
          <w:szCs w:val="24"/>
        </w:rPr>
        <w:t>Schlitt</w:t>
      </w:r>
      <w:proofErr w:type="spellEnd"/>
      <w:r w:rsidRPr="007661F2">
        <w:rPr>
          <w:rFonts w:ascii="Book Antiqua" w:eastAsia="宋体" w:hAnsi="Book Antiqua" w:cs="宋体"/>
          <w:sz w:val="24"/>
          <w:szCs w:val="24"/>
        </w:rPr>
        <w:t xml:space="preserve"> HJ.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 inhibitor minimization protocols in liver transplantation.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i/>
          <w:iCs/>
          <w:sz w:val="24"/>
          <w:szCs w:val="24"/>
        </w:rPr>
        <w:t xml:space="preserve"> </w:t>
      </w:r>
      <w:proofErr w:type="spellStart"/>
      <w:r w:rsidRPr="007661F2">
        <w:rPr>
          <w:rFonts w:ascii="Book Antiqua" w:eastAsia="宋体" w:hAnsi="Book Antiqua" w:cs="宋体"/>
          <w:i/>
          <w:iCs/>
          <w:sz w:val="24"/>
          <w:szCs w:val="24"/>
        </w:rPr>
        <w:t>Int</w:t>
      </w:r>
      <w:proofErr w:type="spellEnd"/>
      <w:r w:rsidRPr="007661F2">
        <w:rPr>
          <w:rFonts w:ascii="Book Antiqua" w:eastAsia="宋体" w:hAnsi="Book Antiqua" w:cs="宋体"/>
          <w:sz w:val="24"/>
          <w:szCs w:val="24"/>
        </w:rPr>
        <w:t xml:space="preserve"> 2009; </w:t>
      </w:r>
      <w:r w:rsidRPr="007661F2">
        <w:rPr>
          <w:rFonts w:ascii="Book Antiqua" w:eastAsia="宋体" w:hAnsi="Book Antiqua" w:cs="宋体"/>
          <w:b/>
          <w:bCs/>
          <w:sz w:val="24"/>
          <w:szCs w:val="24"/>
        </w:rPr>
        <w:t>22</w:t>
      </w:r>
      <w:r w:rsidRPr="007661F2">
        <w:rPr>
          <w:rFonts w:ascii="Book Antiqua" w:eastAsia="宋体" w:hAnsi="Book Antiqua" w:cs="宋体"/>
          <w:sz w:val="24"/>
          <w:szCs w:val="24"/>
        </w:rPr>
        <w:t>: 49-60 [PMID: 19121146 DOI: 10.1111/j.1432-2277.2008.00796.x]</w:t>
      </w:r>
    </w:p>
    <w:p w14:paraId="473502F8"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29 </w:t>
      </w:r>
      <w:proofErr w:type="spellStart"/>
      <w:r w:rsidRPr="007661F2">
        <w:rPr>
          <w:rFonts w:ascii="Book Antiqua" w:eastAsia="宋体" w:hAnsi="Book Antiqua" w:cs="宋体"/>
          <w:b/>
          <w:bCs/>
          <w:sz w:val="24"/>
          <w:szCs w:val="24"/>
        </w:rPr>
        <w:t>Pageaux</w:t>
      </w:r>
      <w:proofErr w:type="spellEnd"/>
      <w:r w:rsidRPr="007661F2">
        <w:rPr>
          <w:rFonts w:ascii="Book Antiqua" w:eastAsia="宋体" w:hAnsi="Book Antiqua" w:cs="宋体"/>
          <w:b/>
          <w:bCs/>
          <w:sz w:val="24"/>
          <w:szCs w:val="24"/>
        </w:rPr>
        <w:t xml:space="preserve"> GP</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Rostaing</w:t>
      </w:r>
      <w:proofErr w:type="spellEnd"/>
      <w:r w:rsidRPr="007661F2">
        <w:rPr>
          <w:rFonts w:ascii="Book Antiqua" w:eastAsia="宋体" w:hAnsi="Book Antiqua" w:cs="宋体"/>
          <w:sz w:val="24"/>
          <w:szCs w:val="24"/>
        </w:rPr>
        <w:t xml:space="preserve"> L, </w:t>
      </w:r>
      <w:proofErr w:type="spellStart"/>
      <w:r w:rsidRPr="007661F2">
        <w:rPr>
          <w:rFonts w:ascii="Book Antiqua" w:eastAsia="宋体" w:hAnsi="Book Antiqua" w:cs="宋体"/>
          <w:sz w:val="24"/>
          <w:szCs w:val="24"/>
        </w:rPr>
        <w:t>Calmus</w:t>
      </w:r>
      <w:proofErr w:type="spellEnd"/>
      <w:r w:rsidRPr="007661F2">
        <w:rPr>
          <w:rFonts w:ascii="Book Antiqua" w:eastAsia="宋体" w:hAnsi="Book Antiqua" w:cs="宋体"/>
          <w:sz w:val="24"/>
          <w:szCs w:val="24"/>
        </w:rPr>
        <w:t xml:space="preserve"> Y, </w:t>
      </w:r>
      <w:proofErr w:type="spellStart"/>
      <w:r w:rsidRPr="007661F2">
        <w:rPr>
          <w:rFonts w:ascii="Book Antiqua" w:eastAsia="宋体" w:hAnsi="Book Antiqua" w:cs="宋体"/>
          <w:sz w:val="24"/>
          <w:szCs w:val="24"/>
        </w:rPr>
        <w:t>Duvoux</w:t>
      </w:r>
      <w:proofErr w:type="spellEnd"/>
      <w:r w:rsidRPr="007661F2">
        <w:rPr>
          <w:rFonts w:ascii="Book Antiqua" w:eastAsia="宋体" w:hAnsi="Book Antiqua" w:cs="宋体"/>
          <w:sz w:val="24"/>
          <w:szCs w:val="24"/>
        </w:rPr>
        <w:t xml:space="preserve"> C, </w:t>
      </w:r>
      <w:proofErr w:type="spellStart"/>
      <w:r w:rsidRPr="007661F2">
        <w:rPr>
          <w:rFonts w:ascii="Book Antiqua" w:eastAsia="宋体" w:hAnsi="Book Antiqua" w:cs="宋体"/>
          <w:sz w:val="24"/>
          <w:szCs w:val="24"/>
        </w:rPr>
        <w:t>Vanlemmens</w:t>
      </w:r>
      <w:proofErr w:type="spellEnd"/>
      <w:r w:rsidRPr="007661F2">
        <w:rPr>
          <w:rFonts w:ascii="Book Antiqua" w:eastAsia="宋体" w:hAnsi="Book Antiqua" w:cs="宋体"/>
          <w:sz w:val="24"/>
          <w:szCs w:val="24"/>
        </w:rPr>
        <w:t xml:space="preserve"> C, </w:t>
      </w:r>
      <w:proofErr w:type="spellStart"/>
      <w:r w:rsidRPr="007661F2">
        <w:rPr>
          <w:rFonts w:ascii="Book Antiqua" w:eastAsia="宋体" w:hAnsi="Book Antiqua" w:cs="宋体"/>
          <w:sz w:val="24"/>
          <w:szCs w:val="24"/>
        </w:rPr>
        <w:t>Hardgwissen</w:t>
      </w:r>
      <w:proofErr w:type="spellEnd"/>
      <w:r w:rsidRPr="007661F2">
        <w:rPr>
          <w:rFonts w:ascii="Book Antiqua" w:eastAsia="宋体" w:hAnsi="Book Antiqua" w:cs="宋体"/>
          <w:sz w:val="24"/>
          <w:szCs w:val="24"/>
        </w:rPr>
        <w:t xml:space="preserve"> J, Bernard PH, </w:t>
      </w:r>
      <w:proofErr w:type="spellStart"/>
      <w:r w:rsidRPr="007661F2">
        <w:rPr>
          <w:rFonts w:ascii="Book Antiqua" w:eastAsia="宋体" w:hAnsi="Book Antiqua" w:cs="宋体"/>
          <w:sz w:val="24"/>
          <w:szCs w:val="24"/>
        </w:rPr>
        <w:t>Barbotte</w:t>
      </w:r>
      <w:proofErr w:type="spellEnd"/>
      <w:r w:rsidRPr="007661F2">
        <w:rPr>
          <w:rFonts w:ascii="Book Antiqua" w:eastAsia="宋体" w:hAnsi="Book Antiqua" w:cs="宋体"/>
          <w:sz w:val="24"/>
          <w:szCs w:val="24"/>
        </w:rPr>
        <w:t xml:space="preserve"> E, </w:t>
      </w:r>
      <w:proofErr w:type="spellStart"/>
      <w:r w:rsidRPr="007661F2">
        <w:rPr>
          <w:rFonts w:ascii="Book Antiqua" w:eastAsia="宋体" w:hAnsi="Book Antiqua" w:cs="宋体"/>
          <w:sz w:val="24"/>
          <w:szCs w:val="24"/>
        </w:rPr>
        <w:t>Vercambre</w:t>
      </w:r>
      <w:proofErr w:type="spellEnd"/>
      <w:r w:rsidRPr="007661F2">
        <w:rPr>
          <w:rFonts w:ascii="Book Antiqua" w:eastAsia="宋体" w:hAnsi="Book Antiqua" w:cs="宋体"/>
          <w:sz w:val="24"/>
          <w:szCs w:val="24"/>
        </w:rPr>
        <w:t xml:space="preserve"> L, Bismuth M, </w:t>
      </w:r>
      <w:proofErr w:type="spellStart"/>
      <w:r w:rsidRPr="007661F2">
        <w:rPr>
          <w:rFonts w:ascii="Book Antiqua" w:eastAsia="宋体" w:hAnsi="Book Antiqua" w:cs="宋体"/>
          <w:sz w:val="24"/>
          <w:szCs w:val="24"/>
        </w:rPr>
        <w:t>Puche</w:t>
      </w:r>
      <w:proofErr w:type="spellEnd"/>
      <w:r w:rsidRPr="007661F2">
        <w:rPr>
          <w:rFonts w:ascii="Book Antiqua" w:eastAsia="宋体" w:hAnsi="Book Antiqua" w:cs="宋体"/>
          <w:sz w:val="24"/>
          <w:szCs w:val="24"/>
        </w:rPr>
        <w:t xml:space="preserve"> P, Navarro F, </w:t>
      </w:r>
      <w:proofErr w:type="spellStart"/>
      <w:r w:rsidRPr="007661F2">
        <w:rPr>
          <w:rFonts w:ascii="Book Antiqua" w:eastAsia="宋体" w:hAnsi="Book Antiqua" w:cs="宋体"/>
          <w:sz w:val="24"/>
          <w:szCs w:val="24"/>
        </w:rPr>
        <w:t>Larrey</w:t>
      </w:r>
      <w:proofErr w:type="spellEnd"/>
      <w:r w:rsidRPr="007661F2">
        <w:rPr>
          <w:rFonts w:ascii="Book Antiqua" w:eastAsia="宋体" w:hAnsi="Book Antiqua" w:cs="宋体"/>
          <w:sz w:val="24"/>
          <w:szCs w:val="24"/>
        </w:rPr>
        <w:t xml:space="preserve"> D. </w:t>
      </w:r>
      <w:proofErr w:type="spellStart"/>
      <w:r w:rsidRPr="007661F2">
        <w:rPr>
          <w:rFonts w:ascii="Book Antiqua" w:eastAsia="宋体" w:hAnsi="Book Antiqua" w:cs="宋体"/>
          <w:sz w:val="24"/>
          <w:szCs w:val="24"/>
        </w:rPr>
        <w:t>Mycophenolate</w:t>
      </w:r>
      <w:proofErr w:type="spellEnd"/>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mofetil</w:t>
      </w:r>
      <w:proofErr w:type="spellEnd"/>
      <w:r w:rsidRPr="007661F2">
        <w:rPr>
          <w:rFonts w:ascii="Book Antiqua" w:eastAsia="宋体" w:hAnsi="Book Antiqua" w:cs="宋体"/>
          <w:sz w:val="24"/>
          <w:szCs w:val="24"/>
        </w:rPr>
        <w:t xml:space="preserve"> in combination with reduction of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 inhibitors for chronic renal dysfunction after liver transplantation. </w:t>
      </w:r>
      <w:r w:rsidRPr="007661F2">
        <w:rPr>
          <w:rFonts w:ascii="Book Antiqua" w:eastAsia="宋体" w:hAnsi="Book Antiqua" w:cs="宋体"/>
          <w:i/>
          <w:iCs/>
          <w:sz w:val="24"/>
          <w:szCs w:val="24"/>
        </w:rPr>
        <w:t xml:space="preserve">Liver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sz w:val="24"/>
          <w:szCs w:val="24"/>
        </w:rPr>
        <w:t xml:space="preserve"> 2006; </w:t>
      </w:r>
      <w:r w:rsidRPr="007661F2">
        <w:rPr>
          <w:rFonts w:ascii="Book Antiqua" w:eastAsia="宋体" w:hAnsi="Book Antiqua" w:cs="宋体"/>
          <w:b/>
          <w:bCs/>
          <w:sz w:val="24"/>
          <w:szCs w:val="24"/>
        </w:rPr>
        <w:t>12</w:t>
      </w:r>
      <w:r w:rsidRPr="007661F2">
        <w:rPr>
          <w:rFonts w:ascii="Book Antiqua" w:eastAsia="宋体" w:hAnsi="Book Antiqua" w:cs="宋体"/>
          <w:sz w:val="24"/>
          <w:szCs w:val="24"/>
        </w:rPr>
        <w:t>: 1755-1760 [PMID: 17133564 DOI: 10.1002/lt.20903]</w:t>
      </w:r>
    </w:p>
    <w:p w14:paraId="57BFCC2B"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30 </w:t>
      </w:r>
      <w:proofErr w:type="spellStart"/>
      <w:r w:rsidRPr="007661F2">
        <w:rPr>
          <w:rFonts w:ascii="Book Antiqua" w:eastAsia="宋体" w:hAnsi="Book Antiqua" w:cs="宋体"/>
          <w:b/>
          <w:bCs/>
          <w:sz w:val="24"/>
          <w:szCs w:val="24"/>
        </w:rPr>
        <w:t>Hao</w:t>
      </w:r>
      <w:proofErr w:type="spellEnd"/>
      <w:r w:rsidRPr="007661F2">
        <w:rPr>
          <w:rFonts w:ascii="Book Antiqua" w:eastAsia="宋体" w:hAnsi="Book Antiqua" w:cs="宋体"/>
          <w:b/>
          <w:bCs/>
          <w:sz w:val="24"/>
          <w:szCs w:val="24"/>
        </w:rPr>
        <w:t xml:space="preserve"> JC</w:t>
      </w:r>
      <w:r w:rsidRPr="007661F2">
        <w:rPr>
          <w:rFonts w:ascii="Book Antiqua" w:eastAsia="宋体" w:hAnsi="Book Antiqua" w:cs="宋体"/>
          <w:sz w:val="24"/>
          <w:szCs w:val="24"/>
        </w:rPr>
        <w:t xml:space="preserve">, Wang WT, Yan LN, Li B, Wen TF, Yang JY, </w:t>
      </w:r>
      <w:proofErr w:type="spellStart"/>
      <w:r w:rsidRPr="007661F2">
        <w:rPr>
          <w:rFonts w:ascii="Book Antiqua" w:eastAsia="宋体" w:hAnsi="Book Antiqua" w:cs="宋体"/>
          <w:sz w:val="24"/>
          <w:szCs w:val="24"/>
        </w:rPr>
        <w:t>Xu</w:t>
      </w:r>
      <w:proofErr w:type="spellEnd"/>
      <w:r w:rsidRPr="007661F2">
        <w:rPr>
          <w:rFonts w:ascii="Book Antiqua" w:eastAsia="宋体" w:hAnsi="Book Antiqua" w:cs="宋体"/>
          <w:sz w:val="24"/>
          <w:szCs w:val="24"/>
        </w:rPr>
        <w:t xml:space="preserve"> MQ, Zhao JC, Wei YG. </w:t>
      </w:r>
      <w:proofErr w:type="gramStart"/>
      <w:r w:rsidRPr="007661F2">
        <w:rPr>
          <w:rFonts w:ascii="Book Antiqua" w:eastAsia="宋体" w:hAnsi="Book Antiqua" w:cs="宋体"/>
          <w:sz w:val="24"/>
          <w:szCs w:val="24"/>
        </w:rPr>
        <w:t xml:space="preserve">Effect of low-dose </w:t>
      </w:r>
      <w:proofErr w:type="spellStart"/>
      <w:r w:rsidRPr="007661F2">
        <w:rPr>
          <w:rFonts w:ascii="Book Antiqua" w:eastAsia="宋体" w:hAnsi="Book Antiqua" w:cs="宋体"/>
          <w:sz w:val="24"/>
          <w:szCs w:val="24"/>
        </w:rPr>
        <w:t>tacrolimus</w:t>
      </w:r>
      <w:proofErr w:type="spellEnd"/>
      <w:r w:rsidRPr="007661F2">
        <w:rPr>
          <w:rFonts w:ascii="Book Antiqua" w:eastAsia="宋体" w:hAnsi="Book Antiqua" w:cs="宋体"/>
          <w:sz w:val="24"/>
          <w:szCs w:val="24"/>
        </w:rPr>
        <w:t xml:space="preserve"> with </w:t>
      </w:r>
      <w:proofErr w:type="spellStart"/>
      <w:r w:rsidRPr="007661F2">
        <w:rPr>
          <w:rFonts w:ascii="Book Antiqua" w:eastAsia="宋体" w:hAnsi="Book Antiqua" w:cs="宋体"/>
          <w:sz w:val="24"/>
          <w:szCs w:val="24"/>
        </w:rPr>
        <w:t>mycophenolate</w:t>
      </w:r>
      <w:proofErr w:type="spellEnd"/>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mofetil</w:t>
      </w:r>
      <w:proofErr w:type="spellEnd"/>
      <w:r w:rsidRPr="007661F2">
        <w:rPr>
          <w:rFonts w:ascii="Book Antiqua" w:eastAsia="宋体" w:hAnsi="Book Antiqua" w:cs="宋体"/>
          <w:sz w:val="24"/>
          <w:szCs w:val="24"/>
        </w:rPr>
        <w:t xml:space="preserve"> on renal function following liver transplantation.</w:t>
      </w:r>
      <w:proofErr w:type="gramEnd"/>
      <w:r w:rsidRPr="007661F2">
        <w:rPr>
          <w:rFonts w:ascii="Book Antiqua" w:eastAsia="宋体" w:hAnsi="Book Antiqua" w:cs="宋体"/>
          <w:sz w:val="24"/>
          <w:szCs w:val="24"/>
        </w:rPr>
        <w:t xml:space="preserve"> </w:t>
      </w:r>
      <w:r w:rsidRPr="007661F2">
        <w:rPr>
          <w:rFonts w:ascii="Book Antiqua" w:eastAsia="宋体" w:hAnsi="Book Antiqua" w:cs="宋体"/>
          <w:i/>
          <w:iCs/>
          <w:sz w:val="24"/>
          <w:szCs w:val="24"/>
        </w:rPr>
        <w:t xml:space="preserve">World J </w:t>
      </w:r>
      <w:proofErr w:type="spellStart"/>
      <w:r w:rsidRPr="007661F2">
        <w:rPr>
          <w:rFonts w:ascii="Book Antiqua" w:eastAsia="宋体" w:hAnsi="Book Antiqua" w:cs="宋体"/>
          <w:i/>
          <w:iCs/>
          <w:sz w:val="24"/>
          <w:szCs w:val="24"/>
        </w:rPr>
        <w:t>Gastroenterol</w:t>
      </w:r>
      <w:proofErr w:type="spellEnd"/>
      <w:r w:rsidRPr="007661F2">
        <w:rPr>
          <w:rFonts w:ascii="Book Antiqua" w:eastAsia="宋体" w:hAnsi="Book Antiqua" w:cs="宋体"/>
          <w:sz w:val="24"/>
          <w:szCs w:val="24"/>
        </w:rPr>
        <w:t xml:space="preserve"> 2014; </w:t>
      </w:r>
      <w:r w:rsidRPr="007661F2">
        <w:rPr>
          <w:rFonts w:ascii="Book Antiqua" w:eastAsia="宋体" w:hAnsi="Book Antiqua" w:cs="宋体"/>
          <w:b/>
          <w:bCs/>
          <w:sz w:val="24"/>
          <w:szCs w:val="24"/>
        </w:rPr>
        <w:t>20</w:t>
      </w:r>
      <w:r w:rsidRPr="007661F2">
        <w:rPr>
          <w:rFonts w:ascii="Book Antiqua" w:eastAsia="宋体" w:hAnsi="Book Antiqua" w:cs="宋体"/>
          <w:sz w:val="24"/>
          <w:szCs w:val="24"/>
        </w:rPr>
        <w:t>: 11356-11362 [PMID: 25170222 DOI: 10.3748/wjg.v20.i32.11356]</w:t>
      </w:r>
    </w:p>
    <w:p w14:paraId="740872EC" w14:textId="4F9C90B2"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31 </w:t>
      </w:r>
      <w:r w:rsidRPr="007661F2">
        <w:rPr>
          <w:rFonts w:ascii="Book Antiqua" w:eastAsia="宋体" w:hAnsi="Book Antiqua" w:cs="宋体"/>
          <w:b/>
          <w:bCs/>
          <w:sz w:val="24"/>
          <w:szCs w:val="24"/>
        </w:rPr>
        <w:t>Jiménez-Pérez M</w:t>
      </w:r>
      <w:r w:rsidRPr="007661F2">
        <w:rPr>
          <w:rFonts w:ascii="Book Antiqua" w:eastAsia="宋体" w:hAnsi="Book Antiqua" w:cs="宋体"/>
          <w:sz w:val="24"/>
          <w:szCs w:val="24"/>
        </w:rPr>
        <w:t xml:space="preserve">, González Grande R, </w:t>
      </w:r>
      <w:proofErr w:type="spellStart"/>
      <w:r w:rsidRPr="007661F2">
        <w:rPr>
          <w:rFonts w:ascii="Book Antiqua" w:eastAsia="宋体" w:hAnsi="Book Antiqua" w:cs="宋体"/>
          <w:sz w:val="24"/>
          <w:szCs w:val="24"/>
        </w:rPr>
        <w:t>Rando</w:t>
      </w:r>
      <w:proofErr w:type="spellEnd"/>
      <w:r w:rsidRPr="007661F2">
        <w:rPr>
          <w:rFonts w:ascii="Book Antiqua" w:eastAsia="宋体" w:hAnsi="Book Antiqua" w:cs="宋体"/>
          <w:sz w:val="24"/>
          <w:szCs w:val="24"/>
        </w:rPr>
        <w:t xml:space="preserve"> Muñoz FJ, de la Cruz Lombardo J, Muñoz </w:t>
      </w:r>
      <w:proofErr w:type="spellStart"/>
      <w:r w:rsidRPr="007661F2">
        <w:rPr>
          <w:rFonts w:ascii="Book Antiqua" w:eastAsia="宋体" w:hAnsi="Book Antiqua" w:cs="宋体"/>
          <w:sz w:val="24"/>
          <w:szCs w:val="24"/>
        </w:rPr>
        <w:t>Suárez</w:t>
      </w:r>
      <w:proofErr w:type="spellEnd"/>
      <w:r w:rsidRPr="007661F2">
        <w:rPr>
          <w:rFonts w:ascii="Book Antiqua" w:eastAsia="宋体" w:hAnsi="Book Antiqua" w:cs="宋体"/>
          <w:sz w:val="24"/>
          <w:szCs w:val="24"/>
        </w:rPr>
        <w:t xml:space="preserve"> MA, </w:t>
      </w:r>
      <w:proofErr w:type="spellStart"/>
      <w:r w:rsidRPr="007661F2">
        <w:rPr>
          <w:rFonts w:ascii="Book Antiqua" w:eastAsia="宋体" w:hAnsi="Book Antiqua" w:cs="宋体"/>
          <w:sz w:val="24"/>
          <w:szCs w:val="24"/>
        </w:rPr>
        <w:t>Fernández</w:t>
      </w:r>
      <w:proofErr w:type="spellEnd"/>
      <w:r w:rsidRPr="007661F2">
        <w:rPr>
          <w:rFonts w:ascii="Book Antiqua" w:eastAsia="宋体" w:hAnsi="Book Antiqua" w:cs="宋体"/>
          <w:sz w:val="24"/>
          <w:szCs w:val="24"/>
        </w:rPr>
        <w:t xml:space="preserve"> Aguilar JL, Pérez </w:t>
      </w:r>
      <w:proofErr w:type="spellStart"/>
      <w:r w:rsidRPr="007661F2">
        <w:rPr>
          <w:rFonts w:ascii="Book Antiqua" w:eastAsia="宋体" w:hAnsi="Book Antiqua" w:cs="宋体"/>
          <w:sz w:val="24"/>
          <w:szCs w:val="24"/>
        </w:rPr>
        <w:t>Daga</w:t>
      </w:r>
      <w:proofErr w:type="spellEnd"/>
      <w:r w:rsidRPr="007661F2">
        <w:rPr>
          <w:rFonts w:ascii="Book Antiqua" w:eastAsia="宋体" w:hAnsi="Book Antiqua" w:cs="宋体"/>
          <w:sz w:val="24"/>
          <w:szCs w:val="24"/>
        </w:rPr>
        <w:t xml:space="preserve"> JA, </w:t>
      </w:r>
      <w:proofErr w:type="spellStart"/>
      <w:r w:rsidRPr="007661F2">
        <w:rPr>
          <w:rFonts w:ascii="Book Antiqua" w:eastAsia="宋体" w:hAnsi="Book Antiqua" w:cs="宋体"/>
          <w:sz w:val="24"/>
          <w:szCs w:val="24"/>
        </w:rPr>
        <w:t>Santoyo-Santoyo</w:t>
      </w:r>
      <w:proofErr w:type="spellEnd"/>
      <w:r w:rsidRPr="007661F2">
        <w:rPr>
          <w:rFonts w:ascii="Book Antiqua" w:eastAsia="宋体" w:hAnsi="Book Antiqua" w:cs="宋体"/>
          <w:sz w:val="24"/>
          <w:szCs w:val="24"/>
        </w:rPr>
        <w:t xml:space="preserve"> J, Manteca González R, Rodrigo </w:t>
      </w:r>
      <w:proofErr w:type="spellStart"/>
      <w:r w:rsidRPr="007661F2">
        <w:rPr>
          <w:rFonts w:ascii="Book Antiqua" w:eastAsia="宋体" w:hAnsi="Book Antiqua" w:cs="宋体"/>
          <w:sz w:val="24"/>
          <w:szCs w:val="24"/>
        </w:rPr>
        <w:t>López</w:t>
      </w:r>
      <w:proofErr w:type="spellEnd"/>
      <w:r w:rsidRPr="007661F2">
        <w:rPr>
          <w:rFonts w:ascii="Book Antiqua" w:eastAsia="宋体" w:hAnsi="Book Antiqua" w:cs="宋体"/>
          <w:sz w:val="24"/>
          <w:szCs w:val="24"/>
        </w:rPr>
        <w:t xml:space="preserve"> JM. </w:t>
      </w:r>
      <w:proofErr w:type="spellStart"/>
      <w:proofErr w:type="gram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plus </w:t>
      </w:r>
      <w:proofErr w:type="spellStart"/>
      <w:r w:rsidRPr="007661F2">
        <w:rPr>
          <w:rFonts w:ascii="Book Antiqua" w:eastAsia="宋体" w:hAnsi="Book Antiqua" w:cs="宋体"/>
          <w:sz w:val="24"/>
          <w:szCs w:val="24"/>
        </w:rPr>
        <w:t>mycophenolate</w:t>
      </w:r>
      <w:proofErr w:type="spellEnd"/>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mofetil</w:t>
      </w:r>
      <w:proofErr w:type="spellEnd"/>
      <w:r w:rsidRPr="007661F2">
        <w:rPr>
          <w:rFonts w:ascii="Book Antiqua" w:eastAsia="宋体" w:hAnsi="Book Antiqua" w:cs="宋体"/>
          <w:sz w:val="24"/>
          <w:szCs w:val="24"/>
        </w:rPr>
        <w:t xml:space="preserve"> as initial immunosuppression in liver transplantation.</w:t>
      </w:r>
      <w:proofErr w:type="gramEnd"/>
      <w:r w:rsidRPr="007661F2">
        <w:rPr>
          <w:rFonts w:ascii="Book Antiqua" w:eastAsia="宋体" w:hAnsi="Book Antiqua" w:cs="宋体"/>
          <w:sz w:val="24"/>
          <w:szCs w:val="24"/>
        </w:rPr>
        <w:t xml:space="preserve"> </w:t>
      </w:r>
      <w:r w:rsidRPr="007661F2">
        <w:rPr>
          <w:rFonts w:ascii="Book Antiqua" w:eastAsia="宋体" w:hAnsi="Book Antiqua" w:cs="宋体"/>
          <w:i/>
          <w:iCs/>
          <w:sz w:val="24"/>
          <w:szCs w:val="24"/>
        </w:rPr>
        <w:t xml:space="preserve">Transplant </w:t>
      </w:r>
      <w:proofErr w:type="spellStart"/>
      <w:r w:rsidRPr="007661F2">
        <w:rPr>
          <w:rFonts w:ascii="Book Antiqua" w:eastAsia="宋体" w:hAnsi="Book Antiqua" w:cs="宋体"/>
          <w:i/>
          <w:iCs/>
          <w:sz w:val="24"/>
          <w:szCs w:val="24"/>
        </w:rPr>
        <w:t>Proc</w:t>
      </w:r>
      <w:proofErr w:type="spellEnd"/>
      <w:r w:rsidRPr="007661F2">
        <w:rPr>
          <w:rFonts w:ascii="Book Antiqua" w:eastAsia="宋体" w:hAnsi="Book Antiqua" w:cs="宋体"/>
          <w:sz w:val="24"/>
          <w:szCs w:val="24"/>
        </w:rPr>
        <w:t xml:space="preserve"> </w:t>
      </w:r>
      <w:r w:rsidR="00C52F17">
        <w:rPr>
          <w:rFonts w:ascii="Book Antiqua" w:eastAsia="宋体" w:hAnsi="Book Antiqua" w:cs="宋体" w:hint="eastAsia"/>
          <w:sz w:val="24"/>
          <w:szCs w:val="24"/>
        </w:rPr>
        <w:t>2015</w:t>
      </w:r>
      <w:r w:rsidRPr="007661F2">
        <w:rPr>
          <w:rFonts w:ascii="Book Antiqua" w:eastAsia="宋体" w:hAnsi="Book Antiqua" w:cs="宋体"/>
          <w:sz w:val="24"/>
          <w:szCs w:val="24"/>
        </w:rPr>
        <w:t xml:space="preserve">; </w:t>
      </w:r>
      <w:r w:rsidRPr="007661F2">
        <w:rPr>
          <w:rFonts w:ascii="Book Antiqua" w:eastAsia="宋体" w:hAnsi="Book Antiqua" w:cs="宋体"/>
          <w:b/>
          <w:bCs/>
          <w:sz w:val="24"/>
          <w:szCs w:val="24"/>
        </w:rPr>
        <w:t>47</w:t>
      </w:r>
      <w:r w:rsidRPr="007661F2">
        <w:rPr>
          <w:rFonts w:ascii="Book Antiqua" w:eastAsia="宋体" w:hAnsi="Book Antiqua" w:cs="宋体"/>
          <w:sz w:val="24"/>
          <w:szCs w:val="24"/>
        </w:rPr>
        <w:t>: 90-92 [PMID: 25645779 DOI: 10.1016/j.transproceed.2014.11.005]</w:t>
      </w:r>
    </w:p>
    <w:p w14:paraId="032DB7C2"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32 </w:t>
      </w:r>
      <w:r w:rsidRPr="007661F2">
        <w:rPr>
          <w:rFonts w:ascii="Book Antiqua" w:eastAsia="宋体" w:hAnsi="Book Antiqua" w:cs="宋体"/>
          <w:b/>
          <w:bCs/>
          <w:sz w:val="24"/>
          <w:szCs w:val="24"/>
        </w:rPr>
        <w:t>Bilbao I</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Dopazo</w:t>
      </w:r>
      <w:proofErr w:type="spellEnd"/>
      <w:r w:rsidRPr="007661F2">
        <w:rPr>
          <w:rFonts w:ascii="Book Antiqua" w:eastAsia="宋体" w:hAnsi="Book Antiqua" w:cs="宋体"/>
          <w:sz w:val="24"/>
          <w:szCs w:val="24"/>
        </w:rPr>
        <w:t xml:space="preserve"> C, Castells L, </w:t>
      </w:r>
      <w:proofErr w:type="spellStart"/>
      <w:r w:rsidRPr="007661F2">
        <w:rPr>
          <w:rFonts w:ascii="Book Antiqua" w:eastAsia="宋体" w:hAnsi="Book Antiqua" w:cs="宋体"/>
          <w:sz w:val="24"/>
          <w:szCs w:val="24"/>
        </w:rPr>
        <w:t>Lazaro</w:t>
      </w:r>
      <w:proofErr w:type="spellEnd"/>
      <w:r w:rsidRPr="007661F2">
        <w:rPr>
          <w:rFonts w:ascii="Book Antiqua" w:eastAsia="宋体" w:hAnsi="Book Antiqua" w:cs="宋体"/>
          <w:sz w:val="24"/>
          <w:szCs w:val="24"/>
        </w:rPr>
        <w:t xml:space="preserve"> J, </w:t>
      </w:r>
      <w:proofErr w:type="spellStart"/>
      <w:r w:rsidRPr="007661F2">
        <w:rPr>
          <w:rFonts w:ascii="Book Antiqua" w:eastAsia="宋体" w:hAnsi="Book Antiqua" w:cs="宋体"/>
          <w:sz w:val="24"/>
          <w:szCs w:val="24"/>
        </w:rPr>
        <w:t>Caralt</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Sapisochin</w:t>
      </w:r>
      <w:proofErr w:type="spellEnd"/>
      <w:r w:rsidRPr="007661F2">
        <w:rPr>
          <w:rFonts w:ascii="Book Antiqua" w:eastAsia="宋体" w:hAnsi="Book Antiqua" w:cs="宋体"/>
          <w:sz w:val="24"/>
          <w:szCs w:val="24"/>
        </w:rPr>
        <w:t xml:space="preserve"> G, </w:t>
      </w:r>
      <w:proofErr w:type="spellStart"/>
      <w:r w:rsidRPr="007661F2">
        <w:rPr>
          <w:rFonts w:ascii="Book Antiqua" w:eastAsia="宋体" w:hAnsi="Book Antiqua" w:cs="宋体"/>
          <w:sz w:val="24"/>
          <w:szCs w:val="24"/>
        </w:rPr>
        <w:t>Charco</w:t>
      </w:r>
      <w:proofErr w:type="spellEnd"/>
      <w:r w:rsidRPr="007661F2">
        <w:rPr>
          <w:rFonts w:ascii="Book Antiqua" w:eastAsia="宋体" w:hAnsi="Book Antiqua" w:cs="宋体"/>
          <w:sz w:val="24"/>
          <w:szCs w:val="24"/>
        </w:rPr>
        <w:t xml:space="preserve"> R. Immunosuppression based on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in liver transplant recipients with severe early post-transplantation neurotoxicity. </w:t>
      </w:r>
      <w:r w:rsidRPr="007661F2">
        <w:rPr>
          <w:rFonts w:ascii="Book Antiqua" w:eastAsia="宋体" w:hAnsi="Book Antiqua" w:cs="宋体"/>
          <w:i/>
          <w:iCs/>
          <w:sz w:val="24"/>
          <w:szCs w:val="24"/>
        </w:rPr>
        <w:t xml:space="preserve">Transplant </w:t>
      </w:r>
      <w:proofErr w:type="spellStart"/>
      <w:r w:rsidRPr="007661F2">
        <w:rPr>
          <w:rFonts w:ascii="Book Antiqua" w:eastAsia="宋体" w:hAnsi="Book Antiqua" w:cs="宋体"/>
          <w:i/>
          <w:iCs/>
          <w:sz w:val="24"/>
          <w:szCs w:val="24"/>
        </w:rPr>
        <w:t>Proc</w:t>
      </w:r>
      <w:proofErr w:type="spellEnd"/>
      <w:r w:rsidRPr="007661F2">
        <w:rPr>
          <w:rFonts w:ascii="Book Antiqua" w:eastAsia="宋体" w:hAnsi="Book Antiqua" w:cs="宋体"/>
          <w:sz w:val="24"/>
          <w:szCs w:val="24"/>
        </w:rPr>
        <w:t xml:space="preserve"> 2014; </w:t>
      </w:r>
      <w:r w:rsidRPr="007661F2">
        <w:rPr>
          <w:rFonts w:ascii="Book Antiqua" w:eastAsia="宋体" w:hAnsi="Book Antiqua" w:cs="宋体"/>
          <w:b/>
          <w:bCs/>
          <w:sz w:val="24"/>
          <w:szCs w:val="24"/>
        </w:rPr>
        <w:t>46</w:t>
      </w:r>
      <w:r w:rsidRPr="007661F2">
        <w:rPr>
          <w:rFonts w:ascii="Book Antiqua" w:eastAsia="宋体" w:hAnsi="Book Antiqua" w:cs="宋体"/>
          <w:sz w:val="24"/>
          <w:szCs w:val="24"/>
        </w:rPr>
        <w:t>: 3104-3107 [PMID: 25420835 DOI: 10.1016/j.transproceed.2014.10.001]</w:t>
      </w:r>
    </w:p>
    <w:p w14:paraId="0BEF2FDF" w14:textId="03C91370" w:rsidR="007661F2" w:rsidRPr="007661F2" w:rsidRDefault="00D517FC" w:rsidP="007661F2">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33 </w:t>
      </w:r>
      <w:proofErr w:type="spellStart"/>
      <w:r w:rsidR="007661F2" w:rsidRPr="007661F2">
        <w:rPr>
          <w:rFonts w:ascii="Book Antiqua" w:eastAsia="宋体" w:hAnsi="Book Antiqua" w:cs="宋体"/>
          <w:sz w:val="24"/>
          <w:szCs w:val="24"/>
        </w:rPr>
        <w:t>Afinitor</w:t>
      </w:r>
      <w:proofErr w:type="spellEnd"/>
      <w:r w:rsidR="007661F2" w:rsidRPr="007661F2">
        <w:rPr>
          <w:rFonts w:ascii="Book Antiqua" w:eastAsia="宋体" w:hAnsi="Book Antiqua" w:cs="宋体"/>
          <w:sz w:val="24"/>
          <w:szCs w:val="24"/>
        </w:rPr>
        <w:t xml:space="preserve"> (</w:t>
      </w:r>
      <w:proofErr w:type="spellStart"/>
      <w:r w:rsidR="007661F2" w:rsidRPr="007661F2">
        <w:rPr>
          <w:rFonts w:ascii="Book Antiqua" w:eastAsia="宋体" w:hAnsi="Book Antiqua" w:cs="宋体"/>
          <w:sz w:val="24"/>
          <w:szCs w:val="24"/>
        </w:rPr>
        <w:t>Everolimus</w:t>
      </w:r>
      <w:proofErr w:type="spellEnd"/>
      <w:r w:rsidR="007661F2" w:rsidRPr="007661F2">
        <w:rPr>
          <w:rFonts w:ascii="Book Antiqua" w:eastAsia="宋体" w:hAnsi="Book Antiqua" w:cs="宋体"/>
          <w:sz w:val="24"/>
          <w:szCs w:val="24"/>
        </w:rPr>
        <w:t>) prescribing information.</w:t>
      </w:r>
      <w:proofErr w:type="gramEnd"/>
      <w:r w:rsidR="007661F2" w:rsidRPr="007661F2">
        <w:rPr>
          <w:rFonts w:ascii="Book Antiqua" w:eastAsia="宋体" w:hAnsi="Book Antiqua" w:cs="宋体"/>
          <w:sz w:val="24"/>
          <w:szCs w:val="24"/>
        </w:rPr>
        <w:t xml:space="preserve"> Novartis, Jul 2015</w:t>
      </w:r>
    </w:p>
    <w:p w14:paraId="720C3FCC"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34 </w:t>
      </w:r>
      <w:proofErr w:type="spellStart"/>
      <w:r w:rsidRPr="007661F2">
        <w:rPr>
          <w:rFonts w:ascii="Book Antiqua" w:eastAsia="宋体" w:hAnsi="Book Antiqua" w:cs="宋体"/>
          <w:b/>
          <w:bCs/>
          <w:sz w:val="24"/>
          <w:szCs w:val="24"/>
        </w:rPr>
        <w:t>Clavien</w:t>
      </w:r>
      <w:proofErr w:type="spellEnd"/>
      <w:r w:rsidRPr="007661F2">
        <w:rPr>
          <w:rFonts w:ascii="Book Antiqua" w:eastAsia="宋体" w:hAnsi="Book Antiqua" w:cs="宋体"/>
          <w:b/>
          <w:bCs/>
          <w:sz w:val="24"/>
          <w:szCs w:val="24"/>
        </w:rPr>
        <w:t xml:space="preserve"> PA</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Lesurtel</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Bossuyt</w:t>
      </w:r>
      <w:proofErr w:type="spellEnd"/>
      <w:r w:rsidRPr="007661F2">
        <w:rPr>
          <w:rFonts w:ascii="Book Antiqua" w:eastAsia="宋体" w:hAnsi="Book Antiqua" w:cs="宋体"/>
          <w:sz w:val="24"/>
          <w:szCs w:val="24"/>
        </w:rPr>
        <w:t xml:space="preserve"> PM, Gores GJ, Langer B, Perrier A. Recommendations for liver transplantation for hepatocellular carcinoma: an international consensus conference report. </w:t>
      </w:r>
      <w:r w:rsidRPr="007661F2">
        <w:rPr>
          <w:rFonts w:ascii="Book Antiqua" w:eastAsia="宋体" w:hAnsi="Book Antiqua" w:cs="宋体"/>
          <w:i/>
          <w:iCs/>
          <w:sz w:val="24"/>
          <w:szCs w:val="24"/>
        </w:rPr>
        <w:t xml:space="preserve">Lancet </w:t>
      </w:r>
      <w:proofErr w:type="spellStart"/>
      <w:r w:rsidRPr="007661F2">
        <w:rPr>
          <w:rFonts w:ascii="Book Antiqua" w:eastAsia="宋体" w:hAnsi="Book Antiqua" w:cs="宋体"/>
          <w:i/>
          <w:iCs/>
          <w:sz w:val="24"/>
          <w:szCs w:val="24"/>
        </w:rPr>
        <w:t>Oncol</w:t>
      </w:r>
      <w:proofErr w:type="spellEnd"/>
      <w:r w:rsidRPr="007661F2">
        <w:rPr>
          <w:rFonts w:ascii="Book Antiqua" w:eastAsia="宋体" w:hAnsi="Book Antiqua" w:cs="宋体"/>
          <w:sz w:val="24"/>
          <w:szCs w:val="24"/>
        </w:rPr>
        <w:t xml:space="preserve"> 2012; </w:t>
      </w:r>
      <w:r w:rsidRPr="007661F2">
        <w:rPr>
          <w:rFonts w:ascii="Book Antiqua" w:eastAsia="宋体" w:hAnsi="Book Antiqua" w:cs="宋体"/>
          <w:b/>
          <w:bCs/>
          <w:sz w:val="24"/>
          <w:szCs w:val="24"/>
        </w:rPr>
        <w:t>13</w:t>
      </w:r>
      <w:r w:rsidRPr="007661F2">
        <w:rPr>
          <w:rFonts w:ascii="Book Antiqua" w:eastAsia="宋体" w:hAnsi="Book Antiqua" w:cs="宋体"/>
          <w:sz w:val="24"/>
          <w:szCs w:val="24"/>
        </w:rPr>
        <w:t>: e11-e22 [PMID: 22047762 DOI: 10.1016/S1470-2045(11)70175-9]</w:t>
      </w:r>
    </w:p>
    <w:p w14:paraId="5AF87860" w14:textId="2977BC58" w:rsidR="007661F2" w:rsidRPr="007661F2" w:rsidRDefault="00D517FC" w:rsidP="007661F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35</w:t>
      </w:r>
      <w:r w:rsidRPr="00D517FC">
        <w:rPr>
          <w:rFonts w:ascii="Book Antiqua" w:eastAsia="宋体" w:hAnsi="Book Antiqua" w:cs="宋体"/>
          <w:b/>
          <w:sz w:val="24"/>
          <w:szCs w:val="24"/>
        </w:rPr>
        <w:t xml:space="preserve"> </w:t>
      </w:r>
      <w:proofErr w:type="spellStart"/>
      <w:r w:rsidR="007661F2" w:rsidRPr="007661F2">
        <w:rPr>
          <w:rFonts w:ascii="Book Antiqua" w:eastAsia="宋体" w:hAnsi="Book Antiqua" w:cs="宋体"/>
          <w:b/>
          <w:sz w:val="24"/>
          <w:szCs w:val="24"/>
        </w:rPr>
        <w:t>Dugum</w:t>
      </w:r>
      <w:proofErr w:type="spellEnd"/>
      <w:r w:rsidR="007661F2" w:rsidRPr="007661F2">
        <w:rPr>
          <w:rFonts w:ascii="Book Antiqua" w:eastAsia="宋体" w:hAnsi="Book Antiqua" w:cs="宋体"/>
          <w:b/>
          <w:sz w:val="24"/>
          <w:szCs w:val="24"/>
        </w:rPr>
        <w:t xml:space="preserve"> MF</w:t>
      </w:r>
      <w:r w:rsidR="007661F2" w:rsidRPr="007661F2">
        <w:rPr>
          <w:rFonts w:ascii="Book Antiqua" w:eastAsia="宋体" w:hAnsi="Book Antiqua" w:cs="宋体"/>
          <w:sz w:val="24"/>
          <w:szCs w:val="24"/>
        </w:rPr>
        <w:t xml:space="preserve">, </w:t>
      </w:r>
      <w:proofErr w:type="spellStart"/>
      <w:r w:rsidR="007661F2" w:rsidRPr="007661F2">
        <w:rPr>
          <w:rFonts w:ascii="Book Antiqua" w:eastAsia="宋体" w:hAnsi="Book Antiqua" w:cs="宋体"/>
          <w:sz w:val="24"/>
          <w:szCs w:val="24"/>
        </w:rPr>
        <w:t>Zein</w:t>
      </w:r>
      <w:proofErr w:type="spellEnd"/>
      <w:r w:rsidR="007661F2" w:rsidRPr="007661F2">
        <w:rPr>
          <w:rFonts w:ascii="Book Antiqua" w:eastAsia="宋体" w:hAnsi="Book Antiqua" w:cs="宋体"/>
          <w:sz w:val="24"/>
          <w:szCs w:val="24"/>
        </w:rPr>
        <w:t xml:space="preserve"> NN. </w:t>
      </w:r>
      <w:proofErr w:type="gramStart"/>
      <w:r w:rsidR="007661F2" w:rsidRPr="007661F2">
        <w:rPr>
          <w:rFonts w:ascii="Book Antiqua" w:eastAsia="宋体" w:hAnsi="Book Antiqua" w:cs="宋体"/>
          <w:sz w:val="24"/>
          <w:szCs w:val="24"/>
        </w:rPr>
        <w:t>Liver Transplantation for Hepatocellular Carcinoma.</w:t>
      </w:r>
      <w:proofErr w:type="gramEnd"/>
      <w:r w:rsidR="007661F2" w:rsidRPr="007661F2">
        <w:rPr>
          <w:rFonts w:ascii="Book Antiqua" w:eastAsia="宋体" w:hAnsi="Book Antiqua" w:cs="宋体"/>
          <w:sz w:val="24"/>
          <w:szCs w:val="24"/>
        </w:rPr>
        <w:t xml:space="preserve"> </w:t>
      </w:r>
      <w:r w:rsidR="007661F2" w:rsidRPr="007661F2">
        <w:rPr>
          <w:rFonts w:ascii="Book Antiqua" w:eastAsia="宋体" w:hAnsi="Book Antiqua" w:cs="宋体"/>
          <w:i/>
          <w:sz w:val="24"/>
          <w:szCs w:val="24"/>
        </w:rPr>
        <w:t>Clinical Liver Disease</w:t>
      </w:r>
      <w:r w:rsidR="007661F2" w:rsidRPr="007661F2">
        <w:rPr>
          <w:rFonts w:ascii="Book Antiqua" w:eastAsia="宋体" w:hAnsi="Book Antiqua" w:cs="宋体"/>
          <w:sz w:val="24"/>
          <w:szCs w:val="24"/>
        </w:rPr>
        <w:t xml:space="preserve"> 2016;</w:t>
      </w:r>
      <w:r w:rsidR="007661F2" w:rsidRPr="007661F2">
        <w:rPr>
          <w:rFonts w:ascii="Book Antiqua" w:eastAsia="宋体" w:hAnsi="Book Antiqua" w:cs="宋体"/>
          <w:b/>
          <w:sz w:val="24"/>
          <w:szCs w:val="24"/>
        </w:rPr>
        <w:t xml:space="preserve"> 7</w:t>
      </w:r>
      <w:r w:rsidR="007661F2" w:rsidRPr="007661F2">
        <w:rPr>
          <w:rFonts w:ascii="Book Antiqua" w:eastAsia="宋体" w:hAnsi="Book Antiqua" w:cs="宋体"/>
          <w:sz w:val="24"/>
          <w:szCs w:val="24"/>
        </w:rPr>
        <w:t>: 36-39 [DOI: 10.1002/cld.531]</w:t>
      </w:r>
    </w:p>
    <w:p w14:paraId="092ECE6C" w14:textId="2A01DAF8" w:rsidR="007661F2" w:rsidRPr="007661F2" w:rsidRDefault="00D517FC" w:rsidP="007661F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 xml:space="preserve">36 </w:t>
      </w:r>
      <w:proofErr w:type="spellStart"/>
      <w:r w:rsidR="007661F2" w:rsidRPr="007661F2">
        <w:rPr>
          <w:rFonts w:ascii="Book Antiqua" w:eastAsia="宋体" w:hAnsi="Book Antiqua" w:cs="宋体"/>
          <w:b/>
          <w:sz w:val="24"/>
          <w:szCs w:val="24"/>
        </w:rPr>
        <w:t>Cholongitas</w:t>
      </w:r>
      <w:proofErr w:type="spellEnd"/>
      <w:r w:rsidR="007661F2" w:rsidRPr="007661F2">
        <w:rPr>
          <w:rFonts w:ascii="Book Antiqua" w:eastAsia="宋体" w:hAnsi="Book Antiqua" w:cs="宋体"/>
          <w:b/>
          <w:sz w:val="24"/>
          <w:szCs w:val="24"/>
        </w:rPr>
        <w:t xml:space="preserve"> E</w:t>
      </w:r>
      <w:r w:rsidR="007661F2" w:rsidRPr="007661F2">
        <w:rPr>
          <w:rFonts w:ascii="Book Antiqua" w:eastAsia="宋体" w:hAnsi="Book Antiqua" w:cs="宋体"/>
          <w:sz w:val="24"/>
          <w:szCs w:val="24"/>
        </w:rPr>
        <w:t xml:space="preserve">, </w:t>
      </w:r>
      <w:proofErr w:type="spellStart"/>
      <w:r w:rsidR="007661F2" w:rsidRPr="007661F2">
        <w:rPr>
          <w:rFonts w:ascii="Book Antiqua" w:eastAsia="宋体" w:hAnsi="Book Antiqua" w:cs="宋体"/>
          <w:sz w:val="24"/>
          <w:szCs w:val="24"/>
        </w:rPr>
        <w:t>Goulis</w:t>
      </w:r>
      <w:proofErr w:type="spellEnd"/>
      <w:r w:rsidR="007661F2" w:rsidRPr="007661F2">
        <w:rPr>
          <w:rFonts w:ascii="Book Antiqua" w:eastAsia="宋体" w:hAnsi="Book Antiqua" w:cs="宋体"/>
          <w:sz w:val="24"/>
          <w:szCs w:val="24"/>
        </w:rPr>
        <w:t xml:space="preserve"> I, </w:t>
      </w:r>
      <w:proofErr w:type="spellStart"/>
      <w:r w:rsidR="007661F2" w:rsidRPr="007661F2">
        <w:rPr>
          <w:rFonts w:ascii="Book Antiqua" w:eastAsia="宋体" w:hAnsi="Book Antiqua" w:cs="宋体"/>
          <w:sz w:val="24"/>
          <w:szCs w:val="24"/>
        </w:rPr>
        <w:t>Theocaridou</w:t>
      </w:r>
      <w:proofErr w:type="spellEnd"/>
      <w:r w:rsidR="007661F2" w:rsidRPr="007661F2">
        <w:rPr>
          <w:rFonts w:ascii="Book Antiqua" w:eastAsia="宋体" w:hAnsi="Book Antiqua" w:cs="宋体"/>
          <w:sz w:val="24"/>
          <w:szCs w:val="24"/>
        </w:rPr>
        <w:t xml:space="preserve"> E, et al. </w:t>
      </w:r>
      <w:proofErr w:type="spellStart"/>
      <w:r w:rsidR="007661F2" w:rsidRPr="007661F2">
        <w:rPr>
          <w:rFonts w:ascii="Book Antiqua" w:eastAsia="宋体" w:hAnsi="Book Antiqua" w:cs="宋体"/>
          <w:sz w:val="24"/>
          <w:szCs w:val="24"/>
        </w:rPr>
        <w:t>Everolimus</w:t>
      </w:r>
      <w:proofErr w:type="spellEnd"/>
      <w:r w:rsidR="007661F2" w:rsidRPr="007661F2">
        <w:rPr>
          <w:rFonts w:ascii="Book Antiqua" w:eastAsia="宋体" w:hAnsi="Book Antiqua" w:cs="宋体"/>
          <w:sz w:val="24"/>
          <w:szCs w:val="24"/>
        </w:rPr>
        <w:t>-based immunosuppression in liver transplant recipients: A single-center experience.</w:t>
      </w:r>
      <w:r w:rsidR="007661F2" w:rsidRPr="007661F2">
        <w:rPr>
          <w:rFonts w:ascii="Book Antiqua" w:eastAsia="宋体" w:hAnsi="Book Antiqua" w:cs="宋体"/>
          <w:i/>
          <w:sz w:val="24"/>
          <w:szCs w:val="24"/>
        </w:rPr>
        <w:t xml:space="preserve"> </w:t>
      </w:r>
      <w:proofErr w:type="spellStart"/>
      <w:r w:rsidR="007661F2" w:rsidRPr="007661F2">
        <w:rPr>
          <w:rFonts w:ascii="Book Antiqua" w:eastAsia="宋体" w:hAnsi="Book Antiqua" w:cs="宋体"/>
          <w:i/>
          <w:sz w:val="24"/>
          <w:szCs w:val="24"/>
        </w:rPr>
        <w:t>Hepatol</w:t>
      </w:r>
      <w:proofErr w:type="spellEnd"/>
      <w:r w:rsidR="007661F2" w:rsidRPr="007661F2">
        <w:rPr>
          <w:rFonts w:ascii="Book Antiqua" w:eastAsia="宋体" w:hAnsi="Book Antiqua" w:cs="宋体"/>
          <w:i/>
          <w:sz w:val="24"/>
          <w:szCs w:val="24"/>
        </w:rPr>
        <w:t xml:space="preserve"> </w:t>
      </w:r>
      <w:proofErr w:type="spellStart"/>
      <w:r w:rsidR="007661F2" w:rsidRPr="007661F2">
        <w:rPr>
          <w:rFonts w:ascii="Book Antiqua" w:eastAsia="宋体" w:hAnsi="Book Antiqua" w:cs="宋体"/>
          <w:i/>
          <w:sz w:val="24"/>
          <w:szCs w:val="24"/>
        </w:rPr>
        <w:t>Int</w:t>
      </w:r>
      <w:proofErr w:type="spellEnd"/>
      <w:r w:rsidR="007661F2" w:rsidRPr="007661F2">
        <w:rPr>
          <w:rFonts w:ascii="Book Antiqua" w:eastAsia="宋体" w:hAnsi="Book Antiqua" w:cs="宋体"/>
          <w:sz w:val="24"/>
          <w:szCs w:val="24"/>
        </w:rPr>
        <w:t xml:space="preserve"> 2014; </w:t>
      </w:r>
      <w:r w:rsidR="007661F2" w:rsidRPr="007661F2">
        <w:rPr>
          <w:rFonts w:ascii="Book Antiqua" w:eastAsia="宋体" w:hAnsi="Book Antiqua" w:cs="宋体"/>
          <w:b/>
          <w:sz w:val="24"/>
          <w:szCs w:val="24"/>
        </w:rPr>
        <w:t>8</w:t>
      </w:r>
      <w:r w:rsidR="007661F2" w:rsidRPr="007661F2">
        <w:rPr>
          <w:rFonts w:ascii="Book Antiqua" w:eastAsia="宋体" w:hAnsi="Book Antiqua" w:cs="宋体"/>
          <w:sz w:val="24"/>
          <w:szCs w:val="24"/>
        </w:rPr>
        <w:t>: 137-145 [DOI: 10.1007/s12072-013-9492-6]</w:t>
      </w:r>
    </w:p>
    <w:p w14:paraId="63B1CD04" w14:textId="538AEC84"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37 </w:t>
      </w:r>
      <w:proofErr w:type="spellStart"/>
      <w:r w:rsidRPr="007661F2">
        <w:rPr>
          <w:rFonts w:ascii="Book Antiqua" w:eastAsia="宋体" w:hAnsi="Book Antiqua" w:cs="宋体"/>
          <w:b/>
          <w:bCs/>
          <w:sz w:val="24"/>
          <w:szCs w:val="24"/>
        </w:rPr>
        <w:t>Cholongitas</w:t>
      </w:r>
      <w:proofErr w:type="spellEnd"/>
      <w:r w:rsidRPr="007661F2">
        <w:rPr>
          <w:rFonts w:ascii="Book Antiqua" w:eastAsia="宋体" w:hAnsi="Book Antiqua" w:cs="宋体"/>
          <w:b/>
          <w:bCs/>
          <w:sz w:val="24"/>
          <w:szCs w:val="24"/>
        </w:rPr>
        <w:t xml:space="preserve"> E</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Mamou</w:t>
      </w:r>
      <w:proofErr w:type="spellEnd"/>
      <w:r w:rsidRPr="007661F2">
        <w:rPr>
          <w:rFonts w:ascii="Book Antiqua" w:eastAsia="宋体" w:hAnsi="Book Antiqua" w:cs="宋体"/>
          <w:sz w:val="24"/>
          <w:szCs w:val="24"/>
        </w:rPr>
        <w:t xml:space="preserve"> C, Rodríguez-Castro KI, </w:t>
      </w:r>
      <w:proofErr w:type="spellStart"/>
      <w:r w:rsidRPr="007661F2">
        <w:rPr>
          <w:rFonts w:ascii="Book Antiqua" w:eastAsia="宋体" w:hAnsi="Book Antiqua" w:cs="宋体"/>
          <w:sz w:val="24"/>
          <w:szCs w:val="24"/>
        </w:rPr>
        <w:t>Burra</w:t>
      </w:r>
      <w:proofErr w:type="spellEnd"/>
      <w:r w:rsidRPr="007661F2">
        <w:rPr>
          <w:rFonts w:ascii="Book Antiqua" w:eastAsia="宋体" w:hAnsi="Book Antiqua" w:cs="宋体"/>
          <w:sz w:val="24"/>
          <w:szCs w:val="24"/>
        </w:rPr>
        <w:t xml:space="preserve"> P. Mammalian target of </w:t>
      </w:r>
      <w:proofErr w:type="spellStart"/>
      <w:r w:rsidRPr="007661F2">
        <w:rPr>
          <w:rFonts w:ascii="Book Antiqua" w:eastAsia="宋体" w:hAnsi="Book Antiqua" w:cs="宋体"/>
          <w:sz w:val="24"/>
          <w:szCs w:val="24"/>
        </w:rPr>
        <w:t>rapamycin</w:t>
      </w:r>
      <w:proofErr w:type="spellEnd"/>
      <w:r w:rsidRPr="007661F2">
        <w:rPr>
          <w:rFonts w:ascii="Book Antiqua" w:eastAsia="宋体" w:hAnsi="Book Antiqua" w:cs="宋体"/>
          <w:sz w:val="24"/>
          <w:szCs w:val="24"/>
        </w:rPr>
        <w:t xml:space="preserve"> inhibitors are associated with lower rates of hepatocellular carcinoma recurrence after liver transplantation: a systematic review.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i/>
          <w:iCs/>
          <w:sz w:val="24"/>
          <w:szCs w:val="24"/>
        </w:rPr>
        <w:t xml:space="preserve"> </w:t>
      </w:r>
      <w:proofErr w:type="spellStart"/>
      <w:r w:rsidRPr="007661F2">
        <w:rPr>
          <w:rFonts w:ascii="Book Antiqua" w:eastAsia="宋体" w:hAnsi="Book Antiqua" w:cs="宋体"/>
          <w:i/>
          <w:iCs/>
          <w:sz w:val="24"/>
          <w:szCs w:val="24"/>
        </w:rPr>
        <w:t>Int</w:t>
      </w:r>
      <w:proofErr w:type="spellEnd"/>
      <w:r w:rsidRPr="007661F2">
        <w:rPr>
          <w:rFonts w:ascii="Book Antiqua" w:eastAsia="宋体" w:hAnsi="Book Antiqua" w:cs="宋体"/>
          <w:sz w:val="24"/>
          <w:szCs w:val="24"/>
        </w:rPr>
        <w:t xml:space="preserve"> 2014; </w:t>
      </w:r>
      <w:r w:rsidRPr="007661F2">
        <w:rPr>
          <w:rFonts w:ascii="Book Antiqua" w:eastAsia="宋体" w:hAnsi="Book Antiqua" w:cs="宋体"/>
          <w:b/>
          <w:bCs/>
          <w:sz w:val="24"/>
          <w:szCs w:val="24"/>
        </w:rPr>
        <w:t>27</w:t>
      </w:r>
      <w:r w:rsidRPr="007661F2">
        <w:rPr>
          <w:rFonts w:ascii="Book Antiqua" w:eastAsia="宋体" w:hAnsi="Book Antiqua" w:cs="宋体"/>
          <w:sz w:val="24"/>
          <w:szCs w:val="24"/>
        </w:rPr>
        <w:t xml:space="preserve">: 1039-1049 [PMID: </w:t>
      </w:r>
      <w:r w:rsidR="00032DBF">
        <w:rPr>
          <w:rFonts w:ascii="Book Antiqua" w:eastAsia="宋体" w:hAnsi="Book Antiqua" w:cs="宋体"/>
          <w:sz w:val="24"/>
          <w:szCs w:val="24"/>
        </w:rPr>
        <w:t>24943720 DOI: 10.1111/tri.12372</w:t>
      </w:r>
      <w:r w:rsidRPr="007661F2">
        <w:rPr>
          <w:rFonts w:ascii="Book Antiqua" w:eastAsia="宋体" w:hAnsi="Book Antiqua" w:cs="宋体"/>
          <w:sz w:val="24"/>
          <w:szCs w:val="24"/>
        </w:rPr>
        <w:t>]</w:t>
      </w:r>
    </w:p>
    <w:p w14:paraId="3712ECBE"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38 </w:t>
      </w:r>
      <w:proofErr w:type="spellStart"/>
      <w:r w:rsidRPr="007661F2">
        <w:rPr>
          <w:rFonts w:ascii="Book Antiqua" w:eastAsia="宋体" w:hAnsi="Book Antiqua" w:cs="宋体"/>
          <w:b/>
          <w:bCs/>
          <w:sz w:val="24"/>
          <w:szCs w:val="24"/>
        </w:rPr>
        <w:t>Villamil</w:t>
      </w:r>
      <w:proofErr w:type="spellEnd"/>
      <w:r w:rsidRPr="007661F2">
        <w:rPr>
          <w:rFonts w:ascii="Book Antiqua" w:eastAsia="宋体" w:hAnsi="Book Antiqua" w:cs="宋体"/>
          <w:b/>
          <w:bCs/>
          <w:sz w:val="24"/>
          <w:szCs w:val="24"/>
        </w:rPr>
        <w:t xml:space="preserve"> FG</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Gadano</w:t>
      </w:r>
      <w:proofErr w:type="spellEnd"/>
      <w:r w:rsidRPr="007661F2">
        <w:rPr>
          <w:rFonts w:ascii="Book Antiqua" w:eastAsia="宋体" w:hAnsi="Book Antiqua" w:cs="宋体"/>
          <w:sz w:val="24"/>
          <w:szCs w:val="24"/>
        </w:rPr>
        <w:t xml:space="preserve"> AC, </w:t>
      </w:r>
      <w:proofErr w:type="spellStart"/>
      <w:r w:rsidRPr="007661F2">
        <w:rPr>
          <w:rFonts w:ascii="Book Antiqua" w:eastAsia="宋体" w:hAnsi="Book Antiqua" w:cs="宋体"/>
          <w:sz w:val="24"/>
          <w:szCs w:val="24"/>
        </w:rPr>
        <w:t>Zingale</w:t>
      </w:r>
      <w:proofErr w:type="spellEnd"/>
      <w:r w:rsidRPr="007661F2">
        <w:rPr>
          <w:rFonts w:ascii="Book Antiqua" w:eastAsia="宋体" w:hAnsi="Book Antiqua" w:cs="宋体"/>
          <w:sz w:val="24"/>
          <w:szCs w:val="24"/>
        </w:rPr>
        <w:t xml:space="preserve"> F, Perez R, Gil O, </w:t>
      </w:r>
      <w:proofErr w:type="spellStart"/>
      <w:r w:rsidRPr="007661F2">
        <w:rPr>
          <w:rFonts w:ascii="Book Antiqua" w:eastAsia="宋体" w:hAnsi="Book Antiqua" w:cs="宋体"/>
          <w:sz w:val="24"/>
          <w:szCs w:val="24"/>
        </w:rPr>
        <w:t>Yantorno</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Mastai</w:t>
      </w:r>
      <w:proofErr w:type="spellEnd"/>
      <w:r w:rsidRPr="007661F2">
        <w:rPr>
          <w:rFonts w:ascii="Book Antiqua" w:eastAsia="宋体" w:hAnsi="Book Antiqua" w:cs="宋体"/>
          <w:sz w:val="24"/>
          <w:szCs w:val="24"/>
        </w:rPr>
        <w:t xml:space="preserve"> R, Cairo FO, Otero AB, Dong G, Lopez P. Fibrosis progression in maintenance liver transplant patients with hepatitis C recurrence: a </w:t>
      </w:r>
      <w:proofErr w:type="spellStart"/>
      <w:r w:rsidRPr="007661F2">
        <w:rPr>
          <w:rFonts w:ascii="Book Antiqua" w:eastAsia="宋体" w:hAnsi="Book Antiqua" w:cs="宋体"/>
          <w:sz w:val="24"/>
          <w:szCs w:val="24"/>
        </w:rPr>
        <w:t>randomised</w:t>
      </w:r>
      <w:proofErr w:type="spellEnd"/>
      <w:r w:rsidRPr="007661F2">
        <w:rPr>
          <w:rFonts w:ascii="Book Antiqua" w:eastAsia="宋体" w:hAnsi="Book Antiqua" w:cs="宋体"/>
          <w:sz w:val="24"/>
          <w:szCs w:val="24"/>
        </w:rPr>
        <w:t xml:space="preserve"> study of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vs. </w:t>
      </w:r>
      <w:proofErr w:type="spellStart"/>
      <w:r w:rsidRPr="007661F2">
        <w:rPr>
          <w:rFonts w:ascii="Book Antiqua" w:eastAsia="宋体" w:hAnsi="Book Antiqua" w:cs="宋体"/>
          <w:sz w:val="24"/>
          <w:szCs w:val="24"/>
        </w:rPr>
        <w:t>calcineurin</w:t>
      </w:r>
      <w:proofErr w:type="spellEnd"/>
      <w:r w:rsidRPr="007661F2">
        <w:rPr>
          <w:rFonts w:ascii="Book Antiqua" w:eastAsia="宋体" w:hAnsi="Book Antiqua" w:cs="宋体"/>
          <w:sz w:val="24"/>
          <w:szCs w:val="24"/>
        </w:rPr>
        <w:t xml:space="preserve"> inhibitors. </w:t>
      </w:r>
      <w:r w:rsidRPr="007661F2">
        <w:rPr>
          <w:rFonts w:ascii="Book Antiqua" w:eastAsia="宋体" w:hAnsi="Book Antiqua" w:cs="宋体"/>
          <w:i/>
          <w:iCs/>
          <w:sz w:val="24"/>
          <w:szCs w:val="24"/>
        </w:rPr>
        <w:t xml:space="preserve">Liver </w:t>
      </w:r>
      <w:proofErr w:type="spellStart"/>
      <w:r w:rsidRPr="007661F2">
        <w:rPr>
          <w:rFonts w:ascii="Book Antiqua" w:eastAsia="宋体" w:hAnsi="Book Antiqua" w:cs="宋体"/>
          <w:i/>
          <w:iCs/>
          <w:sz w:val="24"/>
          <w:szCs w:val="24"/>
        </w:rPr>
        <w:t>Int</w:t>
      </w:r>
      <w:proofErr w:type="spellEnd"/>
      <w:r w:rsidRPr="007661F2">
        <w:rPr>
          <w:rFonts w:ascii="Book Antiqua" w:eastAsia="宋体" w:hAnsi="Book Antiqua" w:cs="宋体"/>
          <w:sz w:val="24"/>
          <w:szCs w:val="24"/>
        </w:rPr>
        <w:t xml:space="preserve"> 2014; </w:t>
      </w:r>
      <w:r w:rsidRPr="007661F2">
        <w:rPr>
          <w:rFonts w:ascii="Book Antiqua" w:eastAsia="宋体" w:hAnsi="Book Antiqua" w:cs="宋体"/>
          <w:b/>
          <w:bCs/>
          <w:sz w:val="24"/>
          <w:szCs w:val="24"/>
        </w:rPr>
        <w:t>34</w:t>
      </w:r>
      <w:r w:rsidRPr="007661F2">
        <w:rPr>
          <w:rFonts w:ascii="Book Antiqua" w:eastAsia="宋体" w:hAnsi="Book Antiqua" w:cs="宋体"/>
          <w:sz w:val="24"/>
          <w:szCs w:val="24"/>
        </w:rPr>
        <w:t>: 1513-1521 [PMID: 25453134]</w:t>
      </w:r>
    </w:p>
    <w:p w14:paraId="6C110A24" w14:textId="21BF7729"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39 </w:t>
      </w:r>
      <w:proofErr w:type="spellStart"/>
      <w:r w:rsidRPr="007661F2">
        <w:rPr>
          <w:rFonts w:ascii="Book Antiqua" w:eastAsia="宋体" w:hAnsi="Book Antiqua" w:cs="宋体"/>
          <w:b/>
          <w:bCs/>
          <w:sz w:val="24"/>
          <w:szCs w:val="24"/>
        </w:rPr>
        <w:t>Vallin</w:t>
      </w:r>
      <w:proofErr w:type="spellEnd"/>
      <w:r w:rsidRPr="007661F2">
        <w:rPr>
          <w:rFonts w:ascii="Book Antiqua" w:eastAsia="宋体" w:hAnsi="Book Antiqua" w:cs="宋体"/>
          <w:b/>
          <w:bCs/>
          <w:sz w:val="24"/>
          <w:szCs w:val="24"/>
        </w:rPr>
        <w:t xml:space="preserve"> M</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Guillaud</w:t>
      </w:r>
      <w:proofErr w:type="spellEnd"/>
      <w:r w:rsidRPr="007661F2">
        <w:rPr>
          <w:rFonts w:ascii="Book Antiqua" w:eastAsia="宋体" w:hAnsi="Book Antiqua" w:cs="宋体"/>
          <w:sz w:val="24"/>
          <w:szCs w:val="24"/>
        </w:rPr>
        <w:t xml:space="preserve"> O, </w:t>
      </w:r>
      <w:proofErr w:type="spellStart"/>
      <w:r w:rsidRPr="007661F2">
        <w:rPr>
          <w:rFonts w:ascii="Book Antiqua" w:eastAsia="宋体" w:hAnsi="Book Antiqua" w:cs="宋体"/>
          <w:sz w:val="24"/>
          <w:szCs w:val="24"/>
        </w:rPr>
        <w:t>Morard</w:t>
      </w:r>
      <w:proofErr w:type="spellEnd"/>
      <w:r w:rsidRPr="007661F2">
        <w:rPr>
          <w:rFonts w:ascii="Book Antiqua" w:eastAsia="宋体" w:hAnsi="Book Antiqua" w:cs="宋体"/>
          <w:sz w:val="24"/>
          <w:szCs w:val="24"/>
        </w:rPr>
        <w:t xml:space="preserve"> I, </w:t>
      </w:r>
      <w:proofErr w:type="spellStart"/>
      <w:r w:rsidRPr="007661F2">
        <w:rPr>
          <w:rFonts w:ascii="Book Antiqua" w:eastAsia="宋体" w:hAnsi="Book Antiqua" w:cs="宋体"/>
          <w:sz w:val="24"/>
          <w:szCs w:val="24"/>
        </w:rPr>
        <w:t>Gagnieu</w:t>
      </w:r>
      <w:proofErr w:type="spellEnd"/>
      <w:r w:rsidRPr="007661F2">
        <w:rPr>
          <w:rFonts w:ascii="Book Antiqua" w:eastAsia="宋体" w:hAnsi="Book Antiqua" w:cs="宋体"/>
          <w:sz w:val="24"/>
          <w:szCs w:val="24"/>
        </w:rPr>
        <w:t xml:space="preserve"> MC, </w:t>
      </w:r>
      <w:proofErr w:type="spellStart"/>
      <w:r w:rsidRPr="007661F2">
        <w:rPr>
          <w:rFonts w:ascii="Book Antiqua" w:eastAsia="宋体" w:hAnsi="Book Antiqua" w:cs="宋体"/>
          <w:sz w:val="24"/>
          <w:szCs w:val="24"/>
        </w:rPr>
        <w:t>Mentha</w:t>
      </w:r>
      <w:proofErr w:type="spellEnd"/>
      <w:r w:rsidRPr="007661F2">
        <w:rPr>
          <w:rFonts w:ascii="Book Antiqua" w:eastAsia="宋体" w:hAnsi="Book Antiqua" w:cs="宋体"/>
          <w:sz w:val="24"/>
          <w:szCs w:val="24"/>
        </w:rPr>
        <w:t xml:space="preserve"> G, </w:t>
      </w:r>
      <w:proofErr w:type="spellStart"/>
      <w:r w:rsidRPr="007661F2">
        <w:rPr>
          <w:rFonts w:ascii="Book Antiqua" w:eastAsia="宋体" w:hAnsi="Book Antiqua" w:cs="宋体"/>
          <w:sz w:val="24"/>
          <w:szCs w:val="24"/>
        </w:rPr>
        <w:t>Adham</w:t>
      </w:r>
      <w:proofErr w:type="spellEnd"/>
      <w:r w:rsidRPr="007661F2">
        <w:rPr>
          <w:rFonts w:ascii="Book Antiqua" w:eastAsia="宋体" w:hAnsi="Book Antiqua" w:cs="宋体"/>
          <w:sz w:val="24"/>
          <w:szCs w:val="24"/>
        </w:rPr>
        <w:t xml:space="preserve"> M, </w:t>
      </w:r>
      <w:proofErr w:type="spellStart"/>
      <w:r w:rsidRPr="007661F2">
        <w:rPr>
          <w:rFonts w:ascii="Book Antiqua" w:eastAsia="宋体" w:hAnsi="Book Antiqua" w:cs="宋体"/>
          <w:sz w:val="24"/>
          <w:szCs w:val="24"/>
        </w:rPr>
        <w:t>Morelon</w:t>
      </w:r>
      <w:proofErr w:type="spellEnd"/>
      <w:r w:rsidRPr="007661F2">
        <w:rPr>
          <w:rFonts w:ascii="Book Antiqua" w:eastAsia="宋体" w:hAnsi="Book Antiqua" w:cs="宋体"/>
          <w:sz w:val="24"/>
          <w:szCs w:val="24"/>
        </w:rPr>
        <w:t xml:space="preserve"> E, </w:t>
      </w:r>
      <w:proofErr w:type="spellStart"/>
      <w:r w:rsidRPr="007661F2">
        <w:rPr>
          <w:rFonts w:ascii="Book Antiqua" w:eastAsia="宋体" w:hAnsi="Book Antiqua" w:cs="宋体"/>
          <w:sz w:val="24"/>
          <w:szCs w:val="24"/>
        </w:rPr>
        <w:t>Boillot</w:t>
      </w:r>
      <w:proofErr w:type="spellEnd"/>
      <w:r w:rsidRPr="007661F2">
        <w:rPr>
          <w:rFonts w:ascii="Book Antiqua" w:eastAsia="宋体" w:hAnsi="Book Antiqua" w:cs="宋体"/>
          <w:sz w:val="24"/>
          <w:szCs w:val="24"/>
        </w:rPr>
        <w:t xml:space="preserve"> O, </w:t>
      </w:r>
      <w:proofErr w:type="spellStart"/>
      <w:r w:rsidRPr="007661F2">
        <w:rPr>
          <w:rFonts w:ascii="Book Antiqua" w:eastAsia="宋体" w:hAnsi="Book Antiqua" w:cs="宋体"/>
          <w:sz w:val="24"/>
          <w:szCs w:val="24"/>
        </w:rPr>
        <w:t>Giostra</w:t>
      </w:r>
      <w:proofErr w:type="spellEnd"/>
      <w:r w:rsidRPr="007661F2">
        <w:rPr>
          <w:rFonts w:ascii="Book Antiqua" w:eastAsia="宋体" w:hAnsi="Book Antiqua" w:cs="宋体"/>
          <w:sz w:val="24"/>
          <w:szCs w:val="24"/>
        </w:rPr>
        <w:t xml:space="preserve"> E, </w:t>
      </w:r>
      <w:proofErr w:type="spellStart"/>
      <w:r w:rsidRPr="007661F2">
        <w:rPr>
          <w:rFonts w:ascii="Book Antiqua" w:eastAsia="宋体" w:hAnsi="Book Antiqua" w:cs="宋体"/>
          <w:sz w:val="24"/>
          <w:szCs w:val="24"/>
        </w:rPr>
        <w:t>Dumortier</w:t>
      </w:r>
      <w:proofErr w:type="spellEnd"/>
      <w:r w:rsidRPr="007661F2">
        <w:rPr>
          <w:rFonts w:ascii="Book Antiqua" w:eastAsia="宋体" w:hAnsi="Book Antiqua" w:cs="宋体"/>
          <w:sz w:val="24"/>
          <w:szCs w:val="24"/>
        </w:rPr>
        <w:t xml:space="preserve"> J. Tolerability of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-based immunosuppression in maintenance liver transplant recipients. </w:t>
      </w:r>
      <w:proofErr w:type="spellStart"/>
      <w:r w:rsidRPr="007661F2">
        <w:rPr>
          <w:rFonts w:ascii="Book Antiqua" w:eastAsia="宋体" w:hAnsi="Book Antiqua" w:cs="宋体"/>
          <w:i/>
          <w:iCs/>
          <w:sz w:val="24"/>
          <w:szCs w:val="24"/>
        </w:rPr>
        <w:t>Clin</w:t>
      </w:r>
      <w:proofErr w:type="spellEnd"/>
      <w:r w:rsidRPr="007661F2">
        <w:rPr>
          <w:rFonts w:ascii="Book Antiqua" w:eastAsia="宋体" w:hAnsi="Book Antiqua" w:cs="宋体"/>
          <w:i/>
          <w:iCs/>
          <w:sz w:val="24"/>
          <w:szCs w:val="24"/>
        </w:rPr>
        <w:t xml:space="preserve"> Transplant</w:t>
      </w:r>
      <w:r w:rsidRPr="007661F2">
        <w:rPr>
          <w:rFonts w:ascii="Book Antiqua" w:eastAsia="宋体" w:hAnsi="Book Antiqua" w:cs="宋体"/>
          <w:sz w:val="24"/>
          <w:szCs w:val="24"/>
        </w:rPr>
        <w:t xml:space="preserve"> </w:t>
      </w:r>
      <w:r w:rsidR="00032DBF">
        <w:rPr>
          <w:rFonts w:ascii="Book Antiqua" w:eastAsia="宋体" w:hAnsi="Book Antiqua" w:cs="宋体" w:hint="eastAsia"/>
          <w:sz w:val="24"/>
          <w:szCs w:val="24"/>
        </w:rPr>
        <w:t>2011</w:t>
      </w:r>
      <w:r w:rsidRPr="007661F2">
        <w:rPr>
          <w:rFonts w:ascii="Book Antiqua" w:eastAsia="宋体" w:hAnsi="Book Antiqua" w:cs="宋体"/>
          <w:sz w:val="24"/>
          <w:szCs w:val="24"/>
        </w:rPr>
        <w:t xml:space="preserve">; </w:t>
      </w:r>
      <w:r w:rsidRPr="007661F2">
        <w:rPr>
          <w:rFonts w:ascii="Book Antiqua" w:eastAsia="宋体" w:hAnsi="Book Antiqua" w:cs="宋体"/>
          <w:b/>
          <w:bCs/>
          <w:sz w:val="24"/>
          <w:szCs w:val="24"/>
        </w:rPr>
        <w:t>25</w:t>
      </w:r>
      <w:r w:rsidRPr="007661F2">
        <w:rPr>
          <w:rFonts w:ascii="Book Antiqua" w:eastAsia="宋体" w:hAnsi="Book Antiqua" w:cs="宋体"/>
          <w:sz w:val="24"/>
          <w:szCs w:val="24"/>
        </w:rPr>
        <w:t>: 660-669 [PMID: 21158921 DOI: 10.1111/j.1399-0012.2010.01370.x]</w:t>
      </w:r>
    </w:p>
    <w:p w14:paraId="64BEEE1A"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40 </w:t>
      </w:r>
      <w:r w:rsidRPr="007661F2">
        <w:rPr>
          <w:rFonts w:ascii="Book Antiqua" w:eastAsia="宋体" w:hAnsi="Book Antiqua" w:cs="宋体"/>
          <w:b/>
          <w:bCs/>
          <w:sz w:val="24"/>
          <w:szCs w:val="24"/>
        </w:rPr>
        <w:t>Ventura-</w:t>
      </w:r>
      <w:proofErr w:type="spellStart"/>
      <w:r w:rsidRPr="007661F2">
        <w:rPr>
          <w:rFonts w:ascii="Book Antiqua" w:eastAsia="宋体" w:hAnsi="Book Antiqua" w:cs="宋体"/>
          <w:b/>
          <w:bCs/>
          <w:sz w:val="24"/>
          <w:szCs w:val="24"/>
        </w:rPr>
        <w:t>Aguiar</w:t>
      </w:r>
      <w:proofErr w:type="spellEnd"/>
      <w:r w:rsidRPr="007661F2">
        <w:rPr>
          <w:rFonts w:ascii="Book Antiqua" w:eastAsia="宋体" w:hAnsi="Book Antiqua" w:cs="宋体"/>
          <w:b/>
          <w:bCs/>
          <w:sz w:val="24"/>
          <w:szCs w:val="24"/>
        </w:rPr>
        <w:t xml:space="preserve"> P</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Campistol</w:t>
      </w:r>
      <w:proofErr w:type="spellEnd"/>
      <w:r w:rsidRPr="007661F2">
        <w:rPr>
          <w:rFonts w:ascii="Book Antiqua" w:eastAsia="宋体" w:hAnsi="Book Antiqua" w:cs="宋体"/>
          <w:sz w:val="24"/>
          <w:szCs w:val="24"/>
        </w:rPr>
        <w:t xml:space="preserve"> JM, </w:t>
      </w:r>
      <w:proofErr w:type="spellStart"/>
      <w:r w:rsidRPr="007661F2">
        <w:rPr>
          <w:rFonts w:ascii="Book Antiqua" w:eastAsia="宋体" w:hAnsi="Book Antiqua" w:cs="宋体"/>
          <w:sz w:val="24"/>
          <w:szCs w:val="24"/>
        </w:rPr>
        <w:t>Diekmann</w:t>
      </w:r>
      <w:proofErr w:type="spellEnd"/>
      <w:r w:rsidRPr="007661F2">
        <w:rPr>
          <w:rFonts w:ascii="Book Antiqua" w:eastAsia="宋体" w:hAnsi="Book Antiqua" w:cs="宋体"/>
          <w:sz w:val="24"/>
          <w:szCs w:val="24"/>
        </w:rPr>
        <w:t xml:space="preserve"> F. Safety of </w:t>
      </w:r>
      <w:proofErr w:type="spellStart"/>
      <w:r w:rsidRPr="007661F2">
        <w:rPr>
          <w:rFonts w:ascii="Book Antiqua" w:eastAsia="宋体" w:hAnsi="Book Antiqua" w:cs="宋体"/>
          <w:sz w:val="24"/>
          <w:szCs w:val="24"/>
        </w:rPr>
        <w:t>mTOR</w:t>
      </w:r>
      <w:proofErr w:type="spellEnd"/>
      <w:r w:rsidRPr="007661F2">
        <w:rPr>
          <w:rFonts w:ascii="Book Antiqua" w:eastAsia="宋体" w:hAnsi="Book Antiqua" w:cs="宋体"/>
          <w:sz w:val="24"/>
          <w:szCs w:val="24"/>
        </w:rPr>
        <w:t xml:space="preserve"> inhibitors in adult solid organ transplantation. </w:t>
      </w:r>
      <w:r w:rsidRPr="007661F2">
        <w:rPr>
          <w:rFonts w:ascii="Book Antiqua" w:eastAsia="宋体" w:hAnsi="Book Antiqua" w:cs="宋体"/>
          <w:i/>
          <w:iCs/>
          <w:sz w:val="24"/>
          <w:szCs w:val="24"/>
        </w:rPr>
        <w:t xml:space="preserve">Expert </w:t>
      </w:r>
      <w:proofErr w:type="spellStart"/>
      <w:r w:rsidRPr="007661F2">
        <w:rPr>
          <w:rFonts w:ascii="Book Antiqua" w:eastAsia="宋体" w:hAnsi="Book Antiqua" w:cs="宋体"/>
          <w:i/>
          <w:iCs/>
          <w:sz w:val="24"/>
          <w:szCs w:val="24"/>
        </w:rPr>
        <w:t>Opin</w:t>
      </w:r>
      <w:proofErr w:type="spellEnd"/>
      <w:r w:rsidRPr="007661F2">
        <w:rPr>
          <w:rFonts w:ascii="Book Antiqua" w:eastAsia="宋体" w:hAnsi="Book Antiqua" w:cs="宋体"/>
          <w:i/>
          <w:iCs/>
          <w:sz w:val="24"/>
          <w:szCs w:val="24"/>
        </w:rPr>
        <w:t xml:space="preserve"> Drug </w:t>
      </w:r>
      <w:proofErr w:type="spellStart"/>
      <w:r w:rsidRPr="007661F2">
        <w:rPr>
          <w:rFonts w:ascii="Book Antiqua" w:eastAsia="宋体" w:hAnsi="Book Antiqua" w:cs="宋体"/>
          <w:i/>
          <w:iCs/>
          <w:sz w:val="24"/>
          <w:szCs w:val="24"/>
        </w:rPr>
        <w:t>Saf</w:t>
      </w:r>
      <w:proofErr w:type="spellEnd"/>
      <w:r w:rsidRPr="007661F2">
        <w:rPr>
          <w:rFonts w:ascii="Book Antiqua" w:eastAsia="宋体" w:hAnsi="Book Antiqua" w:cs="宋体"/>
          <w:sz w:val="24"/>
          <w:szCs w:val="24"/>
        </w:rPr>
        <w:t xml:space="preserve"> 2016; </w:t>
      </w:r>
      <w:r w:rsidRPr="007661F2">
        <w:rPr>
          <w:rFonts w:ascii="Book Antiqua" w:eastAsia="宋体" w:hAnsi="Book Antiqua" w:cs="宋体"/>
          <w:b/>
          <w:bCs/>
          <w:sz w:val="24"/>
          <w:szCs w:val="24"/>
        </w:rPr>
        <w:t>15</w:t>
      </w:r>
      <w:r w:rsidRPr="007661F2">
        <w:rPr>
          <w:rFonts w:ascii="Book Antiqua" w:eastAsia="宋体" w:hAnsi="Book Antiqua" w:cs="宋体"/>
          <w:sz w:val="24"/>
          <w:szCs w:val="24"/>
        </w:rPr>
        <w:t>: 303-319 [PMID: 26667069 DOI: 10.1517/14740338.2016.1132698]</w:t>
      </w:r>
    </w:p>
    <w:p w14:paraId="0BC1525C"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41 </w:t>
      </w:r>
      <w:r w:rsidRPr="007661F2">
        <w:rPr>
          <w:rFonts w:ascii="Book Antiqua" w:eastAsia="宋体" w:hAnsi="Book Antiqua" w:cs="宋体"/>
          <w:b/>
          <w:bCs/>
          <w:sz w:val="24"/>
          <w:szCs w:val="24"/>
        </w:rPr>
        <w:t>Kaplan B</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Qazi</w:t>
      </w:r>
      <w:proofErr w:type="spellEnd"/>
      <w:r w:rsidRPr="007661F2">
        <w:rPr>
          <w:rFonts w:ascii="Book Antiqua" w:eastAsia="宋体" w:hAnsi="Book Antiqua" w:cs="宋体"/>
          <w:sz w:val="24"/>
          <w:szCs w:val="24"/>
        </w:rPr>
        <w:t xml:space="preserve"> Y, </w:t>
      </w:r>
      <w:proofErr w:type="spellStart"/>
      <w:r w:rsidRPr="007661F2">
        <w:rPr>
          <w:rFonts w:ascii="Book Antiqua" w:eastAsia="宋体" w:hAnsi="Book Antiqua" w:cs="宋体"/>
          <w:sz w:val="24"/>
          <w:szCs w:val="24"/>
        </w:rPr>
        <w:t>Wellen</w:t>
      </w:r>
      <w:proofErr w:type="spellEnd"/>
      <w:r w:rsidRPr="007661F2">
        <w:rPr>
          <w:rFonts w:ascii="Book Antiqua" w:eastAsia="宋体" w:hAnsi="Book Antiqua" w:cs="宋体"/>
          <w:sz w:val="24"/>
          <w:szCs w:val="24"/>
        </w:rPr>
        <w:t xml:space="preserve"> JR. Strategies for the management of adverse events associated with </w:t>
      </w:r>
      <w:proofErr w:type="spellStart"/>
      <w:r w:rsidRPr="007661F2">
        <w:rPr>
          <w:rFonts w:ascii="Book Antiqua" w:eastAsia="宋体" w:hAnsi="Book Antiqua" w:cs="宋体"/>
          <w:sz w:val="24"/>
          <w:szCs w:val="24"/>
        </w:rPr>
        <w:t>mTOR</w:t>
      </w:r>
      <w:proofErr w:type="spellEnd"/>
      <w:r w:rsidRPr="007661F2">
        <w:rPr>
          <w:rFonts w:ascii="Book Antiqua" w:eastAsia="宋体" w:hAnsi="Book Antiqua" w:cs="宋体"/>
          <w:sz w:val="24"/>
          <w:szCs w:val="24"/>
        </w:rPr>
        <w:t xml:space="preserve"> inhibitors. </w:t>
      </w:r>
      <w:r w:rsidRPr="007661F2">
        <w:rPr>
          <w:rFonts w:ascii="Book Antiqua" w:eastAsia="宋体" w:hAnsi="Book Antiqua" w:cs="宋体"/>
          <w:i/>
          <w:iCs/>
          <w:sz w:val="24"/>
          <w:szCs w:val="24"/>
        </w:rPr>
        <w:t xml:space="preserve">Transplant Rev </w:t>
      </w:r>
      <w:r w:rsidRPr="00032DBF">
        <w:rPr>
          <w:rFonts w:ascii="Book Antiqua" w:eastAsia="宋体" w:hAnsi="Book Antiqua" w:cs="宋体"/>
          <w:iCs/>
          <w:sz w:val="24"/>
          <w:szCs w:val="24"/>
        </w:rPr>
        <w:t>(Orlando)</w:t>
      </w:r>
      <w:r w:rsidRPr="00032DBF">
        <w:rPr>
          <w:rFonts w:ascii="Book Antiqua" w:eastAsia="宋体" w:hAnsi="Book Antiqua" w:cs="宋体"/>
          <w:sz w:val="24"/>
          <w:szCs w:val="24"/>
        </w:rPr>
        <w:t xml:space="preserve"> </w:t>
      </w:r>
      <w:r w:rsidRPr="007661F2">
        <w:rPr>
          <w:rFonts w:ascii="Book Antiqua" w:eastAsia="宋体" w:hAnsi="Book Antiqua" w:cs="宋体"/>
          <w:sz w:val="24"/>
          <w:szCs w:val="24"/>
        </w:rPr>
        <w:t xml:space="preserve">2014; </w:t>
      </w:r>
      <w:r w:rsidRPr="007661F2">
        <w:rPr>
          <w:rFonts w:ascii="Book Antiqua" w:eastAsia="宋体" w:hAnsi="Book Antiqua" w:cs="宋体"/>
          <w:b/>
          <w:bCs/>
          <w:sz w:val="24"/>
          <w:szCs w:val="24"/>
        </w:rPr>
        <w:t>28</w:t>
      </w:r>
      <w:r w:rsidRPr="007661F2">
        <w:rPr>
          <w:rFonts w:ascii="Book Antiqua" w:eastAsia="宋体" w:hAnsi="Book Antiqua" w:cs="宋体"/>
          <w:sz w:val="24"/>
          <w:szCs w:val="24"/>
        </w:rPr>
        <w:t>: 126-133 [PMID: 24685370 DOI: 10.1016/j.trre.2014.03.002]</w:t>
      </w:r>
    </w:p>
    <w:p w14:paraId="12815104"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42 </w:t>
      </w:r>
      <w:proofErr w:type="spellStart"/>
      <w:r w:rsidRPr="007661F2">
        <w:rPr>
          <w:rFonts w:ascii="Book Antiqua" w:eastAsia="宋体" w:hAnsi="Book Antiqua" w:cs="宋体"/>
          <w:b/>
          <w:bCs/>
          <w:sz w:val="24"/>
          <w:szCs w:val="24"/>
        </w:rPr>
        <w:t>Montalti</w:t>
      </w:r>
      <w:proofErr w:type="spellEnd"/>
      <w:r w:rsidRPr="007661F2">
        <w:rPr>
          <w:rFonts w:ascii="Book Antiqua" w:eastAsia="宋体" w:hAnsi="Book Antiqua" w:cs="宋体"/>
          <w:b/>
          <w:bCs/>
          <w:sz w:val="24"/>
          <w:szCs w:val="24"/>
        </w:rPr>
        <w:t xml:space="preserve"> R</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Mimmo</w:t>
      </w:r>
      <w:proofErr w:type="spellEnd"/>
      <w:r w:rsidRPr="007661F2">
        <w:rPr>
          <w:rFonts w:ascii="Book Antiqua" w:eastAsia="宋体" w:hAnsi="Book Antiqua" w:cs="宋体"/>
          <w:sz w:val="24"/>
          <w:szCs w:val="24"/>
        </w:rPr>
        <w:t xml:space="preserve"> A, </w:t>
      </w:r>
      <w:proofErr w:type="spellStart"/>
      <w:r w:rsidRPr="007661F2">
        <w:rPr>
          <w:rFonts w:ascii="Book Antiqua" w:eastAsia="宋体" w:hAnsi="Book Antiqua" w:cs="宋体"/>
          <w:sz w:val="24"/>
          <w:szCs w:val="24"/>
        </w:rPr>
        <w:t>Rompianesi</w:t>
      </w:r>
      <w:proofErr w:type="spellEnd"/>
      <w:r w:rsidRPr="007661F2">
        <w:rPr>
          <w:rFonts w:ascii="Book Antiqua" w:eastAsia="宋体" w:hAnsi="Book Antiqua" w:cs="宋体"/>
          <w:sz w:val="24"/>
          <w:szCs w:val="24"/>
        </w:rPr>
        <w:t xml:space="preserve"> G, Serra V, </w:t>
      </w:r>
      <w:proofErr w:type="spellStart"/>
      <w:r w:rsidRPr="007661F2">
        <w:rPr>
          <w:rFonts w:ascii="Book Antiqua" w:eastAsia="宋体" w:hAnsi="Book Antiqua" w:cs="宋体"/>
          <w:sz w:val="24"/>
          <w:szCs w:val="24"/>
        </w:rPr>
        <w:t>Cautero</w:t>
      </w:r>
      <w:proofErr w:type="spellEnd"/>
      <w:r w:rsidRPr="007661F2">
        <w:rPr>
          <w:rFonts w:ascii="Book Antiqua" w:eastAsia="宋体" w:hAnsi="Book Antiqua" w:cs="宋体"/>
          <w:sz w:val="24"/>
          <w:szCs w:val="24"/>
        </w:rPr>
        <w:t xml:space="preserve"> N, </w:t>
      </w:r>
      <w:proofErr w:type="spellStart"/>
      <w:r w:rsidRPr="007661F2">
        <w:rPr>
          <w:rFonts w:ascii="Book Antiqua" w:eastAsia="宋体" w:hAnsi="Book Antiqua" w:cs="宋体"/>
          <w:sz w:val="24"/>
          <w:szCs w:val="24"/>
        </w:rPr>
        <w:t>Ballarin</w:t>
      </w:r>
      <w:proofErr w:type="spellEnd"/>
      <w:r w:rsidRPr="007661F2">
        <w:rPr>
          <w:rFonts w:ascii="Book Antiqua" w:eastAsia="宋体" w:hAnsi="Book Antiqua" w:cs="宋体"/>
          <w:sz w:val="24"/>
          <w:szCs w:val="24"/>
        </w:rPr>
        <w:t xml:space="preserve"> R, De </w:t>
      </w:r>
      <w:proofErr w:type="spellStart"/>
      <w:r w:rsidRPr="007661F2">
        <w:rPr>
          <w:rFonts w:ascii="Book Antiqua" w:eastAsia="宋体" w:hAnsi="Book Antiqua" w:cs="宋体"/>
          <w:sz w:val="24"/>
          <w:szCs w:val="24"/>
        </w:rPr>
        <w:t>Ruvo</w:t>
      </w:r>
      <w:proofErr w:type="spellEnd"/>
      <w:r w:rsidRPr="007661F2">
        <w:rPr>
          <w:rFonts w:ascii="Book Antiqua" w:eastAsia="宋体" w:hAnsi="Book Antiqua" w:cs="宋体"/>
          <w:sz w:val="24"/>
          <w:szCs w:val="24"/>
        </w:rPr>
        <w:t xml:space="preserve"> N, Cunningham </w:t>
      </w:r>
      <w:proofErr w:type="spellStart"/>
      <w:r w:rsidRPr="007661F2">
        <w:rPr>
          <w:rFonts w:ascii="Book Antiqua" w:eastAsia="宋体" w:hAnsi="Book Antiqua" w:cs="宋体"/>
          <w:sz w:val="24"/>
          <w:szCs w:val="24"/>
        </w:rPr>
        <w:t>Gerring</w:t>
      </w:r>
      <w:proofErr w:type="spellEnd"/>
      <w:r w:rsidRPr="007661F2">
        <w:rPr>
          <w:rFonts w:ascii="Book Antiqua" w:eastAsia="宋体" w:hAnsi="Book Antiqua" w:cs="宋体"/>
          <w:sz w:val="24"/>
          <w:szCs w:val="24"/>
        </w:rPr>
        <w:t xml:space="preserve"> R, Enrico </w:t>
      </w:r>
      <w:proofErr w:type="spellStart"/>
      <w:r w:rsidRPr="007661F2">
        <w:rPr>
          <w:rFonts w:ascii="Book Antiqua" w:eastAsia="宋体" w:hAnsi="Book Antiqua" w:cs="宋体"/>
          <w:sz w:val="24"/>
          <w:szCs w:val="24"/>
        </w:rPr>
        <w:t>Gerunda</w:t>
      </w:r>
      <w:proofErr w:type="spellEnd"/>
      <w:r w:rsidRPr="007661F2">
        <w:rPr>
          <w:rFonts w:ascii="Book Antiqua" w:eastAsia="宋体" w:hAnsi="Book Antiqua" w:cs="宋体"/>
          <w:sz w:val="24"/>
          <w:szCs w:val="24"/>
        </w:rPr>
        <w:t xml:space="preserve"> G, Di Benedetto F. Early use of mammalian target of </w:t>
      </w:r>
      <w:proofErr w:type="spellStart"/>
      <w:r w:rsidRPr="007661F2">
        <w:rPr>
          <w:rFonts w:ascii="Book Antiqua" w:eastAsia="宋体" w:hAnsi="Book Antiqua" w:cs="宋体"/>
          <w:sz w:val="24"/>
          <w:szCs w:val="24"/>
        </w:rPr>
        <w:t>rapamycin</w:t>
      </w:r>
      <w:proofErr w:type="spellEnd"/>
      <w:r w:rsidRPr="007661F2">
        <w:rPr>
          <w:rFonts w:ascii="Book Antiqua" w:eastAsia="宋体" w:hAnsi="Book Antiqua" w:cs="宋体"/>
          <w:sz w:val="24"/>
          <w:szCs w:val="24"/>
        </w:rPr>
        <w:t xml:space="preserve"> inhibitors is an independent risk factor for incisional hernia development after liver transplantation. </w:t>
      </w:r>
      <w:r w:rsidRPr="007661F2">
        <w:rPr>
          <w:rFonts w:ascii="Book Antiqua" w:eastAsia="宋体" w:hAnsi="Book Antiqua" w:cs="宋体"/>
          <w:i/>
          <w:iCs/>
          <w:sz w:val="24"/>
          <w:szCs w:val="24"/>
        </w:rPr>
        <w:t xml:space="preserve">Liver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sz w:val="24"/>
          <w:szCs w:val="24"/>
        </w:rPr>
        <w:t xml:space="preserve"> 2012; </w:t>
      </w:r>
      <w:r w:rsidRPr="007661F2">
        <w:rPr>
          <w:rFonts w:ascii="Book Antiqua" w:eastAsia="宋体" w:hAnsi="Book Antiqua" w:cs="宋体"/>
          <w:b/>
          <w:bCs/>
          <w:sz w:val="24"/>
          <w:szCs w:val="24"/>
        </w:rPr>
        <w:t>18</w:t>
      </w:r>
      <w:r w:rsidRPr="007661F2">
        <w:rPr>
          <w:rFonts w:ascii="Book Antiqua" w:eastAsia="宋体" w:hAnsi="Book Antiqua" w:cs="宋体"/>
          <w:sz w:val="24"/>
          <w:szCs w:val="24"/>
        </w:rPr>
        <w:t>: 188-194 [PMID: 21987434 DOI: 10.1002/lt.22445]</w:t>
      </w:r>
    </w:p>
    <w:p w14:paraId="060DC5C5"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43 </w:t>
      </w:r>
      <w:proofErr w:type="spellStart"/>
      <w:r w:rsidRPr="007661F2">
        <w:rPr>
          <w:rFonts w:ascii="Book Antiqua" w:eastAsia="宋体" w:hAnsi="Book Antiqua" w:cs="宋体"/>
          <w:b/>
          <w:bCs/>
          <w:sz w:val="24"/>
          <w:szCs w:val="24"/>
        </w:rPr>
        <w:t>Nashan</w:t>
      </w:r>
      <w:proofErr w:type="spellEnd"/>
      <w:r w:rsidRPr="007661F2">
        <w:rPr>
          <w:rFonts w:ascii="Book Antiqua" w:eastAsia="宋体" w:hAnsi="Book Antiqua" w:cs="宋体"/>
          <w:b/>
          <w:bCs/>
          <w:sz w:val="24"/>
          <w:szCs w:val="24"/>
        </w:rPr>
        <w:t xml:space="preserve"> B</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Citterio</w:t>
      </w:r>
      <w:proofErr w:type="spellEnd"/>
      <w:r w:rsidRPr="007661F2">
        <w:rPr>
          <w:rFonts w:ascii="Book Antiqua" w:eastAsia="宋体" w:hAnsi="Book Antiqua" w:cs="宋体"/>
          <w:sz w:val="24"/>
          <w:szCs w:val="24"/>
        </w:rPr>
        <w:t xml:space="preserve"> F. Wound healing complications and the use of mammalian target of </w:t>
      </w:r>
      <w:proofErr w:type="spellStart"/>
      <w:r w:rsidRPr="007661F2">
        <w:rPr>
          <w:rFonts w:ascii="Book Antiqua" w:eastAsia="宋体" w:hAnsi="Book Antiqua" w:cs="宋体"/>
          <w:sz w:val="24"/>
          <w:szCs w:val="24"/>
        </w:rPr>
        <w:t>rapamycin</w:t>
      </w:r>
      <w:proofErr w:type="spellEnd"/>
      <w:r w:rsidRPr="007661F2">
        <w:rPr>
          <w:rFonts w:ascii="Book Antiqua" w:eastAsia="宋体" w:hAnsi="Book Antiqua" w:cs="宋体"/>
          <w:sz w:val="24"/>
          <w:szCs w:val="24"/>
        </w:rPr>
        <w:t xml:space="preserve"> inhibitors in kidney transplantation: a critical review of the literature. </w:t>
      </w:r>
      <w:r w:rsidRPr="007661F2">
        <w:rPr>
          <w:rFonts w:ascii="Book Antiqua" w:eastAsia="宋体" w:hAnsi="Book Antiqua" w:cs="宋体"/>
          <w:i/>
          <w:iCs/>
          <w:sz w:val="24"/>
          <w:szCs w:val="24"/>
        </w:rPr>
        <w:t>Transplantation</w:t>
      </w:r>
      <w:r w:rsidRPr="007661F2">
        <w:rPr>
          <w:rFonts w:ascii="Book Antiqua" w:eastAsia="宋体" w:hAnsi="Book Antiqua" w:cs="宋体"/>
          <w:sz w:val="24"/>
          <w:szCs w:val="24"/>
        </w:rPr>
        <w:t xml:space="preserve"> 2012; </w:t>
      </w:r>
      <w:r w:rsidRPr="007661F2">
        <w:rPr>
          <w:rFonts w:ascii="Book Antiqua" w:eastAsia="宋体" w:hAnsi="Book Antiqua" w:cs="宋体"/>
          <w:b/>
          <w:bCs/>
          <w:sz w:val="24"/>
          <w:szCs w:val="24"/>
        </w:rPr>
        <w:t>94</w:t>
      </w:r>
      <w:r w:rsidRPr="007661F2">
        <w:rPr>
          <w:rFonts w:ascii="Book Antiqua" w:eastAsia="宋体" w:hAnsi="Book Antiqua" w:cs="宋体"/>
          <w:sz w:val="24"/>
          <w:szCs w:val="24"/>
        </w:rPr>
        <w:t>: 547-561 [PMID: 22941182 DOI: 10.1097/TP.0b013e3182551021]</w:t>
      </w:r>
    </w:p>
    <w:p w14:paraId="5968DCB3"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lastRenderedPageBreak/>
        <w:t xml:space="preserve">44 </w:t>
      </w:r>
      <w:proofErr w:type="spellStart"/>
      <w:r w:rsidRPr="007661F2">
        <w:rPr>
          <w:rFonts w:ascii="Book Antiqua" w:eastAsia="宋体" w:hAnsi="Book Antiqua" w:cs="宋体"/>
          <w:b/>
          <w:bCs/>
          <w:sz w:val="24"/>
          <w:szCs w:val="24"/>
        </w:rPr>
        <w:t>Ji</w:t>
      </w:r>
      <w:proofErr w:type="spellEnd"/>
      <w:r w:rsidRPr="007661F2">
        <w:rPr>
          <w:rFonts w:ascii="Book Antiqua" w:eastAsia="宋体" w:hAnsi="Book Antiqua" w:cs="宋体"/>
          <w:b/>
          <w:bCs/>
          <w:sz w:val="24"/>
          <w:szCs w:val="24"/>
        </w:rPr>
        <w:t xml:space="preserve"> YD</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Aboalela</w:t>
      </w:r>
      <w:proofErr w:type="spellEnd"/>
      <w:r w:rsidRPr="007661F2">
        <w:rPr>
          <w:rFonts w:ascii="Book Antiqua" w:eastAsia="宋体" w:hAnsi="Book Antiqua" w:cs="宋体"/>
          <w:sz w:val="24"/>
          <w:szCs w:val="24"/>
        </w:rPr>
        <w:t xml:space="preserve"> A, Villa A.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-associated stomatitis in a patient who had renal transplant. </w:t>
      </w:r>
      <w:r w:rsidRPr="007661F2">
        <w:rPr>
          <w:rFonts w:ascii="Book Antiqua" w:eastAsia="宋体" w:hAnsi="Book Antiqua" w:cs="宋体"/>
          <w:i/>
          <w:iCs/>
          <w:sz w:val="24"/>
          <w:szCs w:val="24"/>
        </w:rPr>
        <w:t>BMJ Case Rep</w:t>
      </w:r>
      <w:r w:rsidRPr="007661F2">
        <w:rPr>
          <w:rFonts w:ascii="Book Antiqua" w:eastAsia="宋体" w:hAnsi="Book Antiqua" w:cs="宋体"/>
          <w:sz w:val="24"/>
          <w:szCs w:val="24"/>
        </w:rPr>
        <w:t xml:space="preserve"> 2016; </w:t>
      </w:r>
      <w:r w:rsidRPr="007661F2">
        <w:rPr>
          <w:rFonts w:ascii="Book Antiqua" w:eastAsia="宋体" w:hAnsi="Book Antiqua" w:cs="宋体"/>
          <w:b/>
          <w:bCs/>
          <w:sz w:val="24"/>
          <w:szCs w:val="24"/>
        </w:rPr>
        <w:t>2016</w:t>
      </w:r>
      <w:r w:rsidRPr="007661F2">
        <w:rPr>
          <w:rFonts w:ascii="Book Antiqua" w:eastAsia="宋体" w:hAnsi="Book Antiqua" w:cs="宋体"/>
          <w:sz w:val="24"/>
          <w:szCs w:val="24"/>
        </w:rPr>
        <w:t>: [PMID: 27797804 DOI: 10.1136/bcr-2016-217513]</w:t>
      </w:r>
    </w:p>
    <w:p w14:paraId="26E79978" w14:textId="243A175D"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45 </w:t>
      </w:r>
      <w:proofErr w:type="spellStart"/>
      <w:r w:rsidRPr="007661F2">
        <w:rPr>
          <w:rFonts w:ascii="Book Antiqua" w:eastAsia="宋体" w:hAnsi="Book Antiqua" w:cs="宋体"/>
          <w:b/>
          <w:bCs/>
          <w:sz w:val="24"/>
          <w:szCs w:val="24"/>
        </w:rPr>
        <w:t>Vermeulen</w:t>
      </w:r>
      <w:proofErr w:type="spellEnd"/>
      <w:r w:rsidRPr="007661F2">
        <w:rPr>
          <w:rFonts w:ascii="Book Antiqua" w:eastAsia="宋体" w:hAnsi="Book Antiqua" w:cs="宋体"/>
          <w:b/>
          <w:bCs/>
          <w:sz w:val="24"/>
          <w:szCs w:val="24"/>
        </w:rPr>
        <w:t xml:space="preserve"> T</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Rodrigus</w:t>
      </w:r>
      <w:proofErr w:type="spellEnd"/>
      <w:r w:rsidRPr="007661F2">
        <w:rPr>
          <w:rFonts w:ascii="Book Antiqua" w:eastAsia="宋体" w:hAnsi="Book Antiqua" w:cs="宋体"/>
          <w:sz w:val="24"/>
          <w:szCs w:val="24"/>
        </w:rPr>
        <w:t xml:space="preserve"> IE, </w:t>
      </w:r>
      <w:proofErr w:type="spellStart"/>
      <w:r w:rsidRPr="007661F2">
        <w:rPr>
          <w:rFonts w:ascii="Book Antiqua" w:eastAsia="宋体" w:hAnsi="Book Antiqua" w:cs="宋体"/>
          <w:sz w:val="24"/>
          <w:szCs w:val="24"/>
        </w:rPr>
        <w:t>Vrints</w:t>
      </w:r>
      <w:proofErr w:type="spellEnd"/>
      <w:r w:rsidRPr="007661F2">
        <w:rPr>
          <w:rFonts w:ascii="Book Antiqua" w:eastAsia="宋体" w:hAnsi="Book Antiqua" w:cs="宋体"/>
          <w:sz w:val="24"/>
          <w:szCs w:val="24"/>
        </w:rPr>
        <w:t xml:space="preserve"> CJ, </w:t>
      </w:r>
      <w:proofErr w:type="spellStart"/>
      <w:r w:rsidRPr="007661F2">
        <w:rPr>
          <w:rFonts w:ascii="Book Antiqua" w:eastAsia="宋体" w:hAnsi="Book Antiqua" w:cs="宋体"/>
          <w:sz w:val="24"/>
          <w:szCs w:val="24"/>
        </w:rPr>
        <w:t>Conraads</w:t>
      </w:r>
      <w:proofErr w:type="spellEnd"/>
      <w:r w:rsidRPr="007661F2">
        <w:rPr>
          <w:rFonts w:ascii="Book Antiqua" w:eastAsia="宋体" w:hAnsi="Book Antiqua" w:cs="宋体"/>
          <w:sz w:val="24"/>
          <w:szCs w:val="24"/>
        </w:rPr>
        <w:t xml:space="preserve"> V. Severe stomatitis complicating immune-suppressive switch after cardiac transplantation. </w:t>
      </w:r>
      <w:proofErr w:type="spellStart"/>
      <w:r w:rsidRPr="007661F2">
        <w:rPr>
          <w:rFonts w:ascii="Book Antiqua" w:eastAsia="宋体" w:hAnsi="Book Antiqua" w:cs="宋体"/>
          <w:i/>
          <w:iCs/>
          <w:sz w:val="24"/>
          <w:szCs w:val="24"/>
        </w:rPr>
        <w:t>Acta</w:t>
      </w:r>
      <w:proofErr w:type="spellEnd"/>
      <w:r w:rsidRPr="007661F2">
        <w:rPr>
          <w:rFonts w:ascii="Book Antiqua" w:eastAsia="宋体" w:hAnsi="Book Antiqua" w:cs="宋体"/>
          <w:i/>
          <w:iCs/>
          <w:sz w:val="24"/>
          <w:szCs w:val="24"/>
        </w:rPr>
        <w:t xml:space="preserve"> </w:t>
      </w:r>
      <w:proofErr w:type="spellStart"/>
      <w:r w:rsidRPr="007661F2">
        <w:rPr>
          <w:rFonts w:ascii="Book Antiqua" w:eastAsia="宋体" w:hAnsi="Book Antiqua" w:cs="宋体"/>
          <w:i/>
          <w:iCs/>
          <w:sz w:val="24"/>
          <w:szCs w:val="24"/>
        </w:rPr>
        <w:t>Chir</w:t>
      </w:r>
      <w:proofErr w:type="spellEnd"/>
      <w:r w:rsidRPr="007661F2">
        <w:rPr>
          <w:rFonts w:ascii="Book Antiqua" w:eastAsia="宋体" w:hAnsi="Book Antiqua" w:cs="宋体"/>
          <w:i/>
          <w:iCs/>
          <w:sz w:val="24"/>
          <w:szCs w:val="24"/>
        </w:rPr>
        <w:t xml:space="preserve"> </w:t>
      </w:r>
      <w:proofErr w:type="spellStart"/>
      <w:r w:rsidRPr="007661F2">
        <w:rPr>
          <w:rFonts w:ascii="Book Antiqua" w:eastAsia="宋体" w:hAnsi="Book Antiqua" w:cs="宋体"/>
          <w:i/>
          <w:iCs/>
          <w:sz w:val="24"/>
          <w:szCs w:val="24"/>
        </w:rPr>
        <w:t>Belg</w:t>
      </w:r>
      <w:proofErr w:type="spellEnd"/>
      <w:r w:rsidRPr="007661F2">
        <w:rPr>
          <w:rFonts w:ascii="Book Antiqua" w:eastAsia="宋体" w:hAnsi="Book Antiqua" w:cs="宋体"/>
          <w:sz w:val="24"/>
          <w:szCs w:val="24"/>
        </w:rPr>
        <w:t xml:space="preserve"> </w:t>
      </w:r>
      <w:r w:rsidR="00D517FC">
        <w:rPr>
          <w:rFonts w:ascii="Book Antiqua" w:eastAsia="宋体" w:hAnsi="Book Antiqua" w:cs="宋体" w:hint="eastAsia"/>
          <w:sz w:val="24"/>
          <w:szCs w:val="24"/>
        </w:rPr>
        <w:t>2010</w:t>
      </w:r>
      <w:r w:rsidRPr="007661F2">
        <w:rPr>
          <w:rFonts w:ascii="Book Antiqua" w:eastAsia="宋体" w:hAnsi="Book Antiqua" w:cs="宋体"/>
          <w:sz w:val="24"/>
          <w:szCs w:val="24"/>
        </w:rPr>
        <w:t xml:space="preserve">; </w:t>
      </w:r>
      <w:r w:rsidRPr="007661F2">
        <w:rPr>
          <w:rFonts w:ascii="Book Antiqua" w:eastAsia="宋体" w:hAnsi="Book Antiqua" w:cs="宋体"/>
          <w:b/>
          <w:bCs/>
          <w:sz w:val="24"/>
          <w:szCs w:val="24"/>
        </w:rPr>
        <w:t>110</w:t>
      </w:r>
      <w:r w:rsidRPr="007661F2">
        <w:rPr>
          <w:rFonts w:ascii="Book Antiqua" w:eastAsia="宋体" w:hAnsi="Book Antiqua" w:cs="宋体"/>
          <w:sz w:val="24"/>
          <w:szCs w:val="24"/>
        </w:rPr>
        <w:t>: 339-341 [PMID: 20690519]</w:t>
      </w:r>
    </w:p>
    <w:p w14:paraId="1DF74D4A"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46 </w:t>
      </w:r>
      <w:r w:rsidRPr="007661F2">
        <w:rPr>
          <w:rFonts w:ascii="Book Antiqua" w:eastAsia="宋体" w:hAnsi="Book Antiqua" w:cs="宋体"/>
          <w:b/>
          <w:bCs/>
          <w:sz w:val="24"/>
          <w:szCs w:val="24"/>
        </w:rPr>
        <w:t>Ram R</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Swarnalatha</w:t>
      </w:r>
      <w:proofErr w:type="spellEnd"/>
      <w:r w:rsidRPr="007661F2">
        <w:rPr>
          <w:rFonts w:ascii="Book Antiqua" w:eastAsia="宋体" w:hAnsi="Book Antiqua" w:cs="宋体"/>
          <w:sz w:val="24"/>
          <w:szCs w:val="24"/>
        </w:rPr>
        <w:t xml:space="preserve"> G, </w:t>
      </w:r>
      <w:proofErr w:type="spellStart"/>
      <w:r w:rsidRPr="007661F2">
        <w:rPr>
          <w:rFonts w:ascii="Book Antiqua" w:eastAsia="宋体" w:hAnsi="Book Antiqua" w:cs="宋体"/>
          <w:sz w:val="24"/>
          <w:szCs w:val="24"/>
        </w:rPr>
        <w:t>Neela</w:t>
      </w:r>
      <w:proofErr w:type="spellEnd"/>
      <w:r w:rsidRPr="007661F2">
        <w:rPr>
          <w:rFonts w:ascii="Book Antiqua" w:eastAsia="宋体" w:hAnsi="Book Antiqua" w:cs="宋体"/>
          <w:sz w:val="24"/>
          <w:szCs w:val="24"/>
        </w:rPr>
        <w:t xml:space="preserve"> P, </w:t>
      </w:r>
      <w:proofErr w:type="spellStart"/>
      <w:r w:rsidRPr="007661F2">
        <w:rPr>
          <w:rFonts w:ascii="Book Antiqua" w:eastAsia="宋体" w:hAnsi="Book Antiqua" w:cs="宋体"/>
          <w:sz w:val="24"/>
          <w:szCs w:val="24"/>
        </w:rPr>
        <w:t>Dakshinamurty</w:t>
      </w:r>
      <w:proofErr w:type="spellEnd"/>
      <w:r w:rsidRPr="007661F2">
        <w:rPr>
          <w:rFonts w:ascii="Book Antiqua" w:eastAsia="宋体" w:hAnsi="Book Antiqua" w:cs="宋体"/>
          <w:sz w:val="24"/>
          <w:szCs w:val="24"/>
        </w:rPr>
        <w:t xml:space="preserve"> KV. </w:t>
      </w:r>
      <w:proofErr w:type="spellStart"/>
      <w:r w:rsidRPr="007661F2">
        <w:rPr>
          <w:rFonts w:ascii="Book Antiqua" w:eastAsia="宋体" w:hAnsi="Book Antiqua" w:cs="宋体"/>
          <w:sz w:val="24"/>
          <w:szCs w:val="24"/>
        </w:rPr>
        <w:t>Sirolimus</w:t>
      </w:r>
      <w:proofErr w:type="spellEnd"/>
      <w:r w:rsidRPr="007661F2">
        <w:rPr>
          <w:rFonts w:ascii="Book Antiqua" w:eastAsia="宋体" w:hAnsi="Book Antiqua" w:cs="宋体"/>
          <w:sz w:val="24"/>
          <w:szCs w:val="24"/>
        </w:rPr>
        <w:t xml:space="preserve">-induced </w:t>
      </w:r>
      <w:proofErr w:type="spellStart"/>
      <w:r w:rsidRPr="007661F2">
        <w:rPr>
          <w:rFonts w:ascii="Book Antiqua" w:eastAsia="宋体" w:hAnsi="Book Antiqua" w:cs="宋体"/>
          <w:sz w:val="24"/>
          <w:szCs w:val="24"/>
        </w:rPr>
        <w:t>aphthous</w:t>
      </w:r>
      <w:proofErr w:type="spellEnd"/>
      <w:r w:rsidRPr="007661F2">
        <w:rPr>
          <w:rFonts w:ascii="Book Antiqua" w:eastAsia="宋体" w:hAnsi="Book Antiqua" w:cs="宋体"/>
          <w:sz w:val="24"/>
          <w:szCs w:val="24"/>
        </w:rPr>
        <w:t xml:space="preserve"> </w:t>
      </w:r>
      <w:proofErr w:type="gramStart"/>
      <w:r w:rsidRPr="007661F2">
        <w:rPr>
          <w:rFonts w:ascii="Book Antiqua" w:eastAsia="宋体" w:hAnsi="Book Antiqua" w:cs="宋体"/>
          <w:sz w:val="24"/>
          <w:szCs w:val="24"/>
        </w:rPr>
        <w:t>ulcers which</w:t>
      </w:r>
      <w:proofErr w:type="gramEnd"/>
      <w:r w:rsidRPr="007661F2">
        <w:rPr>
          <w:rFonts w:ascii="Book Antiqua" w:eastAsia="宋体" w:hAnsi="Book Antiqua" w:cs="宋体"/>
          <w:sz w:val="24"/>
          <w:szCs w:val="24"/>
        </w:rPr>
        <w:t xml:space="preserve"> disappeared with conversion to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w:t>
      </w:r>
      <w:r w:rsidRPr="007661F2">
        <w:rPr>
          <w:rFonts w:ascii="Book Antiqua" w:eastAsia="宋体" w:hAnsi="Book Antiqua" w:cs="宋体"/>
          <w:i/>
          <w:iCs/>
          <w:sz w:val="24"/>
          <w:szCs w:val="24"/>
        </w:rPr>
        <w:t xml:space="preserve">Saudi J Kidney Dis </w:t>
      </w:r>
      <w:proofErr w:type="spellStart"/>
      <w:r w:rsidRPr="007661F2">
        <w:rPr>
          <w:rFonts w:ascii="Book Antiqua" w:eastAsia="宋体" w:hAnsi="Book Antiqua" w:cs="宋体"/>
          <w:i/>
          <w:iCs/>
          <w:sz w:val="24"/>
          <w:szCs w:val="24"/>
        </w:rPr>
        <w:t>Transpl</w:t>
      </w:r>
      <w:proofErr w:type="spellEnd"/>
      <w:r w:rsidRPr="007661F2">
        <w:rPr>
          <w:rFonts w:ascii="Book Antiqua" w:eastAsia="宋体" w:hAnsi="Book Antiqua" w:cs="宋体"/>
          <w:sz w:val="24"/>
          <w:szCs w:val="24"/>
        </w:rPr>
        <w:t xml:space="preserve"> 2008; </w:t>
      </w:r>
      <w:r w:rsidRPr="007661F2">
        <w:rPr>
          <w:rFonts w:ascii="Book Antiqua" w:eastAsia="宋体" w:hAnsi="Book Antiqua" w:cs="宋体"/>
          <w:b/>
          <w:bCs/>
          <w:sz w:val="24"/>
          <w:szCs w:val="24"/>
        </w:rPr>
        <w:t>19</w:t>
      </w:r>
      <w:r w:rsidRPr="007661F2">
        <w:rPr>
          <w:rFonts w:ascii="Book Antiqua" w:eastAsia="宋体" w:hAnsi="Book Antiqua" w:cs="宋体"/>
          <w:sz w:val="24"/>
          <w:szCs w:val="24"/>
        </w:rPr>
        <w:t>: 819-820 [PMID: 18711306]</w:t>
      </w:r>
    </w:p>
    <w:p w14:paraId="335CC84E" w14:textId="639F1842" w:rsidR="007661F2" w:rsidRPr="007661F2" w:rsidRDefault="007661F2" w:rsidP="007661F2">
      <w:pPr>
        <w:spacing w:after="0" w:line="360" w:lineRule="auto"/>
        <w:jc w:val="both"/>
        <w:rPr>
          <w:rFonts w:ascii="Book Antiqua" w:eastAsia="宋体" w:hAnsi="Book Antiqua" w:cs="宋体"/>
          <w:sz w:val="24"/>
          <w:szCs w:val="24"/>
        </w:rPr>
      </w:pPr>
      <w:proofErr w:type="gramStart"/>
      <w:r w:rsidRPr="007661F2">
        <w:rPr>
          <w:rFonts w:ascii="Book Antiqua" w:eastAsia="宋体" w:hAnsi="Book Antiqua" w:cs="宋体"/>
          <w:sz w:val="24"/>
          <w:szCs w:val="24"/>
        </w:rPr>
        <w:t xml:space="preserve">47 </w:t>
      </w:r>
      <w:r w:rsidRPr="007661F2">
        <w:rPr>
          <w:rFonts w:ascii="Book Antiqua" w:eastAsia="宋体" w:hAnsi="Book Antiqua" w:cs="宋体"/>
          <w:b/>
          <w:bCs/>
          <w:sz w:val="24"/>
          <w:szCs w:val="24"/>
        </w:rPr>
        <w:t>Luca L</w:t>
      </w:r>
      <w:r w:rsidRPr="007661F2">
        <w:rPr>
          <w:rFonts w:ascii="Book Antiqua" w:eastAsia="宋体" w:hAnsi="Book Antiqua" w:cs="宋体"/>
          <w:sz w:val="24"/>
          <w:szCs w:val="24"/>
        </w:rPr>
        <w:t xml:space="preserve">, Westbrook R, </w:t>
      </w:r>
      <w:proofErr w:type="spellStart"/>
      <w:r w:rsidRPr="007661F2">
        <w:rPr>
          <w:rFonts w:ascii="Book Antiqua" w:eastAsia="宋体" w:hAnsi="Book Antiqua" w:cs="宋体"/>
          <w:sz w:val="24"/>
          <w:szCs w:val="24"/>
        </w:rPr>
        <w:t>Tsochatzis</w:t>
      </w:r>
      <w:proofErr w:type="spellEnd"/>
      <w:r w:rsidRPr="007661F2">
        <w:rPr>
          <w:rFonts w:ascii="Book Antiqua" w:eastAsia="宋体" w:hAnsi="Book Antiqua" w:cs="宋体"/>
          <w:sz w:val="24"/>
          <w:szCs w:val="24"/>
        </w:rPr>
        <w:t xml:space="preserve"> EA.</w:t>
      </w:r>
      <w:proofErr w:type="gramEnd"/>
      <w:r w:rsidRPr="007661F2">
        <w:rPr>
          <w:rFonts w:ascii="Book Antiqua" w:eastAsia="宋体" w:hAnsi="Book Antiqua" w:cs="宋体"/>
          <w:sz w:val="24"/>
          <w:szCs w:val="24"/>
        </w:rPr>
        <w:t xml:space="preserve"> Metabolic and cardiovascular complications in the liver transplant recipient. </w:t>
      </w:r>
      <w:r w:rsidRPr="007661F2">
        <w:rPr>
          <w:rFonts w:ascii="Book Antiqua" w:eastAsia="宋体" w:hAnsi="Book Antiqua" w:cs="宋体"/>
          <w:i/>
          <w:iCs/>
          <w:sz w:val="24"/>
          <w:szCs w:val="24"/>
        </w:rPr>
        <w:t xml:space="preserve">Ann </w:t>
      </w:r>
      <w:proofErr w:type="spellStart"/>
      <w:r w:rsidRPr="007661F2">
        <w:rPr>
          <w:rFonts w:ascii="Book Antiqua" w:eastAsia="宋体" w:hAnsi="Book Antiqua" w:cs="宋体"/>
          <w:i/>
          <w:iCs/>
          <w:sz w:val="24"/>
          <w:szCs w:val="24"/>
        </w:rPr>
        <w:t>Gastroenterol</w:t>
      </w:r>
      <w:proofErr w:type="spellEnd"/>
      <w:r w:rsidRPr="007661F2">
        <w:rPr>
          <w:rFonts w:ascii="Book Antiqua" w:eastAsia="宋体" w:hAnsi="Book Antiqua" w:cs="宋体"/>
          <w:sz w:val="24"/>
          <w:szCs w:val="24"/>
        </w:rPr>
        <w:t xml:space="preserve"> </w:t>
      </w:r>
      <w:r w:rsidR="00D517FC">
        <w:rPr>
          <w:rFonts w:ascii="Book Antiqua" w:eastAsia="宋体" w:hAnsi="Book Antiqua" w:cs="宋体" w:hint="eastAsia"/>
          <w:sz w:val="24"/>
          <w:szCs w:val="24"/>
        </w:rPr>
        <w:t>2015</w:t>
      </w:r>
      <w:r w:rsidRPr="007661F2">
        <w:rPr>
          <w:rFonts w:ascii="Book Antiqua" w:eastAsia="宋体" w:hAnsi="Book Antiqua" w:cs="宋体"/>
          <w:sz w:val="24"/>
          <w:szCs w:val="24"/>
        </w:rPr>
        <w:t xml:space="preserve">; </w:t>
      </w:r>
      <w:r w:rsidRPr="007661F2">
        <w:rPr>
          <w:rFonts w:ascii="Book Antiqua" w:eastAsia="宋体" w:hAnsi="Book Antiqua" w:cs="宋体"/>
          <w:b/>
          <w:bCs/>
          <w:sz w:val="24"/>
          <w:szCs w:val="24"/>
        </w:rPr>
        <w:t>28</w:t>
      </w:r>
      <w:r w:rsidRPr="007661F2">
        <w:rPr>
          <w:rFonts w:ascii="Book Antiqua" w:eastAsia="宋体" w:hAnsi="Book Antiqua" w:cs="宋体"/>
          <w:sz w:val="24"/>
          <w:szCs w:val="24"/>
        </w:rPr>
        <w:t>: 183-192 [PMID: 25830307]</w:t>
      </w:r>
    </w:p>
    <w:p w14:paraId="097D2990"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48 </w:t>
      </w:r>
      <w:r w:rsidRPr="007661F2">
        <w:rPr>
          <w:rFonts w:ascii="Book Antiqua" w:eastAsia="宋体" w:hAnsi="Book Antiqua" w:cs="宋体"/>
          <w:b/>
          <w:bCs/>
          <w:sz w:val="24"/>
          <w:szCs w:val="24"/>
        </w:rPr>
        <w:t>De Simone P</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Fagiuoli</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Cescon</w:t>
      </w:r>
      <w:proofErr w:type="spellEnd"/>
      <w:r w:rsidRPr="007661F2">
        <w:rPr>
          <w:rFonts w:ascii="Book Antiqua" w:eastAsia="宋体" w:hAnsi="Book Antiqua" w:cs="宋体"/>
          <w:sz w:val="24"/>
          <w:szCs w:val="24"/>
        </w:rPr>
        <w:t xml:space="preserve"> M, De </w:t>
      </w:r>
      <w:proofErr w:type="spellStart"/>
      <w:r w:rsidRPr="007661F2">
        <w:rPr>
          <w:rFonts w:ascii="Book Antiqua" w:eastAsia="宋体" w:hAnsi="Book Antiqua" w:cs="宋体"/>
          <w:sz w:val="24"/>
          <w:szCs w:val="24"/>
        </w:rPr>
        <w:t>Carlis</w:t>
      </w:r>
      <w:proofErr w:type="spellEnd"/>
      <w:r w:rsidRPr="007661F2">
        <w:rPr>
          <w:rFonts w:ascii="Book Antiqua" w:eastAsia="宋体" w:hAnsi="Book Antiqua" w:cs="宋体"/>
          <w:sz w:val="24"/>
          <w:szCs w:val="24"/>
        </w:rPr>
        <w:t xml:space="preserve"> L, </w:t>
      </w:r>
      <w:proofErr w:type="spellStart"/>
      <w:r w:rsidRPr="007661F2">
        <w:rPr>
          <w:rFonts w:ascii="Book Antiqua" w:eastAsia="宋体" w:hAnsi="Book Antiqua" w:cs="宋体"/>
          <w:sz w:val="24"/>
          <w:szCs w:val="24"/>
        </w:rPr>
        <w:t>Tisone</w:t>
      </w:r>
      <w:proofErr w:type="spellEnd"/>
      <w:r w:rsidRPr="007661F2">
        <w:rPr>
          <w:rFonts w:ascii="Book Antiqua" w:eastAsia="宋体" w:hAnsi="Book Antiqua" w:cs="宋体"/>
          <w:sz w:val="24"/>
          <w:szCs w:val="24"/>
        </w:rPr>
        <w:t xml:space="preserve"> G, </w:t>
      </w:r>
      <w:proofErr w:type="spellStart"/>
      <w:r w:rsidRPr="007661F2">
        <w:rPr>
          <w:rFonts w:ascii="Book Antiqua" w:eastAsia="宋体" w:hAnsi="Book Antiqua" w:cs="宋体"/>
          <w:sz w:val="24"/>
          <w:szCs w:val="24"/>
        </w:rPr>
        <w:t>Volpes</w:t>
      </w:r>
      <w:proofErr w:type="spellEnd"/>
      <w:r w:rsidRPr="007661F2">
        <w:rPr>
          <w:rFonts w:ascii="Book Antiqua" w:eastAsia="宋体" w:hAnsi="Book Antiqua" w:cs="宋体"/>
          <w:sz w:val="24"/>
          <w:szCs w:val="24"/>
        </w:rPr>
        <w:t xml:space="preserve"> R, </w:t>
      </w:r>
      <w:proofErr w:type="spellStart"/>
      <w:r w:rsidRPr="007661F2">
        <w:rPr>
          <w:rFonts w:ascii="Book Antiqua" w:eastAsia="宋体" w:hAnsi="Book Antiqua" w:cs="宋体"/>
          <w:sz w:val="24"/>
          <w:szCs w:val="24"/>
        </w:rPr>
        <w:t>Cillo</w:t>
      </w:r>
      <w:proofErr w:type="spellEnd"/>
      <w:r w:rsidRPr="007661F2">
        <w:rPr>
          <w:rFonts w:ascii="Book Antiqua" w:eastAsia="宋体" w:hAnsi="Book Antiqua" w:cs="宋体"/>
          <w:sz w:val="24"/>
          <w:szCs w:val="24"/>
        </w:rPr>
        <w:t xml:space="preserve"> U. Use of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in Liver Transplantation: Recommendations From a Working Group. </w:t>
      </w:r>
      <w:r w:rsidRPr="007661F2">
        <w:rPr>
          <w:rFonts w:ascii="Book Antiqua" w:eastAsia="宋体" w:hAnsi="Book Antiqua" w:cs="宋体"/>
          <w:i/>
          <w:iCs/>
          <w:sz w:val="24"/>
          <w:szCs w:val="24"/>
        </w:rPr>
        <w:t>Transplantation</w:t>
      </w:r>
      <w:r w:rsidRPr="007661F2">
        <w:rPr>
          <w:rFonts w:ascii="Book Antiqua" w:eastAsia="宋体" w:hAnsi="Book Antiqua" w:cs="宋体"/>
          <w:sz w:val="24"/>
          <w:szCs w:val="24"/>
        </w:rPr>
        <w:t xml:space="preserve"> 2017; </w:t>
      </w:r>
      <w:r w:rsidRPr="007661F2">
        <w:rPr>
          <w:rFonts w:ascii="Book Antiqua" w:eastAsia="宋体" w:hAnsi="Book Antiqua" w:cs="宋体"/>
          <w:b/>
          <w:bCs/>
          <w:sz w:val="24"/>
          <w:szCs w:val="24"/>
        </w:rPr>
        <w:t>101</w:t>
      </w:r>
      <w:r w:rsidRPr="007661F2">
        <w:rPr>
          <w:rFonts w:ascii="Book Antiqua" w:eastAsia="宋体" w:hAnsi="Book Antiqua" w:cs="宋体"/>
          <w:sz w:val="24"/>
          <w:szCs w:val="24"/>
        </w:rPr>
        <w:t>: 239-251 [PMID: 27495768 DOI: 10.1097/TP.0000000000001438]</w:t>
      </w:r>
    </w:p>
    <w:p w14:paraId="21B028E5" w14:textId="77777777" w:rsidR="007661F2" w:rsidRPr="007661F2" w:rsidRDefault="007661F2" w:rsidP="007661F2">
      <w:pPr>
        <w:spacing w:after="0" w:line="360" w:lineRule="auto"/>
        <w:jc w:val="both"/>
        <w:rPr>
          <w:rFonts w:ascii="Book Antiqua" w:eastAsia="宋体" w:hAnsi="Book Antiqua" w:cs="宋体"/>
          <w:sz w:val="24"/>
          <w:szCs w:val="24"/>
        </w:rPr>
      </w:pPr>
      <w:r w:rsidRPr="007661F2">
        <w:rPr>
          <w:rFonts w:ascii="Book Antiqua" w:eastAsia="宋体" w:hAnsi="Book Antiqua" w:cs="宋体"/>
          <w:sz w:val="24"/>
          <w:szCs w:val="24"/>
        </w:rPr>
        <w:t xml:space="preserve">49 </w:t>
      </w:r>
      <w:proofErr w:type="spellStart"/>
      <w:r w:rsidRPr="007661F2">
        <w:rPr>
          <w:rFonts w:ascii="Book Antiqua" w:eastAsia="宋体" w:hAnsi="Book Antiqua" w:cs="宋体"/>
          <w:b/>
          <w:bCs/>
          <w:sz w:val="24"/>
          <w:szCs w:val="24"/>
        </w:rPr>
        <w:t>Dumortier</w:t>
      </w:r>
      <w:proofErr w:type="spellEnd"/>
      <w:r w:rsidRPr="007661F2">
        <w:rPr>
          <w:rFonts w:ascii="Book Antiqua" w:eastAsia="宋体" w:hAnsi="Book Antiqua" w:cs="宋体"/>
          <w:b/>
          <w:bCs/>
          <w:sz w:val="24"/>
          <w:szCs w:val="24"/>
        </w:rPr>
        <w:t xml:space="preserve"> J</w:t>
      </w:r>
      <w:r w:rsidRPr="007661F2">
        <w:rPr>
          <w:rFonts w:ascii="Book Antiqua" w:eastAsia="宋体" w:hAnsi="Book Antiqua" w:cs="宋体"/>
          <w:sz w:val="24"/>
          <w:szCs w:val="24"/>
        </w:rPr>
        <w:t xml:space="preserve">, </w:t>
      </w:r>
      <w:proofErr w:type="spellStart"/>
      <w:r w:rsidRPr="007661F2">
        <w:rPr>
          <w:rFonts w:ascii="Book Antiqua" w:eastAsia="宋体" w:hAnsi="Book Antiqua" w:cs="宋体"/>
          <w:sz w:val="24"/>
          <w:szCs w:val="24"/>
        </w:rPr>
        <w:t>Dharancy</w:t>
      </w:r>
      <w:proofErr w:type="spellEnd"/>
      <w:r w:rsidRPr="007661F2">
        <w:rPr>
          <w:rFonts w:ascii="Book Antiqua" w:eastAsia="宋体" w:hAnsi="Book Antiqua" w:cs="宋体"/>
          <w:sz w:val="24"/>
          <w:szCs w:val="24"/>
        </w:rPr>
        <w:t xml:space="preserve"> S, </w:t>
      </w:r>
      <w:proofErr w:type="spellStart"/>
      <w:r w:rsidRPr="007661F2">
        <w:rPr>
          <w:rFonts w:ascii="Book Antiqua" w:eastAsia="宋体" w:hAnsi="Book Antiqua" w:cs="宋体"/>
          <w:sz w:val="24"/>
          <w:szCs w:val="24"/>
        </w:rPr>
        <w:t>Calmus</w:t>
      </w:r>
      <w:proofErr w:type="spellEnd"/>
      <w:r w:rsidRPr="007661F2">
        <w:rPr>
          <w:rFonts w:ascii="Book Antiqua" w:eastAsia="宋体" w:hAnsi="Book Antiqua" w:cs="宋体"/>
          <w:sz w:val="24"/>
          <w:szCs w:val="24"/>
        </w:rPr>
        <w:t xml:space="preserve"> Y, </w:t>
      </w:r>
      <w:proofErr w:type="spellStart"/>
      <w:r w:rsidRPr="007661F2">
        <w:rPr>
          <w:rFonts w:ascii="Book Antiqua" w:eastAsia="宋体" w:hAnsi="Book Antiqua" w:cs="宋体"/>
          <w:sz w:val="24"/>
          <w:szCs w:val="24"/>
        </w:rPr>
        <w:t>Duvoux</w:t>
      </w:r>
      <w:proofErr w:type="spellEnd"/>
      <w:r w:rsidRPr="007661F2">
        <w:rPr>
          <w:rFonts w:ascii="Book Antiqua" w:eastAsia="宋体" w:hAnsi="Book Antiqua" w:cs="宋体"/>
          <w:sz w:val="24"/>
          <w:szCs w:val="24"/>
        </w:rPr>
        <w:t xml:space="preserve"> C, Durand F, </w:t>
      </w:r>
      <w:proofErr w:type="spellStart"/>
      <w:r w:rsidRPr="007661F2">
        <w:rPr>
          <w:rFonts w:ascii="Book Antiqua" w:eastAsia="宋体" w:hAnsi="Book Antiqua" w:cs="宋体"/>
          <w:sz w:val="24"/>
          <w:szCs w:val="24"/>
        </w:rPr>
        <w:t>Salamé</w:t>
      </w:r>
      <w:proofErr w:type="spellEnd"/>
      <w:r w:rsidRPr="007661F2">
        <w:rPr>
          <w:rFonts w:ascii="Book Antiqua" w:eastAsia="宋体" w:hAnsi="Book Antiqua" w:cs="宋体"/>
          <w:sz w:val="24"/>
          <w:szCs w:val="24"/>
        </w:rPr>
        <w:t xml:space="preserve"> E, </w:t>
      </w:r>
      <w:proofErr w:type="spellStart"/>
      <w:r w:rsidRPr="007661F2">
        <w:rPr>
          <w:rFonts w:ascii="Book Antiqua" w:eastAsia="宋体" w:hAnsi="Book Antiqua" w:cs="宋体"/>
          <w:sz w:val="24"/>
          <w:szCs w:val="24"/>
        </w:rPr>
        <w:t>Saliba</w:t>
      </w:r>
      <w:proofErr w:type="spellEnd"/>
      <w:r w:rsidRPr="007661F2">
        <w:rPr>
          <w:rFonts w:ascii="Book Antiqua" w:eastAsia="宋体" w:hAnsi="Book Antiqua" w:cs="宋体"/>
          <w:sz w:val="24"/>
          <w:szCs w:val="24"/>
        </w:rPr>
        <w:t xml:space="preserve"> F. Use of </w:t>
      </w:r>
      <w:proofErr w:type="spellStart"/>
      <w:r w:rsidRPr="007661F2">
        <w:rPr>
          <w:rFonts w:ascii="Book Antiqua" w:eastAsia="宋体" w:hAnsi="Book Antiqua" w:cs="宋体"/>
          <w:sz w:val="24"/>
          <w:szCs w:val="24"/>
        </w:rPr>
        <w:t>everolimus</w:t>
      </w:r>
      <w:proofErr w:type="spellEnd"/>
      <w:r w:rsidRPr="007661F2">
        <w:rPr>
          <w:rFonts w:ascii="Book Antiqua" w:eastAsia="宋体" w:hAnsi="Book Antiqua" w:cs="宋体"/>
          <w:sz w:val="24"/>
          <w:szCs w:val="24"/>
        </w:rPr>
        <w:t xml:space="preserve"> in liver transplantation: The French experience. </w:t>
      </w:r>
      <w:r w:rsidRPr="007661F2">
        <w:rPr>
          <w:rFonts w:ascii="Book Antiqua" w:eastAsia="宋体" w:hAnsi="Book Antiqua" w:cs="宋体"/>
          <w:i/>
          <w:iCs/>
          <w:sz w:val="24"/>
          <w:szCs w:val="24"/>
        </w:rPr>
        <w:t>Transplant Rev (Orlando)</w:t>
      </w:r>
      <w:r w:rsidRPr="007661F2">
        <w:rPr>
          <w:rFonts w:ascii="Book Antiqua" w:eastAsia="宋体" w:hAnsi="Book Antiqua" w:cs="宋体"/>
          <w:sz w:val="24"/>
          <w:szCs w:val="24"/>
        </w:rPr>
        <w:t xml:space="preserve"> 2016; </w:t>
      </w:r>
      <w:r w:rsidRPr="007661F2">
        <w:rPr>
          <w:rFonts w:ascii="Book Antiqua" w:eastAsia="宋体" w:hAnsi="Book Antiqua" w:cs="宋体"/>
          <w:b/>
          <w:bCs/>
          <w:sz w:val="24"/>
          <w:szCs w:val="24"/>
        </w:rPr>
        <w:t>30</w:t>
      </w:r>
      <w:r w:rsidRPr="007661F2">
        <w:rPr>
          <w:rFonts w:ascii="Book Antiqua" w:eastAsia="宋体" w:hAnsi="Book Antiqua" w:cs="宋体"/>
          <w:sz w:val="24"/>
          <w:szCs w:val="24"/>
        </w:rPr>
        <w:t>: 161-170 [PMID: 27083870 DOI: 10.1016/j.trre.2015.12.003]</w:t>
      </w:r>
    </w:p>
    <w:p w14:paraId="1C01C7A6" w14:textId="77777777" w:rsidR="00706ACA" w:rsidRPr="007661F2" w:rsidRDefault="00706ACA" w:rsidP="00D517FC">
      <w:pPr>
        <w:spacing w:after="0" w:line="360" w:lineRule="auto"/>
        <w:jc w:val="right"/>
        <w:rPr>
          <w:rFonts w:ascii="Book Antiqua" w:hAnsi="Book Antiqua" w:cstheme="minorHAnsi"/>
          <w:sz w:val="24"/>
          <w:szCs w:val="24"/>
        </w:rPr>
      </w:pPr>
    </w:p>
    <w:p w14:paraId="741A2EF8" w14:textId="46649700" w:rsidR="00016F09" w:rsidRPr="007661F2" w:rsidRDefault="00016F09" w:rsidP="00D517FC">
      <w:pPr>
        <w:pStyle w:val="PlainText"/>
        <w:spacing w:line="360" w:lineRule="auto"/>
        <w:jc w:val="right"/>
        <w:rPr>
          <w:rFonts w:ascii="Book Antiqua" w:hAnsi="Book Antiqua"/>
          <w:b/>
          <w:sz w:val="24"/>
          <w:szCs w:val="24"/>
        </w:rPr>
      </w:pPr>
      <w:r w:rsidRPr="007661F2">
        <w:rPr>
          <w:rFonts w:ascii="Book Antiqua" w:hAnsi="Book Antiqua"/>
          <w:b/>
          <w:sz w:val="24"/>
          <w:szCs w:val="24"/>
        </w:rPr>
        <w:t xml:space="preserve">P-Reviewer: </w:t>
      </w:r>
      <w:r w:rsidR="00706ACA" w:rsidRPr="007661F2">
        <w:rPr>
          <w:rFonts w:ascii="Book Antiqua" w:hAnsi="Book Antiqua"/>
          <w:sz w:val="24"/>
          <w:szCs w:val="24"/>
        </w:rPr>
        <w:t xml:space="preserve">Carter WG, </w:t>
      </w:r>
      <w:proofErr w:type="spellStart"/>
      <w:r w:rsidR="00706ACA" w:rsidRPr="007661F2">
        <w:rPr>
          <w:rFonts w:ascii="Book Antiqua" w:hAnsi="Book Antiqua"/>
          <w:sz w:val="24"/>
          <w:szCs w:val="24"/>
        </w:rPr>
        <w:t>Demonacos</w:t>
      </w:r>
      <w:proofErr w:type="spellEnd"/>
      <w:r w:rsidR="00706ACA" w:rsidRPr="007661F2">
        <w:rPr>
          <w:rFonts w:ascii="Book Antiqua" w:hAnsi="Book Antiqua"/>
          <w:sz w:val="24"/>
          <w:szCs w:val="24"/>
        </w:rPr>
        <w:t xml:space="preserve"> C </w:t>
      </w:r>
      <w:r w:rsidRPr="007661F2">
        <w:rPr>
          <w:rFonts w:ascii="Book Antiqua" w:hAnsi="Book Antiqua"/>
          <w:b/>
          <w:sz w:val="24"/>
          <w:szCs w:val="24"/>
        </w:rPr>
        <w:t xml:space="preserve">S-Editor: </w:t>
      </w:r>
      <w:proofErr w:type="spellStart"/>
      <w:r w:rsidRPr="007661F2">
        <w:rPr>
          <w:rFonts w:ascii="Book Antiqua" w:hAnsi="Book Antiqua"/>
          <w:sz w:val="24"/>
          <w:szCs w:val="24"/>
        </w:rPr>
        <w:t>Ji</w:t>
      </w:r>
      <w:proofErr w:type="spellEnd"/>
      <w:r w:rsidRPr="007661F2">
        <w:rPr>
          <w:rFonts w:ascii="Book Antiqua" w:hAnsi="Book Antiqua"/>
          <w:sz w:val="24"/>
          <w:szCs w:val="24"/>
        </w:rPr>
        <w:t xml:space="preserve"> FF</w:t>
      </w:r>
      <w:r w:rsidRPr="007661F2">
        <w:rPr>
          <w:rFonts w:ascii="Book Antiqua" w:hAnsi="Book Antiqua"/>
          <w:b/>
          <w:sz w:val="24"/>
          <w:szCs w:val="24"/>
        </w:rPr>
        <w:t xml:space="preserve"> L-Editor: E-Editor: </w:t>
      </w:r>
    </w:p>
    <w:p w14:paraId="2B88D98E" w14:textId="77777777" w:rsidR="00016F09" w:rsidRPr="007661F2" w:rsidRDefault="00016F09" w:rsidP="007661F2">
      <w:pPr>
        <w:pStyle w:val="PlainText"/>
        <w:spacing w:line="360" w:lineRule="auto"/>
        <w:rPr>
          <w:rFonts w:ascii="Book Antiqua" w:hAnsi="Book Antiqua"/>
          <w:b/>
          <w:sz w:val="24"/>
          <w:szCs w:val="24"/>
        </w:rPr>
      </w:pPr>
      <w:r w:rsidRPr="007661F2">
        <w:rPr>
          <w:rFonts w:ascii="Book Antiqua" w:hAnsi="Book Antiqua"/>
          <w:b/>
          <w:sz w:val="24"/>
          <w:szCs w:val="24"/>
        </w:rPr>
        <w:t xml:space="preserve"> </w:t>
      </w:r>
    </w:p>
    <w:p w14:paraId="3C0EE0FF" w14:textId="77777777" w:rsidR="00016F09" w:rsidRPr="007661F2" w:rsidRDefault="00016F09" w:rsidP="007661F2">
      <w:pPr>
        <w:snapToGrid w:val="0"/>
        <w:spacing w:after="0" w:line="360" w:lineRule="auto"/>
        <w:jc w:val="both"/>
        <w:rPr>
          <w:rFonts w:ascii="Book Antiqua" w:eastAsia="宋体" w:hAnsi="Book Antiqua" w:cs="Helvetica"/>
          <w:b/>
          <w:sz w:val="24"/>
          <w:szCs w:val="24"/>
        </w:rPr>
      </w:pPr>
      <w:r w:rsidRPr="007661F2">
        <w:rPr>
          <w:rFonts w:ascii="Book Antiqua" w:eastAsia="宋体" w:hAnsi="Book Antiqua" w:cs="Helvetica"/>
          <w:b/>
          <w:sz w:val="24"/>
          <w:szCs w:val="24"/>
        </w:rPr>
        <w:t xml:space="preserve">Specialty type: </w:t>
      </w:r>
      <w:r w:rsidRPr="007661F2">
        <w:rPr>
          <w:rFonts w:ascii="Book Antiqua" w:eastAsia="宋体" w:hAnsi="Book Antiqua" w:cs="Helvetica"/>
          <w:sz w:val="24"/>
          <w:szCs w:val="24"/>
        </w:rPr>
        <w:t xml:space="preserve">Gastroenterology and </w:t>
      </w:r>
      <w:proofErr w:type="spellStart"/>
      <w:r w:rsidRPr="007661F2">
        <w:rPr>
          <w:rFonts w:ascii="Book Antiqua" w:eastAsia="宋体" w:hAnsi="Book Antiqua" w:cs="Helvetica"/>
          <w:sz w:val="24"/>
          <w:szCs w:val="24"/>
        </w:rPr>
        <w:t>hepatology</w:t>
      </w:r>
      <w:proofErr w:type="spellEnd"/>
    </w:p>
    <w:p w14:paraId="21DA6A42" w14:textId="5B8E9CD7" w:rsidR="00016F09" w:rsidRPr="007661F2" w:rsidRDefault="00016F09" w:rsidP="007661F2">
      <w:pPr>
        <w:snapToGrid w:val="0"/>
        <w:spacing w:after="0" w:line="360" w:lineRule="auto"/>
        <w:jc w:val="both"/>
        <w:rPr>
          <w:rFonts w:ascii="Book Antiqua" w:eastAsia="宋体" w:hAnsi="Book Antiqua" w:cs="Helvetica"/>
          <w:b/>
          <w:sz w:val="24"/>
          <w:szCs w:val="24"/>
        </w:rPr>
      </w:pPr>
      <w:r w:rsidRPr="007661F2">
        <w:rPr>
          <w:rFonts w:ascii="Book Antiqua" w:eastAsia="宋体" w:hAnsi="Book Antiqua" w:cs="Helvetica"/>
          <w:b/>
          <w:sz w:val="24"/>
          <w:szCs w:val="24"/>
        </w:rPr>
        <w:t xml:space="preserve">Country of origin: </w:t>
      </w:r>
      <w:r w:rsidR="00706ACA" w:rsidRPr="007661F2">
        <w:rPr>
          <w:rFonts w:ascii="Book Antiqua" w:eastAsia="宋体" w:hAnsi="Book Antiqua"/>
          <w:sz w:val="24"/>
          <w:szCs w:val="24"/>
        </w:rPr>
        <w:t>Singapore</w:t>
      </w:r>
    </w:p>
    <w:p w14:paraId="532B34BA" w14:textId="77777777" w:rsidR="00016F09" w:rsidRPr="007661F2" w:rsidRDefault="00016F09" w:rsidP="007661F2">
      <w:pPr>
        <w:snapToGrid w:val="0"/>
        <w:spacing w:after="0" w:line="360" w:lineRule="auto"/>
        <w:jc w:val="both"/>
        <w:rPr>
          <w:rFonts w:ascii="Book Antiqua" w:eastAsia="宋体" w:hAnsi="Book Antiqua" w:cs="Helvetica"/>
          <w:b/>
          <w:sz w:val="24"/>
          <w:szCs w:val="24"/>
        </w:rPr>
      </w:pPr>
      <w:r w:rsidRPr="007661F2">
        <w:rPr>
          <w:rFonts w:ascii="Book Antiqua" w:eastAsia="宋体" w:hAnsi="Book Antiqua" w:cs="Helvetica"/>
          <w:b/>
          <w:sz w:val="24"/>
          <w:szCs w:val="24"/>
        </w:rPr>
        <w:t>Peer-review report classification</w:t>
      </w:r>
    </w:p>
    <w:p w14:paraId="3B9299BD" w14:textId="77777777" w:rsidR="00016F09" w:rsidRPr="007661F2" w:rsidRDefault="00016F09" w:rsidP="007661F2">
      <w:pPr>
        <w:snapToGrid w:val="0"/>
        <w:spacing w:after="0" w:line="360" w:lineRule="auto"/>
        <w:jc w:val="both"/>
        <w:rPr>
          <w:rFonts w:ascii="Book Antiqua" w:eastAsia="宋体" w:hAnsi="Book Antiqua" w:cs="Helvetica"/>
          <w:sz w:val="24"/>
          <w:szCs w:val="24"/>
        </w:rPr>
      </w:pPr>
      <w:r w:rsidRPr="007661F2">
        <w:rPr>
          <w:rFonts w:ascii="Book Antiqua" w:eastAsia="宋体" w:hAnsi="Book Antiqua" w:cs="Helvetica"/>
          <w:sz w:val="24"/>
          <w:szCs w:val="24"/>
        </w:rPr>
        <w:t>Grade A (Excellent): A</w:t>
      </w:r>
    </w:p>
    <w:p w14:paraId="0220BD28" w14:textId="77777777" w:rsidR="00016F09" w:rsidRPr="007661F2" w:rsidRDefault="00016F09" w:rsidP="007661F2">
      <w:pPr>
        <w:snapToGrid w:val="0"/>
        <w:spacing w:after="0" w:line="360" w:lineRule="auto"/>
        <w:jc w:val="both"/>
        <w:rPr>
          <w:rFonts w:ascii="Book Antiqua" w:eastAsia="宋体" w:hAnsi="Book Antiqua" w:cs="Helvetica"/>
          <w:sz w:val="24"/>
          <w:szCs w:val="24"/>
        </w:rPr>
      </w:pPr>
      <w:r w:rsidRPr="007661F2">
        <w:rPr>
          <w:rFonts w:ascii="Book Antiqua" w:eastAsia="宋体" w:hAnsi="Book Antiqua" w:cs="Helvetica"/>
          <w:sz w:val="24"/>
          <w:szCs w:val="24"/>
        </w:rPr>
        <w:t>Grade B (Very good): B</w:t>
      </w:r>
    </w:p>
    <w:p w14:paraId="3D0564AC" w14:textId="3FF7C803" w:rsidR="00016F09" w:rsidRPr="007661F2" w:rsidRDefault="00016F09" w:rsidP="007661F2">
      <w:pPr>
        <w:snapToGrid w:val="0"/>
        <w:spacing w:after="0" w:line="360" w:lineRule="auto"/>
        <w:jc w:val="both"/>
        <w:rPr>
          <w:rFonts w:ascii="Book Antiqua" w:eastAsia="宋体" w:hAnsi="Book Antiqua" w:cs="Helvetica"/>
          <w:sz w:val="24"/>
          <w:szCs w:val="24"/>
        </w:rPr>
      </w:pPr>
      <w:r w:rsidRPr="007661F2">
        <w:rPr>
          <w:rFonts w:ascii="Book Antiqua" w:eastAsia="宋体" w:hAnsi="Book Antiqua" w:cs="Helvetica"/>
          <w:sz w:val="24"/>
          <w:szCs w:val="24"/>
        </w:rPr>
        <w:t xml:space="preserve">Grade C (Good): </w:t>
      </w:r>
      <w:r w:rsidR="00706ACA" w:rsidRPr="007661F2">
        <w:rPr>
          <w:rFonts w:ascii="Book Antiqua" w:eastAsia="宋体" w:hAnsi="Book Antiqua" w:cs="Helvetica"/>
          <w:sz w:val="24"/>
          <w:szCs w:val="24"/>
        </w:rPr>
        <w:t>0</w:t>
      </w:r>
    </w:p>
    <w:p w14:paraId="12F3FCB9" w14:textId="77777777" w:rsidR="00016F09" w:rsidRPr="004A7441" w:rsidRDefault="00016F09" w:rsidP="00016F09">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D (Fair): </w:t>
      </w:r>
      <w:r w:rsidRPr="004A7441">
        <w:rPr>
          <w:rFonts w:ascii="Book Antiqua" w:eastAsia="宋体" w:hAnsi="Book Antiqua" w:cs="Helvetica" w:hint="eastAsia"/>
          <w:sz w:val="24"/>
          <w:szCs w:val="24"/>
        </w:rPr>
        <w:t>0</w:t>
      </w:r>
    </w:p>
    <w:p w14:paraId="3532EE58" w14:textId="77777777" w:rsidR="00016F09" w:rsidRPr="00456244" w:rsidRDefault="00016F09" w:rsidP="00016F09">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14:paraId="6D8C4AA0" w14:textId="64148A2E" w:rsidR="00FB59DF" w:rsidRDefault="00FB59DF">
      <w:pPr>
        <w:rPr>
          <w:rFonts w:ascii="Book Antiqua" w:hAnsi="Book Antiqua" w:cstheme="minorHAnsi"/>
          <w:sz w:val="24"/>
          <w:szCs w:val="24"/>
        </w:rPr>
      </w:pPr>
      <w:r>
        <w:rPr>
          <w:rFonts w:ascii="Book Antiqua" w:hAnsi="Book Antiqua" w:cstheme="minorHAnsi"/>
          <w:sz w:val="24"/>
          <w:szCs w:val="24"/>
        </w:rPr>
        <w:br w:type="page"/>
      </w:r>
    </w:p>
    <w:p w14:paraId="1513E0EC" w14:textId="77777777" w:rsidR="00FB59DF" w:rsidRPr="006212FF" w:rsidRDefault="00FB59DF" w:rsidP="00FB59DF">
      <w:pPr>
        <w:spacing w:after="0" w:line="360" w:lineRule="auto"/>
        <w:jc w:val="both"/>
        <w:rPr>
          <w:rFonts w:ascii="Book Antiqua" w:hAnsi="Book Antiqua"/>
          <w:sz w:val="24"/>
          <w:szCs w:val="24"/>
        </w:rPr>
      </w:pPr>
      <w:r w:rsidRPr="006212FF">
        <w:rPr>
          <w:rFonts w:ascii="Book Antiqua" w:hAnsi="Book Antiqua"/>
          <w:noProof/>
          <w:sz w:val="24"/>
          <w:szCs w:val="24"/>
          <w:lang w:eastAsia="en-US"/>
        </w:rPr>
        <w:lastRenderedPageBreak/>
        <w:drawing>
          <wp:inline distT="0" distB="0" distL="0" distR="0" wp14:anchorId="0FEB816B" wp14:editId="58D094B3">
            <wp:extent cx="4162425" cy="2952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62425" cy="2952750"/>
                    </a:xfrm>
                    <a:prstGeom prst="rect">
                      <a:avLst/>
                    </a:prstGeom>
                  </pic:spPr>
                </pic:pic>
              </a:graphicData>
            </a:graphic>
          </wp:inline>
        </w:drawing>
      </w:r>
    </w:p>
    <w:p w14:paraId="36A87363" w14:textId="77777777" w:rsidR="00FB59DF" w:rsidRPr="00093E43" w:rsidRDefault="00FB59DF" w:rsidP="00FB59DF">
      <w:pPr>
        <w:spacing w:after="0" w:line="360" w:lineRule="auto"/>
        <w:jc w:val="both"/>
        <w:rPr>
          <w:rFonts w:ascii="Book Antiqua" w:hAnsi="Book Antiqua"/>
          <w:b/>
          <w:sz w:val="24"/>
          <w:szCs w:val="24"/>
        </w:rPr>
      </w:pPr>
      <w:r w:rsidRPr="00093E43">
        <w:rPr>
          <w:rFonts w:ascii="Book Antiqua" w:hAnsi="Book Antiqua"/>
          <w:b/>
          <w:sz w:val="24"/>
          <w:szCs w:val="24"/>
        </w:rPr>
        <w:t xml:space="preserve">Figure 1 Mechanism of action of efficacy of </w:t>
      </w:r>
      <w:proofErr w:type="spellStart"/>
      <w:r w:rsidRPr="00093E43">
        <w:rPr>
          <w:rFonts w:ascii="Book Antiqua" w:hAnsi="Book Antiqua"/>
          <w:b/>
          <w:sz w:val="24"/>
          <w:szCs w:val="24"/>
        </w:rPr>
        <w:t>everolimus</w:t>
      </w:r>
      <w:proofErr w:type="spellEnd"/>
      <w:r w:rsidRPr="00093E43">
        <w:rPr>
          <w:rFonts w:ascii="Book Antiqua" w:hAnsi="Book Antiqua"/>
          <w:b/>
          <w:sz w:val="24"/>
          <w:szCs w:val="24"/>
        </w:rPr>
        <w:t xml:space="preserve"> and other </w:t>
      </w:r>
      <w:proofErr w:type="spellStart"/>
      <w:r w:rsidRPr="00093E43">
        <w:rPr>
          <w:rFonts w:ascii="Book Antiqua" w:hAnsi="Book Antiqua"/>
          <w:b/>
          <w:sz w:val="24"/>
          <w:szCs w:val="24"/>
        </w:rPr>
        <w:t>immunosuppressants</w:t>
      </w:r>
      <w:proofErr w:type="spellEnd"/>
      <w:r w:rsidRPr="00093E43">
        <w:rPr>
          <w:rFonts w:ascii="Book Antiqua" w:hAnsi="Book Antiqua"/>
          <w:b/>
          <w:sz w:val="24"/>
          <w:szCs w:val="24"/>
        </w:rPr>
        <w:t xml:space="preserve"> in solid organ transplantation (permission from </w:t>
      </w:r>
      <w:proofErr w:type="spellStart"/>
      <w:r w:rsidRPr="00093E43">
        <w:rPr>
          <w:rFonts w:ascii="Book Antiqua" w:hAnsi="Book Antiqua"/>
          <w:b/>
          <w:sz w:val="24"/>
          <w:szCs w:val="24"/>
        </w:rPr>
        <w:t>Moini</w:t>
      </w:r>
      <w:proofErr w:type="spellEnd"/>
      <w:r w:rsidRPr="00093E43">
        <w:rPr>
          <w:rFonts w:ascii="Book Antiqua" w:hAnsi="Book Antiqua"/>
          <w:b/>
          <w:sz w:val="24"/>
          <w:szCs w:val="24"/>
        </w:rPr>
        <w:t xml:space="preserve"> </w:t>
      </w:r>
      <w:r w:rsidRPr="00093E43">
        <w:rPr>
          <w:rFonts w:ascii="Book Antiqua" w:hAnsi="Book Antiqua"/>
          <w:b/>
          <w:i/>
          <w:sz w:val="24"/>
          <w:szCs w:val="24"/>
        </w:rPr>
        <w:t xml:space="preserve">et </w:t>
      </w:r>
      <w:proofErr w:type="gramStart"/>
      <w:r w:rsidRPr="00093E43">
        <w:rPr>
          <w:rFonts w:ascii="Book Antiqua" w:hAnsi="Book Antiqua"/>
          <w:b/>
          <w:i/>
          <w:sz w:val="24"/>
          <w:szCs w:val="24"/>
        </w:rPr>
        <w:t>al</w:t>
      </w:r>
      <w:r w:rsidRPr="00093E43">
        <w:rPr>
          <w:rFonts w:ascii="Book Antiqua" w:hAnsi="Book Antiqua"/>
          <w:b/>
          <w:sz w:val="24"/>
          <w:szCs w:val="24"/>
          <w:vertAlign w:val="superscript"/>
        </w:rPr>
        <w:t>[</w:t>
      </w:r>
      <w:proofErr w:type="gramEnd"/>
      <w:r w:rsidRPr="00093E43">
        <w:rPr>
          <w:rFonts w:ascii="Book Antiqua" w:hAnsi="Book Antiqua"/>
          <w:b/>
          <w:sz w:val="24"/>
          <w:szCs w:val="24"/>
          <w:vertAlign w:val="superscript"/>
        </w:rPr>
        <w:t>2]</w:t>
      </w:r>
      <w:r w:rsidRPr="00093E43">
        <w:rPr>
          <w:rFonts w:ascii="Book Antiqua" w:hAnsi="Book Antiqua"/>
          <w:b/>
          <w:sz w:val="24"/>
          <w:szCs w:val="24"/>
        </w:rPr>
        <w:t xml:space="preserve">. </w:t>
      </w:r>
      <w:proofErr w:type="gramStart"/>
      <w:r w:rsidRPr="00093E43">
        <w:rPr>
          <w:rFonts w:ascii="Book Antiqua" w:hAnsi="Book Antiqua"/>
          <w:b/>
          <w:i/>
          <w:sz w:val="24"/>
          <w:szCs w:val="24"/>
        </w:rPr>
        <w:t xml:space="preserve">World J </w:t>
      </w:r>
      <w:proofErr w:type="spellStart"/>
      <w:r w:rsidRPr="00093E43">
        <w:rPr>
          <w:rFonts w:ascii="Book Antiqua" w:hAnsi="Book Antiqua"/>
          <w:b/>
          <w:i/>
          <w:sz w:val="24"/>
          <w:szCs w:val="24"/>
        </w:rPr>
        <w:t>Hepatol</w:t>
      </w:r>
      <w:proofErr w:type="spellEnd"/>
      <w:r w:rsidRPr="00093E43">
        <w:rPr>
          <w:rFonts w:ascii="Book Antiqua" w:hAnsi="Book Antiqua"/>
          <w:b/>
          <w:sz w:val="24"/>
          <w:szCs w:val="24"/>
        </w:rPr>
        <w:t xml:space="preserve"> </w:t>
      </w:r>
      <w:r w:rsidRPr="00032DBF">
        <w:rPr>
          <w:rFonts w:ascii="Book Antiqua" w:hAnsi="Book Antiqua"/>
          <w:sz w:val="24"/>
          <w:szCs w:val="24"/>
        </w:rPr>
        <w:t>2015</w:t>
      </w:r>
      <w:r w:rsidRPr="00093E43">
        <w:rPr>
          <w:rFonts w:ascii="Book Antiqua" w:hAnsi="Book Antiqua"/>
          <w:b/>
          <w:sz w:val="24"/>
          <w:szCs w:val="24"/>
        </w:rPr>
        <w:t>)</w:t>
      </w:r>
      <w:r w:rsidRPr="00093E43">
        <w:rPr>
          <w:rFonts w:ascii="Book Antiqua" w:hAnsi="Book Antiqua" w:hint="eastAsia"/>
          <w:b/>
          <w:sz w:val="24"/>
          <w:szCs w:val="24"/>
        </w:rPr>
        <w:t>.</w:t>
      </w:r>
      <w:proofErr w:type="gramEnd"/>
      <w:r>
        <w:rPr>
          <w:rFonts w:ascii="Book Antiqua" w:hAnsi="Book Antiqua" w:hint="eastAsia"/>
          <w:b/>
          <w:sz w:val="24"/>
          <w:szCs w:val="24"/>
        </w:rPr>
        <w:t xml:space="preserve"> </w:t>
      </w:r>
      <w:r w:rsidRPr="006212FF">
        <w:rPr>
          <w:rFonts w:ascii="Book Antiqua" w:hAnsi="Book Antiqua"/>
          <w:sz w:val="24"/>
          <w:szCs w:val="24"/>
        </w:rPr>
        <w:t xml:space="preserve">AZA: Azathioprine; </w:t>
      </w:r>
      <w:proofErr w:type="spellStart"/>
      <w:r w:rsidRPr="006212FF">
        <w:rPr>
          <w:rFonts w:ascii="Book Antiqua" w:hAnsi="Book Antiqua"/>
          <w:sz w:val="24"/>
          <w:szCs w:val="24"/>
        </w:rPr>
        <w:t>CsA</w:t>
      </w:r>
      <w:proofErr w:type="spellEnd"/>
      <w:r w:rsidRPr="006212FF">
        <w:rPr>
          <w:rFonts w:ascii="Book Antiqua" w:hAnsi="Book Antiqua"/>
          <w:sz w:val="24"/>
          <w:szCs w:val="24"/>
        </w:rPr>
        <w:t xml:space="preserve">: Cyclosporine; IL-2: Interleukin-2; IL-2Ra: Interleukin-2 receptor antagonist; MMF: </w:t>
      </w:r>
      <w:proofErr w:type="spellStart"/>
      <w:r w:rsidRPr="006212FF">
        <w:rPr>
          <w:rFonts w:ascii="Book Antiqua" w:hAnsi="Book Antiqua"/>
          <w:sz w:val="24"/>
          <w:szCs w:val="24"/>
        </w:rPr>
        <w:t>Mycophenolate</w:t>
      </w:r>
      <w:proofErr w:type="spellEnd"/>
      <w:r w:rsidRPr="006212FF">
        <w:rPr>
          <w:rFonts w:ascii="Book Antiqua" w:hAnsi="Book Antiqua"/>
          <w:sz w:val="24"/>
          <w:szCs w:val="24"/>
        </w:rPr>
        <w:t xml:space="preserve"> </w:t>
      </w:r>
      <w:proofErr w:type="spellStart"/>
      <w:r w:rsidRPr="006212FF">
        <w:rPr>
          <w:rFonts w:ascii="Book Antiqua" w:hAnsi="Book Antiqua"/>
          <w:sz w:val="24"/>
          <w:szCs w:val="24"/>
        </w:rPr>
        <w:t>mofetil</w:t>
      </w:r>
      <w:proofErr w:type="spellEnd"/>
      <w:r w:rsidRPr="006212FF">
        <w:rPr>
          <w:rFonts w:ascii="Book Antiqua" w:hAnsi="Book Antiqua"/>
          <w:sz w:val="24"/>
          <w:szCs w:val="24"/>
        </w:rPr>
        <w:t xml:space="preserve">; TAC: </w:t>
      </w:r>
      <w:proofErr w:type="spellStart"/>
      <w:r w:rsidRPr="006212FF">
        <w:rPr>
          <w:rFonts w:ascii="Book Antiqua" w:hAnsi="Book Antiqua"/>
          <w:sz w:val="24"/>
          <w:szCs w:val="24"/>
        </w:rPr>
        <w:t>Tacrolimus</w:t>
      </w:r>
      <w:proofErr w:type="spellEnd"/>
      <w:r w:rsidRPr="006212FF">
        <w:rPr>
          <w:rFonts w:ascii="Book Antiqua" w:hAnsi="Book Antiqua"/>
          <w:sz w:val="24"/>
          <w:szCs w:val="24"/>
        </w:rPr>
        <w:t xml:space="preserve">; TOR: Target of </w:t>
      </w:r>
      <w:proofErr w:type="spellStart"/>
      <w:r w:rsidRPr="006212FF">
        <w:rPr>
          <w:rFonts w:ascii="Book Antiqua" w:hAnsi="Book Antiqua"/>
          <w:sz w:val="24"/>
          <w:szCs w:val="24"/>
        </w:rPr>
        <w:t>rapamycin</w:t>
      </w:r>
      <w:proofErr w:type="spellEnd"/>
      <w:r w:rsidRPr="006212FF">
        <w:rPr>
          <w:rFonts w:ascii="Book Antiqua" w:hAnsi="Book Antiqua"/>
          <w:sz w:val="24"/>
          <w:szCs w:val="24"/>
        </w:rPr>
        <w:t>.</w:t>
      </w:r>
    </w:p>
    <w:p w14:paraId="775F698A" w14:textId="77777777" w:rsidR="00FB59DF" w:rsidRDefault="00FB59DF" w:rsidP="00FB59DF">
      <w:pPr>
        <w:spacing w:after="0" w:line="240" w:lineRule="auto"/>
      </w:pPr>
      <w:r>
        <w:br w:type="page"/>
      </w:r>
    </w:p>
    <w:p w14:paraId="2260C567" w14:textId="77777777" w:rsidR="00FB59DF" w:rsidRPr="0019331B" w:rsidRDefault="00FB59DF" w:rsidP="00FB59DF">
      <w:pPr>
        <w:spacing w:after="0" w:line="360" w:lineRule="auto"/>
        <w:jc w:val="both"/>
        <w:rPr>
          <w:rFonts w:ascii="Book Antiqua" w:hAnsi="Book Antiqua"/>
          <w:sz w:val="24"/>
          <w:szCs w:val="24"/>
        </w:rPr>
      </w:pPr>
      <w:r w:rsidRPr="0019331B">
        <w:rPr>
          <w:rFonts w:ascii="Book Antiqua" w:hAnsi="Book Antiqua"/>
          <w:sz w:val="24"/>
          <w:szCs w:val="24"/>
        </w:rPr>
        <w:lastRenderedPageBreak/>
        <w:t xml:space="preserve">A </w:t>
      </w:r>
      <w:proofErr w:type="spellStart"/>
      <w:r w:rsidRPr="0019331B">
        <w:rPr>
          <w:rFonts w:ascii="Book Antiqua" w:hAnsi="Book Antiqua"/>
          <w:sz w:val="24"/>
          <w:szCs w:val="24"/>
        </w:rPr>
        <w:t>Sirolimus</w:t>
      </w:r>
      <w:proofErr w:type="spellEnd"/>
      <w:r w:rsidRPr="0019331B">
        <w:rPr>
          <w:rFonts w:ascii="Book Antiqua" w:hAnsi="Book Antiqua"/>
          <w:sz w:val="24"/>
          <w:szCs w:val="24"/>
        </w:rPr>
        <w:tab/>
      </w:r>
      <w:r w:rsidRPr="0019331B">
        <w:rPr>
          <w:rFonts w:ascii="Book Antiqua" w:hAnsi="Book Antiqua"/>
          <w:sz w:val="24"/>
          <w:szCs w:val="24"/>
        </w:rPr>
        <w:tab/>
      </w:r>
      <w:r w:rsidRPr="0019331B">
        <w:rPr>
          <w:rFonts w:ascii="Book Antiqua" w:hAnsi="Book Antiqua"/>
          <w:sz w:val="24"/>
          <w:szCs w:val="24"/>
        </w:rPr>
        <w:tab/>
      </w:r>
      <w:r w:rsidRPr="0019331B">
        <w:rPr>
          <w:rFonts w:ascii="Book Antiqua" w:hAnsi="Book Antiqua"/>
          <w:sz w:val="24"/>
          <w:szCs w:val="24"/>
        </w:rPr>
        <w:tab/>
        <w:t xml:space="preserve">   </w:t>
      </w:r>
      <w:r>
        <w:rPr>
          <w:rFonts w:ascii="Book Antiqua" w:hAnsi="Book Antiqua" w:hint="eastAsia"/>
          <w:sz w:val="24"/>
          <w:szCs w:val="24"/>
        </w:rPr>
        <w:t xml:space="preserve">      </w:t>
      </w:r>
      <w:r w:rsidRPr="0019331B">
        <w:rPr>
          <w:rFonts w:ascii="Book Antiqua" w:hAnsi="Book Antiqua" w:hint="eastAsia"/>
          <w:sz w:val="24"/>
          <w:szCs w:val="24"/>
        </w:rPr>
        <w:t>B</w:t>
      </w:r>
      <w:r w:rsidRPr="0019331B">
        <w:rPr>
          <w:rFonts w:ascii="Book Antiqua" w:hAnsi="Book Antiqua"/>
          <w:sz w:val="24"/>
          <w:szCs w:val="24"/>
        </w:rPr>
        <w:t xml:space="preserve"> </w:t>
      </w:r>
      <w:proofErr w:type="spellStart"/>
      <w:r w:rsidRPr="0019331B">
        <w:rPr>
          <w:rFonts w:ascii="Book Antiqua" w:hAnsi="Book Antiqua"/>
          <w:sz w:val="24"/>
          <w:szCs w:val="24"/>
        </w:rPr>
        <w:t>Everolimus</w:t>
      </w:r>
      <w:proofErr w:type="spellEnd"/>
    </w:p>
    <w:p w14:paraId="7581B40A" w14:textId="77777777" w:rsidR="00FB59DF" w:rsidRDefault="00FB59DF" w:rsidP="00FB59DF">
      <w:pPr>
        <w:spacing w:after="0" w:line="360" w:lineRule="auto"/>
        <w:jc w:val="both"/>
        <w:rPr>
          <w:rFonts w:ascii="Book Antiqua" w:hAnsi="Book Antiqua"/>
          <w:sz w:val="24"/>
          <w:szCs w:val="24"/>
        </w:rPr>
      </w:pPr>
      <w:r w:rsidRPr="006212FF">
        <w:rPr>
          <w:rFonts w:ascii="Book Antiqua" w:hAnsi="Book Antiqua"/>
          <w:noProof/>
          <w:sz w:val="24"/>
          <w:szCs w:val="24"/>
          <w:lang w:eastAsia="en-US"/>
        </w:rPr>
        <mc:AlternateContent>
          <mc:Choice Requires="wps">
            <w:drawing>
              <wp:anchor distT="0" distB="0" distL="114300" distR="114300" simplePos="0" relativeHeight="251659264" behindDoc="0" locked="0" layoutInCell="1" allowOverlap="1" wp14:anchorId="54E58505" wp14:editId="042D0389">
                <wp:simplePos x="0" y="0"/>
                <wp:positionH relativeFrom="column">
                  <wp:posOffset>2743200</wp:posOffset>
                </wp:positionH>
                <wp:positionV relativeFrom="paragraph">
                  <wp:posOffset>43180</wp:posOffset>
                </wp:positionV>
                <wp:extent cx="714375" cy="295275"/>
                <wp:effectExtent l="19050" t="19050" r="9525" b="28575"/>
                <wp:wrapNone/>
                <wp:docPr id="3" name="Oval 3"/>
                <wp:cNvGraphicFramePr/>
                <a:graphic xmlns:a="http://schemas.openxmlformats.org/drawingml/2006/main">
                  <a:graphicData uri="http://schemas.microsoft.com/office/word/2010/wordprocessingShape">
                    <wps:wsp>
                      <wps:cNvSpPr/>
                      <wps:spPr>
                        <a:xfrm rot="21177401">
                          <a:off x="0" y="0"/>
                          <a:ext cx="714375" cy="2952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26" style="position:absolute;left:0;text-align:left;margin-left:3in;margin-top:3.4pt;width:56.25pt;height:23.25pt;rotation:-461591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" filled="f" strokecolor="red" strokeweight="1pt"/>
            </w:pict>
          </mc:Fallback>
        </mc:AlternateContent>
      </w:r>
      <w:r w:rsidRPr="006212FF">
        <w:rPr>
          <w:rFonts w:ascii="Book Antiqua" w:hAnsi="Book Antiqua"/>
          <w:noProof/>
          <w:sz w:val="24"/>
          <w:szCs w:val="24"/>
          <w:lang w:eastAsia="en-US"/>
        </w:rPr>
        <w:drawing>
          <wp:inline distT="0" distB="0" distL="0" distR="0" wp14:anchorId="4DED55C4" wp14:editId="2500267B">
            <wp:extent cx="235267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52675" cy="2066925"/>
                    </a:xfrm>
                    <a:prstGeom prst="rect">
                      <a:avLst/>
                    </a:prstGeom>
                  </pic:spPr>
                </pic:pic>
              </a:graphicData>
            </a:graphic>
          </wp:inline>
        </w:drawing>
      </w:r>
      <w:r>
        <w:rPr>
          <w:rFonts w:ascii="Book Antiqua" w:hAnsi="Book Antiqua"/>
          <w:sz w:val="24"/>
          <w:szCs w:val="24"/>
        </w:rPr>
        <w:t xml:space="preserve">  </w:t>
      </w:r>
      <w:r w:rsidRPr="006212FF">
        <w:rPr>
          <w:rFonts w:ascii="Book Antiqua" w:hAnsi="Book Antiqua"/>
          <w:sz w:val="24"/>
          <w:szCs w:val="24"/>
        </w:rPr>
        <w:t xml:space="preserve"> </w:t>
      </w:r>
      <w:r w:rsidRPr="006212FF">
        <w:rPr>
          <w:rFonts w:ascii="Book Antiqua" w:hAnsi="Book Antiqua"/>
          <w:noProof/>
          <w:sz w:val="24"/>
          <w:szCs w:val="24"/>
          <w:lang w:eastAsia="en-US"/>
        </w:rPr>
        <w:drawing>
          <wp:inline distT="0" distB="0" distL="0" distR="0" wp14:anchorId="11D11434" wp14:editId="1D00C85D">
            <wp:extent cx="2819400"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19400" cy="2209800"/>
                    </a:xfrm>
                    <a:prstGeom prst="rect">
                      <a:avLst/>
                    </a:prstGeom>
                  </pic:spPr>
                </pic:pic>
              </a:graphicData>
            </a:graphic>
          </wp:inline>
        </w:drawing>
      </w:r>
    </w:p>
    <w:p w14:paraId="0BE4E99C" w14:textId="77777777" w:rsidR="00FB59DF" w:rsidRDefault="00FB59DF" w:rsidP="00FB59DF">
      <w:pPr>
        <w:spacing w:after="0" w:line="360" w:lineRule="auto"/>
        <w:jc w:val="both"/>
        <w:rPr>
          <w:rFonts w:ascii="Book Antiqua" w:hAnsi="Book Antiqua"/>
          <w:sz w:val="24"/>
          <w:szCs w:val="24"/>
        </w:rPr>
      </w:pPr>
    </w:p>
    <w:p w14:paraId="67E2B074" w14:textId="77777777" w:rsidR="00FB59DF" w:rsidRPr="00C10BDE" w:rsidRDefault="00FB59DF" w:rsidP="00FB59DF">
      <w:pPr>
        <w:spacing w:after="0" w:line="360" w:lineRule="auto"/>
        <w:jc w:val="both"/>
        <w:rPr>
          <w:rFonts w:ascii="Book Antiqua" w:hAnsi="Book Antiqua"/>
          <w:b/>
          <w:sz w:val="24"/>
          <w:szCs w:val="24"/>
        </w:rPr>
      </w:pPr>
      <w:r w:rsidRPr="00C10BDE">
        <w:rPr>
          <w:rFonts w:ascii="Book Antiqua" w:hAnsi="Book Antiqua"/>
          <w:b/>
          <w:sz w:val="24"/>
          <w:szCs w:val="24"/>
        </w:rPr>
        <w:t xml:space="preserve">Figure 2 Molecular </w:t>
      </w:r>
      <w:proofErr w:type="gramStart"/>
      <w:r w:rsidRPr="00C10BDE">
        <w:rPr>
          <w:rFonts w:ascii="Book Antiqua" w:hAnsi="Book Antiqua"/>
          <w:b/>
          <w:sz w:val="24"/>
          <w:szCs w:val="24"/>
        </w:rPr>
        <w:t>stru</w:t>
      </w:r>
      <w:bookmarkStart w:id="0" w:name="_GoBack"/>
      <w:bookmarkEnd w:id="0"/>
      <w:r w:rsidRPr="00C10BDE">
        <w:rPr>
          <w:rFonts w:ascii="Book Antiqua" w:hAnsi="Book Antiqua"/>
          <w:b/>
          <w:sz w:val="24"/>
          <w:szCs w:val="24"/>
        </w:rPr>
        <w:t>cture</w:t>
      </w:r>
      <w:proofErr w:type="gramEnd"/>
      <w:r w:rsidRPr="00C10BDE">
        <w:rPr>
          <w:rFonts w:ascii="Book Antiqua" w:hAnsi="Book Antiqua"/>
          <w:b/>
          <w:sz w:val="24"/>
          <w:szCs w:val="24"/>
        </w:rPr>
        <w:t xml:space="preserve"> of </w:t>
      </w:r>
      <w:proofErr w:type="spellStart"/>
      <w:r w:rsidRPr="00C10BDE">
        <w:rPr>
          <w:rFonts w:ascii="Book Antiqua" w:hAnsi="Book Antiqua"/>
          <w:b/>
          <w:sz w:val="24"/>
          <w:szCs w:val="24"/>
        </w:rPr>
        <w:t>sirolimus</w:t>
      </w:r>
      <w:proofErr w:type="spellEnd"/>
      <w:r w:rsidRPr="00C10BDE">
        <w:rPr>
          <w:rFonts w:ascii="Book Antiqua" w:hAnsi="Book Antiqua"/>
          <w:b/>
          <w:sz w:val="24"/>
          <w:szCs w:val="24"/>
        </w:rPr>
        <w:t xml:space="preserve"> and </w:t>
      </w:r>
      <w:proofErr w:type="spellStart"/>
      <w:r w:rsidRPr="00C10BDE">
        <w:rPr>
          <w:rFonts w:ascii="Book Antiqua" w:hAnsi="Book Antiqua"/>
          <w:b/>
          <w:sz w:val="24"/>
          <w:szCs w:val="24"/>
        </w:rPr>
        <w:t>everolimus</w:t>
      </w:r>
      <w:proofErr w:type="spellEnd"/>
      <w:r w:rsidRPr="00C10BDE">
        <w:rPr>
          <w:rFonts w:ascii="Book Antiqua" w:hAnsi="Book Antiqua" w:hint="eastAsia"/>
          <w:b/>
          <w:sz w:val="24"/>
          <w:szCs w:val="24"/>
        </w:rPr>
        <w:t>.</w:t>
      </w:r>
      <w:r w:rsidRPr="00C10BDE">
        <w:rPr>
          <w:rFonts w:ascii="Book Antiqua" w:hAnsi="Book Antiqua"/>
          <w:b/>
          <w:sz w:val="24"/>
          <w:szCs w:val="24"/>
        </w:rPr>
        <w:t xml:space="preserve"> </w:t>
      </w:r>
    </w:p>
    <w:p w14:paraId="7E98477A" w14:textId="77777777" w:rsidR="00FB59DF" w:rsidRPr="006212FF" w:rsidRDefault="00FB59DF" w:rsidP="00FB59DF">
      <w:pPr>
        <w:spacing w:after="0" w:line="360" w:lineRule="auto"/>
        <w:jc w:val="both"/>
        <w:rPr>
          <w:rFonts w:ascii="Book Antiqua" w:eastAsia="Times New Roman" w:hAnsi="Book Antiqua" w:cs="Times New Roman"/>
          <w:b/>
          <w:bCs/>
          <w:color w:val="000000"/>
          <w:sz w:val="24"/>
          <w:szCs w:val="24"/>
        </w:rPr>
        <w:sectPr w:rsidR="00FB59DF" w:rsidRPr="006212FF" w:rsidSect="000E7D74">
          <w:footerReference w:type="default" r:id="rId14"/>
          <w:pgSz w:w="12240" w:h="15840"/>
          <w:pgMar w:top="1440" w:right="1440" w:bottom="1440" w:left="1440" w:header="720" w:footer="720" w:gutter="0"/>
          <w:cols w:space="720"/>
          <w:docGrid w:linePitch="360"/>
        </w:sectPr>
      </w:pPr>
    </w:p>
    <w:tbl>
      <w:tblPr>
        <w:tblW w:w="19924" w:type="dxa"/>
        <w:tblInd w:w="93" w:type="dxa"/>
        <w:tblLook w:val="04A0" w:firstRow="1" w:lastRow="0" w:firstColumn="1" w:lastColumn="0" w:noHBand="0" w:noVBand="1"/>
      </w:tblPr>
      <w:tblGrid>
        <w:gridCol w:w="1401"/>
        <w:gridCol w:w="2127"/>
        <w:gridCol w:w="1336"/>
        <w:gridCol w:w="1868"/>
        <w:gridCol w:w="660"/>
        <w:gridCol w:w="1134"/>
        <w:gridCol w:w="2127"/>
        <w:gridCol w:w="1842"/>
        <w:gridCol w:w="2169"/>
        <w:gridCol w:w="2140"/>
        <w:gridCol w:w="3120"/>
      </w:tblGrid>
      <w:tr w:rsidR="00FB59DF" w:rsidRPr="006212FF" w14:paraId="27FD5DEE" w14:textId="77777777" w:rsidTr="00780B3A">
        <w:trPr>
          <w:trHeight w:val="315"/>
        </w:trPr>
        <w:tc>
          <w:tcPr>
            <w:tcW w:w="14664" w:type="dxa"/>
            <w:gridSpan w:val="9"/>
            <w:tcBorders>
              <w:top w:val="nil"/>
              <w:left w:val="nil"/>
              <w:bottom w:val="single" w:sz="4" w:space="0" w:color="auto"/>
              <w:right w:val="nil"/>
            </w:tcBorders>
            <w:shd w:val="clear" w:color="auto" w:fill="auto"/>
            <w:noWrap/>
            <w:vAlign w:val="bottom"/>
            <w:hideMark/>
          </w:tcPr>
          <w:p w14:paraId="32FAFE65" w14:textId="35AD27AF" w:rsidR="00FB59DF" w:rsidRPr="00AD3796" w:rsidRDefault="00FB59DF" w:rsidP="00780B3A">
            <w:pPr>
              <w:spacing w:after="0" w:line="360" w:lineRule="auto"/>
              <w:jc w:val="both"/>
              <w:rPr>
                <w:rFonts w:ascii="Book Antiqua" w:hAnsi="Book Antiqua" w:cs="Times New Roman"/>
                <w:b/>
                <w:bCs/>
                <w:color w:val="000000"/>
                <w:sz w:val="24"/>
                <w:szCs w:val="24"/>
              </w:rPr>
            </w:pPr>
            <w:r w:rsidRPr="00AD3796">
              <w:rPr>
                <w:rFonts w:ascii="Book Antiqua" w:eastAsia="Times New Roman" w:hAnsi="Book Antiqua" w:cs="Times New Roman"/>
                <w:b/>
                <w:bCs/>
                <w:color w:val="000000"/>
                <w:sz w:val="24"/>
                <w:szCs w:val="24"/>
              </w:rPr>
              <w:lastRenderedPageBreak/>
              <w:t>Table</w:t>
            </w:r>
            <w:r w:rsidR="00903825">
              <w:rPr>
                <w:rFonts w:ascii="Book Antiqua" w:hAnsi="Book Antiqua" w:cs="Times New Roman" w:hint="eastAsia"/>
                <w:b/>
                <w:bCs/>
                <w:color w:val="000000"/>
                <w:sz w:val="24"/>
                <w:szCs w:val="24"/>
              </w:rPr>
              <w:t xml:space="preserve"> </w:t>
            </w:r>
            <w:r w:rsidRPr="00AD3796">
              <w:rPr>
                <w:rFonts w:ascii="Book Antiqua" w:eastAsia="Times New Roman" w:hAnsi="Book Antiqua" w:cs="Times New Roman"/>
                <w:b/>
                <w:bCs/>
                <w:color w:val="000000"/>
                <w:sz w:val="24"/>
                <w:szCs w:val="24"/>
              </w:rPr>
              <w:t xml:space="preserve">1 Outcomes of </w:t>
            </w:r>
            <w:proofErr w:type="spellStart"/>
            <w:r w:rsidRPr="00AD3796">
              <w:rPr>
                <w:rFonts w:ascii="Book Antiqua" w:eastAsia="Times New Roman" w:hAnsi="Book Antiqua" w:cs="Times New Roman"/>
                <w:b/>
                <w:bCs/>
                <w:color w:val="000000"/>
                <w:sz w:val="24"/>
                <w:szCs w:val="24"/>
              </w:rPr>
              <w:t>everolimus</w:t>
            </w:r>
            <w:proofErr w:type="spellEnd"/>
            <w:r w:rsidRPr="00AD3796">
              <w:rPr>
                <w:rFonts w:ascii="Book Antiqua" w:eastAsia="Times New Roman" w:hAnsi="Book Antiqua" w:cs="Times New Roman"/>
                <w:b/>
                <w:bCs/>
                <w:color w:val="000000"/>
                <w:sz w:val="24"/>
                <w:szCs w:val="24"/>
              </w:rPr>
              <w:t xml:space="preserve">-based immunosuppressant for </w:t>
            </w:r>
            <w:r w:rsidRPr="00AD3796">
              <w:rPr>
                <w:rFonts w:ascii="Book Antiqua" w:eastAsia="Times New Roman" w:hAnsi="Book Antiqua" w:cs="Times New Roman"/>
                <w:b/>
                <w:bCs/>
                <w:i/>
                <w:color w:val="000000"/>
                <w:sz w:val="24"/>
                <w:szCs w:val="24"/>
              </w:rPr>
              <w:t>de-novo</w:t>
            </w:r>
            <w:r w:rsidRPr="00AD3796">
              <w:rPr>
                <w:rFonts w:ascii="Book Antiqua" w:eastAsia="Times New Roman" w:hAnsi="Book Antiqua" w:cs="Times New Roman"/>
                <w:b/>
                <w:bCs/>
                <w:color w:val="000000"/>
                <w:sz w:val="24"/>
                <w:szCs w:val="24"/>
              </w:rPr>
              <w:t xml:space="preserve"> </w:t>
            </w:r>
            <w:r w:rsidRPr="00AD3796">
              <w:rPr>
                <w:rFonts w:ascii="Book Antiqua" w:hAnsi="Book Antiqua"/>
                <w:b/>
                <w:sz w:val="24"/>
                <w:szCs w:val="24"/>
              </w:rPr>
              <w:t>liver transplantation</w:t>
            </w:r>
            <w:r w:rsidRPr="00AD3796">
              <w:rPr>
                <w:rFonts w:ascii="Book Antiqua" w:eastAsia="Times New Roman" w:hAnsi="Book Antiqua" w:cs="Times New Roman"/>
                <w:b/>
                <w:bCs/>
                <w:color w:val="000000"/>
                <w:sz w:val="24"/>
                <w:szCs w:val="24"/>
              </w:rPr>
              <w:t xml:space="preserve"> recipients in prospective </w:t>
            </w:r>
            <w:proofErr w:type="spellStart"/>
            <w:r w:rsidRPr="00AD3796">
              <w:rPr>
                <w:rFonts w:ascii="Book Antiqua" w:hAnsi="Book Antiqua"/>
                <w:b/>
                <w:sz w:val="24"/>
                <w:szCs w:val="24"/>
              </w:rPr>
              <w:t>randomised</w:t>
            </w:r>
            <w:proofErr w:type="spellEnd"/>
            <w:r w:rsidRPr="00AD3796">
              <w:rPr>
                <w:rFonts w:ascii="Book Antiqua" w:hAnsi="Book Antiqua"/>
                <w:b/>
                <w:sz w:val="24"/>
                <w:szCs w:val="24"/>
              </w:rPr>
              <w:t xml:space="preserve"> controlled trial</w:t>
            </w:r>
          </w:p>
        </w:tc>
        <w:tc>
          <w:tcPr>
            <w:tcW w:w="2140" w:type="dxa"/>
            <w:tcBorders>
              <w:top w:val="nil"/>
              <w:left w:val="nil"/>
              <w:right w:val="nil"/>
            </w:tcBorders>
            <w:shd w:val="clear" w:color="auto" w:fill="auto"/>
            <w:noWrap/>
            <w:vAlign w:val="bottom"/>
            <w:hideMark/>
          </w:tcPr>
          <w:p w14:paraId="61FE31E5"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w:t>
            </w:r>
          </w:p>
        </w:tc>
        <w:tc>
          <w:tcPr>
            <w:tcW w:w="3120" w:type="dxa"/>
            <w:tcBorders>
              <w:top w:val="nil"/>
              <w:left w:val="nil"/>
              <w:right w:val="nil"/>
            </w:tcBorders>
            <w:shd w:val="clear" w:color="auto" w:fill="auto"/>
            <w:noWrap/>
            <w:vAlign w:val="bottom"/>
            <w:hideMark/>
          </w:tcPr>
          <w:p w14:paraId="6FCD09C9"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w:t>
            </w:r>
          </w:p>
        </w:tc>
      </w:tr>
      <w:tr w:rsidR="00FB59DF" w:rsidRPr="006212FF" w14:paraId="745909BA" w14:textId="77777777" w:rsidTr="00780B3A">
        <w:trPr>
          <w:cantSplit/>
          <w:trHeight w:val="93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3E093B51" w14:textId="77777777" w:rsidR="00FB59DF" w:rsidRPr="00032DBF" w:rsidRDefault="00FB59DF" w:rsidP="00780B3A">
            <w:pPr>
              <w:spacing w:after="0" w:line="360" w:lineRule="auto"/>
              <w:jc w:val="both"/>
              <w:rPr>
                <w:rFonts w:ascii="Book Antiqua" w:hAnsi="Book Antiqua" w:cs="Calibri"/>
                <w:b/>
                <w:color w:val="000000"/>
                <w:sz w:val="24"/>
                <w:szCs w:val="24"/>
              </w:rPr>
            </w:pPr>
            <w:r w:rsidRPr="00032DBF">
              <w:rPr>
                <w:rFonts w:ascii="Book Antiqua" w:eastAsia="Times New Roman" w:hAnsi="Book Antiqua" w:cs="Calibri"/>
                <w:b/>
                <w:color w:val="000000"/>
                <w:sz w:val="24"/>
                <w:szCs w:val="24"/>
              </w:rPr>
              <w:t>Ref</w:t>
            </w:r>
            <w:r w:rsidRPr="00032DBF">
              <w:rPr>
                <w:rFonts w:ascii="Book Antiqua" w:hAnsi="Book Antiqua" w:cs="Calibri" w:hint="eastAsia"/>
                <w:b/>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033573B0" w14:textId="77777777" w:rsidR="00FB59DF" w:rsidRPr="00032DBF" w:rsidRDefault="00FB59DF" w:rsidP="00780B3A">
            <w:pPr>
              <w:spacing w:after="0" w:line="360" w:lineRule="auto"/>
              <w:jc w:val="both"/>
              <w:rPr>
                <w:rFonts w:ascii="Book Antiqua" w:eastAsia="Times New Roman" w:hAnsi="Book Antiqua" w:cs="Calibri"/>
                <w:b/>
                <w:color w:val="000000"/>
                <w:sz w:val="24"/>
                <w:szCs w:val="24"/>
              </w:rPr>
            </w:pPr>
            <w:r w:rsidRPr="00032DBF">
              <w:rPr>
                <w:rFonts w:ascii="Book Antiqua" w:eastAsia="Times New Roman" w:hAnsi="Book Antiqua" w:cs="Calibri"/>
                <w:b/>
                <w:color w:val="000000"/>
                <w:sz w:val="24"/>
                <w:szCs w:val="24"/>
              </w:rPr>
              <w:t>Treatment group</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4A3D193" w14:textId="77777777" w:rsidR="00FB59DF" w:rsidRPr="00032DBF" w:rsidRDefault="00FB59DF" w:rsidP="00780B3A">
            <w:pPr>
              <w:spacing w:after="0" w:line="360" w:lineRule="auto"/>
              <w:jc w:val="both"/>
              <w:rPr>
                <w:rFonts w:ascii="Book Antiqua" w:eastAsia="Times New Roman" w:hAnsi="Book Antiqua" w:cs="Calibri"/>
                <w:b/>
                <w:color w:val="000000"/>
                <w:sz w:val="24"/>
                <w:szCs w:val="24"/>
              </w:rPr>
            </w:pPr>
            <w:r w:rsidRPr="00032DBF">
              <w:rPr>
                <w:rFonts w:ascii="Book Antiqua" w:eastAsia="Times New Roman" w:hAnsi="Book Antiqua" w:cs="Calibri"/>
                <w:b/>
                <w:color w:val="000000"/>
                <w:sz w:val="24"/>
                <w:szCs w:val="24"/>
              </w:rPr>
              <w:t xml:space="preserve">Time </w:t>
            </w:r>
            <w:r w:rsidRPr="00032DBF">
              <w:rPr>
                <w:rFonts w:ascii="Book Antiqua" w:hAnsi="Book Antiqua" w:cs="Calibri" w:hint="eastAsia"/>
                <w:b/>
                <w:color w:val="000000"/>
                <w:sz w:val="24"/>
                <w:szCs w:val="24"/>
              </w:rPr>
              <w:t xml:space="preserve">(d) </w:t>
            </w:r>
            <w:r w:rsidRPr="00032DBF">
              <w:rPr>
                <w:rFonts w:ascii="Book Antiqua" w:eastAsia="Times New Roman" w:hAnsi="Book Antiqua" w:cs="Calibri"/>
                <w:b/>
                <w:color w:val="000000"/>
                <w:sz w:val="24"/>
                <w:szCs w:val="24"/>
              </w:rPr>
              <w:t xml:space="preserve">from transplant EVR was initiated </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0BABB572" w14:textId="77777777" w:rsidR="00FB59DF" w:rsidRPr="00032DBF" w:rsidRDefault="00FB59DF" w:rsidP="00780B3A">
            <w:pPr>
              <w:spacing w:after="0" w:line="360" w:lineRule="auto"/>
              <w:jc w:val="both"/>
              <w:rPr>
                <w:rFonts w:ascii="Book Antiqua" w:eastAsia="Times New Roman" w:hAnsi="Book Antiqua" w:cs="Calibri"/>
                <w:b/>
                <w:color w:val="000000"/>
                <w:sz w:val="24"/>
                <w:szCs w:val="24"/>
              </w:rPr>
            </w:pPr>
            <w:r w:rsidRPr="00032DBF">
              <w:rPr>
                <w:rFonts w:ascii="Book Antiqua" w:eastAsia="Times New Roman" w:hAnsi="Book Antiqua" w:cs="Calibri"/>
                <w:b/>
                <w:color w:val="000000"/>
                <w:sz w:val="24"/>
                <w:szCs w:val="24"/>
              </w:rPr>
              <w:t xml:space="preserve">Key inclusion </w:t>
            </w:r>
            <w:r w:rsidRPr="00032DBF">
              <w:rPr>
                <w:rFonts w:ascii="Book Antiqua" w:hAnsi="Book Antiqua" w:cs="Calibri" w:hint="eastAsia"/>
                <w:b/>
                <w:color w:val="000000"/>
                <w:sz w:val="24"/>
                <w:szCs w:val="24"/>
              </w:rPr>
              <w:t>and</w:t>
            </w:r>
            <w:r w:rsidRPr="00032DBF">
              <w:rPr>
                <w:rFonts w:ascii="Book Antiqua" w:eastAsia="Times New Roman" w:hAnsi="Book Antiqua" w:cs="Calibri"/>
                <w:b/>
                <w:color w:val="000000"/>
                <w:sz w:val="24"/>
                <w:szCs w:val="24"/>
              </w:rPr>
              <w:t xml:space="preserve"> exclusion criteria </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555C9401" w14:textId="77777777" w:rsidR="00FB59DF" w:rsidRPr="00032DBF" w:rsidRDefault="00FB59DF" w:rsidP="00780B3A">
            <w:pPr>
              <w:spacing w:after="0" w:line="360" w:lineRule="auto"/>
              <w:jc w:val="both"/>
              <w:rPr>
                <w:rFonts w:ascii="Book Antiqua" w:eastAsia="Times New Roman" w:hAnsi="Book Antiqua" w:cs="Calibri"/>
                <w:b/>
                <w:i/>
                <w:color w:val="000000"/>
                <w:sz w:val="24"/>
                <w:szCs w:val="24"/>
              </w:rPr>
            </w:pPr>
            <w:r w:rsidRPr="00032DBF">
              <w:rPr>
                <w:rFonts w:ascii="Book Antiqua" w:eastAsia="Times New Roman" w:hAnsi="Book Antiqua" w:cs="Calibri"/>
                <w:b/>
                <w:i/>
                <w:color w:val="000000"/>
                <w:sz w:val="24"/>
                <w:szCs w:val="24"/>
              </w:rPr>
              <w:t>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A6D00A" w14:textId="77777777" w:rsidR="00FB59DF" w:rsidRPr="00032DBF" w:rsidRDefault="00FB59DF" w:rsidP="00780B3A">
            <w:pPr>
              <w:spacing w:after="0" w:line="360" w:lineRule="auto"/>
              <w:jc w:val="both"/>
              <w:rPr>
                <w:rFonts w:ascii="Book Antiqua" w:eastAsia="Times New Roman" w:hAnsi="Book Antiqua" w:cs="Calibri"/>
                <w:b/>
                <w:color w:val="000000"/>
                <w:sz w:val="24"/>
                <w:szCs w:val="24"/>
              </w:rPr>
            </w:pPr>
            <w:r w:rsidRPr="00032DBF">
              <w:rPr>
                <w:rFonts w:ascii="Book Antiqua" w:eastAsia="Times New Roman" w:hAnsi="Book Antiqua" w:cs="Calibri"/>
                <w:b/>
                <w:color w:val="000000"/>
                <w:sz w:val="24"/>
                <w:szCs w:val="24"/>
              </w:rPr>
              <w:t>Follow up period (</w:t>
            </w:r>
            <w:proofErr w:type="spellStart"/>
            <w:r w:rsidRPr="00032DBF">
              <w:rPr>
                <w:rFonts w:ascii="Book Antiqua" w:eastAsia="Times New Roman" w:hAnsi="Book Antiqua" w:cs="Calibri"/>
                <w:b/>
                <w:color w:val="000000"/>
                <w:sz w:val="24"/>
                <w:szCs w:val="24"/>
              </w:rPr>
              <w:t>mo</w:t>
            </w:r>
            <w:proofErr w:type="spellEnd"/>
            <w:r w:rsidRPr="00032DBF">
              <w:rPr>
                <w:rFonts w:ascii="Book Antiqua" w:eastAsia="Times New Roman" w:hAnsi="Book Antiqua" w:cs="Calibri"/>
                <w:b/>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987FC21" w14:textId="77777777" w:rsidR="00FB59DF" w:rsidRPr="00032DBF" w:rsidRDefault="00FB59DF" w:rsidP="00780B3A">
            <w:pPr>
              <w:spacing w:after="0" w:line="360" w:lineRule="auto"/>
              <w:jc w:val="both"/>
              <w:rPr>
                <w:rFonts w:ascii="Book Antiqua" w:eastAsia="Times New Roman" w:hAnsi="Book Antiqua" w:cs="Calibri"/>
                <w:b/>
                <w:color w:val="000000"/>
                <w:sz w:val="24"/>
                <w:szCs w:val="24"/>
              </w:rPr>
            </w:pPr>
            <w:r w:rsidRPr="00032DBF">
              <w:rPr>
                <w:rFonts w:ascii="Book Antiqua" w:eastAsia="Times New Roman" w:hAnsi="Book Antiqua" w:cs="Calibri"/>
                <w:b/>
                <w:color w:val="000000"/>
                <w:sz w:val="24"/>
                <w:szCs w:val="24"/>
              </w:rPr>
              <w:t>Efficacy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0E0586D" w14:textId="77777777" w:rsidR="00FB59DF" w:rsidRPr="00032DBF" w:rsidRDefault="00FB59DF" w:rsidP="00780B3A">
            <w:pPr>
              <w:spacing w:after="0" w:line="360" w:lineRule="auto"/>
              <w:jc w:val="both"/>
              <w:rPr>
                <w:rFonts w:ascii="Book Antiqua" w:eastAsia="Times New Roman" w:hAnsi="Book Antiqua" w:cs="Calibri"/>
                <w:b/>
                <w:color w:val="000000"/>
                <w:sz w:val="24"/>
                <w:szCs w:val="24"/>
              </w:rPr>
            </w:pPr>
            <w:r w:rsidRPr="00032DBF">
              <w:rPr>
                <w:rFonts w:ascii="Book Antiqua" w:eastAsia="Times New Roman" w:hAnsi="Book Antiqua" w:cs="Calibri"/>
                <w:b/>
                <w:color w:val="000000"/>
                <w:sz w:val="24"/>
                <w:szCs w:val="24"/>
              </w:rPr>
              <w:t xml:space="preserve">Mean improvement in </w:t>
            </w:r>
            <w:proofErr w:type="spellStart"/>
            <w:r w:rsidRPr="00032DBF">
              <w:rPr>
                <w:rFonts w:ascii="Book Antiqua" w:eastAsia="Times New Roman" w:hAnsi="Book Antiqua" w:cs="Calibri"/>
                <w:b/>
                <w:color w:val="000000"/>
                <w:sz w:val="24"/>
                <w:szCs w:val="24"/>
              </w:rPr>
              <w:t>eGFR</w:t>
            </w:r>
            <w:proofErr w:type="spellEnd"/>
            <w:r w:rsidRPr="00032DBF">
              <w:rPr>
                <w:rFonts w:ascii="Book Antiqua" w:eastAsia="Times New Roman" w:hAnsi="Book Antiqua" w:cs="Calibri"/>
                <w:b/>
                <w:color w:val="000000"/>
                <w:sz w:val="24"/>
                <w:szCs w:val="24"/>
              </w:rPr>
              <w:t xml:space="preserve"> (ml/min</w:t>
            </w:r>
            <w:r w:rsidRPr="00032DBF">
              <w:rPr>
                <w:rFonts w:ascii="Book Antiqua" w:hAnsi="Book Antiqua" w:cs="Calibri" w:hint="eastAsia"/>
                <w:b/>
                <w:color w:val="000000"/>
                <w:sz w:val="24"/>
                <w:szCs w:val="24"/>
              </w:rPr>
              <w:t xml:space="preserve"> per </w:t>
            </w:r>
            <w:r w:rsidRPr="00032DBF">
              <w:rPr>
                <w:rFonts w:ascii="Book Antiqua" w:eastAsia="Times New Roman" w:hAnsi="Book Antiqua" w:cs="Calibri"/>
                <w:b/>
                <w:color w:val="000000"/>
                <w:sz w:val="24"/>
                <w:szCs w:val="24"/>
              </w:rPr>
              <w:t>1.73</w:t>
            </w:r>
            <w:r w:rsidRPr="00032DBF">
              <w:rPr>
                <w:rFonts w:ascii="Book Antiqua" w:hAnsi="Book Antiqua" w:cs="Calibri" w:hint="eastAsia"/>
                <w:b/>
                <w:color w:val="000000"/>
                <w:sz w:val="24"/>
                <w:szCs w:val="24"/>
              </w:rPr>
              <w:t xml:space="preserve"> </w:t>
            </w:r>
            <w:r w:rsidRPr="00032DBF">
              <w:rPr>
                <w:rFonts w:ascii="Book Antiqua" w:eastAsia="Times New Roman" w:hAnsi="Book Antiqua" w:cs="Calibri"/>
                <w:b/>
                <w:color w:val="000000"/>
                <w:sz w:val="24"/>
                <w:szCs w:val="24"/>
              </w:rPr>
              <w:t>m</w:t>
            </w:r>
            <w:r w:rsidRPr="00032DBF">
              <w:rPr>
                <w:rFonts w:ascii="Book Antiqua" w:eastAsia="Times New Roman" w:hAnsi="Book Antiqua" w:cs="Calibri"/>
                <w:b/>
                <w:color w:val="000000"/>
                <w:sz w:val="24"/>
                <w:szCs w:val="24"/>
                <w:vertAlign w:val="superscript"/>
              </w:rPr>
              <w:t>2</w:t>
            </w:r>
            <w:r w:rsidRPr="00032DBF">
              <w:rPr>
                <w:rFonts w:ascii="Book Antiqua" w:eastAsia="Times New Roman" w:hAnsi="Book Antiqua" w:cs="Calibri"/>
                <w:b/>
                <w:color w:val="000000"/>
                <w:sz w:val="24"/>
                <w:szCs w:val="24"/>
              </w:rPr>
              <w:t>)</w:t>
            </w:r>
          </w:p>
        </w:tc>
        <w:tc>
          <w:tcPr>
            <w:tcW w:w="2175" w:type="dxa"/>
            <w:tcBorders>
              <w:top w:val="single" w:sz="4" w:space="0" w:color="auto"/>
              <w:left w:val="single" w:sz="4" w:space="0" w:color="auto"/>
              <w:bottom w:val="single" w:sz="4" w:space="0" w:color="auto"/>
              <w:right w:val="single" w:sz="4" w:space="0" w:color="auto"/>
            </w:tcBorders>
            <w:shd w:val="clear" w:color="auto" w:fill="auto"/>
            <w:hideMark/>
          </w:tcPr>
          <w:p w14:paraId="19AD30A8" w14:textId="77777777" w:rsidR="00FB59DF" w:rsidRPr="00032DBF" w:rsidRDefault="00FB59DF" w:rsidP="00780B3A">
            <w:pPr>
              <w:spacing w:after="0" w:line="360" w:lineRule="auto"/>
              <w:jc w:val="both"/>
              <w:rPr>
                <w:rFonts w:ascii="Book Antiqua" w:eastAsia="Times New Roman" w:hAnsi="Book Antiqua" w:cs="Calibri"/>
                <w:b/>
                <w:color w:val="000000"/>
                <w:sz w:val="24"/>
                <w:szCs w:val="24"/>
              </w:rPr>
            </w:pPr>
            <w:r w:rsidRPr="00032DBF">
              <w:rPr>
                <w:rFonts w:ascii="Book Antiqua" w:eastAsia="Times New Roman" w:hAnsi="Book Antiqua" w:cs="Calibri"/>
                <w:b/>
                <w:color w:val="000000"/>
                <w:sz w:val="24"/>
                <w:szCs w:val="24"/>
              </w:rPr>
              <w:t>Safety</w:t>
            </w:r>
          </w:p>
        </w:tc>
        <w:tc>
          <w:tcPr>
            <w:tcW w:w="2140" w:type="dxa"/>
            <w:tcBorders>
              <w:left w:val="single" w:sz="4" w:space="0" w:color="auto"/>
            </w:tcBorders>
            <w:vAlign w:val="center"/>
            <w:hideMark/>
          </w:tcPr>
          <w:p w14:paraId="24305574"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3120" w:type="dxa"/>
            <w:vAlign w:val="center"/>
            <w:hideMark/>
          </w:tcPr>
          <w:p w14:paraId="6D4B145C"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0C121460" w14:textId="77777777" w:rsidTr="00780B3A">
        <w:trPr>
          <w:trHeight w:val="93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16D70B99"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Fischer</w:t>
            </w:r>
            <w:r>
              <w:rPr>
                <w:rFonts w:ascii="Book Antiqua" w:hAnsi="Book Antiqua" w:cs="Calibri" w:hint="eastAsia"/>
                <w:color w:val="000000"/>
                <w:sz w:val="24"/>
                <w:szCs w:val="24"/>
              </w:rPr>
              <w:t xml:space="preserve"> </w:t>
            </w:r>
            <w:r>
              <w:rPr>
                <w:rFonts w:ascii="Book Antiqua" w:hAnsi="Book Antiqua" w:cs="Calibri" w:hint="eastAsia"/>
                <w:i/>
                <w:color w:val="000000"/>
                <w:sz w:val="24"/>
                <w:szCs w:val="24"/>
              </w:rPr>
              <w:t>et al</w:t>
            </w:r>
            <w:r w:rsidRPr="006212FF">
              <w:rPr>
                <w:rFonts w:ascii="Book Antiqua" w:eastAsia="Times New Roman" w:hAnsi="Book Antiqua" w:cs="Calibri"/>
                <w:color w:val="000000"/>
                <w:sz w:val="24"/>
                <w:szCs w:val="24"/>
                <w:vertAlign w:val="superscript"/>
              </w:rPr>
              <w:t>[13]</w:t>
            </w:r>
            <w:r w:rsidRPr="006212FF">
              <w:rPr>
                <w:rFonts w:ascii="Book Antiqua" w:eastAsia="Times New Roman" w:hAnsi="Book Antiqua" w:cs="Calibri"/>
                <w:color w:val="000000"/>
                <w:sz w:val="24"/>
                <w:szCs w:val="24"/>
              </w:rPr>
              <w:t xml:space="preserve"> 2012 (PROTECT Study)</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2E4BD2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EVR + eliminate CNI by Month </w:t>
            </w:r>
            <w:r w:rsidRPr="006212FF">
              <w:rPr>
                <w:rFonts w:ascii="Book Antiqua" w:eastAsia="Times New Roman" w:hAnsi="Book Antiqua" w:cs="Calibri"/>
                <w:sz w:val="24"/>
                <w:szCs w:val="24"/>
              </w:rPr>
              <w:t xml:space="preserve">4 </w:t>
            </w:r>
            <w:r w:rsidRPr="006212FF">
              <w:rPr>
                <w:rFonts w:ascii="Book Antiqua" w:eastAsia="Times New Roman" w:hAnsi="Book Antiqua" w:cs="Calibri"/>
                <w:color w:val="000000"/>
                <w:sz w:val="24"/>
                <w:szCs w:val="24"/>
              </w:rPr>
              <w:t>(EVR C</w:t>
            </w:r>
            <w:r w:rsidRPr="006212FF">
              <w:rPr>
                <w:rFonts w:ascii="Book Antiqua" w:eastAsia="Times New Roman" w:hAnsi="Book Antiqua" w:cs="Calibri"/>
                <w:color w:val="000000"/>
                <w:sz w:val="24"/>
                <w:szCs w:val="24"/>
                <w:vertAlign w:val="subscript"/>
              </w:rPr>
              <w:t>0</w:t>
            </w:r>
            <w:r w:rsidRPr="006212FF">
              <w:rPr>
                <w:rFonts w:ascii="Book Antiqua" w:eastAsia="Times New Roman" w:hAnsi="Book Antiqua" w:cs="Calibri"/>
                <w:color w:val="000000"/>
                <w:sz w:val="24"/>
                <w:szCs w:val="24"/>
              </w:rPr>
              <w:t xml:space="preserve"> 5</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12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 xml:space="preserve">/mL, if with </w:t>
            </w:r>
            <w:proofErr w:type="spellStart"/>
            <w:r w:rsidRPr="006212FF">
              <w:rPr>
                <w:rFonts w:ascii="Book Antiqua" w:eastAsia="Times New Roman" w:hAnsi="Book Antiqua" w:cs="Calibri"/>
                <w:color w:val="000000"/>
                <w:sz w:val="24"/>
                <w:szCs w:val="24"/>
              </w:rPr>
              <w:t>CsA</w:t>
            </w:r>
            <w:proofErr w:type="spellEnd"/>
            <w:r w:rsidRPr="006212FF">
              <w:rPr>
                <w:rFonts w:ascii="Book Antiqua" w:eastAsia="Times New Roman" w:hAnsi="Book Antiqua" w:cs="Calibri"/>
                <w:color w:val="000000"/>
                <w:sz w:val="24"/>
                <w:szCs w:val="24"/>
              </w:rPr>
              <w:t>, EVR C</w:t>
            </w:r>
            <w:r w:rsidRPr="006212FF">
              <w:rPr>
                <w:rFonts w:ascii="Book Antiqua" w:eastAsia="Times New Roman" w:hAnsi="Book Antiqua" w:cs="Calibri"/>
                <w:color w:val="000000"/>
                <w:sz w:val="24"/>
                <w:szCs w:val="24"/>
                <w:vertAlign w:val="subscript"/>
              </w:rPr>
              <w:t>0</w:t>
            </w:r>
            <w:r w:rsidRPr="006212FF">
              <w:rPr>
                <w:rFonts w:ascii="Book Antiqua" w:eastAsia="Times New Roman" w:hAnsi="Book Antiqua" w:cs="Calibri"/>
                <w:color w:val="000000"/>
                <w:sz w:val="24"/>
                <w:szCs w:val="24"/>
              </w:rPr>
              <w:t xml:space="preserve"> 8</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12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/mL)</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2C387EF2"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from day 30 and by day 56 </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6AC93B"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Inclusion: no rejection 2</w:t>
            </w:r>
            <w:r>
              <w:rPr>
                <w:rFonts w:ascii="Book Antiqua" w:hAnsi="Book Antiqua" w:cs="Calibri" w:hint="eastAsia"/>
                <w:color w:val="000000"/>
                <w:sz w:val="24"/>
                <w:szCs w:val="24"/>
              </w:rPr>
              <w:t xml:space="preserve"> </w:t>
            </w:r>
            <w:proofErr w:type="spellStart"/>
            <w:r>
              <w:rPr>
                <w:rFonts w:ascii="Book Antiqua" w:eastAsia="Times New Roman" w:hAnsi="Book Antiqua" w:cs="Calibri"/>
                <w:color w:val="000000"/>
                <w:sz w:val="24"/>
                <w:szCs w:val="24"/>
              </w:rPr>
              <w:t>wk</w:t>
            </w:r>
            <w:proofErr w:type="spellEnd"/>
            <w:r w:rsidRPr="006212FF">
              <w:rPr>
                <w:rFonts w:ascii="Book Antiqua" w:eastAsia="Times New Roman" w:hAnsi="Book Antiqua" w:cs="Calibri"/>
                <w:color w:val="000000"/>
                <w:sz w:val="24"/>
                <w:szCs w:val="24"/>
              </w:rPr>
              <w:t xml:space="preserve"> before study, renal function</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&gt;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50</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mL/min</w:t>
            </w:r>
            <w:r w:rsidRPr="006212FF">
              <w:rPr>
                <w:rFonts w:ascii="Book Antiqua" w:eastAsia="Times New Roman" w:hAnsi="Book Antiqua" w:cs="Calibri"/>
                <w:color w:val="000000"/>
                <w:sz w:val="24"/>
                <w:szCs w:val="24"/>
              </w:rPr>
              <w:br/>
              <w:t>Exclusion:</w:t>
            </w:r>
            <w:r>
              <w:rPr>
                <w:rFonts w:ascii="Book Antiqua" w:eastAsia="Times New Roman" w:hAnsi="Book Antiqua" w:cs="Calibri"/>
                <w:color w:val="000000"/>
                <w:sz w:val="24"/>
                <w:szCs w:val="24"/>
              </w:rPr>
              <w:t xml:space="preserve"> </w:t>
            </w:r>
            <w:r w:rsidRPr="006212FF">
              <w:rPr>
                <w:rFonts w:ascii="Book Antiqua" w:eastAsia="Times New Roman" w:hAnsi="Book Antiqua" w:cs="Calibri"/>
                <w:color w:val="000000"/>
                <w:sz w:val="24"/>
                <w:szCs w:val="24"/>
              </w:rPr>
              <w:t>severe systemic infections, total cholesterol≥ 9</w:t>
            </w:r>
            <w:r>
              <w:rPr>
                <w:rFonts w:ascii="Book Antiqua" w:hAnsi="Book Antiqua" w:cs="Calibri" w:hint="eastAsia"/>
                <w:color w:val="000000"/>
                <w:sz w:val="24"/>
                <w:szCs w:val="24"/>
              </w:rPr>
              <w:t xml:space="preserve"> </w:t>
            </w:r>
            <w:proofErr w:type="spellStart"/>
            <w:r w:rsidRPr="006212FF">
              <w:rPr>
                <w:rFonts w:ascii="Book Antiqua" w:eastAsia="Times New Roman" w:hAnsi="Book Antiqua" w:cs="Calibri"/>
                <w:color w:val="000000"/>
                <w:sz w:val="24"/>
                <w:szCs w:val="24"/>
              </w:rPr>
              <w:t>mmo</w:t>
            </w:r>
            <w:proofErr w:type="spellEnd"/>
            <w:r w:rsidRPr="006212FF">
              <w:rPr>
                <w:rFonts w:ascii="Book Antiqua" w:eastAsia="Times New Roman" w:hAnsi="Book Antiqua" w:cs="Calibri"/>
                <w:color w:val="000000"/>
                <w:sz w:val="24"/>
                <w:szCs w:val="24"/>
              </w:rPr>
              <w:t>/L, TG</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&gt;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8.5</w:t>
            </w:r>
            <w:r>
              <w:rPr>
                <w:rFonts w:ascii="Book Antiqua" w:hAnsi="Book Antiqua" w:cs="Calibri" w:hint="eastAsia"/>
                <w:color w:val="000000"/>
                <w:sz w:val="24"/>
                <w:szCs w:val="24"/>
              </w:rPr>
              <w:t xml:space="preserve"> </w:t>
            </w:r>
            <w:proofErr w:type="spellStart"/>
            <w:r w:rsidRPr="006212FF">
              <w:rPr>
                <w:rFonts w:ascii="Book Antiqua" w:eastAsia="Times New Roman" w:hAnsi="Book Antiqua" w:cs="Calibri"/>
                <w:color w:val="000000"/>
                <w:sz w:val="24"/>
                <w:szCs w:val="24"/>
              </w:rPr>
              <w:t>mmol</w:t>
            </w:r>
            <w:proofErr w:type="spellEnd"/>
            <w:r w:rsidRPr="006212FF">
              <w:rPr>
                <w:rFonts w:ascii="Book Antiqua" w:eastAsia="Times New Roman" w:hAnsi="Book Antiqua" w:cs="Calibri"/>
                <w:color w:val="000000"/>
                <w:sz w:val="24"/>
                <w:szCs w:val="24"/>
              </w:rPr>
              <w:t>/L, significant renal dysfunction (</w:t>
            </w:r>
            <w:proofErr w:type="spellStart"/>
            <w:r w:rsidRPr="006212FF">
              <w:rPr>
                <w:rFonts w:ascii="Book Antiqua" w:eastAsia="Times New Roman" w:hAnsi="Book Antiqua" w:cs="Calibri"/>
                <w:color w:val="000000"/>
                <w:sz w:val="24"/>
                <w:szCs w:val="24"/>
              </w:rPr>
              <w:t>eGFR</w:t>
            </w:r>
            <w:proofErr w:type="spellEnd"/>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&lt;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50</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lastRenderedPageBreak/>
              <w:t>mL/min)</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31B6A29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lastRenderedPageBreak/>
              <w:t>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876F1D"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12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4BE8E97"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BPAR, graft loss or death: 20.8% </w:t>
            </w:r>
            <w:proofErr w:type="spellStart"/>
            <w:r w:rsidRPr="00CB395A">
              <w:rPr>
                <w:rFonts w:ascii="Book Antiqua" w:eastAsia="Times New Roman" w:hAnsi="Book Antiqua" w:cs="Calibri"/>
                <w:i/>
                <w:color w:val="000000"/>
                <w:sz w:val="24"/>
                <w:szCs w:val="24"/>
              </w:rPr>
              <w:t>vs</w:t>
            </w:r>
            <w:proofErr w:type="spellEnd"/>
            <w:r w:rsidRPr="006212FF">
              <w:rPr>
                <w:rFonts w:ascii="Book Antiqua" w:eastAsia="Times New Roman" w:hAnsi="Book Antiqua" w:cs="Calibri"/>
                <w:color w:val="000000"/>
                <w:sz w:val="24"/>
                <w:szCs w:val="24"/>
              </w:rPr>
              <w:t xml:space="preserve"> 20.4% (</w:t>
            </w:r>
            <w:r w:rsidRPr="00CB395A">
              <w:rPr>
                <w:rFonts w:ascii="Book Antiqua" w:eastAsia="Times New Roman" w:hAnsi="Book Antiqua" w:cs="Calibri"/>
                <w:i/>
                <w:color w:val="000000"/>
                <w:sz w:val="24"/>
                <w:szCs w:val="24"/>
              </w:rPr>
              <w:t>P</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 xml:space="preserve">1.0)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2D7115A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7.8 (</w:t>
            </w:r>
            <w:r w:rsidRPr="00CB395A">
              <w:rPr>
                <w:rFonts w:ascii="Book Antiqua" w:eastAsia="Times New Roman" w:hAnsi="Book Antiqua" w:cs="Calibri"/>
                <w:i/>
                <w:color w:val="000000"/>
                <w:sz w:val="24"/>
                <w:szCs w:val="24"/>
              </w:rPr>
              <w:t>P</w:t>
            </w:r>
            <w:r w:rsidRPr="006212FF">
              <w:rPr>
                <w:rFonts w:ascii="Book Antiqua" w:eastAsia="Times New Roman" w:hAnsi="Book Antiqua" w:cs="Calibri"/>
                <w:color w:val="000000"/>
                <w:sz w:val="24"/>
                <w:szCs w:val="24"/>
              </w:rPr>
              <w:t xml:space="preserve"> = 0.021)</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5805CC"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No HAT, no increased risk of delayed wound healing. Higher incidence of infections, leukopenia, hyperlipidemia, anemia, proteinuria and arterial hypertension in the EVR group</w:t>
            </w:r>
          </w:p>
        </w:tc>
        <w:tc>
          <w:tcPr>
            <w:tcW w:w="2140" w:type="dxa"/>
            <w:tcBorders>
              <w:left w:val="single" w:sz="4" w:space="0" w:color="auto"/>
            </w:tcBorders>
            <w:vAlign w:val="center"/>
            <w:hideMark/>
          </w:tcPr>
          <w:p w14:paraId="59E35F6A"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3120" w:type="dxa"/>
            <w:vAlign w:val="center"/>
            <w:hideMark/>
          </w:tcPr>
          <w:p w14:paraId="02D04C77"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1D2A3E5B" w14:textId="77777777" w:rsidTr="00780B3A">
        <w:trPr>
          <w:trHeight w:val="93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CA4619F"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3941EAD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Control: FK or </w:t>
            </w:r>
            <w:proofErr w:type="spellStart"/>
            <w:r w:rsidRPr="006212FF">
              <w:rPr>
                <w:rFonts w:ascii="Book Antiqua" w:eastAsia="Times New Roman" w:hAnsi="Book Antiqua" w:cs="Calibri"/>
                <w:color w:val="000000"/>
                <w:sz w:val="24"/>
                <w:szCs w:val="24"/>
              </w:rPr>
              <w:t>CsA</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0DA2B42"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CBA3E3F"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4FF2C45D"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F63F695"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28F780F5"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3A1AEDC7"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3620BCAB"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40" w:type="dxa"/>
            <w:tcBorders>
              <w:left w:val="single" w:sz="4" w:space="0" w:color="auto"/>
            </w:tcBorders>
            <w:vAlign w:val="center"/>
            <w:hideMark/>
          </w:tcPr>
          <w:p w14:paraId="20F2A9A4"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3120" w:type="dxa"/>
            <w:vAlign w:val="center"/>
            <w:hideMark/>
          </w:tcPr>
          <w:p w14:paraId="1862B0ED"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0BE4CE95" w14:textId="77777777" w:rsidTr="00780B3A">
        <w:trPr>
          <w:trHeight w:val="93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78A6DCC2"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roofErr w:type="spellStart"/>
            <w:r w:rsidRPr="006212FF">
              <w:rPr>
                <w:rFonts w:ascii="Book Antiqua" w:eastAsia="Times New Roman" w:hAnsi="Book Antiqua" w:cs="Calibri"/>
                <w:color w:val="000000"/>
                <w:sz w:val="24"/>
                <w:szCs w:val="24"/>
              </w:rPr>
              <w:t>Sterneck</w:t>
            </w:r>
            <w:proofErr w:type="spellEnd"/>
            <w:r>
              <w:rPr>
                <w:rFonts w:ascii="Book Antiqua" w:hAnsi="Book Antiqua" w:cs="Calibri" w:hint="eastAsia"/>
                <w:color w:val="000000"/>
                <w:sz w:val="24"/>
                <w:szCs w:val="24"/>
              </w:rPr>
              <w:t xml:space="preserve"> </w:t>
            </w:r>
            <w:r>
              <w:rPr>
                <w:rFonts w:ascii="Book Antiqua" w:hAnsi="Book Antiqua" w:cs="Calibri" w:hint="eastAsia"/>
                <w:i/>
                <w:color w:val="000000"/>
                <w:sz w:val="24"/>
                <w:szCs w:val="24"/>
              </w:rPr>
              <w:t>et al</w:t>
            </w:r>
            <w:r w:rsidRPr="006212FF">
              <w:rPr>
                <w:rFonts w:ascii="Book Antiqua" w:eastAsia="Times New Roman" w:hAnsi="Book Antiqua" w:cs="Calibri"/>
                <w:color w:val="000000"/>
                <w:sz w:val="24"/>
                <w:szCs w:val="24"/>
                <w:vertAlign w:val="superscript"/>
              </w:rPr>
              <w:t>[14]</w:t>
            </w:r>
            <w:r w:rsidRPr="006212FF">
              <w:rPr>
                <w:rFonts w:ascii="Book Antiqua" w:eastAsia="Times New Roman" w:hAnsi="Book Antiqua" w:cs="Calibri"/>
                <w:color w:val="000000"/>
                <w:sz w:val="24"/>
                <w:szCs w:val="24"/>
              </w:rPr>
              <w:t xml:space="preserve"> 2014 (PROTECT </w:t>
            </w:r>
            <w:r w:rsidRPr="006212FF">
              <w:rPr>
                <w:rFonts w:ascii="Book Antiqua" w:eastAsia="Times New Roman" w:hAnsi="Book Antiqua" w:cs="Calibri"/>
                <w:color w:val="000000"/>
                <w:sz w:val="24"/>
                <w:szCs w:val="24"/>
              </w:rPr>
              <w:lastRenderedPageBreak/>
              <w:t xml:space="preserve">Study, extended to 36 </w:t>
            </w:r>
            <w:proofErr w:type="spellStart"/>
            <w:r w:rsidRPr="006212FF">
              <w:rPr>
                <w:rFonts w:ascii="Book Antiqua" w:eastAsia="Times New Roman" w:hAnsi="Book Antiqua" w:cs="Calibri"/>
                <w:color w:val="000000"/>
                <w:sz w:val="24"/>
                <w:szCs w:val="24"/>
              </w:rPr>
              <w:t>mo</w:t>
            </w:r>
            <w:proofErr w:type="spellEnd"/>
            <w:r w:rsidRPr="006212FF">
              <w:rPr>
                <w:rFonts w:ascii="Book Antiqua" w:eastAsia="Times New Roman" w:hAnsi="Book Antiqua" w:cs="Calibri"/>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46FE50E"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lastRenderedPageBreak/>
              <w:t>Same as above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3B31730"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from day 30 and by day 56 </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488D62C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7312698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467D4C3"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36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59F975"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BPAR, graft loss and death: 19.5% </w:t>
            </w:r>
            <w:proofErr w:type="spellStart"/>
            <w:r w:rsidRPr="00CB395A">
              <w:rPr>
                <w:rFonts w:ascii="Book Antiqua" w:eastAsia="Times New Roman" w:hAnsi="Book Antiqua" w:cs="Calibri"/>
                <w:i/>
                <w:color w:val="000000"/>
                <w:sz w:val="24"/>
                <w:szCs w:val="24"/>
              </w:rPr>
              <w:t>vs</w:t>
            </w:r>
            <w:proofErr w:type="spellEnd"/>
            <w:r w:rsidRPr="006212FF">
              <w:rPr>
                <w:rFonts w:ascii="Book Antiqua" w:eastAsia="Times New Roman" w:hAnsi="Book Antiqua" w:cs="Calibri"/>
                <w:color w:val="000000"/>
                <w:sz w:val="24"/>
                <w:szCs w:val="24"/>
              </w:rPr>
              <w:t xml:space="preserve"> 2.5% (</w:t>
            </w:r>
            <w:r w:rsidRPr="00CB395A">
              <w:rPr>
                <w:rFonts w:ascii="Book Antiqua" w:eastAsia="Times New Roman" w:hAnsi="Book Antiqua" w:cs="Calibri"/>
                <w:i/>
                <w:color w:val="000000"/>
                <w:sz w:val="24"/>
                <w:szCs w:val="24"/>
              </w:rPr>
              <w:t>P</w:t>
            </w:r>
            <w:r w:rsidRPr="006212FF">
              <w:rPr>
                <w:rFonts w:ascii="Book Antiqua" w:eastAsia="Times New Roman" w:hAnsi="Book Antiqua" w:cs="Calibri"/>
                <w:color w:val="000000"/>
                <w:sz w:val="24"/>
                <w:szCs w:val="24"/>
              </w:rPr>
              <w:t xml:space="preserve"> =</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lastRenderedPageBreak/>
              <w:t>0.029) at month 11 (baseline).</w:t>
            </w:r>
            <w:r w:rsidRPr="006212FF">
              <w:rPr>
                <w:rFonts w:ascii="Book Antiqua" w:eastAsia="Times New Roman" w:hAnsi="Book Antiqua" w:cs="Calibri"/>
                <w:color w:val="000000"/>
                <w:sz w:val="24"/>
                <w:szCs w:val="24"/>
              </w:rPr>
              <w:br/>
              <w:t xml:space="preserve">BPAR, graft loss and death: 4.9% </w:t>
            </w:r>
            <w:proofErr w:type="spellStart"/>
            <w:r w:rsidRPr="00CB395A">
              <w:rPr>
                <w:rFonts w:ascii="Book Antiqua" w:eastAsia="Times New Roman" w:hAnsi="Book Antiqua" w:cs="Calibri"/>
                <w:i/>
                <w:color w:val="000000"/>
                <w:sz w:val="24"/>
                <w:szCs w:val="24"/>
              </w:rPr>
              <w:t>vs</w:t>
            </w:r>
            <w:proofErr w:type="spellEnd"/>
            <w:r w:rsidRPr="006212FF">
              <w:rPr>
                <w:rFonts w:ascii="Book Antiqua" w:eastAsia="Times New Roman" w:hAnsi="Book Antiqua" w:cs="Calibri"/>
                <w:color w:val="000000"/>
                <w:sz w:val="24"/>
                <w:szCs w:val="24"/>
              </w:rPr>
              <w:t xml:space="preserve"> 5.0% (</w:t>
            </w:r>
            <w:r w:rsidRPr="00CB395A">
              <w:rPr>
                <w:rFonts w:ascii="Book Antiqua" w:eastAsia="Times New Roman" w:hAnsi="Book Antiqua" w:cs="Calibri"/>
                <w:i/>
                <w:color w:val="000000"/>
                <w:sz w:val="24"/>
                <w:szCs w:val="24"/>
              </w:rPr>
              <w:t>P</w:t>
            </w:r>
            <w:r w:rsidRPr="006212FF">
              <w:rPr>
                <w:rFonts w:ascii="Book Antiqua" w:eastAsia="Times New Roman" w:hAnsi="Book Antiqua" w:cs="Calibri"/>
                <w:color w:val="000000"/>
                <w:sz w:val="24"/>
                <w:szCs w:val="24"/>
              </w:rPr>
              <w:t xml:space="preserve"> =</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1.0) at month 36</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CC3D553"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lastRenderedPageBreak/>
              <w:t>9.4 (</w:t>
            </w:r>
            <w:r w:rsidRPr="00CB395A">
              <w:rPr>
                <w:rFonts w:ascii="Book Antiqua" w:eastAsia="Times New Roman" w:hAnsi="Book Antiqua" w:cs="Calibri"/>
                <w:i/>
                <w:color w:val="000000"/>
                <w:sz w:val="24"/>
                <w:szCs w:val="24"/>
              </w:rPr>
              <w:t>P</w:t>
            </w:r>
            <w:r w:rsidRPr="006212FF">
              <w:rPr>
                <w:rFonts w:ascii="Book Antiqua" w:eastAsia="Times New Roman" w:hAnsi="Book Antiqua" w:cs="Calibri"/>
                <w:color w:val="000000"/>
                <w:sz w:val="24"/>
                <w:szCs w:val="24"/>
              </w:rPr>
              <w:t xml:space="preserve"> =</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0.053)</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DB8022"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Peripheral edema and back pain were significantly </w:t>
            </w:r>
            <w:r w:rsidRPr="006212FF">
              <w:rPr>
                <w:rFonts w:ascii="Book Antiqua" w:eastAsia="Times New Roman" w:hAnsi="Book Antiqua" w:cs="Calibri"/>
                <w:color w:val="000000"/>
                <w:sz w:val="24"/>
                <w:szCs w:val="24"/>
              </w:rPr>
              <w:lastRenderedPageBreak/>
              <w:t>higher in EVR group</w:t>
            </w:r>
          </w:p>
        </w:tc>
        <w:tc>
          <w:tcPr>
            <w:tcW w:w="2140" w:type="dxa"/>
            <w:tcBorders>
              <w:left w:val="single" w:sz="4" w:space="0" w:color="auto"/>
            </w:tcBorders>
            <w:vAlign w:val="center"/>
            <w:hideMark/>
          </w:tcPr>
          <w:p w14:paraId="42CF6DEB"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3120" w:type="dxa"/>
            <w:vAlign w:val="center"/>
            <w:hideMark/>
          </w:tcPr>
          <w:p w14:paraId="2AB8BAD9"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65138A98" w14:textId="77777777" w:rsidTr="00780B3A">
        <w:trPr>
          <w:trHeight w:val="93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3D5E2FF"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1F724BAC"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14:paraId="7ECDC2B3"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6B3363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143429D0"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034C2C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320A780"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46C6D296"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54898C59"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40" w:type="dxa"/>
            <w:tcBorders>
              <w:left w:val="single" w:sz="4" w:space="0" w:color="auto"/>
            </w:tcBorders>
            <w:vAlign w:val="center"/>
            <w:hideMark/>
          </w:tcPr>
          <w:p w14:paraId="3BDA1397"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3120" w:type="dxa"/>
            <w:vAlign w:val="center"/>
            <w:hideMark/>
          </w:tcPr>
          <w:p w14:paraId="382E58DB"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722B3163" w14:textId="77777777" w:rsidTr="00780B3A">
        <w:trPr>
          <w:trHeight w:val="93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39B8DC89"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roofErr w:type="spellStart"/>
            <w:r w:rsidRPr="006212FF">
              <w:rPr>
                <w:rFonts w:ascii="Book Antiqua" w:eastAsia="Times New Roman" w:hAnsi="Book Antiqua" w:cs="Calibri"/>
                <w:color w:val="000000"/>
                <w:sz w:val="24"/>
                <w:szCs w:val="24"/>
              </w:rPr>
              <w:t>Sterneck</w:t>
            </w:r>
            <w:proofErr w:type="spellEnd"/>
            <w:r>
              <w:rPr>
                <w:rFonts w:ascii="Book Antiqua" w:hAnsi="Book Antiqua" w:cs="Calibri" w:hint="eastAsia"/>
                <w:color w:val="000000"/>
                <w:sz w:val="24"/>
                <w:szCs w:val="24"/>
              </w:rPr>
              <w:t xml:space="preserve"> </w:t>
            </w:r>
            <w:r>
              <w:rPr>
                <w:rFonts w:ascii="Book Antiqua" w:hAnsi="Book Antiqua" w:cs="Calibri" w:hint="eastAsia"/>
                <w:i/>
                <w:color w:val="000000"/>
                <w:sz w:val="24"/>
                <w:szCs w:val="24"/>
              </w:rPr>
              <w:t>et al</w:t>
            </w:r>
            <w:r w:rsidRPr="006212FF">
              <w:rPr>
                <w:rFonts w:ascii="Book Antiqua" w:eastAsia="Times New Roman" w:hAnsi="Book Antiqua" w:cs="Calibri"/>
                <w:color w:val="000000"/>
                <w:sz w:val="24"/>
                <w:szCs w:val="24"/>
                <w:vertAlign w:val="superscript"/>
              </w:rPr>
              <w:t>[15]</w:t>
            </w:r>
            <w:r w:rsidRPr="006212FF">
              <w:rPr>
                <w:rFonts w:ascii="Book Antiqua" w:eastAsia="Times New Roman" w:hAnsi="Book Antiqua" w:cs="Calibri"/>
                <w:color w:val="000000"/>
                <w:sz w:val="24"/>
                <w:szCs w:val="24"/>
              </w:rPr>
              <w:t xml:space="preserve"> 2016 (PROTECT Study, extended to 59 months)</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03F13C27"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Same as above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89D697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From day 30 and by day 56 </w:t>
            </w: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9E447D6"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35A4A067"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7AA6A16"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59</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FB4793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BPAR, graft loss and death: 9.8% </w:t>
            </w:r>
            <w:proofErr w:type="spellStart"/>
            <w:r w:rsidRPr="009123C3">
              <w:rPr>
                <w:rFonts w:ascii="Book Antiqua" w:eastAsia="Times New Roman" w:hAnsi="Book Antiqua" w:cs="Calibri"/>
                <w:i/>
                <w:color w:val="000000"/>
                <w:sz w:val="24"/>
                <w:szCs w:val="24"/>
              </w:rPr>
              <w:t>vs</w:t>
            </w:r>
            <w:proofErr w:type="spellEnd"/>
            <w:r w:rsidRPr="006212FF">
              <w:rPr>
                <w:rFonts w:ascii="Book Antiqua" w:eastAsia="Times New Roman" w:hAnsi="Book Antiqua" w:cs="Calibri"/>
                <w:color w:val="000000"/>
                <w:sz w:val="24"/>
                <w:szCs w:val="24"/>
              </w:rPr>
              <w:t xml:space="preserve"> 7.5% (</w:t>
            </w:r>
            <w:r w:rsidRPr="009123C3">
              <w:rPr>
                <w:rFonts w:ascii="Book Antiqua" w:eastAsia="Times New Roman" w:hAnsi="Book Antiqua" w:cs="Calibri"/>
                <w:i/>
                <w:color w:val="000000"/>
                <w:sz w:val="24"/>
                <w:szCs w:val="24"/>
              </w:rPr>
              <w:t>P</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1.0) from month 11 to month 59</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399B787E"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11.4 (</w:t>
            </w:r>
            <w:r w:rsidRPr="009123C3">
              <w:rPr>
                <w:rFonts w:ascii="Book Antiqua" w:eastAsia="Times New Roman" w:hAnsi="Book Antiqua" w:cs="Calibri"/>
                <w:i/>
                <w:color w:val="000000"/>
                <w:sz w:val="24"/>
                <w:szCs w:val="24"/>
              </w:rPr>
              <w:t>P</w:t>
            </w:r>
            <w:r w:rsidRPr="006212FF">
              <w:rPr>
                <w:rFonts w:ascii="Book Antiqua" w:eastAsia="Times New Roman" w:hAnsi="Book Antiqua" w:cs="Calibri"/>
                <w:color w:val="000000"/>
                <w:sz w:val="24"/>
                <w:szCs w:val="24"/>
              </w:rPr>
              <w:t xml:space="preserve"> =</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0.021)</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6A4C1F"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Peripheral edema and back pain were significantly higher in EVR group</w:t>
            </w:r>
          </w:p>
        </w:tc>
        <w:tc>
          <w:tcPr>
            <w:tcW w:w="2140" w:type="dxa"/>
            <w:tcBorders>
              <w:left w:val="single" w:sz="4" w:space="0" w:color="auto"/>
            </w:tcBorders>
            <w:vAlign w:val="center"/>
            <w:hideMark/>
          </w:tcPr>
          <w:p w14:paraId="34F70CA4"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3120" w:type="dxa"/>
            <w:tcBorders>
              <w:left w:val="nil"/>
            </w:tcBorders>
            <w:vAlign w:val="center"/>
            <w:hideMark/>
          </w:tcPr>
          <w:p w14:paraId="04ACBF15"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049567F6" w14:textId="77777777" w:rsidTr="00780B3A">
        <w:trPr>
          <w:trHeight w:val="48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7E129BF8"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2AF686C9"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14:paraId="4E9D931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0E2039BD"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0553C87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A3EA85D"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0CDF2E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07EBFF7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14:paraId="03B3CAD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140" w:type="dxa"/>
            <w:tcBorders>
              <w:left w:val="single" w:sz="4" w:space="0" w:color="auto"/>
            </w:tcBorders>
            <w:vAlign w:val="center"/>
            <w:hideMark/>
          </w:tcPr>
          <w:p w14:paraId="2378D7A5"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3120" w:type="dxa"/>
            <w:tcBorders>
              <w:left w:val="nil"/>
            </w:tcBorders>
            <w:vAlign w:val="center"/>
            <w:hideMark/>
          </w:tcPr>
          <w:p w14:paraId="6DF5AA5B"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bl>
    <w:p w14:paraId="72C2086E" w14:textId="77777777" w:rsidR="00FB59DF" w:rsidRPr="006212FF" w:rsidRDefault="00FB59DF" w:rsidP="00FB59DF">
      <w:pPr>
        <w:spacing w:after="0" w:line="360" w:lineRule="auto"/>
        <w:jc w:val="both"/>
        <w:rPr>
          <w:rFonts w:ascii="Book Antiqua" w:eastAsia="Times New Roman" w:hAnsi="Book Antiqua" w:cstheme="minorHAnsi"/>
          <w:bCs/>
          <w:color w:val="000000"/>
          <w:sz w:val="24"/>
          <w:szCs w:val="24"/>
        </w:rPr>
        <w:sectPr w:rsidR="00FB59DF" w:rsidRPr="006212FF" w:rsidSect="00C652AE">
          <w:pgSz w:w="15840" w:h="12240" w:orient="landscape"/>
          <w:pgMar w:top="851" w:right="1440" w:bottom="567" w:left="635" w:header="720" w:footer="720" w:gutter="0"/>
          <w:cols w:space="720"/>
          <w:docGrid w:linePitch="360"/>
        </w:sectPr>
      </w:pPr>
    </w:p>
    <w:tbl>
      <w:tblPr>
        <w:tblW w:w="17602" w:type="dxa"/>
        <w:tblInd w:w="93" w:type="dxa"/>
        <w:tblLook w:val="04A0" w:firstRow="1" w:lastRow="0" w:firstColumn="1" w:lastColumn="0" w:noHBand="0" w:noVBand="1"/>
      </w:tblPr>
      <w:tblGrid>
        <w:gridCol w:w="1365"/>
        <w:gridCol w:w="1963"/>
        <w:gridCol w:w="1344"/>
        <w:gridCol w:w="2259"/>
        <w:gridCol w:w="623"/>
        <w:gridCol w:w="1179"/>
        <w:gridCol w:w="1505"/>
        <w:gridCol w:w="2082"/>
        <w:gridCol w:w="2307"/>
        <w:gridCol w:w="336"/>
        <w:gridCol w:w="1804"/>
        <w:gridCol w:w="222"/>
        <w:gridCol w:w="446"/>
        <w:gridCol w:w="167"/>
      </w:tblGrid>
      <w:tr w:rsidR="00FB59DF" w:rsidRPr="006212FF" w14:paraId="4E66D07D" w14:textId="77777777" w:rsidTr="00780B3A">
        <w:trPr>
          <w:trHeight w:val="1065"/>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14:paraId="18CA496B"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lastRenderedPageBreak/>
              <w:t>De Simone</w:t>
            </w:r>
            <w:r>
              <w:rPr>
                <w:rFonts w:ascii="Book Antiqua" w:hAnsi="Book Antiqua" w:cs="Calibri" w:hint="eastAsia"/>
                <w:color w:val="000000"/>
                <w:sz w:val="24"/>
                <w:szCs w:val="24"/>
              </w:rPr>
              <w:t xml:space="preserve"> </w:t>
            </w:r>
            <w:r>
              <w:rPr>
                <w:rFonts w:ascii="Book Antiqua" w:hAnsi="Book Antiqua" w:cs="Calibri" w:hint="eastAsia"/>
                <w:i/>
                <w:color w:val="000000"/>
                <w:sz w:val="24"/>
                <w:szCs w:val="24"/>
              </w:rPr>
              <w:t>et al</w:t>
            </w:r>
            <w:r w:rsidRPr="006212FF">
              <w:rPr>
                <w:rFonts w:ascii="Book Antiqua" w:eastAsia="Times New Roman" w:hAnsi="Book Antiqua" w:cs="Calibri"/>
                <w:color w:val="000000"/>
                <w:sz w:val="24"/>
                <w:szCs w:val="24"/>
                <w:vertAlign w:val="superscript"/>
              </w:rPr>
              <w:t>[16]</w:t>
            </w:r>
            <w:r w:rsidRPr="006212FF">
              <w:rPr>
                <w:rFonts w:ascii="Book Antiqua" w:eastAsia="Times New Roman" w:hAnsi="Book Antiqua" w:cs="Calibri"/>
                <w:color w:val="000000"/>
                <w:sz w:val="24"/>
                <w:szCs w:val="24"/>
              </w:rPr>
              <w:t xml:space="preserve"> 2012 (H2304 Study)</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6F3F1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EVR + low FK </w:t>
            </w:r>
            <w:r w:rsidRPr="006212FF">
              <w:rPr>
                <w:rFonts w:ascii="Book Antiqua" w:eastAsia="Times New Roman" w:hAnsi="Book Antiqua" w:cs="Calibri"/>
                <w:color w:val="000000"/>
                <w:sz w:val="24"/>
                <w:szCs w:val="24"/>
              </w:rPr>
              <w:br/>
              <w:t>(EVR C</w:t>
            </w:r>
            <w:r w:rsidRPr="006212FF">
              <w:rPr>
                <w:rFonts w:ascii="Book Antiqua" w:eastAsia="Times New Roman" w:hAnsi="Book Antiqua" w:cs="Calibri"/>
                <w:color w:val="000000"/>
                <w:sz w:val="24"/>
                <w:szCs w:val="24"/>
                <w:vertAlign w:val="subscript"/>
              </w:rPr>
              <w:t>0</w:t>
            </w:r>
            <w:r w:rsidRPr="006212FF">
              <w:rPr>
                <w:rFonts w:ascii="Book Antiqua" w:eastAsia="Times New Roman" w:hAnsi="Book Antiqua" w:cs="Calibri"/>
                <w:color w:val="000000"/>
                <w:sz w:val="24"/>
                <w:szCs w:val="24"/>
              </w:rPr>
              <w:t xml:space="preserve"> 3</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8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/mL and FK C0 3</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5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/mL)</w:t>
            </w:r>
          </w:p>
          <w:p w14:paraId="7DD488E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FK elimination (EVR C0 3-8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 xml:space="preserve">/mL till month 4 then 6-10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 xml:space="preserve">/mL thereafter and FK elimination started at month 4 when EVR C0 6-10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/mL achieved</w:t>
            </w:r>
          </w:p>
          <w:p w14:paraId="5D942808" w14:textId="77777777" w:rsidR="00FB59DF" w:rsidRPr="006212FF" w:rsidRDefault="00FB59DF" w:rsidP="00780B3A">
            <w:pPr>
              <w:spacing w:after="0" w:line="360" w:lineRule="auto"/>
              <w:jc w:val="both"/>
              <w:rPr>
                <w:rFonts w:ascii="Book Antiqua" w:eastAsia="Times New Roman" w:hAnsi="Book Antiqua" w:cs="Calibri"/>
                <w:color w:val="000000"/>
                <w:sz w:val="24"/>
                <w:szCs w:val="24"/>
                <w:highlight w:val="green"/>
              </w:rPr>
            </w:pPr>
            <w:r w:rsidRPr="006212FF">
              <w:rPr>
                <w:rFonts w:ascii="Book Antiqua" w:eastAsia="Times New Roman" w:hAnsi="Book Antiqua" w:cs="Calibri"/>
                <w:color w:val="000000"/>
                <w:sz w:val="24"/>
                <w:szCs w:val="24"/>
              </w:rPr>
              <w:t>Control: FK (C</w:t>
            </w:r>
            <w:r w:rsidRPr="006212FF">
              <w:rPr>
                <w:rFonts w:ascii="Book Antiqua" w:eastAsia="Times New Roman" w:hAnsi="Book Antiqua" w:cs="Calibri"/>
                <w:color w:val="000000"/>
                <w:sz w:val="24"/>
                <w:szCs w:val="24"/>
                <w:vertAlign w:val="subscript"/>
              </w:rPr>
              <w:t>0</w:t>
            </w:r>
            <w:r w:rsidRPr="006212FF">
              <w:rPr>
                <w:rFonts w:ascii="Book Antiqua" w:eastAsia="Times New Roman" w:hAnsi="Book Antiqua" w:cs="Calibri"/>
                <w:color w:val="000000"/>
                <w:sz w:val="24"/>
                <w:szCs w:val="24"/>
              </w:rPr>
              <w:t xml:space="preserve"> 8</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12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/mL until month 4 and C</w:t>
            </w:r>
            <w:r w:rsidRPr="006212FF">
              <w:rPr>
                <w:rFonts w:ascii="Book Antiqua" w:eastAsia="Times New Roman" w:hAnsi="Book Antiqua" w:cs="Calibri"/>
                <w:color w:val="000000"/>
                <w:sz w:val="24"/>
                <w:szCs w:val="24"/>
                <w:vertAlign w:val="subscript"/>
              </w:rPr>
              <w:t>0</w:t>
            </w:r>
            <w:r w:rsidRPr="006212FF">
              <w:rPr>
                <w:rFonts w:ascii="Book Antiqua" w:eastAsia="Times New Roman" w:hAnsi="Book Antiqua" w:cs="Calibri"/>
                <w:color w:val="000000"/>
                <w:sz w:val="24"/>
                <w:szCs w:val="24"/>
              </w:rPr>
              <w:t xml:space="preserve"> 6</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10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/mL thereafter)</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14:paraId="17D0A455"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Day 30 </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3D1A29"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inclusion: </w:t>
            </w:r>
            <w:proofErr w:type="spellStart"/>
            <w:r w:rsidRPr="006212FF">
              <w:rPr>
                <w:rFonts w:ascii="Book Antiqua" w:eastAsia="Times New Roman" w:hAnsi="Book Antiqua" w:cs="Calibri"/>
                <w:color w:val="000000"/>
                <w:sz w:val="24"/>
                <w:szCs w:val="24"/>
              </w:rPr>
              <w:t>eGFR</w:t>
            </w:r>
            <w:proofErr w:type="spellEnd"/>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30</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mL/min, FK trough</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 8</w:t>
            </w:r>
            <w:r>
              <w:rPr>
                <w:rFonts w:ascii="Book Antiqua" w:hAnsi="Book Antiqua" w:cs="Calibri" w:hint="eastAsia"/>
                <w:color w:val="000000"/>
                <w:sz w:val="24"/>
                <w:szCs w:val="24"/>
              </w:rPr>
              <w:t xml:space="preserve">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 xml:space="preserve">/ml. patent hepatic artery and veins, absence of rejection </w:t>
            </w:r>
            <w:r w:rsidRPr="006212FF">
              <w:rPr>
                <w:rFonts w:ascii="Book Antiqua" w:eastAsia="Times New Roman" w:hAnsi="Book Antiqua" w:cs="Calibri"/>
                <w:color w:val="000000"/>
                <w:sz w:val="24"/>
                <w:szCs w:val="24"/>
              </w:rPr>
              <w:br/>
              <w:t xml:space="preserve">Exclusion: HCC not fulfill Milan criteria, receipt of antibody induction therapy </w:t>
            </w:r>
            <w:r>
              <w:rPr>
                <w:rFonts w:ascii="Book Antiqua" w:eastAsia="Times New Roman" w:hAnsi="Book Antiqua" w:cs="Calibri"/>
                <w:color w:val="000000"/>
                <w:sz w:val="24"/>
                <w:szCs w:val="24"/>
              </w:rPr>
              <w:t>proteinuria</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1</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g/24</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h</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14:paraId="55216318"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245</w:t>
            </w:r>
          </w:p>
        </w:tc>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7CE3858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12</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859462"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BPAR, graft loss or death: 6.5% in EVR group </w:t>
            </w:r>
            <w:proofErr w:type="spellStart"/>
            <w:r w:rsidRPr="00032DBF">
              <w:rPr>
                <w:rFonts w:ascii="Book Antiqua" w:eastAsia="Times New Roman" w:hAnsi="Book Antiqua" w:cs="Calibri"/>
                <w:i/>
                <w:color w:val="000000"/>
                <w:sz w:val="24"/>
                <w:szCs w:val="24"/>
              </w:rPr>
              <w:t>vs</w:t>
            </w:r>
            <w:proofErr w:type="spellEnd"/>
            <w:r w:rsidRPr="006212FF">
              <w:rPr>
                <w:rFonts w:ascii="Book Antiqua" w:eastAsia="Times New Roman" w:hAnsi="Book Antiqua" w:cs="Calibri"/>
                <w:color w:val="000000"/>
                <w:sz w:val="24"/>
                <w:szCs w:val="24"/>
              </w:rPr>
              <w:t xml:space="preserve"> 9.5% in control group (</w:t>
            </w:r>
            <w:r w:rsidRPr="009042D2">
              <w:rPr>
                <w:rFonts w:ascii="Book Antiqua" w:eastAsia="Times New Roman" w:hAnsi="Book Antiqua" w:cs="Calibri"/>
                <w:i/>
                <w:color w:val="000000"/>
                <w:sz w:val="24"/>
                <w:szCs w:val="24"/>
              </w:rPr>
              <w:t>P</w:t>
            </w:r>
            <w:r w:rsidRPr="006212FF">
              <w:rPr>
                <w:rFonts w:ascii="Book Antiqua" w:eastAsia="Times New Roman" w:hAnsi="Book Antiqua" w:cs="Calibri"/>
                <w:color w:val="000000"/>
                <w:sz w:val="24"/>
                <w:szCs w:val="24"/>
              </w:rPr>
              <w:t xml:space="preserve"> &lt; 0.001)</w:t>
            </w:r>
          </w:p>
        </w:tc>
        <w:tc>
          <w:tcPr>
            <w:tcW w:w="2082" w:type="dxa"/>
            <w:tcBorders>
              <w:top w:val="single" w:sz="4" w:space="0" w:color="auto"/>
              <w:left w:val="single" w:sz="4" w:space="0" w:color="auto"/>
              <w:bottom w:val="single" w:sz="4" w:space="0" w:color="auto"/>
              <w:right w:val="single" w:sz="4" w:space="0" w:color="auto"/>
            </w:tcBorders>
            <w:shd w:val="clear" w:color="auto" w:fill="auto"/>
            <w:noWrap/>
            <w:hideMark/>
          </w:tcPr>
          <w:p w14:paraId="029A4A73"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8.5 (</w:t>
            </w:r>
            <w:r w:rsidRPr="009042D2">
              <w:rPr>
                <w:rFonts w:ascii="Book Antiqua" w:eastAsia="Times New Roman" w:hAnsi="Book Antiqua" w:cs="Calibri"/>
                <w:i/>
                <w:color w:val="000000"/>
                <w:sz w:val="24"/>
                <w:szCs w:val="24"/>
              </w:rPr>
              <w:t>P</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&lt;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0.001)</w:t>
            </w:r>
          </w:p>
        </w:tc>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426BEE5"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Higher incidence of proteinuria, acute renal failure, hyperlipidemia, neutropenia, peripheral edema, stomatitis/mouth ulceration, and thrombocytopenia in the EVR group</w:t>
            </w:r>
          </w:p>
        </w:tc>
        <w:tc>
          <w:tcPr>
            <w:tcW w:w="2026" w:type="dxa"/>
            <w:gridSpan w:val="2"/>
            <w:tcBorders>
              <w:left w:val="single" w:sz="4" w:space="0" w:color="auto"/>
            </w:tcBorders>
            <w:vAlign w:val="center"/>
            <w:hideMark/>
          </w:tcPr>
          <w:p w14:paraId="0D763BFA"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613" w:type="dxa"/>
            <w:gridSpan w:val="2"/>
            <w:vAlign w:val="center"/>
            <w:hideMark/>
          </w:tcPr>
          <w:p w14:paraId="0BE795B4"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66662277" w14:textId="77777777" w:rsidTr="00780B3A">
        <w:trPr>
          <w:trHeight w:val="1395"/>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59592ACB"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963" w:type="dxa"/>
            <w:vMerge/>
            <w:tcBorders>
              <w:top w:val="single" w:sz="4" w:space="0" w:color="auto"/>
              <w:left w:val="single" w:sz="4" w:space="0" w:color="auto"/>
              <w:bottom w:val="single" w:sz="4" w:space="0" w:color="auto"/>
              <w:right w:val="single" w:sz="4" w:space="0" w:color="auto"/>
            </w:tcBorders>
            <w:shd w:val="clear" w:color="auto" w:fill="auto"/>
            <w:hideMark/>
          </w:tcPr>
          <w:p w14:paraId="4CCB905A" w14:textId="77777777" w:rsidR="00FB59DF" w:rsidRPr="006212FF" w:rsidRDefault="00FB59DF" w:rsidP="00780B3A">
            <w:pPr>
              <w:spacing w:after="0" w:line="360" w:lineRule="auto"/>
              <w:jc w:val="both"/>
              <w:rPr>
                <w:rFonts w:ascii="Book Antiqua" w:eastAsia="Times New Roman" w:hAnsi="Book Antiqua" w:cs="Calibri"/>
                <w:color w:val="000000"/>
                <w:sz w:val="24"/>
                <w:szCs w:val="24"/>
                <w:highlight w:val="green"/>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14:paraId="386DA809"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14:paraId="61D424D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14:paraId="2296B94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p w14:paraId="0B4DC856"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231</w:t>
            </w:r>
          </w:p>
          <w:p w14:paraId="420B36ED"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p w14:paraId="4346F7F7"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p w14:paraId="14A39EB7"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p w14:paraId="640CA01B"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p w14:paraId="53670C8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p w14:paraId="3358F71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p w14:paraId="770B9826"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243</w:t>
            </w:r>
          </w:p>
        </w:tc>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12D8DA80"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24431B2C"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noWrap/>
            <w:hideMark/>
          </w:tcPr>
          <w:p w14:paraId="3D76231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782C83A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026" w:type="dxa"/>
            <w:gridSpan w:val="2"/>
            <w:tcBorders>
              <w:left w:val="single" w:sz="4" w:space="0" w:color="auto"/>
            </w:tcBorders>
            <w:vAlign w:val="center"/>
            <w:hideMark/>
          </w:tcPr>
          <w:p w14:paraId="5EC402F2"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613" w:type="dxa"/>
            <w:gridSpan w:val="2"/>
            <w:vAlign w:val="center"/>
            <w:hideMark/>
          </w:tcPr>
          <w:p w14:paraId="20B1F73A"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314137EC" w14:textId="77777777" w:rsidTr="00780B3A">
        <w:trPr>
          <w:trHeight w:val="1005"/>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14:paraId="77452A7C"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roofErr w:type="spellStart"/>
            <w:r w:rsidRPr="006212FF">
              <w:rPr>
                <w:rFonts w:ascii="Book Antiqua" w:eastAsia="Times New Roman" w:hAnsi="Book Antiqua" w:cs="Calibri"/>
                <w:color w:val="000000"/>
                <w:sz w:val="24"/>
                <w:szCs w:val="24"/>
              </w:rPr>
              <w:t>Saliba</w:t>
            </w:r>
            <w:proofErr w:type="spellEnd"/>
            <w:r>
              <w:rPr>
                <w:rFonts w:ascii="Book Antiqua" w:hAnsi="Book Antiqua" w:cs="Calibri" w:hint="eastAsia"/>
                <w:i/>
                <w:color w:val="000000"/>
                <w:sz w:val="24"/>
                <w:szCs w:val="24"/>
              </w:rPr>
              <w:t xml:space="preserve"> et al</w:t>
            </w:r>
            <w:r w:rsidRPr="006212FF">
              <w:rPr>
                <w:rFonts w:ascii="Book Antiqua" w:eastAsia="Times New Roman" w:hAnsi="Book Antiqua" w:cs="Calibri"/>
                <w:color w:val="000000"/>
                <w:sz w:val="24"/>
                <w:szCs w:val="24"/>
                <w:vertAlign w:val="superscript"/>
              </w:rPr>
              <w:t>[17]</w:t>
            </w:r>
            <w:r w:rsidRPr="006212FF">
              <w:rPr>
                <w:rFonts w:ascii="Book Antiqua" w:eastAsia="Times New Roman" w:hAnsi="Book Antiqua" w:cs="Calibri"/>
                <w:color w:val="000000"/>
                <w:sz w:val="24"/>
                <w:szCs w:val="24"/>
              </w:rPr>
              <w:t xml:space="preserve"> 2013 (H2304 Study, extended to 24 </w:t>
            </w:r>
            <w:proofErr w:type="spellStart"/>
            <w:r w:rsidRPr="006212FF">
              <w:rPr>
                <w:rFonts w:ascii="Book Antiqua" w:eastAsia="Times New Roman" w:hAnsi="Book Antiqua" w:cs="Calibri"/>
                <w:color w:val="000000"/>
                <w:sz w:val="24"/>
                <w:szCs w:val="24"/>
              </w:rPr>
              <w:t>mo</w:t>
            </w:r>
            <w:proofErr w:type="spellEnd"/>
            <w:r w:rsidRPr="006212FF">
              <w:rPr>
                <w:rFonts w:ascii="Book Antiqua" w:eastAsia="Times New Roman" w:hAnsi="Book Antiqua" w:cs="Calibri"/>
                <w:color w:val="000000"/>
                <w:sz w:val="24"/>
                <w:szCs w:val="24"/>
              </w:rPr>
              <w:t>)</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7BCF88"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EVR + low FK (EVR C0 3</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8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/mL and FK C0 3</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5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/mL)</w:t>
            </w:r>
          </w:p>
          <w:p w14:paraId="2FD5713E" w14:textId="77777777" w:rsidR="00FB59DF" w:rsidRPr="009042D2" w:rsidRDefault="00FB59DF" w:rsidP="00780B3A">
            <w:pPr>
              <w:spacing w:after="0" w:line="360" w:lineRule="auto"/>
              <w:jc w:val="both"/>
              <w:rPr>
                <w:rFonts w:ascii="Book Antiqua" w:hAnsi="Book Antiqua" w:cs="Calibri"/>
                <w:color w:val="000000"/>
                <w:sz w:val="24"/>
                <w:szCs w:val="24"/>
              </w:rPr>
            </w:pPr>
            <w:r w:rsidRPr="006212FF">
              <w:rPr>
                <w:rFonts w:ascii="Book Antiqua" w:eastAsia="Times New Roman" w:hAnsi="Book Antiqua" w:cs="Calibri"/>
                <w:color w:val="000000"/>
                <w:sz w:val="24"/>
                <w:szCs w:val="24"/>
              </w:rPr>
              <w:t>Control: FK (C0 8</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12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 xml:space="preserve">/mL </w:t>
            </w:r>
            <w:r w:rsidRPr="006212FF">
              <w:rPr>
                <w:rFonts w:ascii="Book Antiqua" w:eastAsia="Times New Roman" w:hAnsi="Book Antiqua" w:cs="Calibri"/>
                <w:color w:val="000000"/>
                <w:sz w:val="24"/>
                <w:szCs w:val="24"/>
              </w:rPr>
              <w:lastRenderedPageBreak/>
              <w:t>until month 4 and C0 6</w:t>
            </w:r>
            <w:r>
              <w:rPr>
                <w:rFonts w:ascii="Book Antiqua" w:hAnsi="Book Antiqua" w:cs="Calibri" w:hint="eastAsia"/>
                <w:color w:val="000000"/>
                <w:sz w:val="24"/>
                <w:szCs w:val="24"/>
              </w:rPr>
              <w:t>-</w:t>
            </w:r>
            <w:r w:rsidRPr="006212FF">
              <w:rPr>
                <w:rFonts w:ascii="Book Antiqua" w:eastAsia="Times New Roman" w:hAnsi="Book Antiqua" w:cs="Calibri"/>
                <w:color w:val="000000"/>
                <w:sz w:val="24"/>
                <w:szCs w:val="24"/>
              </w:rPr>
              <w:t xml:space="preserve">10 </w:t>
            </w:r>
            <w:proofErr w:type="spellStart"/>
            <w:r w:rsidRPr="006212FF">
              <w:rPr>
                <w:rFonts w:ascii="Book Antiqua" w:eastAsia="Times New Roman" w:hAnsi="Book Antiqua" w:cs="Calibri"/>
                <w:color w:val="000000"/>
                <w:sz w:val="24"/>
                <w:szCs w:val="24"/>
              </w:rPr>
              <w:t>ng</w:t>
            </w:r>
            <w:proofErr w:type="spellEnd"/>
            <w:r w:rsidRPr="006212FF">
              <w:rPr>
                <w:rFonts w:ascii="Book Antiqua" w:eastAsia="Times New Roman" w:hAnsi="Book Antiqua" w:cs="Calibri"/>
                <w:color w:val="000000"/>
                <w:sz w:val="24"/>
                <w:szCs w:val="24"/>
              </w:rPr>
              <w:t>/mL thereafter)</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14:paraId="2A663363"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lastRenderedPageBreak/>
              <w:t xml:space="preserve">Day 30 </w:t>
            </w:r>
          </w:p>
        </w:tc>
        <w:tc>
          <w:tcPr>
            <w:tcW w:w="2259" w:type="dxa"/>
            <w:vMerge/>
            <w:tcBorders>
              <w:top w:val="single" w:sz="4" w:space="0" w:color="auto"/>
              <w:left w:val="single" w:sz="4" w:space="0" w:color="auto"/>
              <w:bottom w:val="single" w:sz="4" w:space="0" w:color="auto"/>
              <w:right w:val="single" w:sz="4" w:space="0" w:color="auto"/>
            </w:tcBorders>
            <w:vAlign w:val="center"/>
            <w:hideMark/>
          </w:tcPr>
          <w:p w14:paraId="2DCE2AF7"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14:paraId="595322F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245</w:t>
            </w:r>
          </w:p>
        </w:tc>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65704FE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24</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B5BD97"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BPAR, graft loss or death: 10.3% in EVR group </w:t>
            </w:r>
            <w:proofErr w:type="spellStart"/>
            <w:r w:rsidRPr="009042D2">
              <w:rPr>
                <w:rFonts w:ascii="Book Antiqua" w:eastAsia="Times New Roman" w:hAnsi="Book Antiqua" w:cs="Calibri"/>
                <w:i/>
                <w:color w:val="000000"/>
                <w:sz w:val="24"/>
                <w:szCs w:val="24"/>
              </w:rPr>
              <w:t>vs</w:t>
            </w:r>
            <w:proofErr w:type="spellEnd"/>
            <w:r w:rsidRPr="006212FF">
              <w:rPr>
                <w:rFonts w:ascii="Book Antiqua" w:eastAsia="Times New Roman" w:hAnsi="Book Antiqua" w:cs="Calibri"/>
                <w:color w:val="000000"/>
                <w:sz w:val="24"/>
                <w:szCs w:val="24"/>
              </w:rPr>
              <w:t xml:space="preserve"> 12.5% in </w:t>
            </w:r>
            <w:r w:rsidRPr="006212FF">
              <w:rPr>
                <w:rFonts w:ascii="Book Antiqua" w:eastAsia="Times New Roman" w:hAnsi="Book Antiqua" w:cs="Calibri"/>
                <w:color w:val="000000"/>
                <w:sz w:val="24"/>
                <w:szCs w:val="24"/>
              </w:rPr>
              <w:lastRenderedPageBreak/>
              <w:t>control group (</w:t>
            </w:r>
            <w:r w:rsidRPr="009042D2">
              <w:rPr>
                <w:rFonts w:ascii="Book Antiqua" w:eastAsia="Times New Roman" w:hAnsi="Book Antiqua" w:cs="Calibri"/>
                <w:i/>
                <w:color w:val="000000"/>
                <w:sz w:val="24"/>
                <w:szCs w:val="24"/>
              </w:rPr>
              <w:t>P</w:t>
            </w:r>
            <w:r w:rsidRPr="006212FF">
              <w:rPr>
                <w:rFonts w:ascii="Book Antiqua" w:eastAsia="Times New Roman" w:hAnsi="Book Antiqua" w:cs="Calibri"/>
                <w:color w:val="000000"/>
                <w:sz w:val="24"/>
                <w:szCs w:val="24"/>
              </w:rPr>
              <w:t xml:space="preserve"> =</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0.452)</w:t>
            </w:r>
          </w:p>
        </w:tc>
        <w:tc>
          <w:tcPr>
            <w:tcW w:w="2082" w:type="dxa"/>
            <w:tcBorders>
              <w:top w:val="single" w:sz="4" w:space="0" w:color="auto"/>
              <w:left w:val="single" w:sz="4" w:space="0" w:color="auto"/>
              <w:bottom w:val="single" w:sz="4" w:space="0" w:color="auto"/>
              <w:right w:val="single" w:sz="4" w:space="0" w:color="auto"/>
            </w:tcBorders>
            <w:shd w:val="clear" w:color="auto" w:fill="auto"/>
            <w:noWrap/>
            <w:hideMark/>
          </w:tcPr>
          <w:p w14:paraId="77370293"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lastRenderedPageBreak/>
              <w:t>6.7 (</w:t>
            </w:r>
            <w:r w:rsidRPr="009042D2">
              <w:rPr>
                <w:rFonts w:ascii="Book Antiqua" w:eastAsia="Times New Roman" w:hAnsi="Book Antiqua" w:cs="Calibri"/>
                <w:i/>
                <w:color w:val="000000"/>
                <w:sz w:val="24"/>
                <w:szCs w:val="24"/>
              </w:rPr>
              <w:t>P</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0.002)</w:t>
            </w:r>
          </w:p>
        </w:tc>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46AAE80"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No increased risk of wound healing. Higher incidence of proteinuria, acute renal failure, hyperlipidemia, </w:t>
            </w:r>
            <w:r w:rsidRPr="006212FF">
              <w:rPr>
                <w:rFonts w:ascii="Book Antiqua" w:eastAsia="Times New Roman" w:hAnsi="Book Antiqua" w:cs="Calibri"/>
                <w:color w:val="000000"/>
                <w:sz w:val="24"/>
                <w:szCs w:val="24"/>
              </w:rPr>
              <w:lastRenderedPageBreak/>
              <w:t>neutropenia, peripheral edema, stomatitis/mouth ulceration, and thrombocytopenia in the EVR group</w:t>
            </w:r>
          </w:p>
        </w:tc>
        <w:tc>
          <w:tcPr>
            <w:tcW w:w="2026" w:type="dxa"/>
            <w:gridSpan w:val="2"/>
            <w:tcBorders>
              <w:left w:val="single" w:sz="4" w:space="0" w:color="auto"/>
            </w:tcBorders>
            <w:vAlign w:val="center"/>
            <w:hideMark/>
          </w:tcPr>
          <w:p w14:paraId="5BB529F5"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613" w:type="dxa"/>
            <w:gridSpan w:val="2"/>
            <w:vAlign w:val="center"/>
            <w:hideMark/>
          </w:tcPr>
          <w:p w14:paraId="50178474"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2313C743" w14:textId="77777777" w:rsidTr="00780B3A">
        <w:trPr>
          <w:trHeight w:val="15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2E0B3426"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963" w:type="dxa"/>
            <w:vMerge/>
            <w:tcBorders>
              <w:top w:val="single" w:sz="4" w:space="0" w:color="auto"/>
              <w:left w:val="single" w:sz="4" w:space="0" w:color="auto"/>
              <w:bottom w:val="single" w:sz="4" w:space="0" w:color="auto"/>
              <w:right w:val="single" w:sz="4" w:space="0" w:color="auto"/>
            </w:tcBorders>
            <w:shd w:val="clear" w:color="auto" w:fill="auto"/>
            <w:hideMark/>
          </w:tcPr>
          <w:p w14:paraId="7EDC605B"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14:paraId="676978FE"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14:paraId="5453A4B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14:paraId="27E36876"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243</w:t>
            </w:r>
          </w:p>
        </w:tc>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5A2B382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47152BD8"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noWrap/>
            <w:hideMark/>
          </w:tcPr>
          <w:p w14:paraId="123FDFD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643" w:type="dxa"/>
            <w:gridSpan w:val="2"/>
            <w:vMerge/>
            <w:tcBorders>
              <w:top w:val="single" w:sz="4" w:space="0" w:color="auto"/>
              <w:left w:val="single" w:sz="4" w:space="0" w:color="auto"/>
              <w:bottom w:val="single" w:sz="4" w:space="0" w:color="auto"/>
              <w:right w:val="single" w:sz="4" w:space="0" w:color="auto"/>
            </w:tcBorders>
            <w:vAlign w:val="center"/>
            <w:hideMark/>
          </w:tcPr>
          <w:p w14:paraId="377B74A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026" w:type="dxa"/>
            <w:gridSpan w:val="2"/>
            <w:tcBorders>
              <w:left w:val="single" w:sz="4" w:space="0" w:color="auto"/>
            </w:tcBorders>
            <w:vAlign w:val="center"/>
            <w:hideMark/>
          </w:tcPr>
          <w:p w14:paraId="16361471"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613" w:type="dxa"/>
            <w:gridSpan w:val="2"/>
            <w:vAlign w:val="center"/>
            <w:hideMark/>
          </w:tcPr>
          <w:p w14:paraId="33BADF42"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31288012" w14:textId="77777777" w:rsidTr="00780B3A">
        <w:trPr>
          <w:trHeight w:val="945"/>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14:paraId="48D0187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lastRenderedPageBreak/>
              <w:t>Fischer</w:t>
            </w:r>
            <w:r>
              <w:rPr>
                <w:rFonts w:ascii="Book Antiqua" w:hAnsi="Book Antiqua" w:cs="Calibri" w:hint="eastAsia"/>
                <w:color w:val="000000"/>
                <w:sz w:val="24"/>
                <w:szCs w:val="24"/>
              </w:rPr>
              <w:t xml:space="preserve"> </w:t>
            </w:r>
            <w:r>
              <w:rPr>
                <w:rFonts w:ascii="Book Antiqua" w:hAnsi="Book Antiqua" w:cs="Calibri" w:hint="eastAsia"/>
                <w:i/>
                <w:color w:val="000000"/>
                <w:sz w:val="24"/>
                <w:szCs w:val="24"/>
              </w:rPr>
              <w:t>et al</w:t>
            </w:r>
            <w:r w:rsidRPr="006212FF">
              <w:rPr>
                <w:rFonts w:ascii="Book Antiqua" w:eastAsia="Times New Roman" w:hAnsi="Book Antiqua" w:cs="Calibri"/>
                <w:color w:val="000000"/>
                <w:sz w:val="24"/>
                <w:szCs w:val="24"/>
                <w:vertAlign w:val="superscript"/>
              </w:rPr>
              <w:t>[18]</w:t>
            </w:r>
            <w:r w:rsidRPr="006212FF">
              <w:rPr>
                <w:rFonts w:ascii="Book Antiqua" w:eastAsia="Times New Roman" w:hAnsi="Book Antiqua" w:cs="Calibri"/>
                <w:color w:val="000000"/>
                <w:sz w:val="24"/>
                <w:szCs w:val="24"/>
              </w:rPr>
              <w:t xml:space="preserve"> 2015 (H2304 Study, extended to 36 </w:t>
            </w:r>
            <w:proofErr w:type="spellStart"/>
            <w:r w:rsidRPr="006212FF">
              <w:rPr>
                <w:rFonts w:ascii="Book Antiqua" w:eastAsia="Times New Roman" w:hAnsi="Book Antiqua" w:cs="Calibri"/>
                <w:color w:val="000000"/>
                <w:sz w:val="24"/>
                <w:szCs w:val="24"/>
              </w:rPr>
              <w:t>mo</w:t>
            </w:r>
            <w:proofErr w:type="spellEnd"/>
            <w:r w:rsidRPr="006212FF">
              <w:rPr>
                <w:rFonts w:ascii="Book Antiqua" w:eastAsia="Times New Roman" w:hAnsi="Book Antiqua" w:cs="Calibri"/>
                <w:color w:val="000000"/>
                <w:sz w:val="24"/>
                <w:szCs w:val="24"/>
              </w:rPr>
              <w:t>)</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14:paraId="7247D09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Same as above</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14:paraId="4819391F"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Day 30 </w:t>
            </w:r>
          </w:p>
        </w:tc>
        <w:tc>
          <w:tcPr>
            <w:tcW w:w="2259" w:type="dxa"/>
            <w:vMerge/>
            <w:tcBorders>
              <w:top w:val="single" w:sz="4" w:space="0" w:color="auto"/>
              <w:left w:val="single" w:sz="4" w:space="0" w:color="auto"/>
              <w:bottom w:val="single" w:sz="4" w:space="0" w:color="auto"/>
              <w:right w:val="single" w:sz="4" w:space="0" w:color="auto"/>
            </w:tcBorders>
            <w:vAlign w:val="center"/>
            <w:hideMark/>
          </w:tcPr>
          <w:p w14:paraId="0AB12A10"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14:paraId="49A76C72"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106</w:t>
            </w:r>
          </w:p>
        </w:tc>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36F839F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36</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D394EF"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xml:space="preserve">BPAR, graft loss and death: 11.5% </w:t>
            </w:r>
            <w:proofErr w:type="spellStart"/>
            <w:r w:rsidRPr="009042D2">
              <w:rPr>
                <w:rFonts w:ascii="Book Antiqua" w:eastAsia="Times New Roman" w:hAnsi="Book Antiqua" w:cs="Calibri"/>
                <w:i/>
                <w:color w:val="000000"/>
                <w:sz w:val="24"/>
                <w:szCs w:val="24"/>
              </w:rPr>
              <w:t>vs</w:t>
            </w:r>
            <w:proofErr w:type="spellEnd"/>
            <w:r w:rsidRPr="006212FF">
              <w:rPr>
                <w:rFonts w:ascii="Book Antiqua" w:eastAsia="Times New Roman" w:hAnsi="Book Antiqua" w:cs="Calibri"/>
                <w:color w:val="000000"/>
                <w:sz w:val="24"/>
                <w:szCs w:val="24"/>
              </w:rPr>
              <w:t xml:space="preserve"> 14.6% (</w:t>
            </w:r>
            <w:r w:rsidRPr="009042D2">
              <w:rPr>
                <w:rFonts w:ascii="Book Antiqua" w:eastAsia="Times New Roman" w:hAnsi="Book Antiqua" w:cs="Calibri"/>
                <w:i/>
                <w:color w:val="000000"/>
                <w:sz w:val="24"/>
                <w:szCs w:val="24"/>
              </w:rPr>
              <w:t>P</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0.334)</w:t>
            </w:r>
          </w:p>
        </w:tc>
        <w:tc>
          <w:tcPr>
            <w:tcW w:w="2082" w:type="dxa"/>
            <w:tcBorders>
              <w:top w:val="single" w:sz="4" w:space="0" w:color="auto"/>
              <w:left w:val="single" w:sz="4" w:space="0" w:color="auto"/>
              <w:bottom w:val="single" w:sz="4" w:space="0" w:color="auto"/>
              <w:right w:val="single" w:sz="4" w:space="0" w:color="auto"/>
            </w:tcBorders>
            <w:shd w:val="clear" w:color="auto" w:fill="auto"/>
            <w:noWrap/>
            <w:hideMark/>
          </w:tcPr>
          <w:p w14:paraId="2F05927B"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8.5 (</w:t>
            </w:r>
            <w:r w:rsidRPr="009042D2">
              <w:rPr>
                <w:rFonts w:ascii="Book Antiqua" w:eastAsia="Times New Roman" w:hAnsi="Book Antiqua" w:cs="Calibri"/>
                <w:i/>
                <w:color w:val="000000"/>
                <w:sz w:val="24"/>
                <w:szCs w:val="24"/>
              </w:rPr>
              <w:t>P</w:t>
            </w:r>
            <w:r w:rsidRPr="006212FF">
              <w:rPr>
                <w:rFonts w:ascii="Book Antiqua" w:eastAsia="Times New Roman" w:hAnsi="Book Antiqua" w:cs="Calibri"/>
                <w:color w:val="000000"/>
                <w:sz w:val="24"/>
                <w:szCs w:val="24"/>
              </w:rPr>
              <w:t xml:space="preserve"> =</w:t>
            </w:r>
            <w:r>
              <w:rPr>
                <w:rFonts w:ascii="Book Antiqua" w:hAnsi="Book Antiqua" w:cs="Calibri" w:hint="eastAsia"/>
                <w:color w:val="000000"/>
                <w:sz w:val="24"/>
                <w:szCs w:val="24"/>
              </w:rPr>
              <w:t xml:space="preserve"> </w:t>
            </w:r>
            <w:r w:rsidRPr="006212FF">
              <w:rPr>
                <w:rFonts w:ascii="Book Antiqua" w:eastAsia="Times New Roman" w:hAnsi="Book Antiqua" w:cs="Calibri"/>
                <w:color w:val="000000"/>
                <w:sz w:val="24"/>
                <w:szCs w:val="24"/>
              </w:rPr>
              <w:t>0.005)</w:t>
            </w:r>
          </w:p>
        </w:tc>
        <w:tc>
          <w:tcPr>
            <w:tcW w:w="26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D143B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Higher drop-out rate due to ADR and incidence of hyperlipidemia in EVR group</w:t>
            </w:r>
          </w:p>
        </w:tc>
        <w:tc>
          <w:tcPr>
            <w:tcW w:w="2026" w:type="dxa"/>
            <w:gridSpan w:val="2"/>
            <w:tcBorders>
              <w:left w:val="single" w:sz="4" w:space="0" w:color="auto"/>
            </w:tcBorders>
            <w:vAlign w:val="center"/>
            <w:hideMark/>
          </w:tcPr>
          <w:p w14:paraId="0E1E89F6"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613" w:type="dxa"/>
            <w:gridSpan w:val="2"/>
            <w:vAlign w:val="center"/>
            <w:hideMark/>
          </w:tcPr>
          <w:p w14:paraId="449F5FBC"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r w:rsidR="00FB59DF" w:rsidRPr="006212FF" w14:paraId="1AF4DF6F" w14:textId="77777777" w:rsidTr="00780B3A">
        <w:trPr>
          <w:gridAfter w:val="1"/>
          <w:wAfter w:w="167" w:type="dxa"/>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14:paraId="79C60508"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14:paraId="3CBC0396"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14:paraId="13E258C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w:t>
            </w:r>
          </w:p>
        </w:tc>
        <w:tc>
          <w:tcPr>
            <w:tcW w:w="2259" w:type="dxa"/>
            <w:vMerge/>
            <w:tcBorders>
              <w:top w:val="single" w:sz="4" w:space="0" w:color="auto"/>
              <w:left w:val="single" w:sz="4" w:space="0" w:color="auto"/>
              <w:bottom w:val="single" w:sz="4" w:space="0" w:color="auto"/>
              <w:right w:val="single" w:sz="4" w:space="0" w:color="auto"/>
            </w:tcBorders>
            <w:vAlign w:val="center"/>
            <w:hideMark/>
          </w:tcPr>
          <w:p w14:paraId="6D738D9F"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14:paraId="050CFEBB"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125</w:t>
            </w:r>
          </w:p>
        </w:tc>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5E950A0C"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w:t>
            </w: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16AF5E74"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noWrap/>
            <w:hideMark/>
          </w:tcPr>
          <w:p w14:paraId="60C757CA"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w:t>
            </w:r>
          </w:p>
        </w:tc>
        <w:tc>
          <w:tcPr>
            <w:tcW w:w="2307" w:type="dxa"/>
            <w:tcBorders>
              <w:top w:val="single" w:sz="4" w:space="0" w:color="auto"/>
              <w:left w:val="single" w:sz="4" w:space="0" w:color="auto"/>
              <w:bottom w:val="single" w:sz="4" w:space="0" w:color="auto"/>
              <w:right w:val="single" w:sz="4" w:space="0" w:color="auto"/>
            </w:tcBorders>
            <w:shd w:val="clear" w:color="auto" w:fill="auto"/>
            <w:noWrap/>
            <w:hideMark/>
          </w:tcPr>
          <w:p w14:paraId="5A7FBD71" w14:textId="77777777" w:rsidR="00FB59DF" w:rsidRPr="006212FF" w:rsidRDefault="00FB59DF" w:rsidP="00780B3A">
            <w:pPr>
              <w:spacing w:after="0" w:line="360" w:lineRule="auto"/>
              <w:jc w:val="both"/>
              <w:rPr>
                <w:rFonts w:ascii="Book Antiqua" w:eastAsia="Times New Roman" w:hAnsi="Book Antiqua" w:cs="Calibri"/>
                <w:color w:val="000000"/>
                <w:sz w:val="24"/>
                <w:szCs w:val="24"/>
              </w:rPr>
            </w:pPr>
            <w:r w:rsidRPr="006212FF">
              <w:rPr>
                <w:rFonts w:ascii="Book Antiqua" w:eastAsia="Times New Roman" w:hAnsi="Book Antiqua" w:cs="Calibri"/>
                <w:color w:val="000000"/>
                <w:sz w:val="24"/>
                <w:szCs w:val="24"/>
              </w:rPr>
              <w:t> </w:t>
            </w:r>
          </w:p>
        </w:tc>
        <w:tc>
          <w:tcPr>
            <w:tcW w:w="2140" w:type="dxa"/>
            <w:gridSpan w:val="2"/>
            <w:tcBorders>
              <w:left w:val="single" w:sz="4" w:space="0" w:color="auto"/>
            </w:tcBorders>
            <w:vAlign w:val="center"/>
            <w:hideMark/>
          </w:tcPr>
          <w:p w14:paraId="719388D1"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c>
          <w:tcPr>
            <w:tcW w:w="668" w:type="dxa"/>
            <w:gridSpan w:val="2"/>
            <w:vAlign w:val="center"/>
            <w:hideMark/>
          </w:tcPr>
          <w:p w14:paraId="43F4A1ED" w14:textId="77777777" w:rsidR="00FB59DF" w:rsidRPr="006212FF" w:rsidRDefault="00FB59DF" w:rsidP="00780B3A">
            <w:pPr>
              <w:spacing w:after="0" w:line="360" w:lineRule="auto"/>
              <w:jc w:val="both"/>
              <w:rPr>
                <w:rFonts w:ascii="Book Antiqua" w:eastAsia="Times New Roman" w:hAnsi="Book Antiqua" w:cs="Times New Roman"/>
                <w:sz w:val="24"/>
                <w:szCs w:val="24"/>
              </w:rPr>
            </w:pPr>
          </w:p>
        </w:tc>
      </w:tr>
    </w:tbl>
    <w:p w14:paraId="3F2C731A" w14:textId="77777777" w:rsidR="00FB59DF" w:rsidRDefault="00FB59DF" w:rsidP="00FB59DF">
      <w:pPr>
        <w:spacing w:after="0" w:line="360" w:lineRule="auto"/>
        <w:jc w:val="both"/>
        <w:rPr>
          <w:rFonts w:ascii="Book Antiqua" w:hAnsi="Book Antiqua"/>
          <w:sz w:val="24"/>
          <w:szCs w:val="24"/>
        </w:rPr>
      </w:pPr>
    </w:p>
    <w:p w14:paraId="274874C1" w14:textId="77777777" w:rsidR="00FB59DF" w:rsidRPr="009055DD" w:rsidRDefault="00FB59DF" w:rsidP="00FB59DF">
      <w:pPr>
        <w:spacing w:after="0" w:line="360" w:lineRule="auto"/>
        <w:jc w:val="both"/>
        <w:rPr>
          <w:rFonts w:ascii="Book Antiqua" w:hAnsi="Book Antiqua" w:cstheme="minorHAnsi"/>
          <w:sz w:val="24"/>
          <w:szCs w:val="24"/>
        </w:rPr>
      </w:pPr>
      <w:r w:rsidRPr="006212FF">
        <w:rPr>
          <w:rFonts w:ascii="Book Antiqua" w:hAnsi="Book Antiqua"/>
          <w:sz w:val="24"/>
          <w:szCs w:val="24"/>
        </w:rPr>
        <w:t>ADR: Adverse drug reaction;</w:t>
      </w:r>
      <w:r>
        <w:rPr>
          <w:rFonts w:ascii="Book Antiqua" w:hAnsi="Book Antiqua" w:hint="eastAsia"/>
          <w:sz w:val="24"/>
          <w:szCs w:val="24"/>
        </w:rPr>
        <w:t xml:space="preserve"> </w:t>
      </w:r>
      <w:r w:rsidRPr="006212FF">
        <w:rPr>
          <w:rFonts w:ascii="Book Antiqua" w:hAnsi="Book Antiqua"/>
          <w:sz w:val="24"/>
          <w:szCs w:val="24"/>
        </w:rPr>
        <w:t>BPAR: Biopsy proven acute rejection; C</w:t>
      </w:r>
      <w:r w:rsidRPr="006212FF">
        <w:rPr>
          <w:rFonts w:ascii="Book Antiqua" w:hAnsi="Book Antiqua"/>
          <w:sz w:val="24"/>
          <w:szCs w:val="24"/>
          <w:vertAlign w:val="subscript"/>
        </w:rPr>
        <w:t>0</w:t>
      </w:r>
      <w:r w:rsidRPr="006212FF">
        <w:rPr>
          <w:rFonts w:ascii="Book Antiqua" w:hAnsi="Book Antiqua"/>
          <w:sz w:val="24"/>
          <w:szCs w:val="24"/>
        </w:rPr>
        <w:t xml:space="preserve">: Trough level; CNI: </w:t>
      </w:r>
      <w:proofErr w:type="spellStart"/>
      <w:r w:rsidRPr="006212FF">
        <w:rPr>
          <w:rFonts w:ascii="Book Antiqua" w:hAnsi="Book Antiqua"/>
          <w:sz w:val="24"/>
          <w:szCs w:val="24"/>
        </w:rPr>
        <w:t>Calcineurin</w:t>
      </w:r>
      <w:proofErr w:type="spellEnd"/>
      <w:r w:rsidRPr="006212FF">
        <w:rPr>
          <w:rFonts w:ascii="Book Antiqua" w:hAnsi="Book Antiqua"/>
          <w:sz w:val="24"/>
          <w:szCs w:val="24"/>
        </w:rPr>
        <w:t xml:space="preserve"> inhibitor; </w:t>
      </w:r>
      <w:proofErr w:type="spellStart"/>
      <w:r w:rsidRPr="006212FF">
        <w:rPr>
          <w:rFonts w:ascii="Book Antiqua" w:hAnsi="Book Antiqua"/>
          <w:sz w:val="24"/>
          <w:szCs w:val="24"/>
        </w:rPr>
        <w:t>CsA</w:t>
      </w:r>
      <w:proofErr w:type="spellEnd"/>
      <w:r w:rsidRPr="006212FF">
        <w:rPr>
          <w:rFonts w:ascii="Book Antiqua" w:hAnsi="Book Antiqua"/>
          <w:sz w:val="24"/>
          <w:szCs w:val="24"/>
        </w:rPr>
        <w:t xml:space="preserve">: Cyclosporine; EVR: </w:t>
      </w:r>
      <w:proofErr w:type="spellStart"/>
      <w:r w:rsidRPr="006212FF">
        <w:rPr>
          <w:rFonts w:ascii="Book Antiqua" w:hAnsi="Book Antiqua"/>
          <w:sz w:val="24"/>
          <w:szCs w:val="24"/>
        </w:rPr>
        <w:t>Everolimus</w:t>
      </w:r>
      <w:proofErr w:type="spellEnd"/>
      <w:r w:rsidRPr="006212FF">
        <w:rPr>
          <w:rFonts w:ascii="Book Antiqua" w:hAnsi="Book Antiqua"/>
          <w:sz w:val="24"/>
          <w:szCs w:val="24"/>
        </w:rPr>
        <w:t xml:space="preserve">; FK: </w:t>
      </w:r>
      <w:proofErr w:type="spellStart"/>
      <w:r w:rsidRPr="006212FF">
        <w:rPr>
          <w:rFonts w:ascii="Book Antiqua" w:hAnsi="Book Antiqua"/>
          <w:sz w:val="24"/>
          <w:szCs w:val="24"/>
        </w:rPr>
        <w:t>Tacrolimus</w:t>
      </w:r>
      <w:proofErr w:type="spellEnd"/>
      <w:r w:rsidRPr="006212FF">
        <w:rPr>
          <w:rFonts w:ascii="Book Antiqua" w:hAnsi="Book Antiqua"/>
          <w:sz w:val="24"/>
          <w:szCs w:val="24"/>
        </w:rPr>
        <w:t xml:space="preserve">; </w:t>
      </w:r>
      <w:proofErr w:type="spellStart"/>
      <w:r w:rsidRPr="006212FF">
        <w:rPr>
          <w:rFonts w:ascii="Book Antiqua" w:eastAsia="Times New Roman" w:hAnsi="Book Antiqua" w:cstheme="minorHAnsi"/>
          <w:bCs/>
          <w:color w:val="000000"/>
          <w:sz w:val="24"/>
          <w:szCs w:val="24"/>
        </w:rPr>
        <w:t>eGFR</w:t>
      </w:r>
      <w:proofErr w:type="spellEnd"/>
      <w:r w:rsidRPr="006212FF">
        <w:rPr>
          <w:rFonts w:ascii="Book Antiqua" w:eastAsia="Times New Roman" w:hAnsi="Book Antiqua" w:cstheme="minorHAnsi"/>
          <w:bCs/>
          <w:color w:val="000000"/>
          <w:sz w:val="24"/>
          <w:szCs w:val="24"/>
        </w:rPr>
        <w:t xml:space="preserve">: Based on </w:t>
      </w:r>
      <w:r w:rsidRPr="006212FF">
        <w:rPr>
          <w:rFonts w:ascii="Book Antiqua" w:hAnsi="Book Antiqua" w:cstheme="minorHAnsi"/>
          <w:sz w:val="24"/>
          <w:szCs w:val="24"/>
        </w:rPr>
        <w:t>Modification of Diet in Renal Disease (MDRD) 4.</w:t>
      </w:r>
      <w:r w:rsidRPr="006212FF">
        <w:rPr>
          <w:rFonts w:ascii="Book Antiqua" w:hAnsi="Book Antiqua"/>
          <w:sz w:val="24"/>
          <w:szCs w:val="24"/>
        </w:rPr>
        <w:br w:type="page"/>
      </w:r>
    </w:p>
    <w:tbl>
      <w:tblPr>
        <w:tblW w:w="14591" w:type="dxa"/>
        <w:tblInd w:w="108" w:type="dxa"/>
        <w:tblLayout w:type="fixed"/>
        <w:tblLook w:val="04A0" w:firstRow="1" w:lastRow="0" w:firstColumn="1" w:lastColumn="0" w:noHBand="0" w:noVBand="1"/>
      </w:tblPr>
      <w:tblGrid>
        <w:gridCol w:w="1844"/>
        <w:gridCol w:w="2267"/>
        <w:gridCol w:w="1418"/>
        <w:gridCol w:w="2258"/>
        <w:gridCol w:w="713"/>
        <w:gridCol w:w="856"/>
        <w:gridCol w:w="1417"/>
        <w:gridCol w:w="1736"/>
        <w:gridCol w:w="1950"/>
        <w:gridCol w:w="132"/>
      </w:tblGrid>
      <w:tr w:rsidR="00FB59DF" w:rsidRPr="006212FF" w14:paraId="0A0416C7" w14:textId="77777777" w:rsidTr="00780B3A">
        <w:trPr>
          <w:trHeight w:val="440"/>
        </w:trPr>
        <w:tc>
          <w:tcPr>
            <w:tcW w:w="14591" w:type="dxa"/>
            <w:gridSpan w:val="10"/>
            <w:tcBorders>
              <w:left w:val="nil"/>
              <w:bottom w:val="single" w:sz="4" w:space="0" w:color="auto"/>
              <w:right w:val="nil"/>
            </w:tcBorders>
            <w:shd w:val="clear" w:color="auto" w:fill="auto"/>
            <w:noWrap/>
          </w:tcPr>
          <w:p w14:paraId="21B3CE75" w14:textId="77777777" w:rsidR="00FB59DF" w:rsidRPr="006212FF" w:rsidRDefault="00FB59DF" w:rsidP="00780B3A">
            <w:pPr>
              <w:spacing w:after="0" w:line="360" w:lineRule="auto"/>
              <w:jc w:val="both"/>
              <w:rPr>
                <w:rFonts w:ascii="Book Antiqua" w:eastAsia="Times New Roman" w:hAnsi="Book Antiqua" w:cs="Times New Roman"/>
                <w:b/>
                <w:color w:val="000000"/>
                <w:sz w:val="24"/>
                <w:szCs w:val="24"/>
              </w:rPr>
            </w:pPr>
            <w:r>
              <w:rPr>
                <w:rFonts w:ascii="Book Antiqua" w:eastAsia="Times New Roman" w:hAnsi="Book Antiqua" w:cs="Times New Roman"/>
                <w:b/>
                <w:color w:val="000000"/>
                <w:sz w:val="24"/>
                <w:szCs w:val="24"/>
              </w:rPr>
              <w:lastRenderedPageBreak/>
              <w:t>Table 2</w:t>
            </w:r>
            <w:r w:rsidRPr="006212FF">
              <w:rPr>
                <w:rFonts w:ascii="Book Antiqua" w:eastAsia="Times New Roman" w:hAnsi="Book Antiqua" w:cs="Times New Roman"/>
                <w:b/>
                <w:color w:val="000000"/>
                <w:sz w:val="24"/>
                <w:szCs w:val="24"/>
              </w:rPr>
              <w:t xml:space="preserve"> Outcomes of </w:t>
            </w:r>
            <w:proofErr w:type="spellStart"/>
            <w:r w:rsidRPr="006212FF">
              <w:rPr>
                <w:rFonts w:ascii="Book Antiqua" w:eastAsia="Times New Roman" w:hAnsi="Book Antiqua" w:cs="Times New Roman"/>
                <w:b/>
                <w:color w:val="000000"/>
                <w:sz w:val="24"/>
                <w:szCs w:val="24"/>
              </w:rPr>
              <w:t>Everolimus</w:t>
            </w:r>
            <w:proofErr w:type="spellEnd"/>
            <w:r w:rsidRPr="006212FF">
              <w:rPr>
                <w:rFonts w:ascii="Book Antiqua" w:eastAsia="Times New Roman" w:hAnsi="Book Antiqua" w:cs="Times New Roman"/>
                <w:b/>
                <w:color w:val="000000"/>
                <w:sz w:val="24"/>
                <w:szCs w:val="24"/>
              </w:rPr>
              <w:t>-based Immunosuppressant as Maintenance for LT Recipients in Prospective RCT</w:t>
            </w:r>
          </w:p>
        </w:tc>
      </w:tr>
      <w:tr w:rsidR="00FB59DF" w:rsidRPr="006212FF" w14:paraId="3C3E2C2E" w14:textId="77777777" w:rsidTr="00780B3A">
        <w:trPr>
          <w:gridAfter w:val="1"/>
          <w:wAfter w:w="132" w:type="dxa"/>
          <w:trHeight w:val="1200"/>
        </w:trPr>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14:paraId="59EA9394" w14:textId="77777777" w:rsidR="00FB59DF" w:rsidRPr="00032DBF" w:rsidRDefault="00FB59DF" w:rsidP="00780B3A">
            <w:pPr>
              <w:spacing w:after="0" w:line="360" w:lineRule="auto"/>
              <w:jc w:val="both"/>
              <w:rPr>
                <w:rFonts w:ascii="Book Antiqua" w:hAnsi="Book Antiqua" w:cs="Times New Roman"/>
                <w:b/>
                <w:color w:val="000000"/>
                <w:sz w:val="24"/>
                <w:szCs w:val="24"/>
              </w:rPr>
            </w:pPr>
            <w:r w:rsidRPr="00032DBF">
              <w:rPr>
                <w:rFonts w:ascii="Book Antiqua" w:eastAsia="Times New Roman" w:hAnsi="Book Antiqua" w:cs="Times New Roman"/>
                <w:b/>
                <w:color w:val="000000"/>
                <w:sz w:val="24"/>
                <w:szCs w:val="24"/>
              </w:rPr>
              <w:t>Ref</w:t>
            </w:r>
            <w:r w:rsidRPr="00032DBF">
              <w:rPr>
                <w:rFonts w:ascii="Book Antiqua" w:hAnsi="Book Antiqua" w:cs="Times New Roman" w:hint="eastAsia"/>
                <w:b/>
                <w:color w:val="000000"/>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noWrap/>
            <w:hideMark/>
          </w:tcPr>
          <w:p w14:paraId="172C72F4" w14:textId="77777777" w:rsidR="00FB59DF" w:rsidRPr="00032DBF" w:rsidRDefault="00FB59DF" w:rsidP="00780B3A">
            <w:pPr>
              <w:spacing w:after="0" w:line="360" w:lineRule="auto"/>
              <w:jc w:val="both"/>
              <w:rPr>
                <w:rFonts w:ascii="Book Antiqua" w:eastAsia="Times New Roman" w:hAnsi="Book Antiqua" w:cs="Times New Roman"/>
                <w:b/>
                <w:color w:val="000000"/>
                <w:sz w:val="24"/>
                <w:szCs w:val="24"/>
              </w:rPr>
            </w:pPr>
            <w:r w:rsidRPr="00032DBF">
              <w:rPr>
                <w:rFonts w:ascii="Book Antiqua" w:eastAsia="Times New Roman" w:hAnsi="Book Antiqua" w:cs="Times New Roman"/>
                <w:b/>
                <w:color w:val="000000"/>
                <w:sz w:val="24"/>
                <w:szCs w:val="24"/>
              </w:rPr>
              <w:t>Treatment group</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42BA7B" w14:textId="77777777" w:rsidR="00FB59DF" w:rsidRPr="00032DBF" w:rsidRDefault="00FB59DF" w:rsidP="00780B3A">
            <w:pPr>
              <w:spacing w:after="0" w:line="360" w:lineRule="auto"/>
              <w:jc w:val="both"/>
              <w:rPr>
                <w:rFonts w:ascii="Book Antiqua" w:eastAsia="Times New Roman" w:hAnsi="Book Antiqua" w:cs="Times New Roman"/>
                <w:b/>
                <w:color w:val="000000"/>
                <w:sz w:val="24"/>
                <w:szCs w:val="24"/>
              </w:rPr>
            </w:pPr>
            <w:r w:rsidRPr="00032DBF">
              <w:rPr>
                <w:rFonts w:ascii="Book Antiqua" w:eastAsia="Times New Roman" w:hAnsi="Book Antiqua" w:cs="Times New Roman"/>
                <w:b/>
                <w:color w:val="000000"/>
                <w:sz w:val="24"/>
                <w:szCs w:val="24"/>
              </w:rPr>
              <w:t>Time (</w:t>
            </w:r>
            <w:proofErr w:type="spellStart"/>
            <w:r w:rsidRPr="00032DBF">
              <w:rPr>
                <w:rFonts w:ascii="Book Antiqua" w:eastAsia="Times New Roman" w:hAnsi="Book Antiqua" w:cs="Times New Roman"/>
                <w:b/>
                <w:color w:val="000000"/>
                <w:sz w:val="24"/>
                <w:szCs w:val="24"/>
              </w:rPr>
              <w:t>mo</w:t>
            </w:r>
            <w:proofErr w:type="spellEnd"/>
            <w:r w:rsidRPr="00032DBF">
              <w:rPr>
                <w:rFonts w:ascii="Book Antiqua" w:eastAsia="Times New Roman" w:hAnsi="Book Antiqua" w:cs="Times New Roman"/>
                <w:b/>
                <w:color w:val="000000"/>
                <w:sz w:val="24"/>
                <w:szCs w:val="24"/>
              </w:rPr>
              <w:t xml:space="preserve">) from transplant surgery EVR was initiated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5DF8D13B" w14:textId="77777777" w:rsidR="00FB59DF" w:rsidRPr="00032DBF" w:rsidRDefault="00FB59DF" w:rsidP="00780B3A">
            <w:pPr>
              <w:spacing w:after="0" w:line="360" w:lineRule="auto"/>
              <w:jc w:val="both"/>
              <w:rPr>
                <w:rFonts w:ascii="Book Antiqua" w:eastAsia="Times New Roman" w:hAnsi="Book Antiqua" w:cs="Times New Roman"/>
                <w:b/>
                <w:color w:val="000000"/>
                <w:sz w:val="24"/>
                <w:szCs w:val="24"/>
              </w:rPr>
            </w:pPr>
            <w:r w:rsidRPr="00032DBF">
              <w:rPr>
                <w:rFonts w:ascii="Book Antiqua" w:eastAsia="Times New Roman" w:hAnsi="Book Antiqua" w:cs="Times New Roman"/>
                <w:b/>
                <w:color w:val="000000"/>
                <w:sz w:val="24"/>
                <w:szCs w:val="24"/>
              </w:rPr>
              <w:t xml:space="preserve">Key inclusion </w:t>
            </w:r>
            <w:r w:rsidRPr="00032DBF">
              <w:rPr>
                <w:rFonts w:ascii="Book Antiqua" w:hAnsi="Book Antiqua" w:cs="Times New Roman" w:hint="eastAsia"/>
                <w:b/>
                <w:color w:val="000000"/>
                <w:sz w:val="24"/>
                <w:szCs w:val="24"/>
              </w:rPr>
              <w:t>and</w:t>
            </w:r>
            <w:r w:rsidRPr="00032DBF">
              <w:rPr>
                <w:rFonts w:ascii="Book Antiqua" w:eastAsia="Times New Roman" w:hAnsi="Book Antiqua" w:cs="Times New Roman"/>
                <w:b/>
                <w:color w:val="000000"/>
                <w:sz w:val="24"/>
                <w:szCs w:val="24"/>
              </w:rPr>
              <w:t xml:space="preserve"> exclusion criteria</w:t>
            </w:r>
          </w:p>
        </w:tc>
        <w:tc>
          <w:tcPr>
            <w:tcW w:w="713" w:type="dxa"/>
            <w:tcBorders>
              <w:top w:val="single" w:sz="4" w:space="0" w:color="auto"/>
              <w:left w:val="single" w:sz="4" w:space="0" w:color="auto"/>
              <w:bottom w:val="single" w:sz="4" w:space="0" w:color="auto"/>
              <w:right w:val="single" w:sz="4" w:space="0" w:color="auto"/>
            </w:tcBorders>
            <w:shd w:val="clear" w:color="auto" w:fill="auto"/>
            <w:noWrap/>
            <w:hideMark/>
          </w:tcPr>
          <w:p w14:paraId="2D7FA864" w14:textId="77777777" w:rsidR="00FB59DF" w:rsidRPr="00032DBF" w:rsidRDefault="00FB59DF" w:rsidP="00780B3A">
            <w:pPr>
              <w:spacing w:after="0" w:line="360" w:lineRule="auto"/>
              <w:jc w:val="both"/>
              <w:rPr>
                <w:rFonts w:ascii="Book Antiqua" w:eastAsia="Times New Roman" w:hAnsi="Book Antiqua" w:cs="Times New Roman"/>
                <w:b/>
                <w:i/>
                <w:color w:val="000000"/>
                <w:sz w:val="24"/>
                <w:szCs w:val="24"/>
              </w:rPr>
            </w:pPr>
            <w:r w:rsidRPr="00032DBF">
              <w:rPr>
                <w:rFonts w:ascii="Book Antiqua" w:eastAsia="Times New Roman" w:hAnsi="Book Antiqua" w:cs="Times New Roman"/>
                <w:b/>
                <w:i/>
                <w:color w:val="000000"/>
                <w:sz w:val="24"/>
                <w:szCs w:val="24"/>
              </w:rPr>
              <w:t>n</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156BC3A5" w14:textId="77777777" w:rsidR="00FB59DF" w:rsidRPr="00032DBF" w:rsidRDefault="00FB59DF" w:rsidP="00780B3A">
            <w:pPr>
              <w:spacing w:after="0" w:line="360" w:lineRule="auto"/>
              <w:jc w:val="both"/>
              <w:rPr>
                <w:rFonts w:ascii="Book Antiqua" w:eastAsia="Times New Roman" w:hAnsi="Book Antiqua" w:cs="Times New Roman"/>
                <w:b/>
                <w:color w:val="000000"/>
                <w:sz w:val="24"/>
                <w:szCs w:val="24"/>
              </w:rPr>
            </w:pPr>
            <w:r w:rsidRPr="00032DBF">
              <w:rPr>
                <w:rFonts w:ascii="Book Antiqua" w:eastAsia="Times New Roman" w:hAnsi="Book Antiqua" w:cs="Times New Roman"/>
                <w:b/>
                <w:color w:val="000000"/>
                <w:sz w:val="24"/>
                <w:szCs w:val="24"/>
              </w:rPr>
              <w:t>Follow up period (</w:t>
            </w:r>
            <w:proofErr w:type="spellStart"/>
            <w:r w:rsidRPr="00032DBF">
              <w:rPr>
                <w:rFonts w:ascii="Book Antiqua" w:eastAsia="Times New Roman" w:hAnsi="Book Antiqua" w:cs="Times New Roman"/>
                <w:b/>
                <w:color w:val="000000"/>
                <w:sz w:val="24"/>
                <w:szCs w:val="24"/>
              </w:rPr>
              <w:t>mo</w:t>
            </w:r>
            <w:proofErr w:type="spellEnd"/>
            <w:r w:rsidRPr="00032DBF">
              <w:rPr>
                <w:rFonts w:ascii="Book Antiqua" w:eastAsia="Times New Roman" w:hAnsi="Book Antiqua" w:cs="Times New Roman"/>
                <w:b/>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23D5713" w14:textId="77777777" w:rsidR="00FB59DF" w:rsidRPr="00032DBF" w:rsidRDefault="00FB59DF" w:rsidP="00780B3A">
            <w:pPr>
              <w:spacing w:after="0" w:line="360" w:lineRule="auto"/>
              <w:jc w:val="both"/>
              <w:rPr>
                <w:rFonts w:ascii="Book Antiqua" w:eastAsia="Times New Roman" w:hAnsi="Book Antiqua" w:cs="Times New Roman"/>
                <w:b/>
                <w:color w:val="000000"/>
                <w:sz w:val="24"/>
                <w:szCs w:val="24"/>
              </w:rPr>
            </w:pPr>
            <w:r w:rsidRPr="00032DBF">
              <w:rPr>
                <w:rFonts w:ascii="Book Antiqua" w:eastAsia="Times New Roman" w:hAnsi="Book Antiqua" w:cs="Times New Roman"/>
                <w:b/>
                <w:color w:val="000000"/>
                <w:sz w:val="24"/>
                <w:szCs w:val="24"/>
              </w:rPr>
              <w:t>Efficacy</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6424E57" w14:textId="77777777" w:rsidR="00FB59DF" w:rsidRPr="00032DBF" w:rsidRDefault="00FB59DF" w:rsidP="00780B3A">
            <w:pPr>
              <w:spacing w:after="0" w:line="360" w:lineRule="auto"/>
              <w:jc w:val="both"/>
              <w:rPr>
                <w:rFonts w:ascii="Book Antiqua" w:eastAsia="Times New Roman" w:hAnsi="Book Antiqua" w:cs="Times New Roman"/>
                <w:b/>
                <w:color w:val="000000"/>
                <w:sz w:val="24"/>
                <w:szCs w:val="24"/>
              </w:rPr>
            </w:pPr>
            <w:r w:rsidRPr="00032DBF">
              <w:rPr>
                <w:rFonts w:ascii="Book Antiqua" w:eastAsia="Times New Roman" w:hAnsi="Book Antiqua" w:cs="Times New Roman"/>
                <w:b/>
                <w:color w:val="000000"/>
                <w:sz w:val="24"/>
                <w:szCs w:val="24"/>
              </w:rPr>
              <w:t xml:space="preserve">Mean improvement in </w:t>
            </w:r>
            <w:proofErr w:type="spellStart"/>
            <w:r w:rsidRPr="00032DBF">
              <w:rPr>
                <w:rFonts w:ascii="Book Antiqua" w:eastAsia="Times New Roman" w:hAnsi="Book Antiqua" w:cs="Times New Roman"/>
                <w:b/>
                <w:color w:val="000000"/>
                <w:sz w:val="24"/>
                <w:szCs w:val="24"/>
              </w:rPr>
              <w:t>CrCl</w:t>
            </w:r>
            <w:proofErr w:type="spellEnd"/>
            <w:r w:rsidRPr="00032DBF">
              <w:rPr>
                <w:rFonts w:ascii="Book Antiqua" w:eastAsia="Times New Roman" w:hAnsi="Book Antiqua" w:cs="Times New Roman"/>
                <w:b/>
                <w:color w:val="000000"/>
                <w:sz w:val="24"/>
                <w:szCs w:val="24"/>
              </w:rPr>
              <w:t xml:space="preserve"> (mL/min)</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8C442AA"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Safety</w:t>
            </w:r>
          </w:p>
        </w:tc>
      </w:tr>
      <w:tr w:rsidR="00FB59DF" w:rsidRPr="006212FF" w14:paraId="0FC3A9F7" w14:textId="77777777" w:rsidTr="00780B3A">
        <w:trPr>
          <w:gridAfter w:val="1"/>
          <w:wAfter w:w="132" w:type="dxa"/>
          <w:trHeight w:val="226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3831B1EF"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De Simone</w:t>
            </w:r>
            <w:r>
              <w:rPr>
                <w:rFonts w:ascii="Book Antiqua" w:hAnsi="Book Antiqua" w:cs="Times New Roman" w:hint="eastAsia"/>
                <w:color w:val="000000"/>
                <w:sz w:val="24"/>
                <w:szCs w:val="24"/>
              </w:rPr>
              <w:t xml:space="preserve"> </w:t>
            </w:r>
            <w:r>
              <w:rPr>
                <w:rFonts w:ascii="Book Antiqua" w:hAnsi="Book Antiqua" w:cs="Times New Roman" w:hint="eastAsia"/>
                <w:i/>
                <w:color w:val="000000"/>
                <w:sz w:val="24"/>
                <w:szCs w:val="24"/>
              </w:rPr>
              <w:t>et al</w:t>
            </w:r>
            <w:r w:rsidRPr="006212FF">
              <w:rPr>
                <w:rFonts w:ascii="Book Antiqua" w:eastAsia="Times New Roman" w:hAnsi="Book Antiqua" w:cs="Times New Roman"/>
                <w:color w:val="000000"/>
                <w:sz w:val="24"/>
                <w:szCs w:val="24"/>
                <w:vertAlign w:val="superscript"/>
              </w:rPr>
              <w:t>[19]</w:t>
            </w:r>
            <w:r w:rsidRPr="006212FF">
              <w:rPr>
                <w:rFonts w:ascii="Book Antiqua" w:eastAsia="Times New Roman" w:hAnsi="Book Antiqua" w:cs="Times New Roman"/>
                <w:color w:val="000000"/>
                <w:sz w:val="24"/>
                <w:szCs w:val="24"/>
              </w:rPr>
              <w:t xml:space="preserve"> 2009 (RESCUE Study) </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6583F3C4"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EVR with CNI reduction or elimination (EVR</w:t>
            </w:r>
            <w:r w:rsidRPr="006212FF">
              <w:rPr>
                <w:rFonts w:ascii="Book Antiqua" w:eastAsia="Times New Roman" w:hAnsi="Book Antiqua" w:cs="Times New Roman"/>
                <w:color w:val="000000"/>
                <w:sz w:val="24"/>
                <w:szCs w:val="24"/>
              </w:rPr>
              <w:br/>
              <w:t>C</w:t>
            </w:r>
            <w:r w:rsidRPr="006212FF">
              <w:rPr>
                <w:rFonts w:ascii="Book Antiqua" w:eastAsia="Times New Roman" w:hAnsi="Book Antiqua" w:cs="Times New Roman"/>
                <w:color w:val="000000"/>
                <w:sz w:val="24"/>
                <w:szCs w:val="24"/>
                <w:vertAlign w:val="subscript"/>
              </w:rPr>
              <w:t>0</w:t>
            </w:r>
            <w:r w:rsidRPr="006212FF">
              <w:rPr>
                <w:rFonts w:ascii="Book Antiqua" w:eastAsia="Times New Roman" w:hAnsi="Book Antiqua" w:cs="Times New Roman"/>
                <w:color w:val="000000"/>
                <w:sz w:val="24"/>
                <w:szCs w:val="24"/>
              </w:rPr>
              <w:t xml:space="preserve"> 3</w:t>
            </w:r>
            <w:r>
              <w:rPr>
                <w:rFonts w:ascii="Book Antiqua" w:hAnsi="Book Antiqua" w:cs="Times New Roman" w:hint="eastAsia"/>
                <w:color w:val="000000"/>
                <w:sz w:val="24"/>
                <w:szCs w:val="24"/>
              </w:rPr>
              <w:t>-</w:t>
            </w:r>
            <w:r w:rsidRPr="006212FF">
              <w:rPr>
                <w:rFonts w:ascii="Book Antiqua" w:eastAsia="Times New Roman" w:hAnsi="Book Antiqua" w:cs="Times New Roman"/>
                <w:color w:val="000000"/>
                <w:sz w:val="24"/>
                <w:szCs w:val="24"/>
              </w:rPr>
              <w:t xml:space="preserve">8 </w:t>
            </w:r>
            <w:proofErr w:type="spellStart"/>
            <w:r w:rsidRPr="006212FF">
              <w:rPr>
                <w:rFonts w:ascii="Book Antiqua" w:eastAsia="Times New Roman" w:hAnsi="Book Antiqua" w:cs="Times New Roman"/>
                <w:color w:val="000000"/>
                <w:sz w:val="24"/>
                <w:szCs w:val="24"/>
              </w:rPr>
              <w:t>ng</w:t>
            </w:r>
            <w:proofErr w:type="spellEnd"/>
            <w:r w:rsidRPr="006212FF">
              <w:rPr>
                <w:rFonts w:ascii="Book Antiqua" w:eastAsia="Times New Roman" w:hAnsi="Book Antiqua" w:cs="Times New Roman"/>
                <w:color w:val="000000"/>
                <w:sz w:val="24"/>
                <w:szCs w:val="24"/>
              </w:rPr>
              <w:t>/mL, FK C</w:t>
            </w:r>
            <w:r w:rsidRPr="006212FF">
              <w:rPr>
                <w:rFonts w:ascii="Book Antiqua" w:eastAsia="Times New Roman" w:hAnsi="Book Antiqua" w:cs="Times New Roman"/>
                <w:color w:val="000000"/>
                <w:sz w:val="24"/>
                <w:szCs w:val="24"/>
                <w:vertAlign w:val="subscript"/>
              </w:rPr>
              <w:t>0</w:t>
            </w:r>
            <w:r w:rsidRPr="006212FF">
              <w:rPr>
                <w:rFonts w:ascii="Book Antiqua" w:eastAsia="Times New Roman" w:hAnsi="Book Antiqua" w:cs="Times New Roman"/>
                <w:color w:val="000000"/>
                <w:sz w:val="24"/>
                <w:szCs w:val="24"/>
              </w:rPr>
              <w:t xml:space="preserve"> 3</w:t>
            </w:r>
            <w:r>
              <w:rPr>
                <w:rFonts w:ascii="Book Antiqua" w:hAnsi="Book Antiqua" w:cs="Times New Roman" w:hint="eastAsia"/>
                <w:color w:val="000000"/>
                <w:sz w:val="24"/>
                <w:szCs w:val="24"/>
              </w:rPr>
              <w:t>-</w:t>
            </w:r>
            <w:r w:rsidRPr="006212FF">
              <w:rPr>
                <w:rFonts w:ascii="Book Antiqua" w:eastAsia="Times New Roman" w:hAnsi="Book Antiqua" w:cs="Times New Roman"/>
                <w:color w:val="000000"/>
                <w:sz w:val="24"/>
                <w:szCs w:val="24"/>
              </w:rPr>
              <w:t xml:space="preserve">5 </w:t>
            </w:r>
            <w:proofErr w:type="spellStart"/>
            <w:r w:rsidRPr="006212FF">
              <w:rPr>
                <w:rFonts w:ascii="Book Antiqua" w:eastAsia="Times New Roman" w:hAnsi="Book Antiqua" w:cs="Times New Roman"/>
                <w:color w:val="000000"/>
                <w:sz w:val="24"/>
                <w:szCs w:val="24"/>
              </w:rPr>
              <w:t>ng</w:t>
            </w:r>
            <w:proofErr w:type="spellEnd"/>
            <w:r w:rsidRPr="006212FF">
              <w:rPr>
                <w:rFonts w:ascii="Book Antiqua" w:eastAsia="Times New Roman" w:hAnsi="Book Antiqua" w:cs="Times New Roman"/>
                <w:color w:val="000000"/>
                <w:sz w:val="24"/>
                <w:szCs w:val="24"/>
              </w:rPr>
              <w:t>/mL or EVR C</w:t>
            </w:r>
            <w:r w:rsidRPr="006212FF">
              <w:rPr>
                <w:rFonts w:ascii="Book Antiqua" w:eastAsia="Times New Roman" w:hAnsi="Book Antiqua" w:cs="Times New Roman"/>
                <w:color w:val="000000"/>
                <w:sz w:val="24"/>
                <w:szCs w:val="24"/>
                <w:vertAlign w:val="subscript"/>
              </w:rPr>
              <w:t>0</w:t>
            </w:r>
            <w:r w:rsidRPr="006212FF">
              <w:rPr>
                <w:rFonts w:ascii="Book Antiqua" w:eastAsia="Times New Roman" w:hAnsi="Book Antiqua" w:cs="Times New Roman"/>
                <w:color w:val="000000"/>
                <w:sz w:val="24"/>
                <w:szCs w:val="24"/>
              </w:rPr>
              <w:t xml:space="preserve"> 6</w:t>
            </w:r>
            <w:r>
              <w:rPr>
                <w:rFonts w:ascii="Book Antiqua" w:hAnsi="Book Antiqua" w:cs="Times New Roman" w:hint="eastAsia"/>
                <w:color w:val="000000"/>
                <w:sz w:val="24"/>
                <w:szCs w:val="24"/>
              </w:rPr>
              <w:t>-</w:t>
            </w:r>
            <w:r w:rsidRPr="006212FF">
              <w:rPr>
                <w:rFonts w:ascii="Book Antiqua" w:eastAsia="Times New Roman" w:hAnsi="Book Antiqua" w:cs="Times New Roman"/>
                <w:color w:val="000000"/>
                <w:sz w:val="24"/>
                <w:szCs w:val="24"/>
              </w:rPr>
              <w:t xml:space="preserve">12 </w:t>
            </w:r>
            <w:proofErr w:type="spellStart"/>
            <w:r w:rsidRPr="006212FF">
              <w:rPr>
                <w:rFonts w:ascii="Book Antiqua" w:eastAsia="Times New Roman" w:hAnsi="Book Antiqua" w:cs="Times New Roman"/>
                <w:color w:val="000000"/>
                <w:sz w:val="24"/>
                <w:szCs w:val="24"/>
              </w:rPr>
              <w:t>ng</w:t>
            </w:r>
            <w:proofErr w:type="spellEnd"/>
            <w:r w:rsidRPr="006212FF">
              <w:rPr>
                <w:rFonts w:ascii="Book Antiqua" w:eastAsia="Times New Roman" w:hAnsi="Book Antiqua" w:cs="Times New Roman"/>
                <w:color w:val="000000"/>
                <w:sz w:val="24"/>
                <w:szCs w:val="24"/>
              </w:rPr>
              <w:t>/mL with FK</w:t>
            </w:r>
            <w:r w:rsidRPr="006212FF">
              <w:rPr>
                <w:rFonts w:ascii="Book Antiqua" w:eastAsia="Times New Roman" w:hAnsi="Book Antiqua" w:cs="Times New Roman"/>
                <w:color w:val="000000"/>
                <w:sz w:val="24"/>
                <w:szCs w:val="24"/>
              </w:rPr>
              <w:br/>
              <w:t>elimination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22B8D28"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 xml:space="preserve">12 </w:t>
            </w:r>
            <w:proofErr w:type="spellStart"/>
            <w:r w:rsidRPr="006212FF">
              <w:rPr>
                <w:rFonts w:ascii="Book Antiqua" w:eastAsia="Times New Roman" w:hAnsi="Book Antiqua" w:cs="Times New Roman"/>
                <w:color w:val="000000"/>
                <w:sz w:val="24"/>
                <w:szCs w:val="24"/>
              </w:rPr>
              <w:t>mo</w:t>
            </w:r>
            <w:proofErr w:type="spellEnd"/>
            <w:r w:rsidRPr="006212FF">
              <w:rPr>
                <w:rFonts w:ascii="Book Antiqua" w:eastAsia="Times New Roman" w:hAnsi="Book Antiqua" w:cs="Times New Roman"/>
                <w:color w:val="000000"/>
                <w:sz w:val="24"/>
                <w:szCs w:val="24"/>
              </w:rPr>
              <w:t xml:space="preserve"> to 60 </w:t>
            </w:r>
            <w:proofErr w:type="spellStart"/>
            <w:r w:rsidRPr="006212FF">
              <w:rPr>
                <w:rFonts w:ascii="Book Antiqua" w:eastAsia="Times New Roman" w:hAnsi="Book Antiqua" w:cs="Times New Roman"/>
                <w:color w:val="000000"/>
                <w:sz w:val="24"/>
                <w:szCs w:val="24"/>
              </w:rPr>
              <w:t>mo</w:t>
            </w:r>
            <w:proofErr w:type="spellEnd"/>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D3010A"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 xml:space="preserve">Inclusion: </w:t>
            </w:r>
            <w:proofErr w:type="spellStart"/>
            <w:r w:rsidRPr="006212FF">
              <w:rPr>
                <w:rFonts w:ascii="Book Antiqua" w:eastAsia="Times New Roman" w:hAnsi="Book Antiqua" w:cs="Times New Roman"/>
                <w:color w:val="000000"/>
                <w:sz w:val="24"/>
                <w:szCs w:val="24"/>
              </w:rPr>
              <w:t>CrCl</w:t>
            </w:r>
            <w:proofErr w:type="spellEnd"/>
            <w:r w:rsidRPr="006212FF">
              <w:rPr>
                <w:rFonts w:ascii="Book Antiqua" w:eastAsia="Times New Roman" w:hAnsi="Book Antiqua" w:cs="Times New Roman"/>
                <w:color w:val="000000"/>
                <w:sz w:val="24"/>
                <w:szCs w:val="24"/>
              </w:rPr>
              <w:t xml:space="preserve"> ≤</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60</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mL/min and ≥</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20</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mL/min.</w:t>
            </w:r>
            <w:r w:rsidRPr="006212FF">
              <w:rPr>
                <w:rFonts w:ascii="Book Antiqua" w:eastAsia="Times New Roman" w:hAnsi="Book Antiqua" w:cs="Times New Roman"/>
                <w:color w:val="000000"/>
                <w:sz w:val="24"/>
                <w:szCs w:val="24"/>
              </w:rPr>
              <w:br/>
              <w:t>Exclusion: renal dysfunction not due to CNI toxicity, proteinuria</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1</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g/24</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 xml:space="preserve">h, acute rejection &lt; 6 </w:t>
            </w:r>
            <w:proofErr w:type="spellStart"/>
            <w:r w:rsidRPr="006212FF">
              <w:rPr>
                <w:rFonts w:ascii="Book Antiqua" w:eastAsia="Times New Roman" w:hAnsi="Book Antiqua" w:cs="Times New Roman"/>
                <w:color w:val="000000"/>
                <w:sz w:val="24"/>
                <w:szCs w:val="24"/>
              </w:rPr>
              <w:t>mo</w:t>
            </w:r>
            <w:proofErr w:type="spellEnd"/>
            <w:r w:rsidRPr="006212FF">
              <w:rPr>
                <w:rFonts w:ascii="Book Antiqua" w:eastAsia="Times New Roman" w:hAnsi="Book Antiqua" w:cs="Times New Roman"/>
                <w:color w:val="000000"/>
                <w:sz w:val="24"/>
                <w:szCs w:val="24"/>
              </w:rPr>
              <w:t xml:space="preserve">, hepatitis C infection need active antiviral therapy </w:t>
            </w:r>
          </w:p>
        </w:tc>
        <w:tc>
          <w:tcPr>
            <w:tcW w:w="713" w:type="dxa"/>
            <w:tcBorders>
              <w:top w:val="single" w:sz="4" w:space="0" w:color="auto"/>
              <w:left w:val="single" w:sz="4" w:space="0" w:color="auto"/>
              <w:bottom w:val="single" w:sz="4" w:space="0" w:color="auto"/>
              <w:right w:val="single" w:sz="4" w:space="0" w:color="auto"/>
            </w:tcBorders>
            <w:shd w:val="clear" w:color="auto" w:fill="auto"/>
            <w:noWrap/>
            <w:hideMark/>
          </w:tcPr>
          <w:p w14:paraId="58DB9760"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72</w:t>
            </w:r>
          </w:p>
        </w:tc>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7B4B274C"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12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2F7E42"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 xml:space="preserve">BPAR, graft loss or death: 8.3% in EVR group </w:t>
            </w:r>
            <w:proofErr w:type="spellStart"/>
            <w:r w:rsidRPr="00EF5AD5">
              <w:rPr>
                <w:rFonts w:ascii="Book Antiqua" w:eastAsia="Times New Roman" w:hAnsi="Book Antiqua" w:cs="Times New Roman"/>
                <w:i/>
                <w:color w:val="000000"/>
                <w:sz w:val="24"/>
                <w:szCs w:val="24"/>
              </w:rPr>
              <w:t>vs</w:t>
            </w:r>
            <w:proofErr w:type="spellEnd"/>
            <w:r w:rsidRPr="006212FF">
              <w:rPr>
                <w:rFonts w:ascii="Book Antiqua" w:eastAsia="Times New Roman" w:hAnsi="Book Antiqua" w:cs="Times New Roman"/>
                <w:color w:val="000000"/>
                <w:sz w:val="24"/>
                <w:szCs w:val="24"/>
              </w:rPr>
              <w:t xml:space="preserve"> 4.1% in control group</w:t>
            </w:r>
          </w:p>
        </w:tc>
        <w:tc>
          <w:tcPr>
            <w:tcW w:w="1736" w:type="dxa"/>
            <w:tcBorders>
              <w:top w:val="single" w:sz="4" w:space="0" w:color="auto"/>
              <w:left w:val="single" w:sz="4" w:space="0" w:color="auto"/>
              <w:bottom w:val="single" w:sz="4" w:space="0" w:color="auto"/>
              <w:right w:val="single" w:sz="4" w:space="0" w:color="auto"/>
            </w:tcBorders>
            <w:shd w:val="clear" w:color="auto" w:fill="auto"/>
            <w:noWrap/>
            <w:hideMark/>
          </w:tcPr>
          <w:p w14:paraId="720B4FD0"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softHyphen/>
              <w:t>-1.1 (</w:t>
            </w:r>
            <w:r w:rsidRPr="00EF5AD5">
              <w:rPr>
                <w:rFonts w:ascii="Book Antiqua" w:eastAsia="Times New Roman" w:hAnsi="Book Antiqua" w:cs="Times New Roman"/>
                <w:i/>
                <w:color w:val="000000"/>
                <w:sz w:val="24"/>
                <w:szCs w:val="24"/>
              </w:rPr>
              <w:t>P</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0.463) at month 6</w:t>
            </w:r>
          </w:p>
          <w:p w14:paraId="3701D45A"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3C48DA"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Higher incidence of hyperlipidemia, mouth ulceration, increased</w:t>
            </w:r>
            <w:r w:rsidRPr="006212FF">
              <w:rPr>
                <w:rFonts w:ascii="Book Antiqua" w:eastAsia="Times New Roman" w:hAnsi="Book Antiqua" w:cs="Times New Roman"/>
                <w:color w:val="000000"/>
                <w:sz w:val="24"/>
                <w:szCs w:val="24"/>
              </w:rPr>
              <w:br/>
              <w:t>hep</w:t>
            </w:r>
            <w:r>
              <w:rPr>
                <w:rFonts w:ascii="Book Antiqua" w:eastAsia="Times New Roman" w:hAnsi="Book Antiqua" w:cs="Times New Roman"/>
                <w:color w:val="000000"/>
                <w:sz w:val="24"/>
                <w:szCs w:val="24"/>
              </w:rPr>
              <w:t>atitis C virus viral titer, dry</w:t>
            </w:r>
            <w:r>
              <w:rPr>
                <w:rFonts w:ascii="Book Antiqua" w:hAnsi="Book Antiqua" w:cs="Times New Roman" w:hint="eastAsia"/>
                <w:color w:val="000000"/>
                <w:sz w:val="24"/>
                <w:szCs w:val="24"/>
              </w:rPr>
              <w:t xml:space="preserve"> </w:t>
            </w:r>
            <w:r>
              <w:rPr>
                <w:rFonts w:ascii="Book Antiqua" w:eastAsia="Times New Roman" w:hAnsi="Book Antiqua" w:cs="Times New Roman"/>
                <w:color w:val="000000"/>
                <w:sz w:val="24"/>
                <w:szCs w:val="24"/>
              </w:rPr>
              <w:t>skin, eczema, and rash in the</w:t>
            </w:r>
            <w:r>
              <w:rPr>
                <w:rFonts w:ascii="Book Antiqua" w:hAnsi="Book Antiqua" w:cs="Times New Roman" w:hint="eastAsia"/>
                <w:color w:val="000000"/>
                <w:sz w:val="24"/>
                <w:szCs w:val="24"/>
              </w:rPr>
              <w:t xml:space="preserve"> </w:t>
            </w:r>
            <w:r w:rsidRPr="006212FF">
              <w:rPr>
                <w:rFonts w:ascii="Book Antiqua" w:eastAsia="Times New Roman" w:hAnsi="Book Antiqua" w:cs="Times New Roman"/>
                <w:color w:val="000000"/>
                <w:sz w:val="24"/>
                <w:szCs w:val="24"/>
              </w:rPr>
              <w:t>EVR group</w:t>
            </w:r>
          </w:p>
        </w:tc>
      </w:tr>
      <w:tr w:rsidR="00FB59DF" w:rsidRPr="006212FF" w14:paraId="76438D46" w14:textId="77777777" w:rsidTr="00780B3A">
        <w:trPr>
          <w:gridAfter w:val="1"/>
          <w:wAfter w:w="132" w:type="dxa"/>
          <w:trHeight w:val="735"/>
        </w:trPr>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14:paraId="605C293E"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4AA7186C"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 xml:space="preserve">Control: Standard exposure of FK or </w:t>
            </w:r>
            <w:proofErr w:type="spellStart"/>
            <w:r w:rsidRPr="006212FF">
              <w:rPr>
                <w:rFonts w:ascii="Book Antiqua" w:eastAsia="Times New Roman" w:hAnsi="Book Antiqua" w:cs="Times New Roman"/>
                <w:color w:val="000000"/>
                <w:sz w:val="24"/>
                <w:szCs w:val="24"/>
              </w:rPr>
              <w:t>CsA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760CC77"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90B3EB"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hideMark/>
          </w:tcPr>
          <w:p w14:paraId="75530B2B"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r w:rsidRPr="006212FF">
              <w:rPr>
                <w:rFonts w:ascii="Book Antiqua" w:eastAsia="Times New Roman" w:hAnsi="Book Antiqua" w:cs="Times New Roman"/>
                <w:color w:val="000000"/>
                <w:sz w:val="24"/>
                <w:szCs w:val="24"/>
              </w:rPr>
              <w:t>73</w:t>
            </w:r>
          </w:p>
        </w:tc>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0DE077CC"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0744B"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hideMark/>
          </w:tcPr>
          <w:p w14:paraId="4A5A6160"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08566A95" w14:textId="77777777" w:rsidR="00FB59DF" w:rsidRPr="006212FF" w:rsidRDefault="00FB59DF" w:rsidP="00780B3A">
            <w:pPr>
              <w:spacing w:after="0" w:line="360" w:lineRule="auto"/>
              <w:jc w:val="both"/>
              <w:rPr>
                <w:rFonts w:ascii="Book Antiqua" w:eastAsia="Times New Roman" w:hAnsi="Book Antiqua" w:cs="Times New Roman"/>
                <w:color w:val="000000"/>
                <w:sz w:val="24"/>
                <w:szCs w:val="24"/>
              </w:rPr>
            </w:pPr>
          </w:p>
        </w:tc>
      </w:tr>
    </w:tbl>
    <w:p w14:paraId="188FAAA5" w14:textId="77777777" w:rsidR="00FB59DF" w:rsidRDefault="00FB59DF" w:rsidP="00FB59DF">
      <w:pPr>
        <w:spacing w:after="0" w:line="360" w:lineRule="auto"/>
        <w:jc w:val="both"/>
        <w:rPr>
          <w:rFonts w:ascii="Book Antiqua" w:hAnsi="Book Antiqua"/>
          <w:sz w:val="24"/>
          <w:szCs w:val="24"/>
        </w:rPr>
      </w:pPr>
      <w:r w:rsidRPr="006212FF">
        <w:rPr>
          <w:rFonts w:ascii="Book Antiqua" w:hAnsi="Book Antiqua"/>
          <w:sz w:val="24"/>
          <w:szCs w:val="24"/>
        </w:rPr>
        <w:t>BPAR: Biopsy proven acute rejection; C</w:t>
      </w:r>
      <w:r w:rsidRPr="006212FF">
        <w:rPr>
          <w:rFonts w:ascii="Book Antiqua" w:hAnsi="Book Antiqua"/>
          <w:sz w:val="24"/>
          <w:szCs w:val="24"/>
          <w:vertAlign w:val="subscript"/>
        </w:rPr>
        <w:t>0</w:t>
      </w:r>
      <w:r w:rsidRPr="006212FF">
        <w:rPr>
          <w:rFonts w:ascii="Book Antiqua" w:hAnsi="Book Antiqua"/>
          <w:sz w:val="24"/>
          <w:szCs w:val="24"/>
        </w:rPr>
        <w:t xml:space="preserve">: Trough level; CNI: </w:t>
      </w:r>
      <w:proofErr w:type="spellStart"/>
      <w:r w:rsidRPr="006212FF">
        <w:rPr>
          <w:rFonts w:ascii="Book Antiqua" w:hAnsi="Book Antiqua"/>
          <w:sz w:val="24"/>
          <w:szCs w:val="24"/>
        </w:rPr>
        <w:t>Calcineurin</w:t>
      </w:r>
      <w:proofErr w:type="spellEnd"/>
      <w:r w:rsidRPr="006212FF">
        <w:rPr>
          <w:rFonts w:ascii="Book Antiqua" w:hAnsi="Book Antiqua"/>
          <w:sz w:val="24"/>
          <w:szCs w:val="24"/>
        </w:rPr>
        <w:t xml:space="preserve"> inhibitor; </w:t>
      </w:r>
      <w:proofErr w:type="spellStart"/>
      <w:r w:rsidRPr="006212FF">
        <w:rPr>
          <w:rFonts w:ascii="Book Antiqua" w:hAnsi="Book Antiqua"/>
          <w:sz w:val="24"/>
          <w:szCs w:val="24"/>
        </w:rPr>
        <w:t>CrCl</w:t>
      </w:r>
      <w:proofErr w:type="spellEnd"/>
      <w:r w:rsidRPr="006212FF">
        <w:rPr>
          <w:rFonts w:ascii="Book Antiqua" w:eastAsia="Times New Roman" w:hAnsi="Book Antiqua" w:cstheme="minorHAnsi"/>
          <w:bCs/>
          <w:color w:val="000000"/>
          <w:sz w:val="24"/>
          <w:szCs w:val="24"/>
        </w:rPr>
        <w:t xml:space="preserve">: </w:t>
      </w:r>
      <w:proofErr w:type="spellStart"/>
      <w:r w:rsidRPr="006212FF">
        <w:rPr>
          <w:rFonts w:ascii="Book Antiqua" w:eastAsia="Times New Roman" w:hAnsi="Book Antiqua" w:cstheme="minorHAnsi"/>
          <w:bCs/>
          <w:color w:val="000000"/>
          <w:sz w:val="24"/>
          <w:szCs w:val="24"/>
        </w:rPr>
        <w:t>Creatinine</w:t>
      </w:r>
      <w:proofErr w:type="spellEnd"/>
      <w:r w:rsidRPr="006212FF">
        <w:rPr>
          <w:rFonts w:ascii="Book Antiqua" w:eastAsia="Times New Roman" w:hAnsi="Book Antiqua" w:cstheme="minorHAnsi"/>
          <w:bCs/>
          <w:color w:val="000000"/>
          <w:sz w:val="24"/>
          <w:szCs w:val="24"/>
        </w:rPr>
        <w:t xml:space="preserve"> clearance (based on Cockcroft-</w:t>
      </w:r>
      <w:proofErr w:type="spellStart"/>
      <w:r w:rsidRPr="006212FF">
        <w:rPr>
          <w:rFonts w:ascii="Book Antiqua" w:eastAsia="Times New Roman" w:hAnsi="Book Antiqua" w:cstheme="minorHAnsi"/>
          <w:bCs/>
          <w:color w:val="000000"/>
          <w:sz w:val="24"/>
          <w:szCs w:val="24"/>
        </w:rPr>
        <w:t>Gault</w:t>
      </w:r>
      <w:proofErr w:type="spellEnd"/>
      <w:r w:rsidRPr="006212FF">
        <w:rPr>
          <w:rFonts w:ascii="Book Antiqua" w:eastAsia="Times New Roman" w:hAnsi="Book Antiqua" w:cstheme="minorHAnsi"/>
          <w:bCs/>
          <w:color w:val="000000"/>
          <w:sz w:val="24"/>
          <w:szCs w:val="24"/>
        </w:rPr>
        <w:t xml:space="preserve"> formula); </w:t>
      </w:r>
      <w:proofErr w:type="spellStart"/>
      <w:r w:rsidRPr="006212FF">
        <w:rPr>
          <w:rFonts w:ascii="Book Antiqua" w:hAnsi="Book Antiqua"/>
          <w:sz w:val="24"/>
          <w:szCs w:val="24"/>
        </w:rPr>
        <w:t>CsA</w:t>
      </w:r>
      <w:proofErr w:type="spellEnd"/>
      <w:r w:rsidRPr="006212FF">
        <w:rPr>
          <w:rFonts w:ascii="Book Antiqua" w:hAnsi="Book Antiqua"/>
          <w:sz w:val="24"/>
          <w:szCs w:val="24"/>
        </w:rPr>
        <w:t>: Cyclosporine;</w:t>
      </w:r>
      <w:r>
        <w:rPr>
          <w:rFonts w:ascii="Book Antiqua" w:hAnsi="Book Antiqua"/>
          <w:sz w:val="24"/>
          <w:szCs w:val="24"/>
        </w:rPr>
        <w:t xml:space="preserve"> EVR: </w:t>
      </w:r>
      <w:proofErr w:type="spellStart"/>
      <w:r>
        <w:rPr>
          <w:rFonts w:ascii="Book Antiqua" w:hAnsi="Book Antiqua"/>
          <w:sz w:val="24"/>
          <w:szCs w:val="24"/>
        </w:rPr>
        <w:t>Everolimus</w:t>
      </w:r>
      <w:proofErr w:type="spellEnd"/>
      <w:r>
        <w:rPr>
          <w:rFonts w:ascii="Book Antiqua" w:hAnsi="Book Antiqua"/>
          <w:sz w:val="24"/>
          <w:szCs w:val="24"/>
        </w:rPr>
        <w:t xml:space="preserve">; FK: </w:t>
      </w:r>
      <w:proofErr w:type="spellStart"/>
      <w:r>
        <w:rPr>
          <w:rFonts w:ascii="Book Antiqua" w:hAnsi="Book Antiqua"/>
          <w:sz w:val="24"/>
          <w:szCs w:val="24"/>
        </w:rPr>
        <w:t>Tacrolimu</w:t>
      </w:r>
      <w:proofErr w:type="spellEnd"/>
      <w:r>
        <w:rPr>
          <w:rFonts w:ascii="Book Antiqua" w:hAnsi="Book Antiqua" w:hint="eastAsia"/>
          <w:sz w:val="24"/>
          <w:szCs w:val="24"/>
        </w:rPr>
        <w:t>.</w:t>
      </w:r>
    </w:p>
    <w:p w14:paraId="5A924B4A" w14:textId="77777777" w:rsidR="00FB59DF" w:rsidRDefault="00FB59DF" w:rsidP="00FB59DF">
      <w:pPr>
        <w:spacing w:after="0" w:line="240" w:lineRule="auto"/>
        <w:rPr>
          <w:rFonts w:ascii="Book Antiqua" w:hAnsi="Book Antiqua"/>
          <w:sz w:val="24"/>
          <w:szCs w:val="24"/>
        </w:rPr>
      </w:pPr>
      <w:r>
        <w:rPr>
          <w:rFonts w:ascii="Book Antiqua" w:hAnsi="Book Antiqua"/>
          <w:sz w:val="24"/>
          <w:szCs w:val="24"/>
        </w:rPr>
        <w:br w:type="page"/>
      </w:r>
    </w:p>
    <w:p w14:paraId="395F3D6F" w14:textId="77777777" w:rsidR="00FB59DF" w:rsidRPr="009205A0" w:rsidRDefault="00FB59DF" w:rsidP="00FB59DF">
      <w:pPr>
        <w:spacing w:after="0" w:line="360" w:lineRule="auto"/>
        <w:jc w:val="both"/>
        <w:rPr>
          <w:rFonts w:ascii="Book Antiqua" w:hAnsi="Book Antiqua"/>
          <w:b/>
          <w:sz w:val="24"/>
          <w:szCs w:val="24"/>
        </w:rPr>
      </w:pPr>
      <w:r w:rsidRPr="009205A0">
        <w:rPr>
          <w:rFonts w:ascii="Book Antiqua" w:hAnsi="Book Antiqua"/>
          <w:b/>
          <w:sz w:val="24"/>
          <w:szCs w:val="24"/>
        </w:rPr>
        <w:lastRenderedPageBreak/>
        <w:t xml:space="preserve">Table 3 Recommendation for </w:t>
      </w:r>
      <w:proofErr w:type="spellStart"/>
      <w:r w:rsidRPr="009205A0">
        <w:rPr>
          <w:rFonts w:ascii="Book Antiqua" w:hAnsi="Book Antiqua"/>
          <w:b/>
          <w:sz w:val="24"/>
          <w:szCs w:val="24"/>
        </w:rPr>
        <w:t>everolimus</w:t>
      </w:r>
      <w:proofErr w:type="spellEnd"/>
      <w:r w:rsidRPr="009205A0">
        <w:rPr>
          <w:rFonts w:ascii="Book Antiqua" w:hAnsi="Book Antiqua"/>
          <w:b/>
          <w:sz w:val="24"/>
          <w:szCs w:val="24"/>
        </w:rPr>
        <w:t xml:space="preserve"> use in liver transplantation recipients</w:t>
      </w:r>
    </w:p>
    <w:tbl>
      <w:tblPr>
        <w:tblStyle w:val="TableGrid"/>
        <w:tblW w:w="10440" w:type="dxa"/>
        <w:tblInd w:w="108" w:type="dxa"/>
        <w:tblLook w:val="04A0" w:firstRow="1" w:lastRow="0" w:firstColumn="1" w:lastColumn="0" w:noHBand="0" w:noVBand="1"/>
      </w:tblPr>
      <w:tblGrid>
        <w:gridCol w:w="1530"/>
        <w:gridCol w:w="8910"/>
      </w:tblGrid>
      <w:tr w:rsidR="00FB59DF" w:rsidRPr="006212FF" w14:paraId="142DCB83" w14:textId="77777777" w:rsidTr="00780B3A">
        <w:tc>
          <w:tcPr>
            <w:tcW w:w="1530" w:type="dxa"/>
            <w:shd w:val="clear" w:color="auto" w:fill="auto"/>
            <w:vAlign w:val="center"/>
          </w:tcPr>
          <w:p w14:paraId="15C4A637" w14:textId="77777777" w:rsidR="00FB59DF" w:rsidRPr="006212FF" w:rsidRDefault="00FB59DF" w:rsidP="00780B3A">
            <w:pPr>
              <w:spacing w:line="360" w:lineRule="auto"/>
              <w:ind w:left="0"/>
              <w:jc w:val="both"/>
              <w:rPr>
                <w:rFonts w:ascii="Book Antiqua" w:hAnsi="Book Antiqua"/>
                <w:sz w:val="24"/>
                <w:szCs w:val="24"/>
              </w:rPr>
            </w:pPr>
            <w:r w:rsidRPr="006212FF">
              <w:rPr>
                <w:rFonts w:ascii="Book Antiqua" w:hAnsi="Book Antiqua"/>
                <w:sz w:val="24"/>
                <w:szCs w:val="24"/>
              </w:rPr>
              <w:t xml:space="preserve">Indication </w:t>
            </w:r>
          </w:p>
          <w:p w14:paraId="34294C1F" w14:textId="77777777" w:rsidR="00FB59DF" w:rsidRPr="006212FF" w:rsidRDefault="00FB59DF" w:rsidP="00780B3A">
            <w:pPr>
              <w:spacing w:line="360" w:lineRule="auto"/>
              <w:ind w:left="0"/>
              <w:jc w:val="both"/>
              <w:rPr>
                <w:rFonts w:ascii="Book Antiqua" w:hAnsi="Book Antiqua"/>
                <w:sz w:val="24"/>
                <w:szCs w:val="24"/>
              </w:rPr>
            </w:pPr>
            <w:r>
              <w:rPr>
                <w:rFonts w:ascii="Book Antiqua" w:hAnsi="Book Antiqua" w:hint="eastAsia"/>
                <w:sz w:val="24"/>
                <w:szCs w:val="24"/>
              </w:rPr>
              <w:t>and</w:t>
            </w:r>
            <w:r w:rsidRPr="006212FF">
              <w:rPr>
                <w:rFonts w:ascii="Book Antiqua" w:hAnsi="Book Antiqua"/>
                <w:sz w:val="24"/>
                <w:szCs w:val="24"/>
              </w:rPr>
              <w:t xml:space="preserve"> regimen</w:t>
            </w:r>
          </w:p>
        </w:tc>
        <w:tc>
          <w:tcPr>
            <w:tcW w:w="8910" w:type="dxa"/>
            <w:shd w:val="clear" w:color="auto" w:fill="auto"/>
          </w:tcPr>
          <w:p w14:paraId="2F5A0752" w14:textId="77777777" w:rsidR="00FB59DF" w:rsidRPr="006212FF" w:rsidRDefault="00FB59DF" w:rsidP="00780B3A">
            <w:pPr>
              <w:spacing w:line="360" w:lineRule="auto"/>
              <w:ind w:left="0"/>
              <w:jc w:val="both"/>
              <w:rPr>
                <w:rFonts w:ascii="Book Antiqua" w:hAnsi="Book Antiqua"/>
                <w:sz w:val="24"/>
                <w:szCs w:val="24"/>
              </w:rPr>
            </w:pPr>
            <w:proofErr w:type="spellStart"/>
            <w:r w:rsidRPr="006212FF">
              <w:rPr>
                <w:rFonts w:ascii="Book Antiqua" w:hAnsi="Book Antiqua"/>
                <w:sz w:val="24"/>
                <w:szCs w:val="24"/>
              </w:rPr>
              <w:t>Renoprotective</w:t>
            </w:r>
            <w:proofErr w:type="spellEnd"/>
            <w:r>
              <w:rPr>
                <w:rFonts w:ascii="Book Antiqua" w:hAnsi="Book Antiqua"/>
                <w:sz w:val="24"/>
                <w:szCs w:val="24"/>
              </w:rPr>
              <w:t xml:space="preserve"> </w:t>
            </w:r>
            <w:r w:rsidRPr="006212FF">
              <w:rPr>
                <w:rFonts w:ascii="Book Antiqua" w:hAnsi="Book Antiqua"/>
                <w:sz w:val="24"/>
                <w:szCs w:val="24"/>
              </w:rPr>
              <w:t>benefit</w:t>
            </w:r>
          </w:p>
          <w:p w14:paraId="2BD7A843" w14:textId="77777777" w:rsidR="00FB59DF" w:rsidRPr="006212FF" w:rsidRDefault="00FB59DF" w:rsidP="00780B3A">
            <w:pPr>
              <w:pStyle w:val="ListParagraph"/>
              <w:spacing w:line="360" w:lineRule="auto"/>
              <w:ind w:left="0" w:firstLineChars="100" w:firstLine="240"/>
              <w:jc w:val="both"/>
              <w:rPr>
                <w:rFonts w:ascii="Book Antiqua" w:hAnsi="Book Antiqua"/>
                <w:sz w:val="24"/>
                <w:szCs w:val="24"/>
              </w:rPr>
            </w:pPr>
            <w:r w:rsidRPr="006212FF">
              <w:rPr>
                <w:rFonts w:ascii="Book Antiqua" w:hAnsi="Book Antiqua"/>
                <w:sz w:val="24"/>
                <w:szCs w:val="24"/>
              </w:rPr>
              <w:t xml:space="preserve">EVR in combination with CNI to allow CNI dose reduction </w:t>
            </w:r>
          </w:p>
          <w:p w14:paraId="0B5ED328" w14:textId="77777777" w:rsidR="00FB59DF" w:rsidRPr="006212FF" w:rsidRDefault="00FB59DF" w:rsidP="00780B3A">
            <w:pPr>
              <w:spacing w:line="360" w:lineRule="auto"/>
              <w:ind w:left="0"/>
              <w:jc w:val="both"/>
              <w:rPr>
                <w:rFonts w:ascii="Book Antiqua" w:hAnsi="Book Antiqua"/>
                <w:sz w:val="24"/>
                <w:szCs w:val="24"/>
              </w:rPr>
            </w:pPr>
            <w:r w:rsidRPr="006212FF">
              <w:rPr>
                <w:rFonts w:ascii="Book Antiqua" w:hAnsi="Book Antiqua"/>
                <w:sz w:val="24"/>
                <w:szCs w:val="24"/>
              </w:rPr>
              <w:t>Management of CNI neurotoxicity</w:t>
            </w:r>
          </w:p>
          <w:p w14:paraId="4FD75D94" w14:textId="77777777" w:rsidR="00FB59DF" w:rsidRPr="006212FF" w:rsidRDefault="00FB59DF" w:rsidP="00780B3A">
            <w:pPr>
              <w:pStyle w:val="ListParagraph"/>
              <w:spacing w:line="360" w:lineRule="auto"/>
              <w:ind w:left="0" w:firstLineChars="100" w:firstLine="240"/>
              <w:jc w:val="both"/>
              <w:rPr>
                <w:rFonts w:ascii="Book Antiqua" w:hAnsi="Book Antiqua"/>
                <w:sz w:val="24"/>
                <w:szCs w:val="24"/>
              </w:rPr>
            </w:pPr>
            <w:r w:rsidRPr="006212FF">
              <w:rPr>
                <w:rFonts w:ascii="Book Antiqua" w:hAnsi="Book Antiqua"/>
                <w:sz w:val="24"/>
                <w:szCs w:val="24"/>
              </w:rPr>
              <w:t>EVR allows temporary withdrawal of CNI till resolution of neurotoxicity</w:t>
            </w:r>
          </w:p>
        </w:tc>
      </w:tr>
      <w:tr w:rsidR="00FB59DF" w:rsidRPr="006212FF" w14:paraId="2ED0C527" w14:textId="77777777" w:rsidTr="00780B3A">
        <w:tc>
          <w:tcPr>
            <w:tcW w:w="1530" w:type="dxa"/>
            <w:shd w:val="clear" w:color="auto" w:fill="auto"/>
            <w:vAlign w:val="center"/>
          </w:tcPr>
          <w:p w14:paraId="3BE524C6" w14:textId="77777777" w:rsidR="00FB59DF" w:rsidRPr="006212FF" w:rsidRDefault="00FB59DF" w:rsidP="00780B3A">
            <w:pPr>
              <w:spacing w:line="360" w:lineRule="auto"/>
              <w:ind w:left="0"/>
              <w:jc w:val="both"/>
              <w:rPr>
                <w:rFonts w:ascii="Book Antiqua" w:hAnsi="Book Antiqua"/>
                <w:sz w:val="24"/>
                <w:szCs w:val="24"/>
              </w:rPr>
            </w:pPr>
            <w:r w:rsidRPr="006212FF">
              <w:rPr>
                <w:rFonts w:ascii="Book Antiqua" w:hAnsi="Book Antiqua"/>
                <w:sz w:val="24"/>
                <w:szCs w:val="24"/>
              </w:rPr>
              <w:t>Patients</w:t>
            </w:r>
          </w:p>
        </w:tc>
        <w:tc>
          <w:tcPr>
            <w:tcW w:w="8910" w:type="dxa"/>
            <w:shd w:val="clear" w:color="auto" w:fill="auto"/>
          </w:tcPr>
          <w:p w14:paraId="60C0A502" w14:textId="77777777" w:rsidR="00FB59DF" w:rsidRPr="006212FF" w:rsidRDefault="00FB59DF" w:rsidP="00780B3A">
            <w:pPr>
              <w:spacing w:line="360" w:lineRule="auto"/>
              <w:ind w:left="0"/>
              <w:jc w:val="both"/>
              <w:rPr>
                <w:rFonts w:ascii="Book Antiqua" w:hAnsi="Book Antiqua"/>
                <w:sz w:val="24"/>
                <w:szCs w:val="24"/>
              </w:rPr>
            </w:pPr>
            <w:r w:rsidRPr="006212FF">
              <w:rPr>
                <w:rFonts w:ascii="Book Antiqua" w:hAnsi="Book Antiqua"/>
                <w:sz w:val="24"/>
                <w:szCs w:val="24"/>
              </w:rPr>
              <w:t>LT recipients with renal function &gt; 60</w:t>
            </w:r>
            <w:r>
              <w:rPr>
                <w:rFonts w:ascii="Book Antiqua" w:hAnsi="Book Antiqua" w:hint="eastAsia"/>
                <w:sz w:val="24"/>
                <w:szCs w:val="24"/>
              </w:rPr>
              <w:t xml:space="preserve"> </w:t>
            </w:r>
            <w:r w:rsidRPr="006212FF">
              <w:rPr>
                <w:rFonts w:ascii="Book Antiqua" w:hAnsi="Book Antiqua"/>
                <w:sz w:val="24"/>
                <w:szCs w:val="24"/>
              </w:rPr>
              <w:t>mL/min</w:t>
            </w:r>
          </w:p>
          <w:p w14:paraId="598718D7" w14:textId="77777777" w:rsidR="00FB59DF" w:rsidRPr="006212FF" w:rsidRDefault="00FB59DF" w:rsidP="00780B3A">
            <w:pPr>
              <w:spacing w:line="360" w:lineRule="auto"/>
              <w:ind w:left="0"/>
              <w:jc w:val="both"/>
              <w:rPr>
                <w:rFonts w:ascii="Book Antiqua" w:hAnsi="Book Antiqua"/>
                <w:sz w:val="24"/>
                <w:szCs w:val="24"/>
              </w:rPr>
            </w:pPr>
            <w:r w:rsidRPr="006212FF">
              <w:rPr>
                <w:rFonts w:ascii="Book Antiqua" w:hAnsi="Book Antiqua"/>
                <w:sz w:val="24"/>
                <w:szCs w:val="24"/>
              </w:rPr>
              <w:t>LT recipients proteinuria &lt; 1</w:t>
            </w:r>
            <w:r>
              <w:rPr>
                <w:rFonts w:ascii="Book Antiqua" w:hAnsi="Book Antiqua" w:hint="eastAsia"/>
                <w:sz w:val="24"/>
                <w:szCs w:val="24"/>
              </w:rPr>
              <w:t xml:space="preserve"> </w:t>
            </w:r>
            <w:r w:rsidRPr="006212FF">
              <w:rPr>
                <w:rFonts w:ascii="Book Antiqua" w:hAnsi="Book Antiqua"/>
                <w:sz w:val="24"/>
                <w:szCs w:val="24"/>
              </w:rPr>
              <w:t>g/24</w:t>
            </w:r>
            <w:r>
              <w:rPr>
                <w:rFonts w:ascii="Book Antiqua" w:hAnsi="Book Antiqua" w:hint="eastAsia"/>
                <w:sz w:val="24"/>
                <w:szCs w:val="24"/>
              </w:rPr>
              <w:t xml:space="preserve"> </w:t>
            </w:r>
            <w:r w:rsidRPr="006212FF">
              <w:rPr>
                <w:rFonts w:ascii="Book Antiqua" w:hAnsi="Book Antiqua"/>
                <w:sz w:val="24"/>
                <w:szCs w:val="24"/>
              </w:rPr>
              <w:t>h</w:t>
            </w:r>
          </w:p>
        </w:tc>
      </w:tr>
      <w:tr w:rsidR="00FB59DF" w:rsidRPr="006212FF" w14:paraId="23DFE809" w14:textId="77777777" w:rsidTr="00780B3A">
        <w:tc>
          <w:tcPr>
            <w:tcW w:w="1530" w:type="dxa"/>
            <w:shd w:val="clear" w:color="auto" w:fill="auto"/>
            <w:vAlign w:val="center"/>
          </w:tcPr>
          <w:p w14:paraId="1A2822DE" w14:textId="77777777" w:rsidR="00FB59DF" w:rsidRPr="006212FF" w:rsidRDefault="00FB59DF" w:rsidP="00780B3A">
            <w:pPr>
              <w:spacing w:line="360" w:lineRule="auto"/>
              <w:ind w:left="0"/>
              <w:jc w:val="both"/>
              <w:rPr>
                <w:rFonts w:ascii="Book Antiqua" w:hAnsi="Book Antiqua"/>
                <w:sz w:val="24"/>
                <w:szCs w:val="24"/>
              </w:rPr>
            </w:pPr>
            <w:r w:rsidRPr="006212FF">
              <w:rPr>
                <w:rFonts w:ascii="Book Antiqua" w:hAnsi="Book Antiqua"/>
                <w:sz w:val="24"/>
                <w:szCs w:val="24"/>
              </w:rPr>
              <w:t>Timing</w:t>
            </w:r>
          </w:p>
        </w:tc>
        <w:tc>
          <w:tcPr>
            <w:tcW w:w="8910" w:type="dxa"/>
            <w:shd w:val="clear" w:color="auto" w:fill="auto"/>
          </w:tcPr>
          <w:p w14:paraId="10CE4CE2" w14:textId="77777777" w:rsidR="00FB59DF" w:rsidRPr="006212FF" w:rsidRDefault="00FB59DF" w:rsidP="00780B3A">
            <w:pPr>
              <w:spacing w:line="360" w:lineRule="auto"/>
              <w:ind w:left="0"/>
              <w:jc w:val="both"/>
              <w:rPr>
                <w:rFonts w:ascii="Book Antiqua" w:hAnsi="Book Antiqua"/>
                <w:sz w:val="24"/>
                <w:szCs w:val="24"/>
              </w:rPr>
            </w:pPr>
            <w:r w:rsidRPr="006212FF">
              <w:rPr>
                <w:rFonts w:ascii="Book Antiqua" w:hAnsi="Book Antiqua"/>
                <w:i/>
                <w:sz w:val="24"/>
                <w:szCs w:val="24"/>
              </w:rPr>
              <w:t>De novo</w:t>
            </w:r>
            <w:r w:rsidRPr="006212FF">
              <w:rPr>
                <w:rFonts w:ascii="Book Antiqua" w:hAnsi="Book Antiqua"/>
                <w:sz w:val="24"/>
                <w:szCs w:val="24"/>
              </w:rPr>
              <w:t xml:space="preserve"> therapy: initiate EVR at 1 </w:t>
            </w:r>
            <w:proofErr w:type="spellStart"/>
            <w:r w:rsidRPr="006212FF">
              <w:rPr>
                <w:rFonts w:ascii="Book Antiqua" w:hAnsi="Book Antiqua"/>
                <w:sz w:val="24"/>
                <w:szCs w:val="24"/>
              </w:rPr>
              <w:t>mo</w:t>
            </w:r>
            <w:proofErr w:type="spellEnd"/>
            <w:r w:rsidRPr="006212FF">
              <w:rPr>
                <w:rFonts w:ascii="Book Antiqua" w:hAnsi="Book Antiqua"/>
                <w:sz w:val="24"/>
                <w:szCs w:val="24"/>
              </w:rPr>
              <w:t xml:space="preserve"> from transplant</w:t>
            </w:r>
          </w:p>
          <w:p w14:paraId="55683059" w14:textId="77777777" w:rsidR="00FB59DF" w:rsidRPr="006212FF" w:rsidRDefault="00FB59DF" w:rsidP="00780B3A">
            <w:pPr>
              <w:spacing w:line="360" w:lineRule="auto"/>
              <w:ind w:left="0"/>
              <w:jc w:val="both"/>
              <w:rPr>
                <w:rFonts w:ascii="Book Antiqua" w:hAnsi="Book Antiqua"/>
                <w:sz w:val="24"/>
                <w:szCs w:val="24"/>
              </w:rPr>
            </w:pPr>
            <w:r w:rsidRPr="006212FF">
              <w:rPr>
                <w:rFonts w:ascii="Book Antiqua" w:hAnsi="Book Antiqua"/>
                <w:sz w:val="24"/>
                <w:szCs w:val="24"/>
              </w:rPr>
              <w:t>Maintenance therapy: introduce</w:t>
            </w:r>
            <w:r>
              <w:rPr>
                <w:rFonts w:ascii="Book Antiqua" w:hAnsi="Book Antiqua"/>
                <w:sz w:val="24"/>
                <w:szCs w:val="24"/>
              </w:rPr>
              <w:t xml:space="preserve"> EVR within 1 </w:t>
            </w:r>
            <w:proofErr w:type="spellStart"/>
            <w:r>
              <w:rPr>
                <w:rFonts w:ascii="Book Antiqua" w:hAnsi="Book Antiqua"/>
                <w:sz w:val="24"/>
                <w:szCs w:val="24"/>
              </w:rPr>
              <w:t>y</w:t>
            </w:r>
            <w:r w:rsidRPr="006212FF">
              <w:rPr>
                <w:rFonts w:ascii="Book Antiqua" w:hAnsi="Book Antiqua"/>
                <w:sz w:val="24"/>
                <w:szCs w:val="24"/>
              </w:rPr>
              <w:t>r</w:t>
            </w:r>
            <w:proofErr w:type="spellEnd"/>
            <w:r w:rsidRPr="006212FF">
              <w:rPr>
                <w:rFonts w:ascii="Book Antiqua" w:hAnsi="Book Antiqua"/>
                <w:sz w:val="24"/>
                <w:szCs w:val="24"/>
              </w:rPr>
              <w:t xml:space="preserve"> from transplant</w:t>
            </w:r>
          </w:p>
          <w:p w14:paraId="1913B3A8" w14:textId="77777777" w:rsidR="00FB59DF" w:rsidRPr="006212FF" w:rsidRDefault="00FB59DF" w:rsidP="00780B3A">
            <w:pPr>
              <w:spacing w:line="360" w:lineRule="auto"/>
              <w:ind w:left="0"/>
              <w:jc w:val="both"/>
              <w:rPr>
                <w:rFonts w:ascii="Book Antiqua" w:hAnsi="Book Antiqua"/>
                <w:sz w:val="24"/>
                <w:szCs w:val="24"/>
              </w:rPr>
            </w:pPr>
            <w:r w:rsidRPr="006212FF">
              <w:rPr>
                <w:rFonts w:ascii="Book Antiqua" w:hAnsi="Book Antiqua"/>
                <w:sz w:val="24"/>
                <w:szCs w:val="24"/>
              </w:rPr>
              <w:t>CNI neurotoxicity: stop CNI and initiate EVR immediately</w:t>
            </w:r>
          </w:p>
        </w:tc>
      </w:tr>
    </w:tbl>
    <w:p w14:paraId="1677312F" w14:textId="2DE9A78F" w:rsidR="00FB59DF" w:rsidRDefault="00FB59DF" w:rsidP="00FB59DF">
      <w:pPr>
        <w:spacing w:after="0" w:line="360" w:lineRule="auto"/>
        <w:jc w:val="both"/>
        <w:rPr>
          <w:rFonts w:ascii="Book Antiqua" w:hAnsi="Book Antiqua"/>
          <w:sz w:val="24"/>
          <w:szCs w:val="24"/>
        </w:rPr>
      </w:pPr>
      <w:r w:rsidRPr="006212FF">
        <w:rPr>
          <w:rFonts w:ascii="Book Antiqua" w:hAnsi="Book Antiqua"/>
          <w:sz w:val="24"/>
          <w:szCs w:val="24"/>
        </w:rPr>
        <w:t xml:space="preserve">CNI: </w:t>
      </w:r>
      <w:proofErr w:type="spellStart"/>
      <w:r w:rsidRPr="006212FF">
        <w:rPr>
          <w:rFonts w:ascii="Book Antiqua" w:hAnsi="Book Antiqua"/>
          <w:sz w:val="24"/>
          <w:szCs w:val="24"/>
        </w:rPr>
        <w:t>Calcineurin</w:t>
      </w:r>
      <w:proofErr w:type="spellEnd"/>
      <w:r w:rsidRPr="006212FF">
        <w:rPr>
          <w:rFonts w:ascii="Book Antiqua" w:hAnsi="Book Antiqua"/>
          <w:sz w:val="24"/>
          <w:szCs w:val="24"/>
        </w:rPr>
        <w:t xml:space="preserve"> inhibitor;</w:t>
      </w:r>
      <w:r>
        <w:rPr>
          <w:rFonts w:ascii="Book Antiqua" w:hAnsi="Book Antiqua"/>
          <w:sz w:val="24"/>
          <w:szCs w:val="24"/>
        </w:rPr>
        <w:t xml:space="preserve"> EVR: </w:t>
      </w:r>
      <w:proofErr w:type="spellStart"/>
      <w:r>
        <w:rPr>
          <w:rFonts w:ascii="Book Antiqua" w:hAnsi="Book Antiqua"/>
          <w:sz w:val="24"/>
          <w:szCs w:val="24"/>
        </w:rPr>
        <w:t>Everolimus</w:t>
      </w:r>
      <w:proofErr w:type="spellEnd"/>
      <w:r>
        <w:rPr>
          <w:rFonts w:ascii="Book Antiqua" w:hAnsi="Book Antiqua"/>
          <w:sz w:val="24"/>
          <w:szCs w:val="24"/>
        </w:rPr>
        <w:t xml:space="preserve">; </w:t>
      </w:r>
      <w:r w:rsidRPr="006212FF">
        <w:rPr>
          <w:rFonts w:ascii="Book Antiqua" w:hAnsi="Book Antiqua"/>
          <w:sz w:val="24"/>
          <w:szCs w:val="24"/>
        </w:rPr>
        <w:t>LT</w:t>
      </w:r>
      <w:r>
        <w:rPr>
          <w:rFonts w:ascii="Book Antiqua" w:hAnsi="Book Antiqua" w:hint="eastAsia"/>
          <w:sz w:val="24"/>
          <w:szCs w:val="24"/>
        </w:rPr>
        <w:t xml:space="preserve">: </w:t>
      </w:r>
      <w:r w:rsidRPr="001F2F16">
        <w:rPr>
          <w:rFonts w:ascii="Book Antiqua" w:hAnsi="Book Antiqua"/>
          <w:sz w:val="24"/>
          <w:szCs w:val="24"/>
        </w:rPr>
        <w:t>Liver transplantation</w:t>
      </w:r>
      <w:r w:rsidR="00A20AA1">
        <w:rPr>
          <w:rFonts w:ascii="Book Antiqua" w:hAnsi="Book Antiqua" w:hint="eastAsia"/>
          <w:sz w:val="24"/>
          <w:szCs w:val="24"/>
        </w:rPr>
        <w:t>.</w:t>
      </w:r>
    </w:p>
    <w:p w14:paraId="0305EAF8" w14:textId="77777777" w:rsidR="00AB0DEF" w:rsidRPr="00A20AA1" w:rsidRDefault="00AB0DEF" w:rsidP="006212FF">
      <w:pPr>
        <w:spacing w:after="0" w:line="360" w:lineRule="auto"/>
        <w:jc w:val="both"/>
        <w:rPr>
          <w:rFonts w:ascii="Book Antiqua" w:hAnsi="Book Antiqua" w:cstheme="minorHAnsi"/>
          <w:sz w:val="24"/>
          <w:szCs w:val="24"/>
        </w:rPr>
      </w:pPr>
    </w:p>
    <w:sectPr w:rsidR="00AB0DEF" w:rsidRPr="00A20AA1" w:rsidSect="002B0BA0">
      <w:footerReference w:type="default" r:id="rId15"/>
      <w:pgSz w:w="12240" w:h="15840" w:code="1"/>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32A3C" w14:textId="77777777" w:rsidR="00A671AC" w:rsidRDefault="00A671AC" w:rsidP="00701E69">
      <w:pPr>
        <w:spacing w:after="0" w:line="240" w:lineRule="auto"/>
      </w:pPr>
      <w:r>
        <w:separator/>
      </w:r>
    </w:p>
  </w:endnote>
  <w:endnote w:type="continuationSeparator" w:id="0">
    <w:p w14:paraId="4B72E707" w14:textId="77777777" w:rsidR="00A671AC" w:rsidRDefault="00A671AC" w:rsidP="0070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Univers-Light">
    <w:altName w:val="Arial"/>
    <w:panose1 w:val="00000000000000000000"/>
    <w:charset w:val="00"/>
    <w:family w:val="swiss"/>
    <w:notTrueType/>
    <w:pitch w:val="default"/>
    <w:sig w:usb0="00000003" w:usb1="00000000" w:usb2="00000000" w:usb3="00000000" w:csb0="00000001" w:csb1="00000000"/>
  </w:font>
  <w:font w:name="Bookman-Light">
    <w:altName w:val="宋体"/>
    <w:panose1 w:val="00000000000000000000"/>
    <w:charset w:val="86"/>
    <w:family w:val="auto"/>
    <w:notTrueType/>
    <w:pitch w:val="default"/>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21410"/>
      <w:docPartObj>
        <w:docPartGallery w:val="Page Numbers (Bottom of Page)"/>
        <w:docPartUnique/>
      </w:docPartObj>
    </w:sdtPr>
    <w:sdtEndPr>
      <w:rPr>
        <w:noProof/>
      </w:rPr>
    </w:sdtEndPr>
    <w:sdtContent>
      <w:p w14:paraId="225D87A9" w14:textId="77777777" w:rsidR="00FB59DF" w:rsidRDefault="00FB59DF">
        <w:pPr>
          <w:pStyle w:val="Footer"/>
          <w:jc w:val="right"/>
        </w:pPr>
        <w:r>
          <w:fldChar w:fldCharType="begin"/>
        </w:r>
        <w:r>
          <w:instrText xml:space="preserve"> PAGE   \* MERGEFORMAT </w:instrText>
        </w:r>
        <w:r>
          <w:fldChar w:fldCharType="separate"/>
        </w:r>
        <w:r w:rsidR="00665337">
          <w:rPr>
            <w:noProof/>
          </w:rPr>
          <w:t>31</w:t>
        </w:r>
        <w:r>
          <w:rPr>
            <w:noProof/>
          </w:rPr>
          <w:fldChar w:fldCharType="end"/>
        </w:r>
      </w:p>
    </w:sdtContent>
  </w:sdt>
  <w:p w14:paraId="792A1CF5" w14:textId="77777777" w:rsidR="00FB59DF" w:rsidRDefault="00FB59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35763"/>
      <w:docPartObj>
        <w:docPartGallery w:val="Page Numbers (Bottom of Page)"/>
        <w:docPartUnique/>
      </w:docPartObj>
    </w:sdtPr>
    <w:sdtEndPr>
      <w:rPr>
        <w:noProof/>
      </w:rPr>
    </w:sdtEndPr>
    <w:sdtContent>
      <w:p w14:paraId="37CFCCFD" w14:textId="71E5C1BC" w:rsidR="00796830" w:rsidRDefault="00796830">
        <w:pPr>
          <w:pStyle w:val="Footer"/>
          <w:jc w:val="right"/>
        </w:pPr>
        <w:r>
          <w:fldChar w:fldCharType="begin"/>
        </w:r>
        <w:r>
          <w:instrText xml:space="preserve"> PAGE   \* MERGEFORMAT </w:instrText>
        </w:r>
        <w:r>
          <w:fldChar w:fldCharType="separate"/>
        </w:r>
        <w:r w:rsidR="00665337">
          <w:rPr>
            <w:noProof/>
          </w:rPr>
          <w:t>35</w:t>
        </w:r>
        <w:r>
          <w:rPr>
            <w:noProof/>
          </w:rPr>
          <w:fldChar w:fldCharType="end"/>
        </w:r>
      </w:p>
    </w:sdtContent>
  </w:sdt>
  <w:p w14:paraId="10F3F63A" w14:textId="77777777" w:rsidR="00796830" w:rsidRDefault="007968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C1B97" w14:textId="77777777" w:rsidR="00A671AC" w:rsidRDefault="00A671AC" w:rsidP="00701E69">
      <w:pPr>
        <w:spacing w:after="0" w:line="240" w:lineRule="auto"/>
      </w:pPr>
      <w:r>
        <w:separator/>
      </w:r>
    </w:p>
  </w:footnote>
  <w:footnote w:type="continuationSeparator" w:id="0">
    <w:p w14:paraId="5FCA0EB7" w14:textId="77777777" w:rsidR="00A671AC" w:rsidRDefault="00A671AC" w:rsidP="00701E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E1D"/>
    <w:multiLevelType w:val="hybridMultilevel"/>
    <w:tmpl w:val="F27C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E6AF1"/>
    <w:multiLevelType w:val="hybridMultilevel"/>
    <w:tmpl w:val="C5FE15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8035F82"/>
    <w:multiLevelType w:val="hybridMultilevel"/>
    <w:tmpl w:val="66484A6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B7514BB"/>
    <w:multiLevelType w:val="hybridMultilevel"/>
    <w:tmpl w:val="8F22836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83D6452"/>
    <w:multiLevelType w:val="hybridMultilevel"/>
    <w:tmpl w:val="BEB81C0E"/>
    <w:lvl w:ilvl="0" w:tplc="5A38AF1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64CA9"/>
    <w:multiLevelType w:val="hybridMultilevel"/>
    <w:tmpl w:val="E96A36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9010B20"/>
    <w:multiLevelType w:val="hybridMultilevel"/>
    <w:tmpl w:val="AE7E9D00"/>
    <w:lvl w:ilvl="0" w:tplc="2E860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6558F"/>
    <w:multiLevelType w:val="hybridMultilevel"/>
    <w:tmpl w:val="534618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5C4347F"/>
    <w:multiLevelType w:val="hybridMultilevel"/>
    <w:tmpl w:val="678C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11840"/>
    <w:multiLevelType w:val="hybridMultilevel"/>
    <w:tmpl w:val="6B1681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BFF2121"/>
    <w:multiLevelType w:val="hybridMultilevel"/>
    <w:tmpl w:val="11C6347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1"/>
  </w:num>
  <w:num w:numId="6">
    <w:abstractNumId w:val="10"/>
  </w:num>
  <w:num w:numId="7">
    <w:abstractNumId w:val="3"/>
  </w:num>
  <w:num w:numId="8">
    <w:abstractNumId w:val="2"/>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25"/>
    <w:rsid w:val="00000C70"/>
    <w:rsid w:val="00001BE4"/>
    <w:rsid w:val="000020DB"/>
    <w:rsid w:val="000028E2"/>
    <w:rsid w:val="00003210"/>
    <w:rsid w:val="00003D77"/>
    <w:rsid w:val="00010F0C"/>
    <w:rsid w:val="00011A5F"/>
    <w:rsid w:val="00012C45"/>
    <w:rsid w:val="00013B88"/>
    <w:rsid w:val="0001421D"/>
    <w:rsid w:val="00014570"/>
    <w:rsid w:val="0001648A"/>
    <w:rsid w:val="0001661E"/>
    <w:rsid w:val="00016723"/>
    <w:rsid w:val="00016F09"/>
    <w:rsid w:val="0002057D"/>
    <w:rsid w:val="0002080A"/>
    <w:rsid w:val="0002151E"/>
    <w:rsid w:val="000228BA"/>
    <w:rsid w:val="0002379E"/>
    <w:rsid w:val="000245AC"/>
    <w:rsid w:val="00024659"/>
    <w:rsid w:val="000258B7"/>
    <w:rsid w:val="0002628C"/>
    <w:rsid w:val="0002733A"/>
    <w:rsid w:val="00027A7E"/>
    <w:rsid w:val="0003033B"/>
    <w:rsid w:val="000312D2"/>
    <w:rsid w:val="00032DBF"/>
    <w:rsid w:val="00033E2F"/>
    <w:rsid w:val="00034F55"/>
    <w:rsid w:val="00035FCD"/>
    <w:rsid w:val="00036FA0"/>
    <w:rsid w:val="00037520"/>
    <w:rsid w:val="00037815"/>
    <w:rsid w:val="000401D9"/>
    <w:rsid w:val="00041DC0"/>
    <w:rsid w:val="000420DD"/>
    <w:rsid w:val="000451CA"/>
    <w:rsid w:val="00047A38"/>
    <w:rsid w:val="00051706"/>
    <w:rsid w:val="000523F8"/>
    <w:rsid w:val="00052634"/>
    <w:rsid w:val="00052E98"/>
    <w:rsid w:val="000540EA"/>
    <w:rsid w:val="0005506B"/>
    <w:rsid w:val="00056643"/>
    <w:rsid w:val="000573B4"/>
    <w:rsid w:val="00057435"/>
    <w:rsid w:val="00057563"/>
    <w:rsid w:val="00057842"/>
    <w:rsid w:val="00057F35"/>
    <w:rsid w:val="00060666"/>
    <w:rsid w:val="00060B6E"/>
    <w:rsid w:val="00061259"/>
    <w:rsid w:val="00061B4D"/>
    <w:rsid w:val="00061D92"/>
    <w:rsid w:val="0006345C"/>
    <w:rsid w:val="00065D7B"/>
    <w:rsid w:val="00066A97"/>
    <w:rsid w:val="00066CFF"/>
    <w:rsid w:val="000728E8"/>
    <w:rsid w:val="00072D51"/>
    <w:rsid w:val="00074026"/>
    <w:rsid w:val="000766D2"/>
    <w:rsid w:val="00076B51"/>
    <w:rsid w:val="00076CBB"/>
    <w:rsid w:val="000778DB"/>
    <w:rsid w:val="00080EA8"/>
    <w:rsid w:val="0008263F"/>
    <w:rsid w:val="00082724"/>
    <w:rsid w:val="00082D84"/>
    <w:rsid w:val="0008397E"/>
    <w:rsid w:val="000840C9"/>
    <w:rsid w:val="000843CF"/>
    <w:rsid w:val="00084FC6"/>
    <w:rsid w:val="00085533"/>
    <w:rsid w:val="00090D2D"/>
    <w:rsid w:val="000919E0"/>
    <w:rsid w:val="0009355F"/>
    <w:rsid w:val="00093B5A"/>
    <w:rsid w:val="00093E43"/>
    <w:rsid w:val="00093EED"/>
    <w:rsid w:val="00094F0B"/>
    <w:rsid w:val="000A0214"/>
    <w:rsid w:val="000A0E0D"/>
    <w:rsid w:val="000A2E06"/>
    <w:rsid w:val="000A35D9"/>
    <w:rsid w:val="000A4388"/>
    <w:rsid w:val="000A47D6"/>
    <w:rsid w:val="000A4D1D"/>
    <w:rsid w:val="000A512F"/>
    <w:rsid w:val="000A6322"/>
    <w:rsid w:val="000A633D"/>
    <w:rsid w:val="000B0429"/>
    <w:rsid w:val="000B0BA7"/>
    <w:rsid w:val="000B2C7E"/>
    <w:rsid w:val="000B3074"/>
    <w:rsid w:val="000B36E4"/>
    <w:rsid w:val="000B4062"/>
    <w:rsid w:val="000B4BDD"/>
    <w:rsid w:val="000B79E7"/>
    <w:rsid w:val="000C0E73"/>
    <w:rsid w:val="000C1214"/>
    <w:rsid w:val="000C18F7"/>
    <w:rsid w:val="000C207D"/>
    <w:rsid w:val="000C31E0"/>
    <w:rsid w:val="000C4FE1"/>
    <w:rsid w:val="000C645B"/>
    <w:rsid w:val="000C6E0C"/>
    <w:rsid w:val="000C742D"/>
    <w:rsid w:val="000D00E7"/>
    <w:rsid w:val="000D0CC2"/>
    <w:rsid w:val="000D32D9"/>
    <w:rsid w:val="000D34EC"/>
    <w:rsid w:val="000D5533"/>
    <w:rsid w:val="000D5B27"/>
    <w:rsid w:val="000D6782"/>
    <w:rsid w:val="000D688F"/>
    <w:rsid w:val="000D6A27"/>
    <w:rsid w:val="000D6ADC"/>
    <w:rsid w:val="000E10B9"/>
    <w:rsid w:val="000E112C"/>
    <w:rsid w:val="000E1226"/>
    <w:rsid w:val="000E1998"/>
    <w:rsid w:val="000E2462"/>
    <w:rsid w:val="000E2467"/>
    <w:rsid w:val="000E3CF3"/>
    <w:rsid w:val="000E437F"/>
    <w:rsid w:val="000E5DC0"/>
    <w:rsid w:val="000E7D74"/>
    <w:rsid w:val="000E7FD5"/>
    <w:rsid w:val="000F1BE1"/>
    <w:rsid w:val="000F1CFE"/>
    <w:rsid w:val="000F2B54"/>
    <w:rsid w:val="000F3494"/>
    <w:rsid w:val="000F38D7"/>
    <w:rsid w:val="000F3EF8"/>
    <w:rsid w:val="000F4A31"/>
    <w:rsid w:val="000F5720"/>
    <w:rsid w:val="000F6EAD"/>
    <w:rsid w:val="00100342"/>
    <w:rsid w:val="001005F1"/>
    <w:rsid w:val="00101C3A"/>
    <w:rsid w:val="00107F59"/>
    <w:rsid w:val="001102DF"/>
    <w:rsid w:val="00112D16"/>
    <w:rsid w:val="00114756"/>
    <w:rsid w:val="0011562E"/>
    <w:rsid w:val="001167E4"/>
    <w:rsid w:val="001178CC"/>
    <w:rsid w:val="00120E8F"/>
    <w:rsid w:val="00122FEC"/>
    <w:rsid w:val="00123BAB"/>
    <w:rsid w:val="00123BFF"/>
    <w:rsid w:val="00123FB5"/>
    <w:rsid w:val="001243FB"/>
    <w:rsid w:val="00125A5A"/>
    <w:rsid w:val="00126632"/>
    <w:rsid w:val="00126CD1"/>
    <w:rsid w:val="00127196"/>
    <w:rsid w:val="00130518"/>
    <w:rsid w:val="00131173"/>
    <w:rsid w:val="00131652"/>
    <w:rsid w:val="0013361E"/>
    <w:rsid w:val="0013421D"/>
    <w:rsid w:val="00137DE8"/>
    <w:rsid w:val="00140077"/>
    <w:rsid w:val="00140085"/>
    <w:rsid w:val="00140B27"/>
    <w:rsid w:val="00141961"/>
    <w:rsid w:val="00141FCB"/>
    <w:rsid w:val="00143F15"/>
    <w:rsid w:val="00144094"/>
    <w:rsid w:val="00144216"/>
    <w:rsid w:val="001465D9"/>
    <w:rsid w:val="00146DB7"/>
    <w:rsid w:val="00147295"/>
    <w:rsid w:val="0015026B"/>
    <w:rsid w:val="00150845"/>
    <w:rsid w:val="00150AFE"/>
    <w:rsid w:val="00150B01"/>
    <w:rsid w:val="001523CE"/>
    <w:rsid w:val="0015751B"/>
    <w:rsid w:val="00157737"/>
    <w:rsid w:val="0016023B"/>
    <w:rsid w:val="00160D18"/>
    <w:rsid w:val="0016244B"/>
    <w:rsid w:val="0016515D"/>
    <w:rsid w:val="001655A0"/>
    <w:rsid w:val="001658DE"/>
    <w:rsid w:val="001675B2"/>
    <w:rsid w:val="00167D37"/>
    <w:rsid w:val="00171C82"/>
    <w:rsid w:val="00172155"/>
    <w:rsid w:val="0017341D"/>
    <w:rsid w:val="001739F7"/>
    <w:rsid w:val="001752A5"/>
    <w:rsid w:val="001752AE"/>
    <w:rsid w:val="00175910"/>
    <w:rsid w:val="00176E30"/>
    <w:rsid w:val="00177472"/>
    <w:rsid w:val="00181811"/>
    <w:rsid w:val="00182CED"/>
    <w:rsid w:val="00183F09"/>
    <w:rsid w:val="001843C8"/>
    <w:rsid w:val="0018535C"/>
    <w:rsid w:val="00185EBA"/>
    <w:rsid w:val="001875AD"/>
    <w:rsid w:val="00187718"/>
    <w:rsid w:val="00187A97"/>
    <w:rsid w:val="00187FF1"/>
    <w:rsid w:val="00190C83"/>
    <w:rsid w:val="00191253"/>
    <w:rsid w:val="00193171"/>
    <w:rsid w:val="0019331B"/>
    <w:rsid w:val="001933BC"/>
    <w:rsid w:val="00195509"/>
    <w:rsid w:val="00196B9F"/>
    <w:rsid w:val="001972B5"/>
    <w:rsid w:val="001A21F2"/>
    <w:rsid w:val="001A46AB"/>
    <w:rsid w:val="001A47E9"/>
    <w:rsid w:val="001A4B98"/>
    <w:rsid w:val="001A5973"/>
    <w:rsid w:val="001A6D5F"/>
    <w:rsid w:val="001A6E2D"/>
    <w:rsid w:val="001A7351"/>
    <w:rsid w:val="001A7A1A"/>
    <w:rsid w:val="001B06A1"/>
    <w:rsid w:val="001B24D1"/>
    <w:rsid w:val="001B2E94"/>
    <w:rsid w:val="001B3A14"/>
    <w:rsid w:val="001B4464"/>
    <w:rsid w:val="001B7F67"/>
    <w:rsid w:val="001C2687"/>
    <w:rsid w:val="001C2C1E"/>
    <w:rsid w:val="001C3367"/>
    <w:rsid w:val="001C3A55"/>
    <w:rsid w:val="001C3E2D"/>
    <w:rsid w:val="001C47E6"/>
    <w:rsid w:val="001C5200"/>
    <w:rsid w:val="001C5D28"/>
    <w:rsid w:val="001C64EB"/>
    <w:rsid w:val="001C7ED4"/>
    <w:rsid w:val="001D00F7"/>
    <w:rsid w:val="001D0502"/>
    <w:rsid w:val="001D2240"/>
    <w:rsid w:val="001D2BCF"/>
    <w:rsid w:val="001D3114"/>
    <w:rsid w:val="001D3E73"/>
    <w:rsid w:val="001D6448"/>
    <w:rsid w:val="001D6D97"/>
    <w:rsid w:val="001D7642"/>
    <w:rsid w:val="001E02C0"/>
    <w:rsid w:val="001E1AF6"/>
    <w:rsid w:val="001E3068"/>
    <w:rsid w:val="001E3F95"/>
    <w:rsid w:val="001E7E3F"/>
    <w:rsid w:val="001F0BD1"/>
    <w:rsid w:val="001F3788"/>
    <w:rsid w:val="001F4114"/>
    <w:rsid w:val="001F4BC0"/>
    <w:rsid w:val="001F4C1A"/>
    <w:rsid w:val="001F59BC"/>
    <w:rsid w:val="001F7B3E"/>
    <w:rsid w:val="00201950"/>
    <w:rsid w:val="00202695"/>
    <w:rsid w:val="00203840"/>
    <w:rsid w:val="00203DD0"/>
    <w:rsid w:val="00203FB6"/>
    <w:rsid w:val="0020453A"/>
    <w:rsid w:val="00204B52"/>
    <w:rsid w:val="00206664"/>
    <w:rsid w:val="00211501"/>
    <w:rsid w:val="00213C64"/>
    <w:rsid w:val="00215383"/>
    <w:rsid w:val="00215D8D"/>
    <w:rsid w:val="0021720F"/>
    <w:rsid w:val="0022219D"/>
    <w:rsid w:val="0022479F"/>
    <w:rsid w:val="00227234"/>
    <w:rsid w:val="00232ABB"/>
    <w:rsid w:val="00234040"/>
    <w:rsid w:val="00236F0D"/>
    <w:rsid w:val="00240FD6"/>
    <w:rsid w:val="00241854"/>
    <w:rsid w:val="00243D7A"/>
    <w:rsid w:val="002442E5"/>
    <w:rsid w:val="00244919"/>
    <w:rsid w:val="0024555F"/>
    <w:rsid w:val="00246DE5"/>
    <w:rsid w:val="00247F70"/>
    <w:rsid w:val="00250F9C"/>
    <w:rsid w:val="00251851"/>
    <w:rsid w:val="00252762"/>
    <w:rsid w:val="00252C75"/>
    <w:rsid w:val="00256371"/>
    <w:rsid w:val="00256C8D"/>
    <w:rsid w:val="0026073B"/>
    <w:rsid w:val="00260F57"/>
    <w:rsid w:val="002612E2"/>
    <w:rsid w:val="002613EC"/>
    <w:rsid w:val="0026359C"/>
    <w:rsid w:val="00264F82"/>
    <w:rsid w:val="002662E2"/>
    <w:rsid w:val="0026681A"/>
    <w:rsid w:val="002707E1"/>
    <w:rsid w:val="00271FAF"/>
    <w:rsid w:val="00272C5D"/>
    <w:rsid w:val="00272C75"/>
    <w:rsid w:val="00273B83"/>
    <w:rsid w:val="00274FE5"/>
    <w:rsid w:val="00275D11"/>
    <w:rsid w:val="00277ADA"/>
    <w:rsid w:val="00280CD4"/>
    <w:rsid w:val="00280EE2"/>
    <w:rsid w:val="002818AE"/>
    <w:rsid w:val="0028227B"/>
    <w:rsid w:val="002841F8"/>
    <w:rsid w:val="00284E37"/>
    <w:rsid w:val="002859CC"/>
    <w:rsid w:val="00286CBA"/>
    <w:rsid w:val="00287385"/>
    <w:rsid w:val="002913F7"/>
    <w:rsid w:val="002914F8"/>
    <w:rsid w:val="00292324"/>
    <w:rsid w:val="002928F5"/>
    <w:rsid w:val="0029301E"/>
    <w:rsid w:val="002941D5"/>
    <w:rsid w:val="00294C98"/>
    <w:rsid w:val="00295A24"/>
    <w:rsid w:val="00295C5B"/>
    <w:rsid w:val="002963A6"/>
    <w:rsid w:val="002977F3"/>
    <w:rsid w:val="002A54E1"/>
    <w:rsid w:val="002A5D69"/>
    <w:rsid w:val="002A6F5D"/>
    <w:rsid w:val="002A76E6"/>
    <w:rsid w:val="002B0BA0"/>
    <w:rsid w:val="002B217C"/>
    <w:rsid w:val="002B2477"/>
    <w:rsid w:val="002B59F9"/>
    <w:rsid w:val="002B7671"/>
    <w:rsid w:val="002B7E6A"/>
    <w:rsid w:val="002C15FE"/>
    <w:rsid w:val="002C1968"/>
    <w:rsid w:val="002C1C2D"/>
    <w:rsid w:val="002C1F16"/>
    <w:rsid w:val="002C212D"/>
    <w:rsid w:val="002C220C"/>
    <w:rsid w:val="002C2907"/>
    <w:rsid w:val="002C56C0"/>
    <w:rsid w:val="002C628A"/>
    <w:rsid w:val="002C779A"/>
    <w:rsid w:val="002D03D4"/>
    <w:rsid w:val="002D05C5"/>
    <w:rsid w:val="002D2CAC"/>
    <w:rsid w:val="002D6D14"/>
    <w:rsid w:val="002D6F0B"/>
    <w:rsid w:val="002D7845"/>
    <w:rsid w:val="002E01CD"/>
    <w:rsid w:val="002E1ECD"/>
    <w:rsid w:val="002E3B82"/>
    <w:rsid w:val="002E4560"/>
    <w:rsid w:val="002E4CCA"/>
    <w:rsid w:val="002E52E9"/>
    <w:rsid w:val="002E56B8"/>
    <w:rsid w:val="002F11B4"/>
    <w:rsid w:val="002F1668"/>
    <w:rsid w:val="002F1A2D"/>
    <w:rsid w:val="002F1B6C"/>
    <w:rsid w:val="002F213D"/>
    <w:rsid w:val="002F3D44"/>
    <w:rsid w:val="002F47AA"/>
    <w:rsid w:val="00300408"/>
    <w:rsid w:val="00300D3A"/>
    <w:rsid w:val="00301FD7"/>
    <w:rsid w:val="00303709"/>
    <w:rsid w:val="00304204"/>
    <w:rsid w:val="00305387"/>
    <w:rsid w:val="00305A3B"/>
    <w:rsid w:val="00306099"/>
    <w:rsid w:val="003063E9"/>
    <w:rsid w:val="0030679B"/>
    <w:rsid w:val="00306ADA"/>
    <w:rsid w:val="00307076"/>
    <w:rsid w:val="003106F2"/>
    <w:rsid w:val="0031075F"/>
    <w:rsid w:val="00313256"/>
    <w:rsid w:val="00314C66"/>
    <w:rsid w:val="00316138"/>
    <w:rsid w:val="00316376"/>
    <w:rsid w:val="00316989"/>
    <w:rsid w:val="00317F8B"/>
    <w:rsid w:val="0032044C"/>
    <w:rsid w:val="00320E83"/>
    <w:rsid w:val="00322EBF"/>
    <w:rsid w:val="003249E7"/>
    <w:rsid w:val="00325702"/>
    <w:rsid w:val="00326130"/>
    <w:rsid w:val="003273C4"/>
    <w:rsid w:val="00327459"/>
    <w:rsid w:val="003274BB"/>
    <w:rsid w:val="00327EE2"/>
    <w:rsid w:val="0033062C"/>
    <w:rsid w:val="00330DA5"/>
    <w:rsid w:val="00331B70"/>
    <w:rsid w:val="00331E51"/>
    <w:rsid w:val="00331E8E"/>
    <w:rsid w:val="0033218A"/>
    <w:rsid w:val="00332645"/>
    <w:rsid w:val="00332A60"/>
    <w:rsid w:val="003333E7"/>
    <w:rsid w:val="00333FA2"/>
    <w:rsid w:val="003344F6"/>
    <w:rsid w:val="003346E4"/>
    <w:rsid w:val="00334735"/>
    <w:rsid w:val="003356E3"/>
    <w:rsid w:val="003369A4"/>
    <w:rsid w:val="003373AA"/>
    <w:rsid w:val="003375BC"/>
    <w:rsid w:val="00342F12"/>
    <w:rsid w:val="00343DE5"/>
    <w:rsid w:val="003452BF"/>
    <w:rsid w:val="003536ED"/>
    <w:rsid w:val="0035384D"/>
    <w:rsid w:val="00353F74"/>
    <w:rsid w:val="00354976"/>
    <w:rsid w:val="00355480"/>
    <w:rsid w:val="003568DC"/>
    <w:rsid w:val="00356A23"/>
    <w:rsid w:val="00360A84"/>
    <w:rsid w:val="00361C58"/>
    <w:rsid w:val="00362164"/>
    <w:rsid w:val="00364186"/>
    <w:rsid w:val="00366714"/>
    <w:rsid w:val="00367430"/>
    <w:rsid w:val="003704DD"/>
    <w:rsid w:val="0037147A"/>
    <w:rsid w:val="0037247B"/>
    <w:rsid w:val="00372635"/>
    <w:rsid w:val="00373B6D"/>
    <w:rsid w:val="00374E7E"/>
    <w:rsid w:val="003760FF"/>
    <w:rsid w:val="00376602"/>
    <w:rsid w:val="00376659"/>
    <w:rsid w:val="00376FF5"/>
    <w:rsid w:val="003772FF"/>
    <w:rsid w:val="003817F5"/>
    <w:rsid w:val="003826C7"/>
    <w:rsid w:val="0038409A"/>
    <w:rsid w:val="0038417B"/>
    <w:rsid w:val="003850C1"/>
    <w:rsid w:val="00386BF2"/>
    <w:rsid w:val="003903A1"/>
    <w:rsid w:val="003922E0"/>
    <w:rsid w:val="0039349D"/>
    <w:rsid w:val="0039581E"/>
    <w:rsid w:val="00396EF5"/>
    <w:rsid w:val="003972A8"/>
    <w:rsid w:val="003A03AF"/>
    <w:rsid w:val="003A0462"/>
    <w:rsid w:val="003A265C"/>
    <w:rsid w:val="003A3E4A"/>
    <w:rsid w:val="003A3EE3"/>
    <w:rsid w:val="003A3F3E"/>
    <w:rsid w:val="003A51A1"/>
    <w:rsid w:val="003B081D"/>
    <w:rsid w:val="003B21D2"/>
    <w:rsid w:val="003B2BAA"/>
    <w:rsid w:val="003B2D0C"/>
    <w:rsid w:val="003B3289"/>
    <w:rsid w:val="003B3D1E"/>
    <w:rsid w:val="003B6907"/>
    <w:rsid w:val="003C0C42"/>
    <w:rsid w:val="003C30D8"/>
    <w:rsid w:val="003C3E9B"/>
    <w:rsid w:val="003C4725"/>
    <w:rsid w:val="003C60CC"/>
    <w:rsid w:val="003C655A"/>
    <w:rsid w:val="003D0BD9"/>
    <w:rsid w:val="003D18C8"/>
    <w:rsid w:val="003D18D7"/>
    <w:rsid w:val="003D1977"/>
    <w:rsid w:val="003D2476"/>
    <w:rsid w:val="003D3CE0"/>
    <w:rsid w:val="003D681C"/>
    <w:rsid w:val="003D701E"/>
    <w:rsid w:val="003E0644"/>
    <w:rsid w:val="003E095C"/>
    <w:rsid w:val="003E49F3"/>
    <w:rsid w:val="003E5486"/>
    <w:rsid w:val="003E7424"/>
    <w:rsid w:val="003F187E"/>
    <w:rsid w:val="003F249E"/>
    <w:rsid w:val="003F4609"/>
    <w:rsid w:val="003F471B"/>
    <w:rsid w:val="003F6E1B"/>
    <w:rsid w:val="003F7E28"/>
    <w:rsid w:val="00400824"/>
    <w:rsid w:val="0040286D"/>
    <w:rsid w:val="00410BB5"/>
    <w:rsid w:val="00412392"/>
    <w:rsid w:val="00412CAA"/>
    <w:rsid w:val="004138AF"/>
    <w:rsid w:val="00415DE7"/>
    <w:rsid w:val="00415EF2"/>
    <w:rsid w:val="004211BE"/>
    <w:rsid w:val="004215C3"/>
    <w:rsid w:val="004231C9"/>
    <w:rsid w:val="00424402"/>
    <w:rsid w:val="00425351"/>
    <w:rsid w:val="00425CF0"/>
    <w:rsid w:val="00426E6A"/>
    <w:rsid w:val="00426EF8"/>
    <w:rsid w:val="00427747"/>
    <w:rsid w:val="00430A36"/>
    <w:rsid w:val="0043192D"/>
    <w:rsid w:val="004323A1"/>
    <w:rsid w:val="0043246B"/>
    <w:rsid w:val="00433313"/>
    <w:rsid w:val="004335D6"/>
    <w:rsid w:val="0043522D"/>
    <w:rsid w:val="00436C5F"/>
    <w:rsid w:val="00437A31"/>
    <w:rsid w:val="00443D74"/>
    <w:rsid w:val="00444B3E"/>
    <w:rsid w:val="00444FDE"/>
    <w:rsid w:val="00445F92"/>
    <w:rsid w:val="004468A0"/>
    <w:rsid w:val="00447E9D"/>
    <w:rsid w:val="00451015"/>
    <w:rsid w:val="00451285"/>
    <w:rsid w:val="00451B9B"/>
    <w:rsid w:val="0045333A"/>
    <w:rsid w:val="00454D1C"/>
    <w:rsid w:val="00455992"/>
    <w:rsid w:val="004574F9"/>
    <w:rsid w:val="00460E4A"/>
    <w:rsid w:val="004630F8"/>
    <w:rsid w:val="004641B4"/>
    <w:rsid w:val="00464D78"/>
    <w:rsid w:val="00464F20"/>
    <w:rsid w:val="00470255"/>
    <w:rsid w:val="004716C0"/>
    <w:rsid w:val="004725F6"/>
    <w:rsid w:val="00476A97"/>
    <w:rsid w:val="004804F2"/>
    <w:rsid w:val="004813FA"/>
    <w:rsid w:val="004814D2"/>
    <w:rsid w:val="00483229"/>
    <w:rsid w:val="00483697"/>
    <w:rsid w:val="00483FEF"/>
    <w:rsid w:val="004848A5"/>
    <w:rsid w:val="00485882"/>
    <w:rsid w:val="00486823"/>
    <w:rsid w:val="004870F0"/>
    <w:rsid w:val="00490894"/>
    <w:rsid w:val="00490B23"/>
    <w:rsid w:val="00492319"/>
    <w:rsid w:val="00494EDA"/>
    <w:rsid w:val="004972B1"/>
    <w:rsid w:val="004A0208"/>
    <w:rsid w:val="004A0816"/>
    <w:rsid w:val="004A087E"/>
    <w:rsid w:val="004A0FFE"/>
    <w:rsid w:val="004A114F"/>
    <w:rsid w:val="004A1DDF"/>
    <w:rsid w:val="004A2185"/>
    <w:rsid w:val="004A2F4B"/>
    <w:rsid w:val="004A3410"/>
    <w:rsid w:val="004A3593"/>
    <w:rsid w:val="004A38A6"/>
    <w:rsid w:val="004A3CF8"/>
    <w:rsid w:val="004A627E"/>
    <w:rsid w:val="004A77DA"/>
    <w:rsid w:val="004A780B"/>
    <w:rsid w:val="004B098A"/>
    <w:rsid w:val="004B0DA8"/>
    <w:rsid w:val="004B0FE8"/>
    <w:rsid w:val="004B25D2"/>
    <w:rsid w:val="004B2785"/>
    <w:rsid w:val="004B2DAB"/>
    <w:rsid w:val="004B328E"/>
    <w:rsid w:val="004B4347"/>
    <w:rsid w:val="004B4EC4"/>
    <w:rsid w:val="004B5574"/>
    <w:rsid w:val="004B644F"/>
    <w:rsid w:val="004B68BE"/>
    <w:rsid w:val="004C2F11"/>
    <w:rsid w:val="004C390C"/>
    <w:rsid w:val="004C4658"/>
    <w:rsid w:val="004C487C"/>
    <w:rsid w:val="004C54BA"/>
    <w:rsid w:val="004C5AAE"/>
    <w:rsid w:val="004C69EA"/>
    <w:rsid w:val="004C6BFA"/>
    <w:rsid w:val="004D056E"/>
    <w:rsid w:val="004D10F5"/>
    <w:rsid w:val="004D1ECF"/>
    <w:rsid w:val="004D2BDE"/>
    <w:rsid w:val="004D43D3"/>
    <w:rsid w:val="004D4B2C"/>
    <w:rsid w:val="004D55FA"/>
    <w:rsid w:val="004D5B55"/>
    <w:rsid w:val="004D638E"/>
    <w:rsid w:val="004D67B0"/>
    <w:rsid w:val="004D6E9A"/>
    <w:rsid w:val="004D75C7"/>
    <w:rsid w:val="004D7C44"/>
    <w:rsid w:val="004E0168"/>
    <w:rsid w:val="004E0C32"/>
    <w:rsid w:val="004E1A19"/>
    <w:rsid w:val="004E2990"/>
    <w:rsid w:val="004E29C3"/>
    <w:rsid w:val="004E3272"/>
    <w:rsid w:val="004E5C43"/>
    <w:rsid w:val="004E7F37"/>
    <w:rsid w:val="004F3431"/>
    <w:rsid w:val="004F4010"/>
    <w:rsid w:val="004F5667"/>
    <w:rsid w:val="004F71C2"/>
    <w:rsid w:val="0050032E"/>
    <w:rsid w:val="00500601"/>
    <w:rsid w:val="00500B6B"/>
    <w:rsid w:val="00504E4A"/>
    <w:rsid w:val="005051D4"/>
    <w:rsid w:val="005067AD"/>
    <w:rsid w:val="00506DAC"/>
    <w:rsid w:val="00511F9F"/>
    <w:rsid w:val="00514267"/>
    <w:rsid w:val="00514385"/>
    <w:rsid w:val="0051490F"/>
    <w:rsid w:val="0051719C"/>
    <w:rsid w:val="00520B78"/>
    <w:rsid w:val="0052129B"/>
    <w:rsid w:val="00521434"/>
    <w:rsid w:val="00521DF7"/>
    <w:rsid w:val="0052230A"/>
    <w:rsid w:val="005247EE"/>
    <w:rsid w:val="005249D1"/>
    <w:rsid w:val="00524AE8"/>
    <w:rsid w:val="005260E5"/>
    <w:rsid w:val="00526772"/>
    <w:rsid w:val="005270A2"/>
    <w:rsid w:val="00527D72"/>
    <w:rsid w:val="0053133D"/>
    <w:rsid w:val="005317C2"/>
    <w:rsid w:val="0053188B"/>
    <w:rsid w:val="00531C66"/>
    <w:rsid w:val="00532A24"/>
    <w:rsid w:val="00533E95"/>
    <w:rsid w:val="0053635C"/>
    <w:rsid w:val="00536518"/>
    <w:rsid w:val="00537794"/>
    <w:rsid w:val="00540A8E"/>
    <w:rsid w:val="005418C8"/>
    <w:rsid w:val="00541A7A"/>
    <w:rsid w:val="00541B0F"/>
    <w:rsid w:val="005429E3"/>
    <w:rsid w:val="005455CA"/>
    <w:rsid w:val="00545855"/>
    <w:rsid w:val="00546BB0"/>
    <w:rsid w:val="005474DC"/>
    <w:rsid w:val="00547928"/>
    <w:rsid w:val="0055005D"/>
    <w:rsid w:val="0055046C"/>
    <w:rsid w:val="00551C51"/>
    <w:rsid w:val="0055205D"/>
    <w:rsid w:val="0055234C"/>
    <w:rsid w:val="0055261C"/>
    <w:rsid w:val="0055419A"/>
    <w:rsid w:val="00554ADD"/>
    <w:rsid w:val="0055554C"/>
    <w:rsid w:val="0055621F"/>
    <w:rsid w:val="00556DBD"/>
    <w:rsid w:val="0055783F"/>
    <w:rsid w:val="00560DE8"/>
    <w:rsid w:val="00562BA7"/>
    <w:rsid w:val="00565630"/>
    <w:rsid w:val="0056590E"/>
    <w:rsid w:val="00566D82"/>
    <w:rsid w:val="00567349"/>
    <w:rsid w:val="00570412"/>
    <w:rsid w:val="005706C2"/>
    <w:rsid w:val="00574485"/>
    <w:rsid w:val="00574838"/>
    <w:rsid w:val="00574EC3"/>
    <w:rsid w:val="00575456"/>
    <w:rsid w:val="00576471"/>
    <w:rsid w:val="00580124"/>
    <w:rsid w:val="00580CA5"/>
    <w:rsid w:val="00581B1E"/>
    <w:rsid w:val="00581C5E"/>
    <w:rsid w:val="0058249D"/>
    <w:rsid w:val="0058334F"/>
    <w:rsid w:val="00583C7B"/>
    <w:rsid w:val="00583D7D"/>
    <w:rsid w:val="00584243"/>
    <w:rsid w:val="005844E2"/>
    <w:rsid w:val="0058508E"/>
    <w:rsid w:val="005857B1"/>
    <w:rsid w:val="00585886"/>
    <w:rsid w:val="00587661"/>
    <w:rsid w:val="00591E9A"/>
    <w:rsid w:val="005926AD"/>
    <w:rsid w:val="005926F9"/>
    <w:rsid w:val="00592D93"/>
    <w:rsid w:val="00592E0E"/>
    <w:rsid w:val="00593396"/>
    <w:rsid w:val="005A01B2"/>
    <w:rsid w:val="005A115C"/>
    <w:rsid w:val="005A11EB"/>
    <w:rsid w:val="005A2198"/>
    <w:rsid w:val="005A22FB"/>
    <w:rsid w:val="005A3351"/>
    <w:rsid w:val="005A3998"/>
    <w:rsid w:val="005A43B5"/>
    <w:rsid w:val="005A5387"/>
    <w:rsid w:val="005A68A1"/>
    <w:rsid w:val="005A6AE5"/>
    <w:rsid w:val="005A714A"/>
    <w:rsid w:val="005A7E40"/>
    <w:rsid w:val="005B1CF3"/>
    <w:rsid w:val="005B4821"/>
    <w:rsid w:val="005B48C4"/>
    <w:rsid w:val="005C19F4"/>
    <w:rsid w:val="005C1C1E"/>
    <w:rsid w:val="005C214D"/>
    <w:rsid w:val="005C2818"/>
    <w:rsid w:val="005C53AD"/>
    <w:rsid w:val="005C5F1F"/>
    <w:rsid w:val="005C6056"/>
    <w:rsid w:val="005C6703"/>
    <w:rsid w:val="005C7904"/>
    <w:rsid w:val="005C7985"/>
    <w:rsid w:val="005D1373"/>
    <w:rsid w:val="005D3978"/>
    <w:rsid w:val="005D43F3"/>
    <w:rsid w:val="005D458C"/>
    <w:rsid w:val="005D4822"/>
    <w:rsid w:val="005D4F32"/>
    <w:rsid w:val="005D7473"/>
    <w:rsid w:val="005E0BDF"/>
    <w:rsid w:val="005E1590"/>
    <w:rsid w:val="005E20CA"/>
    <w:rsid w:val="005E2B0A"/>
    <w:rsid w:val="005E4A82"/>
    <w:rsid w:val="005E65CB"/>
    <w:rsid w:val="005E6F37"/>
    <w:rsid w:val="005E78FA"/>
    <w:rsid w:val="005E7F88"/>
    <w:rsid w:val="005F03B7"/>
    <w:rsid w:val="005F1296"/>
    <w:rsid w:val="005F24AE"/>
    <w:rsid w:val="005F3A8B"/>
    <w:rsid w:val="005F60D1"/>
    <w:rsid w:val="005F63C6"/>
    <w:rsid w:val="005F6D85"/>
    <w:rsid w:val="006001D1"/>
    <w:rsid w:val="00600F17"/>
    <w:rsid w:val="006026C0"/>
    <w:rsid w:val="00603484"/>
    <w:rsid w:val="00603590"/>
    <w:rsid w:val="00604F5A"/>
    <w:rsid w:val="006054E5"/>
    <w:rsid w:val="0060560E"/>
    <w:rsid w:val="00610476"/>
    <w:rsid w:val="0061154A"/>
    <w:rsid w:val="00611D9E"/>
    <w:rsid w:val="00613468"/>
    <w:rsid w:val="006140BE"/>
    <w:rsid w:val="00616AFD"/>
    <w:rsid w:val="00620EE1"/>
    <w:rsid w:val="0062113B"/>
    <w:rsid w:val="006212FF"/>
    <w:rsid w:val="006219D4"/>
    <w:rsid w:val="006225FA"/>
    <w:rsid w:val="00623AC4"/>
    <w:rsid w:val="00623AE2"/>
    <w:rsid w:val="006252B3"/>
    <w:rsid w:val="00625807"/>
    <w:rsid w:val="00625DCC"/>
    <w:rsid w:val="006263E4"/>
    <w:rsid w:val="00626A00"/>
    <w:rsid w:val="006275AF"/>
    <w:rsid w:val="00627FA0"/>
    <w:rsid w:val="00630346"/>
    <w:rsid w:val="00630488"/>
    <w:rsid w:val="00630BBF"/>
    <w:rsid w:val="00631858"/>
    <w:rsid w:val="00632255"/>
    <w:rsid w:val="00632819"/>
    <w:rsid w:val="00632C91"/>
    <w:rsid w:val="00633898"/>
    <w:rsid w:val="006344CB"/>
    <w:rsid w:val="00634FB9"/>
    <w:rsid w:val="00635540"/>
    <w:rsid w:val="00635A44"/>
    <w:rsid w:val="006367B9"/>
    <w:rsid w:val="00636E0D"/>
    <w:rsid w:val="00636F6C"/>
    <w:rsid w:val="00637173"/>
    <w:rsid w:val="00637785"/>
    <w:rsid w:val="0064010A"/>
    <w:rsid w:val="006401DD"/>
    <w:rsid w:val="00641235"/>
    <w:rsid w:val="0064173D"/>
    <w:rsid w:val="00641A68"/>
    <w:rsid w:val="00642737"/>
    <w:rsid w:val="00644EA1"/>
    <w:rsid w:val="0064530E"/>
    <w:rsid w:val="00647C36"/>
    <w:rsid w:val="00647F4C"/>
    <w:rsid w:val="00650609"/>
    <w:rsid w:val="00650D50"/>
    <w:rsid w:val="00651FA5"/>
    <w:rsid w:val="00652345"/>
    <w:rsid w:val="00652CCB"/>
    <w:rsid w:val="00652FC1"/>
    <w:rsid w:val="0065628D"/>
    <w:rsid w:val="006563BC"/>
    <w:rsid w:val="006573DB"/>
    <w:rsid w:val="00657C01"/>
    <w:rsid w:val="00657CCF"/>
    <w:rsid w:val="00660658"/>
    <w:rsid w:val="006606F4"/>
    <w:rsid w:val="00660D88"/>
    <w:rsid w:val="006616BA"/>
    <w:rsid w:val="006636D8"/>
    <w:rsid w:val="00664A33"/>
    <w:rsid w:val="00664CC1"/>
    <w:rsid w:val="00665337"/>
    <w:rsid w:val="00665405"/>
    <w:rsid w:val="00666C92"/>
    <w:rsid w:val="00666EAA"/>
    <w:rsid w:val="00671869"/>
    <w:rsid w:val="0067302D"/>
    <w:rsid w:val="006730F9"/>
    <w:rsid w:val="006732A8"/>
    <w:rsid w:val="006738FA"/>
    <w:rsid w:val="00673DE1"/>
    <w:rsid w:val="00674052"/>
    <w:rsid w:val="00674113"/>
    <w:rsid w:val="00674E1A"/>
    <w:rsid w:val="00675FFC"/>
    <w:rsid w:val="00676000"/>
    <w:rsid w:val="00676061"/>
    <w:rsid w:val="00677596"/>
    <w:rsid w:val="006775B7"/>
    <w:rsid w:val="00680234"/>
    <w:rsid w:val="006806B6"/>
    <w:rsid w:val="00680D38"/>
    <w:rsid w:val="006811F2"/>
    <w:rsid w:val="00681848"/>
    <w:rsid w:val="00681DA4"/>
    <w:rsid w:val="006821DF"/>
    <w:rsid w:val="00682367"/>
    <w:rsid w:val="00682814"/>
    <w:rsid w:val="00682B32"/>
    <w:rsid w:val="0068434D"/>
    <w:rsid w:val="00684936"/>
    <w:rsid w:val="006920EA"/>
    <w:rsid w:val="0069217D"/>
    <w:rsid w:val="00693D15"/>
    <w:rsid w:val="0069527F"/>
    <w:rsid w:val="006969F3"/>
    <w:rsid w:val="00697A90"/>
    <w:rsid w:val="006A0155"/>
    <w:rsid w:val="006A0F4F"/>
    <w:rsid w:val="006A3A9C"/>
    <w:rsid w:val="006A4429"/>
    <w:rsid w:val="006A6420"/>
    <w:rsid w:val="006A6DA5"/>
    <w:rsid w:val="006B0A17"/>
    <w:rsid w:val="006B13DC"/>
    <w:rsid w:val="006B1471"/>
    <w:rsid w:val="006B2402"/>
    <w:rsid w:val="006B245B"/>
    <w:rsid w:val="006B2B9A"/>
    <w:rsid w:val="006B5010"/>
    <w:rsid w:val="006B5B49"/>
    <w:rsid w:val="006C05B6"/>
    <w:rsid w:val="006C06B8"/>
    <w:rsid w:val="006C0894"/>
    <w:rsid w:val="006C15B7"/>
    <w:rsid w:val="006C301E"/>
    <w:rsid w:val="006C4709"/>
    <w:rsid w:val="006C4E31"/>
    <w:rsid w:val="006C5011"/>
    <w:rsid w:val="006C522F"/>
    <w:rsid w:val="006C530E"/>
    <w:rsid w:val="006C5E81"/>
    <w:rsid w:val="006C7922"/>
    <w:rsid w:val="006C7E84"/>
    <w:rsid w:val="006D57BF"/>
    <w:rsid w:val="006D657F"/>
    <w:rsid w:val="006D7677"/>
    <w:rsid w:val="006E0F3A"/>
    <w:rsid w:val="006E1853"/>
    <w:rsid w:val="006E3D65"/>
    <w:rsid w:val="006E45FC"/>
    <w:rsid w:val="006E714C"/>
    <w:rsid w:val="006F10A7"/>
    <w:rsid w:val="006F3A3C"/>
    <w:rsid w:val="006F409F"/>
    <w:rsid w:val="006F6D06"/>
    <w:rsid w:val="0070023E"/>
    <w:rsid w:val="00701E69"/>
    <w:rsid w:val="00703832"/>
    <w:rsid w:val="00704774"/>
    <w:rsid w:val="007060D4"/>
    <w:rsid w:val="00706A0B"/>
    <w:rsid w:val="00706ACA"/>
    <w:rsid w:val="00706AD9"/>
    <w:rsid w:val="00706D07"/>
    <w:rsid w:val="00707E10"/>
    <w:rsid w:val="00710E42"/>
    <w:rsid w:val="00712464"/>
    <w:rsid w:val="007129D5"/>
    <w:rsid w:val="0071308E"/>
    <w:rsid w:val="00714308"/>
    <w:rsid w:val="0071610C"/>
    <w:rsid w:val="00720BFE"/>
    <w:rsid w:val="00721BE4"/>
    <w:rsid w:val="00723370"/>
    <w:rsid w:val="00723ABB"/>
    <w:rsid w:val="00723C5C"/>
    <w:rsid w:val="0072408F"/>
    <w:rsid w:val="007265B8"/>
    <w:rsid w:val="00726B1B"/>
    <w:rsid w:val="00727C5B"/>
    <w:rsid w:val="007306C5"/>
    <w:rsid w:val="00730896"/>
    <w:rsid w:val="00731DCF"/>
    <w:rsid w:val="007360A5"/>
    <w:rsid w:val="00736485"/>
    <w:rsid w:val="00736CE5"/>
    <w:rsid w:val="00736CF7"/>
    <w:rsid w:val="007414C6"/>
    <w:rsid w:val="0074154D"/>
    <w:rsid w:val="007425C3"/>
    <w:rsid w:val="00743DF1"/>
    <w:rsid w:val="00747F9C"/>
    <w:rsid w:val="007513C0"/>
    <w:rsid w:val="00751754"/>
    <w:rsid w:val="00751EBA"/>
    <w:rsid w:val="00754270"/>
    <w:rsid w:val="00754737"/>
    <w:rsid w:val="00754B0B"/>
    <w:rsid w:val="00754EB6"/>
    <w:rsid w:val="00757050"/>
    <w:rsid w:val="007600BA"/>
    <w:rsid w:val="007603D6"/>
    <w:rsid w:val="00760ECD"/>
    <w:rsid w:val="007633BD"/>
    <w:rsid w:val="00765D8F"/>
    <w:rsid w:val="007661F2"/>
    <w:rsid w:val="007665D2"/>
    <w:rsid w:val="007720EF"/>
    <w:rsid w:val="00780036"/>
    <w:rsid w:val="007822DB"/>
    <w:rsid w:val="00782950"/>
    <w:rsid w:val="00784952"/>
    <w:rsid w:val="00786022"/>
    <w:rsid w:val="00786A22"/>
    <w:rsid w:val="00786CDC"/>
    <w:rsid w:val="00787C82"/>
    <w:rsid w:val="00787C93"/>
    <w:rsid w:val="007915EC"/>
    <w:rsid w:val="00791B5B"/>
    <w:rsid w:val="00792F70"/>
    <w:rsid w:val="007933F0"/>
    <w:rsid w:val="007956DB"/>
    <w:rsid w:val="00796830"/>
    <w:rsid w:val="007A03EA"/>
    <w:rsid w:val="007A3307"/>
    <w:rsid w:val="007A3D60"/>
    <w:rsid w:val="007A4DE1"/>
    <w:rsid w:val="007A6FE2"/>
    <w:rsid w:val="007B055D"/>
    <w:rsid w:val="007B0DB3"/>
    <w:rsid w:val="007B110F"/>
    <w:rsid w:val="007B287D"/>
    <w:rsid w:val="007B33DE"/>
    <w:rsid w:val="007B559D"/>
    <w:rsid w:val="007B623E"/>
    <w:rsid w:val="007B6725"/>
    <w:rsid w:val="007B6D2F"/>
    <w:rsid w:val="007B75D2"/>
    <w:rsid w:val="007C040A"/>
    <w:rsid w:val="007C102C"/>
    <w:rsid w:val="007C21B4"/>
    <w:rsid w:val="007C3296"/>
    <w:rsid w:val="007C5904"/>
    <w:rsid w:val="007C6C76"/>
    <w:rsid w:val="007D16EB"/>
    <w:rsid w:val="007D37D9"/>
    <w:rsid w:val="007D4938"/>
    <w:rsid w:val="007D5007"/>
    <w:rsid w:val="007D6096"/>
    <w:rsid w:val="007D778C"/>
    <w:rsid w:val="007E0154"/>
    <w:rsid w:val="007E03B4"/>
    <w:rsid w:val="007E21FF"/>
    <w:rsid w:val="007E2B62"/>
    <w:rsid w:val="007E2F5C"/>
    <w:rsid w:val="007E31A6"/>
    <w:rsid w:val="007E439F"/>
    <w:rsid w:val="007E5065"/>
    <w:rsid w:val="007E54C8"/>
    <w:rsid w:val="007E6859"/>
    <w:rsid w:val="007E7253"/>
    <w:rsid w:val="007E73C9"/>
    <w:rsid w:val="007E7B26"/>
    <w:rsid w:val="007F0296"/>
    <w:rsid w:val="007F10AC"/>
    <w:rsid w:val="007F17DD"/>
    <w:rsid w:val="007F29ED"/>
    <w:rsid w:val="007F3AB1"/>
    <w:rsid w:val="007F6FBF"/>
    <w:rsid w:val="007F7C91"/>
    <w:rsid w:val="00800377"/>
    <w:rsid w:val="00801561"/>
    <w:rsid w:val="00801F31"/>
    <w:rsid w:val="00802CF6"/>
    <w:rsid w:val="008050EA"/>
    <w:rsid w:val="00805D04"/>
    <w:rsid w:val="008065F0"/>
    <w:rsid w:val="008068D2"/>
    <w:rsid w:val="00807A6D"/>
    <w:rsid w:val="00811050"/>
    <w:rsid w:val="00812641"/>
    <w:rsid w:val="00812953"/>
    <w:rsid w:val="00813166"/>
    <w:rsid w:val="00813FA7"/>
    <w:rsid w:val="00816722"/>
    <w:rsid w:val="00816F4B"/>
    <w:rsid w:val="008200A3"/>
    <w:rsid w:val="00820EFD"/>
    <w:rsid w:val="00821640"/>
    <w:rsid w:val="00821C82"/>
    <w:rsid w:val="00822E5D"/>
    <w:rsid w:val="00824154"/>
    <w:rsid w:val="00826586"/>
    <w:rsid w:val="008265B6"/>
    <w:rsid w:val="008270C2"/>
    <w:rsid w:val="00827726"/>
    <w:rsid w:val="00830CB4"/>
    <w:rsid w:val="00831891"/>
    <w:rsid w:val="0083260A"/>
    <w:rsid w:val="00833952"/>
    <w:rsid w:val="0083555D"/>
    <w:rsid w:val="00835D4F"/>
    <w:rsid w:val="00837CB4"/>
    <w:rsid w:val="00843233"/>
    <w:rsid w:val="0084330A"/>
    <w:rsid w:val="008433F6"/>
    <w:rsid w:val="0084341E"/>
    <w:rsid w:val="00844597"/>
    <w:rsid w:val="00845512"/>
    <w:rsid w:val="00845B37"/>
    <w:rsid w:val="00846A59"/>
    <w:rsid w:val="00852EEE"/>
    <w:rsid w:val="00853098"/>
    <w:rsid w:val="00855C83"/>
    <w:rsid w:val="0085799A"/>
    <w:rsid w:val="00857F00"/>
    <w:rsid w:val="008603A8"/>
    <w:rsid w:val="00861491"/>
    <w:rsid w:val="008619EC"/>
    <w:rsid w:val="00863EA5"/>
    <w:rsid w:val="008641E7"/>
    <w:rsid w:val="008649E3"/>
    <w:rsid w:val="00864AC0"/>
    <w:rsid w:val="0086509B"/>
    <w:rsid w:val="0087012C"/>
    <w:rsid w:val="0087034F"/>
    <w:rsid w:val="00870427"/>
    <w:rsid w:val="00875731"/>
    <w:rsid w:val="008757A9"/>
    <w:rsid w:val="00876661"/>
    <w:rsid w:val="0088113F"/>
    <w:rsid w:val="00881D7C"/>
    <w:rsid w:val="00883559"/>
    <w:rsid w:val="0088382E"/>
    <w:rsid w:val="008840CE"/>
    <w:rsid w:val="0088520C"/>
    <w:rsid w:val="008862E1"/>
    <w:rsid w:val="008900DA"/>
    <w:rsid w:val="0089217E"/>
    <w:rsid w:val="00892C07"/>
    <w:rsid w:val="00894224"/>
    <w:rsid w:val="00897AAE"/>
    <w:rsid w:val="008A08CE"/>
    <w:rsid w:val="008A1BAF"/>
    <w:rsid w:val="008A3309"/>
    <w:rsid w:val="008A395B"/>
    <w:rsid w:val="008A4E40"/>
    <w:rsid w:val="008A51E4"/>
    <w:rsid w:val="008A575D"/>
    <w:rsid w:val="008A6CA5"/>
    <w:rsid w:val="008A7018"/>
    <w:rsid w:val="008B0377"/>
    <w:rsid w:val="008B0B16"/>
    <w:rsid w:val="008B14AB"/>
    <w:rsid w:val="008B46E4"/>
    <w:rsid w:val="008B65DF"/>
    <w:rsid w:val="008C14F0"/>
    <w:rsid w:val="008C1AB7"/>
    <w:rsid w:val="008C3C45"/>
    <w:rsid w:val="008C4D19"/>
    <w:rsid w:val="008C6427"/>
    <w:rsid w:val="008C6C13"/>
    <w:rsid w:val="008C6C18"/>
    <w:rsid w:val="008C6DAA"/>
    <w:rsid w:val="008C7719"/>
    <w:rsid w:val="008D1773"/>
    <w:rsid w:val="008D1B42"/>
    <w:rsid w:val="008D2815"/>
    <w:rsid w:val="008D3FE3"/>
    <w:rsid w:val="008D45B5"/>
    <w:rsid w:val="008E13A4"/>
    <w:rsid w:val="008E2831"/>
    <w:rsid w:val="008E2A23"/>
    <w:rsid w:val="008E3746"/>
    <w:rsid w:val="008E4071"/>
    <w:rsid w:val="008E536E"/>
    <w:rsid w:val="008E548E"/>
    <w:rsid w:val="008E7381"/>
    <w:rsid w:val="008F0163"/>
    <w:rsid w:val="008F41ED"/>
    <w:rsid w:val="008F5441"/>
    <w:rsid w:val="008F7A7C"/>
    <w:rsid w:val="008F7C6A"/>
    <w:rsid w:val="00900B7F"/>
    <w:rsid w:val="009012D6"/>
    <w:rsid w:val="0090181F"/>
    <w:rsid w:val="00903054"/>
    <w:rsid w:val="00903825"/>
    <w:rsid w:val="00905116"/>
    <w:rsid w:val="009064D7"/>
    <w:rsid w:val="00906C1D"/>
    <w:rsid w:val="0090759F"/>
    <w:rsid w:val="009077E5"/>
    <w:rsid w:val="0091006E"/>
    <w:rsid w:val="00911569"/>
    <w:rsid w:val="00912282"/>
    <w:rsid w:val="00915AB5"/>
    <w:rsid w:val="00915C64"/>
    <w:rsid w:val="00915FCD"/>
    <w:rsid w:val="00921796"/>
    <w:rsid w:val="00921802"/>
    <w:rsid w:val="0092380E"/>
    <w:rsid w:val="00924204"/>
    <w:rsid w:val="00925649"/>
    <w:rsid w:val="0093088F"/>
    <w:rsid w:val="0093096A"/>
    <w:rsid w:val="00931110"/>
    <w:rsid w:val="00931D66"/>
    <w:rsid w:val="00936E52"/>
    <w:rsid w:val="00937737"/>
    <w:rsid w:val="00940005"/>
    <w:rsid w:val="00940150"/>
    <w:rsid w:val="009406EA"/>
    <w:rsid w:val="00941D27"/>
    <w:rsid w:val="00943401"/>
    <w:rsid w:val="00946786"/>
    <w:rsid w:val="00946CBE"/>
    <w:rsid w:val="0095068E"/>
    <w:rsid w:val="00952E1D"/>
    <w:rsid w:val="009534A1"/>
    <w:rsid w:val="0095467F"/>
    <w:rsid w:val="00954F13"/>
    <w:rsid w:val="009554EC"/>
    <w:rsid w:val="00955645"/>
    <w:rsid w:val="009559C8"/>
    <w:rsid w:val="00955D72"/>
    <w:rsid w:val="009576F9"/>
    <w:rsid w:val="00957815"/>
    <w:rsid w:val="00957831"/>
    <w:rsid w:val="00961453"/>
    <w:rsid w:val="00962818"/>
    <w:rsid w:val="00962B29"/>
    <w:rsid w:val="0096330A"/>
    <w:rsid w:val="00963783"/>
    <w:rsid w:val="00963A86"/>
    <w:rsid w:val="00963D03"/>
    <w:rsid w:val="00964BD9"/>
    <w:rsid w:val="00964EBF"/>
    <w:rsid w:val="00967B05"/>
    <w:rsid w:val="00967D94"/>
    <w:rsid w:val="00971022"/>
    <w:rsid w:val="00972797"/>
    <w:rsid w:val="0097289E"/>
    <w:rsid w:val="009737D8"/>
    <w:rsid w:val="0097586E"/>
    <w:rsid w:val="00977898"/>
    <w:rsid w:val="009804D5"/>
    <w:rsid w:val="00980AB7"/>
    <w:rsid w:val="00980BF7"/>
    <w:rsid w:val="0098224A"/>
    <w:rsid w:val="00983542"/>
    <w:rsid w:val="00983CA3"/>
    <w:rsid w:val="0098456B"/>
    <w:rsid w:val="00984FA2"/>
    <w:rsid w:val="00986EC7"/>
    <w:rsid w:val="00987A50"/>
    <w:rsid w:val="00987F9A"/>
    <w:rsid w:val="00990656"/>
    <w:rsid w:val="009909CA"/>
    <w:rsid w:val="00992E33"/>
    <w:rsid w:val="009938A6"/>
    <w:rsid w:val="009943D9"/>
    <w:rsid w:val="00994A40"/>
    <w:rsid w:val="00994F3D"/>
    <w:rsid w:val="009954AA"/>
    <w:rsid w:val="00996394"/>
    <w:rsid w:val="009A03DF"/>
    <w:rsid w:val="009A0EA0"/>
    <w:rsid w:val="009A1500"/>
    <w:rsid w:val="009A1586"/>
    <w:rsid w:val="009A1616"/>
    <w:rsid w:val="009A1728"/>
    <w:rsid w:val="009A28C3"/>
    <w:rsid w:val="009A30F5"/>
    <w:rsid w:val="009B575F"/>
    <w:rsid w:val="009B745E"/>
    <w:rsid w:val="009C0075"/>
    <w:rsid w:val="009C017A"/>
    <w:rsid w:val="009C25F6"/>
    <w:rsid w:val="009C5527"/>
    <w:rsid w:val="009C6642"/>
    <w:rsid w:val="009C75EB"/>
    <w:rsid w:val="009D0ED8"/>
    <w:rsid w:val="009D15E1"/>
    <w:rsid w:val="009D1FAB"/>
    <w:rsid w:val="009D248F"/>
    <w:rsid w:val="009D2F1A"/>
    <w:rsid w:val="009D3190"/>
    <w:rsid w:val="009D3934"/>
    <w:rsid w:val="009D4006"/>
    <w:rsid w:val="009D490C"/>
    <w:rsid w:val="009D4E90"/>
    <w:rsid w:val="009D5769"/>
    <w:rsid w:val="009D6B87"/>
    <w:rsid w:val="009D7472"/>
    <w:rsid w:val="009E0701"/>
    <w:rsid w:val="009E090E"/>
    <w:rsid w:val="009E2D68"/>
    <w:rsid w:val="009E3EC1"/>
    <w:rsid w:val="009E4C40"/>
    <w:rsid w:val="009E4C73"/>
    <w:rsid w:val="009E5D3B"/>
    <w:rsid w:val="009E5FAC"/>
    <w:rsid w:val="009E6333"/>
    <w:rsid w:val="009E643A"/>
    <w:rsid w:val="009E678A"/>
    <w:rsid w:val="009F0B65"/>
    <w:rsid w:val="009F29ED"/>
    <w:rsid w:val="009F315F"/>
    <w:rsid w:val="009F3A10"/>
    <w:rsid w:val="009F3E93"/>
    <w:rsid w:val="009F4274"/>
    <w:rsid w:val="009F43F6"/>
    <w:rsid w:val="009F4817"/>
    <w:rsid w:val="009F5A8C"/>
    <w:rsid w:val="009F6389"/>
    <w:rsid w:val="009F752B"/>
    <w:rsid w:val="00A001A8"/>
    <w:rsid w:val="00A02AAB"/>
    <w:rsid w:val="00A0398A"/>
    <w:rsid w:val="00A04055"/>
    <w:rsid w:val="00A045A1"/>
    <w:rsid w:val="00A0501F"/>
    <w:rsid w:val="00A0674C"/>
    <w:rsid w:val="00A06C23"/>
    <w:rsid w:val="00A06C69"/>
    <w:rsid w:val="00A07C38"/>
    <w:rsid w:val="00A07F8E"/>
    <w:rsid w:val="00A1040E"/>
    <w:rsid w:val="00A113FB"/>
    <w:rsid w:val="00A11854"/>
    <w:rsid w:val="00A11E10"/>
    <w:rsid w:val="00A13921"/>
    <w:rsid w:val="00A13E9E"/>
    <w:rsid w:val="00A13EF9"/>
    <w:rsid w:val="00A14A76"/>
    <w:rsid w:val="00A1548C"/>
    <w:rsid w:val="00A1552F"/>
    <w:rsid w:val="00A1746E"/>
    <w:rsid w:val="00A17C44"/>
    <w:rsid w:val="00A20AA1"/>
    <w:rsid w:val="00A23C6F"/>
    <w:rsid w:val="00A247CE"/>
    <w:rsid w:val="00A24961"/>
    <w:rsid w:val="00A24D98"/>
    <w:rsid w:val="00A25D2C"/>
    <w:rsid w:val="00A26EED"/>
    <w:rsid w:val="00A30CB8"/>
    <w:rsid w:val="00A311DF"/>
    <w:rsid w:val="00A32695"/>
    <w:rsid w:val="00A32736"/>
    <w:rsid w:val="00A32837"/>
    <w:rsid w:val="00A329C0"/>
    <w:rsid w:val="00A32F32"/>
    <w:rsid w:val="00A3411B"/>
    <w:rsid w:val="00A343A2"/>
    <w:rsid w:val="00A359CC"/>
    <w:rsid w:val="00A4029A"/>
    <w:rsid w:val="00A40415"/>
    <w:rsid w:val="00A421C7"/>
    <w:rsid w:val="00A423E7"/>
    <w:rsid w:val="00A42A6C"/>
    <w:rsid w:val="00A433F9"/>
    <w:rsid w:val="00A4353A"/>
    <w:rsid w:val="00A45B65"/>
    <w:rsid w:val="00A46D60"/>
    <w:rsid w:val="00A51027"/>
    <w:rsid w:val="00A51FC0"/>
    <w:rsid w:val="00A5333D"/>
    <w:rsid w:val="00A549E2"/>
    <w:rsid w:val="00A574E4"/>
    <w:rsid w:val="00A574EF"/>
    <w:rsid w:val="00A60228"/>
    <w:rsid w:val="00A606B7"/>
    <w:rsid w:val="00A60A0D"/>
    <w:rsid w:val="00A60C42"/>
    <w:rsid w:val="00A61208"/>
    <w:rsid w:val="00A62922"/>
    <w:rsid w:val="00A63062"/>
    <w:rsid w:val="00A634BF"/>
    <w:rsid w:val="00A639B7"/>
    <w:rsid w:val="00A671AC"/>
    <w:rsid w:val="00A700CD"/>
    <w:rsid w:val="00A716AD"/>
    <w:rsid w:val="00A730BA"/>
    <w:rsid w:val="00A7496A"/>
    <w:rsid w:val="00A74A17"/>
    <w:rsid w:val="00A77526"/>
    <w:rsid w:val="00A77A52"/>
    <w:rsid w:val="00A77E09"/>
    <w:rsid w:val="00A80AC5"/>
    <w:rsid w:val="00A8194D"/>
    <w:rsid w:val="00A83179"/>
    <w:rsid w:val="00A83572"/>
    <w:rsid w:val="00A83A71"/>
    <w:rsid w:val="00A83F28"/>
    <w:rsid w:val="00A84CC4"/>
    <w:rsid w:val="00A853BE"/>
    <w:rsid w:val="00A85A6F"/>
    <w:rsid w:val="00A86BF7"/>
    <w:rsid w:val="00A8729A"/>
    <w:rsid w:val="00A8780D"/>
    <w:rsid w:val="00A87C81"/>
    <w:rsid w:val="00A90A68"/>
    <w:rsid w:val="00A91F5E"/>
    <w:rsid w:val="00A9336A"/>
    <w:rsid w:val="00A93EC8"/>
    <w:rsid w:val="00A93F66"/>
    <w:rsid w:val="00A9422A"/>
    <w:rsid w:val="00A95597"/>
    <w:rsid w:val="00A956E8"/>
    <w:rsid w:val="00AA08C3"/>
    <w:rsid w:val="00AA0E71"/>
    <w:rsid w:val="00AA1A1F"/>
    <w:rsid w:val="00AA3AEE"/>
    <w:rsid w:val="00AA4003"/>
    <w:rsid w:val="00AA430F"/>
    <w:rsid w:val="00AA4F4B"/>
    <w:rsid w:val="00AA57D3"/>
    <w:rsid w:val="00AA660F"/>
    <w:rsid w:val="00AA79E6"/>
    <w:rsid w:val="00AA7F0E"/>
    <w:rsid w:val="00AA7FFE"/>
    <w:rsid w:val="00AB0DEF"/>
    <w:rsid w:val="00AB29DC"/>
    <w:rsid w:val="00AB3A23"/>
    <w:rsid w:val="00AB3BB0"/>
    <w:rsid w:val="00AB6474"/>
    <w:rsid w:val="00AC0487"/>
    <w:rsid w:val="00AC0FB9"/>
    <w:rsid w:val="00AC10C3"/>
    <w:rsid w:val="00AC3597"/>
    <w:rsid w:val="00AC4692"/>
    <w:rsid w:val="00AC5BBF"/>
    <w:rsid w:val="00AC60BB"/>
    <w:rsid w:val="00AC70FB"/>
    <w:rsid w:val="00AC7601"/>
    <w:rsid w:val="00AC7DAC"/>
    <w:rsid w:val="00AD07BD"/>
    <w:rsid w:val="00AD1333"/>
    <w:rsid w:val="00AD23EC"/>
    <w:rsid w:val="00AD25D0"/>
    <w:rsid w:val="00AD32A8"/>
    <w:rsid w:val="00AD3373"/>
    <w:rsid w:val="00AD4862"/>
    <w:rsid w:val="00AD4CB5"/>
    <w:rsid w:val="00AD4DF9"/>
    <w:rsid w:val="00AD57FD"/>
    <w:rsid w:val="00AD5A59"/>
    <w:rsid w:val="00AD5B2B"/>
    <w:rsid w:val="00AE0216"/>
    <w:rsid w:val="00AE16A8"/>
    <w:rsid w:val="00AE4ADC"/>
    <w:rsid w:val="00AE5CBD"/>
    <w:rsid w:val="00AE65AD"/>
    <w:rsid w:val="00AE6735"/>
    <w:rsid w:val="00AE7587"/>
    <w:rsid w:val="00AE78F1"/>
    <w:rsid w:val="00AF157F"/>
    <w:rsid w:val="00AF1CEF"/>
    <w:rsid w:val="00AF20BB"/>
    <w:rsid w:val="00AF231C"/>
    <w:rsid w:val="00AF2AD1"/>
    <w:rsid w:val="00AF3408"/>
    <w:rsid w:val="00AF4F63"/>
    <w:rsid w:val="00AF539E"/>
    <w:rsid w:val="00AF7883"/>
    <w:rsid w:val="00B016BB"/>
    <w:rsid w:val="00B02CFD"/>
    <w:rsid w:val="00B04C5A"/>
    <w:rsid w:val="00B063DE"/>
    <w:rsid w:val="00B07F89"/>
    <w:rsid w:val="00B100E4"/>
    <w:rsid w:val="00B113C7"/>
    <w:rsid w:val="00B11ED0"/>
    <w:rsid w:val="00B129A8"/>
    <w:rsid w:val="00B13B10"/>
    <w:rsid w:val="00B14659"/>
    <w:rsid w:val="00B155E2"/>
    <w:rsid w:val="00B15D04"/>
    <w:rsid w:val="00B16F8F"/>
    <w:rsid w:val="00B20B0F"/>
    <w:rsid w:val="00B20EA3"/>
    <w:rsid w:val="00B211BD"/>
    <w:rsid w:val="00B21265"/>
    <w:rsid w:val="00B21D0D"/>
    <w:rsid w:val="00B22A27"/>
    <w:rsid w:val="00B234F2"/>
    <w:rsid w:val="00B245A2"/>
    <w:rsid w:val="00B24ADC"/>
    <w:rsid w:val="00B2576D"/>
    <w:rsid w:val="00B25873"/>
    <w:rsid w:val="00B25B68"/>
    <w:rsid w:val="00B25F7F"/>
    <w:rsid w:val="00B2615A"/>
    <w:rsid w:val="00B266D6"/>
    <w:rsid w:val="00B26EBF"/>
    <w:rsid w:val="00B27EE6"/>
    <w:rsid w:val="00B3132C"/>
    <w:rsid w:val="00B32364"/>
    <w:rsid w:val="00B32655"/>
    <w:rsid w:val="00B32675"/>
    <w:rsid w:val="00B336D6"/>
    <w:rsid w:val="00B33811"/>
    <w:rsid w:val="00B34BB5"/>
    <w:rsid w:val="00B35316"/>
    <w:rsid w:val="00B357F9"/>
    <w:rsid w:val="00B35CDC"/>
    <w:rsid w:val="00B3755F"/>
    <w:rsid w:val="00B37E98"/>
    <w:rsid w:val="00B4335F"/>
    <w:rsid w:val="00B472A2"/>
    <w:rsid w:val="00B516BE"/>
    <w:rsid w:val="00B520E0"/>
    <w:rsid w:val="00B52223"/>
    <w:rsid w:val="00B53ACE"/>
    <w:rsid w:val="00B54501"/>
    <w:rsid w:val="00B55319"/>
    <w:rsid w:val="00B56185"/>
    <w:rsid w:val="00B56E88"/>
    <w:rsid w:val="00B57D23"/>
    <w:rsid w:val="00B60763"/>
    <w:rsid w:val="00B60861"/>
    <w:rsid w:val="00B645AE"/>
    <w:rsid w:val="00B64861"/>
    <w:rsid w:val="00B65144"/>
    <w:rsid w:val="00B6657E"/>
    <w:rsid w:val="00B6696F"/>
    <w:rsid w:val="00B6741A"/>
    <w:rsid w:val="00B676A3"/>
    <w:rsid w:val="00B71EE5"/>
    <w:rsid w:val="00B7267B"/>
    <w:rsid w:val="00B737CC"/>
    <w:rsid w:val="00B738F7"/>
    <w:rsid w:val="00B745AD"/>
    <w:rsid w:val="00B75472"/>
    <w:rsid w:val="00B75C7C"/>
    <w:rsid w:val="00B7672E"/>
    <w:rsid w:val="00B7686B"/>
    <w:rsid w:val="00B76BC5"/>
    <w:rsid w:val="00B77584"/>
    <w:rsid w:val="00B80713"/>
    <w:rsid w:val="00B808D7"/>
    <w:rsid w:val="00B8153B"/>
    <w:rsid w:val="00B82F7A"/>
    <w:rsid w:val="00B8594C"/>
    <w:rsid w:val="00B8697B"/>
    <w:rsid w:val="00B86C3A"/>
    <w:rsid w:val="00B90FC5"/>
    <w:rsid w:val="00B9280C"/>
    <w:rsid w:val="00B9335C"/>
    <w:rsid w:val="00B94AD9"/>
    <w:rsid w:val="00B9567A"/>
    <w:rsid w:val="00B960EB"/>
    <w:rsid w:val="00B96477"/>
    <w:rsid w:val="00BA08C0"/>
    <w:rsid w:val="00BA0CF6"/>
    <w:rsid w:val="00BA1AE1"/>
    <w:rsid w:val="00BA2B83"/>
    <w:rsid w:val="00BA3B93"/>
    <w:rsid w:val="00BA4667"/>
    <w:rsid w:val="00BA5A61"/>
    <w:rsid w:val="00BA6385"/>
    <w:rsid w:val="00BA6756"/>
    <w:rsid w:val="00BA6AEF"/>
    <w:rsid w:val="00BA7320"/>
    <w:rsid w:val="00BA749E"/>
    <w:rsid w:val="00BA7D5A"/>
    <w:rsid w:val="00BB1FF1"/>
    <w:rsid w:val="00BB3B13"/>
    <w:rsid w:val="00BB4470"/>
    <w:rsid w:val="00BB495A"/>
    <w:rsid w:val="00BB51DA"/>
    <w:rsid w:val="00BB58DF"/>
    <w:rsid w:val="00BB6049"/>
    <w:rsid w:val="00BB6176"/>
    <w:rsid w:val="00BB61EC"/>
    <w:rsid w:val="00BB64CE"/>
    <w:rsid w:val="00BB749A"/>
    <w:rsid w:val="00BC0345"/>
    <w:rsid w:val="00BC1725"/>
    <w:rsid w:val="00BC4604"/>
    <w:rsid w:val="00BC49DF"/>
    <w:rsid w:val="00BC5712"/>
    <w:rsid w:val="00BC6331"/>
    <w:rsid w:val="00BC6369"/>
    <w:rsid w:val="00BC6708"/>
    <w:rsid w:val="00BC6D11"/>
    <w:rsid w:val="00BC7F84"/>
    <w:rsid w:val="00BD0CA7"/>
    <w:rsid w:val="00BD70FB"/>
    <w:rsid w:val="00BD7393"/>
    <w:rsid w:val="00BE03F2"/>
    <w:rsid w:val="00BE0752"/>
    <w:rsid w:val="00BE0BB0"/>
    <w:rsid w:val="00BE0D70"/>
    <w:rsid w:val="00BE0EE7"/>
    <w:rsid w:val="00BE22B0"/>
    <w:rsid w:val="00BE2587"/>
    <w:rsid w:val="00BE316D"/>
    <w:rsid w:val="00BE353D"/>
    <w:rsid w:val="00BE3E1C"/>
    <w:rsid w:val="00BE413D"/>
    <w:rsid w:val="00BE54B4"/>
    <w:rsid w:val="00BE6A2A"/>
    <w:rsid w:val="00BE6CE6"/>
    <w:rsid w:val="00BF0071"/>
    <w:rsid w:val="00BF04E9"/>
    <w:rsid w:val="00BF187B"/>
    <w:rsid w:val="00BF25D3"/>
    <w:rsid w:val="00BF2618"/>
    <w:rsid w:val="00BF38AA"/>
    <w:rsid w:val="00BF4102"/>
    <w:rsid w:val="00BF45B9"/>
    <w:rsid w:val="00BF4EBD"/>
    <w:rsid w:val="00BF5D51"/>
    <w:rsid w:val="00BF6923"/>
    <w:rsid w:val="00BF6C65"/>
    <w:rsid w:val="00BF749B"/>
    <w:rsid w:val="00C00F2D"/>
    <w:rsid w:val="00C01385"/>
    <w:rsid w:val="00C02E05"/>
    <w:rsid w:val="00C03776"/>
    <w:rsid w:val="00C0455E"/>
    <w:rsid w:val="00C0551F"/>
    <w:rsid w:val="00C05BBB"/>
    <w:rsid w:val="00C06701"/>
    <w:rsid w:val="00C06964"/>
    <w:rsid w:val="00C06E87"/>
    <w:rsid w:val="00C07BB1"/>
    <w:rsid w:val="00C07EEE"/>
    <w:rsid w:val="00C1091E"/>
    <w:rsid w:val="00C11605"/>
    <w:rsid w:val="00C11704"/>
    <w:rsid w:val="00C129D9"/>
    <w:rsid w:val="00C13747"/>
    <w:rsid w:val="00C15EB2"/>
    <w:rsid w:val="00C16102"/>
    <w:rsid w:val="00C20163"/>
    <w:rsid w:val="00C203DE"/>
    <w:rsid w:val="00C205B9"/>
    <w:rsid w:val="00C209F3"/>
    <w:rsid w:val="00C23E8C"/>
    <w:rsid w:val="00C245E8"/>
    <w:rsid w:val="00C24D48"/>
    <w:rsid w:val="00C2539F"/>
    <w:rsid w:val="00C253B9"/>
    <w:rsid w:val="00C265D9"/>
    <w:rsid w:val="00C26A4B"/>
    <w:rsid w:val="00C27D4A"/>
    <w:rsid w:val="00C27F5F"/>
    <w:rsid w:val="00C27FEC"/>
    <w:rsid w:val="00C30B67"/>
    <w:rsid w:val="00C30E56"/>
    <w:rsid w:val="00C32184"/>
    <w:rsid w:val="00C32E86"/>
    <w:rsid w:val="00C332F4"/>
    <w:rsid w:val="00C334CC"/>
    <w:rsid w:val="00C36A64"/>
    <w:rsid w:val="00C36C95"/>
    <w:rsid w:val="00C3705D"/>
    <w:rsid w:val="00C37DDC"/>
    <w:rsid w:val="00C405B6"/>
    <w:rsid w:val="00C40D59"/>
    <w:rsid w:val="00C411AD"/>
    <w:rsid w:val="00C429EE"/>
    <w:rsid w:val="00C42C85"/>
    <w:rsid w:val="00C43695"/>
    <w:rsid w:val="00C43B45"/>
    <w:rsid w:val="00C43DA5"/>
    <w:rsid w:val="00C44018"/>
    <w:rsid w:val="00C44DD0"/>
    <w:rsid w:val="00C44F53"/>
    <w:rsid w:val="00C45387"/>
    <w:rsid w:val="00C456BD"/>
    <w:rsid w:val="00C5025A"/>
    <w:rsid w:val="00C50E28"/>
    <w:rsid w:val="00C52F17"/>
    <w:rsid w:val="00C53864"/>
    <w:rsid w:val="00C53A7D"/>
    <w:rsid w:val="00C53F60"/>
    <w:rsid w:val="00C53FFE"/>
    <w:rsid w:val="00C55EF1"/>
    <w:rsid w:val="00C56A41"/>
    <w:rsid w:val="00C570EA"/>
    <w:rsid w:val="00C6197C"/>
    <w:rsid w:val="00C619CC"/>
    <w:rsid w:val="00C652AE"/>
    <w:rsid w:val="00C656BE"/>
    <w:rsid w:val="00C672F6"/>
    <w:rsid w:val="00C70324"/>
    <w:rsid w:val="00C71132"/>
    <w:rsid w:val="00C7490F"/>
    <w:rsid w:val="00C7728E"/>
    <w:rsid w:val="00C77A15"/>
    <w:rsid w:val="00C80760"/>
    <w:rsid w:val="00C80A3A"/>
    <w:rsid w:val="00C81626"/>
    <w:rsid w:val="00C8229F"/>
    <w:rsid w:val="00C844F8"/>
    <w:rsid w:val="00C8546F"/>
    <w:rsid w:val="00C85F50"/>
    <w:rsid w:val="00C87DF2"/>
    <w:rsid w:val="00C902EA"/>
    <w:rsid w:val="00C9048D"/>
    <w:rsid w:val="00C90E05"/>
    <w:rsid w:val="00C914E7"/>
    <w:rsid w:val="00C91D5C"/>
    <w:rsid w:val="00C91DF4"/>
    <w:rsid w:val="00C92A09"/>
    <w:rsid w:val="00C93026"/>
    <w:rsid w:val="00C93E0A"/>
    <w:rsid w:val="00C942EA"/>
    <w:rsid w:val="00C94498"/>
    <w:rsid w:val="00C94AD1"/>
    <w:rsid w:val="00C95690"/>
    <w:rsid w:val="00C95C2A"/>
    <w:rsid w:val="00C95F5F"/>
    <w:rsid w:val="00C96088"/>
    <w:rsid w:val="00C96250"/>
    <w:rsid w:val="00C9640D"/>
    <w:rsid w:val="00C964AF"/>
    <w:rsid w:val="00C96768"/>
    <w:rsid w:val="00C97639"/>
    <w:rsid w:val="00CA0CA1"/>
    <w:rsid w:val="00CA19A5"/>
    <w:rsid w:val="00CA2C39"/>
    <w:rsid w:val="00CA36AA"/>
    <w:rsid w:val="00CA3A5C"/>
    <w:rsid w:val="00CA565E"/>
    <w:rsid w:val="00CA57B3"/>
    <w:rsid w:val="00CA5B7E"/>
    <w:rsid w:val="00CA5B98"/>
    <w:rsid w:val="00CA70ED"/>
    <w:rsid w:val="00CA7C80"/>
    <w:rsid w:val="00CB02F1"/>
    <w:rsid w:val="00CB1408"/>
    <w:rsid w:val="00CB147F"/>
    <w:rsid w:val="00CB1F61"/>
    <w:rsid w:val="00CB3EF0"/>
    <w:rsid w:val="00CC0238"/>
    <w:rsid w:val="00CC2D3C"/>
    <w:rsid w:val="00CC31FE"/>
    <w:rsid w:val="00CC386F"/>
    <w:rsid w:val="00CC6A75"/>
    <w:rsid w:val="00CD14B4"/>
    <w:rsid w:val="00CD1BDA"/>
    <w:rsid w:val="00CD250F"/>
    <w:rsid w:val="00CD459A"/>
    <w:rsid w:val="00CD5778"/>
    <w:rsid w:val="00CD621B"/>
    <w:rsid w:val="00CD7C59"/>
    <w:rsid w:val="00CE0824"/>
    <w:rsid w:val="00CE1890"/>
    <w:rsid w:val="00CE397E"/>
    <w:rsid w:val="00CE3B7E"/>
    <w:rsid w:val="00CE3C3A"/>
    <w:rsid w:val="00CE6698"/>
    <w:rsid w:val="00CF0B56"/>
    <w:rsid w:val="00CF5592"/>
    <w:rsid w:val="00CF5BAF"/>
    <w:rsid w:val="00CF6DC2"/>
    <w:rsid w:val="00CF700E"/>
    <w:rsid w:val="00CF7110"/>
    <w:rsid w:val="00CF79F5"/>
    <w:rsid w:val="00D0034D"/>
    <w:rsid w:val="00D0156B"/>
    <w:rsid w:val="00D033C2"/>
    <w:rsid w:val="00D03E8C"/>
    <w:rsid w:val="00D0616B"/>
    <w:rsid w:val="00D1087D"/>
    <w:rsid w:val="00D117CE"/>
    <w:rsid w:val="00D1199D"/>
    <w:rsid w:val="00D141A2"/>
    <w:rsid w:val="00D1442F"/>
    <w:rsid w:val="00D145BF"/>
    <w:rsid w:val="00D14D83"/>
    <w:rsid w:val="00D152B7"/>
    <w:rsid w:val="00D15DA6"/>
    <w:rsid w:val="00D16A0B"/>
    <w:rsid w:val="00D17892"/>
    <w:rsid w:val="00D17B51"/>
    <w:rsid w:val="00D206B4"/>
    <w:rsid w:val="00D20DEB"/>
    <w:rsid w:val="00D22B0C"/>
    <w:rsid w:val="00D2495D"/>
    <w:rsid w:val="00D25696"/>
    <w:rsid w:val="00D263C5"/>
    <w:rsid w:val="00D264B4"/>
    <w:rsid w:val="00D2685A"/>
    <w:rsid w:val="00D26EF9"/>
    <w:rsid w:val="00D30BDA"/>
    <w:rsid w:val="00D30CFA"/>
    <w:rsid w:val="00D31424"/>
    <w:rsid w:val="00D32144"/>
    <w:rsid w:val="00D322C9"/>
    <w:rsid w:val="00D32CAC"/>
    <w:rsid w:val="00D34580"/>
    <w:rsid w:val="00D34B71"/>
    <w:rsid w:val="00D34CCA"/>
    <w:rsid w:val="00D34D21"/>
    <w:rsid w:val="00D34FCB"/>
    <w:rsid w:val="00D3613C"/>
    <w:rsid w:val="00D36ACE"/>
    <w:rsid w:val="00D37663"/>
    <w:rsid w:val="00D40AF0"/>
    <w:rsid w:val="00D40CAF"/>
    <w:rsid w:val="00D40F85"/>
    <w:rsid w:val="00D4153A"/>
    <w:rsid w:val="00D43709"/>
    <w:rsid w:val="00D44E31"/>
    <w:rsid w:val="00D454B1"/>
    <w:rsid w:val="00D46486"/>
    <w:rsid w:val="00D504C6"/>
    <w:rsid w:val="00D517FC"/>
    <w:rsid w:val="00D52829"/>
    <w:rsid w:val="00D55614"/>
    <w:rsid w:val="00D56AFB"/>
    <w:rsid w:val="00D60720"/>
    <w:rsid w:val="00D61497"/>
    <w:rsid w:val="00D62B51"/>
    <w:rsid w:val="00D63257"/>
    <w:rsid w:val="00D64E50"/>
    <w:rsid w:val="00D667CB"/>
    <w:rsid w:val="00D667CE"/>
    <w:rsid w:val="00D66EFA"/>
    <w:rsid w:val="00D67296"/>
    <w:rsid w:val="00D7152F"/>
    <w:rsid w:val="00D71EDB"/>
    <w:rsid w:val="00D72328"/>
    <w:rsid w:val="00D7349B"/>
    <w:rsid w:val="00D73684"/>
    <w:rsid w:val="00D747D0"/>
    <w:rsid w:val="00D75F5B"/>
    <w:rsid w:val="00D771A0"/>
    <w:rsid w:val="00D77D70"/>
    <w:rsid w:val="00D77D9A"/>
    <w:rsid w:val="00D81EE1"/>
    <w:rsid w:val="00D82CD7"/>
    <w:rsid w:val="00D845C6"/>
    <w:rsid w:val="00D85177"/>
    <w:rsid w:val="00D867BD"/>
    <w:rsid w:val="00D87264"/>
    <w:rsid w:val="00D904CE"/>
    <w:rsid w:val="00D9307E"/>
    <w:rsid w:val="00D93221"/>
    <w:rsid w:val="00D978B1"/>
    <w:rsid w:val="00D97CAC"/>
    <w:rsid w:val="00DA1008"/>
    <w:rsid w:val="00DA38B6"/>
    <w:rsid w:val="00DA45DD"/>
    <w:rsid w:val="00DA574C"/>
    <w:rsid w:val="00DA5EF7"/>
    <w:rsid w:val="00DA69AC"/>
    <w:rsid w:val="00DB133D"/>
    <w:rsid w:val="00DB39EF"/>
    <w:rsid w:val="00DB5842"/>
    <w:rsid w:val="00DB70E4"/>
    <w:rsid w:val="00DC019F"/>
    <w:rsid w:val="00DC17D0"/>
    <w:rsid w:val="00DC1AB8"/>
    <w:rsid w:val="00DC3E4F"/>
    <w:rsid w:val="00DC6CD6"/>
    <w:rsid w:val="00DC7520"/>
    <w:rsid w:val="00DD050C"/>
    <w:rsid w:val="00DD239B"/>
    <w:rsid w:val="00DD4911"/>
    <w:rsid w:val="00DD4D3C"/>
    <w:rsid w:val="00DD546F"/>
    <w:rsid w:val="00DD6E51"/>
    <w:rsid w:val="00DD7E7C"/>
    <w:rsid w:val="00DE091E"/>
    <w:rsid w:val="00DE0FC2"/>
    <w:rsid w:val="00DE1593"/>
    <w:rsid w:val="00DE17C4"/>
    <w:rsid w:val="00DE1D25"/>
    <w:rsid w:val="00DE23E0"/>
    <w:rsid w:val="00DE3CCF"/>
    <w:rsid w:val="00DE4A9B"/>
    <w:rsid w:val="00DE6873"/>
    <w:rsid w:val="00DE7959"/>
    <w:rsid w:val="00DF2237"/>
    <w:rsid w:val="00DF2C93"/>
    <w:rsid w:val="00DF2DFB"/>
    <w:rsid w:val="00DF60FD"/>
    <w:rsid w:val="00DF67F5"/>
    <w:rsid w:val="00E01726"/>
    <w:rsid w:val="00E03891"/>
    <w:rsid w:val="00E03960"/>
    <w:rsid w:val="00E03A0A"/>
    <w:rsid w:val="00E053DF"/>
    <w:rsid w:val="00E07A98"/>
    <w:rsid w:val="00E10973"/>
    <w:rsid w:val="00E10AEE"/>
    <w:rsid w:val="00E10E0F"/>
    <w:rsid w:val="00E11BD4"/>
    <w:rsid w:val="00E12817"/>
    <w:rsid w:val="00E1576C"/>
    <w:rsid w:val="00E16A4A"/>
    <w:rsid w:val="00E1766B"/>
    <w:rsid w:val="00E20BF8"/>
    <w:rsid w:val="00E22039"/>
    <w:rsid w:val="00E245B5"/>
    <w:rsid w:val="00E24674"/>
    <w:rsid w:val="00E24FA6"/>
    <w:rsid w:val="00E2504D"/>
    <w:rsid w:val="00E2569C"/>
    <w:rsid w:val="00E265C4"/>
    <w:rsid w:val="00E27671"/>
    <w:rsid w:val="00E306A1"/>
    <w:rsid w:val="00E320B8"/>
    <w:rsid w:val="00E32754"/>
    <w:rsid w:val="00E35197"/>
    <w:rsid w:val="00E35665"/>
    <w:rsid w:val="00E365AC"/>
    <w:rsid w:val="00E37DD5"/>
    <w:rsid w:val="00E45379"/>
    <w:rsid w:val="00E4567E"/>
    <w:rsid w:val="00E46567"/>
    <w:rsid w:val="00E46580"/>
    <w:rsid w:val="00E466D5"/>
    <w:rsid w:val="00E4785F"/>
    <w:rsid w:val="00E50E6F"/>
    <w:rsid w:val="00E513EC"/>
    <w:rsid w:val="00E5331C"/>
    <w:rsid w:val="00E53464"/>
    <w:rsid w:val="00E54F3B"/>
    <w:rsid w:val="00E556B5"/>
    <w:rsid w:val="00E55B14"/>
    <w:rsid w:val="00E56086"/>
    <w:rsid w:val="00E5702C"/>
    <w:rsid w:val="00E57657"/>
    <w:rsid w:val="00E57B66"/>
    <w:rsid w:val="00E61186"/>
    <w:rsid w:val="00E61CCD"/>
    <w:rsid w:val="00E622ED"/>
    <w:rsid w:val="00E62880"/>
    <w:rsid w:val="00E62C8F"/>
    <w:rsid w:val="00E62D17"/>
    <w:rsid w:val="00E635E4"/>
    <w:rsid w:val="00E6368F"/>
    <w:rsid w:val="00E63A13"/>
    <w:rsid w:val="00E65A6C"/>
    <w:rsid w:val="00E6720C"/>
    <w:rsid w:val="00E67EEE"/>
    <w:rsid w:val="00E7046E"/>
    <w:rsid w:val="00E70F1F"/>
    <w:rsid w:val="00E72FD5"/>
    <w:rsid w:val="00E73622"/>
    <w:rsid w:val="00E740D3"/>
    <w:rsid w:val="00E75ED0"/>
    <w:rsid w:val="00E76C5C"/>
    <w:rsid w:val="00E77317"/>
    <w:rsid w:val="00E8196E"/>
    <w:rsid w:val="00E824C0"/>
    <w:rsid w:val="00E8268B"/>
    <w:rsid w:val="00E83BBA"/>
    <w:rsid w:val="00E85930"/>
    <w:rsid w:val="00E86FA5"/>
    <w:rsid w:val="00E87034"/>
    <w:rsid w:val="00E91385"/>
    <w:rsid w:val="00E9183C"/>
    <w:rsid w:val="00E92457"/>
    <w:rsid w:val="00E942F6"/>
    <w:rsid w:val="00E9475E"/>
    <w:rsid w:val="00E9691F"/>
    <w:rsid w:val="00E971CA"/>
    <w:rsid w:val="00EA1B67"/>
    <w:rsid w:val="00EA39E3"/>
    <w:rsid w:val="00EA3C19"/>
    <w:rsid w:val="00EA58C9"/>
    <w:rsid w:val="00EA5D17"/>
    <w:rsid w:val="00EA6967"/>
    <w:rsid w:val="00EB08D1"/>
    <w:rsid w:val="00EB1098"/>
    <w:rsid w:val="00EB198F"/>
    <w:rsid w:val="00EB328F"/>
    <w:rsid w:val="00EB647F"/>
    <w:rsid w:val="00EB6CA8"/>
    <w:rsid w:val="00EB74F3"/>
    <w:rsid w:val="00EC0A83"/>
    <w:rsid w:val="00EC206D"/>
    <w:rsid w:val="00EC38C2"/>
    <w:rsid w:val="00EC4B8D"/>
    <w:rsid w:val="00EC5903"/>
    <w:rsid w:val="00EC6059"/>
    <w:rsid w:val="00EC63A1"/>
    <w:rsid w:val="00EC740E"/>
    <w:rsid w:val="00EC7D73"/>
    <w:rsid w:val="00ED00B0"/>
    <w:rsid w:val="00ED04DD"/>
    <w:rsid w:val="00ED12E1"/>
    <w:rsid w:val="00ED4A08"/>
    <w:rsid w:val="00ED4ED6"/>
    <w:rsid w:val="00EE0DE6"/>
    <w:rsid w:val="00EE1188"/>
    <w:rsid w:val="00EE1657"/>
    <w:rsid w:val="00EE197A"/>
    <w:rsid w:val="00EE4143"/>
    <w:rsid w:val="00EE423B"/>
    <w:rsid w:val="00EE5220"/>
    <w:rsid w:val="00EE60C2"/>
    <w:rsid w:val="00EE6A6A"/>
    <w:rsid w:val="00EE7AC8"/>
    <w:rsid w:val="00EF00B4"/>
    <w:rsid w:val="00EF0906"/>
    <w:rsid w:val="00EF1DE2"/>
    <w:rsid w:val="00EF230B"/>
    <w:rsid w:val="00EF6FB9"/>
    <w:rsid w:val="00F007F4"/>
    <w:rsid w:val="00F00C9F"/>
    <w:rsid w:val="00F00D92"/>
    <w:rsid w:val="00F01EBD"/>
    <w:rsid w:val="00F02B2D"/>
    <w:rsid w:val="00F02C47"/>
    <w:rsid w:val="00F033A9"/>
    <w:rsid w:val="00F03694"/>
    <w:rsid w:val="00F0405E"/>
    <w:rsid w:val="00F04E2F"/>
    <w:rsid w:val="00F05EA6"/>
    <w:rsid w:val="00F076B7"/>
    <w:rsid w:val="00F079C3"/>
    <w:rsid w:val="00F1009A"/>
    <w:rsid w:val="00F10AD9"/>
    <w:rsid w:val="00F11546"/>
    <w:rsid w:val="00F14AF3"/>
    <w:rsid w:val="00F151E7"/>
    <w:rsid w:val="00F157B1"/>
    <w:rsid w:val="00F161D6"/>
    <w:rsid w:val="00F17F1E"/>
    <w:rsid w:val="00F21121"/>
    <w:rsid w:val="00F21399"/>
    <w:rsid w:val="00F2221A"/>
    <w:rsid w:val="00F23F71"/>
    <w:rsid w:val="00F24489"/>
    <w:rsid w:val="00F254A8"/>
    <w:rsid w:val="00F25809"/>
    <w:rsid w:val="00F27367"/>
    <w:rsid w:val="00F27509"/>
    <w:rsid w:val="00F304BC"/>
    <w:rsid w:val="00F30B04"/>
    <w:rsid w:val="00F30D86"/>
    <w:rsid w:val="00F313E7"/>
    <w:rsid w:val="00F324A5"/>
    <w:rsid w:val="00F33124"/>
    <w:rsid w:val="00F347FB"/>
    <w:rsid w:val="00F35CA5"/>
    <w:rsid w:val="00F3612A"/>
    <w:rsid w:val="00F36537"/>
    <w:rsid w:val="00F36E34"/>
    <w:rsid w:val="00F37546"/>
    <w:rsid w:val="00F40BC7"/>
    <w:rsid w:val="00F43506"/>
    <w:rsid w:val="00F45A01"/>
    <w:rsid w:val="00F46ACD"/>
    <w:rsid w:val="00F51C24"/>
    <w:rsid w:val="00F5250B"/>
    <w:rsid w:val="00F54098"/>
    <w:rsid w:val="00F56166"/>
    <w:rsid w:val="00F569DE"/>
    <w:rsid w:val="00F57647"/>
    <w:rsid w:val="00F57962"/>
    <w:rsid w:val="00F603E2"/>
    <w:rsid w:val="00F605B4"/>
    <w:rsid w:val="00F62B0F"/>
    <w:rsid w:val="00F63A28"/>
    <w:rsid w:val="00F646D5"/>
    <w:rsid w:val="00F66302"/>
    <w:rsid w:val="00F666A0"/>
    <w:rsid w:val="00F66BE5"/>
    <w:rsid w:val="00F66EB4"/>
    <w:rsid w:val="00F700A4"/>
    <w:rsid w:val="00F708D5"/>
    <w:rsid w:val="00F7094A"/>
    <w:rsid w:val="00F727B3"/>
    <w:rsid w:val="00F73765"/>
    <w:rsid w:val="00F738A9"/>
    <w:rsid w:val="00F73CBC"/>
    <w:rsid w:val="00F74EB8"/>
    <w:rsid w:val="00F75EDE"/>
    <w:rsid w:val="00F76678"/>
    <w:rsid w:val="00F80B32"/>
    <w:rsid w:val="00F8421F"/>
    <w:rsid w:val="00F847E7"/>
    <w:rsid w:val="00F849B0"/>
    <w:rsid w:val="00F85AC4"/>
    <w:rsid w:val="00F86AC5"/>
    <w:rsid w:val="00F86EA3"/>
    <w:rsid w:val="00F87DBD"/>
    <w:rsid w:val="00F900E3"/>
    <w:rsid w:val="00F90767"/>
    <w:rsid w:val="00F91B11"/>
    <w:rsid w:val="00F91EA5"/>
    <w:rsid w:val="00F91EBC"/>
    <w:rsid w:val="00F93C0A"/>
    <w:rsid w:val="00F9503E"/>
    <w:rsid w:val="00F966AF"/>
    <w:rsid w:val="00F97921"/>
    <w:rsid w:val="00FA0E76"/>
    <w:rsid w:val="00FA15EA"/>
    <w:rsid w:val="00FA1F80"/>
    <w:rsid w:val="00FA44AA"/>
    <w:rsid w:val="00FA4FFB"/>
    <w:rsid w:val="00FA6FF8"/>
    <w:rsid w:val="00FB0A42"/>
    <w:rsid w:val="00FB0A98"/>
    <w:rsid w:val="00FB0B90"/>
    <w:rsid w:val="00FB4912"/>
    <w:rsid w:val="00FB5779"/>
    <w:rsid w:val="00FB59DF"/>
    <w:rsid w:val="00FB604A"/>
    <w:rsid w:val="00FB60C4"/>
    <w:rsid w:val="00FB756F"/>
    <w:rsid w:val="00FC1B2A"/>
    <w:rsid w:val="00FC2686"/>
    <w:rsid w:val="00FC26D9"/>
    <w:rsid w:val="00FC3D99"/>
    <w:rsid w:val="00FC7FB1"/>
    <w:rsid w:val="00FD05EB"/>
    <w:rsid w:val="00FD0E78"/>
    <w:rsid w:val="00FD101C"/>
    <w:rsid w:val="00FD1338"/>
    <w:rsid w:val="00FD14A5"/>
    <w:rsid w:val="00FD3B42"/>
    <w:rsid w:val="00FD3DD7"/>
    <w:rsid w:val="00FD482B"/>
    <w:rsid w:val="00FD4C82"/>
    <w:rsid w:val="00FD6B00"/>
    <w:rsid w:val="00FD6B58"/>
    <w:rsid w:val="00FD716C"/>
    <w:rsid w:val="00FE0732"/>
    <w:rsid w:val="00FE075B"/>
    <w:rsid w:val="00FE1040"/>
    <w:rsid w:val="00FE1D18"/>
    <w:rsid w:val="00FE29E9"/>
    <w:rsid w:val="00FE2F6D"/>
    <w:rsid w:val="00FE3161"/>
    <w:rsid w:val="00FE3502"/>
    <w:rsid w:val="00FE3623"/>
    <w:rsid w:val="00FE37A6"/>
    <w:rsid w:val="00FE4483"/>
    <w:rsid w:val="00FE5867"/>
    <w:rsid w:val="00FE5C4F"/>
    <w:rsid w:val="00FE6432"/>
    <w:rsid w:val="00FE663F"/>
    <w:rsid w:val="00FE692C"/>
    <w:rsid w:val="00FE7170"/>
    <w:rsid w:val="00FE7AF2"/>
    <w:rsid w:val="00FE7B74"/>
    <w:rsid w:val="00FF1C08"/>
    <w:rsid w:val="00FF4F88"/>
    <w:rsid w:val="00FF5056"/>
    <w:rsid w:val="00FF523E"/>
    <w:rsid w:val="00FF79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9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A0"/>
  </w:style>
  <w:style w:type="paragraph" w:styleId="Heading1">
    <w:name w:val="heading 1"/>
    <w:basedOn w:val="Normal"/>
    <w:link w:val="Heading1Char"/>
    <w:uiPriority w:val="9"/>
    <w:qFormat/>
    <w:rsid w:val="008614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6C5"/>
    <w:pPr>
      <w:ind w:left="720"/>
      <w:contextualSpacing/>
    </w:pPr>
  </w:style>
  <w:style w:type="paragraph" w:styleId="Header">
    <w:name w:val="header"/>
    <w:basedOn w:val="Normal"/>
    <w:link w:val="HeaderChar"/>
    <w:uiPriority w:val="99"/>
    <w:unhideWhenUsed/>
    <w:rsid w:val="0070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69"/>
  </w:style>
  <w:style w:type="paragraph" w:styleId="Footer">
    <w:name w:val="footer"/>
    <w:basedOn w:val="Normal"/>
    <w:link w:val="FooterChar"/>
    <w:uiPriority w:val="99"/>
    <w:unhideWhenUsed/>
    <w:rsid w:val="0070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69"/>
  </w:style>
  <w:style w:type="paragraph" w:customStyle="1" w:styleId="Default">
    <w:name w:val="Default"/>
    <w:rsid w:val="00C967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614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61491"/>
    <w:rPr>
      <w:color w:val="0000FF"/>
      <w:u w:val="single"/>
    </w:rPr>
  </w:style>
  <w:style w:type="character" w:customStyle="1" w:styleId="apple-converted-space">
    <w:name w:val="apple-converted-space"/>
    <w:basedOn w:val="DefaultParagraphFont"/>
    <w:rsid w:val="00861491"/>
  </w:style>
  <w:style w:type="character" w:customStyle="1" w:styleId="highlight">
    <w:name w:val="highlight"/>
    <w:basedOn w:val="DefaultParagraphFont"/>
    <w:rsid w:val="00861491"/>
  </w:style>
  <w:style w:type="character" w:styleId="Emphasis">
    <w:name w:val="Emphasis"/>
    <w:basedOn w:val="DefaultParagraphFont"/>
    <w:uiPriority w:val="20"/>
    <w:qFormat/>
    <w:rsid w:val="004231C9"/>
    <w:rPr>
      <w:i/>
      <w:iCs/>
    </w:rPr>
  </w:style>
  <w:style w:type="character" w:customStyle="1" w:styleId="ref-journal">
    <w:name w:val="ref-journal"/>
    <w:basedOn w:val="DefaultParagraphFont"/>
    <w:rsid w:val="00983542"/>
  </w:style>
  <w:style w:type="character" w:customStyle="1" w:styleId="ref-vol">
    <w:name w:val="ref-vol"/>
    <w:basedOn w:val="DefaultParagraphFont"/>
    <w:rsid w:val="00983542"/>
  </w:style>
  <w:style w:type="character" w:styleId="CommentReference">
    <w:name w:val="annotation reference"/>
    <w:basedOn w:val="DefaultParagraphFont"/>
    <w:uiPriority w:val="99"/>
    <w:semiHidden/>
    <w:unhideWhenUsed/>
    <w:rsid w:val="00327EE2"/>
    <w:rPr>
      <w:sz w:val="16"/>
      <w:szCs w:val="16"/>
    </w:rPr>
  </w:style>
  <w:style w:type="paragraph" w:styleId="CommentText">
    <w:name w:val="annotation text"/>
    <w:basedOn w:val="Normal"/>
    <w:link w:val="CommentTextChar"/>
    <w:uiPriority w:val="99"/>
    <w:semiHidden/>
    <w:unhideWhenUsed/>
    <w:rsid w:val="00327EE2"/>
    <w:pPr>
      <w:spacing w:line="240" w:lineRule="auto"/>
    </w:pPr>
    <w:rPr>
      <w:sz w:val="20"/>
      <w:szCs w:val="20"/>
    </w:rPr>
  </w:style>
  <w:style w:type="character" w:customStyle="1" w:styleId="CommentTextChar">
    <w:name w:val="Comment Text Char"/>
    <w:basedOn w:val="DefaultParagraphFont"/>
    <w:link w:val="CommentText"/>
    <w:uiPriority w:val="99"/>
    <w:semiHidden/>
    <w:rsid w:val="00327EE2"/>
    <w:rPr>
      <w:sz w:val="20"/>
      <w:szCs w:val="20"/>
    </w:rPr>
  </w:style>
  <w:style w:type="paragraph" w:styleId="CommentSubject">
    <w:name w:val="annotation subject"/>
    <w:basedOn w:val="CommentText"/>
    <w:next w:val="CommentText"/>
    <w:link w:val="CommentSubjectChar"/>
    <w:uiPriority w:val="99"/>
    <w:semiHidden/>
    <w:unhideWhenUsed/>
    <w:rsid w:val="00327EE2"/>
    <w:rPr>
      <w:b/>
      <w:bCs/>
    </w:rPr>
  </w:style>
  <w:style w:type="character" w:customStyle="1" w:styleId="CommentSubjectChar">
    <w:name w:val="Comment Subject Char"/>
    <w:basedOn w:val="CommentTextChar"/>
    <w:link w:val="CommentSubject"/>
    <w:uiPriority w:val="99"/>
    <w:semiHidden/>
    <w:rsid w:val="00327EE2"/>
    <w:rPr>
      <w:b/>
      <w:bCs/>
      <w:sz w:val="20"/>
      <w:szCs w:val="20"/>
    </w:rPr>
  </w:style>
  <w:style w:type="paragraph" w:styleId="BalloonText">
    <w:name w:val="Balloon Text"/>
    <w:basedOn w:val="Normal"/>
    <w:link w:val="BalloonTextChar"/>
    <w:uiPriority w:val="99"/>
    <w:semiHidden/>
    <w:unhideWhenUsed/>
    <w:rsid w:val="00327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E2"/>
    <w:rPr>
      <w:rFonts w:ascii="Segoe UI" w:hAnsi="Segoe UI" w:cs="Segoe UI"/>
      <w:sz w:val="18"/>
      <w:szCs w:val="18"/>
    </w:rPr>
  </w:style>
  <w:style w:type="table" w:styleId="TableGrid">
    <w:name w:val="Table Grid"/>
    <w:basedOn w:val="TableNormal"/>
    <w:uiPriority w:val="59"/>
    <w:rsid w:val="003F6E1B"/>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F4F88"/>
  </w:style>
  <w:style w:type="paragraph" w:styleId="PlainText">
    <w:name w:val="Plain Text"/>
    <w:basedOn w:val="Normal"/>
    <w:link w:val="PlainTextChar"/>
    <w:rsid w:val="00016F09"/>
    <w:pPr>
      <w:widowControl w:val="0"/>
      <w:spacing w:after="0" w:line="240" w:lineRule="auto"/>
      <w:jc w:val="both"/>
    </w:pPr>
    <w:rPr>
      <w:rFonts w:ascii="宋体" w:eastAsia="宋体" w:hAnsi="Courier New" w:cs="Courier New"/>
      <w:kern w:val="2"/>
      <w:sz w:val="21"/>
      <w:szCs w:val="21"/>
    </w:rPr>
  </w:style>
  <w:style w:type="character" w:customStyle="1" w:styleId="PlainTextChar">
    <w:name w:val="Plain Text Char"/>
    <w:basedOn w:val="DefaultParagraphFont"/>
    <w:link w:val="PlainText"/>
    <w:rsid w:val="00016F09"/>
    <w:rPr>
      <w:rFonts w:ascii="宋体" w:eastAsia="宋体" w:hAnsi="Courier New" w:cs="Courier New"/>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A0"/>
  </w:style>
  <w:style w:type="paragraph" w:styleId="Heading1">
    <w:name w:val="heading 1"/>
    <w:basedOn w:val="Normal"/>
    <w:link w:val="Heading1Char"/>
    <w:uiPriority w:val="9"/>
    <w:qFormat/>
    <w:rsid w:val="008614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6C5"/>
    <w:pPr>
      <w:ind w:left="720"/>
      <w:contextualSpacing/>
    </w:pPr>
  </w:style>
  <w:style w:type="paragraph" w:styleId="Header">
    <w:name w:val="header"/>
    <w:basedOn w:val="Normal"/>
    <w:link w:val="HeaderChar"/>
    <w:uiPriority w:val="99"/>
    <w:unhideWhenUsed/>
    <w:rsid w:val="0070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69"/>
  </w:style>
  <w:style w:type="paragraph" w:styleId="Footer">
    <w:name w:val="footer"/>
    <w:basedOn w:val="Normal"/>
    <w:link w:val="FooterChar"/>
    <w:uiPriority w:val="99"/>
    <w:unhideWhenUsed/>
    <w:rsid w:val="0070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69"/>
  </w:style>
  <w:style w:type="paragraph" w:customStyle="1" w:styleId="Default">
    <w:name w:val="Default"/>
    <w:rsid w:val="00C967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614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61491"/>
    <w:rPr>
      <w:color w:val="0000FF"/>
      <w:u w:val="single"/>
    </w:rPr>
  </w:style>
  <w:style w:type="character" w:customStyle="1" w:styleId="apple-converted-space">
    <w:name w:val="apple-converted-space"/>
    <w:basedOn w:val="DefaultParagraphFont"/>
    <w:rsid w:val="00861491"/>
  </w:style>
  <w:style w:type="character" w:customStyle="1" w:styleId="highlight">
    <w:name w:val="highlight"/>
    <w:basedOn w:val="DefaultParagraphFont"/>
    <w:rsid w:val="00861491"/>
  </w:style>
  <w:style w:type="character" w:styleId="Emphasis">
    <w:name w:val="Emphasis"/>
    <w:basedOn w:val="DefaultParagraphFont"/>
    <w:uiPriority w:val="20"/>
    <w:qFormat/>
    <w:rsid w:val="004231C9"/>
    <w:rPr>
      <w:i/>
      <w:iCs/>
    </w:rPr>
  </w:style>
  <w:style w:type="character" w:customStyle="1" w:styleId="ref-journal">
    <w:name w:val="ref-journal"/>
    <w:basedOn w:val="DefaultParagraphFont"/>
    <w:rsid w:val="00983542"/>
  </w:style>
  <w:style w:type="character" w:customStyle="1" w:styleId="ref-vol">
    <w:name w:val="ref-vol"/>
    <w:basedOn w:val="DefaultParagraphFont"/>
    <w:rsid w:val="00983542"/>
  </w:style>
  <w:style w:type="character" w:styleId="CommentReference">
    <w:name w:val="annotation reference"/>
    <w:basedOn w:val="DefaultParagraphFont"/>
    <w:uiPriority w:val="99"/>
    <w:semiHidden/>
    <w:unhideWhenUsed/>
    <w:rsid w:val="00327EE2"/>
    <w:rPr>
      <w:sz w:val="16"/>
      <w:szCs w:val="16"/>
    </w:rPr>
  </w:style>
  <w:style w:type="paragraph" w:styleId="CommentText">
    <w:name w:val="annotation text"/>
    <w:basedOn w:val="Normal"/>
    <w:link w:val="CommentTextChar"/>
    <w:uiPriority w:val="99"/>
    <w:semiHidden/>
    <w:unhideWhenUsed/>
    <w:rsid w:val="00327EE2"/>
    <w:pPr>
      <w:spacing w:line="240" w:lineRule="auto"/>
    </w:pPr>
    <w:rPr>
      <w:sz w:val="20"/>
      <w:szCs w:val="20"/>
    </w:rPr>
  </w:style>
  <w:style w:type="character" w:customStyle="1" w:styleId="CommentTextChar">
    <w:name w:val="Comment Text Char"/>
    <w:basedOn w:val="DefaultParagraphFont"/>
    <w:link w:val="CommentText"/>
    <w:uiPriority w:val="99"/>
    <w:semiHidden/>
    <w:rsid w:val="00327EE2"/>
    <w:rPr>
      <w:sz w:val="20"/>
      <w:szCs w:val="20"/>
    </w:rPr>
  </w:style>
  <w:style w:type="paragraph" w:styleId="CommentSubject">
    <w:name w:val="annotation subject"/>
    <w:basedOn w:val="CommentText"/>
    <w:next w:val="CommentText"/>
    <w:link w:val="CommentSubjectChar"/>
    <w:uiPriority w:val="99"/>
    <w:semiHidden/>
    <w:unhideWhenUsed/>
    <w:rsid w:val="00327EE2"/>
    <w:rPr>
      <w:b/>
      <w:bCs/>
    </w:rPr>
  </w:style>
  <w:style w:type="character" w:customStyle="1" w:styleId="CommentSubjectChar">
    <w:name w:val="Comment Subject Char"/>
    <w:basedOn w:val="CommentTextChar"/>
    <w:link w:val="CommentSubject"/>
    <w:uiPriority w:val="99"/>
    <w:semiHidden/>
    <w:rsid w:val="00327EE2"/>
    <w:rPr>
      <w:b/>
      <w:bCs/>
      <w:sz w:val="20"/>
      <w:szCs w:val="20"/>
    </w:rPr>
  </w:style>
  <w:style w:type="paragraph" w:styleId="BalloonText">
    <w:name w:val="Balloon Text"/>
    <w:basedOn w:val="Normal"/>
    <w:link w:val="BalloonTextChar"/>
    <w:uiPriority w:val="99"/>
    <w:semiHidden/>
    <w:unhideWhenUsed/>
    <w:rsid w:val="00327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E2"/>
    <w:rPr>
      <w:rFonts w:ascii="Segoe UI" w:hAnsi="Segoe UI" w:cs="Segoe UI"/>
      <w:sz w:val="18"/>
      <w:szCs w:val="18"/>
    </w:rPr>
  </w:style>
  <w:style w:type="table" w:styleId="TableGrid">
    <w:name w:val="Table Grid"/>
    <w:basedOn w:val="TableNormal"/>
    <w:uiPriority w:val="59"/>
    <w:rsid w:val="003F6E1B"/>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F4F88"/>
  </w:style>
  <w:style w:type="paragraph" w:styleId="PlainText">
    <w:name w:val="Plain Text"/>
    <w:basedOn w:val="Normal"/>
    <w:link w:val="PlainTextChar"/>
    <w:rsid w:val="00016F09"/>
    <w:pPr>
      <w:widowControl w:val="0"/>
      <w:spacing w:after="0" w:line="240" w:lineRule="auto"/>
      <w:jc w:val="both"/>
    </w:pPr>
    <w:rPr>
      <w:rFonts w:ascii="宋体" w:eastAsia="宋体" w:hAnsi="Courier New" w:cs="Courier New"/>
      <w:kern w:val="2"/>
      <w:sz w:val="21"/>
      <w:szCs w:val="21"/>
    </w:rPr>
  </w:style>
  <w:style w:type="character" w:customStyle="1" w:styleId="PlainTextChar">
    <w:name w:val="Plain Text Char"/>
    <w:basedOn w:val="DefaultParagraphFont"/>
    <w:link w:val="PlainText"/>
    <w:rsid w:val="00016F09"/>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661">
      <w:bodyDiv w:val="1"/>
      <w:marLeft w:val="0"/>
      <w:marRight w:val="0"/>
      <w:marTop w:val="0"/>
      <w:marBottom w:val="0"/>
      <w:divBdr>
        <w:top w:val="none" w:sz="0" w:space="0" w:color="auto"/>
        <w:left w:val="none" w:sz="0" w:space="0" w:color="auto"/>
        <w:bottom w:val="none" w:sz="0" w:space="0" w:color="auto"/>
        <w:right w:val="none" w:sz="0" w:space="0" w:color="auto"/>
      </w:divBdr>
    </w:div>
    <w:div w:id="397558884">
      <w:bodyDiv w:val="1"/>
      <w:marLeft w:val="0"/>
      <w:marRight w:val="0"/>
      <w:marTop w:val="0"/>
      <w:marBottom w:val="0"/>
      <w:divBdr>
        <w:top w:val="none" w:sz="0" w:space="0" w:color="auto"/>
        <w:left w:val="none" w:sz="0" w:space="0" w:color="auto"/>
        <w:bottom w:val="none" w:sz="0" w:space="0" w:color="auto"/>
        <w:right w:val="none" w:sz="0" w:space="0" w:color="auto"/>
      </w:divBdr>
    </w:div>
    <w:div w:id="446000565">
      <w:bodyDiv w:val="1"/>
      <w:marLeft w:val="0"/>
      <w:marRight w:val="0"/>
      <w:marTop w:val="0"/>
      <w:marBottom w:val="0"/>
      <w:divBdr>
        <w:top w:val="none" w:sz="0" w:space="0" w:color="auto"/>
        <w:left w:val="none" w:sz="0" w:space="0" w:color="auto"/>
        <w:bottom w:val="none" w:sz="0" w:space="0" w:color="auto"/>
        <w:right w:val="none" w:sz="0" w:space="0" w:color="auto"/>
      </w:divBdr>
      <w:divsChild>
        <w:div w:id="112409485">
          <w:marLeft w:val="0"/>
          <w:marRight w:val="0"/>
          <w:marTop w:val="0"/>
          <w:marBottom w:val="0"/>
          <w:divBdr>
            <w:top w:val="none" w:sz="0" w:space="0" w:color="auto"/>
            <w:left w:val="none" w:sz="0" w:space="0" w:color="auto"/>
            <w:bottom w:val="none" w:sz="0" w:space="0" w:color="auto"/>
            <w:right w:val="none" w:sz="0" w:space="0" w:color="auto"/>
          </w:divBdr>
        </w:div>
        <w:div w:id="930312773">
          <w:marLeft w:val="0"/>
          <w:marRight w:val="0"/>
          <w:marTop w:val="0"/>
          <w:marBottom w:val="0"/>
          <w:divBdr>
            <w:top w:val="none" w:sz="0" w:space="0" w:color="auto"/>
            <w:left w:val="none" w:sz="0" w:space="0" w:color="auto"/>
            <w:bottom w:val="none" w:sz="0" w:space="0" w:color="auto"/>
            <w:right w:val="none" w:sz="0" w:space="0" w:color="auto"/>
          </w:divBdr>
        </w:div>
        <w:div w:id="1851676705">
          <w:marLeft w:val="0"/>
          <w:marRight w:val="0"/>
          <w:marTop w:val="0"/>
          <w:marBottom w:val="0"/>
          <w:divBdr>
            <w:top w:val="none" w:sz="0" w:space="0" w:color="auto"/>
            <w:left w:val="none" w:sz="0" w:space="0" w:color="auto"/>
            <w:bottom w:val="none" w:sz="0" w:space="0" w:color="auto"/>
            <w:right w:val="none" w:sz="0" w:space="0" w:color="auto"/>
          </w:divBdr>
        </w:div>
      </w:divsChild>
    </w:div>
    <w:div w:id="537275267">
      <w:bodyDiv w:val="1"/>
      <w:marLeft w:val="0"/>
      <w:marRight w:val="0"/>
      <w:marTop w:val="0"/>
      <w:marBottom w:val="0"/>
      <w:divBdr>
        <w:top w:val="none" w:sz="0" w:space="0" w:color="auto"/>
        <w:left w:val="none" w:sz="0" w:space="0" w:color="auto"/>
        <w:bottom w:val="none" w:sz="0" w:space="0" w:color="auto"/>
        <w:right w:val="none" w:sz="0" w:space="0" w:color="auto"/>
      </w:divBdr>
    </w:div>
    <w:div w:id="587232203">
      <w:bodyDiv w:val="1"/>
      <w:marLeft w:val="0"/>
      <w:marRight w:val="0"/>
      <w:marTop w:val="0"/>
      <w:marBottom w:val="0"/>
      <w:divBdr>
        <w:top w:val="none" w:sz="0" w:space="0" w:color="auto"/>
        <w:left w:val="none" w:sz="0" w:space="0" w:color="auto"/>
        <w:bottom w:val="none" w:sz="0" w:space="0" w:color="auto"/>
        <w:right w:val="none" w:sz="0" w:space="0" w:color="auto"/>
      </w:divBdr>
    </w:div>
    <w:div w:id="604045725">
      <w:bodyDiv w:val="1"/>
      <w:marLeft w:val="0"/>
      <w:marRight w:val="0"/>
      <w:marTop w:val="0"/>
      <w:marBottom w:val="0"/>
      <w:divBdr>
        <w:top w:val="none" w:sz="0" w:space="0" w:color="auto"/>
        <w:left w:val="none" w:sz="0" w:space="0" w:color="auto"/>
        <w:bottom w:val="none" w:sz="0" w:space="0" w:color="auto"/>
        <w:right w:val="none" w:sz="0" w:space="0" w:color="auto"/>
      </w:divBdr>
    </w:div>
    <w:div w:id="660306975">
      <w:bodyDiv w:val="1"/>
      <w:marLeft w:val="0"/>
      <w:marRight w:val="0"/>
      <w:marTop w:val="0"/>
      <w:marBottom w:val="0"/>
      <w:divBdr>
        <w:top w:val="none" w:sz="0" w:space="0" w:color="auto"/>
        <w:left w:val="none" w:sz="0" w:space="0" w:color="auto"/>
        <w:bottom w:val="none" w:sz="0" w:space="0" w:color="auto"/>
        <w:right w:val="none" w:sz="0" w:space="0" w:color="auto"/>
      </w:divBdr>
      <w:divsChild>
        <w:div w:id="1788234348">
          <w:marLeft w:val="0"/>
          <w:marRight w:val="0"/>
          <w:marTop w:val="0"/>
          <w:marBottom w:val="0"/>
          <w:divBdr>
            <w:top w:val="none" w:sz="0" w:space="0" w:color="auto"/>
            <w:left w:val="none" w:sz="0" w:space="0" w:color="auto"/>
            <w:bottom w:val="none" w:sz="0" w:space="0" w:color="auto"/>
            <w:right w:val="none" w:sz="0" w:space="0" w:color="auto"/>
          </w:divBdr>
          <w:divsChild>
            <w:div w:id="1953593121">
              <w:marLeft w:val="0"/>
              <w:marRight w:val="0"/>
              <w:marTop w:val="0"/>
              <w:marBottom w:val="0"/>
              <w:divBdr>
                <w:top w:val="none" w:sz="0" w:space="0" w:color="auto"/>
                <w:left w:val="none" w:sz="0" w:space="0" w:color="auto"/>
                <w:bottom w:val="none" w:sz="0" w:space="0" w:color="auto"/>
                <w:right w:val="none" w:sz="0" w:space="0" w:color="auto"/>
              </w:divBdr>
              <w:divsChild>
                <w:div w:id="382876015">
                  <w:marLeft w:val="0"/>
                  <w:marRight w:val="0"/>
                  <w:marTop w:val="0"/>
                  <w:marBottom w:val="0"/>
                  <w:divBdr>
                    <w:top w:val="none" w:sz="0" w:space="0" w:color="auto"/>
                    <w:left w:val="none" w:sz="0" w:space="0" w:color="auto"/>
                    <w:bottom w:val="none" w:sz="0" w:space="0" w:color="auto"/>
                    <w:right w:val="none" w:sz="0" w:space="0" w:color="auto"/>
                  </w:divBdr>
                  <w:divsChild>
                    <w:div w:id="412318889">
                      <w:marLeft w:val="0"/>
                      <w:marRight w:val="0"/>
                      <w:marTop w:val="0"/>
                      <w:marBottom w:val="0"/>
                      <w:divBdr>
                        <w:top w:val="none" w:sz="0" w:space="0" w:color="auto"/>
                        <w:left w:val="none" w:sz="0" w:space="0" w:color="auto"/>
                        <w:bottom w:val="none" w:sz="0" w:space="0" w:color="auto"/>
                        <w:right w:val="none" w:sz="0" w:space="0" w:color="auto"/>
                      </w:divBdr>
                      <w:divsChild>
                        <w:div w:id="636760355">
                          <w:marLeft w:val="0"/>
                          <w:marRight w:val="0"/>
                          <w:marTop w:val="0"/>
                          <w:marBottom w:val="0"/>
                          <w:divBdr>
                            <w:top w:val="none" w:sz="0" w:space="0" w:color="auto"/>
                            <w:left w:val="none" w:sz="0" w:space="0" w:color="auto"/>
                            <w:bottom w:val="none" w:sz="0" w:space="0" w:color="auto"/>
                            <w:right w:val="none" w:sz="0" w:space="0" w:color="auto"/>
                          </w:divBdr>
                          <w:divsChild>
                            <w:div w:id="1099791513">
                              <w:marLeft w:val="0"/>
                              <w:marRight w:val="0"/>
                              <w:marTop w:val="0"/>
                              <w:marBottom w:val="0"/>
                              <w:divBdr>
                                <w:top w:val="none" w:sz="0" w:space="0" w:color="auto"/>
                                <w:left w:val="none" w:sz="0" w:space="0" w:color="auto"/>
                                <w:bottom w:val="none" w:sz="0" w:space="0" w:color="auto"/>
                                <w:right w:val="none" w:sz="0" w:space="0" w:color="auto"/>
                              </w:divBdr>
                              <w:divsChild>
                                <w:div w:id="2022849208">
                                  <w:marLeft w:val="0"/>
                                  <w:marRight w:val="0"/>
                                  <w:marTop w:val="0"/>
                                  <w:marBottom w:val="0"/>
                                  <w:divBdr>
                                    <w:top w:val="none" w:sz="0" w:space="0" w:color="auto"/>
                                    <w:left w:val="none" w:sz="0" w:space="0" w:color="auto"/>
                                    <w:bottom w:val="none" w:sz="0" w:space="0" w:color="auto"/>
                                    <w:right w:val="none" w:sz="0" w:space="0" w:color="auto"/>
                                  </w:divBdr>
                                  <w:divsChild>
                                    <w:div w:id="7823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697473">
      <w:bodyDiv w:val="1"/>
      <w:marLeft w:val="0"/>
      <w:marRight w:val="0"/>
      <w:marTop w:val="0"/>
      <w:marBottom w:val="0"/>
      <w:divBdr>
        <w:top w:val="none" w:sz="0" w:space="0" w:color="auto"/>
        <w:left w:val="none" w:sz="0" w:space="0" w:color="auto"/>
        <w:bottom w:val="none" w:sz="0" w:space="0" w:color="auto"/>
        <w:right w:val="none" w:sz="0" w:space="0" w:color="auto"/>
      </w:divBdr>
    </w:div>
    <w:div w:id="1169178450">
      <w:bodyDiv w:val="1"/>
      <w:marLeft w:val="0"/>
      <w:marRight w:val="0"/>
      <w:marTop w:val="0"/>
      <w:marBottom w:val="0"/>
      <w:divBdr>
        <w:top w:val="none" w:sz="0" w:space="0" w:color="auto"/>
        <w:left w:val="none" w:sz="0" w:space="0" w:color="auto"/>
        <w:bottom w:val="none" w:sz="0" w:space="0" w:color="auto"/>
        <w:right w:val="none" w:sz="0" w:space="0" w:color="auto"/>
      </w:divBdr>
    </w:div>
    <w:div w:id="1179999632">
      <w:bodyDiv w:val="1"/>
      <w:marLeft w:val="0"/>
      <w:marRight w:val="0"/>
      <w:marTop w:val="0"/>
      <w:marBottom w:val="0"/>
      <w:divBdr>
        <w:top w:val="none" w:sz="0" w:space="0" w:color="auto"/>
        <w:left w:val="none" w:sz="0" w:space="0" w:color="auto"/>
        <w:bottom w:val="none" w:sz="0" w:space="0" w:color="auto"/>
        <w:right w:val="none" w:sz="0" w:space="0" w:color="auto"/>
      </w:divBdr>
    </w:div>
    <w:div w:id="1191066272">
      <w:bodyDiv w:val="1"/>
      <w:marLeft w:val="0"/>
      <w:marRight w:val="0"/>
      <w:marTop w:val="0"/>
      <w:marBottom w:val="0"/>
      <w:divBdr>
        <w:top w:val="none" w:sz="0" w:space="0" w:color="auto"/>
        <w:left w:val="none" w:sz="0" w:space="0" w:color="auto"/>
        <w:bottom w:val="none" w:sz="0" w:space="0" w:color="auto"/>
        <w:right w:val="none" w:sz="0" w:space="0" w:color="auto"/>
      </w:divBdr>
      <w:divsChild>
        <w:div w:id="1764258665">
          <w:marLeft w:val="0"/>
          <w:marRight w:val="0"/>
          <w:marTop w:val="0"/>
          <w:marBottom w:val="0"/>
          <w:divBdr>
            <w:top w:val="none" w:sz="0" w:space="0" w:color="auto"/>
            <w:left w:val="none" w:sz="0" w:space="0" w:color="auto"/>
            <w:bottom w:val="none" w:sz="0" w:space="0" w:color="auto"/>
            <w:right w:val="none" w:sz="0" w:space="0" w:color="auto"/>
          </w:divBdr>
        </w:div>
        <w:div w:id="502739419">
          <w:marLeft w:val="0"/>
          <w:marRight w:val="0"/>
          <w:marTop w:val="0"/>
          <w:marBottom w:val="0"/>
          <w:divBdr>
            <w:top w:val="none" w:sz="0" w:space="0" w:color="auto"/>
            <w:left w:val="none" w:sz="0" w:space="0" w:color="auto"/>
            <w:bottom w:val="none" w:sz="0" w:space="0" w:color="auto"/>
            <w:right w:val="none" w:sz="0" w:space="0" w:color="auto"/>
          </w:divBdr>
        </w:div>
        <w:div w:id="720904503">
          <w:marLeft w:val="0"/>
          <w:marRight w:val="0"/>
          <w:marTop w:val="0"/>
          <w:marBottom w:val="0"/>
          <w:divBdr>
            <w:top w:val="none" w:sz="0" w:space="0" w:color="auto"/>
            <w:left w:val="none" w:sz="0" w:space="0" w:color="auto"/>
            <w:bottom w:val="none" w:sz="0" w:space="0" w:color="auto"/>
            <w:right w:val="none" w:sz="0" w:space="0" w:color="auto"/>
          </w:divBdr>
        </w:div>
        <w:div w:id="1343820757">
          <w:marLeft w:val="0"/>
          <w:marRight w:val="0"/>
          <w:marTop w:val="0"/>
          <w:marBottom w:val="0"/>
          <w:divBdr>
            <w:top w:val="none" w:sz="0" w:space="0" w:color="auto"/>
            <w:left w:val="none" w:sz="0" w:space="0" w:color="auto"/>
            <w:bottom w:val="none" w:sz="0" w:space="0" w:color="auto"/>
            <w:right w:val="none" w:sz="0" w:space="0" w:color="auto"/>
          </w:divBdr>
        </w:div>
        <w:div w:id="1609777328">
          <w:marLeft w:val="0"/>
          <w:marRight w:val="0"/>
          <w:marTop w:val="0"/>
          <w:marBottom w:val="0"/>
          <w:divBdr>
            <w:top w:val="none" w:sz="0" w:space="0" w:color="auto"/>
            <w:left w:val="none" w:sz="0" w:space="0" w:color="auto"/>
            <w:bottom w:val="none" w:sz="0" w:space="0" w:color="auto"/>
            <w:right w:val="none" w:sz="0" w:space="0" w:color="auto"/>
          </w:divBdr>
        </w:div>
        <w:div w:id="1222598911">
          <w:marLeft w:val="0"/>
          <w:marRight w:val="0"/>
          <w:marTop w:val="0"/>
          <w:marBottom w:val="0"/>
          <w:divBdr>
            <w:top w:val="none" w:sz="0" w:space="0" w:color="auto"/>
            <w:left w:val="none" w:sz="0" w:space="0" w:color="auto"/>
            <w:bottom w:val="none" w:sz="0" w:space="0" w:color="auto"/>
            <w:right w:val="none" w:sz="0" w:space="0" w:color="auto"/>
          </w:divBdr>
        </w:div>
        <w:div w:id="678504007">
          <w:marLeft w:val="0"/>
          <w:marRight w:val="0"/>
          <w:marTop w:val="0"/>
          <w:marBottom w:val="0"/>
          <w:divBdr>
            <w:top w:val="none" w:sz="0" w:space="0" w:color="auto"/>
            <w:left w:val="none" w:sz="0" w:space="0" w:color="auto"/>
            <w:bottom w:val="none" w:sz="0" w:space="0" w:color="auto"/>
            <w:right w:val="none" w:sz="0" w:space="0" w:color="auto"/>
          </w:divBdr>
        </w:div>
        <w:div w:id="2048288442">
          <w:marLeft w:val="0"/>
          <w:marRight w:val="0"/>
          <w:marTop w:val="0"/>
          <w:marBottom w:val="0"/>
          <w:divBdr>
            <w:top w:val="none" w:sz="0" w:space="0" w:color="auto"/>
            <w:left w:val="none" w:sz="0" w:space="0" w:color="auto"/>
            <w:bottom w:val="none" w:sz="0" w:space="0" w:color="auto"/>
            <w:right w:val="none" w:sz="0" w:space="0" w:color="auto"/>
          </w:divBdr>
        </w:div>
        <w:div w:id="88043547">
          <w:marLeft w:val="0"/>
          <w:marRight w:val="0"/>
          <w:marTop w:val="0"/>
          <w:marBottom w:val="0"/>
          <w:divBdr>
            <w:top w:val="none" w:sz="0" w:space="0" w:color="auto"/>
            <w:left w:val="none" w:sz="0" w:space="0" w:color="auto"/>
            <w:bottom w:val="none" w:sz="0" w:space="0" w:color="auto"/>
            <w:right w:val="none" w:sz="0" w:space="0" w:color="auto"/>
          </w:divBdr>
        </w:div>
        <w:div w:id="1946571751">
          <w:marLeft w:val="0"/>
          <w:marRight w:val="0"/>
          <w:marTop w:val="0"/>
          <w:marBottom w:val="0"/>
          <w:divBdr>
            <w:top w:val="none" w:sz="0" w:space="0" w:color="auto"/>
            <w:left w:val="none" w:sz="0" w:space="0" w:color="auto"/>
            <w:bottom w:val="none" w:sz="0" w:space="0" w:color="auto"/>
            <w:right w:val="none" w:sz="0" w:space="0" w:color="auto"/>
          </w:divBdr>
        </w:div>
        <w:div w:id="1437823220">
          <w:marLeft w:val="0"/>
          <w:marRight w:val="0"/>
          <w:marTop w:val="0"/>
          <w:marBottom w:val="0"/>
          <w:divBdr>
            <w:top w:val="none" w:sz="0" w:space="0" w:color="auto"/>
            <w:left w:val="none" w:sz="0" w:space="0" w:color="auto"/>
            <w:bottom w:val="none" w:sz="0" w:space="0" w:color="auto"/>
            <w:right w:val="none" w:sz="0" w:space="0" w:color="auto"/>
          </w:divBdr>
        </w:div>
        <w:div w:id="1686594553">
          <w:marLeft w:val="0"/>
          <w:marRight w:val="0"/>
          <w:marTop w:val="0"/>
          <w:marBottom w:val="0"/>
          <w:divBdr>
            <w:top w:val="none" w:sz="0" w:space="0" w:color="auto"/>
            <w:left w:val="none" w:sz="0" w:space="0" w:color="auto"/>
            <w:bottom w:val="none" w:sz="0" w:space="0" w:color="auto"/>
            <w:right w:val="none" w:sz="0" w:space="0" w:color="auto"/>
          </w:divBdr>
        </w:div>
        <w:div w:id="1689792402">
          <w:marLeft w:val="0"/>
          <w:marRight w:val="0"/>
          <w:marTop w:val="0"/>
          <w:marBottom w:val="0"/>
          <w:divBdr>
            <w:top w:val="none" w:sz="0" w:space="0" w:color="auto"/>
            <w:left w:val="none" w:sz="0" w:space="0" w:color="auto"/>
            <w:bottom w:val="none" w:sz="0" w:space="0" w:color="auto"/>
            <w:right w:val="none" w:sz="0" w:space="0" w:color="auto"/>
          </w:divBdr>
        </w:div>
        <w:div w:id="265701060">
          <w:marLeft w:val="0"/>
          <w:marRight w:val="0"/>
          <w:marTop w:val="0"/>
          <w:marBottom w:val="0"/>
          <w:divBdr>
            <w:top w:val="none" w:sz="0" w:space="0" w:color="auto"/>
            <w:left w:val="none" w:sz="0" w:space="0" w:color="auto"/>
            <w:bottom w:val="none" w:sz="0" w:space="0" w:color="auto"/>
            <w:right w:val="none" w:sz="0" w:space="0" w:color="auto"/>
          </w:divBdr>
        </w:div>
        <w:div w:id="1954551317">
          <w:marLeft w:val="0"/>
          <w:marRight w:val="0"/>
          <w:marTop w:val="0"/>
          <w:marBottom w:val="0"/>
          <w:divBdr>
            <w:top w:val="none" w:sz="0" w:space="0" w:color="auto"/>
            <w:left w:val="none" w:sz="0" w:space="0" w:color="auto"/>
            <w:bottom w:val="none" w:sz="0" w:space="0" w:color="auto"/>
            <w:right w:val="none" w:sz="0" w:space="0" w:color="auto"/>
          </w:divBdr>
        </w:div>
        <w:div w:id="838546804">
          <w:marLeft w:val="0"/>
          <w:marRight w:val="0"/>
          <w:marTop w:val="0"/>
          <w:marBottom w:val="0"/>
          <w:divBdr>
            <w:top w:val="none" w:sz="0" w:space="0" w:color="auto"/>
            <w:left w:val="none" w:sz="0" w:space="0" w:color="auto"/>
            <w:bottom w:val="none" w:sz="0" w:space="0" w:color="auto"/>
            <w:right w:val="none" w:sz="0" w:space="0" w:color="auto"/>
          </w:divBdr>
        </w:div>
        <w:div w:id="1142651134">
          <w:marLeft w:val="0"/>
          <w:marRight w:val="0"/>
          <w:marTop w:val="0"/>
          <w:marBottom w:val="0"/>
          <w:divBdr>
            <w:top w:val="none" w:sz="0" w:space="0" w:color="auto"/>
            <w:left w:val="none" w:sz="0" w:space="0" w:color="auto"/>
            <w:bottom w:val="none" w:sz="0" w:space="0" w:color="auto"/>
            <w:right w:val="none" w:sz="0" w:space="0" w:color="auto"/>
          </w:divBdr>
        </w:div>
        <w:div w:id="1354846935">
          <w:marLeft w:val="0"/>
          <w:marRight w:val="0"/>
          <w:marTop w:val="0"/>
          <w:marBottom w:val="0"/>
          <w:divBdr>
            <w:top w:val="none" w:sz="0" w:space="0" w:color="auto"/>
            <w:left w:val="none" w:sz="0" w:space="0" w:color="auto"/>
            <w:bottom w:val="none" w:sz="0" w:space="0" w:color="auto"/>
            <w:right w:val="none" w:sz="0" w:space="0" w:color="auto"/>
          </w:divBdr>
        </w:div>
        <w:div w:id="461047078">
          <w:marLeft w:val="0"/>
          <w:marRight w:val="0"/>
          <w:marTop w:val="0"/>
          <w:marBottom w:val="0"/>
          <w:divBdr>
            <w:top w:val="none" w:sz="0" w:space="0" w:color="auto"/>
            <w:left w:val="none" w:sz="0" w:space="0" w:color="auto"/>
            <w:bottom w:val="none" w:sz="0" w:space="0" w:color="auto"/>
            <w:right w:val="none" w:sz="0" w:space="0" w:color="auto"/>
          </w:divBdr>
        </w:div>
        <w:div w:id="2128085094">
          <w:marLeft w:val="0"/>
          <w:marRight w:val="0"/>
          <w:marTop w:val="0"/>
          <w:marBottom w:val="0"/>
          <w:divBdr>
            <w:top w:val="none" w:sz="0" w:space="0" w:color="auto"/>
            <w:left w:val="none" w:sz="0" w:space="0" w:color="auto"/>
            <w:bottom w:val="none" w:sz="0" w:space="0" w:color="auto"/>
            <w:right w:val="none" w:sz="0" w:space="0" w:color="auto"/>
          </w:divBdr>
        </w:div>
        <w:div w:id="1194073849">
          <w:marLeft w:val="0"/>
          <w:marRight w:val="0"/>
          <w:marTop w:val="0"/>
          <w:marBottom w:val="0"/>
          <w:divBdr>
            <w:top w:val="none" w:sz="0" w:space="0" w:color="auto"/>
            <w:left w:val="none" w:sz="0" w:space="0" w:color="auto"/>
            <w:bottom w:val="none" w:sz="0" w:space="0" w:color="auto"/>
            <w:right w:val="none" w:sz="0" w:space="0" w:color="auto"/>
          </w:divBdr>
        </w:div>
        <w:div w:id="1417823024">
          <w:marLeft w:val="0"/>
          <w:marRight w:val="0"/>
          <w:marTop w:val="0"/>
          <w:marBottom w:val="0"/>
          <w:divBdr>
            <w:top w:val="none" w:sz="0" w:space="0" w:color="auto"/>
            <w:left w:val="none" w:sz="0" w:space="0" w:color="auto"/>
            <w:bottom w:val="none" w:sz="0" w:space="0" w:color="auto"/>
            <w:right w:val="none" w:sz="0" w:space="0" w:color="auto"/>
          </w:divBdr>
        </w:div>
        <w:div w:id="890002471">
          <w:marLeft w:val="0"/>
          <w:marRight w:val="0"/>
          <w:marTop w:val="0"/>
          <w:marBottom w:val="0"/>
          <w:divBdr>
            <w:top w:val="none" w:sz="0" w:space="0" w:color="auto"/>
            <w:left w:val="none" w:sz="0" w:space="0" w:color="auto"/>
            <w:bottom w:val="none" w:sz="0" w:space="0" w:color="auto"/>
            <w:right w:val="none" w:sz="0" w:space="0" w:color="auto"/>
          </w:divBdr>
        </w:div>
        <w:div w:id="1556307745">
          <w:marLeft w:val="0"/>
          <w:marRight w:val="0"/>
          <w:marTop w:val="0"/>
          <w:marBottom w:val="0"/>
          <w:divBdr>
            <w:top w:val="none" w:sz="0" w:space="0" w:color="auto"/>
            <w:left w:val="none" w:sz="0" w:space="0" w:color="auto"/>
            <w:bottom w:val="none" w:sz="0" w:space="0" w:color="auto"/>
            <w:right w:val="none" w:sz="0" w:space="0" w:color="auto"/>
          </w:divBdr>
        </w:div>
        <w:div w:id="660624683">
          <w:marLeft w:val="0"/>
          <w:marRight w:val="0"/>
          <w:marTop w:val="0"/>
          <w:marBottom w:val="0"/>
          <w:divBdr>
            <w:top w:val="none" w:sz="0" w:space="0" w:color="auto"/>
            <w:left w:val="none" w:sz="0" w:space="0" w:color="auto"/>
            <w:bottom w:val="none" w:sz="0" w:space="0" w:color="auto"/>
            <w:right w:val="none" w:sz="0" w:space="0" w:color="auto"/>
          </w:divBdr>
        </w:div>
        <w:div w:id="1856916810">
          <w:marLeft w:val="0"/>
          <w:marRight w:val="0"/>
          <w:marTop w:val="0"/>
          <w:marBottom w:val="0"/>
          <w:divBdr>
            <w:top w:val="none" w:sz="0" w:space="0" w:color="auto"/>
            <w:left w:val="none" w:sz="0" w:space="0" w:color="auto"/>
            <w:bottom w:val="none" w:sz="0" w:space="0" w:color="auto"/>
            <w:right w:val="none" w:sz="0" w:space="0" w:color="auto"/>
          </w:divBdr>
        </w:div>
        <w:div w:id="533811439">
          <w:marLeft w:val="0"/>
          <w:marRight w:val="0"/>
          <w:marTop w:val="0"/>
          <w:marBottom w:val="0"/>
          <w:divBdr>
            <w:top w:val="none" w:sz="0" w:space="0" w:color="auto"/>
            <w:left w:val="none" w:sz="0" w:space="0" w:color="auto"/>
            <w:bottom w:val="none" w:sz="0" w:space="0" w:color="auto"/>
            <w:right w:val="none" w:sz="0" w:space="0" w:color="auto"/>
          </w:divBdr>
        </w:div>
        <w:div w:id="132064079">
          <w:marLeft w:val="0"/>
          <w:marRight w:val="0"/>
          <w:marTop w:val="0"/>
          <w:marBottom w:val="0"/>
          <w:divBdr>
            <w:top w:val="none" w:sz="0" w:space="0" w:color="auto"/>
            <w:left w:val="none" w:sz="0" w:space="0" w:color="auto"/>
            <w:bottom w:val="none" w:sz="0" w:space="0" w:color="auto"/>
            <w:right w:val="none" w:sz="0" w:space="0" w:color="auto"/>
          </w:divBdr>
        </w:div>
        <w:div w:id="690301937">
          <w:marLeft w:val="0"/>
          <w:marRight w:val="0"/>
          <w:marTop w:val="0"/>
          <w:marBottom w:val="0"/>
          <w:divBdr>
            <w:top w:val="none" w:sz="0" w:space="0" w:color="auto"/>
            <w:left w:val="none" w:sz="0" w:space="0" w:color="auto"/>
            <w:bottom w:val="none" w:sz="0" w:space="0" w:color="auto"/>
            <w:right w:val="none" w:sz="0" w:space="0" w:color="auto"/>
          </w:divBdr>
        </w:div>
        <w:div w:id="1680351384">
          <w:marLeft w:val="0"/>
          <w:marRight w:val="0"/>
          <w:marTop w:val="0"/>
          <w:marBottom w:val="0"/>
          <w:divBdr>
            <w:top w:val="none" w:sz="0" w:space="0" w:color="auto"/>
            <w:left w:val="none" w:sz="0" w:space="0" w:color="auto"/>
            <w:bottom w:val="none" w:sz="0" w:space="0" w:color="auto"/>
            <w:right w:val="none" w:sz="0" w:space="0" w:color="auto"/>
          </w:divBdr>
        </w:div>
        <w:div w:id="178930624">
          <w:marLeft w:val="0"/>
          <w:marRight w:val="0"/>
          <w:marTop w:val="0"/>
          <w:marBottom w:val="0"/>
          <w:divBdr>
            <w:top w:val="none" w:sz="0" w:space="0" w:color="auto"/>
            <w:left w:val="none" w:sz="0" w:space="0" w:color="auto"/>
            <w:bottom w:val="none" w:sz="0" w:space="0" w:color="auto"/>
            <w:right w:val="none" w:sz="0" w:space="0" w:color="auto"/>
          </w:divBdr>
        </w:div>
        <w:div w:id="850341479">
          <w:marLeft w:val="0"/>
          <w:marRight w:val="0"/>
          <w:marTop w:val="0"/>
          <w:marBottom w:val="0"/>
          <w:divBdr>
            <w:top w:val="none" w:sz="0" w:space="0" w:color="auto"/>
            <w:left w:val="none" w:sz="0" w:space="0" w:color="auto"/>
            <w:bottom w:val="none" w:sz="0" w:space="0" w:color="auto"/>
            <w:right w:val="none" w:sz="0" w:space="0" w:color="auto"/>
          </w:divBdr>
        </w:div>
        <w:div w:id="1253509944">
          <w:marLeft w:val="0"/>
          <w:marRight w:val="0"/>
          <w:marTop w:val="0"/>
          <w:marBottom w:val="0"/>
          <w:divBdr>
            <w:top w:val="none" w:sz="0" w:space="0" w:color="auto"/>
            <w:left w:val="none" w:sz="0" w:space="0" w:color="auto"/>
            <w:bottom w:val="none" w:sz="0" w:space="0" w:color="auto"/>
            <w:right w:val="none" w:sz="0" w:space="0" w:color="auto"/>
          </w:divBdr>
        </w:div>
        <w:div w:id="1677490623">
          <w:marLeft w:val="0"/>
          <w:marRight w:val="0"/>
          <w:marTop w:val="0"/>
          <w:marBottom w:val="0"/>
          <w:divBdr>
            <w:top w:val="none" w:sz="0" w:space="0" w:color="auto"/>
            <w:left w:val="none" w:sz="0" w:space="0" w:color="auto"/>
            <w:bottom w:val="none" w:sz="0" w:space="0" w:color="auto"/>
            <w:right w:val="none" w:sz="0" w:space="0" w:color="auto"/>
          </w:divBdr>
        </w:div>
        <w:div w:id="1240405183">
          <w:marLeft w:val="0"/>
          <w:marRight w:val="0"/>
          <w:marTop w:val="0"/>
          <w:marBottom w:val="0"/>
          <w:divBdr>
            <w:top w:val="none" w:sz="0" w:space="0" w:color="auto"/>
            <w:left w:val="none" w:sz="0" w:space="0" w:color="auto"/>
            <w:bottom w:val="none" w:sz="0" w:space="0" w:color="auto"/>
            <w:right w:val="none" w:sz="0" w:space="0" w:color="auto"/>
          </w:divBdr>
        </w:div>
        <w:div w:id="1846507569">
          <w:marLeft w:val="0"/>
          <w:marRight w:val="0"/>
          <w:marTop w:val="0"/>
          <w:marBottom w:val="0"/>
          <w:divBdr>
            <w:top w:val="none" w:sz="0" w:space="0" w:color="auto"/>
            <w:left w:val="none" w:sz="0" w:space="0" w:color="auto"/>
            <w:bottom w:val="none" w:sz="0" w:space="0" w:color="auto"/>
            <w:right w:val="none" w:sz="0" w:space="0" w:color="auto"/>
          </w:divBdr>
        </w:div>
        <w:div w:id="214514186">
          <w:marLeft w:val="0"/>
          <w:marRight w:val="0"/>
          <w:marTop w:val="0"/>
          <w:marBottom w:val="0"/>
          <w:divBdr>
            <w:top w:val="none" w:sz="0" w:space="0" w:color="auto"/>
            <w:left w:val="none" w:sz="0" w:space="0" w:color="auto"/>
            <w:bottom w:val="none" w:sz="0" w:space="0" w:color="auto"/>
            <w:right w:val="none" w:sz="0" w:space="0" w:color="auto"/>
          </w:divBdr>
        </w:div>
        <w:div w:id="992373682">
          <w:marLeft w:val="0"/>
          <w:marRight w:val="0"/>
          <w:marTop w:val="0"/>
          <w:marBottom w:val="0"/>
          <w:divBdr>
            <w:top w:val="none" w:sz="0" w:space="0" w:color="auto"/>
            <w:left w:val="none" w:sz="0" w:space="0" w:color="auto"/>
            <w:bottom w:val="none" w:sz="0" w:space="0" w:color="auto"/>
            <w:right w:val="none" w:sz="0" w:space="0" w:color="auto"/>
          </w:divBdr>
        </w:div>
        <w:div w:id="633364691">
          <w:marLeft w:val="0"/>
          <w:marRight w:val="0"/>
          <w:marTop w:val="0"/>
          <w:marBottom w:val="0"/>
          <w:divBdr>
            <w:top w:val="none" w:sz="0" w:space="0" w:color="auto"/>
            <w:left w:val="none" w:sz="0" w:space="0" w:color="auto"/>
            <w:bottom w:val="none" w:sz="0" w:space="0" w:color="auto"/>
            <w:right w:val="none" w:sz="0" w:space="0" w:color="auto"/>
          </w:divBdr>
        </w:div>
        <w:div w:id="355810344">
          <w:marLeft w:val="0"/>
          <w:marRight w:val="0"/>
          <w:marTop w:val="0"/>
          <w:marBottom w:val="0"/>
          <w:divBdr>
            <w:top w:val="none" w:sz="0" w:space="0" w:color="auto"/>
            <w:left w:val="none" w:sz="0" w:space="0" w:color="auto"/>
            <w:bottom w:val="none" w:sz="0" w:space="0" w:color="auto"/>
            <w:right w:val="none" w:sz="0" w:space="0" w:color="auto"/>
          </w:divBdr>
        </w:div>
        <w:div w:id="1665814168">
          <w:marLeft w:val="0"/>
          <w:marRight w:val="0"/>
          <w:marTop w:val="0"/>
          <w:marBottom w:val="0"/>
          <w:divBdr>
            <w:top w:val="none" w:sz="0" w:space="0" w:color="auto"/>
            <w:left w:val="none" w:sz="0" w:space="0" w:color="auto"/>
            <w:bottom w:val="none" w:sz="0" w:space="0" w:color="auto"/>
            <w:right w:val="none" w:sz="0" w:space="0" w:color="auto"/>
          </w:divBdr>
        </w:div>
        <w:div w:id="1074474696">
          <w:marLeft w:val="0"/>
          <w:marRight w:val="0"/>
          <w:marTop w:val="0"/>
          <w:marBottom w:val="0"/>
          <w:divBdr>
            <w:top w:val="none" w:sz="0" w:space="0" w:color="auto"/>
            <w:left w:val="none" w:sz="0" w:space="0" w:color="auto"/>
            <w:bottom w:val="none" w:sz="0" w:space="0" w:color="auto"/>
            <w:right w:val="none" w:sz="0" w:space="0" w:color="auto"/>
          </w:divBdr>
        </w:div>
        <w:div w:id="1043215094">
          <w:marLeft w:val="0"/>
          <w:marRight w:val="0"/>
          <w:marTop w:val="0"/>
          <w:marBottom w:val="0"/>
          <w:divBdr>
            <w:top w:val="none" w:sz="0" w:space="0" w:color="auto"/>
            <w:left w:val="none" w:sz="0" w:space="0" w:color="auto"/>
            <w:bottom w:val="none" w:sz="0" w:space="0" w:color="auto"/>
            <w:right w:val="none" w:sz="0" w:space="0" w:color="auto"/>
          </w:divBdr>
        </w:div>
        <w:div w:id="330643007">
          <w:marLeft w:val="0"/>
          <w:marRight w:val="0"/>
          <w:marTop w:val="0"/>
          <w:marBottom w:val="0"/>
          <w:divBdr>
            <w:top w:val="none" w:sz="0" w:space="0" w:color="auto"/>
            <w:left w:val="none" w:sz="0" w:space="0" w:color="auto"/>
            <w:bottom w:val="none" w:sz="0" w:space="0" w:color="auto"/>
            <w:right w:val="none" w:sz="0" w:space="0" w:color="auto"/>
          </w:divBdr>
        </w:div>
        <w:div w:id="810751424">
          <w:marLeft w:val="0"/>
          <w:marRight w:val="0"/>
          <w:marTop w:val="0"/>
          <w:marBottom w:val="0"/>
          <w:divBdr>
            <w:top w:val="none" w:sz="0" w:space="0" w:color="auto"/>
            <w:left w:val="none" w:sz="0" w:space="0" w:color="auto"/>
            <w:bottom w:val="none" w:sz="0" w:space="0" w:color="auto"/>
            <w:right w:val="none" w:sz="0" w:space="0" w:color="auto"/>
          </w:divBdr>
        </w:div>
        <w:div w:id="1882328552">
          <w:marLeft w:val="0"/>
          <w:marRight w:val="0"/>
          <w:marTop w:val="0"/>
          <w:marBottom w:val="0"/>
          <w:divBdr>
            <w:top w:val="none" w:sz="0" w:space="0" w:color="auto"/>
            <w:left w:val="none" w:sz="0" w:space="0" w:color="auto"/>
            <w:bottom w:val="none" w:sz="0" w:space="0" w:color="auto"/>
            <w:right w:val="none" w:sz="0" w:space="0" w:color="auto"/>
          </w:divBdr>
        </w:div>
        <w:div w:id="59602580">
          <w:marLeft w:val="0"/>
          <w:marRight w:val="0"/>
          <w:marTop w:val="0"/>
          <w:marBottom w:val="0"/>
          <w:divBdr>
            <w:top w:val="none" w:sz="0" w:space="0" w:color="auto"/>
            <w:left w:val="none" w:sz="0" w:space="0" w:color="auto"/>
            <w:bottom w:val="none" w:sz="0" w:space="0" w:color="auto"/>
            <w:right w:val="none" w:sz="0" w:space="0" w:color="auto"/>
          </w:divBdr>
        </w:div>
        <w:div w:id="1178615332">
          <w:marLeft w:val="0"/>
          <w:marRight w:val="0"/>
          <w:marTop w:val="0"/>
          <w:marBottom w:val="0"/>
          <w:divBdr>
            <w:top w:val="none" w:sz="0" w:space="0" w:color="auto"/>
            <w:left w:val="none" w:sz="0" w:space="0" w:color="auto"/>
            <w:bottom w:val="none" w:sz="0" w:space="0" w:color="auto"/>
            <w:right w:val="none" w:sz="0" w:space="0" w:color="auto"/>
          </w:divBdr>
        </w:div>
        <w:div w:id="383603559">
          <w:marLeft w:val="0"/>
          <w:marRight w:val="0"/>
          <w:marTop w:val="0"/>
          <w:marBottom w:val="0"/>
          <w:divBdr>
            <w:top w:val="none" w:sz="0" w:space="0" w:color="auto"/>
            <w:left w:val="none" w:sz="0" w:space="0" w:color="auto"/>
            <w:bottom w:val="none" w:sz="0" w:space="0" w:color="auto"/>
            <w:right w:val="none" w:sz="0" w:space="0" w:color="auto"/>
          </w:divBdr>
        </w:div>
      </w:divsChild>
    </w:div>
    <w:div w:id="1351106595">
      <w:bodyDiv w:val="1"/>
      <w:marLeft w:val="0"/>
      <w:marRight w:val="0"/>
      <w:marTop w:val="0"/>
      <w:marBottom w:val="0"/>
      <w:divBdr>
        <w:top w:val="none" w:sz="0" w:space="0" w:color="auto"/>
        <w:left w:val="none" w:sz="0" w:space="0" w:color="auto"/>
        <w:bottom w:val="none" w:sz="0" w:space="0" w:color="auto"/>
        <w:right w:val="none" w:sz="0" w:space="0" w:color="auto"/>
      </w:divBdr>
    </w:div>
    <w:div w:id="1396510251">
      <w:bodyDiv w:val="1"/>
      <w:marLeft w:val="0"/>
      <w:marRight w:val="0"/>
      <w:marTop w:val="0"/>
      <w:marBottom w:val="0"/>
      <w:divBdr>
        <w:top w:val="none" w:sz="0" w:space="0" w:color="auto"/>
        <w:left w:val="none" w:sz="0" w:space="0" w:color="auto"/>
        <w:bottom w:val="none" w:sz="0" w:space="0" w:color="auto"/>
        <w:right w:val="none" w:sz="0" w:space="0" w:color="auto"/>
      </w:divBdr>
    </w:div>
    <w:div w:id="1487935549">
      <w:bodyDiv w:val="1"/>
      <w:marLeft w:val="0"/>
      <w:marRight w:val="0"/>
      <w:marTop w:val="0"/>
      <w:marBottom w:val="0"/>
      <w:divBdr>
        <w:top w:val="none" w:sz="0" w:space="0" w:color="auto"/>
        <w:left w:val="none" w:sz="0" w:space="0" w:color="auto"/>
        <w:bottom w:val="none" w:sz="0" w:space="0" w:color="auto"/>
        <w:right w:val="none" w:sz="0" w:space="0" w:color="auto"/>
      </w:divBdr>
    </w:div>
    <w:div w:id="1576475686">
      <w:bodyDiv w:val="1"/>
      <w:marLeft w:val="0"/>
      <w:marRight w:val="0"/>
      <w:marTop w:val="0"/>
      <w:marBottom w:val="0"/>
      <w:divBdr>
        <w:top w:val="none" w:sz="0" w:space="0" w:color="auto"/>
        <w:left w:val="none" w:sz="0" w:space="0" w:color="auto"/>
        <w:bottom w:val="none" w:sz="0" w:space="0" w:color="auto"/>
        <w:right w:val="none" w:sz="0" w:space="0" w:color="auto"/>
      </w:divBdr>
    </w:div>
    <w:div w:id="1620377647">
      <w:bodyDiv w:val="1"/>
      <w:marLeft w:val="0"/>
      <w:marRight w:val="0"/>
      <w:marTop w:val="0"/>
      <w:marBottom w:val="0"/>
      <w:divBdr>
        <w:top w:val="none" w:sz="0" w:space="0" w:color="auto"/>
        <w:left w:val="none" w:sz="0" w:space="0" w:color="auto"/>
        <w:bottom w:val="none" w:sz="0" w:space="0" w:color="auto"/>
        <w:right w:val="none" w:sz="0" w:space="0" w:color="auto"/>
      </w:divBdr>
    </w:div>
    <w:div w:id="1649436431">
      <w:bodyDiv w:val="1"/>
      <w:marLeft w:val="0"/>
      <w:marRight w:val="0"/>
      <w:marTop w:val="0"/>
      <w:marBottom w:val="0"/>
      <w:divBdr>
        <w:top w:val="none" w:sz="0" w:space="0" w:color="auto"/>
        <w:left w:val="none" w:sz="0" w:space="0" w:color="auto"/>
        <w:bottom w:val="none" w:sz="0" w:space="0" w:color="auto"/>
        <w:right w:val="none" w:sz="0" w:space="0" w:color="auto"/>
      </w:divBdr>
    </w:div>
    <w:div w:id="1797599437">
      <w:bodyDiv w:val="1"/>
      <w:marLeft w:val="0"/>
      <w:marRight w:val="0"/>
      <w:marTop w:val="0"/>
      <w:marBottom w:val="0"/>
      <w:divBdr>
        <w:top w:val="none" w:sz="0" w:space="0" w:color="auto"/>
        <w:left w:val="none" w:sz="0" w:space="0" w:color="auto"/>
        <w:bottom w:val="none" w:sz="0" w:space="0" w:color="auto"/>
        <w:right w:val="none" w:sz="0" w:space="0" w:color="auto"/>
      </w:divBdr>
    </w:div>
    <w:div w:id="1801654093">
      <w:bodyDiv w:val="1"/>
      <w:marLeft w:val="0"/>
      <w:marRight w:val="0"/>
      <w:marTop w:val="0"/>
      <w:marBottom w:val="0"/>
      <w:divBdr>
        <w:top w:val="none" w:sz="0" w:space="0" w:color="auto"/>
        <w:left w:val="none" w:sz="0" w:space="0" w:color="auto"/>
        <w:bottom w:val="none" w:sz="0" w:space="0" w:color="auto"/>
        <w:right w:val="none" w:sz="0" w:space="0" w:color="auto"/>
      </w:divBdr>
    </w:div>
    <w:div w:id="20646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yee.mei.ling@sgh.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2E66-A721-4F44-A8D3-DD9BE26C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8508</Words>
  <Characters>48496</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Mei Ling</dc:creator>
  <cp:lastModifiedBy>Na Ma</cp:lastModifiedBy>
  <cp:revision>2</cp:revision>
  <dcterms:created xsi:type="dcterms:W3CDTF">2017-06-12T19:30:00Z</dcterms:created>
  <dcterms:modified xsi:type="dcterms:W3CDTF">2017-06-12T19:30:00Z</dcterms:modified>
</cp:coreProperties>
</file>