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B14BC" w14:textId="17111D52" w:rsidR="00497DE3" w:rsidRPr="00CE23A4" w:rsidRDefault="00497DE3" w:rsidP="002804C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CE23A4">
        <w:rPr>
          <w:rFonts w:ascii="Book Antiqua" w:eastAsia="Times New Roman" w:hAnsi="Book Antiqua" w:cs="Arial"/>
          <w:b/>
          <w:sz w:val="24"/>
          <w:szCs w:val="24"/>
        </w:rPr>
        <w:t xml:space="preserve">Name of </w:t>
      </w:r>
      <w:r w:rsidRPr="00CE23A4">
        <w:rPr>
          <w:rFonts w:ascii="Book Antiqua" w:eastAsia="Times New Roman" w:hAnsi="Book Antiqua" w:cs="Arial"/>
          <w:b/>
          <w:caps/>
          <w:sz w:val="24"/>
          <w:szCs w:val="24"/>
        </w:rPr>
        <w:t>j</w:t>
      </w:r>
      <w:r w:rsidRPr="00CE23A4">
        <w:rPr>
          <w:rFonts w:ascii="Book Antiqua" w:eastAsia="Times New Roman" w:hAnsi="Book Antiqua" w:cs="Arial"/>
          <w:b/>
          <w:sz w:val="24"/>
          <w:szCs w:val="24"/>
        </w:rPr>
        <w:t xml:space="preserve">ournal: </w:t>
      </w:r>
      <w:r w:rsidRPr="00CE23A4">
        <w:rPr>
          <w:rFonts w:ascii="Book Antiqua" w:eastAsia="Times New Roman" w:hAnsi="Book Antiqua" w:cs="Arial"/>
          <w:b/>
          <w:i/>
          <w:sz w:val="24"/>
          <w:szCs w:val="24"/>
        </w:rPr>
        <w:t xml:space="preserve">World Journal of </w:t>
      </w:r>
      <w:proofErr w:type="spellStart"/>
      <w:r w:rsidR="0055686A" w:rsidRPr="00CE23A4">
        <w:rPr>
          <w:rFonts w:ascii="Book Antiqua" w:eastAsia="Times New Roman" w:hAnsi="Book Antiqua" w:cs="Arial"/>
          <w:b/>
          <w:i/>
          <w:sz w:val="24"/>
          <w:szCs w:val="24"/>
        </w:rPr>
        <w:t>Hepatology</w:t>
      </w:r>
      <w:proofErr w:type="spellEnd"/>
    </w:p>
    <w:p w14:paraId="1D076171" w14:textId="23674925" w:rsidR="00497DE3" w:rsidRPr="00CE23A4" w:rsidRDefault="00497DE3" w:rsidP="002804CB">
      <w:pPr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CE23A4">
        <w:rPr>
          <w:rFonts w:ascii="Book Antiqua" w:eastAsia="Times New Roman" w:hAnsi="Book Antiqua" w:cs="Arial"/>
          <w:b/>
          <w:sz w:val="24"/>
          <w:szCs w:val="24"/>
        </w:rPr>
        <w:t>Manuscript No:</w:t>
      </w:r>
      <w:r w:rsidR="002804CB" w:rsidRPr="00CE23A4">
        <w:rPr>
          <w:rFonts w:ascii="Book Antiqua" w:hAnsi="Book Antiqua" w:cs="Arial" w:hint="eastAsia"/>
          <w:b/>
          <w:sz w:val="24"/>
          <w:szCs w:val="24"/>
          <w:lang w:eastAsia="zh-CN"/>
        </w:rPr>
        <w:t xml:space="preserve"> </w:t>
      </w:r>
      <w:r w:rsidR="0055686A" w:rsidRPr="00CE23A4">
        <w:rPr>
          <w:rFonts w:ascii="Book Antiqua" w:eastAsia="Times New Roman" w:hAnsi="Book Antiqua" w:cs="Arial"/>
          <w:b/>
          <w:sz w:val="24"/>
          <w:szCs w:val="24"/>
        </w:rPr>
        <w:t>32658</w:t>
      </w:r>
    </w:p>
    <w:p w14:paraId="3F31EA51" w14:textId="2E3B16C6" w:rsidR="00497DE3" w:rsidRPr="00CE23A4" w:rsidRDefault="00497DE3" w:rsidP="002804CB">
      <w:pPr>
        <w:snapToGrid w:val="0"/>
        <w:spacing w:after="0" w:line="360" w:lineRule="auto"/>
        <w:jc w:val="both"/>
        <w:rPr>
          <w:rFonts w:ascii="Book Antiqua" w:eastAsia="Times New Roman" w:hAnsi="Book Antiqua" w:cs="Oswald"/>
          <w:sz w:val="24"/>
          <w:szCs w:val="24"/>
        </w:rPr>
      </w:pPr>
      <w:r w:rsidRPr="00CE23A4">
        <w:rPr>
          <w:rFonts w:ascii="Book Antiqua" w:eastAsia="Times New Roman" w:hAnsi="Book Antiqua" w:cs="Arial"/>
          <w:b/>
          <w:sz w:val="24"/>
          <w:szCs w:val="24"/>
        </w:rPr>
        <w:t>Manuscr</w:t>
      </w:r>
      <w:r w:rsidRPr="00CE23A4">
        <w:rPr>
          <w:rFonts w:ascii="Book Antiqua" w:eastAsia="Times New Roman" w:hAnsi="Book Antiqua" w:cs="Times New Roman"/>
          <w:b/>
          <w:sz w:val="24"/>
          <w:szCs w:val="24"/>
          <w:shd w:val="clear" w:color="auto" w:fill="FFFFFF"/>
        </w:rPr>
        <w:t>ipt Type</w:t>
      </w:r>
      <w:r w:rsidRPr="00CE23A4">
        <w:rPr>
          <w:rFonts w:ascii="Book Antiqua" w:eastAsia="Times New Roman" w:hAnsi="Book Antiqua" w:cs="Times New Roman"/>
          <w:b/>
          <w:sz w:val="24"/>
          <w:szCs w:val="24"/>
        </w:rPr>
        <w:t xml:space="preserve">: </w:t>
      </w:r>
      <w:r w:rsidR="00EC6932" w:rsidRPr="00CE23A4">
        <w:rPr>
          <w:rFonts w:ascii="Book Antiqua" w:eastAsia="Times New Roman" w:hAnsi="Book Antiqua" w:cs="Times New Roman"/>
          <w:b/>
          <w:sz w:val="24"/>
          <w:szCs w:val="24"/>
        </w:rPr>
        <w:t>Evidence</w:t>
      </w:r>
      <w:r w:rsidR="002804CB" w:rsidRPr="00CE23A4">
        <w:rPr>
          <w:rFonts w:ascii="Book Antiqua" w:hAnsi="Book Antiqua" w:cs="Times New Roman" w:hint="eastAsia"/>
          <w:b/>
          <w:sz w:val="24"/>
          <w:szCs w:val="24"/>
          <w:lang w:eastAsia="zh-CN"/>
        </w:rPr>
        <w:t>-</w:t>
      </w:r>
      <w:r w:rsidR="00EC6932" w:rsidRPr="00CE23A4">
        <w:rPr>
          <w:rFonts w:ascii="Book Antiqua" w:eastAsia="Times New Roman" w:hAnsi="Book Antiqua" w:cs="Times New Roman"/>
          <w:b/>
          <w:sz w:val="24"/>
          <w:szCs w:val="24"/>
        </w:rPr>
        <w:t>Based</w:t>
      </w:r>
      <w:r w:rsidRPr="00CE23A4">
        <w:rPr>
          <w:rFonts w:ascii="Book Antiqua" w:eastAsia="Times New Roman" w:hAnsi="Book Antiqua" w:cs="Times New Roman"/>
          <w:b/>
          <w:sz w:val="24"/>
          <w:szCs w:val="24"/>
        </w:rPr>
        <w:t> Medicine</w:t>
      </w:r>
    </w:p>
    <w:p w14:paraId="260489B9" w14:textId="77777777" w:rsidR="002804CB" w:rsidRPr="00CE23A4" w:rsidRDefault="002804CB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i/>
          <w:sz w:val="24"/>
          <w:szCs w:val="24"/>
          <w:lang w:eastAsia="zh-CN"/>
        </w:rPr>
      </w:pPr>
    </w:p>
    <w:p w14:paraId="73FA2E82" w14:textId="2A66C03C" w:rsidR="00F11404" w:rsidRPr="00CE23A4" w:rsidRDefault="00497DE3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Oswald"/>
          <w:b/>
          <w:sz w:val="24"/>
          <w:szCs w:val="24"/>
        </w:rPr>
      </w:pPr>
      <w:bookmarkStart w:id="0" w:name="OLE_LINK1122"/>
      <w:bookmarkStart w:id="1" w:name="OLE_LINK1123"/>
      <w:r w:rsidRPr="00CE23A4">
        <w:rPr>
          <w:rFonts w:ascii="Book Antiqua" w:eastAsia="Times New Roman" w:hAnsi="Book Antiqua" w:cs="Oswald"/>
          <w:b/>
          <w:sz w:val="24"/>
          <w:szCs w:val="24"/>
        </w:rPr>
        <w:t xml:space="preserve">Serum cholinesterase: </w:t>
      </w:r>
      <w:r w:rsidRPr="00CE23A4">
        <w:rPr>
          <w:rFonts w:ascii="Book Antiqua" w:eastAsia="Times New Roman" w:hAnsi="Book Antiqua" w:cs="Oswald"/>
          <w:b/>
          <w:caps/>
          <w:sz w:val="24"/>
          <w:szCs w:val="24"/>
        </w:rPr>
        <w:t>a</w:t>
      </w:r>
      <w:r w:rsidRPr="00CE23A4">
        <w:rPr>
          <w:rFonts w:ascii="Book Antiqua" w:eastAsia="Times New Roman" w:hAnsi="Book Antiqua" w:cs="Oswald"/>
          <w:b/>
          <w:sz w:val="24"/>
          <w:szCs w:val="24"/>
        </w:rPr>
        <w:t xml:space="preserve"> predictive biomarker of hepatic reserves in chronic hepatitis D</w:t>
      </w:r>
    </w:p>
    <w:bookmarkEnd w:id="0"/>
    <w:bookmarkEnd w:id="1"/>
    <w:p w14:paraId="0266CB8D" w14:textId="77777777" w:rsidR="00CE65DC" w:rsidRDefault="00CE65DC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sz w:val="24"/>
          <w:szCs w:val="24"/>
          <w:lang w:eastAsia="zh-CN"/>
        </w:rPr>
      </w:pPr>
    </w:p>
    <w:p w14:paraId="5FD721EB" w14:textId="1CAFA8C1" w:rsidR="00497DE3" w:rsidRPr="00CE23A4" w:rsidRDefault="00497DE3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Oswald"/>
          <w:sz w:val="24"/>
          <w:szCs w:val="24"/>
        </w:rPr>
      </w:pPr>
      <w:r w:rsidRPr="00CE23A4">
        <w:rPr>
          <w:rFonts w:ascii="Book Antiqua" w:eastAsia="Times New Roman" w:hAnsi="Book Antiqua" w:cs="Oswald"/>
          <w:sz w:val="24"/>
          <w:szCs w:val="24"/>
        </w:rPr>
        <w:t xml:space="preserve">Abbas M </w:t>
      </w:r>
      <w:r w:rsidRPr="00CE23A4">
        <w:rPr>
          <w:rFonts w:ascii="Book Antiqua" w:eastAsia="Times New Roman" w:hAnsi="Book Antiqua" w:cs="Oswald"/>
          <w:i/>
          <w:sz w:val="24"/>
          <w:szCs w:val="24"/>
        </w:rPr>
        <w:t>et al</w:t>
      </w:r>
      <w:r w:rsidRPr="00CE23A4">
        <w:rPr>
          <w:rFonts w:ascii="Book Antiqua" w:eastAsia="Times New Roman" w:hAnsi="Book Antiqua" w:cs="Oswald"/>
          <w:sz w:val="24"/>
          <w:szCs w:val="24"/>
        </w:rPr>
        <w:t>.</w:t>
      </w:r>
      <w:r w:rsidR="002804CB"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eastAsia="Times New Roman" w:hAnsi="Book Antiqua" w:cs="Oswald"/>
          <w:sz w:val="24"/>
          <w:szCs w:val="24"/>
        </w:rPr>
        <w:t>Cholinesterase predicts hepatic reserve</w:t>
      </w:r>
    </w:p>
    <w:p w14:paraId="5B3D1567" w14:textId="77777777" w:rsidR="00497DE3" w:rsidRPr="00CE23A4" w:rsidRDefault="00497DE3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Oswald"/>
          <w:sz w:val="24"/>
          <w:szCs w:val="24"/>
          <w:lang w:val="en"/>
        </w:rPr>
      </w:pPr>
    </w:p>
    <w:p w14:paraId="516AF2DF" w14:textId="530CAEE3" w:rsidR="00F11404" w:rsidRPr="00CE23A4" w:rsidRDefault="00F11404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Oswald"/>
          <w:b/>
          <w:sz w:val="24"/>
          <w:szCs w:val="24"/>
          <w:lang w:val="en"/>
        </w:rPr>
      </w:pPr>
      <w:r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 xml:space="preserve">Minaam </w:t>
      </w:r>
      <w:r w:rsidRPr="00CE23A4">
        <w:rPr>
          <w:rFonts w:ascii="Book Antiqua" w:eastAsia="Times New Roman" w:hAnsi="Book Antiqua" w:cs="Oswald"/>
          <w:b/>
          <w:sz w:val="24"/>
          <w:szCs w:val="24"/>
          <w:lang w:val="en-GB"/>
        </w:rPr>
        <w:t>A</w:t>
      </w:r>
      <w:r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>bbas,</w:t>
      </w:r>
      <w:r w:rsidR="002804CB" w:rsidRPr="00CE23A4">
        <w:rPr>
          <w:rFonts w:ascii="Book Antiqua" w:hAnsi="Book Antiqua" w:cs="Oswald" w:hint="eastAsia"/>
          <w:b/>
          <w:sz w:val="24"/>
          <w:szCs w:val="24"/>
          <w:lang w:val="en" w:eastAsia="zh-CN"/>
        </w:rPr>
        <w:t xml:space="preserve"> </w:t>
      </w:r>
      <w:r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>Zaigham Abbas</w:t>
      </w:r>
    </w:p>
    <w:p w14:paraId="0EF448C7" w14:textId="77777777" w:rsidR="00AB33B6" w:rsidRPr="00CE23A4" w:rsidRDefault="00AB33B6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val="nl-NL" w:eastAsia="zh-CN"/>
        </w:rPr>
      </w:pPr>
    </w:p>
    <w:p w14:paraId="4C98C61F" w14:textId="29A33714" w:rsidR="00497DE3" w:rsidRPr="00CE23A4" w:rsidRDefault="00497DE3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</w:pP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val="nl-NL" w:eastAsia="zh-CN"/>
        </w:rPr>
        <w:t>Minaam Abbas</w:t>
      </w:r>
      <w:r w:rsidR="004B106C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  <w:t xml:space="preserve">, </w:t>
      </w:r>
      <w:r w:rsidR="00480F8A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  <w:t>School of Clinical Medicine</w:t>
      </w:r>
      <w:r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  <w:t>, University of Cambridge,</w:t>
      </w:r>
      <w:r w:rsidR="00CA33AF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  <w:t xml:space="preserve"> Addenbrooke's Hospital, Hills Rd, Cambridge</w:t>
      </w:r>
      <w:r w:rsidR="002804CB" w:rsidRPr="00CE23A4">
        <w:rPr>
          <w:rFonts w:ascii="Book Antiqua" w:eastAsia="Arial Unicode MS" w:hAnsi="Book Antiqua" w:cs="Arial" w:hint="eastAsia"/>
          <w:bCs/>
          <w:sz w:val="24"/>
          <w:szCs w:val="24"/>
          <w:u w:color="000000"/>
          <w:bdr w:val="nil"/>
          <w:lang w:val="nl-NL" w:eastAsia="zh-CN"/>
        </w:rPr>
        <w:t xml:space="preserve"> </w:t>
      </w:r>
      <w:r w:rsidR="002804CB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  <w:t>CB2 0SP</w:t>
      </w:r>
      <w:r w:rsidR="00CA33AF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val="nl-NL" w:eastAsia="zh-CN"/>
        </w:rPr>
        <w:t>, U</w:t>
      </w:r>
      <w:r w:rsidR="002804CB" w:rsidRPr="00CE23A4">
        <w:rPr>
          <w:rFonts w:ascii="Book Antiqua" w:eastAsia="Arial Unicode MS" w:hAnsi="Book Antiqua" w:cs="Arial" w:hint="eastAsia"/>
          <w:bCs/>
          <w:sz w:val="24"/>
          <w:szCs w:val="24"/>
          <w:u w:color="000000"/>
          <w:bdr w:val="nil"/>
          <w:lang w:val="nl-NL" w:eastAsia="zh-CN"/>
        </w:rPr>
        <w:t>nited Kingdorm</w:t>
      </w:r>
    </w:p>
    <w:p w14:paraId="74CF44B4" w14:textId="77777777" w:rsidR="006B3856" w:rsidRPr="00CE23A4" w:rsidRDefault="006B3856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val="nl-NL" w:eastAsia="zh-CN"/>
        </w:rPr>
      </w:pPr>
      <w:bookmarkStart w:id="2" w:name="OLE_LINK231"/>
    </w:p>
    <w:p w14:paraId="305EDC04" w14:textId="27B619E4" w:rsidR="00497DE3" w:rsidRPr="00CE23A4" w:rsidRDefault="00497DE3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</w:pP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val="nl-NL" w:eastAsia="zh-CN"/>
        </w:rPr>
        <w:t>Zaigham Abbas,</w:t>
      </w:r>
      <w:r w:rsidR="00AB33B6" w:rsidRPr="00CE23A4">
        <w:rPr>
          <w:rFonts w:ascii="Book Antiqua" w:eastAsia="Arial Unicode MS" w:hAnsi="Book Antiqua" w:cs="Arial"/>
          <w:b/>
          <w:sz w:val="24"/>
          <w:szCs w:val="24"/>
          <w:u w:color="000000"/>
          <w:bdr w:val="nil"/>
          <w:lang w:eastAsia="en-GB"/>
        </w:rPr>
        <w:t xml:space="preserve"> </w:t>
      </w:r>
      <w:proofErr w:type="spellStart"/>
      <w:r w:rsidR="00AB33B6" w:rsidRPr="00CE23A4">
        <w:rPr>
          <w:rFonts w:ascii="Book Antiqua" w:eastAsia="Arial Unicode MS" w:hAnsi="Book Antiqua" w:cs="Arial"/>
          <w:b/>
          <w:sz w:val="24"/>
          <w:szCs w:val="24"/>
          <w:u w:color="000000"/>
          <w:bdr w:val="nil"/>
          <w:lang w:eastAsia="en-GB"/>
        </w:rPr>
        <w:t>Minaam</w:t>
      </w:r>
      <w:proofErr w:type="spellEnd"/>
      <w:r w:rsidR="00AB33B6" w:rsidRPr="00CE23A4">
        <w:rPr>
          <w:rFonts w:ascii="Book Antiqua" w:eastAsia="Arial Unicode MS" w:hAnsi="Book Antiqua" w:cs="Arial"/>
          <w:b/>
          <w:sz w:val="24"/>
          <w:szCs w:val="24"/>
          <w:u w:color="000000"/>
          <w:bdr w:val="nil"/>
          <w:lang w:eastAsia="en-GB"/>
        </w:rPr>
        <w:t xml:space="preserve"> Abbas</w:t>
      </w:r>
      <w:r w:rsidR="002804CB" w:rsidRPr="00CE23A4">
        <w:rPr>
          <w:rFonts w:ascii="Book Antiqua" w:eastAsia="Arial Unicode MS" w:hAnsi="Book Antiqua" w:cs="Arial" w:hint="eastAsia"/>
          <w:sz w:val="24"/>
          <w:szCs w:val="24"/>
          <w:u w:color="000000"/>
          <w:bdr w:val="nil"/>
          <w:lang w:eastAsia="zh-CN"/>
        </w:rPr>
        <w:t xml:space="preserve">, 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Department of Medicine, Orthopedic and Medical Institute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  <w:t xml:space="preserve">, 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Karachi</w:t>
      </w:r>
      <w:r w:rsidR="009D575D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vertAlign w:val="superscript"/>
          <w:lang w:eastAsia="zh-CN"/>
        </w:rPr>
        <w:t xml:space="preserve"> 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74400, Pakistan</w:t>
      </w:r>
    </w:p>
    <w:bookmarkEnd w:id="2"/>
    <w:p w14:paraId="422B5A59" w14:textId="77777777" w:rsidR="00497DE3" w:rsidRPr="00D80FC5" w:rsidRDefault="00497DE3" w:rsidP="002804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  <w:u w:color="000000"/>
          <w:bdr w:val="nil"/>
          <w:lang w:eastAsia="en-GB"/>
        </w:rPr>
      </w:pPr>
    </w:p>
    <w:p w14:paraId="1435DA75" w14:textId="5BF1591B" w:rsidR="00497DE3" w:rsidRPr="00CE23A4" w:rsidRDefault="00497DE3" w:rsidP="002804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napToGrid w:val="0"/>
        <w:spacing w:after="0" w:line="360" w:lineRule="auto"/>
        <w:jc w:val="both"/>
        <w:rPr>
          <w:rFonts w:ascii="Book Antiqua" w:eastAsiaTheme="minorEastAsia" w:hAnsi="Book Antiqua" w:cs="Arial"/>
          <w:bCs/>
          <w:sz w:val="24"/>
          <w:szCs w:val="24"/>
          <w:u w:color="000000"/>
          <w:bdr w:val="nil"/>
          <w:lang w:eastAsia="zh-CN"/>
        </w:rPr>
      </w:pPr>
      <w:r w:rsidRPr="00CE23A4">
        <w:rPr>
          <w:rFonts w:ascii="Book Antiqua" w:eastAsia="Book Antiqua" w:hAnsi="Book Antiqua" w:cs="Arial"/>
          <w:b/>
          <w:bCs/>
          <w:sz w:val="24"/>
          <w:szCs w:val="24"/>
          <w:u w:color="000000"/>
          <w:bdr w:val="nil"/>
          <w:lang w:eastAsia="en-GB"/>
        </w:rPr>
        <w:t xml:space="preserve">Author contributions: </w:t>
      </w:r>
      <w:r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>Abbas M was responsible for the study conception and design</w:t>
      </w:r>
      <w:r w:rsidR="002804CB" w:rsidRPr="00CE23A4">
        <w:rPr>
          <w:rFonts w:ascii="Book Antiqua" w:hAnsi="Book Antiqua" w:cs="Arial" w:hint="eastAsia"/>
          <w:bCs/>
          <w:sz w:val="24"/>
          <w:szCs w:val="24"/>
          <w:u w:color="000000"/>
          <w:bdr w:val="nil"/>
          <w:lang w:eastAsia="zh-CN"/>
        </w:rPr>
        <w:t>;</w:t>
      </w:r>
      <w:r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 xml:space="preserve"> Abbas Z ide</w:t>
      </w:r>
      <w:r w:rsidR="00AB33B6"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>ntified patients for the study</w:t>
      </w:r>
      <w:r w:rsidR="002804CB" w:rsidRPr="00CE23A4">
        <w:rPr>
          <w:rFonts w:ascii="Book Antiqua" w:hAnsi="Book Antiqua" w:cs="Arial" w:hint="eastAsia"/>
          <w:bCs/>
          <w:sz w:val="24"/>
          <w:szCs w:val="24"/>
          <w:u w:color="000000"/>
          <w:bdr w:val="nil"/>
          <w:lang w:eastAsia="zh-CN"/>
        </w:rPr>
        <w:t xml:space="preserve">; </w:t>
      </w:r>
      <w:r w:rsidR="002804CB"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>b</w:t>
      </w:r>
      <w:r w:rsidR="00AB33B6"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 xml:space="preserve">oth authors contributed to the data analysis, interpretation </w:t>
      </w:r>
      <w:r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>and manuscript drafting</w:t>
      </w:r>
      <w:r w:rsidR="002804CB" w:rsidRPr="00CE23A4">
        <w:rPr>
          <w:rFonts w:ascii="Book Antiqua" w:hAnsi="Book Antiqua" w:cs="Arial" w:hint="eastAsia"/>
          <w:bCs/>
          <w:sz w:val="24"/>
          <w:szCs w:val="24"/>
          <w:u w:color="000000"/>
          <w:bdr w:val="nil"/>
          <w:lang w:eastAsia="zh-CN"/>
        </w:rPr>
        <w:t xml:space="preserve">; and they </w:t>
      </w:r>
      <w:r w:rsidRPr="00CE23A4">
        <w:rPr>
          <w:rFonts w:ascii="Book Antiqua" w:eastAsia="Book Antiqua" w:hAnsi="Book Antiqua" w:cs="Arial"/>
          <w:bCs/>
          <w:sz w:val="24"/>
          <w:szCs w:val="24"/>
          <w:u w:color="000000"/>
          <w:bdr w:val="nil"/>
          <w:lang w:eastAsia="en-GB"/>
        </w:rPr>
        <w:t>critically reviewed the paper and approved the final version to be submitted for publication.</w:t>
      </w:r>
    </w:p>
    <w:p w14:paraId="4D27A438" w14:textId="77777777" w:rsidR="00B92822" w:rsidRPr="00CE23A4" w:rsidRDefault="00B92822" w:rsidP="00B9282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  <w:bookmarkStart w:id="3" w:name="OLE_LINK960"/>
      <w:bookmarkStart w:id="4" w:name="OLE_LINK863"/>
      <w:bookmarkStart w:id="5" w:name="OLE_LINK815"/>
      <w:bookmarkStart w:id="6" w:name="OLE_LINK657"/>
      <w:bookmarkStart w:id="7" w:name="OLE_LINK1104"/>
    </w:p>
    <w:p w14:paraId="7A7EFF8C" w14:textId="363C4602" w:rsidR="00B92822" w:rsidRPr="00CE23A4" w:rsidRDefault="00B92822" w:rsidP="00B9282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iCs/>
          <w:color w:val="auto"/>
          <w:sz w:val="24"/>
          <w:highlight w:val="white"/>
          <w:lang w:val="en-US" w:eastAsia="zh-CN"/>
        </w:rPr>
      </w:pPr>
      <w:r w:rsidRPr="00CE23A4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Institutional review board statement:</w:t>
      </w:r>
      <w:bookmarkEnd w:id="3"/>
      <w:bookmarkEnd w:id="4"/>
      <w:bookmarkEnd w:id="5"/>
      <w:bookmarkEnd w:id="6"/>
      <w:r w:rsidR="00064F43" w:rsidRPr="00CE23A4">
        <w:rPr>
          <w:rFonts w:ascii="Book Antiqua" w:hAnsi="Book Antiqua" w:cs="Times New Roman" w:hint="eastAsia"/>
          <w:b/>
          <w:bCs/>
          <w:iCs/>
          <w:color w:val="auto"/>
          <w:sz w:val="24"/>
          <w:lang w:val="en-US" w:eastAsia="zh-CN"/>
        </w:rPr>
        <w:t xml:space="preserve"> </w:t>
      </w:r>
      <w:r w:rsidR="006B3856" w:rsidRPr="00CE23A4">
        <w:rPr>
          <w:rFonts w:ascii="Book Antiqua" w:hAnsi="Book Antiqua" w:cs="Times New Roman"/>
          <w:bCs/>
          <w:iCs/>
          <w:color w:val="auto"/>
          <w:sz w:val="24"/>
          <w:lang w:val="en-US" w:eastAsia="zh-CN"/>
        </w:rPr>
        <w:t>Retrospective chart reviews were approved by the Ethics Review Committee of OMI</w:t>
      </w:r>
      <w:r w:rsidR="00064F43" w:rsidRPr="00CE23A4">
        <w:rPr>
          <w:rFonts w:ascii="Book Antiqua" w:hAnsi="Book Antiqua" w:cs="Times New Roman" w:hint="eastAsia"/>
          <w:bCs/>
          <w:iCs/>
          <w:color w:val="auto"/>
          <w:sz w:val="24"/>
          <w:lang w:val="en-US" w:eastAsia="zh-CN"/>
        </w:rPr>
        <w:t>.</w:t>
      </w:r>
    </w:p>
    <w:bookmarkEnd w:id="7"/>
    <w:p w14:paraId="710A70F9" w14:textId="77777777" w:rsidR="00497DE3" w:rsidRPr="00CE23A4" w:rsidRDefault="00497DE3" w:rsidP="002804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napToGrid w:val="0"/>
        <w:spacing w:after="0" w:line="360" w:lineRule="auto"/>
        <w:jc w:val="both"/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</w:pPr>
    </w:p>
    <w:p w14:paraId="7A7CC1B9" w14:textId="15E2D11E" w:rsidR="00497DE3" w:rsidRPr="00CE23A4" w:rsidRDefault="00497DE3" w:rsidP="002804C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napToGrid w:val="0"/>
        <w:spacing w:after="0" w:line="360" w:lineRule="auto"/>
        <w:jc w:val="both"/>
        <w:rPr>
          <w:rFonts w:ascii="Book Antiqua" w:eastAsia="Book Antiqua" w:hAnsi="Book Antiqua" w:cs="Arial"/>
          <w:b/>
          <w:bCs/>
          <w:sz w:val="24"/>
          <w:szCs w:val="24"/>
          <w:u w:color="000000"/>
          <w:bdr w:val="nil"/>
          <w:lang w:eastAsia="en-GB"/>
        </w:rPr>
      </w:pP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en-GB"/>
        </w:rPr>
        <w:t>Conflict-of-interest</w:t>
      </w: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  <w:t xml:space="preserve"> </w:t>
      </w:r>
      <w:r w:rsidRPr="00CE23A4">
        <w:rPr>
          <w:rFonts w:ascii="Book Antiqua" w:eastAsia="Book Antiqua" w:hAnsi="Book Antiqua" w:cs="Arial"/>
          <w:b/>
          <w:bCs/>
          <w:sz w:val="24"/>
          <w:szCs w:val="24"/>
          <w:u w:color="000000"/>
          <w:bdr w:val="nil"/>
          <w:lang w:eastAsia="en-GB"/>
        </w:rPr>
        <w:t>statement:</w:t>
      </w:r>
      <w:r w:rsidR="002804CB" w:rsidRPr="00CE23A4">
        <w:rPr>
          <w:rFonts w:ascii="Book Antiqua" w:eastAsia="Arial Unicode MS" w:hAnsi="Book Antiqua" w:cs="Arial" w:hint="eastAsia"/>
          <w:b/>
          <w:bCs/>
          <w:sz w:val="24"/>
          <w:szCs w:val="24"/>
          <w:u w:color="000000"/>
          <w:bdr w:val="nil"/>
          <w:lang w:eastAsia="zh-CN"/>
        </w:rPr>
        <w:t xml:space="preserve"> 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The authors declare no potential conflict of interest.</w:t>
      </w:r>
    </w:p>
    <w:p w14:paraId="1F18FA4D" w14:textId="77777777" w:rsidR="00B92822" w:rsidRPr="00CE23A4" w:rsidRDefault="00B92822" w:rsidP="00B9282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  <w:bookmarkStart w:id="8" w:name="OLE_LINK962"/>
      <w:bookmarkStart w:id="9" w:name="OLE_LINK963"/>
      <w:bookmarkStart w:id="10" w:name="OLE_LINK516"/>
      <w:bookmarkStart w:id="11" w:name="OLE_LINK517"/>
    </w:p>
    <w:p w14:paraId="4210F1CC" w14:textId="1C1A21E1" w:rsidR="00B92822" w:rsidRPr="00CE23A4" w:rsidRDefault="00B92822" w:rsidP="00B92822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</w:pPr>
      <w:r w:rsidRPr="00CE23A4">
        <w:rPr>
          <w:rFonts w:ascii="Book Antiqua" w:hAnsi="Book Antiqua" w:cs="Times New Roman"/>
          <w:b/>
          <w:bCs/>
          <w:iCs/>
          <w:color w:val="auto"/>
          <w:sz w:val="24"/>
          <w:highlight w:val="white"/>
          <w:lang w:val="en-US" w:eastAsia="zh-CN"/>
        </w:rPr>
        <w:t>Data sharing statement</w:t>
      </w:r>
      <w:r w:rsidRPr="00CE23A4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>:</w:t>
      </w:r>
      <w:bookmarkEnd w:id="8"/>
      <w:bookmarkEnd w:id="9"/>
      <w:r w:rsidRPr="00CE23A4">
        <w:rPr>
          <w:rFonts w:ascii="Book Antiqua" w:hAnsi="Book Antiqua" w:cs="Times New Roman" w:hint="eastAsia"/>
          <w:b/>
          <w:bCs/>
          <w:iCs/>
          <w:color w:val="auto"/>
          <w:sz w:val="24"/>
          <w:highlight w:val="white"/>
          <w:lang w:val="en-US" w:eastAsia="zh-CN"/>
        </w:rPr>
        <w:t xml:space="preserve"> </w:t>
      </w:r>
      <w:r w:rsidR="00DA688E" w:rsidRPr="00CE23A4">
        <w:rPr>
          <w:color w:val="auto"/>
        </w:rPr>
        <w:t xml:space="preserve"> </w:t>
      </w:r>
      <w:r w:rsidR="00DA688E" w:rsidRPr="00CE23A4">
        <w:rPr>
          <w:rFonts w:ascii="Book Antiqua" w:hAnsi="Book Antiqua" w:cs="Times New Roman"/>
          <w:bCs/>
          <w:iCs/>
          <w:color w:val="auto"/>
          <w:sz w:val="24"/>
          <w:lang w:val="en-US" w:eastAsia="zh-CN"/>
        </w:rPr>
        <w:t>No additional data are available</w:t>
      </w:r>
      <w:r w:rsidR="00064F43" w:rsidRPr="00CE23A4">
        <w:rPr>
          <w:rFonts w:ascii="Book Antiqua" w:hAnsi="Book Antiqua" w:cs="Times New Roman" w:hint="eastAsia"/>
          <w:bCs/>
          <w:iCs/>
          <w:color w:val="auto"/>
          <w:sz w:val="24"/>
          <w:lang w:val="en-US" w:eastAsia="zh-CN"/>
        </w:rPr>
        <w:t>.</w:t>
      </w:r>
    </w:p>
    <w:bookmarkEnd w:id="10"/>
    <w:bookmarkEnd w:id="11"/>
    <w:p w14:paraId="54F4369A" w14:textId="77777777" w:rsidR="002804CB" w:rsidRPr="00CE23A4" w:rsidRDefault="002804CB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</w:pPr>
    </w:p>
    <w:p w14:paraId="09ABA5A9" w14:textId="77777777" w:rsidR="0063023D" w:rsidRPr="00CE23A4" w:rsidRDefault="0063023D" w:rsidP="0063023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</w:pPr>
      <w:bookmarkStart w:id="12" w:name="OLE_LINK734"/>
      <w:bookmarkStart w:id="13" w:name="OLE_LINK559"/>
      <w:bookmarkStart w:id="14" w:name="OLE_LINK1232"/>
      <w:bookmarkStart w:id="15" w:name="OLE_LINK1032"/>
      <w:bookmarkStart w:id="16" w:name="OLE_LINK442"/>
      <w:bookmarkStart w:id="17" w:name="OLE_LINK441"/>
      <w:r w:rsidRPr="00CE23A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lastRenderedPageBreak/>
        <w:t>Open-Access:</w:t>
      </w:r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 </w:t>
      </w:r>
      <w:bookmarkStart w:id="18" w:name="OLE_LINK507"/>
      <w:bookmarkStart w:id="19" w:name="OLE_LINK506"/>
      <w:bookmarkStart w:id="20" w:name="OLE_LINK496"/>
      <w:bookmarkStart w:id="21" w:name="OLE_LINK479"/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This article is an open-access article which was selected by an in-house editor and fully peer-reviewed by external reviewers. It is distributed</w:t>
      </w:r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 w:eastAsia="zh-CN"/>
        </w:rPr>
        <w:t xml:space="preserve"> </w:t>
      </w:r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</w:t>
      </w:r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 w:eastAsia="zh-CN"/>
        </w:rPr>
        <w:t xml:space="preserve"> </w:t>
      </w:r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 xml:space="preserve">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CE23A4">
          <w:rPr>
            <w:rStyle w:val="Hyperlink"/>
            <w:rFonts w:ascii="Book Antiqua" w:hAnsi="Book Antiqua" w:cs="Times New Roman"/>
            <w:bCs/>
            <w:color w:val="auto"/>
            <w:sz w:val="24"/>
            <w:highlight w:val="white"/>
            <w:lang w:val="en-US"/>
          </w:rPr>
          <w:t>http://creativecommons.org/licenses/by-nc/4.0/</w:t>
        </w:r>
      </w:hyperlink>
      <w:bookmarkEnd w:id="12"/>
      <w:bookmarkEnd w:id="18"/>
      <w:bookmarkEnd w:id="19"/>
      <w:bookmarkEnd w:id="20"/>
      <w:bookmarkEnd w:id="21"/>
    </w:p>
    <w:bookmarkEnd w:id="13"/>
    <w:bookmarkEnd w:id="14"/>
    <w:bookmarkEnd w:id="15"/>
    <w:bookmarkEnd w:id="16"/>
    <w:bookmarkEnd w:id="17"/>
    <w:p w14:paraId="18FEFC5E" w14:textId="77777777" w:rsidR="0063023D" w:rsidRPr="00CE23A4" w:rsidRDefault="0063023D" w:rsidP="0063023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</w:p>
    <w:p w14:paraId="09246FED" w14:textId="77777777" w:rsidR="0063023D" w:rsidRPr="00CE23A4" w:rsidRDefault="0063023D" w:rsidP="0063023D">
      <w:pPr>
        <w:pStyle w:val="1"/>
        <w:snapToGrid w:val="0"/>
        <w:spacing w:line="360" w:lineRule="auto"/>
        <w:jc w:val="both"/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</w:pPr>
      <w:r w:rsidRPr="00CE23A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/>
        </w:rPr>
        <w:t>Manuscript source:</w:t>
      </w:r>
      <w:r w:rsidRPr="00CE23A4">
        <w:rPr>
          <w:rFonts w:ascii="Book Antiqua" w:hAnsi="Book Antiqua" w:cs="Times New Roman"/>
          <w:b/>
          <w:bCs/>
          <w:color w:val="auto"/>
          <w:sz w:val="24"/>
          <w:highlight w:val="white"/>
          <w:lang w:val="en-US" w:eastAsia="zh-CN"/>
        </w:rPr>
        <w:t xml:space="preserve"> </w:t>
      </w:r>
      <w:r w:rsidRPr="00CE23A4">
        <w:rPr>
          <w:rFonts w:ascii="Book Antiqua" w:hAnsi="Book Antiqua" w:cs="Times New Roman"/>
          <w:bCs/>
          <w:color w:val="auto"/>
          <w:sz w:val="24"/>
          <w:highlight w:val="white"/>
          <w:lang w:val="en-US"/>
        </w:rPr>
        <w:t>Invited manuscript</w:t>
      </w:r>
    </w:p>
    <w:p w14:paraId="49191F0F" w14:textId="77777777" w:rsidR="0063023D" w:rsidRPr="00CE23A4" w:rsidRDefault="0063023D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</w:pPr>
    </w:p>
    <w:p w14:paraId="644022D7" w14:textId="09D63E47" w:rsidR="006B3856" w:rsidRPr="009B2EC3" w:rsidRDefault="00497DE3" w:rsidP="006B3856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eastAsia="zh-CN"/>
        </w:rPr>
      </w:pP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en-GB"/>
        </w:rPr>
        <w:t>Correspondence to:</w:t>
      </w: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  <w:t xml:space="preserve"> </w:t>
      </w:r>
      <w:bookmarkStart w:id="22" w:name="OLE_LINK1124"/>
      <w:bookmarkStart w:id="23" w:name="OLE_LINK1125"/>
      <w:r w:rsidR="006B3856" w:rsidRPr="00CE23A4">
        <w:rPr>
          <w:rFonts w:ascii="Book Antiqua" w:eastAsia="Arial Unicode MS" w:hAnsi="Book Antiqua" w:cs="Arial" w:hint="eastAsia"/>
          <w:b/>
          <w:bCs/>
          <w:sz w:val="24"/>
          <w:szCs w:val="24"/>
          <w:u w:color="000000"/>
          <w:bdr w:val="nil"/>
          <w:lang w:eastAsia="zh-CN"/>
        </w:rPr>
        <w:t>Dr.</w:t>
      </w:r>
      <w:r w:rsidR="006B3856"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  <w:t xml:space="preserve"> </w:t>
      </w:r>
      <w:proofErr w:type="spellStart"/>
      <w:r w:rsidR="006B3856"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en-GB"/>
        </w:rPr>
        <w:t>Zaigham</w:t>
      </w:r>
      <w:proofErr w:type="spellEnd"/>
      <w:r w:rsidR="006B3856"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en-GB"/>
        </w:rPr>
        <w:t xml:space="preserve"> Abbas, FCPS, FRCP</w:t>
      </w:r>
      <w:r w:rsidR="006B3856"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zh-CN"/>
        </w:rPr>
        <w:t xml:space="preserve">, </w:t>
      </w:r>
      <w:r w:rsidR="006B3856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eastAsia="en-GB"/>
        </w:rPr>
        <w:t xml:space="preserve">Department of Medicine, </w:t>
      </w:r>
      <w:r w:rsidR="006B3856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Orthopedic and Medical Institute</w:t>
      </w:r>
      <w:r w:rsidR="006B3856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  <w:t>,</w:t>
      </w:r>
      <w:r w:rsidR="00DA688E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  <w:t xml:space="preserve"> Depot Lines,</w:t>
      </w:r>
      <w:r w:rsidR="006B3856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  <w:t xml:space="preserve"> </w:t>
      </w:r>
      <w:r w:rsidR="006B3856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Karachi 74400</w:t>
      </w:r>
      <w:r w:rsidR="006B3856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eastAsia="en-GB"/>
        </w:rPr>
        <w:t>, Pakistan</w:t>
      </w:r>
      <w:r w:rsidR="006B3856" w:rsidRPr="00CE23A4">
        <w:rPr>
          <w:rFonts w:ascii="Book Antiqua" w:eastAsia="Arial Unicode MS" w:hAnsi="Book Antiqua" w:cs="Arial"/>
          <w:bCs/>
          <w:sz w:val="24"/>
          <w:szCs w:val="24"/>
          <w:u w:color="000000"/>
          <w:bdr w:val="nil"/>
          <w:lang w:eastAsia="zh-CN"/>
        </w:rPr>
        <w:t xml:space="preserve">. </w:t>
      </w:r>
      <w:r w:rsidR="006B3856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drzabbas@gmail.com</w:t>
      </w:r>
    </w:p>
    <w:bookmarkEnd w:id="22"/>
    <w:bookmarkEnd w:id="23"/>
    <w:p w14:paraId="0B858C18" w14:textId="6763515C" w:rsidR="006B3856" w:rsidRPr="00CE23A4" w:rsidRDefault="006B3856" w:rsidP="006B3856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Theme="minorEastAsia" w:hAnsi="Book Antiqua" w:cs="Arial"/>
          <w:b/>
          <w:bCs/>
          <w:sz w:val="24"/>
          <w:szCs w:val="24"/>
          <w:u w:color="000000"/>
          <w:bdr w:val="nil"/>
          <w:lang w:eastAsia="zh-CN"/>
        </w:rPr>
      </w:pPr>
      <w:r w:rsidRPr="00CE23A4">
        <w:rPr>
          <w:rFonts w:ascii="Book Antiqua" w:eastAsia="Arial Unicode MS" w:hAnsi="Book Antiqua" w:cs="Arial"/>
          <w:b/>
          <w:bCs/>
          <w:sz w:val="24"/>
          <w:szCs w:val="24"/>
          <w:u w:color="000000"/>
          <w:bdr w:val="nil"/>
          <w:lang w:eastAsia="en-GB"/>
        </w:rPr>
        <w:t xml:space="preserve">Telephone: 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+92</w:t>
      </w:r>
      <w:r w:rsidR="009B2EC3">
        <w:rPr>
          <w:rFonts w:ascii="Book Antiqua" w:eastAsia="Arial Unicode MS" w:hAnsi="Book Antiqua" w:cs="Arial" w:hint="eastAsia"/>
          <w:sz w:val="24"/>
          <w:szCs w:val="24"/>
          <w:u w:color="000000"/>
          <w:bdr w:val="nil"/>
          <w:lang w:eastAsia="zh-CN"/>
        </w:rPr>
        <w:t>-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21</w:t>
      </w:r>
      <w:r w:rsidR="009B2EC3">
        <w:rPr>
          <w:rFonts w:ascii="Book Antiqua" w:eastAsia="Arial Unicode MS" w:hAnsi="Book Antiqua" w:cs="Arial" w:hint="eastAsia"/>
          <w:sz w:val="24"/>
          <w:szCs w:val="24"/>
          <w:u w:color="000000"/>
          <w:bdr w:val="nil"/>
          <w:lang w:eastAsia="zh-CN"/>
        </w:rPr>
        <w:t>-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32226214</w:t>
      </w:r>
    </w:p>
    <w:p w14:paraId="7EFAEEC7" w14:textId="683519B3" w:rsidR="00497DE3" w:rsidRPr="00CE23A4" w:rsidRDefault="00497DE3" w:rsidP="006B3856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</w:pPr>
      <w:r w:rsidRPr="00CE23A4">
        <w:rPr>
          <w:rFonts w:ascii="Book Antiqua" w:eastAsia="Book Antiqua" w:hAnsi="Book Antiqua" w:cs="Arial"/>
          <w:b/>
          <w:bCs/>
          <w:sz w:val="24"/>
          <w:szCs w:val="24"/>
          <w:u w:color="000000"/>
          <w:bdr w:val="nil"/>
          <w:lang w:eastAsia="en-GB"/>
        </w:rPr>
        <w:t>Fax: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  <w:t xml:space="preserve"> </w:t>
      </w:r>
      <w:r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+</w:t>
      </w:r>
      <w:r w:rsidR="00DA688E" w:rsidRPr="00CE23A4">
        <w:t xml:space="preserve"> </w:t>
      </w:r>
      <w:r w:rsidR="00DA688E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92</w:t>
      </w:r>
      <w:r w:rsidR="009B2EC3">
        <w:rPr>
          <w:rFonts w:ascii="Book Antiqua" w:eastAsia="Arial Unicode MS" w:hAnsi="Book Antiqua" w:cs="Arial" w:hint="eastAsia"/>
          <w:sz w:val="24"/>
          <w:szCs w:val="24"/>
          <w:u w:color="000000"/>
          <w:bdr w:val="nil"/>
          <w:lang w:eastAsia="zh-CN"/>
        </w:rPr>
        <w:t>-</w:t>
      </w:r>
      <w:r w:rsidR="00DA688E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21</w:t>
      </w:r>
      <w:r w:rsidR="009B2EC3">
        <w:rPr>
          <w:rFonts w:ascii="Book Antiqua" w:eastAsia="Arial Unicode MS" w:hAnsi="Book Antiqua" w:cs="Arial" w:hint="eastAsia"/>
          <w:sz w:val="24"/>
          <w:szCs w:val="24"/>
          <w:u w:color="000000"/>
          <w:bdr w:val="nil"/>
          <w:lang w:eastAsia="zh-CN"/>
        </w:rPr>
        <w:t>-</w:t>
      </w:r>
      <w:r w:rsidR="00DA688E" w:rsidRPr="00CE23A4"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en-GB"/>
        </w:rPr>
        <w:t>32251814</w:t>
      </w:r>
    </w:p>
    <w:p w14:paraId="55E69F67" w14:textId="77777777" w:rsidR="0063023D" w:rsidRPr="00CE23A4" w:rsidRDefault="0063023D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Arial Unicode MS" w:hAnsi="Book Antiqua" w:cs="Arial"/>
          <w:sz w:val="24"/>
          <w:szCs w:val="24"/>
          <w:u w:color="000000"/>
          <w:bdr w:val="nil"/>
          <w:lang w:eastAsia="zh-CN"/>
        </w:rPr>
      </w:pPr>
    </w:p>
    <w:p w14:paraId="52F470C7" w14:textId="119B7B06" w:rsidR="0063023D" w:rsidRPr="00CE23A4" w:rsidRDefault="0063023D" w:rsidP="0063023D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bookmarkStart w:id="24" w:name="OLE_LINK952"/>
      <w:r w:rsidRPr="00CE23A4">
        <w:rPr>
          <w:rFonts w:ascii="Book Antiqua" w:hAnsi="Book Antiqua" w:cs="宋体"/>
          <w:b/>
          <w:sz w:val="24"/>
          <w:szCs w:val="24"/>
          <w:lang w:eastAsia="zh-CN"/>
        </w:rPr>
        <w:t>Received:</w:t>
      </w:r>
      <w:r w:rsidRPr="00CE23A4">
        <w:rPr>
          <w:rFonts w:ascii="Book Antiqua" w:hAnsi="Book Antiqua" w:cs="宋体" w:hint="eastAsia"/>
          <w:b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宋体" w:hint="eastAsia"/>
          <w:sz w:val="24"/>
          <w:szCs w:val="24"/>
          <w:lang w:eastAsia="zh-CN"/>
        </w:rPr>
        <w:t>January 18, 2017</w:t>
      </w:r>
    </w:p>
    <w:p w14:paraId="069771F1" w14:textId="05BDE938" w:rsidR="0063023D" w:rsidRPr="00CE23A4" w:rsidRDefault="0063023D" w:rsidP="0063023D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CE23A4">
        <w:rPr>
          <w:rFonts w:ascii="Book Antiqua" w:hAnsi="Book Antiqua" w:cs="宋体"/>
          <w:b/>
          <w:sz w:val="24"/>
          <w:szCs w:val="24"/>
          <w:lang w:eastAsia="zh-CN"/>
        </w:rPr>
        <w:t>Peer-review started:</w:t>
      </w:r>
      <w:r w:rsidRPr="00CE23A4">
        <w:rPr>
          <w:rFonts w:ascii="Book Antiqua" w:hAnsi="Book Antiqua" w:cs="宋体" w:hint="eastAsia"/>
          <w:b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宋体" w:hint="eastAsia"/>
          <w:sz w:val="24"/>
          <w:szCs w:val="24"/>
          <w:lang w:eastAsia="zh-CN"/>
        </w:rPr>
        <w:t>January 20, 2017</w:t>
      </w:r>
    </w:p>
    <w:p w14:paraId="7AFAD063" w14:textId="23EA38BC" w:rsidR="0063023D" w:rsidRPr="00CE23A4" w:rsidRDefault="0063023D" w:rsidP="0063023D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CE23A4">
        <w:rPr>
          <w:rFonts w:ascii="Book Antiqua" w:hAnsi="Book Antiqua" w:cs="宋体"/>
          <w:b/>
          <w:sz w:val="24"/>
          <w:szCs w:val="24"/>
          <w:lang w:eastAsia="zh-CN"/>
        </w:rPr>
        <w:t>First decision:</w:t>
      </w:r>
      <w:r w:rsidRPr="00CE23A4">
        <w:rPr>
          <w:rFonts w:ascii="Book Antiqua" w:hAnsi="Book Antiqua" w:cs="宋体" w:hint="eastAsia"/>
          <w:b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宋体" w:hint="eastAsia"/>
          <w:sz w:val="24"/>
          <w:szCs w:val="24"/>
          <w:lang w:eastAsia="zh-CN"/>
        </w:rPr>
        <w:t>March 13, 2017</w:t>
      </w:r>
    </w:p>
    <w:p w14:paraId="03195BC2" w14:textId="2C298B25" w:rsidR="0063023D" w:rsidRPr="00CE23A4" w:rsidRDefault="0063023D" w:rsidP="0063023D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CE23A4">
        <w:rPr>
          <w:rFonts w:ascii="Book Antiqua" w:hAnsi="Book Antiqua" w:cs="宋体"/>
          <w:b/>
          <w:sz w:val="24"/>
          <w:szCs w:val="24"/>
          <w:lang w:eastAsia="zh-CN"/>
        </w:rPr>
        <w:t>Revised:</w:t>
      </w:r>
      <w:r w:rsidRPr="00CE23A4">
        <w:rPr>
          <w:rFonts w:ascii="Book Antiqua" w:hAnsi="Book Antiqua" w:cs="宋体" w:hint="eastAsia"/>
          <w:b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宋体" w:hint="eastAsia"/>
          <w:sz w:val="24"/>
          <w:szCs w:val="24"/>
          <w:lang w:eastAsia="zh-CN"/>
        </w:rPr>
        <w:t>March 19, 2017</w:t>
      </w:r>
    </w:p>
    <w:p w14:paraId="7EE1C344" w14:textId="14F657EA" w:rsidR="0063023D" w:rsidRPr="001A54EB" w:rsidRDefault="0063023D" w:rsidP="001A54EB">
      <w:pPr>
        <w:rPr>
          <w:rFonts w:ascii="Book Antiqua" w:hAnsi="Book Antiqua"/>
          <w:iCs/>
          <w:sz w:val="24"/>
        </w:rPr>
      </w:pPr>
      <w:r w:rsidRPr="00CE23A4">
        <w:rPr>
          <w:rFonts w:ascii="Book Antiqua" w:hAnsi="Book Antiqua" w:cs="宋体"/>
          <w:b/>
          <w:sz w:val="24"/>
          <w:szCs w:val="24"/>
          <w:lang w:eastAsia="zh-CN"/>
        </w:rPr>
        <w:t>Accepted:</w:t>
      </w:r>
      <w:r w:rsidR="001A54EB">
        <w:rPr>
          <w:rFonts w:ascii="Book Antiqua" w:hAnsi="Book Antiqua" w:cs="宋体"/>
          <w:b/>
          <w:sz w:val="24"/>
          <w:szCs w:val="24"/>
          <w:lang w:eastAsia="zh-CN"/>
        </w:rPr>
        <w:t xml:space="preserve"> </w:t>
      </w:r>
      <w:r w:rsidR="001A54EB">
        <w:rPr>
          <w:rStyle w:val="Emphasis"/>
        </w:rPr>
        <w:t>June 12</w:t>
      </w:r>
      <w:r w:rsidR="001A54EB">
        <w:rPr>
          <w:rStyle w:val="Emphasis"/>
          <w:rFonts w:cs="宋体"/>
        </w:rPr>
        <w:t>,</w:t>
      </w:r>
      <w:r w:rsidR="001A54EB">
        <w:rPr>
          <w:rStyle w:val="Emphasis"/>
        </w:rPr>
        <w:t xml:space="preserve"> 2017</w:t>
      </w:r>
    </w:p>
    <w:p w14:paraId="360D04D6" w14:textId="77777777" w:rsidR="0063023D" w:rsidRPr="00CE23A4" w:rsidRDefault="0063023D" w:rsidP="0063023D">
      <w:pPr>
        <w:snapToGrid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  <w:lang w:eastAsia="zh-CN"/>
        </w:rPr>
      </w:pPr>
      <w:r w:rsidRPr="00CE23A4">
        <w:rPr>
          <w:rFonts w:ascii="Book Antiqua" w:hAnsi="Book Antiqua" w:cs="宋体"/>
          <w:b/>
          <w:sz w:val="24"/>
          <w:szCs w:val="24"/>
          <w:lang w:eastAsia="zh-CN"/>
        </w:rPr>
        <w:t>Article in press:</w:t>
      </w:r>
    </w:p>
    <w:p w14:paraId="2C7F5D2F" w14:textId="77777777" w:rsidR="0063023D" w:rsidRPr="00CE23A4" w:rsidRDefault="0063023D" w:rsidP="0063023D">
      <w:pPr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val="pl-PL" w:eastAsia="zh-CN"/>
        </w:rPr>
      </w:pPr>
      <w:r w:rsidRPr="00CE23A4">
        <w:rPr>
          <w:rFonts w:ascii="Book Antiqua" w:hAnsi="Book Antiqua" w:cs="Arial"/>
          <w:b/>
          <w:sz w:val="24"/>
          <w:szCs w:val="24"/>
          <w:lang w:val="pl-PL" w:eastAsia="pl-PL"/>
        </w:rPr>
        <w:t>Published online</w:t>
      </w:r>
      <w:r w:rsidRPr="00CE23A4">
        <w:rPr>
          <w:rFonts w:ascii="Book Antiqua" w:hAnsi="Book Antiqua" w:cs="Arial" w:hint="eastAsia"/>
          <w:b/>
          <w:sz w:val="24"/>
          <w:szCs w:val="24"/>
          <w:lang w:val="pl-PL" w:eastAsia="pl-PL"/>
        </w:rPr>
        <w:t>:</w:t>
      </w:r>
    </w:p>
    <w:bookmarkEnd w:id="24"/>
    <w:p w14:paraId="0B7E1720" w14:textId="77777777" w:rsidR="0063023D" w:rsidRPr="00CE23A4" w:rsidRDefault="0063023D" w:rsidP="002804CB">
      <w:pPr>
        <w:pBdr>
          <w:top w:val="nil"/>
          <w:left w:val="nil"/>
          <w:bottom w:val="nil"/>
          <w:right w:val="nil"/>
          <w:between w:val="nil"/>
          <w:bar w:val="nil"/>
        </w:pBdr>
        <w:snapToGrid w:val="0"/>
        <w:spacing w:after="0" w:line="360" w:lineRule="auto"/>
        <w:jc w:val="both"/>
        <w:rPr>
          <w:rFonts w:ascii="Book Antiqua" w:eastAsia="Book Antiqua" w:hAnsi="Book Antiqua" w:cs="Arial"/>
          <w:sz w:val="24"/>
          <w:szCs w:val="24"/>
          <w:u w:color="000000"/>
          <w:bdr w:val="nil"/>
          <w:lang w:eastAsia="zh-CN"/>
        </w:rPr>
      </w:pPr>
    </w:p>
    <w:p w14:paraId="3887B435" w14:textId="77777777" w:rsidR="0063023D" w:rsidRPr="00CE23A4" w:rsidRDefault="0063023D">
      <w:pPr>
        <w:rPr>
          <w:rFonts w:ascii="Book Antiqua" w:hAnsi="Book Antiqua"/>
          <w:b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br w:type="page"/>
      </w:r>
    </w:p>
    <w:p w14:paraId="7BA73E74" w14:textId="1434615C" w:rsidR="00CE2B72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5A13D336" w14:textId="01F0B385" w:rsidR="00497DE3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i/>
          <w:sz w:val="24"/>
          <w:szCs w:val="24"/>
        </w:rPr>
        <w:t>AIM</w:t>
      </w:r>
    </w:p>
    <w:p w14:paraId="459AAE2F" w14:textId="09D618ED" w:rsidR="003F058B" w:rsidRPr="00CE23A4" w:rsidRDefault="00E319AE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To</w:t>
      </w:r>
      <w:r w:rsidR="003F058B" w:rsidRPr="00CE23A4">
        <w:rPr>
          <w:rFonts w:ascii="Book Antiqua" w:hAnsi="Book Antiqua"/>
          <w:sz w:val="24"/>
          <w:szCs w:val="24"/>
        </w:rPr>
        <w:t xml:space="preserve"> determine the </w:t>
      </w:r>
      <w:r w:rsidR="0092713F" w:rsidRPr="00CE23A4">
        <w:rPr>
          <w:rFonts w:ascii="Book Antiqua" w:hAnsi="Book Antiqua"/>
          <w:sz w:val="24"/>
          <w:szCs w:val="24"/>
        </w:rPr>
        <w:t xml:space="preserve">predictive </w:t>
      </w:r>
      <w:r w:rsidR="003F058B" w:rsidRPr="00CE23A4">
        <w:rPr>
          <w:rFonts w:ascii="Book Antiqua" w:hAnsi="Book Antiqua"/>
          <w:sz w:val="24"/>
          <w:szCs w:val="24"/>
        </w:rPr>
        <w:t>performance of cholinesterase compared to existing</w:t>
      </w:r>
      <w:r w:rsidR="0092713F" w:rsidRPr="00CE23A4">
        <w:rPr>
          <w:rFonts w:ascii="Book Antiqua" w:hAnsi="Book Antiqua"/>
          <w:sz w:val="24"/>
          <w:szCs w:val="24"/>
        </w:rPr>
        <w:t xml:space="preserve"> prognostic</w:t>
      </w:r>
      <w:r w:rsidR="003F058B" w:rsidRPr="00CE23A4">
        <w:rPr>
          <w:rFonts w:ascii="Book Antiqua" w:hAnsi="Book Antiqua"/>
          <w:sz w:val="24"/>
          <w:szCs w:val="24"/>
        </w:rPr>
        <w:t xml:space="preserve"> models in</w:t>
      </w:r>
      <w:r w:rsidR="0092713F" w:rsidRPr="00CE23A4">
        <w:rPr>
          <w:rFonts w:ascii="Book Antiqua" w:hAnsi="Book Antiqua"/>
          <w:sz w:val="24"/>
          <w:szCs w:val="24"/>
        </w:rPr>
        <w:t xml:space="preserve"> evaluating liver function</w:t>
      </w:r>
      <w:r w:rsidR="003F058B" w:rsidRPr="00CE23A4">
        <w:rPr>
          <w:rFonts w:ascii="Book Antiqua" w:hAnsi="Book Antiqua"/>
          <w:sz w:val="24"/>
          <w:szCs w:val="24"/>
        </w:rPr>
        <w:t xml:space="preserve"> </w:t>
      </w:r>
      <w:r w:rsidR="0092713F" w:rsidRPr="00CE23A4">
        <w:rPr>
          <w:rFonts w:ascii="Book Antiqua" w:hAnsi="Book Antiqua"/>
          <w:sz w:val="24"/>
          <w:szCs w:val="24"/>
        </w:rPr>
        <w:t xml:space="preserve">in </w:t>
      </w:r>
      <w:r w:rsidR="00EC6932" w:rsidRPr="00CE23A4">
        <w:rPr>
          <w:rFonts w:ascii="Book Antiqua" w:hAnsi="Book Antiqua"/>
          <w:sz w:val="24"/>
          <w:szCs w:val="24"/>
        </w:rPr>
        <w:t xml:space="preserve">patients with </w:t>
      </w:r>
      <w:r w:rsidRPr="00CE23A4">
        <w:rPr>
          <w:rFonts w:ascii="Book Antiqua" w:hAnsi="Book Antiqua"/>
          <w:sz w:val="24"/>
          <w:szCs w:val="24"/>
        </w:rPr>
        <w:t>chronic hepatitis D</w:t>
      </w:r>
      <w:r w:rsidR="003F058B" w:rsidRPr="00CE23A4">
        <w:rPr>
          <w:rFonts w:ascii="Book Antiqua" w:hAnsi="Book Antiqua"/>
          <w:sz w:val="24"/>
          <w:szCs w:val="24"/>
        </w:rPr>
        <w:t>.</w:t>
      </w:r>
    </w:p>
    <w:p w14:paraId="0A23B5C2" w14:textId="77777777" w:rsidR="002804CB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A192CAC" w14:textId="46136EF7" w:rsidR="00497DE3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i/>
          <w:sz w:val="24"/>
          <w:szCs w:val="24"/>
        </w:rPr>
        <w:t>METHODS</w:t>
      </w:r>
    </w:p>
    <w:p w14:paraId="6F5DC3FA" w14:textId="5AF5F3FA" w:rsidR="00E83C3D" w:rsidRPr="00CE23A4" w:rsidRDefault="00E83C3D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 xml:space="preserve">In an observational, </w:t>
      </w:r>
      <w:r w:rsidR="00E319AE" w:rsidRPr="00CE23A4">
        <w:rPr>
          <w:rFonts w:ascii="Book Antiqua" w:hAnsi="Book Antiqua"/>
          <w:sz w:val="24"/>
          <w:szCs w:val="24"/>
        </w:rPr>
        <w:t xml:space="preserve">cross-sectional </w:t>
      </w:r>
      <w:r w:rsidRPr="00CE23A4">
        <w:rPr>
          <w:rFonts w:ascii="Book Antiqua" w:hAnsi="Book Antiqua"/>
          <w:sz w:val="24"/>
          <w:szCs w:val="24"/>
        </w:rPr>
        <w:t xml:space="preserve">and retrospective study, consecutive patients with hepatitis D cirrhosis were evaluated. Demographic, clinical and laboratory parameters were recorded. </w:t>
      </w:r>
      <w:r w:rsidR="005009AE" w:rsidRPr="00CE23A4">
        <w:rPr>
          <w:rFonts w:ascii="Book Antiqua" w:hAnsi="Book Antiqua"/>
          <w:sz w:val="24"/>
          <w:szCs w:val="24"/>
        </w:rPr>
        <w:t>Serum cholinesterase levels were correlated with existing scoring models</w:t>
      </w:r>
      <w:r w:rsidR="00EC6932" w:rsidRPr="00CE23A4">
        <w:rPr>
          <w:rFonts w:ascii="Book Antiqua" w:hAnsi="Book Antiqua"/>
          <w:sz w:val="24"/>
          <w:szCs w:val="24"/>
        </w:rPr>
        <w:t xml:space="preserve"> for chronic liver disease</w:t>
      </w:r>
      <w:r w:rsidR="005009AE" w:rsidRPr="00CE23A4">
        <w:rPr>
          <w:rFonts w:ascii="Book Antiqua" w:hAnsi="Book Antiqua"/>
          <w:sz w:val="24"/>
          <w:szCs w:val="24"/>
        </w:rPr>
        <w:t xml:space="preserve"> and Liver function tests. </w:t>
      </w:r>
      <w:r w:rsidRPr="00CE23A4">
        <w:rPr>
          <w:rFonts w:ascii="Book Antiqua" w:hAnsi="Book Antiqua"/>
          <w:sz w:val="24"/>
          <w:szCs w:val="24"/>
        </w:rPr>
        <w:t xml:space="preserve">Receiver operating characteristic (ROC) curves were constructed to find an optimal cholinesterase level predicting ascites, </w:t>
      </w:r>
      <w:r w:rsidR="00AF4214" w:rsidRPr="00CE23A4">
        <w:rPr>
          <w:rFonts w:ascii="Book Antiqua" w:hAnsi="Book Antiqua"/>
          <w:sz w:val="24"/>
          <w:szCs w:val="24"/>
        </w:rPr>
        <w:t>Child-</w:t>
      </w:r>
      <w:proofErr w:type="spellStart"/>
      <w:r w:rsidR="00AF4214" w:rsidRPr="00CE23A4">
        <w:rPr>
          <w:rFonts w:ascii="Book Antiqua" w:hAnsi="Book Antiqua"/>
          <w:sz w:val="24"/>
          <w:szCs w:val="24"/>
        </w:rPr>
        <w:t>Turcotte</w:t>
      </w:r>
      <w:proofErr w:type="spellEnd"/>
      <w:r w:rsidR="00AF4214" w:rsidRPr="00CE23A4">
        <w:rPr>
          <w:rFonts w:ascii="Book Antiqua" w:hAnsi="Book Antiqua"/>
          <w:sz w:val="24"/>
          <w:szCs w:val="24"/>
        </w:rPr>
        <w:t xml:space="preserve">-Pugh (CTP) score ≥ 10, </w:t>
      </w:r>
      <w:r w:rsidRPr="00CE23A4">
        <w:rPr>
          <w:rFonts w:ascii="Book Antiqua" w:hAnsi="Book Antiqua"/>
          <w:sz w:val="24"/>
          <w:szCs w:val="24"/>
        </w:rPr>
        <w:t>model for end stage liver d</w:t>
      </w:r>
      <w:r w:rsidR="005009AE" w:rsidRPr="00CE23A4">
        <w:rPr>
          <w:rFonts w:ascii="Book Antiqua" w:hAnsi="Book Antiqua"/>
          <w:sz w:val="24"/>
          <w:szCs w:val="24"/>
        </w:rPr>
        <w:t>isease (MELD) score ≥ 15,</w:t>
      </w:r>
      <w:r w:rsidRPr="00CE23A4">
        <w:rPr>
          <w:rFonts w:ascii="Book Antiqua" w:hAnsi="Book Antiqua"/>
          <w:sz w:val="24"/>
          <w:szCs w:val="24"/>
        </w:rPr>
        <w:t xml:space="preserve"> baseline-event-anticipation (BEA) score for hepatitis D ≥ 5 and the AST to Platelet Ratio Index (APRI)</w:t>
      </w:r>
      <w:r w:rsidR="002804CB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≥ 1.5.</w:t>
      </w:r>
      <w:r w:rsidR="005009AE" w:rsidRPr="00CE23A4">
        <w:rPr>
          <w:rFonts w:ascii="Book Antiqua" w:hAnsi="Book Antiqua"/>
          <w:sz w:val="24"/>
          <w:szCs w:val="24"/>
        </w:rPr>
        <w:t xml:space="preserve"> </w:t>
      </w:r>
    </w:p>
    <w:p w14:paraId="7294DF71" w14:textId="77777777" w:rsidR="002804CB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A2F78B0" w14:textId="139B2A69" w:rsidR="00497DE3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i/>
          <w:sz w:val="24"/>
          <w:szCs w:val="24"/>
        </w:rPr>
        <w:t>RESULTS</w:t>
      </w:r>
    </w:p>
    <w:p w14:paraId="6A35D239" w14:textId="516AA494" w:rsidR="00655EAD" w:rsidRPr="00CE23A4" w:rsidRDefault="003F058B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This study investigated 233 patients with chronic liver disease due to hepatitis D; 192 were male, median age 42 (16-69 years). 50 patients had ascites and 15</w:t>
      </w:r>
      <w:r w:rsidR="00106200" w:rsidRPr="00CE23A4">
        <w:rPr>
          <w:rFonts w:ascii="Book Antiqua" w:hAnsi="Book Antiqua"/>
          <w:sz w:val="24"/>
          <w:szCs w:val="24"/>
        </w:rPr>
        <w:t xml:space="preserve"> had</w:t>
      </w:r>
      <w:r w:rsidRPr="00CE23A4">
        <w:rPr>
          <w:rFonts w:ascii="Book Antiqua" w:hAnsi="Book Antiqua"/>
          <w:sz w:val="24"/>
          <w:szCs w:val="24"/>
        </w:rPr>
        <w:t xml:space="preserve"> encephalopathy. 167 (71.7%) were in Child class A, 52 (22.3%) in Child class B and 14 (5.0</w:t>
      </w:r>
      <w:r w:rsidR="00F11404" w:rsidRPr="00CE23A4">
        <w:rPr>
          <w:rFonts w:ascii="Book Antiqua" w:hAnsi="Book Antiqua"/>
          <w:sz w:val="24"/>
          <w:szCs w:val="24"/>
        </w:rPr>
        <w:t xml:space="preserve">%) in class C. </w:t>
      </w:r>
      <w:r w:rsidRPr="00CE23A4">
        <w:rPr>
          <w:rFonts w:ascii="Book Antiqua" w:hAnsi="Book Antiqua"/>
          <w:sz w:val="24"/>
          <w:szCs w:val="24"/>
        </w:rPr>
        <w:t xml:space="preserve">A </w:t>
      </w:r>
      <w:r w:rsidR="00F11404" w:rsidRPr="00CE23A4">
        <w:rPr>
          <w:rFonts w:ascii="Book Antiqua" w:hAnsi="Book Antiqua"/>
          <w:sz w:val="24"/>
          <w:szCs w:val="24"/>
        </w:rPr>
        <w:t>MELD sc</w:t>
      </w:r>
      <w:r w:rsidRPr="00CE23A4">
        <w:rPr>
          <w:rFonts w:ascii="Book Antiqua" w:hAnsi="Book Antiqua"/>
          <w:sz w:val="24"/>
          <w:szCs w:val="24"/>
        </w:rPr>
        <w:t>ore of 15 or more was seen in 24</w:t>
      </w:r>
      <w:r w:rsidR="00F11404" w:rsidRPr="00CE23A4">
        <w:rPr>
          <w:rFonts w:ascii="Book Antiqua" w:hAnsi="Book Antiqua"/>
          <w:sz w:val="24"/>
          <w:szCs w:val="24"/>
        </w:rPr>
        <w:t xml:space="preserve"> patients. Cholinesterase levels correlated</w:t>
      </w:r>
      <w:r w:rsidR="00106200" w:rsidRPr="00CE23A4">
        <w:rPr>
          <w:rFonts w:ascii="Book Antiqua" w:hAnsi="Book Antiqua"/>
          <w:sz w:val="24"/>
          <w:szCs w:val="24"/>
        </w:rPr>
        <w:t xml:space="preserve"> well</w:t>
      </w:r>
      <w:r w:rsidR="00F11404" w:rsidRPr="00CE23A4">
        <w:rPr>
          <w:rFonts w:ascii="Book Antiqua" w:hAnsi="Book Antiqua"/>
          <w:sz w:val="24"/>
          <w:szCs w:val="24"/>
        </w:rPr>
        <w:t xml:space="preserve"> with the INR</w:t>
      </w:r>
      <w:r w:rsidR="00AF4214" w:rsidRPr="00CE23A4">
        <w:rPr>
          <w:rFonts w:ascii="Book Antiqua" w:hAnsi="Book Antiqua"/>
          <w:sz w:val="24"/>
          <w:szCs w:val="24"/>
        </w:rPr>
        <w:t>, albumin, CTP</w:t>
      </w:r>
      <w:r w:rsidR="00F11404" w:rsidRPr="00CE23A4">
        <w:rPr>
          <w:rFonts w:ascii="Book Antiqua" w:hAnsi="Book Antiqua"/>
          <w:sz w:val="24"/>
          <w:szCs w:val="24"/>
        </w:rPr>
        <w:t xml:space="preserve"> score, MELD, MELD sodium</w:t>
      </w:r>
      <w:r w:rsidR="00555E07" w:rsidRPr="00CE23A4">
        <w:rPr>
          <w:rFonts w:ascii="Book Antiqua" w:hAnsi="Book Antiqua"/>
          <w:sz w:val="24"/>
          <w:szCs w:val="24"/>
        </w:rPr>
        <w:t>, BEA</w:t>
      </w:r>
      <w:r w:rsidR="00F11404" w:rsidRPr="00CE23A4">
        <w:rPr>
          <w:rFonts w:ascii="Book Antiqua" w:hAnsi="Book Antiqua"/>
          <w:sz w:val="24"/>
          <w:szCs w:val="24"/>
        </w:rPr>
        <w:t xml:space="preserve"> and</w:t>
      </w:r>
      <w:r w:rsidR="00AF4214" w:rsidRPr="00CE23A4">
        <w:rPr>
          <w:rFonts w:ascii="Book Antiqua" w:hAnsi="Book Antiqua"/>
          <w:sz w:val="24"/>
          <w:szCs w:val="24"/>
        </w:rPr>
        <w:t xml:space="preserve"> APRI</w:t>
      </w:r>
      <w:r w:rsidR="00F11404" w:rsidRPr="00CE23A4">
        <w:rPr>
          <w:rFonts w:ascii="Book Antiqua" w:hAnsi="Book Antiqua"/>
          <w:sz w:val="24"/>
          <w:szCs w:val="24"/>
        </w:rPr>
        <w:t xml:space="preserve"> scores (</w:t>
      </w:r>
      <w:r w:rsidR="00F11404" w:rsidRPr="00CE23A4">
        <w:rPr>
          <w:rFonts w:ascii="Book Antiqua" w:hAnsi="Book Antiqua"/>
          <w:i/>
          <w:caps/>
          <w:sz w:val="24"/>
          <w:szCs w:val="24"/>
        </w:rPr>
        <w:t>p</w:t>
      </w:r>
      <w:r w:rsidR="002B4D97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1404" w:rsidRPr="00CE23A4">
        <w:rPr>
          <w:rFonts w:ascii="Book Antiqua" w:hAnsi="Book Antiqua"/>
          <w:sz w:val="24"/>
          <w:szCs w:val="24"/>
        </w:rPr>
        <w:t>&lt;</w:t>
      </w:r>
      <w:r w:rsidR="002B4D97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1404" w:rsidRPr="00CE23A4">
        <w:rPr>
          <w:rFonts w:ascii="Book Antiqua" w:hAnsi="Book Antiqua"/>
          <w:sz w:val="24"/>
          <w:szCs w:val="24"/>
        </w:rPr>
        <w:t xml:space="preserve">0.001 each). Area under </w:t>
      </w:r>
      <w:r w:rsidR="00106200" w:rsidRPr="00CE23A4">
        <w:rPr>
          <w:rFonts w:ascii="Book Antiqua" w:hAnsi="Book Antiqua"/>
          <w:sz w:val="24"/>
          <w:szCs w:val="24"/>
        </w:rPr>
        <w:t xml:space="preserve">the </w:t>
      </w:r>
      <w:r w:rsidR="00F11404" w:rsidRPr="00CE23A4">
        <w:rPr>
          <w:rFonts w:ascii="Book Antiqua" w:hAnsi="Book Antiqua"/>
          <w:sz w:val="24"/>
          <w:szCs w:val="24"/>
        </w:rPr>
        <w:t>ROC</w:t>
      </w:r>
      <w:r w:rsidR="00106200" w:rsidRPr="00CE23A4">
        <w:rPr>
          <w:rFonts w:ascii="Book Antiqua" w:hAnsi="Book Antiqua"/>
          <w:sz w:val="24"/>
          <w:szCs w:val="24"/>
        </w:rPr>
        <w:t xml:space="preserve"> curve </w:t>
      </w:r>
      <w:r w:rsidR="00F11404" w:rsidRPr="00CE23A4">
        <w:rPr>
          <w:rFonts w:ascii="Book Antiqua" w:hAnsi="Book Antiqua"/>
          <w:sz w:val="24"/>
          <w:szCs w:val="24"/>
        </w:rPr>
        <w:t xml:space="preserve">for ascites, </w:t>
      </w:r>
      <w:r w:rsidR="00706766" w:rsidRPr="00CE23A4">
        <w:rPr>
          <w:rFonts w:ascii="Book Antiqua" w:hAnsi="Book Antiqua"/>
          <w:sz w:val="24"/>
          <w:szCs w:val="24"/>
        </w:rPr>
        <w:t>CTP ≥ 10</w:t>
      </w:r>
      <w:r w:rsidR="00333E39" w:rsidRPr="00CE23A4">
        <w:rPr>
          <w:rFonts w:ascii="Book Antiqua" w:hAnsi="Book Antiqua"/>
          <w:sz w:val="24"/>
          <w:szCs w:val="24"/>
        </w:rPr>
        <w:t xml:space="preserve">, </w:t>
      </w:r>
      <w:r w:rsidR="00F11404" w:rsidRPr="00CE23A4">
        <w:rPr>
          <w:rFonts w:ascii="Book Antiqua" w:hAnsi="Book Antiqua"/>
          <w:sz w:val="24"/>
          <w:szCs w:val="24"/>
        </w:rPr>
        <w:t xml:space="preserve">MELD </w:t>
      </w:r>
      <w:r w:rsidR="00F11404" w:rsidRPr="00CE23A4">
        <w:rPr>
          <w:rFonts w:ascii="Book Antiqua" w:hAnsi="Book Antiqua" w:cstheme="minorHAnsi"/>
          <w:sz w:val="24"/>
          <w:szCs w:val="24"/>
        </w:rPr>
        <w:t>≥</w:t>
      </w:r>
      <w:r w:rsidR="00F11404" w:rsidRPr="00CE23A4">
        <w:rPr>
          <w:rFonts w:ascii="Book Antiqua" w:hAnsi="Book Antiqua"/>
          <w:sz w:val="24"/>
          <w:szCs w:val="24"/>
        </w:rPr>
        <w:t xml:space="preserve"> 15, </w:t>
      </w:r>
      <w:r w:rsidR="005009AE" w:rsidRPr="00CE23A4">
        <w:rPr>
          <w:rFonts w:ascii="Book Antiqua" w:hAnsi="Book Antiqua"/>
          <w:sz w:val="24"/>
          <w:szCs w:val="24"/>
        </w:rPr>
        <w:t>BEA ≥ 5, APRI ≥ 1.5 was</w:t>
      </w:r>
      <w:r w:rsidR="00555E07" w:rsidRPr="00CE23A4">
        <w:rPr>
          <w:rFonts w:ascii="Book Antiqua" w:hAnsi="Book Antiqua"/>
          <w:sz w:val="24"/>
          <w:szCs w:val="24"/>
        </w:rPr>
        <w:t xml:space="preserve"> 0.836, 0.966, 0.913, 0.871 and </w:t>
      </w:r>
      <w:r w:rsidR="00DC21C4" w:rsidRPr="00CE23A4">
        <w:rPr>
          <w:rFonts w:ascii="Book Antiqua" w:hAnsi="Book Antiqua"/>
          <w:sz w:val="24"/>
          <w:szCs w:val="24"/>
        </w:rPr>
        <w:t xml:space="preserve">0.825 </w:t>
      </w:r>
      <w:r w:rsidR="00F11404" w:rsidRPr="00CE23A4">
        <w:rPr>
          <w:rFonts w:ascii="Book Antiqua" w:hAnsi="Book Antiqua"/>
          <w:sz w:val="24"/>
          <w:szCs w:val="24"/>
        </w:rPr>
        <w:t>respective</w:t>
      </w:r>
      <w:r w:rsidR="00106200" w:rsidRPr="00CE23A4">
        <w:rPr>
          <w:rFonts w:ascii="Book Antiqua" w:hAnsi="Book Antiqua"/>
          <w:sz w:val="24"/>
          <w:szCs w:val="24"/>
        </w:rPr>
        <w:t>ly</w:t>
      </w:r>
      <w:r w:rsidR="00F11404" w:rsidRPr="00CE23A4">
        <w:rPr>
          <w:rFonts w:ascii="Book Antiqua" w:hAnsi="Book Antiqua"/>
          <w:sz w:val="24"/>
          <w:szCs w:val="24"/>
        </w:rPr>
        <w:t xml:space="preserve"> (</w:t>
      </w:r>
      <w:r w:rsidR="00453E4C" w:rsidRPr="00CE23A4">
        <w:rPr>
          <w:rFonts w:ascii="Book Antiqua" w:hAnsi="Book Antiqua"/>
          <w:i/>
          <w:caps/>
          <w:sz w:val="24"/>
          <w:szCs w:val="24"/>
        </w:rPr>
        <w:t>p</w:t>
      </w:r>
      <w:r w:rsidR="00453E4C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1404" w:rsidRPr="00CE23A4">
        <w:rPr>
          <w:rFonts w:ascii="Book Antiqua" w:hAnsi="Book Antiqua"/>
          <w:sz w:val="24"/>
          <w:szCs w:val="24"/>
        </w:rPr>
        <w:t>&lt;</w:t>
      </w:r>
      <w:r w:rsidR="00453E4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11404" w:rsidRPr="00CE23A4">
        <w:rPr>
          <w:rFonts w:ascii="Book Antiqua" w:hAnsi="Book Antiqua"/>
          <w:sz w:val="24"/>
          <w:szCs w:val="24"/>
        </w:rPr>
        <w:t xml:space="preserve">0.001 each). Cut off values of cholinesterase </w:t>
      </w:r>
      <w:r w:rsidR="00706766" w:rsidRPr="00CE23A4">
        <w:rPr>
          <w:rFonts w:ascii="Book Antiqua" w:hAnsi="Book Antiqua"/>
          <w:sz w:val="24"/>
          <w:szCs w:val="24"/>
        </w:rPr>
        <w:t xml:space="preserve">(IU/L) </w:t>
      </w:r>
      <w:r w:rsidR="00F11404" w:rsidRPr="00CE23A4">
        <w:rPr>
          <w:rFonts w:ascii="Book Antiqua" w:hAnsi="Book Antiqua"/>
          <w:sz w:val="24"/>
          <w:szCs w:val="24"/>
        </w:rPr>
        <w:t xml:space="preserve">for predicting ascites, </w:t>
      </w:r>
      <w:r w:rsidR="00706766" w:rsidRPr="00CE23A4">
        <w:rPr>
          <w:rFonts w:ascii="Book Antiqua" w:hAnsi="Book Antiqua"/>
          <w:sz w:val="24"/>
          <w:szCs w:val="24"/>
        </w:rPr>
        <w:t xml:space="preserve">CTP ≥ 10, </w:t>
      </w:r>
      <w:r w:rsidR="00F11404" w:rsidRPr="00CE23A4">
        <w:rPr>
          <w:rFonts w:ascii="Book Antiqua" w:hAnsi="Book Antiqua"/>
          <w:sz w:val="24"/>
          <w:szCs w:val="24"/>
        </w:rPr>
        <w:t xml:space="preserve">MELD </w:t>
      </w:r>
      <w:r w:rsidR="00F11404" w:rsidRPr="00CE23A4">
        <w:rPr>
          <w:rFonts w:ascii="Book Antiqua" w:hAnsi="Book Antiqua" w:cstheme="minorHAnsi"/>
          <w:sz w:val="24"/>
          <w:szCs w:val="24"/>
        </w:rPr>
        <w:t>≥</w:t>
      </w:r>
      <w:r w:rsidR="00DA618A" w:rsidRPr="00CE23A4">
        <w:rPr>
          <w:rFonts w:ascii="Book Antiqua" w:hAnsi="Book Antiqua"/>
          <w:sz w:val="24"/>
          <w:szCs w:val="24"/>
        </w:rPr>
        <w:t xml:space="preserve"> 15, </w:t>
      </w:r>
      <w:r w:rsidR="00706766" w:rsidRPr="00CE23A4">
        <w:rPr>
          <w:rFonts w:ascii="Book Antiqua" w:hAnsi="Book Antiqua"/>
          <w:sz w:val="24"/>
          <w:szCs w:val="24"/>
        </w:rPr>
        <w:t>BEA ≥ 5</w:t>
      </w:r>
      <w:r w:rsidR="00DA618A" w:rsidRPr="00CE23A4">
        <w:rPr>
          <w:rFonts w:ascii="Book Antiqua" w:hAnsi="Book Antiqua"/>
          <w:sz w:val="24"/>
          <w:szCs w:val="24"/>
        </w:rPr>
        <w:t xml:space="preserve"> and APRI ≥ 1.5 </w:t>
      </w:r>
      <w:r w:rsidR="00106200" w:rsidRPr="00CE23A4">
        <w:rPr>
          <w:rFonts w:ascii="Book Antiqua" w:hAnsi="Book Antiqua"/>
          <w:sz w:val="24"/>
          <w:szCs w:val="24"/>
        </w:rPr>
        <w:t xml:space="preserve">were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 xml:space="preserve">&lt; </w:t>
      </w:r>
      <w:r w:rsidR="00106200" w:rsidRPr="00CE23A4">
        <w:rPr>
          <w:rFonts w:ascii="Book Antiqua" w:hAnsi="Book Antiqua"/>
          <w:sz w:val="24"/>
          <w:szCs w:val="24"/>
        </w:rPr>
        <w:t>3812,</w:t>
      </w:r>
      <w:r w:rsidR="00706766" w:rsidRPr="00CE23A4">
        <w:rPr>
          <w:rFonts w:ascii="Book Antiqua" w:hAnsi="Book Antiqua"/>
          <w:sz w:val="24"/>
          <w:szCs w:val="24"/>
        </w:rPr>
        <w:t xml:space="preserve"> &lt; 2853,</w:t>
      </w:r>
      <w:r w:rsidR="00106200" w:rsidRPr="00CE23A4">
        <w:rPr>
          <w:rFonts w:ascii="Book Antiqua" w:hAnsi="Book Antiqua"/>
          <w:sz w:val="24"/>
          <w:szCs w:val="24"/>
        </w:rPr>
        <w:t xml:space="preserve">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 xml:space="preserve">&lt; </w:t>
      </w:r>
      <w:r w:rsidR="00106200" w:rsidRPr="00CE23A4">
        <w:rPr>
          <w:rFonts w:ascii="Book Antiqua" w:hAnsi="Book Antiqua"/>
          <w:sz w:val="24"/>
          <w:szCs w:val="24"/>
        </w:rPr>
        <w:t>2829</w:t>
      </w:r>
      <w:r w:rsidR="00DA618A" w:rsidRPr="00CE23A4">
        <w:rPr>
          <w:rFonts w:ascii="Book Antiqua" w:hAnsi="Book Antiqua"/>
          <w:sz w:val="24"/>
          <w:szCs w:val="24"/>
        </w:rPr>
        <w:t xml:space="preserve">, </w:t>
      </w:r>
      <w:r w:rsidR="00106200" w:rsidRPr="00CE23A4">
        <w:rPr>
          <w:rFonts w:ascii="Book Antiqua" w:hAnsi="Book Antiqua"/>
          <w:sz w:val="24"/>
          <w:szCs w:val="24"/>
        </w:rPr>
        <w:t xml:space="preserve"> </w:t>
      </w:r>
      <w:r w:rsidR="00DA618A" w:rsidRPr="00CE23A4">
        <w:rPr>
          <w:rFonts w:ascii="Book Antiqua" w:hAnsi="Book Antiqua"/>
          <w:sz w:val="24"/>
          <w:szCs w:val="24"/>
        </w:rPr>
        <w:t xml:space="preserve">&lt; 4719 </w:t>
      </w:r>
      <w:r w:rsidR="00106200" w:rsidRPr="00CE23A4">
        <w:rPr>
          <w:rFonts w:ascii="Book Antiqua" w:hAnsi="Book Antiqua"/>
          <w:sz w:val="24"/>
          <w:szCs w:val="24"/>
        </w:rPr>
        <w:t xml:space="preserve">and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 xml:space="preserve">&lt; </w:t>
      </w:r>
      <w:r w:rsidR="00DA618A" w:rsidRPr="00CE23A4">
        <w:rPr>
          <w:rFonts w:ascii="Book Antiqua" w:hAnsi="Book Antiqua"/>
          <w:sz w:val="24"/>
          <w:szCs w:val="24"/>
        </w:rPr>
        <w:t>3954</w:t>
      </w:r>
      <w:r w:rsidR="00106200" w:rsidRPr="00CE23A4">
        <w:rPr>
          <w:rFonts w:ascii="Book Antiqua" w:hAnsi="Book Antiqua"/>
          <w:sz w:val="24"/>
          <w:szCs w:val="24"/>
        </w:rPr>
        <w:t xml:space="preserve"> </w:t>
      </w:r>
      <w:r w:rsidR="00706766" w:rsidRPr="00CE23A4">
        <w:rPr>
          <w:rFonts w:ascii="Book Antiqua" w:hAnsi="Book Antiqua"/>
          <w:sz w:val="24"/>
          <w:szCs w:val="24"/>
        </w:rPr>
        <w:t>with a sensitivity of 80%, 100</w:t>
      </w:r>
      <w:r w:rsidR="00F11404" w:rsidRPr="00CE23A4">
        <w:rPr>
          <w:rFonts w:ascii="Book Antiqua" w:hAnsi="Book Antiqua"/>
          <w:sz w:val="24"/>
          <w:szCs w:val="24"/>
        </w:rPr>
        <w:t xml:space="preserve">%, </w:t>
      </w:r>
      <w:r w:rsidR="00DA618A" w:rsidRPr="00CE23A4">
        <w:rPr>
          <w:rFonts w:ascii="Book Antiqua" w:hAnsi="Book Antiqua"/>
          <w:sz w:val="24"/>
          <w:szCs w:val="24"/>
        </w:rPr>
        <w:t>91.67%, 8</w:t>
      </w:r>
      <w:r w:rsidR="00706766" w:rsidRPr="00CE23A4">
        <w:rPr>
          <w:rFonts w:ascii="Book Antiqua" w:hAnsi="Book Antiqua"/>
          <w:sz w:val="24"/>
          <w:szCs w:val="24"/>
        </w:rPr>
        <w:t>2.50</w:t>
      </w:r>
      <w:r w:rsidR="00DA618A" w:rsidRPr="00CE23A4">
        <w:rPr>
          <w:rFonts w:ascii="Book Antiqua" w:hAnsi="Book Antiqua"/>
          <w:sz w:val="24"/>
          <w:szCs w:val="24"/>
        </w:rPr>
        <w:t xml:space="preserve">%, 58.0% </w:t>
      </w:r>
      <w:r w:rsidR="00F11404" w:rsidRPr="00CE23A4">
        <w:rPr>
          <w:rFonts w:ascii="Book Antiqua" w:hAnsi="Book Antiqua"/>
          <w:sz w:val="24"/>
          <w:szCs w:val="24"/>
        </w:rPr>
        <w:t>and spe</w:t>
      </w:r>
      <w:r w:rsidR="00106200" w:rsidRPr="00CE23A4">
        <w:rPr>
          <w:rFonts w:ascii="Book Antiqua" w:hAnsi="Book Antiqua"/>
          <w:sz w:val="24"/>
          <w:szCs w:val="24"/>
        </w:rPr>
        <w:t xml:space="preserve">cificity of 81.97%, </w:t>
      </w:r>
      <w:r w:rsidR="00DA618A" w:rsidRPr="00CE23A4">
        <w:rPr>
          <w:rFonts w:ascii="Book Antiqua" w:hAnsi="Book Antiqua"/>
          <w:sz w:val="24"/>
          <w:szCs w:val="24"/>
        </w:rPr>
        <w:t xml:space="preserve">84.79%, 87.56%, </w:t>
      </w:r>
      <w:r w:rsidR="00706766" w:rsidRPr="00CE23A4">
        <w:rPr>
          <w:rFonts w:ascii="Book Antiqua" w:hAnsi="Book Antiqua"/>
          <w:sz w:val="24"/>
          <w:szCs w:val="24"/>
        </w:rPr>
        <w:t xml:space="preserve">77.06 </w:t>
      </w:r>
      <w:r w:rsidR="00DA618A" w:rsidRPr="00CE23A4">
        <w:rPr>
          <w:rFonts w:ascii="Book Antiqua" w:hAnsi="Book Antiqua"/>
          <w:sz w:val="24"/>
          <w:szCs w:val="24"/>
        </w:rPr>
        <w:t xml:space="preserve">and 55.64% </w:t>
      </w:r>
      <w:r w:rsidR="00F11404" w:rsidRPr="00CE23A4">
        <w:rPr>
          <w:rFonts w:ascii="Book Antiqua" w:hAnsi="Book Antiqua"/>
          <w:sz w:val="24"/>
          <w:szCs w:val="24"/>
        </w:rPr>
        <w:t>respectively.</w:t>
      </w:r>
      <w:r w:rsidR="005009AE" w:rsidRPr="00CE23A4">
        <w:rPr>
          <w:rFonts w:ascii="Book Antiqua" w:hAnsi="Book Antiqua"/>
          <w:sz w:val="24"/>
          <w:szCs w:val="24"/>
        </w:rPr>
        <w:t xml:space="preserve"> </w:t>
      </w:r>
    </w:p>
    <w:p w14:paraId="3A4D7AE1" w14:textId="77777777" w:rsidR="00E14371" w:rsidRPr="00CE23A4" w:rsidRDefault="00E14371" w:rsidP="002804CB">
      <w:pPr>
        <w:snapToGri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</w:p>
    <w:p w14:paraId="2DCED031" w14:textId="6A4942CE" w:rsidR="00497DE3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i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i/>
          <w:sz w:val="24"/>
          <w:szCs w:val="24"/>
        </w:rPr>
        <w:t>CONCLUSION</w:t>
      </w:r>
    </w:p>
    <w:p w14:paraId="43ECADB4" w14:textId="431C2543" w:rsidR="004F1C86" w:rsidRPr="00CE23A4" w:rsidRDefault="00F11404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lastRenderedPageBreak/>
        <w:t>Serum cholinesterase</w:t>
      </w:r>
      <w:r w:rsidR="00E756EB" w:rsidRPr="00CE23A4">
        <w:rPr>
          <w:rFonts w:ascii="Book Antiqua" w:hAnsi="Book Antiqua"/>
          <w:sz w:val="24"/>
          <w:szCs w:val="24"/>
        </w:rPr>
        <w:t xml:space="preserve"> demonstrates</w:t>
      </w:r>
      <w:r w:rsidR="00480F8A" w:rsidRPr="00CE23A4">
        <w:rPr>
          <w:rFonts w:ascii="Book Antiqua" w:hAnsi="Book Antiqua"/>
          <w:sz w:val="24"/>
          <w:szCs w:val="24"/>
        </w:rPr>
        <w:t xml:space="preserve"> promising</w:t>
      </w:r>
      <w:r w:rsidRPr="00CE23A4">
        <w:rPr>
          <w:rFonts w:ascii="Book Antiqua" w:hAnsi="Book Antiqua"/>
          <w:sz w:val="24"/>
          <w:szCs w:val="24"/>
        </w:rPr>
        <w:t xml:space="preserve"> correlation</w:t>
      </w:r>
      <w:r w:rsidR="00E756EB" w:rsidRPr="00CE23A4">
        <w:rPr>
          <w:rFonts w:ascii="Book Antiqua" w:hAnsi="Book Antiqua"/>
          <w:sz w:val="24"/>
          <w:szCs w:val="24"/>
        </w:rPr>
        <w:t>s</w:t>
      </w:r>
      <w:r w:rsidRPr="00CE23A4">
        <w:rPr>
          <w:rFonts w:ascii="Book Antiqua" w:hAnsi="Book Antiqua"/>
          <w:sz w:val="24"/>
          <w:szCs w:val="24"/>
        </w:rPr>
        <w:t xml:space="preserve"> with serum albumin, INR and </w:t>
      </w:r>
      <w:r w:rsidR="00E14371" w:rsidRPr="00CE23A4">
        <w:rPr>
          <w:rFonts w:ascii="Book Antiqua" w:hAnsi="Book Antiqua"/>
          <w:sz w:val="24"/>
          <w:szCs w:val="24"/>
        </w:rPr>
        <w:t>CTP, MELD,</w:t>
      </w:r>
      <w:r w:rsidRPr="00CE23A4">
        <w:rPr>
          <w:rFonts w:ascii="Book Antiqua" w:hAnsi="Book Antiqua"/>
          <w:sz w:val="24"/>
          <w:szCs w:val="24"/>
        </w:rPr>
        <w:t xml:space="preserve"> </w:t>
      </w:r>
      <w:r w:rsidR="00E14371" w:rsidRPr="00CE23A4">
        <w:rPr>
          <w:rFonts w:ascii="Book Antiqua" w:hAnsi="Book Antiqua"/>
          <w:sz w:val="24"/>
          <w:szCs w:val="24"/>
        </w:rPr>
        <w:t>BEA and APRI scores</w:t>
      </w:r>
      <w:r w:rsidR="00E756EB" w:rsidRPr="00CE23A4">
        <w:rPr>
          <w:rFonts w:ascii="Book Antiqua" w:hAnsi="Book Antiqua"/>
          <w:sz w:val="24"/>
          <w:szCs w:val="24"/>
        </w:rPr>
        <w:t xml:space="preserve"> and is predictive of</w:t>
      </w:r>
      <w:r w:rsidR="00E14371" w:rsidRPr="00CE23A4">
        <w:rPr>
          <w:rFonts w:ascii="Book Antiqua" w:hAnsi="Book Antiqua"/>
          <w:sz w:val="24"/>
          <w:szCs w:val="24"/>
        </w:rPr>
        <w:t xml:space="preserve"> liver reserves in hepatitis D cirrhosis.</w:t>
      </w:r>
    </w:p>
    <w:p w14:paraId="70058421" w14:textId="77777777" w:rsidR="00826C13" w:rsidRPr="00CE23A4" w:rsidRDefault="00826C13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69D0AF86" w14:textId="5EDAEA59" w:rsidR="004F1C86" w:rsidRPr="00CE23A4" w:rsidRDefault="00497DE3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t xml:space="preserve">Key </w:t>
      </w:r>
      <w:r w:rsidR="002804CB" w:rsidRPr="00CE23A4">
        <w:rPr>
          <w:rFonts w:ascii="Book Antiqua" w:hAnsi="Book Antiqua"/>
          <w:b/>
          <w:sz w:val="24"/>
          <w:szCs w:val="24"/>
        </w:rPr>
        <w:t>w</w:t>
      </w:r>
      <w:r w:rsidRPr="00CE23A4">
        <w:rPr>
          <w:rFonts w:ascii="Book Antiqua" w:hAnsi="Book Antiqua"/>
          <w:b/>
          <w:sz w:val="24"/>
          <w:szCs w:val="24"/>
        </w:rPr>
        <w:t>ords:</w:t>
      </w:r>
      <w:r w:rsidR="00040CA0" w:rsidRPr="00CE23A4">
        <w:rPr>
          <w:rFonts w:ascii="Book Antiqua" w:hAnsi="Book Antiqua"/>
          <w:b/>
          <w:sz w:val="24"/>
          <w:szCs w:val="24"/>
        </w:rPr>
        <w:t xml:space="preserve"> </w:t>
      </w:r>
      <w:bookmarkStart w:id="25" w:name="OLE_LINK1126"/>
      <w:bookmarkStart w:id="26" w:name="OLE_LINK1127"/>
      <w:r w:rsidR="00040CA0" w:rsidRPr="00CE23A4">
        <w:rPr>
          <w:rFonts w:ascii="Book Antiqua" w:hAnsi="Book Antiqua"/>
          <w:caps/>
          <w:sz w:val="24"/>
          <w:szCs w:val="24"/>
        </w:rPr>
        <w:t>c</w:t>
      </w:r>
      <w:r w:rsidR="00040CA0" w:rsidRPr="00CE23A4">
        <w:rPr>
          <w:rFonts w:ascii="Book Antiqua" w:hAnsi="Book Antiqua"/>
          <w:sz w:val="24"/>
          <w:szCs w:val="24"/>
        </w:rPr>
        <w:t xml:space="preserve">holinesterase; </w:t>
      </w:r>
      <w:r w:rsidR="00040CA0" w:rsidRPr="00CE23A4">
        <w:rPr>
          <w:rFonts w:ascii="Book Antiqua" w:hAnsi="Book Antiqua"/>
          <w:caps/>
          <w:sz w:val="24"/>
          <w:szCs w:val="24"/>
        </w:rPr>
        <w:t>h</w:t>
      </w:r>
      <w:r w:rsidR="00040CA0" w:rsidRPr="00CE23A4">
        <w:rPr>
          <w:rFonts w:ascii="Book Antiqua" w:hAnsi="Book Antiqua"/>
          <w:sz w:val="24"/>
          <w:szCs w:val="24"/>
        </w:rPr>
        <w:t>epatit</w:t>
      </w:r>
      <w:r w:rsidR="00EC6932" w:rsidRPr="00CE23A4">
        <w:rPr>
          <w:rFonts w:ascii="Book Antiqua" w:hAnsi="Book Antiqua"/>
          <w:sz w:val="24"/>
          <w:szCs w:val="24"/>
        </w:rPr>
        <w:t>is D;</w:t>
      </w:r>
      <w:r w:rsidR="007E7A5C" w:rsidRPr="00CE23A4">
        <w:rPr>
          <w:rFonts w:ascii="Book Antiqua" w:hAnsi="Book Antiqua"/>
          <w:sz w:val="24"/>
          <w:szCs w:val="24"/>
        </w:rPr>
        <w:t xml:space="preserve"> </w:t>
      </w:r>
      <w:r w:rsidR="007E7A5C" w:rsidRPr="00CE23A4">
        <w:rPr>
          <w:rFonts w:ascii="Book Antiqua" w:hAnsi="Book Antiqua"/>
          <w:caps/>
          <w:sz w:val="24"/>
          <w:szCs w:val="24"/>
        </w:rPr>
        <w:t>l</w:t>
      </w:r>
      <w:r w:rsidR="007E7A5C" w:rsidRPr="00CE23A4">
        <w:rPr>
          <w:rFonts w:ascii="Book Antiqua" w:hAnsi="Book Antiqua"/>
          <w:sz w:val="24"/>
          <w:szCs w:val="24"/>
        </w:rPr>
        <w:t>iver function;</w:t>
      </w:r>
      <w:r w:rsidR="00EC6932" w:rsidRPr="00CE23A4">
        <w:rPr>
          <w:rFonts w:ascii="Book Antiqua" w:hAnsi="Book Antiqua"/>
          <w:sz w:val="24"/>
          <w:szCs w:val="24"/>
        </w:rPr>
        <w:t xml:space="preserve"> cirrhosis; Child </w:t>
      </w:r>
      <w:proofErr w:type="spellStart"/>
      <w:r w:rsidR="00EC6932" w:rsidRPr="00CE23A4">
        <w:rPr>
          <w:rFonts w:ascii="Book Antiqua" w:hAnsi="Book Antiqua"/>
          <w:sz w:val="24"/>
          <w:szCs w:val="24"/>
        </w:rPr>
        <w:t>Turc</w:t>
      </w:r>
      <w:r w:rsidR="00040CA0" w:rsidRPr="00CE23A4">
        <w:rPr>
          <w:rFonts w:ascii="Book Antiqua" w:hAnsi="Book Antiqua"/>
          <w:sz w:val="24"/>
          <w:szCs w:val="24"/>
        </w:rPr>
        <w:t>otte</w:t>
      </w:r>
      <w:proofErr w:type="spellEnd"/>
      <w:r w:rsidR="00040CA0" w:rsidRPr="00CE23A4">
        <w:rPr>
          <w:rFonts w:ascii="Book Antiqua" w:hAnsi="Book Antiqua"/>
          <w:sz w:val="24"/>
          <w:szCs w:val="24"/>
        </w:rPr>
        <w:t xml:space="preserve"> Pugh score; MELD</w:t>
      </w:r>
      <w:r w:rsidR="004F1C86" w:rsidRPr="00CE23A4">
        <w:rPr>
          <w:rFonts w:ascii="Book Antiqua" w:hAnsi="Book Antiqua"/>
          <w:sz w:val="24"/>
          <w:szCs w:val="24"/>
        </w:rPr>
        <w:t xml:space="preserve"> score</w:t>
      </w:r>
      <w:r w:rsidR="00040CA0" w:rsidRPr="00CE23A4">
        <w:rPr>
          <w:rFonts w:ascii="Book Antiqua" w:hAnsi="Book Antiqua"/>
          <w:sz w:val="24"/>
          <w:szCs w:val="24"/>
        </w:rPr>
        <w:t xml:space="preserve">; </w:t>
      </w:r>
      <w:r w:rsidR="004F1C86" w:rsidRPr="00CE23A4">
        <w:rPr>
          <w:rFonts w:ascii="Book Antiqua" w:hAnsi="Book Antiqua"/>
          <w:caps/>
          <w:sz w:val="24"/>
          <w:szCs w:val="24"/>
        </w:rPr>
        <w:t>a</w:t>
      </w:r>
      <w:r w:rsidR="004F1C86" w:rsidRPr="00CE23A4">
        <w:rPr>
          <w:rFonts w:ascii="Book Antiqua" w:hAnsi="Book Antiqua"/>
          <w:sz w:val="24"/>
          <w:szCs w:val="24"/>
        </w:rPr>
        <w:t>spartate transaminase</w:t>
      </w:r>
      <w:r w:rsidR="00480F8A" w:rsidRPr="00CE23A4">
        <w:rPr>
          <w:rFonts w:ascii="Book Antiqua" w:hAnsi="Book Antiqua"/>
          <w:sz w:val="24"/>
          <w:szCs w:val="24"/>
        </w:rPr>
        <w:t>-</w:t>
      </w:r>
      <w:r w:rsidR="00EC6932" w:rsidRPr="00CE23A4">
        <w:rPr>
          <w:rFonts w:ascii="Book Antiqua" w:hAnsi="Book Antiqua"/>
          <w:sz w:val="24"/>
          <w:szCs w:val="24"/>
        </w:rPr>
        <w:t xml:space="preserve">to-platelet ratio index; </w:t>
      </w:r>
      <w:r w:rsidR="00EC6932" w:rsidRPr="00CE23A4">
        <w:rPr>
          <w:rFonts w:ascii="Book Antiqua" w:hAnsi="Book Antiqua"/>
          <w:caps/>
          <w:sz w:val="24"/>
          <w:szCs w:val="24"/>
        </w:rPr>
        <w:t>b</w:t>
      </w:r>
      <w:r w:rsidR="00EC6932" w:rsidRPr="00CE23A4">
        <w:rPr>
          <w:rFonts w:ascii="Book Antiqua" w:hAnsi="Book Antiqua"/>
          <w:sz w:val="24"/>
          <w:szCs w:val="24"/>
        </w:rPr>
        <w:t>aseline-event-anticipation</w:t>
      </w:r>
      <w:r w:rsidR="002804CB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C6932" w:rsidRPr="00CE23A4">
        <w:rPr>
          <w:rFonts w:ascii="Book Antiqua" w:hAnsi="Book Antiqua"/>
          <w:sz w:val="24"/>
          <w:szCs w:val="24"/>
        </w:rPr>
        <w:t>score</w:t>
      </w:r>
      <w:bookmarkEnd w:id="25"/>
      <w:bookmarkEnd w:id="26"/>
    </w:p>
    <w:p w14:paraId="05EA9F6B" w14:textId="77777777" w:rsidR="004F1C86" w:rsidRPr="00CE23A4" w:rsidRDefault="004F1C86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1C7CAAE" w14:textId="77777777" w:rsidR="002B4D97" w:rsidRPr="00CE23A4" w:rsidRDefault="002B4D97" w:rsidP="002B4D97">
      <w:pPr>
        <w:adjustRightInd w:val="0"/>
        <w:snapToGrid w:val="0"/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bookmarkStart w:id="27" w:name="OLE_LINK994"/>
      <w:bookmarkStart w:id="28" w:name="OLE_LINK956"/>
      <w:bookmarkStart w:id="29" w:name="OLE_LINK916"/>
      <w:bookmarkStart w:id="30" w:name="OLE_LINK500"/>
      <w:bookmarkStart w:id="31" w:name="OLE_LINK1062"/>
      <w:bookmarkStart w:id="32" w:name="OLE_LINK1140"/>
      <w:bookmarkStart w:id="33" w:name="OLE_LINK1195"/>
      <w:bookmarkStart w:id="34" w:name="OLE_LINK1037"/>
      <w:bookmarkStart w:id="35" w:name="OLE_LINK359"/>
      <w:bookmarkStart w:id="36" w:name="OLE_LINK364"/>
      <w:bookmarkStart w:id="37" w:name="OLE_LINK363"/>
      <w:proofErr w:type="gramStart"/>
      <w:r w:rsidRPr="00CE23A4">
        <w:rPr>
          <w:rFonts w:ascii="Book Antiqua" w:hAnsi="Book Antiqua" w:cs="宋体"/>
          <w:b/>
          <w:sz w:val="24"/>
          <w:szCs w:val="24"/>
          <w:lang w:eastAsia="zh-CN"/>
        </w:rPr>
        <w:t>© The Author(s) 2017.</w:t>
      </w:r>
      <w:proofErr w:type="gram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Published by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Baishideng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Publishing Group Inc. All rights reserved.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0020D83D" w14:textId="77777777" w:rsidR="002804CB" w:rsidRPr="00CE23A4" w:rsidRDefault="002804CB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78D79AD" w14:textId="0AED8314" w:rsidR="00497DE3" w:rsidRPr="00CE23A4" w:rsidRDefault="00497DE3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sz w:val="24"/>
          <w:szCs w:val="24"/>
        </w:rPr>
        <w:t xml:space="preserve">Core </w:t>
      </w:r>
      <w:r w:rsidR="002804CB" w:rsidRPr="00CE23A4">
        <w:rPr>
          <w:rFonts w:ascii="Book Antiqua" w:hAnsi="Book Antiqua"/>
          <w:b/>
          <w:sz w:val="24"/>
          <w:szCs w:val="24"/>
        </w:rPr>
        <w:t>t</w:t>
      </w:r>
      <w:r w:rsidRPr="00CE23A4">
        <w:rPr>
          <w:rFonts w:ascii="Book Antiqua" w:hAnsi="Book Antiqua"/>
          <w:b/>
          <w:sz w:val="24"/>
          <w:szCs w:val="24"/>
        </w:rPr>
        <w:t>ip:</w:t>
      </w:r>
      <w:r w:rsidR="002804CB" w:rsidRPr="00CE23A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bookmarkStart w:id="38" w:name="OLE_LINK1128"/>
      <w:bookmarkStart w:id="39" w:name="OLE_LINK1129"/>
      <w:r w:rsidR="00A726ED" w:rsidRPr="00CE23A4">
        <w:rPr>
          <w:rFonts w:ascii="Book Antiqua" w:hAnsi="Book Antiqua"/>
          <w:sz w:val="24"/>
          <w:szCs w:val="24"/>
        </w:rPr>
        <w:t xml:space="preserve">Prognostic </w:t>
      </w:r>
      <w:r w:rsidR="00CE2B72" w:rsidRPr="00CE23A4">
        <w:rPr>
          <w:rFonts w:ascii="Book Antiqua" w:hAnsi="Book Antiqua"/>
          <w:sz w:val="24"/>
          <w:szCs w:val="24"/>
        </w:rPr>
        <w:t xml:space="preserve">models to assess liver function in patients with chronic liver disease are </w:t>
      </w:r>
      <w:r w:rsidR="00A726ED" w:rsidRPr="00CE23A4">
        <w:rPr>
          <w:rFonts w:ascii="Book Antiqua" w:hAnsi="Book Antiqua"/>
          <w:sz w:val="24"/>
          <w:szCs w:val="24"/>
        </w:rPr>
        <w:t>used extensively in clinical settings</w:t>
      </w:r>
      <w:r w:rsidR="00CE2B72" w:rsidRPr="00CE23A4">
        <w:rPr>
          <w:rFonts w:ascii="Book Antiqua" w:hAnsi="Book Antiqua"/>
          <w:sz w:val="24"/>
          <w:szCs w:val="24"/>
        </w:rPr>
        <w:t>. These systems</w:t>
      </w:r>
      <w:r w:rsidR="00D07550" w:rsidRPr="00CE23A4">
        <w:rPr>
          <w:rFonts w:ascii="Book Antiqua" w:hAnsi="Book Antiqua"/>
          <w:sz w:val="24"/>
          <w:szCs w:val="24"/>
        </w:rPr>
        <w:t xml:space="preserve"> employ </w:t>
      </w:r>
      <w:r w:rsidR="005E4CE8" w:rsidRPr="00CE23A4">
        <w:rPr>
          <w:rFonts w:ascii="Book Antiqua" w:hAnsi="Book Antiqua"/>
          <w:sz w:val="24"/>
          <w:szCs w:val="24"/>
        </w:rPr>
        <w:t>multiple</w:t>
      </w:r>
      <w:r w:rsidR="00CE2B72" w:rsidRPr="00CE23A4">
        <w:rPr>
          <w:rFonts w:ascii="Book Antiqua" w:hAnsi="Book Antiqua"/>
          <w:sz w:val="24"/>
          <w:szCs w:val="24"/>
        </w:rPr>
        <w:t xml:space="preserve"> clinical and laboratory parameters to evaluate liver reserves and predict outcome. In our study we assessed cholinesterase as a</w:t>
      </w:r>
      <w:r w:rsidR="005E4CE8" w:rsidRPr="00CE23A4">
        <w:rPr>
          <w:rFonts w:ascii="Book Antiqua" w:hAnsi="Book Antiqua"/>
          <w:sz w:val="24"/>
          <w:szCs w:val="24"/>
        </w:rPr>
        <w:t>n independent</w:t>
      </w:r>
      <w:r w:rsidR="00CE2B72" w:rsidRPr="00CE23A4">
        <w:rPr>
          <w:rFonts w:ascii="Book Antiqua" w:hAnsi="Book Antiqua"/>
          <w:sz w:val="24"/>
          <w:szCs w:val="24"/>
        </w:rPr>
        <w:t xml:space="preserve"> </w:t>
      </w:r>
      <w:r w:rsidR="000451A0" w:rsidRPr="00CE23A4">
        <w:rPr>
          <w:rFonts w:ascii="Book Antiqua" w:hAnsi="Book Antiqua"/>
          <w:sz w:val="24"/>
          <w:szCs w:val="24"/>
        </w:rPr>
        <w:t>predictor of</w:t>
      </w:r>
      <w:r w:rsidR="005E4CE8" w:rsidRPr="00CE23A4">
        <w:rPr>
          <w:rFonts w:ascii="Book Antiqua" w:hAnsi="Book Antiqua"/>
          <w:sz w:val="24"/>
          <w:szCs w:val="24"/>
        </w:rPr>
        <w:t xml:space="preserve"> </w:t>
      </w:r>
      <w:r w:rsidR="000451A0" w:rsidRPr="00CE23A4">
        <w:rPr>
          <w:rFonts w:ascii="Book Antiqua" w:hAnsi="Book Antiqua"/>
          <w:sz w:val="24"/>
          <w:szCs w:val="24"/>
        </w:rPr>
        <w:t>hepatic reserves. We found that</w:t>
      </w:r>
      <w:r w:rsidR="005E4CE8" w:rsidRPr="00CE23A4">
        <w:rPr>
          <w:rFonts w:ascii="Book Antiqua" w:hAnsi="Book Antiqua"/>
          <w:sz w:val="24"/>
          <w:szCs w:val="24"/>
        </w:rPr>
        <w:t xml:space="preserve"> </w:t>
      </w:r>
      <w:r w:rsidR="00CE2B72" w:rsidRPr="00CE23A4">
        <w:rPr>
          <w:rFonts w:ascii="Book Antiqua" w:hAnsi="Book Antiqua"/>
          <w:sz w:val="24"/>
          <w:szCs w:val="24"/>
        </w:rPr>
        <w:t>its values</w:t>
      </w:r>
      <w:r w:rsidR="005E4CE8" w:rsidRPr="00CE23A4">
        <w:rPr>
          <w:rFonts w:ascii="Book Antiqua" w:hAnsi="Book Antiqua"/>
          <w:sz w:val="24"/>
          <w:szCs w:val="24"/>
        </w:rPr>
        <w:t xml:space="preserve"> correlated strongly</w:t>
      </w:r>
      <w:r w:rsidR="00CE2B72" w:rsidRPr="00CE23A4">
        <w:rPr>
          <w:rFonts w:ascii="Book Antiqua" w:hAnsi="Book Antiqua"/>
          <w:sz w:val="24"/>
          <w:szCs w:val="24"/>
        </w:rPr>
        <w:t xml:space="preserve"> with </w:t>
      </w:r>
      <w:r w:rsidR="000451A0" w:rsidRPr="00CE23A4">
        <w:rPr>
          <w:rFonts w:ascii="Book Antiqua" w:hAnsi="Book Antiqua"/>
          <w:sz w:val="24"/>
          <w:szCs w:val="24"/>
        </w:rPr>
        <w:t xml:space="preserve">LFTs and with </w:t>
      </w:r>
      <w:r w:rsidR="00CE2B72" w:rsidRPr="00CE23A4">
        <w:rPr>
          <w:rFonts w:ascii="Book Antiqua" w:hAnsi="Book Antiqua"/>
          <w:sz w:val="24"/>
          <w:szCs w:val="24"/>
        </w:rPr>
        <w:t>the</w:t>
      </w:r>
      <w:r w:rsidR="005E4CE8" w:rsidRPr="00CE23A4">
        <w:rPr>
          <w:rFonts w:ascii="Book Antiqua" w:hAnsi="Book Antiqua"/>
          <w:sz w:val="24"/>
          <w:szCs w:val="24"/>
        </w:rPr>
        <w:t xml:space="preserve"> existing</w:t>
      </w:r>
      <w:r w:rsidR="00CE2B72" w:rsidRPr="00CE23A4">
        <w:rPr>
          <w:rFonts w:ascii="Book Antiqua" w:hAnsi="Book Antiqua"/>
          <w:sz w:val="24"/>
          <w:szCs w:val="24"/>
        </w:rPr>
        <w:t xml:space="preserve"> scoring </w:t>
      </w:r>
      <w:r w:rsidR="000451A0" w:rsidRPr="00CE23A4">
        <w:rPr>
          <w:rFonts w:ascii="Book Antiqua" w:hAnsi="Book Antiqua"/>
          <w:sz w:val="24"/>
          <w:szCs w:val="24"/>
        </w:rPr>
        <w:t>models</w:t>
      </w:r>
      <w:r w:rsidR="005E4CE8" w:rsidRPr="00CE23A4">
        <w:rPr>
          <w:rFonts w:ascii="Book Antiqua" w:hAnsi="Book Antiqua"/>
          <w:sz w:val="24"/>
          <w:szCs w:val="24"/>
        </w:rPr>
        <w:t xml:space="preserve">. Thereafter, we </w:t>
      </w:r>
      <w:r w:rsidR="00CE2B72" w:rsidRPr="00CE23A4">
        <w:rPr>
          <w:rFonts w:ascii="Book Antiqua" w:hAnsi="Book Antiqua"/>
          <w:sz w:val="24"/>
          <w:szCs w:val="24"/>
        </w:rPr>
        <w:t xml:space="preserve">defined </w:t>
      </w:r>
      <w:r w:rsidR="000451A0" w:rsidRPr="00CE23A4">
        <w:rPr>
          <w:rFonts w:ascii="Book Antiqua" w:hAnsi="Book Antiqua"/>
          <w:sz w:val="24"/>
          <w:szCs w:val="24"/>
        </w:rPr>
        <w:t>optimal</w:t>
      </w:r>
      <w:r w:rsidR="00CE2B72" w:rsidRPr="00CE23A4">
        <w:rPr>
          <w:rFonts w:ascii="Book Antiqua" w:hAnsi="Book Antiqua"/>
          <w:sz w:val="24"/>
          <w:szCs w:val="24"/>
        </w:rPr>
        <w:t xml:space="preserve"> cholinesterase levels </w:t>
      </w:r>
      <w:r w:rsidR="000451A0" w:rsidRPr="00CE23A4">
        <w:rPr>
          <w:rFonts w:ascii="Book Antiqua" w:hAnsi="Book Antiqua"/>
          <w:sz w:val="24"/>
          <w:szCs w:val="24"/>
        </w:rPr>
        <w:t>corresponding to the</w:t>
      </w:r>
      <w:r w:rsidR="005E4CE8" w:rsidRPr="00CE23A4">
        <w:rPr>
          <w:rFonts w:ascii="Book Antiqua" w:hAnsi="Book Antiqua"/>
          <w:sz w:val="24"/>
          <w:szCs w:val="24"/>
        </w:rPr>
        <w:t xml:space="preserve"> </w:t>
      </w:r>
      <w:r w:rsidR="00CE2B72" w:rsidRPr="00CE23A4">
        <w:rPr>
          <w:rFonts w:ascii="Book Antiqua" w:hAnsi="Book Antiqua"/>
          <w:sz w:val="24"/>
          <w:szCs w:val="24"/>
        </w:rPr>
        <w:t>different stages</w:t>
      </w:r>
      <w:r w:rsidR="000451A0" w:rsidRPr="00CE23A4">
        <w:rPr>
          <w:rFonts w:ascii="Book Antiqua" w:hAnsi="Book Antiqua"/>
          <w:sz w:val="24"/>
          <w:szCs w:val="24"/>
        </w:rPr>
        <w:t xml:space="preserve"> and classes</w:t>
      </w:r>
      <w:r w:rsidR="005E4CE8" w:rsidRPr="00CE23A4">
        <w:rPr>
          <w:rFonts w:ascii="Book Antiqua" w:hAnsi="Book Antiqua"/>
          <w:sz w:val="24"/>
          <w:szCs w:val="24"/>
        </w:rPr>
        <w:t xml:space="preserve"> of the </w:t>
      </w:r>
      <w:r w:rsidR="00CE2B72" w:rsidRPr="00CE23A4">
        <w:rPr>
          <w:rFonts w:ascii="Book Antiqua" w:hAnsi="Book Antiqua"/>
          <w:sz w:val="24"/>
          <w:szCs w:val="24"/>
        </w:rPr>
        <w:t>s</w:t>
      </w:r>
      <w:r w:rsidR="005E4CE8" w:rsidRPr="00CE23A4">
        <w:rPr>
          <w:rFonts w:ascii="Book Antiqua" w:hAnsi="Book Antiqua"/>
          <w:sz w:val="24"/>
          <w:szCs w:val="24"/>
        </w:rPr>
        <w:t>c</w:t>
      </w:r>
      <w:r w:rsidR="00CE2B72" w:rsidRPr="00CE23A4">
        <w:rPr>
          <w:rFonts w:ascii="Book Antiqua" w:hAnsi="Book Antiqua"/>
          <w:sz w:val="24"/>
          <w:szCs w:val="24"/>
        </w:rPr>
        <w:t>oring systems</w:t>
      </w:r>
      <w:r w:rsidR="000451A0" w:rsidRPr="00CE23A4">
        <w:rPr>
          <w:rFonts w:ascii="Book Antiqua" w:hAnsi="Book Antiqua"/>
          <w:sz w:val="24"/>
          <w:szCs w:val="24"/>
        </w:rPr>
        <w:t xml:space="preserve"> and hence the severity of chronic liver disease</w:t>
      </w:r>
      <w:r w:rsidR="00CE2B72" w:rsidRPr="00CE23A4">
        <w:rPr>
          <w:rFonts w:ascii="Book Antiqua" w:hAnsi="Book Antiqua"/>
          <w:sz w:val="24"/>
          <w:szCs w:val="24"/>
        </w:rPr>
        <w:t xml:space="preserve">. </w:t>
      </w:r>
      <w:r w:rsidR="000451A0" w:rsidRPr="00CE23A4">
        <w:rPr>
          <w:rFonts w:ascii="Book Antiqua" w:hAnsi="Book Antiqua"/>
          <w:sz w:val="24"/>
          <w:szCs w:val="24"/>
        </w:rPr>
        <w:t>The study’s subjects were patients</w:t>
      </w:r>
      <w:r w:rsidR="00CE2B72" w:rsidRPr="00CE23A4">
        <w:rPr>
          <w:rFonts w:ascii="Book Antiqua" w:hAnsi="Book Antiqua"/>
          <w:sz w:val="24"/>
          <w:szCs w:val="24"/>
        </w:rPr>
        <w:t xml:space="preserve"> suffering from cirrhosis</w:t>
      </w:r>
      <w:r w:rsidR="005E4CE8" w:rsidRPr="00CE23A4">
        <w:rPr>
          <w:rFonts w:ascii="Book Antiqua" w:hAnsi="Book Antiqua"/>
          <w:sz w:val="24"/>
          <w:szCs w:val="24"/>
        </w:rPr>
        <w:t xml:space="preserve"> due to Hepatitis D</w:t>
      </w:r>
      <w:r w:rsidR="00CE2B72" w:rsidRPr="00CE23A4">
        <w:rPr>
          <w:rFonts w:ascii="Book Antiqua" w:hAnsi="Book Antiqua"/>
          <w:sz w:val="24"/>
          <w:szCs w:val="24"/>
        </w:rPr>
        <w:t>.</w:t>
      </w:r>
      <w:bookmarkEnd w:id="38"/>
      <w:bookmarkEnd w:id="39"/>
    </w:p>
    <w:p w14:paraId="4504638E" w14:textId="77777777" w:rsidR="002B4D97" w:rsidRPr="00CE23A4" w:rsidRDefault="002B4D97" w:rsidP="002B4D9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i/>
          <w:sz w:val="24"/>
          <w:szCs w:val="24"/>
          <w:lang w:eastAsia="zh-CN"/>
        </w:rPr>
      </w:pPr>
    </w:p>
    <w:p w14:paraId="48B76FDE" w14:textId="5F999C56" w:rsidR="002B4D97" w:rsidRPr="00CE23A4" w:rsidRDefault="002B4D97" w:rsidP="002B4D97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sz w:val="24"/>
          <w:szCs w:val="24"/>
          <w:lang w:eastAsia="zh-CN"/>
        </w:rPr>
      </w:pPr>
      <w:r w:rsidRPr="00CE23A4">
        <w:rPr>
          <w:rFonts w:ascii="Book Antiqua" w:eastAsia="Times New Roman" w:hAnsi="Book Antiqua" w:cs="Oswald"/>
          <w:sz w:val="24"/>
          <w:szCs w:val="24"/>
          <w:lang w:val="en-GB"/>
        </w:rPr>
        <w:t>A</w:t>
      </w:r>
      <w:r w:rsidRPr="00CE23A4">
        <w:rPr>
          <w:rFonts w:ascii="Book Antiqua" w:eastAsia="Times New Roman" w:hAnsi="Book Antiqua" w:cs="Oswald"/>
          <w:sz w:val="24"/>
          <w:szCs w:val="24"/>
          <w:lang w:val="en"/>
        </w:rPr>
        <w:t>bbas M,</w:t>
      </w:r>
      <w:r w:rsidRPr="00CE23A4">
        <w:rPr>
          <w:rFonts w:ascii="Book Antiqua" w:hAnsi="Book Antiqua" w:cs="Oswald" w:hint="eastAsia"/>
          <w:sz w:val="24"/>
          <w:szCs w:val="24"/>
          <w:lang w:val="en" w:eastAsia="zh-CN"/>
        </w:rPr>
        <w:t xml:space="preserve"> </w:t>
      </w:r>
      <w:r w:rsidRPr="00CE23A4">
        <w:rPr>
          <w:rFonts w:ascii="Book Antiqua" w:eastAsia="Times New Roman" w:hAnsi="Book Antiqua" w:cs="Oswald"/>
          <w:sz w:val="24"/>
          <w:szCs w:val="24"/>
          <w:lang w:val="en"/>
        </w:rPr>
        <w:t>Abbas Z</w:t>
      </w:r>
      <w:r w:rsidRPr="00CE23A4">
        <w:rPr>
          <w:rFonts w:ascii="Book Antiqua" w:hAnsi="Book Antiqua" w:cs="Oswald" w:hint="eastAsia"/>
          <w:sz w:val="24"/>
          <w:szCs w:val="24"/>
          <w:lang w:val="en" w:eastAsia="zh-CN"/>
        </w:rPr>
        <w:t>.</w:t>
      </w:r>
      <w:r w:rsidR="00874043" w:rsidRPr="00CE23A4">
        <w:rPr>
          <w:rFonts w:ascii="Book Antiqua" w:hAnsi="Book Antiqua" w:cs="Oswald" w:hint="eastAsia"/>
          <w:sz w:val="24"/>
          <w:szCs w:val="24"/>
          <w:lang w:val="en" w:eastAsia="zh-CN"/>
        </w:rPr>
        <w:t xml:space="preserve"> 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Serum cholinesterase: </w:t>
      </w:r>
      <w:r w:rsidRPr="00CE23A4">
        <w:rPr>
          <w:rFonts w:ascii="Book Antiqua" w:eastAsia="Times New Roman" w:hAnsi="Book Antiqua" w:cs="Oswald"/>
          <w:caps/>
          <w:sz w:val="24"/>
          <w:szCs w:val="24"/>
        </w:rPr>
        <w:t>a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predictive biomarker of hepatic reserves in chronic hepatitis D</w:t>
      </w:r>
      <w:r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. </w:t>
      </w:r>
      <w:r w:rsidRPr="00CE23A4">
        <w:rPr>
          <w:rFonts w:ascii="Book Antiqua" w:eastAsia="Times New Roman" w:hAnsi="Book Antiqua" w:cs="Arial"/>
          <w:i/>
          <w:sz w:val="24"/>
          <w:szCs w:val="24"/>
        </w:rPr>
        <w:t>World J</w:t>
      </w:r>
      <w:r w:rsidRPr="00CE23A4">
        <w:rPr>
          <w:rFonts w:ascii="Book Antiqua" w:hAnsi="Book Antiqua" w:cs="Arial" w:hint="eastAsia"/>
          <w:i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eastAsia="Times New Roman" w:hAnsi="Book Antiqua" w:cs="Arial"/>
          <w:i/>
          <w:sz w:val="24"/>
          <w:szCs w:val="24"/>
        </w:rPr>
        <w:t>Hepatol</w:t>
      </w:r>
      <w:proofErr w:type="spellEnd"/>
      <w:r w:rsidRPr="00CE23A4">
        <w:rPr>
          <w:rFonts w:ascii="Book Antiqua" w:hAnsi="Book Antiqua" w:cs="Arial" w:hint="eastAsia"/>
          <w:i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Arial"/>
          <w:sz w:val="24"/>
          <w:szCs w:val="24"/>
          <w:lang w:eastAsia="zh-CN"/>
        </w:rPr>
        <w:t xml:space="preserve">2017; </w:t>
      </w:r>
      <w:proofErr w:type="gramStart"/>
      <w:r w:rsidRPr="00CE23A4">
        <w:rPr>
          <w:rFonts w:ascii="Book Antiqua" w:hAnsi="Book Antiqua" w:cs="Arial"/>
          <w:sz w:val="24"/>
          <w:szCs w:val="24"/>
          <w:lang w:eastAsia="zh-CN"/>
        </w:rPr>
        <w:t>In</w:t>
      </w:r>
      <w:proofErr w:type="gramEnd"/>
      <w:r w:rsidRPr="00CE23A4">
        <w:rPr>
          <w:rFonts w:ascii="Book Antiqua" w:hAnsi="Book Antiqua" w:cs="Arial"/>
          <w:sz w:val="24"/>
          <w:szCs w:val="24"/>
          <w:lang w:eastAsia="zh-CN"/>
        </w:rPr>
        <w:t xml:space="preserve"> press</w:t>
      </w:r>
    </w:p>
    <w:p w14:paraId="41135CA2" w14:textId="54CA4026" w:rsidR="002804CB" w:rsidRPr="00CE23A4" w:rsidRDefault="002804CB">
      <w:pPr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br w:type="page"/>
      </w:r>
    </w:p>
    <w:p w14:paraId="63B39829" w14:textId="0312B7C6" w:rsidR="00F11404" w:rsidRPr="00CE23A4" w:rsidRDefault="002804CB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val="en" w:eastAsia="zh-CN"/>
        </w:rPr>
      </w:pPr>
      <w:r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lastRenderedPageBreak/>
        <w:t>INTRODUCTION</w:t>
      </w:r>
    </w:p>
    <w:p w14:paraId="0ECBE49F" w14:textId="11AFB47A" w:rsidR="00A753BF" w:rsidRPr="00CE23A4" w:rsidRDefault="00F11404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sz w:val="24"/>
          <w:szCs w:val="24"/>
          <w:lang w:eastAsia="zh-CN"/>
        </w:rPr>
      </w:pPr>
      <w:r w:rsidRPr="00CE23A4">
        <w:rPr>
          <w:rFonts w:ascii="Book Antiqua" w:eastAsia="Times New Roman" w:hAnsi="Book Antiqua" w:cs="Oswald"/>
          <w:sz w:val="24"/>
          <w:szCs w:val="24"/>
          <w:lang w:val="en"/>
        </w:rPr>
        <w:t>Prognostic models</w:t>
      </w:r>
      <w:r w:rsidRPr="00CE23A4">
        <w:rPr>
          <w:rFonts w:ascii="Book Antiqua" w:eastAsia="Times New Roman" w:hAnsi="Book Antiqua" w:cs="Oswald"/>
          <w:sz w:val="24"/>
          <w:szCs w:val="24"/>
          <w:lang w:val="en-GB"/>
        </w:rPr>
        <w:t xml:space="preserve"> </w:t>
      </w:r>
      <w:r w:rsidR="005B217F" w:rsidRPr="00CE23A4">
        <w:rPr>
          <w:rFonts w:ascii="Book Antiqua" w:eastAsia="Times New Roman" w:hAnsi="Book Antiqua" w:cs="Oswald"/>
          <w:sz w:val="24"/>
          <w:szCs w:val="24"/>
          <w:lang w:val="en-GB"/>
        </w:rPr>
        <w:t xml:space="preserve">to </w:t>
      </w:r>
      <w:r w:rsidRPr="00CE23A4">
        <w:rPr>
          <w:rFonts w:ascii="Book Antiqua" w:eastAsia="Times New Roman" w:hAnsi="Book Antiqua" w:cs="Oswald"/>
          <w:sz w:val="24"/>
          <w:szCs w:val="24"/>
          <w:lang w:val="en"/>
        </w:rPr>
        <w:t>evaluate liver function</w:t>
      </w:r>
      <w:r w:rsidR="00E91EAE" w:rsidRPr="00CE23A4">
        <w:rPr>
          <w:rFonts w:ascii="Book Antiqua" w:eastAsia="Times New Roman" w:hAnsi="Book Antiqua" w:cs="Oswald"/>
          <w:sz w:val="24"/>
          <w:szCs w:val="24"/>
          <w:lang w:val="en"/>
        </w:rPr>
        <w:t xml:space="preserve"> include the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4F1C86" w:rsidRPr="00CE23A4">
        <w:rPr>
          <w:rFonts w:ascii="Book Antiqua" w:eastAsia="Times New Roman" w:hAnsi="Book Antiqua" w:cs="Oswald"/>
          <w:sz w:val="24"/>
          <w:szCs w:val="24"/>
        </w:rPr>
        <w:t xml:space="preserve">Child </w:t>
      </w:r>
      <w:proofErr w:type="spellStart"/>
      <w:r w:rsidR="004F1C86" w:rsidRPr="00CE23A4">
        <w:rPr>
          <w:rFonts w:ascii="Book Antiqua" w:eastAsia="Times New Roman" w:hAnsi="Book Antiqua" w:cs="Oswald"/>
          <w:sz w:val="24"/>
          <w:szCs w:val="24"/>
        </w:rPr>
        <w:t>Turcotte</w:t>
      </w:r>
      <w:proofErr w:type="spellEnd"/>
      <w:r w:rsidR="004F1C86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Pr="00CE23A4">
        <w:rPr>
          <w:rFonts w:ascii="Book Antiqua" w:eastAsia="Times New Roman" w:hAnsi="Book Antiqua" w:cs="Oswald"/>
          <w:sz w:val="24"/>
          <w:szCs w:val="24"/>
        </w:rPr>
        <w:t>Pugh (CTP</w:t>
      </w:r>
      <w:r w:rsidR="004F1C86" w:rsidRPr="00CE23A4">
        <w:rPr>
          <w:rFonts w:ascii="Book Antiqua" w:eastAsia="Times New Roman" w:hAnsi="Book Antiqua" w:cs="Oswald"/>
          <w:sz w:val="24"/>
          <w:szCs w:val="24"/>
        </w:rPr>
        <w:t>) score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, </w:t>
      </w:r>
      <w:r w:rsidR="00E91EAE" w:rsidRPr="00CE23A4">
        <w:rPr>
          <w:rFonts w:ascii="Book Antiqua" w:eastAsia="Times New Roman" w:hAnsi="Book Antiqua" w:cs="Oswald"/>
          <w:sz w:val="24"/>
          <w:szCs w:val="24"/>
        </w:rPr>
        <w:t xml:space="preserve">the </w:t>
      </w:r>
      <w:r w:rsidRPr="00CE23A4">
        <w:rPr>
          <w:rFonts w:ascii="Book Antiqua" w:eastAsia="Times New Roman" w:hAnsi="Book Antiqua" w:cs="Oswald"/>
          <w:sz w:val="24"/>
          <w:szCs w:val="24"/>
          <w:lang w:val="da-DK"/>
        </w:rPr>
        <w:t>Model for Endstage Liver Disease (MELD) score</w:t>
      </w:r>
      <w:r w:rsidR="00E91EAE" w:rsidRPr="00CE23A4">
        <w:rPr>
          <w:rFonts w:ascii="Book Antiqua" w:eastAsia="Times New Roman" w:hAnsi="Book Antiqua" w:cs="Oswald"/>
          <w:sz w:val="24"/>
          <w:szCs w:val="24"/>
        </w:rPr>
        <w:t xml:space="preserve"> and the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Pr="00CE23A4">
        <w:rPr>
          <w:rFonts w:ascii="Book Antiqua" w:eastAsia="Times New Roman" w:hAnsi="Book Antiqua" w:cs="Oswald"/>
          <w:sz w:val="24"/>
          <w:szCs w:val="24"/>
        </w:rPr>
        <w:t>AST to Platelet Ratio Index (APRI)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E91EAE" w:rsidRPr="00CE23A4">
        <w:rPr>
          <w:rFonts w:ascii="Book Antiqua" w:eastAsia="Times New Roman" w:hAnsi="Book Antiqua" w:cs="Oswald"/>
          <w:sz w:val="24"/>
          <w:szCs w:val="24"/>
        </w:rPr>
        <w:t xml:space="preserve">The </w:t>
      </w:r>
      <w:r w:rsidRPr="00CE23A4">
        <w:rPr>
          <w:rFonts w:ascii="Book Antiqua" w:eastAsia="Times New Roman" w:hAnsi="Book Antiqua" w:cs="Oswald"/>
          <w:sz w:val="24"/>
          <w:szCs w:val="24"/>
        </w:rPr>
        <w:t>CTP score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 is often used to </w:t>
      </w:r>
      <w:r w:rsidR="004F1C86" w:rsidRPr="00CE23A4">
        <w:rPr>
          <w:rFonts w:ascii="Book Antiqua" w:eastAsia="Times New Roman" w:hAnsi="Book Antiqua" w:cs="Oswald"/>
          <w:sz w:val="24"/>
          <w:szCs w:val="24"/>
        </w:rPr>
        <w:t>assess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the risk of surgery in patients with cirrhosis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 and it c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orrelates with </w:t>
      </w:r>
      <w:proofErr w:type="gramStart"/>
      <w:r w:rsidRPr="00CE23A4">
        <w:rPr>
          <w:rFonts w:ascii="Book Antiqua" w:eastAsia="Times New Roman" w:hAnsi="Book Antiqua" w:cs="Oswald"/>
          <w:sz w:val="24"/>
          <w:szCs w:val="24"/>
        </w:rPr>
        <w:t>survival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1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]</w:t>
      </w:r>
      <w:r w:rsidR="005B217F"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E91EAE" w:rsidRPr="00CE23A4">
        <w:rPr>
          <w:rFonts w:ascii="Book Antiqua" w:eastAsia="Times New Roman" w:hAnsi="Book Antiqua" w:cs="Oswald"/>
          <w:sz w:val="24"/>
          <w:szCs w:val="24"/>
        </w:rPr>
        <w:t xml:space="preserve">The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>MELD</w:t>
      </w:r>
      <w:r w:rsidR="00E91EAE" w:rsidRPr="00CE23A4">
        <w:rPr>
          <w:rFonts w:ascii="Book Antiqua" w:eastAsia="Times New Roman" w:hAnsi="Book Antiqua" w:cs="Oswald"/>
          <w:sz w:val="24"/>
          <w:szCs w:val="24"/>
        </w:rPr>
        <w:t xml:space="preserve"> score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is used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 xml:space="preserve"> by the United Network of Organ Sharing (UNOS)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E91EAE" w:rsidRPr="00CE23A4">
        <w:rPr>
          <w:rFonts w:ascii="Book Antiqua" w:eastAsia="Times New Roman" w:hAnsi="Book Antiqua" w:cs="Oswald"/>
          <w:sz w:val="24"/>
          <w:szCs w:val="24"/>
        </w:rPr>
        <w:t>to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prioritiz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>e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patients awaiting cadaveric liver </w:t>
      </w:r>
      <w:proofErr w:type="gramStart"/>
      <w:r w:rsidR="00A753BF" w:rsidRPr="00CE23A4">
        <w:rPr>
          <w:rFonts w:ascii="Book Antiqua" w:eastAsia="Times New Roman" w:hAnsi="Book Antiqua" w:cs="Oswald"/>
          <w:sz w:val="24"/>
          <w:szCs w:val="24"/>
        </w:rPr>
        <w:t>transplant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2]</w:t>
      </w:r>
      <w:r w:rsidR="00D02FFD"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>An increase in the MELD score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is associated with 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 xml:space="preserve">an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>increasing sev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 xml:space="preserve">erity of hepatic </w:t>
      </w:r>
      <w:r w:rsidR="00D02FFD" w:rsidRPr="00CE23A4">
        <w:rPr>
          <w:rFonts w:ascii="Book Antiqua" w:eastAsia="Times New Roman" w:hAnsi="Book Antiqua" w:cs="Oswald"/>
          <w:sz w:val="24"/>
          <w:szCs w:val="24"/>
        </w:rPr>
        <w:t>dysfunction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 xml:space="preserve"> and an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increased three-month mortality risk.  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 xml:space="preserve">The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APRI is considered as an alternative to liver biopsy for predicting liver </w:t>
      </w:r>
      <w:proofErr w:type="gramStart"/>
      <w:r w:rsidR="00A753BF" w:rsidRPr="00CE23A4">
        <w:rPr>
          <w:rFonts w:ascii="Book Antiqua" w:eastAsia="Times New Roman" w:hAnsi="Book Antiqua" w:cs="Oswald"/>
          <w:sz w:val="24"/>
          <w:szCs w:val="24"/>
        </w:rPr>
        <w:t>fibrosis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3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]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. However, its role in some etiologies </w:t>
      </w:r>
      <w:r w:rsidR="00D02FFD" w:rsidRPr="00CE23A4">
        <w:rPr>
          <w:rFonts w:ascii="Book Antiqua" w:eastAsia="Times New Roman" w:hAnsi="Book Antiqua" w:cs="Oswald"/>
          <w:sz w:val="24"/>
          <w:szCs w:val="24"/>
        </w:rPr>
        <w:t xml:space="preserve">is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controversial. Increasing levels &gt; 1.5 may show decreasing hepatocyte mass and increasing fibrosis. Recently, a baseline-event-anticipation (BEA) score has been developed for hepatitis D to define clinical parameters associated with worse </w:t>
      </w:r>
      <w:proofErr w:type="gramStart"/>
      <w:r w:rsidR="002F47FB" w:rsidRPr="00CE23A4">
        <w:rPr>
          <w:rFonts w:ascii="Book Antiqua" w:eastAsia="Times New Roman" w:hAnsi="Book Antiqua" w:cs="Oswald"/>
          <w:sz w:val="24"/>
          <w:szCs w:val="24"/>
        </w:rPr>
        <w:t>outcomes</w:t>
      </w:r>
      <w:r w:rsidR="002F47FB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4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]</w:t>
      </w:r>
      <w:r w:rsidR="00D02FFD" w:rsidRPr="00CE23A4">
        <w:rPr>
          <w:rFonts w:ascii="Book Antiqua" w:eastAsia="Times New Roman" w:hAnsi="Book Antiqua" w:cs="Oswald"/>
          <w:sz w:val="24"/>
          <w:szCs w:val="24"/>
        </w:rPr>
        <w:t>.</w:t>
      </w:r>
    </w:p>
    <w:p w14:paraId="17FAF115" w14:textId="7655ACE8" w:rsidR="00F32EE7" w:rsidRPr="00CE23A4" w:rsidRDefault="00407613" w:rsidP="0087404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hAnsi="Book Antiqua" w:cs="Oswald"/>
          <w:sz w:val="24"/>
          <w:szCs w:val="24"/>
          <w:lang w:eastAsia="zh-CN"/>
        </w:rPr>
      </w:pPr>
      <w:r w:rsidRPr="00CE23A4">
        <w:rPr>
          <w:rFonts w:ascii="Book Antiqua" w:eastAsia="Times New Roman" w:hAnsi="Book Antiqua" w:cs="Oswald"/>
          <w:sz w:val="24"/>
          <w:szCs w:val="24"/>
        </w:rPr>
        <w:t>C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>ommonly used li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>ver synthetic function tests include serum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 xml:space="preserve"> albumin and</w:t>
      </w:r>
      <w:r w:rsidR="00A1405D" w:rsidRPr="00CE23A4">
        <w:rPr>
          <w:rFonts w:ascii="Book Antiqua" w:eastAsia="Times New Roman" w:hAnsi="Book Antiqua" w:cs="Oswald"/>
          <w:sz w:val="24"/>
          <w:szCs w:val="24"/>
        </w:rPr>
        <w:t xml:space="preserve"> PT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 xml:space="preserve"> INR</w:t>
      </w:r>
      <w:r w:rsidR="00562781"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 xml:space="preserve">Serum </w:t>
      </w:r>
      <w:proofErr w:type="spellStart"/>
      <w:r w:rsidR="007E7A5C" w:rsidRPr="00CE23A4">
        <w:rPr>
          <w:rFonts w:ascii="Book Antiqua" w:eastAsia="Times New Roman" w:hAnsi="Book Antiqua" w:cs="Oswald"/>
          <w:sz w:val="24"/>
          <w:szCs w:val="24"/>
        </w:rPr>
        <w:t>b</w:t>
      </w:r>
      <w:r w:rsidR="004152BE" w:rsidRPr="00CE23A4">
        <w:rPr>
          <w:rFonts w:ascii="Book Antiqua" w:eastAsia="Times New Roman" w:hAnsi="Book Antiqua" w:cs="Oswald"/>
          <w:sz w:val="24"/>
          <w:szCs w:val="24"/>
        </w:rPr>
        <w:t>utyryl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>cholinesterase</w:t>
      </w:r>
      <w:proofErr w:type="spellEnd"/>
      <w:r w:rsidR="004152BE" w:rsidRPr="00CE23A4">
        <w:rPr>
          <w:rFonts w:ascii="Book Antiqua" w:eastAsia="Times New Roman" w:hAnsi="Book Antiqua" w:cs="Oswald"/>
          <w:sz w:val="24"/>
          <w:szCs w:val="24"/>
        </w:rPr>
        <w:t>, commonly known as serum cholinesterase,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 xml:space="preserve"> is an enzyme synthesized by hepatocytes</w:t>
      </w:r>
      <w:r w:rsidR="00562781" w:rsidRPr="00CE23A4">
        <w:rPr>
          <w:rFonts w:ascii="Book Antiqua" w:eastAsia="Times New Roman" w:hAnsi="Book Antiqua" w:cs="Oswald"/>
          <w:sz w:val="24"/>
          <w:szCs w:val="24"/>
        </w:rPr>
        <w:t xml:space="preserve"> and </w:t>
      </w:r>
      <w:r w:rsidR="00B26692" w:rsidRPr="00CE23A4">
        <w:rPr>
          <w:rFonts w:ascii="Book Antiqua" w:eastAsia="Times New Roman" w:hAnsi="Book Antiqua" w:cs="Oswald"/>
          <w:sz w:val="24"/>
          <w:szCs w:val="24"/>
        </w:rPr>
        <w:t xml:space="preserve">has the </w:t>
      </w:r>
      <w:r w:rsidR="00D02FFD" w:rsidRPr="00CE23A4">
        <w:rPr>
          <w:rFonts w:ascii="Book Antiqua" w:eastAsia="Times New Roman" w:hAnsi="Book Antiqua" w:cs="Oswald"/>
          <w:sz w:val="24"/>
          <w:szCs w:val="24"/>
        </w:rPr>
        <w:t>half-life</w:t>
      </w:r>
      <w:r w:rsidR="00B26692" w:rsidRPr="00CE23A4">
        <w:rPr>
          <w:rFonts w:ascii="Book Antiqua" w:eastAsia="Times New Roman" w:hAnsi="Book Antiqua" w:cs="Oswald"/>
          <w:sz w:val="24"/>
          <w:szCs w:val="24"/>
        </w:rPr>
        <w:t xml:space="preserve"> of eleven </w:t>
      </w:r>
      <w:proofErr w:type="gramStart"/>
      <w:r w:rsidR="00B26692" w:rsidRPr="00CE23A4">
        <w:rPr>
          <w:rFonts w:ascii="Book Antiqua" w:eastAsia="Times New Roman" w:hAnsi="Book Antiqua" w:cs="Oswald"/>
          <w:sz w:val="24"/>
          <w:szCs w:val="24"/>
        </w:rPr>
        <w:t>days</w:t>
      </w:r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5</w:t>
      </w:r>
      <w:r w:rsidR="00A753BF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]</w:t>
      </w:r>
      <w:r w:rsidR="00562781"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D02FFD" w:rsidRPr="00CE23A4">
        <w:rPr>
          <w:rFonts w:ascii="Book Antiqua" w:eastAsia="Times New Roman" w:hAnsi="Book Antiqua" w:cs="Oswald"/>
          <w:sz w:val="24"/>
          <w:szCs w:val="24"/>
        </w:rPr>
        <w:t>Its serum level is</w:t>
      </w:r>
      <w:r w:rsidR="0058631B" w:rsidRPr="00CE23A4">
        <w:rPr>
          <w:rFonts w:ascii="Book Antiqua" w:eastAsia="Times New Roman" w:hAnsi="Book Antiqua" w:cs="Oswald"/>
          <w:sz w:val="24"/>
          <w:szCs w:val="24"/>
        </w:rPr>
        <w:t xml:space="preserve"> decreased in chronic liver damage, infections, and </w:t>
      </w:r>
      <w:proofErr w:type="gramStart"/>
      <w:r w:rsidR="0058631B" w:rsidRPr="00CE23A4">
        <w:rPr>
          <w:rFonts w:ascii="Book Antiqua" w:eastAsia="Times New Roman" w:hAnsi="Book Antiqua" w:cs="Oswald"/>
          <w:sz w:val="24"/>
          <w:szCs w:val="24"/>
        </w:rPr>
        <w:t>malnutrition</w:t>
      </w:r>
      <w:r w:rsidR="0058631B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6</w:t>
      </w:r>
      <w:r w:rsidR="00DA44CC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]</w:t>
      </w:r>
      <w:r w:rsidR="00874043" w:rsidRPr="00CE23A4">
        <w:rPr>
          <w:rFonts w:ascii="Book Antiqua" w:eastAsia="Times New Roman" w:hAnsi="Book Antiqua" w:cs="Oswald"/>
          <w:sz w:val="24"/>
          <w:szCs w:val="24"/>
        </w:rPr>
        <w:t>.</w:t>
      </w:r>
    </w:p>
    <w:p w14:paraId="24E603CD" w14:textId="4FD72F53" w:rsidR="00F11404" w:rsidRPr="00CE23A4" w:rsidRDefault="00A753BF" w:rsidP="0087404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Oswald"/>
          <w:sz w:val="24"/>
          <w:szCs w:val="24"/>
        </w:rPr>
      </w:pPr>
      <w:r w:rsidRPr="00CE23A4">
        <w:rPr>
          <w:rFonts w:ascii="Book Antiqua" w:eastAsia="Times New Roman" w:hAnsi="Book Antiqua" w:cs="Oswald"/>
          <w:sz w:val="24"/>
          <w:szCs w:val="24"/>
        </w:rPr>
        <w:t xml:space="preserve">Chronic hepatitis D is a severe disease with rapid progression </w:t>
      </w:r>
      <w:r w:rsidR="00F32EE7" w:rsidRPr="00CE23A4">
        <w:rPr>
          <w:rFonts w:ascii="Book Antiqua" w:eastAsia="Times New Roman" w:hAnsi="Book Antiqua" w:cs="Oswald"/>
          <w:sz w:val="24"/>
          <w:szCs w:val="24"/>
        </w:rPr>
        <w:t xml:space="preserve">of fibrosis leading to cirrhosis, </w:t>
      </w:r>
      <w:proofErr w:type="spellStart"/>
      <w:r w:rsidR="00F32EE7" w:rsidRPr="00CE23A4">
        <w:rPr>
          <w:rFonts w:ascii="Book Antiqua" w:eastAsia="Times New Roman" w:hAnsi="Book Antiqua" w:cs="Oswald"/>
          <w:sz w:val="24"/>
          <w:szCs w:val="24"/>
        </w:rPr>
        <w:t>decompensation</w:t>
      </w:r>
      <w:proofErr w:type="spellEnd"/>
      <w:r w:rsidR="00F32EE7" w:rsidRPr="00CE23A4">
        <w:rPr>
          <w:rFonts w:ascii="Book Antiqua" w:eastAsia="Times New Roman" w:hAnsi="Book Antiqua" w:cs="Oswald"/>
          <w:sz w:val="24"/>
          <w:szCs w:val="24"/>
        </w:rPr>
        <w:t xml:space="preserve"> and hepatocellular </w:t>
      </w:r>
      <w:proofErr w:type="gramStart"/>
      <w:r w:rsidR="00F32EE7" w:rsidRPr="00CE23A4">
        <w:rPr>
          <w:rFonts w:ascii="Book Antiqua" w:eastAsia="Times New Roman" w:hAnsi="Book Antiqua" w:cs="Oswald"/>
          <w:sz w:val="24"/>
          <w:szCs w:val="24"/>
        </w:rPr>
        <w:t>carcinoma</w:t>
      </w:r>
      <w:r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7</w:t>
      </w:r>
      <w:r w:rsidRPr="00CE23A4">
        <w:rPr>
          <w:rFonts w:ascii="Book Antiqua" w:eastAsia="Times New Roman" w:hAnsi="Book Antiqua" w:cs="Oswald"/>
          <w:sz w:val="24"/>
          <w:szCs w:val="24"/>
          <w:vertAlign w:val="superscript"/>
        </w:rPr>
        <w:t>]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. The role of cholinesterase to assess the liver reserves in hepatitis D patients has not been </w:t>
      </w:r>
      <w:r w:rsidR="00F32EE7" w:rsidRPr="00CE23A4">
        <w:rPr>
          <w:rFonts w:ascii="Book Antiqua" w:eastAsia="Times New Roman" w:hAnsi="Book Antiqua" w:cs="Oswald"/>
          <w:sz w:val="24"/>
          <w:szCs w:val="24"/>
        </w:rPr>
        <w:t>well defined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562781" w:rsidRPr="00CE23A4">
        <w:rPr>
          <w:rFonts w:ascii="Book Antiqua" w:eastAsia="Times New Roman" w:hAnsi="Book Antiqua" w:cs="Oswald"/>
          <w:sz w:val="24"/>
          <w:szCs w:val="24"/>
        </w:rPr>
        <w:t xml:space="preserve">The </w:t>
      </w:r>
      <w:r w:rsidR="00562781" w:rsidRPr="00CE23A4">
        <w:rPr>
          <w:rFonts w:ascii="Book Antiqua" w:eastAsia="Times New Roman" w:hAnsi="Book Antiqua" w:cs="Oswald"/>
          <w:bCs/>
          <w:sz w:val="24"/>
          <w:szCs w:val="24"/>
          <w:lang w:val="en"/>
        </w:rPr>
        <w:t xml:space="preserve">objective of this study </w:t>
      </w:r>
      <w:r w:rsidRPr="00CE23A4">
        <w:rPr>
          <w:rFonts w:ascii="Book Antiqua" w:eastAsia="Times New Roman" w:hAnsi="Book Antiqua" w:cs="Oswald"/>
          <w:bCs/>
          <w:sz w:val="24"/>
          <w:szCs w:val="24"/>
          <w:lang w:val="en"/>
        </w:rPr>
        <w:t>is</w:t>
      </w:r>
      <w:r w:rsidR="00562781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F11404" w:rsidRPr="00CE23A4">
        <w:rPr>
          <w:rFonts w:ascii="Book Antiqua" w:eastAsia="Times New Roman" w:hAnsi="Book Antiqua" w:cs="Oswald"/>
          <w:sz w:val="24"/>
          <w:szCs w:val="24"/>
          <w:lang w:val="en-GB"/>
        </w:rPr>
        <w:t xml:space="preserve">to determine the performance of cholinesterase in predicting liver function compared to existing </w:t>
      </w:r>
      <w:r w:rsidRPr="00CE23A4">
        <w:rPr>
          <w:rFonts w:ascii="Book Antiqua" w:eastAsia="Times New Roman" w:hAnsi="Book Antiqua" w:cs="Oswald"/>
          <w:sz w:val="24"/>
          <w:szCs w:val="24"/>
          <w:lang w:val="en-GB"/>
        </w:rPr>
        <w:t xml:space="preserve">synthetic liver function tests and </w:t>
      </w:r>
      <w:r w:rsidR="00F11404" w:rsidRPr="00CE23A4">
        <w:rPr>
          <w:rFonts w:ascii="Book Antiqua" w:eastAsia="Times New Roman" w:hAnsi="Book Antiqua" w:cs="Oswald"/>
          <w:sz w:val="24"/>
          <w:szCs w:val="24"/>
          <w:lang w:val="en-GB"/>
        </w:rPr>
        <w:t>scoring models in patients with hepatitis D and cirrhosis</w:t>
      </w:r>
      <w:r w:rsidRPr="00CE23A4">
        <w:rPr>
          <w:rFonts w:ascii="Book Antiqua" w:eastAsia="Times New Roman" w:hAnsi="Book Antiqua" w:cs="Oswald"/>
          <w:sz w:val="24"/>
          <w:szCs w:val="24"/>
          <w:lang w:val="en-GB"/>
        </w:rPr>
        <w:t>.</w:t>
      </w:r>
    </w:p>
    <w:p w14:paraId="7532F582" w14:textId="77777777" w:rsidR="007E7A5C" w:rsidRPr="00CE23A4" w:rsidRDefault="007E7A5C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val="en" w:eastAsia="zh-CN"/>
        </w:rPr>
      </w:pPr>
    </w:p>
    <w:p w14:paraId="59B5624F" w14:textId="0D3F6456" w:rsidR="00562781" w:rsidRPr="00CE23A4" w:rsidRDefault="00562781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val="en" w:eastAsia="zh-CN"/>
        </w:rPr>
      </w:pPr>
      <w:r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>MATERIAL</w:t>
      </w:r>
      <w:r w:rsidR="00FE56C9"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>S</w:t>
      </w:r>
      <w:r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 xml:space="preserve"> AND METHOD</w:t>
      </w:r>
      <w:r w:rsidR="00FE56C9" w:rsidRPr="00CE23A4">
        <w:rPr>
          <w:rFonts w:ascii="Book Antiqua" w:eastAsia="Times New Roman" w:hAnsi="Book Antiqua" w:cs="Oswald"/>
          <w:b/>
          <w:sz w:val="24"/>
          <w:szCs w:val="24"/>
          <w:lang w:val="en"/>
        </w:rPr>
        <w:t>S</w:t>
      </w:r>
    </w:p>
    <w:p w14:paraId="14761C60" w14:textId="6A74676D" w:rsidR="00F11404" w:rsidRPr="00CE23A4" w:rsidRDefault="00655EAD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Oswald"/>
          <w:sz w:val="24"/>
          <w:szCs w:val="24"/>
          <w:lang w:val="en"/>
        </w:rPr>
      </w:pPr>
      <w:r w:rsidRPr="00CE23A4">
        <w:rPr>
          <w:rFonts w:ascii="Book Antiqua" w:eastAsia="Times New Roman" w:hAnsi="Book Antiqua" w:cs="Oswald"/>
          <w:sz w:val="24"/>
          <w:szCs w:val="24"/>
        </w:rPr>
        <w:t>This observational</w:t>
      </w:r>
      <w:r w:rsidR="00FE56C9" w:rsidRPr="00CE23A4">
        <w:rPr>
          <w:rFonts w:ascii="Book Antiqua" w:eastAsia="Times New Roman" w:hAnsi="Book Antiqua" w:cs="Oswald"/>
          <w:sz w:val="24"/>
          <w:szCs w:val="24"/>
        </w:rPr>
        <w:t>, cross-sectional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study examined the efficacy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>of cholinesterase as a liver function test to assess the synthetic reserve in</w:t>
      </w:r>
      <w:r w:rsidR="00FE56C9" w:rsidRPr="00CE23A4">
        <w:rPr>
          <w:rFonts w:ascii="Book Antiqua" w:eastAsia="Times New Roman" w:hAnsi="Book Antiqua" w:cs="Oswald"/>
          <w:sz w:val="24"/>
          <w:szCs w:val="24"/>
        </w:rPr>
        <w:t xml:space="preserve"> a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retrospective fashion.  </w:t>
      </w:r>
      <w:r w:rsidR="00BF22C5" w:rsidRPr="00CE23A4">
        <w:rPr>
          <w:rFonts w:ascii="Book Antiqua" w:eastAsia="Times New Roman" w:hAnsi="Book Antiqua" w:cs="Oswald"/>
          <w:sz w:val="24"/>
          <w:szCs w:val="24"/>
        </w:rPr>
        <w:t>233 c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>onsecutive patients</w:t>
      </w:r>
      <w:r w:rsidR="00FE56C9" w:rsidRPr="00CE23A4">
        <w:rPr>
          <w:rFonts w:ascii="Book Antiqua" w:eastAsia="Times New Roman" w:hAnsi="Book Antiqua" w:cs="Oswald"/>
          <w:sz w:val="24"/>
          <w:szCs w:val="24"/>
        </w:rPr>
        <w:t xml:space="preserve"> presenting to the liver clinic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 xml:space="preserve"> with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>cirrhosis due</w:t>
      </w:r>
      <w:r w:rsidR="00FE56C9" w:rsidRPr="00CE23A4">
        <w:rPr>
          <w:rFonts w:ascii="Book Antiqua" w:eastAsia="Times New Roman" w:hAnsi="Book Antiqua" w:cs="Oswald"/>
          <w:sz w:val="24"/>
          <w:szCs w:val="24"/>
        </w:rPr>
        <w:t xml:space="preserve"> to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>chronic hepatitis D</w:t>
      </w:r>
      <w:r w:rsidR="00A753BF" w:rsidRPr="00CE23A4">
        <w:rPr>
          <w:rFonts w:ascii="Book Antiqua" w:hAnsi="Book Antiqua"/>
          <w:sz w:val="24"/>
          <w:szCs w:val="24"/>
        </w:rPr>
        <w:t xml:space="preserve"> 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>were evaluated</w:t>
      </w:r>
      <w:r w:rsidR="00A753BF" w:rsidRPr="00CE23A4">
        <w:rPr>
          <w:rFonts w:ascii="Book Antiqua" w:eastAsia="Times New Roman" w:hAnsi="Book Antiqua" w:cs="Oswald"/>
          <w:sz w:val="24"/>
          <w:szCs w:val="24"/>
          <w:lang w:val="en"/>
        </w:rPr>
        <w:t xml:space="preserve">. </w:t>
      </w:r>
      <w:r w:rsidR="00F11404" w:rsidRPr="00CE23A4">
        <w:rPr>
          <w:rFonts w:ascii="Book Antiqua" w:eastAsia="Times New Roman" w:hAnsi="Book Antiqua" w:cs="Oswald"/>
          <w:sz w:val="24"/>
          <w:szCs w:val="24"/>
        </w:rPr>
        <w:t>Available baseline demographic and clinical parameters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t xml:space="preserve"> were </w:t>
      </w:r>
      <w:r w:rsidR="00A753BF" w:rsidRPr="00CE23A4">
        <w:rPr>
          <w:rFonts w:ascii="Book Antiqua" w:eastAsia="Times New Roman" w:hAnsi="Book Antiqua" w:cs="Oswald"/>
          <w:sz w:val="24"/>
          <w:szCs w:val="24"/>
        </w:rPr>
        <w:lastRenderedPageBreak/>
        <w:t xml:space="preserve">recorded. Serum cholinesterase levels were checked </w:t>
      </w:r>
      <w:r w:rsidR="00AB33B6" w:rsidRPr="00CE23A4">
        <w:rPr>
          <w:rFonts w:ascii="Book Antiqua" w:eastAsia="Times New Roman" w:hAnsi="Book Antiqua" w:cs="Oswald"/>
          <w:sz w:val="24"/>
          <w:szCs w:val="24"/>
        </w:rPr>
        <w:t xml:space="preserve">as a routine test to evaluate liver function. </w:t>
      </w:r>
    </w:p>
    <w:p w14:paraId="235AA8D0" w14:textId="3C7FA929" w:rsidR="00655EAD" w:rsidRPr="00CE23A4" w:rsidRDefault="00655EAD" w:rsidP="00874043">
      <w:pPr>
        <w:autoSpaceDE w:val="0"/>
        <w:autoSpaceDN w:val="0"/>
        <w:adjustRightInd w:val="0"/>
        <w:snapToGrid w:val="0"/>
        <w:spacing w:after="0" w:line="360" w:lineRule="auto"/>
        <w:ind w:firstLineChars="100" w:firstLine="240"/>
        <w:jc w:val="both"/>
        <w:rPr>
          <w:rFonts w:ascii="Book Antiqua" w:eastAsia="Times New Roman" w:hAnsi="Book Antiqua" w:cs="Oswald"/>
          <w:sz w:val="24"/>
          <w:szCs w:val="24"/>
        </w:rPr>
      </w:pPr>
      <w:r w:rsidRPr="00CE23A4">
        <w:rPr>
          <w:rFonts w:ascii="Book Antiqua" w:eastAsia="Times New Roman" w:hAnsi="Book Antiqua" w:cs="Oswald"/>
          <w:sz w:val="24"/>
          <w:szCs w:val="24"/>
        </w:rPr>
        <w:t>Data were expressed as the number of subjects with percentages for nominal variables. These variables were compared by chi-square or Fisher exact test. Continuous variables were presented as mean</w:t>
      </w:r>
      <w:r w:rsidR="00F8002A" w:rsidRPr="00CE23A4">
        <w:rPr>
          <w:rFonts w:ascii="Book Antiqua" w:eastAsia="Times New Roman" w:hAnsi="Book Antiqua" w:cs="Oswald"/>
          <w:sz w:val="24"/>
          <w:szCs w:val="24"/>
        </w:rPr>
        <w:t>s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with standard deviation, and compared using Student t test, Mann-Whitney U test and ANOVA. Correlation</w:t>
      </w:r>
      <w:r w:rsidR="00AB33B6" w:rsidRPr="00CE23A4">
        <w:rPr>
          <w:rFonts w:ascii="Book Antiqua" w:eastAsia="Times New Roman" w:hAnsi="Book Antiqua" w:cs="Oswald"/>
          <w:sz w:val="24"/>
          <w:szCs w:val="24"/>
        </w:rPr>
        <w:t xml:space="preserve">s </w:t>
      </w:r>
      <w:r w:rsidRPr="00CE23A4">
        <w:rPr>
          <w:rFonts w:ascii="Book Antiqua" w:eastAsia="Times New Roman" w:hAnsi="Book Antiqua" w:cs="Oswald"/>
          <w:sz w:val="24"/>
          <w:szCs w:val="24"/>
        </w:rPr>
        <w:t>were tested using te</w:t>
      </w:r>
      <w:r w:rsidR="00AB33B6" w:rsidRPr="00CE23A4">
        <w:rPr>
          <w:rFonts w:ascii="Book Antiqua" w:eastAsia="Times New Roman" w:hAnsi="Book Antiqua" w:cs="Oswald"/>
          <w:sz w:val="24"/>
          <w:szCs w:val="24"/>
        </w:rPr>
        <w:t xml:space="preserve">sts Pearson’s correlation test. 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Receiver operating characteristic (ROC) curves were constructed </w:t>
      </w:r>
      <w:r w:rsidR="00F8002A" w:rsidRPr="00CE23A4">
        <w:rPr>
          <w:rFonts w:ascii="Book Antiqua" w:eastAsia="Times New Roman" w:hAnsi="Book Antiqua" w:cs="Oswald"/>
          <w:sz w:val="24"/>
          <w:szCs w:val="24"/>
        </w:rPr>
        <w:t>to determine optimal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cholinesterase levels predicting multiple state variables such as MELD score ≥ 15. Areas under receiver operating characteristic curves, sensitivity and specificity were used to examine the accuracy of the cholinesterase for various predictions. </w:t>
      </w:r>
      <w:r w:rsidR="007E7A5C" w:rsidRPr="00CE23A4">
        <w:rPr>
          <w:rFonts w:ascii="Book Antiqua" w:eastAsia="Times New Roman" w:hAnsi="Book Antiqua" w:cs="Oswald"/>
          <w:sz w:val="24"/>
          <w:szCs w:val="24"/>
        </w:rPr>
        <w:t>The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CB1BBC" w:rsidRPr="00CE23A4">
        <w:rPr>
          <w:rFonts w:ascii="Book Antiqua" w:eastAsia="Times New Roman" w:hAnsi="Book Antiqua" w:cs="Oswald"/>
          <w:sz w:val="24"/>
          <w:szCs w:val="24"/>
        </w:rPr>
        <w:t xml:space="preserve">state </w:t>
      </w:r>
      <w:r w:rsidRPr="00CE23A4">
        <w:rPr>
          <w:rFonts w:ascii="Book Antiqua" w:eastAsia="Times New Roman" w:hAnsi="Book Antiqua" w:cs="Oswald"/>
          <w:sz w:val="24"/>
          <w:szCs w:val="24"/>
        </w:rPr>
        <w:t>variables examined included Ascites, MELD score ≥ 15, MELD score &gt; 10, APRI ≥ 1.5,</w:t>
      </w:r>
      <w:r w:rsidR="00F812E9" w:rsidRPr="00CE23A4">
        <w:rPr>
          <w:rFonts w:ascii="Book Antiqua" w:eastAsia="Times New Roman" w:hAnsi="Book Antiqua" w:cs="Oswald"/>
          <w:sz w:val="24"/>
          <w:szCs w:val="24"/>
        </w:rPr>
        <w:t xml:space="preserve"> BEA ≥ 5, </w:t>
      </w:r>
      <w:r w:rsidRPr="00CE23A4">
        <w:rPr>
          <w:rFonts w:ascii="Book Antiqua" w:eastAsia="Times New Roman" w:hAnsi="Book Antiqua" w:cs="Oswald"/>
          <w:sz w:val="24"/>
          <w:szCs w:val="24"/>
        </w:rPr>
        <w:t>C</w:t>
      </w:r>
      <w:r w:rsidR="00AB33B6" w:rsidRPr="00CE23A4">
        <w:rPr>
          <w:rFonts w:ascii="Book Antiqua" w:eastAsia="Times New Roman" w:hAnsi="Book Antiqua" w:cs="Oswald"/>
          <w:sz w:val="24"/>
          <w:szCs w:val="24"/>
        </w:rPr>
        <w:t>TP ≥ Class B and CTP ≥ Class C.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B60CB6" w:rsidRPr="00CE23A4">
        <w:rPr>
          <w:rFonts w:ascii="Book Antiqua" w:eastAsia="Times New Roman" w:hAnsi="Book Antiqua" w:cs="Oswald"/>
          <w:sz w:val="24"/>
          <w:szCs w:val="24"/>
        </w:rPr>
        <w:t xml:space="preserve">Cutoff cause were determined by </w:t>
      </w:r>
      <w:proofErr w:type="spellStart"/>
      <w:r w:rsidR="00B60CB6" w:rsidRPr="00CE23A4">
        <w:rPr>
          <w:rFonts w:ascii="Book Antiqua" w:eastAsia="Times New Roman" w:hAnsi="Book Antiqua" w:cs="Oswald"/>
          <w:sz w:val="24"/>
          <w:szCs w:val="24"/>
        </w:rPr>
        <w:t>Youden’s</w:t>
      </w:r>
      <w:proofErr w:type="spellEnd"/>
      <w:r w:rsidR="00B60CB6" w:rsidRPr="00CE23A4">
        <w:rPr>
          <w:rFonts w:ascii="Book Antiqua" w:eastAsia="Times New Roman" w:hAnsi="Book Antiqua" w:cs="Oswald"/>
          <w:sz w:val="24"/>
          <w:szCs w:val="24"/>
        </w:rPr>
        <w:t xml:space="preserve"> J statistic (verified by a unit weighted ROC cutoff based on minimizing the distance from the point representing perfect classification to the ROC curve).  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Statistical analyses were performed using SPSS 23.0 software (IBM SPSS Statistics, New York, NY, United States). All tests were 2-tailed and a </w:t>
      </w:r>
      <w:r w:rsidRPr="00453E4C">
        <w:rPr>
          <w:rFonts w:ascii="Book Antiqua" w:eastAsia="Times New Roman" w:hAnsi="Book Antiqua" w:cs="Oswald"/>
          <w:i/>
          <w:sz w:val="24"/>
          <w:szCs w:val="24"/>
        </w:rPr>
        <w:t>P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value &lt; 0.05 was required for statistical significance. </w:t>
      </w:r>
    </w:p>
    <w:p w14:paraId="589985D1" w14:textId="77777777" w:rsidR="00F32EE7" w:rsidRPr="00CE23A4" w:rsidRDefault="00F32EE7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eastAsia="zh-CN"/>
        </w:rPr>
      </w:pPr>
    </w:p>
    <w:p w14:paraId="09C648D6" w14:textId="67CBDE39" w:rsidR="00F11404" w:rsidRPr="00CE23A4" w:rsidRDefault="00874043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eastAsia="zh-CN"/>
        </w:rPr>
      </w:pPr>
      <w:r w:rsidRPr="00CE23A4">
        <w:rPr>
          <w:rFonts w:ascii="Book Antiqua" w:eastAsia="Times New Roman" w:hAnsi="Book Antiqua" w:cs="Oswald"/>
          <w:b/>
          <w:sz w:val="24"/>
          <w:szCs w:val="24"/>
        </w:rPr>
        <w:t>RESULTS</w:t>
      </w:r>
    </w:p>
    <w:p w14:paraId="16E4F636" w14:textId="1748B18D" w:rsidR="00024611" w:rsidRPr="00CE23A4" w:rsidRDefault="00BF22C5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Oswald"/>
          <w:sz w:val="24"/>
          <w:szCs w:val="24"/>
        </w:rPr>
      </w:pPr>
      <w:r w:rsidRPr="00CE23A4">
        <w:rPr>
          <w:rFonts w:ascii="Book Antiqua" w:eastAsia="Times New Roman" w:hAnsi="Book Antiqua" w:cs="Oswald"/>
          <w:sz w:val="24"/>
          <w:szCs w:val="24"/>
        </w:rPr>
        <w:t xml:space="preserve">Out of 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>233 patients with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 chronic liver disease due to hepatitis D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,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192 (82.4%) were male, </w:t>
      </w:r>
      <w:r w:rsidR="00453E4C" w:rsidRPr="00CE23A4">
        <w:rPr>
          <w:rFonts w:ascii="Book Antiqua" w:eastAsia="Times New Roman" w:hAnsi="Book Antiqua" w:cs="Oswald"/>
          <w:sz w:val="24"/>
          <w:szCs w:val="24"/>
        </w:rPr>
        <w:t>the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>median age</w:t>
      </w:r>
      <w:r w:rsidRPr="00CE23A4">
        <w:rPr>
          <w:rFonts w:ascii="Book Antiqua" w:eastAsia="Times New Roman" w:hAnsi="Book Antiqua" w:cs="Oswald"/>
          <w:sz w:val="24"/>
          <w:szCs w:val="24"/>
        </w:rPr>
        <w:t xml:space="preserve"> was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 42 </w:t>
      </w:r>
      <w:r w:rsidR="007E7A5C" w:rsidRPr="00CE23A4">
        <w:rPr>
          <w:rFonts w:ascii="Book Antiqua" w:eastAsia="Times New Roman" w:hAnsi="Book Antiqua" w:cs="Oswald"/>
          <w:sz w:val="24"/>
          <w:szCs w:val="24"/>
        </w:rPr>
        <w:t>(range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 16-69 years). 50 (21.5%) patients had ascites and 15 (6.4%) enc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>ephalopathy. 167 (71.7%) were classified into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 Child class A, 52 (22.3%) in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>to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 Child class B and 14 (5.0%) in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>to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 class C. 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 xml:space="preserve">A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MELD score of 15 or more was seen in 24 (10.3%). </w:t>
      </w:r>
      <w:r w:rsidR="004D15B3" w:rsidRPr="00CE23A4">
        <w:rPr>
          <w:rFonts w:ascii="Book Antiqua" w:eastAsia="Times New Roman" w:hAnsi="Book Antiqua" w:cs="Oswald"/>
          <w:sz w:val="24"/>
          <w:szCs w:val="24"/>
        </w:rPr>
        <w:t>Cholinesterase levels (mean</w:t>
      </w:r>
      <w:r w:rsidR="00874043"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 </w:t>
      </w:r>
      <w:r w:rsidR="004D15B3" w:rsidRPr="00CE23A4">
        <w:rPr>
          <w:rFonts w:ascii="Book Antiqua" w:eastAsia="Times New Roman" w:hAnsi="Book Antiqua" w:cs="Oswald"/>
          <w:sz w:val="24"/>
          <w:szCs w:val="24"/>
        </w:rPr>
        <w:t>± SEM) in males were 6177 ± 228 and in females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 xml:space="preserve"> were </w:t>
      </w:r>
      <w:r w:rsidR="004D15B3" w:rsidRPr="00CE23A4">
        <w:rPr>
          <w:rFonts w:ascii="Book Antiqua" w:eastAsia="Times New Roman" w:hAnsi="Book Antiqua" w:cs="Oswald"/>
          <w:sz w:val="24"/>
          <w:szCs w:val="24"/>
        </w:rPr>
        <w:t>5151 ± 452 (</w:t>
      </w:r>
      <w:r w:rsidR="004D15B3" w:rsidRPr="00CE23A4">
        <w:rPr>
          <w:rFonts w:ascii="Book Antiqua" w:eastAsia="Times New Roman" w:hAnsi="Book Antiqua" w:cs="Oswald"/>
          <w:i/>
          <w:caps/>
          <w:sz w:val="24"/>
          <w:szCs w:val="24"/>
        </w:rPr>
        <w:t>p</w:t>
      </w:r>
      <w:r w:rsidR="00874043"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 </w:t>
      </w:r>
      <w:r w:rsidR="004D15B3" w:rsidRPr="00CE23A4">
        <w:rPr>
          <w:rFonts w:ascii="Book Antiqua" w:eastAsia="Times New Roman" w:hAnsi="Book Antiqua" w:cs="Oswald"/>
          <w:sz w:val="24"/>
          <w:szCs w:val="24"/>
        </w:rPr>
        <w:t>=</w:t>
      </w:r>
      <w:r w:rsidR="00874043"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 </w:t>
      </w:r>
      <w:r w:rsidR="004D15B3" w:rsidRPr="00CE23A4">
        <w:rPr>
          <w:rFonts w:ascii="Book Antiqua" w:eastAsia="Times New Roman" w:hAnsi="Book Antiqua" w:cs="Oswald"/>
          <w:sz w:val="24"/>
          <w:szCs w:val="24"/>
        </w:rPr>
        <w:t>0.06)</w:t>
      </w:r>
      <w:r w:rsidR="00EA2C44" w:rsidRPr="00CE23A4">
        <w:rPr>
          <w:rFonts w:ascii="Book Antiqua" w:eastAsia="Times New Roman" w:hAnsi="Book Antiqua" w:cs="Oswald"/>
          <w:sz w:val="24"/>
          <w:szCs w:val="24"/>
        </w:rPr>
        <w:t>. A statistically significant difference was not found between gender and BMI at any stage of the disease.</w:t>
      </w:r>
      <w:r w:rsidR="004D15B3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F016CA" w:rsidRPr="00CE23A4">
        <w:rPr>
          <w:rFonts w:ascii="Book Antiqua" w:eastAsia="Times New Roman" w:hAnsi="Book Antiqua" w:cs="Oswald"/>
          <w:sz w:val="24"/>
          <w:szCs w:val="24"/>
        </w:rPr>
        <w:t xml:space="preserve">The baseline characteristics of the study patients are recorded in Table 1.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>Cholinesterase levels co</w:t>
      </w:r>
      <w:r w:rsidR="00520569" w:rsidRPr="00CE23A4">
        <w:rPr>
          <w:rFonts w:ascii="Book Antiqua" w:eastAsia="Times New Roman" w:hAnsi="Book Antiqua" w:cs="Oswald"/>
          <w:sz w:val="24"/>
          <w:szCs w:val="24"/>
        </w:rPr>
        <w:t xml:space="preserve">rrelated with the albumin, INR, </w:t>
      </w:r>
      <w:r w:rsidR="008950B2" w:rsidRPr="00CE23A4">
        <w:rPr>
          <w:rFonts w:ascii="Book Antiqua" w:eastAsia="Times New Roman" w:hAnsi="Book Antiqua" w:cs="Oswald"/>
          <w:sz w:val="24"/>
          <w:szCs w:val="24"/>
        </w:rPr>
        <w:t>Child-</w:t>
      </w:r>
      <w:proofErr w:type="spellStart"/>
      <w:r w:rsidR="008950B2" w:rsidRPr="00CE23A4">
        <w:rPr>
          <w:rFonts w:ascii="Book Antiqua" w:eastAsia="Times New Roman" w:hAnsi="Book Antiqua" w:cs="Oswald"/>
          <w:sz w:val="24"/>
          <w:szCs w:val="24"/>
        </w:rPr>
        <w:t>Turc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>otte</w:t>
      </w:r>
      <w:proofErr w:type="spellEnd"/>
      <w:r w:rsidR="008950B2" w:rsidRPr="00CE23A4">
        <w:rPr>
          <w:rFonts w:ascii="Book Antiqua" w:eastAsia="Times New Roman" w:hAnsi="Book Antiqua" w:cs="Oswald"/>
          <w:sz w:val="24"/>
          <w:szCs w:val="24"/>
        </w:rPr>
        <w:t>-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>Pugh (CTP) score, MELD, MELD sodium, APRI and BEA scores with the Pearson correlation coefficient, r va</w:t>
      </w:r>
      <w:r w:rsidR="002F47FB" w:rsidRPr="00CE23A4">
        <w:rPr>
          <w:rFonts w:ascii="Book Antiqua" w:eastAsia="Times New Roman" w:hAnsi="Book Antiqua" w:cs="Oswald"/>
          <w:sz w:val="24"/>
          <w:szCs w:val="24"/>
        </w:rPr>
        <w:t xml:space="preserve">lues of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0.724, -0.520, -0.624, -0.561, -0.533, -0.531, and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lastRenderedPageBreak/>
        <w:t>-0.591 respectively (</w:t>
      </w:r>
      <w:r w:rsidR="00874043" w:rsidRPr="00CE23A4">
        <w:rPr>
          <w:rFonts w:ascii="Book Antiqua" w:eastAsia="Times New Roman" w:hAnsi="Book Antiqua" w:cs="Oswald"/>
          <w:i/>
          <w:caps/>
          <w:sz w:val="24"/>
          <w:szCs w:val="24"/>
        </w:rPr>
        <w:t>p</w:t>
      </w:r>
      <w:r w:rsidR="00874043" w:rsidRPr="00CE23A4">
        <w:rPr>
          <w:rFonts w:ascii="Book Antiqua" w:eastAsia="Times New Roman" w:hAnsi="Book Antiqua" w:cs="Oswald"/>
          <w:sz w:val="24"/>
          <w:szCs w:val="24"/>
        </w:rPr>
        <w:t xml:space="preserve">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>&lt;</w:t>
      </w:r>
      <w:r w:rsidR="00874043"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 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>0.001 each)</w:t>
      </w:r>
      <w:r w:rsidR="00874043" w:rsidRPr="00CE23A4">
        <w:rPr>
          <w:rFonts w:ascii="Book Antiqua" w:hAnsi="Book Antiqua" w:cs="Oswald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eastAsia="Times New Roman" w:hAnsi="Book Antiqua" w:cs="Oswald"/>
          <w:sz w:val="24"/>
          <w:szCs w:val="24"/>
        </w:rPr>
        <w:t>(Figure 1</w:t>
      </w:r>
      <w:r w:rsidR="007E7A5C" w:rsidRPr="00CE23A4">
        <w:rPr>
          <w:rFonts w:ascii="Book Antiqua" w:eastAsia="Times New Roman" w:hAnsi="Book Antiqua" w:cs="Oswald"/>
          <w:sz w:val="24"/>
          <w:szCs w:val="24"/>
        </w:rPr>
        <w:t>)</w:t>
      </w:r>
      <w:r w:rsidR="00024611" w:rsidRPr="00CE23A4">
        <w:rPr>
          <w:rFonts w:ascii="Book Antiqua" w:eastAsia="Times New Roman" w:hAnsi="Book Antiqua" w:cs="Oswald"/>
          <w:sz w:val="24"/>
          <w:szCs w:val="24"/>
        </w:rPr>
        <w:t xml:space="preserve">. </w:t>
      </w:r>
      <w:r w:rsidR="00F016CA" w:rsidRPr="00CE23A4">
        <w:rPr>
          <w:rFonts w:ascii="Book Antiqua" w:eastAsia="Times New Roman" w:hAnsi="Book Antiqua" w:cs="Oswald"/>
          <w:sz w:val="24"/>
          <w:szCs w:val="24"/>
        </w:rPr>
        <w:t xml:space="preserve">The mean cholinesterase levels for each class are shown in Table 2. </w:t>
      </w:r>
    </w:p>
    <w:p w14:paraId="2F6C9205" w14:textId="3427E90A" w:rsidR="00F70C7C" w:rsidRPr="00CE23A4" w:rsidRDefault="007E7A5C" w:rsidP="0087404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Area under the ROC curve for ascites, CTP ≥ 10, MELD ≥ 15, BEA ≥ 5, APRI ≥ 1.5 was 0.836, 0.966, 0.913, 0.871 and 0.825 respectively (</w:t>
      </w:r>
      <w:r w:rsidR="00874043" w:rsidRPr="00CE23A4">
        <w:rPr>
          <w:rFonts w:ascii="Book Antiqua" w:eastAsia="Times New Roman" w:hAnsi="Book Antiqua" w:cs="Oswald"/>
          <w:i/>
          <w:caps/>
          <w:sz w:val="24"/>
          <w:szCs w:val="24"/>
        </w:rPr>
        <w:t>p</w:t>
      </w:r>
      <w:r w:rsidR="00874043" w:rsidRPr="00CE23A4">
        <w:rPr>
          <w:rFonts w:ascii="Book Antiqua" w:hAnsi="Book Antiqua"/>
          <w:sz w:val="24"/>
          <w:szCs w:val="24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&lt;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0.001 each)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F22C5" w:rsidRPr="00CE23A4">
        <w:rPr>
          <w:rFonts w:ascii="Book Antiqua" w:hAnsi="Book Antiqua"/>
          <w:sz w:val="24"/>
          <w:szCs w:val="24"/>
        </w:rPr>
        <w:t>(Table 3, Figure 2</w:t>
      </w:r>
      <w:r w:rsidR="00D25BFA" w:rsidRPr="00CE23A4">
        <w:rPr>
          <w:rFonts w:ascii="Book Antiqua" w:hAnsi="Book Antiqua"/>
          <w:sz w:val="24"/>
          <w:szCs w:val="24"/>
        </w:rPr>
        <w:t>)</w:t>
      </w:r>
      <w:r w:rsidRPr="00CE23A4">
        <w:rPr>
          <w:rFonts w:ascii="Book Antiqua" w:hAnsi="Book Antiqua"/>
          <w:sz w:val="24"/>
          <w:szCs w:val="24"/>
        </w:rPr>
        <w:t>. Cut off values of cholinesterase (IU/L) for predicting ascites, CTP ≥ 10, MELD ≥ 15, BEA ≥ 5 and APRI ≥ 1.5 were &lt; 3812, &lt; 2853, &lt; 2829,  &lt; 4719 and &lt; 3954 with a sensitivity of 80%, 100%, 91.67%, 82.50%, 58.0% and specificity of 81.97%, 84.79%, 87.56%, 77.06 and 55.64% respectively</w:t>
      </w:r>
      <w:r w:rsidR="00D25BFA" w:rsidRPr="00CE23A4">
        <w:rPr>
          <w:rFonts w:ascii="Book Antiqua" w:hAnsi="Book Antiqua"/>
          <w:sz w:val="24"/>
          <w:szCs w:val="24"/>
        </w:rPr>
        <w:t xml:space="preserve"> (Table 4)</w:t>
      </w:r>
      <w:r w:rsidR="002F47FB" w:rsidRPr="00CE23A4">
        <w:rPr>
          <w:rFonts w:ascii="Book Antiqua" w:hAnsi="Book Antiqua"/>
          <w:sz w:val="24"/>
          <w:szCs w:val="24"/>
        </w:rPr>
        <w:t xml:space="preserve">. </w:t>
      </w:r>
      <w:r w:rsidR="00BA670B" w:rsidRPr="00CE23A4">
        <w:rPr>
          <w:rFonts w:ascii="Book Antiqua" w:hAnsi="Book Antiqua"/>
          <w:sz w:val="24"/>
          <w:szCs w:val="24"/>
        </w:rPr>
        <w:t>Mean serum cholinesterase decreased with reduced hepatic reserves</w:t>
      </w:r>
      <w:r w:rsidR="00AF12A0" w:rsidRPr="00CE23A4">
        <w:rPr>
          <w:rFonts w:ascii="Book Antiqua" w:hAnsi="Book Antiqua"/>
          <w:sz w:val="24"/>
          <w:szCs w:val="24"/>
        </w:rPr>
        <w:t>. For example patients in Child</w:t>
      </w:r>
      <w:r w:rsidR="007F3F06" w:rsidRPr="00CE23A4">
        <w:rPr>
          <w:rFonts w:ascii="Book Antiqua" w:hAnsi="Book Antiqua"/>
          <w:sz w:val="24"/>
          <w:szCs w:val="24"/>
        </w:rPr>
        <w:t xml:space="preserve"> Class A had a mean cholinesterase of 7058 compared to those in Class B with 3773 and Class C with 1605. </w:t>
      </w:r>
      <w:r w:rsidR="00BA670B" w:rsidRPr="00CE23A4">
        <w:rPr>
          <w:rFonts w:ascii="Book Antiqua" w:hAnsi="Book Antiqua"/>
          <w:sz w:val="24"/>
          <w:szCs w:val="24"/>
        </w:rPr>
        <w:t xml:space="preserve">This is </w:t>
      </w:r>
      <w:r w:rsidR="007F3F06" w:rsidRPr="00CE23A4">
        <w:rPr>
          <w:rFonts w:ascii="Book Antiqua" w:hAnsi="Book Antiqua"/>
          <w:sz w:val="24"/>
          <w:szCs w:val="24"/>
        </w:rPr>
        <w:t xml:space="preserve">also </w:t>
      </w:r>
      <w:r w:rsidR="00BA670B" w:rsidRPr="00CE23A4">
        <w:rPr>
          <w:rFonts w:ascii="Book Antiqua" w:hAnsi="Book Antiqua"/>
          <w:sz w:val="24"/>
          <w:szCs w:val="24"/>
        </w:rPr>
        <w:t>reflected in the</w:t>
      </w:r>
      <w:r w:rsidR="002F47FB" w:rsidRPr="00CE23A4">
        <w:rPr>
          <w:rFonts w:ascii="Book Antiqua" w:hAnsi="Book Antiqua"/>
          <w:sz w:val="24"/>
          <w:szCs w:val="24"/>
        </w:rPr>
        <w:t xml:space="preserve"> optimal cutoff</w:t>
      </w:r>
      <w:r w:rsidR="00BA670B" w:rsidRPr="00CE23A4">
        <w:rPr>
          <w:rFonts w:ascii="Book Antiqua" w:hAnsi="Book Antiqua"/>
          <w:sz w:val="24"/>
          <w:szCs w:val="24"/>
        </w:rPr>
        <w:t xml:space="preserve"> values</w:t>
      </w:r>
      <w:r w:rsidR="007F3F06" w:rsidRPr="00CE23A4">
        <w:rPr>
          <w:rFonts w:ascii="Book Antiqua" w:hAnsi="Book Antiqua"/>
          <w:sz w:val="24"/>
          <w:szCs w:val="24"/>
        </w:rPr>
        <w:t xml:space="preserve"> of</w:t>
      </w:r>
      <w:r w:rsidR="002F47FB" w:rsidRPr="00CE23A4">
        <w:rPr>
          <w:rFonts w:ascii="Book Antiqua" w:hAnsi="Book Antiqua"/>
          <w:sz w:val="24"/>
          <w:szCs w:val="24"/>
        </w:rPr>
        <w:t xml:space="preserve">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 xml:space="preserve">&lt; </w:t>
      </w:r>
      <w:r w:rsidR="00AF12A0" w:rsidRPr="00CE23A4">
        <w:rPr>
          <w:rFonts w:ascii="Book Antiqua" w:hAnsi="Book Antiqua"/>
          <w:sz w:val="24"/>
          <w:szCs w:val="24"/>
        </w:rPr>
        <w:t>3812 at Child</w:t>
      </w:r>
      <w:r w:rsidR="007F3F06" w:rsidRPr="00CE23A4">
        <w:rPr>
          <w:rFonts w:ascii="Book Antiqua" w:hAnsi="Book Antiqua"/>
          <w:sz w:val="24"/>
          <w:szCs w:val="24"/>
        </w:rPr>
        <w:t xml:space="preserve"> Class B</w:t>
      </w:r>
      <w:r w:rsidR="00AF12A0" w:rsidRPr="00CE23A4">
        <w:rPr>
          <w:rFonts w:ascii="Book Antiqua" w:hAnsi="Book Antiqua"/>
          <w:sz w:val="24"/>
          <w:szCs w:val="24"/>
        </w:rPr>
        <w:t xml:space="preserve"> (CTP score 7-9)</w:t>
      </w:r>
      <w:r w:rsidR="007F3F06" w:rsidRPr="00CE23A4">
        <w:rPr>
          <w:rFonts w:ascii="Book Antiqua" w:hAnsi="Book Antiqua"/>
          <w:sz w:val="24"/>
          <w:szCs w:val="24"/>
        </w:rPr>
        <w:t xml:space="preserve"> and</w:t>
      </w:r>
      <w:r w:rsidR="002F47FB" w:rsidRPr="00CE23A4">
        <w:rPr>
          <w:rFonts w:ascii="Book Antiqua" w:hAnsi="Book Antiqua"/>
          <w:sz w:val="24"/>
          <w:szCs w:val="24"/>
        </w:rPr>
        <w:t xml:space="preserve">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 xml:space="preserve">&lt; </w:t>
      </w:r>
      <w:r w:rsidR="002F47FB" w:rsidRPr="00CE23A4">
        <w:rPr>
          <w:rFonts w:ascii="Book Antiqua" w:hAnsi="Book Antiqua"/>
          <w:sz w:val="24"/>
          <w:szCs w:val="24"/>
        </w:rPr>
        <w:t>2853 at C</w:t>
      </w:r>
      <w:r w:rsidR="00AF12A0" w:rsidRPr="00CE23A4">
        <w:rPr>
          <w:rFonts w:ascii="Book Antiqua" w:hAnsi="Book Antiqua"/>
          <w:sz w:val="24"/>
          <w:szCs w:val="24"/>
        </w:rPr>
        <w:t>hild</w:t>
      </w:r>
      <w:r w:rsidR="002F47FB" w:rsidRPr="00CE23A4">
        <w:rPr>
          <w:rFonts w:ascii="Book Antiqua" w:hAnsi="Book Antiqua"/>
          <w:sz w:val="24"/>
          <w:szCs w:val="24"/>
        </w:rPr>
        <w:t xml:space="preserve"> Class C </w:t>
      </w:r>
      <w:r w:rsidR="00AF12A0" w:rsidRPr="00CE23A4">
        <w:rPr>
          <w:rFonts w:ascii="Book Antiqua" w:hAnsi="Book Antiqua"/>
          <w:sz w:val="24"/>
          <w:szCs w:val="24"/>
        </w:rPr>
        <w:t xml:space="preserve">(CTP ≥ 10) </w:t>
      </w:r>
      <w:r w:rsidR="002F47FB" w:rsidRPr="00CE23A4">
        <w:rPr>
          <w:rFonts w:ascii="Book Antiqua" w:hAnsi="Book Antiqua"/>
          <w:sz w:val="24"/>
          <w:szCs w:val="24"/>
        </w:rPr>
        <w:t xml:space="preserve">and similarly </w:t>
      </w:r>
      <w:r w:rsidR="007F3F06" w:rsidRPr="00CE23A4">
        <w:rPr>
          <w:rFonts w:ascii="Book Antiqua" w:hAnsi="Book Antiqua"/>
          <w:sz w:val="24"/>
          <w:szCs w:val="24"/>
        </w:rPr>
        <w:t xml:space="preserve">a value of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>&lt;</w:t>
      </w:r>
      <w:r w:rsidR="00874043" w:rsidRPr="00CE23A4">
        <w:rPr>
          <w:rFonts w:ascii="Book Antiqua" w:hAnsi="Book Antiqua" w:cs="Times New Roman" w:hint="eastAsia"/>
          <w:bCs/>
          <w:sz w:val="24"/>
          <w:szCs w:val="24"/>
          <w:lang w:val="en-GB" w:eastAsia="zh-CN"/>
        </w:rPr>
        <w:t xml:space="preserve"> </w:t>
      </w:r>
      <w:r w:rsidR="002F47FB" w:rsidRPr="00CE23A4">
        <w:rPr>
          <w:rFonts w:ascii="Book Antiqua" w:hAnsi="Book Antiqua"/>
          <w:sz w:val="24"/>
          <w:szCs w:val="24"/>
        </w:rPr>
        <w:t xml:space="preserve">4719 at MELD </w:t>
      </w:r>
      <w:r w:rsidR="002F47FB" w:rsidRPr="00CE23A4">
        <w:rPr>
          <w:rFonts w:ascii="Book Antiqua" w:hAnsi="Book Antiqua" w:cstheme="minorHAnsi"/>
          <w:sz w:val="24"/>
          <w:szCs w:val="24"/>
        </w:rPr>
        <w:t>≥</w:t>
      </w:r>
      <w:r w:rsidR="007F3F06" w:rsidRPr="00CE23A4">
        <w:rPr>
          <w:rFonts w:ascii="Book Antiqua" w:hAnsi="Book Antiqua"/>
          <w:sz w:val="24"/>
          <w:szCs w:val="24"/>
        </w:rPr>
        <w:t xml:space="preserve"> 10 and</w:t>
      </w:r>
      <w:r w:rsidR="002F47FB" w:rsidRPr="00CE23A4">
        <w:rPr>
          <w:rFonts w:ascii="Book Antiqua" w:hAnsi="Book Antiqua"/>
          <w:sz w:val="24"/>
          <w:szCs w:val="24"/>
        </w:rPr>
        <w:t xml:space="preserve"> </w:t>
      </w:r>
      <w:r w:rsidR="002F47FB" w:rsidRPr="00CE23A4">
        <w:rPr>
          <w:rFonts w:ascii="Book Antiqua" w:eastAsia="Times New Roman" w:hAnsi="Book Antiqua" w:cs="Times New Roman"/>
          <w:bCs/>
          <w:sz w:val="24"/>
          <w:szCs w:val="24"/>
          <w:lang w:val="en-GB"/>
        </w:rPr>
        <w:t>&lt;</w:t>
      </w:r>
      <w:r w:rsidR="002F47FB" w:rsidRPr="00CE23A4">
        <w:rPr>
          <w:rFonts w:ascii="Book Antiqua" w:hAnsi="Book Antiqua"/>
          <w:sz w:val="24"/>
          <w:szCs w:val="24"/>
        </w:rPr>
        <w:t xml:space="preserve"> 2829 at MELD </w:t>
      </w:r>
      <w:r w:rsidR="002F47FB" w:rsidRPr="00CE23A4">
        <w:rPr>
          <w:rFonts w:ascii="Book Antiqua" w:hAnsi="Book Antiqua" w:cstheme="minorHAnsi"/>
          <w:sz w:val="24"/>
          <w:szCs w:val="24"/>
        </w:rPr>
        <w:t>≥</w:t>
      </w:r>
      <w:r w:rsidR="002F47FB" w:rsidRPr="00CE23A4">
        <w:rPr>
          <w:rFonts w:ascii="Book Antiqua" w:hAnsi="Book Antiqua"/>
          <w:sz w:val="24"/>
          <w:szCs w:val="24"/>
        </w:rPr>
        <w:t xml:space="preserve"> 15.  </w:t>
      </w:r>
    </w:p>
    <w:p w14:paraId="7A23E119" w14:textId="77777777" w:rsidR="00874043" w:rsidRPr="00CE23A4" w:rsidRDefault="00874043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eastAsia="zh-CN"/>
        </w:rPr>
      </w:pPr>
    </w:p>
    <w:p w14:paraId="11800EA0" w14:textId="2C6B89BD" w:rsidR="00562781" w:rsidRPr="00CE23A4" w:rsidRDefault="00874043" w:rsidP="002804CB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Oswald"/>
          <w:b/>
          <w:sz w:val="24"/>
          <w:szCs w:val="24"/>
          <w:lang w:eastAsia="zh-CN"/>
        </w:rPr>
      </w:pPr>
      <w:r w:rsidRPr="00CE23A4">
        <w:rPr>
          <w:rFonts w:ascii="Book Antiqua" w:eastAsia="Times New Roman" w:hAnsi="Book Antiqua" w:cs="Oswald"/>
          <w:b/>
          <w:sz w:val="24"/>
          <w:szCs w:val="24"/>
        </w:rPr>
        <w:t>DISCUSSION</w:t>
      </w:r>
    </w:p>
    <w:p w14:paraId="51C1CEBC" w14:textId="5AD03DA5" w:rsidR="008510CD" w:rsidRPr="00CE23A4" w:rsidRDefault="00655EAD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T</w:t>
      </w:r>
      <w:r w:rsidR="008510CD" w:rsidRPr="00CE23A4">
        <w:rPr>
          <w:rFonts w:ascii="Book Antiqua" w:hAnsi="Book Antiqua"/>
          <w:sz w:val="24"/>
          <w:szCs w:val="24"/>
        </w:rPr>
        <w:t xml:space="preserve">raditional liver function tests and </w:t>
      </w:r>
      <w:r w:rsidRPr="00CE23A4">
        <w:rPr>
          <w:rFonts w:ascii="Book Antiqua" w:hAnsi="Book Antiqua"/>
          <w:sz w:val="24"/>
          <w:szCs w:val="24"/>
        </w:rPr>
        <w:t>scoring systems used to stage severity of the liver disease</w:t>
      </w:r>
      <w:r w:rsidR="008510CD" w:rsidRPr="00CE23A4">
        <w:rPr>
          <w:rFonts w:ascii="Book Antiqua" w:hAnsi="Book Antiqua"/>
          <w:sz w:val="24"/>
          <w:szCs w:val="24"/>
        </w:rPr>
        <w:t xml:space="preserve"> face several inherent limitations</w:t>
      </w:r>
      <w:r w:rsidRPr="00CE23A4">
        <w:rPr>
          <w:rFonts w:ascii="Book Antiqua" w:hAnsi="Book Antiqua"/>
          <w:sz w:val="24"/>
          <w:szCs w:val="24"/>
        </w:rPr>
        <w:t xml:space="preserve">. For example, </w:t>
      </w:r>
      <w:r w:rsidR="00E62E9A" w:rsidRPr="00CE23A4">
        <w:rPr>
          <w:rFonts w:ascii="Book Antiqua" w:hAnsi="Book Antiqua"/>
          <w:sz w:val="24"/>
          <w:szCs w:val="24"/>
        </w:rPr>
        <w:t>the LFTs investigated in this study maybe abnormal in illnesses not associated with liver dysfunction. Aminotransferase levels may increase in non-hepatic diseas</w:t>
      </w:r>
      <w:r w:rsidR="00874043" w:rsidRPr="00CE23A4">
        <w:rPr>
          <w:rFonts w:ascii="Book Antiqua" w:hAnsi="Book Antiqua"/>
          <w:sz w:val="24"/>
          <w:szCs w:val="24"/>
        </w:rPr>
        <w:t xml:space="preserve">e such as myocardial </w:t>
      </w:r>
      <w:proofErr w:type="gramStart"/>
      <w:r w:rsidR="00874043" w:rsidRPr="00CE23A4">
        <w:rPr>
          <w:rFonts w:ascii="Book Antiqua" w:hAnsi="Book Antiqua"/>
          <w:sz w:val="24"/>
          <w:szCs w:val="24"/>
        </w:rPr>
        <w:t>infarction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hAnsi="Book Antiqua"/>
          <w:sz w:val="24"/>
          <w:szCs w:val="24"/>
          <w:vertAlign w:val="superscript"/>
        </w:rPr>
        <w:t>8]</w:t>
      </w:r>
      <w:r w:rsidR="00D02FFD" w:rsidRPr="00CE23A4">
        <w:rPr>
          <w:rFonts w:ascii="Book Antiqua" w:hAnsi="Book Antiqua"/>
          <w:sz w:val="24"/>
          <w:szCs w:val="24"/>
        </w:rPr>
        <w:t xml:space="preserve"> </w:t>
      </w:r>
      <w:r w:rsidR="00E62E9A" w:rsidRPr="00CE23A4">
        <w:rPr>
          <w:rFonts w:ascii="Book Antiqua" w:hAnsi="Book Antiqua"/>
          <w:sz w:val="24"/>
          <w:szCs w:val="24"/>
        </w:rPr>
        <w:t xml:space="preserve">while bilirubin maybe altered by hemolysis. Moreover, </w:t>
      </w:r>
      <w:r w:rsidR="008510CD" w:rsidRPr="00CE23A4">
        <w:rPr>
          <w:rFonts w:ascii="Book Antiqua" w:hAnsi="Book Antiqua"/>
          <w:sz w:val="24"/>
          <w:szCs w:val="24"/>
        </w:rPr>
        <w:t xml:space="preserve">the </w:t>
      </w:r>
      <w:r w:rsidRPr="00CE23A4">
        <w:rPr>
          <w:rFonts w:ascii="Book Antiqua" w:hAnsi="Book Antiqua"/>
          <w:sz w:val="24"/>
          <w:szCs w:val="24"/>
        </w:rPr>
        <w:t xml:space="preserve">CTP score includes subjective parameters such as the degree of ascites and </w:t>
      </w:r>
      <w:proofErr w:type="gramStart"/>
      <w:r w:rsidRPr="00CE23A4">
        <w:rPr>
          <w:rFonts w:ascii="Book Antiqua" w:hAnsi="Book Antiqua"/>
          <w:sz w:val="24"/>
          <w:szCs w:val="24"/>
        </w:rPr>
        <w:t>encephalopathy</w:t>
      </w:r>
      <w:r w:rsidR="00C31CCB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hAnsi="Book Antiqua"/>
          <w:sz w:val="24"/>
          <w:szCs w:val="24"/>
          <w:vertAlign w:val="superscript"/>
        </w:rPr>
        <w:t>9]</w:t>
      </w:r>
      <w:r w:rsidRPr="00CE23A4">
        <w:rPr>
          <w:rFonts w:ascii="Book Antiqua" w:hAnsi="Book Antiqua"/>
          <w:sz w:val="24"/>
          <w:szCs w:val="24"/>
        </w:rPr>
        <w:t xml:space="preserve"> </w:t>
      </w:r>
      <w:r w:rsidR="00E62E9A" w:rsidRPr="00CE23A4">
        <w:rPr>
          <w:rFonts w:ascii="Book Antiqua" w:hAnsi="Book Antiqua"/>
          <w:sz w:val="24"/>
          <w:szCs w:val="24"/>
        </w:rPr>
        <w:t>and</w:t>
      </w:r>
      <w:r w:rsidR="008510CD" w:rsidRPr="00CE23A4">
        <w:rPr>
          <w:rFonts w:ascii="Book Antiqua" w:hAnsi="Book Antiqua"/>
          <w:sz w:val="24"/>
          <w:szCs w:val="24"/>
        </w:rPr>
        <w:t xml:space="preserve"> these</w:t>
      </w:r>
      <w:r w:rsidRPr="00CE23A4">
        <w:rPr>
          <w:rFonts w:ascii="Book Antiqua" w:hAnsi="Book Antiqua"/>
          <w:sz w:val="24"/>
          <w:szCs w:val="24"/>
        </w:rPr>
        <w:t xml:space="preserve"> findings may be altered substantially by me</w:t>
      </w:r>
      <w:r w:rsidR="0022116A" w:rsidRPr="00CE23A4">
        <w:rPr>
          <w:rFonts w:ascii="Book Antiqua" w:hAnsi="Book Antiqua"/>
          <w:sz w:val="24"/>
          <w:szCs w:val="24"/>
        </w:rPr>
        <w:t xml:space="preserve">dical interventions. </w:t>
      </w:r>
      <w:r w:rsidR="008510CD" w:rsidRPr="00CE23A4">
        <w:rPr>
          <w:rFonts w:ascii="Book Antiqua" w:hAnsi="Book Antiqua"/>
          <w:sz w:val="24"/>
          <w:szCs w:val="24"/>
        </w:rPr>
        <w:t>Furthermore, its</w:t>
      </w:r>
      <w:r w:rsidR="0022116A" w:rsidRPr="00CE23A4">
        <w:rPr>
          <w:rFonts w:ascii="Book Antiqua" w:hAnsi="Book Antiqua"/>
          <w:sz w:val="24"/>
          <w:szCs w:val="24"/>
        </w:rPr>
        <w:t xml:space="preserve"> role i</w:t>
      </w:r>
      <w:r w:rsidRPr="00CE23A4">
        <w:rPr>
          <w:rFonts w:ascii="Book Antiqua" w:hAnsi="Book Antiqua"/>
          <w:sz w:val="24"/>
          <w:szCs w:val="24"/>
        </w:rPr>
        <w:t xml:space="preserve">s limited </w:t>
      </w:r>
      <w:r w:rsidR="00405367" w:rsidRPr="00CE23A4">
        <w:rPr>
          <w:rFonts w:ascii="Book Antiqua" w:hAnsi="Book Antiqua"/>
          <w:sz w:val="24"/>
          <w:szCs w:val="24"/>
        </w:rPr>
        <w:t>due to</w:t>
      </w:r>
      <w:r w:rsidR="008510CD" w:rsidRPr="00CE23A4">
        <w:rPr>
          <w:rFonts w:ascii="Book Antiqua" w:hAnsi="Book Antiqua"/>
          <w:sz w:val="24"/>
          <w:szCs w:val="24"/>
        </w:rPr>
        <w:t xml:space="preserve"> a ceiling and floor effect: an </w:t>
      </w:r>
      <w:r w:rsidR="00405367" w:rsidRPr="00CE23A4">
        <w:rPr>
          <w:rFonts w:ascii="Book Antiqua" w:hAnsi="Book Antiqua"/>
          <w:sz w:val="24"/>
          <w:szCs w:val="24"/>
        </w:rPr>
        <w:t xml:space="preserve">inability </w:t>
      </w:r>
      <w:r w:rsidR="00D26ED6" w:rsidRPr="00CE23A4">
        <w:rPr>
          <w:rFonts w:ascii="Book Antiqua" w:hAnsi="Book Antiqua"/>
          <w:sz w:val="24"/>
          <w:szCs w:val="24"/>
        </w:rPr>
        <w:t>to discriminate</w:t>
      </w:r>
      <w:r w:rsidR="00405367" w:rsidRPr="00CE23A4">
        <w:rPr>
          <w:rFonts w:ascii="Book Antiqua" w:hAnsi="Book Antiqua"/>
          <w:sz w:val="24"/>
          <w:szCs w:val="24"/>
        </w:rPr>
        <w:t xml:space="preserve"> values for bilirubin </w:t>
      </w:r>
      <w:r w:rsidR="008510CD" w:rsidRPr="00CE23A4">
        <w:rPr>
          <w:rFonts w:ascii="Book Antiqua" w:hAnsi="Book Antiqua"/>
          <w:sz w:val="24"/>
          <w:szCs w:val="24"/>
        </w:rPr>
        <w:t>&gt;</w:t>
      </w:r>
      <w:r w:rsidR="00405367" w:rsidRPr="00CE23A4">
        <w:rPr>
          <w:rFonts w:ascii="Book Antiqua" w:hAnsi="Book Antiqua"/>
          <w:sz w:val="24"/>
          <w:szCs w:val="24"/>
        </w:rPr>
        <w:t xml:space="preserve"> 3.0 mg /</w:t>
      </w:r>
      <w:proofErr w:type="spellStart"/>
      <w:r w:rsidR="00405367" w:rsidRPr="00CE23A4">
        <w:rPr>
          <w:rFonts w:ascii="Book Antiqua" w:hAnsi="Book Antiqua"/>
          <w:sz w:val="24"/>
          <w:szCs w:val="24"/>
        </w:rPr>
        <w:t>d</w:t>
      </w:r>
      <w:r w:rsidR="00405367" w:rsidRPr="00CE23A4">
        <w:rPr>
          <w:rFonts w:ascii="Book Antiqua" w:hAnsi="Book Antiqua"/>
          <w:caps/>
          <w:sz w:val="24"/>
          <w:szCs w:val="24"/>
        </w:rPr>
        <w:t>l</w:t>
      </w:r>
      <w:proofErr w:type="spellEnd"/>
      <w:r w:rsidR="00405367" w:rsidRPr="00CE23A4">
        <w:rPr>
          <w:rFonts w:ascii="Book Antiqua" w:hAnsi="Book Antiqua"/>
          <w:sz w:val="24"/>
          <w:szCs w:val="24"/>
        </w:rPr>
        <w:t xml:space="preserve">, INR greater </w:t>
      </w:r>
      <w:r w:rsidR="008510CD" w:rsidRPr="00CE23A4">
        <w:rPr>
          <w:rFonts w:ascii="Book Antiqua" w:hAnsi="Book Antiqua"/>
          <w:sz w:val="24"/>
          <w:szCs w:val="24"/>
        </w:rPr>
        <w:t>&gt;</w:t>
      </w:r>
      <w:r w:rsidR="00405367" w:rsidRPr="00CE23A4">
        <w:rPr>
          <w:rFonts w:ascii="Book Antiqua" w:hAnsi="Book Antiqua"/>
          <w:sz w:val="24"/>
          <w:szCs w:val="24"/>
        </w:rPr>
        <w:t xml:space="preserve"> 2.3 and albumin less</w:t>
      </w:r>
      <w:r w:rsidR="008510CD" w:rsidRPr="00CE23A4">
        <w:rPr>
          <w:rFonts w:ascii="Book Antiqua" w:hAnsi="Book Antiqua"/>
          <w:sz w:val="24"/>
          <w:szCs w:val="24"/>
        </w:rPr>
        <w:t xml:space="preserve"> &lt;</w:t>
      </w:r>
      <w:r w:rsidR="00405367" w:rsidRPr="00CE23A4">
        <w:rPr>
          <w:rFonts w:ascii="Book Antiqua" w:hAnsi="Book Antiqua"/>
          <w:sz w:val="24"/>
          <w:szCs w:val="24"/>
        </w:rPr>
        <w:t xml:space="preserve"> 2.8 g/</w:t>
      </w:r>
      <w:proofErr w:type="spellStart"/>
      <w:r w:rsidR="00405367" w:rsidRPr="00CE23A4">
        <w:rPr>
          <w:rFonts w:ascii="Book Antiqua" w:hAnsi="Book Antiqua"/>
          <w:sz w:val="24"/>
          <w:szCs w:val="24"/>
        </w:rPr>
        <w:t>d</w:t>
      </w:r>
      <w:r w:rsidR="00405367" w:rsidRPr="00CE23A4">
        <w:rPr>
          <w:rFonts w:ascii="Book Antiqua" w:hAnsi="Book Antiqua"/>
          <w:caps/>
          <w:sz w:val="24"/>
          <w:szCs w:val="24"/>
        </w:rPr>
        <w:t>l</w:t>
      </w:r>
      <w:proofErr w:type="spellEnd"/>
      <w:r w:rsidRPr="00CE23A4">
        <w:rPr>
          <w:rFonts w:ascii="Book Antiqua" w:hAnsi="Book Antiqua"/>
          <w:sz w:val="24"/>
          <w:szCs w:val="24"/>
        </w:rPr>
        <w:t xml:space="preserve">. </w:t>
      </w:r>
      <w:r w:rsidR="008510CD" w:rsidRPr="00CE23A4">
        <w:rPr>
          <w:rFonts w:ascii="Book Antiqua" w:hAnsi="Book Antiqua"/>
          <w:sz w:val="24"/>
          <w:szCs w:val="24"/>
        </w:rPr>
        <w:t xml:space="preserve">Finally, the CTP score does </w:t>
      </w:r>
      <w:r w:rsidR="00F33D5F" w:rsidRPr="00CE23A4">
        <w:rPr>
          <w:rFonts w:ascii="Book Antiqua" w:hAnsi="Book Antiqua"/>
          <w:sz w:val="24"/>
          <w:szCs w:val="24"/>
        </w:rPr>
        <w:t xml:space="preserve">not include </w:t>
      </w:r>
      <w:r w:rsidR="00D26ED6" w:rsidRPr="00CE23A4">
        <w:rPr>
          <w:rFonts w:ascii="Book Antiqua" w:hAnsi="Book Antiqua"/>
          <w:sz w:val="24"/>
          <w:szCs w:val="24"/>
        </w:rPr>
        <w:t>creatinine for</w:t>
      </w:r>
      <w:r w:rsidR="00F33D5F" w:rsidRPr="00CE23A4">
        <w:rPr>
          <w:rFonts w:ascii="Book Antiqua" w:hAnsi="Book Antiqua"/>
          <w:sz w:val="24"/>
          <w:szCs w:val="24"/>
        </w:rPr>
        <w:t xml:space="preserve"> the </w:t>
      </w:r>
      <w:r w:rsidR="00D61955" w:rsidRPr="00CE23A4">
        <w:rPr>
          <w:rFonts w:ascii="Book Antiqua" w:hAnsi="Book Antiqua"/>
          <w:sz w:val="24"/>
          <w:szCs w:val="24"/>
        </w:rPr>
        <w:t>assessment of renal function, another major marker of the severity of the disease.</w:t>
      </w:r>
      <w:r w:rsidR="00F33D5F" w:rsidRPr="00CE23A4">
        <w:rPr>
          <w:rFonts w:ascii="Book Antiqua" w:hAnsi="Book Antiqua"/>
          <w:sz w:val="24"/>
          <w:szCs w:val="24"/>
        </w:rPr>
        <w:t xml:space="preserve"> </w:t>
      </w:r>
    </w:p>
    <w:p w14:paraId="6853A51D" w14:textId="2F4B97BB" w:rsidR="00E62E9A" w:rsidRPr="00CE23A4" w:rsidRDefault="00655EAD" w:rsidP="0087404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 xml:space="preserve">The MELD score </w:t>
      </w:r>
      <w:r w:rsidR="00D61955" w:rsidRPr="00CE23A4">
        <w:rPr>
          <w:rFonts w:ascii="Book Antiqua" w:hAnsi="Book Antiqua"/>
          <w:sz w:val="24"/>
          <w:szCs w:val="24"/>
        </w:rPr>
        <w:t xml:space="preserve">has been criticized for several different </w:t>
      </w:r>
      <w:proofErr w:type="gramStart"/>
      <w:r w:rsidR="00D61955" w:rsidRPr="00CE23A4">
        <w:rPr>
          <w:rFonts w:ascii="Book Antiqua" w:hAnsi="Book Antiqua"/>
          <w:sz w:val="24"/>
          <w:szCs w:val="24"/>
        </w:rPr>
        <w:t>reasons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hAnsi="Book Antiqua"/>
          <w:sz w:val="24"/>
          <w:szCs w:val="24"/>
          <w:vertAlign w:val="superscript"/>
        </w:rPr>
        <w:t>10</w:t>
      </w:r>
      <w:r w:rsidR="00874043" w:rsidRPr="00CE23A4">
        <w:rPr>
          <w:rFonts w:ascii="Book Antiqua" w:hAnsi="Book Antiqua" w:hint="eastAsia"/>
          <w:sz w:val="24"/>
          <w:szCs w:val="24"/>
          <w:vertAlign w:val="superscript"/>
          <w:lang w:eastAsia="zh-CN"/>
        </w:rPr>
        <w:t>-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13]</w:t>
      </w:r>
      <w:r w:rsidR="00D02FFD" w:rsidRPr="00CE23A4">
        <w:rPr>
          <w:rFonts w:ascii="Book Antiqua" w:hAnsi="Book Antiqua"/>
          <w:sz w:val="24"/>
          <w:szCs w:val="24"/>
        </w:rPr>
        <w:t xml:space="preserve">. </w:t>
      </w:r>
      <w:r w:rsidR="00D26ED6" w:rsidRPr="00CE23A4">
        <w:rPr>
          <w:rFonts w:ascii="Book Antiqua" w:hAnsi="Book Antiqua"/>
          <w:sz w:val="24"/>
          <w:szCs w:val="24"/>
        </w:rPr>
        <w:t xml:space="preserve">It </w:t>
      </w:r>
      <w:r w:rsidRPr="00CE23A4">
        <w:rPr>
          <w:rFonts w:ascii="Book Antiqua" w:hAnsi="Book Antiqua"/>
          <w:sz w:val="24"/>
          <w:szCs w:val="24"/>
        </w:rPr>
        <w:t>is vulnerable to variations in laboratory measurements</w:t>
      </w:r>
      <w:r w:rsidR="008510CD" w:rsidRPr="00CE23A4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8510CD" w:rsidRPr="00CE23A4">
        <w:rPr>
          <w:rFonts w:ascii="Book Antiqua" w:hAnsi="Book Antiqua"/>
          <w:sz w:val="24"/>
          <w:szCs w:val="24"/>
        </w:rPr>
        <w:t xml:space="preserve">and </w:t>
      </w:r>
      <w:r w:rsidRPr="00CE23A4">
        <w:rPr>
          <w:rFonts w:ascii="Book Antiqua" w:hAnsi="Book Antiqua"/>
          <w:sz w:val="24"/>
          <w:szCs w:val="24"/>
        </w:rPr>
        <w:t>does not include portal hypertensive complications (</w:t>
      </w:r>
      <w:r w:rsidRPr="00CE23A4">
        <w:rPr>
          <w:rFonts w:ascii="Book Antiqua" w:hAnsi="Book Antiqua"/>
          <w:i/>
          <w:sz w:val="24"/>
          <w:szCs w:val="24"/>
        </w:rPr>
        <w:t>e.g.</w:t>
      </w:r>
      <w:r w:rsidR="00453E4C">
        <w:rPr>
          <w:rFonts w:ascii="Book Antiqua" w:hAnsi="Book Antiqua" w:hint="eastAsia"/>
          <w:i/>
          <w:sz w:val="24"/>
          <w:szCs w:val="24"/>
          <w:lang w:eastAsia="zh-CN"/>
        </w:rPr>
        <w:t>,</w:t>
      </w:r>
      <w:r w:rsidRPr="00CE23A4">
        <w:rPr>
          <w:rFonts w:ascii="Book Antiqua" w:hAnsi="Book Antiqua"/>
          <w:sz w:val="24"/>
          <w:szCs w:val="24"/>
        </w:rPr>
        <w:t xml:space="preserve"> ascites, encephalopathy, variceal bleeding, and spontaneous bacterial peritonitis).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8510CD" w:rsidRPr="00CE23A4">
        <w:rPr>
          <w:rFonts w:ascii="Book Antiqua" w:hAnsi="Book Antiqua"/>
          <w:sz w:val="24"/>
          <w:szCs w:val="24"/>
        </w:rPr>
        <w:t xml:space="preserve">Again, it </w:t>
      </w:r>
      <w:r w:rsidR="00D02FFD" w:rsidRPr="00CE23A4">
        <w:rPr>
          <w:rFonts w:ascii="Book Antiqua" w:hAnsi="Book Antiqua"/>
          <w:sz w:val="24"/>
          <w:szCs w:val="24"/>
        </w:rPr>
        <w:t>suffers</w:t>
      </w:r>
      <w:r w:rsidR="008510CD" w:rsidRPr="00CE23A4">
        <w:rPr>
          <w:rFonts w:ascii="Book Antiqua" w:hAnsi="Book Antiqua"/>
          <w:sz w:val="24"/>
          <w:szCs w:val="24"/>
        </w:rPr>
        <w:t xml:space="preserve"> from a floor and ceiling effect: p</w:t>
      </w:r>
      <w:r w:rsidRPr="00CE23A4">
        <w:rPr>
          <w:rFonts w:ascii="Book Antiqua" w:hAnsi="Book Antiqua"/>
          <w:sz w:val="24"/>
          <w:szCs w:val="24"/>
        </w:rPr>
        <w:t xml:space="preserve">atients with the </w:t>
      </w:r>
      <w:r w:rsidRPr="00CE23A4">
        <w:rPr>
          <w:rFonts w:ascii="Book Antiqua" w:hAnsi="Book Antiqua"/>
          <w:sz w:val="24"/>
          <w:szCs w:val="24"/>
        </w:rPr>
        <w:lastRenderedPageBreak/>
        <w:t>combination of an INR of ≤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 xml:space="preserve">1, </w:t>
      </w:r>
      <w:proofErr w:type="spellStart"/>
      <w:r w:rsidRPr="00CE23A4">
        <w:rPr>
          <w:rFonts w:ascii="Book Antiqua" w:hAnsi="Book Antiqua"/>
          <w:sz w:val="24"/>
          <w:szCs w:val="24"/>
        </w:rPr>
        <w:t>creatinine</w:t>
      </w:r>
      <w:proofErr w:type="spellEnd"/>
      <w:r w:rsidRPr="00CE23A4">
        <w:rPr>
          <w:rFonts w:ascii="Book Antiqua" w:hAnsi="Book Antiqua"/>
          <w:sz w:val="24"/>
          <w:szCs w:val="24"/>
        </w:rPr>
        <w:t xml:space="preserve"> ≤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1 mg/</w:t>
      </w:r>
      <w:proofErr w:type="spellStart"/>
      <w:r w:rsidRPr="00CE23A4">
        <w:rPr>
          <w:rFonts w:ascii="Book Antiqua" w:hAnsi="Book Antiqua"/>
          <w:sz w:val="24"/>
          <w:szCs w:val="24"/>
        </w:rPr>
        <w:t>dL</w:t>
      </w:r>
      <w:proofErr w:type="spellEnd"/>
      <w:r w:rsidRPr="00CE23A4">
        <w:rPr>
          <w:rFonts w:ascii="Book Antiqua" w:hAnsi="Book Antiqua"/>
          <w:sz w:val="24"/>
          <w:szCs w:val="24"/>
        </w:rPr>
        <w:t>, and bilirubin ≤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1</w:t>
      </w:r>
      <w:r w:rsidR="00874043" w:rsidRPr="00CE23A4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mg/</w:t>
      </w:r>
      <w:proofErr w:type="spellStart"/>
      <w:r w:rsidRPr="00CE23A4">
        <w:rPr>
          <w:rFonts w:ascii="Book Antiqua" w:hAnsi="Book Antiqua"/>
          <w:sz w:val="24"/>
          <w:szCs w:val="24"/>
        </w:rPr>
        <w:t>dL</w:t>
      </w:r>
      <w:proofErr w:type="spellEnd"/>
      <w:r w:rsidRPr="00CE23A4">
        <w:rPr>
          <w:rFonts w:ascii="Book Antiqua" w:hAnsi="Book Antiqua"/>
          <w:sz w:val="24"/>
          <w:szCs w:val="24"/>
        </w:rPr>
        <w:t xml:space="preserve"> receive the </w:t>
      </w:r>
      <w:r w:rsidR="008510CD" w:rsidRPr="00CE23A4">
        <w:rPr>
          <w:rFonts w:ascii="Book Antiqua" w:hAnsi="Book Antiqua"/>
          <w:sz w:val="24"/>
          <w:szCs w:val="24"/>
        </w:rPr>
        <w:t xml:space="preserve">minimum score of 6 MELD points, while </w:t>
      </w:r>
      <w:r w:rsidRPr="00CE23A4">
        <w:rPr>
          <w:rFonts w:ascii="Book Antiqua" w:hAnsi="Book Antiqua"/>
          <w:sz w:val="24"/>
          <w:szCs w:val="24"/>
        </w:rPr>
        <w:t>UNOS set an upper limit for the MELD score at 40 points. Modifications of the MELD scoring</w:t>
      </w:r>
      <w:r w:rsidR="008510CD" w:rsidRPr="00CE23A4">
        <w:rPr>
          <w:rFonts w:ascii="Book Antiqua" w:hAnsi="Book Antiqua"/>
          <w:sz w:val="24"/>
          <w:szCs w:val="24"/>
        </w:rPr>
        <w:t xml:space="preserve"> system</w:t>
      </w:r>
      <w:r w:rsidRPr="00CE23A4">
        <w:rPr>
          <w:rFonts w:ascii="Book Antiqua" w:hAnsi="Book Antiqua"/>
          <w:sz w:val="24"/>
          <w:szCs w:val="24"/>
        </w:rPr>
        <w:t xml:space="preserve"> have been </w:t>
      </w:r>
      <w:r w:rsidR="008510CD" w:rsidRPr="00CE23A4">
        <w:rPr>
          <w:rFonts w:ascii="Book Antiqua" w:hAnsi="Book Antiqua"/>
          <w:sz w:val="24"/>
          <w:szCs w:val="24"/>
        </w:rPr>
        <w:t>implemented</w:t>
      </w:r>
      <w:r w:rsidRPr="00CE23A4">
        <w:rPr>
          <w:rFonts w:ascii="Book Antiqua" w:hAnsi="Book Antiqua"/>
          <w:sz w:val="24"/>
          <w:szCs w:val="24"/>
        </w:rPr>
        <w:t xml:space="preserve"> </w:t>
      </w:r>
      <w:r w:rsidR="0022116A" w:rsidRPr="00CE23A4">
        <w:rPr>
          <w:rFonts w:ascii="Book Antiqua" w:hAnsi="Book Antiqua"/>
          <w:sz w:val="24"/>
          <w:szCs w:val="24"/>
        </w:rPr>
        <w:t>by introducing</w:t>
      </w:r>
      <w:r w:rsidR="008510CD" w:rsidRPr="00CE23A4">
        <w:rPr>
          <w:rFonts w:ascii="Book Antiqua" w:hAnsi="Book Antiqua"/>
          <w:sz w:val="24"/>
          <w:szCs w:val="24"/>
        </w:rPr>
        <w:t xml:space="preserve"> the MELD sodium, by reweighting MELD components (</w:t>
      </w:r>
      <w:r w:rsidRPr="00CE23A4">
        <w:rPr>
          <w:rFonts w:ascii="Book Antiqua" w:hAnsi="Book Antiqua"/>
          <w:sz w:val="24"/>
          <w:szCs w:val="24"/>
        </w:rPr>
        <w:t>lower weights ascribed to serum creatinine and international normalized ratio (INR) and a higher weight to serum bilirubin</w:t>
      </w:r>
      <w:r w:rsidR="008510CD" w:rsidRPr="00CE23A4">
        <w:rPr>
          <w:rFonts w:ascii="Book Antiqua" w:hAnsi="Book Antiqua"/>
          <w:sz w:val="24"/>
          <w:szCs w:val="24"/>
        </w:rPr>
        <w:t>)</w:t>
      </w:r>
      <w:r w:rsidRPr="00CE23A4">
        <w:rPr>
          <w:rFonts w:ascii="Book Antiqua" w:hAnsi="Book Antiqua"/>
          <w:sz w:val="24"/>
          <w:szCs w:val="24"/>
        </w:rPr>
        <w:t xml:space="preserve">, </w:t>
      </w:r>
      <w:r w:rsidR="008510CD" w:rsidRPr="00CE23A4">
        <w:rPr>
          <w:rFonts w:ascii="Book Antiqua" w:hAnsi="Book Antiqua"/>
          <w:sz w:val="24"/>
          <w:szCs w:val="24"/>
        </w:rPr>
        <w:t xml:space="preserve">by </w:t>
      </w:r>
      <w:r w:rsidRPr="00CE23A4">
        <w:rPr>
          <w:rFonts w:ascii="Book Antiqua" w:hAnsi="Book Antiqua"/>
          <w:sz w:val="24"/>
          <w:szCs w:val="24"/>
        </w:rPr>
        <w:t xml:space="preserve">refitting MELD </w:t>
      </w:r>
      <w:r w:rsidR="008510CD" w:rsidRPr="00CE23A4">
        <w:rPr>
          <w:rFonts w:ascii="Book Antiqua" w:hAnsi="Book Antiqua"/>
          <w:sz w:val="24"/>
          <w:szCs w:val="24"/>
        </w:rPr>
        <w:t>(</w:t>
      </w:r>
      <w:r w:rsidRPr="00CE23A4">
        <w:rPr>
          <w:rFonts w:ascii="Book Antiqua" w:hAnsi="Book Antiqua"/>
          <w:sz w:val="24"/>
          <w:szCs w:val="24"/>
        </w:rPr>
        <w:t xml:space="preserve">by </w:t>
      </w:r>
      <w:r w:rsidR="0022116A" w:rsidRPr="00CE23A4">
        <w:rPr>
          <w:rFonts w:ascii="Book Antiqua" w:hAnsi="Book Antiqua"/>
          <w:sz w:val="24"/>
          <w:szCs w:val="24"/>
        </w:rPr>
        <w:t>implementing new</w:t>
      </w:r>
      <w:r w:rsidRPr="00CE23A4">
        <w:rPr>
          <w:rFonts w:ascii="Book Antiqua" w:hAnsi="Book Antiqua"/>
          <w:sz w:val="24"/>
          <w:szCs w:val="24"/>
        </w:rPr>
        <w:t xml:space="preserve"> upper and lower bounds for creatinine (0.8 and 3.0 mg/</w:t>
      </w:r>
      <w:proofErr w:type="spellStart"/>
      <w:r w:rsidRPr="00CE23A4">
        <w:rPr>
          <w:rFonts w:ascii="Book Antiqua" w:hAnsi="Book Antiqua"/>
          <w:sz w:val="24"/>
          <w:szCs w:val="24"/>
        </w:rPr>
        <w:t>dL</w:t>
      </w:r>
      <w:proofErr w:type="spellEnd"/>
      <w:r w:rsidRPr="00CE23A4">
        <w:rPr>
          <w:rFonts w:ascii="Book Antiqua" w:hAnsi="Book Antiqua"/>
          <w:sz w:val="24"/>
          <w:szCs w:val="24"/>
        </w:rPr>
        <w:t>, respectively) and for INR (1.0 and 3.0, respectively)</w:t>
      </w:r>
      <w:r w:rsidR="008510CD" w:rsidRPr="00CE23A4">
        <w:rPr>
          <w:rFonts w:ascii="Book Antiqua" w:hAnsi="Book Antiqua"/>
          <w:sz w:val="24"/>
          <w:szCs w:val="24"/>
        </w:rPr>
        <w:t>), and by dynamic changes in MELD scoring</w:t>
      </w:r>
      <w:r w:rsidRPr="00CE23A4">
        <w:rPr>
          <w:rFonts w:ascii="Book Antiqua" w:hAnsi="Book Antiqua"/>
          <w:sz w:val="24"/>
          <w:szCs w:val="24"/>
        </w:rPr>
        <w:t xml:space="preserve"> (Delta MELD).</w:t>
      </w:r>
    </w:p>
    <w:p w14:paraId="2344F9C6" w14:textId="3064CC1B" w:rsidR="00D535B3" w:rsidRPr="00CE23A4" w:rsidRDefault="00D26ED6" w:rsidP="0087404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The scoring</w:t>
      </w:r>
      <w:r w:rsidR="0022116A" w:rsidRPr="00CE23A4">
        <w:rPr>
          <w:rFonts w:ascii="Book Antiqua" w:hAnsi="Book Antiqua"/>
          <w:sz w:val="24"/>
          <w:szCs w:val="24"/>
        </w:rPr>
        <w:t xml:space="preserve"> systems use </w:t>
      </w:r>
      <w:r w:rsidR="00584EE2" w:rsidRPr="00CE23A4">
        <w:rPr>
          <w:rFonts w:ascii="Book Antiqua" w:hAnsi="Book Antiqua"/>
          <w:sz w:val="24"/>
          <w:szCs w:val="24"/>
        </w:rPr>
        <w:t>multiple</w:t>
      </w:r>
      <w:r w:rsidR="0022116A" w:rsidRPr="00CE23A4">
        <w:rPr>
          <w:rFonts w:ascii="Book Antiqua" w:hAnsi="Book Antiqua"/>
          <w:sz w:val="24"/>
          <w:szCs w:val="24"/>
        </w:rPr>
        <w:t xml:space="preserve"> clinical and laboratory parameters to evaluate liver reserves and predict outcome</w:t>
      </w:r>
      <w:r w:rsidR="00584EE2" w:rsidRPr="00CE23A4">
        <w:rPr>
          <w:rFonts w:ascii="Book Antiqua" w:hAnsi="Book Antiqua"/>
          <w:sz w:val="24"/>
          <w:szCs w:val="24"/>
        </w:rPr>
        <w:t>s</w:t>
      </w:r>
      <w:r w:rsidR="0022116A" w:rsidRPr="00CE23A4">
        <w:rPr>
          <w:rFonts w:ascii="Book Antiqua" w:hAnsi="Book Antiqua"/>
          <w:sz w:val="24"/>
          <w:szCs w:val="24"/>
        </w:rPr>
        <w:t>. In our study we assessed cholinesterase as a</w:t>
      </w:r>
      <w:r w:rsidR="00584EE2" w:rsidRPr="00CE23A4">
        <w:rPr>
          <w:rFonts w:ascii="Book Antiqua" w:hAnsi="Book Antiqua"/>
          <w:sz w:val="24"/>
          <w:szCs w:val="24"/>
        </w:rPr>
        <w:t>n independent</w:t>
      </w:r>
      <w:r w:rsidR="0022116A" w:rsidRPr="00CE23A4">
        <w:rPr>
          <w:rFonts w:ascii="Book Antiqua" w:hAnsi="Book Antiqua"/>
          <w:sz w:val="24"/>
          <w:szCs w:val="24"/>
        </w:rPr>
        <w:t xml:space="preserve"> test for liver function</w:t>
      </w:r>
      <w:r w:rsidR="00584EE2" w:rsidRPr="00CE23A4">
        <w:rPr>
          <w:rFonts w:ascii="Book Antiqua" w:hAnsi="Book Antiqua"/>
          <w:sz w:val="24"/>
          <w:szCs w:val="24"/>
        </w:rPr>
        <w:t xml:space="preserve"> and hepatic reserves. </w:t>
      </w:r>
    </w:p>
    <w:p w14:paraId="282EEC62" w14:textId="2082EE31" w:rsidR="00562781" w:rsidRPr="00CE23A4" w:rsidRDefault="00655EAD" w:rsidP="0087404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CE23A4">
        <w:rPr>
          <w:rFonts w:ascii="Book Antiqua" w:hAnsi="Book Antiqua"/>
          <w:sz w:val="24"/>
          <w:szCs w:val="24"/>
        </w:rPr>
        <w:t>Cholinesterase levels have been assessed to predict</w:t>
      </w:r>
      <w:r w:rsidR="00562781" w:rsidRPr="00CE23A4">
        <w:rPr>
          <w:rFonts w:ascii="Book Antiqua" w:hAnsi="Book Antiqua"/>
          <w:sz w:val="24"/>
          <w:szCs w:val="24"/>
        </w:rPr>
        <w:t xml:space="preserve"> survival in patien</w:t>
      </w:r>
      <w:r w:rsidR="00874043" w:rsidRPr="00CE23A4">
        <w:rPr>
          <w:rFonts w:ascii="Book Antiqua" w:hAnsi="Book Antiqua"/>
          <w:sz w:val="24"/>
          <w:szCs w:val="24"/>
        </w:rPr>
        <w:t xml:space="preserve">ts with Parenchymal </w:t>
      </w:r>
      <w:proofErr w:type="gramStart"/>
      <w:r w:rsidR="00874043" w:rsidRPr="00CE23A4">
        <w:rPr>
          <w:rFonts w:ascii="Book Antiqua" w:hAnsi="Book Antiqua"/>
          <w:sz w:val="24"/>
          <w:szCs w:val="24"/>
        </w:rPr>
        <w:t>cirrhosis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hAnsi="Book Antiqua"/>
          <w:sz w:val="24"/>
          <w:szCs w:val="24"/>
          <w:vertAlign w:val="superscript"/>
        </w:rPr>
        <w:t>14]</w:t>
      </w:r>
      <w:r w:rsidR="00D02FFD" w:rsidRPr="00CE23A4">
        <w:rPr>
          <w:rFonts w:ascii="Book Antiqua" w:hAnsi="Book Antiqua"/>
          <w:sz w:val="24"/>
          <w:szCs w:val="24"/>
        </w:rPr>
        <w:t xml:space="preserve">, </w:t>
      </w:r>
      <w:r w:rsidRPr="00CE23A4">
        <w:rPr>
          <w:rFonts w:ascii="Book Antiqua" w:hAnsi="Book Antiqua"/>
          <w:sz w:val="24"/>
          <w:szCs w:val="24"/>
        </w:rPr>
        <w:t>p</w:t>
      </w:r>
      <w:r w:rsidR="00584EE2" w:rsidRPr="00CE23A4">
        <w:rPr>
          <w:rFonts w:ascii="Book Antiqua" w:hAnsi="Book Antiqua"/>
          <w:sz w:val="24"/>
          <w:szCs w:val="24"/>
        </w:rPr>
        <w:t>redict</w:t>
      </w:r>
      <w:r w:rsidR="00562781" w:rsidRPr="00CE23A4">
        <w:rPr>
          <w:rFonts w:ascii="Book Antiqua" w:hAnsi="Book Antiqua"/>
          <w:sz w:val="24"/>
          <w:szCs w:val="24"/>
        </w:rPr>
        <w:t xml:space="preserve"> outcome in graft-versus-host disease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[15]</w:t>
      </w:r>
      <w:r w:rsidRPr="00CE23A4">
        <w:rPr>
          <w:rFonts w:ascii="Book Antiqua" w:hAnsi="Book Antiqua"/>
          <w:sz w:val="24"/>
          <w:szCs w:val="24"/>
        </w:rPr>
        <w:t xml:space="preserve">, </w:t>
      </w:r>
      <w:r w:rsidR="007A6B97" w:rsidRPr="00CE23A4">
        <w:rPr>
          <w:rFonts w:ascii="Book Antiqua" w:hAnsi="Book Antiqua"/>
          <w:sz w:val="24"/>
          <w:szCs w:val="24"/>
        </w:rPr>
        <w:t>distinguish between liver disease and non-liver disease abe</w:t>
      </w:r>
      <w:r w:rsidR="00874043" w:rsidRPr="00CE23A4">
        <w:rPr>
          <w:rFonts w:ascii="Book Antiqua" w:hAnsi="Book Antiqua"/>
          <w:sz w:val="24"/>
          <w:szCs w:val="24"/>
        </w:rPr>
        <w:t>rration in liver function tests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[16]</w:t>
      </w:r>
      <w:r w:rsidR="00D02FFD" w:rsidRPr="00CE23A4">
        <w:rPr>
          <w:rFonts w:ascii="Book Antiqua" w:hAnsi="Book Antiqua"/>
          <w:sz w:val="24"/>
          <w:szCs w:val="24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and d</w:t>
      </w:r>
      <w:r w:rsidR="00CB1BBC" w:rsidRPr="00CE23A4">
        <w:rPr>
          <w:rFonts w:ascii="Book Antiqua" w:hAnsi="Book Antiqua"/>
          <w:sz w:val="24"/>
          <w:szCs w:val="24"/>
        </w:rPr>
        <w:t>ifferentiate cirrhosis from non-</w:t>
      </w:r>
      <w:r w:rsidRPr="00CE23A4">
        <w:rPr>
          <w:rFonts w:ascii="Book Antiqua" w:hAnsi="Book Antiqua"/>
          <w:sz w:val="24"/>
          <w:szCs w:val="24"/>
        </w:rPr>
        <w:t>cirrhosis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[17]</w:t>
      </w:r>
      <w:r w:rsidR="00D02FFD" w:rsidRPr="00CE23A4">
        <w:rPr>
          <w:rFonts w:ascii="Book Antiqua" w:hAnsi="Book Antiqua"/>
          <w:sz w:val="24"/>
          <w:szCs w:val="24"/>
        </w:rPr>
        <w:t xml:space="preserve">. </w:t>
      </w:r>
      <w:r w:rsidR="00584EE2" w:rsidRPr="00CE23A4">
        <w:rPr>
          <w:rFonts w:ascii="Book Antiqua" w:hAnsi="Book Antiqua"/>
          <w:sz w:val="24"/>
          <w:szCs w:val="24"/>
        </w:rPr>
        <w:t>Serum cholinesterase levels have also been</w:t>
      </w:r>
      <w:r w:rsidRPr="00CE23A4">
        <w:rPr>
          <w:rFonts w:ascii="Book Antiqua" w:hAnsi="Book Antiqua"/>
          <w:sz w:val="24"/>
          <w:szCs w:val="24"/>
        </w:rPr>
        <w:t xml:space="preserve"> found to c</w:t>
      </w:r>
      <w:r w:rsidR="00584EE2" w:rsidRPr="00CE23A4">
        <w:rPr>
          <w:rFonts w:ascii="Book Antiqua" w:hAnsi="Book Antiqua"/>
          <w:sz w:val="24"/>
          <w:szCs w:val="24"/>
        </w:rPr>
        <w:t>orrelate</w:t>
      </w:r>
      <w:r w:rsidR="00562781" w:rsidRPr="00CE23A4">
        <w:rPr>
          <w:rFonts w:ascii="Book Antiqua" w:hAnsi="Book Antiqua"/>
          <w:sz w:val="24"/>
          <w:szCs w:val="24"/>
        </w:rPr>
        <w:t xml:space="preserve"> with CTP </w:t>
      </w:r>
      <w:proofErr w:type="gramStart"/>
      <w:r w:rsidR="00562781" w:rsidRPr="00CE23A4">
        <w:rPr>
          <w:rFonts w:ascii="Book Antiqua" w:hAnsi="Book Antiqua"/>
          <w:sz w:val="24"/>
          <w:szCs w:val="24"/>
        </w:rPr>
        <w:t>Class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hAnsi="Book Antiqua"/>
          <w:sz w:val="24"/>
          <w:szCs w:val="24"/>
          <w:vertAlign w:val="superscript"/>
        </w:rPr>
        <w:t>18</w:t>
      </w:r>
      <w:r w:rsidR="00F61C3A" w:rsidRPr="00CE23A4">
        <w:rPr>
          <w:rFonts w:ascii="Book Antiqua" w:hAnsi="Book Antiqua"/>
          <w:sz w:val="24"/>
          <w:szCs w:val="24"/>
          <w:vertAlign w:val="superscript"/>
        </w:rPr>
        <w:t>,19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]</w:t>
      </w:r>
      <w:r w:rsidR="00D02FFD" w:rsidRPr="00CE23A4">
        <w:rPr>
          <w:rFonts w:ascii="Book Antiqua" w:hAnsi="Book Antiqua"/>
          <w:sz w:val="24"/>
          <w:szCs w:val="24"/>
        </w:rPr>
        <w:t xml:space="preserve">. </w:t>
      </w:r>
      <w:r w:rsidR="00450E8C" w:rsidRPr="00CE23A4">
        <w:rPr>
          <w:rFonts w:ascii="Book Antiqua" w:hAnsi="Book Antiqua"/>
          <w:sz w:val="24"/>
          <w:szCs w:val="24"/>
        </w:rPr>
        <w:t>In addition, cholinesterase levels have been shown to recover with i</w:t>
      </w:r>
      <w:r w:rsidR="00874043" w:rsidRPr="00CE23A4">
        <w:rPr>
          <w:rFonts w:ascii="Book Antiqua" w:hAnsi="Book Antiqua"/>
          <w:sz w:val="24"/>
          <w:szCs w:val="24"/>
        </w:rPr>
        <w:t xml:space="preserve">mprovements in hepatic </w:t>
      </w:r>
      <w:proofErr w:type="gramStart"/>
      <w:r w:rsidR="00874043" w:rsidRPr="00CE23A4">
        <w:rPr>
          <w:rFonts w:ascii="Book Antiqua" w:hAnsi="Book Antiqua"/>
          <w:sz w:val="24"/>
          <w:szCs w:val="24"/>
        </w:rPr>
        <w:t>function</w:t>
      </w:r>
      <w:r w:rsidR="00F61C3A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61C3A" w:rsidRPr="00CE23A4">
        <w:rPr>
          <w:rFonts w:ascii="Book Antiqua" w:hAnsi="Book Antiqua"/>
          <w:sz w:val="24"/>
          <w:szCs w:val="24"/>
          <w:vertAlign w:val="superscript"/>
        </w:rPr>
        <w:t>20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]</w:t>
      </w:r>
      <w:r w:rsidR="00D02FFD" w:rsidRPr="00CE23A4">
        <w:rPr>
          <w:rFonts w:ascii="Book Antiqua" w:hAnsi="Book Antiqua"/>
          <w:sz w:val="24"/>
          <w:szCs w:val="24"/>
        </w:rPr>
        <w:t xml:space="preserve"> </w:t>
      </w:r>
      <w:r w:rsidR="00450E8C" w:rsidRPr="00CE23A4">
        <w:rPr>
          <w:rFonts w:ascii="Book Antiqua" w:hAnsi="Book Antiqua"/>
          <w:sz w:val="24"/>
          <w:szCs w:val="24"/>
        </w:rPr>
        <w:t xml:space="preserve">at a rate exceeding recovery </w:t>
      </w:r>
      <w:r w:rsidR="00874043" w:rsidRPr="00CE23A4">
        <w:rPr>
          <w:rFonts w:ascii="Book Antiqua" w:hAnsi="Book Antiqua"/>
          <w:sz w:val="24"/>
          <w:szCs w:val="24"/>
        </w:rPr>
        <w:t>from organophosphate poisoning.</w:t>
      </w:r>
    </w:p>
    <w:p w14:paraId="2B2F4212" w14:textId="49977AC2" w:rsidR="003F058B" w:rsidRPr="00CE23A4" w:rsidRDefault="00450E8C" w:rsidP="0087404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Our study showed that cholinesterase levels could be use</w:t>
      </w:r>
      <w:r w:rsidR="006D555A" w:rsidRPr="00CE23A4">
        <w:rPr>
          <w:rFonts w:ascii="Book Antiqua" w:hAnsi="Book Antiqua"/>
          <w:sz w:val="24"/>
          <w:szCs w:val="24"/>
        </w:rPr>
        <w:t>d</w:t>
      </w:r>
      <w:r w:rsidRPr="00CE23A4">
        <w:rPr>
          <w:rFonts w:ascii="Book Antiqua" w:hAnsi="Book Antiqua"/>
          <w:sz w:val="24"/>
          <w:szCs w:val="24"/>
        </w:rPr>
        <w:t xml:space="preserve"> in conjunction with existing scoring systems as a prognostic marker of hepatic reserves. </w:t>
      </w:r>
      <w:r w:rsidR="00584EE2" w:rsidRPr="00CE23A4">
        <w:rPr>
          <w:rFonts w:ascii="Book Antiqua" w:hAnsi="Book Antiqua"/>
          <w:sz w:val="24"/>
          <w:szCs w:val="24"/>
        </w:rPr>
        <w:t xml:space="preserve">However, </w:t>
      </w:r>
      <w:r w:rsidR="00655EAD" w:rsidRPr="00CE23A4">
        <w:rPr>
          <w:rFonts w:ascii="Book Antiqua" w:hAnsi="Book Antiqua"/>
          <w:sz w:val="24"/>
          <w:szCs w:val="24"/>
        </w:rPr>
        <w:t xml:space="preserve">serum cholinesterase levels </w:t>
      </w:r>
      <w:r w:rsidR="000543CA" w:rsidRPr="00CE23A4">
        <w:rPr>
          <w:rFonts w:ascii="Book Antiqua" w:hAnsi="Book Antiqua"/>
          <w:sz w:val="24"/>
          <w:szCs w:val="24"/>
        </w:rPr>
        <w:t xml:space="preserve">may be </w:t>
      </w:r>
      <w:r w:rsidR="00655EAD" w:rsidRPr="00CE23A4">
        <w:rPr>
          <w:rFonts w:ascii="Book Antiqua" w:hAnsi="Book Antiqua"/>
          <w:sz w:val="24"/>
          <w:szCs w:val="24"/>
        </w:rPr>
        <w:t xml:space="preserve">affected by </w:t>
      </w:r>
      <w:r w:rsidR="00983BF7" w:rsidRPr="00CE23A4">
        <w:rPr>
          <w:rFonts w:ascii="Book Antiqua" w:hAnsi="Book Antiqua"/>
          <w:sz w:val="24"/>
          <w:szCs w:val="24"/>
        </w:rPr>
        <w:t xml:space="preserve">gender, </w:t>
      </w:r>
      <w:r w:rsidR="00584EE2" w:rsidRPr="00CE23A4">
        <w:rPr>
          <w:rFonts w:ascii="Book Antiqua" w:hAnsi="Book Antiqua"/>
          <w:sz w:val="24"/>
          <w:szCs w:val="24"/>
        </w:rPr>
        <w:t>nutritional</w:t>
      </w:r>
      <w:r w:rsidR="00983BF7" w:rsidRPr="00CE23A4">
        <w:rPr>
          <w:rFonts w:ascii="Book Antiqua" w:hAnsi="Book Antiqua"/>
          <w:sz w:val="24"/>
          <w:szCs w:val="24"/>
        </w:rPr>
        <w:t xml:space="preserve"> status and </w:t>
      </w:r>
      <w:proofErr w:type="gramStart"/>
      <w:r w:rsidR="00655EAD" w:rsidRPr="00CE23A4">
        <w:rPr>
          <w:rFonts w:ascii="Book Antiqua" w:hAnsi="Book Antiqua"/>
          <w:sz w:val="24"/>
          <w:szCs w:val="24"/>
        </w:rPr>
        <w:t>carcinomas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D02FFD" w:rsidRPr="00CE23A4">
        <w:rPr>
          <w:rFonts w:ascii="Book Antiqua" w:hAnsi="Book Antiqua"/>
          <w:sz w:val="24"/>
          <w:szCs w:val="24"/>
          <w:vertAlign w:val="superscript"/>
        </w:rPr>
        <w:t>6]</w:t>
      </w:r>
      <w:r w:rsidR="00D02FFD" w:rsidRPr="00CE23A4">
        <w:rPr>
          <w:rFonts w:ascii="Book Antiqua" w:hAnsi="Book Antiqua"/>
          <w:sz w:val="24"/>
          <w:szCs w:val="24"/>
        </w:rPr>
        <w:t>.</w:t>
      </w:r>
      <w:r w:rsidR="00655EAD" w:rsidRPr="00CE23A4">
        <w:rPr>
          <w:rFonts w:ascii="Book Antiqua" w:hAnsi="Book Antiqua"/>
          <w:sz w:val="24"/>
          <w:szCs w:val="24"/>
        </w:rPr>
        <w:t xml:space="preserve"> We did not find any differences related to gender</w:t>
      </w:r>
      <w:r w:rsidR="00983BF7" w:rsidRPr="00CE23A4">
        <w:rPr>
          <w:rFonts w:ascii="Book Antiqua" w:hAnsi="Book Antiqua"/>
          <w:sz w:val="24"/>
          <w:szCs w:val="24"/>
        </w:rPr>
        <w:t xml:space="preserve"> and body mass index</w:t>
      </w:r>
      <w:r w:rsidR="00983BF7" w:rsidRPr="00CE23A4">
        <w:rPr>
          <w:rFonts w:ascii="Book Antiqua" w:hAnsi="Book Antiqua"/>
          <w:b/>
          <w:sz w:val="24"/>
          <w:szCs w:val="24"/>
        </w:rPr>
        <w:t>.</w:t>
      </w:r>
      <w:r w:rsidR="00983BF7" w:rsidRPr="00CE23A4">
        <w:rPr>
          <w:rFonts w:ascii="Book Antiqua" w:hAnsi="Book Antiqua"/>
          <w:sz w:val="24"/>
          <w:szCs w:val="24"/>
        </w:rPr>
        <w:t xml:space="preserve"> None of our patients had malignancy</w:t>
      </w:r>
      <w:r w:rsidR="00584EE2" w:rsidRPr="00CE23A4">
        <w:rPr>
          <w:rFonts w:ascii="Book Antiqua" w:hAnsi="Book Antiqua"/>
          <w:sz w:val="24"/>
          <w:szCs w:val="24"/>
        </w:rPr>
        <w:t xml:space="preserve"> while</w:t>
      </w:r>
      <w:r w:rsidR="00655EAD" w:rsidRPr="00CE23A4">
        <w:rPr>
          <w:rFonts w:ascii="Book Antiqua" w:hAnsi="Book Antiqua"/>
          <w:sz w:val="24"/>
          <w:szCs w:val="24"/>
        </w:rPr>
        <w:t xml:space="preserve"> </w:t>
      </w:r>
      <w:r w:rsidR="00584EE2" w:rsidRPr="00CE23A4">
        <w:rPr>
          <w:rFonts w:ascii="Book Antiqua" w:hAnsi="Book Antiqua"/>
          <w:sz w:val="24"/>
          <w:szCs w:val="24"/>
        </w:rPr>
        <w:t>a</w:t>
      </w:r>
      <w:r w:rsidR="00D535B3" w:rsidRPr="00CE23A4">
        <w:rPr>
          <w:rFonts w:ascii="Book Antiqua" w:hAnsi="Book Antiqua"/>
          <w:sz w:val="24"/>
          <w:szCs w:val="24"/>
        </w:rPr>
        <w:t xml:space="preserve">ll </w:t>
      </w:r>
      <w:r w:rsidR="00584EE2" w:rsidRPr="00CE23A4">
        <w:rPr>
          <w:rFonts w:ascii="Book Antiqua" w:hAnsi="Book Antiqua"/>
          <w:sz w:val="24"/>
          <w:szCs w:val="24"/>
        </w:rPr>
        <w:t>of the patients included in this study</w:t>
      </w:r>
      <w:r w:rsidR="00D535B3" w:rsidRPr="00CE23A4">
        <w:rPr>
          <w:rFonts w:ascii="Book Antiqua" w:hAnsi="Book Antiqua"/>
          <w:sz w:val="24"/>
          <w:szCs w:val="24"/>
        </w:rPr>
        <w:t xml:space="preserve"> were suffering from </w:t>
      </w:r>
      <w:r w:rsidR="002941FB" w:rsidRPr="00CE23A4">
        <w:rPr>
          <w:rFonts w:ascii="Book Antiqua" w:hAnsi="Book Antiqua"/>
          <w:sz w:val="24"/>
          <w:szCs w:val="24"/>
        </w:rPr>
        <w:t>cirrhosis related to hepatitis D</w:t>
      </w:r>
      <w:r w:rsidR="00D535B3" w:rsidRPr="00CE23A4">
        <w:rPr>
          <w:rFonts w:ascii="Book Antiqua" w:hAnsi="Book Antiqua"/>
          <w:sz w:val="24"/>
          <w:szCs w:val="24"/>
        </w:rPr>
        <w:t xml:space="preserve">. So differences in the etiology of the liver disease could not affect the </w:t>
      </w:r>
      <w:r w:rsidR="00584EE2" w:rsidRPr="00CE23A4">
        <w:rPr>
          <w:rFonts w:ascii="Book Antiqua" w:hAnsi="Book Antiqua"/>
          <w:sz w:val="24"/>
          <w:szCs w:val="24"/>
        </w:rPr>
        <w:t xml:space="preserve">results of </w:t>
      </w:r>
      <w:r w:rsidR="000543CA" w:rsidRPr="00CE23A4">
        <w:rPr>
          <w:rFonts w:ascii="Book Antiqua" w:hAnsi="Book Antiqua"/>
          <w:sz w:val="24"/>
          <w:szCs w:val="24"/>
        </w:rPr>
        <w:t>this</w:t>
      </w:r>
      <w:r w:rsidR="00584EE2" w:rsidRPr="00CE23A4">
        <w:rPr>
          <w:rFonts w:ascii="Book Antiqua" w:hAnsi="Book Antiqua"/>
          <w:sz w:val="24"/>
          <w:szCs w:val="24"/>
        </w:rPr>
        <w:t xml:space="preserve"> study</w:t>
      </w:r>
      <w:r w:rsidR="002941FB" w:rsidRPr="00CE23A4">
        <w:rPr>
          <w:rFonts w:ascii="Book Antiqua" w:hAnsi="Book Antiqua"/>
          <w:sz w:val="24"/>
          <w:szCs w:val="24"/>
        </w:rPr>
        <w:t>. T</w:t>
      </w:r>
      <w:r w:rsidRPr="00CE23A4">
        <w:rPr>
          <w:rFonts w:ascii="Book Antiqua" w:hAnsi="Book Antiqua"/>
          <w:sz w:val="24"/>
          <w:szCs w:val="24"/>
        </w:rPr>
        <w:t xml:space="preserve">he prevalence of inherited atypical cholinesterase has been reported to be low in multiple </w:t>
      </w:r>
      <w:proofErr w:type="gramStart"/>
      <w:r w:rsidRPr="00CE23A4">
        <w:rPr>
          <w:rFonts w:ascii="Book Antiqua" w:hAnsi="Book Antiqua"/>
          <w:sz w:val="24"/>
          <w:szCs w:val="24"/>
        </w:rPr>
        <w:t>studies</w:t>
      </w:r>
      <w:r w:rsidR="00F61C3A" w:rsidRPr="00CE23A4">
        <w:rPr>
          <w:rFonts w:ascii="Book Antiqua" w:hAnsi="Book Antiqua"/>
          <w:sz w:val="24"/>
          <w:szCs w:val="24"/>
          <w:vertAlign w:val="superscript"/>
        </w:rPr>
        <w:t>[</w:t>
      </w:r>
      <w:proofErr w:type="gramEnd"/>
      <w:r w:rsidR="00F61C3A" w:rsidRPr="00CE23A4">
        <w:rPr>
          <w:rFonts w:ascii="Book Antiqua" w:hAnsi="Book Antiqua"/>
          <w:sz w:val="24"/>
          <w:szCs w:val="24"/>
          <w:vertAlign w:val="superscript"/>
        </w:rPr>
        <w:t>21</w:t>
      </w:r>
      <w:r w:rsidR="00D02FFD" w:rsidRPr="00CE23A4">
        <w:rPr>
          <w:rFonts w:ascii="Book Antiqua" w:hAnsi="Book Antiqua"/>
          <w:sz w:val="24"/>
          <w:szCs w:val="24"/>
          <w:vertAlign w:val="superscript"/>
        </w:rPr>
        <w:t>]</w:t>
      </w:r>
      <w:r w:rsidRPr="00CE23A4">
        <w:rPr>
          <w:rFonts w:ascii="Book Antiqua" w:hAnsi="Book Antiqua"/>
          <w:sz w:val="24"/>
          <w:szCs w:val="24"/>
        </w:rPr>
        <w:t xml:space="preserve">. </w:t>
      </w:r>
      <w:r w:rsidR="002941FB" w:rsidRPr="00CE23A4">
        <w:rPr>
          <w:rFonts w:ascii="Book Antiqua" w:hAnsi="Book Antiqua"/>
          <w:sz w:val="24"/>
          <w:szCs w:val="24"/>
        </w:rPr>
        <w:t>So any genetic variations a</w:t>
      </w:r>
      <w:r w:rsidR="001A54EB">
        <w:rPr>
          <w:rFonts w:ascii="Book Antiqua" w:hAnsi="Book Antiqua"/>
          <w:sz w:val="24"/>
          <w:szCs w:val="24"/>
        </w:rPr>
        <w:t>r</w:t>
      </w:r>
      <w:bookmarkStart w:id="40" w:name="_GoBack"/>
      <w:bookmarkEnd w:id="40"/>
      <w:r w:rsidR="002941FB" w:rsidRPr="00CE23A4">
        <w:rPr>
          <w:rFonts w:ascii="Book Antiqua" w:hAnsi="Book Antiqua"/>
          <w:sz w:val="24"/>
          <w:szCs w:val="24"/>
        </w:rPr>
        <w:t>e less likely to influence the results of this study.</w:t>
      </w:r>
    </w:p>
    <w:p w14:paraId="4F06778B" w14:textId="6B5CDCA9" w:rsidR="00D476C3" w:rsidRPr="00CE23A4" w:rsidRDefault="00D535B3" w:rsidP="00874043">
      <w:pPr>
        <w:snapToGri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>In conclusion,</w:t>
      </w:r>
      <w:r w:rsidR="00655EAD" w:rsidRPr="00CE23A4">
        <w:rPr>
          <w:rFonts w:ascii="Book Antiqua" w:hAnsi="Book Antiqua"/>
          <w:sz w:val="24"/>
          <w:szCs w:val="24"/>
        </w:rPr>
        <w:t xml:space="preserve"> serum cholinesterase is an excellent biomarker of the synthetic</w:t>
      </w:r>
      <w:r w:rsidR="00D26ED6" w:rsidRPr="00CE23A4">
        <w:rPr>
          <w:rFonts w:ascii="Book Antiqua" w:hAnsi="Book Antiqua"/>
          <w:sz w:val="24"/>
          <w:szCs w:val="24"/>
        </w:rPr>
        <w:t xml:space="preserve"> function of liver in CLD with h</w:t>
      </w:r>
      <w:r w:rsidR="00655EAD" w:rsidRPr="00CE23A4">
        <w:rPr>
          <w:rFonts w:ascii="Book Antiqua" w:hAnsi="Book Antiqua"/>
          <w:sz w:val="24"/>
          <w:szCs w:val="24"/>
        </w:rPr>
        <w:t>ep</w:t>
      </w:r>
      <w:r w:rsidR="00D26ED6" w:rsidRPr="00CE23A4">
        <w:rPr>
          <w:rFonts w:ascii="Book Antiqua" w:hAnsi="Book Antiqua"/>
          <w:sz w:val="24"/>
          <w:szCs w:val="24"/>
        </w:rPr>
        <w:t>atitis</w:t>
      </w:r>
      <w:r w:rsidR="00655EAD" w:rsidRPr="00CE23A4">
        <w:rPr>
          <w:rFonts w:ascii="Book Antiqua" w:hAnsi="Book Antiqua"/>
          <w:sz w:val="24"/>
          <w:szCs w:val="24"/>
        </w:rPr>
        <w:t xml:space="preserve"> D. Cholinesterase levels should be routinely checked to assess liver function </w:t>
      </w:r>
      <w:r w:rsidR="00566D5D" w:rsidRPr="00CE23A4">
        <w:rPr>
          <w:rFonts w:ascii="Book Antiqua" w:hAnsi="Book Antiqua"/>
          <w:sz w:val="24"/>
          <w:szCs w:val="24"/>
        </w:rPr>
        <w:t>and</w:t>
      </w:r>
      <w:r w:rsidR="00655EAD" w:rsidRPr="00CE23A4">
        <w:rPr>
          <w:rFonts w:ascii="Book Antiqua" w:hAnsi="Book Antiqua"/>
          <w:sz w:val="24"/>
          <w:szCs w:val="24"/>
        </w:rPr>
        <w:t xml:space="preserve"> may be incorporated in MELD scoring. It can be effectively </w:t>
      </w:r>
      <w:r w:rsidR="00655EAD" w:rsidRPr="00CE23A4">
        <w:rPr>
          <w:rFonts w:ascii="Book Antiqua" w:hAnsi="Book Antiqua"/>
          <w:sz w:val="24"/>
          <w:szCs w:val="24"/>
        </w:rPr>
        <w:lastRenderedPageBreak/>
        <w:t>used to follow the staging of liver disease in hepatitis D. Our results should be validated in o</w:t>
      </w:r>
      <w:r w:rsidR="00566D5D" w:rsidRPr="00CE23A4">
        <w:rPr>
          <w:rFonts w:ascii="Book Antiqua" w:hAnsi="Book Antiqua"/>
          <w:sz w:val="24"/>
          <w:szCs w:val="24"/>
        </w:rPr>
        <w:t xml:space="preserve">ther cohorts and etiologies of </w:t>
      </w:r>
      <w:r w:rsidR="00655EAD" w:rsidRPr="00CE23A4">
        <w:rPr>
          <w:rFonts w:ascii="Book Antiqua" w:hAnsi="Book Antiqua"/>
          <w:sz w:val="24"/>
          <w:szCs w:val="24"/>
        </w:rPr>
        <w:t>CLD</w:t>
      </w:r>
      <w:r w:rsidR="00566D5D" w:rsidRPr="00CE23A4">
        <w:rPr>
          <w:rFonts w:ascii="Book Antiqua" w:hAnsi="Book Antiqua"/>
          <w:sz w:val="24"/>
          <w:szCs w:val="24"/>
        </w:rPr>
        <w:t>.</w:t>
      </w:r>
    </w:p>
    <w:p w14:paraId="693DE570" w14:textId="77777777" w:rsidR="00F016CA" w:rsidRPr="00CE23A4" w:rsidRDefault="00F016CA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DAC3EB8" w14:textId="77777777" w:rsidR="009C3945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/>
          <w:b/>
        </w:rPr>
      </w:pPr>
      <w:bookmarkStart w:id="41" w:name="OLE_LINK677"/>
      <w:bookmarkStart w:id="42" w:name="OLE_LINK678"/>
      <w:bookmarkStart w:id="43" w:name="OLE_LINK733"/>
      <w:bookmarkStart w:id="44" w:name="OLE_LINK861"/>
      <w:bookmarkStart w:id="45" w:name="OLE_LINK937"/>
      <w:bookmarkStart w:id="46" w:name="OLE_LINK961"/>
      <w:bookmarkStart w:id="47" w:name="OLE_LINK990"/>
      <w:bookmarkStart w:id="48" w:name="OLE_LINK1069"/>
      <w:bookmarkStart w:id="49" w:name="OLE_LINK1096"/>
      <w:bookmarkStart w:id="50" w:name="OLE_LINK1097"/>
      <w:bookmarkStart w:id="51" w:name="OLE_LINK399"/>
      <w:bookmarkStart w:id="52" w:name="OLE_LINK546"/>
      <w:bookmarkStart w:id="53" w:name="OLE_LINK594"/>
      <w:bookmarkStart w:id="54" w:name="OLE_LINK621"/>
      <w:bookmarkStart w:id="55" w:name="OLE_LINK953"/>
      <w:bookmarkStart w:id="56" w:name="OLE_LINK1019"/>
      <w:bookmarkStart w:id="57" w:name="OLE_LINK610"/>
      <w:bookmarkStart w:id="58" w:name="OLE_LINK967"/>
      <w:r w:rsidRPr="00CE23A4">
        <w:rPr>
          <w:rFonts w:ascii="Book Antiqua" w:hAnsi="Book Antiqua" w:hint="eastAsia"/>
          <w:b/>
        </w:rPr>
        <w:t>COMMENTS</w:t>
      </w:r>
    </w:p>
    <w:p w14:paraId="31211543" w14:textId="77777777" w:rsidR="00064F43" w:rsidRPr="00CE23A4" w:rsidRDefault="009C3945" w:rsidP="009C394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/>
          <w:iCs/>
          <w:sz w:val="24"/>
          <w:szCs w:val="24"/>
          <w:lang w:eastAsia="zh-CN"/>
        </w:rPr>
      </w:pPr>
      <w:bookmarkStart w:id="59" w:name="OLE_LINK729"/>
      <w:bookmarkStart w:id="60" w:name="OLE_LINK730"/>
      <w:r w:rsidRPr="00CE23A4">
        <w:rPr>
          <w:rFonts w:ascii="Book Antiqua" w:hAnsi="Book Antiqua" w:cs="Book Antiqua"/>
          <w:b/>
          <w:i/>
          <w:iCs/>
          <w:sz w:val="24"/>
          <w:szCs w:val="24"/>
        </w:rPr>
        <w:t>Background</w:t>
      </w:r>
    </w:p>
    <w:p w14:paraId="43EED72F" w14:textId="5D3987E0" w:rsidR="009C3945" w:rsidRPr="00CE23A4" w:rsidRDefault="002941FB" w:rsidP="009C394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  <w:r w:rsidRPr="00CE23A4">
        <w:rPr>
          <w:rFonts w:ascii="Book Antiqua" w:hAnsi="Book Antiqua" w:cs="Book Antiqua"/>
          <w:iCs/>
          <w:sz w:val="24"/>
          <w:szCs w:val="24"/>
        </w:rPr>
        <w:t xml:space="preserve">Chronic hepatitis D is a severe disease with rapid progression of fibrosis leading to cirrhosis, </w:t>
      </w:r>
      <w:proofErr w:type="spellStart"/>
      <w:r w:rsidRPr="00CE23A4">
        <w:rPr>
          <w:rFonts w:ascii="Book Antiqua" w:hAnsi="Book Antiqua" w:cs="Book Antiqua"/>
          <w:iCs/>
          <w:sz w:val="24"/>
          <w:szCs w:val="24"/>
        </w:rPr>
        <w:t>decompensation</w:t>
      </w:r>
      <w:proofErr w:type="spellEnd"/>
      <w:r w:rsidRPr="00CE23A4">
        <w:rPr>
          <w:rFonts w:ascii="Book Antiqua" w:hAnsi="Book Antiqua" w:cs="Book Antiqua"/>
          <w:iCs/>
          <w:sz w:val="24"/>
          <w:szCs w:val="24"/>
        </w:rPr>
        <w:t xml:space="preserve"> and hepatocellular carcinoma. Commonly used liver synthetic function tests include serum albumin and PT INR. The objective of this study was to determine the performance of cholinesterase</w:t>
      </w:r>
      <w:r w:rsidR="001333C7" w:rsidRPr="00CE23A4">
        <w:rPr>
          <w:rFonts w:ascii="Book Antiqua" w:hAnsi="Book Antiqua" w:cs="Book Antiqua"/>
          <w:iCs/>
          <w:sz w:val="24"/>
          <w:szCs w:val="24"/>
        </w:rPr>
        <w:t xml:space="preserve"> levels</w:t>
      </w:r>
      <w:r w:rsidRPr="00CE23A4">
        <w:rPr>
          <w:rFonts w:ascii="Book Antiqua" w:hAnsi="Book Antiqua" w:cs="Book Antiqua"/>
          <w:iCs/>
          <w:sz w:val="24"/>
          <w:szCs w:val="24"/>
        </w:rPr>
        <w:t xml:space="preserve"> in predicting liver function compared to </w:t>
      </w:r>
      <w:r w:rsidR="001333C7" w:rsidRPr="00CE23A4">
        <w:rPr>
          <w:rFonts w:ascii="Book Antiqua" w:hAnsi="Book Antiqua" w:cs="Book Antiqua"/>
          <w:iCs/>
          <w:sz w:val="24"/>
          <w:szCs w:val="24"/>
        </w:rPr>
        <w:t xml:space="preserve">the </w:t>
      </w:r>
      <w:r w:rsidRPr="00CE23A4">
        <w:rPr>
          <w:rFonts w:ascii="Book Antiqua" w:hAnsi="Book Antiqua" w:cs="Book Antiqua"/>
          <w:iCs/>
          <w:sz w:val="24"/>
          <w:szCs w:val="24"/>
        </w:rPr>
        <w:t>existing scoring models in patients with hepatitis D and cirrhosis.</w:t>
      </w:r>
    </w:p>
    <w:p w14:paraId="3CC204B6" w14:textId="77777777" w:rsidR="009C3945" w:rsidRPr="00CE23A4" w:rsidRDefault="009C3945" w:rsidP="009C394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</w:rPr>
      </w:pPr>
    </w:p>
    <w:p w14:paraId="4489F80E" w14:textId="77777777" w:rsidR="00064F43" w:rsidRPr="00CE23A4" w:rsidRDefault="009C3945" w:rsidP="009C394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b/>
          <w:iCs/>
          <w:sz w:val="24"/>
          <w:szCs w:val="24"/>
          <w:lang w:eastAsia="zh-CN"/>
        </w:rPr>
      </w:pPr>
      <w:r w:rsidRPr="00CE23A4">
        <w:rPr>
          <w:rFonts w:ascii="Book Antiqua" w:hAnsi="Book Antiqua" w:cs="Book Antiqua"/>
          <w:b/>
          <w:i/>
          <w:iCs/>
          <w:sz w:val="24"/>
          <w:szCs w:val="24"/>
        </w:rPr>
        <w:t>Research frontiers</w:t>
      </w:r>
    </w:p>
    <w:p w14:paraId="7A3B7D66" w14:textId="13D7FAE4" w:rsidR="009C3945" w:rsidRPr="00CE23A4" w:rsidRDefault="00064F43" w:rsidP="009C394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  <w:r w:rsidRPr="00CE23A4">
        <w:rPr>
          <w:rFonts w:ascii="Book Antiqua" w:hAnsi="Book Antiqua" w:cs="Book Antiqua" w:hint="eastAsia"/>
          <w:iCs/>
          <w:sz w:val="24"/>
          <w:szCs w:val="24"/>
          <w:lang w:eastAsia="zh-CN"/>
        </w:rPr>
        <w:t xml:space="preserve">The authors </w:t>
      </w:r>
      <w:r w:rsidR="001333C7" w:rsidRPr="00CE23A4">
        <w:rPr>
          <w:rFonts w:ascii="Book Antiqua" w:hAnsi="Book Antiqua" w:cs="Book Antiqua"/>
          <w:iCs/>
          <w:sz w:val="24"/>
          <w:szCs w:val="24"/>
        </w:rPr>
        <w:t xml:space="preserve">defined optimal cholinesterase levels corresponding to the different stages and classes of the scoring systems </w:t>
      </w:r>
      <w:r w:rsidR="00391048" w:rsidRPr="00CE23A4">
        <w:rPr>
          <w:rFonts w:ascii="Book Antiqua" w:hAnsi="Book Antiqua" w:cs="Book Antiqua"/>
          <w:iCs/>
          <w:sz w:val="24"/>
          <w:szCs w:val="24"/>
        </w:rPr>
        <w:t>assessing</w:t>
      </w:r>
      <w:r w:rsidR="001333C7" w:rsidRPr="00CE23A4">
        <w:rPr>
          <w:rFonts w:ascii="Book Antiqua" w:hAnsi="Book Antiqua" w:cs="Book Antiqua"/>
          <w:iCs/>
          <w:sz w:val="24"/>
          <w:szCs w:val="24"/>
        </w:rPr>
        <w:t xml:space="preserve"> the severity of chronic liver disease</w:t>
      </w:r>
      <w:r w:rsidR="00391048" w:rsidRPr="00CE23A4">
        <w:rPr>
          <w:rFonts w:ascii="Book Antiqua" w:hAnsi="Book Antiqua" w:cs="Book Antiqua"/>
          <w:iCs/>
          <w:sz w:val="24"/>
          <w:szCs w:val="24"/>
        </w:rPr>
        <w:t>.</w:t>
      </w:r>
    </w:p>
    <w:p w14:paraId="5746B69A" w14:textId="77777777" w:rsidR="009C3945" w:rsidRPr="00CE23A4" w:rsidRDefault="009C3945" w:rsidP="009C3945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4E81E9AB" w14:textId="77777777" w:rsidR="00064F43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/>
        </w:rPr>
      </w:pPr>
      <w:r w:rsidRPr="00CE23A4">
        <w:rPr>
          <w:rFonts w:ascii="Book Antiqua" w:hAnsi="Book Antiqua" w:cs="Book Antiqua"/>
          <w:b/>
          <w:i/>
          <w:iCs/>
          <w:sz w:val="24"/>
          <w:szCs w:val="24"/>
        </w:rPr>
        <w:t>Innovations and breakthrough</w:t>
      </w:r>
    </w:p>
    <w:p w14:paraId="4ED81839" w14:textId="68EE2B79" w:rsidR="009C3945" w:rsidRPr="00CE23A4" w:rsidRDefault="00391048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 xml:space="preserve">Serum cholinesterase demonstrated promising correlations with serum albumin, INR and CTP, MELD, BEA and APRI scores. </w:t>
      </w:r>
    </w:p>
    <w:p w14:paraId="53261A39" w14:textId="77777777" w:rsidR="009C3945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sz w:val="24"/>
          <w:szCs w:val="24"/>
        </w:rPr>
      </w:pPr>
    </w:p>
    <w:p w14:paraId="5D1F8DC3" w14:textId="77777777" w:rsidR="00064F43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/>
        </w:rPr>
      </w:pPr>
      <w:r w:rsidRPr="00CE23A4">
        <w:rPr>
          <w:rFonts w:ascii="Book Antiqua" w:hAnsi="Book Antiqua" w:cs="Book Antiqua"/>
          <w:b/>
          <w:i/>
          <w:iCs/>
          <w:sz w:val="24"/>
          <w:szCs w:val="24"/>
        </w:rPr>
        <w:t>Applications</w:t>
      </w:r>
    </w:p>
    <w:p w14:paraId="77C8DC8A" w14:textId="31437391" w:rsidR="009C3945" w:rsidRPr="00CE23A4" w:rsidRDefault="00391048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t xml:space="preserve">Serum cholinesterase levels can be effectively used to monitor the staging of liver disease in hepatitis D. </w:t>
      </w:r>
      <w:r w:rsidR="00064F43" w:rsidRPr="00CE23A4">
        <w:rPr>
          <w:rFonts w:ascii="Book Antiqua" w:hAnsi="Book Antiqua" w:cs="Book Antiqua" w:hint="eastAsia"/>
          <w:iCs/>
          <w:sz w:val="24"/>
          <w:szCs w:val="24"/>
          <w:lang w:eastAsia="zh-CN"/>
        </w:rPr>
        <w:t xml:space="preserve">These </w:t>
      </w:r>
      <w:r w:rsidR="001333C7" w:rsidRPr="00CE23A4">
        <w:rPr>
          <w:rFonts w:ascii="Book Antiqua" w:hAnsi="Book Antiqua" w:cs="Book Antiqua"/>
          <w:iCs/>
          <w:sz w:val="24"/>
          <w:szCs w:val="24"/>
        </w:rPr>
        <w:t>results may be validated in other cohorts and etiologies of chronic liver disease</w:t>
      </w:r>
      <w:r w:rsidRPr="00CE23A4">
        <w:rPr>
          <w:rFonts w:ascii="Book Antiqua" w:hAnsi="Book Antiqua" w:cs="Book Antiqua"/>
          <w:iCs/>
          <w:sz w:val="24"/>
          <w:szCs w:val="24"/>
        </w:rPr>
        <w:t xml:space="preserve"> to predict the liver reserves.</w:t>
      </w:r>
    </w:p>
    <w:p w14:paraId="6FC1802F" w14:textId="77777777" w:rsidR="009C3945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</w:p>
    <w:p w14:paraId="1C74EC20" w14:textId="77777777" w:rsidR="00064F43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  <w:lang w:eastAsia="zh-CN"/>
        </w:rPr>
      </w:pPr>
      <w:r w:rsidRPr="00CE23A4">
        <w:rPr>
          <w:rFonts w:ascii="Book Antiqua" w:hAnsi="Book Antiqua" w:cs="Book Antiqua"/>
          <w:b/>
          <w:i/>
          <w:iCs/>
          <w:sz w:val="24"/>
          <w:szCs w:val="24"/>
        </w:rPr>
        <w:t>Terminology</w:t>
      </w:r>
    </w:p>
    <w:p w14:paraId="6D5F740C" w14:textId="4C934810" w:rsidR="009C3945" w:rsidRPr="00CE23A4" w:rsidRDefault="00391048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iCs/>
          <w:sz w:val="24"/>
          <w:szCs w:val="24"/>
        </w:rPr>
      </w:pPr>
      <w:r w:rsidRPr="00CE23A4">
        <w:rPr>
          <w:rFonts w:ascii="Book Antiqua" w:hAnsi="Book Antiqua" w:cs="Book Antiqua"/>
          <w:iCs/>
          <w:sz w:val="24"/>
          <w:szCs w:val="24"/>
        </w:rPr>
        <w:t xml:space="preserve">Serum </w:t>
      </w:r>
      <w:proofErr w:type="spellStart"/>
      <w:r w:rsidRPr="00CE23A4">
        <w:rPr>
          <w:rFonts w:ascii="Book Antiqua" w:hAnsi="Book Antiqua" w:cs="Book Antiqua"/>
          <w:iCs/>
          <w:sz w:val="24"/>
          <w:szCs w:val="24"/>
        </w:rPr>
        <w:t>butyrylcholinesterase</w:t>
      </w:r>
      <w:proofErr w:type="spellEnd"/>
      <w:r w:rsidRPr="00CE23A4">
        <w:rPr>
          <w:rFonts w:ascii="Book Antiqua" w:hAnsi="Book Antiqua" w:cs="Book Antiqua"/>
          <w:iCs/>
          <w:sz w:val="24"/>
          <w:szCs w:val="24"/>
        </w:rPr>
        <w:t>, commonly known as serum cholinesterase, is an enzyme synthesized by hepatocytes and has the half-life of eleven days</w:t>
      </w:r>
    </w:p>
    <w:p w14:paraId="01F3DCA3" w14:textId="77777777" w:rsidR="009C3945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Book Antiqua"/>
          <w:b/>
          <w:i/>
          <w:iCs/>
          <w:sz w:val="24"/>
          <w:szCs w:val="24"/>
        </w:rPr>
      </w:pPr>
    </w:p>
    <w:p w14:paraId="0363F877" w14:textId="77777777" w:rsidR="009C3945" w:rsidRPr="00CE23A4" w:rsidRDefault="009C3945" w:rsidP="009C3945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val="en-GB"/>
        </w:rPr>
      </w:pPr>
      <w:bookmarkStart w:id="61" w:name="OLE_LINK493"/>
      <w:bookmarkStart w:id="62" w:name="OLE_LINK494"/>
      <w:r w:rsidRPr="00CE23A4">
        <w:rPr>
          <w:rFonts w:ascii="Book Antiqua" w:hAnsi="Book Antiqua" w:cs="Book Antiqua" w:hint="eastAsia"/>
          <w:b/>
          <w:i/>
          <w:iCs/>
          <w:sz w:val="24"/>
          <w:szCs w:val="24"/>
        </w:rPr>
        <w:t>Peer-review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9"/>
      <w:bookmarkEnd w:id="60"/>
      <w:r w:rsidRPr="00CE23A4">
        <w:rPr>
          <w:rFonts w:ascii="Book Antiqua" w:hAnsi="Book Antiqua" w:cs="Times New Roman"/>
          <w:b/>
          <w:sz w:val="24"/>
          <w:szCs w:val="24"/>
          <w:lang w:val="en-GB"/>
        </w:rPr>
        <w:t xml:space="preserve"> </w:t>
      </w:r>
      <w:bookmarkEnd w:id="51"/>
      <w:bookmarkEnd w:id="52"/>
      <w:bookmarkEnd w:id="53"/>
      <w:bookmarkEnd w:id="54"/>
      <w:bookmarkEnd w:id="55"/>
      <w:bookmarkEnd w:id="56"/>
      <w:bookmarkEnd w:id="61"/>
      <w:bookmarkEnd w:id="62"/>
    </w:p>
    <w:bookmarkEnd w:id="57"/>
    <w:bookmarkEnd w:id="58"/>
    <w:p w14:paraId="2CA7794A" w14:textId="5DD2B51E" w:rsidR="00874043" w:rsidRPr="00CE23A4" w:rsidRDefault="009C3945" w:rsidP="009C3945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lastRenderedPageBreak/>
        <w:t>The authors investigated the role of cholinesterase levels as predictor of hepatic reserves in chronic hepatitis D patients. This retrospective study is generally well conducted and straightforward. The authors concluded that cholinesterase levels can be considered a biomarker of liver function in these patients.</w:t>
      </w:r>
    </w:p>
    <w:p w14:paraId="777B244D" w14:textId="4A2C8719" w:rsidR="009C3945" w:rsidRPr="00CE23A4" w:rsidRDefault="009C3945">
      <w:pPr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br w:type="page"/>
      </w:r>
    </w:p>
    <w:p w14:paraId="3B369B59" w14:textId="3DA2E13B" w:rsidR="00D476C3" w:rsidRPr="00CE23A4" w:rsidRDefault="001C2592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lastRenderedPageBreak/>
        <w:t>REFERENCES</w:t>
      </w:r>
    </w:p>
    <w:p w14:paraId="7C4FD21F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Franzetta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M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Raimondo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Giammanco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M, Di Trapani B,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Passariello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Sammartano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A, Di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Gesù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G. Prognostic factors of cirrhotic patients in extra-hepatic surgery.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Minerva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Chir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2003;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58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541-544 [PMID: 14603166]</w:t>
      </w:r>
    </w:p>
    <w:p w14:paraId="1D3CE0B5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2 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Freeman RB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Wiesner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RH, Harper A,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McDiarmid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SV, Lake J, Edwards E, Merion R, Wolfe R,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Turcotte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Teperman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L. The new liver allocation system: moving toward evidence-based transplantation policy.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2002;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8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851-858 [PMID: 12200791 DOI: 10.1053/jlts.2002.35927]</w:t>
      </w:r>
    </w:p>
    <w:p w14:paraId="43853361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3 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Lin ZH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Xin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YN, Dong QJ, Wang Q, Jiang XJ, Zhan SH, Sun Y,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Xuan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SY. Performance of the aspartate aminotransferase-to-platelet ratio index for the staging of hepatitis C-related fibrosis: an updated meta-analysis.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Hepatology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53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726-736 [PMID: 21319189 DOI: 10.1002/hep.24105]</w:t>
      </w:r>
    </w:p>
    <w:p w14:paraId="6810EFD8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4 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Calle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Serrano B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Großhennig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A, Homs M,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Heidrich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Erhardt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Deterding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K,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Jaroszewicz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J, Bremer B, Koch A,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Cornberg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Manns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MP,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Buti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Wedemeyer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H. Development and evaluation of a baseline-event-anticipation score for hepatitis delta.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Viral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Hepat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2014;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21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e154-e163 [PMID: 24673975 DOI: 10.1111/jvh.12251]</w:t>
      </w:r>
    </w:p>
    <w:p w14:paraId="6CCE28FA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5 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Ostergaard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Viby-Mogensen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Hanel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HK,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Skovgaard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LT. Half-life of plasma cholinesterase. 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Anaesthesiol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Scand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1988;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32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266-269 [PMID: 3364151]</w:t>
      </w:r>
    </w:p>
    <w:p w14:paraId="3C06F429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6 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Santarpia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Grandone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Contaldo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Pasanisi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F.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Butyrylcholinesterase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as a prognostic marker: a review of the literature.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Cachexia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Sarcopenia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Muscle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 2013;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31-39 [PMID: 22956442 DOI: 10.1007/s13539-012-0083-5]</w:t>
      </w:r>
    </w:p>
    <w:p w14:paraId="71D18D9A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7 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Abbas Z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Afzal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R. Life cycle and pathogenesis of hepatitis D virus: A review. 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World J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2013;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5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666-675 [PMID: 24409335 DOI: 10.4254/wjh.v5.i12.666]</w:t>
      </w:r>
    </w:p>
    <w:p w14:paraId="0F323C71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8 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Rej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. Aminotransferases in disease. 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Lab Med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 1989;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9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667-687 [PMID: 2686908]</w:t>
      </w:r>
    </w:p>
    <w:p w14:paraId="15457952" w14:textId="72AA8F66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9 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Durand F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Valla D. Assessment of the prognosis of cirrhosis: Child-Pugh versus MELD. 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2005;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42 </w:t>
      </w:r>
      <w:proofErr w:type="spellStart"/>
      <w:r w:rsidRPr="00453E4C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: S100-S107 [PMID: 15777564 DOI: 10.1016/j.jhep.2004.11.015]</w:t>
      </w:r>
    </w:p>
    <w:p w14:paraId="254BF018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10 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Trotter JF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Brimhall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Arjal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R, Phillips C. Specific laboratory methodologies achieve higher model for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endstage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liver disease (MELD) scores for patients listed for liver transplantation.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Liver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2004;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10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995-1000 [PMID: 15390325 DOI: 10.1002/lt.20195]</w:t>
      </w:r>
    </w:p>
    <w:p w14:paraId="6D46901F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lastRenderedPageBreak/>
        <w:t>11 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Gotthardt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Weiss KH,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Baumgärtner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M, Zahn A,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Stremmel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W, Schmidt J, Bruckner T, Sauer P. Limitations of the MELD score in predicting mortality or need for removal from waiting list in patients awaiting liver transplantation. 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BMC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2009;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9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72 [PMID: 19778459 DOI: 10.1186/1471-230X-9-72]</w:t>
      </w:r>
    </w:p>
    <w:p w14:paraId="4713F96F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CE23A4">
        <w:rPr>
          <w:rFonts w:ascii="Book Antiqua" w:hAnsi="Book Antiqua" w:cs="宋体"/>
          <w:sz w:val="24"/>
          <w:szCs w:val="24"/>
          <w:lang w:eastAsia="zh-CN"/>
        </w:rPr>
        <w:t>12 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Singal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AK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Kamath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PS. Model for End-stage Liver Disease.</w:t>
      </w:r>
      <w:proofErr w:type="gramEnd"/>
      <w:r w:rsidRPr="00CE23A4">
        <w:rPr>
          <w:rFonts w:ascii="Book Antiqua" w:hAnsi="Book Antiqua" w:cs="宋体"/>
          <w:sz w:val="24"/>
          <w:szCs w:val="24"/>
          <w:lang w:eastAsia="zh-CN"/>
        </w:rPr>
        <w:t>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Hepatol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2013;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3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50-60 [PMID: 25755471 DOI: 10.1016/j.jceh.2012.11.002]</w:t>
      </w:r>
    </w:p>
    <w:p w14:paraId="6455010C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CE23A4">
        <w:rPr>
          <w:rFonts w:ascii="Book Antiqua" w:hAnsi="Book Antiqua" w:cs="宋体"/>
          <w:sz w:val="24"/>
          <w:szCs w:val="24"/>
          <w:lang w:eastAsia="zh-CN"/>
        </w:rPr>
        <w:t>13 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Lau T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, Ahmad J. Clinical applications of the Model for End-Stage Liver Disease (MELD) in hepatic medicine.</w:t>
      </w:r>
      <w:proofErr w:type="gramEnd"/>
      <w:r w:rsidRPr="00CE23A4">
        <w:rPr>
          <w:rFonts w:ascii="Book Antiqua" w:hAnsi="Book Antiqua" w:cs="宋体"/>
          <w:sz w:val="24"/>
          <w:szCs w:val="24"/>
          <w:lang w:eastAsia="zh-CN"/>
        </w:rPr>
        <w:t> 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Hepat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Med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 2013;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5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1-10 [PMID: 24696621 DOI: 10.2147/HMER.S9049]</w:t>
      </w:r>
    </w:p>
    <w:p w14:paraId="2C160E84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14 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Garello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Battista S, Bar F,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Niro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GA,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Cappello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Rizzetto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M, Molino G. Evaluation of hepatic function in liver cirrhosis: clinical utility of galactose elimination capacity, hepatic clearance of D-sorbitol, and laboratory investigations.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Dig Dis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1999;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44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782-788 [PMID: 10219839]</w:t>
      </w:r>
    </w:p>
    <w:p w14:paraId="653799AB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15 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Bacigalupo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Oneto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R, Bruno B,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Lamparelli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Gualandi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Bregante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Raiola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AM, Di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Grazia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Dominietto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A, Lombardi A,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Frassoni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F, Van Lint MT. Serum cholinesterase is an early and sensitive marker of graft-versus host-disease (GVHD) and transplant-related mortality (TRM).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Bone Marrow Transplant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2001;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28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1041-1045 [PMID: 11781614 DOI: 10.1038/sj.bmt.1703281]</w:t>
      </w:r>
    </w:p>
    <w:p w14:paraId="210F2C69" w14:textId="6E960618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16 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Ogunkeye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OO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Roluga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AI. Serum cholinesterase activity helps to distinguish between liver disease and non-liver disease aberration in liver function tests. 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Pathophysiology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 2006;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13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91-93 [PMID: 16530396 DOI: 10.1016/j.pathophys.2006.01.002]</w:t>
      </w:r>
    </w:p>
    <w:p w14:paraId="5E277236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17 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Ramachandran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Sajith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KG,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Priya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Dutta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AK,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Balasubramanian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KA. Serum cholinesterase is an excellent biomarker of liver cirrhosis.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Trop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Gastroenterol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2014;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35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15-20 [PMID: 25276901]</w:t>
      </w:r>
    </w:p>
    <w:p w14:paraId="2A55790E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18 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Meng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F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Yin X, Ma X,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Guo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XD, Jin B, Li H. Assessment of the value of serum cholinesterase as a liver function test for cirrhotic patients. </w:t>
      </w:r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Biomed Rep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 2013;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1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265-268 [PMID: 24648933 DOI: 10.3892/br.2013.60]</w:t>
      </w:r>
    </w:p>
    <w:p w14:paraId="2C11D618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t>19 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Temel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HE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Temel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Cansu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DU,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Ozakyol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A.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Butrylcholinesterase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activity in chronic liver disease patients and correlation with Child-Pugh classification and MELD scoring system. 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Lab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 2015;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61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421-426 [PMID: 25975011]</w:t>
      </w:r>
    </w:p>
    <w:p w14:paraId="434F1F8D" w14:textId="77777777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CE23A4">
        <w:rPr>
          <w:rFonts w:ascii="Book Antiqua" w:hAnsi="Book Antiqua" w:cs="宋体"/>
          <w:sz w:val="24"/>
          <w:szCs w:val="24"/>
          <w:lang w:eastAsia="zh-CN"/>
        </w:rPr>
        <w:lastRenderedPageBreak/>
        <w:t>20 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Brown SS</w:t>
      </w:r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Kalow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W,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Pilz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W, Whittaker M,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Woronick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CL. The plasma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cholinesteerases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: a new perspective. 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Adv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Chem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> 1981;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22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1-123 [PMID: 7027759]</w:t>
      </w:r>
    </w:p>
    <w:p w14:paraId="4D7A2CFA" w14:textId="2C283241" w:rsidR="009C3945" w:rsidRPr="00CE23A4" w:rsidRDefault="009C3945" w:rsidP="009C3945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CE23A4">
        <w:rPr>
          <w:rFonts w:ascii="Book Antiqua" w:hAnsi="Book Antiqua" w:cs="宋体"/>
          <w:sz w:val="24"/>
          <w:szCs w:val="24"/>
          <w:lang w:eastAsia="zh-CN"/>
        </w:rPr>
        <w:t>21 </w:t>
      </w:r>
      <w:proofErr w:type="spellStart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Steegmüller</w:t>
      </w:r>
      <w:proofErr w:type="spellEnd"/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On the geographical distribution of </w:t>
      </w:r>
      <w:proofErr w:type="spellStart"/>
      <w:r w:rsidRPr="00CE23A4">
        <w:rPr>
          <w:rFonts w:ascii="Book Antiqua" w:hAnsi="Book Antiqua" w:cs="宋体"/>
          <w:sz w:val="24"/>
          <w:szCs w:val="24"/>
          <w:lang w:eastAsia="zh-CN"/>
        </w:rPr>
        <w:t>pseudocholinesterase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variants.</w:t>
      </w:r>
      <w:proofErr w:type="gram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CE23A4">
        <w:rPr>
          <w:rFonts w:ascii="Book Antiqua" w:hAnsi="Book Antiqua" w:cs="宋体"/>
          <w:i/>
          <w:iCs/>
          <w:sz w:val="24"/>
          <w:szCs w:val="24"/>
          <w:lang w:eastAsia="zh-CN"/>
        </w:rPr>
        <w:t>Humangenetik</w:t>
      </w:r>
      <w:proofErr w:type="spellEnd"/>
      <w:r w:rsidRPr="00CE23A4">
        <w:rPr>
          <w:rFonts w:ascii="Book Antiqua" w:hAnsi="Book Antiqua" w:cs="宋体"/>
          <w:sz w:val="24"/>
          <w:szCs w:val="24"/>
          <w:lang w:eastAsia="zh-CN"/>
        </w:rPr>
        <w:t xml:space="preserve"> 1975; </w:t>
      </w:r>
      <w:r w:rsidRPr="00CE23A4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CE23A4">
        <w:rPr>
          <w:rFonts w:ascii="Book Antiqua" w:hAnsi="Book Antiqua" w:cs="宋体"/>
          <w:sz w:val="24"/>
          <w:szCs w:val="24"/>
          <w:lang w:eastAsia="zh-CN"/>
        </w:rPr>
        <w:t>: 167-185 [PMID: 48494]</w:t>
      </w:r>
    </w:p>
    <w:p w14:paraId="631C5AF8" w14:textId="77777777" w:rsidR="009C3945" w:rsidRPr="00CE23A4" w:rsidRDefault="009C3945" w:rsidP="009C3945">
      <w:pPr>
        <w:snapToGrid w:val="0"/>
        <w:spacing w:after="0" w:line="360" w:lineRule="auto"/>
        <w:jc w:val="right"/>
        <w:rPr>
          <w:rFonts w:ascii="Book Antiqua" w:hAnsi="Book Antiqua" w:cs="Times New Roman"/>
          <w:sz w:val="24"/>
          <w:szCs w:val="24"/>
          <w:lang w:eastAsia="zh-CN"/>
        </w:rPr>
      </w:pPr>
      <w:bookmarkStart w:id="63" w:name="OLE_LINK51"/>
      <w:bookmarkStart w:id="64" w:name="OLE_LINK52"/>
      <w:bookmarkStart w:id="65" w:name="OLE_LINK120"/>
      <w:bookmarkStart w:id="66" w:name="OLE_LINK148"/>
      <w:bookmarkStart w:id="67" w:name="OLE_LINK72"/>
      <w:bookmarkStart w:id="68" w:name="OLE_LINK112"/>
      <w:bookmarkStart w:id="69" w:name="OLE_LINK320"/>
      <w:bookmarkStart w:id="70" w:name="OLE_LINK387"/>
      <w:bookmarkStart w:id="71" w:name="OLE_LINK183"/>
      <w:bookmarkStart w:id="72" w:name="OLE_LINK254"/>
      <w:bookmarkStart w:id="73" w:name="OLE_LINK149"/>
      <w:bookmarkStart w:id="74" w:name="OLE_LINK225"/>
      <w:bookmarkStart w:id="75" w:name="OLE_LINK207"/>
      <w:bookmarkStart w:id="76" w:name="OLE_LINK226"/>
      <w:bookmarkStart w:id="77" w:name="OLE_LINK212"/>
      <w:bookmarkStart w:id="78" w:name="OLE_LINK250"/>
      <w:bookmarkStart w:id="79" w:name="OLE_LINK281"/>
      <w:bookmarkStart w:id="80" w:name="OLE_LINK282"/>
      <w:bookmarkStart w:id="81" w:name="OLE_LINK313"/>
      <w:bookmarkStart w:id="82" w:name="OLE_LINK304"/>
      <w:bookmarkStart w:id="83" w:name="OLE_LINK321"/>
      <w:bookmarkStart w:id="84" w:name="OLE_LINK385"/>
      <w:bookmarkStart w:id="85" w:name="OLE_LINK400"/>
      <w:bookmarkStart w:id="86" w:name="OLE_LINK346"/>
      <w:bookmarkStart w:id="87" w:name="OLE_LINK371"/>
      <w:bookmarkStart w:id="88" w:name="OLE_LINK334"/>
      <w:bookmarkStart w:id="89" w:name="OLE_LINK1830"/>
      <w:bookmarkStart w:id="90" w:name="OLE_LINK457"/>
      <w:bookmarkStart w:id="91" w:name="OLE_LINK288"/>
      <w:bookmarkStart w:id="92" w:name="OLE_LINK384"/>
      <w:bookmarkStart w:id="93" w:name="OLE_LINK379"/>
      <w:bookmarkStart w:id="94" w:name="OLE_LINK303"/>
      <w:bookmarkStart w:id="95" w:name="OLE_LINK450"/>
      <w:bookmarkStart w:id="96" w:name="OLE_LINK489"/>
      <w:bookmarkStart w:id="97" w:name="OLE_LINK535"/>
      <w:bookmarkStart w:id="98" w:name="OLE_LINK648"/>
      <w:bookmarkStart w:id="99" w:name="OLE_LINK686"/>
      <w:bookmarkStart w:id="100" w:name="OLE_LINK471"/>
      <w:bookmarkStart w:id="101" w:name="OLE_LINK462"/>
      <w:bookmarkStart w:id="102" w:name="OLE_LINK519"/>
      <w:bookmarkStart w:id="103" w:name="OLE_LINK575"/>
      <w:bookmarkStart w:id="104" w:name="OLE_LINK491"/>
      <w:bookmarkStart w:id="105" w:name="OLE_LINK532"/>
      <w:bookmarkStart w:id="106" w:name="OLE_LINK572"/>
      <w:bookmarkStart w:id="107" w:name="OLE_LINK574"/>
      <w:bookmarkStart w:id="108" w:name="OLE_LINK480"/>
      <w:bookmarkStart w:id="109" w:name="OLE_LINK567"/>
      <w:bookmarkStart w:id="110" w:name="OLE_LINK2700"/>
      <w:bookmarkStart w:id="111" w:name="OLE_LINK581"/>
      <w:bookmarkStart w:id="112" w:name="OLE_LINK639"/>
      <w:bookmarkStart w:id="113" w:name="OLE_LINK688"/>
      <w:bookmarkStart w:id="114" w:name="OLE_LINK722"/>
      <w:bookmarkStart w:id="115" w:name="OLE_LINK542"/>
      <w:bookmarkStart w:id="116" w:name="OLE_LINK589"/>
      <w:bookmarkStart w:id="117" w:name="OLE_LINK582"/>
      <w:bookmarkStart w:id="118" w:name="OLE_LINK640"/>
      <w:bookmarkStart w:id="119" w:name="OLE_LINK714"/>
      <w:bookmarkStart w:id="120" w:name="OLE_LINK593"/>
      <w:bookmarkStart w:id="121" w:name="OLE_LINK716"/>
      <w:bookmarkStart w:id="122" w:name="OLE_LINK770"/>
      <w:bookmarkStart w:id="123" w:name="OLE_LINK801"/>
      <w:bookmarkStart w:id="124" w:name="OLE_LINK660"/>
      <w:bookmarkStart w:id="125" w:name="OLE_LINK781"/>
      <w:bookmarkStart w:id="126" w:name="OLE_LINK833"/>
      <w:bookmarkStart w:id="127" w:name="OLE_LINK642"/>
      <w:bookmarkStart w:id="128" w:name="OLE_LINK700"/>
      <w:bookmarkStart w:id="129" w:name="OLE_LINK792"/>
      <w:bookmarkStart w:id="130" w:name="OLE_LINK2882"/>
      <w:bookmarkStart w:id="131" w:name="OLE_LINK836"/>
      <w:bookmarkStart w:id="132" w:name="OLE_LINK889"/>
      <w:bookmarkStart w:id="133" w:name="OLE_LINK782"/>
      <w:bookmarkStart w:id="134" w:name="OLE_LINK826"/>
      <w:bookmarkStart w:id="135" w:name="OLE_LINK865"/>
      <w:bookmarkStart w:id="136" w:name="OLE_LINK856"/>
      <w:bookmarkStart w:id="137" w:name="OLE_LINK908"/>
      <w:bookmarkStart w:id="138" w:name="OLE_LINK980"/>
      <w:bookmarkStart w:id="139" w:name="OLE_LINK1018"/>
      <w:bookmarkStart w:id="140" w:name="OLE_LINK1049"/>
      <w:bookmarkStart w:id="141" w:name="OLE_LINK1076"/>
      <w:bookmarkStart w:id="142" w:name="OLE_LINK1106"/>
      <w:bookmarkStart w:id="143" w:name="OLE_LINK891"/>
      <w:bookmarkStart w:id="144" w:name="OLE_LINK943"/>
      <w:bookmarkStart w:id="145" w:name="OLE_LINK981"/>
      <w:bookmarkStart w:id="146" w:name="OLE_LINK1030"/>
      <w:bookmarkStart w:id="147" w:name="OLE_LINK847"/>
      <w:bookmarkStart w:id="148" w:name="OLE_LINK909"/>
      <w:bookmarkStart w:id="149" w:name="OLE_LINK906"/>
      <w:bookmarkStart w:id="150" w:name="OLE_LINK992"/>
      <w:bookmarkStart w:id="151" w:name="OLE_LINK993"/>
      <w:bookmarkStart w:id="152" w:name="OLE_LINK1052"/>
      <w:bookmarkStart w:id="153" w:name="OLE_LINK946"/>
      <w:bookmarkStart w:id="154" w:name="OLE_LINK911"/>
      <w:bookmarkStart w:id="155" w:name="OLE_LINK930"/>
      <w:bookmarkStart w:id="156" w:name="OLE_LINK1059"/>
      <w:bookmarkStart w:id="157" w:name="OLE_LINK1174"/>
      <w:bookmarkStart w:id="158" w:name="OLE_LINK1137"/>
      <w:bookmarkStart w:id="159" w:name="OLE_LINK1167"/>
      <w:bookmarkStart w:id="160" w:name="OLE_LINK1200"/>
      <w:bookmarkStart w:id="161" w:name="OLE_LINK1241"/>
      <w:bookmarkStart w:id="162" w:name="OLE_LINK1288"/>
      <w:bookmarkStart w:id="163" w:name="OLE_LINK1056"/>
      <w:bookmarkStart w:id="164" w:name="OLE_LINK1158"/>
      <w:bookmarkStart w:id="165" w:name="OLE_LINK1175"/>
      <w:bookmarkStart w:id="166" w:name="OLE_LINK1074"/>
      <w:bookmarkStart w:id="167" w:name="OLE_LINK1169"/>
      <w:r w:rsidRPr="00CE23A4">
        <w:rPr>
          <w:rFonts w:ascii="Book Antiqua" w:hAnsi="Book Antiqua" w:cs="Times New Roman"/>
          <w:b/>
          <w:bCs/>
          <w:sz w:val="24"/>
          <w:szCs w:val="24"/>
          <w:lang w:eastAsia="zh-CN"/>
        </w:rPr>
        <w:t>P-Reviewer:</w:t>
      </w:r>
      <w:r w:rsidRPr="00CE23A4">
        <w:rPr>
          <w:rFonts w:ascii="Book Antiqua" w:hAnsi="Book Antiqua" w:cs="Times New Roman" w:hint="eastAsia"/>
          <w:b/>
          <w:bCs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Times New Roman"/>
          <w:bCs/>
          <w:sz w:val="24"/>
          <w:szCs w:val="24"/>
          <w:lang w:eastAsia="zh-CN"/>
        </w:rPr>
        <w:t>Cunha C</w:t>
      </w:r>
      <w:r w:rsidRPr="00CE23A4">
        <w:rPr>
          <w:rFonts w:ascii="Book Antiqua" w:hAnsi="Book Antiqua" w:cs="Times New Roman"/>
          <w:b/>
          <w:bCs/>
          <w:sz w:val="24"/>
          <w:szCs w:val="24"/>
          <w:lang w:eastAsia="zh-CN"/>
        </w:rPr>
        <w:t xml:space="preserve"> S-Editor:</w:t>
      </w:r>
      <w:r w:rsidRPr="00CE23A4">
        <w:rPr>
          <w:rFonts w:ascii="Book Antiqua" w:hAnsi="Book Antiqua" w:cs="Times New Roman" w:hint="eastAsia"/>
          <w:sz w:val="24"/>
          <w:szCs w:val="24"/>
          <w:lang w:eastAsia="zh-CN"/>
        </w:rPr>
        <w:t xml:space="preserve"> Gong ZM</w:t>
      </w:r>
    </w:p>
    <w:p w14:paraId="51DAC85D" w14:textId="77777777" w:rsidR="009C3945" w:rsidRPr="00CE23A4" w:rsidRDefault="009C3945" w:rsidP="009C3945">
      <w:pPr>
        <w:snapToGrid w:val="0"/>
        <w:spacing w:after="0" w:line="360" w:lineRule="auto"/>
        <w:jc w:val="right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CE23A4">
        <w:rPr>
          <w:rFonts w:ascii="Book Antiqua" w:hAnsi="Book Antiqua" w:cs="Times New Roman"/>
          <w:b/>
          <w:bCs/>
          <w:sz w:val="24"/>
          <w:szCs w:val="24"/>
          <w:lang w:eastAsia="zh-CN"/>
        </w:rPr>
        <w:t>L-Editor:</w:t>
      </w:r>
      <w:r w:rsidRPr="00CE23A4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 w:cs="Times New Roman"/>
          <w:b/>
          <w:bCs/>
          <w:sz w:val="24"/>
          <w:szCs w:val="24"/>
          <w:lang w:eastAsia="zh-CN"/>
        </w:rPr>
        <w:t>E-Editor:</w:t>
      </w:r>
    </w:p>
    <w:p w14:paraId="447D6284" w14:textId="77777777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eastAsia="zh-CN"/>
        </w:rPr>
      </w:pPr>
      <w:bookmarkStart w:id="168" w:name="OLE_LINK880"/>
      <w:bookmarkStart w:id="169" w:name="OLE_LINK881"/>
      <w:bookmarkStart w:id="170" w:name="OLE_LINK497"/>
      <w:bookmarkStart w:id="171" w:name="OLE_LINK813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6C02E4">
        <w:rPr>
          <w:rFonts w:ascii="Book Antiqua" w:hAnsi="Book Antiqua" w:cs="Helvetica"/>
          <w:b/>
          <w:sz w:val="24"/>
          <w:szCs w:val="24"/>
          <w:lang w:eastAsia="zh-CN"/>
        </w:rPr>
        <w:t xml:space="preserve">Specialty type: </w:t>
      </w:r>
      <w:r w:rsidRPr="006C02E4">
        <w:rPr>
          <w:rFonts w:ascii="Book Antiqua" w:hAnsi="Book Antiqua" w:cs="Helvetica"/>
          <w:sz w:val="24"/>
          <w:szCs w:val="24"/>
          <w:lang w:eastAsia="zh-CN"/>
        </w:rPr>
        <w:t>Gastroenterology and</w:t>
      </w:r>
      <w:r w:rsidRPr="006C02E4">
        <w:rPr>
          <w:rFonts w:ascii="Book Antiqua" w:hAnsi="Book Antiqua" w:cs="Helvetica" w:hint="eastAsia"/>
          <w:sz w:val="24"/>
          <w:szCs w:val="24"/>
          <w:lang w:eastAsia="zh-CN"/>
        </w:rPr>
        <w:t xml:space="preserve"> </w:t>
      </w:r>
      <w:proofErr w:type="spellStart"/>
      <w:r w:rsidRPr="006C02E4">
        <w:rPr>
          <w:rFonts w:ascii="Book Antiqua" w:hAnsi="Book Antiqua" w:cs="Helvetica"/>
          <w:sz w:val="24"/>
          <w:szCs w:val="24"/>
          <w:lang w:eastAsia="zh-CN"/>
        </w:rPr>
        <w:t>hepatology</w:t>
      </w:r>
      <w:proofErr w:type="spellEnd"/>
    </w:p>
    <w:p w14:paraId="19394636" w14:textId="0FE214E2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b/>
          <w:sz w:val="24"/>
          <w:szCs w:val="24"/>
          <w:lang w:eastAsia="zh-CN"/>
        </w:rPr>
        <w:t xml:space="preserve">Country of origin: </w:t>
      </w:r>
      <w:r w:rsidRPr="00CE23A4">
        <w:rPr>
          <w:rFonts w:ascii="Book Antiqua" w:hAnsi="Book Antiqua" w:cs="Helvetica"/>
          <w:sz w:val="24"/>
          <w:szCs w:val="24"/>
          <w:lang w:val="en-CA" w:eastAsia="zh-CN"/>
        </w:rPr>
        <w:t>Pakistan</w:t>
      </w:r>
    </w:p>
    <w:p w14:paraId="45473A71" w14:textId="77777777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b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b/>
          <w:sz w:val="24"/>
          <w:szCs w:val="24"/>
          <w:lang w:eastAsia="zh-CN"/>
        </w:rPr>
        <w:t>Peer-review report classification</w:t>
      </w:r>
    </w:p>
    <w:p w14:paraId="5899DD10" w14:textId="77777777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sz w:val="24"/>
          <w:szCs w:val="24"/>
          <w:lang w:eastAsia="zh-CN"/>
        </w:rPr>
        <w:t xml:space="preserve">Grade A (Excellent): </w:t>
      </w:r>
      <w:r w:rsidRPr="006C02E4">
        <w:rPr>
          <w:rFonts w:ascii="Book Antiqua" w:hAnsi="Book Antiqua" w:cs="Helvetica" w:hint="eastAsia"/>
          <w:sz w:val="24"/>
          <w:szCs w:val="24"/>
          <w:lang w:eastAsia="zh-CN"/>
        </w:rPr>
        <w:t>0</w:t>
      </w:r>
    </w:p>
    <w:p w14:paraId="21C28AC0" w14:textId="77777777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sz w:val="24"/>
          <w:szCs w:val="24"/>
          <w:lang w:eastAsia="zh-CN"/>
        </w:rPr>
        <w:t xml:space="preserve">Grade B (Very good): </w:t>
      </w:r>
      <w:r w:rsidRPr="006C02E4">
        <w:rPr>
          <w:rFonts w:ascii="Book Antiqua" w:hAnsi="Book Antiqua" w:cs="Helvetica" w:hint="eastAsia"/>
          <w:sz w:val="24"/>
          <w:szCs w:val="24"/>
          <w:lang w:eastAsia="zh-CN"/>
        </w:rPr>
        <w:t>0</w:t>
      </w:r>
    </w:p>
    <w:p w14:paraId="3F51BCB8" w14:textId="6F47D5F3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sz w:val="24"/>
          <w:szCs w:val="24"/>
          <w:lang w:eastAsia="zh-CN"/>
        </w:rPr>
        <w:t xml:space="preserve">Grade C (Good): </w:t>
      </w:r>
      <w:r w:rsidRPr="006C02E4">
        <w:rPr>
          <w:rFonts w:ascii="Book Antiqua" w:hAnsi="Book Antiqua" w:cs="Helvetica" w:hint="eastAsia"/>
          <w:sz w:val="24"/>
          <w:szCs w:val="24"/>
          <w:lang w:eastAsia="zh-CN"/>
        </w:rPr>
        <w:t>C</w:t>
      </w:r>
    </w:p>
    <w:p w14:paraId="3DC1B7EF" w14:textId="77777777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sz w:val="24"/>
          <w:szCs w:val="24"/>
          <w:lang w:eastAsia="zh-CN"/>
        </w:rPr>
        <w:t xml:space="preserve">Grade D (Fair): </w:t>
      </w:r>
      <w:r w:rsidRPr="006C02E4">
        <w:rPr>
          <w:rFonts w:ascii="Book Antiqua" w:hAnsi="Book Antiqua" w:cs="Helvetica" w:hint="eastAsia"/>
          <w:sz w:val="24"/>
          <w:szCs w:val="24"/>
          <w:lang w:eastAsia="zh-CN"/>
        </w:rPr>
        <w:t>0</w:t>
      </w:r>
    </w:p>
    <w:p w14:paraId="4BBA248A" w14:textId="77777777" w:rsidR="006C02E4" w:rsidRPr="006C02E4" w:rsidRDefault="006C02E4" w:rsidP="006C02E4">
      <w:pPr>
        <w:shd w:val="clear" w:color="auto" w:fill="FFFFFF"/>
        <w:snapToGrid w:val="0"/>
        <w:spacing w:after="0" w:line="360" w:lineRule="auto"/>
        <w:jc w:val="both"/>
        <w:rPr>
          <w:rFonts w:ascii="Book Antiqua" w:hAnsi="Book Antiqua" w:cs="Helvetica"/>
          <w:sz w:val="24"/>
          <w:szCs w:val="24"/>
          <w:lang w:eastAsia="zh-CN"/>
        </w:rPr>
      </w:pPr>
      <w:r w:rsidRPr="006C02E4">
        <w:rPr>
          <w:rFonts w:ascii="Book Antiqua" w:hAnsi="Book Antiqua" w:cs="Helvetica"/>
          <w:sz w:val="24"/>
          <w:szCs w:val="24"/>
          <w:lang w:eastAsia="zh-CN"/>
        </w:rPr>
        <w:t xml:space="preserve">Grade E (Poor): </w:t>
      </w:r>
      <w:r w:rsidRPr="006C02E4">
        <w:rPr>
          <w:rFonts w:ascii="Book Antiqua" w:hAnsi="Book Antiqua" w:cs="Helvetica" w:hint="eastAsia"/>
          <w:sz w:val="24"/>
          <w:szCs w:val="24"/>
          <w:lang w:eastAsia="zh-CN"/>
        </w:rPr>
        <w:t>0</w:t>
      </w:r>
      <w:bookmarkEnd w:id="168"/>
      <w:bookmarkEnd w:id="169"/>
    </w:p>
    <w:bookmarkEnd w:id="170"/>
    <w:bookmarkEnd w:id="171"/>
    <w:p w14:paraId="514583AE" w14:textId="77777777" w:rsidR="009C3945" w:rsidRPr="00CE23A4" w:rsidRDefault="009C3945" w:rsidP="009C3945">
      <w:pPr>
        <w:widowControl w:val="0"/>
        <w:spacing w:after="0" w:line="360" w:lineRule="auto"/>
        <w:jc w:val="both"/>
        <w:rPr>
          <w:rFonts w:ascii="Book Antiqua" w:hAnsi="Book Antiqua" w:cs="Times New Roman"/>
          <w:kern w:val="2"/>
          <w:sz w:val="24"/>
          <w:szCs w:val="24"/>
          <w:lang w:eastAsia="zh-CN"/>
        </w:rPr>
      </w:pPr>
    </w:p>
    <w:p w14:paraId="13FA8260" w14:textId="77777777" w:rsidR="00874043" w:rsidRPr="00CE23A4" w:rsidRDefault="00874043">
      <w:pPr>
        <w:rPr>
          <w:rFonts w:ascii="Book Antiqua" w:hAnsi="Book Antiqua" w:cs="Times"/>
          <w:sz w:val="24"/>
          <w:szCs w:val="24"/>
        </w:rPr>
      </w:pPr>
      <w:r w:rsidRPr="00CE23A4">
        <w:rPr>
          <w:rFonts w:ascii="Book Antiqua" w:hAnsi="Book Antiqua" w:cs="Times"/>
          <w:sz w:val="24"/>
          <w:szCs w:val="24"/>
        </w:rPr>
        <w:br w:type="page"/>
      </w:r>
    </w:p>
    <w:p w14:paraId="7FF24909" w14:textId="5E4467A8" w:rsidR="00D476C3" w:rsidRPr="00CE23A4" w:rsidRDefault="00655EAD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CE23A4">
        <w:rPr>
          <w:rFonts w:ascii="Book Antiqua" w:hAnsi="Book Antiqua"/>
          <w:b/>
          <w:sz w:val="24"/>
          <w:szCs w:val="24"/>
        </w:rPr>
        <w:lastRenderedPageBreak/>
        <w:t>Table 1</w:t>
      </w:r>
      <w:r w:rsidR="00874043" w:rsidRPr="00CE23A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b/>
          <w:sz w:val="24"/>
          <w:szCs w:val="24"/>
        </w:rPr>
        <w:t xml:space="preserve">Baseline </w:t>
      </w:r>
      <w:r w:rsidR="00453E4C" w:rsidRPr="00CE23A4">
        <w:rPr>
          <w:rFonts w:ascii="Book Antiqua" w:hAnsi="Book Antiqua"/>
          <w:b/>
          <w:sz w:val="24"/>
          <w:szCs w:val="24"/>
        </w:rPr>
        <w:t>characteristic</w:t>
      </w:r>
      <w:r w:rsidRPr="00CE23A4">
        <w:rPr>
          <w:rFonts w:ascii="Book Antiqua" w:hAnsi="Book Antiqua"/>
          <w:b/>
          <w:sz w:val="24"/>
          <w:szCs w:val="24"/>
        </w:rPr>
        <w:t>s of the study patients</w:t>
      </w:r>
    </w:p>
    <w:tbl>
      <w:tblPr>
        <w:tblStyle w:val="TableGrid"/>
        <w:tblW w:w="0" w:type="auto"/>
        <w:tblInd w:w="4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273"/>
      </w:tblGrid>
      <w:tr w:rsidR="00CE23A4" w:rsidRPr="00CE23A4" w14:paraId="0723A83B" w14:textId="77777777" w:rsidTr="00F852B3">
        <w:trPr>
          <w:trHeight w:val="377"/>
        </w:trPr>
        <w:tc>
          <w:tcPr>
            <w:tcW w:w="3505" w:type="dxa"/>
            <w:tcBorders>
              <w:top w:val="single" w:sz="4" w:space="0" w:color="auto"/>
              <w:bottom w:val="single" w:sz="4" w:space="0" w:color="auto"/>
            </w:tcBorders>
          </w:tcPr>
          <w:p w14:paraId="0CE8DC01" w14:textId="77777777" w:rsidR="00D476C3" w:rsidRPr="00453E4C" w:rsidRDefault="00032BF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  <w:b/>
              </w:rPr>
            </w:pPr>
            <w:r w:rsidRPr="00453E4C">
              <w:rPr>
                <w:rFonts w:ascii="Book Antiqua" w:hAnsi="Book Antiqua" w:cs="Arial"/>
                <w:b/>
                <w:bCs/>
              </w:rPr>
              <w:t>Number of p</w:t>
            </w:r>
            <w:r w:rsidR="00D476C3" w:rsidRPr="00453E4C">
              <w:rPr>
                <w:rFonts w:ascii="Book Antiqua" w:hAnsi="Book Antiqua" w:cs="Arial"/>
                <w:b/>
                <w:bCs/>
              </w:rPr>
              <w:t>atients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</w:tcPr>
          <w:p w14:paraId="5C4CBE0C" w14:textId="77777777" w:rsidR="00D476C3" w:rsidRPr="00453E4C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  <w:b/>
              </w:rPr>
            </w:pPr>
            <w:r w:rsidRPr="00453E4C">
              <w:rPr>
                <w:rFonts w:ascii="Book Antiqua" w:hAnsi="Book Antiqua" w:cs="Arial"/>
                <w:b/>
                <w:bCs/>
              </w:rPr>
              <w:t>233</w:t>
            </w:r>
          </w:p>
        </w:tc>
      </w:tr>
      <w:tr w:rsidR="00CE23A4" w:rsidRPr="00CE23A4" w14:paraId="7BA3D5D9" w14:textId="77777777" w:rsidTr="00F852B3">
        <w:trPr>
          <w:trHeight w:val="197"/>
        </w:trPr>
        <w:tc>
          <w:tcPr>
            <w:tcW w:w="3505" w:type="dxa"/>
            <w:tcBorders>
              <w:top w:val="single" w:sz="4" w:space="0" w:color="auto"/>
            </w:tcBorders>
          </w:tcPr>
          <w:p w14:paraId="7DF9990D" w14:textId="01498F2C" w:rsidR="00D476C3" w:rsidRPr="00CE23A4" w:rsidRDefault="00F852B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Male:</w:t>
            </w:r>
            <w:r w:rsidR="00453E4C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="00B50991" w:rsidRPr="00CE23A4">
              <w:rPr>
                <w:rFonts w:ascii="Book Antiqua" w:hAnsi="Book Antiqua" w:cs="Arial"/>
              </w:rPr>
              <w:t>f</w:t>
            </w:r>
            <w:r w:rsidR="00D476C3" w:rsidRPr="00CE23A4">
              <w:rPr>
                <w:rFonts w:ascii="Book Antiqua" w:hAnsi="Book Antiqua" w:cs="Arial"/>
              </w:rPr>
              <w:t>emale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14:paraId="6B717BB6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192:41</w:t>
            </w:r>
          </w:p>
        </w:tc>
      </w:tr>
      <w:tr w:rsidR="00CE23A4" w:rsidRPr="00CE23A4" w14:paraId="67B4CACD" w14:textId="77777777" w:rsidTr="00F852B3">
        <w:tc>
          <w:tcPr>
            <w:tcW w:w="3505" w:type="dxa"/>
          </w:tcPr>
          <w:p w14:paraId="574FD2DA" w14:textId="6617F942" w:rsidR="00D476C3" w:rsidRPr="00CE23A4" w:rsidRDefault="00721F02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Age (</w:t>
            </w:r>
            <w:proofErr w:type="spellStart"/>
            <w:r w:rsidRPr="00CE23A4">
              <w:rPr>
                <w:rFonts w:ascii="Book Antiqua" w:hAnsi="Book Antiqua" w:cs="Arial"/>
              </w:rPr>
              <w:t>yr</w:t>
            </w:r>
            <w:proofErr w:type="spellEnd"/>
            <w:r w:rsidR="00D476C3" w:rsidRPr="00CE23A4">
              <w:rPr>
                <w:rFonts w:ascii="Book Antiqua" w:hAnsi="Book Antiqua" w:cs="Arial"/>
              </w:rPr>
              <w:t>)</w:t>
            </w:r>
          </w:p>
        </w:tc>
        <w:tc>
          <w:tcPr>
            <w:tcW w:w="2273" w:type="dxa"/>
          </w:tcPr>
          <w:p w14:paraId="2C58DA20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42</w:t>
            </w:r>
            <w:r w:rsidR="00D476C3" w:rsidRPr="00CE23A4">
              <w:rPr>
                <w:rFonts w:ascii="Book Antiqua" w:hAnsi="Book Antiqua" w:cs="Arial"/>
              </w:rPr>
              <w:t xml:space="preserve"> (16-69)</w:t>
            </w:r>
          </w:p>
        </w:tc>
      </w:tr>
      <w:tr w:rsidR="00CE23A4" w:rsidRPr="00CE23A4" w14:paraId="22BE76A9" w14:textId="77777777" w:rsidTr="00F852B3">
        <w:tc>
          <w:tcPr>
            <w:tcW w:w="3505" w:type="dxa"/>
          </w:tcPr>
          <w:p w14:paraId="1DD4F7C3" w14:textId="21D83BB9" w:rsidR="00D476C3" w:rsidRPr="00CE23A4" w:rsidRDefault="00D476C3" w:rsidP="00721F02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BMI (kg/m</w:t>
            </w:r>
            <w:r w:rsidR="00721F02" w:rsidRPr="00CE23A4">
              <w:rPr>
                <w:rFonts w:ascii="Book Antiqua" w:eastAsia="宋体" w:hAnsi="Book Antiqua" w:cs="Arial" w:hint="eastAsia"/>
                <w:vertAlign w:val="superscript"/>
                <w:lang w:eastAsia="zh-CN"/>
              </w:rPr>
              <w:t>2</w:t>
            </w:r>
            <w:r w:rsidRPr="00CE23A4">
              <w:rPr>
                <w:rFonts w:ascii="Book Antiqua" w:hAnsi="Book Antiqua" w:cs="Arial"/>
              </w:rPr>
              <w:t>)</w:t>
            </w:r>
          </w:p>
        </w:tc>
        <w:tc>
          <w:tcPr>
            <w:tcW w:w="2273" w:type="dxa"/>
          </w:tcPr>
          <w:p w14:paraId="0E31ACCA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23.4</w:t>
            </w:r>
            <w:r w:rsidR="00D476C3" w:rsidRPr="00CE23A4">
              <w:rPr>
                <w:rFonts w:ascii="Book Antiqua" w:hAnsi="Book Antiqua" w:cs="Arial"/>
              </w:rPr>
              <w:t xml:space="preserve"> (14.3-40)</w:t>
            </w:r>
          </w:p>
        </w:tc>
      </w:tr>
      <w:tr w:rsidR="00CE23A4" w:rsidRPr="00CE23A4" w14:paraId="3FACE8D7" w14:textId="77777777" w:rsidTr="00F852B3">
        <w:tc>
          <w:tcPr>
            <w:tcW w:w="3505" w:type="dxa"/>
          </w:tcPr>
          <w:p w14:paraId="7FDAEA7C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Ascites</w:t>
            </w:r>
          </w:p>
        </w:tc>
        <w:tc>
          <w:tcPr>
            <w:tcW w:w="2273" w:type="dxa"/>
          </w:tcPr>
          <w:p w14:paraId="0C62A6FD" w14:textId="22D16981" w:rsidR="00D476C3" w:rsidRPr="00CE23A4" w:rsidRDefault="00FD1DAB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50 (21.5</w:t>
            </w:r>
            <w:r w:rsidR="00D476C3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62E985A3" w14:textId="77777777" w:rsidTr="00F852B3">
        <w:tc>
          <w:tcPr>
            <w:tcW w:w="3505" w:type="dxa"/>
          </w:tcPr>
          <w:p w14:paraId="676D4B08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Encephalopathy</w:t>
            </w:r>
          </w:p>
        </w:tc>
        <w:tc>
          <w:tcPr>
            <w:tcW w:w="2273" w:type="dxa"/>
          </w:tcPr>
          <w:p w14:paraId="66E46452" w14:textId="0CC2A8C6" w:rsidR="00D476C3" w:rsidRPr="00CE23A4" w:rsidRDefault="00FD1DAB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15 (6.4</w:t>
            </w:r>
            <w:r w:rsidR="00D476C3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38A3EFAA" w14:textId="77777777" w:rsidTr="00F852B3">
        <w:trPr>
          <w:trHeight w:val="361"/>
        </w:trPr>
        <w:tc>
          <w:tcPr>
            <w:tcW w:w="3505" w:type="dxa"/>
            <w:hideMark/>
          </w:tcPr>
          <w:p w14:paraId="33B8B4FA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Bilirubin (mg/</w:t>
            </w:r>
            <w:proofErr w:type="spellStart"/>
            <w:r w:rsidRPr="00CE23A4">
              <w:rPr>
                <w:rFonts w:ascii="Book Antiqua" w:hAnsi="Book Antiqua" w:cs="Arial"/>
              </w:rPr>
              <w:t>d</w:t>
            </w:r>
            <w:r w:rsidRPr="00CE23A4">
              <w:rPr>
                <w:rFonts w:ascii="Book Antiqua" w:hAnsi="Book Antiqua" w:cs="Arial"/>
                <w:caps/>
              </w:rPr>
              <w:t>l</w:t>
            </w:r>
            <w:proofErr w:type="spellEnd"/>
            <w:r w:rsidRPr="00CE23A4">
              <w:rPr>
                <w:rFonts w:ascii="Book Antiqua" w:hAnsi="Book Antiqua" w:cs="Arial"/>
              </w:rPr>
              <w:t>)</w:t>
            </w:r>
          </w:p>
        </w:tc>
        <w:tc>
          <w:tcPr>
            <w:tcW w:w="2273" w:type="dxa"/>
            <w:hideMark/>
          </w:tcPr>
          <w:p w14:paraId="5003B0D6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0.90</w:t>
            </w:r>
            <w:r w:rsidR="00D476C3" w:rsidRPr="00CE23A4">
              <w:rPr>
                <w:rFonts w:ascii="Book Antiqua" w:hAnsi="Book Antiqua" w:cs="Arial"/>
              </w:rPr>
              <w:t xml:space="preserve"> (0.2-6.9)</w:t>
            </w:r>
          </w:p>
        </w:tc>
      </w:tr>
      <w:tr w:rsidR="00CE23A4" w:rsidRPr="00CE23A4" w14:paraId="609FE3DA" w14:textId="77777777" w:rsidTr="00F852B3">
        <w:trPr>
          <w:trHeight w:val="413"/>
        </w:trPr>
        <w:tc>
          <w:tcPr>
            <w:tcW w:w="3505" w:type="dxa"/>
            <w:hideMark/>
          </w:tcPr>
          <w:p w14:paraId="042E1225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Albumin (g/</w:t>
            </w:r>
            <w:proofErr w:type="spellStart"/>
            <w:r w:rsidRPr="00CE23A4">
              <w:rPr>
                <w:rFonts w:ascii="Book Antiqua" w:hAnsi="Book Antiqua" w:cs="Arial"/>
              </w:rPr>
              <w:t>d</w:t>
            </w:r>
            <w:r w:rsidRPr="00CE23A4">
              <w:rPr>
                <w:rFonts w:ascii="Book Antiqua" w:hAnsi="Book Antiqua" w:cs="Arial"/>
                <w:caps/>
              </w:rPr>
              <w:t>l</w:t>
            </w:r>
            <w:proofErr w:type="spellEnd"/>
            <w:r w:rsidRPr="00CE23A4">
              <w:rPr>
                <w:rFonts w:ascii="Book Antiqua" w:hAnsi="Book Antiqua" w:cs="Arial"/>
              </w:rPr>
              <w:t>)</w:t>
            </w:r>
          </w:p>
        </w:tc>
        <w:tc>
          <w:tcPr>
            <w:tcW w:w="2273" w:type="dxa"/>
            <w:hideMark/>
          </w:tcPr>
          <w:p w14:paraId="767AD08F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3.8</w:t>
            </w:r>
            <w:r w:rsidR="00D476C3" w:rsidRPr="00CE23A4">
              <w:rPr>
                <w:rFonts w:ascii="Book Antiqua" w:hAnsi="Book Antiqua" w:cs="Arial"/>
              </w:rPr>
              <w:t xml:space="preserve"> (1.8-5.0)</w:t>
            </w:r>
          </w:p>
        </w:tc>
      </w:tr>
      <w:tr w:rsidR="00CE23A4" w:rsidRPr="00CE23A4" w14:paraId="005EB358" w14:textId="77777777" w:rsidTr="00F852B3">
        <w:trPr>
          <w:trHeight w:val="404"/>
        </w:trPr>
        <w:tc>
          <w:tcPr>
            <w:tcW w:w="3505" w:type="dxa"/>
            <w:hideMark/>
          </w:tcPr>
          <w:p w14:paraId="70F4FD3B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INR</w:t>
            </w:r>
          </w:p>
        </w:tc>
        <w:tc>
          <w:tcPr>
            <w:tcW w:w="2273" w:type="dxa"/>
            <w:hideMark/>
          </w:tcPr>
          <w:p w14:paraId="01A3B4E0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1.13</w:t>
            </w:r>
            <w:r w:rsidR="00D476C3" w:rsidRPr="00CE23A4">
              <w:rPr>
                <w:rFonts w:ascii="Book Antiqua" w:hAnsi="Book Antiqua" w:cs="Arial"/>
              </w:rPr>
              <w:t xml:space="preserve"> (0.6-2.6)</w:t>
            </w:r>
          </w:p>
        </w:tc>
      </w:tr>
      <w:tr w:rsidR="00CE23A4" w:rsidRPr="00CE23A4" w14:paraId="7F13DC46" w14:textId="77777777" w:rsidTr="00F852B3">
        <w:trPr>
          <w:trHeight w:val="395"/>
        </w:trPr>
        <w:tc>
          <w:tcPr>
            <w:tcW w:w="3505" w:type="dxa"/>
            <w:hideMark/>
          </w:tcPr>
          <w:p w14:paraId="4C12F2C3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proofErr w:type="spellStart"/>
            <w:r w:rsidRPr="00CE23A4">
              <w:rPr>
                <w:rFonts w:ascii="Book Antiqua" w:hAnsi="Book Antiqua" w:cs="Arial"/>
              </w:rPr>
              <w:t>Creatinine</w:t>
            </w:r>
            <w:proofErr w:type="spellEnd"/>
            <w:r w:rsidRPr="00CE23A4">
              <w:rPr>
                <w:rFonts w:ascii="Book Antiqua" w:hAnsi="Book Antiqua" w:cs="Arial"/>
              </w:rPr>
              <w:t xml:space="preserve"> (mg/</w:t>
            </w:r>
            <w:proofErr w:type="spellStart"/>
            <w:r w:rsidRPr="00CE23A4">
              <w:rPr>
                <w:rFonts w:ascii="Book Antiqua" w:hAnsi="Book Antiqua" w:cs="Arial"/>
              </w:rPr>
              <w:t>d</w:t>
            </w:r>
            <w:r w:rsidRPr="00CE23A4">
              <w:rPr>
                <w:rFonts w:ascii="Book Antiqua" w:hAnsi="Book Antiqua" w:cs="Arial"/>
                <w:caps/>
              </w:rPr>
              <w:t>l</w:t>
            </w:r>
            <w:proofErr w:type="spellEnd"/>
            <w:r w:rsidRPr="00CE23A4">
              <w:rPr>
                <w:rFonts w:ascii="Book Antiqua" w:hAnsi="Book Antiqua" w:cs="Arial"/>
              </w:rPr>
              <w:t>)</w:t>
            </w:r>
          </w:p>
        </w:tc>
        <w:tc>
          <w:tcPr>
            <w:tcW w:w="2273" w:type="dxa"/>
            <w:hideMark/>
          </w:tcPr>
          <w:p w14:paraId="0DF8063C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0.8 (0.4-1.96</w:t>
            </w:r>
            <w:r w:rsidR="00D476C3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22CA7F9A" w14:textId="77777777" w:rsidTr="00F852B3">
        <w:trPr>
          <w:trHeight w:val="485"/>
        </w:trPr>
        <w:tc>
          <w:tcPr>
            <w:tcW w:w="3505" w:type="dxa"/>
            <w:hideMark/>
          </w:tcPr>
          <w:p w14:paraId="37F65747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Sodium (</w:t>
            </w:r>
            <w:proofErr w:type="spellStart"/>
            <w:r w:rsidRPr="00CE23A4">
              <w:rPr>
                <w:rFonts w:ascii="Book Antiqua" w:hAnsi="Book Antiqua" w:cs="Arial"/>
              </w:rPr>
              <w:t>mmol</w:t>
            </w:r>
            <w:proofErr w:type="spellEnd"/>
            <w:r w:rsidRPr="00CE23A4">
              <w:rPr>
                <w:rFonts w:ascii="Book Antiqua" w:hAnsi="Book Antiqua" w:cs="Arial"/>
              </w:rPr>
              <w:t>/L)</w:t>
            </w:r>
          </w:p>
        </w:tc>
        <w:tc>
          <w:tcPr>
            <w:tcW w:w="2273" w:type="dxa"/>
            <w:hideMark/>
          </w:tcPr>
          <w:p w14:paraId="007EFD5D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139</w:t>
            </w:r>
            <w:r w:rsidR="00D476C3" w:rsidRPr="00CE23A4">
              <w:rPr>
                <w:rFonts w:ascii="Book Antiqua" w:hAnsi="Book Antiqua" w:cs="Arial"/>
              </w:rPr>
              <w:t xml:space="preserve"> (120-150)</w:t>
            </w:r>
          </w:p>
        </w:tc>
      </w:tr>
      <w:tr w:rsidR="00CE23A4" w:rsidRPr="00CE23A4" w14:paraId="55479AC0" w14:textId="77777777" w:rsidTr="00F852B3">
        <w:trPr>
          <w:trHeight w:val="368"/>
        </w:trPr>
        <w:tc>
          <w:tcPr>
            <w:tcW w:w="3505" w:type="dxa"/>
            <w:hideMark/>
          </w:tcPr>
          <w:p w14:paraId="4D8DEDDE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AST (IU/L)</w:t>
            </w:r>
          </w:p>
        </w:tc>
        <w:tc>
          <w:tcPr>
            <w:tcW w:w="2273" w:type="dxa"/>
            <w:hideMark/>
          </w:tcPr>
          <w:p w14:paraId="58EB4875" w14:textId="77777777" w:rsidR="00D476C3" w:rsidRPr="00CE23A4" w:rsidRDefault="00D476C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53 (10-638)</w:t>
            </w:r>
          </w:p>
        </w:tc>
      </w:tr>
      <w:tr w:rsidR="00CE23A4" w:rsidRPr="00CE23A4" w14:paraId="5D784BB9" w14:textId="77777777" w:rsidTr="00F852B3">
        <w:trPr>
          <w:trHeight w:val="278"/>
        </w:trPr>
        <w:tc>
          <w:tcPr>
            <w:tcW w:w="3505" w:type="dxa"/>
            <w:hideMark/>
          </w:tcPr>
          <w:p w14:paraId="3708A752" w14:textId="0753FDC3" w:rsidR="00D476C3" w:rsidRPr="00CE23A4" w:rsidRDefault="00D476C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Platelets (</w:t>
            </w:r>
            <w:r w:rsidR="00F852B3" w:rsidRPr="00CE23A4">
              <w:t>×</w:t>
            </w:r>
            <w:r w:rsidR="00F852B3" w:rsidRPr="00CE23A4">
              <w:rPr>
                <w:rFonts w:ascii="Book Antiqua" w:eastAsia="宋体" w:hAnsi="Book Antiqua" w:cs="Arial" w:hint="eastAsia"/>
                <w:lang w:eastAsia="zh-CN"/>
              </w:rPr>
              <w:t xml:space="preserve"> </w:t>
            </w:r>
            <w:r w:rsidRPr="00CE23A4">
              <w:rPr>
                <w:rFonts w:ascii="Book Antiqua" w:hAnsi="Book Antiqua" w:cs="Arial"/>
              </w:rPr>
              <w:t>10</w:t>
            </w:r>
            <w:r w:rsidRPr="00CE23A4">
              <w:rPr>
                <w:rFonts w:ascii="Book Antiqua" w:hAnsi="Book Antiqua" w:cs="Arial"/>
                <w:vertAlign w:val="superscript"/>
              </w:rPr>
              <w:t>9</w:t>
            </w:r>
            <w:r w:rsidRPr="00CE23A4">
              <w:rPr>
                <w:rFonts w:ascii="Book Antiqua" w:hAnsi="Book Antiqua" w:cs="Arial"/>
              </w:rPr>
              <w:t>/L)</w:t>
            </w:r>
          </w:p>
        </w:tc>
        <w:tc>
          <w:tcPr>
            <w:tcW w:w="2273" w:type="dxa"/>
            <w:hideMark/>
          </w:tcPr>
          <w:p w14:paraId="6207BA05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120</w:t>
            </w:r>
            <w:r w:rsidR="00D476C3" w:rsidRPr="00CE23A4">
              <w:rPr>
                <w:rFonts w:ascii="Book Antiqua" w:hAnsi="Book Antiqua" w:cs="Arial"/>
              </w:rPr>
              <w:t xml:space="preserve"> (22-388)</w:t>
            </w:r>
          </w:p>
        </w:tc>
      </w:tr>
      <w:tr w:rsidR="00CE23A4" w:rsidRPr="00CE23A4" w14:paraId="6AAF6CBD" w14:textId="77777777" w:rsidTr="00F852B3">
        <w:trPr>
          <w:trHeight w:val="332"/>
        </w:trPr>
        <w:tc>
          <w:tcPr>
            <w:tcW w:w="3505" w:type="dxa"/>
            <w:hideMark/>
          </w:tcPr>
          <w:p w14:paraId="6AFDE659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Cholinesterase</w:t>
            </w:r>
            <w:r w:rsidR="00B50991" w:rsidRPr="00CE23A4">
              <w:rPr>
                <w:rFonts w:ascii="Book Antiqua" w:hAnsi="Book Antiqua" w:cs="Arial"/>
              </w:rPr>
              <w:t xml:space="preserve"> (</w:t>
            </w:r>
            <w:r w:rsidR="00B26692" w:rsidRPr="00CE23A4">
              <w:rPr>
                <w:rFonts w:ascii="Book Antiqua" w:hAnsi="Book Antiqua" w:cs="Arial"/>
              </w:rPr>
              <w:t>I</w:t>
            </w:r>
            <w:r w:rsidR="00B50991" w:rsidRPr="00CE23A4">
              <w:rPr>
                <w:rFonts w:ascii="Book Antiqua" w:hAnsi="Book Antiqua" w:cs="Arial"/>
              </w:rPr>
              <w:t>U/L)</w:t>
            </w:r>
          </w:p>
        </w:tc>
        <w:tc>
          <w:tcPr>
            <w:tcW w:w="2273" w:type="dxa"/>
            <w:hideMark/>
          </w:tcPr>
          <w:p w14:paraId="297AE4FC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5508</w:t>
            </w:r>
            <w:r w:rsidR="00D476C3" w:rsidRPr="00CE23A4">
              <w:rPr>
                <w:rFonts w:ascii="Book Antiqua" w:hAnsi="Book Antiqua" w:cs="Arial"/>
              </w:rPr>
              <w:t xml:space="preserve"> (861-12891)</w:t>
            </w:r>
          </w:p>
        </w:tc>
      </w:tr>
      <w:tr w:rsidR="00CE23A4" w:rsidRPr="00CE23A4" w14:paraId="472D7A5A" w14:textId="77777777" w:rsidTr="00F852B3">
        <w:trPr>
          <w:trHeight w:val="408"/>
        </w:trPr>
        <w:tc>
          <w:tcPr>
            <w:tcW w:w="3505" w:type="dxa"/>
          </w:tcPr>
          <w:p w14:paraId="5B1A8CCB" w14:textId="203E2738" w:rsidR="00D476C3" w:rsidRPr="00CE23A4" w:rsidRDefault="00032BF3" w:rsidP="002804CB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Child c</w:t>
            </w:r>
            <w:r w:rsidR="00D476C3" w:rsidRPr="00CE23A4">
              <w:rPr>
                <w:rFonts w:ascii="Book Antiqua" w:hAnsi="Book Antiqua" w:cs="Arial"/>
              </w:rPr>
              <w:t xml:space="preserve">lass: </w:t>
            </w:r>
          </w:p>
        </w:tc>
        <w:tc>
          <w:tcPr>
            <w:tcW w:w="2273" w:type="dxa"/>
          </w:tcPr>
          <w:p w14:paraId="1D39A2F6" w14:textId="393BE2DF" w:rsidR="00D476C3" w:rsidRPr="00CE23A4" w:rsidRDefault="00D476C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E23A4" w:rsidRPr="00CE23A4" w14:paraId="778484C3" w14:textId="77777777" w:rsidTr="00F852B3">
        <w:trPr>
          <w:trHeight w:val="139"/>
        </w:trPr>
        <w:tc>
          <w:tcPr>
            <w:tcW w:w="3505" w:type="dxa"/>
          </w:tcPr>
          <w:p w14:paraId="205A463D" w14:textId="0C13FDE1" w:rsidR="00721F02" w:rsidRPr="00CE23A4" w:rsidRDefault="00721F02" w:rsidP="00721F02">
            <w:pPr>
              <w:pStyle w:val="NormalWeb"/>
              <w:snapToGrid w:val="0"/>
              <w:spacing w:before="0" w:after="0"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</w:t>
            </w:r>
          </w:p>
        </w:tc>
        <w:tc>
          <w:tcPr>
            <w:tcW w:w="2273" w:type="dxa"/>
          </w:tcPr>
          <w:p w14:paraId="42454C14" w14:textId="21426FAB" w:rsidR="00721F02" w:rsidRPr="00CE23A4" w:rsidRDefault="00721F02" w:rsidP="00F852B3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167 (71.7)</w:t>
            </w:r>
          </w:p>
        </w:tc>
      </w:tr>
      <w:tr w:rsidR="00CE23A4" w:rsidRPr="00CE23A4" w14:paraId="0FB38EE6" w14:textId="77777777" w:rsidTr="00F852B3">
        <w:trPr>
          <w:trHeight w:val="468"/>
        </w:trPr>
        <w:tc>
          <w:tcPr>
            <w:tcW w:w="3505" w:type="dxa"/>
          </w:tcPr>
          <w:p w14:paraId="6C2A4C69" w14:textId="37106304" w:rsidR="00721F02" w:rsidRPr="00CE23A4" w:rsidRDefault="00721F02" w:rsidP="00721F02">
            <w:pPr>
              <w:pStyle w:val="NormalWeb"/>
              <w:snapToGrid w:val="0"/>
              <w:spacing w:before="0" w:after="0"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B</w:t>
            </w:r>
          </w:p>
        </w:tc>
        <w:tc>
          <w:tcPr>
            <w:tcW w:w="2273" w:type="dxa"/>
          </w:tcPr>
          <w:p w14:paraId="2DC23D39" w14:textId="3FAE6AC2" w:rsidR="00721F02" w:rsidRPr="00CE23A4" w:rsidRDefault="00721F02" w:rsidP="00F852B3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52 (22.3)</w:t>
            </w:r>
          </w:p>
        </w:tc>
      </w:tr>
      <w:tr w:rsidR="00CE23A4" w:rsidRPr="00CE23A4" w14:paraId="4404D971" w14:textId="77777777" w:rsidTr="00F852B3">
        <w:trPr>
          <w:trHeight w:val="209"/>
        </w:trPr>
        <w:tc>
          <w:tcPr>
            <w:tcW w:w="3505" w:type="dxa"/>
          </w:tcPr>
          <w:p w14:paraId="318769FF" w14:textId="05FC31D5" w:rsidR="00721F02" w:rsidRPr="00CE23A4" w:rsidRDefault="00721F02" w:rsidP="00721F02">
            <w:pPr>
              <w:pStyle w:val="NormalWeb"/>
              <w:snapToGrid w:val="0"/>
              <w:spacing w:before="0" w:after="0"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C</w:t>
            </w:r>
          </w:p>
        </w:tc>
        <w:tc>
          <w:tcPr>
            <w:tcW w:w="2273" w:type="dxa"/>
          </w:tcPr>
          <w:p w14:paraId="32FA3660" w14:textId="0A141676" w:rsidR="00721F02" w:rsidRPr="00CE23A4" w:rsidRDefault="00721F02" w:rsidP="00F852B3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14 (5.0)</w:t>
            </w:r>
          </w:p>
        </w:tc>
      </w:tr>
      <w:tr w:rsidR="00CE23A4" w:rsidRPr="00CE23A4" w14:paraId="1045EBCB" w14:textId="77777777" w:rsidTr="00F852B3">
        <w:tc>
          <w:tcPr>
            <w:tcW w:w="3505" w:type="dxa"/>
          </w:tcPr>
          <w:p w14:paraId="36BBB75F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CTP score</w:t>
            </w:r>
          </w:p>
        </w:tc>
        <w:tc>
          <w:tcPr>
            <w:tcW w:w="2273" w:type="dxa"/>
          </w:tcPr>
          <w:p w14:paraId="5A7687D5" w14:textId="77777777" w:rsidR="00D476C3" w:rsidRPr="00CE23A4" w:rsidRDefault="00D476C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5 (5-13)</w:t>
            </w:r>
          </w:p>
        </w:tc>
      </w:tr>
      <w:tr w:rsidR="00CE23A4" w:rsidRPr="00CE23A4" w14:paraId="2E115750" w14:textId="77777777" w:rsidTr="00F852B3">
        <w:tc>
          <w:tcPr>
            <w:tcW w:w="3505" w:type="dxa"/>
          </w:tcPr>
          <w:p w14:paraId="6573966C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MELD score</w:t>
            </w:r>
          </w:p>
        </w:tc>
        <w:tc>
          <w:tcPr>
            <w:tcW w:w="2273" w:type="dxa"/>
          </w:tcPr>
          <w:p w14:paraId="1E5E989C" w14:textId="77777777" w:rsidR="00D476C3" w:rsidRPr="00CE23A4" w:rsidRDefault="00D476C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8 (6-24)</w:t>
            </w:r>
          </w:p>
        </w:tc>
      </w:tr>
      <w:tr w:rsidR="00CE23A4" w:rsidRPr="00CE23A4" w14:paraId="36BE168E" w14:textId="77777777" w:rsidTr="00F852B3">
        <w:tc>
          <w:tcPr>
            <w:tcW w:w="3505" w:type="dxa"/>
          </w:tcPr>
          <w:p w14:paraId="6A4F6C34" w14:textId="77777777" w:rsidR="00D476C3" w:rsidRPr="00CE23A4" w:rsidRDefault="00032BF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MELD s</w:t>
            </w:r>
            <w:r w:rsidR="00D476C3" w:rsidRPr="00CE23A4">
              <w:rPr>
                <w:rFonts w:ascii="Book Antiqua" w:hAnsi="Book Antiqua" w:cs="Arial"/>
              </w:rPr>
              <w:t>odium</w:t>
            </w:r>
          </w:p>
        </w:tc>
        <w:tc>
          <w:tcPr>
            <w:tcW w:w="2273" w:type="dxa"/>
          </w:tcPr>
          <w:p w14:paraId="03F7066C" w14:textId="77777777" w:rsidR="00D476C3" w:rsidRPr="00CE23A4" w:rsidRDefault="00E806EC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9</w:t>
            </w:r>
            <w:r w:rsidR="00D476C3" w:rsidRPr="00CE23A4">
              <w:rPr>
                <w:rFonts w:ascii="Book Antiqua" w:hAnsi="Book Antiqua" w:cs="Arial"/>
              </w:rPr>
              <w:t xml:space="preserve"> (6-26)</w:t>
            </w:r>
          </w:p>
        </w:tc>
      </w:tr>
      <w:tr w:rsidR="00CE23A4" w:rsidRPr="00CE23A4" w14:paraId="34342EF9" w14:textId="77777777" w:rsidTr="00F852B3">
        <w:tc>
          <w:tcPr>
            <w:tcW w:w="3505" w:type="dxa"/>
          </w:tcPr>
          <w:p w14:paraId="35741DB4" w14:textId="77777777" w:rsidR="00D476C3" w:rsidRPr="00CE23A4" w:rsidRDefault="00D476C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MELD score 15 or more</w:t>
            </w:r>
          </w:p>
        </w:tc>
        <w:tc>
          <w:tcPr>
            <w:tcW w:w="2273" w:type="dxa"/>
          </w:tcPr>
          <w:p w14:paraId="42A44D3F" w14:textId="12C0D0B9" w:rsidR="00D476C3" w:rsidRPr="00CE23A4" w:rsidRDefault="00FD1DAB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24 (10.3</w:t>
            </w:r>
            <w:r w:rsidR="00D476C3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28D71612" w14:textId="77777777" w:rsidTr="00F852B3">
        <w:tc>
          <w:tcPr>
            <w:tcW w:w="3505" w:type="dxa"/>
          </w:tcPr>
          <w:p w14:paraId="50FACC11" w14:textId="77777777" w:rsidR="00FD1DAB" w:rsidRPr="00CE23A4" w:rsidRDefault="00FD1DAB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 xml:space="preserve">APRI </w:t>
            </w:r>
          </w:p>
        </w:tc>
        <w:tc>
          <w:tcPr>
            <w:tcW w:w="2273" w:type="dxa"/>
          </w:tcPr>
          <w:p w14:paraId="40737833" w14:textId="77777777" w:rsidR="00FD1DAB" w:rsidRPr="00CE23A4" w:rsidRDefault="00FD1DAB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1.26 (0.19-10.8)</w:t>
            </w:r>
          </w:p>
        </w:tc>
      </w:tr>
      <w:tr w:rsidR="00CE23A4" w:rsidRPr="00CE23A4" w14:paraId="7622DA9F" w14:textId="77777777" w:rsidTr="00F852B3">
        <w:tc>
          <w:tcPr>
            <w:tcW w:w="3505" w:type="dxa"/>
          </w:tcPr>
          <w:p w14:paraId="5E766656" w14:textId="77777777" w:rsidR="00FD1DAB" w:rsidRPr="00CE23A4" w:rsidRDefault="00FD1DAB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APRI 1.5 or more</w:t>
            </w:r>
          </w:p>
        </w:tc>
        <w:tc>
          <w:tcPr>
            <w:tcW w:w="2273" w:type="dxa"/>
          </w:tcPr>
          <w:p w14:paraId="7F40DB1D" w14:textId="7029E847" w:rsidR="00FD1DAB" w:rsidRPr="00CE23A4" w:rsidRDefault="00FD1DAB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100</w:t>
            </w:r>
            <w:r w:rsidR="00F852B3" w:rsidRPr="00CE23A4">
              <w:rPr>
                <w:rFonts w:ascii="Book Antiqua" w:hAnsi="Book Antiqua" w:cs="Arial"/>
              </w:rPr>
              <w:t xml:space="preserve"> (42.9</w:t>
            </w:r>
            <w:r w:rsidR="00032BF3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36755981" w14:textId="77777777" w:rsidTr="00F852B3">
        <w:trPr>
          <w:trHeight w:val="421"/>
        </w:trPr>
        <w:tc>
          <w:tcPr>
            <w:tcW w:w="3505" w:type="dxa"/>
          </w:tcPr>
          <w:p w14:paraId="1283BB51" w14:textId="672FA8B3" w:rsidR="00032BF3" w:rsidRPr="00CE23A4" w:rsidRDefault="00032BF3" w:rsidP="002804CB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BEA class</w:t>
            </w:r>
          </w:p>
        </w:tc>
        <w:tc>
          <w:tcPr>
            <w:tcW w:w="2273" w:type="dxa"/>
          </w:tcPr>
          <w:p w14:paraId="74CEA3F8" w14:textId="6394ED19" w:rsidR="00032BF3" w:rsidRPr="00CE23A4" w:rsidRDefault="00032BF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CE23A4" w:rsidRPr="00CE23A4" w14:paraId="25B98716" w14:textId="77777777" w:rsidTr="00F852B3">
        <w:trPr>
          <w:trHeight w:val="274"/>
        </w:trPr>
        <w:tc>
          <w:tcPr>
            <w:tcW w:w="3505" w:type="dxa"/>
          </w:tcPr>
          <w:p w14:paraId="0B331F8F" w14:textId="77777777" w:rsidR="00721F02" w:rsidRPr="00CE23A4" w:rsidRDefault="00721F02" w:rsidP="00F852B3">
            <w:pPr>
              <w:pStyle w:val="NormalWeb"/>
              <w:snapToGrid w:val="0"/>
              <w:spacing w:before="0" w:beforeAutospacing="0" w:after="0" w:afterAutospacing="0"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A</w:t>
            </w:r>
          </w:p>
          <w:p w14:paraId="1169B224" w14:textId="10BC9B37" w:rsidR="00721F02" w:rsidRPr="00CE23A4" w:rsidRDefault="00721F02" w:rsidP="00F852B3">
            <w:pPr>
              <w:pStyle w:val="NormalWeb"/>
              <w:snapToGrid w:val="0"/>
              <w:spacing w:before="0" w:after="0" w:line="360" w:lineRule="auto"/>
              <w:ind w:firstLineChars="100" w:firstLine="240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B</w:t>
            </w:r>
          </w:p>
        </w:tc>
        <w:tc>
          <w:tcPr>
            <w:tcW w:w="2273" w:type="dxa"/>
          </w:tcPr>
          <w:p w14:paraId="554706CD" w14:textId="59E596A0" w:rsidR="00721F02" w:rsidRPr="00CE23A4" w:rsidRDefault="00F852B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6 (2.6</w:t>
            </w:r>
            <w:r w:rsidR="00721F02" w:rsidRPr="00CE23A4">
              <w:rPr>
                <w:rFonts w:ascii="Book Antiqua" w:hAnsi="Book Antiqua" w:cs="Arial"/>
              </w:rPr>
              <w:t>)</w:t>
            </w:r>
          </w:p>
          <w:p w14:paraId="1EE3D6F0" w14:textId="615EE1A2" w:rsidR="00721F02" w:rsidRPr="00CE23A4" w:rsidRDefault="00F852B3" w:rsidP="00F852B3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164 (70.4</w:t>
            </w:r>
            <w:r w:rsidR="00721F02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14A3DBDF" w14:textId="77777777" w:rsidTr="00F852B3">
        <w:trPr>
          <w:trHeight w:val="256"/>
        </w:trPr>
        <w:tc>
          <w:tcPr>
            <w:tcW w:w="3505" w:type="dxa"/>
          </w:tcPr>
          <w:p w14:paraId="22FA6A51" w14:textId="561F7AF3" w:rsidR="00721F02" w:rsidRPr="00CE23A4" w:rsidRDefault="00721F02" w:rsidP="002804CB">
            <w:pPr>
              <w:pStyle w:val="NormalWeb"/>
              <w:snapToGrid w:val="0"/>
              <w:spacing w:before="0" w:after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lastRenderedPageBreak/>
              <w:t>C</w:t>
            </w:r>
          </w:p>
        </w:tc>
        <w:tc>
          <w:tcPr>
            <w:tcW w:w="2273" w:type="dxa"/>
          </w:tcPr>
          <w:p w14:paraId="7BCD78E5" w14:textId="479BC33B" w:rsidR="00721F02" w:rsidRPr="00CE23A4" w:rsidRDefault="00F852B3" w:rsidP="00F852B3">
            <w:pPr>
              <w:pStyle w:val="NormalWeb"/>
              <w:snapToGrid w:val="0"/>
              <w:spacing w:before="0" w:after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63 (27</w:t>
            </w:r>
            <w:r w:rsidR="00721F02" w:rsidRPr="00CE23A4">
              <w:rPr>
                <w:rFonts w:ascii="Book Antiqua" w:hAnsi="Book Antiqua" w:cs="Arial"/>
              </w:rPr>
              <w:t>)</w:t>
            </w:r>
          </w:p>
        </w:tc>
      </w:tr>
      <w:tr w:rsidR="00CE23A4" w:rsidRPr="00CE23A4" w14:paraId="736556E2" w14:textId="77777777" w:rsidTr="00F852B3">
        <w:trPr>
          <w:trHeight w:val="341"/>
        </w:trPr>
        <w:tc>
          <w:tcPr>
            <w:tcW w:w="3505" w:type="dxa"/>
          </w:tcPr>
          <w:p w14:paraId="4EF77FCE" w14:textId="77777777" w:rsidR="00FD1DAB" w:rsidRPr="00CE23A4" w:rsidRDefault="00032BF3" w:rsidP="002804CB">
            <w:pPr>
              <w:pStyle w:val="NormalWeb"/>
              <w:snapToGrid w:val="0"/>
              <w:spacing w:before="0" w:beforeAutospacing="0" w:after="0" w:afterAutospacing="0" w:line="360" w:lineRule="auto"/>
              <w:jc w:val="both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BEA score</w:t>
            </w:r>
          </w:p>
        </w:tc>
        <w:tc>
          <w:tcPr>
            <w:tcW w:w="2273" w:type="dxa"/>
          </w:tcPr>
          <w:p w14:paraId="07EEE8CB" w14:textId="77777777" w:rsidR="00FD1DAB" w:rsidRPr="00CE23A4" w:rsidRDefault="00032BF3" w:rsidP="00F852B3">
            <w:pPr>
              <w:pStyle w:val="NormalWeb"/>
              <w:snapToGrid w:val="0"/>
              <w:spacing w:before="0" w:beforeAutospacing="0" w:after="0" w:afterAutospacing="0" w:line="360" w:lineRule="auto"/>
              <w:jc w:val="center"/>
              <w:rPr>
                <w:rFonts w:ascii="Book Antiqua" w:hAnsi="Book Antiqua" w:cs="Arial"/>
              </w:rPr>
            </w:pPr>
            <w:r w:rsidRPr="00CE23A4">
              <w:rPr>
                <w:rFonts w:ascii="Book Antiqua" w:hAnsi="Book Antiqua" w:cs="Arial"/>
              </w:rPr>
              <w:t>4 (1-7)</w:t>
            </w:r>
          </w:p>
        </w:tc>
      </w:tr>
    </w:tbl>
    <w:p w14:paraId="06388178" w14:textId="15EE37C7" w:rsidR="00032BF3" w:rsidRPr="00CE23A4" w:rsidRDefault="00D476C3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E23A4">
        <w:rPr>
          <w:rFonts w:ascii="Book Antiqua" w:hAnsi="Book Antiqua"/>
          <w:sz w:val="24"/>
          <w:szCs w:val="24"/>
        </w:rPr>
        <w:t>Values are median</w:t>
      </w:r>
      <w:r w:rsidR="004A466E" w:rsidRPr="00CE23A4">
        <w:rPr>
          <w:rFonts w:ascii="Book Antiqua" w:hAnsi="Book Antiqua"/>
          <w:sz w:val="24"/>
          <w:szCs w:val="24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 xml:space="preserve">(range) or </w:t>
      </w:r>
      <w:r w:rsidRPr="00CE23A4">
        <w:rPr>
          <w:rFonts w:ascii="Book Antiqua" w:hAnsi="Book Antiqua"/>
          <w:i/>
          <w:sz w:val="24"/>
          <w:szCs w:val="24"/>
        </w:rPr>
        <w:t>n</w:t>
      </w:r>
      <w:r w:rsidR="004A466E" w:rsidRPr="00CE23A4">
        <w:rPr>
          <w:rFonts w:ascii="Book Antiqua" w:hAnsi="Book Antiqua"/>
          <w:sz w:val="24"/>
          <w:szCs w:val="24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>(%)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032BF3" w:rsidRPr="00CE23A4">
        <w:rPr>
          <w:rFonts w:ascii="Book Antiqua" w:hAnsi="Book Antiqua"/>
          <w:sz w:val="24"/>
          <w:szCs w:val="24"/>
        </w:rPr>
        <w:t>BMI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>:</w:t>
      </w:r>
      <w:r w:rsidR="00032BF3" w:rsidRPr="00CE23A4">
        <w:rPr>
          <w:rFonts w:ascii="Book Antiqua" w:hAnsi="Book Antiqua"/>
          <w:sz w:val="24"/>
          <w:szCs w:val="24"/>
        </w:rPr>
        <w:t xml:space="preserve"> </w:t>
      </w:r>
      <w:r w:rsidR="00032BF3" w:rsidRPr="00CE23A4">
        <w:rPr>
          <w:rFonts w:ascii="Book Antiqua" w:hAnsi="Book Antiqua"/>
          <w:caps/>
          <w:sz w:val="24"/>
          <w:szCs w:val="24"/>
        </w:rPr>
        <w:t>b</w:t>
      </w:r>
      <w:r w:rsidR="00032BF3" w:rsidRPr="00CE23A4">
        <w:rPr>
          <w:rFonts w:ascii="Book Antiqua" w:hAnsi="Book Antiqua"/>
          <w:sz w:val="24"/>
          <w:szCs w:val="24"/>
        </w:rPr>
        <w:t>ody mass index; INR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>:</w:t>
      </w:r>
      <w:r w:rsidR="00032BF3" w:rsidRPr="00CE23A4">
        <w:rPr>
          <w:rFonts w:ascii="Book Antiqua" w:hAnsi="Book Antiqua"/>
          <w:sz w:val="24"/>
          <w:szCs w:val="24"/>
        </w:rPr>
        <w:t xml:space="preserve"> </w:t>
      </w:r>
      <w:r w:rsidR="00032BF3" w:rsidRPr="00CE23A4">
        <w:rPr>
          <w:rFonts w:ascii="Book Antiqua" w:hAnsi="Book Antiqua"/>
          <w:caps/>
          <w:sz w:val="24"/>
          <w:szCs w:val="24"/>
        </w:rPr>
        <w:t>i</w:t>
      </w:r>
      <w:r w:rsidR="00032BF3" w:rsidRPr="00CE23A4">
        <w:rPr>
          <w:rFonts w:ascii="Book Antiqua" w:hAnsi="Book Antiqua"/>
          <w:sz w:val="24"/>
          <w:szCs w:val="24"/>
        </w:rPr>
        <w:t xml:space="preserve">nternational normalization ratio; </w:t>
      </w:r>
      <w:r w:rsidR="00B50991" w:rsidRPr="00CE23A4">
        <w:rPr>
          <w:rFonts w:ascii="Book Antiqua" w:hAnsi="Book Antiqua"/>
          <w:sz w:val="24"/>
          <w:szCs w:val="24"/>
        </w:rPr>
        <w:t>AST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>:</w:t>
      </w:r>
      <w:r w:rsidR="00B50991" w:rsidRPr="00CE23A4">
        <w:rPr>
          <w:rFonts w:ascii="Book Antiqua" w:hAnsi="Book Antiqua"/>
          <w:sz w:val="24"/>
          <w:szCs w:val="24"/>
        </w:rPr>
        <w:t xml:space="preserve"> </w:t>
      </w:r>
      <w:r w:rsidR="00B50991" w:rsidRPr="00CE23A4">
        <w:rPr>
          <w:rFonts w:ascii="Book Antiqua" w:hAnsi="Book Antiqua"/>
          <w:caps/>
          <w:sz w:val="24"/>
          <w:szCs w:val="24"/>
        </w:rPr>
        <w:t>a</w:t>
      </w:r>
      <w:r w:rsidR="00B50991" w:rsidRPr="00CE23A4">
        <w:rPr>
          <w:rFonts w:ascii="Book Antiqua" w:hAnsi="Book Antiqua"/>
          <w:sz w:val="24"/>
          <w:szCs w:val="24"/>
        </w:rPr>
        <w:t xml:space="preserve">spartate aminotransferase; </w:t>
      </w:r>
      <w:r w:rsidR="00032BF3" w:rsidRPr="00CE23A4">
        <w:rPr>
          <w:rFonts w:ascii="Book Antiqua" w:hAnsi="Book Antiqua"/>
          <w:sz w:val="24"/>
          <w:szCs w:val="24"/>
        </w:rPr>
        <w:t>CTP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>:</w:t>
      </w:r>
      <w:r w:rsidR="00032BF3" w:rsidRPr="00CE23A4">
        <w:rPr>
          <w:rFonts w:ascii="Book Antiqua" w:hAnsi="Book Antiqua"/>
          <w:sz w:val="24"/>
          <w:szCs w:val="24"/>
        </w:rPr>
        <w:t xml:space="preserve"> Child </w:t>
      </w:r>
      <w:proofErr w:type="spellStart"/>
      <w:r w:rsidR="00032BF3" w:rsidRPr="00CE23A4">
        <w:rPr>
          <w:rFonts w:ascii="Book Antiqua" w:hAnsi="Book Antiqua"/>
          <w:sz w:val="24"/>
          <w:szCs w:val="24"/>
        </w:rPr>
        <w:t>Turgotte</w:t>
      </w:r>
      <w:proofErr w:type="spellEnd"/>
      <w:r w:rsidR="00032BF3" w:rsidRPr="00CE23A4">
        <w:rPr>
          <w:rFonts w:ascii="Book Antiqua" w:hAnsi="Book Antiqua"/>
          <w:sz w:val="24"/>
          <w:szCs w:val="24"/>
        </w:rPr>
        <w:t xml:space="preserve"> Pugh; MELD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>:</w:t>
      </w:r>
      <w:r w:rsidR="00032BF3" w:rsidRPr="00CE23A4">
        <w:rPr>
          <w:rFonts w:ascii="Book Antiqua" w:hAnsi="Book Antiqua"/>
          <w:sz w:val="24"/>
          <w:szCs w:val="24"/>
        </w:rPr>
        <w:t xml:space="preserve"> </w:t>
      </w:r>
      <w:r w:rsidR="00032BF3" w:rsidRPr="00CE23A4">
        <w:rPr>
          <w:rFonts w:ascii="Book Antiqua" w:hAnsi="Book Antiqua"/>
          <w:caps/>
          <w:sz w:val="24"/>
          <w:szCs w:val="24"/>
        </w:rPr>
        <w:t>m</w:t>
      </w:r>
      <w:r w:rsidR="00032BF3" w:rsidRPr="00CE23A4">
        <w:rPr>
          <w:rFonts w:ascii="Book Antiqua" w:hAnsi="Book Antiqua"/>
          <w:sz w:val="24"/>
          <w:szCs w:val="24"/>
        </w:rPr>
        <w:t xml:space="preserve">odel for </w:t>
      </w:r>
      <w:r w:rsidR="00032BF3" w:rsidRPr="00CE23A4">
        <w:rPr>
          <w:rFonts w:ascii="Book Antiqua" w:hAnsi="Book Antiqua"/>
          <w:caps/>
          <w:sz w:val="24"/>
          <w:szCs w:val="24"/>
        </w:rPr>
        <w:t>e</w:t>
      </w:r>
      <w:r w:rsidR="00032BF3" w:rsidRPr="00CE23A4">
        <w:rPr>
          <w:rFonts w:ascii="Book Antiqua" w:hAnsi="Book Antiqua"/>
          <w:sz w:val="24"/>
          <w:szCs w:val="24"/>
        </w:rPr>
        <w:t xml:space="preserve">nd </w:t>
      </w:r>
      <w:r w:rsidR="00032BF3" w:rsidRPr="00CE23A4">
        <w:rPr>
          <w:rFonts w:ascii="Book Antiqua" w:hAnsi="Book Antiqua"/>
          <w:caps/>
          <w:sz w:val="24"/>
          <w:szCs w:val="24"/>
        </w:rPr>
        <w:t>s</w:t>
      </w:r>
      <w:r w:rsidR="00032BF3" w:rsidRPr="00CE23A4">
        <w:rPr>
          <w:rFonts w:ascii="Book Antiqua" w:hAnsi="Book Antiqua"/>
          <w:sz w:val="24"/>
          <w:szCs w:val="24"/>
        </w:rPr>
        <w:t xml:space="preserve">tage </w:t>
      </w:r>
      <w:r w:rsidR="00032BF3" w:rsidRPr="00CE23A4">
        <w:rPr>
          <w:rFonts w:ascii="Book Antiqua" w:hAnsi="Book Antiqua"/>
          <w:caps/>
          <w:sz w:val="24"/>
          <w:szCs w:val="24"/>
        </w:rPr>
        <w:t>l</w:t>
      </w:r>
      <w:r w:rsidR="00032BF3" w:rsidRPr="00CE23A4">
        <w:rPr>
          <w:rFonts w:ascii="Book Antiqua" w:hAnsi="Book Antiqua"/>
          <w:sz w:val="24"/>
          <w:szCs w:val="24"/>
        </w:rPr>
        <w:t xml:space="preserve">iver </w:t>
      </w:r>
      <w:r w:rsidR="00032BF3" w:rsidRPr="00CE23A4">
        <w:rPr>
          <w:rFonts w:ascii="Book Antiqua" w:hAnsi="Book Antiqua"/>
          <w:caps/>
          <w:sz w:val="24"/>
          <w:szCs w:val="24"/>
        </w:rPr>
        <w:t>d</w:t>
      </w:r>
      <w:r w:rsidR="00032BF3" w:rsidRPr="00CE23A4">
        <w:rPr>
          <w:rFonts w:ascii="Book Antiqua" w:hAnsi="Book Antiqua"/>
          <w:sz w:val="24"/>
          <w:szCs w:val="24"/>
        </w:rPr>
        <w:t>isease; APRI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B50991" w:rsidRPr="00CE23A4">
        <w:rPr>
          <w:rFonts w:ascii="Book Antiqua" w:hAnsi="Book Antiqua"/>
          <w:sz w:val="24"/>
          <w:szCs w:val="24"/>
        </w:rPr>
        <w:t>AST to platelet ratio index; BEA</w:t>
      </w:r>
      <w:r w:rsidR="00453E4C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B50991" w:rsidRPr="00CE23A4">
        <w:rPr>
          <w:rFonts w:ascii="Book Antiqua" w:hAnsi="Book Antiqua"/>
          <w:caps/>
          <w:sz w:val="24"/>
          <w:szCs w:val="24"/>
        </w:rPr>
        <w:t>b</w:t>
      </w:r>
      <w:r w:rsidR="00B50991" w:rsidRPr="00CE23A4">
        <w:rPr>
          <w:rFonts w:ascii="Book Antiqua" w:hAnsi="Book Antiqua"/>
          <w:sz w:val="24"/>
          <w:szCs w:val="24"/>
        </w:rPr>
        <w:t>aseline-event-anticipation</w:t>
      </w:r>
      <w:r w:rsidR="00F852B3" w:rsidRPr="00CE23A4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6D250DE2" w14:textId="77777777" w:rsidR="00721F02" w:rsidRPr="00CE23A4" w:rsidRDefault="00721F02">
      <w:pPr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br w:type="page"/>
      </w:r>
    </w:p>
    <w:p w14:paraId="2077AC2F" w14:textId="6CA95F46" w:rsidR="00587A36" w:rsidRPr="00CE23A4" w:rsidRDefault="009D5101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lastRenderedPageBreak/>
        <w:t>Table 2</w:t>
      </w:r>
      <w:r w:rsidR="00721F02" w:rsidRPr="00CE23A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4A466E" w:rsidRPr="00CE23A4">
        <w:rPr>
          <w:rFonts w:ascii="Book Antiqua" w:hAnsi="Book Antiqua"/>
          <w:b/>
          <w:sz w:val="24"/>
          <w:szCs w:val="24"/>
        </w:rPr>
        <w:t>Mean cholinesterase levels</w:t>
      </w:r>
    </w:p>
    <w:tbl>
      <w:tblPr>
        <w:tblStyle w:val="TableGrid"/>
        <w:tblW w:w="73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2934"/>
        <w:gridCol w:w="6"/>
        <w:gridCol w:w="2130"/>
        <w:gridCol w:w="2268"/>
      </w:tblGrid>
      <w:tr w:rsidR="00CE23A4" w:rsidRPr="00CE23A4" w14:paraId="70B5CC7B" w14:textId="77777777" w:rsidTr="00721F02">
        <w:trPr>
          <w:trHeight w:val="408"/>
        </w:trPr>
        <w:tc>
          <w:tcPr>
            <w:tcW w:w="2940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A1553BA" w14:textId="77777777" w:rsidR="00587A36" w:rsidRPr="00CE23A4" w:rsidRDefault="00587A36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39D972" w14:textId="7777777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Values</w:t>
            </w:r>
            <w:r w:rsidR="006F0514"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(U/L)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95799D8" w14:textId="7777777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i/>
                <w:sz w:val="24"/>
                <w:szCs w:val="24"/>
              </w:rPr>
              <w:t>P</w:t>
            </w: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CE23A4" w:rsidRPr="00CE23A4" w14:paraId="0910862F" w14:textId="75A31E81" w:rsidTr="00721F02">
        <w:trPr>
          <w:trHeight w:val="302"/>
        </w:trPr>
        <w:tc>
          <w:tcPr>
            <w:tcW w:w="2934" w:type="dxa"/>
            <w:tcBorders>
              <w:top w:val="single" w:sz="4" w:space="0" w:color="auto"/>
            </w:tcBorders>
            <w:hideMark/>
          </w:tcPr>
          <w:p w14:paraId="097282CC" w14:textId="77777777" w:rsidR="00721F02" w:rsidRPr="00CE23A4" w:rsidRDefault="00721F02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Cs/>
                <w:sz w:val="24"/>
                <w:szCs w:val="24"/>
              </w:rPr>
              <w:t>Child Class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</w:tcBorders>
          </w:tcPr>
          <w:p w14:paraId="09E8EF70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D625A4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3F2BDAA1" w14:textId="77777777" w:rsidTr="00721F02">
        <w:trPr>
          <w:trHeight w:val="414"/>
        </w:trPr>
        <w:tc>
          <w:tcPr>
            <w:tcW w:w="2940" w:type="dxa"/>
            <w:gridSpan w:val="2"/>
            <w:hideMark/>
          </w:tcPr>
          <w:p w14:paraId="59F863C8" w14:textId="0815ABE4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  <w:r w:rsidR="00AF12A0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(CTP up to 6)</w:t>
            </w:r>
          </w:p>
        </w:tc>
        <w:tc>
          <w:tcPr>
            <w:tcW w:w="2130" w:type="dxa"/>
            <w:hideMark/>
          </w:tcPr>
          <w:p w14:paraId="2918DE07" w14:textId="77777777" w:rsidR="00587A36" w:rsidRPr="00CE23A4" w:rsidRDefault="006F0514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7058 ± 208</w:t>
            </w:r>
          </w:p>
        </w:tc>
        <w:tc>
          <w:tcPr>
            <w:tcW w:w="2268" w:type="dxa"/>
            <w:hideMark/>
          </w:tcPr>
          <w:p w14:paraId="3A0A7B60" w14:textId="7777777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72268FF7" w14:textId="77777777" w:rsidTr="00721F02">
        <w:trPr>
          <w:trHeight w:val="371"/>
        </w:trPr>
        <w:tc>
          <w:tcPr>
            <w:tcW w:w="2940" w:type="dxa"/>
            <w:gridSpan w:val="2"/>
            <w:hideMark/>
          </w:tcPr>
          <w:p w14:paraId="106F3AA4" w14:textId="5CB3029D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B</w:t>
            </w:r>
            <w:r w:rsidR="00AF12A0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(CTP 7-9)</w:t>
            </w:r>
          </w:p>
        </w:tc>
        <w:tc>
          <w:tcPr>
            <w:tcW w:w="2130" w:type="dxa"/>
            <w:hideMark/>
          </w:tcPr>
          <w:p w14:paraId="16296B7D" w14:textId="77777777" w:rsidR="00587A36" w:rsidRPr="00CE23A4" w:rsidRDefault="006F0514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3773</w:t>
            </w:r>
            <w:r w:rsidR="00587A36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±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372</w:t>
            </w:r>
          </w:p>
        </w:tc>
        <w:tc>
          <w:tcPr>
            <w:tcW w:w="2268" w:type="dxa"/>
            <w:hideMark/>
          </w:tcPr>
          <w:p w14:paraId="4E0D5FF1" w14:textId="40D49890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0.001</w:t>
            </w:r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(A </w:t>
            </w:r>
            <w:proofErr w:type="spellStart"/>
            <w:r w:rsidR="007953C2" w:rsidRPr="00CE23A4">
              <w:rPr>
                <w:rFonts w:ascii="Book Antiqua" w:eastAsia="Times New Roman" w:hAnsi="Book Antiqua" w:cs="Arial"/>
                <w:i/>
                <w:sz w:val="24"/>
                <w:szCs w:val="24"/>
              </w:rPr>
              <w:t>vs</w:t>
            </w:r>
            <w:proofErr w:type="spellEnd"/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B)</w:t>
            </w:r>
          </w:p>
        </w:tc>
      </w:tr>
      <w:tr w:rsidR="00CE23A4" w:rsidRPr="00CE23A4" w14:paraId="7CFB9463" w14:textId="77777777" w:rsidTr="00721F02">
        <w:trPr>
          <w:trHeight w:val="310"/>
        </w:trPr>
        <w:tc>
          <w:tcPr>
            <w:tcW w:w="2940" w:type="dxa"/>
            <w:gridSpan w:val="2"/>
            <w:hideMark/>
          </w:tcPr>
          <w:p w14:paraId="4C6DFAC1" w14:textId="256D2322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  <w:r w:rsidR="00AF12A0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(CTP ≥ 10)</w:t>
            </w:r>
          </w:p>
        </w:tc>
        <w:tc>
          <w:tcPr>
            <w:tcW w:w="2130" w:type="dxa"/>
            <w:hideMark/>
          </w:tcPr>
          <w:p w14:paraId="32399A0D" w14:textId="77777777" w:rsidR="00587A36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1605 ± 129</w:t>
            </w:r>
          </w:p>
        </w:tc>
        <w:tc>
          <w:tcPr>
            <w:tcW w:w="2268" w:type="dxa"/>
            <w:hideMark/>
          </w:tcPr>
          <w:p w14:paraId="66D7B9B0" w14:textId="3105F744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0.001</w:t>
            </w:r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(B </w:t>
            </w:r>
            <w:proofErr w:type="spellStart"/>
            <w:r w:rsidR="00721F02" w:rsidRPr="00CE23A4">
              <w:rPr>
                <w:rFonts w:ascii="Book Antiqua" w:eastAsia="Times New Roman" w:hAnsi="Book Antiqua" w:cs="Arial"/>
                <w:i/>
                <w:sz w:val="24"/>
                <w:szCs w:val="24"/>
              </w:rPr>
              <w:t>vs</w:t>
            </w:r>
            <w:proofErr w:type="spellEnd"/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C)</w:t>
            </w:r>
          </w:p>
        </w:tc>
      </w:tr>
      <w:tr w:rsidR="00CE23A4" w:rsidRPr="00CE23A4" w14:paraId="5F94173B" w14:textId="1B0137DF" w:rsidTr="00721F02">
        <w:trPr>
          <w:trHeight w:val="336"/>
        </w:trPr>
        <w:tc>
          <w:tcPr>
            <w:tcW w:w="2934" w:type="dxa"/>
            <w:hideMark/>
          </w:tcPr>
          <w:p w14:paraId="5A78990B" w14:textId="77777777" w:rsidR="00721F02" w:rsidRPr="00CE23A4" w:rsidRDefault="00721F02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Cs/>
                <w:sz w:val="24"/>
                <w:szCs w:val="24"/>
              </w:rPr>
              <w:t>MELD score</w:t>
            </w:r>
          </w:p>
        </w:tc>
        <w:tc>
          <w:tcPr>
            <w:tcW w:w="2136" w:type="dxa"/>
            <w:gridSpan w:val="2"/>
          </w:tcPr>
          <w:p w14:paraId="75ED36EA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933A4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26765738" w14:textId="77777777" w:rsidTr="00721F02">
        <w:trPr>
          <w:trHeight w:val="328"/>
        </w:trPr>
        <w:tc>
          <w:tcPr>
            <w:tcW w:w="2940" w:type="dxa"/>
            <w:gridSpan w:val="2"/>
            <w:hideMark/>
          </w:tcPr>
          <w:p w14:paraId="4F4C2346" w14:textId="77777777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≥ 15</w:t>
            </w:r>
          </w:p>
        </w:tc>
        <w:tc>
          <w:tcPr>
            <w:tcW w:w="2130" w:type="dxa"/>
            <w:hideMark/>
          </w:tcPr>
          <w:p w14:paraId="36F22366" w14:textId="77777777" w:rsidR="00587A36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2285</w:t>
            </w:r>
            <w:r w:rsidR="00587A36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±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373</w:t>
            </w:r>
          </w:p>
        </w:tc>
        <w:tc>
          <w:tcPr>
            <w:tcW w:w="2268" w:type="dxa"/>
            <w:hideMark/>
          </w:tcPr>
          <w:p w14:paraId="0244DA46" w14:textId="7777777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6E3424F9" w14:textId="77777777" w:rsidTr="00721F02">
        <w:trPr>
          <w:trHeight w:val="345"/>
        </w:trPr>
        <w:tc>
          <w:tcPr>
            <w:tcW w:w="2940" w:type="dxa"/>
            <w:gridSpan w:val="2"/>
            <w:hideMark/>
          </w:tcPr>
          <w:p w14:paraId="24FCC422" w14:textId="31566413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15</w:t>
            </w:r>
          </w:p>
        </w:tc>
        <w:tc>
          <w:tcPr>
            <w:tcW w:w="2130" w:type="dxa"/>
            <w:hideMark/>
          </w:tcPr>
          <w:p w14:paraId="0FFD0D18" w14:textId="77777777" w:rsidR="00587A36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6423</w:t>
            </w:r>
            <w:r w:rsidR="00587A36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±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206</w:t>
            </w:r>
          </w:p>
        </w:tc>
        <w:tc>
          <w:tcPr>
            <w:tcW w:w="2268" w:type="dxa"/>
            <w:hideMark/>
          </w:tcPr>
          <w:p w14:paraId="79EC02CB" w14:textId="0020F77C" w:rsidR="00587A36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0.001</w:t>
            </w:r>
          </w:p>
        </w:tc>
      </w:tr>
      <w:tr w:rsidR="00CE23A4" w:rsidRPr="00CE23A4" w14:paraId="528A1EE7" w14:textId="419F9013" w:rsidTr="00721F02">
        <w:trPr>
          <w:trHeight w:val="336"/>
        </w:trPr>
        <w:tc>
          <w:tcPr>
            <w:tcW w:w="2934" w:type="dxa"/>
            <w:hideMark/>
          </w:tcPr>
          <w:p w14:paraId="617B4EC7" w14:textId="77777777" w:rsidR="00721F02" w:rsidRPr="00CE23A4" w:rsidRDefault="00721F02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Cs/>
                <w:sz w:val="24"/>
                <w:szCs w:val="24"/>
              </w:rPr>
              <w:t>APRI</w:t>
            </w:r>
          </w:p>
        </w:tc>
        <w:tc>
          <w:tcPr>
            <w:tcW w:w="2136" w:type="dxa"/>
            <w:gridSpan w:val="2"/>
          </w:tcPr>
          <w:p w14:paraId="5BF083EE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670B6F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005EC827" w14:textId="77777777" w:rsidTr="00721F02">
        <w:trPr>
          <w:trHeight w:val="336"/>
        </w:trPr>
        <w:tc>
          <w:tcPr>
            <w:tcW w:w="2940" w:type="dxa"/>
            <w:gridSpan w:val="2"/>
            <w:hideMark/>
          </w:tcPr>
          <w:p w14:paraId="17D0725D" w14:textId="0D92197B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≥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1.5</w:t>
            </w:r>
          </w:p>
        </w:tc>
        <w:tc>
          <w:tcPr>
            <w:tcW w:w="2130" w:type="dxa"/>
            <w:hideMark/>
          </w:tcPr>
          <w:p w14:paraId="32C02996" w14:textId="77777777" w:rsidR="00587A36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4002</w:t>
            </w:r>
            <w:r w:rsidR="00587A36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±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219</w:t>
            </w:r>
          </w:p>
        </w:tc>
        <w:tc>
          <w:tcPr>
            <w:tcW w:w="2268" w:type="dxa"/>
            <w:hideMark/>
          </w:tcPr>
          <w:p w14:paraId="11082421" w14:textId="7777777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31F56558" w14:textId="77777777" w:rsidTr="00721F02">
        <w:trPr>
          <w:trHeight w:val="328"/>
        </w:trPr>
        <w:tc>
          <w:tcPr>
            <w:tcW w:w="2940" w:type="dxa"/>
            <w:gridSpan w:val="2"/>
            <w:hideMark/>
          </w:tcPr>
          <w:p w14:paraId="4F31428E" w14:textId="5A49EE77" w:rsidR="00587A36" w:rsidRPr="00CE23A4" w:rsidRDefault="00587A36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1.5</w:t>
            </w:r>
          </w:p>
        </w:tc>
        <w:tc>
          <w:tcPr>
            <w:tcW w:w="2130" w:type="dxa"/>
            <w:hideMark/>
          </w:tcPr>
          <w:p w14:paraId="2FD318E1" w14:textId="7777777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7</w:t>
            </w:r>
            <w:r w:rsidR="00371FDD" w:rsidRPr="00CE23A4">
              <w:rPr>
                <w:rFonts w:ascii="Book Antiqua" w:eastAsia="Times New Roman" w:hAnsi="Book Antiqua" w:cs="Arial"/>
                <w:sz w:val="24"/>
                <w:szCs w:val="24"/>
              </w:rPr>
              <w:t>498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± </w:t>
            </w:r>
            <w:r w:rsidR="00371FDD" w:rsidRPr="00CE23A4">
              <w:rPr>
                <w:rFonts w:ascii="Book Antiqua" w:eastAsia="Times New Roman" w:hAnsi="Book Antiqua" w:cs="Arial"/>
                <w:sz w:val="24"/>
                <w:szCs w:val="24"/>
              </w:rPr>
              <w:t>251</w:t>
            </w:r>
          </w:p>
        </w:tc>
        <w:tc>
          <w:tcPr>
            <w:tcW w:w="2268" w:type="dxa"/>
            <w:hideMark/>
          </w:tcPr>
          <w:p w14:paraId="506E490D" w14:textId="21882C87" w:rsidR="00587A36" w:rsidRPr="00CE23A4" w:rsidRDefault="00587A36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0.001</w:t>
            </w:r>
          </w:p>
        </w:tc>
      </w:tr>
      <w:tr w:rsidR="00CE23A4" w:rsidRPr="00CE23A4" w14:paraId="0FB61A13" w14:textId="5937580D" w:rsidTr="00721F02">
        <w:trPr>
          <w:trHeight w:val="328"/>
        </w:trPr>
        <w:tc>
          <w:tcPr>
            <w:tcW w:w="2934" w:type="dxa"/>
          </w:tcPr>
          <w:p w14:paraId="2E3DB0D8" w14:textId="77777777" w:rsidR="00721F02" w:rsidRPr="00CE23A4" w:rsidRDefault="00721F02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BEA score</w:t>
            </w:r>
          </w:p>
        </w:tc>
        <w:tc>
          <w:tcPr>
            <w:tcW w:w="2136" w:type="dxa"/>
            <w:gridSpan w:val="2"/>
          </w:tcPr>
          <w:p w14:paraId="266609BB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9BEB8" w14:textId="77777777" w:rsidR="00721F02" w:rsidRPr="00CE23A4" w:rsidRDefault="00721F02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6C43283B" w14:textId="77777777" w:rsidTr="00721F02">
        <w:trPr>
          <w:trHeight w:val="328"/>
        </w:trPr>
        <w:tc>
          <w:tcPr>
            <w:tcW w:w="2940" w:type="dxa"/>
            <w:gridSpan w:val="2"/>
          </w:tcPr>
          <w:p w14:paraId="581308F1" w14:textId="77777777" w:rsidR="006F0514" w:rsidRPr="00CE23A4" w:rsidRDefault="006F0514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A</w:t>
            </w:r>
          </w:p>
        </w:tc>
        <w:tc>
          <w:tcPr>
            <w:tcW w:w="2130" w:type="dxa"/>
          </w:tcPr>
          <w:p w14:paraId="6D4AEEAC" w14:textId="77777777" w:rsidR="006F0514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8036 ± 967</w:t>
            </w:r>
          </w:p>
        </w:tc>
        <w:tc>
          <w:tcPr>
            <w:tcW w:w="2268" w:type="dxa"/>
          </w:tcPr>
          <w:p w14:paraId="6EB3369D" w14:textId="77777777" w:rsidR="006F0514" w:rsidRPr="00CE23A4" w:rsidRDefault="006F0514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CE23A4" w:rsidRPr="00CE23A4" w14:paraId="7FF5A159" w14:textId="77777777" w:rsidTr="00721F02">
        <w:trPr>
          <w:trHeight w:val="328"/>
        </w:trPr>
        <w:tc>
          <w:tcPr>
            <w:tcW w:w="2940" w:type="dxa"/>
            <w:gridSpan w:val="2"/>
          </w:tcPr>
          <w:p w14:paraId="676B61BB" w14:textId="77777777" w:rsidR="006F0514" w:rsidRPr="00CE23A4" w:rsidRDefault="006F0514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B</w:t>
            </w:r>
          </w:p>
        </w:tc>
        <w:tc>
          <w:tcPr>
            <w:tcW w:w="2130" w:type="dxa"/>
          </w:tcPr>
          <w:p w14:paraId="1D913E58" w14:textId="77777777" w:rsidR="006F0514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6993 ± 222</w:t>
            </w:r>
          </w:p>
        </w:tc>
        <w:tc>
          <w:tcPr>
            <w:tcW w:w="2268" w:type="dxa"/>
          </w:tcPr>
          <w:p w14:paraId="68116FA9" w14:textId="0B98FC16" w:rsidR="006F0514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0.337</w:t>
            </w:r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(A </w:t>
            </w:r>
            <w:proofErr w:type="spellStart"/>
            <w:r w:rsidR="00721F02" w:rsidRPr="00CE23A4">
              <w:rPr>
                <w:rFonts w:ascii="Book Antiqua" w:eastAsia="Times New Roman" w:hAnsi="Book Antiqua" w:cs="Arial"/>
                <w:i/>
                <w:sz w:val="24"/>
                <w:szCs w:val="24"/>
              </w:rPr>
              <w:t>vs</w:t>
            </w:r>
            <w:proofErr w:type="spellEnd"/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B)</w:t>
            </w:r>
          </w:p>
        </w:tc>
      </w:tr>
      <w:tr w:rsidR="00CE23A4" w:rsidRPr="00CE23A4" w14:paraId="158DFCC8" w14:textId="77777777" w:rsidTr="00721F02">
        <w:trPr>
          <w:trHeight w:val="328"/>
        </w:trPr>
        <w:tc>
          <w:tcPr>
            <w:tcW w:w="2940" w:type="dxa"/>
            <w:gridSpan w:val="2"/>
          </w:tcPr>
          <w:p w14:paraId="0D3BD64F" w14:textId="77777777" w:rsidR="006F0514" w:rsidRPr="00CE23A4" w:rsidRDefault="006F0514" w:rsidP="00721F02">
            <w:pPr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C</w:t>
            </w:r>
          </w:p>
        </w:tc>
        <w:tc>
          <w:tcPr>
            <w:tcW w:w="2130" w:type="dxa"/>
          </w:tcPr>
          <w:p w14:paraId="4B995BA8" w14:textId="77777777" w:rsidR="006F0514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3211 ± 258</w:t>
            </w:r>
          </w:p>
        </w:tc>
        <w:tc>
          <w:tcPr>
            <w:tcW w:w="2268" w:type="dxa"/>
          </w:tcPr>
          <w:p w14:paraId="555E1665" w14:textId="4F699BBB" w:rsidR="006F0514" w:rsidRPr="00CE23A4" w:rsidRDefault="00371FDD" w:rsidP="00721F02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</w:t>
            </w:r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0.001</w:t>
            </w:r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 (B </w:t>
            </w:r>
            <w:proofErr w:type="spellStart"/>
            <w:r w:rsidR="00721F02" w:rsidRPr="00CE23A4">
              <w:rPr>
                <w:rFonts w:ascii="Book Antiqua" w:eastAsia="Times New Roman" w:hAnsi="Book Antiqua" w:cs="Arial"/>
                <w:i/>
                <w:sz w:val="24"/>
                <w:szCs w:val="24"/>
              </w:rPr>
              <w:t>vs</w:t>
            </w:r>
            <w:proofErr w:type="spellEnd"/>
            <w:r w:rsidR="00721F02" w:rsidRPr="00CE23A4">
              <w:rPr>
                <w:rFonts w:ascii="Book Antiqua" w:hAnsi="Book Antiqua" w:cs="Arial" w:hint="eastAsia"/>
                <w:sz w:val="24"/>
                <w:szCs w:val="24"/>
                <w:lang w:eastAsia="zh-CN"/>
              </w:rPr>
              <w:t xml:space="preserve"> </w:t>
            </w:r>
            <w:r w:rsidR="007953C2" w:rsidRPr="00CE23A4">
              <w:rPr>
                <w:rFonts w:ascii="Book Antiqua" w:eastAsia="Times New Roman" w:hAnsi="Book Antiqua" w:cs="Arial"/>
                <w:sz w:val="24"/>
                <w:szCs w:val="24"/>
              </w:rPr>
              <w:t>C)</w:t>
            </w:r>
          </w:p>
        </w:tc>
      </w:tr>
    </w:tbl>
    <w:p w14:paraId="07CE10A2" w14:textId="7E870DF9" w:rsidR="009D5101" w:rsidRPr="00CE23A4" w:rsidRDefault="006F0514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E23A4">
        <w:rPr>
          <w:rFonts w:ascii="Book Antiqua" w:hAnsi="Book Antiqua"/>
          <w:sz w:val="24"/>
          <w:szCs w:val="24"/>
        </w:rPr>
        <w:t>Values are mean</w:t>
      </w:r>
      <w:r w:rsidR="00453E4C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sz w:val="24"/>
          <w:szCs w:val="24"/>
        </w:rPr>
        <w:t xml:space="preserve">± </w:t>
      </w:r>
      <w:r w:rsidR="00453E4C">
        <w:rPr>
          <w:rFonts w:ascii="Book Antiqua" w:hAnsi="Book Antiqua" w:hint="eastAsia"/>
          <w:sz w:val="24"/>
          <w:szCs w:val="24"/>
          <w:lang w:eastAsia="zh-CN"/>
        </w:rPr>
        <w:t>SE</w:t>
      </w:r>
      <w:r w:rsidR="00721F02" w:rsidRPr="00CE23A4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AF12A0" w:rsidRPr="00CE23A4">
        <w:rPr>
          <w:rFonts w:ascii="Book Antiqua" w:hAnsi="Book Antiqua"/>
          <w:sz w:val="24"/>
          <w:szCs w:val="24"/>
        </w:rPr>
        <w:t>CTP</w:t>
      </w:r>
      <w:r w:rsidR="00721F02"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AF12A0" w:rsidRPr="00CE23A4">
        <w:rPr>
          <w:rFonts w:ascii="Book Antiqua" w:hAnsi="Book Antiqua"/>
          <w:sz w:val="24"/>
          <w:szCs w:val="24"/>
        </w:rPr>
        <w:t xml:space="preserve">Child </w:t>
      </w:r>
      <w:proofErr w:type="spellStart"/>
      <w:r w:rsidR="00AF12A0" w:rsidRPr="00CE23A4">
        <w:rPr>
          <w:rFonts w:ascii="Book Antiqua" w:hAnsi="Book Antiqua"/>
          <w:sz w:val="24"/>
          <w:szCs w:val="24"/>
        </w:rPr>
        <w:t>Turc</w:t>
      </w:r>
      <w:r w:rsidR="00371FDD" w:rsidRPr="00CE23A4">
        <w:rPr>
          <w:rFonts w:ascii="Book Antiqua" w:hAnsi="Book Antiqua"/>
          <w:sz w:val="24"/>
          <w:szCs w:val="24"/>
        </w:rPr>
        <w:t>otte</w:t>
      </w:r>
      <w:proofErr w:type="spellEnd"/>
      <w:r w:rsidR="00371FDD" w:rsidRPr="00CE23A4">
        <w:rPr>
          <w:rFonts w:ascii="Book Antiqua" w:hAnsi="Book Antiqua"/>
          <w:sz w:val="24"/>
          <w:szCs w:val="24"/>
        </w:rPr>
        <w:t xml:space="preserve"> Pugh; MELD</w:t>
      </w:r>
      <w:r w:rsidR="00721F02"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371FDD" w:rsidRPr="00CE23A4">
        <w:rPr>
          <w:rFonts w:ascii="Book Antiqua" w:hAnsi="Book Antiqua"/>
          <w:caps/>
          <w:sz w:val="24"/>
          <w:szCs w:val="24"/>
        </w:rPr>
        <w:t>m</w:t>
      </w:r>
      <w:r w:rsidR="00371FDD" w:rsidRPr="00CE23A4">
        <w:rPr>
          <w:rFonts w:ascii="Book Antiqua" w:hAnsi="Book Antiqua"/>
          <w:sz w:val="24"/>
          <w:szCs w:val="24"/>
        </w:rPr>
        <w:t xml:space="preserve">odel for </w:t>
      </w:r>
      <w:r w:rsidR="00371FDD" w:rsidRPr="00CE23A4">
        <w:rPr>
          <w:rFonts w:ascii="Book Antiqua" w:hAnsi="Book Antiqua"/>
          <w:caps/>
          <w:sz w:val="24"/>
          <w:szCs w:val="24"/>
        </w:rPr>
        <w:t>e</w:t>
      </w:r>
      <w:r w:rsidR="00371FDD" w:rsidRPr="00CE23A4">
        <w:rPr>
          <w:rFonts w:ascii="Book Antiqua" w:hAnsi="Book Antiqua"/>
          <w:sz w:val="24"/>
          <w:szCs w:val="24"/>
        </w:rPr>
        <w:t xml:space="preserve">nd </w:t>
      </w:r>
      <w:r w:rsidR="00371FDD" w:rsidRPr="00CE23A4">
        <w:rPr>
          <w:rFonts w:ascii="Book Antiqua" w:hAnsi="Book Antiqua"/>
          <w:caps/>
          <w:sz w:val="24"/>
          <w:szCs w:val="24"/>
        </w:rPr>
        <w:t>s</w:t>
      </w:r>
      <w:r w:rsidR="00371FDD" w:rsidRPr="00CE23A4">
        <w:rPr>
          <w:rFonts w:ascii="Book Antiqua" w:hAnsi="Book Antiqua"/>
          <w:sz w:val="24"/>
          <w:szCs w:val="24"/>
        </w:rPr>
        <w:t xml:space="preserve">tage </w:t>
      </w:r>
      <w:r w:rsidR="00371FDD" w:rsidRPr="00CE23A4">
        <w:rPr>
          <w:rFonts w:ascii="Book Antiqua" w:hAnsi="Book Antiqua"/>
          <w:caps/>
          <w:sz w:val="24"/>
          <w:szCs w:val="24"/>
        </w:rPr>
        <w:t>l</w:t>
      </w:r>
      <w:r w:rsidR="00371FDD" w:rsidRPr="00CE23A4">
        <w:rPr>
          <w:rFonts w:ascii="Book Antiqua" w:hAnsi="Book Antiqua"/>
          <w:sz w:val="24"/>
          <w:szCs w:val="24"/>
        </w:rPr>
        <w:t xml:space="preserve">iver </w:t>
      </w:r>
      <w:r w:rsidR="00371FDD" w:rsidRPr="00CE23A4">
        <w:rPr>
          <w:rFonts w:ascii="Book Antiqua" w:hAnsi="Book Antiqua"/>
          <w:caps/>
          <w:sz w:val="24"/>
          <w:szCs w:val="24"/>
        </w:rPr>
        <w:t>d</w:t>
      </w:r>
      <w:r w:rsidR="00371FDD" w:rsidRPr="00CE23A4">
        <w:rPr>
          <w:rFonts w:ascii="Book Antiqua" w:hAnsi="Book Antiqua"/>
          <w:sz w:val="24"/>
          <w:szCs w:val="24"/>
        </w:rPr>
        <w:t>isease; APRI</w:t>
      </w:r>
      <w:r w:rsidR="00721F02"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371FDD" w:rsidRPr="00CE23A4">
        <w:rPr>
          <w:rFonts w:ascii="Book Antiqua" w:hAnsi="Book Antiqua"/>
          <w:sz w:val="24"/>
          <w:szCs w:val="24"/>
        </w:rPr>
        <w:t>AST to platelet ratio index; BEA</w:t>
      </w:r>
      <w:r w:rsidR="00721F02"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="00371FDD" w:rsidRPr="00CE23A4">
        <w:rPr>
          <w:rFonts w:ascii="Book Antiqua" w:hAnsi="Book Antiqua"/>
          <w:caps/>
          <w:sz w:val="24"/>
          <w:szCs w:val="24"/>
        </w:rPr>
        <w:t>b</w:t>
      </w:r>
      <w:r w:rsidR="00371FDD" w:rsidRPr="00CE23A4">
        <w:rPr>
          <w:rFonts w:ascii="Book Antiqua" w:hAnsi="Book Antiqua"/>
          <w:sz w:val="24"/>
          <w:szCs w:val="24"/>
        </w:rPr>
        <w:t>aseline-event-anticipation</w:t>
      </w:r>
      <w:r w:rsidR="008B66B5" w:rsidRPr="00CE23A4">
        <w:rPr>
          <w:rFonts w:ascii="Book Antiqua" w:hAnsi="Book Antiqua"/>
          <w:sz w:val="24"/>
          <w:szCs w:val="24"/>
        </w:rPr>
        <w:t>.</w:t>
      </w:r>
    </w:p>
    <w:p w14:paraId="2DE6328D" w14:textId="77777777" w:rsidR="00721F02" w:rsidRPr="00CE23A4" w:rsidRDefault="00721F02">
      <w:pPr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br w:type="page"/>
      </w:r>
    </w:p>
    <w:p w14:paraId="27A92567" w14:textId="02B1FB8A" w:rsidR="00587A36" w:rsidRPr="00CE23A4" w:rsidRDefault="009D5101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lastRenderedPageBreak/>
        <w:t>Table 3</w:t>
      </w:r>
      <w:r w:rsidR="00721F02" w:rsidRPr="00CE23A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520F5A" w:rsidRPr="00CE23A4">
        <w:rPr>
          <w:rFonts w:ascii="Book Antiqua" w:hAnsi="Book Antiqua"/>
          <w:b/>
          <w:caps/>
          <w:sz w:val="24"/>
          <w:szCs w:val="24"/>
        </w:rPr>
        <w:t>r</w:t>
      </w:r>
      <w:r w:rsidR="00520F5A" w:rsidRPr="00CE23A4">
        <w:rPr>
          <w:rFonts w:ascii="Book Antiqua" w:hAnsi="Book Antiqua"/>
          <w:b/>
          <w:sz w:val="24"/>
          <w:szCs w:val="24"/>
        </w:rPr>
        <w:t>eceiver operating characteristic a</w:t>
      </w:r>
      <w:r w:rsidR="004A466E" w:rsidRPr="00CE23A4">
        <w:rPr>
          <w:rFonts w:ascii="Book Antiqua" w:hAnsi="Book Antiqua"/>
          <w:b/>
          <w:sz w:val="24"/>
          <w:szCs w:val="24"/>
        </w:rPr>
        <w:t>nalysis</w:t>
      </w:r>
    </w:p>
    <w:tbl>
      <w:tblPr>
        <w:tblStyle w:val="TableGrid"/>
        <w:tblW w:w="80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994"/>
        <w:gridCol w:w="1122"/>
        <w:gridCol w:w="1418"/>
        <w:gridCol w:w="1985"/>
        <w:gridCol w:w="1559"/>
      </w:tblGrid>
      <w:tr w:rsidR="00CE23A4" w:rsidRPr="00CE23A4" w14:paraId="540CF2B7" w14:textId="77777777" w:rsidTr="008B66B5">
        <w:trPr>
          <w:trHeight w:val="587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7339584" w14:textId="4C6CDDA0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State variable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FB9742" w14:textId="3F38690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  <w:vertAlign w:val="superscript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AUC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EE6A28F" w14:textId="63FFF735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F70AC9" w14:textId="3189DB70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Asymptotic </w:t>
            </w:r>
            <w:r w:rsidR="00520F5A"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</w:t>
            </w: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ig. (</w:t>
            </w:r>
            <w:r w:rsidRPr="00CE23A4">
              <w:rPr>
                <w:rFonts w:ascii="Book Antiqua" w:eastAsia="Times New Roman" w:hAnsi="Book Antiqua" w:cs="Arial"/>
                <w:b/>
                <w:bCs/>
                <w:i/>
                <w:sz w:val="24"/>
                <w:szCs w:val="24"/>
              </w:rPr>
              <w:t>P</w:t>
            </w: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 value)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153A0A" w14:textId="6DBB95AD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95%CI</w:t>
            </w:r>
          </w:p>
        </w:tc>
      </w:tr>
      <w:tr w:rsidR="00CE23A4" w:rsidRPr="00CE23A4" w14:paraId="3401F237" w14:textId="77777777" w:rsidTr="008B66B5">
        <w:trPr>
          <w:trHeight w:val="222"/>
        </w:trPr>
        <w:tc>
          <w:tcPr>
            <w:tcW w:w="1994" w:type="dxa"/>
            <w:tcBorders>
              <w:top w:val="single" w:sz="4" w:space="0" w:color="auto"/>
            </w:tcBorders>
            <w:hideMark/>
          </w:tcPr>
          <w:p w14:paraId="0FC83FE8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Ascites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hideMark/>
          </w:tcPr>
          <w:p w14:paraId="10487090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0.836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hideMark/>
          </w:tcPr>
          <w:p w14:paraId="46131084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0.038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hideMark/>
          </w:tcPr>
          <w:p w14:paraId="646D6760" w14:textId="4E81CDC8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79FF4575" w14:textId="12EEE426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0.762-0.910</w:t>
            </w:r>
          </w:p>
        </w:tc>
      </w:tr>
      <w:tr w:rsidR="00CE23A4" w:rsidRPr="00CE23A4" w14:paraId="5217A709" w14:textId="77777777" w:rsidTr="008B66B5">
        <w:trPr>
          <w:trHeight w:val="327"/>
        </w:trPr>
        <w:tc>
          <w:tcPr>
            <w:tcW w:w="1994" w:type="dxa"/>
            <w:hideMark/>
          </w:tcPr>
          <w:p w14:paraId="49B5EDD0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CTP ≥ 7</w:t>
            </w:r>
          </w:p>
        </w:tc>
        <w:tc>
          <w:tcPr>
            <w:tcW w:w="1122" w:type="dxa"/>
            <w:hideMark/>
          </w:tcPr>
          <w:p w14:paraId="6371297D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0.889</w:t>
            </w:r>
          </w:p>
        </w:tc>
        <w:tc>
          <w:tcPr>
            <w:tcW w:w="1418" w:type="dxa"/>
            <w:hideMark/>
          </w:tcPr>
          <w:p w14:paraId="075193F4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0.029</w:t>
            </w:r>
          </w:p>
        </w:tc>
        <w:tc>
          <w:tcPr>
            <w:tcW w:w="1985" w:type="dxa"/>
            <w:hideMark/>
          </w:tcPr>
          <w:p w14:paraId="5FA5AE90" w14:textId="64C04C18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  <w:hideMark/>
          </w:tcPr>
          <w:p w14:paraId="50461466" w14:textId="00CE7FB3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0.832-0.946</w:t>
            </w:r>
          </w:p>
        </w:tc>
      </w:tr>
      <w:tr w:rsidR="00CE23A4" w:rsidRPr="00CE23A4" w14:paraId="3F253EA0" w14:textId="77777777" w:rsidTr="008B66B5">
        <w:trPr>
          <w:trHeight w:val="305"/>
        </w:trPr>
        <w:tc>
          <w:tcPr>
            <w:tcW w:w="1994" w:type="dxa"/>
            <w:hideMark/>
          </w:tcPr>
          <w:p w14:paraId="706FD75D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CTP ≥ 10 </w:t>
            </w:r>
          </w:p>
        </w:tc>
        <w:tc>
          <w:tcPr>
            <w:tcW w:w="1122" w:type="dxa"/>
            <w:hideMark/>
          </w:tcPr>
          <w:p w14:paraId="0DA5F57D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0.966</w:t>
            </w:r>
          </w:p>
        </w:tc>
        <w:tc>
          <w:tcPr>
            <w:tcW w:w="1418" w:type="dxa"/>
            <w:hideMark/>
          </w:tcPr>
          <w:p w14:paraId="32C762B3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0.013</w:t>
            </w:r>
          </w:p>
        </w:tc>
        <w:tc>
          <w:tcPr>
            <w:tcW w:w="1985" w:type="dxa"/>
            <w:hideMark/>
          </w:tcPr>
          <w:p w14:paraId="26223FE6" w14:textId="403417C6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  <w:hideMark/>
          </w:tcPr>
          <w:p w14:paraId="3B1D9F59" w14:textId="2A301420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0.940-0.992</w:t>
            </w:r>
          </w:p>
        </w:tc>
      </w:tr>
      <w:tr w:rsidR="00CE23A4" w:rsidRPr="00CE23A4" w14:paraId="2FDE47AA" w14:textId="77777777" w:rsidTr="008B66B5">
        <w:trPr>
          <w:trHeight w:val="269"/>
        </w:trPr>
        <w:tc>
          <w:tcPr>
            <w:tcW w:w="1994" w:type="dxa"/>
            <w:hideMark/>
          </w:tcPr>
          <w:p w14:paraId="12E04A62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MELD ≥ 10</w:t>
            </w:r>
          </w:p>
        </w:tc>
        <w:tc>
          <w:tcPr>
            <w:tcW w:w="1122" w:type="dxa"/>
            <w:hideMark/>
          </w:tcPr>
          <w:p w14:paraId="4192454D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0.798</w:t>
            </w:r>
          </w:p>
        </w:tc>
        <w:tc>
          <w:tcPr>
            <w:tcW w:w="1418" w:type="dxa"/>
            <w:hideMark/>
          </w:tcPr>
          <w:p w14:paraId="2379818D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0.034</w:t>
            </w:r>
          </w:p>
        </w:tc>
        <w:tc>
          <w:tcPr>
            <w:tcW w:w="1985" w:type="dxa"/>
            <w:hideMark/>
          </w:tcPr>
          <w:p w14:paraId="076BCB41" w14:textId="2980E5B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  <w:hideMark/>
          </w:tcPr>
          <w:p w14:paraId="22EC4623" w14:textId="38B3EDFC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0.731-0.864</w:t>
            </w:r>
          </w:p>
        </w:tc>
      </w:tr>
      <w:tr w:rsidR="00CE23A4" w:rsidRPr="00CE23A4" w14:paraId="33B61912" w14:textId="77777777" w:rsidTr="008B66B5">
        <w:trPr>
          <w:trHeight w:val="233"/>
        </w:trPr>
        <w:tc>
          <w:tcPr>
            <w:tcW w:w="1994" w:type="dxa"/>
            <w:hideMark/>
          </w:tcPr>
          <w:p w14:paraId="7D700AD0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MELD ≥ 15</w:t>
            </w:r>
          </w:p>
        </w:tc>
        <w:tc>
          <w:tcPr>
            <w:tcW w:w="1122" w:type="dxa"/>
            <w:hideMark/>
          </w:tcPr>
          <w:p w14:paraId="4E5BC765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0.913</w:t>
            </w:r>
          </w:p>
        </w:tc>
        <w:tc>
          <w:tcPr>
            <w:tcW w:w="1418" w:type="dxa"/>
            <w:hideMark/>
          </w:tcPr>
          <w:p w14:paraId="31FD5505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0.038</w:t>
            </w:r>
          </w:p>
        </w:tc>
        <w:tc>
          <w:tcPr>
            <w:tcW w:w="1985" w:type="dxa"/>
            <w:hideMark/>
          </w:tcPr>
          <w:p w14:paraId="5EB366CC" w14:textId="50F96EB4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  <w:hideMark/>
          </w:tcPr>
          <w:p w14:paraId="56C245C1" w14:textId="625D1085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0.838-0.987</w:t>
            </w:r>
          </w:p>
        </w:tc>
      </w:tr>
      <w:tr w:rsidR="00CE23A4" w:rsidRPr="00CE23A4" w14:paraId="065A7B6B" w14:textId="77777777" w:rsidTr="008B66B5">
        <w:trPr>
          <w:trHeight w:val="338"/>
        </w:trPr>
        <w:tc>
          <w:tcPr>
            <w:tcW w:w="1994" w:type="dxa"/>
            <w:hideMark/>
          </w:tcPr>
          <w:p w14:paraId="6BECA07A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APRI ≥ 1.5</w:t>
            </w:r>
          </w:p>
        </w:tc>
        <w:tc>
          <w:tcPr>
            <w:tcW w:w="1122" w:type="dxa"/>
            <w:hideMark/>
          </w:tcPr>
          <w:p w14:paraId="6FD55976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0.825</w:t>
            </w:r>
          </w:p>
        </w:tc>
        <w:tc>
          <w:tcPr>
            <w:tcW w:w="1418" w:type="dxa"/>
            <w:hideMark/>
          </w:tcPr>
          <w:p w14:paraId="66D5E87E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0.026</w:t>
            </w:r>
          </w:p>
        </w:tc>
        <w:tc>
          <w:tcPr>
            <w:tcW w:w="1985" w:type="dxa"/>
            <w:hideMark/>
          </w:tcPr>
          <w:p w14:paraId="374527E1" w14:textId="0C18C556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  <w:hideMark/>
          </w:tcPr>
          <w:p w14:paraId="6EF27F39" w14:textId="7DDC5958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0.773-0.877</w:t>
            </w:r>
          </w:p>
        </w:tc>
      </w:tr>
      <w:tr w:rsidR="00CE23A4" w:rsidRPr="00CE23A4" w14:paraId="3BD3A979" w14:textId="77777777" w:rsidTr="008B66B5">
        <w:trPr>
          <w:trHeight w:val="303"/>
        </w:trPr>
        <w:tc>
          <w:tcPr>
            <w:tcW w:w="1994" w:type="dxa"/>
          </w:tcPr>
          <w:p w14:paraId="583D61D4" w14:textId="77777777" w:rsidR="008B66B5" w:rsidRPr="00CE23A4" w:rsidRDefault="008B66B5" w:rsidP="002804CB">
            <w:pPr>
              <w:snapToGrid w:val="0"/>
              <w:spacing w:line="36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BEA ≥ 5</w:t>
            </w:r>
          </w:p>
        </w:tc>
        <w:tc>
          <w:tcPr>
            <w:tcW w:w="1122" w:type="dxa"/>
          </w:tcPr>
          <w:p w14:paraId="45DEF76E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0.871</w:t>
            </w:r>
          </w:p>
        </w:tc>
        <w:tc>
          <w:tcPr>
            <w:tcW w:w="1418" w:type="dxa"/>
          </w:tcPr>
          <w:p w14:paraId="15C702A4" w14:textId="77777777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0.028</w:t>
            </w:r>
          </w:p>
        </w:tc>
        <w:tc>
          <w:tcPr>
            <w:tcW w:w="1985" w:type="dxa"/>
          </w:tcPr>
          <w:p w14:paraId="0EBD1297" w14:textId="2D5734D5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&lt; 0.001</w:t>
            </w:r>
          </w:p>
        </w:tc>
        <w:tc>
          <w:tcPr>
            <w:tcW w:w="1559" w:type="dxa"/>
          </w:tcPr>
          <w:p w14:paraId="4DD08148" w14:textId="51809FDD" w:rsidR="008B66B5" w:rsidRPr="00CE23A4" w:rsidRDefault="008B66B5" w:rsidP="008B66B5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0.816-0.926</w:t>
            </w:r>
          </w:p>
        </w:tc>
      </w:tr>
    </w:tbl>
    <w:p w14:paraId="3DADB34E" w14:textId="0B6AC0B8" w:rsidR="00F61C3A" w:rsidRPr="00CE23A4" w:rsidRDefault="008B66B5" w:rsidP="002804CB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E23A4">
        <w:rPr>
          <w:rFonts w:ascii="Book Antiqua" w:hAnsi="Book Antiqua"/>
          <w:sz w:val="24"/>
          <w:szCs w:val="24"/>
        </w:rPr>
        <w:t>CTP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sz w:val="24"/>
          <w:szCs w:val="24"/>
        </w:rPr>
        <w:t xml:space="preserve">Child </w:t>
      </w:r>
      <w:proofErr w:type="spellStart"/>
      <w:r w:rsidRPr="00CE23A4">
        <w:rPr>
          <w:rFonts w:ascii="Book Antiqua" w:hAnsi="Book Antiqua"/>
          <w:sz w:val="24"/>
          <w:szCs w:val="24"/>
        </w:rPr>
        <w:t>Turcotte</w:t>
      </w:r>
      <w:proofErr w:type="spellEnd"/>
      <w:r w:rsidRPr="00CE23A4">
        <w:rPr>
          <w:rFonts w:ascii="Book Antiqua" w:hAnsi="Book Antiqua"/>
          <w:sz w:val="24"/>
          <w:szCs w:val="24"/>
        </w:rPr>
        <w:t xml:space="preserve"> Pugh; MELD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caps/>
          <w:sz w:val="24"/>
          <w:szCs w:val="24"/>
        </w:rPr>
        <w:t>m</w:t>
      </w:r>
      <w:r w:rsidRPr="00CE23A4">
        <w:rPr>
          <w:rFonts w:ascii="Book Antiqua" w:hAnsi="Book Antiqua"/>
          <w:sz w:val="24"/>
          <w:szCs w:val="24"/>
        </w:rPr>
        <w:t xml:space="preserve">odel for </w:t>
      </w:r>
      <w:r w:rsidRPr="00CE23A4">
        <w:rPr>
          <w:rFonts w:ascii="Book Antiqua" w:hAnsi="Book Antiqua"/>
          <w:caps/>
          <w:sz w:val="24"/>
          <w:szCs w:val="24"/>
        </w:rPr>
        <w:t>e</w:t>
      </w:r>
      <w:r w:rsidRPr="00CE23A4">
        <w:rPr>
          <w:rFonts w:ascii="Book Antiqua" w:hAnsi="Book Antiqua"/>
          <w:sz w:val="24"/>
          <w:szCs w:val="24"/>
        </w:rPr>
        <w:t xml:space="preserve">nd </w:t>
      </w:r>
      <w:r w:rsidRPr="00CE23A4">
        <w:rPr>
          <w:rFonts w:ascii="Book Antiqua" w:hAnsi="Book Antiqua"/>
          <w:caps/>
          <w:sz w:val="24"/>
          <w:szCs w:val="24"/>
        </w:rPr>
        <w:t>s</w:t>
      </w:r>
      <w:r w:rsidRPr="00CE23A4">
        <w:rPr>
          <w:rFonts w:ascii="Book Antiqua" w:hAnsi="Book Antiqua"/>
          <w:sz w:val="24"/>
          <w:szCs w:val="24"/>
        </w:rPr>
        <w:t xml:space="preserve">tage </w:t>
      </w:r>
      <w:r w:rsidRPr="00CE23A4">
        <w:rPr>
          <w:rFonts w:ascii="Book Antiqua" w:hAnsi="Book Antiqua"/>
          <w:caps/>
          <w:sz w:val="24"/>
          <w:szCs w:val="24"/>
        </w:rPr>
        <w:t>l</w:t>
      </w:r>
      <w:r w:rsidRPr="00CE23A4">
        <w:rPr>
          <w:rFonts w:ascii="Book Antiqua" w:hAnsi="Book Antiqua"/>
          <w:sz w:val="24"/>
          <w:szCs w:val="24"/>
        </w:rPr>
        <w:t xml:space="preserve">iver </w:t>
      </w:r>
      <w:r w:rsidRPr="00CE23A4">
        <w:rPr>
          <w:rFonts w:ascii="Book Antiqua" w:hAnsi="Book Antiqua"/>
          <w:caps/>
          <w:sz w:val="24"/>
          <w:szCs w:val="24"/>
        </w:rPr>
        <w:t>d</w:t>
      </w:r>
      <w:r w:rsidRPr="00CE23A4">
        <w:rPr>
          <w:rFonts w:ascii="Book Antiqua" w:hAnsi="Book Antiqua"/>
          <w:sz w:val="24"/>
          <w:szCs w:val="24"/>
        </w:rPr>
        <w:t>isease; APRI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sz w:val="24"/>
          <w:szCs w:val="24"/>
        </w:rPr>
        <w:t>AST to platelet ratio index; BEA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caps/>
          <w:sz w:val="24"/>
          <w:szCs w:val="24"/>
        </w:rPr>
        <w:t>b</w:t>
      </w:r>
      <w:r w:rsidRPr="00CE23A4">
        <w:rPr>
          <w:rFonts w:ascii="Book Antiqua" w:hAnsi="Book Antiqua"/>
          <w:sz w:val="24"/>
          <w:szCs w:val="24"/>
        </w:rPr>
        <w:t>aseline-event-anticipation.</w:t>
      </w:r>
    </w:p>
    <w:p w14:paraId="79DC52DA" w14:textId="77777777" w:rsidR="00721F02" w:rsidRPr="00CE23A4" w:rsidRDefault="00721F02">
      <w:pPr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br w:type="page"/>
      </w:r>
    </w:p>
    <w:p w14:paraId="0CD6B8C7" w14:textId="70CB254C" w:rsidR="004F2AD5" w:rsidRPr="00CE23A4" w:rsidRDefault="004F2AD5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lastRenderedPageBreak/>
        <w:t>Table 4</w:t>
      </w:r>
      <w:r w:rsidR="008B66B5" w:rsidRPr="00CE23A4">
        <w:rPr>
          <w:rFonts w:ascii="Book Antiqua" w:hAnsi="Book Antiqua"/>
          <w:b/>
          <w:sz w:val="24"/>
          <w:szCs w:val="24"/>
        </w:rPr>
        <w:t xml:space="preserve"> </w:t>
      </w:r>
      <w:r w:rsidRPr="00CE23A4">
        <w:rPr>
          <w:rFonts w:ascii="Book Antiqua" w:hAnsi="Book Antiqua"/>
          <w:b/>
          <w:sz w:val="24"/>
          <w:szCs w:val="24"/>
        </w:rPr>
        <w:t xml:space="preserve">Optimal </w:t>
      </w:r>
      <w:r w:rsidR="008B66B5" w:rsidRPr="00CE23A4">
        <w:rPr>
          <w:rFonts w:ascii="Book Antiqua" w:hAnsi="Book Antiqua"/>
          <w:b/>
          <w:sz w:val="24"/>
          <w:szCs w:val="24"/>
        </w:rPr>
        <w:t>c</w:t>
      </w:r>
      <w:r w:rsidRPr="00CE23A4">
        <w:rPr>
          <w:rFonts w:ascii="Book Antiqua" w:hAnsi="Book Antiqua"/>
          <w:b/>
          <w:sz w:val="24"/>
          <w:szCs w:val="24"/>
        </w:rPr>
        <w:t xml:space="preserve">holinesterase </w:t>
      </w:r>
      <w:r w:rsidR="008B66B5" w:rsidRPr="00CE23A4">
        <w:rPr>
          <w:rFonts w:ascii="Book Antiqua" w:hAnsi="Book Antiqua"/>
          <w:b/>
          <w:sz w:val="24"/>
          <w:szCs w:val="24"/>
        </w:rPr>
        <w:t>c</w:t>
      </w:r>
      <w:r w:rsidRPr="00CE23A4">
        <w:rPr>
          <w:rFonts w:ascii="Book Antiqua" w:hAnsi="Book Antiqua"/>
          <w:b/>
          <w:sz w:val="24"/>
          <w:szCs w:val="24"/>
        </w:rPr>
        <w:t>utoffs</w:t>
      </w:r>
    </w:p>
    <w:tbl>
      <w:tblPr>
        <w:tblStyle w:val="TableGrid"/>
        <w:tblW w:w="11058" w:type="dxa"/>
        <w:tblInd w:w="-88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702"/>
        <w:gridCol w:w="2268"/>
        <w:gridCol w:w="2693"/>
        <w:gridCol w:w="2835"/>
        <w:gridCol w:w="1560"/>
      </w:tblGrid>
      <w:tr w:rsidR="00CE23A4" w:rsidRPr="00CE23A4" w14:paraId="0DB59257" w14:textId="77777777" w:rsidTr="00453E4C">
        <w:trPr>
          <w:trHeight w:val="69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80A10D" w14:textId="22DA3DAE" w:rsidR="008B66B5" w:rsidRPr="00CE23A4" w:rsidRDefault="008B66B5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 xml:space="preserve">State </w:t>
            </w:r>
            <w:r w:rsidR="00520F5A"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v</w:t>
            </w: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ariable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D019643" w14:textId="30486329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Cholinesterase cut off value (IU/L)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9CF45B" w14:textId="767E0418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Sensitivity, % (95%CI)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FECFEE6" w14:textId="2E23A3E2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Specificity, % (95%CI)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FB86D6" w14:textId="4E0D0A28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Likelihood ratio</w:t>
            </w:r>
          </w:p>
        </w:tc>
      </w:tr>
      <w:tr w:rsidR="00CE23A4" w:rsidRPr="00CE23A4" w14:paraId="029450B5" w14:textId="77777777" w:rsidTr="00453E4C">
        <w:trPr>
          <w:trHeight w:val="369"/>
        </w:trPr>
        <w:tc>
          <w:tcPr>
            <w:tcW w:w="1702" w:type="dxa"/>
            <w:tcBorders>
              <w:top w:val="single" w:sz="4" w:space="0" w:color="auto"/>
            </w:tcBorders>
            <w:hideMark/>
          </w:tcPr>
          <w:p w14:paraId="09BBDBC4" w14:textId="77777777" w:rsidR="008B66B5" w:rsidRPr="00CE23A4" w:rsidRDefault="008B66B5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Ascites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281842C" w14:textId="2FB0349E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3812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  <w:hideMark/>
          </w:tcPr>
          <w:p w14:paraId="71D3872F" w14:textId="22CBAB96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80.00 (66.28- 89.97)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  <w:hideMark/>
          </w:tcPr>
          <w:p w14:paraId="2A437BB0" w14:textId="682006C2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81.97 (75.62-87.25)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  <w:hideMark/>
          </w:tcPr>
          <w:p w14:paraId="79ECD19F" w14:textId="77777777" w:rsidR="008B66B5" w:rsidRPr="00CE23A4" w:rsidRDefault="008B66B5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4.436</w:t>
            </w:r>
          </w:p>
        </w:tc>
      </w:tr>
      <w:tr w:rsidR="00CE23A4" w:rsidRPr="00CE23A4" w14:paraId="384E9F58" w14:textId="77777777" w:rsidTr="00453E4C">
        <w:trPr>
          <w:trHeight w:val="347"/>
        </w:trPr>
        <w:tc>
          <w:tcPr>
            <w:tcW w:w="1702" w:type="dxa"/>
            <w:hideMark/>
          </w:tcPr>
          <w:p w14:paraId="0EE8DF09" w14:textId="77777777" w:rsidR="00520F5A" w:rsidRPr="00CE23A4" w:rsidRDefault="00520F5A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CTP ≥ 7</w:t>
            </w:r>
          </w:p>
        </w:tc>
        <w:tc>
          <w:tcPr>
            <w:tcW w:w="2268" w:type="dxa"/>
          </w:tcPr>
          <w:p w14:paraId="12D7277A" w14:textId="2A8783AC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3812</w:t>
            </w:r>
          </w:p>
        </w:tc>
        <w:tc>
          <w:tcPr>
            <w:tcW w:w="2693" w:type="dxa"/>
            <w:vAlign w:val="bottom"/>
            <w:hideMark/>
          </w:tcPr>
          <w:p w14:paraId="0B0F7254" w14:textId="1B695620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79.10 (67.43-88.08)</w:t>
            </w:r>
          </w:p>
        </w:tc>
        <w:tc>
          <w:tcPr>
            <w:tcW w:w="2835" w:type="dxa"/>
            <w:vAlign w:val="bottom"/>
            <w:hideMark/>
          </w:tcPr>
          <w:p w14:paraId="58046EA2" w14:textId="419A84C4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67.47 (59.78-74.53)</w:t>
            </w:r>
          </w:p>
        </w:tc>
        <w:tc>
          <w:tcPr>
            <w:tcW w:w="1560" w:type="dxa"/>
            <w:vAlign w:val="bottom"/>
            <w:hideMark/>
          </w:tcPr>
          <w:p w14:paraId="3D15321D" w14:textId="77777777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2.432</w:t>
            </w:r>
          </w:p>
        </w:tc>
      </w:tr>
      <w:tr w:rsidR="00CE23A4" w:rsidRPr="00CE23A4" w14:paraId="3DBBDE2B" w14:textId="77777777" w:rsidTr="00453E4C">
        <w:trPr>
          <w:trHeight w:val="439"/>
        </w:trPr>
        <w:tc>
          <w:tcPr>
            <w:tcW w:w="1702" w:type="dxa"/>
            <w:hideMark/>
          </w:tcPr>
          <w:p w14:paraId="3B43D520" w14:textId="77777777" w:rsidR="00520F5A" w:rsidRPr="00CE23A4" w:rsidRDefault="00520F5A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 xml:space="preserve">CTP ≥ 10 </w:t>
            </w:r>
          </w:p>
        </w:tc>
        <w:tc>
          <w:tcPr>
            <w:tcW w:w="2268" w:type="dxa"/>
          </w:tcPr>
          <w:p w14:paraId="4E4CA4E8" w14:textId="2BD326FE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2853</w:t>
            </w:r>
          </w:p>
        </w:tc>
        <w:tc>
          <w:tcPr>
            <w:tcW w:w="2693" w:type="dxa"/>
            <w:vAlign w:val="bottom"/>
            <w:hideMark/>
          </w:tcPr>
          <w:p w14:paraId="163E1845" w14:textId="27E4FC58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100.00 (79.41-100.00)</w:t>
            </w:r>
          </w:p>
        </w:tc>
        <w:tc>
          <w:tcPr>
            <w:tcW w:w="2835" w:type="dxa"/>
            <w:vAlign w:val="bottom"/>
            <w:hideMark/>
          </w:tcPr>
          <w:p w14:paraId="13332EA8" w14:textId="1ABE4BDE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84.79 (79.31-89.29)</w:t>
            </w:r>
          </w:p>
        </w:tc>
        <w:tc>
          <w:tcPr>
            <w:tcW w:w="1560" w:type="dxa"/>
            <w:vAlign w:val="bottom"/>
            <w:hideMark/>
          </w:tcPr>
          <w:p w14:paraId="2D919742" w14:textId="77777777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6.576</w:t>
            </w:r>
          </w:p>
        </w:tc>
      </w:tr>
      <w:tr w:rsidR="00CE23A4" w:rsidRPr="00CE23A4" w14:paraId="0175C790" w14:textId="77777777" w:rsidTr="00453E4C">
        <w:trPr>
          <w:trHeight w:val="402"/>
        </w:trPr>
        <w:tc>
          <w:tcPr>
            <w:tcW w:w="1702" w:type="dxa"/>
            <w:hideMark/>
          </w:tcPr>
          <w:p w14:paraId="6B46E685" w14:textId="77777777" w:rsidR="00520F5A" w:rsidRPr="00CE23A4" w:rsidRDefault="00520F5A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MELD ≥ 10</w:t>
            </w:r>
          </w:p>
        </w:tc>
        <w:tc>
          <w:tcPr>
            <w:tcW w:w="2268" w:type="dxa"/>
          </w:tcPr>
          <w:p w14:paraId="766C13F1" w14:textId="5E8B9904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4719</w:t>
            </w:r>
          </w:p>
        </w:tc>
        <w:tc>
          <w:tcPr>
            <w:tcW w:w="2693" w:type="dxa"/>
            <w:vAlign w:val="bottom"/>
            <w:hideMark/>
          </w:tcPr>
          <w:p w14:paraId="01ADDC7D" w14:textId="3DA8018E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72.09 (61.38-81.23)</w:t>
            </w:r>
          </w:p>
        </w:tc>
        <w:tc>
          <w:tcPr>
            <w:tcW w:w="2835" w:type="dxa"/>
            <w:vAlign w:val="bottom"/>
            <w:hideMark/>
          </w:tcPr>
          <w:p w14:paraId="726B1629" w14:textId="564B01A4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80.27 (72.91-86.37)</w:t>
            </w:r>
          </w:p>
        </w:tc>
        <w:tc>
          <w:tcPr>
            <w:tcW w:w="1560" w:type="dxa"/>
            <w:vAlign w:val="bottom"/>
            <w:hideMark/>
          </w:tcPr>
          <w:p w14:paraId="113E15E7" w14:textId="77777777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3.654</w:t>
            </w:r>
          </w:p>
        </w:tc>
      </w:tr>
      <w:tr w:rsidR="00CE23A4" w:rsidRPr="00CE23A4" w14:paraId="32FDEB5B" w14:textId="77777777" w:rsidTr="00453E4C">
        <w:trPr>
          <w:trHeight w:val="381"/>
        </w:trPr>
        <w:tc>
          <w:tcPr>
            <w:tcW w:w="1702" w:type="dxa"/>
            <w:hideMark/>
          </w:tcPr>
          <w:p w14:paraId="1E758B5F" w14:textId="77777777" w:rsidR="00520F5A" w:rsidRPr="00CE23A4" w:rsidRDefault="00520F5A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MELD ≥ 15</w:t>
            </w:r>
          </w:p>
        </w:tc>
        <w:tc>
          <w:tcPr>
            <w:tcW w:w="2268" w:type="dxa"/>
          </w:tcPr>
          <w:p w14:paraId="36EF4058" w14:textId="2C7A17E1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2829</w:t>
            </w:r>
          </w:p>
        </w:tc>
        <w:tc>
          <w:tcPr>
            <w:tcW w:w="2693" w:type="dxa"/>
            <w:vAlign w:val="bottom"/>
            <w:hideMark/>
          </w:tcPr>
          <w:p w14:paraId="5EFF07CD" w14:textId="47189ED1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91.67 (73.00-98.97)</w:t>
            </w:r>
          </w:p>
        </w:tc>
        <w:tc>
          <w:tcPr>
            <w:tcW w:w="2835" w:type="dxa"/>
            <w:vAlign w:val="bottom"/>
            <w:hideMark/>
          </w:tcPr>
          <w:p w14:paraId="09A5A057" w14:textId="28E06D04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87.56 (82.31-91.71)</w:t>
            </w:r>
          </w:p>
        </w:tc>
        <w:tc>
          <w:tcPr>
            <w:tcW w:w="1560" w:type="dxa"/>
            <w:vAlign w:val="bottom"/>
            <w:hideMark/>
          </w:tcPr>
          <w:p w14:paraId="3204D97C" w14:textId="77777777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7.369</w:t>
            </w:r>
          </w:p>
        </w:tc>
      </w:tr>
      <w:tr w:rsidR="00CE23A4" w:rsidRPr="00CE23A4" w14:paraId="166B0A6A" w14:textId="77777777" w:rsidTr="00453E4C">
        <w:trPr>
          <w:trHeight w:val="345"/>
        </w:trPr>
        <w:tc>
          <w:tcPr>
            <w:tcW w:w="1702" w:type="dxa"/>
          </w:tcPr>
          <w:p w14:paraId="793A924A" w14:textId="77777777" w:rsidR="00520F5A" w:rsidRPr="00CE23A4" w:rsidRDefault="00520F5A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BEA ≥ 5</w:t>
            </w:r>
          </w:p>
        </w:tc>
        <w:tc>
          <w:tcPr>
            <w:tcW w:w="2268" w:type="dxa"/>
          </w:tcPr>
          <w:p w14:paraId="56386E8D" w14:textId="62F2DC04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4719</w:t>
            </w:r>
          </w:p>
        </w:tc>
        <w:tc>
          <w:tcPr>
            <w:tcW w:w="2693" w:type="dxa"/>
            <w:vAlign w:val="bottom"/>
          </w:tcPr>
          <w:p w14:paraId="5F26D027" w14:textId="1059B62C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82.54 (70.90-90.95)</w:t>
            </w:r>
          </w:p>
        </w:tc>
        <w:tc>
          <w:tcPr>
            <w:tcW w:w="2835" w:type="dxa"/>
            <w:vAlign w:val="bottom"/>
          </w:tcPr>
          <w:p w14:paraId="44BD335B" w14:textId="393987CC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77.06 (70.00-83.15)</w:t>
            </w:r>
          </w:p>
        </w:tc>
        <w:tc>
          <w:tcPr>
            <w:tcW w:w="1560" w:type="dxa"/>
            <w:vAlign w:val="bottom"/>
          </w:tcPr>
          <w:p w14:paraId="2967FC42" w14:textId="77777777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3.598</w:t>
            </w:r>
          </w:p>
        </w:tc>
      </w:tr>
      <w:tr w:rsidR="00CE23A4" w:rsidRPr="00CE23A4" w14:paraId="32B0747C" w14:textId="77777777" w:rsidTr="00453E4C">
        <w:trPr>
          <w:trHeight w:val="309"/>
        </w:trPr>
        <w:tc>
          <w:tcPr>
            <w:tcW w:w="1702" w:type="dxa"/>
          </w:tcPr>
          <w:p w14:paraId="72DEBD9D" w14:textId="2BA071B3" w:rsidR="00520F5A" w:rsidRPr="00CE23A4" w:rsidRDefault="00520F5A" w:rsidP="00520F5A">
            <w:pPr>
              <w:snapToGrid w:val="0"/>
              <w:spacing w:line="36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Arial"/>
                <w:sz w:val="24"/>
                <w:szCs w:val="24"/>
              </w:rPr>
              <w:t>APRI ≥ 1.5</w:t>
            </w:r>
          </w:p>
        </w:tc>
        <w:tc>
          <w:tcPr>
            <w:tcW w:w="2268" w:type="dxa"/>
          </w:tcPr>
          <w:p w14:paraId="6EBDA987" w14:textId="19EF7805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  <w:lang w:val="en-GB"/>
              </w:rPr>
              <w:t>&lt; 3954</w:t>
            </w:r>
          </w:p>
        </w:tc>
        <w:tc>
          <w:tcPr>
            <w:tcW w:w="2693" w:type="dxa"/>
            <w:vAlign w:val="bottom"/>
          </w:tcPr>
          <w:p w14:paraId="08210DE0" w14:textId="0E7D0944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58.00 (47.71-67.80)</w:t>
            </w:r>
          </w:p>
        </w:tc>
        <w:tc>
          <w:tcPr>
            <w:tcW w:w="2835" w:type="dxa"/>
            <w:vAlign w:val="bottom"/>
          </w:tcPr>
          <w:p w14:paraId="54138C34" w14:textId="05E0204B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55.64 (46.78-64.25)</w:t>
            </w:r>
          </w:p>
        </w:tc>
        <w:tc>
          <w:tcPr>
            <w:tcW w:w="1560" w:type="dxa"/>
            <w:vAlign w:val="bottom"/>
          </w:tcPr>
          <w:p w14:paraId="0CF68A79" w14:textId="6F5149C2" w:rsidR="00520F5A" w:rsidRPr="00CE23A4" w:rsidRDefault="00520F5A" w:rsidP="00520F5A">
            <w:pPr>
              <w:snapToGrid w:val="0"/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</w:pPr>
            <w:r w:rsidRPr="00CE23A4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1.307</w:t>
            </w:r>
          </w:p>
        </w:tc>
      </w:tr>
    </w:tbl>
    <w:p w14:paraId="08450597" w14:textId="77777777" w:rsidR="00520F5A" w:rsidRPr="00CE23A4" w:rsidRDefault="00520F5A" w:rsidP="00520F5A">
      <w:pPr>
        <w:snapToGri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CE23A4">
        <w:rPr>
          <w:rFonts w:ascii="Book Antiqua" w:hAnsi="Book Antiqua"/>
          <w:sz w:val="24"/>
          <w:szCs w:val="24"/>
        </w:rPr>
        <w:t>CTP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sz w:val="24"/>
          <w:szCs w:val="24"/>
        </w:rPr>
        <w:t xml:space="preserve">Child </w:t>
      </w:r>
      <w:proofErr w:type="spellStart"/>
      <w:r w:rsidRPr="00CE23A4">
        <w:rPr>
          <w:rFonts w:ascii="Book Antiqua" w:hAnsi="Book Antiqua"/>
          <w:sz w:val="24"/>
          <w:szCs w:val="24"/>
        </w:rPr>
        <w:t>Turcotte</w:t>
      </w:r>
      <w:proofErr w:type="spellEnd"/>
      <w:r w:rsidRPr="00CE23A4">
        <w:rPr>
          <w:rFonts w:ascii="Book Antiqua" w:hAnsi="Book Antiqua"/>
          <w:sz w:val="24"/>
          <w:szCs w:val="24"/>
        </w:rPr>
        <w:t xml:space="preserve"> Pugh; MELD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caps/>
          <w:sz w:val="24"/>
          <w:szCs w:val="24"/>
        </w:rPr>
        <w:t>m</w:t>
      </w:r>
      <w:r w:rsidRPr="00CE23A4">
        <w:rPr>
          <w:rFonts w:ascii="Book Antiqua" w:hAnsi="Book Antiqua"/>
          <w:sz w:val="24"/>
          <w:szCs w:val="24"/>
        </w:rPr>
        <w:t xml:space="preserve">odel for </w:t>
      </w:r>
      <w:r w:rsidRPr="00CE23A4">
        <w:rPr>
          <w:rFonts w:ascii="Book Antiqua" w:hAnsi="Book Antiqua"/>
          <w:caps/>
          <w:sz w:val="24"/>
          <w:szCs w:val="24"/>
        </w:rPr>
        <w:t>e</w:t>
      </w:r>
      <w:r w:rsidRPr="00CE23A4">
        <w:rPr>
          <w:rFonts w:ascii="Book Antiqua" w:hAnsi="Book Antiqua"/>
          <w:sz w:val="24"/>
          <w:szCs w:val="24"/>
        </w:rPr>
        <w:t xml:space="preserve">nd </w:t>
      </w:r>
      <w:r w:rsidRPr="00CE23A4">
        <w:rPr>
          <w:rFonts w:ascii="Book Antiqua" w:hAnsi="Book Antiqua"/>
          <w:caps/>
          <w:sz w:val="24"/>
          <w:szCs w:val="24"/>
        </w:rPr>
        <w:t>s</w:t>
      </w:r>
      <w:r w:rsidRPr="00CE23A4">
        <w:rPr>
          <w:rFonts w:ascii="Book Antiqua" w:hAnsi="Book Antiqua"/>
          <w:sz w:val="24"/>
          <w:szCs w:val="24"/>
        </w:rPr>
        <w:t xml:space="preserve">tage </w:t>
      </w:r>
      <w:r w:rsidRPr="00CE23A4">
        <w:rPr>
          <w:rFonts w:ascii="Book Antiqua" w:hAnsi="Book Antiqua"/>
          <w:caps/>
          <w:sz w:val="24"/>
          <w:szCs w:val="24"/>
        </w:rPr>
        <w:t>l</w:t>
      </w:r>
      <w:r w:rsidRPr="00CE23A4">
        <w:rPr>
          <w:rFonts w:ascii="Book Antiqua" w:hAnsi="Book Antiqua"/>
          <w:sz w:val="24"/>
          <w:szCs w:val="24"/>
        </w:rPr>
        <w:t xml:space="preserve">iver </w:t>
      </w:r>
      <w:r w:rsidRPr="00CE23A4">
        <w:rPr>
          <w:rFonts w:ascii="Book Antiqua" w:hAnsi="Book Antiqua"/>
          <w:caps/>
          <w:sz w:val="24"/>
          <w:szCs w:val="24"/>
        </w:rPr>
        <w:t>d</w:t>
      </w:r>
      <w:r w:rsidRPr="00CE23A4">
        <w:rPr>
          <w:rFonts w:ascii="Book Antiqua" w:hAnsi="Book Antiqua"/>
          <w:sz w:val="24"/>
          <w:szCs w:val="24"/>
        </w:rPr>
        <w:t>isease; APRI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sz w:val="24"/>
          <w:szCs w:val="24"/>
        </w:rPr>
        <w:t>AST to platelet ratio index; BEA</w:t>
      </w:r>
      <w:r w:rsidRPr="00CE23A4">
        <w:rPr>
          <w:rFonts w:ascii="Book Antiqua" w:hAnsi="Book Antiqua" w:hint="eastAsia"/>
          <w:sz w:val="24"/>
          <w:szCs w:val="24"/>
          <w:lang w:eastAsia="zh-CN"/>
        </w:rPr>
        <w:t xml:space="preserve">: </w:t>
      </w:r>
      <w:r w:rsidRPr="00CE23A4">
        <w:rPr>
          <w:rFonts w:ascii="Book Antiqua" w:hAnsi="Book Antiqua"/>
          <w:caps/>
          <w:sz w:val="24"/>
          <w:szCs w:val="24"/>
        </w:rPr>
        <w:t>b</w:t>
      </w:r>
      <w:r w:rsidRPr="00CE23A4">
        <w:rPr>
          <w:rFonts w:ascii="Book Antiqua" w:hAnsi="Book Antiqua"/>
          <w:sz w:val="24"/>
          <w:szCs w:val="24"/>
        </w:rPr>
        <w:t>aseline-event-anticipation.</w:t>
      </w:r>
    </w:p>
    <w:p w14:paraId="3911D738" w14:textId="77777777" w:rsidR="00721F02" w:rsidRPr="00CE23A4" w:rsidRDefault="00721F02">
      <w:pPr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sz w:val="24"/>
          <w:szCs w:val="24"/>
        </w:rPr>
        <w:br w:type="page"/>
      </w:r>
    </w:p>
    <w:p w14:paraId="5086AAC3" w14:textId="243710B5" w:rsidR="00DD4143" w:rsidRPr="00CE23A4" w:rsidRDefault="006D6ECC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CE23A4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32ED839" wp14:editId="0729C47F">
            <wp:extent cx="2773680" cy="233362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3A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7C7AE625" wp14:editId="11DC11B4">
            <wp:extent cx="2819400" cy="2371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6CBF8" w14:textId="52F041C8" w:rsidR="006D6ECC" w:rsidRPr="00CE23A4" w:rsidRDefault="006D6ECC" w:rsidP="002804CB">
      <w:pPr>
        <w:snapToGri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</w:rPr>
      </w:pPr>
      <w:r w:rsidRPr="00CE23A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EC98471" wp14:editId="43EADD42">
            <wp:extent cx="2771775" cy="2331085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23A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2FF593F" wp14:editId="790FA38B">
            <wp:extent cx="2828925" cy="237998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3964D" w14:textId="116F2269" w:rsidR="00832EBC" w:rsidRPr="00CE23A4" w:rsidRDefault="00721F02" w:rsidP="002804CB">
      <w:pPr>
        <w:snapToGrid w:val="0"/>
        <w:spacing w:after="0" w:line="360" w:lineRule="auto"/>
        <w:jc w:val="both"/>
        <w:rPr>
          <w:rFonts w:ascii="Book Antiqua" w:hAnsi="Book Antiqua"/>
          <w:noProof/>
          <w:sz w:val="24"/>
          <w:szCs w:val="24"/>
          <w:lang w:eastAsia="zh-CN"/>
        </w:rPr>
      </w:pPr>
      <w:r w:rsidRPr="00CE23A4">
        <w:rPr>
          <w:rFonts w:ascii="Book Antiqua" w:hAnsi="Book Antiqua" w:cs="Times New Roman"/>
          <w:noProof/>
          <w:sz w:val="24"/>
          <w:szCs w:val="24"/>
        </w:rPr>
        <w:drawing>
          <wp:inline distT="0" distB="0" distL="0" distR="0" wp14:anchorId="39F81659" wp14:editId="7D7E30DD">
            <wp:extent cx="2781300" cy="2223135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3A4">
        <w:rPr>
          <w:rFonts w:ascii="Book Antiqua" w:hAnsi="Book Antiqua" w:hint="eastAsia"/>
          <w:noProof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681D81B9" wp14:editId="4F06816E">
            <wp:extent cx="2800350" cy="23552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35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4A14A" w14:textId="5AF41CDD" w:rsidR="00832EBC" w:rsidRPr="00CE23A4" w:rsidRDefault="006D6ECC" w:rsidP="002804CB">
      <w:pPr>
        <w:snapToGrid w:val="0"/>
        <w:spacing w:after="0" w:line="360" w:lineRule="auto"/>
        <w:jc w:val="both"/>
        <w:rPr>
          <w:rFonts w:ascii="Book Antiqua" w:hAnsi="Book Antiqua"/>
          <w:b/>
          <w:noProof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t>Figure 1</w:t>
      </w:r>
      <w:r w:rsidR="00721F02" w:rsidRPr="00CE23A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CE23A4">
        <w:rPr>
          <w:rFonts w:ascii="Book Antiqua" w:hAnsi="Book Antiqua"/>
          <w:b/>
          <w:sz w:val="24"/>
          <w:szCs w:val="24"/>
        </w:rPr>
        <w:t xml:space="preserve">Correlations of cholinesterase levels with the synthetic liver function tests and </w:t>
      </w:r>
      <w:r w:rsidRPr="00CE23A4">
        <w:rPr>
          <w:rFonts w:ascii="Book Antiqua" w:hAnsi="Book Antiqua"/>
          <w:b/>
          <w:noProof/>
          <w:sz w:val="24"/>
          <w:szCs w:val="24"/>
        </w:rPr>
        <w:t>liver function prognostic models</w:t>
      </w:r>
      <w:r w:rsidR="00520F5A" w:rsidRPr="00CE23A4">
        <w:rPr>
          <w:rFonts w:ascii="Book Antiqua" w:hAnsi="Book Antiqua"/>
          <w:b/>
          <w:noProof/>
          <w:sz w:val="24"/>
          <w:szCs w:val="24"/>
        </w:rPr>
        <w:t>.</w:t>
      </w:r>
    </w:p>
    <w:p w14:paraId="19CC7E35" w14:textId="77777777" w:rsidR="00E071C2" w:rsidRPr="00CE23A4" w:rsidRDefault="00E071C2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6C3A3EB6" w14:textId="77777777" w:rsidR="00E071C2" w:rsidRPr="00CE23A4" w:rsidRDefault="00E071C2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E23A4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044B4D30" wp14:editId="57DCDAB1">
            <wp:extent cx="3543300" cy="298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9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0F4C5" w14:textId="10B41B92" w:rsidR="009D5101" w:rsidRPr="00CE23A4" w:rsidRDefault="006D6ECC" w:rsidP="002804CB">
      <w:pPr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CE23A4">
        <w:rPr>
          <w:rFonts w:ascii="Book Antiqua" w:hAnsi="Book Antiqua"/>
          <w:b/>
          <w:sz w:val="24"/>
          <w:szCs w:val="24"/>
        </w:rPr>
        <w:t>Figure 2</w:t>
      </w:r>
      <w:r w:rsidR="00721F02" w:rsidRPr="00CE23A4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520F5A" w:rsidRPr="00CE23A4">
        <w:rPr>
          <w:rFonts w:ascii="Book Antiqua" w:hAnsi="Book Antiqua"/>
          <w:b/>
          <w:caps/>
          <w:sz w:val="24"/>
          <w:szCs w:val="24"/>
        </w:rPr>
        <w:t>r</w:t>
      </w:r>
      <w:r w:rsidR="00520F5A" w:rsidRPr="00CE23A4">
        <w:rPr>
          <w:rFonts w:ascii="Book Antiqua" w:hAnsi="Book Antiqua"/>
          <w:b/>
          <w:sz w:val="24"/>
          <w:szCs w:val="24"/>
        </w:rPr>
        <w:t>eceiver operating characteristic</w:t>
      </w:r>
      <w:r w:rsidR="009D5101" w:rsidRPr="00CE23A4">
        <w:rPr>
          <w:rFonts w:ascii="Book Antiqua" w:hAnsi="Book Antiqua"/>
          <w:b/>
          <w:sz w:val="24"/>
          <w:szCs w:val="24"/>
        </w:rPr>
        <w:t xml:space="preserve"> curve. </w:t>
      </w:r>
      <w:r w:rsidR="009D5101" w:rsidRPr="00CE23A4">
        <w:rPr>
          <w:rFonts w:ascii="Book Antiqua" w:hAnsi="Book Antiqua"/>
          <w:sz w:val="24"/>
          <w:szCs w:val="24"/>
        </w:rPr>
        <w:t>Cholinesterase levels for MELD score 15 or more (</w:t>
      </w:r>
      <w:r w:rsidR="001A3140" w:rsidRPr="00CE23A4">
        <w:rPr>
          <w:rFonts w:ascii="Book Antiqua" w:hAnsi="Book Antiqua"/>
          <w:sz w:val="24"/>
          <w:szCs w:val="24"/>
        </w:rPr>
        <w:t>A s</w:t>
      </w:r>
      <w:r w:rsidR="009D5101" w:rsidRPr="00CE23A4">
        <w:rPr>
          <w:rFonts w:ascii="Book Antiqua" w:hAnsi="Book Antiqua"/>
          <w:sz w:val="24"/>
          <w:szCs w:val="24"/>
        </w:rPr>
        <w:t>maller test result indicate</w:t>
      </w:r>
      <w:r w:rsidR="001A3140" w:rsidRPr="00CE23A4">
        <w:rPr>
          <w:rFonts w:ascii="Book Antiqua" w:hAnsi="Book Antiqua"/>
          <w:sz w:val="24"/>
          <w:szCs w:val="24"/>
        </w:rPr>
        <w:t>s a</w:t>
      </w:r>
      <w:r w:rsidR="009D5101" w:rsidRPr="00CE23A4">
        <w:rPr>
          <w:rFonts w:ascii="Book Antiqua" w:hAnsi="Book Antiqua"/>
          <w:sz w:val="24"/>
          <w:szCs w:val="24"/>
        </w:rPr>
        <w:t xml:space="preserve"> more positive test)</w:t>
      </w:r>
      <w:r w:rsidR="00520F5A" w:rsidRPr="00CE23A4">
        <w:rPr>
          <w:rFonts w:ascii="Book Antiqua" w:hAnsi="Book Antiqua"/>
          <w:sz w:val="24"/>
          <w:szCs w:val="24"/>
        </w:rPr>
        <w:t>.</w:t>
      </w:r>
    </w:p>
    <w:p w14:paraId="6A88C7A1" w14:textId="77777777" w:rsidR="00282140" w:rsidRPr="00CE23A4" w:rsidRDefault="00282140" w:rsidP="002804CB">
      <w:pPr>
        <w:snapToGri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sectPr w:rsidR="00282140" w:rsidRPr="00CE23A4" w:rsidSect="003F058B"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1076B9" w15:done="0"/>
  <w15:commentEx w15:paraId="2D3F96E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C3ED" w14:textId="77777777" w:rsidR="0098302A" w:rsidRDefault="0098302A" w:rsidP="00E84EA3">
      <w:pPr>
        <w:spacing w:after="0" w:line="240" w:lineRule="auto"/>
      </w:pPr>
      <w:r>
        <w:separator/>
      </w:r>
    </w:p>
  </w:endnote>
  <w:endnote w:type="continuationSeparator" w:id="0">
    <w:p w14:paraId="7C0D294B" w14:textId="77777777" w:rsidR="0098302A" w:rsidRDefault="0098302A" w:rsidP="00E8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Oswa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71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19AC7" w14:textId="71EE6F3A" w:rsidR="008B66B5" w:rsidRDefault="008B66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4E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65354AE" w14:textId="77777777" w:rsidR="008B66B5" w:rsidRDefault="008B66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6C50D" w14:textId="77777777" w:rsidR="0098302A" w:rsidRDefault="0098302A" w:rsidP="00E84EA3">
      <w:pPr>
        <w:spacing w:after="0" w:line="240" w:lineRule="auto"/>
      </w:pPr>
      <w:r>
        <w:separator/>
      </w:r>
    </w:p>
  </w:footnote>
  <w:footnote w:type="continuationSeparator" w:id="0">
    <w:p w14:paraId="2B259DBF" w14:textId="77777777" w:rsidR="0098302A" w:rsidRDefault="0098302A" w:rsidP="00E8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A6EE8"/>
    <w:lvl w:ilvl="0">
      <w:numFmt w:val="bullet"/>
      <w:lvlText w:val="*"/>
      <w:lvlJc w:val="left"/>
    </w:lvl>
  </w:abstractNum>
  <w:abstractNum w:abstractNumId="1">
    <w:nsid w:val="363D01BA"/>
    <w:multiLevelType w:val="hybridMultilevel"/>
    <w:tmpl w:val="EF68FA2E"/>
    <w:lvl w:ilvl="0" w:tplc="6FF47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1CBCE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0E8C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7C09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7E2933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0A7A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BCA52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A1076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D26E4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273B4"/>
    <w:multiLevelType w:val="hybridMultilevel"/>
    <w:tmpl w:val="00AC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B30F4"/>
    <w:multiLevelType w:val="hybridMultilevel"/>
    <w:tmpl w:val="AAEC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A73D6"/>
    <w:multiLevelType w:val="hybridMultilevel"/>
    <w:tmpl w:val="8BEECC6A"/>
    <w:lvl w:ilvl="0" w:tplc="22B8388A">
      <w:start w:val="1"/>
      <w:numFmt w:val="lowerLetter"/>
      <w:lvlText w:val="%1."/>
      <w:lvlJc w:val="left"/>
      <w:pPr>
        <w:ind w:left="720" w:hanging="360"/>
      </w:pPr>
      <w:rPr>
        <w:rFonts w:ascii="Arial" w:eastAsia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72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04"/>
    <w:rsid w:val="00024611"/>
    <w:rsid w:val="00032BF3"/>
    <w:rsid w:val="00040CA0"/>
    <w:rsid w:val="000451A0"/>
    <w:rsid w:val="000543CA"/>
    <w:rsid w:val="00064F43"/>
    <w:rsid w:val="000D4DA8"/>
    <w:rsid w:val="000E628C"/>
    <w:rsid w:val="00106200"/>
    <w:rsid w:val="001333C7"/>
    <w:rsid w:val="001354B3"/>
    <w:rsid w:val="001478D8"/>
    <w:rsid w:val="001639CC"/>
    <w:rsid w:val="001A3140"/>
    <w:rsid w:val="001A54EB"/>
    <w:rsid w:val="001B5F01"/>
    <w:rsid w:val="001C2592"/>
    <w:rsid w:val="001F57E3"/>
    <w:rsid w:val="0022116A"/>
    <w:rsid w:val="00261A79"/>
    <w:rsid w:val="002804CB"/>
    <w:rsid w:val="00282140"/>
    <w:rsid w:val="00292D9A"/>
    <w:rsid w:val="002941FB"/>
    <w:rsid w:val="002A15DF"/>
    <w:rsid w:val="002B4D97"/>
    <w:rsid w:val="002F47FB"/>
    <w:rsid w:val="00325888"/>
    <w:rsid w:val="00333E39"/>
    <w:rsid w:val="00371FDD"/>
    <w:rsid w:val="00391048"/>
    <w:rsid w:val="003A3B7A"/>
    <w:rsid w:val="003A66E4"/>
    <w:rsid w:val="003F058B"/>
    <w:rsid w:val="00405367"/>
    <w:rsid w:val="00407613"/>
    <w:rsid w:val="004152BE"/>
    <w:rsid w:val="00450E8C"/>
    <w:rsid w:val="00453E4C"/>
    <w:rsid w:val="00480F8A"/>
    <w:rsid w:val="004931B5"/>
    <w:rsid w:val="00497DE3"/>
    <w:rsid w:val="004A3CCB"/>
    <w:rsid w:val="004A466E"/>
    <w:rsid w:val="004B106C"/>
    <w:rsid w:val="004C613F"/>
    <w:rsid w:val="004D15B3"/>
    <w:rsid w:val="004E1FA0"/>
    <w:rsid w:val="004F1C86"/>
    <w:rsid w:val="004F2AD5"/>
    <w:rsid w:val="005005C7"/>
    <w:rsid w:val="005009AE"/>
    <w:rsid w:val="00503045"/>
    <w:rsid w:val="00520569"/>
    <w:rsid w:val="00520F5A"/>
    <w:rsid w:val="00555E07"/>
    <w:rsid w:val="0055686A"/>
    <w:rsid w:val="00562781"/>
    <w:rsid w:val="00566D5D"/>
    <w:rsid w:val="00583393"/>
    <w:rsid w:val="00584EE2"/>
    <w:rsid w:val="0058631B"/>
    <w:rsid w:val="00587A36"/>
    <w:rsid w:val="005B217F"/>
    <w:rsid w:val="005B5AF9"/>
    <w:rsid w:val="005C590F"/>
    <w:rsid w:val="005E2C4C"/>
    <w:rsid w:val="005E4CE8"/>
    <w:rsid w:val="00626E56"/>
    <w:rsid w:val="0063023D"/>
    <w:rsid w:val="00655EAD"/>
    <w:rsid w:val="00665AD0"/>
    <w:rsid w:val="006B3856"/>
    <w:rsid w:val="006C02E4"/>
    <w:rsid w:val="006D555A"/>
    <w:rsid w:val="006D6ECC"/>
    <w:rsid w:val="006E01E1"/>
    <w:rsid w:val="006F0514"/>
    <w:rsid w:val="006F55C6"/>
    <w:rsid w:val="00706766"/>
    <w:rsid w:val="00721F02"/>
    <w:rsid w:val="00757A90"/>
    <w:rsid w:val="00760362"/>
    <w:rsid w:val="007875ED"/>
    <w:rsid w:val="007953C2"/>
    <w:rsid w:val="007A6B97"/>
    <w:rsid w:val="007E7A5C"/>
    <w:rsid w:val="007E7BB2"/>
    <w:rsid w:val="007F3F06"/>
    <w:rsid w:val="00826C13"/>
    <w:rsid w:val="00832EBC"/>
    <w:rsid w:val="008510CD"/>
    <w:rsid w:val="00855C48"/>
    <w:rsid w:val="00874043"/>
    <w:rsid w:val="008950B2"/>
    <w:rsid w:val="00896D05"/>
    <w:rsid w:val="008A0560"/>
    <w:rsid w:val="008B66B5"/>
    <w:rsid w:val="0092713F"/>
    <w:rsid w:val="0096564B"/>
    <w:rsid w:val="0098302A"/>
    <w:rsid w:val="00983BF7"/>
    <w:rsid w:val="00996D5C"/>
    <w:rsid w:val="009A566E"/>
    <w:rsid w:val="009B2EC3"/>
    <w:rsid w:val="009C3945"/>
    <w:rsid w:val="009D5101"/>
    <w:rsid w:val="009D575D"/>
    <w:rsid w:val="009F3042"/>
    <w:rsid w:val="00A02293"/>
    <w:rsid w:val="00A1405D"/>
    <w:rsid w:val="00A2558E"/>
    <w:rsid w:val="00A726ED"/>
    <w:rsid w:val="00A753BF"/>
    <w:rsid w:val="00AA42F1"/>
    <w:rsid w:val="00AB33B6"/>
    <w:rsid w:val="00AE2D73"/>
    <w:rsid w:val="00AE312C"/>
    <w:rsid w:val="00AF12A0"/>
    <w:rsid w:val="00AF4214"/>
    <w:rsid w:val="00B26692"/>
    <w:rsid w:val="00B3547C"/>
    <w:rsid w:val="00B50991"/>
    <w:rsid w:val="00B60CB6"/>
    <w:rsid w:val="00B86EAA"/>
    <w:rsid w:val="00B92822"/>
    <w:rsid w:val="00BA670B"/>
    <w:rsid w:val="00BD1744"/>
    <w:rsid w:val="00BD4F0A"/>
    <w:rsid w:val="00BD66A8"/>
    <w:rsid w:val="00BF22C5"/>
    <w:rsid w:val="00C00B67"/>
    <w:rsid w:val="00C237EA"/>
    <w:rsid w:val="00C311C0"/>
    <w:rsid w:val="00C31CCB"/>
    <w:rsid w:val="00C553B2"/>
    <w:rsid w:val="00CA33AF"/>
    <w:rsid w:val="00CB1BBC"/>
    <w:rsid w:val="00CD4DD7"/>
    <w:rsid w:val="00CE23A4"/>
    <w:rsid w:val="00CE2B72"/>
    <w:rsid w:val="00CE6442"/>
    <w:rsid w:val="00CE65DC"/>
    <w:rsid w:val="00D02FFD"/>
    <w:rsid w:val="00D0615C"/>
    <w:rsid w:val="00D07550"/>
    <w:rsid w:val="00D25BFA"/>
    <w:rsid w:val="00D2695F"/>
    <w:rsid w:val="00D26ED6"/>
    <w:rsid w:val="00D42510"/>
    <w:rsid w:val="00D46C2D"/>
    <w:rsid w:val="00D476C3"/>
    <w:rsid w:val="00D535B3"/>
    <w:rsid w:val="00D61955"/>
    <w:rsid w:val="00D80FC5"/>
    <w:rsid w:val="00D81A15"/>
    <w:rsid w:val="00DA1DEB"/>
    <w:rsid w:val="00DA1F5E"/>
    <w:rsid w:val="00DA44CC"/>
    <w:rsid w:val="00DA618A"/>
    <w:rsid w:val="00DA688E"/>
    <w:rsid w:val="00DA7FC9"/>
    <w:rsid w:val="00DB1146"/>
    <w:rsid w:val="00DB1675"/>
    <w:rsid w:val="00DC21C4"/>
    <w:rsid w:val="00DD4143"/>
    <w:rsid w:val="00E071C2"/>
    <w:rsid w:val="00E1179F"/>
    <w:rsid w:val="00E14371"/>
    <w:rsid w:val="00E24977"/>
    <w:rsid w:val="00E319AE"/>
    <w:rsid w:val="00E47AE0"/>
    <w:rsid w:val="00E62E9A"/>
    <w:rsid w:val="00E66E48"/>
    <w:rsid w:val="00E756EB"/>
    <w:rsid w:val="00E76A74"/>
    <w:rsid w:val="00E806EC"/>
    <w:rsid w:val="00E83C3D"/>
    <w:rsid w:val="00E84EA3"/>
    <w:rsid w:val="00E87976"/>
    <w:rsid w:val="00E91EAE"/>
    <w:rsid w:val="00EA2C44"/>
    <w:rsid w:val="00EC6932"/>
    <w:rsid w:val="00F016CA"/>
    <w:rsid w:val="00F11404"/>
    <w:rsid w:val="00F32EE7"/>
    <w:rsid w:val="00F33D5F"/>
    <w:rsid w:val="00F61C3A"/>
    <w:rsid w:val="00F70C7C"/>
    <w:rsid w:val="00F8002A"/>
    <w:rsid w:val="00F812E9"/>
    <w:rsid w:val="00F852B3"/>
    <w:rsid w:val="00FD1DAB"/>
    <w:rsid w:val="00FD36BE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D19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04"/>
    <w:pPr>
      <w:ind w:left="720"/>
      <w:contextualSpacing/>
    </w:pPr>
  </w:style>
  <w:style w:type="table" w:styleId="TableGrid">
    <w:name w:val="Table Grid"/>
    <w:basedOn w:val="TableNormal"/>
    <w:uiPriority w:val="39"/>
    <w:rsid w:val="00D4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0F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F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A3"/>
  </w:style>
  <w:style w:type="paragraph" w:styleId="Footer">
    <w:name w:val="footer"/>
    <w:basedOn w:val="Normal"/>
    <w:link w:val="FooterChar"/>
    <w:uiPriority w:val="99"/>
    <w:unhideWhenUsed/>
    <w:rsid w:val="00E8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A3"/>
  </w:style>
  <w:style w:type="character" w:styleId="Hyperlink">
    <w:name w:val="Hyperlink"/>
    <w:basedOn w:val="DefaultParagraphFont"/>
    <w:uiPriority w:val="99"/>
    <w:semiHidden/>
    <w:unhideWhenUsed/>
    <w:rsid w:val="0063023D"/>
    <w:rPr>
      <w:color w:val="0563C1" w:themeColor="hyperlink"/>
      <w:u w:val="single"/>
    </w:rPr>
  </w:style>
  <w:style w:type="paragraph" w:customStyle="1" w:styleId="1">
    <w:name w:val="正文1"/>
    <w:uiPriority w:val="99"/>
    <w:rsid w:val="0063023D"/>
    <w:pPr>
      <w:spacing w:after="0" w:line="276" w:lineRule="auto"/>
    </w:pPr>
    <w:rPr>
      <w:rFonts w:ascii="Arial" w:hAnsi="Arial" w:cs="Arial"/>
      <w:color w:val="000000"/>
      <w:szCs w:val="20"/>
      <w:lang w:val="pl-PL" w:eastAsia="pl-PL"/>
    </w:rPr>
  </w:style>
  <w:style w:type="character" w:styleId="Emphasis">
    <w:name w:val="Emphasis"/>
    <w:qFormat/>
    <w:rsid w:val="001A54E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404"/>
    <w:pPr>
      <w:ind w:left="720"/>
      <w:contextualSpacing/>
    </w:pPr>
  </w:style>
  <w:style w:type="table" w:styleId="TableGrid">
    <w:name w:val="Table Grid"/>
    <w:basedOn w:val="TableNormal"/>
    <w:uiPriority w:val="39"/>
    <w:rsid w:val="00D47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4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58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8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0F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80F8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F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8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A3"/>
  </w:style>
  <w:style w:type="paragraph" w:styleId="Footer">
    <w:name w:val="footer"/>
    <w:basedOn w:val="Normal"/>
    <w:link w:val="FooterChar"/>
    <w:uiPriority w:val="99"/>
    <w:unhideWhenUsed/>
    <w:rsid w:val="00E84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A3"/>
  </w:style>
  <w:style w:type="character" w:styleId="Hyperlink">
    <w:name w:val="Hyperlink"/>
    <w:basedOn w:val="DefaultParagraphFont"/>
    <w:uiPriority w:val="99"/>
    <w:semiHidden/>
    <w:unhideWhenUsed/>
    <w:rsid w:val="0063023D"/>
    <w:rPr>
      <w:color w:val="0563C1" w:themeColor="hyperlink"/>
      <w:u w:val="single"/>
    </w:rPr>
  </w:style>
  <w:style w:type="paragraph" w:customStyle="1" w:styleId="1">
    <w:name w:val="正文1"/>
    <w:uiPriority w:val="99"/>
    <w:rsid w:val="0063023D"/>
    <w:pPr>
      <w:spacing w:after="0" w:line="276" w:lineRule="auto"/>
    </w:pPr>
    <w:rPr>
      <w:rFonts w:ascii="Arial" w:hAnsi="Arial" w:cs="Arial"/>
      <w:color w:val="000000"/>
      <w:szCs w:val="20"/>
      <w:lang w:val="pl-PL" w:eastAsia="pl-PL"/>
    </w:rPr>
  </w:style>
  <w:style w:type="character" w:styleId="Emphasis">
    <w:name w:val="Emphasis"/>
    <w:qFormat/>
    <w:rsid w:val="001A54E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8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reativecommons.org/licenses/by-nc/4.0/" TargetMode="External"/><Relationship Id="rId20" Type="http://schemas.microsoft.com/office/2011/relationships/commentsExtended" Target="commentsExtended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4C84-4880-8641-A544-529590B6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3540</Words>
  <Characters>20182</Characters>
  <Application>Microsoft Macintosh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Zaigham Abbas</dc:creator>
  <cp:keywords/>
  <dc:description/>
  <cp:lastModifiedBy>Na Ma</cp:lastModifiedBy>
  <cp:revision>2</cp:revision>
  <dcterms:created xsi:type="dcterms:W3CDTF">2017-06-12T18:43:00Z</dcterms:created>
  <dcterms:modified xsi:type="dcterms:W3CDTF">2017-06-12T18:43:00Z</dcterms:modified>
</cp:coreProperties>
</file>