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3F" w:rsidRPr="00E84B3F" w:rsidRDefault="00E84B3F" w:rsidP="00633765">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E84B3F">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E84B3F">
        <w:rPr>
          <w:rFonts w:ascii="Book Antiqua" w:eastAsia="Times New Roman" w:hAnsi="Book Antiqua" w:cs="SimSun"/>
          <w:b/>
          <w:i/>
          <w:color w:val="000000"/>
        </w:rPr>
        <w:t xml:space="preserve">World Journal of </w:t>
      </w:r>
      <w:bookmarkStart w:id="8" w:name="OLE_LINK1222"/>
      <w:bookmarkStart w:id="9" w:name="OLE_LINK1223"/>
      <w:r w:rsidRPr="00E84B3F">
        <w:rPr>
          <w:rFonts w:ascii="Book Antiqua" w:eastAsia="Times New Roman" w:hAnsi="Book Antiqua" w:cs="SimSun"/>
          <w:b/>
          <w:i/>
          <w:color w:val="000000"/>
        </w:rPr>
        <w:t>Gastroenterology</w:t>
      </w:r>
      <w:bookmarkEnd w:id="3"/>
      <w:bookmarkEnd w:id="4"/>
      <w:bookmarkEnd w:id="5"/>
      <w:bookmarkEnd w:id="6"/>
      <w:bookmarkEnd w:id="7"/>
      <w:bookmarkEnd w:id="8"/>
      <w:bookmarkEnd w:id="9"/>
    </w:p>
    <w:p w:rsidR="00E84B3F" w:rsidRPr="00E84B3F" w:rsidRDefault="00E84B3F" w:rsidP="00633765">
      <w:pPr>
        <w:adjustRightInd w:val="0"/>
        <w:snapToGrid w:val="0"/>
        <w:spacing w:line="360" w:lineRule="auto"/>
        <w:jc w:val="both"/>
        <w:rPr>
          <w:rFonts w:ascii="Book Antiqua" w:eastAsia="SimSun" w:hAnsi="Book Antiqua" w:cs="Arial"/>
          <w:color w:val="000000"/>
          <w:lang w:val="en" w:eastAsia="zh-CN"/>
        </w:rPr>
      </w:pPr>
      <w:r w:rsidRPr="00E84B3F">
        <w:rPr>
          <w:rFonts w:ascii="Book Antiqua" w:hAnsi="Book Antiqua" w:cs="Arial"/>
          <w:b/>
          <w:color w:val="000000"/>
          <w:lang w:val="en"/>
        </w:rPr>
        <w:t xml:space="preserve">Manuscript </w:t>
      </w:r>
      <w:proofErr w:type="gramStart"/>
      <w:r w:rsidRPr="00E84B3F">
        <w:rPr>
          <w:rFonts w:ascii="Book Antiqua" w:hAnsi="Book Antiqua" w:cs="Arial"/>
          <w:b/>
          <w:color w:val="000000"/>
          <w:lang w:val="en"/>
        </w:rPr>
        <w:t>NO:</w:t>
      </w:r>
      <w:proofErr w:type="gramEnd"/>
      <w:r w:rsidRPr="00E84B3F">
        <w:rPr>
          <w:rFonts w:ascii="Book Antiqua" w:hAnsi="Book Antiqua" w:cs="Arial"/>
          <w:b/>
          <w:color w:val="000000"/>
          <w:lang w:val="en"/>
        </w:rPr>
        <w:t xml:space="preserve"> </w:t>
      </w:r>
      <w:r w:rsidRPr="00E84B3F">
        <w:rPr>
          <w:rFonts w:ascii="Book Antiqua" w:eastAsia="SimSun" w:hAnsi="Book Antiqua" w:cs="Arial"/>
          <w:b/>
          <w:color w:val="000000"/>
          <w:lang w:val="en" w:eastAsia="zh-CN"/>
        </w:rPr>
        <w:t>32842</w:t>
      </w:r>
    </w:p>
    <w:p w:rsidR="00E84B3F" w:rsidRPr="00E84B3F" w:rsidRDefault="00E84B3F" w:rsidP="00633765">
      <w:pPr>
        <w:spacing w:line="360" w:lineRule="auto"/>
        <w:jc w:val="both"/>
        <w:rPr>
          <w:rFonts w:ascii="Book Antiqua" w:hAnsi="Book Antiqua"/>
          <w:b/>
        </w:rPr>
      </w:pPr>
      <w:r w:rsidRPr="00E84B3F">
        <w:rPr>
          <w:rFonts w:ascii="Book Antiqua" w:hAnsi="Book Antiqua"/>
          <w:b/>
        </w:rPr>
        <w:t>Manuscript Type: MINIREVIEWS</w:t>
      </w:r>
    </w:p>
    <w:bookmarkEnd w:id="0"/>
    <w:bookmarkEnd w:id="1"/>
    <w:bookmarkEnd w:id="2"/>
    <w:p w:rsidR="007A5D5C" w:rsidRPr="00E84B3F" w:rsidRDefault="00E84B3F" w:rsidP="00633765">
      <w:pPr>
        <w:spacing w:line="360" w:lineRule="auto"/>
        <w:jc w:val="both"/>
        <w:rPr>
          <w:rFonts w:ascii="Book Antiqua" w:eastAsia="SimSun" w:hAnsi="Book Antiqua" w:cs="Arial"/>
          <w:lang w:eastAsia="zh-CN"/>
        </w:rPr>
      </w:pPr>
      <w:r w:rsidRPr="00E84B3F">
        <w:rPr>
          <w:rFonts w:ascii="Book Antiqua" w:eastAsia="SimSun" w:hAnsi="Book Antiqua" w:cs="Arial"/>
          <w:b/>
          <w:lang w:eastAsia="zh-CN"/>
        </w:rPr>
        <w:t xml:space="preserve"> </w:t>
      </w:r>
    </w:p>
    <w:p w:rsidR="001A6EC8" w:rsidRDefault="001A6EC8" w:rsidP="00633765">
      <w:pPr>
        <w:spacing w:line="360" w:lineRule="auto"/>
        <w:jc w:val="both"/>
        <w:rPr>
          <w:rFonts w:ascii="Book Antiqua" w:eastAsia="SimSun" w:hAnsi="Book Antiqua" w:cs="Arial"/>
          <w:b/>
          <w:lang w:eastAsia="zh-CN"/>
        </w:rPr>
      </w:pPr>
      <w:r w:rsidRPr="00E84B3F">
        <w:rPr>
          <w:rFonts w:ascii="Book Antiqua" w:hAnsi="Book Antiqua" w:cs="Arial"/>
          <w:b/>
        </w:rPr>
        <w:t xml:space="preserve">Transition of </w:t>
      </w:r>
      <w:r w:rsidR="00E84B3F" w:rsidRPr="00E84B3F">
        <w:rPr>
          <w:rFonts w:ascii="Book Antiqua" w:hAnsi="Book Antiqua" w:cs="Arial"/>
          <w:b/>
        </w:rPr>
        <w:t>pediatric to adult care in inflammatory bowel dise</w:t>
      </w:r>
      <w:r w:rsidRPr="00E84B3F">
        <w:rPr>
          <w:rFonts w:ascii="Book Antiqua" w:hAnsi="Book Antiqua" w:cs="Arial"/>
          <w:b/>
        </w:rPr>
        <w:t xml:space="preserve">ase: Is it as easy as </w:t>
      </w:r>
      <w:proofErr w:type="gramStart"/>
      <w:r w:rsidRPr="00E84B3F">
        <w:rPr>
          <w:rFonts w:ascii="Book Antiqua" w:hAnsi="Book Antiqua" w:cs="Arial"/>
          <w:b/>
        </w:rPr>
        <w:t>1</w:t>
      </w:r>
      <w:proofErr w:type="gramEnd"/>
      <w:r w:rsidRPr="00E84B3F">
        <w:rPr>
          <w:rFonts w:ascii="Book Antiqua" w:hAnsi="Book Antiqua" w:cs="Arial"/>
          <w:b/>
        </w:rPr>
        <w:t>, 2, 3?</w:t>
      </w:r>
    </w:p>
    <w:p w:rsidR="00675B80" w:rsidRPr="00675B80" w:rsidRDefault="00675B80" w:rsidP="00633765">
      <w:pPr>
        <w:spacing w:line="360" w:lineRule="auto"/>
        <w:jc w:val="both"/>
        <w:rPr>
          <w:rFonts w:ascii="Book Antiqua" w:eastAsia="SimSun" w:hAnsi="Book Antiqua" w:cs="Arial"/>
          <w:b/>
          <w:lang w:eastAsia="zh-CN"/>
        </w:rPr>
      </w:pPr>
    </w:p>
    <w:p w:rsidR="00442E38" w:rsidRPr="00675B80" w:rsidRDefault="00675B80" w:rsidP="00633765">
      <w:pPr>
        <w:spacing w:line="360" w:lineRule="auto"/>
        <w:jc w:val="both"/>
        <w:rPr>
          <w:rFonts w:ascii="Book Antiqua" w:eastAsia="SimSun" w:hAnsi="Book Antiqua" w:cs="Arial"/>
          <w:i/>
          <w:lang w:eastAsia="zh-CN"/>
        </w:rPr>
      </w:pPr>
      <w:proofErr w:type="spellStart"/>
      <w:r w:rsidRPr="00E84B3F">
        <w:rPr>
          <w:rFonts w:ascii="Book Antiqua" w:hAnsi="Book Antiqua" w:cs="Arial"/>
        </w:rPr>
        <w:t>Afzali</w:t>
      </w:r>
      <w:proofErr w:type="spellEnd"/>
      <w:r>
        <w:rPr>
          <w:rFonts w:ascii="Book Antiqua" w:eastAsia="SimSun" w:hAnsi="Book Antiqua" w:cs="Arial" w:hint="eastAsia"/>
          <w:lang w:eastAsia="zh-CN"/>
        </w:rPr>
        <w:t xml:space="preserve"> </w:t>
      </w:r>
      <w:proofErr w:type="gramStart"/>
      <w:r>
        <w:rPr>
          <w:rFonts w:ascii="Book Antiqua" w:eastAsia="SimSun" w:hAnsi="Book Antiqua" w:cs="Arial" w:hint="eastAsia"/>
          <w:lang w:eastAsia="zh-CN"/>
        </w:rPr>
        <w:t>A</w:t>
      </w:r>
      <w:proofErr w:type="gramEnd"/>
      <w:r>
        <w:rPr>
          <w:rFonts w:ascii="Book Antiqua" w:eastAsia="SimSun" w:hAnsi="Book Antiqua" w:cs="Arial" w:hint="eastAsia"/>
          <w:lang w:eastAsia="zh-CN"/>
        </w:rPr>
        <w:t xml:space="preserve"> </w:t>
      </w:r>
      <w:r w:rsidRPr="00675B80">
        <w:rPr>
          <w:rFonts w:ascii="Book Antiqua" w:eastAsia="SimSun" w:hAnsi="Book Antiqua" w:cs="Arial" w:hint="eastAsia"/>
          <w:i/>
          <w:lang w:eastAsia="zh-CN"/>
        </w:rPr>
        <w:t>et al</w:t>
      </w:r>
      <w:r w:rsidRPr="00675B80">
        <w:rPr>
          <w:rFonts w:ascii="Book Antiqua" w:eastAsia="SimSun" w:hAnsi="Book Antiqua" w:cs="Arial" w:hint="eastAsia"/>
          <w:b/>
          <w:i/>
          <w:lang w:eastAsia="zh-CN"/>
        </w:rPr>
        <w:t xml:space="preserve">. </w:t>
      </w:r>
      <w:r w:rsidRPr="00675B80">
        <w:rPr>
          <w:rFonts w:ascii="Book Antiqua" w:hAnsi="Book Antiqua" w:cs="Arial"/>
        </w:rPr>
        <w:t xml:space="preserve">Transition of pediatric to adult care in </w:t>
      </w:r>
      <w:r w:rsidRPr="00675B80">
        <w:rPr>
          <w:rFonts w:ascii="Book Antiqua" w:eastAsia="SimSun" w:hAnsi="Book Antiqua" w:cs="Arial" w:hint="eastAsia"/>
          <w:lang w:eastAsia="zh-CN"/>
        </w:rPr>
        <w:t>IBD</w:t>
      </w:r>
    </w:p>
    <w:p w:rsidR="00675B80" w:rsidRPr="00675B80" w:rsidRDefault="00675B80" w:rsidP="00633765">
      <w:pPr>
        <w:spacing w:line="360" w:lineRule="auto"/>
        <w:jc w:val="both"/>
        <w:rPr>
          <w:rFonts w:ascii="Book Antiqua" w:eastAsia="SimSun" w:hAnsi="Book Antiqua" w:cs="Arial"/>
          <w:lang w:eastAsia="zh-CN"/>
        </w:rPr>
      </w:pPr>
    </w:p>
    <w:p w:rsidR="001A6EC8" w:rsidRDefault="001A6EC8" w:rsidP="00633765">
      <w:pPr>
        <w:spacing w:line="360" w:lineRule="auto"/>
        <w:jc w:val="both"/>
        <w:rPr>
          <w:rFonts w:ascii="Book Antiqua" w:eastAsia="SimSun" w:hAnsi="Book Antiqua" w:cs="Arial"/>
          <w:lang w:eastAsia="zh-CN"/>
        </w:rPr>
      </w:pPr>
      <w:r w:rsidRPr="00E84B3F">
        <w:rPr>
          <w:rFonts w:ascii="Book Antiqua" w:hAnsi="Book Antiqua" w:cs="Arial"/>
        </w:rPr>
        <w:t xml:space="preserve">Anita </w:t>
      </w:r>
      <w:proofErr w:type="spellStart"/>
      <w:r w:rsidRPr="00E84B3F">
        <w:rPr>
          <w:rFonts w:ascii="Book Antiqua" w:hAnsi="Book Antiqua" w:cs="Arial"/>
        </w:rPr>
        <w:t>Afzali</w:t>
      </w:r>
      <w:proofErr w:type="spellEnd"/>
      <w:r w:rsidR="00E84B3F">
        <w:rPr>
          <w:rFonts w:ascii="Book Antiqua" w:eastAsia="SimSun" w:hAnsi="Book Antiqua" w:cs="Arial" w:hint="eastAsia"/>
          <w:lang w:eastAsia="zh-CN"/>
        </w:rPr>
        <w:t xml:space="preserve">, </w:t>
      </w:r>
      <w:proofErr w:type="spellStart"/>
      <w:r w:rsidRPr="00E84B3F">
        <w:rPr>
          <w:rFonts w:ascii="Book Antiqua" w:hAnsi="Book Antiqua" w:cs="Arial"/>
        </w:rPr>
        <w:t>Ghassan</w:t>
      </w:r>
      <w:proofErr w:type="spellEnd"/>
      <w:r w:rsidRPr="00E84B3F">
        <w:rPr>
          <w:rFonts w:ascii="Book Antiqua" w:hAnsi="Book Antiqua" w:cs="Arial"/>
        </w:rPr>
        <w:t xml:space="preserve"> </w:t>
      </w:r>
      <w:proofErr w:type="spellStart"/>
      <w:r w:rsidRPr="00E84B3F">
        <w:rPr>
          <w:rFonts w:ascii="Book Antiqua" w:hAnsi="Book Antiqua" w:cs="Arial"/>
        </w:rPr>
        <w:t>Wahbeh</w:t>
      </w:r>
      <w:proofErr w:type="spellEnd"/>
    </w:p>
    <w:p w:rsidR="001A6EC8" w:rsidRPr="00633765" w:rsidRDefault="001A6EC8" w:rsidP="00633765">
      <w:pPr>
        <w:spacing w:line="360" w:lineRule="auto"/>
        <w:jc w:val="both"/>
        <w:rPr>
          <w:rFonts w:ascii="Book Antiqua" w:eastAsia="SimSun" w:hAnsi="Book Antiqua" w:cs="Arial"/>
          <w:lang w:eastAsia="zh-CN"/>
        </w:rPr>
      </w:pPr>
    </w:p>
    <w:p w:rsidR="001A6EC8" w:rsidRPr="00E84B3F" w:rsidRDefault="00D451CA" w:rsidP="00633765">
      <w:pPr>
        <w:spacing w:line="360" w:lineRule="auto"/>
        <w:jc w:val="both"/>
        <w:rPr>
          <w:rFonts w:ascii="Book Antiqua" w:eastAsia="SimSun" w:hAnsi="Book Antiqua" w:cs="Arial"/>
          <w:lang w:eastAsia="zh-CN"/>
        </w:rPr>
      </w:pPr>
      <w:r w:rsidRPr="00E84B3F">
        <w:rPr>
          <w:rFonts w:ascii="Book Antiqua" w:hAnsi="Book Antiqua" w:cs="Arial"/>
          <w:b/>
        </w:rPr>
        <w:t xml:space="preserve">Anita </w:t>
      </w:r>
      <w:proofErr w:type="spellStart"/>
      <w:r w:rsidRPr="00E84B3F">
        <w:rPr>
          <w:rFonts w:ascii="Book Antiqua" w:hAnsi="Book Antiqua" w:cs="Arial"/>
          <w:b/>
        </w:rPr>
        <w:t>Afzali</w:t>
      </w:r>
      <w:proofErr w:type="spellEnd"/>
      <w:r w:rsidRPr="00E84B3F">
        <w:rPr>
          <w:rFonts w:ascii="Book Antiqua" w:hAnsi="Book Antiqua" w:cs="Arial"/>
          <w:b/>
        </w:rPr>
        <w:t>,</w:t>
      </w:r>
      <w:r w:rsidRPr="00E84B3F">
        <w:rPr>
          <w:rFonts w:ascii="Book Antiqua" w:hAnsi="Book Antiqua" w:cs="Arial"/>
        </w:rPr>
        <w:t xml:space="preserve"> </w:t>
      </w:r>
      <w:r w:rsidR="001A6EC8" w:rsidRPr="00E84B3F">
        <w:rPr>
          <w:rFonts w:ascii="Book Antiqua" w:hAnsi="Book Antiqua" w:cs="Arial"/>
        </w:rPr>
        <w:t>Division of Gastroenterology, University of Washington</w:t>
      </w:r>
      <w:r w:rsidR="00E84B3F">
        <w:rPr>
          <w:rFonts w:ascii="Book Antiqua" w:eastAsia="SimSun" w:hAnsi="Book Antiqua" w:cs="Arial" w:hint="eastAsia"/>
          <w:lang w:eastAsia="zh-CN"/>
        </w:rPr>
        <w:t xml:space="preserve">, </w:t>
      </w:r>
      <w:r w:rsidR="001A6EC8" w:rsidRPr="00E84B3F">
        <w:rPr>
          <w:rFonts w:ascii="Book Antiqua" w:hAnsi="Book Antiqua" w:cs="Arial"/>
        </w:rPr>
        <w:t>Harborview Medical Center, Seattle, Washington</w:t>
      </w:r>
      <w:r w:rsidR="00E84B3F">
        <w:rPr>
          <w:rFonts w:ascii="Book Antiqua" w:eastAsia="SimSun" w:hAnsi="Book Antiqua" w:cs="Arial" w:hint="eastAsia"/>
          <w:lang w:eastAsia="zh-CN"/>
        </w:rPr>
        <w:t>,</w:t>
      </w:r>
      <w:r w:rsidRPr="00E84B3F">
        <w:rPr>
          <w:rFonts w:ascii="Book Antiqua" w:hAnsi="Book Antiqua" w:cs="Arial"/>
        </w:rPr>
        <w:t xml:space="preserve"> </w:t>
      </w:r>
      <w:r w:rsidR="00E84B3F">
        <w:rPr>
          <w:rFonts w:ascii="Book Antiqua" w:eastAsia="SimSun" w:hAnsi="Book Antiqua" w:cs="Arial" w:hint="eastAsia"/>
          <w:lang w:eastAsia="zh-CN"/>
        </w:rPr>
        <w:t xml:space="preserve">WA </w:t>
      </w:r>
      <w:r w:rsidRPr="00E84B3F">
        <w:rPr>
          <w:rFonts w:ascii="Book Antiqua" w:hAnsi="Book Antiqua" w:cs="Arial"/>
        </w:rPr>
        <w:t>98104, United States</w:t>
      </w:r>
      <w:r w:rsidR="00E84B3F">
        <w:rPr>
          <w:rFonts w:ascii="Book Antiqua" w:eastAsia="SimSun" w:hAnsi="Book Antiqua" w:cs="Arial" w:hint="eastAsia"/>
          <w:lang w:eastAsia="zh-CN"/>
        </w:rPr>
        <w:t xml:space="preserve"> </w:t>
      </w:r>
    </w:p>
    <w:p w:rsidR="001A6EC8" w:rsidRPr="00E84B3F" w:rsidRDefault="001A6EC8" w:rsidP="00633765">
      <w:pPr>
        <w:spacing w:line="360" w:lineRule="auto"/>
        <w:jc w:val="both"/>
        <w:rPr>
          <w:rFonts w:ascii="Book Antiqua" w:hAnsi="Book Antiqua" w:cs="Arial"/>
        </w:rPr>
      </w:pPr>
    </w:p>
    <w:p w:rsidR="001A6EC8" w:rsidRPr="00E84B3F" w:rsidRDefault="00D451CA" w:rsidP="00633765">
      <w:pPr>
        <w:spacing w:line="360" w:lineRule="auto"/>
        <w:jc w:val="both"/>
        <w:rPr>
          <w:rFonts w:ascii="Book Antiqua" w:eastAsia="SimSun" w:hAnsi="Book Antiqua" w:cs="Arial"/>
          <w:lang w:eastAsia="zh-CN"/>
        </w:rPr>
      </w:pPr>
      <w:proofErr w:type="spellStart"/>
      <w:r w:rsidRPr="00E84B3F">
        <w:rPr>
          <w:rFonts w:ascii="Book Antiqua" w:hAnsi="Book Antiqua" w:cs="Arial"/>
          <w:b/>
        </w:rPr>
        <w:t>Ghassan</w:t>
      </w:r>
      <w:proofErr w:type="spellEnd"/>
      <w:r w:rsidRPr="00E84B3F">
        <w:rPr>
          <w:rFonts w:ascii="Book Antiqua" w:hAnsi="Book Antiqua" w:cs="Arial"/>
          <w:b/>
        </w:rPr>
        <w:t xml:space="preserve"> </w:t>
      </w:r>
      <w:proofErr w:type="spellStart"/>
      <w:r w:rsidRPr="00E84B3F">
        <w:rPr>
          <w:rFonts w:ascii="Book Antiqua" w:hAnsi="Book Antiqua" w:cs="Arial"/>
          <w:b/>
        </w:rPr>
        <w:t>Wahbeh</w:t>
      </w:r>
      <w:proofErr w:type="spellEnd"/>
      <w:r w:rsidRPr="00E84B3F">
        <w:rPr>
          <w:rFonts w:ascii="Book Antiqua" w:hAnsi="Book Antiqua" w:cs="Arial"/>
          <w:b/>
        </w:rPr>
        <w:t xml:space="preserve">, </w:t>
      </w:r>
      <w:r w:rsidR="001A6EC8" w:rsidRPr="00E84B3F">
        <w:rPr>
          <w:rFonts w:ascii="Book Antiqua" w:hAnsi="Book Antiqua" w:cs="Arial"/>
        </w:rPr>
        <w:t>Division of Gastroenterology, Seattle Children’s Hospital, University of Washington, Seattle, Washington</w:t>
      </w:r>
      <w:r w:rsidR="00E84B3F">
        <w:rPr>
          <w:rFonts w:ascii="Book Antiqua" w:eastAsia="SimSun" w:hAnsi="Book Antiqua" w:cs="Arial" w:hint="eastAsia"/>
          <w:lang w:eastAsia="zh-CN"/>
        </w:rPr>
        <w:t>,</w:t>
      </w:r>
      <w:r w:rsidRPr="00E84B3F">
        <w:rPr>
          <w:rFonts w:ascii="Book Antiqua" w:hAnsi="Book Antiqua" w:cs="Arial"/>
        </w:rPr>
        <w:t xml:space="preserve"> </w:t>
      </w:r>
      <w:r w:rsidR="00E84B3F">
        <w:rPr>
          <w:rFonts w:ascii="Book Antiqua" w:eastAsia="SimSun" w:hAnsi="Book Antiqua" w:cs="Arial" w:hint="eastAsia"/>
          <w:lang w:eastAsia="zh-CN"/>
        </w:rPr>
        <w:t xml:space="preserve">WA </w:t>
      </w:r>
      <w:r w:rsidRPr="00E84B3F">
        <w:rPr>
          <w:rFonts w:ascii="Book Antiqua" w:hAnsi="Book Antiqua" w:cs="Arial"/>
        </w:rPr>
        <w:t>98105, United States</w:t>
      </w:r>
      <w:r w:rsidR="00E84B3F">
        <w:rPr>
          <w:rFonts w:ascii="Book Antiqua" w:eastAsia="SimSun" w:hAnsi="Book Antiqua" w:cs="Arial" w:hint="eastAsia"/>
          <w:lang w:eastAsia="zh-CN"/>
        </w:rPr>
        <w:t xml:space="preserve"> </w:t>
      </w:r>
    </w:p>
    <w:p w:rsidR="007A5D5C" w:rsidRPr="00E84B3F" w:rsidRDefault="007A5D5C" w:rsidP="00633765">
      <w:pPr>
        <w:spacing w:line="360" w:lineRule="auto"/>
        <w:jc w:val="both"/>
        <w:rPr>
          <w:rFonts w:ascii="Book Antiqua" w:eastAsia="SimSun" w:hAnsi="Book Antiqua" w:cs="Arial"/>
          <w:b/>
          <w:lang w:eastAsia="zh-CN"/>
        </w:rPr>
      </w:pPr>
    </w:p>
    <w:p w:rsidR="007A5D5C" w:rsidRPr="00E84B3F" w:rsidRDefault="007A5D5C" w:rsidP="00633765">
      <w:pPr>
        <w:spacing w:line="360" w:lineRule="auto"/>
        <w:jc w:val="both"/>
        <w:rPr>
          <w:rFonts w:ascii="Book Antiqua" w:hAnsi="Book Antiqua" w:cs="Arial"/>
        </w:rPr>
      </w:pPr>
      <w:r w:rsidRPr="00E84B3F">
        <w:rPr>
          <w:rFonts w:ascii="Book Antiqua" w:hAnsi="Book Antiqua" w:cs="Arial"/>
          <w:b/>
        </w:rPr>
        <w:t xml:space="preserve">Author </w:t>
      </w:r>
      <w:r w:rsidR="00633765" w:rsidRPr="00E84B3F">
        <w:rPr>
          <w:rFonts w:ascii="Book Antiqua" w:hAnsi="Book Antiqua" w:cs="Arial"/>
          <w:b/>
        </w:rPr>
        <w:t>contributions</w:t>
      </w:r>
      <w:r w:rsidRPr="00E84B3F">
        <w:rPr>
          <w:rFonts w:ascii="Book Antiqua" w:hAnsi="Book Antiqua" w:cs="Arial"/>
          <w:b/>
        </w:rPr>
        <w:t>:</w:t>
      </w:r>
      <w:r w:rsidR="00675B80">
        <w:rPr>
          <w:rFonts w:ascii="Book Antiqua" w:eastAsia="SimSun" w:hAnsi="Book Antiqua" w:cs="Arial" w:hint="eastAsia"/>
          <w:b/>
          <w:lang w:eastAsia="zh-CN"/>
        </w:rPr>
        <w:t xml:space="preserve"> </w:t>
      </w:r>
      <w:proofErr w:type="spellStart"/>
      <w:r w:rsidRPr="00E84B3F">
        <w:rPr>
          <w:rFonts w:ascii="Book Antiqua" w:hAnsi="Book Antiqua" w:cs="Arial"/>
        </w:rPr>
        <w:t>Afzali</w:t>
      </w:r>
      <w:proofErr w:type="spellEnd"/>
      <w:r w:rsidRPr="00E84B3F">
        <w:rPr>
          <w:rFonts w:ascii="Book Antiqua" w:hAnsi="Book Antiqua" w:cs="Arial"/>
        </w:rPr>
        <w:t xml:space="preserve"> </w:t>
      </w:r>
      <w:r w:rsidR="00633765">
        <w:rPr>
          <w:rFonts w:ascii="Book Antiqua" w:eastAsia="SimSun" w:hAnsi="Book Antiqua" w:cs="Arial" w:hint="eastAsia"/>
          <w:lang w:eastAsia="zh-CN"/>
        </w:rPr>
        <w:t xml:space="preserve">A </w:t>
      </w:r>
      <w:r w:rsidRPr="00E84B3F">
        <w:rPr>
          <w:rFonts w:ascii="Book Antiqua" w:hAnsi="Book Antiqua" w:cs="Arial"/>
        </w:rPr>
        <w:t>performed th</w:t>
      </w:r>
      <w:r w:rsidR="00633765">
        <w:rPr>
          <w:rFonts w:ascii="Book Antiqua" w:hAnsi="Book Antiqua" w:cs="Arial"/>
        </w:rPr>
        <w:t>e research and wrote the paper;</w:t>
      </w:r>
      <w:r w:rsidR="00633765">
        <w:rPr>
          <w:rFonts w:ascii="Book Antiqua" w:eastAsia="SimSun" w:hAnsi="Book Antiqua" w:cs="Arial" w:hint="eastAsia"/>
          <w:lang w:eastAsia="zh-CN"/>
        </w:rPr>
        <w:t xml:space="preserve"> </w:t>
      </w:r>
      <w:proofErr w:type="spellStart"/>
      <w:r w:rsidRPr="00E84B3F">
        <w:rPr>
          <w:rFonts w:ascii="Book Antiqua" w:hAnsi="Book Antiqua" w:cs="Arial"/>
        </w:rPr>
        <w:t>Wahbeh</w:t>
      </w:r>
      <w:proofErr w:type="spellEnd"/>
      <w:r w:rsidRPr="00E84B3F">
        <w:rPr>
          <w:rFonts w:ascii="Book Antiqua" w:hAnsi="Book Antiqua" w:cs="Arial"/>
        </w:rPr>
        <w:t xml:space="preserve"> </w:t>
      </w:r>
      <w:r w:rsidR="00633765">
        <w:rPr>
          <w:rFonts w:ascii="Book Antiqua" w:eastAsia="SimSun" w:hAnsi="Book Antiqua" w:cs="Arial" w:hint="eastAsia"/>
          <w:lang w:eastAsia="zh-CN"/>
        </w:rPr>
        <w:t xml:space="preserve">G </w:t>
      </w:r>
      <w:r w:rsidRPr="00E84B3F">
        <w:rPr>
          <w:rFonts w:ascii="Book Antiqua" w:hAnsi="Book Antiqua" w:cs="Arial"/>
        </w:rPr>
        <w:t>contributed critical revision of the manuscript for important intellectual content.</w:t>
      </w:r>
    </w:p>
    <w:p w:rsidR="007A5D5C" w:rsidRPr="00E84B3F" w:rsidRDefault="007A5D5C" w:rsidP="00633765">
      <w:pPr>
        <w:spacing w:line="360" w:lineRule="auto"/>
        <w:jc w:val="both"/>
        <w:rPr>
          <w:rFonts w:ascii="Book Antiqua" w:hAnsi="Book Antiqua" w:cs="Arial"/>
          <w:b/>
        </w:rPr>
      </w:pPr>
    </w:p>
    <w:p w:rsidR="007C4EFB" w:rsidRDefault="007A5D5C" w:rsidP="00633765">
      <w:pPr>
        <w:spacing w:line="360" w:lineRule="auto"/>
        <w:jc w:val="both"/>
        <w:rPr>
          <w:rFonts w:ascii="Book Antiqua" w:eastAsia="SimSun" w:hAnsi="Book Antiqua" w:cs="Arial"/>
          <w:lang w:eastAsia="zh-CN"/>
        </w:rPr>
      </w:pPr>
      <w:r w:rsidRPr="00E84B3F">
        <w:rPr>
          <w:rFonts w:ascii="Book Antiqua" w:hAnsi="Book Antiqua" w:cs="Arial"/>
          <w:b/>
        </w:rPr>
        <w:t>Conflict-of-interest statement:</w:t>
      </w:r>
      <w:r w:rsidR="00675B80">
        <w:rPr>
          <w:rFonts w:ascii="Book Antiqua" w:eastAsia="SimSun" w:hAnsi="Book Antiqua" w:cs="Arial" w:hint="eastAsia"/>
          <w:b/>
          <w:lang w:eastAsia="zh-CN"/>
        </w:rPr>
        <w:t xml:space="preserve"> </w:t>
      </w:r>
      <w:r w:rsidR="007C4EFB" w:rsidRPr="00E84B3F">
        <w:rPr>
          <w:rFonts w:ascii="Book Antiqua" w:hAnsi="Book Antiqua" w:cs="Arial"/>
        </w:rPr>
        <w:t>The authors declare that there are no conflicts of interests regarding the publication of this paper.</w:t>
      </w:r>
    </w:p>
    <w:p w:rsidR="00633765" w:rsidRPr="00633765" w:rsidRDefault="00633765" w:rsidP="00633765">
      <w:pPr>
        <w:spacing w:line="360" w:lineRule="auto"/>
        <w:jc w:val="both"/>
        <w:rPr>
          <w:rFonts w:ascii="Book Antiqua" w:eastAsia="SimSun" w:hAnsi="Book Antiqua" w:cs="Arial"/>
          <w:lang w:eastAsia="zh-CN"/>
        </w:rPr>
      </w:pPr>
    </w:p>
    <w:p w:rsidR="00633765" w:rsidRPr="00164EDB" w:rsidRDefault="00633765" w:rsidP="00633765">
      <w:pPr>
        <w:spacing w:line="360" w:lineRule="auto"/>
        <w:jc w:val="both"/>
        <w:rPr>
          <w:rFonts w:ascii="Book Antiqua" w:hAnsi="Book Antiqua"/>
          <w:b/>
          <w:color w:val="000000"/>
        </w:rPr>
      </w:pPr>
      <w:bookmarkStart w:id="10" w:name="OLE_LINK155"/>
      <w:bookmarkStart w:id="11" w:name="OLE_LINK183"/>
      <w:bookmarkStart w:id="12" w:name="OLE_LINK441"/>
      <w:r w:rsidRPr="00164EDB">
        <w:rPr>
          <w:rFonts w:ascii="Book Antiqua" w:hAnsi="Book Antiqua"/>
          <w:b/>
          <w:color w:val="000000"/>
        </w:rPr>
        <w:t xml:space="preserve">Open-Access: </w:t>
      </w:r>
      <w:r w:rsidRPr="00164EDB">
        <w:rPr>
          <w:rFonts w:ascii="Book Antiqua" w:hAnsi="Book Antiqua"/>
          <w:color w:val="000000"/>
        </w:rPr>
        <w:t xml:space="preserve">This article is an open-access </w:t>
      </w:r>
      <w:proofErr w:type="gramStart"/>
      <w:r w:rsidRPr="00164EDB">
        <w:rPr>
          <w:rFonts w:ascii="Book Antiqua" w:hAnsi="Book Antiqua"/>
          <w:color w:val="000000"/>
        </w:rPr>
        <w:t>article which</w:t>
      </w:r>
      <w:proofErr w:type="gramEnd"/>
      <w:r w:rsidRPr="00164EDB">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164EDB">
        <w:rPr>
          <w:rFonts w:ascii="Book Antiqua" w:hAnsi="Book Antiqua"/>
          <w:color w:val="000000"/>
        </w:rPr>
        <w:lastRenderedPageBreak/>
        <w:t>original work is properly cited and the use is non-commercial. See: http://creativecommons.org/licenses/by-nc/4.0/</w:t>
      </w:r>
    </w:p>
    <w:bookmarkEnd w:id="10"/>
    <w:bookmarkEnd w:id="11"/>
    <w:bookmarkEnd w:id="12"/>
    <w:p w:rsidR="00633765" w:rsidRPr="00675B80" w:rsidRDefault="00633765" w:rsidP="00633765">
      <w:pPr>
        <w:spacing w:line="360" w:lineRule="auto"/>
        <w:jc w:val="both"/>
        <w:rPr>
          <w:rFonts w:ascii="Book Antiqua" w:eastAsia="SimSun" w:hAnsi="Book Antiqua" w:cs="Arial Unicode MS"/>
          <w:color w:val="000000"/>
          <w:lang w:eastAsia="zh-CN"/>
        </w:rPr>
      </w:pPr>
    </w:p>
    <w:p w:rsidR="00633765" w:rsidRPr="000D1F92" w:rsidRDefault="00633765" w:rsidP="00633765">
      <w:pPr>
        <w:spacing w:line="360" w:lineRule="auto"/>
        <w:jc w:val="both"/>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rsidR="00442E38" w:rsidRPr="00633765" w:rsidRDefault="00442E38" w:rsidP="00633765">
      <w:pPr>
        <w:spacing w:line="360" w:lineRule="auto"/>
        <w:jc w:val="both"/>
        <w:rPr>
          <w:rFonts w:ascii="Book Antiqua" w:eastAsia="SimSun" w:hAnsi="Book Antiqua" w:cs="Arial"/>
          <w:lang w:eastAsia="zh-CN"/>
        </w:rPr>
      </w:pPr>
    </w:p>
    <w:p w:rsidR="008671EA" w:rsidRPr="00E84B3F" w:rsidRDefault="00E84B3F" w:rsidP="00633765">
      <w:pPr>
        <w:spacing w:line="360" w:lineRule="auto"/>
        <w:jc w:val="both"/>
        <w:rPr>
          <w:rFonts w:ascii="Book Antiqua" w:eastAsia="SimSun" w:hAnsi="Book Antiqua"/>
          <w:b/>
          <w:color w:val="000000"/>
          <w:lang w:eastAsia="zh-CN"/>
        </w:rPr>
      </w:pPr>
      <w:bookmarkStart w:id="13" w:name="OLE_LINK535"/>
      <w:bookmarkStart w:id="14" w:name="OLE_LINK536"/>
      <w:r w:rsidRPr="00712F63">
        <w:rPr>
          <w:rFonts w:ascii="Book Antiqua" w:hAnsi="Book Antiqua"/>
          <w:b/>
          <w:color w:val="000000"/>
        </w:rPr>
        <w:t>Correspondence to:</w:t>
      </w:r>
      <w:bookmarkEnd w:id="13"/>
      <w:bookmarkEnd w:id="14"/>
      <w:r>
        <w:rPr>
          <w:rFonts w:ascii="Book Antiqua" w:eastAsia="SimSun" w:hAnsi="Book Antiqua" w:hint="eastAsia"/>
          <w:b/>
          <w:color w:val="000000"/>
          <w:lang w:eastAsia="zh-CN"/>
        </w:rPr>
        <w:t xml:space="preserve"> </w:t>
      </w:r>
      <w:r w:rsidR="001A6EC8" w:rsidRPr="00E84B3F">
        <w:rPr>
          <w:rFonts w:ascii="Book Antiqua" w:hAnsi="Book Antiqua" w:cs="Arial"/>
          <w:b/>
        </w:rPr>
        <w:t xml:space="preserve">Anita </w:t>
      </w:r>
      <w:proofErr w:type="spellStart"/>
      <w:r w:rsidR="001A6EC8" w:rsidRPr="00E84B3F">
        <w:rPr>
          <w:rFonts w:ascii="Book Antiqua" w:hAnsi="Book Antiqua" w:cs="Arial"/>
          <w:b/>
        </w:rPr>
        <w:t>Afzali</w:t>
      </w:r>
      <w:proofErr w:type="spellEnd"/>
      <w:r w:rsidR="00A1200B">
        <w:rPr>
          <w:rFonts w:ascii="Book Antiqua" w:eastAsia="SimSun" w:hAnsi="Book Antiqua" w:cs="Arial" w:hint="eastAsia"/>
          <w:b/>
          <w:lang w:eastAsia="zh-CN"/>
        </w:rPr>
        <w:t>,</w:t>
      </w:r>
      <w:r w:rsidR="001A6EC8" w:rsidRPr="00E84B3F">
        <w:rPr>
          <w:rFonts w:ascii="Book Antiqua" w:hAnsi="Book Antiqua" w:cs="Arial"/>
          <w:b/>
        </w:rPr>
        <w:t xml:space="preserve"> MD, MPH</w:t>
      </w:r>
      <w:r w:rsidRPr="00E84B3F">
        <w:rPr>
          <w:rFonts w:ascii="Book Antiqua" w:eastAsia="SimSun" w:hAnsi="Book Antiqua" w:cs="Arial" w:hint="eastAsia"/>
          <w:b/>
          <w:lang w:eastAsia="zh-CN"/>
        </w:rPr>
        <w:t>,</w:t>
      </w:r>
      <w:r>
        <w:rPr>
          <w:rFonts w:ascii="Book Antiqua" w:eastAsia="SimSun" w:hAnsi="Book Antiqua" w:cs="Arial" w:hint="eastAsia"/>
          <w:lang w:eastAsia="zh-CN"/>
        </w:rPr>
        <w:t xml:space="preserve"> </w:t>
      </w:r>
      <w:r w:rsidR="001A6EC8" w:rsidRPr="00E84B3F">
        <w:rPr>
          <w:rFonts w:ascii="Book Antiqua" w:hAnsi="Book Antiqua" w:cs="Arial"/>
        </w:rPr>
        <w:t>University of Washington</w:t>
      </w:r>
      <w:r>
        <w:rPr>
          <w:rFonts w:ascii="Book Antiqua" w:eastAsia="SimSun" w:hAnsi="Book Antiqua" w:cs="Arial" w:hint="eastAsia"/>
          <w:lang w:eastAsia="zh-CN"/>
        </w:rPr>
        <w:t xml:space="preserve">, </w:t>
      </w:r>
      <w:r w:rsidR="001A6EC8" w:rsidRPr="00E84B3F">
        <w:rPr>
          <w:rFonts w:ascii="Book Antiqua" w:hAnsi="Book Antiqua" w:cs="Arial"/>
        </w:rPr>
        <w:t>Harborview Medical Center</w:t>
      </w:r>
      <w:r>
        <w:rPr>
          <w:rFonts w:ascii="Book Antiqua" w:eastAsia="SimSun" w:hAnsi="Book Antiqua" w:cs="Arial" w:hint="eastAsia"/>
          <w:lang w:eastAsia="zh-CN"/>
        </w:rPr>
        <w:t xml:space="preserve">, </w:t>
      </w:r>
      <w:r w:rsidR="001A6EC8" w:rsidRPr="00E84B3F">
        <w:rPr>
          <w:rFonts w:ascii="Book Antiqua" w:hAnsi="Book Antiqua" w:cs="Arial"/>
        </w:rPr>
        <w:t>325 Ninth Avenue, Box 359773</w:t>
      </w:r>
      <w:r>
        <w:rPr>
          <w:rFonts w:ascii="Book Antiqua" w:eastAsia="SimSun" w:hAnsi="Book Antiqua" w:hint="eastAsia"/>
          <w:b/>
          <w:color w:val="000000"/>
          <w:lang w:eastAsia="zh-CN"/>
        </w:rPr>
        <w:t xml:space="preserve">, </w:t>
      </w:r>
      <w:r w:rsidR="008671EA" w:rsidRPr="00E84B3F">
        <w:rPr>
          <w:rFonts w:ascii="Book Antiqua" w:hAnsi="Book Antiqua" w:cs="Arial"/>
        </w:rPr>
        <w:t xml:space="preserve">Seattle, Washington, </w:t>
      </w:r>
      <w:r>
        <w:rPr>
          <w:rFonts w:ascii="Book Antiqua" w:eastAsia="SimSun" w:hAnsi="Book Antiqua" w:cs="Arial" w:hint="eastAsia"/>
          <w:lang w:eastAsia="zh-CN"/>
        </w:rPr>
        <w:t xml:space="preserve">WA </w:t>
      </w:r>
      <w:r w:rsidR="008671EA" w:rsidRPr="00E84B3F">
        <w:rPr>
          <w:rFonts w:ascii="Book Antiqua" w:hAnsi="Book Antiqua" w:cs="Arial"/>
        </w:rPr>
        <w:t>98104</w:t>
      </w:r>
      <w:r>
        <w:rPr>
          <w:rFonts w:ascii="Book Antiqua" w:eastAsia="SimSun" w:hAnsi="Book Antiqua" w:cs="Arial" w:hint="eastAsia"/>
          <w:lang w:eastAsia="zh-CN"/>
        </w:rPr>
        <w:t>,</w:t>
      </w:r>
      <w:r w:rsidR="008671EA" w:rsidRPr="00E84B3F">
        <w:rPr>
          <w:rFonts w:ascii="Book Antiqua" w:hAnsi="Book Antiqua" w:cs="Arial"/>
        </w:rPr>
        <w:t xml:space="preserve"> </w:t>
      </w:r>
      <w:r w:rsidRPr="00E84B3F">
        <w:rPr>
          <w:rFonts w:ascii="Book Antiqua" w:hAnsi="Book Antiqua" w:cs="Arial"/>
        </w:rPr>
        <w:t>United States</w:t>
      </w:r>
      <w:r>
        <w:rPr>
          <w:rFonts w:ascii="Book Antiqua" w:eastAsia="SimSun" w:hAnsi="Book Antiqua" w:cs="Arial" w:hint="eastAsia"/>
          <w:lang w:eastAsia="zh-CN"/>
        </w:rPr>
        <w:t xml:space="preserve">. </w:t>
      </w:r>
      <w:hyperlink r:id="rId8" w:history="1">
        <w:r w:rsidRPr="00E84B3F">
          <w:rPr>
            <w:rStyle w:val="Hyperlink"/>
            <w:rFonts w:ascii="Book Antiqua" w:hAnsi="Book Antiqua" w:cs="Arial"/>
          </w:rPr>
          <w:t>anitaa@medicine.washington.edu</w:t>
        </w:r>
      </w:hyperlink>
    </w:p>
    <w:p w:rsidR="00A1200B" w:rsidRPr="00E84B3F" w:rsidRDefault="00A1200B" w:rsidP="00633765">
      <w:pPr>
        <w:spacing w:line="360" w:lineRule="auto"/>
        <w:jc w:val="both"/>
        <w:rPr>
          <w:rFonts w:ascii="Book Antiqua" w:hAnsi="Book Antiqua" w:cs="Arial"/>
        </w:rPr>
      </w:pPr>
      <w:r w:rsidRPr="00A1200B">
        <w:rPr>
          <w:rFonts w:ascii="Book Antiqua" w:eastAsia="SimSun" w:hAnsi="Book Antiqua" w:cs="Arial" w:hint="eastAsia"/>
          <w:b/>
          <w:lang w:eastAsia="zh-CN"/>
        </w:rPr>
        <w:t>Tele</w:t>
      </w:r>
      <w:r w:rsidRPr="00A1200B">
        <w:rPr>
          <w:rFonts w:ascii="Book Antiqua" w:hAnsi="Book Antiqua" w:cs="Arial"/>
          <w:b/>
        </w:rPr>
        <w:t>phone</w:t>
      </w:r>
      <w:r>
        <w:rPr>
          <w:rFonts w:ascii="Book Antiqua" w:eastAsia="SimSun" w:hAnsi="Book Antiqua" w:cs="Arial" w:hint="eastAsia"/>
          <w:lang w:eastAsia="zh-CN"/>
        </w:rPr>
        <w:t>:</w:t>
      </w:r>
      <w:r w:rsidRPr="00E84B3F">
        <w:rPr>
          <w:rFonts w:ascii="Book Antiqua" w:hAnsi="Book Antiqua" w:cs="Arial"/>
        </w:rPr>
        <w:t xml:space="preserve"> </w:t>
      </w:r>
      <w:r>
        <w:rPr>
          <w:rFonts w:ascii="Book Antiqua" w:eastAsia="SimSun" w:hAnsi="Book Antiqua" w:cs="Arial" w:hint="eastAsia"/>
          <w:lang w:eastAsia="zh-CN"/>
        </w:rPr>
        <w:t>+1-</w:t>
      </w:r>
      <w:r>
        <w:rPr>
          <w:rFonts w:ascii="Book Antiqua" w:hAnsi="Book Antiqua" w:cs="Arial"/>
        </w:rPr>
        <w:t>206-744</w:t>
      </w:r>
      <w:r w:rsidRPr="00E84B3F">
        <w:rPr>
          <w:rFonts w:ascii="Book Antiqua" w:hAnsi="Book Antiqua" w:cs="Arial"/>
        </w:rPr>
        <w:t>7055</w:t>
      </w:r>
    </w:p>
    <w:p w:rsidR="001A6EC8" w:rsidRPr="00E84B3F" w:rsidRDefault="001A6EC8" w:rsidP="00633765">
      <w:pPr>
        <w:spacing w:line="360" w:lineRule="auto"/>
        <w:jc w:val="both"/>
        <w:rPr>
          <w:rFonts w:ascii="Book Antiqua" w:hAnsi="Book Antiqua" w:cs="Arial"/>
        </w:rPr>
      </w:pPr>
      <w:r w:rsidRPr="00A1200B">
        <w:rPr>
          <w:rFonts w:ascii="Book Antiqua" w:hAnsi="Book Antiqua" w:cs="Arial"/>
          <w:b/>
        </w:rPr>
        <w:t>Fax</w:t>
      </w:r>
      <w:r w:rsidR="00A1200B" w:rsidRPr="00A1200B">
        <w:rPr>
          <w:rFonts w:ascii="Book Antiqua" w:eastAsia="SimSun" w:hAnsi="Book Antiqua" w:cs="Arial" w:hint="eastAsia"/>
          <w:b/>
          <w:lang w:eastAsia="zh-CN"/>
        </w:rPr>
        <w:t>:</w:t>
      </w:r>
      <w:r w:rsidRPr="00E84B3F">
        <w:rPr>
          <w:rFonts w:ascii="Book Antiqua" w:hAnsi="Book Antiqua" w:cs="Arial"/>
        </w:rPr>
        <w:t xml:space="preserve"> </w:t>
      </w:r>
      <w:r w:rsidR="00A1200B">
        <w:rPr>
          <w:rFonts w:ascii="Book Antiqua" w:eastAsia="SimSun" w:hAnsi="Book Antiqua" w:cs="Arial" w:hint="eastAsia"/>
          <w:lang w:eastAsia="zh-CN"/>
        </w:rPr>
        <w:t>+1-</w:t>
      </w:r>
      <w:r w:rsidR="00A1200B">
        <w:rPr>
          <w:rFonts w:ascii="Book Antiqua" w:hAnsi="Book Antiqua" w:cs="Arial"/>
        </w:rPr>
        <w:t>206-744</w:t>
      </w:r>
      <w:r w:rsidRPr="00E84B3F">
        <w:rPr>
          <w:rFonts w:ascii="Book Antiqua" w:hAnsi="Book Antiqua" w:cs="Arial"/>
        </w:rPr>
        <w:t>8698</w:t>
      </w:r>
    </w:p>
    <w:p w:rsidR="001A6EC8" w:rsidRPr="00A1200B" w:rsidRDefault="00A1200B" w:rsidP="00633765">
      <w:pPr>
        <w:spacing w:line="360" w:lineRule="auto"/>
        <w:jc w:val="both"/>
        <w:rPr>
          <w:rFonts w:ascii="Book Antiqua" w:eastAsia="SimSun" w:hAnsi="Book Antiqua" w:cs="Arial"/>
          <w:lang w:eastAsia="zh-CN"/>
        </w:rPr>
      </w:pPr>
      <w:r>
        <w:rPr>
          <w:rFonts w:ascii="Book Antiqua" w:eastAsia="SimSun" w:hAnsi="Book Antiqua" w:cs="Arial" w:hint="eastAsia"/>
          <w:lang w:eastAsia="zh-CN"/>
        </w:rPr>
        <w:t xml:space="preserve"> </w:t>
      </w:r>
    </w:p>
    <w:p w:rsidR="00A1200B" w:rsidRPr="00790921" w:rsidRDefault="00A1200B" w:rsidP="00633765">
      <w:pPr>
        <w:spacing w:line="360" w:lineRule="auto"/>
        <w:jc w:val="both"/>
        <w:rPr>
          <w:rFonts w:ascii="Book Antiqua" w:eastAsia="SimSun" w:hAnsi="Book Antiqua"/>
          <w:b/>
          <w:lang w:eastAsia="zh-CN"/>
        </w:rPr>
      </w:pPr>
      <w:bookmarkStart w:id="15" w:name="OLE_LINK476"/>
      <w:bookmarkStart w:id="16" w:name="OLE_LINK477"/>
      <w:bookmarkStart w:id="17" w:name="OLE_LINK117"/>
      <w:bookmarkStart w:id="18" w:name="OLE_LINK528"/>
      <w:bookmarkStart w:id="19" w:name="OLE_LINK557"/>
      <w:r>
        <w:rPr>
          <w:rFonts w:ascii="Book Antiqua" w:hAnsi="Book Antiqua"/>
          <w:b/>
        </w:rPr>
        <w:t>Received:</w:t>
      </w:r>
      <w:r w:rsidR="00790921">
        <w:rPr>
          <w:rFonts w:ascii="Book Antiqua" w:eastAsia="SimSun" w:hAnsi="Book Antiqua" w:hint="eastAsia"/>
          <w:b/>
          <w:lang w:eastAsia="zh-CN"/>
        </w:rPr>
        <w:t xml:space="preserve"> </w:t>
      </w:r>
      <w:r w:rsidR="00790921" w:rsidRPr="00790921">
        <w:rPr>
          <w:rFonts w:ascii="Book Antiqua" w:eastAsia="SimSun" w:hAnsi="Book Antiqua" w:hint="eastAsia"/>
          <w:lang w:eastAsia="zh-CN"/>
        </w:rPr>
        <w:t>January 24, 2017</w:t>
      </w:r>
    </w:p>
    <w:p w:rsidR="00A1200B" w:rsidRPr="00790921" w:rsidRDefault="00A1200B" w:rsidP="00633765">
      <w:pPr>
        <w:spacing w:line="360" w:lineRule="auto"/>
        <w:jc w:val="both"/>
        <w:rPr>
          <w:rFonts w:ascii="Book Antiqua" w:eastAsia="SimSun" w:hAnsi="Book Antiqua"/>
          <w:b/>
          <w:lang w:eastAsia="zh-CN"/>
        </w:rPr>
      </w:pPr>
      <w:r w:rsidRPr="009659DA">
        <w:rPr>
          <w:rFonts w:ascii="Book Antiqua" w:hAnsi="Book Antiqua" w:hint="eastAsia"/>
          <w:b/>
        </w:rPr>
        <w:t xml:space="preserve">Peer-review </w:t>
      </w:r>
      <w:proofErr w:type="gramStart"/>
      <w:r w:rsidRPr="009659DA">
        <w:rPr>
          <w:rFonts w:ascii="Book Antiqua" w:hAnsi="Book Antiqua" w:hint="eastAsia"/>
          <w:b/>
        </w:rPr>
        <w:t>started</w:t>
      </w:r>
      <w:r>
        <w:rPr>
          <w:rFonts w:ascii="Book Antiqua" w:hAnsi="Book Antiqua"/>
          <w:b/>
        </w:rPr>
        <w:t>:</w:t>
      </w:r>
      <w:proofErr w:type="gramEnd"/>
      <w:r w:rsidR="00790921">
        <w:rPr>
          <w:rFonts w:ascii="Book Antiqua" w:eastAsia="SimSun" w:hAnsi="Book Antiqua" w:hint="eastAsia"/>
          <w:b/>
          <w:lang w:eastAsia="zh-CN"/>
        </w:rPr>
        <w:t xml:space="preserve"> </w:t>
      </w:r>
      <w:r w:rsidR="00790921" w:rsidRPr="00790921">
        <w:rPr>
          <w:rFonts w:ascii="Book Antiqua" w:eastAsia="SimSun" w:hAnsi="Book Antiqua" w:hint="eastAsia"/>
          <w:lang w:eastAsia="zh-CN"/>
        </w:rPr>
        <w:t>February 1, 2017</w:t>
      </w:r>
    </w:p>
    <w:p w:rsidR="00A1200B" w:rsidRPr="00790921" w:rsidRDefault="00A1200B" w:rsidP="00633765">
      <w:pPr>
        <w:spacing w:line="360" w:lineRule="auto"/>
        <w:jc w:val="both"/>
        <w:rPr>
          <w:rFonts w:ascii="Book Antiqua" w:eastAsia="SimSun" w:hAnsi="Book Antiqua"/>
          <w:b/>
          <w:lang w:eastAsia="zh-CN"/>
        </w:rPr>
      </w:pPr>
      <w:r w:rsidRPr="009659DA">
        <w:rPr>
          <w:rFonts w:ascii="Book Antiqua" w:hAnsi="Book Antiqua"/>
          <w:b/>
        </w:rPr>
        <w:t>First decision:</w:t>
      </w:r>
      <w:r w:rsidR="00790921">
        <w:rPr>
          <w:rFonts w:ascii="Book Antiqua" w:eastAsia="SimSun" w:hAnsi="Book Antiqua" w:hint="eastAsia"/>
          <w:b/>
          <w:lang w:eastAsia="zh-CN"/>
        </w:rPr>
        <w:t xml:space="preserve"> </w:t>
      </w:r>
      <w:r w:rsidR="00790921" w:rsidRPr="00790921">
        <w:rPr>
          <w:rFonts w:ascii="Book Antiqua" w:eastAsia="SimSun" w:hAnsi="Book Antiqua" w:hint="eastAsia"/>
          <w:lang w:eastAsia="zh-CN"/>
        </w:rPr>
        <w:t xml:space="preserve">March </w:t>
      </w:r>
      <w:r w:rsidR="00790921">
        <w:rPr>
          <w:rFonts w:ascii="Book Antiqua" w:eastAsia="SimSun" w:hAnsi="Book Antiqua" w:hint="eastAsia"/>
          <w:lang w:eastAsia="zh-CN"/>
        </w:rPr>
        <w:t>19</w:t>
      </w:r>
      <w:r w:rsidR="00790921" w:rsidRPr="00790921">
        <w:rPr>
          <w:rFonts w:ascii="Book Antiqua" w:eastAsia="SimSun" w:hAnsi="Book Antiqua" w:hint="eastAsia"/>
          <w:lang w:eastAsia="zh-CN"/>
        </w:rPr>
        <w:t>, 2017</w:t>
      </w:r>
    </w:p>
    <w:p w:rsidR="00A1200B" w:rsidRPr="00790921" w:rsidRDefault="00A1200B" w:rsidP="00633765">
      <w:pPr>
        <w:spacing w:line="360" w:lineRule="auto"/>
        <w:jc w:val="both"/>
        <w:rPr>
          <w:rFonts w:ascii="Book Antiqua" w:eastAsia="SimSun" w:hAnsi="Book Antiqua"/>
          <w:b/>
          <w:lang w:eastAsia="zh-CN"/>
        </w:rPr>
      </w:pPr>
      <w:r>
        <w:rPr>
          <w:rFonts w:ascii="Book Antiqua" w:hAnsi="Book Antiqua"/>
          <w:b/>
        </w:rPr>
        <w:t>Revised:</w:t>
      </w:r>
      <w:r w:rsidR="00790921">
        <w:rPr>
          <w:rFonts w:ascii="Book Antiqua" w:eastAsia="SimSun" w:hAnsi="Book Antiqua" w:hint="eastAsia"/>
          <w:b/>
          <w:lang w:eastAsia="zh-CN"/>
        </w:rPr>
        <w:t xml:space="preserve"> </w:t>
      </w:r>
      <w:r w:rsidR="00790921" w:rsidRPr="00790921">
        <w:rPr>
          <w:rFonts w:ascii="Book Antiqua" w:eastAsia="SimSun" w:hAnsi="Book Antiqua"/>
          <w:lang w:eastAsia="zh-CN"/>
        </w:rPr>
        <w:t xml:space="preserve">April </w:t>
      </w:r>
      <w:r w:rsidR="00790921" w:rsidRPr="00790921">
        <w:rPr>
          <w:rFonts w:ascii="Book Antiqua" w:eastAsia="SimSun" w:hAnsi="Book Antiqua" w:hint="eastAsia"/>
          <w:lang w:eastAsia="zh-CN"/>
        </w:rPr>
        <w:t>8</w:t>
      </w:r>
      <w:r w:rsidR="00790921" w:rsidRPr="00790921">
        <w:rPr>
          <w:rFonts w:ascii="Book Antiqua" w:eastAsia="SimSun" w:hAnsi="Book Antiqua"/>
          <w:lang w:eastAsia="zh-CN"/>
        </w:rPr>
        <w:t>, 2017</w:t>
      </w:r>
    </w:p>
    <w:p w:rsidR="00A1200B" w:rsidRPr="00B01021" w:rsidRDefault="00A1200B" w:rsidP="00B01021">
      <w:pPr>
        <w:spacing w:line="360" w:lineRule="auto"/>
        <w:rPr>
          <w:rFonts w:ascii="Book Antiqua" w:hAnsi="Book Antiqua"/>
          <w:color w:val="000000"/>
        </w:rPr>
      </w:pPr>
      <w:r>
        <w:rPr>
          <w:rFonts w:ascii="Book Antiqua" w:hAnsi="Book Antiqua"/>
          <w:b/>
        </w:rPr>
        <w:t>Accepted:</w:t>
      </w:r>
      <w:r>
        <w:rPr>
          <w:rFonts w:ascii="Book Antiqua" w:hAnsi="Book Antiqua" w:hint="eastAsia"/>
          <w:b/>
        </w:rPr>
        <w:t xml:space="preserve"> </w:t>
      </w:r>
      <w:bookmarkStart w:id="20" w:name="OLE_LINK118"/>
      <w:r w:rsidR="00B01021">
        <w:rPr>
          <w:rFonts w:ascii="Book Antiqua" w:hAnsi="Book Antiqua"/>
          <w:color w:val="000000"/>
        </w:rPr>
        <w:t>May 4, 2017</w:t>
      </w:r>
      <w:bookmarkStart w:id="21" w:name="_GoBack"/>
      <w:bookmarkEnd w:id="20"/>
      <w:bookmarkEnd w:id="21"/>
      <w:r>
        <w:rPr>
          <w:rFonts w:ascii="Book Antiqua" w:hAnsi="Book Antiqua" w:hint="eastAsia"/>
          <w:b/>
        </w:rPr>
        <w:t xml:space="preserve"> </w:t>
      </w:r>
    </w:p>
    <w:p w:rsidR="00A1200B" w:rsidRDefault="00A1200B" w:rsidP="00633765">
      <w:pPr>
        <w:spacing w:line="360" w:lineRule="auto"/>
        <w:jc w:val="both"/>
        <w:rPr>
          <w:rFonts w:ascii="Book Antiqua" w:hAnsi="Book Antiqua"/>
          <w:b/>
        </w:rPr>
      </w:pPr>
      <w:r w:rsidRPr="009659DA">
        <w:rPr>
          <w:rFonts w:ascii="Book Antiqua" w:hAnsi="Book Antiqua"/>
          <w:b/>
        </w:rPr>
        <w:t>Article in press:</w:t>
      </w:r>
    </w:p>
    <w:p w:rsidR="00A1200B" w:rsidRPr="00ED7CB9" w:rsidRDefault="00A1200B" w:rsidP="00633765">
      <w:pPr>
        <w:spacing w:line="360" w:lineRule="auto"/>
        <w:jc w:val="both"/>
        <w:rPr>
          <w:rFonts w:ascii="Book Antiqua" w:hAnsi="Book Antiqua"/>
          <w:b/>
        </w:rPr>
      </w:pPr>
      <w:r>
        <w:rPr>
          <w:rFonts w:ascii="Book Antiqua" w:hAnsi="Book Antiqua"/>
          <w:b/>
        </w:rPr>
        <w:t>Published online:</w:t>
      </w:r>
    </w:p>
    <w:bookmarkEnd w:id="15"/>
    <w:bookmarkEnd w:id="16"/>
    <w:bookmarkEnd w:id="17"/>
    <w:bookmarkEnd w:id="18"/>
    <w:bookmarkEnd w:id="19"/>
    <w:p w:rsidR="001A6EC8" w:rsidRPr="00E84B3F" w:rsidRDefault="001A6EC8" w:rsidP="00633765">
      <w:pPr>
        <w:spacing w:line="360" w:lineRule="auto"/>
        <w:jc w:val="both"/>
        <w:rPr>
          <w:rFonts w:ascii="Book Antiqua" w:hAnsi="Book Antiqua" w:cs="Arial"/>
        </w:rPr>
      </w:pPr>
    </w:p>
    <w:p w:rsidR="001A6EC8" w:rsidRPr="00A1200B" w:rsidRDefault="00A1200B" w:rsidP="00633765">
      <w:pPr>
        <w:spacing w:line="360" w:lineRule="auto"/>
        <w:jc w:val="both"/>
        <w:rPr>
          <w:rFonts w:ascii="Book Antiqua" w:eastAsia="SimSun" w:hAnsi="Book Antiqua" w:cs="Arial"/>
          <w:lang w:eastAsia="zh-CN"/>
        </w:rPr>
      </w:pPr>
      <w:r>
        <w:rPr>
          <w:rFonts w:ascii="Book Antiqua" w:eastAsia="SimSun" w:hAnsi="Book Antiqua" w:cs="Arial" w:hint="eastAsia"/>
          <w:lang w:eastAsia="zh-CN"/>
        </w:rPr>
        <w:t xml:space="preserve"> </w:t>
      </w:r>
    </w:p>
    <w:p w:rsidR="00442E38" w:rsidRPr="00A1200B" w:rsidRDefault="001A6EC8" w:rsidP="00633765">
      <w:pPr>
        <w:spacing w:line="360" w:lineRule="auto"/>
        <w:jc w:val="both"/>
        <w:rPr>
          <w:rFonts w:ascii="Book Antiqua" w:eastAsia="SimSun" w:hAnsi="Book Antiqua" w:cs="Arial"/>
          <w:b/>
          <w:lang w:eastAsia="zh-CN"/>
        </w:rPr>
      </w:pPr>
      <w:r w:rsidRPr="00E84B3F">
        <w:rPr>
          <w:rFonts w:ascii="Book Antiqua" w:hAnsi="Book Antiqua" w:cs="Arial"/>
        </w:rPr>
        <w:br w:type="page"/>
      </w:r>
      <w:r w:rsidR="00442E38" w:rsidRPr="00E84B3F">
        <w:rPr>
          <w:rFonts w:ascii="Book Antiqua" w:hAnsi="Book Antiqua" w:cs="Arial"/>
          <w:b/>
        </w:rPr>
        <w:lastRenderedPageBreak/>
        <w:t>Abstract</w:t>
      </w:r>
    </w:p>
    <w:p w:rsidR="00442E38" w:rsidRPr="00E84B3F" w:rsidRDefault="00442E38" w:rsidP="00633765">
      <w:pPr>
        <w:spacing w:line="360" w:lineRule="auto"/>
        <w:jc w:val="both"/>
        <w:rPr>
          <w:rFonts w:ascii="Book Antiqua" w:hAnsi="Book Antiqua" w:cs="Arial"/>
        </w:rPr>
      </w:pPr>
      <w:r w:rsidRPr="00E84B3F">
        <w:rPr>
          <w:rFonts w:ascii="Book Antiqua" w:hAnsi="Book Antiqua" w:cs="Arial"/>
        </w:rPr>
        <w:t xml:space="preserve">Inflammatory bowel disease (IBD) is a heterogeneous group of chronic diseases with </w:t>
      </w:r>
      <w:r w:rsidR="00A42AE7" w:rsidRPr="00E84B3F">
        <w:rPr>
          <w:rFonts w:ascii="Book Antiqua" w:hAnsi="Book Antiqua" w:cs="Arial"/>
        </w:rPr>
        <w:t xml:space="preserve">a </w:t>
      </w:r>
      <w:r w:rsidRPr="00E84B3F">
        <w:rPr>
          <w:rFonts w:ascii="Book Antiqua" w:hAnsi="Book Antiqua" w:cs="Arial"/>
        </w:rPr>
        <w:t>rising prevalence in the pediatric population</w:t>
      </w:r>
      <w:r w:rsidR="007A60CA" w:rsidRPr="00E84B3F">
        <w:rPr>
          <w:rFonts w:ascii="Book Antiqua" w:hAnsi="Book Antiqua" w:cs="Arial"/>
        </w:rPr>
        <w:t xml:space="preserve">, </w:t>
      </w:r>
      <w:r w:rsidR="00FF3654" w:rsidRPr="00E84B3F">
        <w:rPr>
          <w:rFonts w:ascii="Book Antiqua" w:hAnsi="Book Antiqua" w:cs="Arial"/>
        </w:rPr>
        <w:t>and</w:t>
      </w:r>
      <w:r w:rsidR="007D3AD2" w:rsidRPr="00E84B3F">
        <w:rPr>
          <w:rFonts w:ascii="Book Antiqua" w:hAnsi="Book Antiqua" w:cs="Arial"/>
        </w:rPr>
        <w:t xml:space="preserve"> up to 25% of </w:t>
      </w:r>
      <w:proofErr w:type="gramStart"/>
      <w:r w:rsidR="007D3AD2" w:rsidRPr="00E84B3F">
        <w:rPr>
          <w:rFonts w:ascii="Book Antiqua" w:hAnsi="Book Antiqua" w:cs="Arial"/>
        </w:rPr>
        <w:t>IBD</w:t>
      </w:r>
      <w:proofErr w:type="gramEnd"/>
      <w:r w:rsidR="007D3AD2" w:rsidRPr="00E84B3F">
        <w:rPr>
          <w:rFonts w:ascii="Book Antiqua" w:hAnsi="Book Antiqua" w:cs="Arial"/>
        </w:rPr>
        <w:t xml:space="preserve"> patients </w:t>
      </w:r>
      <w:r w:rsidR="007A60CA" w:rsidRPr="00E84B3F">
        <w:rPr>
          <w:rFonts w:ascii="Book Antiqua" w:hAnsi="Book Antiqua" w:cs="Arial"/>
        </w:rPr>
        <w:t xml:space="preserve">are </w:t>
      </w:r>
      <w:r w:rsidR="007D3AD2" w:rsidRPr="00E84B3F">
        <w:rPr>
          <w:rFonts w:ascii="Book Antiqua" w:hAnsi="Book Antiqua" w:cs="Arial"/>
        </w:rPr>
        <w:t>diagnosed before 18 years of age</w:t>
      </w:r>
      <w:r w:rsidRPr="00E84B3F">
        <w:rPr>
          <w:rFonts w:ascii="Book Antiqua" w:hAnsi="Book Antiqua" w:cs="Arial"/>
        </w:rPr>
        <w:t>.  Adolescents with IBD tend to have mor</w:t>
      </w:r>
      <w:r w:rsidR="00A42AE7" w:rsidRPr="00E84B3F">
        <w:rPr>
          <w:rFonts w:ascii="Book Antiqua" w:hAnsi="Book Antiqua" w:cs="Arial"/>
        </w:rPr>
        <w:t xml:space="preserve">e severe and extensive disease and </w:t>
      </w:r>
      <w:r w:rsidR="007A60CA" w:rsidRPr="00E84B3F">
        <w:rPr>
          <w:rFonts w:ascii="Book Antiqua" w:hAnsi="Book Antiqua" w:cs="Arial"/>
        </w:rPr>
        <w:t>eventually require graduation</w:t>
      </w:r>
      <w:r w:rsidR="00A42AE7" w:rsidRPr="00E84B3F">
        <w:rPr>
          <w:rFonts w:ascii="Book Antiqua" w:hAnsi="Book Antiqua" w:cs="Arial"/>
        </w:rPr>
        <w:t xml:space="preserve"> from pediatric care </w:t>
      </w:r>
      <w:proofErr w:type="spellStart"/>
      <w:r w:rsidR="00A42AE7" w:rsidRPr="00E84B3F">
        <w:rPr>
          <w:rFonts w:ascii="Book Antiqua" w:hAnsi="Book Antiqua" w:cs="Arial"/>
        </w:rPr>
        <w:t>toadult</w:t>
      </w:r>
      <w:proofErr w:type="spellEnd"/>
      <w:r w:rsidR="00A42AE7" w:rsidRPr="00E84B3F">
        <w:rPr>
          <w:rFonts w:ascii="Book Antiqua" w:hAnsi="Book Antiqua" w:cs="Arial"/>
        </w:rPr>
        <w:t xml:space="preserve"> services.  T</w:t>
      </w:r>
      <w:r w:rsidRPr="00E84B3F">
        <w:rPr>
          <w:rFonts w:ascii="Book Antiqua" w:hAnsi="Book Antiqua" w:cs="Arial"/>
        </w:rPr>
        <w:t xml:space="preserve">he transition of patients from pediatric to adult </w:t>
      </w:r>
      <w:r w:rsidR="00A42AE7" w:rsidRPr="00E84B3F">
        <w:rPr>
          <w:rFonts w:ascii="Book Antiqua" w:hAnsi="Book Antiqua" w:cs="Arial"/>
        </w:rPr>
        <w:t>gastroenterologists</w:t>
      </w:r>
      <w:r w:rsidRPr="00E84B3F">
        <w:rPr>
          <w:rFonts w:ascii="Book Antiqua" w:hAnsi="Book Antiqua" w:cs="Arial"/>
        </w:rPr>
        <w:t xml:space="preserve"> requires careful preparation and </w:t>
      </w:r>
      <w:r w:rsidR="007A60CA" w:rsidRPr="00E84B3F">
        <w:rPr>
          <w:rFonts w:ascii="Book Antiqua" w:hAnsi="Book Antiqua" w:cs="Arial"/>
        </w:rPr>
        <w:t>coordination, with involvement of all key players to ensure proper collaboration of care and avoid interruption in care.</w:t>
      </w:r>
      <w:r w:rsidR="00675B80">
        <w:rPr>
          <w:rFonts w:ascii="Book Antiqua" w:eastAsia="SimSun" w:hAnsi="Book Antiqua" w:cs="Arial" w:hint="eastAsia"/>
          <w:lang w:eastAsia="zh-CN"/>
        </w:rPr>
        <w:t xml:space="preserve"> </w:t>
      </w:r>
      <w:proofErr w:type="gramStart"/>
      <w:r w:rsidR="007A60CA" w:rsidRPr="00E84B3F">
        <w:rPr>
          <w:rFonts w:ascii="Book Antiqua" w:hAnsi="Book Antiqua" w:cs="Arial"/>
        </w:rPr>
        <w:t xml:space="preserve">This </w:t>
      </w:r>
      <w:r w:rsidR="00A42AE7" w:rsidRPr="00E84B3F">
        <w:rPr>
          <w:rFonts w:ascii="Book Antiqua" w:hAnsi="Book Antiqua" w:cs="Arial"/>
        </w:rPr>
        <w:t>can be challenging and associated with gaps in delivery of care.</w:t>
      </w:r>
      <w:proofErr w:type="gramEnd"/>
      <w:r w:rsidR="007D3AD2" w:rsidRPr="00E84B3F">
        <w:rPr>
          <w:rFonts w:ascii="Book Antiqua" w:hAnsi="Book Antiqua" w:cs="Arial"/>
        </w:rPr>
        <w:t xml:space="preserve">  The pediatric and adult health paradigms </w:t>
      </w:r>
      <w:r w:rsidR="007A60CA" w:rsidRPr="00E84B3F">
        <w:rPr>
          <w:rFonts w:ascii="Book Antiqua" w:hAnsi="Book Antiqua" w:cs="Arial"/>
        </w:rPr>
        <w:t xml:space="preserve">have inherent differences between </w:t>
      </w:r>
      <w:r w:rsidR="007D3AD2" w:rsidRPr="00E84B3F">
        <w:rPr>
          <w:rFonts w:ascii="Book Antiqua" w:hAnsi="Book Antiqua" w:cs="Arial"/>
        </w:rPr>
        <w:t>health care models</w:t>
      </w:r>
      <w:r w:rsidR="007A60CA" w:rsidRPr="00E84B3F">
        <w:rPr>
          <w:rFonts w:ascii="Book Antiqua" w:hAnsi="Book Antiqua" w:cs="Arial"/>
        </w:rPr>
        <w:t>,</w:t>
      </w:r>
      <w:r w:rsidR="007D3AD2" w:rsidRPr="00E84B3F">
        <w:rPr>
          <w:rFonts w:ascii="Book Antiqua" w:hAnsi="Book Antiqua" w:cs="Arial"/>
        </w:rPr>
        <w:t xml:space="preserve"> as </w:t>
      </w:r>
      <w:r w:rsidR="007A60CA" w:rsidRPr="00E84B3F">
        <w:rPr>
          <w:rFonts w:ascii="Book Antiqua" w:hAnsi="Book Antiqua" w:cs="Arial"/>
        </w:rPr>
        <w:t xml:space="preserve">well as health care priorities in IBD.  </w:t>
      </w:r>
      <w:r w:rsidR="007D3AD2" w:rsidRPr="00E84B3F">
        <w:rPr>
          <w:rFonts w:ascii="Book Antiqua" w:hAnsi="Book Antiqua" w:cs="Arial"/>
        </w:rPr>
        <w:t xml:space="preserve">The readiness of the young adult also </w:t>
      </w:r>
      <w:r w:rsidR="00FF3654" w:rsidRPr="00E84B3F">
        <w:rPr>
          <w:rFonts w:ascii="Book Antiqua" w:hAnsi="Book Antiqua" w:cs="Arial"/>
        </w:rPr>
        <w:t>influences</w:t>
      </w:r>
      <w:r w:rsidR="007D3AD2" w:rsidRPr="00E84B3F">
        <w:rPr>
          <w:rFonts w:ascii="Book Antiqua" w:hAnsi="Book Antiqua" w:cs="Arial"/>
        </w:rPr>
        <w:t xml:space="preserve"> this transition</w:t>
      </w:r>
      <w:r w:rsidR="007A60CA" w:rsidRPr="00E84B3F">
        <w:rPr>
          <w:rFonts w:ascii="Book Antiqua" w:hAnsi="Book Antiqua" w:cs="Arial"/>
        </w:rPr>
        <w:t xml:space="preserve"> of care, with often times other overlaps </w:t>
      </w:r>
      <w:r w:rsidR="00AE7DEF" w:rsidRPr="00E84B3F">
        <w:rPr>
          <w:rFonts w:ascii="Book Antiqua" w:hAnsi="Book Antiqua" w:cs="Arial"/>
        </w:rPr>
        <w:t xml:space="preserve">in life events, such as school, financial independence and moving away from home.  These patients are therefore at higher risk for poorer clinical disease outcomes. </w:t>
      </w:r>
      <w:r w:rsidR="007D3AD2" w:rsidRPr="00E84B3F">
        <w:rPr>
          <w:rFonts w:ascii="Book Antiqua" w:hAnsi="Book Antiqua" w:cs="Arial"/>
        </w:rPr>
        <w:t>The aim of this paper is to review concepts pertinent to transition of care of young adul</w:t>
      </w:r>
      <w:r w:rsidR="00AE7DEF" w:rsidRPr="00E84B3F">
        <w:rPr>
          <w:rFonts w:ascii="Book Antiqua" w:hAnsi="Book Antiqua" w:cs="Arial"/>
        </w:rPr>
        <w:t>ts with IBD to adult care, and provides re</w:t>
      </w:r>
      <w:r w:rsidR="008B6A08" w:rsidRPr="00E84B3F">
        <w:rPr>
          <w:rFonts w:ascii="Book Antiqua" w:hAnsi="Book Antiqua" w:cs="Arial"/>
        </w:rPr>
        <w:t>sources appropriate for an IBD p</w:t>
      </w:r>
      <w:r w:rsidR="00AE7DEF" w:rsidRPr="00E84B3F">
        <w:rPr>
          <w:rFonts w:ascii="Book Antiqua" w:hAnsi="Book Antiqua" w:cs="Arial"/>
        </w:rPr>
        <w:t>ediatri</w:t>
      </w:r>
      <w:r w:rsidR="008B6A08" w:rsidRPr="00E84B3F">
        <w:rPr>
          <w:rFonts w:ascii="Book Antiqua" w:hAnsi="Book Antiqua" w:cs="Arial"/>
        </w:rPr>
        <w:t>c to adult transition of c</w:t>
      </w:r>
      <w:r w:rsidR="00AE7DEF" w:rsidRPr="00E84B3F">
        <w:rPr>
          <w:rFonts w:ascii="Book Antiqua" w:hAnsi="Book Antiqua" w:cs="Arial"/>
        </w:rPr>
        <w:t>are model.</w:t>
      </w:r>
    </w:p>
    <w:p w:rsidR="007D3AD2" w:rsidRPr="00A1200B" w:rsidRDefault="007D3AD2" w:rsidP="00633765">
      <w:pPr>
        <w:spacing w:line="360" w:lineRule="auto"/>
        <w:jc w:val="both"/>
        <w:rPr>
          <w:rFonts w:ascii="Book Antiqua" w:eastAsia="SimSun" w:hAnsi="Book Antiqua" w:cs="Arial"/>
          <w:lang w:eastAsia="zh-CN"/>
        </w:rPr>
      </w:pPr>
    </w:p>
    <w:p w:rsidR="007D3AD2" w:rsidRDefault="007D3AD2" w:rsidP="00633765">
      <w:pPr>
        <w:spacing w:line="360" w:lineRule="auto"/>
        <w:jc w:val="both"/>
        <w:rPr>
          <w:rFonts w:ascii="Book Antiqua" w:eastAsia="SimSun" w:hAnsi="Book Antiqua" w:cs="Arial"/>
          <w:lang w:eastAsia="zh-CN"/>
        </w:rPr>
      </w:pPr>
      <w:r w:rsidRPr="00E84B3F">
        <w:rPr>
          <w:rFonts w:ascii="Book Antiqua" w:hAnsi="Book Antiqua" w:cs="Arial"/>
          <w:b/>
        </w:rPr>
        <w:t>Key</w:t>
      </w:r>
      <w:r w:rsidR="00790921">
        <w:rPr>
          <w:rFonts w:ascii="Book Antiqua" w:eastAsia="SimSun" w:hAnsi="Book Antiqua" w:cs="Arial" w:hint="eastAsia"/>
          <w:b/>
          <w:lang w:eastAsia="zh-CN"/>
        </w:rPr>
        <w:t xml:space="preserve"> </w:t>
      </w:r>
      <w:r w:rsidRPr="00E84B3F">
        <w:rPr>
          <w:rFonts w:ascii="Book Antiqua" w:hAnsi="Book Antiqua" w:cs="Arial"/>
          <w:b/>
        </w:rPr>
        <w:t xml:space="preserve">words: </w:t>
      </w:r>
      <w:r w:rsidR="007A60CA" w:rsidRPr="00E84B3F">
        <w:rPr>
          <w:rFonts w:ascii="Book Antiqua" w:hAnsi="Book Antiqua" w:cs="Arial"/>
        </w:rPr>
        <w:t xml:space="preserve">Inflammatory </w:t>
      </w:r>
      <w:r w:rsidR="00A1200B" w:rsidRPr="00E84B3F">
        <w:rPr>
          <w:rFonts w:ascii="Book Antiqua" w:hAnsi="Book Antiqua" w:cs="Arial"/>
        </w:rPr>
        <w:t>bowel d</w:t>
      </w:r>
      <w:r w:rsidR="007A60CA" w:rsidRPr="00E84B3F">
        <w:rPr>
          <w:rFonts w:ascii="Book Antiqua" w:hAnsi="Book Antiqua" w:cs="Arial"/>
        </w:rPr>
        <w:t>isease</w:t>
      </w:r>
      <w:r w:rsidR="00AE7DEF" w:rsidRPr="00E84B3F">
        <w:rPr>
          <w:rFonts w:ascii="Book Antiqua" w:hAnsi="Book Antiqua" w:cs="Arial"/>
        </w:rPr>
        <w:t xml:space="preserve">; Adolescents; Young </w:t>
      </w:r>
      <w:r w:rsidR="00A1200B" w:rsidRPr="00E84B3F">
        <w:rPr>
          <w:rFonts w:ascii="Book Antiqua" w:hAnsi="Book Antiqua" w:cs="Arial"/>
        </w:rPr>
        <w:t>adults</w:t>
      </w:r>
      <w:r w:rsidR="00AE7DEF" w:rsidRPr="00E84B3F">
        <w:rPr>
          <w:rFonts w:ascii="Book Antiqua" w:hAnsi="Book Antiqua" w:cs="Arial"/>
        </w:rPr>
        <w:t xml:space="preserve">; Transition </w:t>
      </w:r>
      <w:r w:rsidR="00A1200B" w:rsidRPr="00E84B3F">
        <w:rPr>
          <w:rFonts w:ascii="Book Antiqua" w:hAnsi="Book Antiqua" w:cs="Arial"/>
        </w:rPr>
        <w:t>care</w:t>
      </w:r>
      <w:r w:rsidR="00AE7DEF" w:rsidRPr="00E84B3F">
        <w:rPr>
          <w:rFonts w:ascii="Book Antiqua" w:hAnsi="Book Antiqua" w:cs="Arial"/>
        </w:rPr>
        <w:t xml:space="preserve">; Transition to </w:t>
      </w:r>
      <w:r w:rsidR="00A1200B" w:rsidRPr="00E84B3F">
        <w:rPr>
          <w:rFonts w:ascii="Book Antiqua" w:hAnsi="Book Antiqua" w:cs="Arial"/>
        </w:rPr>
        <w:t>adult care</w:t>
      </w:r>
    </w:p>
    <w:p w:rsidR="00A1200B" w:rsidRPr="00A1200B" w:rsidRDefault="00A1200B" w:rsidP="00633765">
      <w:pPr>
        <w:spacing w:line="360" w:lineRule="auto"/>
        <w:jc w:val="both"/>
        <w:rPr>
          <w:rFonts w:ascii="Book Antiqua" w:eastAsia="SimSun" w:hAnsi="Book Antiqua" w:cs="Arial"/>
          <w:b/>
          <w:lang w:eastAsia="zh-CN"/>
        </w:rPr>
      </w:pPr>
    </w:p>
    <w:p w:rsidR="00A1200B" w:rsidRDefault="00A1200B" w:rsidP="00633765">
      <w:pPr>
        <w:spacing w:line="360" w:lineRule="auto"/>
        <w:jc w:val="both"/>
        <w:rPr>
          <w:rFonts w:ascii="Book Antiqua" w:hAnsi="Book Antiqua" w:cs="Arial"/>
        </w:rPr>
      </w:pPr>
      <w:bookmarkStart w:id="22" w:name="OLE_LINK55"/>
      <w:bookmarkStart w:id="23" w:name="OLE_LINK56"/>
      <w:bookmarkStart w:id="24" w:name="OLE_LINK105"/>
      <w:bookmarkStart w:id="25" w:name="OLE_LINK116"/>
      <w:bookmarkStart w:id="26" w:name="OLE_LINK89"/>
      <w:r w:rsidRPr="0071780A">
        <w:rPr>
          <w:rFonts w:ascii="Book Antiqua" w:hAnsi="Book Antiqua"/>
          <w:b/>
        </w:rPr>
        <w:t>©</w:t>
      </w:r>
      <w:bookmarkEnd w:id="22"/>
      <w:bookmarkEnd w:id="23"/>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7</w:t>
      </w:r>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bookmarkEnd w:id="24"/>
    <w:bookmarkEnd w:id="25"/>
    <w:bookmarkEnd w:id="26"/>
    <w:p w:rsidR="00442E38" w:rsidRPr="00E84B3F" w:rsidRDefault="00442E38" w:rsidP="00633765">
      <w:pPr>
        <w:spacing w:line="360" w:lineRule="auto"/>
        <w:jc w:val="both"/>
        <w:rPr>
          <w:rFonts w:ascii="Book Antiqua" w:hAnsi="Book Antiqua" w:cs="Arial"/>
          <w:b/>
        </w:rPr>
      </w:pPr>
    </w:p>
    <w:p w:rsidR="00B9677D" w:rsidRPr="00A1200B" w:rsidRDefault="007A5D5C" w:rsidP="00633765">
      <w:pPr>
        <w:spacing w:line="360" w:lineRule="auto"/>
        <w:jc w:val="both"/>
        <w:rPr>
          <w:rFonts w:ascii="Book Antiqua" w:hAnsi="Book Antiqua" w:cs="Arial"/>
          <w:b/>
        </w:rPr>
      </w:pPr>
      <w:r w:rsidRPr="00E84B3F">
        <w:rPr>
          <w:rFonts w:ascii="Book Antiqua" w:hAnsi="Book Antiqua" w:cs="Arial"/>
          <w:b/>
        </w:rPr>
        <w:t xml:space="preserve">Core </w:t>
      </w:r>
      <w:r w:rsidR="00A1200B" w:rsidRPr="00E84B3F">
        <w:rPr>
          <w:rFonts w:ascii="Book Antiqua" w:hAnsi="Book Antiqua" w:cs="Arial"/>
          <w:b/>
        </w:rPr>
        <w:t>tip</w:t>
      </w:r>
      <w:r w:rsidRPr="00E84B3F">
        <w:rPr>
          <w:rFonts w:ascii="Book Antiqua" w:hAnsi="Book Antiqua" w:cs="Arial"/>
          <w:b/>
        </w:rPr>
        <w:t xml:space="preserve">: </w:t>
      </w:r>
      <w:r w:rsidRPr="00E84B3F">
        <w:rPr>
          <w:rFonts w:ascii="Book Antiqua" w:hAnsi="Book Antiqua" w:cs="Arial"/>
        </w:rPr>
        <w:t xml:space="preserve">The process of transition of a young adult with inflammatory bowel disease (IBD) to adult care should be </w:t>
      </w:r>
      <w:r w:rsidR="002B7AD6" w:rsidRPr="00E84B3F">
        <w:rPr>
          <w:rFonts w:ascii="Book Antiqua" w:hAnsi="Book Antiqua" w:cs="Arial"/>
        </w:rPr>
        <w:t>well coordinated</w:t>
      </w:r>
      <w:r w:rsidRPr="00E84B3F">
        <w:rPr>
          <w:rFonts w:ascii="Book Antiqua" w:hAnsi="Book Antiqua" w:cs="Arial"/>
        </w:rPr>
        <w:t xml:space="preserve"> and incorporate all key players to ensure proper collaboration and avoid interruption in care. </w:t>
      </w:r>
      <w:proofErr w:type="spellStart"/>
      <w:r w:rsidRPr="00E84B3F">
        <w:rPr>
          <w:rFonts w:ascii="Book Antiqua" w:hAnsi="Book Antiqua" w:cs="Arial"/>
        </w:rPr>
        <w:t>A</w:t>
      </w:r>
      <w:r w:rsidR="00B9677D" w:rsidRPr="00E84B3F">
        <w:rPr>
          <w:rFonts w:ascii="Book Antiqua" w:hAnsi="Book Antiqua" w:cs="Arial"/>
        </w:rPr>
        <w:t>nearly</w:t>
      </w:r>
      <w:proofErr w:type="spellEnd"/>
      <w:r w:rsidR="00B9677D" w:rsidRPr="00E84B3F">
        <w:rPr>
          <w:rFonts w:ascii="Book Antiqua" w:hAnsi="Book Antiqua" w:cs="Arial"/>
        </w:rPr>
        <w:t xml:space="preserve">, </w:t>
      </w:r>
      <w:r w:rsidRPr="00E84B3F">
        <w:rPr>
          <w:rFonts w:ascii="Book Antiqua" w:hAnsi="Book Antiqua" w:cs="Arial"/>
        </w:rPr>
        <w:t xml:space="preserve">regular assessment of the adolescent readiness for transition is important.  </w:t>
      </w:r>
      <w:r w:rsidR="00B9677D" w:rsidRPr="00E84B3F">
        <w:rPr>
          <w:rFonts w:ascii="Book Antiqua" w:hAnsi="Book Antiqua" w:cs="Arial"/>
        </w:rPr>
        <w:t xml:space="preserve">The adolescent patient </w:t>
      </w:r>
      <w:proofErr w:type="gramStart"/>
      <w:r w:rsidR="00B9677D" w:rsidRPr="00E84B3F">
        <w:rPr>
          <w:rFonts w:ascii="Book Antiqua" w:hAnsi="Book Antiqua" w:cs="Arial"/>
        </w:rPr>
        <w:t>should be seen</w:t>
      </w:r>
      <w:proofErr w:type="gramEnd"/>
      <w:r w:rsidR="00B9677D" w:rsidRPr="00E84B3F">
        <w:rPr>
          <w:rFonts w:ascii="Book Antiqua" w:hAnsi="Book Antiqua" w:cs="Arial"/>
        </w:rPr>
        <w:t xml:space="preserve"> without the parent or caregivers in </w:t>
      </w:r>
      <w:r w:rsidR="00A1200B">
        <w:rPr>
          <w:rFonts w:ascii="Book Antiqua" w:hAnsi="Book Antiqua" w:cs="Arial"/>
        </w:rPr>
        <w:t>order to build self-reliance.</w:t>
      </w:r>
      <w:r w:rsidR="00675B80">
        <w:rPr>
          <w:rFonts w:ascii="Book Antiqua" w:eastAsia="SimSun" w:hAnsi="Book Antiqua" w:cs="Arial" w:hint="eastAsia"/>
          <w:lang w:eastAsia="zh-CN"/>
        </w:rPr>
        <w:t xml:space="preserve"> </w:t>
      </w:r>
      <w:r w:rsidR="00B9677D" w:rsidRPr="00E84B3F">
        <w:rPr>
          <w:rFonts w:ascii="Book Antiqua" w:hAnsi="Book Antiqua" w:cs="Arial"/>
        </w:rPr>
        <w:t xml:space="preserve">Pediatric gastroenterologists need to discuss and introduce the concept of transition with the </w:t>
      </w:r>
      <w:r w:rsidR="00B9677D" w:rsidRPr="00E84B3F">
        <w:rPr>
          <w:rFonts w:ascii="Book Antiqua" w:hAnsi="Book Antiqua" w:cs="Arial"/>
        </w:rPr>
        <w:lastRenderedPageBreak/>
        <w:t>patient and family early and identify adult gastroenterologists with unique inter</w:t>
      </w:r>
      <w:r w:rsidR="00A1200B">
        <w:rPr>
          <w:rFonts w:ascii="Book Antiqua" w:hAnsi="Book Antiqua" w:cs="Arial"/>
        </w:rPr>
        <w:t xml:space="preserve">ests in young adults with IBD. </w:t>
      </w:r>
      <w:r w:rsidR="00B9677D" w:rsidRPr="00E84B3F">
        <w:rPr>
          <w:rFonts w:ascii="Book Antiqua" w:hAnsi="Book Antiqua" w:cs="Arial"/>
        </w:rPr>
        <w:t>The adult gastroenterologist should be prepared for the transition with advanced communication with th</w:t>
      </w:r>
      <w:r w:rsidR="007C4EFB" w:rsidRPr="00E84B3F">
        <w:rPr>
          <w:rFonts w:ascii="Book Antiqua" w:hAnsi="Book Antiqua" w:cs="Arial"/>
        </w:rPr>
        <w:t xml:space="preserve">e referring pediatric team, </w:t>
      </w:r>
      <w:r w:rsidR="00B9677D" w:rsidRPr="00E84B3F">
        <w:rPr>
          <w:rFonts w:ascii="Book Antiqua" w:hAnsi="Book Antiqua" w:cs="Arial"/>
        </w:rPr>
        <w:t xml:space="preserve">consider further training in adolescent </w:t>
      </w:r>
      <w:r w:rsidR="002B7AD6" w:rsidRPr="00E84B3F">
        <w:rPr>
          <w:rFonts w:ascii="Book Antiqua" w:hAnsi="Book Antiqua" w:cs="Arial"/>
        </w:rPr>
        <w:t>health</w:t>
      </w:r>
      <w:r w:rsidR="007C4EFB" w:rsidRPr="00E84B3F">
        <w:rPr>
          <w:rFonts w:ascii="Book Antiqua" w:hAnsi="Book Antiqua" w:cs="Arial"/>
        </w:rPr>
        <w:t xml:space="preserve">, and review health priorities </w:t>
      </w:r>
      <w:proofErr w:type="spellStart"/>
      <w:r w:rsidR="007C4EFB" w:rsidRPr="00E84B3F">
        <w:rPr>
          <w:rFonts w:ascii="Book Antiqua" w:hAnsi="Book Antiqua" w:cs="Arial"/>
        </w:rPr>
        <w:t>andtargets</w:t>
      </w:r>
      <w:proofErr w:type="spellEnd"/>
      <w:r w:rsidR="007C4EFB" w:rsidRPr="00E84B3F">
        <w:rPr>
          <w:rFonts w:ascii="Book Antiqua" w:hAnsi="Book Antiqua" w:cs="Arial"/>
        </w:rPr>
        <w:t xml:space="preserve"> of care early with the young adult. </w:t>
      </w:r>
    </w:p>
    <w:p w:rsidR="00B9677D" w:rsidRPr="00E84B3F" w:rsidRDefault="00B9677D" w:rsidP="00633765">
      <w:pPr>
        <w:spacing w:line="360" w:lineRule="auto"/>
        <w:jc w:val="both"/>
        <w:rPr>
          <w:rFonts w:ascii="Book Antiqua" w:hAnsi="Book Antiqua" w:cs="Arial"/>
        </w:rPr>
      </w:pPr>
    </w:p>
    <w:p w:rsidR="00E5312B" w:rsidRPr="00E5312B" w:rsidRDefault="00E5312B" w:rsidP="00633765">
      <w:pPr>
        <w:spacing w:line="360" w:lineRule="auto"/>
        <w:jc w:val="both"/>
        <w:rPr>
          <w:rFonts w:ascii="Book Antiqua" w:eastAsia="SimSun" w:hAnsi="Book Antiqua" w:cs="Arial"/>
          <w:vertAlign w:val="superscript"/>
          <w:lang w:eastAsia="zh-CN"/>
        </w:rPr>
      </w:pPr>
      <w:bookmarkStart w:id="27" w:name="OLE_LINK424"/>
      <w:bookmarkStart w:id="28" w:name="OLE_LINK425"/>
      <w:proofErr w:type="spellStart"/>
      <w:r w:rsidRPr="00E84B3F">
        <w:rPr>
          <w:rFonts w:ascii="Book Antiqua" w:hAnsi="Book Antiqua" w:cs="Arial"/>
        </w:rPr>
        <w:t>Afzali</w:t>
      </w:r>
      <w:proofErr w:type="spellEnd"/>
      <w:r>
        <w:rPr>
          <w:rFonts w:ascii="Book Antiqua" w:eastAsia="SimSun" w:hAnsi="Book Antiqua" w:cs="Arial" w:hint="eastAsia"/>
          <w:lang w:eastAsia="zh-CN"/>
        </w:rPr>
        <w:t xml:space="preserve"> A, </w:t>
      </w:r>
      <w:proofErr w:type="spellStart"/>
      <w:r w:rsidRPr="00E84B3F">
        <w:rPr>
          <w:rFonts w:ascii="Book Antiqua" w:hAnsi="Book Antiqua" w:cs="Arial"/>
        </w:rPr>
        <w:t>Wahbeh</w:t>
      </w:r>
      <w:proofErr w:type="spellEnd"/>
      <w:r>
        <w:rPr>
          <w:rFonts w:ascii="Book Antiqua" w:eastAsia="SimSun" w:hAnsi="Book Antiqua" w:cs="Arial" w:hint="eastAsia"/>
          <w:lang w:eastAsia="zh-CN"/>
        </w:rPr>
        <w:t xml:space="preserve"> G. </w:t>
      </w:r>
      <w:r w:rsidRPr="00790921">
        <w:rPr>
          <w:rFonts w:ascii="Book Antiqua" w:eastAsia="SimSun" w:hAnsi="Book Antiqua" w:cs="Arial"/>
          <w:lang w:eastAsia="zh-CN"/>
        </w:rPr>
        <w:t xml:space="preserve">Transition of pediatric to adult care in inflammatory bowel disease: Is it as easy as </w:t>
      </w:r>
      <w:proofErr w:type="gramStart"/>
      <w:r w:rsidRPr="00790921">
        <w:rPr>
          <w:rFonts w:ascii="Book Antiqua" w:eastAsia="SimSun" w:hAnsi="Book Antiqua" w:cs="Arial"/>
          <w:lang w:eastAsia="zh-CN"/>
        </w:rPr>
        <w:t>1</w:t>
      </w:r>
      <w:proofErr w:type="gramEnd"/>
      <w:r w:rsidRPr="00790921">
        <w:rPr>
          <w:rFonts w:ascii="Book Antiqua" w:eastAsia="SimSun" w:hAnsi="Book Antiqua" w:cs="Arial"/>
          <w:lang w:eastAsia="zh-CN"/>
        </w:rPr>
        <w:t>, 2, 3?</w:t>
      </w:r>
      <w:r>
        <w:rPr>
          <w:rFonts w:ascii="Book Antiqua" w:eastAsia="SimSun" w:hAnsi="Book Antiqua" w:cs="Arial" w:hint="eastAsia"/>
          <w:vertAlign w:val="superscript"/>
          <w:lang w:eastAsia="zh-CN"/>
        </w:rPr>
        <w:t xml:space="preserve"> </w:t>
      </w:r>
      <w:r w:rsidRPr="00712F63">
        <w:rPr>
          <w:rFonts w:ascii="Book Antiqua" w:hAnsi="Book Antiqua"/>
          <w:i/>
        </w:rPr>
        <w:t xml:space="preserve">World J </w:t>
      </w:r>
      <w:proofErr w:type="spellStart"/>
      <w:r w:rsidRPr="00712F63">
        <w:rPr>
          <w:rFonts w:ascii="Book Antiqua" w:hAnsi="Book Antiqua"/>
          <w:i/>
        </w:rPr>
        <w:t>Gastroenterol</w:t>
      </w:r>
      <w:proofErr w:type="spellEnd"/>
      <w:r w:rsidRPr="00712F63">
        <w:rPr>
          <w:rFonts w:ascii="Book Antiqua" w:hAnsi="Book Antiqua"/>
        </w:rPr>
        <w:t xml:space="preserve"> 201</w:t>
      </w:r>
      <w:r>
        <w:rPr>
          <w:rFonts w:ascii="Book Antiqua" w:hAnsi="Book Antiqua" w:hint="eastAsia"/>
        </w:rPr>
        <w:t>7</w:t>
      </w:r>
      <w:r w:rsidRPr="00712F63">
        <w:rPr>
          <w:rFonts w:ascii="Book Antiqua" w:hAnsi="Book Antiqua"/>
        </w:rPr>
        <w:t xml:space="preserve">; </w:t>
      </w:r>
      <w:bookmarkStart w:id="29" w:name="OLE_LINK1689"/>
      <w:bookmarkStart w:id="30" w:name="OLE_LINK1298"/>
      <w:bookmarkStart w:id="31" w:name="OLE_LINK1297"/>
      <w:proofErr w:type="gramStart"/>
      <w:r w:rsidRPr="00712F63">
        <w:rPr>
          <w:rFonts w:ascii="Book Antiqua" w:hAnsi="Book Antiqua"/>
        </w:rPr>
        <w:t>In</w:t>
      </w:r>
      <w:proofErr w:type="gramEnd"/>
      <w:r w:rsidRPr="00712F63">
        <w:rPr>
          <w:rFonts w:ascii="Book Antiqua" w:hAnsi="Book Antiqua"/>
        </w:rPr>
        <w:t xml:space="preserve"> press</w:t>
      </w:r>
      <w:bookmarkEnd w:id="29"/>
      <w:bookmarkEnd w:id="30"/>
      <w:bookmarkEnd w:id="31"/>
    </w:p>
    <w:bookmarkEnd w:id="27"/>
    <w:bookmarkEnd w:id="28"/>
    <w:p w:rsidR="00B9677D" w:rsidRPr="00E84B3F" w:rsidRDefault="00B9677D" w:rsidP="00633765">
      <w:pPr>
        <w:spacing w:line="360" w:lineRule="auto"/>
        <w:jc w:val="both"/>
        <w:rPr>
          <w:rFonts w:ascii="Book Antiqua" w:hAnsi="Book Antiqua" w:cs="Arial"/>
        </w:rPr>
      </w:pPr>
    </w:p>
    <w:p w:rsidR="00EC6EC6" w:rsidRPr="00A1200B" w:rsidRDefault="00442E38" w:rsidP="00633765">
      <w:pPr>
        <w:spacing w:line="360" w:lineRule="auto"/>
        <w:jc w:val="both"/>
        <w:rPr>
          <w:rFonts w:ascii="Book Antiqua" w:eastAsia="SimSun" w:hAnsi="Book Antiqua" w:cs="Arial"/>
          <w:b/>
          <w:lang w:eastAsia="zh-CN"/>
        </w:rPr>
      </w:pPr>
      <w:r w:rsidRPr="00E84B3F">
        <w:rPr>
          <w:rFonts w:ascii="Book Antiqua" w:hAnsi="Book Antiqua" w:cs="Arial"/>
        </w:rPr>
        <w:br w:type="page"/>
      </w:r>
      <w:r w:rsidR="00A1200B">
        <w:rPr>
          <w:rFonts w:ascii="Book Antiqua" w:hAnsi="Book Antiqua" w:cs="Arial"/>
          <w:b/>
        </w:rPr>
        <w:lastRenderedPageBreak/>
        <w:t>INTRODUCTION</w:t>
      </w:r>
    </w:p>
    <w:p w:rsidR="008900E5" w:rsidRPr="00E84B3F" w:rsidRDefault="00C80116" w:rsidP="00633765">
      <w:pPr>
        <w:spacing w:line="360" w:lineRule="auto"/>
        <w:jc w:val="both"/>
        <w:rPr>
          <w:rFonts w:ascii="Book Antiqua" w:hAnsi="Book Antiqua" w:cs="Arial"/>
        </w:rPr>
      </w:pPr>
      <w:r w:rsidRPr="00E84B3F">
        <w:rPr>
          <w:rFonts w:ascii="Book Antiqua" w:hAnsi="Book Antiqua" w:cs="Arial"/>
        </w:rPr>
        <w:t xml:space="preserve">Inflammatory bowel disease (IBD) is a heterogeneous group of diseases </w:t>
      </w:r>
      <w:r w:rsidR="000F1CC7" w:rsidRPr="00E84B3F">
        <w:rPr>
          <w:rFonts w:ascii="Book Antiqua" w:hAnsi="Book Antiqua" w:cs="Arial"/>
        </w:rPr>
        <w:t>that</w:t>
      </w:r>
      <w:r w:rsidRPr="00E84B3F">
        <w:rPr>
          <w:rFonts w:ascii="Book Antiqua" w:hAnsi="Book Antiqua" w:cs="Arial"/>
        </w:rPr>
        <w:t xml:space="preserve"> includes both ulcerative colitis (UC) and Crohn’s dise</w:t>
      </w:r>
      <w:r w:rsidR="000F1CC7" w:rsidRPr="00E84B3F">
        <w:rPr>
          <w:rFonts w:ascii="Book Antiqua" w:hAnsi="Book Antiqua" w:cs="Arial"/>
        </w:rPr>
        <w:t>ase (CD).  In the United States,</w:t>
      </w:r>
      <w:r w:rsidRPr="00E84B3F">
        <w:rPr>
          <w:rFonts w:ascii="Book Antiqua" w:hAnsi="Book Antiqua" w:cs="Arial"/>
        </w:rPr>
        <w:t xml:space="preserve"> nearly 1.</w:t>
      </w:r>
      <w:r w:rsidR="001D20C7" w:rsidRPr="00E84B3F">
        <w:rPr>
          <w:rFonts w:ascii="Book Antiqua" w:hAnsi="Book Antiqua" w:cs="Arial"/>
        </w:rPr>
        <w:t>5</w:t>
      </w:r>
      <w:r w:rsidRPr="00E84B3F">
        <w:rPr>
          <w:rFonts w:ascii="Book Antiqua" w:hAnsi="Book Antiqua" w:cs="Arial"/>
        </w:rPr>
        <w:t xml:space="preserve"> million Americans are affected by this chronic disease, and approximately 30% of CD and 20% of UC patients have disease onset prior to the age of 20</w:t>
      </w:r>
      <w:r w:rsidR="001D20C7" w:rsidRPr="00E84B3F">
        <w:rPr>
          <w:rFonts w:ascii="Book Antiqua" w:hAnsi="Book Antiqua" w:cs="Arial"/>
          <w:vertAlign w:val="superscript"/>
        </w:rPr>
        <w:t>[1</w:t>
      </w:r>
      <w:proofErr w:type="gramStart"/>
      <w:r w:rsidR="001D20C7" w:rsidRPr="00E84B3F">
        <w:rPr>
          <w:rFonts w:ascii="Book Antiqua" w:hAnsi="Book Antiqua" w:cs="Arial"/>
          <w:vertAlign w:val="superscript"/>
        </w:rPr>
        <w:t>,2</w:t>
      </w:r>
      <w:proofErr w:type="gramEnd"/>
      <w:r w:rsidR="001D20C7" w:rsidRPr="00E84B3F">
        <w:rPr>
          <w:rFonts w:ascii="Book Antiqua" w:hAnsi="Book Antiqua" w:cs="Arial"/>
          <w:vertAlign w:val="superscript"/>
        </w:rPr>
        <w:t>]</w:t>
      </w:r>
      <w:r w:rsidR="001D20C7" w:rsidRPr="00E84B3F">
        <w:rPr>
          <w:rFonts w:ascii="Book Antiqua" w:hAnsi="Book Antiqua" w:cs="Arial"/>
        </w:rPr>
        <w:t>.</w:t>
      </w:r>
      <w:r w:rsidRPr="00E84B3F">
        <w:rPr>
          <w:rFonts w:ascii="Book Antiqua" w:hAnsi="Book Antiqua" w:cs="Arial"/>
        </w:rPr>
        <w:t xml:space="preserve"> Population-based studies demonstrate a rising incidence of pediatric IBD over the last decade and the projected prevalence of pediatric onset of disease is abo</w:t>
      </w:r>
      <w:r w:rsidR="001D20C7" w:rsidRPr="00E84B3F">
        <w:rPr>
          <w:rFonts w:ascii="Book Antiqua" w:hAnsi="Book Antiqua" w:cs="Arial"/>
        </w:rPr>
        <w:t xml:space="preserve">ut 10,000 new cases </w:t>
      </w:r>
      <w:proofErr w:type="gramStart"/>
      <w:r w:rsidR="001D20C7" w:rsidRPr="00E84B3F">
        <w:rPr>
          <w:rFonts w:ascii="Book Antiqua" w:hAnsi="Book Antiqua" w:cs="Arial"/>
        </w:rPr>
        <w:t>annually</w:t>
      </w:r>
      <w:r w:rsidR="00E5312B">
        <w:rPr>
          <w:rFonts w:ascii="Book Antiqua" w:hAnsi="Book Antiqua" w:cs="Arial"/>
          <w:vertAlign w:val="superscript"/>
        </w:rPr>
        <w:t>[</w:t>
      </w:r>
      <w:proofErr w:type="gramEnd"/>
      <w:r w:rsidR="00E5312B">
        <w:rPr>
          <w:rFonts w:ascii="Book Antiqua" w:hAnsi="Book Antiqua" w:cs="Arial"/>
          <w:vertAlign w:val="superscript"/>
        </w:rPr>
        <w:t>2,</w:t>
      </w:r>
      <w:r w:rsidR="001D20C7" w:rsidRPr="00E84B3F">
        <w:rPr>
          <w:rFonts w:ascii="Book Antiqua" w:hAnsi="Book Antiqua" w:cs="Arial"/>
          <w:vertAlign w:val="superscript"/>
        </w:rPr>
        <w:t>3]</w:t>
      </w:r>
      <w:r w:rsidRPr="00E84B3F">
        <w:rPr>
          <w:rFonts w:ascii="Book Antiqua" w:hAnsi="Book Antiqua" w:cs="Arial"/>
        </w:rPr>
        <w:t>.</w:t>
      </w:r>
    </w:p>
    <w:p w:rsidR="005B43F5" w:rsidRPr="00E84B3F" w:rsidRDefault="00C80116" w:rsidP="00633765">
      <w:pPr>
        <w:spacing w:line="360" w:lineRule="auto"/>
        <w:ind w:firstLineChars="150" w:firstLine="360"/>
        <w:jc w:val="both"/>
        <w:rPr>
          <w:rFonts w:ascii="Book Antiqua" w:hAnsi="Book Antiqua" w:cs="Arial"/>
        </w:rPr>
      </w:pPr>
      <w:r w:rsidRPr="00E84B3F">
        <w:rPr>
          <w:rFonts w:ascii="Book Antiqua" w:hAnsi="Book Antiqua" w:cs="Arial"/>
        </w:rPr>
        <w:t>Similar to other chronic diseases such as cystic fibrosis (CF)</w:t>
      </w:r>
      <w:r w:rsidR="00EC017D" w:rsidRPr="00E84B3F">
        <w:rPr>
          <w:rFonts w:ascii="Book Antiqua" w:hAnsi="Book Antiqua" w:cs="Arial"/>
        </w:rPr>
        <w:t xml:space="preserve"> and diabetes</w:t>
      </w:r>
      <w:r w:rsidRPr="00E84B3F">
        <w:rPr>
          <w:rFonts w:ascii="Book Antiqua" w:hAnsi="Book Antiqua" w:cs="Arial"/>
        </w:rPr>
        <w:t xml:space="preserve">, children with IBD eventually require a transfer of care to an adult gastroenterologist.  This transition from pediatric to adult care carries potential challenges, given the inherent differences between pediatric </w:t>
      </w:r>
      <w:r w:rsidR="005B43F5" w:rsidRPr="00E84B3F">
        <w:rPr>
          <w:rFonts w:ascii="Book Antiqua" w:hAnsi="Book Antiqua" w:cs="Arial"/>
        </w:rPr>
        <w:t xml:space="preserve">and adult health care models, disease characteristics and phenotype, and </w:t>
      </w:r>
      <w:r w:rsidR="006372A0" w:rsidRPr="00E84B3F">
        <w:rPr>
          <w:rFonts w:ascii="Book Antiqua" w:hAnsi="Book Antiqua" w:cs="Arial"/>
        </w:rPr>
        <w:t>treatment strategies</w:t>
      </w:r>
      <w:r w:rsidR="00E5312B">
        <w:rPr>
          <w:rFonts w:ascii="Book Antiqua" w:hAnsi="Book Antiqua" w:cs="Arial"/>
        </w:rPr>
        <w:t xml:space="preserve">. </w:t>
      </w:r>
      <w:r w:rsidR="005B43F5" w:rsidRPr="00E84B3F">
        <w:rPr>
          <w:rFonts w:ascii="Book Antiqua" w:hAnsi="Book Antiqua" w:cs="Arial"/>
        </w:rPr>
        <w:t>There are two key elements to this healthcare transition.  One is the transition of care from the primary caregiver or guardian to the patient, and the other is the transfer</w:t>
      </w:r>
      <w:r w:rsidR="00CE69F1" w:rsidRPr="00E84B3F">
        <w:rPr>
          <w:rFonts w:ascii="Book Antiqua" w:hAnsi="Book Antiqua" w:cs="Arial"/>
        </w:rPr>
        <w:t xml:space="preserve"> of </w:t>
      </w:r>
      <w:proofErr w:type="spellStart"/>
      <w:r w:rsidR="00CE69F1" w:rsidRPr="00E84B3F">
        <w:rPr>
          <w:rFonts w:ascii="Book Antiqua" w:hAnsi="Book Antiqua" w:cs="Arial"/>
        </w:rPr>
        <w:t>responsibilityfrom</w:t>
      </w:r>
      <w:proofErr w:type="spellEnd"/>
      <w:r w:rsidR="00CE69F1" w:rsidRPr="00E84B3F">
        <w:rPr>
          <w:rFonts w:ascii="Book Antiqua" w:hAnsi="Book Antiqua" w:cs="Arial"/>
        </w:rPr>
        <w:t xml:space="preserve"> the</w:t>
      </w:r>
      <w:r w:rsidR="00E5312B">
        <w:rPr>
          <w:rFonts w:ascii="Book Antiqua" w:eastAsia="SimSun" w:hAnsi="Book Antiqua" w:cs="Arial" w:hint="eastAsia"/>
          <w:lang w:eastAsia="zh-CN"/>
        </w:rPr>
        <w:t xml:space="preserve"> </w:t>
      </w:r>
      <w:r w:rsidR="00CE69F1" w:rsidRPr="00E84B3F">
        <w:rPr>
          <w:rFonts w:ascii="Book Antiqua" w:hAnsi="Book Antiqua" w:cs="Arial"/>
        </w:rPr>
        <w:t xml:space="preserve">pediatric gastroenterologist to an adult </w:t>
      </w:r>
      <w:proofErr w:type="gramStart"/>
      <w:r w:rsidR="00CE69F1" w:rsidRPr="00E84B3F">
        <w:rPr>
          <w:rFonts w:ascii="Book Antiqua" w:hAnsi="Book Antiqua" w:cs="Arial"/>
        </w:rPr>
        <w:t>provider</w:t>
      </w:r>
      <w:r w:rsidR="00B146A8" w:rsidRPr="00E84B3F">
        <w:rPr>
          <w:rFonts w:ascii="Book Antiqua" w:hAnsi="Book Antiqua" w:cs="Arial"/>
          <w:vertAlign w:val="superscript"/>
        </w:rPr>
        <w:t>[</w:t>
      </w:r>
      <w:proofErr w:type="gramEnd"/>
      <w:r w:rsidR="00C813C5" w:rsidRPr="00E84B3F">
        <w:rPr>
          <w:rFonts w:ascii="Book Antiqua" w:hAnsi="Book Antiqua" w:cs="Arial"/>
          <w:vertAlign w:val="superscript"/>
        </w:rPr>
        <w:t>4</w:t>
      </w:r>
      <w:r w:rsidR="00B146A8" w:rsidRPr="00E84B3F">
        <w:rPr>
          <w:rFonts w:ascii="Book Antiqua" w:hAnsi="Book Antiqua" w:cs="Arial"/>
          <w:vertAlign w:val="superscript"/>
        </w:rPr>
        <w:t>]</w:t>
      </w:r>
      <w:r w:rsidR="00CE69F1" w:rsidRPr="00E84B3F">
        <w:rPr>
          <w:rFonts w:ascii="Book Antiqua" w:hAnsi="Book Antiqua" w:cs="Arial"/>
        </w:rPr>
        <w:t>.</w:t>
      </w:r>
      <w:r w:rsidR="00E5312B">
        <w:rPr>
          <w:rFonts w:ascii="Book Antiqua" w:eastAsia="SimSun" w:hAnsi="Book Antiqua" w:cs="Arial" w:hint="eastAsia"/>
          <w:lang w:eastAsia="zh-CN"/>
        </w:rPr>
        <w:t xml:space="preserve"> </w:t>
      </w:r>
      <w:r w:rsidR="00CE69F1" w:rsidRPr="00E84B3F">
        <w:rPr>
          <w:rFonts w:ascii="Book Antiqua" w:hAnsi="Book Antiqua" w:cs="Arial"/>
        </w:rPr>
        <w:t>Without both elements, the process of transition will inevitably fail and result in poorer patient and disease outcomes.</w:t>
      </w:r>
    </w:p>
    <w:p w:rsidR="00437A3C" w:rsidRPr="00E84B3F" w:rsidRDefault="00437A3C" w:rsidP="00633765">
      <w:pPr>
        <w:spacing w:line="360" w:lineRule="auto"/>
        <w:ind w:firstLineChars="100" w:firstLine="240"/>
        <w:jc w:val="both"/>
        <w:rPr>
          <w:rFonts w:ascii="Book Antiqua" w:hAnsi="Book Antiqua" w:cs="Arial"/>
        </w:rPr>
      </w:pPr>
      <w:r w:rsidRPr="00E84B3F">
        <w:rPr>
          <w:rFonts w:ascii="Book Antiqua" w:hAnsi="Book Antiqua" w:cs="Arial"/>
        </w:rPr>
        <w:t xml:space="preserve">This paper </w:t>
      </w:r>
      <w:r w:rsidR="005A4D2B" w:rsidRPr="00E84B3F">
        <w:rPr>
          <w:rFonts w:ascii="Book Antiqua" w:hAnsi="Book Antiqua" w:cs="Arial"/>
        </w:rPr>
        <w:t>highlights the need for a st</w:t>
      </w:r>
      <w:r w:rsidR="00931F21" w:rsidRPr="00E84B3F">
        <w:rPr>
          <w:rFonts w:ascii="Book Antiqua" w:hAnsi="Book Antiqua" w:cs="Arial"/>
        </w:rPr>
        <w:t xml:space="preserve">ructured transition process </w:t>
      </w:r>
      <w:r w:rsidR="009F68EA" w:rsidRPr="00E84B3F">
        <w:rPr>
          <w:rFonts w:ascii="Book Antiqua" w:hAnsi="Book Antiqua" w:cs="Arial"/>
        </w:rPr>
        <w:t>for IBD patients that graduate from pediatric to adult gastroenterology care</w:t>
      </w:r>
      <w:r w:rsidR="00EC6EC6" w:rsidRPr="00E84B3F">
        <w:rPr>
          <w:rFonts w:ascii="Book Antiqua" w:hAnsi="Book Antiqua" w:cs="Arial"/>
        </w:rPr>
        <w:t xml:space="preserve"> and provides an overview of this process</w:t>
      </w:r>
      <w:r w:rsidR="00896380" w:rsidRPr="00E84B3F">
        <w:rPr>
          <w:rFonts w:ascii="Book Antiqua" w:hAnsi="Book Antiqua" w:cs="Arial"/>
        </w:rPr>
        <w:t>.</w:t>
      </w:r>
    </w:p>
    <w:p w:rsidR="00DC51A3" w:rsidRPr="00E5312B" w:rsidRDefault="00DC51A3" w:rsidP="00633765">
      <w:pPr>
        <w:spacing w:line="360" w:lineRule="auto"/>
        <w:jc w:val="both"/>
        <w:rPr>
          <w:rFonts w:ascii="Book Antiqua" w:eastAsia="SimSun" w:hAnsi="Book Antiqua" w:cs="Arial"/>
          <w:b/>
          <w:lang w:eastAsia="zh-CN"/>
        </w:rPr>
      </w:pPr>
    </w:p>
    <w:p w:rsidR="005B43F5" w:rsidRPr="00E5312B" w:rsidRDefault="00E5312B" w:rsidP="00633765">
      <w:pPr>
        <w:spacing w:line="360" w:lineRule="auto"/>
        <w:jc w:val="both"/>
        <w:rPr>
          <w:rFonts w:ascii="Book Antiqua" w:eastAsia="SimSun" w:hAnsi="Book Antiqua" w:cs="Arial"/>
          <w:b/>
          <w:lang w:eastAsia="zh-CN"/>
        </w:rPr>
      </w:pPr>
      <w:r w:rsidRPr="00E84B3F">
        <w:rPr>
          <w:rFonts w:ascii="Book Antiqua" w:hAnsi="Book Antiqua" w:cs="Arial"/>
          <w:b/>
        </w:rPr>
        <w:t>DIFFERENCES IN PEDIATRIC AND ADULT HEALTH CARE MODELS</w:t>
      </w:r>
    </w:p>
    <w:p w:rsidR="00FB4692" w:rsidRPr="00E84B3F" w:rsidRDefault="00CE69F1" w:rsidP="00633765">
      <w:pPr>
        <w:spacing w:line="360" w:lineRule="auto"/>
        <w:jc w:val="both"/>
        <w:rPr>
          <w:rFonts w:ascii="Book Antiqua" w:hAnsi="Book Antiqua" w:cs="Arial"/>
        </w:rPr>
      </w:pPr>
      <w:r w:rsidRPr="00E84B3F">
        <w:rPr>
          <w:rFonts w:ascii="Book Antiqua" w:hAnsi="Book Antiqua" w:cs="Arial"/>
        </w:rPr>
        <w:t xml:space="preserve">The pediatric healthcare model </w:t>
      </w:r>
      <w:r w:rsidR="00C80116" w:rsidRPr="00E84B3F">
        <w:rPr>
          <w:rFonts w:ascii="Book Antiqua" w:hAnsi="Book Antiqua" w:cs="Arial"/>
        </w:rPr>
        <w:t>is</w:t>
      </w:r>
      <w:r w:rsidR="006372A0" w:rsidRPr="00E84B3F">
        <w:rPr>
          <w:rFonts w:ascii="Book Antiqua" w:hAnsi="Book Antiqua" w:cs="Arial"/>
        </w:rPr>
        <w:t xml:space="preserve"> family-focused </w:t>
      </w:r>
      <w:r w:rsidR="00C80116" w:rsidRPr="00E84B3F">
        <w:rPr>
          <w:rFonts w:ascii="Book Antiqua" w:hAnsi="Book Antiqua" w:cs="Arial"/>
        </w:rPr>
        <w:t>and requires parental involvement for knowledge</w:t>
      </w:r>
      <w:r w:rsidR="00E21A21" w:rsidRPr="00E84B3F">
        <w:rPr>
          <w:rFonts w:ascii="Book Antiqua" w:hAnsi="Book Antiqua" w:cs="Arial"/>
        </w:rPr>
        <w:t xml:space="preserve">, </w:t>
      </w:r>
      <w:r w:rsidR="00C80116" w:rsidRPr="00E84B3F">
        <w:rPr>
          <w:rFonts w:ascii="Book Antiqua" w:hAnsi="Book Antiqua" w:cs="Arial"/>
        </w:rPr>
        <w:t>understanding</w:t>
      </w:r>
      <w:r w:rsidR="00FB4692" w:rsidRPr="00E84B3F">
        <w:rPr>
          <w:rFonts w:ascii="Book Antiqua" w:hAnsi="Book Antiqua" w:cs="Arial"/>
        </w:rPr>
        <w:t xml:space="preserve">, guidance and </w:t>
      </w:r>
      <w:proofErr w:type="gramStart"/>
      <w:r w:rsidR="00FB4692" w:rsidRPr="00E84B3F">
        <w:rPr>
          <w:rFonts w:ascii="Book Antiqua" w:hAnsi="Book Antiqua" w:cs="Arial"/>
        </w:rPr>
        <w:t>consent</w:t>
      </w:r>
      <w:r w:rsidR="001D20C7" w:rsidRPr="00E84B3F">
        <w:rPr>
          <w:rFonts w:ascii="Book Antiqua" w:hAnsi="Book Antiqua" w:cs="Arial"/>
          <w:vertAlign w:val="superscript"/>
        </w:rPr>
        <w:t>[</w:t>
      </w:r>
      <w:proofErr w:type="gramEnd"/>
      <w:r w:rsidR="00C813C5" w:rsidRPr="00E84B3F">
        <w:rPr>
          <w:rFonts w:ascii="Book Antiqua" w:hAnsi="Book Antiqua" w:cs="Arial"/>
          <w:vertAlign w:val="superscript"/>
        </w:rPr>
        <w:t>5,6</w:t>
      </w:r>
      <w:r w:rsidR="001D20C7" w:rsidRPr="00E84B3F">
        <w:rPr>
          <w:rFonts w:ascii="Book Antiqua" w:hAnsi="Book Antiqua" w:cs="Arial"/>
          <w:vertAlign w:val="superscript"/>
        </w:rPr>
        <w:t>]</w:t>
      </w:r>
      <w:r w:rsidR="001D20C7" w:rsidRPr="00E84B3F">
        <w:rPr>
          <w:rFonts w:ascii="Book Antiqua" w:hAnsi="Book Antiqua" w:cs="Arial"/>
        </w:rPr>
        <w:t>.</w:t>
      </w:r>
      <w:r w:rsidR="00E5312B">
        <w:rPr>
          <w:rFonts w:ascii="Book Antiqua" w:eastAsia="SimSun" w:hAnsi="Book Antiqua" w:cs="Arial" w:hint="eastAsia"/>
          <w:lang w:eastAsia="zh-CN"/>
        </w:rPr>
        <w:t xml:space="preserve"> </w:t>
      </w:r>
      <w:proofErr w:type="gramStart"/>
      <w:r w:rsidR="00FB4692" w:rsidRPr="00E84B3F">
        <w:rPr>
          <w:rFonts w:ascii="Book Antiqua" w:hAnsi="Book Antiqua" w:cs="Arial"/>
        </w:rPr>
        <w:t xml:space="preserve">Pediatric specialists have also received </w:t>
      </w:r>
      <w:r w:rsidR="006372A0" w:rsidRPr="00E84B3F">
        <w:rPr>
          <w:rFonts w:ascii="Book Antiqua" w:hAnsi="Book Antiqua" w:cs="Arial"/>
        </w:rPr>
        <w:t xml:space="preserve">baseline </w:t>
      </w:r>
      <w:r w:rsidR="00FB4692" w:rsidRPr="00E84B3F">
        <w:rPr>
          <w:rFonts w:ascii="Book Antiqua" w:hAnsi="Book Antiqua" w:cs="Arial"/>
        </w:rPr>
        <w:t xml:space="preserve">training in pediatric care and </w:t>
      </w:r>
      <w:r w:rsidR="00EC017D" w:rsidRPr="00E84B3F">
        <w:rPr>
          <w:rFonts w:ascii="Book Antiqua" w:hAnsi="Book Antiqua" w:cs="Arial"/>
        </w:rPr>
        <w:t xml:space="preserve">are </w:t>
      </w:r>
      <w:r w:rsidR="00FB4692" w:rsidRPr="00E84B3F">
        <w:rPr>
          <w:rFonts w:ascii="Book Antiqua" w:hAnsi="Book Antiqua" w:cs="Arial"/>
        </w:rPr>
        <w:t>appropriately sensitive to chi</w:t>
      </w:r>
      <w:r w:rsidR="006372A0" w:rsidRPr="00E84B3F">
        <w:rPr>
          <w:rFonts w:ascii="Book Antiqua" w:hAnsi="Book Antiqua" w:cs="Arial"/>
        </w:rPr>
        <w:t>ld-specific psychosocial needs.</w:t>
      </w:r>
      <w:proofErr w:type="gramEnd"/>
      <w:r w:rsidR="006372A0" w:rsidRPr="00E84B3F">
        <w:rPr>
          <w:rFonts w:ascii="Book Antiqua" w:hAnsi="Book Antiqua" w:cs="Arial"/>
        </w:rPr>
        <w:t xml:space="preserve">  The delivery of care </w:t>
      </w:r>
      <w:proofErr w:type="gramStart"/>
      <w:r w:rsidR="006372A0" w:rsidRPr="00E84B3F">
        <w:rPr>
          <w:rFonts w:ascii="Book Antiqua" w:hAnsi="Book Antiqua" w:cs="Arial"/>
        </w:rPr>
        <w:t xml:space="preserve">is </w:t>
      </w:r>
      <w:r w:rsidR="00FF3654" w:rsidRPr="00E84B3F">
        <w:rPr>
          <w:rFonts w:ascii="Book Antiqua" w:hAnsi="Book Antiqua" w:cs="Arial"/>
        </w:rPr>
        <w:t xml:space="preserve">usually </w:t>
      </w:r>
      <w:r w:rsidR="006372A0" w:rsidRPr="00E84B3F">
        <w:rPr>
          <w:rFonts w:ascii="Book Antiqua" w:hAnsi="Book Antiqua" w:cs="Arial"/>
        </w:rPr>
        <w:t>designed</w:t>
      </w:r>
      <w:proofErr w:type="gramEnd"/>
      <w:r w:rsidR="006372A0" w:rsidRPr="00E84B3F">
        <w:rPr>
          <w:rFonts w:ascii="Book Antiqua" w:hAnsi="Book Antiqua" w:cs="Arial"/>
        </w:rPr>
        <w:t xml:space="preserve"> to include a multi-disciplinary team of providers and medical staff.</w:t>
      </w:r>
    </w:p>
    <w:p w:rsidR="00FB4692" w:rsidRPr="00E84B3F" w:rsidRDefault="006372A0" w:rsidP="00633765">
      <w:pPr>
        <w:spacing w:line="360" w:lineRule="auto"/>
        <w:ind w:firstLineChars="100" w:firstLine="240"/>
        <w:jc w:val="both"/>
        <w:rPr>
          <w:rFonts w:ascii="Book Antiqua" w:hAnsi="Book Antiqua" w:cs="Arial"/>
        </w:rPr>
      </w:pPr>
      <w:r w:rsidRPr="00E84B3F">
        <w:rPr>
          <w:rFonts w:ascii="Book Antiqua" w:hAnsi="Book Antiqua" w:cs="Arial"/>
        </w:rPr>
        <w:t>Conversely, t</w:t>
      </w:r>
      <w:r w:rsidR="00FB4692" w:rsidRPr="00E84B3F">
        <w:rPr>
          <w:rFonts w:ascii="Book Antiqua" w:hAnsi="Book Antiqua" w:cs="Arial"/>
        </w:rPr>
        <w:t xml:space="preserve">he </w:t>
      </w:r>
      <w:r w:rsidR="00C80116" w:rsidRPr="00E84B3F">
        <w:rPr>
          <w:rFonts w:ascii="Book Antiqua" w:hAnsi="Book Antiqua" w:cs="Arial"/>
        </w:rPr>
        <w:t xml:space="preserve">adult care model promotes independence and individualized </w:t>
      </w:r>
      <w:proofErr w:type="gramStart"/>
      <w:r w:rsidR="00C80116" w:rsidRPr="00E84B3F">
        <w:rPr>
          <w:rFonts w:ascii="Book Antiqua" w:hAnsi="Book Antiqua" w:cs="Arial"/>
        </w:rPr>
        <w:t>care</w:t>
      </w:r>
      <w:r w:rsidR="001D20C7" w:rsidRPr="00E84B3F">
        <w:rPr>
          <w:rFonts w:ascii="Book Antiqua" w:hAnsi="Book Antiqua" w:cs="Arial"/>
          <w:vertAlign w:val="superscript"/>
        </w:rPr>
        <w:t>[</w:t>
      </w:r>
      <w:proofErr w:type="gramEnd"/>
      <w:r w:rsidR="00312432" w:rsidRPr="00E84B3F">
        <w:rPr>
          <w:rFonts w:ascii="Book Antiqua" w:hAnsi="Book Antiqua" w:cs="Arial"/>
          <w:vertAlign w:val="superscript"/>
        </w:rPr>
        <w:t>5,6</w:t>
      </w:r>
      <w:r w:rsidR="001D20C7" w:rsidRPr="00E84B3F">
        <w:rPr>
          <w:rFonts w:ascii="Book Antiqua" w:hAnsi="Book Antiqua" w:cs="Arial"/>
          <w:vertAlign w:val="superscript"/>
        </w:rPr>
        <w:t>]</w:t>
      </w:r>
      <w:r w:rsidR="001D20C7" w:rsidRPr="00E84B3F">
        <w:rPr>
          <w:rFonts w:ascii="Book Antiqua" w:hAnsi="Book Antiqua" w:cs="Arial"/>
        </w:rPr>
        <w:t xml:space="preserve">.  </w:t>
      </w:r>
      <w:proofErr w:type="gramStart"/>
      <w:r w:rsidRPr="00E84B3F">
        <w:rPr>
          <w:rFonts w:ascii="Book Antiqua" w:hAnsi="Book Antiqua" w:cs="Arial"/>
        </w:rPr>
        <w:t>Medical care is often carried out by a single provider</w:t>
      </w:r>
      <w:proofErr w:type="gramEnd"/>
      <w:r w:rsidRPr="00E84B3F">
        <w:rPr>
          <w:rFonts w:ascii="Book Antiqua" w:hAnsi="Book Antiqua" w:cs="Arial"/>
        </w:rPr>
        <w:t xml:space="preserve">.  </w:t>
      </w:r>
      <w:r w:rsidR="00654975" w:rsidRPr="00E84B3F">
        <w:rPr>
          <w:rFonts w:ascii="Book Antiqua" w:hAnsi="Book Antiqua" w:cs="Arial"/>
        </w:rPr>
        <w:t xml:space="preserve">The focus of care is on the disease, with less attention on growth and puberty, </w:t>
      </w:r>
      <w:proofErr w:type="spellStart"/>
      <w:r w:rsidR="00654975" w:rsidRPr="00E84B3F">
        <w:rPr>
          <w:rFonts w:ascii="Book Antiqua" w:hAnsi="Book Antiqua" w:cs="Arial"/>
        </w:rPr>
        <w:t>andpsychological</w:t>
      </w:r>
      <w:proofErr w:type="spellEnd"/>
      <w:r w:rsidR="00654975" w:rsidRPr="00E84B3F">
        <w:rPr>
          <w:rFonts w:ascii="Book Antiqua" w:hAnsi="Book Antiqua" w:cs="Arial"/>
        </w:rPr>
        <w:t xml:space="preserve"> development.</w:t>
      </w:r>
      <w:r w:rsidR="00675B80">
        <w:rPr>
          <w:rFonts w:ascii="Book Antiqua" w:eastAsia="SimSun" w:hAnsi="Book Antiqua" w:cs="Arial" w:hint="eastAsia"/>
          <w:lang w:eastAsia="zh-CN"/>
        </w:rPr>
        <w:t xml:space="preserve"> </w:t>
      </w:r>
      <w:r w:rsidR="00654975" w:rsidRPr="00E84B3F">
        <w:rPr>
          <w:rFonts w:ascii="Book Antiqua" w:hAnsi="Book Antiqua" w:cs="Arial"/>
        </w:rPr>
        <w:t xml:space="preserve">The </w:t>
      </w:r>
      <w:r w:rsidR="00654975" w:rsidRPr="00E84B3F">
        <w:rPr>
          <w:rFonts w:ascii="Book Antiqua" w:hAnsi="Book Antiqua" w:cs="Arial"/>
        </w:rPr>
        <w:lastRenderedPageBreak/>
        <w:t xml:space="preserve">familiarity of the adult </w:t>
      </w:r>
      <w:r w:rsidRPr="00E84B3F">
        <w:rPr>
          <w:rFonts w:ascii="Book Antiqua" w:hAnsi="Book Antiqua" w:cs="Arial"/>
        </w:rPr>
        <w:t>subspecialists</w:t>
      </w:r>
      <w:r w:rsidR="00654975" w:rsidRPr="00E84B3F">
        <w:rPr>
          <w:rFonts w:ascii="Book Antiqua" w:hAnsi="Book Antiqua" w:cs="Arial"/>
        </w:rPr>
        <w:t xml:space="preserve"> on</w:t>
      </w:r>
      <w:r w:rsidR="00896380" w:rsidRPr="00E84B3F">
        <w:rPr>
          <w:rFonts w:ascii="Book Antiqua" w:hAnsi="Book Antiqua" w:cs="Arial"/>
        </w:rPr>
        <w:t xml:space="preserve"> adolescent</w:t>
      </w:r>
      <w:r w:rsidR="00654975" w:rsidRPr="00E84B3F">
        <w:rPr>
          <w:rFonts w:ascii="Book Antiqua" w:hAnsi="Book Antiqua" w:cs="Arial"/>
        </w:rPr>
        <w:t xml:space="preserve"> developmental milestones and </w:t>
      </w:r>
      <w:r w:rsidR="00312432" w:rsidRPr="00E84B3F">
        <w:rPr>
          <w:rFonts w:ascii="Book Antiqua" w:hAnsi="Book Antiqua" w:cs="Arial"/>
        </w:rPr>
        <w:t xml:space="preserve">its </w:t>
      </w:r>
      <w:r w:rsidR="00654975" w:rsidRPr="00E84B3F">
        <w:rPr>
          <w:rFonts w:ascii="Book Antiqua" w:hAnsi="Book Antiqua" w:cs="Arial"/>
        </w:rPr>
        <w:t>impact o</w:t>
      </w:r>
      <w:r w:rsidR="00312432" w:rsidRPr="00E84B3F">
        <w:rPr>
          <w:rFonts w:ascii="Book Antiqua" w:hAnsi="Book Antiqua" w:cs="Arial"/>
        </w:rPr>
        <w:t>n</w:t>
      </w:r>
      <w:r w:rsidR="00654975" w:rsidRPr="00E84B3F">
        <w:rPr>
          <w:rFonts w:ascii="Book Antiqua" w:hAnsi="Book Antiqua" w:cs="Arial"/>
        </w:rPr>
        <w:t xml:space="preserve"> disease </w:t>
      </w:r>
      <w:proofErr w:type="spellStart"/>
      <w:r w:rsidRPr="00E84B3F">
        <w:rPr>
          <w:rFonts w:ascii="Book Antiqua" w:hAnsi="Book Antiqua" w:cs="Arial"/>
        </w:rPr>
        <w:t>isoften</w:t>
      </w:r>
      <w:proofErr w:type="spellEnd"/>
      <w:r w:rsidRPr="00E84B3F">
        <w:rPr>
          <w:rFonts w:ascii="Book Antiqua" w:hAnsi="Book Antiqua" w:cs="Arial"/>
        </w:rPr>
        <w:t xml:space="preserve"> limited</w:t>
      </w:r>
      <w:r w:rsidR="00654975" w:rsidRPr="00E84B3F">
        <w:rPr>
          <w:rFonts w:ascii="Book Antiqua" w:hAnsi="Book Antiqua" w:cs="Arial"/>
        </w:rPr>
        <w:t>.</w:t>
      </w:r>
    </w:p>
    <w:p w:rsidR="00442E38" w:rsidRDefault="00C80116" w:rsidP="00633765">
      <w:pPr>
        <w:spacing w:line="360" w:lineRule="auto"/>
        <w:ind w:firstLineChars="100" w:firstLine="240"/>
        <w:jc w:val="both"/>
        <w:rPr>
          <w:rFonts w:ascii="Book Antiqua" w:eastAsia="SimSun" w:hAnsi="Book Antiqua" w:cs="Arial"/>
          <w:lang w:eastAsia="zh-CN"/>
        </w:rPr>
      </w:pPr>
      <w:r w:rsidRPr="00E84B3F">
        <w:rPr>
          <w:rFonts w:ascii="Book Antiqua" w:hAnsi="Book Antiqua" w:cs="Arial"/>
        </w:rPr>
        <w:t xml:space="preserve">Alongside these differences in models of health care, the </w:t>
      </w:r>
      <w:r w:rsidR="00654975" w:rsidRPr="00E84B3F">
        <w:rPr>
          <w:rFonts w:ascii="Book Antiqua" w:hAnsi="Book Antiqua" w:cs="Arial"/>
        </w:rPr>
        <w:t xml:space="preserve">pediatric </w:t>
      </w:r>
      <w:r w:rsidRPr="00E84B3F">
        <w:rPr>
          <w:rFonts w:ascii="Book Antiqua" w:hAnsi="Book Antiqua" w:cs="Arial"/>
        </w:rPr>
        <w:t>patient is often also involved in other transitions, including possible graduation</w:t>
      </w:r>
      <w:r w:rsidR="00312432" w:rsidRPr="00E84B3F">
        <w:rPr>
          <w:rFonts w:ascii="Book Antiqua" w:hAnsi="Book Antiqua" w:cs="Arial"/>
        </w:rPr>
        <w:t>, new employment</w:t>
      </w:r>
      <w:r w:rsidRPr="00E84B3F">
        <w:rPr>
          <w:rFonts w:ascii="Book Antiqua" w:hAnsi="Book Antiqua" w:cs="Arial"/>
        </w:rPr>
        <w:t>, financial independence, and mov</w:t>
      </w:r>
      <w:r w:rsidR="006372A0" w:rsidRPr="00E84B3F">
        <w:rPr>
          <w:rFonts w:ascii="Book Antiqua" w:hAnsi="Book Antiqua" w:cs="Arial"/>
        </w:rPr>
        <w:t xml:space="preserve">ing away from family and home. These potential overlapping events may also </w:t>
      </w:r>
      <w:r w:rsidR="00FF3654" w:rsidRPr="00E84B3F">
        <w:rPr>
          <w:rFonts w:ascii="Book Antiqua" w:hAnsi="Book Antiqua" w:cs="Arial"/>
        </w:rPr>
        <w:t>affect</w:t>
      </w:r>
      <w:r w:rsidR="006372A0" w:rsidRPr="00E84B3F">
        <w:rPr>
          <w:rFonts w:ascii="Book Antiqua" w:hAnsi="Book Antiqua" w:cs="Arial"/>
        </w:rPr>
        <w:t xml:space="preserve"> health care models, </w:t>
      </w:r>
      <w:r w:rsidR="00437A3C" w:rsidRPr="00E84B3F">
        <w:rPr>
          <w:rFonts w:ascii="Book Antiqua" w:hAnsi="Book Antiqua" w:cs="Arial"/>
        </w:rPr>
        <w:t>including sudden new and unfamiliar assignment to a local adult healthcare provider, less oversight by caregiver or parent, economic barriers and access to healthcare and pharmacological therapies, and possible noncompliance or adherence to treatment.</w:t>
      </w:r>
    </w:p>
    <w:p w:rsidR="00E5312B" w:rsidRPr="00E5312B" w:rsidRDefault="00E5312B" w:rsidP="00633765">
      <w:pPr>
        <w:spacing w:line="360" w:lineRule="auto"/>
        <w:ind w:firstLineChars="100" w:firstLine="240"/>
        <w:jc w:val="both"/>
        <w:rPr>
          <w:rFonts w:ascii="Book Antiqua" w:eastAsia="SimSun" w:hAnsi="Book Antiqua" w:cs="Arial"/>
          <w:lang w:eastAsia="zh-CN"/>
        </w:rPr>
      </w:pPr>
    </w:p>
    <w:p w:rsidR="005B43F5" w:rsidRPr="00E5312B" w:rsidRDefault="00E5312B" w:rsidP="00633765">
      <w:pPr>
        <w:spacing w:line="360" w:lineRule="auto"/>
        <w:jc w:val="both"/>
        <w:rPr>
          <w:rFonts w:ascii="Book Antiqua" w:eastAsia="SimSun" w:hAnsi="Book Antiqua" w:cs="Arial"/>
          <w:lang w:eastAsia="zh-CN"/>
        </w:rPr>
      </w:pPr>
      <w:r w:rsidRPr="00E84B3F">
        <w:rPr>
          <w:rFonts w:ascii="Book Antiqua" w:hAnsi="Book Antiqua" w:cs="Arial"/>
          <w:b/>
        </w:rPr>
        <w:t>DIFFERENCES IN PEDIATRIC AND ADULT INFLAMMATORY BOWEL DISEASE</w:t>
      </w:r>
    </w:p>
    <w:p w:rsidR="00691F47" w:rsidRPr="00E84B3F" w:rsidRDefault="00691F47" w:rsidP="00633765">
      <w:pPr>
        <w:spacing w:line="360" w:lineRule="auto"/>
        <w:jc w:val="both"/>
        <w:rPr>
          <w:rFonts w:ascii="Book Antiqua" w:hAnsi="Book Antiqua" w:cs="Arial"/>
        </w:rPr>
      </w:pPr>
      <w:r w:rsidRPr="00E84B3F">
        <w:rPr>
          <w:rFonts w:ascii="Book Antiqua" w:hAnsi="Book Antiqua" w:cs="Arial"/>
        </w:rPr>
        <w:t xml:space="preserve">There are reported differences in pediatric and adult disease phenotype </w:t>
      </w:r>
      <w:r w:rsidR="00EC6EC6" w:rsidRPr="00E84B3F">
        <w:rPr>
          <w:rFonts w:ascii="Book Antiqua" w:hAnsi="Book Antiqua" w:cs="Arial"/>
        </w:rPr>
        <w:t>and behavior</w:t>
      </w:r>
      <w:r w:rsidRPr="00E84B3F">
        <w:rPr>
          <w:rFonts w:ascii="Book Antiqua" w:hAnsi="Book Antiqua" w:cs="Arial"/>
        </w:rPr>
        <w:t xml:space="preserve">.  </w:t>
      </w:r>
      <w:proofErr w:type="spellStart"/>
      <w:r w:rsidRPr="00E84B3F">
        <w:rPr>
          <w:rFonts w:ascii="Book Antiqua" w:hAnsi="Book Antiqua" w:cs="Arial"/>
        </w:rPr>
        <w:t>Goodhand</w:t>
      </w:r>
      <w:proofErr w:type="spellEnd"/>
      <w:r w:rsidRPr="00E84B3F">
        <w:rPr>
          <w:rFonts w:ascii="Book Antiqua" w:hAnsi="Book Antiqua" w:cs="Arial"/>
        </w:rPr>
        <w:t xml:space="preserve"> and </w:t>
      </w:r>
      <w:proofErr w:type="gramStart"/>
      <w:r w:rsidRPr="00E84B3F">
        <w:rPr>
          <w:rFonts w:ascii="Book Antiqua" w:hAnsi="Book Antiqua" w:cs="Arial"/>
        </w:rPr>
        <w:t>colleagues</w:t>
      </w:r>
      <w:r w:rsidR="001D20C7" w:rsidRPr="00E84B3F">
        <w:rPr>
          <w:rFonts w:ascii="Book Antiqua" w:hAnsi="Book Antiqua" w:cs="Arial"/>
          <w:vertAlign w:val="superscript"/>
        </w:rPr>
        <w:t>[</w:t>
      </w:r>
      <w:proofErr w:type="gramEnd"/>
      <w:r w:rsidR="00312432" w:rsidRPr="00E84B3F">
        <w:rPr>
          <w:rFonts w:ascii="Book Antiqua" w:hAnsi="Book Antiqua" w:cs="Arial"/>
          <w:vertAlign w:val="superscript"/>
        </w:rPr>
        <w:t>7</w:t>
      </w:r>
      <w:r w:rsidR="001D20C7" w:rsidRPr="00E84B3F">
        <w:rPr>
          <w:rFonts w:ascii="Book Antiqua" w:hAnsi="Book Antiqua" w:cs="Arial"/>
          <w:vertAlign w:val="superscript"/>
        </w:rPr>
        <w:t>]</w:t>
      </w:r>
      <w:r w:rsidRPr="00E84B3F">
        <w:rPr>
          <w:rFonts w:ascii="Book Antiqua" w:hAnsi="Book Antiqua" w:cs="Arial"/>
        </w:rPr>
        <w:t xml:space="preserve"> conducted a retrospective </w:t>
      </w:r>
      <w:r w:rsidR="009F68EA" w:rsidRPr="00E84B3F">
        <w:rPr>
          <w:rFonts w:ascii="Book Antiqua" w:hAnsi="Book Antiqua" w:cs="Arial"/>
        </w:rPr>
        <w:t xml:space="preserve">case-control of 100 adolescents </w:t>
      </w:r>
      <w:r w:rsidRPr="00E84B3F">
        <w:rPr>
          <w:rFonts w:ascii="Book Antiqua" w:hAnsi="Book Antiqua" w:cs="Arial"/>
        </w:rPr>
        <w:t xml:space="preserve">matched with 100 adults with IBD, and described a more complex and aggressive disease phenotype among the adolescents.  Specifically, adolescents with IBD were more likely to have extensive CD with </w:t>
      </w:r>
      <w:proofErr w:type="spellStart"/>
      <w:r w:rsidR="00312432" w:rsidRPr="00E84B3F">
        <w:rPr>
          <w:rFonts w:ascii="Book Antiqua" w:hAnsi="Book Antiqua" w:cs="Arial"/>
        </w:rPr>
        <w:t>ileocolonic</w:t>
      </w:r>
      <w:proofErr w:type="spellEnd"/>
      <w:r w:rsidR="00312432" w:rsidRPr="00E84B3F">
        <w:rPr>
          <w:rFonts w:ascii="Book Antiqua" w:hAnsi="Book Antiqua" w:cs="Arial"/>
        </w:rPr>
        <w:t xml:space="preserve"> </w:t>
      </w:r>
      <w:r w:rsidRPr="00E84B3F">
        <w:rPr>
          <w:rFonts w:ascii="Book Antiqua" w:hAnsi="Book Antiqua" w:cs="Arial"/>
        </w:rPr>
        <w:t xml:space="preserve">involvement </w:t>
      </w:r>
      <w:r w:rsidR="007F32E2" w:rsidRPr="00E84B3F">
        <w:rPr>
          <w:rFonts w:ascii="Book Antiqua" w:hAnsi="Book Antiqua" w:cs="Arial"/>
        </w:rPr>
        <w:t xml:space="preserve">as compared to adults </w:t>
      </w:r>
      <w:r w:rsidR="000358D6" w:rsidRPr="00E84B3F">
        <w:rPr>
          <w:rFonts w:ascii="Book Antiqua" w:hAnsi="Book Antiqua" w:cs="Arial"/>
        </w:rPr>
        <w:t xml:space="preserve">with disease restricted to </w:t>
      </w:r>
      <w:r w:rsidR="00312432" w:rsidRPr="00E84B3F">
        <w:rPr>
          <w:rFonts w:ascii="Book Antiqua" w:hAnsi="Book Antiqua" w:cs="Arial"/>
        </w:rPr>
        <w:t xml:space="preserve">only </w:t>
      </w:r>
      <w:r w:rsidR="000358D6" w:rsidRPr="00E84B3F">
        <w:rPr>
          <w:rFonts w:ascii="Book Antiqua" w:hAnsi="Book Antiqua" w:cs="Arial"/>
        </w:rPr>
        <w:t xml:space="preserve">ileum or colon </w:t>
      </w:r>
      <w:proofErr w:type="gramStart"/>
      <w:r w:rsidR="00312432" w:rsidRPr="00E84B3F">
        <w:rPr>
          <w:rFonts w:ascii="Book Antiqua" w:hAnsi="Book Antiqua" w:cs="Arial"/>
        </w:rPr>
        <w:t>alone</w:t>
      </w:r>
      <w:r w:rsidR="000358D6" w:rsidRPr="00E84B3F">
        <w:rPr>
          <w:rFonts w:ascii="Book Antiqua" w:hAnsi="Book Antiqua" w:cs="Arial"/>
        </w:rPr>
        <w:t>(</w:t>
      </w:r>
      <w:proofErr w:type="gramEnd"/>
      <w:r w:rsidR="000358D6" w:rsidRPr="00E84B3F">
        <w:rPr>
          <w:rFonts w:ascii="Book Antiqua" w:hAnsi="Book Antiqua" w:cs="Arial"/>
        </w:rPr>
        <w:t xml:space="preserve">69% </w:t>
      </w:r>
      <w:r w:rsidR="00E5312B" w:rsidRPr="00E5312B">
        <w:rPr>
          <w:rFonts w:ascii="Book Antiqua" w:eastAsia="SimSun" w:hAnsi="Book Antiqua" w:cs="Arial" w:hint="eastAsia"/>
          <w:i/>
          <w:lang w:eastAsia="zh-CN"/>
        </w:rPr>
        <w:t>vs</w:t>
      </w:r>
      <w:r w:rsidR="000358D6" w:rsidRPr="00E84B3F">
        <w:rPr>
          <w:rFonts w:ascii="Book Antiqua" w:hAnsi="Book Antiqua" w:cs="Arial"/>
        </w:rPr>
        <w:t xml:space="preserve"> 28%).  Adolescents were also more likely to have perianal disease </w:t>
      </w:r>
      <w:r w:rsidR="00C6504E" w:rsidRPr="00E84B3F">
        <w:rPr>
          <w:rFonts w:ascii="Book Antiqua" w:hAnsi="Book Antiqua" w:cs="Arial"/>
        </w:rPr>
        <w:t xml:space="preserve">as compared to adults, 33% </w:t>
      </w:r>
      <w:r w:rsidR="00675B80" w:rsidRPr="00675B80">
        <w:rPr>
          <w:rFonts w:ascii="Book Antiqua" w:eastAsia="SimSun" w:hAnsi="Book Antiqua" w:cs="Arial"/>
          <w:i/>
          <w:lang w:eastAsia="zh-CN"/>
        </w:rPr>
        <w:t>vs</w:t>
      </w:r>
      <w:r w:rsidR="00675B80" w:rsidRPr="00E84B3F">
        <w:rPr>
          <w:rFonts w:ascii="Book Antiqua" w:hAnsi="Book Antiqua" w:cs="Arial"/>
        </w:rPr>
        <w:t xml:space="preserve"> </w:t>
      </w:r>
      <w:r w:rsidR="00C6504E" w:rsidRPr="00E84B3F">
        <w:rPr>
          <w:rFonts w:ascii="Book Antiqua" w:hAnsi="Book Antiqua" w:cs="Arial"/>
        </w:rPr>
        <w:t>16%.</w:t>
      </w:r>
      <w:r w:rsidR="00675B80">
        <w:rPr>
          <w:rFonts w:ascii="Book Antiqua" w:eastAsia="SimSun" w:hAnsi="Book Antiqua" w:cs="Arial" w:hint="eastAsia"/>
          <w:lang w:eastAsia="zh-CN"/>
        </w:rPr>
        <w:t xml:space="preserve"> </w:t>
      </w:r>
      <w:proofErr w:type="gramStart"/>
      <w:r w:rsidR="00C6504E" w:rsidRPr="00E84B3F">
        <w:rPr>
          <w:rFonts w:ascii="Book Antiqua" w:hAnsi="Book Antiqua" w:cs="Arial"/>
        </w:rPr>
        <w:t xml:space="preserve">There was a higher incidence of </w:t>
      </w:r>
      <w:proofErr w:type="spellStart"/>
      <w:r w:rsidR="00C6504E" w:rsidRPr="00E84B3F">
        <w:rPr>
          <w:rFonts w:ascii="Book Antiqua" w:hAnsi="Book Antiqua" w:cs="Arial"/>
        </w:rPr>
        <w:t>pancolitis</w:t>
      </w:r>
      <w:proofErr w:type="spellEnd"/>
      <w:r w:rsidR="00C6504E" w:rsidRPr="00E84B3F">
        <w:rPr>
          <w:rFonts w:ascii="Book Antiqua" w:hAnsi="Book Antiqua" w:cs="Arial"/>
        </w:rPr>
        <w:t xml:space="preserve"> among adolescents </w:t>
      </w:r>
      <w:r w:rsidR="00EC017D" w:rsidRPr="00E84B3F">
        <w:rPr>
          <w:rFonts w:ascii="Book Antiqua" w:hAnsi="Book Antiqua" w:cs="Arial"/>
        </w:rPr>
        <w:t xml:space="preserve">with UC </w:t>
      </w:r>
      <w:r w:rsidR="00EC6EC6" w:rsidRPr="00E84B3F">
        <w:rPr>
          <w:rFonts w:ascii="Book Antiqua" w:hAnsi="Book Antiqua" w:cs="Arial"/>
        </w:rPr>
        <w:t xml:space="preserve">(67%) </w:t>
      </w:r>
      <w:r w:rsidR="00C6504E" w:rsidRPr="00E84B3F">
        <w:rPr>
          <w:rFonts w:ascii="Book Antiqua" w:hAnsi="Book Antiqua" w:cs="Arial"/>
        </w:rPr>
        <w:t>as compared to adults</w:t>
      </w:r>
      <w:r w:rsidR="00EC6EC6" w:rsidRPr="00E84B3F">
        <w:rPr>
          <w:rFonts w:ascii="Book Antiqua" w:hAnsi="Book Antiqua" w:cs="Arial"/>
        </w:rPr>
        <w:t xml:space="preserve"> (39%)</w:t>
      </w:r>
      <w:r w:rsidR="00C6504E" w:rsidRPr="00E84B3F">
        <w:rPr>
          <w:rFonts w:ascii="Book Antiqua" w:hAnsi="Book Antiqua" w:cs="Arial"/>
        </w:rPr>
        <w:t xml:space="preserve"> who had disease limited mostly to the left colon.</w:t>
      </w:r>
      <w:proofErr w:type="gramEnd"/>
      <w:r w:rsidR="00C6504E" w:rsidRPr="00E84B3F">
        <w:rPr>
          <w:rFonts w:ascii="Book Antiqua" w:hAnsi="Book Antiqua" w:cs="Arial"/>
        </w:rPr>
        <w:t xml:space="preserve">  There were also differences in therapies, with adolescents more likely than adults to require </w:t>
      </w:r>
      <w:proofErr w:type="spellStart"/>
      <w:r w:rsidR="00C6504E" w:rsidRPr="00E84B3F">
        <w:rPr>
          <w:rFonts w:ascii="Book Antiqua" w:hAnsi="Book Antiqua" w:cs="Arial"/>
        </w:rPr>
        <w:t>immunomodulator</w:t>
      </w:r>
      <w:proofErr w:type="spellEnd"/>
      <w:r w:rsidR="00C6504E" w:rsidRPr="00E84B3F">
        <w:rPr>
          <w:rFonts w:ascii="Book Antiqua" w:hAnsi="Book Antiqua" w:cs="Arial"/>
        </w:rPr>
        <w:t xml:space="preserve"> therapy (53% </w:t>
      </w:r>
      <w:r w:rsidR="00E5312B" w:rsidRPr="00E5312B">
        <w:rPr>
          <w:rFonts w:ascii="Book Antiqua" w:eastAsia="SimSun" w:hAnsi="Book Antiqua" w:cs="Arial" w:hint="eastAsia"/>
          <w:i/>
          <w:lang w:eastAsia="zh-CN"/>
        </w:rPr>
        <w:t>vs</w:t>
      </w:r>
      <w:r w:rsidR="00E5312B" w:rsidRPr="00E84B3F">
        <w:rPr>
          <w:rFonts w:ascii="Book Antiqua" w:hAnsi="Book Antiqua" w:cs="Arial"/>
        </w:rPr>
        <w:t xml:space="preserve"> </w:t>
      </w:r>
      <w:r w:rsidR="00C6504E" w:rsidRPr="00E84B3F">
        <w:rPr>
          <w:rFonts w:ascii="Book Antiqua" w:hAnsi="Book Antiqua" w:cs="Arial"/>
        </w:rPr>
        <w:t xml:space="preserve">13%) and </w:t>
      </w:r>
      <w:r w:rsidR="00437A3C" w:rsidRPr="00E84B3F">
        <w:rPr>
          <w:rFonts w:ascii="Book Antiqua" w:hAnsi="Book Antiqua" w:cs="Arial"/>
        </w:rPr>
        <w:t xml:space="preserve">biologic agents (20% </w:t>
      </w:r>
      <w:r w:rsidR="00633765" w:rsidRPr="00E5312B">
        <w:rPr>
          <w:rFonts w:ascii="Book Antiqua" w:eastAsia="SimSun" w:hAnsi="Book Antiqua" w:cs="Arial" w:hint="eastAsia"/>
          <w:i/>
          <w:lang w:eastAsia="zh-CN"/>
        </w:rPr>
        <w:t>vs</w:t>
      </w:r>
      <w:r w:rsidR="00633765" w:rsidRPr="00E84B3F">
        <w:rPr>
          <w:rFonts w:ascii="Book Antiqua" w:hAnsi="Book Antiqua" w:cs="Arial"/>
        </w:rPr>
        <w:t xml:space="preserve"> </w:t>
      </w:r>
      <w:r w:rsidR="00437A3C" w:rsidRPr="00E84B3F">
        <w:rPr>
          <w:rFonts w:ascii="Book Antiqua" w:hAnsi="Book Antiqua" w:cs="Arial"/>
        </w:rPr>
        <w:t>8%), which also suggests more severe disease</w:t>
      </w:r>
      <w:r w:rsidR="001D20C7" w:rsidRPr="00E84B3F">
        <w:rPr>
          <w:rFonts w:ascii="Book Antiqua" w:hAnsi="Book Antiqua" w:cs="Arial"/>
        </w:rPr>
        <w:t>.</w:t>
      </w:r>
    </w:p>
    <w:p w:rsidR="009F68EA" w:rsidRPr="00E84B3F" w:rsidRDefault="005842A1" w:rsidP="00633765">
      <w:pPr>
        <w:spacing w:line="360" w:lineRule="auto"/>
        <w:ind w:firstLineChars="150" w:firstLine="360"/>
        <w:jc w:val="both"/>
        <w:rPr>
          <w:rFonts w:ascii="Book Antiqua" w:hAnsi="Book Antiqua" w:cs="Arial"/>
        </w:rPr>
      </w:pPr>
      <w:r w:rsidRPr="00E84B3F">
        <w:rPr>
          <w:rFonts w:ascii="Book Antiqua" w:hAnsi="Book Antiqua" w:cs="Arial"/>
        </w:rPr>
        <w:t>Vernier-</w:t>
      </w:r>
      <w:proofErr w:type="spellStart"/>
      <w:r w:rsidRPr="00E84B3F">
        <w:rPr>
          <w:rFonts w:ascii="Book Antiqua" w:hAnsi="Book Antiqua" w:cs="Arial"/>
        </w:rPr>
        <w:t>Massouille</w:t>
      </w:r>
      <w:proofErr w:type="spellEnd"/>
      <w:r w:rsidRPr="00E84B3F">
        <w:rPr>
          <w:rFonts w:ascii="Book Antiqua" w:hAnsi="Book Antiqua" w:cs="Arial"/>
        </w:rPr>
        <w:t xml:space="preserve"> </w:t>
      </w:r>
      <w:r w:rsidR="00437A3C" w:rsidRPr="00E5312B">
        <w:rPr>
          <w:rFonts w:ascii="Book Antiqua" w:hAnsi="Book Antiqua" w:cs="Arial"/>
          <w:i/>
        </w:rPr>
        <w:t xml:space="preserve">et </w:t>
      </w:r>
      <w:proofErr w:type="gramStart"/>
      <w:r w:rsidR="00437A3C" w:rsidRPr="00E5312B">
        <w:rPr>
          <w:rFonts w:ascii="Book Antiqua" w:hAnsi="Book Antiqua" w:cs="Arial"/>
          <w:i/>
        </w:rPr>
        <w:t>al</w:t>
      </w:r>
      <w:r w:rsidR="001D20C7" w:rsidRPr="00E84B3F">
        <w:rPr>
          <w:rFonts w:ascii="Book Antiqua" w:hAnsi="Book Antiqua" w:cs="Arial"/>
          <w:vertAlign w:val="superscript"/>
        </w:rPr>
        <w:t>[</w:t>
      </w:r>
      <w:proofErr w:type="gramEnd"/>
      <w:r w:rsidR="00312432" w:rsidRPr="00E84B3F">
        <w:rPr>
          <w:rFonts w:ascii="Book Antiqua" w:hAnsi="Book Antiqua" w:cs="Arial"/>
          <w:vertAlign w:val="superscript"/>
        </w:rPr>
        <w:t>8</w:t>
      </w:r>
      <w:r w:rsidR="001D20C7" w:rsidRPr="00E84B3F">
        <w:rPr>
          <w:rFonts w:ascii="Book Antiqua" w:hAnsi="Book Antiqua" w:cs="Arial"/>
          <w:vertAlign w:val="superscript"/>
        </w:rPr>
        <w:t>]</w:t>
      </w:r>
      <w:proofErr w:type="spellStart"/>
      <w:r w:rsidR="00312432" w:rsidRPr="00E84B3F">
        <w:rPr>
          <w:rFonts w:ascii="Book Antiqua" w:hAnsi="Book Antiqua" w:cs="Arial"/>
        </w:rPr>
        <w:t>described</w:t>
      </w:r>
      <w:r w:rsidR="008A04D5" w:rsidRPr="00E84B3F">
        <w:rPr>
          <w:rFonts w:ascii="Book Antiqua" w:hAnsi="Book Antiqua" w:cs="Arial"/>
        </w:rPr>
        <w:t>the</w:t>
      </w:r>
      <w:proofErr w:type="spellEnd"/>
      <w:r w:rsidR="008A04D5" w:rsidRPr="00E84B3F">
        <w:rPr>
          <w:rFonts w:ascii="Book Antiqua" w:hAnsi="Book Antiqua" w:cs="Arial"/>
        </w:rPr>
        <w:t xml:space="preserve"> natural history of patients with pediatric onset of disease and found that these patients were more likely to have upper gastrointestinal involvement, </w:t>
      </w:r>
      <w:proofErr w:type="spellStart"/>
      <w:r w:rsidR="008A04D5" w:rsidRPr="00E84B3F">
        <w:rPr>
          <w:rFonts w:ascii="Book Antiqua" w:hAnsi="Book Antiqua" w:cs="Arial"/>
        </w:rPr>
        <w:t>extraintestinal</w:t>
      </w:r>
      <w:proofErr w:type="spellEnd"/>
      <w:r w:rsidR="008A04D5" w:rsidRPr="00E84B3F">
        <w:rPr>
          <w:rFonts w:ascii="Book Antiqua" w:hAnsi="Book Antiqua" w:cs="Arial"/>
        </w:rPr>
        <w:t xml:space="preserve"> manifestations, and higher risk for steroid dependence and </w:t>
      </w:r>
      <w:proofErr w:type="spellStart"/>
      <w:r w:rsidR="008A04D5" w:rsidRPr="00E84B3F">
        <w:rPr>
          <w:rFonts w:ascii="Book Antiqua" w:hAnsi="Book Antiqua" w:cs="Arial"/>
        </w:rPr>
        <w:t>stricturing</w:t>
      </w:r>
      <w:proofErr w:type="spellEnd"/>
      <w:r w:rsidR="008A04D5" w:rsidRPr="00E84B3F">
        <w:rPr>
          <w:rFonts w:ascii="Book Antiqua" w:hAnsi="Book Antiqua" w:cs="Arial"/>
        </w:rPr>
        <w:t xml:space="preserve"> and penetrating disease.  Among the pediatric IBD patients, 44% required surgery at some point from the time of diagnosis, with a 34% risk within</w:t>
      </w:r>
      <w:r w:rsidR="001D20C7" w:rsidRPr="00E84B3F">
        <w:rPr>
          <w:rFonts w:ascii="Book Antiqua" w:hAnsi="Book Antiqua" w:cs="Arial"/>
        </w:rPr>
        <w:t xml:space="preserve"> the first 5 years of diagnosis.</w:t>
      </w:r>
      <w:r w:rsidR="00675B80">
        <w:rPr>
          <w:rFonts w:ascii="Book Antiqua" w:eastAsia="SimSun" w:hAnsi="Book Antiqua" w:cs="Arial" w:hint="eastAsia"/>
          <w:lang w:eastAsia="zh-CN"/>
        </w:rPr>
        <w:t xml:space="preserve"> </w:t>
      </w:r>
      <w:r w:rsidR="009F68EA" w:rsidRPr="00E84B3F">
        <w:rPr>
          <w:rFonts w:ascii="Book Antiqua" w:hAnsi="Book Antiqua" w:cs="Arial"/>
        </w:rPr>
        <w:t xml:space="preserve">Adolescents </w:t>
      </w:r>
      <w:proofErr w:type="spellStart"/>
      <w:r w:rsidR="00312432" w:rsidRPr="00E84B3F">
        <w:rPr>
          <w:rFonts w:ascii="Book Antiqua" w:hAnsi="Book Antiqua" w:cs="Arial"/>
        </w:rPr>
        <w:t>were</w:t>
      </w:r>
      <w:r w:rsidR="009F68EA" w:rsidRPr="00E84B3F">
        <w:rPr>
          <w:rFonts w:ascii="Book Antiqua" w:hAnsi="Book Antiqua" w:cs="Arial"/>
        </w:rPr>
        <w:t>also</w:t>
      </w:r>
      <w:proofErr w:type="spellEnd"/>
      <w:r w:rsidR="009F68EA" w:rsidRPr="00E84B3F">
        <w:rPr>
          <w:rFonts w:ascii="Book Antiqua" w:hAnsi="Book Antiqua" w:cs="Arial"/>
        </w:rPr>
        <w:t xml:space="preserve"> more likely to require hospital </w:t>
      </w:r>
      <w:r w:rsidR="009F68EA" w:rsidRPr="00E84B3F">
        <w:rPr>
          <w:rFonts w:ascii="Book Antiqua" w:hAnsi="Book Antiqua" w:cs="Arial"/>
        </w:rPr>
        <w:lastRenderedPageBreak/>
        <w:t>admission (14</w:t>
      </w:r>
      <w:r w:rsidR="00E5312B">
        <w:rPr>
          <w:rFonts w:ascii="Book Antiqua" w:eastAsia="SimSun" w:hAnsi="Book Antiqua" w:cs="Arial" w:hint="eastAsia"/>
          <w:lang w:eastAsia="zh-CN"/>
        </w:rPr>
        <w:t>%</w:t>
      </w:r>
      <w:r w:rsidR="009F68EA" w:rsidRPr="00E84B3F">
        <w:rPr>
          <w:rFonts w:ascii="Book Antiqua" w:hAnsi="Book Antiqua" w:cs="Arial"/>
        </w:rPr>
        <w:t xml:space="preserve">-46%) and more likely to miss appointments (0-20%) compared to </w:t>
      </w:r>
      <w:proofErr w:type="gramStart"/>
      <w:r w:rsidR="009F68EA" w:rsidRPr="00E84B3F">
        <w:rPr>
          <w:rFonts w:ascii="Book Antiqua" w:hAnsi="Book Antiqua" w:cs="Arial"/>
        </w:rPr>
        <w:t>adults</w:t>
      </w:r>
      <w:r w:rsidR="001D20C7" w:rsidRPr="00E84B3F">
        <w:rPr>
          <w:rFonts w:ascii="Book Antiqua" w:hAnsi="Book Antiqua" w:cs="Arial"/>
          <w:vertAlign w:val="superscript"/>
        </w:rPr>
        <w:t>[</w:t>
      </w:r>
      <w:proofErr w:type="gramEnd"/>
      <w:r w:rsidR="00312432" w:rsidRPr="00E84B3F">
        <w:rPr>
          <w:rFonts w:ascii="Book Antiqua" w:hAnsi="Book Antiqua" w:cs="Arial"/>
          <w:vertAlign w:val="superscript"/>
        </w:rPr>
        <w:t>7</w:t>
      </w:r>
      <w:r w:rsidR="001D20C7" w:rsidRPr="00E84B3F">
        <w:rPr>
          <w:rFonts w:ascii="Book Antiqua" w:hAnsi="Book Antiqua" w:cs="Arial"/>
          <w:vertAlign w:val="superscript"/>
        </w:rPr>
        <w:t>]</w:t>
      </w:r>
      <w:r w:rsidR="001D20C7" w:rsidRPr="00E84B3F">
        <w:rPr>
          <w:rFonts w:ascii="Book Antiqua" w:hAnsi="Book Antiqua" w:cs="Arial"/>
        </w:rPr>
        <w:t xml:space="preserve">.  </w:t>
      </w:r>
      <w:r w:rsidR="009F68EA" w:rsidRPr="00E84B3F">
        <w:rPr>
          <w:rFonts w:ascii="Book Antiqua" w:hAnsi="Book Antiqua" w:cs="Arial"/>
        </w:rPr>
        <w:t xml:space="preserve">Hartman and colleagues reported that nutritional impairment and weight loss </w:t>
      </w:r>
      <w:r w:rsidR="003D550B" w:rsidRPr="00E84B3F">
        <w:rPr>
          <w:rFonts w:ascii="Book Antiqua" w:hAnsi="Book Antiqua" w:cs="Arial"/>
        </w:rPr>
        <w:t>occurred</w:t>
      </w:r>
      <w:r w:rsidR="009F68EA" w:rsidRPr="00E84B3F">
        <w:rPr>
          <w:rFonts w:ascii="Book Antiqua" w:hAnsi="Book Antiqua" w:cs="Arial"/>
        </w:rPr>
        <w:t xml:space="preserve"> in up to 85% of IBD children, which further affects</w:t>
      </w:r>
      <w:r w:rsidR="001D20C7" w:rsidRPr="00E84B3F">
        <w:rPr>
          <w:rFonts w:ascii="Book Antiqua" w:hAnsi="Book Antiqua" w:cs="Arial"/>
        </w:rPr>
        <w:t xml:space="preserve"> patient growth and </w:t>
      </w:r>
      <w:proofErr w:type="gramStart"/>
      <w:r w:rsidR="001D20C7" w:rsidRPr="00E84B3F">
        <w:rPr>
          <w:rFonts w:ascii="Book Antiqua" w:hAnsi="Book Antiqua" w:cs="Arial"/>
        </w:rPr>
        <w:t>development</w:t>
      </w:r>
      <w:r w:rsidR="001D20C7" w:rsidRPr="00E84B3F">
        <w:rPr>
          <w:rFonts w:ascii="Book Antiqua" w:hAnsi="Book Antiqua" w:cs="Arial"/>
          <w:vertAlign w:val="superscript"/>
        </w:rPr>
        <w:t>[</w:t>
      </w:r>
      <w:proofErr w:type="gramEnd"/>
      <w:r w:rsidR="00312432" w:rsidRPr="00E84B3F">
        <w:rPr>
          <w:rFonts w:ascii="Book Antiqua" w:hAnsi="Book Antiqua" w:cs="Arial"/>
          <w:vertAlign w:val="superscript"/>
        </w:rPr>
        <w:t>9</w:t>
      </w:r>
      <w:r w:rsidR="001D20C7" w:rsidRPr="00E84B3F">
        <w:rPr>
          <w:rFonts w:ascii="Book Antiqua" w:hAnsi="Book Antiqua" w:cs="Arial"/>
          <w:vertAlign w:val="superscript"/>
        </w:rPr>
        <w:t>]</w:t>
      </w:r>
      <w:r w:rsidR="001D20C7" w:rsidRPr="00E84B3F">
        <w:rPr>
          <w:rFonts w:ascii="Book Antiqua" w:hAnsi="Book Antiqua" w:cs="Arial"/>
        </w:rPr>
        <w:t>.</w:t>
      </w:r>
    </w:p>
    <w:p w:rsidR="009F68EA" w:rsidRPr="00E84B3F" w:rsidRDefault="00DF31B3" w:rsidP="00633765">
      <w:pPr>
        <w:spacing w:line="360" w:lineRule="auto"/>
        <w:ind w:firstLineChars="150" w:firstLine="360"/>
        <w:jc w:val="both"/>
        <w:rPr>
          <w:rFonts w:ascii="Book Antiqua" w:eastAsia="Times New Roman" w:hAnsi="Book Antiqua"/>
        </w:rPr>
      </w:pPr>
      <w:r w:rsidRPr="00E84B3F">
        <w:rPr>
          <w:rFonts w:ascii="Book Antiqua" w:hAnsi="Book Antiqua" w:cs="Arial"/>
        </w:rPr>
        <w:t xml:space="preserve">Mental health disorders are also more common and there is </w:t>
      </w:r>
      <w:r w:rsidR="005842A1" w:rsidRPr="00E84B3F">
        <w:rPr>
          <w:rFonts w:ascii="Book Antiqua" w:hAnsi="Book Antiqua" w:cs="Arial"/>
        </w:rPr>
        <w:t xml:space="preserve">a </w:t>
      </w:r>
      <w:r w:rsidR="001D20C7" w:rsidRPr="00E84B3F">
        <w:rPr>
          <w:rFonts w:ascii="Book Antiqua" w:hAnsi="Book Antiqua" w:cs="Arial"/>
        </w:rPr>
        <w:t xml:space="preserve">lowered self-esteem, increased depression and anxiety, behavioral problems, body image distortion, and impaired social competence described among adolescents </w:t>
      </w:r>
      <w:r w:rsidRPr="00E84B3F">
        <w:rPr>
          <w:rFonts w:ascii="Book Antiqua" w:hAnsi="Book Antiqua" w:cs="Arial"/>
        </w:rPr>
        <w:t xml:space="preserve">diagnosed with </w:t>
      </w:r>
      <w:proofErr w:type="gramStart"/>
      <w:r w:rsidRPr="00E84B3F">
        <w:rPr>
          <w:rFonts w:ascii="Book Antiqua" w:hAnsi="Book Antiqua" w:cs="Arial"/>
        </w:rPr>
        <w:t>IBD</w:t>
      </w:r>
      <w:r w:rsidR="001D20C7" w:rsidRPr="00E84B3F">
        <w:rPr>
          <w:rFonts w:ascii="Book Antiqua" w:hAnsi="Book Antiqua" w:cs="Arial"/>
          <w:vertAlign w:val="superscript"/>
        </w:rPr>
        <w:t>[</w:t>
      </w:r>
      <w:proofErr w:type="gramEnd"/>
      <w:r w:rsidR="00F56308" w:rsidRPr="00E84B3F">
        <w:rPr>
          <w:rFonts w:ascii="Book Antiqua" w:hAnsi="Book Antiqua" w:cs="Arial"/>
          <w:vertAlign w:val="superscript"/>
        </w:rPr>
        <w:t>10</w:t>
      </w:r>
      <w:r w:rsidR="001D20C7" w:rsidRPr="00E84B3F">
        <w:rPr>
          <w:rFonts w:ascii="Book Antiqua" w:hAnsi="Book Antiqua" w:cs="Arial"/>
          <w:vertAlign w:val="superscript"/>
        </w:rPr>
        <w:t>]</w:t>
      </w:r>
      <w:r w:rsidR="001D20C7" w:rsidRPr="00E84B3F">
        <w:rPr>
          <w:rFonts w:ascii="Book Antiqua" w:hAnsi="Book Antiqua" w:cs="Arial"/>
        </w:rPr>
        <w:t xml:space="preserve">.  </w:t>
      </w:r>
      <w:r w:rsidRPr="00E84B3F">
        <w:rPr>
          <w:rFonts w:ascii="Book Antiqua" w:hAnsi="Book Antiqua" w:cs="Arial"/>
        </w:rPr>
        <w:t xml:space="preserve">In a meta-analysis review, </w:t>
      </w:r>
      <w:proofErr w:type="spellStart"/>
      <w:r w:rsidRPr="00E84B3F">
        <w:rPr>
          <w:rFonts w:ascii="Book Antiqua" w:hAnsi="Book Antiqua" w:cs="Arial"/>
        </w:rPr>
        <w:t>Greenley</w:t>
      </w:r>
      <w:proofErr w:type="spellEnd"/>
      <w:r w:rsidRPr="00E84B3F">
        <w:rPr>
          <w:rFonts w:ascii="Book Antiqua" w:hAnsi="Book Antiqua" w:cs="Arial"/>
        </w:rPr>
        <w:t xml:space="preserve"> and </w:t>
      </w:r>
      <w:proofErr w:type="gramStart"/>
      <w:r w:rsidRPr="00E84B3F">
        <w:rPr>
          <w:rFonts w:ascii="Book Antiqua" w:hAnsi="Book Antiqua" w:cs="Arial"/>
        </w:rPr>
        <w:t>colleagues</w:t>
      </w:r>
      <w:r w:rsidR="001D20C7" w:rsidRPr="00E84B3F">
        <w:rPr>
          <w:rFonts w:ascii="Book Antiqua" w:hAnsi="Book Antiqua" w:cs="Arial"/>
          <w:vertAlign w:val="superscript"/>
        </w:rPr>
        <w:t>[</w:t>
      </w:r>
      <w:proofErr w:type="gramEnd"/>
      <w:r w:rsidR="00F56308" w:rsidRPr="00E84B3F">
        <w:rPr>
          <w:rFonts w:ascii="Book Antiqua" w:hAnsi="Book Antiqua" w:cs="Arial"/>
          <w:vertAlign w:val="superscript"/>
        </w:rPr>
        <w:t>11</w:t>
      </w:r>
      <w:r w:rsidR="001D20C7" w:rsidRPr="00E84B3F">
        <w:rPr>
          <w:rFonts w:ascii="Book Antiqua" w:hAnsi="Book Antiqua" w:cs="Arial"/>
          <w:vertAlign w:val="superscript"/>
        </w:rPr>
        <w:t>]</w:t>
      </w:r>
      <w:r w:rsidRPr="00E84B3F">
        <w:rPr>
          <w:rFonts w:ascii="Book Antiqua" w:hAnsi="Book Antiqua" w:cs="Arial"/>
        </w:rPr>
        <w:t xml:space="preserve"> described higher rates of depressive disorders among young IBD patients compa</w:t>
      </w:r>
      <w:r w:rsidR="001D20C7" w:rsidRPr="00E84B3F">
        <w:rPr>
          <w:rFonts w:ascii="Book Antiqua" w:hAnsi="Book Antiqua" w:cs="Arial"/>
        </w:rPr>
        <w:t>red to other chronic conditions</w:t>
      </w:r>
      <w:r w:rsidRPr="00E84B3F">
        <w:rPr>
          <w:rFonts w:ascii="Book Antiqua" w:hAnsi="Book Antiqua" w:cs="Arial"/>
        </w:rPr>
        <w:t xml:space="preserve">.  The negative impact of depression and anxiety on </w:t>
      </w:r>
      <w:r w:rsidR="00F56308" w:rsidRPr="00E84B3F">
        <w:rPr>
          <w:rFonts w:ascii="Book Antiqua" w:hAnsi="Book Antiqua" w:cs="Arial"/>
        </w:rPr>
        <w:t xml:space="preserve">medical </w:t>
      </w:r>
      <w:r w:rsidRPr="00E84B3F">
        <w:rPr>
          <w:rFonts w:ascii="Book Antiqua" w:hAnsi="Book Antiqua" w:cs="Arial"/>
        </w:rPr>
        <w:t xml:space="preserve">adherence has </w:t>
      </w:r>
      <w:r w:rsidR="001D20C7" w:rsidRPr="00E84B3F">
        <w:rPr>
          <w:rFonts w:ascii="Book Antiqua" w:hAnsi="Book Antiqua" w:cs="Arial"/>
        </w:rPr>
        <w:t xml:space="preserve">also been </w:t>
      </w:r>
      <w:r w:rsidR="00F56308" w:rsidRPr="00E84B3F">
        <w:rPr>
          <w:rFonts w:ascii="Book Antiqua" w:hAnsi="Book Antiqua" w:cs="Arial"/>
        </w:rPr>
        <w:t xml:space="preserve">well </w:t>
      </w:r>
      <w:proofErr w:type="gramStart"/>
      <w:r w:rsidR="00F56308" w:rsidRPr="00E84B3F">
        <w:rPr>
          <w:rFonts w:ascii="Book Antiqua" w:hAnsi="Book Antiqua" w:cs="Arial"/>
        </w:rPr>
        <w:t>described</w:t>
      </w:r>
      <w:r w:rsidR="001D20C7" w:rsidRPr="00E84B3F">
        <w:rPr>
          <w:rFonts w:ascii="Book Antiqua" w:hAnsi="Book Antiqua" w:cs="Arial"/>
          <w:vertAlign w:val="superscript"/>
        </w:rPr>
        <w:t>[</w:t>
      </w:r>
      <w:proofErr w:type="gramEnd"/>
      <w:r w:rsidR="00F56308" w:rsidRPr="00E84B3F">
        <w:rPr>
          <w:rFonts w:ascii="Book Antiqua" w:hAnsi="Book Antiqua" w:cs="Arial"/>
          <w:vertAlign w:val="superscript"/>
        </w:rPr>
        <w:t>12</w:t>
      </w:r>
      <w:r w:rsidR="001D20C7" w:rsidRPr="00E84B3F">
        <w:rPr>
          <w:rFonts w:ascii="Book Antiqua" w:hAnsi="Book Antiqua" w:cs="Arial"/>
          <w:vertAlign w:val="superscript"/>
        </w:rPr>
        <w:t>]</w:t>
      </w:r>
      <w:r w:rsidRPr="00E84B3F">
        <w:rPr>
          <w:rFonts w:ascii="Book Antiqua" w:hAnsi="Book Antiqua" w:cs="Arial"/>
        </w:rPr>
        <w:t>.</w:t>
      </w:r>
    </w:p>
    <w:p w:rsidR="008A04D5" w:rsidRPr="00E84B3F" w:rsidRDefault="008A04D5" w:rsidP="00633765">
      <w:pPr>
        <w:spacing w:line="360" w:lineRule="auto"/>
        <w:ind w:firstLineChars="150" w:firstLine="360"/>
        <w:jc w:val="both"/>
        <w:rPr>
          <w:rFonts w:ascii="Book Antiqua" w:hAnsi="Book Antiqua" w:cs="Arial"/>
        </w:rPr>
      </w:pPr>
      <w:r w:rsidRPr="00E84B3F">
        <w:rPr>
          <w:rFonts w:ascii="Book Antiqua" w:hAnsi="Book Antiqua" w:cs="Arial"/>
        </w:rPr>
        <w:t xml:space="preserve">Because of the more severe disease phenotype, need of chronic medications and multiple </w:t>
      </w:r>
      <w:proofErr w:type="spellStart"/>
      <w:r w:rsidR="00F56308" w:rsidRPr="00E84B3F">
        <w:rPr>
          <w:rFonts w:ascii="Book Antiqua" w:hAnsi="Book Antiqua" w:cs="Arial"/>
        </w:rPr>
        <w:t>psychomedical</w:t>
      </w:r>
      <w:proofErr w:type="spellEnd"/>
      <w:r w:rsidR="00F56308" w:rsidRPr="00E84B3F">
        <w:rPr>
          <w:rFonts w:ascii="Book Antiqua" w:hAnsi="Book Antiqua" w:cs="Arial"/>
        </w:rPr>
        <w:t xml:space="preserve"> </w:t>
      </w:r>
      <w:r w:rsidRPr="00E84B3F">
        <w:rPr>
          <w:rFonts w:ascii="Book Antiqua" w:hAnsi="Book Antiqua" w:cs="Arial"/>
        </w:rPr>
        <w:t xml:space="preserve">co-morbidities such as malnutrition, delayed growth, and underlying depression or anxiety, there needs to be uninterrupted care and management of </w:t>
      </w:r>
      <w:r w:rsidR="00EC6EC6" w:rsidRPr="00E84B3F">
        <w:rPr>
          <w:rFonts w:ascii="Book Antiqua" w:hAnsi="Book Antiqua" w:cs="Arial"/>
        </w:rPr>
        <w:t>IBD</w:t>
      </w:r>
      <w:r w:rsidRPr="00E84B3F">
        <w:rPr>
          <w:rFonts w:ascii="Book Antiqua" w:hAnsi="Book Antiqua" w:cs="Arial"/>
        </w:rPr>
        <w:t xml:space="preserve"> as </w:t>
      </w:r>
      <w:r w:rsidR="00437A3C" w:rsidRPr="00E84B3F">
        <w:rPr>
          <w:rFonts w:ascii="Book Antiqua" w:hAnsi="Book Antiqua" w:cs="Arial"/>
        </w:rPr>
        <w:t xml:space="preserve">the </w:t>
      </w:r>
      <w:r w:rsidRPr="00E84B3F">
        <w:rPr>
          <w:rFonts w:ascii="Book Antiqua" w:hAnsi="Book Antiqua" w:cs="Arial"/>
        </w:rPr>
        <w:t xml:space="preserve">move toward adulthood </w:t>
      </w:r>
      <w:proofErr w:type="gramStart"/>
      <w:r w:rsidRPr="00E84B3F">
        <w:rPr>
          <w:rFonts w:ascii="Book Antiqua" w:hAnsi="Book Antiqua" w:cs="Arial"/>
        </w:rPr>
        <w:t>is made</w:t>
      </w:r>
      <w:proofErr w:type="gramEnd"/>
      <w:r w:rsidRPr="00E84B3F">
        <w:rPr>
          <w:rFonts w:ascii="Book Antiqua" w:hAnsi="Book Antiqua" w:cs="Arial"/>
        </w:rPr>
        <w:t xml:space="preserve">, to ensure improved outcomes. </w:t>
      </w:r>
    </w:p>
    <w:p w:rsidR="00442E38" w:rsidRPr="00E5312B" w:rsidRDefault="00442E38" w:rsidP="00633765">
      <w:pPr>
        <w:spacing w:line="360" w:lineRule="auto"/>
        <w:jc w:val="both"/>
        <w:rPr>
          <w:rFonts w:ascii="Book Antiqua" w:eastAsia="SimSun" w:hAnsi="Book Antiqua" w:cs="Arial"/>
          <w:b/>
          <w:lang w:eastAsia="zh-CN"/>
        </w:rPr>
      </w:pPr>
    </w:p>
    <w:p w:rsidR="00654975" w:rsidRPr="00E5312B" w:rsidRDefault="00E5312B" w:rsidP="00633765">
      <w:pPr>
        <w:spacing w:line="360" w:lineRule="auto"/>
        <w:jc w:val="both"/>
        <w:rPr>
          <w:rFonts w:ascii="Book Antiqua" w:eastAsia="SimSun" w:hAnsi="Book Antiqua" w:cs="Arial"/>
          <w:b/>
          <w:lang w:eastAsia="zh-CN"/>
        </w:rPr>
      </w:pPr>
      <w:r w:rsidRPr="00E84B3F">
        <w:rPr>
          <w:rFonts w:ascii="Book Antiqua" w:hAnsi="Book Antiqua" w:cs="Arial"/>
          <w:b/>
        </w:rPr>
        <w:t>TRANSITION OF CARE IN OTHER CHRONIC DISEASES</w:t>
      </w:r>
    </w:p>
    <w:p w:rsidR="00BB69A3" w:rsidRPr="00E84B3F" w:rsidRDefault="00437A3C" w:rsidP="00633765">
      <w:pPr>
        <w:spacing w:line="360" w:lineRule="auto"/>
        <w:jc w:val="both"/>
        <w:rPr>
          <w:rFonts w:ascii="Book Antiqua" w:hAnsi="Book Antiqua" w:cs="Arial"/>
        </w:rPr>
      </w:pPr>
      <w:r w:rsidRPr="00E84B3F">
        <w:rPr>
          <w:rFonts w:ascii="Book Antiqua" w:hAnsi="Book Antiqua" w:cs="Arial"/>
        </w:rPr>
        <w:t>Transition of care should not be mistaken by</w:t>
      </w:r>
      <w:r w:rsidR="00EC6EC6" w:rsidRPr="00E84B3F">
        <w:rPr>
          <w:rFonts w:ascii="Book Antiqua" w:hAnsi="Book Antiqua" w:cs="Arial"/>
        </w:rPr>
        <w:t xml:space="preserve"> a simple</w:t>
      </w:r>
      <w:r w:rsidRPr="00E84B3F">
        <w:rPr>
          <w:rFonts w:ascii="Book Antiqua" w:hAnsi="Book Antiqua" w:cs="Arial"/>
        </w:rPr>
        <w:t xml:space="preserve"> transfer of care</w:t>
      </w:r>
      <w:r w:rsidR="00896380" w:rsidRPr="00E84B3F">
        <w:rPr>
          <w:rFonts w:ascii="Book Antiqua" w:hAnsi="Book Antiqua" w:cs="Arial"/>
        </w:rPr>
        <w:t>, which is a “planned movement of patient and their medical records from one provider to another at a distinct point in time</w:t>
      </w:r>
      <w:proofErr w:type="gramStart"/>
      <w:r w:rsidR="00896380" w:rsidRPr="00E84B3F">
        <w:rPr>
          <w:rFonts w:ascii="Book Antiqua" w:hAnsi="Book Antiqua" w:cs="Arial"/>
        </w:rPr>
        <w:t>”</w:t>
      </w:r>
      <w:r w:rsidR="001D20C7" w:rsidRPr="00E84B3F">
        <w:rPr>
          <w:rFonts w:ascii="Book Antiqua" w:hAnsi="Book Antiqua" w:cs="Arial"/>
          <w:vertAlign w:val="superscript"/>
        </w:rPr>
        <w:t>[</w:t>
      </w:r>
      <w:proofErr w:type="gramEnd"/>
      <w:r w:rsidR="00F56308" w:rsidRPr="00E84B3F">
        <w:rPr>
          <w:rFonts w:ascii="Book Antiqua" w:hAnsi="Book Antiqua" w:cs="Arial"/>
          <w:vertAlign w:val="superscript"/>
        </w:rPr>
        <w:t>13</w:t>
      </w:r>
      <w:r w:rsidR="001D20C7" w:rsidRPr="00E84B3F">
        <w:rPr>
          <w:rFonts w:ascii="Book Antiqua" w:hAnsi="Book Antiqua" w:cs="Arial"/>
          <w:vertAlign w:val="superscript"/>
        </w:rPr>
        <w:t>]</w:t>
      </w:r>
      <w:r w:rsidR="00896380" w:rsidRPr="00E84B3F">
        <w:rPr>
          <w:rFonts w:ascii="Book Antiqua" w:hAnsi="Book Antiqua" w:cs="Arial"/>
        </w:rPr>
        <w:t>.</w:t>
      </w:r>
      <w:r w:rsidR="00E5312B">
        <w:rPr>
          <w:rFonts w:ascii="Book Antiqua" w:eastAsia="SimSun" w:hAnsi="Book Antiqua" w:cs="Arial" w:hint="eastAsia"/>
          <w:lang w:eastAsia="zh-CN"/>
        </w:rPr>
        <w:t xml:space="preserve"> </w:t>
      </w:r>
      <w:r w:rsidRPr="00E84B3F">
        <w:rPr>
          <w:rFonts w:ascii="Book Antiqua" w:hAnsi="Book Antiqua" w:cs="Arial"/>
        </w:rPr>
        <w:t xml:space="preserve">The transition of care is a </w:t>
      </w:r>
      <w:r w:rsidR="00734A7C" w:rsidRPr="00E84B3F">
        <w:rPr>
          <w:rFonts w:ascii="Book Antiqua" w:hAnsi="Book Antiqua" w:cs="Arial"/>
        </w:rPr>
        <w:t xml:space="preserve">“purposeful </w:t>
      </w:r>
      <w:r w:rsidRPr="00E84B3F">
        <w:rPr>
          <w:rFonts w:ascii="Book Antiqua" w:hAnsi="Book Antiqua" w:cs="Arial"/>
        </w:rPr>
        <w:t>planned move</w:t>
      </w:r>
      <w:r w:rsidR="00734A7C" w:rsidRPr="00E84B3F">
        <w:rPr>
          <w:rFonts w:ascii="Book Antiqua" w:hAnsi="Book Antiqua" w:cs="Arial"/>
        </w:rPr>
        <w:t>ment</w:t>
      </w:r>
      <w:r w:rsidRPr="00E84B3F">
        <w:rPr>
          <w:rFonts w:ascii="Book Antiqua" w:hAnsi="Book Antiqua" w:cs="Arial"/>
        </w:rPr>
        <w:t xml:space="preserve"> of adolescent</w:t>
      </w:r>
      <w:r w:rsidR="00E52A69" w:rsidRPr="00E84B3F">
        <w:rPr>
          <w:rFonts w:ascii="Book Antiqua" w:hAnsi="Book Antiqua" w:cs="Arial"/>
        </w:rPr>
        <w:t>s</w:t>
      </w:r>
      <w:r w:rsidRPr="00E84B3F">
        <w:rPr>
          <w:rFonts w:ascii="Book Antiqua" w:hAnsi="Book Antiqua" w:cs="Arial"/>
        </w:rPr>
        <w:t xml:space="preserve"> and young </w:t>
      </w:r>
      <w:proofErr w:type="spellStart"/>
      <w:r w:rsidRPr="00E84B3F">
        <w:rPr>
          <w:rFonts w:ascii="Book Antiqua" w:hAnsi="Book Antiqua" w:cs="Arial"/>
        </w:rPr>
        <w:t>adults</w:t>
      </w:r>
      <w:r w:rsidR="00734A7C" w:rsidRPr="00E84B3F">
        <w:rPr>
          <w:rFonts w:ascii="Book Antiqua" w:hAnsi="Book Antiqua" w:cs="Arial"/>
        </w:rPr>
        <w:t>with</w:t>
      </w:r>
      <w:proofErr w:type="spellEnd"/>
      <w:r w:rsidR="00734A7C" w:rsidRPr="00E84B3F">
        <w:rPr>
          <w:rFonts w:ascii="Book Antiqua" w:hAnsi="Book Antiqua" w:cs="Arial"/>
        </w:rPr>
        <w:t xml:space="preserve"> chronic phy</w:t>
      </w:r>
      <w:r w:rsidR="00EC6EC6" w:rsidRPr="00E84B3F">
        <w:rPr>
          <w:rFonts w:ascii="Book Antiqua" w:hAnsi="Book Antiqua" w:cs="Arial"/>
        </w:rPr>
        <w:t>sical and medical conditions fro</w:t>
      </w:r>
      <w:r w:rsidR="00734A7C" w:rsidRPr="00E84B3F">
        <w:rPr>
          <w:rFonts w:ascii="Book Antiqua" w:hAnsi="Book Antiqua" w:cs="Arial"/>
        </w:rPr>
        <w:t xml:space="preserve">m </w:t>
      </w:r>
      <w:r w:rsidR="00E52A69" w:rsidRPr="00E84B3F">
        <w:rPr>
          <w:rFonts w:ascii="Book Antiqua" w:hAnsi="Book Antiqua" w:cs="Arial"/>
        </w:rPr>
        <w:t>child-centered to adult-oriented health care systems</w:t>
      </w:r>
      <w:proofErr w:type="gramStart"/>
      <w:r w:rsidR="00E52A69" w:rsidRPr="00E84B3F">
        <w:rPr>
          <w:rFonts w:ascii="Book Antiqua" w:hAnsi="Book Antiqua" w:cs="Arial"/>
        </w:rPr>
        <w:t>”</w:t>
      </w:r>
      <w:r w:rsidR="001D20C7" w:rsidRPr="00E84B3F">
        <w:rPr>
          <w:rFonts w:ascii="Book Antiqua" w:hAnsi="Book Antiqua" w:cs="Arial"/>
          <w:vertAlign w:val="superscript"/>
        </w:rPr>
        <w:t>[</w:t>
      </w:r>
      <w:proofErr w:type="gramEnd"/>
      <w:r w:rsidR="00F56308" w:rsidRPr="00E84B3F">
        <w:rPr>
          <w:rFonts w:ascii="Book Antiqua" w:hAnsi="Book Antiqua" w:cs="Arial"/>
          <w:vertAlign w:val="superscript"/>
        </w:rPr>
        <w:t>14</w:t>
      </w:r>
      <w:r w:rsidR="001D20C7" w:rsidRPr="00E84B3F">
        <w:rPr>
          <w:rFonts w:ascii="Book Antiqua" w:hAnsi="Book Antiqua" w:cs="Arial"/>
          <w:vertAlign w:val="superscript"/>
        </w:rPr>
        <w:t>]</w:t>
      </w:r>
      <w:r w:rsidR="001D20C7" w:rsidRPr="00E84B3F">
        <w:rPr>
          <w:rFonts w:ascii="Book Antiqua" w:hAnsi="Book Antiqua" w:cs="Arial"/>
        </w:rPr>
        <w:t>.</w:t>
      </w:r>
      <w:r w:rsidR="00E5312B">
        <w:rPr>
          <w:rFonts w:ascii="Book Antiqua" w:eastAsia="SimSun" w:hAnsi="Book Antiqua" w:cs="Arial" w:hint="eastAsia"/>
          <w:lang w:eastAsia="zh-CN"/>
        </w:rPr>
        <w:t xml:space="preserve"> </w:t>
      </w:r>
      <w:r w:rsidR="00BB69A3" w:rsidRPr="00E84B3F">
        <w:rPr>
          <w:rFonts w:ascii="Book Antiqua" w:hAnsi="Book Antiqua" w:cs="Arial"/>
        </w:rPr>
        <w:t xml:space="preserve">The transition process should be </w:t>
      </w:r>
      <w:proofErr w:type="gramStart"/>
      <w:r w:rsidR="00BB69A3" w:rsidRPr="00E84B3F">
        <w:rPr>
          <w:rFonts w:ascii="Book Antiqua" w:hAnsi="Book Antiqua" w:cs="Arial"/>
        </w:rPr>
        <w:t>well-coordinated</w:t>
      </w:r>
      <w:proofErr w:type="gramEnd"/>
      <w:r w:rsidR="00BB69A3" w:rsidRPr="00E84B3F">
        <w:rPr>
          <w:rFonts w:ascii="Book Antiqua" w:hAnsi="Book Antiqua" w:cs="Arial"/>
        </w:rPr>
        <w:t xml:space="preserve"> and incorporate all key players to ensure proper collaboration and avoid interruption in </w:t>
      </w:r>
      <w:proofErr w:type="spellStart"/>
      <w:r w:rsidR="00BB69A3" w:rsidRPr="00E84B3F">
        <w:rPr>
          <w:rFonts w:ascii="Book Antiqua" w:hAnsi="Book Antiqua" w:cs="Arial"/>
        </w:rPr>
        <w:t>care</w:t>
      </w:r>
      <w:r w:rsidR="00BF4931" w:rsidRPr="00E84B3F">
        <w:rPr>
          <w:rFonts w:ascii="Book Antiqua" w:hAnsi="Book Antiqua" w:cs="Arial"/>
        </w:rPr>
        <w:t>.</w:t>
      </w:r>
      <w:r w:rsidR="00BB69A3" w:rsidRPr="00E84B3F">
        <w:rPr>
          <w:rFonts w:ascii="Book Antiqua" w:hAnsi="Book Antiqua" w:cs="Arial"/>
        </w:rPr>
        <w:t>Unlike</w:t>
      </w:r>
      <w:proofErr w:type="spellEnd"/>
      <w:r w:rsidR="00BB69A3" w:rsidRPr="00E84B3F">
        <w:rPr>
          <w:rFonts w:ascii="Book Antiqua" w:hAnsi="Book Antiqua" w:cs="Arial"/>
        </w:rPr>
        <w:t xml:space="preserve"> a transfer, which is a single event, the transition is a gradual </w:t>
      </w:r>
      <w:r w:rsidR="00FF3654" w:rsidRPr="00E84B3F">
        <w:rPr>
          <w:rFonts w:ascii="Book Antiqua" w:hAnsi="Book Antiqua" w:cs="Arial"/>
        </w:rPr>
        <w:t>process that</w:t>
      </w:r>
      <w:r w:rsidR="00BB69A3" w:rsidRPr="00E84B3F">
        <w:rPr>
          <w:rFonts w:ascii="Book Antiqua" w:hAnsi="Book Antiqua" w:cs="Arial"/>
        </w:rPr>
        <w:t xml:space="preserve"> allows the young adult to acquire behavioral skills and knowledge to assume full responsibility for their health care needs and management of their disease. </w:t>
      </w:r>
    </w:p>
    <w:p w:rsidR="00C11986" w:rsidRPr="00E84B3F" w:rsidRDefault="00C11986" w:rsidP="00633765">
      <w:pPr>
        <w:spacing w:line="360" w:lineRule="auto"/>
        <w:ind w:firstLineChars="150" w:firstLine="360"/>
        <w:jc w:val="both"/>
        <w:rPr>
          <w:rFonts w:ascii="Book Antiqua" w:hAnsi="Book Antiqua" w:cs="Arial"/>
        </w:rPr>
      </w:pPr>
      <w:r w:rsidRPr="00E84B3F">
        <w:rPr>
          <w:rFonts w:ascii="Book Antiqua" w:hAnsi="Book Antiqua" w:cs="Arial"/>
        </w:rPr>
        <w:lastRenderedPageBreak/>
        <w:t xml:space="preserve">The medical providers that are involved should understand the rationale for the transition process, have the knowledge and skills to facilitate this process, </w:t>
      </w:r>
      <w:proofErr w:type="gramStart"/>
      <w:r w:rsidRPr="00E84B3F">
        <w:rPr>
          <w:rFonts w:ascii="Book Antiqua" w:hAnsi="Book Antiqua" w:cs="Arial"/>
        </w:rPr>
        <w:t>and also</w:t>
      </w:r>
      <w:proofErr w:type="gramEnd"/>
      <w:r w:rsidRPr="00E84B3F">
        <w:rPr>
          <w:rFonts w:ascii="Book Antiqua" w:hAnsi="Book Antiqua" w:cs="Arial"/>
        </w:rPr>
        <w:t xml:space="preserve"> know when the transition is indicated.  Because the transition period is a vulnerable time, it is important to have a structured program in </w:t>
      </w:r>
      <w:r w:rsidR="00FF3654" w:rsidRPr="00E84B3F">
        <w:rPr>
          <w:rFonts w:ascii="Book Antiqua" w:hAnsi="Book Antiqua" w:cs="Arial"/>
        </w:rPr>
        <w:t>place, which</w:t>
      </w:r>
      <w:r w:rsidRPr="00E84B3F">
        <w:rPr>
          <w:rFonts w:ascii="Book Antiqua" w:hAnsi="Book Antiqua" w:cs="Arial"/>
        </w:rPr>
        <w:t xml:space="preserve"> can have a positive effect on the clinical</w:t>
      </w:r>
      <w:r w:rsidR="00EC6EC6" w:rsidRPr="00E84B3F">
        <w:rPr>
          <w:rFonts w:ascii="Book Antiqua" w:hAnsi="Book Antiqua" w:cs="Arial"/>
        </w:rPr>
        <w:t xml:space="preserve"> and medical, as well as </w:t>
      </w:r>
      <w:r w:rsidRPr="00E84B3F">
        <w:rPr>
          <w:rFonts w:ascii="Book Antiqua" w:hAnsi="Book Antiqua" w:cs="Arial"/>
        </w:rPr>
        <w:t>psycholo</w:t>
      </w:r>
      <w:r w:rsidR="00BB69A3" w:rsidRPr="00E84B3F">
        <w:rPr>
          <w:rFonts w:ascii="Book Antiqua" w:hAnsi="Book Antiqua" w:cs="Arial"/>
        </w:rPr>
        <w:t xml:space="preserve">gical outcomes for the patient. </w:t>
      </w:r>
    </w:p>
    <w:p w:rsidR="00C11986" w:rsidRPr="00E84B3F" w:rsidRDefault="00C11986" w:rsidP="00633765">
      <w:pPr>
        <w:spacing w:line="360" w:lineRule="auto"/>
        <w:ind w:firstLineChars="150" w:firstLine="360"/>
        <w:jc w:val="both"/>
        <w:rPr>
          <w:rFonts w:ascii="Book Antiqua" w:hAnsi="Book Antiqua" w:cs="Arial"/>
        </w:rPr>
      </w:pPr>
      <w:r w:rsidRPr="00E84B3F">
        <w:rPr>
          <w:rFonts w:ascii="Book Antiqua" w:hAnsi="Book Antiqua" w:cs="Arial"/>
        </w:rPr>
        <w:t xml:space="preserve">There are </w:t>
      </w:r>
      <w:r w:rsidR="00FF3654" w:rsidRPr="00E84B3F">
        <w:rPr>
          <w:rFonts w:ascii="Book Antiqua" w:hAnsi="Book Antiqua" w:cs="Arial"/>
        </w:rPr>
        <w:t>several</w:t>
      </w:r>
      <w:r w:rsidRPr="00E84B3F">
        <w:rPr>
          <w:rFonts w:ascii="Book Antiqua" w:hAnsi="Book Antiqua" w:cs="Arial"/>
        </w:rPr>
        <w:t xml:space="preserve"> examples of transition of care with other chronic diseases, such as cystic fibrosis (CF), type 1 diabetes and </w:t>
      </w:r>
      <w:r w:rsidR="00552163" w:rsidRPr="00E84B3F">
        <w:rPr>
          <w:rFonts w:ascii="Book Antiqua" w:hAnsi="Book Antiqua" w:cs="Arial"/>
        </w:rPr>
        <w:t>congenital heart disease</w:t>
      </w:r>
      <w:r w:rsidRPr="00E84B3F">
        <w:rPr>
          <w:rFonts w:ascii="Book Antiqua" w:hAnsi="Book Antiqua" w:cs="Arial"/>
        </w:rPr>
        <w:t xml:space="preserve">.  Pediatricians have long been aware of the need and challenges of ensuring that CF patients receive appropriate services as they move into adult care.  CF pediatricians and other medical providers have been leaders in the development of models for transitional care for over 20 </w:t>
      </w:r>
      <w:proofErr w:type="gramStart"/>
      <w:r w:rsidRPr="00E84B3F">
        <w:rPr>
          <w:rFonts w:ascii="Book Antiqua" w:hAnsi="Book Antiqua" w:cs="Arial"/>
        </w:rPr>
        <w:t>years</w:t>
      </w:r>
      <w:r w:rsidR="005842A1" w:rsidRPr="00E84B3F">
        <w:rPr>
          <w:rFonts w:ascii="Book Antiqua" w:hAnsi="Book Antiqua" w:cs="Arial"/>
          <w:vertAlign w:val="superscript"/>
        </w:rPr>
        <w:t>[</w:t>
      </w:r>
      <w:proofErr w:type="gramEnd"/>
      <w:r w:rsidR="005622E1" w:rsidRPr="00E84B3F">
        <w:rPr>
          <w:rFonts w:ascii="Book Antiqua" w:hAnsi="Book Antiqua" w:cs="Arial"/>
          <w:vertAlign w:val="superscript"/>
        </w:rPr>
        <w:t>15</w:t>
      </w:r>
      <w:r w:rsidR="005842A1" w:rsidRPr="00E84B3F">
        <w:rPr>
          <w:rFonts w:ascii="Book Antiqua" w:hAnsi="Book Antiqua" w:cs="Arial"/>
          <w:vertAlign w:val="superscript"/>
        </w:rPr>
        <w:t>]</w:t>
      </w:r>
      <w:r w:rsidRPr="00E84B3F">
        <w:rPr>
          <w:rFonts w:ascii="Book Antiqua" w:hAnsi="Book Antiqua" w:cs="Arial"/>
        </w:rPr>
        <w:t xml:space="preserve">.  Examples of different </w:t>
      </w:r>
      <w:r w:rsidR="00896380" w:rsidRPr="00E84B3F">
        <w:rPr>
          <w:rFonts w:ascii="Book Antiqua" w:hAnsi="Book Antiqua" w:cs="Arial"/>
        </w:rPr>
        <w:t>CF-</w:t>
      </w:r>
      <w:r w:rsidR="00EC6EC6" w:rsidRPr="00E84B3F">
        <w:rPr>
          <w:rFonts w:ascii="Book Antiqua" w:hAnsi="Book Antiqua" w:cs="Arial"/>
        </w:rPr>
        <w:t xml:space="preserve">transition models include: </w:t>
      </w:r>
      <w:r w:rsidRPr="00E84B3F">
        <w:rPr>
          <w:rFonts w:ascii="Book Antiqua" w:hAnsi="Book Antiqua" w:cs="Arial"/>
        </w:rPr>
        <w:t>CF-trained pediatrician to continue to prov</w:t>
      </w:r>
      <w:r w:rsidR="00EC6EC6" w:rsidRPr="00E84B3F">
        <w:rPr>
          <w:rFonts w:ascii="Book Antiqua" w:hAnsi="Book Antiqua" w:cs="Arial"/>
        </w:rPr>
        <w:t>ide the health service for life;</w:t>
      </w:r>
      <w:r w:rsidRPr="00E84B3F">
        <w:rPr>
          <w:rFonts w:ascii="Book Antiqua" w:hAnsi="Book Antiqua" w:cs="Arial"/>
        </w:rPr>
        <w:t xml:space="preserve"> pediatricia</w:t>
      </w:r>
      <w:r w:rsidR="00552163" w:rsidRPr="00E84B3F">
        <w:rPr>
          <w:rFonts w:ascii="Book Antiqua" w:hAnsi="Book Antiqua" w:cs="Arial"/>
        </w:rPr>
        <w:t>n to transfer the care to adult</w:t>
      </w:r>
      <w:r w:rsidR="00EC6EC6" w:rsidRPr="00E84B3F">
        <w:rPr>
          <w:rFonts w:ascii="Book Antiqua" w:hAnsi="Book Antiqua" w:cs="Arial"/>
        </w:rPr>
        <w:t xml:space="preserve"> physicians at “CF centers”;</w:t>
      </w:r>
      <w:r w:rsidRPr="00E84B3F">
        <w:rPr>
          <w:rFonts w:ascii="Book Antiqua" w:hAnsi="Book Antiqua" w:cs="Arial"/>
        </w:rPr>
        <w:t xml:space="preserve"> and lastly the pediatrician to transfer the care to both a designated local chest physician and with joint care at a designated CF </w:t>
      </w:r>
      <w:proofErr w:type="gramStart"/>
      <w:r w:rsidRPr="00E84B3F">
        <w:rPr>
          <w:rFonts w:ascii="Book Antiqua" w:hAnsi="Book Antiqua" w:cs="Arial"/>
        </w:rPr>
        <w:t>center</w:t>
      </w:r>
      <w:r w:rsidR="001D20C7" w:rsidRPr="00E84B3F">
        <w:rPr>
          <w:rFonts w:ascii="Book Antiqua" w:hAnsi="Book Antiqua" w:cs="Arial"/>
          <w:vertAlign w:val="superscript"/>
        </w:rPr>
        <w:t>[</w:t>
      </w:r>
      <w:proofErr w:type="gramEnd"/>
      <w:r w:rsidR="005622E1" w:rsidRPr="00E84B3F">
        <w:rPr>
          <w:rFonts w:ascii="Book Antiqua" w:hAnsi="Book Antiqua" w:cs="Arial"/>
          <w:vertAlign w:val="superscript"/>
        </w:rPr>
        <w:t>15</w:t>
      </w:r>
      <w:r w:rsidR="001D20C7" w:rsidRPr="00E84B3F">
        <w:rPr>
          <w:rFonts w:ascii="Book Antiqua" w:hAnsi="Book Antiqua" w:cs="Arial"/>
          <w:vertAlign w:val="superscript"/>
        </w:rPr>
        <w:t>]</w:t>
      </w:r>
      <w:r w:rsidR="001D20C7" w:rsidRPr="00E84B3F">
        <w:rPr>
          <w:rFonts w:ascii="Book Antiqua" w:hAnsi="Book Antiqua" w:cs="Arial"/>
        </w:rPr>
        <w:t xml:space="preserve">.  </w:t>
      </w:r>
      <w:r w:rsidRPr="00E84B3F">
        <w:rPr>
          <w:rFonts w:ascii="Book Antiqua" w:hAnsi="Book Antiqua" w:cs="Arial"/>
        </w:rPr>
        <w:t xml:space="preserve">Regardless of the adopted model, the transition process </w:t>
      </w:r>
      <w:proofErr w:type="gramStart"/>
      <w:r w:rsidRPr="00E84B3F">
        <w:rPr>
          <w:rFonts w:ascii="Book Antiqua" w:hAnsi="Book Antiqua" w:cs="Arial"/>
        </w:rPr>
        <w:t>is made</w:t>
      </w:r>
      <w:proofErr w:type="gramEnd"/>
      <w:r w:rsidRPr="00E84B3F">
        <w:rPr>
          <w:rFonts w:ascii="Book Antiqua" w:hAnsi="Book Antiqua" w:cs="Arial"/>
        </w:rPr>
        <w:t xml:space="preserve"> clear to the patient and the provided care is appropriate for the needs of the patient.  There is convincing evidence of improved survival of CF patients, despite no medical cure, and attributed in part to the improvement and proactive care provided during childhood and with the </w:t>
      </w:r>
      <w:r w:rsidR="00EC6EC6" w:rsidRPr="00E84B3F">
        <w:rPr>
          <w:rFonts w:ascii="Book Antiqua" w:hAnsi="Book Antiqua" w:cs="Arial"/>
        </w:rPr>
        <w:t xml:space="preserve">appropriate, purposeful </w:t>
      </w:r>
      <w:r w:rsidRPr="00E84B3F">
        <w:rPr>
          <w:rFonts w:ascii="Book Antiqua" w:hAnsi="Book Antiqua" w:cs="Arial"/>
        </w:rPr>
        <w:t xml:space="preserve">transition </w:t>
      </w:r>
      <w:r w:rsidR="00552163" w:rsidRPr="00E84B3F">
        <w:rPr>
          <w:rFonts w:ascii="Book Antiqua" w:hAnsi="Book Antiqua" w:cs="Arial"/>
        </w:rPr>
        <w:t xml:space="preserve">to adult </w:t>
      </w:r>
      <w:proofErr w:type="gramStart"/>
      <w:r w:rsidR="00552163" w:rsidRPr="00E84B3F">
        <w:rPr>
          <w:rFonts w:ascii="Book Antiqua" w:hAnsi="Book Antiqua" w:cs="Arial"/>
        </w:rPr>
        <w:t>care</w:t>
      </w:r>
      <w:r w:rsidR="001D20C7" w:rsidRPr="00E84B3F">
        <w:rPr>
          <w:rFonts w:ascii="Book Antiqua" w:hAnsi="Book Antiqua" w:cs="Arial"/>
          <w:vertAlign w:val="superscript"/>
        </w:rPr>
        <w:t>[</w:t>
      </w:r>
      <w:proofErr w:type="gramEnd"/>
      <w:r w:rsidR="005622E1" w:rsidRPr="00E84B3F">
        <w:rPr>
          <w:rFonts w:ascii="Book Antiqua" w:hAnsi="Book Antiqua" w:cs="Arial"/>
          <w:vertAlign w:val="superscript"/>
        </w:rPr>
        <w:t>15</w:t>
      </w:r>
      <w:r w:rsidR="001D20C7" w:rsidRPr="00E84B3F">
        <w:rPr>
          <w:rFonts w:ascii="Book Antiqua" w:hAnsi="Book Antiqua" w:cs="Arial"/>
          <w:vertAlign w:val="superscript"/>
        </w:rPr>
        <w:t>]</w:t>
      </w:r>
      <w:r w:rsidR="001D20C7" w:rsidRPr="00E84B3F">
        <w:rPr>
          <w:rFonts w:ascii="Book Antiqua" w:hAnsi="Book Antiqua" w:cs="Arial"/>
        </w:rPr>
        <w:t>.</w:t>
      </w:r>
    </w:p>
    <w:p w:rsidR="00552163" w:rsidRPr="00E84B3F" w:rsidRDefault="00552163" w:rsidP="00633765">
      <w:pPr>
        <w:spacing w:line="360" w:lineRule="auto"/>
        <w:ind w:firstLineChars="100" w:firstLine="240"/>
        <w:jc w:val="both"/>
        <w:rPr>
          <w:rFonts w:ascii="Book Antiqua" w:hAnsi="Book Antiqua" w:cs="Arial"/>
        </w:rPr>
      </w:pPr>
      <w:r w:rsidRPr="00E84B3F">
        <w:rPr>
          <w:rFonts w:ascii="Book Antiqua" w:hAnsi="Book Antiqua" w:cs="Arial"/>
        </w:rPr>
        <w:t>Simila</w:t>
      </w:r>
      <w:r w:rsidR="00EC6EC6" w:rsidRPr="00E84B3F">
        <w:rPr>
          <w:rFonts w:ascii="Book Antiqua" w:hAnsi="Book Antiqua" w:cs="Arial"/>
        </w:rPr>
        <w:t>rly, among young adults with type 1 diabetes mellitus who underwent a structured transition of care as opposed to those only referred to an adult care provider by a referral letter</w:t>
      </w:r>
      <w:r w:rsidR="008137F5" w:rsidRPr="00E84B3F">
        <w:rPr>
          <w:rFonts w:ascii="Book Antiqua" w:hAnsi="Book Antiqua" w:cs="Arial"/>
        </w:rPr>
        <w:t xml:space="preserve"> or simple transfer</w:t>
      </w:r>
      <w:r w:rsidR="00EC6EC6" w:rsidRPr="00E84B3F">
        <w:rPr>
          <w:rFonts w:ascii="Book Antiqua" w:hAnsi="Book Antiqua" w:cs="Arial"/>
        </w:rPr>
        <w:t>, had improved attendance in clinic and hemoglobin A1c (HbA1c) levels</w:t>
      </w:r>
      <w:r w:rsidR="001D20C7" w:rsidRPr="00E84B3F">
        <w:rPr>
          <w:rFonts w:ascii="Book Antiqua" w:hAnsi="Book Antiqua" w:cs="Arial"/>
          <w:vertAlign w:val="superscript"/>
        </w:rPr>
        <w:t>[</w:t>
      </w:r>
      <w:r w:rsidR="008137F5" w:rsidRPr="00E84B3F">
        <w:rPr>
          <w:rFonts w:ascii="Book Antiqua" w:hAnsi="Book Antiqua" w:cs="Arial"/>
          <w:vertAlign w:val="superscript"/>
        </w:rPr>
        <w:t>16</w:t>
      </w:r>
      <w:r w:rsidR="001D20C7" w:rsidRPr="00E84B3F">
        <w:rPr>
          <w:rFonts w:ascii="Book Antiqua" w:hAnsi="Book Antiqua" w:cs="Arial"/>
          <w:vertAlign w:val="superscript"/>
        </w:rPr>
        <w:t>]</w:t>
      </w:r>
      <w:r w:rsidR="00EC6EC6" w:rsidRPr="00E84B3F">
        <w:rPr>
          <w:rFonts w:ascii="Book Antiqua" w:hAnsi="Book Antiqua" w:cs="Arial"/>
        </w:rPr>
        <w:t xml:space="preserve">.  </w:t>
      </w:r>
    </w:p>
    <w:p w:rsidR="00442E38" w:rsidRPr="00E5312B" w:rsidRDefault="00442E38" w:rsidP="00633765">
      <w:pPr>
        <w:spacing w:line="360" w:lineRule="auto"/>
        <w:jc w:val="both"/>
        <w:rPr>
          <w:rFonts w:ascii="Book Antiqua" w:eastAsia="SimSun" w:hAnsi="Book Antiqua" w:cs="Arial"/>
          <w:b/>
          <w:lang w:eastAsia="zh-CN"/>
        </w:rPr>
      </w:pPr>
    </w:p>
    <w:p w:rsidR="00734A7C" w:rsidRPr="00E5312B" w:rsidRDefault="00E5312B" w:rsidP="00633765">
      <w:pPr>
        <w:spacing w:line="360" w:lineRule="auto"/>
        <w:jc w:val="both"/>
        <w:rPr>
          <w:rFonts w:ascii="Book Antiqua" w:eastAsia="SimSun" w:hAnsi="Book Antiqua" w:cs="Arial"/>
          <w:b/>
          <w:lang w:eastAsia="zh-CN"/>
        </w:rPr>
      </w:pPr>
      <w:r w:rsidRPr="00E84B3F">
        <w:rPr>
          <w:rFonts w:ascii="Book Antiqua" w:hAnsi="Book Antiqua" w:cs="Arial"/>
          <w:b/>
        </w:rPr>
        <w:t>TRANSITION OF CARE IN INFLAMMATORY BOWEL DISEASE</w:t>
      </w:r>
    </w:p>
    <w:p w:rsidR="00896380" w:rsidRPr="00E84B3F" w:rsidRDefault="00896380" w:rsidP="00633765">
      <w:pPr>
        <w:spacing w:line="360" w:lineRule="auto"/>
        <w:jc w:val="both"/>
        <w:rPr>
          <w:rFonts w:ascii="Book Antiqua" w:hAnsi="Book Antiqua" w:cs="Arial"/>
        </w:rPr>
      </w:pPr>
      <w:r w:rsidRPr="00E84B3F">
        <w:rPr>
          <w:rFonts w:ascii="Book Antiqua" w:hAnsi="Book Antiqua" w:cs="Arial"/>
        </w:rPr>
        <w:t xml:space="preserve">Emerging adulthood, defined as the first period of adult life from age 18 to 25, is often considered an unstable period between adolescence and full </w:t>
      </w:r>
      <w:proofErr w:type="gramStart"/>
      <w:r w:rsidRPr="00E84B3F">
        <w:rPr>
          <w:rFonts w:ascii="Book Antiqua" w:hAnsi="Book Antiqua" w:cs="Arial"/>
        </w:rPr>
        <w:t>adulthood</w:t>
      </w:r>
      <w:r w:rsidR="001D20C7" w:rsidRPr="00E84B3F">
        <w:rPr>
          <w:rFonts w:ascii="Book Antiqua" w:hAnsi="Book Antiqua" w:cs="Arial"/>
          <w:vertAlign w:val="superscript"/>
        </w:rPr>
        <w:t>[</w:t>
      </w:r>
      <w:proofErr w:type="gramEnd"/>
      <w:r w:rsidR="008137F5" w:rsidRPr="00E84B3F">
        <w:rPr>
          <w:rFonts w:ascii="Book Antiqua" w:hAnsi="Book Antiqua" w:cs="Arial"/>
          <w:vertAlign w:val="superscript"/>
        </w:rPr>
        <w:t>13</w:t>
      </w:r>
      <w:r w:rsidR="001D20C7" w:rsidRPr="00E84B3F">
        <w:rPr>
          <w:rFonts w:ascii="Book Antiqua" w:hAnsi="Book Antiqua" w:cs="Arial"/>
          <w:vertAlign w:val="superscript"/>
        </w:rPr>
        <w:t>]</w:t>
      </w:r>
      <w:r w:rsidRPr="00E84B3F">
        <w:rPr>
          <w:rFonts w:ascii="Book Antiqua" w:hAnsi="Book Antiqua" w:cs="Arial"/>
        </w:rPr>
        <w:t xml:space="preserve">.  In IBD, as with other chronic diseases, </w:t>
      </w:r>
      <w:r w:rsidR="005842A1" w:rsidRPr="00E84B3F">
        <w:rPr>
          <w:rFonts w:ascii="Book Antiqua" w:hAnsi="Book Antiqua" w:cs="Arial"/>
        </w:rPr>
        <w:t>‘</w:t>
      </w:r>
      <w:r w:rsidRPr="00E84B3F">
        <w:rPr>
          <w:rFonts w:ascii="Book Antiqua" w:hAnsi="Book Antiqua" w:cs="Arial"/>
        </w:rPr>
        <w:t>emerging adulthood</w:t>
      </w:r>
      <w:r w:rsidR="005842A1" w:rsidRPr="00E84B3F">
        <w:rPr>
          <w:rFonts w:ascii="Book Antiqua" w:hAnsi="Book Antiqua" w:cs="Arial"/>
        </w:rPr>
        <w:t>’</w:t>
      </w:r>
      <w:r w:rsidRPr="00E84B3F">
        <w:rPr>
          <w:rFonts w:ascii="Book Antiqua" w:hAnsi="Book Antiqua" w:cs="Arial"/>
        </w:rPr>
        <w:t xml:space="preserve"> may be a longer </w:t>
      </w:r>
      <w:proofErr w:type="gramStart"/>
      <w:r w:rsidRPr="00E84B3F">
        <w:rPr>
          <w:rFonts w:ascii="Book Antiqua" w:hAnsi="Book Antiqua" w:cs="Arial"/>
        </w:rPr>
        <w:t>period of time</w:t>
      </w:r>
      <w:proofErr w:type="gramEnd"/>
      <w:r w:rsidR="005842A1" w:rsidRPr="00E84B3F">
        <w:rPr>
          <w:rFonts w:ascii="Book Antiqua" w:hAnsi="Book Antiqua" w:cs="Arial"/>
        </w:rPr>
        <w:t xml:space="preserve"> by default of the chronic disease</w:t>
      </w:r>
      <w:r w:rsidRPr="00E84B3F">
        <w:rPr>
          <w:rFonts w:ascii="Book Antiqua" w:hAnsi="Book Antiqua" w:cs="Arial"/>
        </w:rPr>
        <w:t>.</w:t>
      </w:r>
      <w:r w:rsidR="00D93F80" w:rsidRPr="00E84B3F">
        <w:rPr>
          <w:rFonts w:ascii="Book Antiqua" w:hAnsi="Book Antiqua" w:cs="Arial"/>
        </w:rPr>
        <w:t xml:space="preserve"> The emotional dynamics of the chronic disease and close </w:t>
      </w:r>
      <w:r w:rsidR="00D93F80" w:rsidRPr="00E84B3F">
        <w:rPr>
          <w:rFonts w:ascii="Book Antiqua" w:hAnsi="Book Antiqua" w:cs="Arial"/>
        </w:rPr>
        <w:lastRenderedPageBreak/>
        <w:t xml:space="preserve">dependence (excessive or appropriate) could contribute to the </w:t>
      </w:r>
      <w:r w:rsidR="003D550B" w:rsidRPr="00E84B3F">
        <w:rPr>
          <w:rFonts w:ascii="Book Antiqua" w:hAnsi="Book Antiqua" w:cs="Arial"/>
        </w:rPr>
        <w:t>adolescents’</w:t>
      </w:r>
      <w:r w:rsidR="00D93F80" w:rsidRPr="00E84B3F">
        <w:rPr>
          <w:rFonts w:ascii="Book Antiqua" w:hAnsi="Book Antiqua" w:cs="Arial"/>
        </w:rPr>
        <w:t xml:space="preserve"> difficulty progressing to the age appropriate emotional maturity and independence.</w:t>
      </w:r>
      <w:r w:rsidRPr="00E84B3F">
        <w:rPr>
          <w:rFonts w:ascii="Book Antiqua" w:hAnsi="Book Antiqua" w:cs="Arial"/>
        </w:rPr>
        <w:t xml:space="preserve">  The emerging adults with IBD (EAI) </w:t>
      </w:r>
      <w:r w:rsidR="008137F5" w:rsidRPr="00E84B3F">
        <w:rPr>
          <w:rFonts w:ascii="Book Antiqua" w:hAnsi="Book Antiqua" w:cs="Arial"/>
        </w:rPr>
        <w:t xml:space="preserve">coined by Trivedi and </w:t>
      </w:r>
      <w:proofErr w:type="gramStart"/>
      <w:r w:rsidR="008137F5" w:rsidRPr="00E84B3F">
        <w:rPr>
          <w:rFonts w:ascii="Book Antiqua" w:hAnsi="Book Antiqua" w:cs="Arial"/>
        </w:rPr>
        <w:t>Keefer</w:t>
      </w:r>
      <w:r w:rsidR="008137F5" w:rsidRPr="00E84B3F">
        <w:rPr>
          <w:rFonts w:ascii="Book Antiqua" w:hAnsi="Book Antiqua" w:cs="Arial"/>
          <w:vertAlign w:val="superscript"/>
        </w:rPr>
        <w:t>[</w:t>
      </w:r>
      <w:proofErr w:type="gramEnd"/>
      <w:r w:rsidR="008137F5" w:rsidRPr="00E84B3F">
        <w:rPr>
          <w:rFonts w:ascii="Book Antiqua" w:hAnsi="Book Antiqua" w:cs="Arial"/>
          <w:vertAlign w:val="superscript"/>
        </w:rPr>
        <w:t>13]</w:t>
      </w:r>
      <w:r w:rsidR="008137F5" w:rsidRPr="00E84B3F">
        <w:rPr>
          <w:rFonts w:ascii="Book Antiqua" w:hAnsi="Book Antiqua" w:cs="Arial"/>
        </w:rPr>
        <w:t xml:space="preserve">, </w:t>
      </w:r>
      <w:r w:rsidRPr="00E84B3F">
        <w:rPr>
          <w:rFonts w:ascii="Book Antiqua" w:hAnsi="Book Antiqua" w:cs="Arial"/>
        </w:rPr>
        <w:t xml:space="preserve">have an increased risk for disease progression, including </w:t>
      </w:r>
      <w:proofErr w:type="spellStart"/>
      <w:r w:rsidRPr="00E84B3F">
        <w:rPr>
          <w:rFonts w:ascii="Book Antiqua" w:hAnsi="Book Antiqua" w:cs="Arial"/>
        </w:rPr>
        <w:t>stricturing</w:t>
      </w:r>
      <w:proofErr w:type="spellEnd"/>
      <w:r w:rsidRPr="00E84B3F">
        <w:rPr>
          <w:rFonts w:ascii="Book Antiqua" w:hAnsi="Book Antiqua" w:cs="Arial"/>
        </w:rPr>
        <w:t xml:space="preserve"> and penetrating disease, and other complications of disease</w:t>
      </w:r>
      <w:r w:rsidR="001D20C7" w:rsidRPr="00E84B3F">
        <w:rPr>
          <w:rFonts w:ascii="Book Antiqua" w:hAnsi="Book Antiqua" w:cs="Arial"/>
          <w:vertAlign w:val="superscript"/>
        </w:rPr>
        <w:t>[</w:t>
      </w:r>
      <w:r w:rsidR="008137F5" w:rsidRPr="00E84B3F">
        <w:rPr>
          <w:rFonts w:ascii="Book Antiqua" w:hAnsi="Book Antiqua" w:cs="Arial"/>
          <w:vertAlign w:val="superscript"/>
        </w:rPr>
        <w:t>17</w:t>
      </w:r>
      <w:r w:rsidR="001D20C7" w:rsidRPr="00E84B3F">
        <w:rPr>
          <w:rFonts w:ascii="Book Antiqua" w:hAnsi="Book Antiqua" w:cs="Arial"/>
          <w:vertAlign w:val="superscript"/>
        </w:rPr>
        <w:t>]</w:t>
      </w:r>
      <w:r w:rsidRPr="00E84B3F">
        <w:rPr>
          <w:rFonts w:ascii="Book Antiqua" w:hAnsi="Book Antiqua" w:cs="Arial"/>
        </w:rPr>
        <w:t xml:space="preserve">.  Studies have also demonstrated a higher economic burden </w:t>
      </w:r>
      <w:r w:rsidR="008137F5" w:rsidRPr="00E84B3F">
        <w:rPr>
          <w:rFonts w:ascii="Book Antiqua" w:hAnsi="Book Antiqua" w:cs="Arial"/>
        </w:rPr>
        <w:t xml:space="preserve">among EAIs, including </w:t>
      </w:r>
      <w:r w:rsidRPr="00E84B3F">
        <w:rPr>
          <w:rFonts w:ascii="Book Antiqua" w:hAnsi="Book Antiqua" w:cs="Arial"/>
        </w:rPr>
        <w:t>increased all-cause total health care costs in both UC and CD</w:t>
      </w:r>
      <w:r w:rsidR="0076165A" w:rsidRPr="00E84B3F">
        <w:rPr>
          <w:rFonts w:ascii="Book Antiqua" w:hAnsi="Book Antiqua" w:cs="Arial"/>
          <w:vertAlign w:val="superscript"/>
        </w:rPr>
        <w:t>[</w:t>
      </w:r>
      <w:r w:rsidR="008137F5" w:rsidRPr="00E84B3F">
        <w:rPr>
          <w:rFonts w:ascii="Book Antiqua" w:hAnsi="Book Antiqua" w:cs="Arial"/>
          <w:vertAlign w:val="superscript"/>
        </w:rPr>
        <w:t>18,19</w:t>
      </w:r>
      <w:r w:rsidR="0076165A" w:rsidRPr="00E84B3F">
        <w:rPr>
          <w:rFonts w:ascii="Book Antiqua" w:hAnsi="Book Antiqua" w:cs="Arial"/>
          <w:vertAlign w:val="superscript"/>
        </w:rPr>
        <w:t>]</w:t>
      </w:r>
      <w:r w:rsidR="00E5312B">
        <w:rPr>
          <w:rFonts w:ascii="Book Antiqua" w:eastAsia="SimSun" w:hAnsi="Book Antiqua" w:cs="Arial" w:hint="eastAsia"/>
          <w:vertAlign w:val="superscript"/>
          <w:lang w:eastAsia="zh-CN"/>
        </w:rPr>
        <w:t xml:space="preserve"> </w:t>
      </w:r>
      <w:r w:rsidRPr="00E84B3F">
        <w:rPr>
          <w:rFonts w:ascii="Book Antiqua" w:hAnsi="Book Antiqua" w:cs="Arial"/>
        </w:rPr>
        <w:t>as well as the highest utilization of emergency services of any adult sub-population</w:t>
      </w:r>
      <w:r w:rsidR="0076165A" w:rsidRPr="00E84B3F">
        <w:rPr>
          <w:rFonts w:ascii="Book Antiqua" w:hAnsi="Book Antiqua" w:cs="Arial"/>
          <w:vertAlign w:val="superscript"/>
        </w:rPr>
        <w:t>[</w:t>
      </w:r>
      <w:r w:rsidR="008137F5" w:rsidRPr="00E84B3F">
        <w:rPr>
          <w:rFonts w:ascii="Book Antiqua" w:hAnsi="Book Antiqua" w:cs="Arial"/>
          <w:vertAlign w:val="superscript"/>
        </w:rPr>
        <w:t>20</w:t>
      </w:r>
      <w:r w:rsidR="0076165A" w:rsidRPr="00E84B3F">
        <w:rPr>
          <w:rFonts w:ascii="Book Antiqua" w:hAnsi="Book Antiqua" w:cs="Arial"/>
          <w:vertAlign w:val="superscript"/>
        </w:rPr>
        <w:t>]</w:t>
      </w:r>
      <w:r w:rsidRPr="00E84B3F">
        <w:rPr>
          <w:rFonts w:ascii="Book Antiqua" w:hAnsi="Book Antiqua" w:cs="Arial"/>
        </w:rPr>
        <w:t>.</w:t>
      </w:r>
      <w:r w:rsidR="00633765">
        <w:rPr>
          <w:rFonts w:ascii="Book Antiqua" w:eastAsia="SimSun" w:hAnsi="Book Antiqua" w:cs="Arial" w:hint="eastAsia"/>
          <w:lang w:eastAsia="zh-CN"/>
        </w:rPr>
        <w:t xml:space="preserve"> </w:t>
      </w:r>
      <w:r w:rsidRPr="00E84B3F">
        <w:rPr>
          <w:rFonts w:ascii="Book Antiqua" w:hAnsi="Book Antiqua" w:cs="Arial"/>
        </w:rPr>
        <w:t xml:space="preserve">Poorer adherence to treatment plans and attendance to clinic visits </w:t>
      </w:r>
      <w:proofErr w:type="spellStart"/>
      <w:r w:rsidR="00DC51A3" w:rsidRPr="00E84B3F">
        <w:rPr>
          <w:rFonts w:ascii="Book Antiqua" w:hAnsi="Book Antiqua" w:cs="Arial"/>
        </w:rPr>
        <w:t>are</w:t>
      </w:r>
      <w:r w:rsidR="005842A1" w:rsidRPr="00E84B3F">
        <w:rPr>
          <w:rFonts w:ascii="Book Antiqua" w:hAnsi="Book Antiqua" w:cs="Arial"/>
        </w:rPr>
        <w:t>also</w:t>
      </w:r>
      <w:proofErr w:type="spellEnd"/>
      <w:r w:rsidR="005842A1" w:rsidRPr="00E84B3F">
        <w:rPr>
          <w:rFonts w:ascii="Book Antiqua" w:hAnsi="Book Antiqua" w:cs="Arial"/>
        </w:rPr>
        <w:t xml:space="preserve"> </w:t>
      </w:r>
      <w:proofErr w:type="spellStart"/>
      <w:r w:rsidR="0076165A" w:rsidRPr="00E84B3F">
        <w:rPr>
          <w:rFonts w:ascii="Book Antiqua" w:hAnsi="Book Antiqua" w:cs="Arial"/>
        </w:rPr>
        <w:t>reported</w:t>
      </w:r>
      <w:r w:rsidR="005842A1" w:rsidRPr="00E84B3F">
        <w:rPr>
          <w:rFonts w:ascii="Book Antiqua" w:hAnsi="Book Antiqua" w:cs="Arial"/>
        </w:rPr>
        <w:t>to</w:t>
      </w:r>
      <w:proofErr w:type="spellEnd"/>
      <w:r w:rsidR="005842A1" w:rsidRPr="00E84B3F">
        <w:rPr>
          <w:rFonts w:ascii="Book Antiqua" w:hAnsi="Book Antiqua" w:cs="Arial"/>
        </w:rPr>
        <w:t xml:space="preserve"> be the </w:t>
      </w:r>
      <w:r w:rsidR="00DC51A3" w:rsidRPr="00E84B3F">
        <w:rPr>
          <w:rFonts w:ascii="Book Antiqua" w:hAnsi="Book Antiqua" w:cs="Arial"/>
        </w:rPr>
        <w:t>lowest among</w:t>
      </w:r>
      <w:r w:rsidRPr="00E84B3F">
        <w:rPr>
          <w:rFonts w:ascii="Book Antiqua" w:hAnsi="Book Antiqua" w:cs="Arial"/>
        </w:rPr>
        <w:t xml:space="preserve"> </w:t>
      </w:r>
      <w:proofErr w:type="gramStart"/>
      <w:r w:rsidRPr="00E84B3F">
        <w:rPr>
          <w:rFonts w:ascii="Book Antiqua" w:hAnsi="Book Antiqua" w:cs="Arial"/>
        </w:rPr>
        <w:t>EAI</w:t>
      </w:r>
      <w:r w:rsidR="0076165A" w:rsidRPr="00E84B3F">
        <w:rPr>
          <w:rFonts w:ascii="Book Antiqua" w:hAnsi="Book Antiqua" w:cs="Arial"/>
        </w:rPr>
        <w:t>s</w:t>
      </w:r>
      <w:r w:rsidR="0076165A" w:rsidRPr="00E84B3F">
        <w:rPr>
          <w:rFonts w:ascii="Book Antiqua" w:hAnsi="Book Antiqua" w:cs="Arial"/>
          <w:vertAlign w:val="superscript"/>
        </w:rPr>
        <w:t>[</w:t>
      </w:r>
      <w:proofErr w:type="gramEnd"/>
      <w:r w:rsidR="008137F5" w:rsidRPr="00E84B3F">
        <w:rPr>
          <w:rFonts w:ascii="Book Antiqua" w:hAnsi="Book Antiqua" w:cs="Arial"/>
          <w:vertAlign w:val="superscript"/>
        </w:rPr>
        <w:t>21</w:t>
      </w:r>
      <w:r w:rsidR="0076165A" w:rsidRPr="00E84B3F">
        <w:rPr>
          <w:rFonts w:ascii="Book Antiqua" w:hAnsi="Book Antiqua" w:cs="Arial"/>
          <w:vertAlign w:val="superscript"/>
        </w:rPr>
        <w:t>]</w:t>
      </w:r>
      <w:r w:rsidRPr="00E84B3F">
        <w:rPr>
          <w:rFonts w:ascii="Book Antiqua" w:hAnsi="Book Antiqua" w:cs="Arial"/>
        </w:rPr>
        <w:t>.</w:t>
      </w:r>
    </w:p>
    <w:p w:rsidR="00DC51A3" w:rsidRPr="00E5312B" w:rsidRDefault="00DC51A3" w:rsidP="00633765">
      <w:pPr>
        <w:spacing w:line="360" w:lineRule="auto"/>
        <w:ind w:firstLineChars="100" w:firstLine="240"/>
        <w:jc w:val="both"/>
        <w:rPr>
          <w:rFonts w:ascii="Book Antiqua" w:eastAsia="SimSun" w:hAnsi="Book Antiqua" w:cs="Arial"/>
          <w:lang w:eastAsia="zh-CN"/>
        </w:rPr>
      </w:pPr>
      <w:r w:rsidRPr="00E84B3F">
        <w:rPr>
          <w:rFonts w:ascii="Book Antiqua" w:hAnsi="Book Antiqua" w:cs="Arial"/>
        </w:rPr>
        <w:t xml:space="preserve">Although there are several described models of transition of care in IBD implemented in clinics in the United States and other Westernized countries, an ideal model for a structured transition program in IBD has yet to </w:t>
      </w:r>
      <w:proofErr w:type="gramStart"/>
      <w:r w:rsidRPr="00E84B3F">
        <w:rPr>
          <w:rFonts w:ascii="Book Antiqua" w:hAnsi="Book Antiqua" w:cs="Arial"/>
        </w:rPr>
        <w:t>be defined</w:t>
      </w:r>
      <w:proofErr w:type="gramEnd"/>
      <w:r w:rsidRPr="00E84B3F">
        <w:rPr>
          <w:rFonts w:ascii="Book Antiqua" w:hAnsi="Book Antiqua" w:cs="Arial"/>
        </w:rPr>
        <w:t>.</w:t>
      </w:r>
      <w:r w:rsidR="008137F5" w:rsidRPr="00E84B3F">
        <w:rPr>
          <w:rFonts w:ascii="Book Antiqua" w:hAnsi="Book Antiqua" w:cs="Arial"/>
        </w:rPr>
        <w:t xml:space="preserve">  There is also suggestion that a “transition program may either be a physical clinic with a dedicated, multidisciplinary group of care providers or a conceptual element of the care provided in a </w:t>
      </w:r>
      <w:r w:rsidR="00E5312B">
        <w:rPr>
          <w:rFonts w:ascii="Book Antiqua" w:hAnsi="Book Antiqua" w:cs="Arial"/>
        </w:rPr>
        <w:t>more traditional clinic setting</w:t>
      </w:r>
      <w:r w:rsidR="008137F5" w:rsidRPr="00E84B3F">
        <w:rPr>
          <w:rFonts w:ascii="Book Antiqua" w:hAnsi="Book Antiqua" w:cs="Arial"/>
        </w:rPr>
        <w:t>”</w:t>
      </w:r>
      <w:r w:rsidR="008137F5" w:rsidRPr="00E84B3F">
        <w:rPr>
          <w:rFonts w:ascii="Book Antiqua" w:hAnsi="Book Antiqua" w:cs="Arial"/>
          <w:vertAlign w:val="superscript"/>
        </w:rPr>
        <w:t>[4]</w:t>
      </w:r>
      <w:r w:rsidR="00E5312B">
        <w:rPr>
          <w:rFonts w:ascii="Book Antiqua" w:eastAsia="SimSun" w:hAnsi="Book Antiqua" w:cs="Arial" w:hint="eastAsia"/>
          <w:lang w:eastAsia="zh-CN"/>
        </w:rPr>
        <w:t>.</w:t>
      </w:r>
    </w:p>
    <w:p w:rsidR="00FB79DF" w:rsidRPr="00E84B3F" w:rsidRDefault="00896380" w:rsidP="00633765">
      <w:pPr>
        <w:spacing w:line="360" w:lineRule="auto"/>
        <w:ind w:firstLineChars="150" w:firstLine="360"/>
        <w:jc w:val="both"/>
        <w:rPr>
          <w:rFonts w:ascii="Book Antiqua" w:hAnsi="Book Antiqua" w:cs="Arial"/>
        </w:rPr>
      </w:pPr>
      <w:proofErr w:type="spellStart"/>
      <w:r w:rsidRPr="00E84B3F">
        <w:rPr>
          <w:rFonts w:ascii="Book Antiqua" w:hAnsi="Book Antiqua" w:cs="Arial"/>
        </w:rPr>
        <w:t>Hait</w:t>
      </w:r>
      <w:proofErr w:type="spellEnd"/>
      <w:r w:rsidRPr="00E84B3F">
        <w:rPr>
          <w:rFonts w:ascii="Book Antiqua" w:hAnsi="Book Antiqua" w:cs="Arial"/>
        </w:rPr>
        <w:t xml:space="preserve"> </w:t>
      </w:r>
      <w:r w:rsidR="00E5312B" w:rsidRPr="00E5312B">
        <w:rPr>
          <w:rFonts w:ascii="Book Antiqua" w:eastAsia="SimSun" w:hAnsi="Book Antiqua" w:cs="Arial" w:hint="eastAsia"/>
          <w:i/>
          <w:lang w:eastAsia="zh-CN"/>
        </w:rPr>
        <w:t xml:space="preserve">et </w:t>
      </w:r>
      <w:proofErr w:type="gramStart"/>
      <w:r w:rsidR="00E5312B" w:rsidRPr="00E5312B">
        <w:rPr>
          <w:rFonts w:ascii="Book Antiqua" w:eastAsia="SimSun" w:hAnsi="Book Antiqua" w:cs="Arial" w:hint="eastAsia"/>
          <w:i/>
          <w:lang w:eastAsia="zh-CN"/>
        </w:rPr>
        <w:t>al</w:t>
      </w:r>
      <w:r w:rsidR="0076165A" w:rsidRPr="00E84B3F">
        <w:rPr>
          <w:rFonts w:ascii="Book Antiqua" w:hAnsi="Book Antiqua" w:cs="Arial"/>
          <w:vertAlign w:val="superscript"/>
        </w:rPr>
        <w:t>[</w:t>
      </w:r>
      <w:proofErr w:type="gramEnd"/>
      <w:r w:rsidR="00B146A8" w:rsidRPr="00E84B3F">
        <w:rPr>
          <w:rFonts w:ascii="Book Antiqua" w:hAnsi="Book Antiqua" w:cs="Arial"/>
          <w:vertAlign w:val="superscript"/>
        </w:rPr>
        <w:t>6</w:t>
      </w:r>
      <w:r w:rsidR="0076165A" w:rsidRPr="00E84B3F">
        <w:rPr>
          <w:rFonts w:ascii="Book Antiqua" w:hAnsi="Book Antiqua" w:cs="Arial"/>
          <w:vertAlign w:val="superscript"/>
        </w:rPr>
        <w:t>]</w:t>
      </w:r>
      <w:r w:rsidRPr="00E84B3F">
        <w:rPr>
          <w:rFonts w:ascii="Book Antiqua" w:hAnsi="Book Antiqua" w:cs="Arial"/>
        </w:rPr>
        <w:t xml:space="preserve"> conducted a survey of adult gastroenterologists t</w:t>
      </w:r>
      <w:r w:rsidR="005842A1" w:rsidRPr="00E84B3F">
        <w:rPr>
          <w:rFonts w:ascii="Book Antiqua" w:hAnsi="Book Antiqua" w:cs="Arial"/>
        </w:rPr>
        <w:t xml:space="preserve">o determine which </w:t>
      </w:r>
      <w:r w:rsidRPr="00E84B3F">
        <w:rPr>
          <w:rFonts w:ascii="Book Antiqua" w:hAnsi="Book Antiqua" w:cs="Arial"/>
        </w:rPr>
        <w:t>patient competencies are necessary for a successful transition to an adult practice</w:t>
      </w:r>
      <w:r w:rsidR="0076165A" w:rsidRPr="00E84B3F">
        <w:rPr>
          <w:rFonts w:ascii="Book Antiqua" w:hAnsi="Book Antiqua" w:cs="Arial"/>
        </w:rPr>
        <w:t xml:space="preserve">.  </w:t>
      </w:r>
      <w:r w:rsidRPr="00E84B3F">
        <w:rPr>
          <w:rFonts w:ascii="Book Antiqua" w:hAnsi="Book Antiqua" w:cs="Arial"/>
        </w:rPr>
        <w:t>The study concluded that adult providers have identified a deficiency in the young adults’ knowledge of disease, medical history and medications</w:t>
      </w:r>
      <w:r w:rsidR="005842A1" w:rsidRPr="00E84B3F">
        <w:rPr>
          <w:rFonts w:ascii="Book Antiqua" w:hAnsi="Book Antiqua" w:cs="Arial"/>
        </w:rPr>
        <w:t>, and</w:t>
      </w:r>
      <w:r w:rsidR="00B146A8" w:rsidRPr="00E84B3F">
        <w:rPr>
          <w:rFonts w:ascii="Book Antiqua" w:hAnsi="Book Antiqua" w:cs="Arial"/>
        </w:rPr>
        <w:t xml:space="preserve"> </w:t>
      </w:r>
      <w:proofErr w:type="spellStart"/>
      <w:r w:rsidR="00B146A8" w:rsidRPr="00E84B3F">
        <w:rPr>
          <w:rFonts w:ascii="Book Antiqua" w:hAnsi="Book Antiqua" w:cs="Arial"/>
        </w:rPr>
        <w:t>alsoreported</w:t>
      </w:r>
      <w:proofErr w:type="spellEnd"/>
      <w:r w:rsidR="00B146A8" w:rsidRPr="00E84B3F">
        <w:rPr>
          <w:rFonts w:ascii="Book Antiqua" w:hAnsi="Book Antiqua" w:cs="Arial"/>
        </w:rPr>
        <w:t xml:space="preserve"> that </w:t>
      </w:r>
      <w:r w:rsidR="005842A1" w:rsidRPr="00E84B3F">
        <w:rPr>
          <w:rFonts w:ascii="Book Antiqua" w:hAnsi="Book Antiqua" w:cs="Arial"/>
        </w:rPr>
        <w:t xml:space="preserve">pediatric </w:t>
      </w:r>
      <w:r w:rsidRPr="00E84B3F">
        <w:rPr>
          <w:rFonts w:ascii="Book Antiqua" w:hAnsi="Book Antiqua" w:cs="Arial"/>
        </w:rPr>
        <w:t xml:space="preserve">gastroenterologists </w:t>
      </w:r>
      <w:r w:rsidR="005842A1" w:rsidRPr="00E84B3F">
        <w:rPr>
          <w:rFonts w:ascii="Book Antiqua" w:hAnsi="Book Antiqua" w:cs="Arial"/>
        </w:rPr>
        <w:t xml:space="preserve">need to </w:t>
      </w:r>
      <w:r w:rsidRPr="00E84B3F">
        <w:rPr>
          <w:rFonts w:ascii="Book Antiqua" w:hAnsi="Book Antiqua" w:cs="Arial"/>
        </w:rPr>
        <w:t xml:space="preserve">improve communication with patients and referring providers.  Less than half of the adult gastroenterologists </w:t>
      </w:r>
      <w:r w:rsidR="00B146A8" w:rsidRPr="00E84B3F">
        <w:rPr>
          <w:rFonts w:ascii="Book Antiqua" w:hAnsi="Book Antiqua" w:cs="Arial"/>
        </w:rPr>
        <w:t xml:space="preserve">in the survey </w:t>
      </w:r>
      <w:r w:rsidRPr="00E84B3F">
        <w:rPr>
          <w:rFonts w:ascii="Book Antiqua" w:hAnsi="Book Antiqua" w:cs="Arial"/>
        </w:rPr>
        <w:t xml:space="preserve">reported competency with adolescent developmental and mental health issues, despite 89% who believed this was important.  </w:t>
      </w:r>
      <w:r w:rsidR="00B146A8" w:rsidRPr="00E84B3F">
        <w:rPr>
          <w:rFonts w:ascii="Book Antiqua" w:hAnsi="Book Antiqua" w:cs="Arial"/>
        </w:rPr>
        <w:t>The study also concluded that a</w:t>
      </w:r>
      <w:r w:rsidRPr="00E84B3F">
        <w:rPr>
          <w:rFonts w:ascii="Book Antiqua" w:hAnsi="Book Antiqua" w:cs="Arial"/>
        </w:rPr>
        <w:t xml:space="preserve">dult gastroenterologists </w:t>
      </w:r>
      <w:proofErr w:type="gramStart"/>
      <w:r w:rsidRPr="00E84B3F">
        <w:rPr>
          <w:rFonts w:ascii="Book Antiqua" w:hAnsi="Book Antiqua" w:cs="Arial"/>
        </w:rPr>
        <w:t>may</w:t>
      </w:r>
      <w:proofErr w:type="gramEnd"/>
      <w:r w:rsidRPr="00E84B3F">
        <w:rPr>
          <w:rFonts w:ascii="Book Antiqua" w:hAnsi="Book Antiqua" w:cs="Arial"/>
        </w:rPr>
        <w:t xml:space="preserve"> benefit from </w:t>
      </w:r>
      <w:r w:rsidR="00B146A8" w:rsidRPr="00E84B3F">
        <w:rPr>
          <w:rFonts w:ascii="Book Antiqua" w:hAnsi="Book Antiqua" w:cs="Arial"/>
        </w:rPr>
        <w:t xml:space="preserve">additional </w:t>
      </w:r>
      <w:r w:rsidRPr="00E84B3F">
        <w:rPr>
          <w:rFonts w:ascii="Book Antiqua" w:hAnsi="Book Antiqua" w:cs="Arial"/>
        </w:rPr>
        <w:t xml:space="preserve">formalized training </w:t>
      </w:r>
      <w:r w:rsidR="00DC51A3" w:rsidRPr="00E84B3F">
        <w:rPr>
          <w:rFonts w:ascii="Book Antiqua" w:hAnsi="Book Antiqua" w:cs="Arial"/>
        </w:rPr>
        <w:t xml:space="preserve">in </w:t>
      </w:r>
      <w:r w:rsidRPr="00E84B3F">
        <w:rPr>
          <w:rFonts w:ascii="Book Antiqua" w:hAnsi="Book Antiqua" w:cs="Arial"/>
        </w:rPr>
        <w:t>adolescent issues.</w:t>
      </w:r>
    </w:p>
    <w:p w:rsidR="00896380" w:rsidRPr="00E84B3F" w:rsidRDefault="0076165A" w:rsidP="00633765">
      <w:pPr>
        <w:spacing w:line="360" w:lineRule="auto"/>
        <w:ind w:firstLineChars="150" w:firstLine="360"/>
        <w:jc w:val="both"/>
        <w:rPr>
          <w:rFonts w:ascii="Book Antiqua" w:hAnsi="Book Antiqua" w:cs="Arial"/>
        </w:rPr>
      </w:pPr>
      <w:r w:rsidRPr="00E84B3F">
        <w:rPr>
          <w:rFonts w:ascii="Book Antiqua" w:hAnsi="Book Antiqua" w:cs="Arial"/>
        </w:rPr>
        <w:t xml:space="preserve">A </w:t>
      </w:r>
      <w:r w:rsidR="00E5312B" w:rsidRPr="00E5312B">
        <w:rPr>
          <w:rFonts w:ascii="Book Antiqua" w:hAnsi="Book Antiqua" w:cs="Arial"/>
        </w:rPr>
        <w:t>United Kingdom</w:t>
      </w:r>
      <w:r w:rsidR="00896380" w:rsidRPr="00E84B3F">
        <w:rPr>
          <w:rFonts w:ascii="Book Antiqua" w:hAnsi="Book Antiqua" w:cs="Arial"/>
        </w:rPr>
        <w:t xml:space="preserve"> study</w:t>
      </w:r>
      <w:r w:rsidRPr="00E84B3F">
        <w:rPr>
          <w:rFonts w:ascii="Book Antiqua" w:hAnsi="Book Antiqua" w:cs="Arial"/>
          <w:vertAlign w:val="superscript"/>
        </w:rPr>
        <w:t>[</w:t>
      </w:r>
      <w:r w:rsidR="00B146A8" w:rsidRPr="00E84B3F">
        <w:rPr>
          <w:rFonts w:ascii="Book Antiqua" w:hAnsi="Book Antiqua" w:cs="Arial"/>
          <w:vertAlign w:val="superscript"/>
        </w:rPr>
        <w:t>22</w:t>
      </w:r>
      <w:r w:rsidRPr="00E84B3F">
        <w:rPr>
          <w:rFonts w:ascii="Book Antiqua" w:hAnsi="Book Antiqua" w:cs="Arial"/>
          <w:vertAlign w:val="superscript"/>
        </w:rPr>
        <w:t>]</w:t>
      </w:r>
      <w:r w:rsidR="00896380" w:rsidRPr="00E84B3F">
        <w:rPr>
          <w:rFonts w:ascii="Book Antiqua" w:hAnsi="Book Antiqua" w:cs="Arial"/>
        </w:rPr>
        <w:t xml:space="preserve"> of adult and pediatric gastroenterologists surveyed to identify the needs of adolescents with IBD and barriers to a successful transition, concluded that </w:t>
      </w:r>
      <w:r w:rsidR="00B146A8" w:rsidRPr="00E84B3F">
        <w:rPr>
          <w:rFonts w:ascii="Book Antiqua" w:hAnsi="Book Antiqua" w:cs="Arial"/>
        </w:rPr>
        <w:t xml:space="preserve">80% of </w:t>
      </w:r>
      <w:r w:rsidR="00896380" w:rsidRPr="00E84B3F">
        <w:rPr>
          <w:rFonts w:ascii="Book Antiqua" w:hAnsi="Book Antiqua" w:cs="Arial"/>
        </w:rPr>
        <w:t>pediatric providers were more likely to consider a structured transition process to be very important, as compared to 47% among adult providers (</w:t>
      </w:r>
      <w:r w:rsidR="00E5312B" w:rsidRPr="00E5312B">
        <w:rPr>
          <w:rFonts w:ascii="Book Antiqua" w:hAnsi="Book Antiqua" w:cs="Arial"/>
          <w:i/>
        </w:rPr>
        <w:t>P</w:t>
      </w:r>
      <w:r w:rsidR="00E5312B">
        <w:rPr>
          <w:rFonts w:ascii="Book Antiqua" w:eastAsia="SimSun" w:hAnsi="Book Antiqua" w:cs="Arial" w:hint="eastAsia"/>
          <w:lang w:eastAsia="zh-CN"/>
        </w:rPr>
        <w:t xml:space="preserve"> </w:t>
      </w:r>
      <w:r w:rsidR="00896380" w:rsidRPr="00E84B3F">
        <w:rPr>
          <w:rFonts w:ascii="Book Antiqua" w:hAnsi="Book Antiqua" w:cs="Arial"/>
        </w:rPr>
        <w:t>=</w:t>
      </w:r>
      <w:r w:rsidR="00E5312B">
        <w:rPr>
          <w:rFonts w:ascii="Book Antiqua" w:eastAsia="SimSun" w:hAnsi="Book Antiqua" w:cs="Arial" w:hint="eastAsia"/>
          <w:lang w:eastAsia="zh-CN"/>
        </w:rPr>
        <w:t xml:space="preserve"> </w:t>
      </w:r>
      <w:r w:rsidR="00896380" w:rsidRPr="00E84B3F">
        <w:rPr>
          <w:rFonts w:ascii="Book Antiqua" w:hAnsi="Book Antiqua" w:cs="Arial"/>
        </w:rPr>
        <w:t xml:space="preserve">0.001).  </w:t>
      </w:r>
      <w:r w:rsidR="005842A1" w:rsidRPr="00E84B3F">
        <w:rPr>
          <w:rFonts w:ascii="Book Antiqua" w:hAnsi="Book Antiqua" w:cs="Arial"/>
        </w:rPr>
        <w:t>Similar to the prior study, m</w:t>
      </w:r>
      <w:r w:rsidR="00896380" w:rsidRPr="00E84B3F">
        <w:rPr>
          <w:rFonts w:ascii="Book Antiqua" w:hAnsi="Book Antiqua" w:cs="Arial"/>
        </w:rPr>
        <w:t xml:space="preserve">ore adult versus pediatric gastroenterologists </w:t>
      </w:r>
      <w:r w:rsidR="00896380" w:rsidRPr="00E84B3F">
        <w:rPr>
          <w:rFonts w:ascii="Book Antiqua" w:hAnsi="Book Antiqua" w:cs="Arial"/>
        </w:rPr>
        <w:lastRenderedPageBreak/>
        <w:t>identified deficiencies in preparation of adolescents for transition of care, including lack of disease knowledge about disease condition and treatment</w:t>
      </w:r>
      <w:r w:rsidR="00DC51A3" w:rsidRPr="00E84B3F">
        <w:rPr>
          <w:rFonts w:ascii="Book Antiqua" w:hAnsi="Book Antiqua" w:cs="Arial"/>
        </w:rPr>
        <w:t>s</w:t>
      </w:r>
      <w:r w:rsidRPr="00E84B3F">
        <w:rPr>
          <w:rFonts w:ascii="Book Antiqua" w:hAnsi="Book Antiqua" w:cs="Arial"/>
        </w:rPr>
        <w:t xml:space="preserve"> (79% </w:t>
      </w:r>
      <w:r w:rsidRPr="00E5312B">
        <w:rPr>
          <w:rFonts w:ascii="Book Antiqua" w:hAnsi="Book Antiqua" w:cs="Arial"/>
          <w:i/>
        </w:rPr>
        <w:t>vs</w:t>
      </w:r>
      <w:r w:rsidRPr="00E84B3F">
        <w:rPr>
          <w:rFonts w:ascii="Book Antiqua" w:hAnsi="Book Antiqua" w:cs="Arial"/>
        </w:rPr>
        <w:t xml:space="preserve"> 42%</w:t>
      </w:r>
      <w:r w:rsidR="00CA514E" w:rsidRPr="00E84B3F">
        <w:rPr>
          <w:rFonts w:ascii="Book Antiqua" w:hAnsi="Book Antiqua" w:cs="Arial"/>
        </w:rPr>
        <w:t xml:space="preserve"> respectively</w:t>
      </w:r>
      <w:r w:rsidRPr="00E84B3F">
        <w:rPr>
          <w:rFonts w:ascii="Book Antiqua" w:hAnsi="Book Antiqua" w:cs="Arial"/>
        </w:rPr>
        <w:t xml:space="preserve">, </w:t>
      </w:r>
      <w:r w:rsidR="00E5312B" w:rsidRPr="00E5312B">
        <w:rPr>
          <w:rFonts w:ascii="Book Antiqua" w:hAnsi="Book Antiqua" w:cs="Arial"/>
          <w:i/>
        </w:rPr>
        <w:t>P</w:t>
      </w:r>
      <w:r w:rsidR="00E5312B">
        <w:rPr>
          <w:rFonts w:ascii="Book Antiqua" w:eastAsia="SimSun" w:hAnsi="Book Antiqua" w:cs="Arial" w:hint="eastAsia"/>
          <w:lang w:eastAsia="zh-CN"/>
        </w:rPr>
        <w:t xml:space="preserve"> </w:t>
      </w:r>
      <w:r w:rsidRPr="00E84B3F">
        <w:rPr>
          <w:rFonts w:ascii="Book Antiqua" w:hAnsi="Book Antiqua" w:cs="Arial"/>
        </w:rPr>
        <w:t>=</w:t>
      </w:r>
      <w:r w:rsidR="00E5312B">
        <w:rPr>
          <w:rFonts w:ascii="Book Antiqua" w:eastAsia="SimSun" w:hAnsi="Book Antiqua" w:cs="Arial" w:hint="eastAsia"/>
          <w:lang w:eastAsia="zh-CN"/>
        </w:rPr>
        <w:t xml:space="preserve"> </w:t>
      </w:r>
      <w:r w:rsidRPr="00E84B3F">
        <w:rPr>
          <w:rFonts w:ascii="Book Antiqua" w:hAnsi="Book Antiqua" w:cs="Arial"/>
        </w:rPr>
        <w:t>0.001).</w:t>
      </w:r>
    </w:p>
    <w:p w:rsidR="00DC51A3" w:rsidRPr="00E84B3F" w:rsidRDefault="0076165A" w:rsidP="00633765">
      <w:pPr>
        <w:spacing w:line="360" w:lineRule="auto"/>
        <w:ind w:firstLineChars="100" w:firstLine="240"/>
        <w:jc w:val="both"/>
        <w:rPr>
          <w:rFonts w:ascii="Book Antiqua" w:hAnsi="Book Antiqua" w:cs="Arial"/>
        </w:rPr>
      </w:pPr>
      <w:r w:rsidRPr="00E84B3F">
        <w:rPr>
          <w:rFonts w:ascii="Book Antiqua" w:hAnsi="Book Antiqua" w:cs="Arial"/>
        </w:rPr>
        <w:t xml:space="preserve">Trivedi and </w:t>
      </w:r>
      <w:proofErr w:type="gramStart"/>
      <w:r w:rsidRPr="00E84B3F">
        <w:rPr>
          <w:rFonts w:ascii="Book Antiqua" w:hAnsi="Book Antiqua" w:cs="Arial"/>
        </w:rPr>
        <w:t>Keefer</w:t>
      </w:r>
      <w:r w:rsidRPr="00E84B3F">
        <w:rPr>
          <w:rFonts w:ascii="Book Antiqua" w:hAnsi="Book Antiqua" w:cs="Arial"/>
          <w:vertAlign w:val="superscript"/>
        </w:rPr>
        <w:t>[</w:t>
      </w:r>
      <w:proofErr w:type="gramEnd"/>
      <w:r w:rsidR="00CA514E" w:rsidRPr="00E84B3F">
        <w:rPr>
          <w:rFonts w:ascii="Book Antiqua" w:hAnsi="Book Antiqua" w:cs="Arial"/>
          <w:vertAlign w:val="superscript"/>
        </w:rPr>
        <w:t>13</w:t>
      </w:r>
      <w:r w:rsidRPr="00E84B3F">
        <w:rPr>
          <w:rFonts w:ascii="Book Antiqua" w:hAnsi="Book Antiqua" w:cs="Arial"/>
          <w:vertAlign w:val="superscript"/>
        </w:rPr>
        <w:t>]</w:t>
      </w:r>
      <w:r w:rsidR="00DC51A3" w:rsidRPr="00E84B3F">
        <w:rPr>
          <w:rFonts w:ascii="Book Antiqua" w:hAnsi="Book Antiqua" w:cs="Arial"/>
        </w:rPr>
        <w:t xml:space="preserve">describe three primary adult provider skill sets for </w:t>
      </w:r>
      <w:r w:rsidR="00CA514E" w:rsidRPr="00E84B3F">
        <w:rPr>
          <w:rFonts w:ascii="Book Antiqua" w:hAnsi="Book Antiqua" w:cs="Arial"/>
        </w:rPr>
        <w:t xml:space="preserve">the care of an </w:t>
      </w:r>
      <w:proofErr w:type="spellStart"/>
      <w:r w:rsidR="00DC51A3" w:rsidRPr="00E84B3F">
        <w:rPr>
          <w:rFonts w:ascii="Book Antiqua" w:hAnsi="Book Antiqua" w:cs="Arial"/>
        </w:rPr>
        <w:t>EAI</w:t>
      </w:r>
      <w:r w:rsidR="00FF3654" w:rsidRPr="00E84B3F">
        <w:rPr>
          <w:rFonts w:ascii="Book Antiqua" w:hAnsi="Book Antiqua" w:cs="Arial"/>
        </w:rPr>
        <w:t>patient</w:t>
      </w:r>
      <w:proofErr w:type="spellEnd"/>
      <w:r w:rsidR="00FF3654" w:rsidRPr="00E84B3F">
        <w:rPr>
          <w:rFonts w:ascii="Book Antiqua" w:hAnsi="Book Antiqua" w:cs="Arial"/>
        </w:rPr>
        <w:t>, which</w:t>
      </w:r>
      <w:r w:rsidR="00DC51A3" w:rsidRPr="00E84B3F">
        <w:rPr>
          <w:rFonts w:ascii="Book Antiqua" w:hAnsi="Book Antiqua" w:cs="Arial"/>
        </w:rPr>
        <w:t xml:space="preserve"> includes: </w:t>
      </w:r>
      <w:r w:rsidR="005842A1" w:rsidRPr="00E84B3F">
        <w:rPr>
          <w:rFonts w:ascii="Book Antiqua" w:hAnsi="Book Antiqua" w:cs="Arial"/>
        </w:rPr>
        <w:t>“</w:t>
      </w:r>
      <w:r w:rsidR="00E5312B">
        <w:rPr>
          <w:rFonts w:ascii="Book Antiqua" w:eastAsia="SimSun" w:hAnsi="Book Antiqua" w:cs="Arial" w:hint="eastAsia"/>
          <w:lang w:eastAsia="zh-CN"/>
        </w:rPr>
        <w:t>(</w:t>
      </w:r>
      <w:r w:rsidR="00DC51A3" w:rsidRPr="00E84B3F">
        <w:rPr>
          <w:rFonts w:ascii="Book Antiqua" w:hAnsi="Book Antiqua" w:cs="Arial"/>
        </w:rPr>
        <w:t xml:space="preserve">1) Understand the natural history, disease phenotype, complications and treatment options for IBD; </w:t>
      </w:r>
      <w:r w:rsidR="00E5312B">
        <w:rPr>
          <w:rFonts w:ascii="Book Antiqua" w:eastAsia="SimSun" w:hAnsi="Book Antiqua" w:cs="Arial" w:hint="eastAsia"/>
          <w:lang w:eastAsia="zh-CN"/>
        </w:rPr>
        <w:t>(</w:t>
      </w:r>
      <w:r w:rsidR="00DC51A3" w:rsidRPr="00E84B3F">
        <w:rPr>
          <w:rFonts w:ascii="Book Antiqua" w:hAnsi="Book Antiqua" w:cs="Arial"/>
        </w:rPr>
        <w:t xml:space="preserve">2) Appreciate nutrition, growth, and radiation exposure concerns; and </w:t>
      </w:r>
      <w:r w:rsidR="00E5312B">
        <w:rPr>
          <w:rFonts w:ascii="Book Antiqua" w:eastAsia="SimSun" w:hAnsi="Book Antiqua" w:cs="Arial" w:hint="eastAsia"/>
          <w:lang w:eastAsia="zh-CN"/>
        </w:rPr>
        <w:t>(</w:t>
      </w:r>
      <w:r w:rsidR="00DC51A3" w:rsidRPr="00E84B3F">
        <w:rPr>
          <w:rFonts w:ascii="Book Antiqua" w:hAnsi="Book Antiqua" w:cs="Arial"/>
        </w:rPr>
        <w:t>3) Recognize the convergence and divergence of traditional pediatric and adult care models in IBD.</w:t>
      </w:r>
      <w:r w:rsidR="005842A1" w:rsidRPr="00E84B3F">
        <w:rPr>
          <w:rFonts w:ascii="Book Antiqua" w:hAnsi="Book Antiqua" w:cs="Arial"/>
        </w:rPr>
        <w:t>”</w:t>
      </w:r>
      <w:r w:rsidR="00E5312B">
        <w:rPr>
          <w:rFonts w:ascii="Book Antiqua" w:eastAsia="SimSun" w:hAnsi="Book Antiqua" w:cs="Arial" w:hint="eastAsia"/>
          <w:lang w:eastAsia="zh-CN"/>
        </w:rPr>
        <w:t xml:space="preserve"> </w:t>
      </w:r>
      <w:r w:rsidR="00DC51A3" w:rsidRPr="00E84B3F">
        <w:rPr>
          <w:rFonts w:ascii="Book Antiqua" w:hAnsi="Book Antiqua" w:cs="Arial"/>
        </w:rPr>
        <w:t xml:space="preserve">The authors also describe “expanded skill sets” which is crucial in the care and management of EAIs, and incorporates a good understanding of adverse effects of IBD treatments, implications of disease and therapies on sexual, fertility and reproductive systems, issues related to unemployment and disability, and understanding of health insurance and coverage </w:t>
      </w:r>
      <w:proofErr w:type="gramStart"/>
      <w:r w:rsidR="00DC51A3" w:rsidRPr="00E84B3F">
        <w:rPr>
          <w:rFonts w:ascii="Book Antiqua" w:hAnsi="Book Antiqua" w:cs="Arial"/>
        </w:rPr>
        <w:t>plans</w:t>
      </w:r>
      <w:r w:rsidR="00CA514E" w:rsidRPr="00E84B3F">
        <w:rPr>
          <w:rFonts w:ascii="Book Antiqua" w:hAnsi="Book Antiqua" w:cs="Arial"/>
          <w:vertAlign w:val="superscript"/>
        </w:rPr>
        <w:t>[</w:t>
      </w:r>
      <w:proofErr w:type="gramEnd"/>
      <w:r w:rsidR="00CA514E" w:rsidRPr="00E84B3F">
        <w:rPr>
          <w:rFonts w:ascii="Book Antiqua" w:hAnsi="Book Antiqua" w:cs="Arial"/>
          <w:vertAlign w:val="superscript"/>
        </w:rPr>
        <w:t>13]</w:t>
      </w:r>
      <w:r w:rsidR="00DC51A3" w:rsidRPr="00E84B3F">
        <w:rPr>
          <w:rFonts w:ascii="Book Antiqua" w:hAnsi="Book Antiqua" w:cs="Arial"/>
        </w:rPr>
        <w:t xml:space="preserve">. </w:t>
      </w:r>
    </w:p>
    <w:p w:rsidR="00DC51A3" w:rsidRPr="00E84B3F" w:rsidRDefault="00DC51A3" w:rsidP="00633765">
      <w:pPr>
        <w:spacing w:line="360" w:lineRule="auto"/>
        <w:jc w:val="both"/>
        <w:rPr>
          <w:rFonts w:ascii="Book Antiqua" w:hAnsi="Book Antiqua" w:cs="Arial"/>
        </w:rPr>
      </w:pPr>
    </w:p>
    <w:p w:rsidR="00FB79DF" w:rsidRPr="00E5312B" w:rsidRDefault="00E5312B" w:rsidP="00633765">
      <w:pPr>
        <w:spacing w:line="360" w:lineRule="auto"/>
        <w:jc w:val="both"/>
        <w:rPr>
          <w:rFonts w:ascii="Book Antiqua" w:eastAsia="SimSun" w:hAnsi="Book Antiqua" w:cs="Arial"/>
          <w:b/>
          <w:lang w:eastAsia="zh-CN"/>
        </w:rPr>
      </w:pPr>
      <w:r w:rsidRPr="00E84B3F">
        <w:rPr>
          <w:rFonts w:ascii="Book Antiqua" w:hAnsi="Book Antiqua" w:cs="Arial"/>
          <w:b/>
        </w:rPr>
        <w:t>ORGANIZING A TRANSITION PROGRAM IN INFLAMMATORY BOWEL DISEASE</w:t>
      </w:r>
    </w:p>
    <w:p w:rsidR="00734A7C" w:rsidRPr="00E5312B" w:rsidRDefault="00256DC7" w:rsidP="00633765">
      <w:pPr>
        <w:spacing w:line="360" w:lineRule="auto"/>
        <w:jc w:val="both"/>
        <w:rPr>
          <w:rFonts w:ascii="Book Antiqua" w:eastAsia="SimSun" w:hAnsi="Book Antiqua" w:cs="Arial"/>
          <w:lang w:eastAsia="zh-CN"/>
        </w:rPr>
      </w:pPr>
      <w:r w:rsidRPr="00E84B3F">
        <w:rPr>
          <w:rFonts w:ascii="Book Antiqua" w:hAnsi="Book Antiqua" w:cs="Arial"/>
        </w:rPr>
        <w:t xml:space="preserve">The North American Society for Pediatric Gastroenterology, Hepatology, and Nutrition (NASPGHAN) </w:t>
      </w:r>
      <w:r w:rsidR="00552163" w:rsidRPr="00E84B3F">
        <w:rPr>
          <w:rFonts w:ascii="Book Antiqua" w:hAnsi="Book Antiqua" w:cs="Arial"/>
        </w:rPr>
        <w:t xml:space="preserve">has </w:t>
      </w:r>
      <w:r w:rsidRPr="00E84B3F">
        <w:rPr>
          <w:rFonts w:ascii="Book Antiqua" w:hAnsi="Book Antiqua" w:cs="Arial"/>
        </w:rPr>
        <w:t xml:space="preserve">published recommendations regarding the transition of patients with childhood onset of IBD to adult </w:t>
      </w:r>
      <w:proofErr w:type="gramStart"/>
      <w:r w:rsidRPr="00E84B3F">
        <w:rPr>
          <w:rFonts w:ascii="Book Antiqua" w:hAnsi="Book Antiqua" w:cs="Arial"/>
        </w:rPr>
        <w:t>care</w:t>
      </w:r>
      <w:r w:rsidR="0076165A" w:rsidRPr="00E84B3F">
        <w:rPr>
          <w:rFonts w:ascii="Book Antiqua" w:hAnsi="Book Antiqua" w:cs="Arial"/>
          <w:vertAlign w:val="superscript"/>
        </w:rPr>
        <w:t>[</w:t>
      </w:r>
      <w:proofErr w:type="gramEnd"/>
      <w:r w:rsidR="00CA514E" w:rsidRPr="00E84B3F">
        <w:rPr>
          <w:rFonts w:ascii="Book Antiqua" w:hAnsi="Book Antiqua" w:cs="Arial"/>
          <w:vertAlign w:val="superscript"/>
        </w:rPr>
        <w:t>23</w:t>
      </w:r>
      <w:r w:rsidR="0076165A" w:rsidRPr="00E84B3F">
        <w:rPr>
          <w:rFonts w:ascii="Book Antiqua" w:hAnsi="Book Antiqua" w:cs="Arial"/>
          <w:vertAlign w:val="superscript"/>
        </w:rPr>
        <w:t>]</w:t>
      </w:r>
      <w:r w:rsidRPr="00E84B3F">
        <w:rPr>
          <w:rFonts w:ascii="Book Antiqua" w:hAnsi="Book Antiqua" w:cs="Arial"/>
        </w:rPr>
        <w:t>.</w:t>
      </w:r>
      <w:r w:rsidR="00734A7C" w:rsidRPr="00E84B3F">
        <w:rPr>
          <w:rFonts w:ascii="Book Antiqua" w:hAnsi="Book Antiqua" w:cs="Arial"/>
        </w:rPr>
        <w:t xml:space="preserve">  </w:t>
      </w:r>
      <w:proofErr w:type="gramStart"/>
      <w:r w:rsidR="00734A7C" w:rsidRPr="00E84B3F">
        <w:rPr>
          <w:rFonts w:ascii="Book Antiqua" w:hAnsi="Book Antiqua" w:cs="Arial"/>
        </w:rPr>
        <w:t xml:space="preserve">The NASPGHAN </w:t>
      </w:r>
      <w:r w:rsidR="00FF3654" w:rsidRPr="00E84B3F">
        <w:rPr>
          <w:rFonts w:ascii="Book Antiqua" w:hAnsi="Book Antiqua" w:cs="Arial"/>
        </w:rPr>
        <w:t>recommendation to the pediatric gastroenterologist is</w:t>
      </w:r>
      <w:r w:rsidR="00734A7C" w:rsidRPr="00E84B3F">
        <w:rPr>
          <w:rFonts w:ascii="Book Antiqua" w:hAnsi="Book Antiqua" w:cs="Arial"/>
        </w:rPr>
        <w:t xml:space="preserve"> to begin the </w:t>
      </w:r>
      <w:r w:rsidR="00734A7C" w:rsidRPr="00E84B3F">
        <w:rPr>
          <w:rFonts w:ascii="Book Antiqua" w:hAnsi="Book Antiqua" w:cs="Arial"/>
          <w:i/>
        </w:rPr>
        <w:t>process</w:t>
      </w:r>
      <w:r w:rsidR="00734A7C" w:rsidRPr="00E84B3F">
        <w:rPr>
          <w:rFonts w:ascii="Book Antiqua" w:hAnsi="Book Antiqua" w:cs="Arial"/>
        </w:rPr>
        <w:t xml:space="preserve"> of transition when the patient ent</w:t>
      </w:r>
      <w:r w:rsidR="0076165A" w:rsidRPr="00E84B3F">
        <w:rPr>
          <w:rFonts w:ascii="Book Antiqua" w:hAnsi="Book Antiqua" w:cs="Arial"/>
        </w:rPr>
        <w:t>ers early to middle adolescence and:</w:t>
      </w:r>
      <w:r w:rsidR="00E5312B">
        <w:rPr>
          <w:rFonts w:ascii="Book Antiqua" w:eastAsia="SimSun" w:hAnsi="Book Antiqua" w:cs="Arial" w:hint="eastAsia"/>
          <w:lang w:eastAsia="zh-CN"/>
        </w:rPr>
        <w:t xml:space="preserve"> (1) </w:t>
      </w:r>
      <w:r w:rsidR="00633765" w:rsidRPr="00E84B3F">
        <w:rPr>
          <w:rFonts w:ascii="Book Antiqua" w:hAnsi="Book Antiqua" w:cs="Arial"/>
        </w:rPr>
        <w:t xml:space="preserve">see </w:t>
      </w:r>
      <w:r w:rsidR="00734A7C" w:rsidRPr="00E84B3F">
        <w:rPr>
          <w:rFonts w:ascii="Book Antiqua" w:hAnsi="Book Antiqua" w:cs="Arial"/>
        </w:rPr>
        <w:t xml:space="preserve">the </w:t>
      </w:r>
      <w:r w:rsidR="00F3248D" w:rsidRPr="00E84B3F">
        <w:rPr>
          <w:rFonts w:ascii="Book Antiqua" w:hAnsi="Book Antiqua" w:cs="Arial"/>
        </w:rPr>
        <w:t>adolescent patient</w:t>
      </w:r>
      <w:r w:rsidR="00734A7C" w:rsidRPr="00E84B3F">
        <w:rPr>
          <w:rFonts w:ascii="Book Antiqua" w:hAnsi="Book Antiqua" w:cs="Arial"/>
        </w:rPr>
        <w:t xml:space="preserve"> without their parents or caregivers in order to build</w:t>
      </w:r>
      <w:r w:rsidR="00E5312B">
        <w:rPr>
          <w:rFonts w:ascii="Book Antiqua" w:hAnsi="Book Antiqua" w:cs="Arial"/>
        </w:rPr>
        <w:t xml:space="preserve"> independence and self-reliance</w:t>
      </w:r>
      <w:r w:rsidR="00E5312B">
        <w:rPr>
          <w:rFonts w:ascii="Book Antiqua" w:eastAsia="SimSun" w:hAnsi="Book Antiqua" w:cs="Arial" w:hint="eastAsia"/>
          <w:lang w:eastAsia="zh-CN"/>
        </w:rPr>
        <w:t xml:space="preserve">; (2) </w:t>
      </w:r>
      <w:r w:rsidR="00633765" w:rsidRPr="00E84B3F">
        <w:rPr>
          <w:rFonts w:ascii="Book Antiqua" w:hAnsi="Book Antiqua" w:cs="Arial"/>
        </w:rPr>
        <w:t xml:space="preserve">discuss </w:t>
      </w:r>
      <w:r w:rsidR="00734A7C" w:rsidRPr="00E84B3F">
        <w:rPr>
          <w:rFonts w:ascii="Book Antiqua" w:hAnsi="Book Antiqua" w:cs="Arial"/>
        </w:rPr>
        <w:t>and introduce the subject and the benefits of a transition to an adult gastroenterologist ear</w:t>
      </w:r>
      <w:r w:rsidR="00E5312B">
        <w:rPr>
          <w:rFonts w:ascii="Book Antiqua" w:hAnsi="Book Antiqua" w:cs="Arial"/>
        </w:rPr>
        <w:t>ly on to the patient and family</w:t>
      </w:r>
      <w:r w:rsidR="00E5312B">
        <w:rPr>
          <w:rFonts w:ascii="Book Antiqua" w:eastAsia="SimSun" w:hAnsi="Book Antiqua" w:cs="Arial" w:hint="eastAsia"/>
          <w:lang w:eastAsia="zh-CN"/>
        </w:rPr>
        <w:t xml:space="preserve">; (3) </w:t>
      </w:r>
      <w:r w:rsidR="00633765" w:rsidRPr="00E84B3F">
        <w:rPr>
          <w:rFonts w:ascii="Book Antiqua" w:hAnsi="Book Antiqua" w:cs="Arial"/>
        </w:rPr>
        <w:t xml:space="preserve">select </w:t>
      </w:r>
      <w:r w:rsidR="00734A7C" w:rsidRPr="00E84B3F">
        <w:rPr>
          <w:rFonts w:ascii="Book Antiqua" w:hAnsi="Book Antiqua" w:cs="Arial"/>
        </w:rPr>
        <w:t>an experienced adult gastroenterologist knowledgeable and interested in the unique</w:t>
      </w:r>
      <w:r w:rsidR="00E5312B">
        <w:rPr>
          <w:rFonts w:ascii="Book Antiqua" w:hAnsi="Book Antiqua" w:cs="Arial"/>
        </w:rPr>
        <w:t xml:space="preserve"> needs of young adults with IBD</w:t>
      </w:r>
      <w:r w:rsidR="00E5312B">
        <w:rPr>
          <w:rFonts w:ascii="Book Antiqua" w:eastAsia="SimSun" w:hAnsi="Book Antiqua" w:cs="Arial" w:hint="eastAsia"/>
          <w:lang w:eastAsia="zh-CN"/>
        </w:rPr>
        <w:t xml:space="preserve">; and (4) </w:t>
      </w:r>
      <w:r w:rsidR="00633765" w:rsidRPr="00E84B3F">
        <w:rPr>
          <w:rFonts w:ascii="Book Antiqua" w:hAnsi="Book Antiqua" w:cs="Arial"/>
        </w:rPr>
        <w:t xml:space="preserve">provide </w:t>
      </w:r>
      <w:r w:rsidR="00734A7C" w:rsidRPr="00E84B3F">
        <w:rPr>
          <w:rFonts w:ascii="Book Antiqua" w:hAnsi="Book Antiqua" w:cs="Arial"/>
        </w:rPr>
        <w:t>all appropriate medical records and summaries to the adult gastroenterologist in advance, to ensure confidence in the patient and family that the pediatric and adult providers are working together.</w:t>
      </w:r>
      <w:proofErr w:type="gramEnd"/>
      <w:r w:rsidR="00633765">
        <w:rPr>
          <w:rFonts w:ascii="Book Antiqua" w:eastAsia="SimSun" w:hAnsi="Book Antiqua" w:cs="Arial" w:hint="eastAsia"/>
          <w:lang w:eastAsia="zh-CN"/>
        </w:rPr>
        <w:t xml:space="preserve"> </w:t>
      </w:r>
      <w:r w:rsidR="00FB79DF" w:rsidRPr="00E84B3F">
        <w:rPr>
          <w:rFonts w:ascii="Book Antiqua" w:hAnsi="Book Antiqua" w:cs="Arial"/>
        </w:rPr>
        <w:t xml:space="preserve">The NASPGHAN Medical Summary Form </w:t>
      </w:r>
      <w:r w:rsidR="0076165A" w:rsidRPr="00E84B3F">
        <w:rPr>
          <w:rFonts w:ascii="Book Antiqua" w:hAnsi="Book Antiqua" w:cs="Arial"/>
        </w:rPr>
        <w:t>can</w:t>
      </w:r>
      <w:r w:rsidR="005842A1" w:rsidRPr="00E84B3F">
        <w:rPr>
          <w:rFonts w:ascii="Book Antiqua" w:hAnsi="Book Antiqua" w:cs="Arial"/>
        </w:rPr>
        <w:t xml:space="preserve"> be found in Appendix A of this</w:t>
      </w:r>
      <w:r w:rsidR="0076165A" w:rsidRPr="00E84B3F">
        <w:rPr>
          <w:rFonts w:ascii="Book Antiqua" w:hAnsi="Book Antiqua" w:cs="Arial"/>
        </w:rPr>
        <w:t xml:space="preserve"> medical position </w:t>
      </w:r>
      <w:proofErr w:type="gramStart"/>
      <w:r w:rsidR="0076165A" w:rsidRPr="00E84B3F">
        <w:rPr>
          <w:rFonts w:ascii="Book Antiqua" w:hAnsi="Book Antiqua" w:cs="Arial"/>
        </w:rPr>
        <w:t>statement</w:t>
      </w:r>
      <w:r w:rsidR="0076165A" w:rsidRPr="00E84B3F">
        <w:rPr>
          <w:rFonts w:ascii="Book Antiqua" w:hAnsi="Book Antiqua" w:cs="Arial"/>
          <w:vertAlign w:val="superscript"/>
        </w:rPr>
        <w:t>[</w:t>
      </w:r>
      <w:proofErr w:type="gramEnd"/>
      <w:r w:rsidR="00CA514E" w:rsidRPr="00E84B3F">
        <w:rPr>
          <w:rFonts w:ascii="Book Antiqua" w:hAnsi="Book Antiqua" w:cs="Arial"/>
          <w:vertAlign w:val="superscript"/>
        </w:rPr>
        <w:t>23</w:t>
      </w:r>
      <w:r w:rsidR="0076165A" w:rsidRPr="00E84B3F">
        <w:rPr>
          <w:rFonts w:ascii="Book Antiqua" w:hAnsi="Book Antiqua" w:cs="Arial"/>
          <w:vertAlign w:val="superscript"/>
        </w:rPr>
        <w:t>]</w:t>
      </w:r>
      <w:r w:rsidR="0076165A" w:rsidRPr="00E84B3F">
        <w:rPr>
          <w:rFonts w:ascii="Book Antiqua" w:hAnsi="Book Antiqua" w:cs="Arial"/>
        </w:rPr>
        <w:t xml:space="preserve">. </w:t>
      </w:r>
    </w:p>
    <w:p w:rsidR="00F3248D" w:rsidRPr="00E84B3F" w:rsidRDefault="00F3248D" w:rsidP="00633765">
      <w:pPr>
        <w:spacing w:line="360" w:lineRule="auto"/>
        <w:ind w:firstLineChars="150" w:firstLine="360"/>
        <w:jc w:val="both"/>
        <w:rPr>
          <w:rFonts w:ascii="Book Antiqua" w:hAnsi="Book Antiqua" w:cs="Arial"/>
        </w:rPr>
      </w:pPr>
      <w:r w:rsidRPr="00E84B3F">
        <w:rPr>
          <w:rFonts w:ascii="Book Antiqua" w:hAnsi="Book Antiqua" w:cs="Arial"/>
        </w:rPr>
        <w:lastRenderedPageBreak/>
        <w:t>Acquiring</w:t>
      </w:r>
      <w:r w:rsidR="00734A7C" w:rsidRPr="00E84B3F">
        <w:rPr>
          <w:rFonts w:ascii="Book Antiqua" w:hAnsi="Book Antiqua" w:cs="Arial"/>
        </w:rPr>
        <w:t xml:space="preserve"> the skills necessary for transitioning to the adult setting should </w:t>
      </w:r>
      <w:r w:rsidR="00CA514E" w:rsidRPr="00E84B3F">
        <w:rPr>
          <w:rFonts w:ascii="Book Antiqua" w:hAnsi="Book Antiqua" w:cs="Arial"/>
        </w:rPr>
        <w:t xml:space="preserve">also </w:t>
      </w:r>
      <w:r w:rsidR="00734A7C" w:rsidRPr="00E84B3F">
        <w:rPr>
          <w:rFonts w:ascii="Book Antiqua" w:hAnsi="Book Antiqua" w:cs="Arial"/>
        </w:rPr>
        <w:t>not be limited to a single encounter</w:t>
      </w:r>
      <w:r w:rsidRPr="00E84B3F">
        <w:rPr>
          <w:rFonts w:ascii="Book Antiqua" w:hAnsi="Book Antiqua" w:cs="Arial"/>
        </w:rPr>
        <w:t xml:space="preserve"> and therefore a healthcare transition plan </w:t>
      </w:r>
      <w:proofErr w:type="gramStart"/>
      <w:r w:rsidRPr="00E84B3F">
        <w:rPr>
          <w:rFonts w:ascii="Book Antiqua" w:hAnsi="Book Antiqua" w:cs="Arial"/>
        </w:rPr>
        <w:t>is needed</w:t>
      </w:r>
      <w:proofErr w:type="gramEnd"/>
      <w:r w:rsidR="00734A7C" w:rsidRPr="00E84B3F">
        <w:rPr>
          <w:rFonts w:ascii="Book Antiqua" w:hAnsi="Book Antiqua" w:cs="Arial"/>
        </w:rPr>
        <w:t xml:space="preserve">.  NASPGHAN has created a </w:t>
      </w:r>
      <w:r w:rsidR="00675B80">
        <w:rPr>
          <w:rFonts w:ascii="Book Antiqua" w:eastAsia="SimSun" w:hAnsi="Book Antiqua" w:cs="Arial"/>
          <w:lang w:eastAsia="zh-CN"/>
        </w:rPr>
        <w:t>“</w:t>
      </w:r>
      <w:r w:rsidR="00734A7C" w:rsidRPr="00E84B3F">
        <w:rPr>
          <w:rFonts w:ascii="Book Antiqua" w:hAnsi="Book Antiqua" w:cs="Arial"/>
        </w:rPr>
        <w:t>Healthcare Provider Transitioning Checklist</w:t>
      </w:r>
      <w:r w:rsidR="00675B80">
        <w:rPr>
          <w:rFonts w:ascii="Book Antiqua" w:eastAsia="SimSun" w:hAnsi="Book Antiqua" w:cs="Arial"/>
          <w:lang w:eastAsia="zh-CN"/>
        </w:rPr>
        <w:t>”</w:t>
      </w:r>
      <w:r w:rsidR="00734A7C" w:rsidRPr="00E84B3F">
        <w:rPr>
          <w:rFonts w:ascii="Book Antiqua" w:hAnsi="Book Antiqua" w:cs="Arial"/>
        </w:rPr>
        <w:t xml:space="preserve"> for patients and </w:t>
      </w:r>
      <w:r w:rsidRPr="00E84B3F">
        <w:rPr>
          <w:rFonts w:ascii="Book Antiqua" w:hAnsi="Book Antiqua" w:cs="Arial"/>
        </w:rPr>
        <w:t>providers</w:t>
      </w:r>
      <w:r w:rsidR="00734A7C" w:rsidRPr="00E84B3F">
        <w:rPr>
          <w:rFonts w:ascii="Book Antiqua" w:hAnsi="Book Antiqua" w:cs="Arial"/>
        </w:rPr>
        <w:t xml:space="preserve"> that </w:t>
      </w:r>
      <w:proofErr w:type="gramStart"/>
      <w:r w:rsidRPr="00E84B3F">
        <w:rPr>
          <w:rFonts w:ascii="Book Antiqua" w:hAnsi="Book Antiqua" w:cs="Arial"/>
        </w:rPr>
        <w:t>can be utilized</w:t>
      </w:r>
      <w:proofErr w:type="gramEnd"/>
      <w:r w:rsidRPr="00E84B3F">
        <w:rPr>
          <w:rFonts w:ascii="Book Antiqua" w:hAnsi="Book Antiqua" w:cs="Arial"/>
        </w:rPr>
        <w:t xml:space="preserve"> to help evaluate the readiness of</w:t>
      </w:r>
      <w:r w:rsidR="005842A1" w:rsidRPr="00E84B3F">
        <w:rPr>
          <w:rFonts w:ascii="Book Antiqua" w:hAnsi="Book Antiqua" w:cs="Arial"/>
        </w:rPr>
        <w:t xml:space="preserve"> the adolescents to transition of </w:t>
      </w:r>
      <w:r w:rsidRPr="00E84B3F">
        <w:rPr>
          <w:rFonts w:ascii="Book Antiqua" w:hAnsi="Book Antiqua" w:cs="Arial"/>
        </w:rPr>
        <w:t>care.</w:t>
      </w:r>
      <w:r w:rsidR="00675B80">
        <w:rPr>
          <w:rFonts w:ascii="Book Antiqua" w:eastAsia="SimSun" w:hAnsi="Book Antiqua" w:cs="Arial" w:hint="eastAsia"/>
          <w:lang w:eastAsia="zh-CN"/>
        </w:rPr>
        <w:t xml:space="preserve"> </w:t>
      </w:r>
      <w:r w:rsidRPr="00E84B3F">
        <w:rPr>
          <w:rFonts w:ascii="Book Antiqua" w:hAnsi="Book Antiqua" w:cs="Arial"/>
        </w:rPr>
        <w:t>It also provides information to the healthcare provider to better understand these goals and improve ways to help the adolescent best achieve appropriate readiness for transition</w:t>
      </w:r>
      <w:r w:rsidR="00EC6EC6" w:rsidRPr="00E84B3F">
        <w:rPr>
          <w:rFonts w:ascii="Book Antiqua" w:hAnsi="Book Antiqua" w:cs="Arial"/>
        </w:rPr>
        <w:t xml:space="preserve">. It is recommended that the process begins in early adolescence, age 12-14 </w:t>
      </w:r>
      <w:proofErr w:type="gramStart"/>
      <w:r w:rsidR="00EC6EC6" w:rsidRPr="00E84B3F">
        <w:rPr>
          <w:rFonts w:ascii="Book Antiqua" w:hAnsi="Book Antiqua" w:cs="Arial"/>
        </w:rPr>
        <w:t>years</w:t>
      </w:r>
      <w:r w:rsidR="003F5991" w:rsidRPr="00E84B3F">
        <w:rPr>
          <w:rFonts w:ascii="Book Antiqua" w:hAnsi="Book Antiqua" w:cs="Arial"/>
          <w:vertAlign w:val="superscript"/>
        </w:rPr>
        <w:t>[</w:t>
      </w:r>
      <w:proofErr w:type="gramEnd"/>
      <w:r w:rsidR="003F5991" w:rsidRPr="00E84B3F">
        <w:rPr>
          <w:rFonts w:ascii="Book Antiqua" w:hAnsi="Book Antiqua" w:cs="Arial"/>
          <w:vertAlign w:val="superscript"/>
        </w:rPr>
        <w:t>24]</w:t>
      </w:r>
      <w:r w:rsidR="00EC6EC6" w:rsidRPr="00E84B3F">
        <w:rPr>
          <w:rFonts w:ascii="Book Antiqua" w:hAnsi="Book Antiqua" w:cs="Arial"/>
        </w:rPr>
        <w:t>.</w:t>
      </w:r>
    </w:p>
    <w:p w:rsidR="00FB79DF" w:rsidRPr="00E84B3F" w:rsidRDefault="00FF3654" w:rsidP="00633765">
      <w:pPr>
        <w:spacing w:line="360" w:lineRule="auto"/>
        <w:ind w:firstLineChars="150" w:firstLine="360"/>
        <w:jc w:val="both"/>
        <w:rPr>
          <w:rFonts w:ascii="Book Antiqua" w:hAnsi="Book Antiqua" w:cs="Arial"/>
        </w:rPr>
      </w:pPr>
      <w:r w:rsidRPr="00E84B3F">
        <w:rPr>
          <w:rFonts w:ascii="Book Antiqua" w:hAnsi="Book Antiqua" w:cs="Arial"/>
        </w:rPr>
        <w:t>A regular assessment of the adolescent readiness for transition is</w:t>
      </w:r>
      <w:r w:rsidR="00F3248D" w:rsidRPr="00E84B3F">
        <w:rPr>
          <w:rFonts w:ascii="Book Antiqua" w:hAnsi="Book Antiqua" w:cs="Arial"/>
        </w:rPr>
        <w:t xml:space="preserve"> important.  These assessments help identify areas where the adolescent may need further disease education to achieve independence </w:t>
      </w:r>
      <w:r w:rsidR="00EC6EC6" w:rsidRPr="00E84B3F">
        <w:rPr>
          <w:rFonts w:ascii="Book Antiqua" w:hAnsi="Book Antiqua" w:cs="Arial"/>
        </w:rPr>
        <w:t xml:space="preserve">and competence </w:t>
      </w:r>
      <w:r w:rsidR="00F3248D" w:rsidRPr="00E84B3F">
        <w:rPr>
          <w:rFonts w:ascii="Book Antiqua" w:hAnsi="Book Antiqua" w:cs="Arial"/>
        </w:rPr>
        <w:t>in transition-relevant skills</w:t>
      </w:r>
      <w:r w:rsidR="00EC6EC6" w:rsidRPr="00E84B3F">
        <w:rPr>
          <w:rFonts w:ascii="Book Antiqua" w:hAnsi="Book Antiqua" w:cs="Arial"/>
        </w:rPr>
        <w:t>.</w:t>
      </w:r>
    </w:p>
    <w:p w:rsidR="00EC6EC6" w:rsidRPr="00E84B3F" w:rsidRDefault="00F3248D" w:rsidP="00633765">
      <w:pPr>
        <w:spacing w:line="360" w:lineRule="auto"/>
        <w:ind w:firstLineChars="100" w:firstLine="240"/>
        <w:jc w:val="both"/>
        <w:rPr>
          <w:rFonts w:ascii="Book Antiqua" w:hAnsi="Book Antiqua" w:cs="Arial"/>
        </w:rPr>
      </w:pPr>
      <w:r w:rsidRPr="00E84B3F">
        <w:rPr>
          <w:rFonts w:ascii="Book Antiqua" w:hAnsi="Book Antiqua" w:cs="Arial"/>
        </w:rPr>
        <w:t xml:space="preserve">The evaluation of readiness is difficult to measure and there have been several clinical instruments used to </w:t>
      </w:r>
      <w:r w:rsidR="00EC6EC6" w:rsidRPr="00E84B3F">
        <w:rPr>
          <w:rFonts w:ascii="Book Antiqua" w:hAnsi="Book Antiqua" w:cs="Arial"/>
        </w:rPr>
        <w:t xml:space="preserve">guide this process.  </w:t>
      </w:r>
      <w:r w:rsidRPr="00E84B3F">
        <w:rPr>
          <w:rFonts w:ascii="Book Antiqua" w:hAnsi="Book Antiqua" w:cs="Arial"/>
        </w:rPr>
        <w:t>One example is the Transition Readiness Assessment Q</w:t>
      </w:r>
      <w:r w:rsidR="00FB79DF" w:rsidRPr="00E84B3F">
        <w:rPr>
          <w:rFonts w:ascii="Book Antiqua" w:hAnsi="Book Antiqua" w:cs="Arial"/>
        </w:rPr>
        <w:t>uestionnaire (TRAQ</w:t>
      </w:r>
      <w:proofErr w:type="gramStart"/>
      <w:r w:rsidR="00FB79DF" w:rsidRPr="00E84B3F">
        <w:rPr>
          <w:rFonts w:ascii="Book Antiqua" w:hAnsi="Book Antiqua" w:cs="Arial"/>
        </w:rPr>
        <w:t>)</w:t>
      </w:r>
      <w:r w:rsidR="009537DF" w:rsidRPr="00E84B3F">
        <w:rPr>
          <w:rFonts w:ascii="Book Antiqua" w:hAnsi="Book Antiqua" w:cs="Arial"/>
          <w:vertAlign w:val="superscript"/>
        </w:rPr>
        <w:t>[</w:t>
      </w:r>
      <w:proofErr w:type="gramEnd"/>
      <w:r w:rsidR="00453696" w:rsidRPr="00E84B3F">
        <w:rPr>
          <w:rFonts w:ascii="Book Antiqua" w:hAnsi="Book Antiqua" w:cs="Arial"/>
          <w:vertAlign w:val="superscript"/>
        </w:rPr>
        <w:t>25</w:t>
      </w:r>
      <w:r w:rsidR="009537DF" w:rsidRPr="00E84B3F">
        <w:rPr>
          <w:rFonts w:ascii="Book Antiqua" w:hAnsi="Book Antiqua" w:cs="Arial"/>
          <w:vertAlign w:val="superscript"/>
        </w:rPr>
        <w:t>]</w:t>
      </w:r>
      <w:r w:rsidR="00FB79DF" w:rsidRPr="00E84B3F">
        <w:rPr>
          <w:rFonts w:ascii="Book Antiqua" w:hAnsi="Book Antiqua" w:cs="Arial"/>
        </w:rPr>
        <w:t xml:space="preserve">, which is a patient-reported assessment of health and skills needed for management of medications, tracking health issues and talking with healthcare providers.  </w:t>
      </w:r>
      <w:proofErr w:type="spellStart"/>
      <w:r w:rsidR="00FB79DF" w:rsidRPr="00E84B3F">
        <w:rPr>
          <w:rFonts w:ascii="Book Antiqua" w:hAnsi="Book Antiqua" w:cs="Arial"/>
        </w:rPr>
        <w:t>Benchimol</w:t>
      </w:r>
      <w:proofErr w:type="spellEnd"/>
      <w:r w:rsidR="00FB79DF" w:rsidRPr="00E84B3F">
        <w:rPr>
          <w:rFonts w:ascii="Book Antiqua" w:hAnsi="Book Antiqua" w:cs="Arial"/>
        </w:rPr>
        <w:t xml:space="preserve"> and colleagues also developed a portable medical record for the patient calle</w:t>
      </w:r>
      <w:r w:rsidR="009537DF" w:rsidRPr="00E84B3F">
        <w:rPr>
          <w:rFonts w:ascii="Book Antiqua" w:hAnsi="Book Antiqua" w:cs="Arial"/>
        </w:rPr>
        <w:t xml:space="preserve">d the </w:t>
      </w:r>
      <w:proofErr w:type="spellStart"/>
      <w:r w:rsidR="009537DF" w:rsidRPr="00E84B3F">
        <w:rPr>
          <w:rFonts w:ascii="Book Antiqua" w:hAnsi="Book Antiqua" w:cs="Arial"/>
        </w:rPr>
        <w:t>MyHealth</w:t>
      </w:r>
      <w:proofErr w:type="spellEnd"/>
      <w:r w:rsidR="009537DF" w:rsidRPr="00E84B3F">
        <w:rPr>
          <w:rFonts w:ascii="Book Antiqua" w:hAnsi="Book Antiqua" w:cs="Arial"/>
        </w:rPr>
        <w:t xml:space="preserve"> Passport for </w:t>
      </w:r>
      <w:proofErr w:type="gramStart"/>
      <w:r w:rsidR="009537DF" w:rsidRPr="00E84B3F">
        <w:rPr>
          <w:rFonts w:ascii="Book Antiqua" w:hAnsi="Book Antiqua" w:cs="Arial"/>
        </w:rPr>
        <w:t>IBD</w:t>
      </w:r>
      <w:r w:rsidR="009537DF" w:rsidRPr="00E84B3F">
        <w:rPr>
          <w:rFonts w:ascii="Book Antiqua" w:hAnsi="Book Antiqua" w:cs="Arial"/>
          <w:vertAlign w:val="superscript"/>
        </w:rPr>
        <w:t>[</w:t>
      </w:r>
      <w:proofErr w:type="gramEnd"/>
      <w:r w:rsidR="00453696" w:rsidRPr="00E84B3F">
        <w:rPr>
          <w:rFonts w:ascii="Book Antiqua" w:hAnsi="Book Antiqua" w:cs="Arial"/>
          <w:vertAlign w:val="superscript"/>
        </w:rPr>
        <w:t>26</w:t>
      </w:r>
      <w:r w:rsidR="009537DF" w:rsidRPr="00E84B3F">
        <w:rPr>
          <w:rFonts w:ascii="Book Antiqua" w:hAnsi="Book Antiqua" w:cs="Arial"/>
          <w:vertAlign w:val="superscript"/>
        </w:rPr>
        <w:t>]</w:t>
      </w:r>
      <w:r w:rsidR="009537DF" w:rsidRPr="00E84B3F">
        <w:rPr>
          <w:rFonts w:ascii="Book Antiqua" w:hAnsi="Book Antiqua" w:cs="Arial"/>
        </w:rPr>
        <w:t xml:space="preserve">, </w:t>
      </w:r>
      <w:r w:rsidR="00FB79DF" w:rsidRPr="00E84B3F">
        <w:rPr>
          <w:rFonts w:ascii="Book Antiqua" w:hAnsi="Book Antiqua" w:cs="Arial"/>
        </w:rPr>
        <w:t>which allows patients and parents to answer questions about disease course,</w:t>
      </w:r>
      <w:r w:rsidR="009537DF" w:rsidRPr="00E84B3F">
        <w:rPr>
          <w:rFonts w:ascii="Book Antiqua" w:hAnsi="Book Antiqua" w:cs="Arial"/>
        </w:rPr>
        <w:t xml:space="preserve"> medical and treatment history.  Both TRAQ and </w:t>
      </w:r>
      <w:proofErr w:type="spellStart"/>
      <w:r w:rsidR="009537DF" w:rsidRPr="00E84B3F">
        <w:rPr>
          <w:rFonts w:ascii="Book Antiqua" w:hAnsi="Book Antiqua" w:cs="Arial"/>
        </w:rPr>
        <w:t>MyHealth</w:t>
      </w:r>
      <w:proofErr w:type="spellEnd"/>
      <w:r w:rsidR="009537DF" w:rsidRPr="00E84B3F">
        <w:rPr>
          <w:rFonts w:ascii="Book Antiqua" w:hAnsi="Book Antiqua" w:cs="Arial"/>
        </w:rPr>
        <w:t xml:space="preserve"> Passport for IBD are available online for download and can be utilized in clinic and provided to all patients.</w:t>
      </w:r>
    </w:p>
    <w:p w:rsidR="00DC51A3" w:rsidRPr="00E84B3F" w:rsidRDefault="00FB79DF" w:rsidP="00633765">
      <w:pPr>
        <w:spacing w:line="360" w:lineRule="auto"/>
        <w:ind w:firstLineChars="100" w:firstLine="240"/>
        <w:jc w:val="both"/>
        <w:rPr>
          <w:rFonts w:ascii="Book Antiqua" w:hAnsi="Book Antiqua" w:cs="Arial"/>
        </w:rPr>
      </w:pPr>
      <w:proofErr w:type="spellStart"/>
      <w:r w:rsidRPr="00E84B3F">
        <w:rPr>
          <w:rFonts w:ascii="Book Antiqua" w:hAnsi="Book Antiqua" w:cs="Arial"/>
        </w:rPr>
        <w:t>Moris</w:t>
      </w:r>
      <w:r w:rsidR="00EC6EC6" w:rsidRPr="00E84B3F">
        <w:rPr>
          <w:rFonts w:ascii="Book Antiqua" w:hAnsi="Book Antiqua" w:cs="Arial"/>
        </w:rPr>
        <w:t>ky</w:t>
      </w:r>
      <w:proofErr w:type="spellEnd"/>
      <w:r w:rsidR="00E5312B">
        <w:rPr>
          <w:rFonts w:ascii="Book Antiqua" w:eastAsia="SimSun" w:hAnsi="Book Antiqua" w:cs="Arial"/>
          <w:lang w:eastAsia="zh-CN"/>
        </w:rPr>
        <w:t xml:space="preserve"> </w:t>
      </w:r>
      <w:r w:rsidR="00E5312B" w:rsidRPr="00E5312B">
        <w:rPr>
          <w:rFonts w:ascii="Book Antiqua" w:eastAsia="SimSun" w:hAnsi="Book Antiqua" w:cs="Arial"/>
          <w:i/>
          <w:lang w:eastAsia="zh-CN"/>
        </w:rPr>
        <w:t xml:space="preserve">et </w:t>
      </w:r>
      <w:proofErr w:type="gramStart"/>
      <w:r w:rsidR="00E5312B" w:rsidRPr="00E5312B">
        <w:rPr>
          <w:rFonts w:ascii="Book Antiqua" w:eastAsia="SimSun" w:hAnsi="Book Antiqua" w:cs="Arial"/>
          <w:i/>
          <w:lang w:eastAsia="zh-CN"/>
        </w:rPr>
        <w:t>al</w:t>
      </w:r>
      <w:r w:rsidR="00E5312B" w:rsidRPr="00E84B3F">
        <w:rPr>
          <w:rFonts w:ascii="Book Antiqua" w:hAnsi="Book Antiqua" w:cs="Arial"/>
          <w:vertAlign w:val="superscript"/>
        </w:rPr>
        <w:t>[</w:t>
      </w:r>
      <w:proofErr w:type="gramEnd"/>
      <w:r w:rsidR="00E5312B" w:rsidRPr="00E84B3F">
        <w:rPr>
          <w:rFonts w:ascii="Book Antiqua" w:hAnsi="Book Antiqua" w:cs="Arial"/>
          <w:vertAlign w:val="superscript"/>
        </w:rPr>
        <w:t>27]</w:t>
      </w:r>
      <w:r w:rsidRPr="00E84B3F">
        <w:rPr>
          <w:rFonts w:ascii="Book Antiqua" w:hAnsi="Book Antiqua" w:cs="Arial"/>
        </w:rPr>
        <w:t xml:space="preserve"> </w:t>
      </w:r>
      <w:r w:rsidR="00E5312B" w:rsidRPr="00E84B3F">
        <w:rPr>
          <w:rFonts w:ascii="Book Antiqua" w:hAnsi="Book Antiqua" w:cs="Arial"/>
        </w:rPr>
        <w:t xml:space="preserve">adherence </w:t>
      </w:r>
      <w:r w:rsidRPr="00E84B3F">
        <w:rPr>
          <w:rFonts w:ascii="Book Antiqua" w:hAnsi="Book Antiqua" w:cs="Arial"/>
        </w:rPr>
        <w:t>Scale</w:t>
      </w:r>
      <w:r w:rsidR="00E5312B">
        <w:rPr>
          <w:rFonts w:ascii="Book Antiqua" w:eastAsia="SimSun" w:hAnsi="Book Antiqua" w:cs="Arial" w:hint="eastAsia"/>
          <w:vertAlign w:val="superscript"/>
          <w:lang w:eastAsia="zh-CN"/>
        </w:rPr>
        <w:t xml:space="preserve"> </w:t>
      </w:r>
      <w:r w:rsidR="00EC6EC6" w:rsidRPr="00E84B3F">
        <w:rPr>
          <w:rFonts w:ascii="Book Antiqua" w:hAnsi="Book Antiqua" w:cs="Arial"/>
        </w:rPr>
        <w:t>may also be used as a clinical instrument tool to identify patients with</w:t>
      </w:r>
      <w:r w:rsidR="00E5312B">
        <w:rPr>
          <w:rFonts w:ascii="Book Antiqua" w:hAnsi="Book Antiqua" w:cs="Arial"/>
        </w:rPr>
        <w:t xml:space="preserve"> potential adherence problems. </w:t>
      </w:r>
      <w:r w:rsidR="00EC6EC6" w:rsidRPr="00E84B3F">
        <w:rPr>
          <w:rFonts w:ascii="Book Antiqua" w:hAnsi="Book Antiqua" w:cs="Arial"/>
        </w:rPr>
        <w:t xml:space="preserve">It </w:t>
      </w:r>
      <w:proofErr w:type="gramStart"/>
      <w:r w:rsidR="00EC6EC6" w:rsidRPr="00E84B3F">
        <w:rPr>
          <w:rFonts w:ascii="Book Antiqua" w:hAnsi="Book Antiqua" w:cs="Arial"/>
        </w:rPr>
        <w:t>can be used</w:t>
      </w:r>
      <w:proofErr w:type="gramEnd"/>
      <w:r w:rsidR="00EC6EC6" w:rsidRPr="00E84B3F">
        <w:rPr>
          <w:rFonts w:ascii="Book Antiqua" w:hAnsi="Book Antiqua" w:cs="Arial"/>
        </w:rPr>
        <w:t xml:space="preserve"> to monitor treatment adherence once therapies are initiated, as well as identify or address any potential adherence problems early and guide health care providers to provide reinforcement and clini</w:t>
      </w:r>
      <w:r w:rsidR="009537DF" w:rsidRPr="00E84B3F">
        <w:rPr>
          <w:rFonts w:ascii="Book Antiqua" w:hAnsi="Book Antiqua" w:cs="Arial"/>
        </w:rPr>
        <w:t>cal advice for better outcomes.</w:t>
      </w:r>
    </w:p>
    <w:p w:rsidR="00FB79DF" w:rsidRPr="00E84B3F" w:rsidRDefault="00FB79DF" w:rsidP="00633765">
      <w:pPr>
        <w:spacing w:line="360" w:lineRule="auto"/>
        <w:ind w:firstLineChars="100" w:firstLine="240"/>
        <w:jc w:val="both"/>
        <w:rPr>
          <w:rFonts w:ascii="Book Antiqua" w:hAnsi="Book Antiqua" w:cs="Arial"/>
        </w:rPr>
      </w:pPr>
      <w:r w:rsidRPr="00E84B3F">
        <w:rPr>
          <w:rFonts w:ascii="Book Antiqua" w:hAnsi="Book Antiqua" w:cs="Arial"/>
        </w:rPr>
        <w:t xml:space="preserve">Seattle Children’s Hospital </w:t>
      </w:r>
      <w:r w:rsidR="00362370" w:rsidRPr="00E84B3F">
        <w:rPr>
          <w:rFonts w:ascii="Book Antiqua" w:hAnsi="Book Antiqua" w:cs="Arial"/>
        </w:rPr>
        <w:t>Inflammatory Bowel Disease Center</w:t>
      </w:r>
      <w:r w:rsidRPr="00E84B3F">
        <w:rPr>
          <w:rFonts w:ascii="Book Antiqua" w:hAnsi="Book Antiqua" w:cs="Arial"/>
        </w:rPr>
        <w:t xml:space="preserve"> recently</w:t>
      </w:r>
      <w:r w:rsidR="00EC6EC6" w:rsidRPr="00E84B3F">
        <w:rPr>
          <w:rFonts w:ascii="Book Antiqua" w:hAnsi="Book Antiqua" w:cs="Arial"/>
        </w:rPr>
        <w:t xml:space="preserve"> developed a readiness tool for the Pediatric-to-Adult IBD Transition Clinic</w:t>
      </w:r>
      <w:r w:rsidR="00453696" w:rsidRPr="00E84B3F">
        <w:rPr>
          <w:rFonts w:ascii="Book Antiqua" w:hAnsi="Book Antiqua" w:cs="Arial"/>
        </w:rPr>
        <w:t xml:space="preserve">.  </w:t>
      </w:r>
      <w:r w:rsidR="00362370" w:rsidRPr="00E84B3F">
        <w:rPr>
          <w:rFonts w:ascii="Book Antiqua" w:hAnsi="Book Antiqua" w:cs="Arial"/>
        </w:rPr>
        <w:t xml:space="preserve">This form is available through the electronic medical record system and </w:t>
      </w:r>
      <w:proofErr w:type="gramStart"/>
      <w:r w:rsidR="00362370" w:rsidRPr="00E84B3F">
        <w:rPr>
          <w:rFonts w:ascii="Book Antiqua" w:hAnsi="Book Antiqua" w:cs="Arial"/>
        </w:rPr>
        <w:t>can be printed out</w:t>
      </w:r>
      <w:proofErr w:type="gramEnd"/>
      <w:r w:rsidR="00362370" w:rsidRPr="00E84B3F">
        <w:rPr>
          <w:rFonts w:ascii="Book Antiqua" w:hAnsi="Book Antiqua" w:cs="Arial"/>
        </w:rPr>
        <w:t xml:space="preserve"> at the time of the </w:t>
      </w:r>
      <w:r w:rsidR="00453696" w:rsidRPr="00E84B3F">
        <w:rPr>
          <w:rFonts w:ascii="Book Antiqua" w:hAnsi="Book Antiqua" w:cs="Arial"/>
        </w:rPr>
        <w:t xml:space="preserve">clinic </w:t>
      </w:r>
      <w:r w:rsidR="00362370" w:rsidRPr="00E84B3F">
        <w:rPr>
          <w:rFonts w:ascii="Book Antiqua" w:hAnsi="Book Antiqua" w:cs="Arial"/>
        </w:rPr>
        <w:t xml:space="preserve">encounter. The form contains separate age appropriate lists of questions to the </w:t>
      </w:r>
      <w:r w:rsidR="00362370" w:rsidRPr="00E84B3F">
        <w:rPr>
          <w:rFonts w:ascii="Book Antiqua" w:hAnsi="Book Antiqua" w:cs="Arial"/>
        </w:rPr>
        <w:lastRenderedPageBreak/>
        <w:t xml:space="preserve">adolescent patient, </w:t>
      </w:r>
      <w:proofErr w:type="gramStart"/>
      <w:r w:rsidR="00362370" w:rsidRPr="00E84B3F">
        <w:rPr>
          <w:rFonts w:ascii="Book Antiqua" w:hAnsi="Book Antiqua" w:cs="Arial"/>
        </w:rPr>
        <w:t>all pertaining</w:t>
      </w:r>
      <w:proofErr w:type="gramEnd"/>
      <w:r w:rsidR="00362370" w:rsidRPr="00E84B3F">
        <w:rPr>
          <w:rFonts w:ascii="Book Antiqua" w:hAnsi="Book Antiqua" w:cs="Arial"/>
        </w:rPr>
        <w:t xml:space="preserve"> to their diagnosis, treatment plan and gene</w:t>
      </w:r>
      <w:r w:rsidR="00453696" w:rsidRPr="00E84B3F">
        <w:rPr>
          <w:rFonts w:ascii="Book Antiqua" w:hAnsi="Book Antiqua" w:cs="Arial"/>
        </w:rPr>
        <w:t>r</w:t>
      </w:r>
      <w:r w:rsidR="00362370" w:rsidRPr="00E84B3F">
        <w:rPr>
          <w:rFonts w:ascii="Book Antiqua" w:hAnsi="Book Antiqua" w:cs="Arial"/>
        </w:rPr>
        <w:t>al knowledge about IBD</w:t>
      </w:r>
      <w:r w:rsidR="00F9416E" w:rsidRPr="00E84B3F">
        <w:rPr>
          <w:rFonts w:ascii="Book Antiqua" w:hAnsi="Book Antiqua" w:cs="Arial"/>
        </w:rPr>
        <w:t xml:space="preserve"> and patient’s</w:t>
      </w:r>
      <w:r w:rsidR="00453696" w:rsidRPr="00E84B3F">
        <w:rPr>
          <w:rFonts w:ascii="Book Antiqua" w:hAnsi="Book Antiqua" w:cs="Arial"/>
        </w:rPr>
        <w:t xml:space="preserve"> individual</w:t>
      </w:r>
      <w:r w:rsidR="00F9416E" w:rsidRPr="00E84B3F">
        <w:rPr>
          <w:rFonts w:ascii="Book Antiqua" w:hAnsi="Book Antiqua" w:cs="Arial"/>
        </w:rPr>
        <w:t xml:space="preserve"> health care access</w:t>
      </w:r>
      <w:r w:rsidR="00362370" w:rsidRPr="00E84B3F">
        <w:rPr>
          <w:rFonts w:ascii="Book Antiqua" w:hAnsi="Book Antiqua" w:cs="Arial"/>
        </w:rPr>
        <w:t xml:space="preserve">. </w:t>
      </w:r>
      <w:r w:rsidR="00F9416E" w:rsidRPr="00E84B3F">
        <w:rPr>
          <w:rFonts w:ascii="Book Antiqua" w:hAnsi="Book Antiqua" w:cs="Arial"/>
        </w:rPr>
        <w:t xml:space="preserve"> The goal of the structured interaction between the IBD team member and the patient is to emphasize the importance of knowing these answers firsthand and prepares the patient for the next age appropriate list of questions on future visits. </w:t>
      </w:r>
    </w:p>
    <w:p w:rsidR="00EC6EC6" w:rsidRPr="00E84B3F" w:rsidRDefault="00EC6EC6" w:rsidP="00633765">
      <w:pPr>
        <w:spacing w:line="360" w:lineRule="auto"/>
        <w:ind w:firstLineChars="100" w:firstLine="240"/>
        <w:jc w:val="both"/>
        <w:rPr>
          <w:rFonts w:ascii="Book Antiqua" w:hAnsi="Book Antiqua" w:cs="Arial"/>
        </w:rPr>
      </w:pPr>
      <w:r w:rsidRPr="00E84B3F">
        <w:rPr>
          <w:rFonts w:ascii="Book Antiqua" w:hAnsi="Book Antiqua" w:cs="Arial"/>
        </w:rPr>
        <w:t xml:space="preserve">Lastly, the PHQ-9 Depression Screening </w:t>
      </w:r>
      <w:proofErr w:type="gramStart"/>
      <w:r w:rsidRPr="00E84B3F">
        <w:rPr>
          <w:rFonts w:ascii="Book Antiqua" w:hAnsi="Book Antiqua" w:cs="Arial"/>
        </w:rPr>
        <w:t>Tool</w:t>
      </w:r>
      <w:r w:rsidR="009537DF" w:rsidRPr="00E84B3F">
        <w:rPr>
          <w:rFonts w:ascii="Book Antiqua" w:hAnsi="Book Antiqua" w:cs="Arial"/>
          <w:vertAlign w:val="superscript"/>
        </w:rPr>
        <w:t>[</w:t>
      </w:r>
      <w:proofErr w:type="gramEnd"/>
      <w:r w:rsidR="00453696" w:rsidRPr="00E84B3F">
        <w:rPr>
          <w:rFonts w:ascii="Book Antiqua" w:hAnsi="Book Antiqua" w:cs="Arial"/>
          <w:vertAlign w:val="superscript"/>
        </w:rPr>
        <w:t>28</w:t>
      </w:r>
      <w:r w:rsidR="009537DF" w:rsidRPr="00E84B3F">
        <w:rPr>
          <w:rFonts w:ascii="Book Antiqua" w:hAnsi="Book Antiqua" w:cs="Arial"/>
          <w:vertAlign w:val="superscript"/>
        </w:rPr>
        <w:t>]</w:t>
      </w:r>
      <w:r w:rsidRPr="00E84B3F">
        <w:rPr>
          <w:rFonts w:ascii="Book Antiqua" w:hAnsi="Book Antiqua" w:cs="Arial"/>
        </w:rPr>
        <w:t xml:space="preserve"> is also another useful </w:t>
      </w:r>
      <w:r w:rsidR="00FF3654" w:rsidRPr="00E84B3F">
        <w:rPr>
          <w:rFonts w:ascii="Book Antiqua" w:hAnsi="Book Antiqua" w:cs="Arial"/>
        </w:rPr>
        <w:t>instrument that</w:t>
      </w:r>
      <w:r w:rsidRPr="00E84B3F">
        <w:rPr>
          <w:rFonts w:ascii="Book Antiqua" w:hAnsi="Book Antiqua" w:cs="Arial"/>
        </w:rPr>
        <w:t xml:space="preserve"> has incorporated the DSM-IV diagnostic criteria for depression and can be applied in clinic along with the transition readiness and adherence tools.  Based on the </w:t>
      </w:r>
      <w:r w:rsidR="003D550B" w:rsidRPr="00E84B3F">
        <w:rPr>
          <w:rFonts w:ascii="Book Antiqua" w:hAnsi="Book Antiqua" w:cs="Arial"/>
        </w:rPr>
        <w:t>severity score</w:t>
      </w:r>
      <w:r w:rsidRPr="00E84B3F">
        <w:rPr>
          <w:rFonts w:ascii="Book Antiqua" w:hAnsi="Book Antiqua" w:cs="Arial"/>
        </w:rPr>
        <w:t>, treatment recommendations and appropriateness for anti-depressants, psychotherapy or su</w:t>
      </w:r>
      <w:r w:rsidR="009537DF" w:rsidRPr="00E84B3F">
        <w:rPr>
          <w:rFonts w:ascii="Book Antiqua" w:hAnsi="Book Antiqua" w:cs="Arial"/>
        </w:rPr>
        <w:t xml:space="preserve">pport alone </w:t>
      </w:r>
      <w:proofErr w:type="gramStart"/>
      <w:r w:rsidR="009537DF" w:rsidRPr="00E84B3F">
        <w:rPr>
          <w:rFonts w:ascii="Book Antiqua" w:hAnsi="Book Antiqua" w:cs="Arial"/>
        </w:rPr>
        <w:t>can be considered</w:t>
      </w:r>
      <w:proofErr w:type="gramEnd"/>
      <w:r w:rsidR="009537DF" w:rsidRPr="00E84B3F">
        <w:rPr>
          <w:rFonts w:ascii="Book Antiqua" w:hAnsi="Book Antiqua" w:cs="Arial"/>
        </w:rPr>
        <w:t>.</w:t>
      </w:r>
    </w:p>
    <w:p w:rsidR="00896380" w:rsidRPr="00E84B3F" w:rsidRDefault="00FB79DF" w:rsidP="00633765">
      <w:pPr>
        <w:spacing w:line="360" w:lineRule="auto"/>
        <w:ind w:firstLineChars="100" w:firstLine="240"/>
        <w:jc w:val="both"/>
        <w:rPr>
          <w:rFonts w:ascii="Book Antiqua" w:hAnsi="Book Antiqua" w:cs="Arial"/>
        </w:rPr>
      </w:pPr>
      <w:r w:rsidRPr="00E84B3F">
        <w:rPr>
          <w:rFonts w:ascii="Book Antiqua" w:hAnsi="Book Antiqua" w:cs="Arial"/>
        </w:rPr>
        <w:t xml:space="preserve">The transition of care </w:t>
      </w:r>
      <w:proofErr w:type="gramStart"/>
      <w:r w:rsidRPr="00E84B3F">
        <w:rPr>
          <w:rFonts w:ascii="Book Antiqua" w:hAnsi="Book Antiqua" w:cs="Arial"/>
        </w:rPr>
        <w:t xml:space="preserve">is usually </w:t>
      </w:r>
      <w:r w:rsidR="00896380" w:rsidRPr="00E84B3F">
        <w:rPr>
          <w:rFonts w:ascii="Book Antiqua" w:hAnsi="Book Antiqua" w:cs="Arial"/>
        </w:rPr>
        <w:t>undertaken</w:t>
      </w:r>
      <w:proofErr w:type="gramEnd"/>
      <w:r w:rsidR="00896380" w:rsidRPr="00E84B3F">
        <w:rPr>
          <w:rFonts w:ascii="Book Antiqua" w:hAnsi="Book Antiqua" w:cs="Arial"/>
        </w:rPr>
        <w:t xml:space="preserve"> </w:t>
      </w:r>
      <w:r w:rsidR="008E598A" w:rsidRPr="00E84B3F">
        <w:rPr>
          <w:rFonts w:ascii="Book Antiqua" w:hAnsi="Book Antiqua" w:cs="Arial"/>
        </w:rPr>
        <w:t xml:space="preserve">after </w:t>
      </w:r>
      <w:r w:rsidR="00552163" w:rsidRPr="00E84B3F">
        <w:rPr>
          <w:rFonts w:ascii="Book Antiqua" w:hAnsi="Book Antiqua" w:cs="Arial"/>
        </w:rPr>
        <w:t xml:space="preserve">completion of the developmental milestones </w:t>
      </w:r>
      <w:r w:rsidR="008E598A" w:rsidRPr="00E84B3F">
        <w:rPr>
          <w:rFonts w:ascii="Book Antiqua" w:hAnsi="Book Antiqua" w:cs="Arial"/>
        </w:rPr>
        <w:t xml:space="preserve">and appropriate assessment for readiness of the </w:t>
      </w:r>
      <w:r w:rsidR="00552163" w:rsidRPr="00E84B3F">
        <w:rPr>
          <w:rFonts w:ascii="Book Antiqua" w:hAnsi="Book Antiqua" w:cs="Arial"/>
        </w:rPr>
        <w:t>adolescent</w:t>
      </w:r>
      <w:r w:rsidR="008E598A" w:rsidRPr="00E84B3F">
        <w:rPr>
          <w:rFonts w:ascii="Book Antiqua" w:hAnsi="Book Antiqua" w:cs="Arial"/>
        </w:rPr>
        <w:t>.  This is</w:t>
      </w:r>
      <w:r w:rsidR="00552163" w:rsidRPr="00E84B3F">
        <w:rPr>
          <w:rFonts w:ascii="Book Antiqua" w:hAnsi="Book Antiqua" w:cs="Arial"/>
        </w:rPr>
        <w:t xml:space="preserve"> usually a tran</w:t>
      </w:r>
      <w:r w:rsidR="00E5312B">
        <w:rPr>
          <w:rFonts w:ascii="Book Antiqua" w:hAnsi="Book Antiqua" w:cs="Arial"/>
        </w:rPr>
        <w:t xml:space="preserve">sition target age of 18 or 19. </w:t>
      </w:r>
      <w:r w:rsidR="00552163" w:rsidRPr="00E84B3F">
        <w:rPr>
          <w:rFonts w:ascii="Book Antiqua" w:hAnsi="Book Antiqua" w:cs="Arial"/>
        </w:rPr>
        <w:t xml:space="preserve">The transition of care is not usually recommended when the </w:t>
      </w:r>
      <w:r w:rsidR="008E598A" w:rsidRPr="00E84B3F">
        <w:rPr>
          <w:rFonts w:ascii="Book Antiqua" w:hAnsi="Book Antiqua" w:cs="Arial"/>
        </w:rPr>
        <w:t xml:space="preserve">adolescent </w:t>
      </w:r>
      <w:r w:rsidR="00552163" w:rsidRPr="00E84B3F">
        <w:rPr>
          <w:rFonts w:ascii="Book Antiqua" w:hAnsi="Book Antiqua" w:cs="Arial"/>
        </w:rPr>
        <w:t>is hospitalized or with acute bowel disease flare, but rather when the young adult is able to manage his or her disease largely independent of caregivers and professional staff</w:t>
      </w:r>
      <w:r w:rsidR="00EC6EC6" w:rsidRPr="00E84B3F">
        <w:rPr>
          <w:rFonts w:ascii="Book Antiqua" w:hAnsi="Book Antiqua" w:cs="Arial"/>
        </w:rPr>
        <w:t>, and is overall at baseline or stable with their disease and current treatment or management of disease.</w:t>
      </w:r>
      <w:r w:rsidR="005842A1" w:rsidRPr="00E84B3F">
        <w:rPr>
          <w:rFonts w:ascii="Book Antiqua" w:hAnsi="Book Antiqua" w:cs="Arial"/>
        </w:rPr>
        <w:t xml:space="preserve">  Certainly, there are exceptions to this particularly when the EAI has medical refractory disease and warrants special consideration such as enrollment into a clinical trial or options of treatment not yet FDA-approved for pediatric patients.  </w:t>
      </w:r>
      <w:proofErr w:type="spellStart"/>
      <w:r w:rsidR="00DF31B3" w:rsidRPr="00E84B3F">
        <w:rPr>
          <w:rFonts w:ascii="Book Antiqua" w:hAnsi="Book Antiqua" w:cs="Arial"/>
        </w:rPr>
        <w:t>Hait</w:t>
      </w:r>
      <w:proofErr w:type="spellEnd"/>
      <w:r w:rsidR="00DF31B3" w:rsidRPr="00E84B3F">
        <w:rPr>
          <w:rFonts w:ascii="Book Antiqua" w:hAnsi="Book Antiqua" w:cs="Arial"/>
        </w:rPr>
        <w:t xml:space="preserve"> and </w:t>
      </w:r>
      <w:proofErr w:type="spellStart"/>
      <w:r w:rsidR="00DF31B3" w:rsidRPr="00E84B3F">
        <w:rPr>
          <w:rFonts w:ascii="Book Antiqua" w:hAnsi="Book Antiqua" w:cs="Arial"/>
        </w:rPr>
        <w:t>colleaguesdescribe</w:t>
      </w:r>
      <w:proofErr w:type="spellEnd"/>
      <w:r w:rsidR="00DF31B3" w:rsidRPr="00E84B3F">
        <w:rPr>
          <w:rFonts w:ascii="Book Antiqua" w:hAnsi="Book Antiqua" w:cs="Arial"/>
        </w:rPr>
        <w:t xml:space="preserve"> a suggested timeline, noting that this process is not a “rigid protocol” but rather a process that requires tailoring based on the developmental abilities of the adolescent and is more based on emotional and cognitive maturity and competency as opposed to chronological age alone</w:t>
      </w:r>
      <w:bookmarkStart w:id="32" w:name="37"/>
      <w:bookmarkEnd w:id="32"/>
      <w:r w:rsidR="00BF4931" w:rsidRPr="00E84B3F">
        <w:rPr>
          <w:rFonts w:ascii="Book Antiqua" w:hAnsi="Book Antiqua" w:cs="Arial"/>
          <w:vertAlign w:val="superscript"/>
        </w:rPr>
        <w:t>[29]</w:t>
      </w:r>
      <w:r w:rsidR="009537DF" w:rsidRPr="00E84B3F">
        <w:rPr>
          <w:rFonts w:ascii="Book Antiqua" w:hAnsi="Book Antiqua" w:cs="Arial"/>
        </w:rPr>
        <w:t>.</w:t>
      </w:r>
    </w:p>
    <w:p w:rsidR="00FB79DF" w:rsidRPr="00E5312B" w:rsidRDefault="00FB79DF" w:rsidP="00633765">
      <w:pPr>
        <w:spacing w:line="360" w:lineRule="auto"/>
        <w:jc w:val="both"/>
        <w:rPr>
          <w:rFonts w:ascii="Book Antiqua" w:eastAsia="SimSun" w:hAnsi="Book Antiqua" w:cs="Arial"/>
          <w:lang w:eastAsia="zh-CN"/>
        </w:rPr>
      </w:pPr>
    </w:p>
    <w:p w:rsidR="00BF4931" w:rsidRPr="00E5312B" w:rsidRDefault="00E5312B" w:rsidP="00633765">
      <w:pPr>
        <w:spacing w:line="360" w:lineRule="auto"/>
        <w:jc w:val="both"/>
        <w:rPr>
          <w:rFonts w:ascii="Book Antiqua" w:eastAsia="SimSun" w:hAnsi="Book Antiqua" w:cs="Arial"/>
          <w:lang w:eastAsia="zh-CN"/>
        </w:rPr>
      </w:pPr>
      <w:r w:rsidRPr="00E84B3F">
        <w:rPr>
          <w:rFonts w:ascii="Book Antiqua" w:hAnsi="Book Antiqua" w:cs="Arial"/>
          <w:b/>
        </w:rPr>
        <w:t xml:space="preserve">IDENTIFICATION OF KEY PLAYERS OR STAKEHOLDERS IN THE TRANSITION OF CARE </w:t>
      </w:r>
    </w:p>
    <w:p w:rsidR="00BF4931" w:rsidRPr="00E84B3F" w:rsidRDefault="001C1A6B" w:rsidP="00633765">
      <w:pPr>
        <w:spacing w:line="360" w:lineRule="auto"/>
        <w:jc w:val="both"/>
        <w:rPr>
          <w:rFonts w:ascii="Book Antiqua" w:hAnsi="Book Antiqua" w:cs="Arial"/>
        </w:rPr>
      </w:pPr>
      <w:r w:rsidRPr="00E84B3F">
        <w:rPr>
          <w:rFonts w:ascii="Book Antiqua" w:hAnsi="Book Antiqua" w:cs="Arial"/>
        </w:rPr>
        <w:t xml:space="preserve">The transition </w:t>
      </w:r>
      <w:r w:rsidR="00BF4931" w:rsidRPr="00E84B3F">
        <w:rPr>
          <w:rFonts w:ascii="Book Antiqua" w:hAnsi="Book Antiqua" w:cs="Arial"/>
        </w:rPr>
        <w:t xml:space="preserve">of care </w:t>
      </w:r>
      <w:r w:rsidRPr="00E84B3F">
        <w:rPr>
          <w:rFonts w:ascii="Book Antiqua" w:hAnsi="Book Antiqua" w:cs="Arial"/>
        </w:rPr>
        <w:t>involves multiple stakeholders in</w:t>
      </w:r>
      <w:r w:rsidRPr="00633765">
        <w:rPr>
          <w:rFonts w:ascii="Book Antiqua" w:hAnsi="Book Antiqua" w:cs="Arial"/>
        </w:rPr>
        <w:t xml:space="preserve">vested in their respective </w:t>
      </w:r>
      <w:r w:rsidR="003F5789" w:rsidRPr="00633765">
        <w:rPr>
          <w:rFonts w:ascii="Book Antiqua" w:hAnsi="Book Antiqua" w:cs="Arial"/>
        </w:rPr>
        <w:t xml:space="preserve">roles </w:t>
      </w:r>
      <w:r w:rsidRPr="00633765">
        <w:rPr>
          <w:rFonts w:ascii="Book Antiqua" w:hAnsi="Book Antiqua" w:cs="Arial"/>
        </w:rPr>
        <w:t>in a sea</w:t>
      </w:r>
      <w:r w:rsidR="003F5991" w:rsidRPr="00633765">
        <w:rPr>
          <w:rFonts w:ascii="Book Antiqua" w:hAnsi="Book Antiqua" w:cs="Arial"/>
        </w:rPr>
        <w:t>mless continuation of the adoles</w:t>
      </w:r>
      <w:r w:rsidRPr="00633765">
        <w:rPr>
          <w:rFonts w:ascii="Book Antiqua" w:hAnsi="Book Antiqua" w:cs="Arial"/>
        </w:rPr>
        <w:t xml:space="preserve">cent’s health care </w:t>
      </w:r>
      <w:r w:rsidR="00E5312B" w:rsidRPr="00633765">
        <w:rPr>
          <w:rFonts w:ascii="Book Antiqua" w:eastAsia="SimSun" w:hAnsi="Book Antiqua" w:cs="Arial" w:hint="eastAsia"/>
          <w:lang w:eastAsia="zh-CN"/>
        </w:rPr>
        <w:t>(</w:t>
      </w:r>
      <w:r w:rsidR="00BF4931" w:rsidRPr="00633765">
        <w:rPr>
          <w:rFonts w:ascii="Book Antiqua" w:hAnsi="Book Antiqua" w:cs="Arial"/>
        </w:rPr>
        <w:t xml:space="preserve">Figure </w:t>
      </w:r>
      <w:r w:rsidR="00B265AD" w:rsidRPr="00633765">
        <w:rPr>
          <w:rFonts w:ascii="Book Antiqua" w:eastAsia="SimSun" w:hAnsi="Book Antiqua" w:cs="Arial" w:hint="eastAsia"/>
          <w:lang w:eastAsia="zh-CN"/>
        </w:rPr>
        <w:t>1</w:t>
      </w:r>
      <w:r w:rsidR="00E5312B" w:rsidRPr="00633765">
        <w:rPr>
          <w:rFonts w:ascii="Book Antiqua" w:eastAsia="SimSun" w:hAnsi="Book Antiqua" w:cs="Arial" w:hint="eastAsia"/>
          <w:lang w:eastAsia="zh-CN"/>
        </w:rPr>
        <w:t>)</w:t>
      </w:r>
      <w:r w:rsidRPr="00633765">
        <w:rPr>
          <w:rFonts w:ascii="Book Antiqua" w:hAnsi="Book Antiqua" w:cs="Arial"/>
        </w:rPr>
        <w:t>. Recognizin</w:t>
      </w:r>
      <w:r w:rsidRPr="00E84B3F">
        <w:rPr>
          <w:rFonts w:ascii="Book Antiqua" w:hAnsi="Book Antiqua" w:cs="Arial"/>
        </w:rPr>
        <w:t xml:space="preserve">g the </w:t>
      </w:r>
      <w:r w:rsidRPr="00E84B3F">
        <w:rPr>
          <w:rFonts w:ascii="Book Antiqua" w:hAnsi="Book Antiqua" w:cs="Arial"/>
        </w:rPr>
        <w:lastRenderedPageBreak/>
        <w:t xml:space="preserve">important roles of the </w:t>
      </w:r>
      <w:r w:rsidR="00BF4931" w:rsidRPr="00E84B3F">
        <w:rPr>
          <w:rFonts w:ascii="Book Antiqua" w:hAnsi="Book Antiqua" w:cs="Arial"/>
        </w:rPr>
        <w:t xml:space="preserve">key </w:t>
      </w:r>
      <w:proofErr w:type="spellStart"/>
      <w:r w:rsidR="00BF4931" w:rsidRPr="00E84B3F">
        <w:rPr>
          <w:rFonts w:ascii="Book Antiqua" w:hAnsi="Book Antiqua" w:cs="Arial"/>
        </w:rPr>
        <w:t>playersin</w:t>
      </w:r>
      <w:proofErr w:type="spellEnd"/>
      <w:r w:rsidR="00BF4931" w:rsidRPr="00E84B3F">
        <w:rPr>
          <w:rFonts w:ascii="Book Antiqua" w:hAnsi="Book Antiqua" w:cs="Arial"/>
        </w:rPr>
        <w:t xml:space="preserve"> this multidisciplinary team </w:t>
      </w:r>
      <w:r w:rsidRPr="00E84B3F">
        <w:rPr>
          <w:rFonts w:ascii="Book Antiqua" w:hAnsi="Book Antiqua" w:cs="Arial"/>
        </w:rPr>
        <w:t>and enhancing timely communication between them is essential.</w:t>
      </w:r>
    </w:p>
    <w:p w:rsidR="00442E38" w:rsidRPr="00E5312B" w:rsidRDefault="00442E38" w:rsidP="00633765">
      <w:pPr>
        <w:spacing w:line="360" w:lineRule="auto"/>
        <w:jc w:val="both"/>
        <w:rPr>
          <w:rFonts w:ascii="Book Antiqua" w:eastAsia="SimSun" w:hAnsi="Book Antiqua" w:cs="Arial"/>
          <w:b/>
          <w:lang w:eastAsia="zh-CN"/>
        </w:rPr>
      </w:pPr>
    </w:p>
    <w:p w:rsidR="00896380" w:rsidRPr="00E5312B" w:rsidRDefault="00E5312B" w:rsidP="00633765">
      <w:pPr>
        <w:spacing w:line="360" w:lineRule="auto"/>
        <w:jc w:val="both"/>
        <w:rPr>
          <w:rFonts w:ascii="Book Antiqua" w:eastAsia="SimSun" w:hAnsi="Book Antiqua" w:cs="Arial"/>
          <w:lang w:eastAsia="zh-CN"/>
        </w:rPr>
      </w:pPr>
      <w:r w:rsidRPr="00E84B3F">
        <w:rPr>
          <w:rFonts w:ascii="Book Antiqua" w:hAnsi="Book Antiqua" w:cs="Arial"/>
          <w:b/>
        </w:rPr>
        <w:t>GOALS AND BARRIERS IN THE PRACTICE FOR A SUCCESSFUL TRANSITION OF CARE</w:t>
      </w:r>
    </w:p>
    <w:p w:rsidR="00DF31B3" w:rsidRPr="00E5312B" w:rsidRDefault="00896380" w:rsidP="00633765">
      <w:pPr>
        <w:spacing w:line="360" w:lineRule="auto"/>
        <w:jc w:val="both"/>
        <w:rPr>
          <w:rFonts w:ascii="Book Antiqua" w:eastAsia="SimSun" w:hAnsi="Book Antiqua" w:cs="Arial"/>
          <w:lang w:eastAsia="zh-CN"/>
        </w:rPr>
      </w:pPr>
      <w:r w:rsidRPr="00E84B3F">
        <w:rPr>
          <w:rFonts w:ascii="Book Antiqua" w:hAnsi="Book Antiqua" w:cs="Arial"/>
        </w:rPr>
        <w:t xml:space="preserve">Escher </w:t>
      </w:r>
      <w:r w:rsidR="005842A1" w:rsidRPr="00E84B3F">
        <w:rPr>
          <w:rFonts w:ascii="Book Antiqua" w:hAnsi="Book Antiqua" w:cs="Arial"/>
        </w:rPr>
        <w:t xml:space="preserve">JC </w:t>
      </w:r>
      <w:r w:rsidRPr="00E84B3F">
        <w:rPr>
          <w:rFonts w:ascii="Book Antiqua" w:hAnsi="Book Antiqua" w:cs="Arial"/>
        </w:rPr>
        <w:t xml:space="preserve">identified three goals in the process of transition in IBD: “(1) to get the patient ready for transfer, having attained specific skills and knowledge; (2) to get the parents ready for transfer; </w:t>
      </w:r>
      <w:r w:rsidR="00E5312B">
        <w:rPr>
          <w:rFonts w:ascii="Book Antiqua" w:eastAsia="SimSun" w:hAnsi="Book Antiqua" w:cs="Arial" w:hint="eastAsia"/>
          <w:lang w:eastAsia="zh-CN"/>
        </w:rPr>
        <w:t xml:space="preserve">and </w:t>
      </w:r>
      <w:r w:rsidRPr="00E84B3F">
        <w:rPr>
          <w:rFonts w:ascii="Book Antiqua" w:hAnsi="Book Antiqua" w:cs="Arial"/>
        </w:rPr>
        <w:t>(3) to get the adult gastroenterologist ready and well i</w:t>
      </w:r>
      <w:r w:rsidR="00E5312B">
        <w:rPr>
          <w:rFonts w:ascii="Book Antiqua" w:hAnsi="Book Antiqua" w:cs="Arial"/>
        </w:rPr>
        <w:t>nformed at the time of transfer</w:t>
      </w:r>
      <w:r w:rsidRPr="00E84B3F">
        <w:rPr>
          <w:rFonts w:ascii="Book Antiqua" w:hAnsi="Book Antiqua" w:cs="Arial"/>
        </w:rPr>
        <w:t>”</w:t>
      </w:r>
      <w:r w:rsidR="009537DF" w:rsidRPr="00E84B3F">
        <w:rPr>
          <w:rFonts w:ascii="Book Antiqua" w:hAnsi="Book Antiqua" w:cs="Arial"/>
          <w:vertAlign w:val="superscript"/>
        </w:rPr>
        <w:t>[</w:t>
      </w:r>
      <w:r w:rsidR="00BF4931" w:rsidRPr="00E84B3F">
        <w:rPr>
          <w:rFonts w:ascii="Book Antiqua" w:hAnsi="Book Antiqua" w:cs="Arial"/>
          <w:vertAlign w:val="superscript"/>
        </w:rPr>
        <w:t>30</w:t>
      </w:r>
      <w:r w:rsidR="009537DF" w:rsidRPr="00E84B3F">
        <w:rPr>
          <w:rFonts w:ascii="Book Antiqua" w:hAnsi="Book Antiqua" w:cs="Arial"/>
          <w:vertAlign w:val="superscript"/>
        </w:rPr>
        <w:t>]</w:t>
      </w:r>
      <w:r w:rsidR="00E5312B">
        <w:rPr>
          <w:rFonts w:ascii="Book Antiqua" w:eastAsia="SimSun" w:hAnsi="Book Antiqua" w:cs="Arial" w:hint="eastAsia"/>
          <w:lang w:eastAsia="zh-CN"/>
        </w:rPr>
        <w:t>.</w:t>
      </w:r>
    </w:p>
    <w:p w:rsidR="00DF31B3" w:rsidRPr="00E84B3F" w:rsidRDefault="00DF31B3" w:rsidP="00633765">
      <w:pPr>
        <w:spacing w:line="360" w:lineRule="auto"/>
        <w:ind w:firstLineChars="100" w:firstLine="240"/>
        <w:jc w:val="both"/>
        <w:rPr>
          <w:rFonts w:ascii="Book Antiqua" w:hAnsi="Book Antiqua" w:cs="Arial"/>
        </w:rPr>
      </w:pPr>
      <w:proofErr w:type="gramStart"/>
      <w:r w:rsidRPr="00E84B3F">
        <w:rPr>
          <w:rFonts w:ascii="Book Antiqua" w:hAnsi="Book Antiqua" w:cs="Arial"/>
        </w:rPr>
        <w:t xml:space="preserve">The Social-ecological Model of Adolescent and Young Adult Readiness to Transition (SMART) developed </w:t>
      </w:r>
      <w:r w:rsidR="009537DF" w:rsidRPr="00E84B3F">
        <w:rPr>
          <w:rFonts w:ascii="Book Antiqua" w:hAnsi="Book Antiqua" w:cs="Arial"/>
        </w:rPr>
        <w:t xml:space="preserve">and validated </w:t>
      </w:r>
      <w:r w:rsidRPr="00E84B3F">
        <w:rPr>
          <w:rFonts w:ascii="Book Antiqua" w:hAnsi="Book Antiqua" w:cs="Arial"/>
        </w:rPr>
        <w:t>by Schwartz and colleagues</w:t>
      </w:r>
      <w:r w:rsidR="009537DF" w:rsidRPr="00E84B3F">
        <w:rPr>
          <w:rFonts w:ascii="Book Antiqua" w:hAnsi="Book Antiqua" w:cs="Arial"/>
          <w:vertAlign w:val="superscript"/>
        </w:rPr>
        <w:t>[</w:t>
      </w:r>
      <w:r w:rsidR="005C2DEB" w:rsidRPr="00E84B3F">
        <w:rPr>
          <w:rFonts w:ascii="Book Antiqua" w:hAnsi="Book Antiqua" w:cs="Arial"/>
          <w:vertAlign w:val="superscript"/>
        </w:rPr>
        <w:t>31,32</w:t>
      </w:r>
      <w:r w:rsidR="009537DF" w:rsidRPr="00E84B3F">
        <w:rPr>
          <w:rFonts w:ascii="Book Antiqua" w:hAnsi="Book Antiqua" w:cs="Arial"/>
          <w:vertAlign w:val="superscript"/>
        </w:rPr>
        <w:t>]</w:t>
      </w:r>
      <w:r w:rsidR="00E5312B">
        <w:rPr>
          <w:rFonts w:ascii="Book Antiqua" w:eastAsia="SimSun" w:hAnsi="Book Antiqua" w:cs="Arial" w:hint="eastAsia"/>
          <w:vertAlign w:val="superscript"/>
          <w:lang w:eastAsia="zh-CN"/>
        </w:rPr>
        <w:t xml:space="preserve"> </w:t>
      </w:r>
      <w:r w:rsidRPr="00E84B3F">
        <w:rPr>
          <w:rFonts w:ascii="Book Antiqua" w:hAnsi="Book Antiqua" w:cs="Arial"/>
        </w:rPr>
        <w:t xml:space="preserve">has identified seven major </w:t>
      </w:r>
      <w:r w:rsidR="00F1249E" w:rsidRPr="00E84B3F">
        <w:rPr>
          <w:rFonts w:ascii="Book Antiqua" w:hAnsi="Book Antiqua" w:cs="Arial"/>
        </w:rPr>
        <w:t xml:space="preserve">inter-related components of patients, parents and providers </w:t>
      </w:r>
      <w:r w:rsidR="00045E67" w:rsidRPr="00E84B3F">
        <w:rPr>
          <w:rFonts w:ascii="Book Antiqua" w:hAnsi="Book Antiqua" w:cs="Arial"/>
        </w:rPr>
        <w:t xml:space="preserve">which impacts </w:t>
      </w:r>
      <w:r w:rsidR="00F1249E" w:rsidRPr="00E84B3F">
        <w:rPr>
          <w:rFonts w:ascii="Book Antiqua" w:hAnsi="Book Antiqua" w:cs="Arial"/>
        </w:rPr>
        <w:t>transition read</w:t>
      </w:r>
      <w:r w:rsidR="00045E67" w:rsidRPr="00E84B3F">
        <w:rPr>
          <w:rFonts w:ascii="Book Antiqua" w:hAnsi="Book Antiqua" w:cs="Arial"/>
        </w:rPr>
        <w:t>i</w:t>
      </w:r>
      <w:r w:rsidR="00F1249E" w:rsidRPr="00E84B3F">
        <w:rPr>
          <w:rFonts w:ascii="Book Antiqua" w:hAnsi="Book Antiqua" w:cs="Arial"/>
        </w:rPr>
        <w:t xml:space="preserve">ness and potential targets of intervention </w:t>
      </w:r>
      <w:r w:rsidR="00045E67" w:rsidRPr="00E84B3F">
        <w:rPr>
          <w:rFonts w:ascii="Book Antiqua" w:hAnsi="Book Antiqua" w:cs="Arial"/>
        </w:rPr>
        <w:t>including</w:t>
      </w:r>
      <w:r w:rsidR="00F1249E" w:rsidRPr="00E84B3F">
        <w:rPr>
          <w:rFonts w:ascii="Book Antiqua" w:hAnsi="Book Antiqua" w:cs="Arial"/>
        </w:rPr>
        <w:t xml:space="preserve">: patient development, knowledge, skills/efficacy to managing health, </w:t>
      </w:r>
      <w:r w:rsidRPr="00E84B3F">
        <w:rPr>
          <w:rFonts w:ascii="Book Antiqua" w:hAnsi="Book Antiqua" w:cs="Arial"/>
        </w:rPr>
        <w:t>beliefs/expectations</w:t>
      </w:r>
      <w:r w:rsidR="00F1249E" w:rsidRPr="00E84B3F">
        <w:rPr>
          <w:rFonts w:ascii="Book Antiqua" w:hAnsi="Book Antiqua" w:cs="Arial"/>
        </w:rPr>
        <w:t xml:space="preserve"> of the transition process</w:t>
      </w:r>
      <w:r w:rsidRPr="00E84B3F">
        <w:rPr>
          <w:rFonts w:ascii="Book Antiqua" w:hAnsi="Book Antiqua" w:cs="Arial"/>
        </w:rPr>
        <w:t xml:space="preserve">, </w:t>
      </w:r>
      <w:r w:rsidR="00F1249E" w:rsidRPr="00E84B3F">
        <w:rPr>
          <w:rFonts w:ascii="Book Antiqua" w:hAnsi="Book Antiqua" w:cs="Arial"/>
        </w:rPr>
        <w:t xml:space="preserve">transition </w:t>
      </w:r>
      <w:r w:rsidRPr="00E84B3F">
        <w:rPr>
          <w:rFonts w:ascii="Book Antiqua" w:hAnsi="Book Antiqua" w:cs="Arial"/>
        </w:rPr>
        <w:t>goals</w:t>
      </w:r>
      <w:r w:rsidR="00F1249E" w:rsidRPr="00E84B3F">
        <w:rPr>
          <w:rFonts w:ascii="Book Antiqua" w:hAnsi="Book Antiqua" w:cs="Arial"/>
        </w:rPr>
        <w:t>, relationships among patients, parents and providers</w:t>
      </w:r>
      <w:r w:rsidRPr="00E84B3F">
        <w:rPr>
          <w:rFonts w:ascii="Book Antiqua" w:hAnsi="Book Antiqua" w:cs="Arial"/>
        </w:rPr>
        <w:t>,</w:t>
      </w:r>
      <w:r w:rsidR="00F1249E" w:rsidRPr="00E84B3F">
        <w:rPr>
          <w:rFonts w:ascii="Book Antiqua" w:hAnsi="Book Antiqua" w:cs="Arial"/>
        </w:rPr>
        <w:t xml:space="preserve"> and</w:t>
      </w:r>
      <w:r w:rsidRPr="00E84B3F">
        <w:rPr>
          <w:rFonts w:ascii="Book Antiqua" w:hAnsi="Book Antiqua" w:cs="Arial"/>
        </w:rPr>
        <w:t xml:space="preserve"> psychosocial functioning</w:t>
      </w:r>
      <w:r w:rsidR="00F1249E" w:rsidRPr="00E84B3F">
        <w:rPr>
          <w:rFonts w:ascii="Book Antiqua" w:hAnsi="Book Antiqua" w:cs="Arial"/>
        </w:rPr>
        <w:t xml:space="preserve"> regarding conditions and emotions related to the transition process;</w:t>
      </w:r>
      <w:r w:rsidRPr="00E84B3F">
        <w:rPr>
          <w:rFonts w:ascii="Book Antiqua" w:hAnsi="Book Antiqua" w:cs="Arial"/>
        </w:rPr>
        <w:t xml:space="preserve"> as well as </w:t>
      </w:r>
      <w:r w:rsidR="00F1249E" w:rsidRPr="00E84B3F">
        <w:rPr>
          <w:rFonts w:ascii="Book Antiqua" w:hAnsi="Book Antiqua" w:cs="Arial"/>
        </w:rPr>
        <w:t xml:space="preserve">pre-existing factors which are </w:t>
      </w:r>
      <w:r w:rsidRPr="00E84B3F">
        <w:rPr>
          <w:rFonts w:ascii="Book Antiqua" w:hAnsi="Book Antiqua" w:cs="Arial"/>
        </w:rPr>
        <w:t xml:space="preserve">less modifiable </w:t>
      </w:r>
      <w:r w:rsidR="00045E67" w:rsidRPr="00E84B3F">
        <w:rPr>
          <w:rFonts w:ascii="Book Antiqua" w:hAnsi="Book Antiqua" w:cs="Arial"/>
        </w:rPr>
        <w:t>but</w:t>
      </w:r>
      <w:r w:rsidR="00F1249E" w:rsidRPr="00E84B3F">
        <w:rPr>
          <w:rFonts w:ascii="Book Antiqua" w:hAnsi="Book Antiqua" w:cs="Arial"/>
        </w:rPr>
        <w:t xml:space="preserve"> may still influence </w:t>
      </w:r>
      <w:r w:rsidR="00045E67" w:rsidRPr="00E84B3F">
        <w:rPr>
          <w:rFonts w:ascii="Book Antiqua" w:hAnsi="Book Antiqua" w:cs="Arial"/>
        </w:rPr>
        <w:t xml:space="preserve">the </w:t>
      </w:r>
      <w:r w:rsidR="00F1249E" w:rsidRPr="00E84B3F">
        <w:rPr>
          <w:rFonts w:ascii="Book Antiqua" w:hAnsi="Book Antiqua" w:cs="Arial"/>
        </w:rPr>
        <w:t>transition process including socio-demogra</w:t>
      </w:r>
      <w:r w:rsidR="00045E67" w:rsidRPr="00E84B3F">
        <w:rPr>
          <w:rFonts w:ascii="Book Antiqua" w:hAnsi="Book Antiqua" w:cs="Arial"/>
        </w:rPr>
        <w:t>p</w:t>
      </w:r>
      <w:r w:rsidR="00F1249E" w:rsidRPr="00E84B3F">
        <w:rPr>
          <w:rFonts w:ascii="Book Antiqua" w:hAnsi="Book Antiqua" w:cs="Arial"/>
        </w:rPr>
        <w:t>hics/culture, i</w:t>
      </w:r>
      <w:r w:rsidR="00045E67" w:rsidRPr="00E84B3F">
        <w:rPr>
          <w:rFonts w:ascii="Book Antiqua" w:hAnsi="Book Antiqua" w:cs="Arial"/>
        </w:rPr>
        <w:t>nsurance/</w:t>
      </w:r>
      <w:r w:rsidRPr="00E84B3F">
        <w:rPr>
          <w:rFonts w:ascii="Book Antiqua" w:hAnsi="Book Antiqua" w:cs="Arial"/>
        </w:rPr>
        <w:t xml:space="preserve">access, </w:t>
      </w:r>
      <w:r w:rsidR="00F1249E" w:rsidRPr="00E84B3F">
        <w:rPr>
          <w:rFonts w:ascii="Book Antiqua" w:hAnsi="Book Antiqua" w:cs="Arial"/>
        </w:rPr>
        <w:t xml:space="preserve">health status, risks and problems due to complications of disease, and </w:t>
      </w:r>
      <w:proofErr w:type="spellStart"/>
      <w:r w:rsidRPr="00E84B3F">
        <w:rPr>
          <w:rFonts w:ascii="Book Antiqua" w:hAnsi="Book Antiqua" w:cs="Arial"/>
        </w:rPr>
        <w:t>neurocogni</w:t>
      </w:r>
      <w:r w:rsidR="00045E67" w:rsidRPr="00E84B3F">
        <w:rPr>
          <w:rFonts w:ascii="Book Antiqua" w:hAnsi="Book Antiqua" w:cs="Arial"/>
        </w:rPr>
        <w:t>tion</w:t>
      </w:r>
      <w:proofErr w:type="spellEnd"/>
      <w:r w:rsidR="00045E67" w:rsidRPr="00E84B3F">
        <w:rPr>
          <w:rFonts w:ascii="Book Antiqua" w:hAnsi="Book Antiqua" w:cs="Arial"/>
        </w:rPr>
        <w:t>/IQ.</w:t>
      </w:r>
      <w:proofErr w:type="gramEnd"/>
      <w:r w:rsidR="00045E67" w:rsidRPr="00E84B3F">
        <w:rPr>
          <w:rFonts w:ascii="Book Antiqua" w:hAnsi="Book Antiqua" w:cs="Arial"/>
        </w:rPr>
        <w:t xml:space="preserve"> These components are either barriers or facilitators of a successful transition of care and further </w:t>
      </w:r>
      <w:r w:rsidR="005F1153" w:rsidRPr="00E84B3F">
        <w:rPr>
          <w:rFonts w:ascii="Book Antiqua" w:hAnsi="Book Antiqua" w:cs="Arial"/>
        </w:rPr>
        <w:t>validated in</w:t>
      </w:r>
      <w:r w:rsidR="00045E67" w:rsidRPr="00E84B3F">
        <w:rPr>
          <w:rFonts w:ascii="Book Antiqua" w:hAnsi="Book Antiqua" w:cs="Arial"/>
        </w:rPr>
        <w:t xml:space="preserve"> a </w:t>
      </w:r>
      <w:proofErr w:type="spellStart"/>
      <w:r w:rsidR="00045E67" w:rsidRPr="00E84B3F">
        <w:rPr>
          <w:rFonts w:ascii="Book Antiqua" w:hAnsi="Book Antiqua" w:cs="Arial"/>
        </w:rPr>
        <w:t>different</w:t>
      </w:r>
      <w:r w:rsidR="00FF3654" w:rsidRPr="00E84B3F">
        <w:rPr>
          <w:rFonts w:ascii="Book Antiqua" w:hAnsi="Book Antiqua" w:cs="Arial"/>
        </w:rPr>
        <w:t>study</w:t>
      </w:r>
      <w:proofErr w:type="spellEnd"/>
      <w:r w:rsidR="00FF3654" w:rsidRPr="00E84B3F">
        <w:rPr>
          <w:rFonts w:ascii="Book Antiqua" w:hAnsi="Book Antiqua" w:cs="Arial"/>
        </w:rPr>
        <w:t xml:space="preserve"> that described that SMART components including patient developmental maturity, parental involvement and degree of provider support influenced the success of transition of care</w:t>
      </w:r>
      <w:r w:rsidR="00045E67" w:rsidRPr="00E84B3F">
        <w:rPr>
          <w:rFonts w:ascii="Book Antiqua" w:hAnsi="Book Antiqua" w:cs="Arial"/>
        </w:rPr>
        <w:t xml:space="preserve"> and </w:t>
      </w:r>
      <w:r w:rsidR="00FF3654" w:rsidRPr="00E84B3F">
        <w:rPr>
          <w:rFonts w:ascii="Book Antiqua" w:hAnsi="Book Antiqua" w:cs="Arial"/>
        </w:rPr>
        <w:t>outcomes that</w:t>
      </w:r>
      <w:r w:rsidR="005F1153" w:rsidRPr="00E84B3F">
        <w:rPr>
          <w:rFonts w:ascii="Book Antiqua" w:hAnsi="Book Antiqua" w:cs="Arial"/>
        </w:rPr>
        <w:t xml:space="preserve"> included healthcare utilization, health and quality of </w:t>
      </w:r>
      <w:proofErr w:type="gramStart"/>
      <w:r w:rsidR="009537DF" w:rsidRPr="00E84B3F">
        <w:rPr>
          <w:rFonts w:ascii="Book Antiqua" w:hAnsi="Book Antiqua" w:cs="Arial"/>
        </w:rPr>
        <w:t>life</w:t>
      </w:r>
      <w:r w:rsidR="009537DF" w:rsidRPr="00E84B3F">
        <w:rPr>
          <w:rFonts w:ascii="Book Antiqua" w:hAnsi="Book Antiqua" w:cs="Arial"/>
          <w:vertAlign w:val="superscript"/>
        </w:rPr>
        <w:t>[</w:t>
      </w:r>
      <w:proofErr w:type="gramEnd"/>
      <w:r w:rsidR="007D69D7" w:rsidRPr="00E84B3F">
        <w:rPr>
          <w:rFonts w:ascii="Book Antiqua" w:hAnsi="Book Antiqua" w:cs="Arial"/>
          <w:vertAlign w:val="superscript"/>
        </w:rPr>
        <w:t>33</w:t>
      </w:r>
      <w:r w:rsidR="009537DF" w:rsidRPr="00E84B3F">
        <w:rPr>
          <w:rFonts w:ascii="Book Antiqua" w:hAnsi="Book Antiqua" w:cs="Arial"/>
          <w:vertAlign w:val="superscript"/>
        </w:rPr>
        <w:t>]</w:t>
      </w:r>
      <w:r w:rsidR="009537DF" w:rsidRPr="00E84B3F">
        <w:rPr>
          <w:rFonts w:ascii="Book Antiqua" w:hAnsi="Book Antiqua" w:cs="Arial"/>
        </w:rPr>
        <w:t xml:space="preserve">. </w:t>
      </w:r>
    </w:p>
    <w:p w:rsidR="0042182A" w:rsidRPr="00E84B3F" w:rsidRDefault="0042182A" w:rsidP="00633765">
      <w:pPr>
        <w:spacing w:line="360" w:lineRule="auto"/>
        <w:ind w:firstLineChars="150" w:firstLine="360"/>
        <w:jc w:val="both"/>
        <w:rPr>
          <w:rFonts w:ascii="Book Antiqua" w:hAnsi="Book Antiqua" w:cs="Arial"/>
        </w:rPr>
      </w:pPr>
      <w:r w:rsidRPr="00E84B3F">
        <w:rPr>
          <w:rFonts w:ascii="Book Antiqua" w:hAnsi="Book Antiqua" w:cs="Arial"/>
        </w:rPr>
        <w:t>A</w:t>
      </w:r>
      <w:r w:rsidR="00DC51A3" w:rsidRPr="00E84B3F">
        <w:rPr>
          <w:rFonts w:ascii="Book Antiqua" w:hAnsi="Book Antiqua" w:cs="Arial"/>
        </w:rPr>
        <w:t xml:space="preserve">chieving </w:t>
      </w:r>
      <w:r w:rsidR="00045E67" w:rsidRPr="00E84B3F">
        <w:rPr>
          <w:rFonts w:ascii="Book Antiqua" w:hAnsi="Book Antiqua" w:cs="Arial"/>
        </w:rPr>
        <w:t xml:space="preserve">the </w:t>
      </w:r>
      <w:r w:rsidR="00DC51A3" w:rsidRPr="00E84B3F">
        <w:rPr>
          <w:rFonts w:ascii="Book Antiqua" w:hAnsi="Book Antiqua" w:cs="Arial"/>
        </w:rPr>
        <w:t>goals</w:t>
      </w:r>
      <w:r w:rsidR="00045E67" w:rsidRPr="00E84B3F">
        <w:rPr>
          <w:rFonts w:ascii="Book Antiqua" w:hAnsi="Book Antiqua" w:cs="Arial"/>
        </w:rPr>
        <w:t xml:space="preserve"> of a successful transition of care program</w:t>
      </w:r>
      <w:r w:rsidR="00DC51A3" w:rsidRPr="00E84B3F">
        <w:rPr>
          <w:rFonts w:ascii="Book Antiqua" w:hAnsi="Book Antiqua" w:cs="Arial"/>
        </w:rPr>
        <w:t xml:space="preserve"> may be difficult due to limitations of resources or access to clinics with a structured program, poor readiness or preparation for the young adult to transition, </w:t>
      </w:r>
      <w:r w:rsidR="005842A1" w:rsidRPr="00E84B3F">
        <w:rPr>
          <w:rFonts w:ascii="Book Antiqua" w:hAnsi="Book Antiqua" w:cs="Arial"/>
        </w:rPr>
        <w:t xml:space="preserve">limited communication between the </w:t>
      </w:r>
      <w:r w:rsidR="0040360F" w:rsidRPr="00E84B3F">
        <w:rPr>
          <w:rFonts w:ascii="Book Antiqua" w:hAnsi="Book Antiqua" w:cs="Arial"/>
        </w:rPr>
        <w:t xml:space="preserve">referring </w:t>
      </w:r>
      <w:r w:rsidR="005842A1" w:rsidRPr="00E84B3F">
        <w:rPr>
          <w:rFonts w:ascii="Book Antiqua" w:hAnsi="Book Antiqua" w:cs="Arial"/>
        </w:rPr>
        <w:t xml:space="preserve">pediatric gastroenterologists to </w:t>
      </w:r>
      <w:r w:rsidR="007D69D7" w:rsidRPr="00E84B3F">
        <w:rPr>
          <w:rFonts w:ascii="Book Antiqua" w:hAnsi="Book Antiqua" w:cs="Arial"/>
        </w:rPr>
        <w:t xml:space="preserve">the receiving </w:t>
      </w:r>
      <w:r w:rsidR="005842A1" w:rsidRPr="00E84B3F">
        <w:rPr>
          <w:rFonts w:ascii="Book Antiqua" w:hAnsi="Book Antiqua" w:cs="Arial"/>
        </w:rPr>
        <w:t xml:space="preserve">adult providers, </w:t>
      </w:r>
      <w:r w:rsidR="00DC51A3" w:rsidRPr="00E84B3F">
        <w:rPr>
          <w:rFonts w:ascii="Book Antiqua" w:hAnsi="Book Antiqua" w:cs="Arial"/>
        </w:rPr>
        <w:t xml:space="preserve">and suboptimal training in adolescent medicine for adult </w:t>
      </w:r>
      <w:proofErr w:type="gramStart"/>
      <w:r w:rsidR="00DC51A3" w:rsidRPr="00E84B3F">
        <w:rPr>
          <w:rFonts w:ascii="Book Antiqua" w:hAnsi="Book Antiqua" w:cs="Arial"/>
        </w:rPr>
        <w:t>gastroenterologists</w:t>
      </w:r>
      <w:r w:rsidRPr="00E84B3F">
        <w:rPr>
          <w:rFonts w:ascii="Book Antiqua" w:hAnsi="Book Antiqua" w:cs="Arial"/>
          <w:vertAlign w:val="superscript"/>
        </w:rPr>
        <w:t>[</w:t>
      </w:r>
      <w:proofErr w:type="gramEnd"/>
      <w:r w:rsidR="00E5312B">
        <w:rPr>
          <w:rFonts w:ascii="Book Antiqua" w:hAnsi="Book Antiqua" w:cs="Arial"/>
          <w:vertAlign w:val="superscript"/>
        </w:rPr>
        <w:t>4,</w:t>
      </w:r>
      <w:r w:rsidR="007D69D7" w:rsidRPr="00E84B3F">
        <w:rPr>
          <w:rFonts w:ascii="Book Antiqua" w:hAnsi="Book Antiqua" w:cs="Arial"/>
          <w:vertAlign w:val="superscript"/>
        </w:rPr>
        <w:t>22</w:t>
      </w:r>
      <w:r w:rsidR="00E5312B">
        <w:rPr>
          <w:rFonts w:ascii="Book Antiqua" w:hAnsi="Book Antiqua" w:cs="Arial"/>
          <w:vertAlign w:val="superscript"/>
        </w:rPr>
        <w:t>,</w:t>
      </w:r>
      <w:r w:rsidR="007D69D7" w:rsidRPr="00E84B3F">
        <w:rPr>
          <w:rFonts w:ascii="Book Antiqua" w:hAnsi="Book Antiqua" w:cs="Arial"/>
          <w:vertAlign w:val="superscript"/>
        </w:rPr>
        <w:t>34-38</w:t>
      </w:r>
      <w:r w:rsidRPr="00E84B3F">
        <w:rPr>
          <w:rFonts w:ascii="Book Antiqua" w:hAnsi="Book Antiqua" w:cs="Arial"/>
          <w:vertAlign w:val="superscript"/>
        </w:rPr>
        <w:t>]</w:t>
      </w:r>
      <w:r w:rsidR="005842A1" w:rsidRPr="00E84B3F">
        <w:rPr>
          <w:rFonts w:ascii="Book Antiqua" w:hAnsi="Book Antiqua" w:cs="Arial"/>
        </w:rPr>
        <w:t xml:space="preserve">.  </w:t>
      </w:r>
    </w:p>
    <w:p w:rsidR="00DF31B3" w:rsidRPr="00E84B3F" w:rsidRDefault="00DC51A3" w:rsidP="00633765">
      <w:pPr>
        <w:spacing w:line="360" w:lineRule="auto"/>
        <w:ind w:firstLineChars="100" w:firstLine="240"/>
        <w:jc w:val="both"/>
        <w:rPr>
          <w:rFonts w:ascii="Book Antiqua" w:hAnsi="Book Antiqua" w:cs="Arial"/>
        </w:rPr>
      </w:pPr>
      <w:r w:rsidRPr="00E84B3F">
        <w:rPr>
          <w:rFonts w:ascii="Book Antiqua" w:hAnsi="Book Antiqua" w:cs="Arial"/>
        </w:rPr>
        <w:lastRenderedPageBreak/>
        <w:t xml:space="preserve">Other factors may also impede the success of </w:t>
      </w:r>
      <w:r w:rsidR="005842A1" w:rsidRPr="00E84B3F">
        <w:rPr>
          <w:rFonts w:ascii="Book Antiqua" w:hAnsi="Book Antiqua" w:cs="Arial"/>
        </w:rPr>
        <w:t xml:space="preserve">IBD </w:t>
      </w:r>
      <w:r w:rsidRPr="00E84B3F">
        <w:rPr>
          <w:rFonts w:ascii="Book Antiqua" w:hAnsi="Book Antiqua" w:cs="Arial"/>
        </w:rPr>
        <w:t>t</w:t>
      </w:r>
      <w:r w:rsidR="005842A1" w:rsidRPr="00E84B3F">
        <w:rPr>
          <w:rFonts w:ascii="Book Antiqua" w:hAnsi="Book Antiqua" w:cs="Arial"/>
        </w:rPr>
        <w:t xml:space="preserve">ransition of </w:t>
      </w:r>
      <w:r w:rsidRPr="00E84B3F">
        <w:rPr>
          <w:rFonts w:ascii="Book Antiqua" w:hAnsi="Book Antiqua" w:cs="Arial"/>
        </w:rPr>
        <w:t xml:space="preserve">care.  As we </w:t>
      </w:r>
      <w:r w:rsidR="00345513" w:rsidRPr="00E84B3F">
        <w:rPr>
          <w:rFonts w:ascii="Book Antiqua" w:hAnsi="Book Antiqua" w:cs="Arial"/>
        </w:rPr>
        <w:t xml:space="preserve">assess </w:t>
      </w:r>
      <w:r w:rsidRPr="00E84B3F">
        <w:rPr>
          <w:rFonts w:ascii="Book Antiqua" w:hAnsi="Book Antiqua" w:cs="Arial"/>
        </w:rPr>
        <w:t xml:space="preserve">and track the readiness of the patient for the transition, </w:t>
      </w:r>
      <w:r w:rsidR="00345513" w:rsidRPr="00E84B3F">
        <w:rPr>
          <w:rFonts w:ascii="Book Antiqua" w:hAnsi="Book Antiqua" w:cs="Arial"/>
        </w:rPr>
        <w:t xml:space="preserve">there may be </w:t>
      </w:r>
      <w:r w:rsidRPr="00E84B3F">
        <w:rPr>
          <w:rFonts w:ascii="Book Antiqua" w:hAnsi="Book Antiqua" w:cs="Arial"/>
        </w:rPr>
        <w:t>relucta</w:t>
      </w:r>
      <w:r w:rsidR="00667DD2" w:rsidRPr="00E84B3F">
        <w:rPr>
          <w:rFonts w:ascii="Book Antiqua" w:hAnsi="Book Antiqua" w:cs="Arial"/>
        </w:rPr>
        <w:t xml:space="preserve">nce by parent, caregiver or </w:t>
      </w:r>
      <w:r w:rsidR="00BB69A3" w:rsidRPr="00E84B3F">
        <w:rPr>
          <w:rFonts w:ascii="Book Antiqua" w:hAnsi="Book Antiqua" w:cs="Arial"/>
        </w:rPr>
        <w:t xml:space="preserve">even </w:t>
      </w:r>
      <w:r w:rsidR="00667DD2" w:rsidRPr="00E84B3F">
        <w:rPr>
          <w:rFonts w:ascii="Book Antiqua" w:hAnsi="Book Antiqua" w:cs="Arial"/>
        </w:rPr>
        <w:t>the pediatric gastroenterolog</w:t>
      </w:r>
      <w:r w:rsidR="0040360F" w:rsidRPr="00E84B3F">
        <w:rPr>
          <w:rFonts w:ascii="Book Antiqua" w:hAnsi="Book Antiqua" w:cs="Arial"/>
        </w:rPr>
        <w:t>y team</w:t>
      </w:r>
      <w:r w:rsidR="00667DD2" w:rsidRPr="00E84B3F">
        <w:rPr>
          <w:rFonts w:ascii="Book Antiqua" w:hAnsi="Book Antiqua" w:cs="Arial"/>
        </w:rPr>
        <w:t>.</w:t>
      </w:r>
      <w:r w:rsidR="00BB69A3" w:rsidRPr="00E84B3F">
        <w:rPr>
          <w:rFonts w:ascii="Book Antiqua" w:hAnsi="Book Antiqua" w:cs="Arial"/>
        </w:rPr>
        <w:t xml:space="preserve">  This reluctance or inability to </w:t>
      </w:r>
      <w:r w:rsidR="00E5312B">
        <w:rPr>
          <w:rFonts w:ascii="Book Antiqua" w:eastAsia="SimSun" w:hAnsi="Book Antiqua" w:cs="Arial"/>
          <w:lang w:eastAsia="zh-CN"/>
        </w:rPr>
        <w:t>“</w:t>
      </w:r>
      <w:r w:rsidR="00BB69A3" w:rsidRPr="00E84B3F">
        <w:rPr>
          <w:rFonts w:ascii="Book Antiqua" w:hAnsi="Book Antiqua" w:cs="Arial"/>
        </w:rPr>
        <w:t>let go</w:t>
      </w:r>
      <w:r w:rsidR="00E5312B">
        <w:rPr>
          <w:rFonts w:ascii="Book Antiqua" w:eastAsia="SimSun" w:hAnsi="Book Antiqua" w:cs="Arial"/>
          <w:lang w:eastAsia="zh-CN"/>
        </w:rPr>
        <w:t>”</w:t>
      </w:r>
      <w:r w:rsidR="00BB69A3" w:rsidRPr="00E84B3F">
        <w:rPr>
          <w:rFonts w:ascii="Book Antiqua" w:hAnsi="Book Antiqua" w:cs="Arial"/>
        </w:rPr>
        <w:t xml:space="preserve"> by other key players involved in this </w:t>
      </w:r>
      <w:r w:rsidR="00DF31B3" w:rsidRPr="00E84B3F">
        <w:rPr>
          <w:rFonts w:ascii="Book Antiqua" w:hAnsi="Book Antiqua" w:cs="Arial"/>
        </w:rPr>
        <w:t xml:space="preserve">process </w:t>
      </w:r>
      <w:r w:rsidR="007D69D7" w:rsidRPr="00E84B3F">
        <w:rPr>
          <w:rFonts w:ascii="Book Antiqua" w:hAnsi="Book Antiqua" w:cs="Arial"/>
        </w:rPr>
        <w:t xml:space="preserve">certainly also </w:t>
      </w:r>
      <w:proofErr w:type="gramStart"/>
      <w:r w:rsidR="00DF31B3" w:rsidRPr="00E84B3F">
        <w:rPr>
          <w:rFonts w:ascii="Book Antiqua" w:hAnsi="Book Antiqua" w:cs="Arial"/>
        </w:rPr>
        <w:t>impacts</w:t>
      </w:r>
      <w:proofErr w:type="gramEnd"/>
      <w:r w:rsidR="00DF31B3" w:rsidRPr="00E84B3F">
        <w:rPr>
          <w:rFonts w:ascii="Book Antiqua" w:hAnsi="Book Antiqua" w:cs="Arial"/>
        </w:rPr>
        <w:t xml:space="preserve"> the transition.</w:t>
      </w:r>
    </w:p>
    <w:p w:rsidR="00896380" w:rsidRPr="00E84B3F" w:rsidRDefault="00DF31B3" w:rsidP="00633765">
      <w:pPr>
        <w:spacing w:line="360" w:lineRule="auto"/>
        <w:ind w:firstLineChars="150" w:firstLine="360"/>
        <w:jc w:val="both"/>
        <w:rPr>
          <w:rFonts w:ascii="Book Antiqua" w:hAnsi="Book Antiqua" w:cs="Arial"/>
        </w:rPr>
      </w:pPr>
      <w:r w:rsidRPr="00E84B3F">
        <w:rPr>
          <w:rFonts w:ascii="Book Antiqua" w:hAnsi="Book Antiqua" w:cs="Arial"/>
        </w:rPr>
        <w:t xml:space="preserve">Because there is no standardized age for </w:t>
      </w:r>
      <w:r w:rsidR="007D69D7" w:rsidRPr="00E84B3F">
        <w:rPr>
          <w:rFonts w:ascii="Book Antiqua" w:hAnsi="Book Antiqua" w:cs="Arial"/>
        </w:rPr>
        <w:t>transition of care</w:t>
      </w:r>
      <w:r w:rsidRPr="00E84B3F">
        <w:rPr>
          <w:rFonts w:ascii="Book Antiqua" w:hAnsi="Book Antiqua" w:cs="Arial"/>
        </w:rPr>
        <w:t xml:space="preserve">, a heterogeneity in milestones achieved by the young adult, such as high school or college graduation, </w:t>
      </w:r>
      <w:r w:rsidR="007D69D7" w:rsidRPr="00E84B3F">
        <w:rPr>
          <w:rFonts w:ascii="Book Antiqua" w:hAnsi="Book Antiqua" w:cs="Arial"/>
        </w:rPr>
        <w:t xml:space="preserve">vocation, employment, </w:t>
      </w:r>
      <w:r w:rsidRPr="00E84B3F">
        <w:rPr>
          <w:rFonts w:ascii="Book Antiqua" w:hAnsi="Book Antiqua" w:cs="Arial"/>
        </w:rPr>
        <w:t>marriage</w:t>
      </w:r>
      <w:r w:rsidR="007D69D7" w:rsidRPr="00E84B3F">
        <w:rPr>
          <w:rFonts w:ascii="Book Antiqua" w:hAnsi="Book Antiqua" w:cs="Arial"/>
        </w:rPr>
        <w:t xml:space="preserve"> or </w:t>
      </w:r>
      <w:r w:rsidRPr="00E84B3F">
        <w:rPr>
          <w:rFonts w:ascii="Book Antiqua" w:hAnsi="Book Antiqua" w:cs="Arial"/>
        </w:rPr>
        <w:t>pregnancy</w:t>
      </w:r>
      <w:r w:rsidR="007D69D7" w:rsidRPr="00E84B3F">
        <w:rPr>
          <w:rFonts w:ascii="Book Antiqua" w:hAnsi="Book Antiqua" w:cs="Arial"/>
        </w:rPr>
        <w:t xml:space="preserve"> to name a few, </w:t>
      </w:r>
      <w:r w:rsidRPr="00E84B3F">
        <w:rPr>
          <w:rFonts w:ascii="Book Antiqua" w:hAnsi="Book Antiqua" w:cs="Arial"/>
        </w:rPr>
        <w:t xml:space="preserve">may also impact the transition process.  </w:t>
      </w:r>
      <w:r w:rsidR="00BB69A3" w:rsidRPr="00E84B3F">
        <w:rPr>
          <w:rFonts w:ascii="Book Antiqua" w:hAnsi="Book Antiqua" w:cs="Arial"/>
        </w:rPr>
        <w:t xml:space="preserve">A lack of IBD centers and few adult gastroenterologists in the local area with special interests in </w:t>
      </w:r>
      <w:r w:rsidRPr="00E84B3F">
        <w:rPr>
          <w:rFonts w:ascii="Book Antiqua" w:hAnsi="Book Antiqua" w:cs="Arial"/>
        </w:rPr>
        <w:t xml:space="preserve">the care and </w:t>
      </w:r>
      <w:r w:rsidR="00BB69A3" w:rsidRPr="00E84B3F">
        <w:rPr>
          <w:rFonts w:ascii="Book Antiqua" w:hAnsi="Book Antiqua" w:cs="Arial"/>
        </w:rPr>
        <w:t xml:space="preserve">management </w:t>
      </w:r>
      <w:r w:rsidRPr="00E84B3F">
        <w:rPr>
          <w:rFonts w:ascii="Book Antiqua" w:hAnsi="Book Antiqua" w:cs="Arial"/>
        </w:rPr>
        <w:t>of</w:t>
      </w:r>
      <w:r w:rsidR="00BB69A3" w:rsidRPr="00E84B3F">
        <w:rPr>
          <w:rFonts w:ascii="Book Antiqua" w:hAnsi="Book Antiqua" w:cs="Arial"/>
        </w:rPr>
        <w:t xml:space="preserve"> IBD patients is another barrier towards</w:t>
      </w:r>
      <w:r w:rsidRPr="00E84B3F">
        <w:rPr>
          <w:rFonts w:ascii="Book Antiqua" w:hAnsi="Book Antiqua" w:cs="Arial"/>
        </w:rPr>
        <w:t xml:space="preserve"> a successful transi</w:t>
      </w:r>
      <w:r w:rsidR="0042182A" w:rsidRPr="00E84B3F">
        <w:rPr>
          <w:rFonts w:ascii="Book Antiqua" w:hAnsi="Book Antiqua" w:cs="Arial"/>
        </w:rPr>
        <w:t>tion of care for a young adult.</w:t>
      </w:r>
      <w:r w:rsidR="00675B80">
        <w:rPr>
          <w:rFonts w:ascii="Book Antiqua" w:eastAsia="SimSun" w:hAnsi="Book Antiqua" w:cs="Arial" w:hint="eastAsia"/>
          <w:lang w:eastAsia="zh-CN"/>
        </w:rPr>
        <w:t xml:space="preserve"> </w:t>
      </w:r>
      <w:r w:rsidR="0042182A" w:rsidRPr="00E84B3F">
        <w:rPr>
          <w:rFonts w:ascii="Book Antiqua" w:hAnsi="Book Antiqua" w:cs="Arial"/>
        </w:rPr>
        <w:t xml:space="preserve">Leung and colleagues summarized practical guidelines to aide not only adolescents through the transition process, but recommendations were also outlined for </w:t>
      </w:r>
      <w:r w:rsidR="00B12EA6" w:rsidRPr="00E84B3F">
        <w:rPr>
          <w:rFonts w:ascii="Book Antiqua" w:hAnsi="Book Antiqua" w:cs="Arial"/>
        </w:rPr>
        <w:t xml:space="preserve">both </w:t>
      </w:r>
      <w:r w:rsidR="0042182A" w:rsidRPr="00E84B3F">
        <w:rPr>
          <w:rFonts w:ascii="Book Antiqua" w:hAnsi="Book Antiqua" w:cs="Arial"/>
        </w:rPr>
        <w:t xml:space="preserve">pediatric and adult gastroenterologists even when a structured IBD transition clinic is </w:t>
      </w:r>
      <w:proofErr w:type="gramStart"/>
      <w:r w:rsidR="0042182A" w:rsidRPr="00E84B3F">
        <w:rPr>
          <w:rFonts w:ascii="Book Antiqua" w:hAnsi="Book Antiqua" w:cs="Arial"/>
        </w:rPr>
        <w:t>unavailable</w:t>
      </w:r>
      <w:r w:rsidR="0042182A" w:rsidRPr="00E84B3F">
        <w:rPr>
          <w:rFonts w:ascii="Book Antiqua" w:hAnsi="Book Antiqua" w:cs="Arial"/>
          <w:vertAlign w:val="superscript"/>
        </w:rPr>
        <w:t>[</w:t>
      </w:r>
      <w:proofErr w:type="gramEnd"/>
      <w:r w:rsidR="00B12EA6" w:rsidRPr="00E84B3F">
        <w:rPr>
          <w:rFonts w:ascii="Book Antiqua" w:hAnsi="Book Antiqua" w:cs="Arial"/>
          <w:vertAlign w:val="superscript"/>
        </w:rPr>
        <w:t>39</w:t>
      </w:r>
      <w:r w:rsidR="0042182A" w:rsidRPr="00E84B3F">
        <w:rPr>
          <w:rFonts w:ascii="Book Antiqua" w:hAnsi="Book Antiqua" w:cs="Arial"/>
          <w:vertAlign w:val="superscript"/>
        </w:rPr>
        <w:t>]</w:t>
      </w:r>
      <w:r w:rsidR="0042182A" w:rsidRPr="00E84B3F">
        <w:rPr>
          <w:rFonts w:ascii="Book Antiqua" w:hAnsi="Book Antiqua" w:cs="Arial"/>
        </w:rPr>
        <w:t>.</w:t>
      </w:r>
    </w:p>
    <w:p w:rsidR="00DF31B3" w:rsidRPr="00E84B3F" w:rsidRDefault="00B12EA6" w:rsidP="00633765">
      <w:pPr>
        <w:spacing w:line="360" w:lineRule="auto"/>
        <w:ind w:firstLineChars="150" w:firstLine="360"/>
        <w:jc w:val="both"/>
        <w:rPr>
          <w:rFonts w:ascii="Book Antiqua" w:hAnsi="Book Antiqua" w:cs="Arial"/>
        </w:rPr>
      </w:pPr>
      <w:r w:rsidRPr="00E84B3F">
        <w:rPr>
          <w:rFonts w:ascii="Book Antiqua" w:hAnsi="Book Antiqua" w:cs="Arial"/>
        </w:rPr>
        <w:t>Early</w:t>
      </w:r>
      <w:r w:rsidR="00DF31B3" w:rsidRPr="00E84B3F">
        <w:rPr>
          <w:rFonts w:ascii="Book Antiqua" w:hAnsi="Book Antiqua" w:cs="Arial"/>
        </w:rPr>
        <w:t xml:space="preserve"> preparation and good communication is essential in the transition process, </w:t>
      </w:r>
      <w:r w:rsidRPr="00E84B3F">
        <w:rPr>
          <w:rFonts w:ascii="Book Antiqua" w:hAnsi="Book Antiqua" w:cs="Arial"/>
        </w:rPr>
        <w:t xml:space="preserve">but despite this, </w:t>
      </w:r>
      <w:r w:rsidR="00DF31B3" w:rsidRPr="00E84B3F">
        <w:rPr>
          <w:rFonts w:ascii="Book Antiqua" w:hAnsi="Book Antiqua" w:cs="Arial"/>
        </w:rPr>
        <w:t>another limitation is the differences in health priorities</w:t>
      </w:r>
      <w:r w:rsidRPr="00E84B3F">
        <w:rPr>
          <w:rFonts w:ascii="Book Antiqua" w:hAnsi="Book Antiqua" w:cs="Arial"/>
        </w:rPr>
        <w:t xml:space="preserve"> among all key </w:t>
      </w:r>
      <w:proofErr w:type="gramStart"/>
      <w:r w:rsidRPr="00E84B3F">
        <w:rPr>
          <w:rFonts w:ascii="Book Antiqua" w:hAnsi="Book Antiqua" w:cs="Arial"/>
        </w:rPr>
        <w:t>stakeholders</w:t>
      </w:r>
      <w:r w:rsidR="0042182A" w:rsidRPr="00E84B3F">
        <w:rPr>
          <w:rFonts w:ascii="Book Antiqua" w:hAnsi="Book Antiqua" w:cs="Arial"/>
          <w:vertAlign w:val="superscript"/>
        </w:rPr>
        <w:t>[</w:t>
      </w:r>
      <w:proofErr w:type="gramEnd"/>
      <w:r w:rsidRPr="00E84B3F">
        <w:rPr>
          <w:rFonts w:ascii="Book Antiqua" w:hAnsi="Book Antiqua" w:cs="Arial"/>
          <w:vertAlign w:val="superscript"/>
        </w:rPr>
        <w:t>40</w:t>
      </w:r>
      <w:r w:rsidR="0042182A" w:rsidRPr="00E84B3F">
        <w:rPr>
          <w:rFonts w:ascii="Book Antiqua" w:hAnsi="Book Antiqua" w:cs="Arial"/>
          <w:vertAlign w:val="superscript"/>
        </w:rPr>
        <w:t>]</w:t>
      </w:r>
      <w:r w:rsidR="0042182A" w:rsidRPr="00E84B3F">
        <w:rPr>
          <w:rFonts w:ascii="Book Antiqua" w:hAnsi="Book Antiqua" w:cs="Arial"/>
        </w:rPr>
        <w:t>.</w:t>
      </w:r>
      <w:r w:rsidR="00633765">
        <w:rPr>
          <w:rFonts w:ascii="Book Antiqua" w:eastAsia="SimSun" w:hAnsi="Book Antiqua" w:cs="Arial" w:hint="eastAsia"/>
          <w:lang w:eastAsia="zh-CN"/>
        </w:rPr>
        <w:t xml:space="preserve"> </w:t>
      </w:r>
      <w:r w:rsidR="00DF31B3" w:rsidRPr="00E84B3F">
        <w:rPr>
          <w:rFonts w:ascii="Book Antiqua" w:hAnsi="Book Antiqua" w:cs="Arial"/>
        </w:rPr>
        <w:t xml:space="preserve">These differences in priorities or targets of care needs to be identified and discussed early in the transition in order to help both the EAI and the adult gastroenterologist understand and best achieve them. It is also important to acknowledge that healthcare goals such as achieving clinical and mucosal remission, dysplasia surveillance and preventative health care, are usually different than pediatric care goals such as </w:t>
      </w:r>
      <w:r w:rsidR="0040360F" w:rsidRPr="00E84B3F">
        <w:rPr>
          <w:rFonts w:ascii="Book Antiqua" w:hAnsi="Book Antiqua" w:cs="Arial"/>
        </w:rPr>
        <w:t xml:space="preserve">psychosocial </w:t>
      </w:r>
      <w:r w:rsidR="00DF31B3" w:rsidRPr="00E84B3F">
        <w:rPr>
          <w:rFonts w:ascii="Book Antiqua" w:hAnsi="Book Antiqua" w:cs="Arial"/>
        </w:rPr>
        <w:t>development</w:t>
      </w:r>
      <w:r w:rsidR="0040360F" w:rsidRPr="00E84B3F">
        <w:rPr>
          <w:rFonts w:ascii="Book Antiqua" w:hAnsi="Book Antiqua" w:cs="Arial"/>
        </w:rPr>
        <w:t>,</w:t>
      </w:r>
      <w:r w:rsidR="00DF31B3" w:rsidRPr="00E84B3F">
        <w:rPr>
          <w:rFonts w:ascii="Book Antiqua" w:hAnsi="Book Antiqua" w:cs="Arial"/>
        </w:rPr>
        <w:t xml:space="preserve"> growth and </w:t>
      </w:r>
      <w:proofErr w:type="gramStart"/>
      <w:r w:rsidR="00DF31B3" w:rsidRPr="00E84B3F">
        <w:rPr>
          <w:rFonts w:ascii="Book Antiqua" w:hAnsi="Book Antiqua" w:cs="Arial"/>
        </w:rPr>
        <w:t>nutrition</w:t>
      </w:r>
      <w:r w:rsidR="0042182A" w:rsidRPr="00E84B3F">
        <w:rPr>
          <w:rFonts w:ascii="Book Antiqua" w:hAnsi="Book Antiqua" w:cs="Arial"/>
          <w:vertAlign w:val="superscript"/>
        </w:rPr>
        <w:t>[</w:t>
      </w:r>
      <w:proofErr w:type="gramEnd"/>
      <w:r w:rsidRPr="00E84B3F">
        <w:rPr>
          <w:rFonts w:ascii="Book Antiqua" w:hAnsi="Book Antiqua" w:cs="Arial"/>
          <w:vertAlign w:val="superscript"/>
        </w:rPr>
        <w:t>13</w:t>
      </w:r>
      <w:r w:rsidR="0042182A" w:rsidRPr="00E84B3F">
        <w:rPr>
          <w:rFonts w:ascii="Book Antiqua" w:hAnsi="Book Antiqua" w:cs="Arial"/>
          <w:vertAlign w:val="superscript"/>
        </w:rPr>
        <w:t>]</w:t>
      </w:r>
      <w:r w:rsidR="00DF31B3" w:rsidRPr="00E84B3F">
        <w:rPr>
          <w:rFonts w:ascii="Book Antiqua" w:hAnsi="Book Antiqua" w:cs="Arial"/>
        </w:rPr>
        <w:t>.</w:t>
      </w:r>
      <w:r w:rsidR="00E5312B">
        <w:rPr>
          <w:rFonts w:ascii="Book Antiqua" w:eastAsia="SimSun" w:hAnsi="Book Antiqua" w:cs="Arial" w:hint="eastAsia"/>
          <w:lang w:eastAsia="zh-CN"/>
        </w:rPr>
        <w:t xml:space="preserve"> </w:t>
      </w:r>
      <w:r w:rsidR="0040360F" w:rsidRPr="00E84B3F">
        <w:rPr>
          <w:rFonts w:ascii="Book Antiqua" w:hAnsi="Book Antiqua" w:cs="Arial"/>
        </w:rPr>
        <w:t xml:space="preserve">A close professional and educational relationship between pediatric and adult </w:t>
      </w:r>
      <w:r w:rsidR="003F5789" w:rsidRPr="00E84B3F">
        <w:rPr>
          <w:rFonts w:ascii="Book Antiqua" w:hAnsi="Book Antiqua" w:cs="Arial"/>
        </w:rPr>
        <w:t xml:space="preserve">IBD </w:t>
      </w:r>
      <w:r w:rsidR="0040360F" w:rsidRPr="00E84B3F">
        <w:rPr>
          <w:rFonts w:ascii="Book Antiqua" w:hAnsi="Book Antiqua" w:cs="Arial"/>
        </w:rPr>
        <w:t xml:space="preserve">providers </w:t>
      </w:r>
      <w:r w:rsidR="003F5789" w:rsidRPr="00E84B3F">
        <w:rPr>
          <w:rFonts w:ascii="Book Antiqua" w:hAnsi="Book Antiqua" w:cs="Arial"/>
        </w:rPr>
        <w:t xml:space="preserve">is key to understanding the various management goals, priorities and perhaps “styles” of practice, along the adolescent’s continuum of IBD care. </w:t>
      </w:r>
    </w:p>
    <w:p w:rsidR="005F1153" w:rsidRPr="00E84B3F" w:rsidRDefault="00DF31B3" w:rsidP="00633765">
      <w:pPr>
        <w:spacing w:line="360" w:lineRule="auto"/>
        <w:ind w:firstLineChars="150" w:firstLine="360"/>
        <w:jc w:val="both"/>
        <w:rPr>
          <w:rFonts w:ascii="Book Antiqua" w:hAnsi="Book Antiqua" w:cs="Arial"/>
        </w:rPr>
      </w:pPr>
      <w:r w:rsidRPr="00E84B3F">
        <w:rPr>
          <w:rFonts w:ascii="Book Antiqua" w:hAnsi="Book Antiqua" w:cs="Arial"/>
        </w:rPr>
        <w:t xml:space="preserve">Lastly, the variation in health care systems </w:t>
      </w:r>
      <w:r w:rsidR="00045E67" w:rsidRPr="00E84B3F">
        <w:rPr>
          <w:rFonts w:ascii="Book Antiqua" w:hAnsi="Book Antiqua" w:cs="Arial"/>
        </w:rPr>
        <w:t xml:space="preserve">and access of care </w:t>
      </w:r>
      <w:r w:rsidRPr="00E84B3F">
        <w:rPr>
          <w:rFonts w:ascii="Book Antiqua" w:hAnsi="Book Antiqua" w:cs="Arial"/>
        </w:rPr>
        <w:t xml:space="preserve">in the United States and other countries further complicates this process.  </w:t>
      </w:r>
      <w:r w:rsidR="00045E67" w:rsidRPr="00E84B3F">
        <w:rPr>
          <w:rFonts w:ascii="Book Antiqua" w:hAnsi="Book Antiqua" w:cs="Arial"/>
        </w:rPr>
        <w:t xml:space="preserve">Among both adult and pediatric gastroenterologists, lack of funding, time, support of services, training and too few of </w:t>
      </w:r>
      <w:r w:rsidR="00B12EA6" w:rsidRPr="00E84B3F">
        <w:rPr>
          <w:rFonts w:ascii="Book Antiqua" w:hAnsi="Book Antiqua" w:cs="Arial"/>
        </w:rPr>
        <w:lastRenderedPageBreak/>
        <w:t xml:space="preserve">IBD transition of care </w:t>
      </w:r>
      <w:r w:rsidR="00045E67" w:rsidRPr="00E84B3F">
        <w:rPr>
          <w:rFonts w:ascii="Book Antiqua" w:hAnsi="Book Antiqua" w:cs="Arial"/>
        </w:rPr>
        <w:t>patients were the top five obstacles experienced in their local setting which impacted the ability to deliver transition of care services</w:t>
      </w:r>
      <w:r w:rsidR="0042182A" w:rsidRPr="00E84B3F">
        <w:rPr>
          <w:rFonts w:ascii="Book Antiqua" w:hAnsi="Book Antiqua" w:cs="Arial"/>
          <w:vertAlign w:val="superscript"/>
        </w:rPr>
        <w:t>[</w:t>
      </w:r>
      <w:r w:rsidR="00B12EA6" w:rsidRPr="00E84B3F">
        <w:rPr>
          <w:rFonts w:ascii="Book Antiqua" w:hAnsi="Book Antiqua" w:cs="Arial"/>
          <w:vertAlign w:val="superscript"/>
        </w:rPr>
        <w:t>22</w:t>
      </w:r>
      <w:r w:rsidR="0042182A" w:rsidRPr="00E84B3F">
        <w:rPr>
          <w:rFonts w:ascii="Book Antiqua" w:hAnsi="Book Antiqua" w:cs="Arial"/>
          <w:vertAlign w:val="superscript"/>
        </w:rPr>
        <w:t>]</w:t>
      </w:r>
      <w:r w:rsidR="00045E67" w:rsidRPr="00E84B3F">
        <w:rPr>
          <w:rFonts w:ascii="Book Antiqua" w:hAnsi="Book Antiqua" w:cs="Arial"/>
        </w:rPr>
        <w:t>.</w:t>
      </w:r>
    </w:p>
    <w:p w:rsidR="00DF31B3" w:rsidRPr="00E5312B" w:rsidRDefault="00045E67" w:rsidP="00633765">
      <w:pPr>
        <w:spacing w:line="360" w:lineRule="auto"/>
        <w:ind w:firstLineChars="100" w:firstLine="240"/>
        <w:jc w:val="both"/>
        <w:rPr>
          <w:rFonts w:ascii="Book Antiqua" w:eastAsia="SimSun" w:hAnsi="Book Antiqua" w:cs="Arial"/>
          <w:lang w:eastAsia="zh-CN"/>
        </w:rPr>
      </w:pPr>
      <w:r w:rsidRPr="00E84B3F">
        <w:rPr>
          <w:rFonts w:ascii="Book Antiqua" w:hAnsi="Book Antiqua" w:cs="Arial"/>
        </w:rPr>
        <w:t xml:space="preserve">There are also additional logistical issues during the transition process and </w:t>
      </w:r>
      <w:r w:rsidR="00FF3654" w:rsidRPr="00E84B3F">
        <w:rPr>
          <w:rFonts w:ascii="Book Antiqua" w:hAnsi="Book Antiqua" w:cs="Arial"/>
        </w:rPr>
        <w:t xml:space="preserve">questions of concern </w:t>
      </w:r>
      <w:proofErr w:type="gramStart"/>
      <w:r w:rsidR="00FF3654" w:rsidRPr="00E84B3F">
        <w:rPr>
          <w:rFonts w:ascii="Book Antiqua" w:hAnsi="Book Antiqua" w:cs="Arial"/>
        </w:rPr>
        <w:t>include</w:t>
      </w:r>
      <w:r w:rsidRPr="00E84B3F">
        <w:rPr>
          <w:rFonts w:ascii="Book Antiqua" w:hAnsi="Book Antiqua" w:cs="Arial"/>
        </w:rPr>
        <w:t>:</w:t>
      </w:r>
      <w:proofErr w:type="gramEnd"/>
      <w:r w:rsidRPr="00E84B3F">
        <w:rPr>
          <w:rFonts w:ascii="Book Antiqua" w:hAnsi="Book Antiqua" w:cs="Arial"/>
        </w:rPr>
        <w:t xml:space="preserve"> </w:t>
      </w:r>
      <w:r w:rsidR="00FF3654" w:rsidRPr="00E84B3F">
        <w:rPr>
          <w:rFonts w:ascii="Book Antiqua" w:hAnsi="Book Antiqua" w:cs="Arial"/>
        </w:rPr>
        <w:t>Who is</w:t>
      </w:r>
      <w:r w:rsidRPr="00E84B3F">
        <w:rPr>
          <w:rFonts w:ascii="Book Antiqua" w:hAnsi="Book Antiqua" w:cs="Arial"/>
        </w:rPr>
        <w:t xml:space="preserve"> in charge for the management of the patient</w:t>
      </w:r>
      <w:r w:rsidR="003F5789" w:rsidRPr="00E84B3F">
        <w:rPr>
          <w:rFonts w:ascii="Book Antiqua" w:hAnsi="Book Antiqua" w:cs="Arial"/>
        </w:rPr>
        <w:t xml:space="preserve"> in transition</w:t>
      </w:r>
      <w:r w:rsidRPr="00E84B3F">
        <w:rPr>
          <w:rFonts w:ascii="Book Antiqua" w:hAnsi="Book Antiqua" w:cs="Arial"/>
        </w:rPr>
        <w:t xml:space="preserve">? Where should the transition clinic be established – the pediatric or adult clinic?  When can multiple providers all be available to meet with the patient and parents/caregivers at the same time? </w:t>
      </w:r>
      <w:r w:rsidR="00FF3654" w:rsidRPr="00E84B3F">
        <w:rPr>
          <w:rFonts w:ascii="Book Antiqua" w:hAnsi="Book Antiqua" w:cs="Arial"/>
        </w:rPr>
        <w:t>Finally</w:t>
      </w:r>
      <w:r w:rsidRPr="00E84B3F">
        <w:rPr>
          <w:rFonts w:ascii="Book Antiqua" w:hAnsi="Book Antiqua" w:cs="Arial"/>
        </w:rPr>
        <w:t>, which gastroenterologist</w:t>
      </w:r>
      <w:r w:rsidR="005842A1" w:rsidRPr="00E84B3F">
        <w:rPr>
          <w:rFonts w:ascii="Book Antiqua" w:hAnsi="Book Antiqua" w:cs="Arial"/>
        </w:rPr>
        <w:t>, pediatric or adult,</w:t>
      </w:r>
      <w:r w:rsidRPr="00E84B3F">
        <w:rPr>
          <w:rFonts w:ascii="Book Antiqua" w:hAnsi="Book Antiqua" w:cs="Arial"/>
        </w:rPr>
        <w:t xml:space="preserve"> can bill for the clinic visit?</w:t>
      </w:r>
    </w:p>
    <w:p w:rsidR="00442E38" w:rsidRPr="00E84B3F" w:rsidRDefault="00442E38" w:rsidP="00633765">
      <w:pPr>
        <w:spacing w:line="360" w:lineRule="auto"/>
        <w:jc w:val="both"/>
        <w:rPr>
          <w:rFonts w:ascii="Book Antiqua" w:hAnsi="Book Antiqua" w:cs="Arial"/>
          <w:b/>
        </w:rPr>
      </w:pPr>
    </w:p>
    <w:p w:rsidR="008E598A" w:rsidRPr="00E5312B" w:rsidRDefault="00E5312B" w:rsidP="00633765">
      <w:pPr>
        <w:spacing w:line="360" w:lineRule="auto"/>
        <w:jc w:val="both"/>
        <w:rPr>
          <w:rFonts w:ascii="Book Antiqua" w:eastAsia="SimSun" w:hAnsi="Book Antiqua" w:cs="Arial"/>
          <w:lang w:eastAsia="zh-CN"/>
        </w:rPr>
      </w:pPr>
      <w:r>
        <w:rPr>
          <w:rFonts w:ascii="Book Antiqua" w:hAnsi="Book Antiqua" w:cs="Arial"/>
          <w:b/>
        </w:rPr>
        <w:t>CONCLUSION</w:t>
      </w:r>
    </w:p>
    <w:p w:rsidR="001D20C7" w:rsidRPr="00E84B3F" w:rsidRDefault="00DF31B3" w:rsidP="00633765">
      <w:pPr>
        <w:spacing w:line="360" w:lineRule="auto"/>
        <w:jc w:val="both"/>
        <w:rPr>
          <w:rFonts w:ascii="Book Antiqua" w:hAnsi="Book Antiqua" w:cs="Arial"/>
        </w:rPr>
      </w:pPr>
      <w:r w:rsidRPr="00E84B3F">
        <w:rPr>
          <w:rFonts w:ascii="Book Antiqua" w:hAnsi="Book Antiqua" w:cs="Arial"/>
        </w:rPr>
        <w:t>As</w:t>
      </w:r>
      <w:r w:rsidR="00896380" w:rsidRPr="00E84B3F">
        <w:rPr>
          <w:rFonts w:ascii="Book Antiqua" w:hAnsi="Book Antiqua" w:cs="Arial"/>
        </w:rPr>
        <w:t xml:space="preserve"> we begin to consider IBD as a disease that begins in childhood and continues into adulthood, we face the same challenges for transitioning of care</w:t>
      </w:r>
      <w:r w:rsidRPr="00E84B3F">
        <w:rPr>
          <w:rFonts w:ascii="Book Antiqua" w:hAnsi="Book Antiqua" w:cs="Arial"/>
        </w:rPr>
        <w:t xml:space="preserve"> as other chronic diseases</w:t>
      </w:r>
      <w:r w:rsidR="00896380" w:rsidRPr="00E84B3F">
        <w:rPr>
          <w:rFonts w:ascii="Book Antiqua" w:hAnsi="Book Antiqua" w:cs="Arial"/>
        </w:rPr>
        <w:t xml:space="preserve">.  </w:t>
      </w:r>
      <w:r w:rsidR="00045E67" w:rsidRPr="00E84B3F">
        <w:rPr>
          <w:rFonts w:ascii="Book Antiqua" w:hAnsi="Book Antiqua" w:cs="Arial"/>
        </w:rPr>
        <w:t xml:space="preserve">This is a process that requires careful coordination and collaboration from key stakeholders of a multidisciplinary team including </w:t>
      </w:r>
      <w:proofErr w:type="gramStart"/>
      <w:r w:rsidR="00B12EA6" w:rsidRPr="00E84B3F">
        <w:rPr>
          <w:rFonts w:ascii="Book Antiqua" w:hAnsi="Book Antiqua" w:cs="Arial"/>
        </w:rPr>
        <w:t>first and foremost</w:t>
      </w:r>
      <w:proofErr w:type="gramEnd"/>
      <w:r w:rsidR="00B12EA6" w:rsidRPr="00E84B3F">
        <w:rPr>
          <w:rFonts w:ascii="Book Antiqua" w:hAnsi="Book Antiqua" w:cs="Arial"/>
        </w:rPr>
        <w:t xml:space="preserve"> </w:t>
      </w:r>
      <w:r w:rsidR="00045E67" w:rsidRPr="00E84B3F">
        <w:rPr>
          <w:rFonts w:ascii="Book Antiqua" w:hAnsi="Book Antiqua" w:cs="Arial"/>
        </w:rPr>
        <w:t xml:space="preserve">the patient, </w:t>
      </w:r>
      <w:r w:rsidR="00B12EA6" w:rsidRPr="00E84B3F">
        <w:rPr>
          <w:rFonts w:ascii="Book Antiqua" w:hAnsi="Book Antiqua" w:cs="Arial"/>
        </w:rPr>
        <w:t xml:space="preserve">as well as </w:t>
      </w:r>
      <w:r w:rsidR="00045E67" w:rsidRPr="00E84B3F">
        <w:rPr>
          <w:rFonts w:ascii="Book Antiqua" w:hAnsi="Book Antiqua" w:cs="Arial"/>
        </w:rPr>
        <w:t>parents/caregiver and providers.</w:t>
      </w:r>
      <w:r w:rsidR="00675B80">
        <w:rPr>
          <w:rFonts w:ascii="Book Antiqua" w:eastAsia="SimSun" w:hAnsi="Book Antiqua" w:cs="Arial" w:hint="eastAsia"/>
          <w:lang w:eastAsia="zh-CN"/>
        </w:rPr>
        <w:t xml:space="preserve"> </w:t>
      </w:r>
      <w:r w:rsidR="00045E67" w:rsidRPr="00E84B3F">
        <w:rPr>
          <w:rFonts w:ascii="Book Antiqua" w:hAnsi="Book Antiqua" w:cs="Arial"/>
        </w:rPr>
        <w:t xml:space="preserve">Although a number of transition clinic models currently </w:t>
      </w:r>
      <w:r w:rsidR="00FF3654" w:rsidRPr="00E84B3F">
        <w:rPr>
          <w:rFonts w:ascii="Book Antiqua" w:hAnsi="Book Antiqua" w:cs="Arial"/>
        </w:rPr>
        <w:t>exist</w:t>
      </w:r>
      <w:r w:rsidR="00045E67" w:rsidRPr="00E84B3F">
        <w:rPr>
          <w:rFonts w:ascii="Book Antiqua" w:hAnsi="Book Antiqua" w:cs="Arial"/>
        </w:rPr>
        <w:t xml:space="preserve">, there is paucity of data and gap in knowledge for the care and management of </w:t>
      </w:r>
      <w:r w:rsidR="00B12EA6" w:rsidRPr="00E84B3F">
        <w:rPr>
          <w:rFonts w:ascii="Book Antiqua" w:hAnsi="Book Antiqua" w:cs="Arial"/>
        </w:rPr>
        <w:t>this</w:t>
      </w:r>
      <w:r w:rsidR="00045E67" w:rsidRPr="00E84B3F">
        <w:rPr>
          <w:rFonts w:ascii="Book Antiqua" w:hAnsi="Book Antiqua" w:cs="Arial"/>
        </w:rPr>
        <w:t xml:space="preserve"> vulnerable young population.</w:t>
      </w:r>
      <w:r w:rsidR="00675B80">
        <w:rPr>
          <w:rFonts w:ascii="Book Antiqua" w:eastAsia="SimSun" w:hAnsi="Book Antiqua" w:cs="Arial" w:hint="eastAsia"/>
          <w:lang w:eastAsia="zh-CN"/>
        </w:rPr>
        <w:t xml:space="preserve"> </w:t>
      </w:r>
      <w:r w:rsidR="00045E67" w:rsidRPr="00E84B3F">
        <w:rPr>
          <w:rFonts w:ascii="Book Antiqua" w:hAnsi="Book Antiqua" w:cs="Arial"/>
        </w:rPr>
        <w:t>The developmental maturity and core competency of the EAI, early preparation</w:t>
      </w:r>
      <w:r w:rsidR="001D20C7" w:rsidRPr="00E84B3F">
        <w:rPr>
          <w:rFonts w:ascii="Book Antiqua" w:hAnsi="Book Antiqua" w:cs="Arial"/>
        </w:rPr>
        <w:t xml:space="preserve"> and good communication</w:t>
      </w:r>
      <w:r w:rsidR="00045E67" w:rsidRPr="00E84B3F">
        <w:rPr>
          <w:rFonts w:ascii="Book Antiqua" w:hAnsi="Book Antiqua" w:cs="Arial"/>
        </w:rPr>
        <w:t xml:space="preserve"> by the pediatrician and an expanded skill set</w:t>
      </w:r>
      <w:r w:rsidR="001D20C7" w:rsidRPr="00E84B3F">
        <w:rPr>
          <w:rFonts w:ascii="Book Antiqua" w:hAnsi="Book Antiqua" w:cs="Arial"/>
        </w:rPr>
        <w:t xml:space="preserve"> and training</w:t>
      </w:r>
      <w:r w:rsidR="00045E67" w:rsidRPr="00E84B3F">
        <w:rPr>
          <w:rFonts w:ascii="Book Antiqua" w:hAnsi="Book Antiqua" w:cs="Arial"/>
        </w:rPr>
        <w:t xml:space="preserve"> for the adult gastroenterologist will allow for a smoother transition and best </w:t>
      </w:r>
      <w:proofErr w:type="gramStart"/>
      <w:r w:rsidR="00045E67" w:rsidRPr="00E84B3F">
        <w:rPr>
          <w:rFonts w:ascii="Book Antiqua" w:hAnsi="Book Antiqua" w:cs="Arial"/>
        </w:rPr>
        <w:t>impact</w:t>
      </w:r>
      <w:proofErr w:type="gramEnd"/>
      <w:r w:rsidR="00045E67" w:rsidRPr="00E84B3F">
        <w:rPr>
          <w:rFonts w:ascii="Book Antiqua" w:hAnsi="Book Antiqua" w:cs="Arial"/>
        </w:rPr>
        <w:t xml:space="preserve"> clinical outcomes.   </w:t>
      </w:r>
    </w:p>
    <w:p w:rsidR="00896380" w:rsidRPr="00E84B3F" w:rsidRDefault="001D20C7" w:rsidP="00633765">
      <w:pPr>
        <w:spacing w:line="360" w:lineRule="auto"/>
        <w:ind w:firstLineChars="150" w:firstLine="360"/>
        <w:jc w:val="both"/>
        <w:rPr>
          <w:rFonts w:ascii="Book Antiqua" w:hAnsi="Book Antiqua" w:cs="Arial"/>
        </w:rPr>
      </w:pPr>
      <w:r w:rsidRPr="00E84B3F">
        <w:rPr>
          <w:rFonts w:ascii="Book Antiqua" w:hAnsi="Book Antiqua" w:cs="Arial"/>
        </w:rPr>
        <w:t xml:space="preserve">Larger, prospective studies </w:t>
      </w:r>
      <w:proofErr w:type="gramStart"/>
      <w:r w:rsidRPr="00E84B3F">
        <w:rPr>
          <w:rFonts w:ascii="Book Antiqua" w:hAnsi="Book Antiqua" w:cs="Arial"/>
        </w:rPr>
        <w:t>are needed</w:t>
      </w:r>
      <w:proofErr w:type="gramEnd"/>
      <w:r w:rsidRPr="00E84B3F">
        <w:rPr>
          <w:rFonts w:ascii="Book Antiqua" w:hAnsi="Book Antiqua" w:cs="Arial"/>
        </w:rPr>
        <w:t xml:space="preserve"> to help standardize transition care practices.  Data-driven assessment of strategies aimed to optimize competency and development, communication, education, and adherence will ultimately help improve clinical outcomes in the IBD transition of care.</w:t>
      </w:r>
    </w:p>
    <w:p w:rsidR="00845327" w:rsidRPr="00E5312B" w:rsidRDefault="00845327" w:rsidP="00633765">
      <w:pPr>
        <w:spacing w:line="360" w:lineRule="auto"/>
        <w:jc w:val="both"/>
        <w:rPr>
          <w:rFonts w:ascii="Book Antiqua" w:eastAsia="SimSun" w:hAnsi="Book Antiqua" w:cs="Arial"/>
          <w:lang w:eastAsia="zh-CN"/>
        </w:rPr>
      </w:pPr>
      <w:r w:rsidRPr="00E84B3F">
        <w:rPr>
          <w:rFonts w:ascii="Book Antiqua" w:hAnsi="Book Antiqua" w:cs="Arial"/>
        </w:rPr>
        <w:br w:type="page"/>
      </w:r>
      <w:r w:rsidR="00E5312B">
        <w:rPr>
          <w:rFonts w:ascii="Book Antiqua" w:hAnsi="Book Antiqua" w:cs="Arial"/>
          <w:b/>
        </w:rPr>
        <w:lastRenderedPageBreak/>
        <w:t>ACKNOWLEDGEMENTS</w:t>
      </w:r>
    </w:p>
    <w:p w:rsidR="00845327" w:rsidRPr="00E84B3F" w:rsidRDefault="00845327" w:rsidP="00633765">
      <w:pPr>
        <w:spacing w:line="360" w:lineRule="auto"/>
        <w:jc w:val="both"/>
        <w:rPr>
          <w:rFonts w:ascii="Book Antiqua" w:hAnsi="Book Antiqua" w:cs="Arial"/>
        </w:rPr>
      </w:pPr>
      <w:r w:rsidRPr="00E84B3F">
        <w:rPr>
          <w:rFonts w:ascii="Book Antiqua" w:hAnsi="Book Antiqua" w:cs="Arial"/>
        </w:rPr>
        <w:t xml:space="preserve">The authors </w:t>
      </w:r>
      <w:r w:rsidR="007C0983" w:rsidRPr="00E84B3F">
        <w:rPr>
          <w:rFonts w:ascii="Book Antiqua" w:hAnsi="Book Antiqua" w:cs="Arial"/>
        </w:rPr>
        <w:t xml:space="preserve">would like to acknowledge Teresa </w:t>
      </w:r>
      <w:proofErr w:type="spellStart"/>
      <w:r w:rsidR="007C0983" w:rsidRPr="00E84B3F">
        <w:rPr>
          <w:rFonts w:ascii="Book Antiqua" w:hAnsi="Book Antiqua" w:cs="Arial"/>
        </w:rPr>
        <w:t>Wachs</w:t>
      </w:r>
      <w:proofErr w:type="spellEnd"/>
      <w:r w:rsidR="007C0983" w:rsidRPr="00E84B3F">
        <w:rPr>
          <w:rFonts w:ascii="Book Antiqua" w:hAnsi="Book Antiqua" w:cs="Arial"/>
        </w:rPr>
        <w:t xml:space="preserve"> RN, CCM, BC for her tremendous </w:t>
      </w:r>
      <w:r w:rsidR="00680470" w:rsidRPr="00E84B3F">
        <w:rPr>
          <w:rFonts w:ascii="Book Antiqua" w:hAnsi="Book Antiqua" w:cs="Arial"/>
        </w:rPr>
        <w:t>dedication, support, advocacy and</w:t>
      </w:r>
      <w:r w:rsidR="007C0983" w:rsidRPr="00E84B3F">
        <w:rPr>
          <w:rFonts w:ascii="Book Antiqua" w:hAnsi="Book Antiqua" w:cs="Arial"/>
        </w:rPr>
        <w:t xml:space="preserve"> care of our Transition of Care patients, as well as her contribution in the development of the Seattle Children’s Hospital IBD Readiness Tool for the Pediat</w:t>
      </w:r>
      <w:r w:rsidR="00D451CA" w:rsidRPr="00E84B3F">
        <w:rPr>
          <w:rFonts w:ascii="Book Antiqua" w:hAnsi="Book Antiqua" w:cs="Arial"/>
        </w:rPr>
        <w:t xml:space="preserve">ric to Adult Transition Clinic.    </w:t>
      </w:r>
    </w:p>
    <w:p w:rsidR="007C0983" w:rsidRPr="00E84B3F" w:rsidRDefault="007C0983" w:rsidP="00633765">
      <w:pPr>
        <w:spacing w:line="360" w:lineRule="auto"/>
        <w:jc w:val="both"/>
        <w:rPr>
          <w:rFonts w:ascii="Book Antiqua" w:hAnsi="Book Antiqua" w:cs="Arial"/>
        </w:rPr>
      </w:pPr>
    </w:p>
    <w:p w:rsidR="007C0983" w:rsidRPr="00E84B3F" w:rsidRDefault="007C0983" w:rsidP="00633765">
      <w:pPr>
        <w:spacing w:line="360" w:lineRule="auto"/>
        <w:jc w:val="both"/>
        <w:rPr>
          <w:rFonts w:ascii="Book Antiqua" w:hAnsi="Book Antiqua" w:cs="Arial"/>
          <w:b/>
        </w:rPr>
      </w:pPr>
    </w:p>
    <w:p w:rsidR="007C0983" w:rsidRPr="00E84B3F" w:rsidRDefault="007C0983" w:rsidP="00633765">
      <w:pPr>
        <w:spacing w:line="360" w:lineRule="auto"/>
        <w:jc w:val="both"/>
        <w:rPr>
          <w:rFonts w:ascii="Book Antiqua" w:hAnsi="Book Antiqua" w:cs="Arial"/>
          <w:b/>
        </w:rPr>
      </w:pPr>
    </w:p>
    <w:p w:rsidR="00633765" w:rsidRDefault="00845327" w:rsidP="00633765">
      <w:pPr>
        <w:spacing w:line="360" w:lineRule="auto"/>
        <w:jc w:val="both"/>
        <w:rPr>
          <w:rFonts w:ascii="Book Antiqua" w:eastAsia="SimSun" w:hAnsi="Book Antiqua" w:cs="Arial"/>
          <w:b/>
          <w:lang w:eastAsia="zh-CN"/>
        </w:rPr>
      </w:pPr>
      <w:r w:rsidRPr="00E84B3F">
        <w:rPr>
          <w:rFonts w:ascii="Book Antiqua" w:hAnsi="Book Antiqua" w:cs="Arial"/>
        </w:rPr>
        <w:br w:type="page"/>
      </w:r>
      <w:r w:rsidR="00E5312B">
        <w:rPr>
          <w:rFonts w:ascii="Book Antiqua" w:hAnsi="Book Antiqua" w:cs="Arial"/>
          <w:b/>
        </w:rPr>
        <w:lastRenderedPageBreak/>
        <w:t>REFERENCES</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1 </w:t>
      </w:r>
      <w:proofErr w:type="spellStart"/>
      <w:r w:rsidRPr="00BD33BF">
        <w:rPr>
          <w:rFonts w:ascii="Book Antiqua" w:eastAsia="SimSun" w:hAnsi="Book Antiqua" w:cs="SimSun"/>
          <w:b/>
          <w:bCs/>
        </w:rPr>
        <w:t>Molodecky</w:t>
      </w:r>
      <w:proofErr w:type="spellEnd"/>
      <w:r w:rsidRPr="00BD33BF">
        <w:rPr>
          <w:rFonts w:ascii="Book Antiqua" w:eastAsia="SimSun" w:hAnsi="Book Antiqua" w:cs="SimSun"/>
          <w:b/>
          <w:bCs/>
        </w:rPr>
        <w:t xml:space="preserve"> NA</w:t>
      </w:r>
      <w:r w:rsidRPr="00BD33BF">
        <w:rPr>
          <w:rFonts w:ascii="Book Antiqua" w:eastAsia="SimSun" w:hAnsi="Book Antiqua" w:cs="SimSun"/>
        </w:rPr>
        <w:t xml:space="preserve">, Soon IS, Rabi DM, </w:t>
      </w:r>
      <w:proofErr w:type="spellStart"/>
      <w:r w:rsidRPr="00BD33BF">
        <w:rPr>
          <w:rFonts w:ascii="Book Antiqua" w:eastAsia="SimSun" w:hAnsi="Book Antiqua" w:cs="SimSun"/>
        </w:rPr>
        <w:t>Ghali</w:t>
      </w:r>
      <w:proofErr w:type="spellEnd"/>
      <w:r w:rsidRPr="00BD33BF">
        <w:rPr>
          <w:rFonts w:ascii="Book Antiqua" w:eastAsia="SimSun" w:hAnsi="Book Antiqua" w:cs="SimSun"/>
        </w:rPr>
        <w:t xml:space="preserve"> WA, Ferris M, </w:t>
      </w:r>
      <w:proofErr w:type="spellStart"/>
      <w:r w:rsidRPr="00BD33BF">
        <w:rPr>
          <w:rFonts w:ascii="Book Antiqua" w:eastAsia="SimSun" w:hAnsi="Book Antiqua" w:cs="SimSun"/>
        </w:rPr>
        <w:t>Chernoff</w:t>
      </w:r>
      <w:proofErr w:type="spellEnd"/>
      <w:r w:rsidRPr="00BD33BF">
        <w:rPr>
          <w:rFonts w:ascii="Book Antiqua" w:eastAsia="SimSun" w:hAnsi="Book Antiqua" w:cs="SimSun"/>
        </w:rPr>
        <w:t xml:space="preserve"> G, </w:t>
      </w:r>
      <w:proofErr w:type="spellStart"/>
      <w:r w:rsidRPr="00BD33BF">
        <w:rPr>
          <w:rFonts w:ascii="Book Antiqua" w:eastAsia="SimSun" w:hAnsi="Book Antiqua" w:cs="SimSun"/>
        </w:rPr>
        <w:t>Benchimol</w:t>
      </w:r>
      <w:proofErr w:type="spellEnd"/>
      <w:r w:rsidRPr="00BD33BF">
        <w:rPr>
          <w:rFonts w:ascii="Book Antiqua" w:eastAsia="SimSun" w:hAnsi="Book Antiqua" w:cs="SimSun"/>
        </w:rPr>
        <w:t xml:space="preserve"> EI, </w:t>
      </w:r>
      <w:proofErr w:type="spellStart"/>
      <w:r w:rsidRPr="00BD33BF">
        <w:rPr>
          <w:rFonts w:ascii="Book Antiqua" w:eastAsia="SimSun" w:hAnsi="Book Antiqua" w:cs="SimSun"/>
        </w:rPr>
        <w:t>Panaccione</w:t>
      </w:r>
      <w:proofErr w:type="spellEnd"/>
      <w:r w:rsidRPr="00BD33BF">
        <w:rPr>
          <w:rFonts w:ascii="Book Antiqua" w:eastAsia="SimSun" w:hAnsi="Book Antiqua" w:cs="SimSun"/>
        </w:rPr>
        <w:t xml:space="preserve"> R, Ghosh S, </w:t>
      </w:r>
      <w:proofErr w:type="spellStart"/>
      <w:r w:rsidRPr="00BD33BF">
        <w:rPr>
          <w:rFonts w:ascii="Book Antiqua" w:eastAsia="SimSun" w:hAnsi="Book Antiqua" w:cs="SimSun"/>
        </w:rPr>
        <w:t>Barkema</w:t>
      </w:r>
      <w:proofErr w:type="spellEnd"/>
      <w:r w:rsidRPr="00BD33BF">
        <w:rPr>
          <w:rFonts w:ascii="Book Antiqua" w:eastAsia="SimSun" w:hAnsi="Book Antiqua" w:cs="SimSun"/>
        </w:rPr>
        <w:t xml:space="preserve"> HW, Kaplan GG. Increasing incidence and prevalence of the inflammatory bowel diseases with time, based on systematic review. </w:t>
      </w:r>
      <w:r w:rsidRPr="00BD33BF">
        <w:rPr>
          <w:rFonts w:ascii="Book Antiqua" w:eastAsia="SimSun" w:hAnsi="Book Antiqua" w:cs="SimSun"/>
          <w:i/>
          <w:iCs/>
        </w:rPr>
        <w:t>Gastroenterology</w:t>
      </w:r>
      <w:r w:rsidRPr="00BD33BF">
        <w:rPr>
          <w:rFonts w:ascii="Book Antiqua" w:eastAsia="SimSun" w:hAnsi="Book Antiqua" w:cs="SimSun"/>
        </w:rPr>
        <w:t> 2012; </w:t>
      </w:r>
      <w:r w:rsidRPr="00BD33BF">
        <w:rPr>
          <w:rFonts w:ascii="Book Antiqua" w:eastAsia="SimSun" w:hAnsi="Book Antiqua" w:cs="SimSun"/>
          <w:b/>
          <w:bCs/>
        </w:rPr>
        <w:t>142</w:t>
      </w:r>
      <w:r w:rsidRPr="00BD33BF">
        <w:rPr>
          <w:rFonts w:ascii="Book Antiqua" w:eastAsia="SimSun" w:hAnsi="Book Antiqua" w:cs="SimSun"/>
        </w:rPr>
        <w:t>: 46-54.e42; quiz e30 [PMID: 22001864 DOI: 10.53/j.gastro.2011.10.001]</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2</w:t>
      </w:r>
      <w:proofErr w:type="gramEnd"/>
      <w:r w:rsidRPr="00BD33BF">
        <w:rPr>
          <w:rFonts w:ascii="Book Antiqua" w:eastAsia="SimSun" w:hAnsi="Book Antiqua" w:cs="SimSun"/>
        </w:rPr>
        <w:t> </w:t>
      </w:r>
      <w:proofErr w:type="spellStart"/>
      <w:r w:rsidRPr="00BD33BF">
        <w:rPr>
          <w:rFonts w:ascii="Book Antiqua" w:eastAsia="SimSun" w:hAnsi="Book Antiqua" w:cs="SimSun"/>
          <w:b/>
          <w:bCs/>
        </w:rPr>
        <w:t>Kelsen</w:t>
      </w:r>
      <w:proofErr w:type="spellEnd"/>
      <w:r w:rsidRPr="00BD33BF">
        <w:rPr>
          <w:rFonts w:ascii="Book Antiqua" w:eastAsia="SimSun" w:hAnsi="Book Antiqua" w:cs="SimSun"/>
          <w:b/>
          <w:bCs/>
        </w:rPr>
        <w:t xml:space="preserve"> J</w:t>
      </w:r>
      <w:r w:rsidRPr="00BD33BF">
        <w:rPr>
          <w:rFonts w:ascii="Book Antiqua" w:eastAsia="SimSun" w:hAnsi="Book Antiqua" w:cs="SimSun"/>
        </w:rPr>
        <w:t xml:space="preserve">, </w:t>
      </w:r>
      <w:proofErr w:type="spellStart"/>
      <w:r w:rsidRPr="00BD33BF">
        <w:rPr>
          <w:rFonts w:ascii="Book Antiqua" w:eastAsia="SimSun" w:hAnsi="Book Antiqua" w:cs="SimSun"/>
        </w:rPr>
        <w:t>Baldassano</w:t>
      </w:r>
      <w:proofErr w:type="spellEnd"/>
      <w:r w:rsidRPr="00BD33BF">
        <w:rPr>
          <w:rFonts w:ascii="Book Antiqua" w:eastAsia="SimSun" w:hAnsi="Book Antiqua" w:cs="SimSun"/>
        </w:rPr>
        <w:t xml:space="preserve"> RN. Inflammatory bowel disease: the difference between children and adults. </w:t>
      </w:r>
      <w:proofErr w:type="spellStart"/>
      <w:r w:rsidRPr="00BD33BF">
        <w:rPr>
          <w:rFonts w:ascii="Book Antiqua" w:eastAsia="SimSun" w:hAnsi="Book Antiqua" w:cs="SimSun"/>
          <w:i/>
          <w:iCs/>
        </w:rPr>
        <w:t>Inflamm</w:t>
      </w:r>
      <w:proofErr w:type="spellEnd"/>
      <w:r w:rsidRPr="00BD33BF">
        <w:rPr>
          <w:rFonts w:ascii="Book Antiqua" w:eastAsia="SimSun" w:hAnsi="Book Antiqua" w:cs="SimSun"/>
          <w:i/>
          <w:iCs/>
        </w:rPr>
        <w:t xml:space="preserve"> Bowel Dis</w:t>
      </w:r>
      <w:r w:rsidRPr="00BD33BF">
        <w:rPr>
          <w:rFonts w:ascii="Book Antiqua" w:eastAsia="SimSun" w:hAnsi="Book Antiqua" w:cs="SimSun"/>
        </w:rPr>
        <w:t> 2008</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14</w:t>
      </w:r>
      <w:r w:rsidRPr="00BD33BF">
        <w:rPr>
          <w:rFonts w:ascii="Book Antiqua" w:eastAsia="SimSun" w:hAnsi="Book Antiqua" w:cs="SimSun"/>
          <w:bCs/>
        </w:rPr>
        <w:t xml:space="preserve"> </w:t>
      </w:r>
      <w:proofErr w:type="spellStart"/>
      <w:r w:rsidRPr="00BD33BF">
        <w:rPr>
          <w:rFonts w:ascii="Book Antiqua" w:eastAsia="SimSun" w:hAnsi="Book Antiqua" w:cs="SimSun"/>
          <w:bCs/>
        </w:rPr>
        <w:t>Suppl</w:t>
      </w:r>
      <w:proofErr w:type="spellEnd"/>
      <w:r w:rsidRPr="00BD33BF">
        <w:rPr>
          <w:rFonts w:ascii="Book Antiqua" w:eastAsia="SimSun" w:hAnsi="Book Antiqua" w:cs="SimSun"/>
          <w:bCs/>
        </w:rPr>
        <w:t xml:space="preserve"> 2</w:t>
      </w:r>
      <w:r w:rsidRPr="00BD33BF">
        <w:rPr>
          <w:rFonts w:ascii="Book Antiqua" w:eastAsia="SimSun" w:hAnsi="Book Antiqua" w:cs="SimSun"/>
        </w:rPr>
        <w:t>: S9-11 [PMID: 18816756 DOI: 10.1002/ibd.20560]</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3</w:t>
      </w:r>
      <w:proofErr w:type="gramEnd"/>
      <w:r w:rsidRPr="00BD33BF">
        <w:rPr>
          <w:rFonts w:ascii="Book Antiqua" w:eastAsia="SimSun" w:hAnsi="Book Antiqua" w:cs="SimSun"/>
        </w:rPr>
        <w:t> </w:t>
      </w:r>
      <w:proofErr w:type="spellStart"/>
      <w:r w:rsidRPr="00BD33BF">
        <w:rPr>
          <w:rFonts w:ascii="Book Antiqua" w:eastAsia="SimSun" w:hAnsi="Book Antiqua" w:cs="SimSun"/>
          <w:b/>
          <w:bCs/>
        </w:rPr>
        <w:t>Malaty</w:t>
      </w:r>
      <w:proofErr w:type="spellEnd"/>
      <w:r w:rsidRPr="00BD33BF">
        <w:rPr>
          <w:rFonts w:ascii="Book Antiqua" w:eastAsia="SimSun" w:hAnsi="Book Antiqua" w:cs="SimSun"/>
          <w:b/>
          <w:bCs/>
        </w:rPr>
        <w:t xml:space="preserve"> HM</w:t>
      </w:r>
      <w:r w:rsidRPr="00BD33BF">
        <w:rPr>
          <w:rFonts w:ascii="Book Antiqua" w:eastAsia="SimSun" w:hAnsi="Book Antiqua" w:cs="SimSun"/>
        </w:rPr>
        <w:t xml:space="preserve">, Fan X, </w:t>
      </w:r>
      <w:proofErr w:type="spellStart"/>
      <w:r w:rsidRPr="00BD33BF">
        <w:rPr>
          <w:rFonts w:ascii="Book Antiqua" w:eastAsia="SimSun" w:hAnsi="Book Antiqua" w:cs="SimSun"/>
        </w:rPr>
        <w:t>Opekun</w:t>
      </w:r>
      <w:proofErr w:type="spellEnd"/>
      <w:r w:rsidRPr="00BD33BF">
        <w:rPr>
          <w:rFonts w:ascii="Book Antiqua" w:eastAsia="SimSun" w:hAnsi="Book Antiqua" w:cs="SimSun"/>
        </w:rPr>
        <w:t xml:space="preserve"> AR, Thibodeaux C, Ferry GD. Rising incidence of inflammatory bowel disease among children: a 12-year study. </w:t>
      </w:r>
      <w:r w:rsidRPr="00BD33BF">
        <w:rPr>
          <w:rFonts w:ascii="Book Antiqua" w:eastAsia="SimSun" w:hAnsi="Book Antiqua" w:cs="SimSun"/>
          <w:i/>
          <w:iCs/>
        </w:rPr>
        <w:t xml:space="preserve">J </w:t>
      </w:r>
      <w:proofErr w:type="spellStart"/>
      <w:r w:rsidRPr="00BD33BF">
        <w:rPr>
          <w:rFonts w:ascii="Book Antiqua" w:eastAsia="SimSun" w:hAnsi="Book Antiqua" w:cs="SimSun"/>
          <w:i/>
          <w:iCs/>
        </w:rPr>
        <w:t>Pediatr</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Gastroenterol</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Nutr</w:t>
      </w:r>
      <w:proofErr w:type="spellEnd"/>
      <w:r w:rsidRPr="00BD33BF">
        <w:rPr>
          <w:rFonts w:ascii="Book Antiqua" w:eastAsia="SimSun" w:hAnsi="Book Antiqua" w:cs="SimSun"/>
        </w:rPr>
        <w:t> 2010; </w:t>
      </w:r>
      <w:r w:rsidRPr="00BD33BF">
        <w:rPr>
          <w:rFonts w:ascii="Book Antiqua" w:eastAsia="SimSun" w:hAnsi="Book Antiqua" w:cs="SimSun"/>
          <w:b/>
          <w:bCs/>
        </w:rPr>
        <w:t>50</w:t>
      </w:r>
      <w:r w:rsidRPr="00BD33BF">
        <w:rPr>
          <w:rFonts w:ascii="Book Antiqua" w:eastAsia="SimSun" w:hAnsi="Book Antiqua" w:cs="SimSun"/>
        </w:rPr>
        <w:t>: 27-31 [PMID: 19934770 DOI: 10.1097/MPG.0b013e3181b99baa]</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4</w:t>
      </w:r>
      <w:proofErr w:type="gramEnd"/>
      <w:r w:rsidRPr="00BD33BF">
        <w:rPr>
          <w:rFonts w:ascii="Book Antiqua" w:eastAsia="SimSun" w:hAnsi="Book Antiqua" w:cs="SimSun"/>
        </w:rPr>
        <w:t> </w:t>
      </w:r>
      <w:r w:rsidRPr="00BD33BF">
        <w:rPr>
          <w:rFonts w:ascii="Book Antiqua" w:eastAsia="SimSun" w:hAnsi="Book Antiqua" w:cs="SimSun"/>
          <w:b/>
          <w:bCs/>
        </w:rPr>
        <w:t>Philpott JR</w:t>
      </w:r>
      <w:r w:rsidRPr="00BD33BF">
        <w:rPr>
          <w:rFonts w:ascii="Book Antiqua" w:eastAsia="SimSun" w:hAnsi="Book Antiqua" w:cs="SimSun"/>
        </w:rPr>
        <w:t>. Transitional care in inflammatory bowel disease. </w:t>
      </w:r>
      <w:proofErr w:type="spellStart"/>
      <w:r w:rsidRPr="00BD33BF">
        <w:rPr>
          <w:rFonts w:ascii="Book Antiqua" w:eastAsia="SimSun" w:hAnsi="Book Antiqua" w:cs="SimSun"/>
          <w:i/>
          <w:iCs/>
        </w:rPr>
        <w:t>Gastroenterol</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Hepatol</w:t>
      </w:r>
      <w:proofErr w:type="spellEnd"/>
      <w:r w:rsidRPr="00BD33BF">
        <w:rPr>
          <w:rFonts w:ascii="Book Antiqua" w:eastAsia="SimSun" w:hAnsi="Book Antiqua" w:cs="SimSun"/>
          <w:i/>
          <w:iCs/>
        </w:rPr>
        <w:t xml:space="preserve"> </w:t>
      </w:r>
      <w:r w:rsidRPr="00BD33BF">
        <w:rPr>
          <w:rFonts w:ascii="Book Antiqua" w:eastAsia="SimSun" w:hAnsi="Book Antiqua" w:cs="SimSun"/>
          <w:iCs/>
        </w:rPr>
        <w:t>(N Y)</w:t>
      </w:r>
      <w:r w:rsidRPr="00BD33BF">
        <w:rPr>
          <w:rFonts w:ascii="Book Antiqua" w:eastAsia="SimSun" w:hAnsi="Book Antiqua" w:cs="SimSun"/>
        </w:rPr>
        <w:t> 2011</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7</w:t>
      </w:r>
      <w:r w:rsidRPr="00BD33BF">
        <w:rPr>
          <w:rFonts w:ascii="Book Antiqua" w:eastAsia="SimSun" w:hAnsi="Book Antiqua" w:cs="SimSun"/>
        </w:rPr>
        <w:t>: 26-32 [PMID: 21346849]</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5</w:t>
      </w:r>
      <w:proofErr w:type="gramEnd"/>
      <w:r w:rsidRPr="00BD33BF">
        <w:rPr>
          <w:rFonts w:ascii="Book Antiqua" w:eastAsia="SimSun" w:hAnsi="Book Antiqua" w:cs="SimSun"/>
        </w:rPr>
        <w:t> </w:t>
      </w:r>
      <w:proofErr w:type="spellStart"/>
      <w:r w:rsidRPr="00BD33BF">
        <w:rPr>
          <w:rFonts w:ascii="Book Antiqua" w:eastAsia="SimSun" w:hAnsi="Book Antiqua" w:cs="SimSun"/>
          <w:b/>
          <w:bCs/>
        </w:rPr>
        <w:t>Bollegala</w:t>
      </w:r>
      <w:proofErr w:type="spellEnd"/>
      <w:r w:rsidRPr="00BD33BF">
        <w:rPr>
          <w:rFonts w:ascii="Book Antiqua" w:eastAsia="SimSun" w:hAnsi="Book Antiqua" w:cs="SimSun"/>
          <w:b/>
          <w:bCs/>
        </w:rPr>
        <w:t xml:space="preserve"> N</w:t>
      </w:r>
      <w:r w:rsidRPr="00BD33BF">
        <w:rPr>
          <w:rFonts w:ascii="Book Antiqua" w:eastAsia="SimSun" w:hAnsi="Book Antiqua" w:cs="SimSun"/>
        </w:rPr>
        <w:t>, Nguyen GC. Transitioning the Adolescent with IBD from Pediatric to Adult Care: A Review of the Literature. </w:t>
      </w:r>
      <w:proofErr w:type="spellStart"/>
      <w:r w:rsidRPr="00BD33BF">
        <w:rPr>
          <w:rFonts w:ascii="Book Antiqua" w:eastAsia="SimSun" w:hAnsi="Book Antiqua" w:cs="SimSun"/>
          <w:i/>
          <w:iCs/>
        </w:rPr>
        <w:t>Gastroenterol</w:t>
      </w:r>
      <w:proofErr w:type="spellEnd"/>
      <w:r w:rsidRPr="00BD33BF">
        <w:rPr>
          <w:rFonts w:ascii="Book Antiqua" w:eastAsia="SimSun" w:hAnsi="Book Antiqua" w:cs="SimSun"/>
          <w:i/>
          <w:iCs/>
        </w:rPr>
        <w:t xml:space="preserve"> Res </w:t>
      </w:r>
      <w:proofErr w:type="spellStart"/>
      <w:r w:rsidRPr="00BD33BF">
        <w:rPr>
          <w:rFonts w:ascii="Book Antiqua" w:eastAsia="SimSun" w:hAnsi="Book Antiqua" w:cs="SimSun"/>
          <w:i/>
          <w:iCs/>
        </w:rPr>
        <w:t>Pract</w:t>
      </w:r>
      <w:proofErr w:type="spellEnd"/>
      <w:r w:rsidRPr="00BD33BF">
        <w:rPr>
          <w:rFonts w:ascii="Book Antiqua" w:eastAsia="SimSun" w:hAnsi="Book Antiqua" w:cs="SimSun"/>
        </w:rPr>
        <w:t> 2015; </w:t>
      </w:r>
      <w:r w:rsidRPr="00BD33BF">
        <w:rPr>
          <w:rFonts w:ascii="Book Antiqua" w:eastAsia="SimSun" w:hAnsi="Book Antiqua" w:cs="SimSun"/>
          <w:b/>
          <w:bCs/>
        </w:rPr>
        <w:t>2015</w:t>
      </w:r>
      <w:r w:rsidRPr="00BD33BF">
        <w:rPr>
          <w:rFonts w:ascii="Book Antiqua" w:eastAsia="SimSun" w:hAnsi="Book Antiqua" w:cs="SimSun"/>
        </w:rPr>
        <w:t>: 853530 [PMID: 26064100 DOI: 10.1155/2015/853530]</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6</w:t>
      </w:r>
      <w:proofErr w:type="gramEnd"/>
      <w:r w:rsidRPr="00BD33BF">
        <w:rPr>
          <w:rFonts w:ascii="Book Antiqua" w:eastAsia="SimSun" w:hAnsi="Book Antiqua" w:cs="SimSun"/>
        </w:rPr>
        <w:t> </w:t>
      </w:r>
      <w:proofErr w:type="spellStart"/>
      <w:r w:rsidRPr="00BD33BF">
        <w:rPr>
          <w:rFonts w:ascii="Book Antiqua" w:eastAsia="SimSun" w:hAnsi="Book Antiqua" w:cs="SimSun"/>
          <w:b/>
          <w:bCs/>
        </w:rPr>
        <w:t>Hait</w:t>
      </w:r>
      <w:proofErr w:type="spellEnd"/>
      <w:r w:rsidRPr="00BD33BF">
        <w:rPr>
          <w:rFonts w:ascii="Book Antiqua" w:eastAsia="SimSun" w:hAnsi="Book Antiqua" w:cs="SimSun"/>
          <w:b/>
          <w:bCs/>
        </w:rPr>
        <w:t xml:space="preserve"> EJ</w:t>
      </w:r>
      <w:r w:rsidRPr="00BD33BF">
        <w:rPr>
          <w:rFonts w:ascii="Book Antiqua" w:eastAsia="SimSun" w:hAnsi="Book Antiqua" w:cs="SimSun"/>
        </w:rPr>
        <w:t xml:space="preserve">, </w:t>
      </w:r>
      <w:proofErr w:type="spellStart"/>
      <w:r w:rsidRPr="00BD33BF">
        <w:rPr>
          <w:rFonts w:ascii="Book Antiqua" w:eastAsia="SimSun" w:hAnsi="Book Antiqua" w:cs="SimSun"/>
        </w:rPr>
        <w:t>Barendse</w:t>
      </w:r>
      <w:proofErr w:type="spellEnd"/>
      <w:r w:rsidRPr="00BD33BF">
        <w:rPr>
          <w:rFonts w:ascii="Book Antiqua" w:eastAsia="SimSun" w:hAnsi="Book Antiqua" w:cs="SimSun"/>
        </w:rPr>
        <w:t xml:space="preserve"> RM, Arnold JH, </w:t>
      </w:r>
      <w:proofErr w:type="spellStart"/>
      <w:r w:rsidRPr="00BD33BF">
        <w:rPr>
          <w:rFonts w:ascii="Book Antiqua" w:eastAsia="SimSun" w:hAnsi="Book Antiqua" w:cs="SimSun"/>
        </w:rPr>
        <w:t>Valim</w:t>
      </w:r>
      <w:proofErr w:type="spellEnd"/>
      <w:r w:rsidRPr="00BD33BF">
        <w:rPr>
          <w:rFonts w:ascii="Book Antiqua" w:eastAsia="SimSun" w:hAnsi="Book Antiqua" w:cs="SimSun"/>
        </w:rPr>
        <w:t xml:space="preserve"> C, Sands BE, </w:t>
      </w:r>
      <w:proofErr w:type="spellStart"/>
      <w:r w:rsidRPr="00BD33BF">
        <w:rPr>
          <w:rFonts w:ascii="Book Antiqua" w:eastAsia="SimSun" w:hAnsi="Book Antiqua" w:cs="SimSun"/>
        </w:rPr>
        <w:t>Korzenik</w:t>
      </w:r>
      <w:proofErr w:type="spellEnd"/>
      <w:r w:rsidRPr="00BD33BF">
        <w:rPr>
          <w:rFonts w:ascii="Book Antiqua" w:eastAsia="SimSun" w:hAnsi="Book Antiqua" w:cs="SimSun"/>
        </w:rPr>
        <w:t xml:space="preserve"> JR, Fishman LN. Transition of adolescents with inflammatory bowel disease from pediatric to adult care: a survey of adult gastroenterologists. </w:t>
      </w:r>
      <w:r w:rsidRPr="00BD33BF">
        <w:rPr>
          <w:rFonts w:ascii="Book Antiqua" w:eastAsia="SimSun" w:hAnsi="Book Antiqua" w:cs="SimSun"/>
          <w:i/>
          <w:iCs/>
        </w:rPr>
        <w:t xml:space="preserve">J </w:t>
      </w:r>
      <w:proofErr w:type="spellStart"/>
      <w:r w:rsidRPr="00BD33BF">
        <w:rPr>
          <w:rFonts w:ascii="Book Antiqua" w:eastAsia="SimSun" w:hAnsi="Book Antiqua" w:cs="SimSun"/>
          <w:i/>
          <w:iCs/>
        </w:rPr>
        <w:t>Pediatr</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Gastroenterol</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Nutr</w:t>
      </w:r>
      <w:proofErr w:type="spellEnd"/>
      <w:r w:rsidRPr="00BD33BF">
        <w:rPr>
          <w:rFonts w:ascii="Book Antiqua" w:eastAsia="SimSun" w:hAnsi="Book Antiqua" w:cs="SimSun"/>
        </w:rPr>
        <w:t> 2009</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48</w:t>
      </w:r>
      <w:r w:rsidRPr="00BD33BF">
        <w:rPr>
          <w:rFonts w:ascii="Book Antiqua" w:eastAsia="SimSun" w:hAnsi="Book Antiqua" w:cs="SimSun"/>
        </w:rPr>
        <w:t>: 61-65 [PMID: 19172125]</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7 </w:t>
      </w:r>
      <w:proofErr w:type="spellStart"/>
      <w:r w:rsidRPr="00BD33BF">
        <w:rPr>
          <w:rFonts w:ascii="Book Antiqua" w:eastAsia="SimSun" w:hAnsi="Book Antiqua" w:cs="SimSun"/>
          <w:b/>
          <w:bCs/>
        </w:rPr>
        <w:t>Goodhand</w:t>
      </w:r>
      <w:proofErr w:type="spellEnd"/>
      <w:r w:rsidRPr="00BD33BF">
        <w:rPr>
          <w:rFonts w:ascii="Book Antiqua" w:eastAsia="SimSun" w:hAnsi="Book Antiqua" w:cs="SimSun"/>
          <w:b/>
          <w:bCs/>
        </w:rPr>
        <w:t xml:space="preserve"> J</w:t>
      </w:r>
      <w:r w:rsidRPr="00BD33BF">
        <w:rPr>
          <w:rFonts w:ascii="Book Antiqua" w:eastAsia="SimSun" w:hAnsi="Book Antiqua" w:cs="SimSun"/>
        </w:rPr>
        <w:t xml:space="preserve">, Dawson R, </w:t>
      </w:r>
      <w:proofErr w:type="spellStart"/>
      <w:r w:rsidRPr="00BD33BF">
        <w:rPr>
          <w:rFonts w:ascii="Book Antiqua" w:eastAsia="SimSun" w:hAnsi="Book Antiqua" w:cs="SimSun"/>
        </w:rPr>
        <w:t>Hefferon</w:t>
      </w:r>
      <w:proofErr w:type="spellEnd"/>
      <w:r w:rsidRPr="00BD33BF">
        <w:rPr>
          <w:rFonts w:ascii="Book Antiqua" w:eastAsia="SimSun" w:hAnsi="Book Antiqua" w:cs="SimSun"/>
        </w:rPr>
        <w:t xml:space="preserve"> M, </w:t>
      </w:r>
      <w:proofErr w:type="spellStart"/>
      <w:r w:rsidRPr="00BD33BF">
        <w:rPr>
          <w:rFonts w:ascii="Book Antiqua" w:eastAsia="SimSun" w:hAnsi="Book Antiqua" w:cs="SimSun"/>
        </w:rPr>
        <w:t>Tshuma</w:t>
      </w:r>
      <w:proofErr w:type="spellEnd"/>
      <w:r w:rsidRPr="00BD33BF">
        <w:rPr>
          <w:rFonts w:ascii="Book Antiqua" w:eastAsia="SimSun" w:hAnsi="Book Antiqua" w:cs="SimSun"/>
        </w:rPr>
        <w:t xml:space="preserve"> N, Swanson G, </w:t>
      </w:r>
      <w:proofErr w:type="spellStart"/>
      <w:r w:rsidRPr="00BD33BF">
        <w:rPr>
          <w:rFonts w:ascii="Book Antiqua" w:eastAsia="SimSun" w:hAnsi="Book Antiqua" w:cs="SimSun"/>
        </w:rPr>
        <w:t>Wahed</w:t>
      </w:r>
      <w:proofErr w:type="spellEnd"/>
      <w:r w:rsidRPr="00BD33BF">
        <w:rPr>
          <w:rFonts w:ascii="Book Antiqua" w:eastAsia="SimSun" w:hAnsi="Book Antiqua" w:cs="SimSun"/>
        </w:rPr>
        <w:t xml:space="preserve"> M, Croft NM, Lindsay JO. Inflammatory bowel disease in young people: the case for transitional clinics. </w:t>
      </w:r>
      <w:proofErr w:type="spellStart"/>
      <w:r w:rsidRPr="00BD33BF">
        <w:rPr>
          <w:rFonts w:ascii="Book Antiqua" w:eastAsia="SimSun" w:hAnsi="Book Antiqua" w:cs="SimSun"/>
          <w:i/>
          <w:iCs/>
        </w:rPr>
        <w:t>Inflamm</w:t>
      </w:r>
      <w:proofErr w:type="spellEnd"/>
      <w:r w:rsidRPr="00BD33BF">
        <w:rPr>
          <w:rFonts w:ascii="Book Antiqua" w:eastAsia="SimSun" w:hAnsi="Book Antiqua" w:cs="SimSun"/>
          <w:i/>
          <w:iCs/>
        </w:rPr>
        <w:t xml:space="preserve"> Bowel Dis</w:t>
      </w:r>
      <w:r w:rsidRPr="00BD33BF">
        <w:rPr>
          <w:rFonts w:ascii="Book Antiqua" w:eastAsia="SimSun" w:hAnsi="Book Antiqua" w:cs="SimSun"/>
        </w:rPr>
        <w:t> 2010; </w:t>
      </w:r>
      <w:r w:rsidRPr="00BD33BF">
        <w:rPr>
          <w:rFonts w:ascii="Book Antiqua" w:eastAsia="SimSun" w:hAnsi="Book Antiqua" w:cs="SimSun"/>
          <w:b/>
          <w:bCs/>
        </w:rPr>
        <w:t>16</w:t>
      </w:r>
      <w:r w:rsidRPr="00BD33BF">
        <w:rPr>
          <w:rFonts w:ascii="Book Antiqua" w:eastAsia="SimSun" w:hAnsi="Book Antiqua" w:cs="SimSun"/>
        </w:rPr>
        <w:t>: 947-952 [PMID: 19834978 DOI: 10.1002/ibd.21145]</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8 </w:t>
      </w:r>
      <w:r w:rsidRPr="00BD33BF">
        <w:rPr>
          <w:rFonts w:ascii="Book Antiqua" w:eastAsia="SimSun" w:hAnsi="Book Antiqua" w:cs="SimSun"/>
          <w:b/>
          <w:bCs/>
        </w:rPr>
        <w:t>Vernier-</w:t>
      </w:r>
      <w:proofErr w:type="spellStart"/>
      <w:r w:rsidRPr="00BD33BF">
        <w:rPr>
          <w:rFonts w:ascii="Book Antiqua" w:eastAsia="SimSun" w:hAnsi="Book Antiqua" w:cs="SimSun"/>
          <w:b/>
          <w:bCs/>
        </w:rPr>
        <w:t>Massouille</w:t>
      </w:r>
      <w:proofErr w:type="spellEnd"/>
      <w:r w:rsidRPr="00BD33BF">
        <w:rPr>
          <w:rFonts w:ascii="Book Antiqua" w:eastAsia="SimSun" w:hAnsi="Book Antiqua" w:cs="SimSun"/>
          <w:b/>
          <w:bCs/>
        </w:rPr>
        <w:t xml:space="preserve"> G</w:t>
      </w:r>
      <w:r w:rsidRPr="00BD33BF">
        <w:rPr>
          <w:rFonts w:ascii="Book Antiqua" w:eastAsia="SimSun" w:hAnsi="Book Antiqua" w:cs="SimSun"/>
        </w:rPr>
        <w:t xml:space="preserve">, </w:t>
      </w:r>
      <w:proofErr w:type="spellStart"/>
      <w:r w:rsidRPr="00BD33BF">
        <w:rPr>
          <w:rFonts w:ascii="Book Antiqua" w:eastAsia="SimSun" w:hAnsi="Book Antiqua" w:cs="SimSun"/>
        </w:rPr>
        <w:t>Balde</w:t>
      </w:r>
      <w:proofErr w:type="spellEnd"/>
      <w:r w:rsidRPr="00BD33BF">
        <w:rPr>
          <w:rFonts w:ascii="Book Antiqua" w:eastAsia="SimSun" w:hAnsi="Book Antiqua" w:cs="SimSun"/>
        </w:rPr>
        <w:t xml:space="preserve"> M, </w:t>
      </w:r>
      <w:proofErr w:type="spellStart"/>
      <w:r w:rsidRPr="00BD33BF">
        <w:rPr>
          <w:rFonts w:ascii="Book Antiqua" w:eastAsia="SimSun" w:hAnsi="Book Antiqua" w:cs="SimSun"/>
        </w:rPr>
        <w:t>Salleron</w:t>
      </w:r>
      <w:proofErr w:type="spellEnd"/>
      <w:r w:rsidRPr="00BD33BF">
        <w:rPr>
          <w:rFonts w:ascii="Book Antiqua" w:eastAsia="SimSun" w:hAnsi="Book Antiqua" w:cs="SimSun"/>
        </w:rPr>
        <w:t xml:space="preserve"> J, </w:t>
      </w:r>
      <w:proofErr w:type="spellStart"/>
      <w:r w:rsidRPr="00BD33BF">
        <w:rPr>
          <w:rFonts w:ascii="Book Antiqua" w:eastAsia="SimSun" w:hAnsi="Book Antiqua" w:cs="SimSun"/>
        </w:rPr>
        <w:t>Turck</w:t>
      </w:r>
      <w:proofErr w:type="spellEnd"/>
      <w:r w:rsidRPr="00BD33BF">
        <w:rPr>
          <w:rFonts w:ascii="Book Antiqua" w:eastAsia="SimSun" w:hAnsi="Book Antiqua" w:cs="SimSun"/>
        </w:rPr>
        <w:t xml:space="preserve"> D, </w:t>
      </w:r>
      <w:proofErr w:type="spellStart"/>
      <w:r w:rsidRPr="00BD33BF">
        <w:rPr>
          <w:rFonts w:ascii="Book Antiqua" w:eastAsia="SimSun" w:hAnsi="Book Antiqua" w:cs="SimSun"/>
        </w:rPr>
        <w:t>Dupas</w:t>
      </w:r>
      <w:proofErr w:type="spellEnd"/>
      <w:r w:rsidRPr="00BD33BF">
        <w:rPr>
          <w:rFonts w:ascii="Book Antiqua" w:eastAsia="SimSun" w:hAnsi="Book Antiqua" w:cs="SimSun"/>
        </w:rPr>
        <w:t xml:space="preserve"> JL, </w:t>
      </w:r>
      <w:proofErr w:type="spellStart"/>
      <w:r w:rsidRPr="00BD33BF">
        <w:rPr>
          <w:rFonts w:ascii="Book Antiqua" w:eastAsia="SimSun" w:hAnsi="Book Antiqua" w:cs="SimSun"/>
        </w:rPr>
        <w:t>Mouterde</w:t>
      </w:r>
      <w:proofErr w:type="spellEnd"/>
      <w:r w:rsidRPr="00BD33BF">
        <w:rPr>
          <w:rFonts w:ascii="Book Antiqua" w:eastAsia="SimSun" w:hAnsi="Book Antiqua" w:cs="SimSun"/>
        </w:rPr>
        <w:t xml:space="preserve"> O, Merle V, </w:t>
      </w:r>
      <w:proofErr w:type="spellStart"/>
      <w:r w:rsidRPr="00BD33BF">
        <w:rPr>
          <w:rFonts w:ascii="Book Antiqua" w:eastAsia="SimSun" w:hAnsi="Book Antiqua" w:cs="SimSun"/>
        </w:rPr>
        <w:t>Salomez</w:t>
      </w:r>
      <w:proofErr w:type="spellEnd"/>
      <w:r w:rsidRPr="00BD33BF">
        <w:rPr>
          <w:rFonts w:ascii="Book Antiqua" w:eastAsia="SimSun" w:hAnsi="Book Antiqua" w:cs="SimSun"/>
        </w:rPr>
        <w:t xml:space="preserve"> JL, </w:t>
      </w:r>
      <w:proofErr w:type="spellStart"/>
      <w:r w:rsidRPr="00BD33BF">
        <w:rPr>
          <w:rFonts w:ascii="Book Antiqua" w:eastAsia="SimSun" w:hAnsi="Book Antiqua" w:cs="SimSun"/>
        </w:rPr>
        <w:t>Branche</w:t>
      </w:r>
      <w:proofErr w:type="spellEnd"/>
      <w:r w:rsidRPr="00BD33BF">
        <w:rPr>
          <w:rFonts w:ascii="Book Antiqua" w:eastAsia="SimSun" w:hAnsi="Book Antiqua" w:cs="SimSun"/>
        </w:rPr>
        <w:t xml:space="preserve"> J, Marti R, </w:t>
      </w:r>
      <w:proofErr w:type="spellStart"/>
      <w:r w:rsidRPr="00BD33BF">
        <w:rPr>
          <w:rFonts w:ascii="Book Antiqua" w:eastAsia="SimSun" w:hAnsi="Book Antiqua" w:cs="SimSun"/>
        </w:rPr>
        <w:t>Lerebours</w:t>
      </w:r>
      <w:proofErr w:type="spellEnd"/>
      <w:r w:rsidRPr="00BD33BF">
        <w:rPr>
          <w:rFonts w:ascii="Book Antiqua" w:eastAsia="SimSun" w:hAnsi="Book Antiqua" w:cs="SimSun"/>
        </w:rPr>
        <w:t xml:space="preserve"> E, </w:t>
      </w:r>
      <w:proofErr w:type="spellStart"/>
      <w:r w:rsidRPr="00BD33BF">
        <w:rPr>
          <w:rFonts w:ascii="Book Antiqua" w:eastAsia="SimSun" w:hAnsi="Book Antiqua" w:cs="SimSun"/>
        </w:rPr>
        <w:t>Cortot</w:t>
      </w:r>
      <w:proofErr w:type="spellEnd"/>
      <w:r w:rsidRPr="00BD33BF">
        <w:rPr>
          <w:rFonts w:ascii="Book Antiqua" w:eastAsia="SimSun" w:hAnsi="Book Antiqua" w:cs="SimSun"/>
        </w:rPr>
        <w:t xml:space="preserve"> A, Gower-Rousseau C, </w:t>
      </w:r>
      <w:proofErr w:type="spellStart"/>
      <w:r w:rsidRPr="00BD33BF">
        <w:rPr>
          <w:rFonts w:ascii="Book Antiqua" w:eastAsia="SimSun" w:hAnsi="Book Antiqua" w:cs="SimSun"/>
        </w:rPr>
        <w:t>Colombel</w:t>
      </w:r>
      <w:proofErr w:type="spellEnd"/>
      <w:r w:rsidRPr="00BD33BF">
        <w:rPr>
          <w:rFonts w:ascii="Book Antiqua" w:eastAsia="SimSun" w:hAnsi="Book Antiqua" w:cs="SimSun"/>
        </w:rPr>
        <w:t xml:space="preserve"> JF. Natural history of pediatric Crohn's disease: a population-based cohort study. </w:t>
      </w:r>
      <w:r w:rsidRPr="00BD33BF">
        <w:rPr>
          <w:rFonts w:ascii="Book Antiqua" w:eastAsia="SimSun" w:hAnsi="Book Antiqua" w:cs="SimSun"/>
          <w:i/>
          <w:iCs/>
        </w:rPr>
        <w:t>Gastroenterology</w:t>
      </w:r>
      <w:r w:rsidRPr="00BD33BF">
        <w:rPr>
          <w:rFonts w:ascii="Book Antiqua" w:eastAsia="SimSun" w:hAnsi="Book Antiqua" w:cs="SimSun"/>
        </w:rPr>
        <w:t> 2008</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135</w:t>
      </w:r>
      <w:r w:rsidRPr="00BD33BF">
        <w:rPr>
          <w:rFonts w:ascii="Book Antiqua" w:eastAsia="SimSun" w:hAnsi="Book Antiqua" w:cs="SimSun"/>
        </w:rPr>
        <w:t>: 1106-1113 [PMID: 18692056]</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lastRenderedPageBreak/>
        <w:t>9</w:t>
      </w:r>
      <w:proofErr w:type="gramEnd"/>
      <w:r w:rsidRPr="00BD33BF">
        <w:rPr>
          <w:rFonts w:ascii="Book Antiqua" w:eastAsia="SimSun" w:hAnsi="Book Antiqua" w:cs="SimSun"/>
        </w:rPr>
        <w:t> </w:t>
      </w:r>
      <w:r w:rsidRPr="00BD33BF">
        <w:rPr>
          <w:rFonts w:ascii="Book Antiqua" w:eastAsia="SimSun" w:hAnsi="Book Antiqua" w:cs="SimSun"/>
          <w:b/>
          <w:bCs/>
        </w:rPr>
        <w:t>Hartman C</w:t>
      </w:r>
      <w:r w:rsidRPr="00BD33BF">
        <w:rPr>
          <w:rFonts w:ascii="Book Antiqua" w:eastAsia="SimSun" w:hAnsi="Book Antiqua" w:cs="SimSun"/>
        </w:rPr>
        <w:t xml:space="preserve">, </w:t>
      </w:r>
      <w:proofErr w:type="spellStart"/>
      <w:r w:rsidRPr="00BD33BF">
        <w:rPr>
          <w:rFonts w:ascii="Book Antiqua" w:eastAsia="SimSun" w:hAnsi="Book Antiqua" w:cs="SimSun"/>
        </w:rPr>
        <w:t>Eliakim</w:t>
      </w:r>
      <w:proofErr w:type="spellEnd"/>
      <w:r w:rsidRPr="00BD33BF">
        <w:rPr>
          <w:rFonts w:ascii="Book Antiqua" w:eastAsia="SimSun" w:hAnsi="Book Antiqua" w:cs="SimSun"/>
        </w:rPr>
        <w:t xml:space="preserve"> R, Shamir R. Nutritional status and nutritional therapy in inflammatory bowel diseases. </w:t>
      </w:r>
      <w:r w:rsidRPr="00BD33BF">
        <w:rPr>
          <w:rFonts w:ascii="Book Antiqua" w:eastAsia="SimSun" w:hAnsi="Book Antiqua" w:cs="SimSun"/>
          <w:i/>
          <w:iCs/>
        </w:rPr>
        <w:t xml:space="preserve">World J </w:t>
      </w:r>
      <w:proofErr w:type="spellStart"/>
      <w:r w:rsidRPr="00BD33BF">
        <w:rPr>
          <w:rFonts w:ascii="Book Antiqua" w:eastAsia="SimSun" w:hAnsi="Book Antiqua" w:cs="SimSun"/>
          <w:i/>
          <w:iCs/>
        </w:rPr>
        <w:t>Gastroenterol</w:t>
      </w:r>
      <w:proofErr w:type="spellEnd"/>
      <w:r w:rsidRPr="00BD33BF">
        <w:rPr>
          <w:rFonts w:ascii="Book Antiqua" w:eastAsia="SimSun" w:hAnsi="Book Antiqua" w:cs="SimSun"/>
        </w:rPr>
        <w:t> 2009</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15</w:t>
      </w:r>
      <w:r w:rsidRPr="00BD33BF">
        <w:rPr>
          <w:rFonts w:ascii="Book Antiqua" w:eastAsia="SimSun" w:hAnsi="Book Antiqua" w:cs="SimSun"/>
        </w:rPr>
        <w:t>: 2570-2578 [PMID: 19496185]</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10</w:t>
      </w:r>
      <w:proofErr w:type="gramEnd"/>
      <w:r w:rsidRPr="00BD33BF">
        <w:rPr>
          <w:rFonts w:ascii="Book Antiqua" w:eastAsia="SimSun" w:hAnsi="Book Antiqua" w:cs="SimSun"/>
        </w:rPr>
        <w:t> </w:t>
      </w:r>
      <w:proofErr w:type="spellStart"/>
      <w:r w:rsidRPr="00BD33BF">
        <w:rPr>
          <w:rFonts w:ascii="Book Antiqua" w:eastAsia="SimSun" w:hAnsi="Book Antiqua" w:cs="SimSun"/>
          <w:b/>
          <w:bCs/>
        </w:rPr>
        <w:t>Mackner</w:t>
      </w:r>
      <w:proofErr w:type="spellEnd"/>
      <w:r w:rsidRPr="00BD33BF">
        <w:rPr>
          <w:rFonts w:ascii="Book Antiqua" w:eastAsia="SimSun" w:hAnsi="Book Antiqua" w:cs="SimSun"/>
          <w:b/>
          <w:bCs/>
        </w:rPr>
        <w:t xml:space="preserve"> LM</w:t>
      </w:r>
      <w:r w:rsidRPr="00BD33BF">
        <w:rPr>
          <w:rFonts w:ascii="Book Antiqua" w:eastAsia="SimSun" w:hAnsi="Book Antiqua" w:cs="SimSun"/>
        </w:rPr>
        <w:t xml:space="preserve">, Crandall WV, </w:t>
      </w:r>
      <w:proofErr w:type="spellStart"/>
      <w:r w:rsidRPr="00BD33BF">
        <w:rPr>
          <w:rFonts w:ascii="Book Antiqua" w:eastAsia="SimSun" w:hAnsi="Book Antiqua" w:cs="SimSun"/>
        </w:rPr>
        <w:t>Szigethy</w:t>
      </w:r>
      <w:proofErr w:type="spellEnd"/>
      <w:r w:rsidRPr="00BD33BF">
        <w:rPr>
          <w:rFonts w:ascii="Book Antiqua" w:eastAsia="SimSun" w:hAnsi="Book Antiqua" w:cs="SimSun"/>
        </w:rPr>
        <w:t xml:space="preserve"> EM. Psychosocial functioning in pediatric inflammatory bowel disease. </w:t>
      </w:r>
      <w:proofErr w:type="spellStart"/>
      <w:r w:rsidRPr="00BD33BF">
        <w:rPr>
          <w:rFonts w:ascii="Book Antiqua" w:eastAsia="SimSun" w:hAnsi="Book Antiqua" w:cs="SimSun"/>
          <w:i/>
          <w:iCs/>
        </w:rPr>
        <w:t>Inflamm</w:t>
      </w:r>
      <w:proofErr w:type="spellEnd"/>
      <w:r w:rsidRPr="00BD33BF">
        <w:rPr>
          <w:rFonts w:ascii="Book Antiqua" w:eastAsia="SimSun" w:hAnsi="Book Antiqua" w:cs="SimSun"/>
          <w:i/>
          <w:iCs/>
        </w:rPr>
        <w:t xml:space="preserve"> Bowel Dis</w:t>
      </w:r>
      <w:r w:rsidRPr="00BD33BF">
        <w:rPr>
          <w:rFonts w:ascii="Book Antiqua" w:eastAsia="SimSun" w:hAnsi="Book Antiqua" w:cs="SimSun"/>
        </w:rPr>
        <w:t> 2006</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12</w:t>
      </w:r>
      <w:r w:rsidRPr="00BD33BF">
        <w:rPr>
          <w:rFonts w:ascii="Book Antiqua" w:eastAsia="SimSun" w:hAnsi="Book Antiqua" w:cs="SimSun"/>
        </w:rPr>
        <w:t>: 239-244 [PMID: 16534426]</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11</w:t>
      </w:r>
      <w:proofErr w:type="gramEnd"/>
      <w:r w:rsidRPr="00BD33BF">
        <w:rPr>
          <w:rFonts w:ascii="Book Antiqua" w:eastAsia="SimSun" w:hAnsi="Book Antiqua" w:cs="SimSun"/>
        </w:rPr>
        <w:t> </w:t>
      </w:r>
      <w:proofErr w:type="spellStart"/>
      <w:r w:rsidRPr="00BD33BF">
        <w:rPr>
          <w:rFonts w:ascii="Book Antiqua" w:eastAsia="SimSun" w:hAnsi="Book Antiqua" w:cs="SimSun"/>
          <w:b/>
          <w:bCs/>
        </w:rPr>
        <w:t>Greenley</w:t>
      </w:r>
      <w:proofErr w:type="spellEnd"/>
      <w:r w:rsidRPr="00BD33BF">
        <w:rPr>
          <w:rFonts w:ascii="Book Antiqua" w:eastAsia="SimSun" w:hAnsi="Book Antiqua" w:cs="SimSun"/>
          <w:b/>
          <w:bCs/>
        </w:rPr>
        <w:t xml:space="preserve"> RN</w:t>
      </w:r>
      <w:r w:rsidRPr="00BD33BF">
        <w:rPr>
          <w:rFonts w:ascii="Book Antiqua" w:eastAsia="SimSun" w:hAnsi="Book Antiqua" w:cs="SimSun"/>
        </w:rPr>
        <w:t xml:space="preserve">, </w:t>
      </w:r>
      <w:proofErr w:type="spellStart"/>
      <w:r w:rsidRPr="00BD33BF">
        <w:rPr>
          <w:rFonts w:ascii="Book Antiqua" w:eastAsia="SimSun" w:hAnsi="Book Antiqua" w:cs="SimSun"/>
        </w:rPr>
        <w:t>Hommel</w:t>
      </w:r>
      <w:proofErr w:type="spellEnd"/>
      <w:r w:rsidRPr="00BD33BF">
        <w:rPr>
          <w:rFonts w:ascii="Book Antiqua" w:eastAsia="SimSun" w:hAnsi="Book Antiqua" w:cs="SimSun"/>
        </w:rPr>
        <w:t xml:space="preserve"> KA, </w:t>
      </w:r>
      <w:proofErr w:type="spellStart"/>
      <w:r w:rsidRPr="00BD33BF">
        <w:rPr>
          <w:rFonts w:ascii="Book Antiqua" w:eastAsia="SimSun" w:hAnsi="Book Antiqua" w:cs="SimSun"/>
        </w:rPr>
        <w:t>Nebel</w:t>
      </w:r>
      <w:proofErr w:type="spellEnd"/>
      <w:r w:rsidRPr="00BD33BF">
        <w:rPr>
          <w:rFonts w:ascii="Book Antiqua" w:eastAsia="SimSun" w:hAnsi="Book Antiqua" w:cs="SimSun"/>
        </w:rPr>
        <w:t xml:space="preserve"> J, </w:t>
      </w:r>
      <w:proofErr w:type="spellStart"/>
      <w:r w:rsidRPr="00BD33BF">
        <w:rPr>
          <w:rFonts w:ascii="Book Antiqua" w:eastAsia="SimSun" w:hAnsi="Book Antiqua" w:cs="SimSun"/>
        </w:rPr>
        <w:t>Raboin</w:t>
      </w:r>
      <w:proofErr w:type="spellEnd"/>
      <w:r w:rsidRPr="00BD33BF">
        <w:rPr>
          <w:rFonts w:ascii="Book Antiqua" w:eastAsia="SimSun" w:hAnsi="Book Antiqua" w:cs="SimSun"/>
        </w:rPr>
        <w:t xml:space="preserve"> T, Li SH, Simpson P, </w:t>
      </w:r>
      <w:proofErr w:type="spellStart"/>
      <w:r w:rsidRPr="00BD33BF">
        <w:rPr>
          <w:rFonts w:ascii="Book Antiqua" w:eastAsia="SimSun" w:hAnsi="Book Antiqua" w:cs="SimSun"/>
        </w:rPr>
        <w:t>Mackner</w:t>
      </w:r>
      <w:proofErr w:type="spellEnd"/>
      <w:r w:rsidRPr="00BD33BF">
        <w:rPr>
          <w:rFonts w:ascii="Book Antiqua" w:eastAsia="SimSun" w:hAnsi="Book Antiqua" w:cs="SimSun"/>
        </w:rPr>
        <w:t xml:space="preserve"> L. A meta-analytic review of the psychosocial adjustment of youth with inflammatory bowel disease. </w:t>
      </w:r>
      <w:r w:rsidRPr="00BD33BF">
        <w:rPr>
          <w:rFonts w:ascii="Book Antiqua" w:eastAsia="SimSun" w:hAnsi="Book Antiqua" w:cs="SimSun"/>
          <w:i/>
          <w:iCs/>
        </w:rPr>
        <w:t xml:space="preserve">J </w:t>
      </w:r>
      <w:proofErr w:type="spellStart"/>
      <w:r w:rsidRPr="00BD33BF">
        <w:rPr>
          <w:rFonts w:ascii="Book Antiqua" w:eastAsia="SimSun" w:hAnsi="Book Antiqua" w:cs="SimSun"/>
          <w:i/>
          <w:iCs/>
        </w:rPr>
        <w:t>Pediatr</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Psychol</w:t>
      </w:r>
      <w:proofErr w:type="spellEnd"/>
      <w:r w:rsidRPr="00BD33BF">
        <w:rPr>
          <w:rFonts w:ascii="Book Antiqua" w:eastAsia="SimSun" w:hAnsi="Book Antiqua" w:cs="SimSun"/>
        </w:rPr>
        <w:t> 2010; </w:t>
      </w:r>
      <w:r w:rsidRPr="00BD33BF">
        <w:rPr>
          <w:rFonts w:ascii="Book Antiqua" w:eastAsia="SimSun" w:hAnsi="Book Antiqua" w:cs="SimSun"/>
          <w:b/>
          <w:bCs/>
        </w:rPr>
        <w:t>35</w:t>
      </w:r>
      <w:r w:rsidRPr="00BD33BF">
        <w:rPr>
          <w:rFonts w:ascii="Book Antiqua" w:eastAsia="SimSun" w:hAnsi="Book Antiqua" w:cs="SimSun"/>
        </w:rPr>
        <w:t>: 857-869 [PMID: 20123705 DOI: 10.1093/</w:t>
      </w:r>
      <w:proofErr w:type="spellStart"/>
      <w:r w:rsidRPr="00BD33BF">
        <w:rPr>
          <w:rFonts w:ascii="Book Antiqua" w:eastAsia="SimSun" w:hAnsi="Book Antiqua" w:cs="SimSun"/>
        </w:rPr>
        <w:t>jpepsy</w:t>
      </w:r>
      <w:proofErr w:type="spellEnd"/>
      <w:r w:rsidRPr="00BD33BF">
        <w:rPr>
          <w:rFonts w:ascii="Book Antiqua" w:eastAsia="SimSun" w:hAnsi="Book Antiqua" w:cs="SimSun"/>
        </w:rPr>
        <w:t>/jsp120]</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12</w:t>
      </w:r>
      <w:proofErr w:type="gramEnd"/>
      <w:r w:rsidRPr="00BD33BF">
        <w:rPr>
          <w:rFonts w:ascii="Book Antiqua" w:eastAsia="SimSun" w:hAnsi="Book Antiqua" w:cs="SimSun"/>
        </w:rPr>
        <w:t> </w:t>
      </w:r>
      <w:r w:rsidRPr="00BD33BF">
        <w:rPr>
          <w:rFonts w:ascii="Book Antiqua" w:eastAsia="SimSun" w:hAnsi="Book Antiqua" w:cs="SimSun"/>
          <w:b/>
          <w:bCs/>
        </w:rPr>
        <w:t>Gray WN</w:t>
      </w:r>
      <w:r w:rsidRPr="00BD33BF">
        <w:rPr>
          <w:rFonts w:ascii="Book Antiqua" w:eastAsia="SimSun" w:hAnsi="Book Antiqua" w:cs="SimSun"/>
        </w:rPr>
        <w:t xml:space="preserve">, Denson LA, </w:t>
      </w:r>
      <w:proofErr w:type="spellStart"/>
      <w:r w:rsidRPr="00BD33BF">
        <w:rPr>
          <w:rFonts w:ascii="Book Antiqua" w:eastAsia="SimSun" w:hAnsi="Book Antiqua" w:cs="SimSun"/>
        </w:rPr>
        <w:t>Baldassano</w:t>
      </w:r>
      <w:proofErr w:type="spellEnd"/>
      <w:r w:rsidRPr="00BD33BF">
        <w:rPr>
          <w:rFonts w:ascii="Book Antiqua" w:eastAsia="SimSun" w:hAnsi="Book Antiqua" w:cs="SimSun"/>
        </w:rPr>
        <w:t xml:space="preserve"> RN, </w:t>
      </w:r>
      <w:proofErr w:type="spellStart"/>
      <w:r w:rsidRPr="00BD33BF">
        <w:rPr>
          <w:rFonts w:ascii="Book Antiqua" w:eastAsia="SimSun" w:hAnsi="Book Antiqua" w:cs="SimSun"/>
        </w:rPr>
        <w:t>Hommel</w:t>
      </w:r>
      <w:proofErr w:type="spellEnd"/>
      <w:r w:rsidRPr="00BD33BF">
        <w:rPr>
          <w:rFonts w:ascii="Book Antiqua" w:eastAsia="SimSun" w:hAnsi="Book Antiqua" w:cs="SimSun"/>
        </w:rPr>
        <w:t xml:space="preserve"> KA. Treatment adherence in adolescents with inflammatory bowel disease: the collective impact of barriers to adherence and anxiety/depressive symptoms. </w:t>
      </w:r>
      <w:r w:rsidRPr="00BD33BF">
        <w:rPr>
          <w:rFonts w:ascii="Book Antiqua" w:eastAsia="SimSun" w:hAnsi="Book Antiqua" w:cs="SimSun"/>
          <w:i/>
          <w:iCs/>
        </w:rPr>
        <w:t xml:space="preserve">J </w:t>
      </w:r>
      <w:proofErr w:type="spellStart"/>
      <w:r w:rsidRPr="00BD33BF">
        <w:rPr>
          <w:rFonts w:ascii="Book Antiqua" w:eastAsia="SimSun" w:hAnsi="Book Antiqua" w:cs="SimSun"/>
          <w:i/>
          <w:iCs/>
        </w:rPr>
        <w:t>Pediatr</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Psychol</w:t>
      </w:r>
      <w:proofErr w:type="spellEnd"/>
      <w:r w:rsidRPr="00BD33BF">
        <w:rPr>
          <w:rFonts w:ascii="Book Antiqua" w:eastAsia="SimSun" w:hAnsi="Book Antiqua" w:cs="SimSun"/>
        </w:rPr>
        <w:t> 2012; </w:t>
      </w:r>
      <w:r w:rsidRPr="00BD33BF">
        <w:rPr>
          <w:rFonts w:ascii="Book Antiqua" w:eastAsia="SimSun" w:hAnsi="Book Antiqua" w:cs="SimSun"/>
          <w:b/>
          <w:bCs/>
        </w:rPr>
        <w:t>37</w:t>
      </w:r>
      <w:r w:rsidRPr="00BD33BF">
        <w:rPr>
          <w:rFonts w:ascii="Book Antiqua" w:eastAsia="SimSun" w:hAnsi="Book Antiqua" w:cs="SimSun"/>
        </w:rPr>
        <w:t>: 282-291 [PMID: 22080456 DOI: 10.1093/</w:t>
      </w:r>
      <w:proofErr w:type="spellStart"/>
      <w:r w:rsidRPr="00BD33BF">
        <w:rPr>
          <w:rFonts w:ascii="Book Antiqua" w:eastAsia="SimSun" w:hAnsi="Book Antiqua" w:cs="SimSun"/>
        </w:rPr>
        <w:t>jpepsy</w:t>
      </w:r>
      <w:proofErr w:type="spellEnd"/>
      <w:r w:rsidRPr="00BD33BF">
        <w:rPr>
          <w:rFonts w:ascii="Book Antiqua" w:eastAsia="SimSun" w:hAnsi="Book Antiqua" w:cs="SimSun"/>
        </w:rPr>
        <w:t>/jsr092]</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13</w:t>
      </w:r>
      <w:proofErr w:type="gramEnd"/>
      <w:r w:rsidRPr="00BD33BF">
        <w:rPr>
          <w:rFonts w:ascii="Book Antiqua" w:eastAsia="SimSun" w:hAnsi="Book Antiqua" w:cs="SimSun"/>
        </w:rPr>
        <w:t> </w:t>
      </w:r>
      <w:r w:rsidRPr="00BD33BF">
        <w:rPr>
          <w:rFonts w:ascii="Book Antiqua" w:eastAsia="SimSun" w:hAnsi="Book Antiqua" w:cs="SimSun"/>
          <w:b/>
          <w:bCs/>
        </w:rPr>
        <w:t>Trivedi I</w:t>
      </w:r>
      <w:r w:rsidRPr="00BD33BF">
        <w:rPr>
          <w:rFonts w:ascii="Book Antiqua" w:eastAsia="SimSun" w:hAnsi="Book Antiqua" w:cs="SimSun"/>
        </w:rPr>
        <w:t>, Keefer L. The Emerging Adult with Inflammatory Bowel Disease: Challenges and Recommendations for the Adult Gastroenterologist. </w:t>
      </w:r>
      <w:proofErr w:type="spellStart"/>
      <w:r w:rsidRPr="00BD33BF">
        <w:rPr>
          <w:rFonts w:ascii="Book Antiqua" w:eastAsia="SimSun" w:hAnsi="Book Antiqua" w:cs="SimSun"/>
          <w:i/>
          <w:iCs/>
        </w:rPr>
        <w:t>Gastroenterol</w:t>
      </w:r>
      <w:proofErr w:type="spellEnd"/>
      <w:r w:rsidRPr="00BD33BF">
        <w:rPr>
          <w:rFonts w:ascii="Book Antiqua" w:eastAsia="SimSun" w:hAnsi="Book Antiqua" w:cs="SimSun"/>
          <w:i/>
          <w:iCs/>
        </w:rPr>
        <w:t xml:space="preserve"> Res </w:t>
      </w:r>
      <w:proofErr w:type="spellStart"/>
      <w:r w:rsidRPr="00BD33BF">
        <w:rPr>
          <w:rFonts w:ascii="Book Antiqua" w:eastAsia="SimSun" w:hAnsi="Book Antiqua" w:cs="SimSun"/>
          <w:i/>
          <w:iCs/>
        </w:rPr>
        <w:t>Pract</w:t>
      </w:r>
      <w:proofErr w:type="spellEnd"/>
      <w:r w:rsidRPr="00BD33BF">
        <w:rPr>
          <w:rFonts w:ascii="Book Antiqua" w:eastAsia="SimSun" w:hAnsi="Book Antiqua" w:cs="SimSun"/>
        </w:rPr>
        <w:t> 2015</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2015</w:t>
      </w:r>
      <w:r w:rsidRPr="00BD33BF">
        <w:rPr>
          <w:rFonts w:ascii="Book Antiqua" w:eastAsia="SimSun" w:hAnsi="Book Antiqua" w:cs="SimSun"/>
        </w:rPr>
        <w:t>: 260807 [PMID: 26064089 DOI: 10.1155/2015/260807]</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14 </w:t>
      </w:r>
      <w:r w:rsidRPr="00BD33BF">
        <w:rPr>
          <w:rFonts w:ascii="Book Antiqua" w:eastAsia="SimSun" w:hAnsi="Book Antiqua" w:cs="SimSun"/>
          <w:b/>
          <w:bCs/>
        </w:rPr>
        <w:t>Blum RW</w:t>
      </w:r>
      <w:r w:rsidRPr="00BD33BF">
        <w:rPr>
          <w:rFonts w:ascii="Book Antiqua" w:eastAsia="SimSun" w:hAnsi="Book Antiqua" w:cs="SimSun"/>
        </w:rPr>
        <w:t xml:space="preserve">, </w:t>
      </w:r>
      <w:proofErr w:type="spellStart"/>
      <w:r w:rsidRPr="00BD33BF">
        <w:rPr>
          <w:rFonts w:ascii="Book Antiqua" w:eastAsia="SimSun" w:hAnsi="Book Antiqua" w:cs="SimSun"/>
        </w:rPr>
        <w:t>Garell</w:t>
      </w:r>
      <w:proofErr w:type="spellEnd"/>
      <w:r w:rsidRPr="00BD33BF">
        <w:rPr>
          <w:rFonts w:ascii="Book Antiqua" w:eastAsia="SimSun" w:hAnsi="Book Antiqua" w:cs="SimSun"/>
        </w:rPr>
        <w:t xml:space="preserve"> D, </w:t>
      </w:r>
      <w:proofErr w:type="spellStart"/>
      <w:r w:rsidRPr="00BD33BF">
        <w:rPr>
          <w:rFonts w:ascii="Book Antiqua" w:eastAsia="SimSun" w:hAnsi="Book Antiqua" w:cs="SimSun"/>
        </w:rPr>
        <w:t>Hodgman</w:t>
      </w:r>
      <w:proofErr w:type="spellEnd"/>
      <w:r w:rsidRPr="00BD33BF">
        <w:rPr>
          <w:rFonts w:ascii="Book Antiqua" w:eastAsia="SimSun" w:hAnsi="Book Antiqua" w:cs="SimSun"/>
        </w:rPr>
        <w:t xml:space="preserve"> CH, </w:t>
      </w:r>
      <w:proofErr w:type="spellStart"/>
      <w:r w:rsidRPr="00BD33BF">
        <w:rPr>
          <w:rFonts w:ascii="Book Antiqua" w:eastAsia="SimSun" w:hAnsi="Book Antiqua" w:cs="SimSun"/>
        </w:rPr>
        <w:t>Jorissen</w:t>
      </w:r>
      <w:proofErr w:type="spellEnd"/>
      <w:r w:rsidRPr="00BD33BF">
        <w:rPr>
          <w:rFonts w:ascii="Book Antiqua" w:eastAsia="SimSun" w:hAnsi="Book Antiqua" w:cs="SimSun"/>
        </w:rPr>
        <w:t xml:space="preserve"> TW, </w:t>
      </w:r>
      <w:proofErr w:type="spellStart"/>
      <w:r w:rsidRPr="00BD33BF">
        <w:rPr>
          <w:rFonts w:ascii="Book Antiqua" w:eastAsia="SimSun" w:hAnsi="Book Antiqua" w:cs="SimSun"/>
        </w:rPr>
        <w:t>Okinow</w:t>
      </w:r>
      <w:proofErr w:type="spellEnd"/>
      <w:r w:rsidRPr="00BD33BF">
        <w:rPr>
          <w:rFonts w:ascii="Book Antiqua" w:eastAsia="SimSun" w:hAnsi="Book Antiqua" w:cs="SimSun"/>
        </w:rPr>
        <w:t xml:space="preserve"> NA, Orr DP, Slap GB. Transition from child-centered to adult health-care systems for adolescents with chronic conditions. A position paper of the Society for Adolescent Medicine. </w:t>
      </w:r>
      <w:r w:rsidRPr="00BD33BF">
        <w:rPr>
          <w:rFonts w:ascii="Book Antiqua" w:eastAsia="SimSun" w:hAnsi="Book Antiqua" w:cs="SimSun"/>
          <w:i/>
          <w:iCs/>
        </w:rPr>
        <w:t xml:space="preserve">J </w:t>
      </w:r>
      <w:proofErr w:type="spellStart"/>
      <w:r w:rsidRPr="00BD33BF">
        <w:rPr>
          <w:rFonts w:ascii="Book Antiqua" w:eastAsia="SimSun" w:hAnsi="Book Antiqua" w:cs="SimSun"/>
          <w:i/>
          <w:iCs/>
        </w:rPr>
        <w:t>Adolesc</w:t>
      </w:r>
      <w:proofErr w:type="spellEnd"/>
      <w:r w:rsidRPr="00BD33BF">
        <w:rPr>
          <w:rFonts w:ascii="Book Antiqua" w:eastAsia="SimSun" w:hAnsi="Book Antiqua" w:cs="SimSun"/>
          <w:i/>
          <w:iCs/>
        </w:rPr>
        <w:t xml:space="preserve"> Health</w:t>
      </w:r>
      <w:r w:rsidRPr="00BD33BF">
        <w:rPr>
          <w:rFonts w:ascii="Book Antiqua" w:eastAsia="SimSun" w:hAnsi="Book Antiqua" w:cs="SimSun"/>
        </w:rPr>
        <w:t> 1993</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14</w:t>
      </w:r>
      <w:r w:rsidRPr="00BD33BF">
        <w:rPr>
          <w:rFonts w:ascii="Book Antiqua" w:eastAsia="SimSun" w:hAnsi="Book Antiqua" w:cs="SimSun"/>
        </w:rPr>
        <w:t>: 570-576 [PMID: 8312295]</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15</w:t>
      </w:r>
      <w:proofErr w:type="gramEnd"/>
      <w:r w:rsidRPr="00BD33BF">
        <w:rPr>
          <w:rFonts w:ascii="Book Antiqua" w:eastAsia="SimSun" w:hAnsi="Book Antiqua" w:cs="SimSun"/>
        </w:rPr>
        <w:t> </w:t>
      </w:r>
      <w:r w:rsidRPr="00BD33BF">
        <w:rPr>
          <w:rFonts w:ascii="Book Antiqua" w:eastAsia="SimSun" w:hAnsi="Book Antiqua" w:cs="SimSun"/>
          <w:b/>
          <w:bCs/>
        </w:rPr>
        <w:t>Hewer SC</w:t>
      </w:r>
      <w:r w:rsidRPr="00BD33BF">
        <w:rPr>
          <w:rFonts w:ascii="Book Antiqua" w:eastAsia="SimSun" w:hAnsi="Book Antiqua" w:cs="SimSun"/>
        </w:rPr>
        <w:t>, Tyrrell J. Cystic fibrosis and the transition to adult health services. </w:t>
      </w:r>
      <w:r w:rsidRPr="00BD33BF">
        <w:rPr>
          <w:rFonts w:ascii="Book Antiqua" w:eastAsia="SimSun" w:hAnsi="Book Antiqua" w:cs="SimSun"/>
          <w:i/>
          <w:iCs/>
        </w:rPr>
        <w:t>Arch Dis Child</w:t>
      </w:r>
      <w:r w:rsidRPr="00BD33BF">
        <w:rPr>
          <w:rFonts w:ascii="Book Antiqua" w:eastAsia="SimSun" w:hAnsi="Book Antiqua" w:cs="SimSun"/>
        </w:rPr>
        <w:t> 2008; </w:t>
      </w:r>
      <w:r w:rsidRPr="00BD33BF">
        <w:rPr>
          <w:rFonts w:ascii="Book Antiqua" w:eastAsia="SimSun" w:hAnsi="Book Antiqua" w:cs="SimSun"/>
          <w:b/>
          <w:bCs/>
        </w:rPr>
        <w:t>93</w:t>
      </w:r>
      <w:r w:rsidRPr="00BD33BF">
        <w:rPr>
          <w:rFonts w:ascii="Book Antiqua" w:eastAsia="SimSun" w:hAnsi="Book Antiqua" w:cs="SimSun"/>
        </w:rPr>
        <w:t>: 817-821 [PMID: 18809702 DOI: 10.1136/adc.2008.143578]</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16 </w:t>
      </w:r>
      <w:proofErr w:type="spellStart"/>
      <w:r w:rsidRPr="00BD33BF">
        <w:rPr>
          <w:rFonts w:ascii="Book Antiqua" w:eastAsia="SimSun" w:hAnsi="Book Antiqua" w:cs="SimSun"/>
          <w:b/>
          <w:bCs/>
        </w:rPr>
        <w:t>Cadario</w:t>
      </w:r>
      <w:proofErr w:type="spellEnd"/>
      <w:r w:rsidRPr="00BD33BF">
        <w:rPr>
          <w:rFonts w:ascii="Book Antiqua" w:eastAsia="SimSun" w:hAnsi="Book Antiqua" w:cs="SimSun"/>
          <w:b/>
          <w:bCs/>
        </w:rPr>
        <w:t xml:space="preserve"> F</w:t>
      </w:r>
      <w:r w:rsidRPr="00BD33BF">
        <w:rPr>
          <w:rFonts w:ascii="Book Antiqua" w:eastAsia="SimSun" w:hAnsi="Book Antiqua" w:cs="SimSun"/>
        </w:rPr>
        <w:t xml:space="preserve">, </w:t>
      </w:r>
      <w:proofErr w:type="spellStart"/>
      <w:r w:rsidRPr="00BD33BF">
        <w:rPr>
          <w:rFonts w:ascii="Book Antiqua" w:eastAsia="SimSun" w:hAnsi="Book Antiqua" w:cs="SimSun"/>
        </w:rPr>
        <w:t>Prodam</w:t>
      </w:r>
      <w:proofErr w:type="spellEnd"/>
      <w:r w:rsidRPr="00BD33BF">
        <w:rPr>
          <w:rFonts w:ascii="Book Antiqua" w:eastAsia="SimSun" w:hAnsi="Book Antiqua" w:cs="SimSun"/>
        </w:rPr>
        <w:t xml:space="preserve"> F, </w:t>
      </w:r>
      <w:proofErr w:type="spellStart"/>
      <w:r w:rsidRPr="00BD33BF">
        <w:rPr>
          <w:rFonts w:ascii="Book Antiqua" w:eastAsia="SimSun" w:hAnsi="Book Antiqua" w:cs="SimSun"/>
        </w:rPr>
        <w:t>Bellone</w:t>
      </w:r>
      <w:proofErr w:type="spellEnd"/>
      <w:r w:rsidRPr="00BD33BF">
        <w:rPr>
          <w:rFonts w:ascii="Book Antiqua" w:eastAsia="SimSun" w:hAnsi="Book Antiqua" w:cs="SimSun"/>
        </w:rPr>
        <w:t xml:space="preserve"> S, </w:t>
      </w:r>
      <w:proofErr w:type="spellStart"/>
      <w:r w:rsidRPr="00BD33BF">
        <w:rPr>
          <w:rFonts w:ascii="Book Antiqua" w:eastAsia="SimSun" w:hAnsi="Book Antiqua" w:cs="SimSun"/>
        </w:rPr>
        <w:t>Trada</w:t>
      </w:r>
      <w:proofErr w:type="spellEnd"/>
      <w:r w:rsidRPr="00BD33BF">
        <w:rPr>
          <w:rFonts w:ascii="Book Antiqua" w:eastAsia="SimSun" w:hAnsi="Book Antiqua" w:cs="SimSun"/>
        </w:rPr>
        <w:t xml:space="preserve"> M, </w:t>
      </w:r>
      <w:proofErr w:type="spellStart"/>
      <w:r w:rsidRPr="00BD33BF">
        <w:rPr>
          <w:rFonts w:ascii="Book Antiqua" w:eastAsia="SimSun" w:hAnsi="Book Antiqua" w:cs="SimSun"/>
        </w:rPr>
        <w:t>Binotti</w:t>
      </w:r>
      <w:proofErr w:type="spellEnd"/>
      <w:r w:rsidRPr="00BD33BF">
        <w:rPr>
          <w:rFonts w:ascii="Book Antiqua" w:eastAsia="SimSun" w:hAnsi="Book Antiqua" w:cs="SimSun"/>
        </w:rPr>
        <w:t xml:space="preserve"> M, </w:t>
      </w:r>
      <w:proofErr w:type="spellStart"/>
      <w:r w:rsidRPr="00BD33BF">
        <w:rPr>
          <w:rFonts w:ascii="Book Antiqua" w:eastAsia="SimSun" w:hAnsi="Book Antiqua" w:cs="SimSun"/>
        </w:rPr>
        <w:t>Trada</w:t>
      </w:r>
      <w:proofErr w:type="spellEnd"/>
      <w:r w:rsidRPr="00BD33BF">
        <w:rPr>
          <w:rFonts w:ascii="Book Antiqua" w:eastAsia="SimSun" w:hAnsi="Book Antiqua" w:cs="SimSun"/>
        </w:rPr>
        <w:t xml:space="preserve"> M, </w:t>
      </w:r>
      <w:proofErr w:type="spellStart"/>
      <w:r w:rsidRPr="00BD33BF">
        <w:rPr>
          <w:rFonts w:ascii="Book Antiqua" w:eastAsia="SimSun" w:hAnsi="Book Antiqua" w:cs="SimSun"/>
        </w:rPr>
        <w:t>Allochis</w:t>
      </w:r>
      <w:proofErr w:type="spellEnd"/>
      <w:r w:rsidRPr="00BD33BF">
        <w:rPr>
          <w:rFonts w:ascii="Book Antiqua" w:eastAsia="SimSun" w:hAnsi="Book Antiqua" w:cs="SimSun"/>
        </w:rPr>
        <w:t xml:space="preserve"> G, </w:t>
      </w:r>
      <w:proofErr w:type="spellStart"/>
      <w:r w:rsidRPr="00BD33BF">
        <w:rPr>
          <w:rFonts w:ascii="Book Antiqua" w:eastAsia="SimSun" w:hAnsi="Book Antiqua" w:cs="SimSun"/>
        </w:rPr>
        <w:t>Baldelli</w:t>
      </w:r>
      <w:proofErr w:type="spellEnd"/>
      <w:r w:rsidRPr="00BD33BF">
        <w:rPr>
          <w:rFonts w:ascii="Book Antiqua" w:eastAsia="SimSun" w:hAnsi="Book Antiqua" w:cs="SimSun"/>
        </w:rPr>
        <w:t xml:space="preserve"> R, Esposito S, Bona G, </w:t>
      </w:r>
      <w:proofErr w:type="spellStart"/>
      <w:r w:rsidRPr="00BD33BF">
        <w:rPr>
          <w:rFonts w:ascii="Book Antiqua" w:eastAsia="SimSun" w:hAnsi="Book Antiqua" w:cs="SimSun"/>
        </w:rPr>
        <w:t>Aimaretti</w:t>
      </w:r>
      <w:proofErr w:type="spellEnd"/>
      <w:r w:rsidRPr="00BD33BF">
        <w:rPr>
          <w:rFonts w:ascii="Book Antiqua" w:eastAsia="SimSun" w:hAnsi="Book Antiqua" w:cs="SimSun"/>
        </w:rPr>
        <w:t xml:space="preserve"> G. Transition process of patients with type 1 diabetes (T1DM) from </w:t>
      </w:r>
      <w:proofErr w:type="spellStart"/>
      <w:r w:rsidRPr="00BD33BF">
        <w:rPr>
          <w:rFonts w:ascii="Book Antiqua" w:eastAsia="SimSun" w:hAnsi="Book Antiqua" w:cs="SimSun"/>
        </w:rPr>
        <w:t>paediatric</w:t>
      </w:r>
      <w:proofErr w:type="spellEnd"/>
      <w:r w:rsidRPr="00BD33BF">
        <w:rPr>
          <w:rFonts w:ascii="Book Antiqua" w:eastAsia="SimSun" w:hAnsi="Book Antiqua" w:cs="SimSun"/>
        </w:rPr>
        <w:t xml:space="preserve"> to the adult health care service: a hospital-based approach. </w:t>
      </w:r>
      <w:proofErr w:type="spellStart"/>
      <w:r w:rsidRPr="00BD33BF">
        <w:rPr>
          <w:rFonts w:ascii="Book Antiqua" w:eastAsia="SimSun" w:hAnsi="Book Antiqua" w:cs="SimSun"/>
          <w:i/>
          <w:iCs/>
        </w:rPr>
        <w:t>Clin</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Endocrinol</w:t>
      </w:r>
      <w:proofErr w:type="spellEnd"/>
      <w:r w:rsidRPr="00BD33BF">
        <w:rPr>
          <w:rFonts w:ascii="Book Antiqua" w:eastAsia="SimSun" w:hAnsi="Book Antiqua" w:cs="SimSun"/>
          <w:iCs/>
        </w:rPr>
        <w:t xml:space="preserve"> (</w:t>
      </w:r>
      <w:proofErr w:type="spellStart"/>
      <w:r w:rsidRPr="00BD33BF">
        <w:rPr>
          <w:rFonts w:ascii="Book Antiqua" w:eastAsia="SimSun" w:hAnsi="Book Antiqua" w:cs="SimSun"/>
          <w:iCs/>
        </w:rPr>
        <w:t>Oxf</w:t>
      </w:r>
      <w:proofErr w:type="spellEnd"/>
      <w:r w:rsidRPr="00BD33BF">
        <w:rPr>
          <w:rFonts w:ascii="Book Antiqua" w:eastAsia="SimSun" w:hAnsi="Book Antiqua" w:cs="SimSun"/>
          <w:iCs/>
        </w:rPr>
        <w:t>)</w:t>
      </w:r>
      <w:r w:rsidRPr="00BD33BF">
        <w:rPr>
          <w:rFonts w:ascii="Book Antiqua" w:eastAsia="SimSun" w:hAnsi="Book Antiqua" w:cs="SimSun"/>
        </w:rPr>
        <w:t> 2009; </w:t>
      </w:r>
      <w:r w:rsidRPr="00BD33BF">
        <w:rPr>
          <w:rFonts w:ascii="Book Antiqua" w:eastAsia="SimSun" w:hAnsi="Book Antiqua" w:cs="SimSun"/>
          <w:b/>
          <w:bCs/>
        </w:rPr>
        <w:t>71</w:t>
      </w:r>
      <w:r w:rsidRPr="00BD33BF">
        <w:rPr>
          <w:rFonts w:ascii="Book Antiqua" w:eastAsia="SimSun" w:hAnsi="Book Antiqua" w:cs="SimSun"/>
        </w:rPr>
        <w:t>: 346-350 [PMID: 19178523 DOI: 1</w:t>
      </w:r>
      <w:r>
        <w:rPr>
          <w:rFonts w:ascii="Book Antiqua" w:eastAsia="SimSun" w:hAnsi="Book Antiqua" w:cs="SimSun"/>
        </w:rPr>
        <w:t>0.1111/j.1365-2265.2008.03467.x</w:t>
      </w:r>
      <w:r w:rsidRPr="00BD33BF">
        <w:rPr>
          <w:rFonts w:ascii="Book Antiqua" w:eastAsia="SimSun" w:hAnsi="Book Antiqua" w:cs="SimSun"/>
        </w:rPr>
        <w:t>]</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17</w:t>
      </w:r>
      <w:proofErr w:type="gramEnd"/>
      <w:r w:rsidRPr="00BD33BF">
        <w:rPr>
          <w:rFonts w:ascii="Book Antiqua" w:eastAsia="SimSun" w:hAnsi="Book Antiqua" w:cs="SimSun"/>
        </w:rPr>
        <w:t> </w:t>
      </w:r>
      <w:r w:rsidRPr="00BD33BF">
        <w:rPr>
          <w:rFonts w:ascii="Book Antiqua" w:eastAsia="SimSun" w:hAnsi="Book Antiqua" w:cs="SimSun"/>
          <w:b/>
          <w:bCs/>
        </w:rPr>
        <w:t>Louis E</w:t>
      </w:r>
      <w:r w:rsidRPr="00BD33BF">
        <w:rPr>
          <w:rFonts w:ascii="Book Antiqua" w:eastAsia="SimSun" w:hAnsi="Book Antiqua" w:cs="SimSun"/>
        </w:rPr>
        <w:t>. Epidemiology of the transition from early to late Crohn's disease. </w:t>
      </w:r>
      <w:r w:rsidRPr="00BD33BF">
        <w:rPr>
          <w:rFonts w:ascii="Book Antiqua" w:eastAsia="SimSun" w:hAnsi="Book Antiqua" w:cs="SimSun"/>
          <w:i/>
          <w:iCs/>
        </w:rPr>
        <w:t>Dig Dis</w:t>
      </w:r>
      <w:r w:rsidRPr="00BD33BF">
        <w:rPr>
          <w:rFonts w:ascii="Book Antiqua" w:eastAsia="SimSun" w:hAnsi="Book Antiqua" w:cs="SimSun"/>
        </w:rPr>
        <w:t> 2012; </w:t>
      </w:r>
      <w:r w:rsidRPr="00BD33BF">
        <w:rPr>
          <w:rFonts w:ascii="Book Antiqua" w:eastAsia="SimSun" w:hAnsi="Book Antiqua" w:cs="SimSun"/>
          <w:b/>
          <w:bCs/>
        </w:rPr>
        <w:t>30</w:t>
      </w:r>
      <w:r w:rsidRPr="00BD33BF">
        <w:rPr>
          <w:rFonts w:ascii="Book Antiqua" w:eastAsia="SimSun" w:hAnsi="Book Antiqua" w:cs="SimSun"/>
        </w:rPr>
        <w:t>: 376-379 [PMID: 22796799 DOI: 10.1159/000338129]</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lastRenderedPageBreak/>
        <w:t>18 </w:t>
      </w:r>
      <w:proofErr w:type="spellStart"/>
      <w:r w:rsidRPr="00BD33BF">
        <w:rPr>
          <w:rFonts w:ascii="Book Antiqua" w:eastAsia="SimSun" w:hAnsi="Book Antiqua" w:cs="SimSun"/>
          <w:b/>
          <w:bCs/>
        </w:rPr>
        <w:t>Bickston</w:t>
      </w:r>
      <w:proofErr w:type="spellEnd"/>
      <w:r w:rsidRPr="00BD33BF">
        <w:rPr>
          <w:rFonts w:ascii="Book Antiqua" w:eastAsia="SimSun" w:hAnsi="Book Antiqua" w:cs="SimSun"/>
          <w:b/>
          <w:bCs/>
        </w:rPr>
        <w:t xml:space="preserve"> SJ</w:t>
      </w:r>
      <w:r w:rsidRPr="00BD33BF">
        <w:rPr>
          <w:rFonts w:ascii="Book Antiqua" w:eastAsia="SimSun" w:hAnsi="Book Antiqua" w:cs="SimSun"/>
        </w:rPr>
        <w:t xml:space="preserve">, Waters HC, </w:t>
      </w:r>
      <w:proofErr w:type="spellStart"/>
      <w:r w:rsidRPr="00BD33BF">
        <w:rPr>
          <w:rFonts w:ascii="Book Antiqua" w:eastAsia="SimSun" w:hAnsi="Book Antiqua" w:cs="SimSun"/>
        </w:rPr>
        <w:t>Dabbous</w:t>
      </w:r>
      <w:proofErr w:type="spellEnd"/>
      <w:r w:rsidRPr="00BD33BF">
        <w:rPr>
          <w:rFonts w:ascii="Book Antiqua" w:eastAsia="SimSun" w:hAnsi="Book Antiqua" w:cs="SimSun"/>
        </w:rPr>
        <w:t xml:space="preserve"> O, Tang BI, Rahman M. Administrative claims analysis of all-cause annual costs of care and resource utilization by age category for ulcerative colitis patients. </w:t>
      </w:r>
      <w:r w:rsidRPr="00BD33BF">
        <w:rPr>
          <w:rFonts w:ascii="Book Antiqua" w:eastAsia="SimSun" w:hAnsi="Book Antiqua" w:cs="SimSun"/>
          <w:i/>
          <w:iCs/>
        </w:rPr>
        <w:t xml:space="preserve">J </w:t>
      </w:r>
      <w:proofErr w:type="spellStart"/>
      <w:r w:rsidRPr="00BD33BF">
        <w:rPr>
          <w:rFonts w:ascii="Book Antiqua" w:eastAsia="SimSun" w:hAnsi="Book Antiqua" w:cs="SimSun"/>
          <w:i/>
          <w:iCs/>
        </w:rPr>
        <w:t>Manag</w:t>
      </w:r>
      <w:proofErr w:type="spellEnd"/>
      <w:r w:rsidRPr="00BD33BF">
        <w:rPr>
          <w:rFonts w:ascii="Book Antiqua" w:eastAsia="SimSun" w:hAnsi="Book Antiqua" w:cs="SimSun"/>
          <w:i/>
          <w:iCs/>
        </w:rPr>
        <w:t xml:space="preserve"> Care Pharm</w:t>
      </w:r>
      <w:r w:rsidRPr="00BD33BF">
        <w:rPr>
          <w:rFonts w:ascii="Book Antiqua" w:eastAsia="SimSun" w:hAnsi="Book Antiqua" w:cs="SimSun"/>
        </w:rPr>
        <w:t> 2008; </w:t>
      </w:r>
      <w:r w:rsidRPr="00BD33BF">
        <w:rPr>
          <w:rFonts w:ascii="Book Antiqua" w:eastAsia="SimSun" w:hAnsi="Book Antiqua" w:cs="SimSun"/>
          <w:b/>
          <w:bCs/>
        </w:rPr>
        <w:t>14</w:t>
      </w:r>
      <w:r w:rsidRPr="00BD33BF">
        <w:rPr>
          <w:rFonts w:ascii="Book Antiqua" w:eastAsia="SimSun" w:hAnsi="Book Antiqua" w:cs="SimSun"/>
        </w:rPr>
        <w:t>: 352-362 [PMID: 18500913 DOI: 10.18553/jmcp.2008.14.4.352]</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19</w:t>
      </w:r>
      <w:proofErr w:type="gramEnd"/>
      <w:r w:rsidRPr="00BD33BF">
        <w:rPr>
          <w:rFonts w:ascii="Book Antiqua" w:eastAsia="SimSun" w:hAnsi="Book Antiqua" w:cs="SimSun"/>
        </w:rPr>
        <w:t> </w:t>
      </w:r>
      <w:proofErr w:type="spellStart"/>
      <w:r w:rsidRPr="00BD33BF">
        <w:rPr>
          <w:rFonts w:ascii="Book Antiqua" w:eastAsia="SimSun" w:hAnsi="Book Antiqua" w:cs="SimSun"/>
          <w:b/>
          <w:bCs/>
        </w:rPr>
        <w:t>Kappelman</w:t>
      </w:r>
      <w:proofErr w:type="spellEnd"/>
      <w:r w:rsidRPr="00BD33BF">
        <w:rPr>
          <w:rFonts w:ascii="Book Antiqua" w:eastAsia="SimSun" w:hAnsi="Book Antiqua" w:cs="SimSun"/>
          <w:b/>
          <w:bCs/>
        </w:rPr>
        <w:t xml:space="preserve"> MD</w:t>
      </w:r>
      <w:r w:rsidRPr="00BD33BF">
        <w:rPr>
          <w:rFonts w:ascii="Book Antiqua" w:eastAsia="SimSun" w:hAnsi="Book Antiqua" w:cs="SimSun"/>
        </w:rPr>
        <w:t xml:space="preserve">, </w:t>
      </w:r>
      <w:proofErr w:type="spellStart"/>
      <w:r w:rsidRPr="00BD33BF">
        <w:rPr>
          <w:rFonts w:ascii="Book Antiqua" w:eastAsia="SimSun" w:hAnsi="Book Antiqua" w:cs="SimSun"/>
        </w:rPr>
        <w:t>Rifas-Shiman</w:t>
      </w:r>
      <w:proofErr w:type="spellEnd"/>
      <w:r w:rsidRPr="00BD33BF">
        <w:rPr>
          <w:rFonts w:ascii="Book Antiqua" w:eastAsia="SimSun" w:hAnsi="Book Antiqua" w:cs="SimSun"/>
        </w:rPr>
        <w:t xml:space="preserve"> SL, Porter CQ, </w:t>
      </w:r>
      <w:proofErr w:type="spellStart"/>
      <w:r w:rsidRPr="00BD33BF">
        <w:rPr>
          <w:rFonts w:ascii="Book Antiqua" w:eastAsia="SimSun" w:hAnsi="Book Antiqua" w:cs="SimSun"/>
        </w:rPr>
        <w:t>Ollendorf</w:t>
      </w:r>
      <w:proofErr w:type="spellEnd"/>
      <w:r w:rsidRPr="00BD33BF">
        <w:rPr>
          <w:rFonts w:ascii="Book Antiqua" w:eastAsia="SimSun" w:hAnsi="Book Antiqua" w:cs="SimSun"/>
        </w:rPr>
        <w:t xml:space="preserve"> DA, Sandler RS, </w:t>
      </w:r>
      <w:proofErr w:type="spellStart"/>
      <w:r w:rsidRPr="00BD33BF">
        <w:rPr>
          <w:rFonts w:ascii="Book Antiqua" w:eastAsia="SimSun" w:hAnsi="Book Antiqua" w:cs="SimSun"/>
        </w:rPr>
        <w:t>Galanko</w:t>
      </w:r>
      <w:proofErr w:type="spellEnd"/>
      <w:r w:rsidRPr="00BD33BF">
        <w:rPr>
          <w:rFonts w:ascii="Book Antiqua" w:eastAsia="SimSun" w:hAnsi="Book Antiqua" w:cs="SimSun"/>
        </w:rPr>
        <w:t xml:space="preserve"> JA, Finkelstein JA. Direct health care costs of Crohn's disease and ulcerative colitis in </w:t>
      </w:r>
      <w:proofErr w:type="gramStart"/>
      <w:r w:rsidRPr="00BD33BF">
        <w:rPr>
          <w:rFonts w:ascii="Book Antiqua" w:eastAsia="SimSun" w:hAnsi="Book Antiqua" w:cs="SimSun"/>
        </w:rPr>
        <w:t>US children and adults</w:t>
      </w:r>
      <w:proofErr w:type="gramEnd"/>
      <w:r w:rsidRPr="00BD33BF">
        <w:rPr>
          <w:rFonts w:ascii="Book Antiqua" w:eastAsia="SimSun" w:hAnsi="Book Antiqua" w:cs="SimSun"/>
        </w:rPr>
        <w:t>. </w:t>
      </w:r>
      <w:r w:rsidRPr="00BD33BF">
        <w:rPr>
          <w:rFonts w:ascii="Book Antiqua" w:eastAsia="SimSun" w:hAnsi="Book Antiqua" w:cs="SimSun"/>
          <w:i/>
          <w:iCs/>
        </w:rPr>
        <w:t>Gastroenterology</w:t>
      </w:r>
      <w:r w:rsidRPr="00BD33BF">
        <w:rPr>
          <w:rFonts w:ascii="Book Antiqua" w:eastAsia="SimSun" w:hAnsi="Book Antiqua" w:cs="SimSun"/>
        </w:rPr>
        <w:t> 2008; </w:t>
      </w:r>
      <w:r w:rsidRPr="00BD33BF">
        <w:rPr>
          <w:rFonts w:ascii="Book Antiqua" w:eastAsia="SimSun" w:hAnsi="Book Antiqua" w:cs="SimSun"/>
          <w:b/>
          <w:bCs/>
        </w:rPr>
        <w:t>135</w:t>
      </w:r>
      <w:r w:rsidRPr="00BD33BF">
        <w:rPr>
          <w:rFonts w:ascii="Book Antiqua" w:eastAsia="SimSun" w:hAnsi="Book Antiqua" w:cs="SimSun"/>
        </w:rPr>
        <w:t>: 1907-1913 [PMID: 18854185 DOI: 10.1053/j.gastro.2008.09.012]</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20</w:t>
      </w:r>
      <w:proofErr w:type="gramEnd"/>
      <w:r w:rsidRPr="00BD33BF">
        <w:rPr>
          <w:rFonts w:ascii="Book Antiqua" w:eastAsia="SimSun" w:hAnsi="Book Antiqua" w:cs="SimSun"/>
        </w:rPr>
        <w:t> </w:t>
      </w:r>
      <w:proofErr w:type="spellStart"/>
      <w:r w:rsidRPr="00BD33BF">
        <w:rPr>
          <w:rFonts w:ascii="Book Antiqua" w:eastAsia="SimSun" w:hAnsi="Book Antiqua" w:cs="SimSun"/>
          <w:b/>
          <w:bCs/>
        </w:rPr>
        <w:t>Ananthakrishnan</w:t>
      </w:r>
      <w:proofErr w:type="spellEnd"/>
      <w:r w:rsidRPr="00BD33BF">
        <w:rPr>
          <w:rFonts w:ascii="Book Antiqua" w:eastAsia="SimSun" w:hAnsi="Book Antiqua" w:cs="SimSun"/>
          <w:b/>
          <w:bCs/>
        </w:rPr>
        <w:t xml:space="preserve"> AN</w:t>
      </w:r>
      <w:r w:rsidRPr="00BD33BF">
        <w:rPr>
          <w:rFonts w:ascii="Book Antiqua" w:eastAsia="SimSun" w:hAnsi="Book Antiqua" w:cs="SimSun"/>
        </w:rPr>
        <w:t xml:space="preserve">, McGinley EL, </w:t>
      </w:r>
      <w:proofErr w:type="spellStart"/>
      <w:r w:rsidRPr="00BD33BF">
        <w:rPr>
          <w:rFonts w:ascii="Book Antiqua" w:eastAsia="SimSun" w:hAnsi="Book Antiqua" w:cs="SimSun"/>
        </w:rPr>
        <w:t>Saeian</w:t>
      </w:r>
      <w:proofErr w:type="spellEnd"/>
      <w:r w:rsidRPr="00BD33BF">
        <w:rPr>
          <w:rFonts w:ascii="Book Antiqua" w:eastAsia="SimSun" w:hAnsi="Book Antiqua" w:cs="SimSun"/>
        </w:rPr>
        <w:t xml:space="preserve"> K, </w:t>
      </w:r>
      <w:proofErr w:type="spellStart"/>
      <w:r w:rsidRPr="00BD33BF">
        <w:rPr>
          <w:rFonts w:ascii="Book Antiqua" w:eastAsia="SimSun" w:hAnsi="Book Antiqua" w:cs="SimSun"/>
        </w:rPr>
        <w:t>Binion</w:t>
      </w:r>
      <w:proofErr w:type="spellEnd"/>
      <w:r w:rsidRPr="00BD33BF">
        <w:rPr>
          <w:rFonts w:ascii="Book Antiqua" w:eastAsia="SimSun" w:hAnsi="Book Antiqua" w:cs="SimSun"/>
        </w:rPr>
        <w:t xml:space="preserve"> DG. Trends in ambulatory and emergency room visits for inflammatory bowel diseases in the United States: 1994-2005. </w:t>
      </w:r>
      <w:r w:rsidRPr="00BD33BF">
        <w:rPr>
          <w:rFonts w:ascii="Book Antiqua" w:eastAsia="SimSun" w:hAnsi="Book Antiqua" w:cs="SimSun"/>
          <w:i/>
          <w:iCs/>
        </w:rPr>
        <w:t xml:space="preserve">Am J </w:t>
      </w:r>
      <w:proofErr w:type="spellStart"/>
      <w:r w:rsidRPr="00BD33BF">
        <w:rPr>
          <w:rFonts w:ascii="Book Antiqua" w:eastAsia="SimSun" w:hAnsi="Book Antiqua" w:cs="SimSun"/>
          <w:i/>
          <w:iCs/>
        </w:rPr>
        <w:t>Gastroenterol</w:t>
      </w:r>
      <w:proofErr w:type="spellEnd"/>
      <w:r w:rsidRPr="00BD33BF">
        <w:rPr>
          <w:rFonts w:ascii="Book Antiqua" w:eastAsia="SimSun" w:hAnsi="Book Antiqua" w:cs="SimSun"/>
        </w:rPr>
        <w:t> 2010</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105</w:t>
      </w:r>
      <w:r w:rsidRPr="00BD33BF">
        <w:rPr>
          <w:rFonts w:ascii="Book Antiqua" w:eastAsia="SimSun" w:hAnsi="Book Antiqua" w:cs="SimSun"/>
        </w:rPr>
        <w:t>: 363-370 [PMID: 19809414 DOI: 10.1038/ajg.2009.580]</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21</w:t>
      </w:r>
      <w:proofErr w:type="gramEnd"/>
      <w:r w:rsidRPr="00BD33BF">
        <w:rPr>
          <w:rFonts w:ascii="Book Antiqua" w:eastAsia="SimSun" w:hAnsi="Book Antiqua" w:cs="SimSun"/>
        </w:rPr>
        <w:t> </w:t>
      </w:r>
      <w:proofErr w:type="spellStart"/>
      <w:r w:rsidRPr="00BD33BF">
        <w:rPr>
          <w:rFonts w:ascii="Book Antiqua" w:eastAsia="SimSun" w:hAnsi="Book Antiqua" w:cs="SimSun"/>
          <w:b/>
          <w:bCs/>
        </w:rPr>
        <w:t>Goodhand</w:t>
      </w:r>
      <w:proofErr w:type="spellEnd"/>
      <w:r w:rsidRPr="00BD33BF">
        <w:rPr>
          <w:rFonts w:ascii="Book Antiqua" w:eastAsia="SimSun" w:hAnsi="Book Antiqua" w:cs="SimSun"/>
          <w:b/>
          <w:bCs/>
        </w:rPr>
        <w:t xml:space="preserve"> J</w:t>
      </w:r>
      <w:r w:rsidRPr="00BD33BF">
        <w:rPr>
          <w:rFonts w:ascii="Book Antiqua" w:eastAsia="SimSun" w:hAnsi="Book Antiqua" w:cs="SimSun"/>
        </w:rPr>
        <w:t>, Hedin CR, Croft NM, Lindsay JO. Adolescents with IBD: the importance of structured transition care. </w:t>
      </w:r>
      <w:r w:rsidRPr="00BD33BF">
        <w:rPr>
          <w:rFonts w:ascii="Book Antiqua" w:eastAsia="SimSun" w:hAnsi="Book Antiqua" w:cs="SimSun"/>
          <w:i/>
          <w:iCs/>
        </w:rPr>
        <w:t xml:space="preserve">J </w:t>
      </w:r>
      <w:proofErr w:type="spellStart"/>
      <w:r w:rsidRPr="00BD33BF">
        <w:rPr>
          <w:rFonts w:ascii="Book Antiqua" w:eastAsia="SimSun" w:hAnsi="Book Antiqua" w:cs="SimSun"/>
          <w:i/>
          <w:iCs/>
        </w:rPr>
        <w:t>Crohns</w:t>
      </w:r>
      <w:proofErr w:type="spellEnd"/>
      <w:r w:rsidRPr="00BD33BF">
        <w:rPr>
          <w:rFonts w:ascii="Book Antiqua" w:eastAsia="SimSun" w:hAnsi="Book Antiqua" w:cs="SimSun"/>
          <w:i/>
          <w:iCs/>
        </w:rPr>
        <w:t xml:space="preserve"> Colitis</w:t>
      </w:r>
      <w:r w:rsidRPr="00BD33BF">
        <w:rPr>
          <w:rFonts w:ascii="Book Antiqua" w:eastAsia="SimSun" w:hAnsi="Book Antiqua" w:cs="SimSun"/>
        </w:rPr>
        <w:t> 2011; </w:t>
      </w:r>
      <w:r w:rsidRPr="00BD33BF">
        <w:rPr>
          <w:rFonts w:ascii="Book Antiqua" w:eastAsia="SimSun" w:hAnsi="Book Antiqua" w:cs="SimSun"/>
          <w:b/>
          <w:bCs/>
        </w:rPr>
        <w:t>5</w:t>
      </w:r>
      <w:r w:rsidRPr="00BD33BF">
        <w:rPr>
          <w:rFonts w:ascii="Book Antiqua" w:eastAsia="SimSun" w:hAnsi="Book Antiqua" w:cs="SimSun"/>
        </w:rPr>
        <w:t>: 509-519 [PMID: 22115368 DOI: 10.1016/j.crohns.2011.03.015]</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22 </w:t>
      </w:r>
      <w:r w:rsidRPr="00BD33BF">
        <w:rPr>
          <w:rFonts w:ascii="Book Antiqua" w:eastAsia="SimSun" w:hAnsi="Book Antiqua" w:cs="SimSun"/>
          <w:b/>
          <w:bCs/>
        </w:rPr>
        <w:t>Sebastian S</w:t>
      </w:r>
      <w:r w:rsidRPr="00BD33BF">
        <w:rPr>
          <w:rFonts w:ascii="Book Antiqua" w:eastAsia="SimSun" w:hAnsi="Book Antiqua" w:cs="SimSun"/>
        </w:rPr>
        <w:t xml:space="preserve">, Jenkins H, McCartney S, Ahmad T, Arnott I, Croft N, Russell R, Lindsay JO. The requirements and barriers to successful transition of adolescents with inflammatory bowel disease: differing perceptions from a survey of adult and </w:t>
      </w:r>
      <w:proofErr w:type="spellStart"/>
      <w:r w:rsidRPr="00BD33BF">
        <w:rPr>
          <w:rFonts w:ascii="Book Antiqua" w:eastAsia="SimSun" w:hAnsi="Book Antiqua" w:cs="SimSun"/>
        </w:rPr>
        <w:t>paediatric</w:t>
      </w:r>
      <w:proofErr w:type="spellEnd"/>
      <w:r w:rsidRPr="00BD33BF">
        <w:rPr>
          <w:rFonts w:ascii="Book Antiqua" w:eastAsia="SimSun" w:hAnsi="Book Antiqua" w:cs="SimSun"/>
        </w:rPr>
        <w:t xml:space="preserve"> gastroenterologists. </w:t>
      </w:r>
      <w:r w:rsidRPr="00BD33BF">
        <w:rPr>
          <w:rFonts w:ascii="Book Antiqua" w:eastAsia="SimSun" w:hAnsi="Book Antiqua" w:cs="SimSun"/>
          <w:i/>
          <w:iCs/>
        </w:rPr>
        <w:t xml:space="preserve">J </w:t>
      </w:r>
      <w:proofErr w:type="spellStart"/>
      <w:r w:rsidRPr="00BD33BF">
        <w:rPr>
          <w:rFonts w:ascii="Book Antiqua" w:eastAsia="SimSun" w:hAnsi="Book Antiqua" w:cs="SimSun"/>
          <w:i/>
          <w:iCs/>
        </w:rPr>
        <w:t>Crohns</w:t>
      </w:r>
      <w:proofErr w:type="spellEnd"/>
      <w:r w:rsidRPr="00BD33BF">
        <w:rPr>
          <w:rFonts w:ascii="Book Antiqua" w:eastAsia="SimSun" w:hAnsi="Book Antiqua" w:cs="SimSun"/>
          <w:i/>
          <w:iCs/>
        </w:rPr>
        <w:t xml:space="preserve"> Colitis</w:t>
      </w:r>
      <w:r w:rsidRPr="00BD33BF">
        <w:rPr>
          <w:rFonts w:ascii="Book Antiqua" w:eastAsia="SimSun" w:hAnsi="Book Antiqua" w:cs="SimSun"/>
        </w:rPr>
        <w:t> 2012; </w:t>
      </w:r>
      <w:r w:rsidRPr="00BD33BF">
        <w:rPr>
          <w:rFonts w:ascii="Book Antiqua" w:eastAsia="SimSun" w:hAnsi="Book Antiqua" w:cs="SimSun"/>
          <w:b/>
          <w:bCs/>
        </w:rPr>
        <w:t>6</w:t>
      </w:r>
      <w:r w:rsidRPr="00BD33BF">
        <w:rPr>
          <w:rFonts w:ascii="Book Antiqua" w:eastAsia="SimSun" w:hAnsi="Book Antiqua" w:cs="SimSun"/>
        </w:rPr>
        <w:t>: 830-844 [PMID: 22398082 DOI: 10.1016/j.crohns.2012.01.010]</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23 </w:t>
      </w:r>
      <w:proofErr w:type="spellStart"/>
      <w:r w:rsidRPr="00BD33BF">
        <w:rPr>
          <w:rFonts w:ascii="Book Antiqua" w:eastAsia="SimSun" w:hAnsi="Book Antiqua" w:cs="SimSun"/>
          <w:b/>
          <w:bCs/>
        </w:rPr>
        <w:t>Baldassano</w:t>
      </w:r>
      <w:proofErr w:type="spellEnd"/>
      <w:r w:rsidRPr="00BD33BF">
        <w:rPr>
          <w:rFonts w:ascii="Book Antiqua" w:eastAsia="SimSun" w:hAnsi="Book Antiqua" w:cs="SimSun"/>
          <w:b/>
          <w:bCs/>
        </w:rPr>
        <w:t xml:space="preserve"> R</w:t>
      </w:r>
      <w:r w:rsidRPr="00BD33BF">
        <w:rPr>
          <w:rFonts w:ascii="Book Antiqua" w:eastAsia="SimSun" w:hAnsi="Book Antiqua" w:cs="SimSun"/>
        </w:rPr>
        <w:t>, Ferry G, Griffiths A, Mack D, Markowitz J, Winter H. Transition of the patient with inflammatory bowel disease from pediatric to adult care: recommendations of the North American Society for Pediatric Gastroenterology, Hepatology and Nutrition. </w:t>
      </w:r>
      <w:r w:rsidRPr="00BD33BF">
        <w:rPr>
          <w:rFonts w:ascii="Book Antiqua" w:eastAsia="SimSun" w:hAnsi="Book Antiqua" w:cs="SimSun"/>
          <w:i/>
          <w:iCs/>
        </w:rPr>
        <w:t xml:space="preserve">J </w:t>
      </w:r>
      <w:proofErr w:type="spellStart"/>
      <w:r w:rsidRPr="00BD33BF">
        <w:rPr>
          <w:rFonts w:ascii="Book Antiqua" w:eastAsia="SimSun" w:hAnsi="Book Antiqua" w:cs="SimSun"/>
          <w:i/>
          <w:iCs/>
        </w:rPr>
        <w:t>Pediatr</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Gastroenterol</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Nutr</w:t>
      </w:r>
      <w:proofErr w:type="spellEnd"/>
      <w:r w:rsidRPr="00BD33BF">
        <w:rPr>
          <w:rFonts w:ascii="Book Antiqua" w:eastAsia="SimSun" w:hAnsi="Book Antiqua" w:cs="SimSun"/>
        </w:rPr>
        <w:t> 2002</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34</w:t>
      </w:r>
      <w:r w:rsidRPr="00BD33BF">
        <w:rPr>
          <w:rFonts w:ascii="Book Antiqua" w:eastAsia="SimSun" w:hAnsi="Book Antiqua" w:cs="SimSun"/>
        </w:rPr>
        <w:t>: 245-248 [PMID: 11964946]</w:t>
      </w:r>
    </w:p>
    <w:p w:rsidR="00633765"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24</w:t>
      </w:r>
      <w:proofErr w:type="gramEnd"/>
      <w:r w:rsidRPr="00BD33BF">
        <w:rPr>
          <w:rFonts w:ascii="Book Antiqua" w:eastAsia="SimSun" w:hAnsi="Book Antiqua" w:cs="SimSun"/>
          <w:b/>
        </w:rPr>
        <w:t xml:space="preserve"> NASPGHAN North American Society for Pediatric Gastroenterology, Hepatology and Nutrition. </w:t>
      </w:r>
      <w:r w:rsidRPr="00BD33BF">
        <w:rPr>
          <w:rFonts w:ascii="Book Antiqua" w:eastAsia="SimSun" w:hAnsi="Book Antiqua" w:cs="SimSun"/>
        </w:rPr>
        <w:t>Inflammatory Bowel Disease Monographs. Healthcare Provider Checklist for Transitioning a Patient from Pediatric to Adult Care. Accessed website February 09, 2015.</w:t>
      </w:r>
      <w:r>
        <w:rPr>
          <w:rFonts w:ascii="Book Antiqua" w:eastAsia="SimSun" w:hAnsi="Book Antiqua" w:cs="SimSun" w:hint="eastAsia"/>
        </w:rPr>
        <w:t xml:space="preserve"> </w:t>
      </w:r>
      <w:r w:rsidRPr="00BD33BF">
        <w:rPr>
          <w:rFonts w:ascii="Book Antiqua" w:eastAsia="SimSun" w:hAnsi="Book Antiqua" w:cs="SimSun"/>
        </w:rPr>
        <w:t>Available from: URL:</w:t>
      </w:r>
      <w:r>
        <w:rPr>
          <w:rFonts w:ascii="Book Antiqua" w:eastAsia="SimSun" w:hAnsi="Book Antiqua" w:cs="SimSun" w:hint="eastAsia"/>
        </w:rPr>
        <w:t xml:space="preserve"> </w:t>
      </w:r>
      <w:r w:rsidRPr="00BD33BF">
        <w:rPr>
          <w:rFonts w:ascii="Book Antiqua" w:eastAsia="SimSun" w:hAnsi="Book Antiqua" w:cs="SimSun"/>
        </w:rPr>
        <w:t>http: //www.naspghan.org/files/documents/pdfs/medical-</w:t>
      </w:r>
      <w:r w:rsidRPr="00BD33BF">
        <w:rPr>
          <w:rFonts w:ascii="Book Antiqua" w:eastAsia="SimSun" w:hAnsi="Book Antiqua" w:cs="SimSun"/>
        </w:rPr>
        <w:lastRenderedPageBreak/>
        <w:t xml:space="preserve">resources/ibd/Checklist_PatientandHealthcareProdiver_TransitionfromPedtoAdult.pdf. </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25 </w:t>
      </w:r>
      <w:r w:rsidRPr="00BD33BF">
        <w:rPr>
          <w:rFonts w:ascii="Book Antiqua" w:eastAsia="SimSun" w:hAnsi="Book Antiqua" w:cs="SimSun"/>
          <w:b/>
          <w:bCs/>
        </w:rPr>
        <w:t>Wood DL</w:t>
      </w:r>
      <w:r w:rsidRPr="00BD33BF">
        <w:rPr>
          <w:rFonts w:ascii="Book Antiqua" w:eastAsia="SimSun" w:hAnsi="Book Antiqua" w:cs="SimSun"/>
        </w:rPr>
        <w:t xml:space="preserve">, </w:t>
      </w:r>
      <w:proofErr w:type="spellStart"/>
      <w:r w:rsidRPr="00BD33BF">
        <w:rPr>
          <w:rFonts w:ascii="Book Antiqua" w:eastAsia="SimSun" w:hAnsi="Book Antiqua" w:cs="SimSun"/>
        </w:rPr>
        <w:t>Sawicki</w:t>
      </w:r>
      <w:proofErr w:type="spellEnd"/>
      <w:r w:rsidRPr="00BD33BF">
        <w:rPr>
          <w:rFonts w:ascii="Book Antiqua" w:eastAsia="SimSun" w:hAnsi="Book Antiqua" w:cs="SimSun"/>
        </w:rPr>
        <w:t xml:space="preserve"> GS, Miller MD, </w:t>
      </w:r>
      <w:proofErr w:type="spellStart"/>
      <w:r w:rsidRPr="00BD33BF">
        <w:rPr>
          <w:rFonts w:ascii="Book Antiqua" w:eastAsia="SimSun" w:hAnsi="Book Antiqua" w:cs="SimSun"/>
        </w:rPr>
        <w:t>Smotherman</w:t>
      </w:r>
      <w:proofErr w:type="spellEnd"/>
      <w:r w:rsidRPr="00BD33BF">
        <w:rPr>
          <w:rFonts w:ascii="Book Antiqua" w:eastAsia="SimSun" w:hAnsi="Book Antiqua" w:cs="SimSun"/>
        </w:rPr>
        <w:t xml:space="preserve"> C, Lukens-Bull K, </w:t>
      </w:r>
      <w:proofErr w:type="spellStart"/>
      <w:r w:rsidRPr="00BD33BF">
        <w:rPr>
          <w:rFonts w:ascii="Book Antiqua" w:eastAsia="SimSun" w:hAnsi="Book Antiqua" w:cs="SimSun"/>
        </w:rPr>
        <w:t>Livingood</w:t>
      </w:r>
      <w:proofErr w:type="spellEnd"/>
      <w:r w:rsidRPr="00BD33BF">
        <w:rPr>
          <w:rFonts w:ascii="Book Antiqua" w:eastAsia="SimSun" w:hAnsi="Book Antiqua" w:cs="SimSun"/>
        </w:rPr>
        <w:t xml:space="preserve"> WC, Ferris M, Kraemer DF. The Transition Readiness Assessment Questionnaire (TRAQ): its factor structure, reliability, and validity. </w:t>
      </w:r>
      <w:proofErr w:type="spellStart"/>
      <w:r w:rsidRPr="00BD33BF">
        <w:rPr>
          <w:rFonts w:ascii="Book Antiqua" w:eastAsia="SimSun" w:hAnsi="Book Antiqua" w:cs="SimSun"/>
          <w:i/>
          <w:iCs/>
        </w:rPr>
        <w:t>Acad</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Pediatr</w:t>
      </w:r>
      <w:proofErr w:type="spellEnd"/>
      <w:r w:rsidRPr="00BD33BF">
        <w:rPr>
          <w:rFonts w:ascii="Book Antiqua" w:eastAsia="SimSun" w:hAnsi="Book Antiqua" w:cs="SimSun"/>
        </w:rPr>
        <w:t> </w:t>
      </w:r>
      <w:r>
        <w:rPr>
          <w:rFonts w:ascii="Book Antiqua" w:eastAsia="SimSun" w:hAnsi="Book Antiqua" w:cs="SimSun" w:hint="eastAsia"/>
        </w:rPr>
        <w:t>2014</w:t>
      </w:r>
      <w:r w:rsidRPr="00BD33BF">
        <w:rPr>
          <w:rFonts w:ascii="Book Antiqua" w:eastAsia="SimSun" w:hAnsi="Book Antiqua" w:cs="SimSun"/>
        </w:rPr>
        <w:t>; </w:t>
      </w:r>
      <w:r w:rsidRPr="00BD33BF">
        <w:rPr>
          <w:rFonts w:ascii="Book Antiqua" w:eastAsia="SimSun" w:hAnsi="Book Antiqua" w:cs="SimSun"/>
          <w:b/>
          <w:bCs/>
        </w:rPr>
        <w:t>14</w:t>
      </w:r>
      <w:r w:rsidRPr="00BD33BF">
        <w:rPr>
          <w:rFonts w:ascii="Book Antiqua" w:eastAsia="SimSun" w:hAnsi="Book Antiqua" w:cs="SimSun"/>
        </w:rPr>
        <w:t>: 415-422 [PMID: 24976354 DOI: 10.1016/j.acap.2014.03.008]</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26 </w:t>
      </w:r>
      <w:proofErr w:type="spellStart"/>
      <w:r w:rsidRPr="00BD33BF">
        <w:rPr>
          <w:rFonts w:ascii="Book Antiqua" w:eastAsia="SimSun" w:hAnsi="Book Antiqua" w:cs="SimSun"/>
          <w:b/>
          <w:bCs/>
        </w:rPr>
        <w:t>Benchimol</w:t>
      </w:r>
      <w:proofErr w:type="spellEnd"/>
      <w:r w:rsidRPr="00BD33BF">
        <w:rPr>
          <w:rFonts w:ascii="Book Antiqua" w:eastAsia="SimSun" w:hAnsi="Book Antiqua" w:cs="SimSun"/>
          <w:b/>
          <w:bCs/>
        </w:rPr>
        <w:t xml:space="preserve"> EI</w:t>
      </w:r>
      <w:r w:rsidRPr="00BD33BF">
        <w:rPr>
          <w:rFonts w:ascii="Book Antiqua" w:eastAsia="SimSun" w:hAnsi="Book Antiqua" w:cs="SimSun"/>
        </w:rPr>
        <w:t xml:space="preserve">, Walters TD, Kaufman M, Frost K, Fiedler K, </w:t>
      </w:r>
      <w:proofErr w:type="spellStart"/>
      <w:r w:rsidRPr="00BD33BF">
        <w:rPr>
          <w:rFonts w:ascii="Book Antiqua" w:eastAsia="SimSun" w:hAnsi="Book Antiqua" w:cs="SimSun"/>
        </w:rPr>
        <w:t>Chinea</w:t>
      </w:r>
      <w:proofErr w:type="spellEnd"/>
      <w:r w:rsidRPr="00BD33BF">
        <w:rPr>
          <w:rFonts w:ascii="Book Antiqua" w:eastAsia="SimSun" w:hAnsi="Book Antiqua" w:cs="SimSun"/>
        </w:rPr>
        <w:t xml:space="preserve"> Z, </w:t>
      </w:r>
      <w:proofErr w:type="spellStart"/>
      <w:r w:rsidRPr="00BD33BF">
        <w:rPr>
          <w:rFonts w:ascii="Book Antiqua" w:eastAsia="SimSun" w:hAnsi="Book Antiqua" w:cs="SimSun"/>
        </w:rPr>
        <w:t>Zachos</w:t>
      </w:r>
      <w:proofErr w:type="spellEnd"/>
      <w:r w:rsidRPr="00BD33BF">
        <w:rPr>
          <w:rFonts w:ascii="Book Antiqua" w:eastAsia="SimSun" w:hAnsi="Book Antiqua" w:cs="SimSun"/>
        </w:rPr>
        <w:t xml:space="preserve"> M. Assessment of knowledge in adolescents with inflammatory bowel disease using a novel transition tool. </w:t>
      </w:r>
      <w:proofErr w:type="spellStart"/>
      <w:r w:rsidRPr="00BD33BF">
        <w:rPr>
          <w:rFonts w:ascii="Book Antiqua" w:eastAsia="SimSun" w:hAnsi="Book Antiqua" w:cs="SimSun"/>
          <w:i/>
          <w:iCs/>
        </w:rPr>
        <w:t>Inflamm</w:t>
      </w:r>
      <w:proofErr w:type="spellEnd"/>
      <w:r w:rsidRPr="00BD33BF">
        <w:rPr>
          <w:rFonts w:ascii="Book Antiqua" w:eastAsia="SimSun" w:hAnsi="Book Antiqua" w:cs="SimSun"/>
          <w:i/>
          <w:iCs/>
        </w:rPr>
        <w:t xml:space="preserve"> Bowel Dis</w:t>
      </w:r>
      <w:r w:rsidRPr="00BD33BF">
        <w:rPr>
          <w:rFonts w:ascii="Book Antiqua" w:eastAsia="SimSun" w:hAnsi="Book Antiqua" w:cs="SimSun"/>
        </w:rPr>
        <w:t> 2011; </w:t>
      </w:r>
      <w:r w:rsidRPr="00BD33BF">
        <w:rPr>
          <w:rFonts w:ascii="Book Antiqua" w:eastAsia="SimSun" w:hAnsi="Book Antiqua" w:cs="SimSun"/>
          <w:b/>
          <w:bCs/>
        </w:rPr>
        <w:t>17</w:t>
      </w:r>
      <w:r w:rsidRPr="00BD33BF">
        <w:rPr>
          <w:rFonts w:ascii="Book Antiqua" w:eastAsia="SimSun" w:hAnsi="Book Antiqua" w:cs="SimSun"/>
        </w:rPr>
        <w:t>: 1131-1137 [PMID: 21484961 DOI: 10.1002/ibd.21464]</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27</w:t>
      </w:r>
      <w:proofErr w:type="gramEnd"/>
      <w:r w:rsidRPr="00BD33BF">
        <w:rPr>
          <w:rFonts w:ascii="Book Antiqua" w:eastAsia="SimSun" w:hAnsi="Book Antiqua" w:cs="SimSun"/>
        </w:rPr>
        <w:t> </w:t>
      </w:r>
      <w:proofErr w:type="spellStart"/>
      <w:r w:rsidRPr="00BD33BF">
        <w:rPr>
          <w:rFonts w:ascii="Book Antiqua" w:eastAsia="SimSun" w:hAnsi="Book Antiqua" w:cs="SimSun"/>
          <w:b/>
          <w:bCs/>
        </w:rPr>
        <w:t>Morisky</w:t>
      </w:r>
      <w:proofErr w:type="spellEnd"/>
      <w:r w:rsidRPr="00BD33BF">
        <w:rPr>
          <w:rFonts w:ascii="Book Antiqua" w:eastAsia="SimSun" w:hAnsi="Book Antiqua" w:cs="SimSun"/>
          <w:b/>
          <w:bCs/>
        </w:rPr>
        <w:t xml:space="preserve"> DE</w:t>
      </w:r>
      <w:r w:rsidRPr="00BD33BF">
        <w:rPr>
          <w:rFonts w:ascii="Book Antiqua" w:eastAsia="SimSun" w:hAnsi="Book Antiqua" w:cs="SimSun"/>
        </w:rPr>
        <w:t xml:space="preserve">, </w:t>
      </w:r>
      <w:proofErr w:type="spellStart"/>
      <w:r w:rsidRPr="00BD33BF">
        <w:rPr>
          <w:rFonts w:ascii="Book Antiqua" w:eastAsia="SimSun" w:hAnsi="Book Antiqua" w:cs="SimSun"/>
        </w:rPr>
        <w:t>Ang</w:t>
      </w:r>
      <w:proofErr w:type="spellEnd"/>
      <w:r w:rsidRPr="00BD33BF">
        <w:rPr>
          <w:rFonts w:ascii="Book Antiqua" w:eastAsia="SimSun" w:hAnsi="Book Antiqua" w:cs="SimSun"/>
        </w:rPr>
        <w:t xml:space="preserve"> A, </w:t>
      </w:r>
      <w:proofErr w:type="spellStart"/>
      <w:r w:rsidRPr="00BD33BF">
        <w:rPr>
          <w:rFonts w:ascii="Book Antiqua" w:eastAsia="SimSun" w:hAnsi="Book Antiqua" w:cs="SimSun"/>
        </w:rPr>
        <w:t>Krousel</w:t>
      </w:r>
      <w:proofErr w:type="spellEnd"/>
      <w:r w:rsidRPr="00BD33BF">
        <w:rPr>
          <w:rFonts w:ascii="Book Antiqua" w:eastAsia="SimSun" w:hAnsi="Book Antiqua" w:cs="SimSun"/>
        </w:rPr>
        <w:t>-Wood M, Ward HJ. Predictive validity of a medication adherence measure in an outpatient setting. </w:t>
      </w:r>
      <w:r w:rsidRPr="00BD33BF">
        <w:rPr>
          <w:rFonts w:ascii="Book Antiqua" w:eastAsia="SimSun" w:hAnsi="Book Antiqua" w:cs="SimSun"/>
          <w:i/>
          <w:iCs/>
        </w:rPr>
        <w:t xml:space="preserve">J </w:t>
      </w:r>
      <w:proofErr w:type="spellStart"/>
      <w:r w:rsidRPr="00BD33BF">
        <w:rPr>
          <w:rFonts w:ascii="Book Antiqua" w:eastAsia="SimSun" w:hAnsi="Book Antiqua" w:cs="SimSun"/>
          <w:i/>
          <w:iCs/>
        </w:rPr>
        <w:t>Clin</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Hypertens</w:t>
      </w:r>
      <w:proofErr w:type="spellEnd"/>
      <w:r w:rsidRPr="00BD33BF">
        <w:rPr>
          <w:rFonts w:ascii="Book Antiqua" w:eastAsia="SimSun" w:hAnsi="Book Antiqua" w:cs="SimSun"/>
          <w:i/>
          <w:iCs/>
        </w:rPr>
        <w:t xml:space="preserve"> </w:t>
      </w:r>
      <w:r w:rsidRPr="00BD33BF">
        <w:rPr>
          <w:rFonts w:ascii="Book Antiqua" w:eastAsia="SimSun" w:hAnsi="Book Antiqua" w:cs="SimSun"/>
          <w:iCs/>
        </w:rPr>
        <w:t>(Greenwich)</w:t>
      </w:r>
      <w:r w:rsidRPr="00BD33BF">
        <w:rPr>
          <w:rFonts w:ascii="Book Antiqua" w:eastAsia="SimSun" w:hAnsi="Book Antiqua" w:cs="SimSun"/>
        </w:rPr>
        <w:t> 2008</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10</w:t>
      </w:r>
      <w:r w:rsidRPr="00BD33BF">
        <w:rPr>
          <w:rFonts w:ascii="Book Antiqua" w:eastAsia="SimSun" w:hAnsi="Book Antiqua" w:cs="SimSun"/>
        </w:rPr>
        <w:t>: 348-354 [PMID: 18453793]</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28</w:t>
      </w:r>
      <w:proofErr w:type="gramEnd"/>
      <w:r w:rsidRPr="00BD33BF">
        <w:rPr>
          <w:rFonts w:ascii="Book Antiqua" w:eastAsia="SimSun" w:hAnsi="Book Antiqua" w:cs="SimSun"/>
        </w:rPr>
        <w:t> </w:t>
      </w:r>
      <w:r w:rsidRPr="00BD33BF">
        <w:rPr>
          <w:rFonts w:ascii="Book Antiqua" w:eastAsia="SimSun" w:hAnsi="Book Antiqua" w:cs="SimSun"/>
          <w:b/>
          <w:bCs/>
        </w:rPr>
        <w:t>Kroenke K</w:t>
      </w:r>
      <w:r w:rsidRPr="00BD33BF">
        <w:rPr>
          <w:rFonts w:ascii="Book Antiqua" w:eastAsia="SimSun" w:hAnsi="Book Antiqua" w:cs="SimSun"/>
        </w:rPr>
        <w:t>, Spitzer RL, Williams JB. The PHQ-9: validity of a brief depression severity measure. </w:t>
      </w:r>
      <w:r w:rsidRPr="00BD33BF">
        <w:rPr>
          <w:rFonts w:ascii="Book Antiqua" w:eastAsia="SimSun" w:hAnsi="Book Antiqua" w:cs="SimSun"/>
          <w:i/>
          <w:iCs/>
        </w:rPr>
        <w:t>J Gen Intern Med</w:t>
      </w:r>
      <w:r w:rsidRPr="00BD33BF">
        <w:rPr>
          <w:rFonts w:ascii="Book Antiqua" w:eastAsia="SimSun" w:hAnsi="Book Antiqua" w:cs="SimSun"/>
        </w:rPr>
        <w:t> 2001</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16</w:t>
      </w:r>
      <w:r w:rsidRPr="00BD33BF">
        <w:rPr>
          <w:rFonts w:ascii="Book Antiqua" w:eastAsia="SimSun" w:hAnsi="Book Antiqua" w:cs="SimSun"/>
        </w:rPr>
        <w:t>: 606-613 [PMID: 11556941]</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29</w:t>
      </w:r>
      <w:proofErr w:type="gramEnd"/>
      <w:r w:rsidRPr="00BD33BF">
        <w:rPr>
          <w:rFonts w:ascii="Book Antiqua" w:eastAsia="SimSun" w:hAnsi="Book Antiqua" w:cs="SimSun"/>
        </w:rPr>
        <w:t> </w:t>
      </w:r>
      <w:proofErr w:type="spellStart"/>
      <w:r w:rsidRPr="00BD33BF">
        <w:rPr>
          <w:rFonts w:ascii="Book Antiqua" w:eastAsia="SimSun" w:hAnsi="Book Antiqua" w:cs="SimSun"/>
          <w:b/>
          <w:bCs/>
        </w:rPr>
        <w:t>Hait</w:t>
      </w:r>
      <w:proofErr w:type="spellEnd"/>
      <w:r w:rsidRPr="00BD33BF">
        <w:rPr>
          <w:rFonts w:ascii="Book Antiqua" w:eastAsia="SimSun" w:hAnsi="Book Antiqua" w:cs="SimSun"/>
          <w:b/>
          <w:bCs/>
        </w:rPr>
        <w:t xml:space="preserve"> E</w:t>
      </w:r>
      <w:r w:rsidRPr="00BD33BF">
        <w:rPr>
          <w:rFonts w:ascii="Book Antiqua" w:eastAsia="SimSun" w:hAnsi="Book Antiqua" w:cs="SimSun"/>
        </w:rPr>
        <w:t>, Arnold JH, Fishman LN. Educate, communicate, anticipate-practical recommendations for transitioning adolescents with IBD to adult health care. </w:t>
      </w:r>
      <w:proofErr w:type="spellStart"/>
      <w:r w:rsidRPr="00BD33BF">
        <w:rPr>
          <w:rFonts w:ascii="Book Antiqua" w:eastAsia="SimSun" w:hAnsi="Book Antiqua" w:cs="SimSun"/>
          <w:i/>
          <w:iCs/>
        </w:rPr>
        <w:t>Inflamm</w:t>
      </w:r>
      <w:proofErr w:type="spellEnd"/>
      <w:r w:rsidRPr="00BD33BF">
        <w:rPr>
          <w:rFonts w:ascii="Book Antiqua" w:eastAsia="SimSun" w:hAnsi="Book Antiqua" w:cs="SimSun"/>
          <w:i/>
          <w:iCs/>
        </w:rPr>
        <w:t xml:space="preserve"> Bowel Dis</w:t>
      </w:r>
      <w:r w:rsidRPr="00BD33BF">
        <w:rPr>
          <w:rFonts w:ascii="Book Antiqua" w:eastAsia="SimSun" w:hAnsi="Book Antiqua" w:cs="SimSun"/>
        </w:rPr>
        <w:t> 2006</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12</w:t>
      </w:r>
      <w:r w:rsidRPr="00BD33BF">
        <w:rPr>
          <w:rFonts w:ascii="Book Antiqua" w:eastAsia="SimSun" w:hAnsi="Book Antiqua" w:cs="SimSun"/>
        </w:rPr>
        <w:t>: 70-73 [PMID: 16374262]</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30</w:t>
      </w:r>
      <w:proofErr w:type="gramEnd"/>
      <w:r w:rsidRPr="00BD33BF">
        <w:rPr>
          <w:rFonts w:ascii="Book Antiqua" w:eastAsia="SimSun" w:hAnsi="Book Antiqua" w:cs="SimSun"/>
        </w:rPr>
        <w:t> </w:t>
      </w:r>
      <w:r w:rsidRPr="00BD33BF">
        <w:rPr>
          <w:rFonts w:ascii="Book Antiqua" w:eastAsia="SimSun" w:hAnsi="Book Antiqua" w:cs="SimSun"/>
          <w:b/>
          <w:bCs/>
        </w:rPr>
        <w:t>Escher JC</w:t>
      </w:r>
      <w:r w:rsidRPr="00BD33BF">
        <w:rPr>
          <w:rFonts w:ascii="Book Antiqua" w:eastAsia="SimSun" w:hAnsi="Book Antiqua" w:cs="SimSun"/>
        </w:rPr>
        <w:t>. Transition from pediatric to adult health care in inflammatory bowel disease. </w:t>
      </w:r>
      <w:r w:rsidRPr="00BD33BF">
        <w:rPr>
          <w:rFonts w:ascii="Book Antiqua" w:eastAsia="SimSun" w:hAnsi="Book Antiqua" w:cs="SimSun"/>
          <w:i/>
          <w:iCs/>
        </w:rPr>
        <w:t>Dig Dis</w:t>
      </w:r>
      <w:r w:rsidRPr="00BD33BF">
        <w:rPr>
          <w:rFonts w:ascii="Book Antiqua" w:eastAsia="SimSun" w:hAnsi="Book Antiqua" w:cs="SimSun"/>
        </w:rPr>
        <w:t> 2009; </w:t>
      </w:r>
      <w:r w:rsidRPr="00BD33BF">
        <w:rPr>
          <w:rFonts w:ascii="Book Antiqua" w:eastAsia="SimSun" w:hAnsi="Book Antiqua" w:cs="SimSun"/>
          <w:b/>
          <w:bCs/>
        </w:rPr>
        <w:t>27</w:t>
      </w:r>
      <w:r w:rsidRPr="00BD33BF">
        <w:rPr>
          <w:rFonts w:ascii="Book Antiqua" w:eastAsia="SimSun" w:hAnsi="Book Antiqua" w:cs="SimSun"/>
        </w:rPr>
        <w:t>: 382-386 [PMID: 19786769 DOI: 10.1159/000228578]</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31</w:t>
      </w:r>
      <w:proofErr w:type="gramEnd"/>
      <w:r w:rsidRPr="00BD33BF">
        <w:rPr>
          <w:rFonts w:ascii="Book Antiqua" w:eastAsia="SimSun" w:hAnsi="Book Antiqua" w:cs="SimSun"/>
        </w:rPr>
        <w:t> </w:t>
      </w:r>
      <w:r w:rsidRPr="00BD33BF">
        <w:rPr>
          <w:rFonts w:ascii="Book Antiqua" w:eastAsia="SimSun" w:hAnsi="Book Antiqua" w:cs="SimSun"/>
          <w:b/>
          <w:bCs/>
        </w:rPr>
        <w:t>Schwartz LA</w:t>
      </w:r>
      <w:r w:rsidRPr="00BD33BF">
        <w:rPr>
          <w:rFonts w:ascii="Book Antiqua" w:eastAsia="SimSun" w:hAnsi="Book Antiqua" w:cs="SimSun"/>
        </w:rPr>
        <w:t xml:space="preserve">, Tuchman LK, </w:t>
      </w:r>
      <w:proofErr w:type="spellStart"/>
      <w:r w:rsidRPr="00BD33BF">
        <w:rPr>
          <w:rFonts w:ascii="Book Antiqua" w:eastAsia="SimSun" w:hAnsi="Book Antiqua" w:cs="SimSun"/>
        </w:rPr>
        <w:t>Hobbie</w:t>
      </w:r>
      <w:proofErr w:type="spellEnd"/>
      <w:r w:rsidRPr="00BD33BF">
        <w:rPr>
          <w:rFonts w:ascii="Book Antiqua" w:eastAsia="SimSun" w:hAnsi="Book Antiqua" w:cs="SimSun"/>
        </w:rPr>
        <w:t xml:space="preserve"> WL, Ginsberg JP. A social-ecological model of readiness for transition to adult-oriented care for adolescents and young adults with chronic health conditions. </w:t>
      </w:r>
      <w:r w:rsidRPr="00BD33BF">
        <w:rPr>
          <w:rFonts w:ascii="Book Antiqua" w:eastAsia="SimSun" w:hAnsi="Book Antiqua" w:cs="SimSun"/>
          <w:i/>
          <w:iCs/>
        </w:rPr>
        <w:t>Child Care Health Dev</w:t>
      </w:r>
      <w:r w:rsidRPr="00BD33BF">
        <w:rPr>
          <w:rFonts w:ascii="Book Antiqua" w:eastAsia="SimSun" w:hAnsi="Book Antiqua" w:cs="SimSun"/>
        </w:rPr>
        <w:t> 2011; </w:t>
      </w:r>
      <w:r w:rsidRPr="00BD33BF">
        <w:rPr>
          <w:rFonts w:ascii="Book Antiqua" w:eastAsia="SimSun" w:hAnsi="Book Antiqua" w:cs="SimSun"/>
          <w:b/>
          <w:bCs/>
        </w:rPr>
        <w:t>37</w:t>
      </w:r>
      <w:r w:rsidRPr="00BD33BF">
        <w:rPr>
          <w:rFonts w:ascii="Book Antiqua" w:eastAsia="SimSun" w:hAnsi="Book Antiqua" w:cs="SimSun"/>
        </w:rPr>
        <w:t>: 883-895 [PMID: 22007989 DOI: 10.1111/j.1365-2214.2011.01282.x]</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32 </w:t>
      </w:r>
      <w:r w:rsidRPr="00BD33BF">
        <w:rPr>
          <w:rFonts w:ascii="Book Antiqua" w:eastAsia="SimSun" w:hAnsi="Book Antiqua" w:cs="SimSun"/>
          <w:b/>
          <w:bCs/>
        </w:rPr>
        <w:t>Schwartz LA</w:t>
      </w:r>
      <w:r w:rsidRPr="00BD33BF">
        <w:rPr>
          <w:rFonts w:ascii="Book Antiqua" w:eastAsia="SimSun" w:hAnsi="Book Antiqua" w:cs="SimSun"/>
        </w:rPr>
        <w:t xml:space="preserve">, </w:t>
      </w:r>
      <w:proofErr w:type="spellStart"/>
      <w:r w:rsidRPr="00BD33BF">
        <w:rPr>
          <w:rFonts w:ascii="Book Antiqua" w:eastAsia="SimSun" w:hAnsi="Book Antiqua" w:cs="SimSun"/>
        </w:rPr>
        <w:t>Brumley</w:t>
      </w:r>
      <w:proofErr w:type="spellEnd"/>
      <w:r w:rsidRPr="00BD33BF">
        <w:rPr>
          <w:rFonts w:ascii="Book Antiqua" w:eastAsia="SimSun" w:hAnsi="Book Antiqua" w:cs="SimSun"/>
        </w:rPr>
        <w:t xml:space="preserve"> LD, Tuchman LK, </w:t>
      </w:r>
      <w:proofErr w:type="spellStart"/>
      <w:r w:rsidRPr="00BD33BF">
        <w:rPr>
          <w:rFonts w:ascii="Book Antiqua" w:eastAsia="SimSun" w:hAnsi="Book Antiqua" w:cs="SimSun"/>
        </w:rPr>
        <w:t>Barakat</w:t>
      </w:r>
      <w:proofErr w:type="spellEnd"/>
      <w:r w:rsidRPr="00BD33BF">
        <w:rPr>
          <w:rFonts w:ascii="Book Antiqua" w:eastAsia="SimSun" w:hAnsi="Book Antiqua" w:cs="SimSun"/>
        </w:rPr>
        <w:t xml:space="preserve"> LP, </w:t>
      </w:r>
      <w:proofErr w:type="spellStart"/>
      <w:r w:rsidRPr="00BD33BF">
        <w:rPr>
          <w:rFonts w:ascii="Book Antiqua" w:eastAsia="SimSun" w:hAnsi="Book Antiqua" w:cs="SimSun"/>
        </w:rPr>
        <w:t>Hobbie</w:t>
      </w:r>
      <w:proofErr w:type="spellEnd"/>
      <w:r w:rsidRPr="00BD33BF">
        <w:rPr>
          <w:rFonts w:ascii="Book Antiqua" w:eastAsia="SimSun" w:hAnsi="Book Antiqua" w:cs="SimSun"/>
        </w:rPr>
        <w:t xml:space="preserve"> WL, Ginsberg JP, Daniel LC, Kazak AE, Bevans K, </w:t>
      </w:r>
      <w:proofErr w:type="spellStart"/>
      <w:r w:rsidRPr="00BD33BF">
        <w:rPr>
          <w:rFonts w:ascii="Book Antiqua" w:eastAsia="SimSun" w:hAnsi="Book Antiqua" w:cs="SimSun"/>
        </w:rPr>
        <w:t>Deatrick</w:t>
      </w:r>
      <w:proofErr w:type="spellEnd"/>
      <w:r w:rsidRPr="00BD33BF">
        <w:rPr>
          <w:rFonts w:ascii="Book Antiqua" w:eastAsia="SimSun" w:hAnsi="Book Antiqua" w:cs="SimSun"/>
        </w:rPr>
        <w:t xml:space="preserve"> JA. Stakeholder validation of a model of readiness for transition to adult care. </w:t>
      </w:r>
      <w:r w:rsidRPr="00BD33BF">
        <w:rPr>
          <w:rFonts w:ascii="Book Antiqua" w:eastAsia="SimSun" w:hAnsi="Book Antiqua" w:cs="SimSun"/>
          <w:i/>
          <w:iCs/>
        </w:rPr>
        <w:t xml:space="preserve">JAMA </w:t>
      </w:r>
      <w:proofErr w:type="spellStart"/>
      <w:r w:rsidRPr="00BD33BF">
        <w:rPr>
          <w:rFonts w:ascii="Book Antiqua" w:eastAsia="SimSun" w:hAnsi="Book Antiqua" w:cs="SimSun"/>
          <w:i/>
          <w:iCs/>
        </w:rPr>
        <w:t>Pediatr</w:t>
      </w:r>
      <w:proofErr w:type="spellEnd"/>
      <w:r w:rsidRPr="00BD33BF">
        <w:rPr>
          <w:rFonts w:ascii="Book Antiqua" w:eastAsia="SimSun" w:hAnsi="Book Antiqua" w:cs="SimSun"/>
        </w:rPr>
        <w:t> 2013; </w:t>
      </w:r>
      <w:r w:rsidRPr="00BD33BF">
        <w:rPr>
          <w:rFonts w:ascii="Book Antiqua" w:eastAsia="SimSun" w:hAnsi="Book Antiqua" w:cs="SimSun"/>
          <w:b/>
          <w:bCs/>
        </w:rPr>
        <w:t>167</w:t>
      </w:r>
      <w:r w:rsidRPr="00BD33BF">
        <w:rPr>
          <w:rFonts w:ascii="Book Antiqua" w:eastAsia="SimSun" w:hAnsi="Book Antiqua" w:cs="SimSun"/>
        </w:rPr>
        <w:t>: 939-946 [PMID: 23959392 DOI: 10.1001/jamapediatrics.2013.2223]</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lastRenderedPageBreak/>
        <w:t>33 </w:t>
      </w:r>
      <w:r w:rsidRPr="00BD33BF">
        <w:rPr>
          <w:rFonts w:ascii="Book Antiqua" w:eastAsia="SimSun" w:hAnsi="Book Antiqua" w:cs="SimSun"/>
          <w:b/>
          <w:bCs/>
        </w:rPr>
        <w:t>Paine CW</w:t>
      </w:r>
      <w:r w:rsidRPr="00BD33BF">
        <w:rPr>
          <w:rFonts w:ascii="Book Antiqua" w:eastAsia="SimSun" w:hAnsi="Book Antiqua" w:cs="SimSun"/>
        </w:rPr>
        <w:t xml:space="preserve">, </w:t>
      </w:r>
      <w:proofErr w:type="spellStart"/>
      <w:r w:rsidRPr="00BD33BF">
        <w:rPr>
          <w:rFonts w:ascii="Book Antiqua" w:eastAsia="SimSun" w:hAnsi="Book Antiqua" w:cs="SimSun"/>
        </w:rPr>
        <w:t>Stollon</w:t>
      </w:r>
      <w:proofErr w:type="spellEnd"/>
      <w:r w:rsidRPr="00BD33BF">
        <w:rPr>
          <w:rFonts w:ascii="Book Antiqua" w:eastAsia="SimSun" w:hAnsi="Book Antiqua" w:cs="SimSun"/>
        </w:rPr>
        <w:t xml:space="preserve"> NB, Lucas MS, </w:t>
      </w:r>
      <w:proofErr w:type="spellStart"/>
      <w:r w:rsidRPr="00BD33BF">
        <w:rPr>
          <w:rFonts w:ascii="Book Antiqua" w:eastAsia="SimSun" w:hAnsi="Book Antiqua" w:cs="SimSun"/>
        </w:rPr>
        <w:t>Brumley</w:t>
      </w:r>
      <w:proofErr w:type="spellEnd"/>
      <w:r w:rsidRPr="00BD33BF">
        <w:rPr>
          <w:rFonts w:ascii="Book Antiqua" w:eastAsia="SimSun" w:hAnsi="Book Antiqua" w:cs="SimSun"/>
        </w:rPr>
        <w:t xml:space="preserve"> LD, Poole ES, Peyton T, Grant AW, Jan S, Trachtenberg S, Zander M, </w:t>
      </w:r>
      <w:proofErr w:type="spellStart"/>
      <w:r w:rsidRPr="00BD33BF">
        <w:rPr>
          <w:rFonts w:ascii="Book Antiqua" w:eastAsia="SimSun" w:hAnsi="Book Antiqua" w:cs="SimSun"/>
        </w:rPr>
        <w:t>Mamula</w:t>
      </w:r>
      <w:proofErr w:type="spellEnd"/>
      <w:r w:rsidRPr="00BD33BF">
        <w:rPr>
          <w:rFonts w:ascii="Book Antiqua" w:eastAsia="SimSun" w:hAnsi="Book Antiqua" w:cs="SimSun"/>
        </w:rPr>
        <w:t xml:space="preserve"> P, </w:t>
      </w:r>
      <w:proofErr w:type="spellStart"/>
      <w:r w:rsidRPr="00BD33BF">
        <w:rPr>
          <w:rFonts w:ascii="Book Antiqua" w:eastAsia="SimSun" w:hAnsi="Book Antiqua" w:cs="SimSun"/>
        </w:rPr>
        <w:t>Bonafide</w:t>
      </w:r>
      <w:proofErr w:type="spellEnd"/>
      <w:r w:rsidRPr="00BD33BF">
        <w:rPr>
          <w:rFonts w:ascii="Book Antiqua" w:eastAsia="SimSun" w:hAnsi="Book Antiqua" w:cs="SimSun"/>
        </w:rPr>
        <w:t xml:space="preserve"> CP, Schwartz LA. Barriers and facilitators to successful transition from pediatric to adult inflammatory bowel disease care from the perspectives of providers. </w:t>
      </w:r>
      <w:proofErr w:type="spellStart"/>
      <w:r w:rsidRPr="00BD33BF">
        <w:rPr>
          <w:rFonts w:ascii="Book Antiqua" w:eastAsia="SimSun" w:hAnsi="Book Antiqua" w:cs="SimSun"/>
          <w:i/>
          <w:iCs/>
        </w:rPr>
        <w:t>Inflamm</w:t>
      </w:r>
      <w:proofErr w:type="spellEnd"/>
      <w:r w:rsidRPr="00BD33BF">
        <w:rPr>
          <w:rFonts w:ascii="Book Antiqua" w:eastAsia="SimSun" w:hAnsi="Book Antiqua" w:cs="SimSun"/>
          <w:i/>
          <w:iCs/>
        </w:rPr>
        <w:t xml:space="preserve"> Bowel Dis</w:t>
      </w:r>
      <w:r w:rsidRPr="00BD33BF">
        <w:rPr>
          <w:rFonts w:ascii="Book Antiqua" w:eastAsia="SimSun" w:hAnsi="Book Antiqua" w:cs="SimSun"/>
        </w:rPr>
        <w:t> 2014; </w:t>
      </w:r>
      <w:r w:rsidRPr="00BD33BF">
        <w:rPr>
          <w:rFonts w:ascii="Book Antiqua" w:eastAsia="SimSun" w:hAnsi="Book Antiqua" w:cs="SimSun"/>
          <w:b/>
          <w:bCs/>
        </w:rPr>
        <w:t>20</w:t>
      </w:r>
      <w:r w:rsidRPr="00BD33BF">
        <w:rPr>
          <w:rFonts w:ascii="Book Antiqua" w:eastAsia="SimSun" w:hAnsi="Book Antiqua" w:cs="SimSun"/>
        </w:rPr>
        <w:t>: 2083-2091 [PMID: 25137417 DOI: 10.1097/MIB.0000000000000136]</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34</w:t>
      </w:r>
      <w:proofErr w:type="gramEnd"/>
      <w:r w:rsidRPr="00BD33BF">
        <w:rPr>
          <w:rFonts w:ascii="Book Antiqua" w:eastAsia="SimSun" w:hAnsi="Book Antiqua" w:cs="SimSun"/>
        </w:rPr>
        <w:t> </w:t>
      </w:r>
      <w:proofErr w:type="spellStart"/>
      <w:r w:rsidRPr="00BD33BF">
        <w:rPr>
          <w:rFonts w:ascii="Book Antiqua" w:eastAsia="SimSun" w:hAnsi="Book Antiqua" w:cs="SimSun"/>
          <w:b/>
          <w:bCs/>
        </w:rPr>
        <w:t>Zeisler</w:t>
      </w:r>
      <w:proofErr w:type="spellEnd"/>
      <w:r w:rsidRPr="00BD33BF">
        <w:rPr>
          <w:rFonts w:ascii="Book Antiqua" w:eastAsia="SimSun" w:hAnsi="Book Antiqua" w:cs="SimSun"/>
          <w:b/>
          <w:bCs/>
        </w:rPr>
        <w:t xml:space="preserve"> B</w:t>
      </w:r>
      <w:r w:rsidRPr="00BD33BF">
        <w:rPr>
          <w:rFonts w:ascii="Book Antiqua" w:eastAsia="SimSun" w:hAnsi="Book Antiqua" w:cs="SimSun"/>
        </w:rPr>
        <w:t xml:space="preserve">, </w:t>
      </w:r>
      <w:proofErr w:type="spellStart"/>
      <w:r w:rsidRPr="00BD33BF">
        <w:rPr>
          <w:rFonts w:ascii="Book Antiqua" w:eastAsia="SimSun" w:hAnsi="Book Antiqua" w:cs="SimSun"/>
        </w:rPr>
        <w:t>Hyams</w:t>
      </w:r>
      <w:proofErr w:type="spellEnd"/>
      <w:r w:rsidRPr="00BD33BF">
        <w:rPr>
          <w:rFonts w:ascii="Book Antiqua" w:eastAsia="SimSun" w:hAnsi="Book Antiqua" w:cs="SimSun"/>
        </w:rPr>
        <w:t xml:space="preserve"> JS. Transition of management in adolescents with IBD. </w:t>
      </w:r>
      <w:r w:rsidRPr="00BD33BF">
        <w:rPr>
          <w:rFonts w:ascii="Book Antiqua" w:eastAsia="SimSun" w:hAnsi="Book Antiqua" w:cs="SimSun"/>
          <w:i/>
          <w:iCs/>
        </w:rPr>
        <w:t xml:space="preserve">Nat Rev </w:t>
      </w:r>
      <w:proofErr w:type="spellStart"/>
      <w:r w:rsidRPr="00BD33BF">
        <w:rPr>
          <w:rFonts w:ascii="Book Antiqua" w:eastAsia="SimSun" w:hAnsi="Book Antiqua" w:cs="SimSun"/>
          <w:i/>
          <w:iCs/>
        </w:rPr>
        <w:t>Gastroenterol</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Hepatol</w:t>
      </w:r>
      <w:proofErr w:type="spellEnd"/>
      <w:r w:rsidRPr="00BD33BF">
        <w:rPr>
          <w:rFonts w:ascii="Book Antiqua" w:eastAsia="SimSun" w:hAnsi="Book Antiqua" w:cs="SimSun"/>
        </w:rPr>
        <w:t> 2014; </w:t>
      </w:r>
      <w:r w:rsidRPr="00BD33BF">
        <w:rPr>
          <w:rFonts w:ascii="Book Antiqua" w:eastAsia="SimSun" w:hAnsi="Book Antiqua" w:cs="SimSun"/>
          <w:b/>
          <w:bCs/>
        </w:rPr>
        <w:t>11</w:t>
      </w:r>
      <w:r w:rsidRPr="00BD33BF">
        <w:rPr>
          <w:rFonts w:ascii="Book Antiqua" w:eastAsia="SimSun" w:hAnsi="Book Antiqua" w:cs="SimSun"/>
        </w:rPr>
        <w:t>: 109-115 [PMID: 24419396 DOI: 10.1038/nrgastro.2013.254]</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35 </w:t>
      </w:r>
      <w:r w:rsidRPr="00BD33BF">
        <w:rPr>
          <w:rFonts w:ascii="Book Antiqua" w:eastAsia="SimSun" w:hAnsi="Book Antiqua" w:cs="SimSun"/>
          <w:b/>
          <w:bCs/>
        </w:rPr>
        <w:t>Wright EK</w:t>
      </w:r>
      <w:r w:rsidRPr="00BD33BF">
        <w:rPr>
          <w:rFonts w:ascii="Book Antiqua" w:eastAsia="SimSun" w:hAnsi="Book Antiqua" w:cs="SimSun"/>
        </w:rPr>
        <w:t xml:space="preserve">, Williams J, Andrews JM, Day AS, </w:t>
      </w:r>
      <w:proofErr w:type="spellStart"/>
      <w:r w:rsidRPr="00BD33BF">
        <w:rPr>
          <w:rFonts w:ascii="Book Antiqua" w:eastAsia="SimSun" w:hAnsi="Book Antiqua" w:cs="SimSun"/>
        </w:rPr>
        <w:t>Gearry</w:t>
      </w:r>
      <w:proofErr w:type="spellEnd"/>
      <w:r w:rsidRPr="00BD33BF">
        <w:rPr>
          <w:rFonts w:ascii="Book Antiqua" w:eastAsia="SimSun" w:hAnsi="Book Antiqua" w:cs="SimSun"/>
        </w:rPr>
        <w:t xml:space="preserve"> RB, Bampton P, Moore D, </w:t>
      </w:r>
      <w:proofErr w:type="spellStart"/>
      <w:r w:rsidRPr="00BD33BF">
        <w:rPr>
          <w:rFonts w:ascii="Book Antiqua" w:eastAsia="SimSun" w:hAnsi="Book Antiqua" w:cs="SimSun"/>
        </w:rPr>
        <w:t>Lemberg</w:t>
      </w:r>
      <w:proofErr w:type="spellEnd"/>
      <w:r w:rsidRPr="00BD33BF">
        <w:rPr>
          <w:rFonts w:ascii="Book Antiqua" w:eastAsia="SimSun" w:hAnsi="Book Antiqua" w:cs="SimSun"/>
        </w:rPr>
        <w:t xml:space="preserve"> D, </w:t>
      </w:r>
      <w:proofErr w:type="spellStart"/>
      <w:r w:rsidRPr="00BD33BF">
        <w:rPr>
          <w:rFonts w:ascii="Book Antiqua" w:eastAsia="SimSun" w:hAnsi="Book Antiqua" w:cs="SimSun"/>
        </w:rPr>
        <w:t>Ravikumaran</w:t>
      </w:r>
      <w:proofErr w:type="spellEnd"/>
      <w:r w:rsidRPr="00BD33BF">
        <w:rPr>
          <w:rFonts w:ascii="Book Antiqua" w:eastAsia="SimSun" w:hAnsi="Book Antiqua" w:cs="SimSun"/>
        </w:rPr>
        <w:t xml:space="preserve"> R, Wilson J, </w:t>
      </w:r>
      <w:proofErr w:type="spellStart"/>
      <w:r w:rsidRPr="00BD33BF">
        <w:rPr>
          <w:rFonts w:ascii="Book Antiqua" w:eastAsia="SimSun" w:hAnsi="Book Antiqua" w:cs="SimSun"/>
        </w:rPr>
        <w:t>Lewindon</w:t>
      </w:r>
      <w:proofErr w:type="spellEnd"/>
      <w:r w:rsidRPr="00BD33BF">
        <w:rPr>
          <w:rFonts w:ascii="Book Antiqua" w:eastAsia="SimSun" w:hAnsi="Book Antiqua" w:cs="SimSun"/>
        </w:rPr>
        <w:t xml:space="preserve"> P, Radford-Smith G, Rosenbaum J, </w:t>
      </w:r>
      <w:proofErr w:type="spellStart"/>
      <w:r w:rsidRPr="00BD33BF">
        <w:rPr>
          <w:rFonts w:ascii="Book Antiqua" w:eastAsia="SimSun" w:hAnsi="Book Antiqua" w:cs="SimSun"/>
        </w:rPr>
        <w:t>Catto</w:t>
      </w:r>
      <w:proofErr w:type="spellEnd"/>
      <w:r w:rsidRPr="00BD33BF">
        <w:rPr>
          <w:rFonts w:ascii="Book Antiqua" w:eastAsia="SimSun" w:hAnsi="Book Antiqua" w:cs="SimSun"/>
        </w:rPr>
        <w:t xml:space="preserve">-Smith A, Desmond PV, Connell WR, Cameron D, Alex G, Bell SJ, De Cruz P. Perspectives of </w:t>
      </w:r>
      <w:proofErr w:type="spellStart"/>
      <w:r w:rsidRPr="00BD33BF">
        <w:rPr>
          <w:rFonts w:ascii="Book Antiqua" w:eastAsia="SimSun" w:hAnsi="Book Antiqua" w:cs="SimSun"/>
        </w:rPr>
        <w:t>paediatric</w:t>
      </w:r>
      <w:proofErr w:type="spellEnd"/>
      <w:r w:rsidRPr="00BD33BF">
        <w:rPr>
          <w:rFonts w:ascii="Book Antiqua" w:eastAsia="SimSun" w:hAnsi="Book Antiqua" w:cs="SimSun"/>
        </w:rPr>
        <w:t xml:space="preserve"> and adult gastroenterologists on transfer and transition care of adolescents with inflammatory bowel disease. </w:t>
      </w:r>
      <w:r w:rsidRPr="00BD33BF">
        <w:rPr>
          <w:rFonts w:ascii="Book Antiqua" w:eastAsia="SimSun" w:hAnsi="Book Antiqua" w:cs="SimSun"/>
          <w:i/>
          <w:iCs/>
        </w:rPr>
        <w:t>Intern Med J</w:t>
      </w:r>
      <w:r w:rsidRPr="00BD33BF">
        <w:rPr>
          <w:rFonts w:ascii="Book Antiqua" w:eastAsia="SimSun" w:hAnsi="Book Antiqua" w:cs="SimSun"/>
        </w:rPr>
        <w:t> 2014; </w:t>
      </w:r>
      <w:r w:rsidRPr="00BD33BF">
        <w:rPr>
          <w:rFonts w:ascii="Book Antiqua" w:eastAsia="SimSun" w:hAnsi="Book Antiqua" w:cs="SimSun"/>
          <w:b/>
          <w:bCs/>
        </w:rPr>
        <w:t>44</w:t>
      </w:r>
      <w:r w:rsidRPr="00BD33BF">
        <w:rPr>
          <w:rFonts w:ascii="Book Antiqua" w:eastAsia="SimSun" w:hAnsi="Book Antiqua" w:cs="SimSun"/>
        </w:rPr>
        <w:t>: 490-496 [PMID: 24589174 DOI: 10.1111/imj.12402]</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 xml:space="preserve">36 </w:t>
      </w:r>
      <w:r w:rsidRPr="00BD33BF">
        <w:rPr>
          <w:rFonts w:ascii="Book Antiqua" w:eastAsia="SimSun" w:hAnsi="Book Antiqua" w:cs="SimSun"/>
          <w:b/>
        </w:rPr>
        <w:t>Fishman LN</w:t>
      </w:r>
      <w:r w:rsidRPr="00BD33BF">
        <w:rPr>
          <w:rFonts w:ascii="Book Antiqua" w:eastAsia="SimSun" w:hAnsi="Book Antiqua" w:cs="SimSun"/>
        </w:rPr>
        <w:t xml:space="preserve">, </w:t>
      </w:r>
      <w:proofErr w:type="spellStart"/>
      <w:r w:rsidRPr="00BD33BF">
        <w:rPr>
          <w:rFonts w:ascii="Book Antiqua" w:eastAsia="SimSun" w:hAnsi="Book Antiqua" w:cs="SimSun"/>
        </w:rPr>
        <w:t>Ziniel</w:t>
      </w:r>
      <w:proofErr w:type="spellEnd"/>
      <w:r w:rsidRPr="00BD33BF">
        <w:rPr>
          <w:rFonts w:ascii="Book Antiqua" w:eastAsia="SimSun" w:hAnsi="Book Antiqua" w:cs="SimSun"/>
        </w:rPr>
        <w:t xml:space="preserve"> SI, </w:t>
      </w:r>
      <w:proofErr w:type="spellStart"/>
      <w:r w:rsidRPr="00BD33BF">
        <w:rPr>
          <w:rFonts w:ascii="Book Antiqua" w:eastAsia="SimSun" w:hAnsi="Book Antiqua" w:cs="SimSun"/>
        </w:rPr>
        <w:t>Adrichem</w:t>
      </w:r>
      <w:proofErr w:type="spellEnd"/>
      <w:r w:rsidRPr="00BD33BF">
        <w:rPr>
          <w:rFonts w:ascii="Book Antiqua" w:eastAsia="SimSun" w:hAnsi="Book Antiqua" w:cs="SimSun"/>
        </w:rPr>
        <w:t xml:space="preserve"> ME, </w:t>
      </w:r>
      <w:proofErr w:type="spellStart"/>
      <w:r w:rsidRPr="00BD33BF">
        <w:rPr>
          <w:rFonts w:ascii="Book Antiqua" w:eastAsia="SimSun" w:hAnsi="Book Antiqua" w:cs="SimSun"/>
        </w:rPr>
        <w:t>Fernandes</w:t>
      </w:r>
      <w:proofErr w:type="spellEnd"/>
      <w:r w:rsidRPr="00BD33BF">
        <w:rPr>
          <w:rFonts w:ascii="Book Antiqua" w:eastAsia="SimSun" w:hAnsi="Book Antiqua" w:cs="SimSun"/>
        </w:rPr>
        <w:t xml:space="preserve"> SM, Arnold J. Provider awareness alone does not improve transition readiness skills in adolescent patients with inflammatory bowel disease. </w:t>
      </w:r>
      <w:r w:rsidRPr="00BD33BF">
        <w:rPr>
          <w:rFonts w:ascii="Book Antiqua" w:eastAsia="SimSun" w:hAnsi="Book Antiqua" w:cs="SimSun"/>
          <w:i/>
        </w:rPr>
        <w:t xml:space="preserve">J </w:t>
      </w:r>
      <w:proofErr w:type="spellStart"/>
      <w:r w:rsidRPr="00BD33BF">
        <w:rPr>
          <w:rFonts w:ascii="Book Antiqua" w:eastAsia="SimSun" w:hAnsi="Book Antiqua" w:cs="SimSun"/>
          <w:i/>
        </w:rPr>
        <w:t>Pediatr</w:t>
      </w:r>
      <w:proofErr w:type="spellEnd"/>
      <w:r w:rsidRPr="00BD33BF">
        <w:rPr>
          <w:rFonts w:ascii="Book Antiqua" w:eastAsia="SimSun" w:hAnsi="Book Antiqua" w:cs="SimSun"/>
          <w:i/>
        </w:rPr>
        <w:t xml:space="preserve"> </w:t>
      </w:r>
      <w:proofErr w:type="spellStart"/>
      <w:r w:rsidRPr="00BD33BF">
        <w:rPr>
          <w:rFonts w:ascii="Book Antiqua" w:eastAsia="SimSun" w:hAnsi="Book Antiqua" w:cs="SimSun"/>
          <w:i/>
        </w:rPr>
        <w:t>Gastroenterol</w:t>
      </w:r>
      <w:proofErr w:type="spellEnd"/>
      <w:r w:rsidRPr="00BD33BF">
        <w:rPr>
          <w:rFonts w:ascii="Book Antiqua" w:eastAsia="SimSun" w:hAnsi="Book Antiqua" w:cs="SimSun"/>
          <w:i/>
        </w:rPr>
        <w:t xml:space="preserve"> </w:t>
      </w:r>
      <w:proofErr w:type="spellStart"/>
      <w:r w:rsidRPr="00BD33BF">
        <w:rPr>
          <w:rFonts w:ascii="Book Antiqua" w:eastAsia="SimSun" w:hAnsi="Book Antiqua" w:cs="SimSun"/>
          <w:i/>
        </w:rPr>
        <w:t>Nutr</w:t>
      </w:r>
      <w:proofErr w:type="spellEnd"/>
      <w:r w:rsidRPr="00BD33BF">
        <w:rPr>
          <w:rFonts w:ascii="Book Antiqua" w:eastAsia="SimSun" w:hAnsi="Book Antiqua" w:cs="SimSun"/>
        </w:rPr>
        <w:t xml:space="preserve"> 2014; </w:t>
      </w:r>
      <w:r w:rsidRPr="00BD33BF">
        <w:rPr>
          <w:rFonts w:ascii="Book Antiqua" w:eastAsia="SimSun" w:hAnsi="Book Antiqua" w:cs="SimSun"/>
          <w:b/>
        </w:rPr>
        <w:t xml:space="preserve">59: </w:t>
      </w:r>
      <w:r w:rsidRPr="00BD33BF">
        <w:rPr>
          <w:rFonts w:ascii="Book Antiqua" w:eastAsia="SimSun" w:hAnsi="Book Antiqua" w:cs="SimSun"/>
        </w:rPr>
        <w:t>221-224 [DOI: 10.1097/MPG.0000000000000405]</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37</w:t>
      </w:r>
      <w:proofErr w:type="gramEnd"/>
      <w:r w:rsidRPr="00BD33BF">
        <w:rPr>
          <w:rFonts w:ascii="Book Antiqua" w:eastAsia="SimSun" w:hAnsi="Book Antiqua" w:cs="SimSun"/>
        </w:rPr>
        <w:t> </w:t>
      </w:r>
      <w:r w:rsidRPr="00BD33BF">
        <w:rPr>
          <w:rFonts w:ascii="Book Antiqua" w:eastAsia="SimSun" w:hAnsi="Book Antiqua" w:cs="SimSun"/>
          <w:b/>
          <w:bCs/>
        </w:rPr>
        <w:t>Gray WN</w:t>
      </w:r>
      <w:r w:rsidRPr="00BD33BF">
        <w:rPr>
          <w:rFonts w:ascii="Book Antiqua" w:eastAsia="SimSun" w:hAnsi="Book Antiqua" w:cs="SimSun"/>
        </w:rPr>
        <w:t xml:space="preserve">, Holbrook E, Morgan PJ, Saeed SA, Denson LA, </w:t>
      </w:r>
      <w:proofErr w:type="spellStart"/>
      <w:r w:rsidRPr="00BD33BF">
        <w:rPr>
          <w:rFonts w:ascii="Book Antiqua" w:eastAsia="SimSun" w:hAnsi="Book Antiqua" w:cs="SimSun"/>
        </w:rPr>
        <w:t>Hommel</w:t>
      </w:r>
      <w:proofErr w:type="spellEnd"/>
      <w:r w:rsidRPr="00BD33BF">
        <w:rPr>
          <w:rFonts w:ascii="Book Antiqua" w:eastAsia="SimSun" w:hAnsi="Book Antiqua" w:cs="SimSun"/>
        </w:rPr>
        <w:t xml:space="preserve"> KA. Transition readiness skills acquisition in adolescents and young adults with inflammatory bowel disease: findings from integrating assessment into clinical practice. </w:t>
      </w:r>
      <w:proofErr w:type="spellStart"/>
      <w:r w:rsidRPr="00BD33BF">
        <w:rPr>
          <w:rFonts w:ascii="Book Antiqua" w:eastAsia="SimSun" w:hAnsi="Book Antiqua" w:cs="SimSun"/>
          <w:i/>
          <w:iCs/>
        </w:rPr>
        <w:t>Inflamm</w:t>
      </w:r>
      <w:proofErr w:type="spellEnd"/>
      <w:r w:rsidRPr="00BD33BF">
        <w:rPr>
          <w:rFonts w:ascii="Book Antiqua" w:eastAsia="SimSun" w:hAnsi="Book Antiqua" w:cs="SimSun"/>
          <w:i/>
          <w:iCs/>
        </w:rPr>
        <w:t xml:space="preserve"> Bowel Dis</w:t>
      </w:r>
      <w:r w:rsidRPr="00BD33BF">
        <w:rPr>
          <w:rFonts w:ascii="Book Antiqua" w:eastAsia="SimSun" w:hAnsi="Book Antiqua" w:cs="SimSun"/>
        </w:rPr>
        <w:t> 2015; </w:t>
      </w:r>
      <w:r w:rsidRPr="00BD33BF">
        <w:rPr>
          <w:rFonts w:ascii="Book Antiqua" w:eastAsia="SimSun" w:hAnsi="Book Antiqua" w:cs="SimSun"/>
          <w:b/>
          <w:bCs/>
        </w:rPr>
        <w:t>21</w:t>
      </w:r>
      <w:r w:rsidRPr="00BD33BF">
        <w:rPr>
          <w:rFonts w:ascii="Book Antiqua" w:eastAsia="SimSun" w:hAnsi="Book Antiqua" w:cs="SimSun"/>
        </w:rPr>
        <w:t>: 1125-1131 [PMID: 25803505 DOI: 10.1097/MIB.0000000000000352]</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38</w:t>
      </w:r>
      <w:proofErr w:type="gramEnd"/>
      <w:r w:rsidRPr="00BD33BF">
        <w:rPr>
          <w:rFonts w:ascii="Book Antiqua" w:eastAsia="SimSun" w:hAnsi="Book Antiqua" w:cs="SimSun"/>
        </w:rPr>
        <w:t> </w:t>
      </w:r>
      <w:r w:rsidRPr="00BD33BF">
        <w:rPr>
          <w:rFonts w:ascii="Book Antiqua" w:eastAsia="SimSun" w:hAnsi="Book Antiqua" w:cs="SimSun"/>
          <w:b/>
          <w:bCs/>
        </w:rPr>
        <w:t>Abraham BP</w:t>
      </w:r>
      <w:r w:rsidRPr="00BD33BF">
        <w:rPr>
          <w:rFonts w:ascii="Book Antiqua" w:eastAsia="SimSun" w:hAnsi="Book Antiqua" w:cs="SimSun"/>
        </w:rPr>
        <w:t>, Kahn SA. Transition of Care in Inflammatory Bowel Disease. </w:t>
      </w:r>
      <w:proofErr w:type="spellStart"/>
      <w:r w:rsidRPr="00BD33BF">
        <w:rPr>
          <w:rFonts w:ascii="Book Antiqua" w:eastAsia="SimSun" w:hAnsi="Book Antiqua" w:cs="SimSun"/>
          <w:i/>
          <w:iCs/>
        </w:rPr>
        <w:t>Gastroenterol</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Hepatol</w:t>
      </w:r>
      <w:proofErr w:type="spellEnd"/>
      <w:r w:rsidRPr="00BD33BF">
        <w:rPr>
          <w:rFonts w:ascii="Book Antiqua" w:eastAsia="SimSun" w:hAnsi="Book Antiqua" w:cs="SimSun"/>
          <w:iCs/>
        </w:rPr>
        <w:t xml:space="preserve"> (N Y)</w:t>
      </w:r>
      <w:r w:rsidRPr="00BD33BF">
        <w:rPr>
          <w:rFonts w:ascii="Book Antiqua" w:eastAsia="SimSun" w:hAnsi="Book Antiqua" w:cs="SimSun"/>
        </w:rPr>
        <w:t> 2014</w:t>
      </w:r>
      <w:proofErr w:type="gramStart"/>
      <w:r w:rsidRPr="00BD33BF">
        <w:rPr>
          <w:rFonts w:ascii="Book Antiqua" w:eastAsia="SimSun" w:hAnsi="Book Antiqua" w:cs="SimSun"/>
        </w:rPr>
        <w:t>;</w:t>
      </w:r>
      <w:proofErr w:type="gramEnd"/>
      <w:r w:rsidRPr="00BD33BF">
        <w:rPr>
          <w:rFonts w:ascii="Book Antiqua" w:eastAsia="SimSun" w:hAnsi="Book Antiqua" w:cs="SimSun"/>
        </w:rPr>
        <w:t> </w:t>
      </w:r>
      <w:r w:rsidRPr="00BD33BF">
        <w:rPr>
          <w:rFonts w:ascii="Book Antiqua" w:eastAsia="SimSun" w:hAnsi="Book Antiqua" w:cs="SimSun"/>
          <w:b/>
          <w:bCs/>
        </w:rPr>
        <w:t>10</w:t>
      </w:r>
      <w:r w:rsidRPr="00BD33BF">
        <w:rPr>
          <w:rFonts w:ascii="Book Antiqua" w:eastAsia="SimSun" w:hAnsi="Book Antiqua" w:cs="SimSun"/>
        </w:rPr>
        <w:t>: 633-640 [PMID: 27540335]</w:t>
      </w:r>
    </w:p>
    <w:p w:rsidR="00633765" w:rsidRPr="00BD33BF" w:rsidRDefault="00633765" w:rsidP="00633765">
      <w:pPr>
        <w:spacing w:line="360" w:lineRule="auto"/>
        <w:jc w:val="both"/>
        <w:rPr>
          <w:rFonts w:ascii="Book Antiqua" w:eastAsia="SimSun" w:hAnsi="Book Antiqua" w:cs="SimSun"/>
        </w:rPr>
      </w:pPr>
      <w:proofErr w:type="gramStart"/>
      <w:r w:rsidRPr="00BD33BF">
        <w:rPr>
          <w:rFonts w:ascii="Book Antiqua" w:eastAsia="SimSun" w:hAnsi="Book Antiqua" w:cs="SimSun"/>
        </w:rPr>
        <w:t>39</w:t>
      </w:r>
      <w:proofErr w:type="gramEnd"/>
      <w:r w:rsidRPr="00BD33BF">
        <w:rPr>
          <w:rFonts w:ascii="Book Antiqua" w:eastAsia="SimSun" w:hAnsi="Book Antiqua" w:cs="SimSun"/>
        </w:rPr>
        <w:t> </w:t>
      </w:r>
      <w:r w:rsidRPr="00BD33BF">
        <w:rPr>
          <w:rFonts w:ascii="Book Antiqua" w:eastAsia="SimSun" w:hAnsi="Book Antiqua" w:cs="SimSun"/>
          <w:b/>
          <w:bCs/>
        </w:rPr>
        <w:t>Leung Y</w:t>
      </w:r>
      <w:r w:rsidRPr="00BD33BF">
        <w:rPr>
          <w:rFonts w:ascii="Book Antiqua" w:eastAsia="SimSun" w:hAnsi="Book Antiqua" w:cs="SimSun"/>
        </w:rPr>
        <w:t xml:space="preserve">, </w:t>
      </w:r>
      <w:proofErr w:type="spellStart"/>
      <w:r w:rsidRPr="00BD33BF">
        <w:rPr>
          <w:rFonts w:ascii="Book Antiqua" w:eastAsia="SimSun" w:hAnsi="Book Antiqua" w:cs="SimSun"/>
        </w:rPr>
        <w:t>Heyman</w:t>
      </w:r>
      <w:proofErr w:type="spellEnd"/>
      <w:r w:rsidRPr="00BD33BF">
        <w:rPr>
          <w:rFonts w:ascii="Book Antiqua" w:eastAsia="SimSun" w:hAnsi="Book Antiqua" w:cs="SimSun"/>
        </w:rPr>
        <w:t xml:space="preserve"> MB, </w:t>
      </w:r>
      <w:proofErr w:type="spellStart"/>
      <w:r w:rsidRPr="00BD33BF">
        <w:rPr>
          <w:rFonts w:ascii="Book Antiqua" w:eastAsia="SimSun" w:hAnsi="Book Antiqua" w:cs="SimSun"/>
        </w:rPr>
        <w:t>Mahadevan</w:t>
      </w:r>
      <w:proofErr w:type="spellEnd"/>
      <w:r w:rsidRPr="00BD33BF">
        <w:rPr>
          <w:rFonts w:ascii="Book Antiqua" w:eastAsia="SimSun" w:hAnsi="Book Antiqua" w:cs="SimSun"/>
        </w:rPr>
        <w:t xml:space="preserve"> U. Transitioning the adolescent inflammatory bowel disease patient: guidelines for the adult and pediatric gastroenterologist. </w:t>
      </w:r>
      <w:proofErr w:type="spellStart"/>
      <w:r w:rsidRPr="00BD33BF">
        <w:rPr>
          <w:rFonts w:ascii="Book Antiqua" w:eastAsia="SimSun" w:hAnsi="Book Antiqua" w:cs="SimSun"/>
          <w:i/>
          <w:iCs/>
        </w:rPr>
        <w:t>Inflamm</w:t>
      </w:r>
      <w:proofErr w:type="spellEnd"/>
      <w:r w:rsidRPr="00BD33BF">
        <w:rPr>
          <w:rFonts w:ascii="Book Antiqua" w:eastAsia="SimSun" w:hAnsi="Book Antiqua" w:cs="SimSun"/>
          <w:i/>
          <w:iCs/>
        </w:rPr>
        <w:t xml:space="preserve"> Bowel Dis</w:t>
      </w:r>
      <w:r w:rsidRPr="00BD33BF">
        <w:rPr>
          <w:rFonts w:ascii="Book Antiqua" w:eastAsia="SimSun" w:hAnsi="Book Antiqua" w:cs="SimSun"/>
        </w:rPr>
        <w:t> 2011; </w:t>
      </w:r>
      <w:r w:rsidRPr="00BD33BF">
        <w:rPr>
          <w:rFonts w:ascii="Book Antiqua" w:eastAsia="SimSun" w:hAnsi="Book Antiqua" w:cs="SimSun"/>
          <w:b/>
          <w:bCs/>
        </w:rPr>
        <w:t>17</w:t>
      </w:r>
      <w:r w:rsidRPr="00BD33BF">
        <w:rPr>
          <w:rFonts w:ascii="Book Antiqua" w:eastAsia="SimSun" w:hAnsi="Book Antiqua" w:cs="SimSun"/>
        </w:rPr>
        <w:t>: 2169-2173 [PMID: 21910179 DOI: 10.1002/ibd.21576]</w:t>
      </w:r>
    </w:p>
    <w:p w:rsidR="00633765" w:rsidRPr="00BD33BF" w:rsidRDefault="00633765" w:rsidP="00633765">
      <w:pPr>
        <w:spacing w:line="360" w:lineRule="auto"/>
        <w:jc w:val="both"/>
        <w:rPr>
          <w:rFonts w:ascii="Book Antiqua" w:eastAsia="SimSun" w:hAnsi="Book Antiqua" w:cs="SimSun"/>
        </w:rPr>
      </w:pPr>
      <w:r w:rsidRPr="00BD33BF">
        <w:rPr>
          <w:rFonts w:ascii="Book Antiqua" w:eastAsia="SimSun" w:hAnsi="Book Antiqua" w:cs="SimSun"/>
        </w:rPr>
        <w:t>40 </w:t>
      </w:r>
      <w:proofErr w:type="spellStart"/>
      <w:r w:rsidRPr="00BD33BF">
        <w:rPr>
          <w:rFonts w:ascii="Book Antiqua" w:eastAsia="SimSun" w:hAnsi="Book Antiqua" w:cs="SimSun"/>
          <w:b/>
          <w:bCs/>
        </w:rPr>
        <w:t>Cervesi</w:t>
      </w:r>
      <w:proofErr w:type="spellEnd"/>
      <w:r w:rsidRPr="00BD33BF">
        <w:rPr>
          <w:rFonts w:ascii="Book Antiqua" w:eastAsia="SimSun" w:hAnsi="Book Antiqua" w:cs="SimSun"/>
          <w:b/>
          <w:bCs/>
        </w:rPr>
        <w:t xml:space="preserve"> C</w:t>
      </w:r>
      <w:r w:rsidRPr="00BD33BF">
        <w:rPr>
          <w:rFonts w:ascii="Book Antiqua" w:eastAsia="SimSun" w:hAnsi="Book Antiqua" w:cs="SimSun"/>
        </w:rPr>
        <w:t xml:space="preserve">, </w:t>
      </w:r>
      <w:proofErr w:type="spellStart"/>
      <w:r w:rsidRPr="00BD33BF">
        <w:rPr>
          <w:rFonts w:ascii="Book Antiqua" w:eastAsia="SimSun" w:hAnsi="Book Antiqua" w:cs="SimSun"/>
        </w:rPr>
        <w:t>Battistutta</w:t>
      </w:r>
      <w:proofErr w:type="spellEnd"/>
      <w:r w:rsidRPr="00BD33BF">
        <w:rPr>
          <w:rFonts w:ascii="Book Antiqua" w:eastAsia="SimSun" w:hAnsi="Book Antiqua" w:cs="SimSun"/>
        </w:rPr>
        <w:t xml:space="preserve"> S, </w:t>
      </w:r>
      <w:proofErr w:type="spellStart"/>
      <w:r w:rsidRPr="00BD33BF">
        <w:rPr>
          <w:rFonts w:ascii="Book Antiqua" w:eastAsia="SimSun" w:hAnsi="Book Antiqua" w:cs="SimSun"/>
        </w:rPr>
        <w:t>Martelossi</w:t>
      </w:r>
      <w:proofErr w:type="spellEnd"/>
      <w:r w:rsidRPr="00BD33BF">
        <w:rPr>
          <w:rFonts w:ascii="Book Antiqua" w:eastAsia="SimSun" w:hAnsi="Book Antiqua" w:cs="SimSun"/>
        </w:rPr>
        <w:t xml:space="preserve"> S, </w:t>
      </w:r>
      <w:proofErr w:type="spellStart"/>
      <w:r w:rsidRPr="00BD33BF">
        <w:rPr>
          <w:rFonts w:ascii="Book Antiqua" w:eastAsia="SimSun" w:hAnsi="Book Antiqua" w:cs="SimSun"/>
        </w:rPr>
        <w:t>Ronfani</w:t>
      </w:r>
      <w:proofErr w:type="spellEnd"/>
      <w:r w:rsidRPr="00BD33BF">
        <w:rPr>
          <w:rFonts w:ascii="Book Antiqua" w:eastAsia="SimSun" w:hAnsi="Book Antiqua" w:cs="SimSun"/>
        </w:rPr>
        <w:t xml:space="preserve"> L, Ventura A. Health priorities in adolescents with inflammatory bowel disease: physicians' versus patients' </w:t>
      </w:r>
      <w:r w:rsidRPr="00BD33BF">
        <w:rPr>
          <w:rFonts w:ascii="Book Antiqua" w:eastAsia="SimSun" w:hAnsi="Book Antiqua" w:cs="SimSun"/>
        </w:rPr>
        <w:lastRenderedPageBreak/>
        <w:t>perspectives. </w:t>
      </w:r>
      <w:r w:rsidRPr="00BD33BF">
        <w:rPr>
          <w:rFonts w:ascii="Book Antiqua" w:eastAsia="SimSun" w:hAnsi="Book Antiqua" w:cs="SimSun"/>
          <w:i/>
          <w:iCs/>
        </w:rPr>
        <w:t xml:space="preserve">J </w:t>
      </w:r>
      <w:proofErr w:type="spellStart"/>
      <w:r w:rsidRPr="00BD33BF">
        <w:rPr>
          <w:rFonts w:ascii="Book Antiqua" w:eastAsia="SimSun" w:hAnsi="Book Antiqua" w:cs="SimSun"/>
          <w:i/>
          <w:iCs/>
        </w:rPr>
        <w:t>Pediatr</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Gastroenterol</w:t>
      </w:r>
      <w:proofErr w:type="spellEnd"/>
      <w:r w:rsidRPr="00BD33BF">
        <w:rPr>
          <w:rFonts w:ascii="Book Antiqua" w:eastAsia="SimSun" w:hAnsi="Book Antiqua" w:cs="SimSun"/>
          <w:i/>
          <w:iCs/>
        </w:rPr>
        <w:t xml:space="preserve"> </w:t>
      </w:r>
      <w:proofErr w:type="spellStart"/>
      <w:r w:rsidRPr="00BD33BF">
        <w:rPr>
          <w:rFonts w:ascii="Book Antiqua" w:eastAsia="SimSun" w:hAnsi="Book Antiqua" w:cs="SimSun"/>
          <w:i/>
          <w:iCs/>
        </w:rPr>
        <w:t>Nutr</w:t>
      </w:r>
      <w:proofErr w:type="spellEnd"/>
      <w:r w:rsidRPr="00BD33BF">
        <w:rPr>
          <w:rFonts w:ascii="Book Antiqua" w:eastAsia="SimSun" w:hAnsi="Book Antiqua" w:cs="SimSun"/>
        </w:rPr>
        <w:t> 2013; </w:t>
      </w:r>
      <w:r w:rsidRPr="00BD33BF">
        <w:rPr>
          <w:rFonts w:ascii="Book Antiqua" w:eastAsia="SimSun" w:hAnsi="Book Antiqua" w:cs="SimSun"/>
          <w:b/>
          <w:bCs/>
        </w:rPr>
        <w:t>57</w:t>
      </w:r>
      <w:r w:rsidRPr="00BD33BF">
        <w:rPr>
          <w:rFonts w:ascii="Book Antiqua" w:eastAsia="SimSun" w:hAnsi="Book Antiqua" w:cs="SimSun"/>
        </w:rPr>
        <w:t>: 39-42 [PMID: 23403446 DOI: 10.1097/MPG.0b013e31828b5fd4]</w:t>
      </w:r>
    </w:p>
    <w:p w:rsidR="00633765" w:rsidRPr="00BD33BF" w:rsidRDefault="00633765" w:rsidP="00633765">
      <w:pPr>
        <w:spacing w:line="360" w:lineRule="auto"/>
        <w:jc w:val="both"/>
        <w:rPr>
          <w:rFonts w:ascii="Book Antiqua" w:hAnsi="Book Antiqua"/>
        </w:rPr>
      </w:pPr>
    </w:p>
    <w:p w:rsidR="00633765" w:rsidRPr="00633765" w:rsidRDefault="00845327" w:rsidP="00633765">
      <w:pPr>
        <w:spacing w:line="360" w:lineRule="auto"/>
        <w:jc w:val="both"/>
        <w:rPr>
          <w:rFonts w:ascii="Book Antiqua" w:hAnsi="Book Antiqua" w:cs="Arial"/>
        </w:rPr>
      </w:pPr>
      <w:r w:rsidRPr="00E84B3F">
        <w:rPr>
          <w:rFonts w:ascii="Book Antiqua" w:hAnsi="Book Antiqua" w:cs="Arial"/>
        </w:rPr>
        <w:t xml:space="preserve"> </w:t>
      </w:r>
      <w:r w:rsidR="00633765" w:rsidRPr="00633765">
        <w:rPr>
          <w:rStyle w:val="Strong"/>
          <w:rFonts w:ascii="Book Antiqua" w:hAnsi="Book Antiqua" w:cs="Arial"/>
          <w:bCs w:val="0"/>
          <w:noProof/>
          <w:color w:val="000000"/>
        </w:rPr>
        <w:t>P-Reviewer</w:t>
      </w:r>
      <w:r w:rsidR="00633765" w:rsidRPr="00633765">
        <w:rPr>
          <w:rStyle w:val="Strong"/>
          <w:rFonts w:ascii="Book Antiqua" w:eastAsia="SimSun" w:hAnsi="Book Antiqua" w:cs="Arial"/>
          <w:bCs w:val="0"/>
          <w:noProof/>
          <w:color w:val="000000"/>
          <w:lang w:eastAsia="zh-CN"/>
        </w:rPr>
        <w:t>:</w:t>
      </w:r>
      <w:r w:rsidR="00633765" w:rsidRPr="00633765">
        <w:rPr>
          <w:rFonts w:ascii="Book Antiqua" w:hAnsi="Book Antiqua"/>
          <w:bCs/>
          <w:color w:val="000000"/>
        </w:rPr>
        <w:t xml:space="preserve"> </w:t>
      </w:r>
      <w:proofErr w:type="spellStart"/>
      <w:r w:rsidR="00633765" w:rsidRPr="00633765">
        <w:rPr>
          <w:rFonts w:ascii="Book Antiqua" w:hAnsi="Book Antiqua"/>
          <w:bCs/>
          <w:color w:val="000000"/>
        </w:rPr>
        <w:t>Gow</w:t>
      </w:r>
      <w:proofErr w:type="spellEnd"/>
      <w:r w:rsidR="00633765">
        <w:rPr>
          <w:rFonts w:ascii="Book Antiqua" w:eastAsia="SimSun" w:hAnsi="Book Antiqua" w:hint="eastAsia"/>
          <w:bCs/>
          <w:color w:val="000000"/>
          <w:lang w:eastAsia="zh-CN"/>
        </w:rPr>
        <w:t xml:space="preserve"> KW, </w:t>
      </w:r>
      <w:proofErr w:type="spellStart"/>
      <w:r w:rsidR="00965599" w:rsidRPr="00965599">
        <w:rPr>
          <w:rFonts w:ascii="Book Antiqua" w:eastAsia="SimSun" w:hAnsi="Book Antiqua"/>
          <w:bCs/>
          <w:color w:val="000000"/>
          <w:lang w:eastAsia="zh-CN"/>
        </w:rPr>
        <w:t>Lakatos</w:t>
      </w:r>
      <w:proofErr w:type="spellEnd"/>
      <w:r w:rsidR="00965599">
        <w:rPr>
          <w:rFonts w:ascii="Book Antiqua" w:eastAsia="SimSun" w:hAnsi="Book Antiqua" w:hint="eastAsia"/>
          <w:bCs/>
          <w:color w:val="000000"/>
          <w:lang w:eastAsia="zh-CN"/>
        </w:rPr>
        <w:t xml:space="preserve"> PL, </w:t>
      </w:r>
      <w:proofErr w:type="spellStart"/>
      <w:r w:rsidR="00633765" w:rsidRPr="00633765">
        <w:rPr>
          <w:rFonts w:ascii="Book Antiqua" w:eastAsia="SimSun" w:hAnsi="Book Antiqua"/>
          <w:bCs/>
          <w:color w:val="000000"/>
          <w:lang w:eastAsia="zh-CN"/>
        </w:rPr>
        <w:t>Sangkhathat</w:t>
      </w:r>
      <w:proofErr w:type="spellEnd"/>
      <w:r w:rsidR="00633765">
        <w:rPr>
          <w:rFonts w:ascii="Book Antiqua" w:eastAsia="SimSun" w:hAnsi="Book Antiqua" w:hint="eastAsia"/>
          <w:bCs/>
          <w:color w:val="000000"/>
          <w:lang w:eastAsia="zh-CN"/>
        </w:rPr>
        <w:t xml:space="preserve"> S</w:t>
      </w:r>
      <w:r w:rsidR="00633765" w:rsidRPr="00633765">
        <w:rPr>
          <w:rFonts w:ascii="Book Antiqua" w:hAnsi="Book Antiqua"/>
          <w:bCs/>
          <w:color w:val="000000"/>
        </w:rPr>
        <w:t xml:space="preserve">   </w:t>
      </w:r>
      <w:r w:rsidR="00633765" w:rsidRPr="00633765">
        <w:rPr>
          <w:rFonts w:ascii="Book Antiqua" w:hAnsi="Book Antiqua"/>
          <w:b/>
          <w:bCs/>
          <w:color w:val="000000"/>
        </w:rPr>
        <w:t>S-Editor</w:t>
      </w:r>
      <w:r w:rsidR="00633765" w:rsidRPr="00633765">
        <w:rPr>
          <w:rFonts w:ascii="Book Antiqua" w:eastAsia="SimSun" w:hAnsi="Book Antiqua"/>
          <w:b/>
          <w:bCs/>
          <w:color w:val="000000"/>
          <w:lang w:eastAsia="zh-CN"/>
        </w:rPr>
        <w:t>:</w:t>
      </w:r>
      <w:r w:rsidR="00633765" w:rsidRPr="00633765">
        <w:rPr>
          <w:rFonts w:ascii="Book Antiqua" w:hAnsi="Book Antiqua"/>
          <w:bCs/>
          <w:color w:val="000000"/>
        </w:rPr>
        <w:t xml:space="preserve"> </w:t>
      </w:r>
      <w:r w:rsidR="00633765" w:rsidRPr="00633765">
        <w:rPr>
          <w:rFonts w:ascii="Book Antiqua" w:eastAsia="SimSun" w:hAnsi="Book Antiqua"/>
          <w:bCs/>
          <w:color w:val="000000"/>
          <w:lang w:eastAsia="zh-CN"/>
        </w:rPr>
        <w:t>Qi Y</w:t>
      </w:r>
      <w:r w:rsidR="00633765" w:rsidRPr="00633765">
        <w:rPr>
          <w:rFonts w:ascii="Book Antiqua" w:hAnsi="Book Antiqua"/>
          <w:b/>
          <w:bCs/>
          <w:color w:val="000000"/>
        </w:rPr>
        <w:t xml:space="preserve">   L-Editor</w:t>
      </w:r>
      <w:r w:rsidR="00633765" w:rsidRPr="00633765">
        <w:rPr>
          <w:rFonts w:ascii="Book Antiqua" w:eastAsia="SimSun" w:hAnsi="Book Antiqua"/>
          <w:b/>
          <w:bCs/>
          <w:color w:val="000000"/>
          <w:lang w:eastAsia="zh-CN"/>
        </w:rPr>
        <w:t>:</w:t>
      </w:r>
      <w:r w:rsidR="00633765" w:rsidRPr="00633765">
        <w:rPr>
          <w:rFonts w:ascii="Book Antiqua" w:hAnsi="Book Antiqua"/>
          <w:b/>
          <w:bCs/>
          <w:color w:val="000000"/>
        </w:rPr>
        <w:t xml:space="preserve">   E-Editor</w:t>
      </w:r>
      <w:r w:rsidR="00633765" w:rsidRPr="00633765">
        <w:rPr>
          <w:rFonts w:ascii="Book Antiqua" w:eastAsia="SimSun" w:hAnsi="Book Antiqua"/>
          <w:b/>
          <w:bCs/>
          <w:color w:val="000000"/>
          <w:lang w:eastAsia="zh-CN"/>
        </w:rPr>
        <w:t>:</w:t>
      </w:r>
    </w:p>
    <w:p w:rsidR="00633765" w:rsidRPr="008F0DB6" w:rsidRDefault="00633765" w:rsidP="00633765">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rsidR="00633765" w:rsidRPr="00633765" w:rsidRDefault="00633765" w:rsidP="00633765">
      <w:pPr>
        <w:shd w:val="clear" w:color="auto" w:fill="FFFFFF"/>
        <w:snapToGrid w:val="0"/>
        <w:spacing w:line="360" w:lineRule="auto"/>
        <w:jc w:val="both"/>
        <w:rPr>
          <w:rFonts w:ascii="Book Antiqua" w:hAnsi="Book Antiqua" w:cs="Helvetica"/>
        </w:rPr>
      </w:pPr>
      <w:r w:rsidRPr="008F0DB6">
        <w:rPr>
          <w:rFonts w:ascii="Book Antiqua" w:hAnsi="Book Antiqua" w:cs="Helvetica"/>
          <w:b/>
        </w:rPr>
        <w:t xml:space="preserve">Country of origin: </w:t>
      </w:r>
      <w:r w:rsidRPr="00633765">
        <w:rPr>
          <w:rFonts w:ascii="Book Antiqua" w:hAnsi="Book Antiqua" w:cs="Helvetica"/>
        </w:rPr>
        <w:t>United States</w:t>
      </w:r>
    </w:p>
    <w:p w:rsidR="00633765" w:rsidRPr="008F0DB6" w:rsidRDefault="00633765" w:rsidP="00633765">
      <w:pPr>
        <w:shd w:val="clear" w:color="auto" w:fill="FFFFFF"/>
        <w:snapToGrid w:val="0"/>
        <w:spacing w:line="360" w:lineRule="auto"/>
        <w:jc w:val="both"/>
        <w:rPr>
          <w:rFonts w:ascii="Book Antiqua" w:hAnsi="Book Antiqua" w:cs="Helvetica"/>
          <w:b/>
        </w:rPr>
      </w:pPr>
      <w:r w:rsidRPr="008F0DB6">
        <w:rPr>
          <w:rFonts w:ascii="Book Antiqua" w:hAnsi="Book Antiqua" w:cs="Helvetica"/>
          <w:b/>
        </w:rPr>
        <w:t>Peer-review report classification</w:t>
      </w:r>
    </w:p>
    <w:p w:rsidR="00633765" w:rsidRPr="00633765" w:rsidRDefault="00633765" w:rsidP="00633765">
      <w:pPr>
        <w:shd w:val="clear" w:color="auto" w:fill="FFFFFF"/>
        <w:snapToGrid w:val="0"/>
        <w:spacing w:line="360" w:lineRule="auto"/>
        <w:jc w:val="both"/>
        <w:rPr>
          <w:rFonts w:ascii="Book Antiqua" w:eastAsia="SimSun" w:hAnsi="Book Antiqua" w:cs="Helvetica"/>
          <w:lang w:eastAsia="zh-CN"/>
        </w:rPr>
      </w:pPr>
      <w:r w:rsidRPr="008F0DB6">
        <w:rPr>
          <w:rFonts w:ascii="Book Antiqua" w:hAnsi="Book Antiqua" w:cs="Helvetica"/>
        </w:rPr>
        <w:t xml:space="preserve">Grade </w:t>
      </w:r>
      <w:proofErr w:type="gramStart"/>
      <w:r w:rsidRPr="008F0DB6">
        <w:rPr>
          <w:rFonts w:ascii="Book Antiqua" w:hAnsi="Book Antiqua" w:cs="Helvetica"/>
        </w:rPr>
        <w:t>A</w:t>
      </w:r>
      <w:proofErr w:type="gramEnd"/>
      <w:r w:rsidRPr="008F0DB6">
        <w:rPr>
          <w:rFonts w:ascii="Book Antiqua" w:hAnsi="Book Antiqua" w:cs="Helvetica"/>
        </w:rPr>
        <w:t xml:space="preserve"> (Excellent): </w:t>
      </w:r>
      <w:r>
        <w:rPr>
          <w:rFonts w:ascii="Book Antiqua" w:eastAsia="SimSun" w:hAnsi="Book Antiqua" w:cs="Helvetica" w:hint="eastAsia"/>
          <w:lang w:eastAsia="zh-CN"/>
        </w:rPr>
        <w:t>A, A</w:t>
      </w:r>
    </w:p>
    <w:p w:rsidR="00633765" w:rsidRPr="008F0DB6" w:rsidRDefault="00633765" w:rsidP="00633765">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B (Very good): </w:t>
      </w:r>
      <w:proofErr w:type="gramStart"/>
      <w:r w:rsidRPr="008F0DB6">
        <w:rPr>
          <w:rFonts w:ascii="Book Antiqua" w:hAnsi="Book Antiqua" w:cs="Helvetica" w:hint="eastAsia"/>
        </w:rPr>
        <w:t>0</w:t>
      </w:r>
      <w:proofErr w:type="gramEnd"/>
    </w:p>
    <w:p w:rsidR="00633765" w:rsidRPr="00965599" w:rsidRDefault="00633765" w:rsidP="00633765">
      <w:pPr>
        <w:shd w:val="clear" w:color="auto" w:fill="FFFFFF"/>
        <w:snapToGrid w:val="0"/>
        <w:spacing w:line="360" w:lineRule="auto"/>
        <w:jc w:val="both"/>
        <w:rPr>
          <w:rFonts w:ascii="Book Antiqua" w:eastAsia="SimSun" w:hAnsi="Book Antiqua" w:cs="Helvetica"/>
          <w:lang w:eastAsia="zh-CN"/>
        </w:rPr>
      </w:pPr>
      <w:r w:rsidRPr="008F0DB6">
        <w:rPr>
          <w:rFonts w:ascii="Book Antiqua" w:hAnsi="Book Antiqua" w:cs="Helvetica"/>
        </w:rPr>
        <w:t xml:space="preserve">Grade C (Good): </w:t>
      </w:r>
      <w:r w:rsidR="00965599">
        <w:rPr>
          <w:rFonts w:ascii="Book Antiqua" w:eastAsia="SimSun" w:hAnsi="Book Antiqua" w:cs="Helvetica" w:hint="eastAsia"/>
          <w:lang w:eastAsia="zh-CN"/>
        </w:rPr>
        <w:t>C</w:t>
      </w:r>
    </w:p>
    <w:p w:rsidR="00633765" w:rsidRPr="008F0DB6" w:rsidRDefault="00633765" w:rsidP="00633765">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D (Fair): </w:t>
      </w:r>
      <w:proofErr w:type="gramStart"/>
      <w:r w:rsidRPr="008F0DB6">
        <w:rPr>
          <w:rFonts w:ascii="Book Antiqua" w:hAnsi="Book Antiqua" w:cs="Helvetica" w:hint="eastAsia"/>
        </w:rPr>
        <w:t>0</w:t>
      </w:r>
      <w:proofErr w:type="gramEnd"/>
    </w:p>
    <w:p w:rsidR="00633765" w:rsidRPr="008F0DB6" w:rsidRDefault="00633765" w:rsidP="00633765">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E (Poor): </w:t>
      </w:r>
      <w:proofErr w:type="gramStart"/>
      <w:r w:rsidRPr="008F0DB6">
        <w:rPr>
          <w:rFonts w:ascii="Book Antiqua" w:hAnsi="Book Antiqua" w:cs="Helvetica" w:hint="eastAsia"/>
        </w:rPr>
        <w:t>0</w:t>
      </w:r>
      <w:proofErr w:type="gramEnd"/>
    </w:p>
    <w:p w:rsidR="00845327" w:rsidRPr="00E84B3F" w:rsidRDefault="00845327" w:rsidP="00633765">
      <w:pPr>
        <w:pStyle w:val="ListParagraph"/>
        <w:spacing w:line="360" w:lineRule="auto"/>
        <w:jc w:val="both"/>
        <w:rPr>
          <w:rFonts w:ascii="Book Antiqua" w:hAnsi="Book Antiqua" w:cs="Arial"/>
        </w:rPr>
      </w:pPr>
    </w:p>
    <w:p w:rsidR="00633765" w:rsidRDefault="00633765" w:rsidP="00633765">
      <w:pPr>
        <w:jc w:val="both"/>
        <w:rPr>
          <w:rFonts w:ascii="Book Antiqua" w:hAnsi="Book Antiqua" w:cs="Arial"/>
        </w:rPr>
      </w:pPr>
      <w:r>
        <w:rPr>
          <w:rFonts w:ascii="Book Antiqua" w:hAnsi="Book Antiqua" w:cs="Arial"/>
        </w:rPr>
        <w:br w:type="page"/>
      </w:r>
    </w:p>
    <w:p w:rsidR="00845327" w:rsidRPr="00E84B3F" w:rsidRDefault="00845327" w:rsidP="00633765">
      <w:pPr>
        <w:pStyle w:val="ListParagraph"/>
        <w:spacing w:line="360" w:lineRule="auto"/>
        <w:ind w:left="0"/>
        <w:jc w:val="both"/>
        <w:rPr>
          <w:rFonts w:ascii="Book Antiqua" w:hAnsi="Book Antiqua" w:cs="Arial"/>
        </w:rPr>
      </w:pPr>
    </w:p>
    <w:p w:rsidR="00845327" w:rsidRDefault="00B265AD" w:rsidP="00633765">
      <w:pPr>
        <w:spacing w:line="360" w:lineRule="auto"/>
        <w:jc w:val="both"/>
        <w:rPr>
          <w:rFonts w:ascii="Book Antiqua" w:eastAsia="SimSun" w:hAnsi="Book Antiqua" w:cs="Arial"/>
          <w:lang w:eastAsia="zh-CN"/>
        </w:rPr>
      </w:pPr>
      <w:r>
        <w:rPr>
          <w:noProof/>
          <w:lang w:eastAsia="zh-CN"/>
        </w:rPr>
        <w:drawing>
          <wp:inline distT="0" distB="0" distL="0" distR="0" wp14:anchorId="77316F1A" wp14:editId="3E803C52">
            <wp:extent cx="5486400" cy="3588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588385"/>
                    </a:xfrm>
                    <a:prstGeom prst="rect">
                      <a:avLst/>
                    </a:prstGeom>
                  </pic:spPr>
                </pic:pic>
              </a:graphicData>
            </a:graphic>
          </wp:inline>
        </w:drawing>
      </w:r>
    </w:p>
    <w:p w:rsidR="00B265AD" w:rsidRPr="00B265AD" w:rsidRDefault="00B265AD" w:rsidP="00633765">
      <w:pPr>
        <w:spacing w:line="360" w:lineRule="auto"/>
        <w:jc w:val="both"/>
        <w:rPr>
          <w:rFonts w:ascii="Book Antiqua" w:eastAsia="SimSun" w:hAnsi="Book Antiqua" w:cs="Arial"/>
          <w:b/>
          <w:lang w:eastAsia="zh-CN"/>
        </w:rPr>
      </w:pPr>
      <w:r w:rsidRPr="00B265AD">
        <w:rPr>
          <w:rFonts w:ascii="Book Antiqua" w:eastAsia="SimSun" w:hAnsi="Book Antiqua" w:cs="Arial" w:hint="eastAsia"/>
          <w:b/>
          <w:lang w:eastAsia="zh-CN"/>
        </w:rPr>
        <w:t xml:space="preserve">Figure 1 </w:t>
      </w:r>
      <w:r w:rsidRPr="00B265AD">
        <w:rPr>
          <w:rFonts w:ascii="Book Antiqua" w:hAnsi="Book Antiqua" w:cs="Arial"/>
          <w:b/>
        </w:rPr>
        <w:t>Transition of care involves multiple stakeholders invested</w:t>
      </w:r>
      <w:r w:rsidRPr="00B265AD">
        <w:rPr>
          <w:rFonts w:ascii="Book Antiqua" w:eastAsia="SimSun" w:hAnsi="Book Antiqua" w:cs="Arial" w:hint="eastAsia"/>
          <w:b/>
          <w:lang w:eastAsia="zh-CN"/>
        </w:rPr>
        <w:t>.</w:t>
      </w:r>
      <w:r w:rsidRPr="00B265AD">
        <w:rPr>
          <w:rFonts w:ascii="Book Antiqua" w:hAnsi="Book Antiqua" w:cs="Arial"/>
          <w:b/>
        </w:rPr>
        <w:t xml:space="preserve"> </w:t>
      </w:r>
      <w:r w:rsidRPr="00B265AD">
        <w:rPr>
          <w:rFonts w:ascii="Book Antiqua" w:eastAsia="SimSun" w:hAnsi="Book Antiqua" w:cs="Arial" w:hint="eastAsia"/>
          <w:b/>
          <w:lang w:eastAsia="zh-CN"/>
        </w:rPr>
        <w:t xml:space="preserve"> </w:t>
      </w:r>
    </w:p>
    <w:p w:rsidR="008A04D5" w:rsidRPr="00E84B3F" w:rsidRDefault="008A04D5" w:rsidP="00633765">
      <w:pPr>
        <w:pStyle w:val="ListParagraph"/>
        <w:spacing w:line="360" w:lineRule="auto"/>
        <w:jc w:val="both"/>
        <w:rPr>
          <w:rFonts w:ascii="Book Antiqua" w:hAnsi="Book Antiqua" w:cs="Arial"/>
        </w:rPr>
      </w:pPr>
    </w:p>
    <w:sectPr w:rsidR="008A04D5" w:rsidRPr="00E84B3F" w:rsidSect="008A04D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77" w:rsidRDefault="00950477" w:rsidP="004C5D56">
      <w:r>
        <w:separator/>
      </w:r>
    </w:p>
  </w:endnote>
  <w:endnote w:type="continuationSeparator" w:id="0">
    <w:p w:rsidR="00950477" w:rsidRDefault="00950477" w:rsidP="004C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56" w:rsidRDefault="0058677B" w:rsidP="002A3B78">
    <w:pPr>
      <w:pStyle w:val="Footer"/>
      <w:framePr w:wrap="none" w:vAnchor="text" w:hAnchor="margin" w:xAlign="right" w:y="1"/>
      <w:rPr>
        <w:rStyle w:val="PageNumber"/>
      </w:rPr>
    </w:pPr>
    <w:r>
      <w:rPr>
        <w:rStyle w:val="PageNumber"/>
      </w:rPr>
      <w:fldChar w:fldCharType="begin"/>
    </w:r>
    <w:r w:rsidR="004C5D56">
      <w:rPr>
        <w:rStyle w:val="PageNumber"/>
      </w:rPr>
      <w:instrText xml:space="preserve">PAGE  </w:instrText>
    </w:r>
    <w:r>
      <w:rPr>
        <w:rStyle w:val="PageNumber"/>
      </w:rPr>
      <w:fldChar w:fldCharType="end"/>
    </w:r>
  </w:p>
  <w:p w:rsidR="004C5D56" w:rsidRDefault="004C5D56" w:rsidP="004C5D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56" w:rsidRPr="00A1200B" w:rsidRDefault="00A1200B" w:rsidP="002A3B78">
    <w:pPr>
      <w:pStyle w:val="Footer"/>
      <w:framePr w:wrap="none" w:vAnchor="text" w:hAnchor="margin" w:xAlign="right" w:y="1"/>
      <w:rPr>
        <w:rStyle w:val="PageNumber"/>
        <w:rFonts w:eastAsia="SimSun"/>
        <w:lang w:eastAsia="zh-CN"/>
      </w:rPr>
    </w:pPr>
    <w:r>
      <w:rPr>
        <w:rStyle w:val="PageNumber"/>
        <w:rFonts w:eastAsia="SimSun" w:hint="eastAsia"/>
        <w:lang w:eastAsia="zh-CN"/>
      </w:rPr>
      <w:t xml:space="preserve"> </w:t>
    </w:r>
  </w:p>
  <w:p w:rsidR="004C5D56" w:rsidRDefault="004C5D56" w:rsidP="004C5D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77" w:rsidRDefault="00950477" w:rsidP="004C5D56">
      <w:r>
        <w:separator/>
      </w:r>
    </w:p>
  </w:footnote>
  <w:footnote w:type="continuationSeparator" w:id="0">
    <w:p w:rsidR="00950477" w:rsidRDefault="00950477" w:rsidP="004C5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4BF3"/>
    <w:multiLevelType w:val="hybridMultilevel"/>
    <w:tmpl w:val="2B44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25947"/>
    <w:multiLevelType w:val="multilevel"/>
    <w:tmpl w:val="6F7E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729F9"/>
    <w:multiLevelType w:val="hybridMultilevel"/>
    <w:tmpl w:val="845A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52AF"/>
    <w:multiLevelType w:val="hybridMultilevel"/>
    <w:tmpl w:val="24F8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01B04"/>
    <w:multiLevelType w:val="hybridMultilevel"/>
    <w:tmpl w:val="20CA5D9C"/>
    <w:lvl w:ilvl="0" w:tplc="E99A5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F0441"/>
    <w:multiLevelType w:val="hybridMultilevel"/>
    <w:tmpl w:val="1128A3DE"/>
    <w:lvl w:ilvl="0" w:tplc="9FBECB3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B5CC0"/>
    <w:multiLevelType w:val="hybridMultilevel"/>
    <w:tmpl w:val="AC0CD770"/>
    <w:lvl w:ilvl="0" w:tplc="3922546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E5"/>
    <w:rsid w:val="00017860"/>
    <w:rsid w:val="00020A38"/>
    <w:rsid w:val="000333E6"/>
    <w:rsid w:val="000358D6"/>
    <w:rsid w:val="00045E67"/>
    <w:rsid w:val="000F1CC7"/>
    <w:rsid w:val="00104D59"/>
    <w:rsid w:val="001311D8"/>
    <w:rsid w:val="00131422"/>
    <w:rsid w:val="001910F6"/>
    <w:rsid w:val="001A6EC8"/>
    <w:rsid w:val="001C1A6B"/>
    <w:rsid w:val="001D20C7"/>
    <w:rsid w:val="001D5470"/>
    <w:rsid w:val="002012A6"/>
    <w:rsid w:val="00203AF5"/>
    <w:rsid w:val="00234D23"/>
    <w:rsid w:val="00256DC7"/>
    <w:rsid w:val="00285190"/>
    <w:rsid w:val="002B7AD6"/>
    <w:rsid w:val="00312432"/>
    <w:rsid w:val="00345513"/>
    <w:rsid w:val="0035593D"/>
    <w:rsid w:val="00362370"/>
    <w:rsid w:val="003D550B"/>
    <w:rsid w:val="003F5789"/>
    <w:rsid w:val="003F5991"/>
    <w:rsid w:val="003F733F"/>
    <w:rsid w:val="0040360F"/>
    <w:rsid w:val="0042182A"/>
    <w:rsid w:val="004323AA"/>
    <w:rsid w:val="00437A3C"/>
    <w:rsid w:val="00442E38"/>
    <w:rsid w:val="004521DC"/>
    <w:rsid w:val="00453696"/>
    <w:rsid w:val="004813CA"/>
    <w:rsid w:val="0048602D"/>
    <w:rsid w:val="004C5D56"/>
    <w:rsid w:val="005315BD"/>
    <w:rsid w:val="00533206"/>
    <w:rsid w:val="00552163"/>
    <w:rsid w:val="005622E1"/>
    <w:rsid w:val="00563F0F"/>
    <w:rsid w:val="005842A1"/>
    <w:rsid w:val="0058677B"/>
    <w:rsid w:val="005A4D2B"/>
    <w:rsid w:val="005B43F5"/>
    <w:rsid w:val="005C2DEB"/>
    <w:rsid w:val="005D0DEA"/>
    <w:rsid w:val="005F1153"/>
    <w:rsid w:val="005F35BC"/>
    <w:rsid w:val="00633765"/>
    <w:rsid w:val="006372A0"/>
    <w:rsid w:val="00654975"/>
    <w:rsid w:val="00667DD2"/>
    <w:rsid w:val="00675B80"/>
    <w:rsid w:val="00680470"/>
    <w:rsid w:val="006842B4"/>
    <w:rsid w:val="00691F47"/>
    <w:rsid w:val="006B6137"/>
    <w:rsid w:val="006B6EC2"/>
    <w:rsid w:val="00734A7C"/>
    <w:rsid w:val="0076165A"/>
    <w:rsid w:val="00763AB3"/>
    <w:rsid w:val="00790921"/>
    <w:rsid w:val="007A5D5C"/>
    <w:rsid w:val="007A60CA"/>
    <w:rsid w:val="007C0983"/>
    <w:rsid w:val="007C4EFB"/>
    <w:rsid w:val="007D3AD2"/>
    <w:rsid w:val="007D69D7"/>
    <w:rsid w:val="007F32E2"/>
    <w:rsid w:val="008137F5"/>
    <w:rsid w:val="00840F0B"/>
    <w:rsid w:val="00845327"/>
    <w:rsid w:val="008671EA"/>
    <w:rsid w:val="008900E5"/>
    <w:rsid w:val="00894E4E"/>
    <w:rsid w:val="00896380"/>
    <w:rsid w:val="008A04D5"/>
    <w:rsid w:val="008B37DD"/>
    <w:rsid w:val="008B6A08"/>
    <w:rsid w:val="008E598A"/>
    <w:rsid w:val="008E6959"/>
    <w:rsid w:val="00931F21"/>
    <w:rsid w:val="00950477"/>
    <w:rsid w:val="009537DF"/>
    <w:rsid w:val="00965599"/>
    <w:rsid w:val="0099678C"/>
    <w:rsid w:val="009D4B6D"/>
    <w:rsid w:val="009F68EA"/>
    <w:rsid w:val="00A1200B"/>
    <w:rsid w:val="00A42AE7"/>
    <w:rsid w:val="00A515E7"/>
    <w:rsid w:val="00A631E7"/>
    <w:rsid w:val="00A95EAB"/>
    <w:rsid w:val="00AE7DEF"/>
    <w:rsid w:val="00B01021"/>
    <w:rsid w:val="00B12EA6"/>
    <w:rsid w:val="00B146A8"/>
    <w:rsid w:val="00B265AD"/>
    <w:rsid w:val="00B607B6"/>
    <w:rsid w:val="00B9677D"/>
    <w:rsid w:val="00BB69A3"/>
    <w:rsid w:val="00BF4931"/>
    <w:rsid w:val="00C11986"/>
    <w:rsid w:val="00C6504E"/>
    <w:rsid w:val="00C80116"/>
    <w:rsid w:val="00C813C5"/>
    <w:rsid w:val="00CA514E"/>
    <w:rsid w:val="00CB614A"/>
    <w:rsid w:val="00CE472E"/>
    <w:rsid w:val="00CE69F1"/>
    <w:rsid w:val="00D451CA"/>
    <w:rsid w:val="00D93F80"/>
    <w:rsid w:val="00DC51A3"/>
    <w:rsid w:val="00DF31B3"/>
    <w:rsid w:val="00E21A21"/>
    <w:rsid w:val="00E52A69"/>
    <w:rsid w:val="00E5312B"/>
    <w:rsid w:val="00E84B3F"/>
    <w:rsid w:val="00E86490"/>
    <w:rsid w:val="00EC017D"/>
    <w:rsid w:val="00EC6EC6"/>
    <w:rsid w:val="00ED55C6"/>
    <w:rsid w:val="00F1249E"/>
    <w:rsid w:val="00F3248D"/>
    <w:rsid w:val="00F56308"/>
    <w:rsid w:val="00F92766"/>
    <w:rsid w:val="00F9416E"/>
    <w:rsid w:val="00FB4692"/>
    <w:rsid w:val="00FB79DF"/>
    <w:rsid w:val="00FD6C05"/>
    <w:rsid w:val="00FF36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80953-FB7C-4BE7-A0A3-7A4344FC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B3"/>
    <w:rPr>
      <w:rFonts w:ascii="Times New Roman" w:hAnsi="Times New Roman"/>
      <w:sz w:val="24"/>
      <w:szCs w:val="24"/>
    </w:rPr>
  </w:style>
  <w:style w:type="paragraph" w:styleId="Heading1">
    <w:name w:val="heading 1"/>
    <w:basedOn w:val="Normal"/>
    <w:link w:val="Heading1Char"/>
    <w:uiPriority w:val="9"/>
    <w:qFormat/>
    <w:rsid w:val="00EC6E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E5"/>
    <w:pPr>
      <w:ind w:left="720"/>
      <w:contextualSpacing/>
    </w:pPr>
    <w:rPr>
      <w:rFonts w:ascii="Calibri" w:hAnsi="Calibri"/>
    </w:rPr>
  </w:style>
  <w:style w:type="character" w:customStyle="1" w:styleId="apple-converted-space">
    <w:name w:val="apple-converted-space"/>
    <w:rsid w:val="00EC6EC6"/>
  </w:style>
  <w:style w:type="character" w:customStyle="1" w:styleId="Heading1Char">
    <w:name w:val="Heading 1 Char"/>
    <w:link w:val="Heading1"/>
    <w:uiPriority w:val="9"/>
    <w:rsid w:val="00EC6EC6"/>
    <w:rPr>
      <w:rFonts w:ascii="Times New Roman" w:hAnsi="Times New Roman"/>
      <w:b/>
      <w:bCs/>
      <w:kern w:val="36"/>
      <w:sz w:val="48"/>
      <w:szCs w:val="48"/>
    </w:rPr>
  </w:style>
  <w:style w:type="character" w:customStyle="1" w:styleId="fulltext-bd">
    <w:name w:val="fulltext-bd"/>
    <w:rsid w:val="00DF31B3"/>
  </w:style>
  <w:style w:type="paragraph" w:customStyle="1" w:styleId="fulltext-text">
    <w:name w:val="fulltext-text"/>
    <w:basedOn w:val="Normal"/>
    <w:rsid w:val="00DF31B3"/>
    <w:pPr>
      <w:spacing w:before="100" w:beforeAutospacing="1" w:after="100" w:afterAutospacing="1"/>
    </w:pPr>
  </w:style>
  <w:style w:type="paragraph" w:styleId="Footer">
    <w:name w:val="footer"/>
    <w:basedOn w:val="Normal"/>
    <w:link w:val="FooterChar"/>
    <w:uiPriority w:val="99"/>
    <w:unhideWhenUsed/>
    <w:rsid w:val="004C5D56"/>
    <w:pPr>
      <w:tabs>
        <w:tab w:val="center" w:pos="4680"/>
        <w:tab w:val="right" w:pos="9360"/>
      </w:tabs>
    </w:pPr>
  </w:style>
  <w:style w:type="character" w:customStyle="1" w:styleId="FooterChar">
    <w:name w:val="Footer Char"/>
    <w:link w:val="Footer"/>
    <w:uiPriority w:val="99"/>
    <w:rsid w:val="004C5D56"/>
    <w:rPr>
      <w:rFonts w:ascii="Times New Roman" w:hAnsi="Times New Roman"/>
      <w:sz w:val="24"/>
      <w:szCs w:val="24"/>
    </w:rPr>
  </w:style>
  <w:style w:type="character" w:styleId="PageNumber">
    <w:name w:val="page number"/>
    <w:basedOn w:val="DefaultParagraphFont"/>
    <w:uiPriority w:val="99"/>
    <w:semiHidden/>
    <w:unhideWhenUsed/>
    <w:rsid w:val="004C5D56"/>
  </w:style>
  <w:style w:type="paragraph" w:styleId="Header">
    <w:name w:val="header"/>
    <w:basedOn w:val="Normal"/>
    <w:link w:val="HeaderChar"/>
    <w:uiPriority w:val="99"/>
    <w:unhideWhenUsed/>
    <w:rsid w:val="004C5D56"/>
    <w:pPr>
      <w:tabs>
        <w:tab w:val="center" w:pos="4680"/>
        <w:tab w:val="right" w:pos="9360"/>
      </w:tabs>
    </w:pPr>
  </w:style>
  <w:style w:type="character" w:customStyle="1" w:styleId="HeaderChar">
    <w:name w:val="Header Char"/>
    <w:link w:val="Header"/>
    <w:uiPriority w:val="99"/>
    <w:rsid w:val="004C5D56"/>
    <w:rPr>
      <w:rFonts w:ascii="Times New Roman" w:hAnsi="Times New Roman"/>
      <w:sz w:val="24"/>
      <w:szCs w:val="24"/>
    </w:rPr>
  </w:style>
  <w:style w:type="character" w:styleId="CommentReference">
    <w:name w:val="annotation reference"/>
    <w:uiPriority w:val="99"/>
    <w:semiHidden/>
    <w:unhideWhenUsed/>
    <w:rsid w:val="003F5789"/>
    <w:rPr>
      <w:sz w:val="16"/>
      <w:szCs w:val="16"/>
    </w:rPr>
  </w:style>
  <w:style w:type="paragraph" w:styleId="CommentText">
    <w:name w:val="annotation text"/>
    <w:basedOn w:val="Normal"/>
    <w:link w:val="CommentTextChar"/>
    <w:uiPriority w:val="99"/>
    <w:semiHidden/>
    <w:unhideWhenUsed/>
    <w:rsid w:val="003F5789"/>
    <w:rPr>
      <w:sz w:val="20"/>
      <w:szCs w:val="20"/>
    </w:rPr>
  </w:style>
  <w:style w:type="character" w:customStyle="1" w:styleId="CommentTextChar">
    <w:name w:val="Comment Text Char"/>
    <w:link w:val="CommentText"/>
    <w:uiPriority w:val="99"/>
    <w:semiHidden/>
    <w:rsid w:val="003F578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F5789"/>
    <w:rPr>
      <w:b/>
      <w:bCs/>
    </w:rPr>
  </w:style>
  <w:style w:type="character" w:customStyle="1" w:styleId="CommentSubjectChar">
    <w:name w:val="Comment Subject Char"/>
    <w:link w:val="CommentSubject"/>
    <w:uiPriority w:val="99"/>
    <w:semiHidden/>
    <w:rsid w:val="003F5789"/>
    <w:rPr>
      <w:rFonts w:ascii="Times New Roman" w:hAnsi="Times New Roman"/>
      <w:b/>
      <w:bCs/>
    </w:rPr>
  </w:style>
  <w:style w:type="paragraph" w:styleId="BalloonText">
    <w:name w:val="Balloon Text"/>
    <w:basedOn w:val="Normal"/>
    <w:link w:val="BalloonTextChar"/>
    <w:uiPriority w:val="99"/>
    <w:semiHidden/>
    <w:unhideWhenUsed/>
    <w:rsid w:val="003F5789"/>
    <w:rPr>
      <w:rFonts w:ascii="Tahoma" w:hAnsi="Tahoma" w:cs="Tahoma"/>
      <w:sz w:val="16"/>
      <w:szCs w:val="16"/>
    </w:rPr>
  </w:style>
  <w:style w:type="character" w:customStyle="1" w:styleId="BalloonTextChar">
    <w:name w:val="Balloon Text Char"/>
    <w:link w:val="BalloonText"/>
    <w:uiPriority w:val="99"/>
    <w:semiHidden/>
    <w:rsid w:val="003F5789"/>
    <w:rPr>
      <w:rFonts w:ascii="Tahoma" w:hAnsi="Tahoma" w:cs="Tahoma"/>
      <w:sz w:val="16"/>
      <w:szCs w:val="16"/>
    </w:rPr>
  </w:style>
  <w:style w:type="character" w:styleId="Hyperlink">
    <w:name w:val="Hyperlink"/>
    <w:uiPriority w:val="99"/>
    <w:unhideWhenUsed/>
    <w:rsid w:val="001A6EC8"/>
    <w:rPr>
      <w:color w:val="0000FF"/>
      <w:u w:val="single"/>
    </w:rPr>
  </w:style>
  <w:style w:type="character" w:styleId="Strong">
    <w:name w:val="Strong"/>
    <w:uiPriority w:val="22"/>
    <w:qFormat/>
    <w:rsid w:val="00633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6423">
      <w:bodyDiv w:val="1"/>
      <w:marLeft w:val="0"/>
      <w:marRight w:val="0"/>
      <w:marTop w:val="0"/>
      <w:marBottom w:val="0"/>
      <w:divBdr>
        <w:top w:val="none" w:sz="0" w:space="0" w:color="auto"/>
        <w:left w:val="none" w:sz="0" w:space="0" w:color="auto"/>
        <w:bottom w:val="none" w:sz="0" w:space="0" w:color="auto"/>
        <w:right w:val="none" w:sz="0" w:space="0" w:color="auto"/>
      </w:divBdr>
    </w:div>
    <w:div w:id="132019947">
      <w:bodyDiv w:val="1"/>
      <w:marLeft w:val="0"/>
      <w:marRight w:val="0"/>
      <w:marTop w:val="0"/>
      <w:marBottom w:val="0"/>
      <w:divBdr>
        <w:top w:val="none" w:sz="0" w:space="0" w:color="auto"/>
        <w:left w:val="none" w:sz="0" w:space="0" w:color="auto"/>
        <w:bottom w:val="none" w:sz="0" w:space="0" w:color="auto"/>
        <w:right w:val="none" w:sz="0" w:space="0" w:color="auto"/>
      </w:divBdr>
    </w:div>
    <w:div w:id="260258373">
      <w:bodyDiv w:val="1"/>
      <w:marLeft w:val="0"/>
      <w:marRight w:val="0"/>
      <w:marTop w:val="0"/>
      <w:marBottom w:val="0"/>
      <w:divBdr>
        <w:top w:val="none" w:sz="0" w:space="0" w:color="auto"/>
        <w:left w:val="none" w:sz="0" w:space="0" w:color="auto"/>
        <w:bottom w:val="none" w:sz="0" w:space="0" w:color="auto"/>
        <w:right w:val="none" w:sz="0" w:space="0" w:color="auto"/>
      </w:divBdr>
    </w:div>
    <w:div w:id="273638965">
      <w:bodyDiv w:val="1"/>
      <w:marLeft w:val="0"/>
      <w:marRight w:val="0"/>
      <w:marTop w:val="0"/>
      <w:marBottom w:val="0"/>
      <w:divBdr>
        <w:top w:val="none" w:sz="0" w:space="0" w:color="auto"/>
        <w:left w:val="none" w:sz="0" w:space="0" w:color="auto"/>
        <w:bottom w:val="none" w:sz="0" w:space="0" w:color="auto"/>
        <w:right w:val="none" w:sz="0" w:space="0" w:color="auto"/>
      </w:divBdr>
      <w:divsChild>
        <w:div w:id="464733938">
          <w:marLeft w:val="0"/>
          <w:marRight w:val="0"/>
          <w:marTop w:val="0"/>
          <w:marBottom w:val="0"/>
          <w:divBdr>
            <w:top w:val="none" w:sz="0" w:space="0" w:color="auto"/>
            <w:left w:val="none" w:sz="0" w:space="0" w:color="auto"/>
            <w:bottom w:val="none" w:sz="0" w:space="0" w:color="auto"/>
            <w:right w:val="none" w:sz="0" w:space="0" w:color="auto"/>
          </w:divBdr>
        </w:div>
      </w:divsChild>
    </w:div>
    <w:div w:id="289871502">
      <w:bodyDiv w:val="1"/>
      <w:marLeft w:val="0"/>
      <w:marRight w:val="0"/>
      <w:marTop w:val="0"/>
      <w:marBottom w:val="0"/>
      <w:divBdr>
        <w:top w:val="none" w:sz="0" w:space="0" w:color="auto"/>
        <w:left w:val="none" w:sz="0" w:space="0" w:color="auto"/>
        <w:bottom w:val="none" w:sz="0" w:space="0" w:color="auto"/>
        <w:right w:val="none" w:sz="0" w:space="0" w:color="auto"/>
      </w:divBdr>
    </w:div>
    <w:div w:id="1484464979">
      <w:bodyDiv w:val="1"/>
      <w:marLeft w:val="0"/>
      <w:marRight w:val="0"/>
      <w:marTop w:val="0"/>
      <w:marBottom w:val="0"/>
      <w:divBdr>
        <w:top w:val="none" w:sz="0" w:space="0" w:color="auto"/>
        <w:left w:val="none" w:sz="0" w:space="0" w:color="auto"/>
        <w:bottom w:val="none" w:sz="0" w:space="0" w:color="auto"/>
        <w:right w:val="none" w:sz="0" w:space="0" w:color="auto"/>
      </w:divBdr>
      <w:divsChild>
        <w:div w:id="261836678">
          <w:marLeft w:val="0"/>
          <w:marRight w:val="0"/>
          <w:marTop w:val="0"/>
          <w:marBottom w:val="0"/>
          <w:divBdr>
            <w:top w:val="none" w:sz="0" w:space="0" w:color="auto"/>
            <w:left w:val="none" w:sz="0" w:space="0" w:color="auto"/>
            <w:bottom w:val="none" w:sz="0" w:space="0" w:color="auto"/>
            <w:right w:val="none" w:sz="0" w:space="0" w:color="auto"/>
          </w:divBdr>
        </w:div>
        <w:div w:id="1629513025">
          <w:marLeft w:val="0"/>
          <w:marRight w:val="0"/>
          <w:marTop w:val="0"/>
          <w:marBottom w:val="0"/>
          <w:divBdr>
            <w:top w:val="none" w:sz="0" w:space="0" w:color="auto"/>
            <w:left w:val="none" w:sz="0" w:space="0" w:color="auto"/>
            <w:bottom w:val="none" w:sz="0" w:space="0" w:color="auto"/>
            <w:right w:val="none" w:sz="0" w:space="0" w:color="auto"/>
          </w:divBdr>
        </w:div>
        <w:div w:id="272517878">
          <w:marLeft w:val="0"/>
          <w:marRight w:val="0"/>
          <w:marTop w:val="0"/>
          <w:marBottom w:val="0"/>
          <w:divBdr>
            <w:top w:val="none" w:sz="0" w:space="0" w:color="auto"/>
            <w:left w:val="none" w:sz="0" w:space="0" w:color="auto"/>
            <w:bottom w:val="none" w:sz="0" w:space="0" w:color="auto"/>
            <w:right w:val="none" w:sz="0" w:space="0" w:color="auto"/>
          </w:divBdr>
        </w:div>
      </w:divsChild>
    </w:div>
    <w:div w:id="1779982336">
      <w:bodyDiv w:val="1"/>
      <w:marLeft w:val="0"/>
      <w:marRight w:val="0"/>
      <w:marTop w:val="0"/>
      <w:marBottom w:val="0"/>
      <w:divBdr>
        <w:top w:val="none" w:sz="0" w:space="0" w:color="auto"/>
        <w:left w:val="none" w:sz="0" w:space="0" w:color="auto"/>
        <w:bottom w:val="none" w:sz="0" w:space="0" w:color="auto"/>
        <w:right w:val="none" w:sz="0" w:space="0" w:color="auto"/>
      </w:divBdr>
    </w:div>
    <w:div w:id="2091999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medicine.washingt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64F1-CF88-4FE3-9988-C7506D3B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5810</Words>
  <Characters>33118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38851</CharactersWithSpaces>
  <SharedDoc>false</SharedDoc>
  <HLinks>
    <vt:vector size="6" baseType="variant">
      <vt:variant>
        <vt:i4>6553718</vt:i4>
      </vt:variant>
      <vt:variant>
        <vt:i4>0</vt:i4>
      </vt:variant>
      <vt:variant>
        <vt:i4>0</vt:i4>
      </vt:variant>
      <vt:variant>
        <vt:i4>5</vt:i4>
      </vt:variant>
      <vt:variant>
        <vt:lpwstr>mailto:anitaa@medicine.washington.edu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 Ma</cp:lastModifiedBy>
  <cp:revision>2</cp:revision>
  <cp:lastPrinted>2017-01-24T01:03:00Z</cp:lastPrinted>
  <dcterms:created xsi:type="dcterms:W3CDTF">2017-05-04T00:56:00Z</dcterms:created>
  <dcterms:modified xsi:type="dcterms:W3CDTF">2017-05-04T00:56:00Z</dcterms:modified>
</cp:coreProperties>
</file>