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B6" w:rsidRPr="00E173FE" w:rsidRDefault="00A464B6" w:rsidP="00D077F2">
      <w:pPr>
        <w:adjustRightInd w:val="0"/>
        <w:snapToGrid w:val="0"/>
        <w:spacing w:after="0"/>
        <w:rPr>
          <w:rFonts w:cs="SimSun"/>
          <w:b/>
          <w:i/>
          <w:color w:val="000000"/>
          <w:lang w:val="en-US"/>
        </w:rPr>
      </w:pPr>
      <w:bookmarkStart w:id="0" w:name="OLE_LINK545"/>
      <w:bookmarkStart w:id="1" w:name="OLE_LINK546"/>
      <w:bookmarkStart w:id="2" w:name="OLE_LINK592"/>
      <w:r w:rsidRPr="00E173FE">
        <w:rPr>
          <w:rFonts w:cs="SimSun"/>
          <w:b/>
          <w:color w:val="000000"/>
          <w:lang w:val="en-US"/>
        </w:rPr>
        <w:t xml:space="preserve">Name of journal: </w:t>
      </w:r>
      <w:bookmarkStart w:id="3" w:name="OLE_LINK718"/>
      <w:bookmarkStart w:id="4" w:name="OLE_LINK719"/>
      <w:bookmarkStart w:id="5" w:name="OLE_LINK645"/>
      <w:bookmarkStart w:id="6" w:name="OLE_LINK661"/>
      <w:bookmarkStart w:id="7" w:name="OLE_LINK1068"/>
      <w:r w:rsidRPr="00E173FE">
        <w:rPr>
          <w:rFonts w:cs="SimSun"/>
          <w:b/>
          <w:i/>
          <w:color w:val="000000"/>
          <w:lang w:val="en-US"/>
        </w:rPr>
        <w:t xml:space="preserve">World Journal of </w:t>
      </w:r>
      <w:bookmarkStart w:id="8" w:name="OLE_LINK1222"/>
      <w:bookmarkStart w:id="9" w:name="OLE_LINK1223"/>
      <w:r w:rsidRPr="00E173FE">
        <w:rPr>
          <w:rFonts w:cs="SimSun"/>
          <w:b/>
          <w:i/>
          <w:color w:val="000000"/>
          <w:lang w:val="en-US"/>
        </w:rPr>
        <w:t>Gastroenterology</w:t>
      </w:r>
      <w:bookmarkEnd w:id="3"/>
      <w:bookmarkEnd w:id="4"/>
      <w:bookmarkEnd w:id="5"/>
      <w:bookmarkEnd w:id="6"/>
      <w:bookmarkEnd w:id="7"/>
      <w:bookmarkEnd w:id="8"/>
      <w:bookmarkEnd w:id="9"/>
    </w:p>
    <w:p w:rsidR="00A464B6" w:rsidRPr="00E173FE" w:rsidRDefault="00035B18" w:rsidP="00D077F2">
      <w:pPr>
        <w:adjustRightInd w:val="0"/>
        <w:snapToGrid w:val="0"/>
        <w:spacing w:after="0"/>
        <w:rPr>
          <w:rFonts w:cs="Arial"/>
          <w:color w:val="000000"/>
          <w:lang w:val="en-US" w:eastAsia="zh-CN"/>
        </w:rPr>
      </w:pPr>
      <w:r w:rsidRPr="00E173FE">
        <w:rPr>
          <w:rFonts w:cs="Arial"/>
          <w:b/>
          <w:color w:val="000000"/>
          <w:lang w:val="en-US"/>
        </w:rPr>
        <w:t xml:space="preserve">Manuscript NO: </w:t>
      </w:r>
      <w:r w:rsidRPr="00E173FE">
        <w:rPr>
          <w:rFonts w:cs="Arial"/>
          <w:b/>
          <w:color w:val="000000"/>
          <w:lang w:val="en-US" w:eastAsia="zh-CN"/>
        </w:rPr>
        <w:t>32996</w:t>
      </w:r>
    </w:p>
    <w:p w:rsidR="00926F19" w:rsidRPr="00E173FE" w:rsidRDefault="00A464B6" w:rsidP="00D077F2">
      <w:pPr>
        <w:pStyle w:val="Head1"/>
        <w:spacing w:before="0" w:after="0"/>
        <w:jc w:val="both"/>
        <w:rPr>
          <w:shd w:val="clear" w:color="auto" w:fill="FFFFFF"/>
          <w:lang w:eastAsia="zh-CN"/>
        </w:rPr>
      </w:pPr>
      <w:r w:rsidRPr="00E173FE">
        <w:t>M</w:t>
      </w:r>
      <w:r w:rsidR="00926F19" w:rsidRPr="00E173FE">
        <w:rPr>
          <w:caps w:val="0"/>
        </w:rPr>
        <w:t>anuscript type</w:t>
      </w:r>
      <w:r w:rsidRPr="00E173FE">
        <w:t xml:space="preserve">: </w:t>
      </w:r>
      <w:r w:rsidR="00926F19" w:rsidRPr="00E173FE">
        <w:rPr>
          <w:shd w:val="clear" w:color="auto" w:fill="FFFFFF"/>
        </w:rPr>
        <w:t>Minireviews</w:t>
      </w:r>
    </w:p>
    <w:p w:rsidR="00A464B6" w:rsidRPr="00E173FE" w:rsidRDefault="00A464B6" w:rsidP="00D077F2">
      <w:pPr>
        <w:spacing w:after="0"/>
        <w:rPr>
          <w:b/>
          <w:lang w:val="en-US"/>
        </w:rPr>
      </w:pPr>
    </w:p>
    <w:bookmarkEnd w:id="0"/>
    <w:bookmarkEnd w:id="1"/>
    <w:bookmarkEnd w:id="2"/>
    <w:p w:rsidR="00A464B6" w:rsidRPr="00E173FE" w:rsidRDefault="00A464B6" w:rsidP="00D077F2">
      <w:pPr>
        <w:pStyle w:val="Head1"/>
        <w:spacing w:before="0" w:after="0"/>
        <w:jc w:val="both"/>
        <w:rPr>
          <w:caps w:val="0"/>
          <w:shd w:val="clear" w:color="auto" w:fill="FFFFFF"/>
          <w:lang w:eastAsia="zh-CN"/>
        </w:rPr>
      </w:pPr>
      <w:r w:rsidRPr="00E173FE">
        <w:rPr>
          <w:shd w:val="clear" w:color="auto" w:fill="FFFFFF"/>
        </w:rPr>
        <w:t>C</w:t>
      </w:r>
      <w:r w:rsidRPr="00E173FE">
        <w:rPr>
          <w:caps w:val="0"/>
          <w:shd w:val="clear" w:color="auto" w:fill="FFFFFF"/>
        </w:rPr>
        <w:t xml:space="preserve">olorectal cancer population screening programs worldwide in 2016: </w:t>
      </w:r>
      <w:r w:rsidR="00926F19" w:rsidRPr="00E173FE">
        <w:rPr>
          <w:caps w:val="0"/>
          <w:shd w:val="clear" w:color="auto" w:fill="FFFFFF"/>
        </w:rPr>
        <w:t xml:space="preserve">An </w:t>
      </w:r>
      <w:r w:rsidRPr="00E173FE">
        <w:rPr>
          <w:caps w:val="0"/>
          <w:shd w:val="clear" w:color="auto" w:fill="FFFFFF"/>
        </w:rPr>
        <w:t>update</w:t>
      </w:r>
    </w:p>
    <w:p w:rsidR="00A464B6" w:rsidRPr="00E173FE" w:rsidRDefault="00A464B6" w:rsidP="00D077F2">
      <w:pPr>
        <w:pStyle w:val="Head1"/>
        <w:spacing w:before="0" w:after="0"/>
        <w:jc w:val="both"/>
        <w:rPr>
          <w:lang w:eastAsia="zh-CN"/>
        </w:rPr>
      </w:pPr>
    </w:p>
    <w:p w:rsidR="00A464B6" w:rsidRPr="00E173FE" w:rsidRDefault="00926F19" w:rsidP="00D077F2">
      <w:pPr>
        <w:spacing w:after="0"/>
        <w:rPr>
          <w:szCs w:val="24"/>
          <w:lang w:val="en-US" w:eastAsia="zh-CN"/>
        </w:rPr>
      </w:pPr>
      <w:r w:rsidRPr="00E173FE">
        <w:rPr>
          <w:szCs w:val="24"/>
        </w:rPr>
        <w:t>Navarro</w:t>
      </w:r>
      <w:r w:rsidRPr="00E173FE">
        <w:rPr>
          <w:i/>
          <w:szCs w:val="24"/>
          <w:lang w:val="en-US"/>
        </w:rPr>
        <w:t xml:space="preserve"> </w:t>
      </w:r>
      <w:r w:rsidRPr="00E173FE">
        <w:rPr>
          <w:rFonts w:hint="eastAsia"/>
          <w:i/>
          <w:szCs w:val="24"/>
          <w:lang w:val="en-US" w:eastAsia="zh-CN"/>
        </w:rPr>
        <w:t>et al.</w:t>
      </w:r>
      <w:r w:rsidRPr="00E173FE">
        <w:rPr>
          <w:rFonts w:hint="eastAsia"/>
          <w:szCs w:val="24"/>
          <w:lang w:val="en-US" w:eastAsia="zh-CN"/>
        </w:rPr>
        <w:t xml:space="preserve"> </w:t>
      </w:r>
      <w:r w:rsidR="00A464B6" w:rsidRPr="00E173FE">
        <w:rPr>
          <w:szCs w:val="24"/>
          <w:lang w:val="en-US"/>
        </w:rPr>
        <w:t>Colorectal cancer population screening programs worldwide</w:t>
      </w:r>
    </w:p>
    <w:p w:rsidR="00A464B6" w:rsidRPr="00E173FE" w:rsidRDefault="00A464B6" w:rsidP="00D077F2">
      <w:pPr>
        <w:spacing w:after="0"/>
        <w:rPr>
          <w:b/>
          <w:szCs w:val="24"/>
          <w:lang w:val="en-US" w:eastAsia="zh-CN"/>
        </w:rPr>
      </w:pPr>
    </w:p>
    <w:p w:rsidR="00A464B6" w:rsidRPr="00E173FE" w:rsidRDefault="00A464B6" w:rsidP="00D077F2">
      <w:pPr>
        <w:spacing w:after="0"/>
        <w:rPr>
          <w:szCs w:val="24"/>
          <w:lang w:eastAsia="zh-CN"/>
        </w:rPr>
      </w:pPr>
      <w:r w:rsidRPr="00E173FE">
        <w:rPr>
          <w:szCs w:val="24"/>
        </w:rPr>
        <w:t>Mercedes Navarro, Andrea Nicolas, Angel Ferrandez,</w:t>
      </w:r>
      <w:r w:rsidR="00926F19" w:rsidRPr="00E173FE">
        <w:rPr>
          <w:szCs w:val="24"/>
        </w:rPr>
        <w:t xml:space="preserve"> Angel Lanas</w:t>
      </w:r>
    </w:p>
    <w:p w:rsidR="00A464B6" w:rsidRPr="00E173FE" w:rsidRDefault="00A464B6" w:rsidP="00D077F2">
      <w:pPr>
        <w:spacing w:after="0"/>
        <w:rPr>
          <w:b/>
          <w:szCs w:val="24"/>
          <w:lang w:eastAsia="zh-CN"/>
        </w:rPr>
      </w:pPr>
    </w:p>
    <w:p w:rsidR="00926F19" w:rsidRPr="00E173FE" w:rsidRDefault="00A464B6" w:rsidP="00D077F2">
      <w:pPr>
        <w:spacing w:after="0"/>
        <w:rPr>
          <w:szCs w:val="24"/>
          <w:lang w:eastAsia="zh-CN"/>
        </w:rPr>
      </w:pPr>
      <w:r w:rsidRPr="00E173FE">
        <w:rPr>
          <w:b/>
          <w:szCs w:val="24"/>
        </w:rPr>
        <w:t xml:space="preserve">Mercedes Navarro, Angel Ferrandez, Angel Lanas, </w:t>
      </w:r>
      <w:r w:rsidRPr="00E173FE">
        <w:rPr>
          <w:szCs w:val="24"/>
        </w:rPr>
        <w:t>Service of Digestive Diseases, University Clinic Hospital Lozano Blesa, Zaragoza 50009, Spain</w:t>
      </w:r>
    </w:p>
    <w:p w:rsidR="00926F19" w:rsidRPr="00E173FE" w:rsidRDefault="00926F19" w:rsidP="00D077F2">
      <w:pPr>
        <w:spacing w:after="0"/>
        <w:rPr>
          <w:szCs w:val="24"/>
          <w:lang w:eastAsia="zh-CN"/>
        </w:rPr>
      </w:pPr>
    </w:p>
    <w:p w:rsidR="00926F19" w:rsidRPr="00E173FE" w:rsidRDefault="00A464B6" w:rsidP="00D077F2">
      <w:pPr>
        <w:spacing w:after="0"/>
        <w:rPr>
          <w:szCs w:val="24"/>
          <w:lang w:eastAsia="zh-CN"/>
        </w:rPr>
      </w:pPr>
      <w:r w:rsidRPr="00E173FE">
        <w:rPr>
          <w:b/>
          <w:szCs w:val="24"/>
        </w:rPr>
        <w:t>Andrea Nicolas,  Angel Lanas,</w:t>
      </w:r>
      <w:r w:rsidRPr="00E173FE">
        <w:rPr>
          <w:szCs w:val="24"/>
        </w:rPr>
        <w:t xml:space="preserve"> University of Zaragoza, Zaragoza 50009, Spain</w:t>
      </w:r>
    </w:p>
    <w:p w:rsidR="00926F19" w:rsidRPr="00E173FE" w:rsidRDefault="00926F19" w:rsidP="00D077F2">
      <w:pPr>
        <w:spacing w:after="0"/>
        <w:rPr>
          <w:szCs w:val="24"/>
          <w:lang w:eastAsia="zh-CN"/>
        </w:rPr>
      </w:pPr>
    </w:p>
    <w:p w:rsidR="00AE7CF2" w:rsidRDefault="00A464B6" w:rsidP="00D077F2">
      <w:pPr>
        <w:spacing w:after="0"/>
        <w:rPr>
          <w:szCs w:val="24"/>
          <w:lang w:eastAsia="zh-CN"/>
        </w:rPr>
      </w:pPr>
      <w:r w:rsidRPr="00E173FE">
        <w:rPr>
          <w:b/>
          <w:szCs w:val="24"/>
        </w:rPr>
        <w:t>Angel Lanas,</w:t>
      </w:r>
      <w:r w:rsidRPr="00E173FE">
        <w:rPr>
          <w:szCs w:val="24"/>
        </w:rPr>
        <w:t xml:space="preserve"> </w:t>
      </w:r>
      <w:r w:rsidRPr="00E173FE">
        <w:rPr>
          <w:rStyle w:val="hoenzb"/>
        </w:rPr>
        <w:t>Aragón Health Research Institute (IIS Aragón)</w:t>
      </w:r>
      <w:r w:rsidR="00926F19" w:rsidRPr="00E173FE">
        <w:rPr>
          <w:rStyle w:val="hoenzb"/>
          <w:rFonts w:hint="eastAsia"/>
          <w:lang w:eastAsia="zh-CN"/>
        </w:rPr>
        <w:t>,</w:t>
      </w:r>
      <w:r w:rsidRPr="00E173FE">
        <w:rPr>
          <w:rStyle w:val="hoenzb"/>
        </w:rPr>
        <w:t xml:space="preserve"> </w:t>
      </w:r>
      <w:r w:rsidR="00027836">
        <w:rPr>
          <w:szCs w:val="24"/>
        </w:rPr>
        <w:t>Zaragoza 50009, Spain</w:t>
      </w:r>
    </w:p>
    <w:p w:rsidR="00AE7CF2" w:rsidRDefault="00AE7CF2" w:rsidP="00D077F2">
      <w:pPr>
        <w:spacing w:after="0"/>
        <w:rPr>
          <w:szCs w:val="24"/>
          <w:lang w:eastAsia="zh-CN"/>
        </w:rPr>
      </w:pPr>
    </w:p>
    <w:p w:rsidR="00A464B6" w:rsidRPr="00E173FE" w:rsidRDefault="00A464B6" w:rsidP="00D077F2">
      <w:pPr>
        <w:spacing w:after="0"/>
        <w:rPr>
          <w:rStyle w:val="hoenzb"/>
          <w:szCs w:val="24"/>
          <w:lang w:eastAsia="zh-CN"/>
        </w:rPr>
      </w:pPr>
      <w:r w:rsidRPr="00AE7CF2">
        <w:rPr>
          <w:b/>
          <w:szCs w:val="24"/>
        </w:rPr>
        <w:t>Angel Lanas</w:t>
      </w:r>
      <w:r w:rsidR="00AE7CF2" w:rsidRPr="00AE7CF2">
        <w:rPr>
          <w:rFonts w:hint="eastAsia"/>
          <w:b/>
          <w:szCs w:val="24"/>
          <w:lang w:eastAsia="zh-CN"/>
        </w:rPr>
        <w:t xml:space="preserve">, </w:t>
      </w:r>
      <w:r w:rsidRPr="00E173FE">
        <w:rPr>
          <w:rStyle w:val="hoenzb"/>
          <w:szCs w:val="24"/>
        </w:rPr>
        <w:t xml:space="preserve"> </w:t>
      </w:r>
      <w:r w:rsidRPr="00E173FE">
        <w:rPr>
          <w:rStyle w:val="hoenzb"/>
        </w:rPr>
        <w:t xml:space="preserve">CIBERehd, </w:t>
      </w:r>
      <w:r w:rsidRPr="00E173FE">
        <w:rPr>
          <w:szCs w:val="24"/>
        </w:rPr>
        <w:t>Zaragoza 50009, Spain</w:t>
      </w:r>
    </w:p>
    <w:p w:rsidR="00A464B6" w:rsidRPr="00E173FE" w:rsidRDefault="00A464B6" w:rsidP="00D077F2">
      <w:pPr>
        <w:spacing w:after="0"/>
        <w:rPr>
          <w:szCs w:val="24"/>
          <w:lang w:eastAsia="zh-CN"/>
        </w:rPr>
      </w:pPr>
    </w:p>
    <w:p w:rsidR="00A464B6" w:rsidRPr="00E173FE" w:rsidRDefault="00A464B6" w:rsidP="00D077F2">
      <w:pPr>
        <w:spacing w:after="0"/>
        <w:rPr>
          <w:szCs w:val="24"/>
          <w:lang w:val="en-US" w:eastAsia="zh-CN"/>
        </w:rPr>
      </w:pPr>
      <w:r w:rsidRPr="00E173FE">
        <w:rPr>
          <w:b/>
          <w:szCs w:val="24"/>
          <w:lang w:val="en-US"/>
        </w:rPr>
        <w:t>Author contributions</w:t>
      </w:r>
      <w:r w:rsidRPr="00E173FE">
        <w:rPr>
          <w:szCs w:val="24"/>
          <w:lang w:val="en-US"/>
        </w:rPr>
        <w:t xml:space="preserve">:  </w:t>
      </w:r>
      <w:proofErr w:type="spellStart"/>
      <w:r w:rsidRPr="00E173FE">
        <w:rPr>
          <w:szCs w:val="24"/>
          <w:lang w:val="en-US"/>
        </w:rPr>
        <w:t>Lanas</w:t>
      </w:r>
      <w:proofErr w:type="spellEnd"/>
      <w:r w:rsidRPr="00E173FE">
        <w:rPr>
          <w:szCs w:val="24"/>
          <w:lang w:val="en-US"/>
        </w:rPr>
        <w:t xml:space="preserve"> A design the outline of the paper and revised the</w:t>
      </w:r>
      <w:r w:rsidR="00926F19" w:rsidRPr="00E173FE">
        <w:rPr>
          <w:szCs w:val="24"/>
          <w:lang w:val="en-US"/>
        </w:rPr>
        <w:t xml:space="preserve"> subsequent drafts of the paper</w:t>
      </w:r>
      <w:r w:rsidRPr="00E173FE">
        <w:rPr>
          <w:szCs w:val="24"/>
          <w:lang w:val="en-US"/>
        </w:rPr>
        <w:t xml:space="preserve">; Nicolas A and Navarro M performed the research; Navarro M, </w:t>
      </w:r>
      <w:proofErr w:type="spellStart"/>
      <w:r w:rsidRPr="00E173FE">
        <w:rPr>
          <w:szCs w:val="24"/>
          <w:lang w:val="en-US"/>
        </w:rPr>
        <w:t>Ferrandez</w:t>
      </w:r>
      <w:proofErr w:type="spellEnd"/>
      <w:r w:rsidRPr="00E173FE">
        <w:rPr>
          <w:szCs w:val="24"/>
          <w:lang w:val="en-US"/>
        </w:rPr>
        <w:t xml:space="preserve"> A wrote the drafts of the paper</w:t>
      </w:r>
      <w:r w:rsidR="00926F19" w:rsidRPr="00E173FE">
        <w:rPr>
          <w:rFonts w:hint="eastAsia"/>
          <w:szCs w:val="24"/>
          <w:lang w:val="en-US" w:eastAsia="zh-CN"/>
        </w:rPr>
        <w:t xml:space="preserve">; </w:t>
      </w:r>
      <w:r w:rsidR="00926F19" w:rsidRPr="00E173FE">
        <w:rPr>
          <w:szCs w:val="24"/>
          <w:lang w:val="en-US"/>
        </w:rPr>
        <w:t xml:space="preserve">all </w:t>
      </w:r>
      <w:r w:rsidRPr="00E173FE">
        <w:rPr>
          <w:szCs w:val="24"/>
          <w:lang w:val="en-US"/>
        </w:rPr>
        <w:t>coauthors provided critical revision for important intellectual content.</w:t>
      </w:r>
    </w:p>
    <w:p w:rsidR="00A464B6" w:rsidRPr="00E173FE" w:rsidRDefault="00A464B6" w:rsidP="00D077F2">
      <w:pPr>
        <w:autoSpaceDE w:val="0"/>
        <w:autoSpaceDN w:val="0"/>
        <w:adjustRightInd w:val="0"/>
        <w:spacing w:after="0"/>
        <w:rPr>
          <w:rFonts w:cs="TimesNewRomanPS-BoldItalicMT"/>
          <w:b/>
          <w:bCs/>
          <w:iCs/>
          <w:color w:val="000000"/>
          <w:lang w:val="en-US" w:eastAsia="zh-CN"/>
        </w:rPr>
        <w:sectPr w:rsidR="00A464B6" w:rsidRPr="00E173FE" w:rsidSect="00A22EEB">
          <w:pgSz w:w="11900" w:h="16840"/>
          <w:pgMar w:top="1417" w:right="1701" w:bottom="851" w:left="1701" w:header="708" w:footer="708" w:gutter="0"/>
          <w:cols w:space="708"/>
        </w:sectPr>
      </w:pPr>
    </w:p>
    <w:p w:rsidR="00926F19" w:rsidRPr="00E173FE" w:rsidRDefault="00926F19" w:rsidP="00D077F2">
      <w:pPr>
        <w:pStyle w:val="Footer"/>
        <w:rPr>
          <w:lang w:val="en-US"/>
        </w:rPr>
      </w:pPr>
      <w:r w:rsidRPr="00E173FE">
        <w:rPr>
          <w:b/>
          <w:lang w:val="en-US"/>
        </w:rPr>
        <w:lastRenderedPageBreak/>
        <w:t>Conflict-of-interest statement:</w:t>
      </w:r>
      <w:r w:rsidRPr="00E173FE">
        <w:rPr>
          <w:lang w:val="en-US"/>
        </w:rPr>
        <w:t xml:space="preserve"> Authors declare no conflicts of interest for this article.</w:t>
      </w:r>
    </w:p>
    <w:p w:rsidR="00A464B6" w:rsidRPr="00E173FE" w:rsidRDefault="00A464B6" w:rsidP="00D077F2">
      <w:pPr>
        <w:autoSpaceDE w:val="0"/>
        <w:autoSpaceDN w:val="0"/>
        <w:adjustRightInd w:val="0"/>
        <w:spacing w:after="0"/>
        <w:rPr>
          <w:rFonts w:cs="TimesNewRomanPS-BoldItalicMT"/>
          <w:b/>
          <w:bCs/>
          <w:iCs/>
          <w:color w:val="000000"/>
          <w:lang w:val="en-US" w:eastAsia="zh-CN"/>
        </w:rPr>
      </w:pPr>
    </w:p>
    <w:p w:rsidR="00A464B6" w:rsidRPr="00E173FE" w:rsidRDefault="00A464B6" w:rsidP="00D077F2">
      <w:pPr>
        <w:spacing w:after="0"/>
        <w:rPr>
          <w:b/>
          <w:color w:val="000000"/>
          <w:lang w:val="en-US"/>
        </w:rPr>
      </w:pPr>
      <w:bookmarkStart w:id="10" w:name="OLE_LINK155"/>
      <w:bookmarkStart w:id="11" w:name="OLE_LINK183"/>
      <w:bookmarkStart w:id="12" w:name="OLE_LINK441"/>
      <w:r w:rsidRPr="00E173FE">
        <w:rPr>
          <w:b/>
          <w:color w:val="000000"/>
          <w:lang w:val="en-US"/>
        </w:rPr>
        <w:t xml:space="preserve">Open-Access: </w:t>
      </w:r>
      <w:r w:rsidRPr="00E173FE">
        <w:rPr>
          <w:color w:val="000000"/>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A464B6" w:rsidRPr="00E173FE" w:rsidRDefault="00A464B6" w:rsidP="00D077F2">
      <w:pPr>
        <w:spacing w:after="0"/>
        <w:rPr>
          <w:rFonts w:cs="Arial Unicode MS"/>
          <w:color w:val="000000"/>
          <w:lang w:val="en-US" w:eastAsia="zh-CN"/>
        </w:rPr>
      </w:pPr>
    </w:p>
    <w:p w:rsidR="00A464B6" w:rsidRPr="00E173FE" w:rsidRDefault="00A464B6" w:rsidP="00D077F2">
      <w:pPr>
        <w:spacing w:after="0"/>
        <w:rPr>
          <w:rFonts w:cs="Arial Unicode MS"/>
          <w:color w:val="000000"/>
          <w:lang w:val="en-US"/>
        </w:rPr>
      </w:pPr>
      <w:r w:rsidRPr="00E173FE">
        <w:rPr>
          <w:rFonts w:cs="Arial Unicode MS"/>
          <w:b/>
          <w:color w:val="000000"/>
          <w:lang w:val="en-US"/>
        </w:rPr>
        <w:t>Manuscript source:</w:t>
      </w:r>
      <w:r w:rsidRPr="00E173FE">
        <w:rPr>
          <w:rFonts w:cs="Arial Unicode MS"/>
          <w:color w:val="000000"/>
          <w:lang w:val="en-US"/>
        </w:rPr>
        <w:t xml:space="preserve"> Invited manuscript</w:t>
      </w:r>
    </w:p>
    <w:p w:rsidR="00A464B6" w:rsidRPr="00E173FE" w:rsidRDefault="00A464B6" w:rsidP="00D077F2">
      <w:pPr>
        <w:spacing w:after="0"/>
        <w:rPr>
          <w:b/>
          <w:szCs w:val="24"/>
          <w:lang w:val="en-US" w:eastAsia="zh-CN"/>
        </w:rPr>
      </w:pPr>
    </w:p>
    <w:p w:rsidR="00A464B6" w:rsidRPr="00E173FE" w:rsidRDefault="00A464B6" w:rsidP="00D077F2">
      <w:pPr>
        <w:spacing w:after="0"/>
        <w:rPr>
          <w:b/>
          <w:szCs w:val="24"/>
          <w:lang w:val="en-US"/>
        </w:rPr>
      </w:pPr>
      <w:r w:rsidRPr="00E173FE">
        <w:rPr>
          <w:b/>
          <w:szCs w:val="24"/>
          <w:lang w:val="en-US"/>
        </w:rPr>
        <w:t>Correspondence to:</w:t>
      </w:r>
      <w:r w:rsidR="00926F19" w:rsidRPr="00E173FE">
        <w:rPr>
          <w:rFonts w:hint="eastAsia"/>
          <w:b/>
          <w:szCs w:val="24"/>
          <w:lang w:val="en-US" w:eastAsia="zh-CN"/>
        </w:rPr>
        <w:t xml:space="preserve"> </w:t>
      </w:r>
      <w:r w:rsidRPr="00E173FE">
        <w:rPr>
          <w:b/>
          <w:szCs w:val="24"/>
          <w:lang w:val="en-US"/>
        </w:rPr>
        <w:t xml:space="preserve">Angel </w:t>
      </w:r>
      <w:proofErr w:type="spellStart"/>
      <w:r w:rsidRPr="00E173FE">
        <w:rPr>
          <w:b/>
          <w:szCs w:val="24"/>
          <w:lang w:val="en-US"/>
        </w:rPr>
        <w:t>Lanas</w:t>
      </w:r>
      <w:proofErr w:type="spellEnd"/>
      <w:r w:rsidR="00926F19" w:rsidRPr="00E173FE">
        <w:rPr>
          <w:rFonts w:hint="eastAsia"/>
          <w:b/>
          <w:szCs w:val="24"/>
          <w:lang w:val="en-US" w:eastAsia="zh-CN"/>
        </w:rPr>
        <w:t>,</w:t>
      </w:r>
      <w:r w:rsidRPr="00E173FE">
        <w:rPr>
          <w:b/>
          <w:szCs w:val="24"/>
          <w:lang w:val="en-US"/>
        </w:rPr>
        <w:t xml:space="preserve"> MD</w:t>
      </w:r>
      <w:r w:rsidR="00926F19" w:rsidRPr="00E173FE">
        <w:rPr>
          <w:rFonts w:hint="eastAsia"/>
          <w:b/>
          <w:szCs w:val="24"/>
          <w:lang w:val="en-US" w:eastAsia="zh-CN"/>
        </w:rPr>
        <w:t>,</w:t>
      </w:r>
      <w:r w:rsidRPr="00E173FE">
        <w:rPr>
          <w:b/>
          <w:szCs w:val="24"/>
          <w:lang w:val="en-US"/>
        </w:rPr>
        <w:t xml:space="preserve"> DSc</w:t>
      </w:r>
      <w:r w:rsidR="00926F19" w:rsidRPr="00E173FE">
        <w:rPr>
          <w:rFonts w:hint="eastAsia"/>
          <w:b/>
          <w:szCs w:val="24"/>
          <w:lang w:val="en-US" w:eastAsia="zh-CN"/>
        </w:rPr>
        <w:t>,</w:t>
      </w:r>
      <w:r w:rsidRPr="00E173FE">
        <w:rPr>
          <w:b/>
          <w:szCs w:val="24"/>
          <w:lang w:val="en-US"/>
        </w:rPr>
        <w:t xml:space="preserve"> AGAF</w:t>
      </w:r>
      <w:r w:rsidR="00926F19" w:rsidRPr="00E173FE">
        <w:rPr>
          <w:rFonts w:hint="eastAsia"/>
          <w:b/>
          <w:szCs w:val="24"/>
          <w:lang w:val="en-US" w:eastAsia="zh-CN"/>
        </w:rPr>
        <w:t>,</w:t>
      </w:r>
      <w:r w:rsidRPr="00E173FE">
        <w:rPr>
          <w:b/>
          <w:szCs w:val="24"/>
          <w:lang w:val="en-US"/>
        </w:rPr>
        <w:t xml:space="preserve"> FACG</w:t>
      </w:r>
      <w:r w:rsidR="00926F19" w:rsidRPr="00E173FE">
        <w:rPr>
          <w:rFonts w:hint="eastAsia"/>
          <w:b/>
          <w:szCs w:val="24"/>
          <w:lang w:val="en-US" w:eastAsia="zh-CN"/>
        </w:rPr>
        <w:t>,</w:t>
      </w:r>
      <w:r w:rsidRPr="00E173FE">
        <w:rPr>
          <w:b/>
          <w:szCs w:val="24"/>
          <w:lang w:val="en-US"/>
        </w:rPr>
        <w:t xml:space="preserve"> Prof</w:t>
      </w:r>
      <w:r w:rsidR="00926F19" w:rsidRPr="00E173FE">
        <w:rPr>
          <w:rFonts w:hint="eastAsia"/>
          <w:b/>
          <w:szCs w:val="24"/>
          <w:lang w:val="en-US" w:eastAsia="zh-CN"/>
        </w:rPr>
        <w:t xml:space="preserve">essor, </w:t>
      </w:r>
      <w:r w:rsidRPr="00E173FE">
        <w:rPr>
          <w:b/>
          <w:szCs w:val="24"/>
          <w:lang w:val="en-US"/>
        </w:rPr>
        <w:t xml:space="preserve">Chairman, </w:t>
      </w:r>
      <w:r w:rsidRPr="00E173FE">
        <w:rPr>
          <w:szCs w:val="24"/>
          <w:lang w:val="en-US"/>
        </w:rPr>
        <w:t xml:space="preserve">Gastroenterology, University Hospital Lozano </w:t>
      </w:r>
      <w:proofErr w:type="spellStart"/>
      <w:r w:rsidRPr="00E173FE">
        <w:rPr>
          <w:szCs w:val="24"/>
          <w:lang w:val="en-US"/>
        </w:rPr>
        <w:t>Blesa</w:t>
      </w:r>
      <w:proofErr w:type="spellEnd"/>
      <w:r w:rsidRPr="00E173FE">
        <w:rPr>
          <w:szCs w:val="24"/>
          <w:lang w:val="en-US"/>
        </w:rPr>
        <w:t>, Av San Juan Bosco 15, Zaragoza</w:t>
      </w:r>
      <w:r w:rsidRPr="009750E0">
        <w:rPr>
          <w:color w:val="000000" w:themeColor="text1"/>
          <w:szCs w:val="24"/>
          <w:lang w:val="en-US"/>
        </w:rPr>
        <w:t xml:space="preserve"> 50009, </w:t>
      </w:r>
      <w:bookmarkStart w:id="13" w:name="OLE_LINK199"/>
      <w:bookmarkStart w:id="14" w:name="OLE_LINK200"/>
      <w:r w:rsidRPr="009750E0">
        <w:rPr>
          <w:color w:val="000000" w:themeColor="text1"/>
          <w:szCs w:val="24"/>
          <w:lang w:val="en-US"/>
        </w:rPr>
        <w:t>Spain</w:t>
      </w:r>
      <w:bookmarkEnd w:id="13"/>
      <w:bookmarkEnd w:id="14"/>
      <w:r w:rsidRPr="009750E0">
        <w:rPr>
          <w:color w:val="000000" w:themeColor="text1"/>
          <w:szCs w:val="24"/>
          <w:lang w:val="en-US"/>
        </w:rPr>
        <w:t xml:space="preserve">. </w:t>
      </w:r>
      <w:hyperlink r:id="rId8" w:history="1">
        <w:r w:rsidRPr="009750E0">
          <w:rPr>
            <w:rStyle w:val="Hyperlink"/>
            <w:color w:val="000000" w:themeColor="text1"/>
            <w:szCs w:val="24"/>
            <w:u w:val="none"/>
            <w:lang w:val="en-US"/>
          </w:rPr>
          <w:t>alanas@unizar.es</w:t>
        </w:r>
      </w:hyperlink>
    </w:p>
    <w:p w:rsidR="00926F19" w:rsidRPr="00E173FE" w:rsidRDefault="00A464B6" w:rsidP="00D077F2">
      <w:pPr>
        <w:spacing w:after="0"/>
        <w:rPr>
          <w:szCs w:val="24"/>
          <w:lang w:val="en-US" w:eastAsia="zh-CN"/>
        </w:rPr>
      </w:pPr>
      <w:r w:rsidRPr="00E173FE">
        <w:rPr>
          <w:b/>
          <w:szCs w:val="24"/>
          <w:lang w:val="en-US"/>
        </w:rPr>
        <w:t>Telephone</w:t>
      </w:r>
      <w:r w:rsidRPr="00E173FE">
        <w:rPr>
          <w:szCs w:val="24"/>
          <w:lang w:val="en-US"/>
        </w:rPr>
        <w:t>:</w:t>
      </w:r>
      <w:r w:rsidRPr="00E173FE">
        <w:rPr>
          <w:b/>
          <w:szCs w:val="24"/>
          <w:lang w:val="en-US"/>
        </w:rPr>
        <w:t xml:space="preserve"> </w:t>
      </w:r>
      <w:r w:rsidRPr="00E173FE">
        <w:rPr>
          <w:szCs w:val="24"/>
          <w:lang w:val="en-US"/>
        </w:rPr>
        <w:t>+34</w:t>
      </w:r>
      <w:r w:rsidR="00926F19" w:rsidRPr="00E173FE">
        <w:rPr>
          <w:rFonts w:hint="eastAsia"/>
          <w:szCs w:val="24"/>
          <w:lang w:val="en-US" w:eastAsia="zh-CN"/>
        </w:rPr>
        <w:t>-</w:t>
      </w:r>
      <w:r w:rsidRPr="00E173FE">
        <w:rPr>
          <w:szCs w:val="24"/>
          <w:lang w:val="en-US"/>
        </w:rPr>
        <w:t>976</w:t>
      </w:r>
      <w:r w:rsidR="00926F19" w:rsidRPr="00E173FE">
        <w:rPr>
          <w:rFonts w:hint="eastAsia"/>
          <w:szCs w:val="24"/>
          <w:lang w:val="en-US" w:eastAsia="zh-CN"/>
        </w:rPr>
        <w:t>-</w:t>
      </w:r>
      <w:r w:rsidR="00926F19" w:rsidRPr="00E173FE">
        <w:rPr>
          <w:szCs w:val="24"/>
          <w:lang w:val="en-US"/>
        </w:rPr>
        <w:t>76</w:t>
      </w:r>
      <w:r w:rsidRPr="00E173FE">
        <w:rPr>
          <w:szCs w:val="24"/>
          <w:lang w:val="en-US"/>
        </w:rPr>
        <w:t>57</w:t>
      </w:r>
      <w:r w:rsidR="00926F19" w:rsidRPr="00E173FE">
        <w:rPr>
          <w:szCs w:val="24"/>
          <w:lang w:val="en-US"/>
        </w:rPr>
        <w:t>00</w:t>
      </w:r>
    </w:p>
    <w:p w:rsidR="00A464B6" w:rsidRPr="00E173FE" w:rsidRDefault="00A464B6" w:rsidP="00D077F2">
      <w:pPr>
        <w:spacing w:after="0"/>
        <w:rPr>
          <w:b/>
          <w:szCs w:val="24"/>
          <w:lang w:val="en-US"/>
        </w:rPr>
      </w:pPr>
      <w:r w:rsidRPr="00E173FE">
        <w:rPr>
          <w:b/>
          <w:szCs w:val="24"/>
          <w:lang w:val="en-US"/>
        </w:rPr>
        <w:t>Fax</w:t>
      </w:r>
      <w:r w:rsidR="00926F19" w:rsidRPr="00E173FE">
        <w:rPr>
          <w:rFonts w:hint="eastAsia"/>
          <w:szCs w:val="24"/>
          <w:lang w:val="en-US" w:eastAsia="zh-CN"/>
        </w:rPr>
        <w:t>:</w:t>
      </w:r>
      <w:r w:rsidRPr="00E173FE">
        <w:rPr>
          <w:szCs w:val="24"/>
          <w:lang w:val="en-US"/>
        </w:rPr>
        <w:t xml:space="preserve">  +34</w:t>
      </w:r>
      <w:r w:rsidR="00926F19" w:rsidRPr="00E173FE">
        <w:rPr>
          <w:rFonts w:hint="eastAsia"/>
          <w:szCs w:val="24"/>
          <w:lang w:val="en-US" w:eastAsia="zh-CN"/>
        </w:rPr>
        <w:t>-</w:t>
      </w:r>
      <w:r w:rsidRPr="00E173FE">
        <w:rPr>
          <w:szCs w:val="24"/>
          <w:lang w:val="en-US"/>
        </w:rPr>
        <w:t>976</w:t>
      </w:r>
      <w:r w:rsidR="00926F19" w:rsidRPr="00E173FE">
        <w:rPr>
          <w:rFonts w:hint="eastAsia"/>
          <w:szCs w:val="24"/>
          <w:lang w:val="en-US" w:eastAsia="zh-CN"/>
        </w:rPr>
        <w:t>-</w:t>
      </w:r>
      <w:r w:rsidR="00926F19" w:rsidRPr="00E173FE">
        <w:rPr>
          <w:szCs w:val="24"/>
          <w:lang w:val="en-US"/>
        </w:rPr>
        <w:t>5659</w:t>
      </w:r>
      <w:r w:rsidRPr="00E173FE">
        <w:rPr>
          <w:szCs w:val="24"/>
          <w:lang w:val="en-US"/>
        </w:rPr>
        <w:t>95</w:t>
      </w:r>
    </w:p>
    <w:p w:rsidR="00A464B6" w:rsidRPr="00E173FE" w:rsidRDefault="00A464B6" w:rsidP="00D077F2">
      <w:pPr>
        <w:spacing w:after="0"/>
        <w:rPr>
          <w:b/>
          <w:szCs w:val="24"/>
          <w:lang w:val="en-US"/>
        </w:rPr>
      </w:pPr>
    </w:p>
    <w:p w:rsidR="00A464B6" w:rsidRPr="00E173FE" w:rsidRDefault="00A464B6" w:rsidP="00D077F2">
      <w:pPr>
        <w:spacing w:after="0"/>
        <w:rPr>
          <w:b/>
          <w:lang w:val="en-US" w:eastAsia="zh-CN"/>
        </w:rPr>
      </w:pPr>
      <w:bookmarkStart w:id="15" w:name="OLE_LINK476"/>
      <w:bookmarkStart w:id="16" w:name="OLE_LINK477"/>
      <w:bookmarkStart w:id="17" w:name="OLE_LINK117"/>
      <w:bookmarkStart w:id="18" w:name="OLE_LINK528"/>
      <w:bookmarkStart w:id="19" w:name="OLE_LINK557"/>
      <w:r w:rsidRPr="00E173FE">
        <w:rPr>
          <w:b/>
          <w:lang w:val="en-US"/>
        </w:rPr>
        <w:t>Received:</w:t>
      </w:r>
      <w:r w:rsidR="00156F78" w:rsidRPr="00E173FE">
        <w:rPr>
          <w:rFonts w:hint="eastAsia"/>
          <w:b/>
          <w:lang w:val="en-US" w:eastAsia="zh-CN"/>
        </w:rPr>
        <w:t xml:space="preserve"> </w:t>
      </w:r>
      <w:r w:rsidR="00156F78" w:rsidRPr="00E173FE">
        <w:rPr>
          <w:rFonts w:hint="eastAsia"/>
          <w:lang w:val="en-US" w:eastAsia="zh-CN"/>
        </w:rPr>
        <w:t>January 26, 2017</w:t>
      </w:r>
    </w:p>
    <w:p w:rsidR="00A464B6" w:rsidRPr="00E173FE" w:rsidRDefault="00A464B6" w:rsidP="00D077F2">
      <w:pPr>
        <w:spacing w:after="0"/>
        <w:rPr>
          <w:b/>
          <w:lang w:val="en-US" w:eastAsia="zh-CN"/>
        </w:rPr>
      </w:pPr>
      <w:r w:rsidRPr="00E173FE">
        <w:rPr>
          <w:b/>
          <w:lang w:val="en-US"/>
        </w:rPr>
        <w:t>Peer-review started:</w:t>
      </w:r>
      <w:r w:rsidR="00156F78" w:rsidRPr="00E173FE">
        <w:rPr>
          <w:rFonts w:hint="eastAsia"/>
          <w:b/>
          <w:lang w:val="en-US" w:eastAsia="zh-CN"/>
        </w:rPr>
        <w:t xml:space="preserve"> </w:t>
      </w:r>
      <w:r w:rsidR="00156F78" w:rsidRPr="00E173FE">
        <w:rPr>
          <w:rFonts w:hint="eastAsia"/>
          <w:lang w:val="en-US" w:eastAsia="zh-CN"/>
        </w:rPr>
        <w:t>February 2, 2017</w:t>
      </w:r>
    </w:p>
    <w:p w:rsidR="00A464B6" w:rsidRPr="00E173FE" w:rsidRDefault="00A464B6" w:rsidP="00D077F2">
      <w:pPr>
        <w:spacing w:after="0"/>
        <w:rPr>
          <w:b/>
          <w:lang w:val="en-US" w:eastAsia="zh-CN"/>
        </w:rPr>
      </w:pPr>
      <w:r w:rsidRPr="00E173FE">
        <w:rPr>
          <w:b/>
          <w:lang w:val="en-US"/>
        </w:rPr>
        <w:t>First decision:</w:t>
      </w:r>
      <w:r w:rsidR="00156F78" w:rsidRPr="00E173FE">
        <w:rPr>
          <w:rFonts w:hint="eastAsia"/>
          <w:b/>
          <w:lang w:val="en-US" w:eastAsia="zh-CN"/>
        </w:rPr>
        <w:t xml:space="preserve"> </w:t>
      </w:r>
      <w:r w:rsidR="00156F78" w:rsidRPr="00E173FE">
        <w:rPr>
          <w:rFonts w:hint="eastAsia"/>
          <w:lang w:val="en-US" w:eastAsia="zh-CN"/>
        </w:rPr>
        <w:t>March 3, 2017</w:t>
      </w:r>
    </w:p>
    <w:p w:rsidR="00A464B6" w:rsidRPr="00E173FE" w:rsidRDefault="00A464B6" w:rsidP="00D077F2">
      <w:pPr>
        <w:spacing w:after="0"/>
        <w:rPr>
          <w:b/>
          <w:lang w:val="en-US"/>
        </w:rPr>
      </w:pPr>
      <w:r w:rsidRPr="00E173FE">
        <w:rPr>
          <w:b/>
          <w:lang w:val="en-US"/>
        </w:rPr>
        <w:t>Revised:</w:t>
      </w:r>
      <w:r w:rsidR="00156F78" w:rsidRPr="00E173FE">
        <w:rPr>
          <w:rFonts w:hint="eastAsia"/>
          <w:lang w:val="en-US" w:eastAsia="zh-CN"/>
        </w:rPr>
        <w:t xml:space="preserve"> March 21, 2017</w:t>
      </w:r>
    </w:p>
    <w:p w:rsidR="00A464B6" w:rsidRPr="005978FF" w:rsidRDefault="00A464B6" w:rsidP="005978FF">
      <w:pPr>
        <w:rPr>
          <w:color w:val="000000"/>
        </w:rPr>
      </w:pPr>
      <w:r w:rsidRPr="00E173FE">
        <w:rPr>
          <w:b/>
          <w:lang w:val="en-US"/>
        </w:rPr>
        <w:t>Accepted:</w:t>
      </w:r>
      <w:bookmarkStart w:id="20" w:name="OLE_LINK118"/>
      <w:r w:rsidR="005978FF" w:rsidRPr="005978FF">
        <w:rPr>
          <w:color w:val="000000"/>
        </w:rPr>
        <w:t xml:space="preserve"> </w:t>
      </w:r>
      <w:proofErr w:type="spellStart"/>
      <w:r w:rsidR="005978FF">
        <w:rPr>
          <w:color w:val="000000"/>
        </w:rPr>
        <w:t>May</w:t>
      </w:r>
      <w:proofErr w:type="spellEnd"/>
      <w:r w:rsidR="005978FF">
        <w:rPr>
          <w:color w:val="000000"/>
        </w:rPr>
        <w:t xml:space="preserve"> 4, 2017</w:t>
      </w:r>
      <w:bookmarkStart w:id="21" w:name="_GoBack"/>
      <w:bookmarkEnd w:id="20"/>
      <w:bookmarkEnd w:id="21"/>
      <w:r w:rsidRPr="00E173FE">
        <w:rPr>
          <w:b/>
          <w:lang w:val="en-US"/>
        </w:rPr>
        <w:t xml:space="preserve">  </w:t>
      </w:r>
    </w:p>
    <w:p w:rsidR="00A464B6" w:rsidRPr="00E173FE" w:rsidRDefault="00A464B6" w:rsidP="00D077F2">
      <w:pPr>
        <w:spacing w:after="0"/>
        <w:rPr>
          <w:b/>
          <w:lang w:val="en-US"/>
        </w:rPr>
      </w:pPr>
      <w:r w:rsidRPr="00E173FE">
        <w:rPr>
          <w:b/>
          <w:lang w:val="en-US"/>
        </w:rPr>
        <w:t>Article in press:</w:t>
      </w:r>
    </w:p>
    <w:p w:rsidR="00A464B6" w:rsidRPr="00E173FE" w:rsidRDefault="00A464B6" w:rsidP="00D077F2">
      <w:pPr>
        <w:spacing w:after="0"/>
        <w:rPr>
          <w:b/>
          <w:lang w:val="en-US"/>
        </w:rPr>
      </w:pPr>
      <w:r w:rsidRPr="00E173FE">
        <w:rPr>
          <w:b/>
          <w:lang w:val="en-US"/>
        </w:rPr>
        <w:t>Published online:</w:t>
      </w:r>
    </w:p>
    <w:bookmarkEnd w:id="15"/>
    <w:bookmarkEnd w:id="16"/>
    <w:bookmarkEnd w:id="17"/>
    <w:bookmarkEnd w:id="18"/>
    <w:bookmarkEnd w:id="19"/>
    <w:p w:rsidR="00A464B6" w:rsidRPr="00E173FE" w:rsidRDefault="00A464B6" w:rsidP="00D077F2">
      <w:pPr>
        <w:spacing w:after="0"/>
        <w:rPr>
          <w:b/>
          <w:szCs w:val="24"/>
          <w:lang w:val="en-US"/>
        </w:rPr>
      </w:pPr>
    </w:p>
    <w:p w:rsidR="00A464B6" w:rsidRPr="00E173FE" w:rsidRDefault="00A464B6" w:rsidP="00D077F2">
      <w:pPr>
        <w:spacing w:after="0" w:line="240" w:lineRule="auto"/>
        <w:rPr>
          <w:b/>
          <w:szCs w:val="24"/>
          <w:lang w:val="en-US"/>
        </w:rPr>
      </w:pPr>
      <w:r w:rsidRPr="00E173FE">
        <w:rPr>
          <w:b/>
          <w:szCs w:val="24"/>
          <w:lang w:val="en-US"/>
        </w:rPr>
        <w:br w:type="page"/>
      </w:r>
    </w:p>
    <w:p w:rsidR="00A464B6" w:rsidRPr="00E173FE" w:rsidRDefault="00A464B6" w:rsidP="00D077F2">
      <w:pPr>
        <w:pStyle w:val="Head1"/>
        <w:spacing w:before="0" w:after="0"/>
        <w:jc w:val="both"/>
      </w:pPr>
      <w:r w:rsidRPr="00E173FE">
        <w:lastRenderedPageBreak/>
        <w:t>A</w:t>
      </w:r>
      <w:r w:rsidRPr="00E173FE">
        <w:rPr>
          <w:caps w:val="0"/>
        </w:rPr>
        <w:t>bstract</w:t>
      </w:r>
    </w:p>
    <w:p w:rsidR="00A464B6" w:rsidRPr="00E173FE" w:rsidRDefault="00A464B6" w:rsidP="00D077F2">
      <w:pPr>
        <w:spacing w:after="0"/>
        <w:rPr>
          <w:lang w:val="en-US" w:eastAsia="zh-CN"/>
        </w:rPr>
      </w:pPr>
      <w:r w:rsidRPr="00E173FE">
        <w:rPr>
          <w:lang w:val="en-US"/>
        </w:rPr>
        <w:t>Colorectal cancer (CRC) is the third most commonly diagnosed cancer in the world. The incidence and mortality show wide geographical variations. Screening is recommended to reduce both incidence and mortality. However, there are significant differences among studies in implementation strategies and detection. This review aimed to present the results and strategies of different screening programs worldwide.</w:t>
      </w:r>
      <w:r w:rsidR="00156F78" w:rsidRPr="00E173FE">
        <w:rPr>
          <w:rFonts w:hint="eastAsia"/>
          <w:lang w:val="en-US" w:eastAsia="zh-CN"/>
        </w:rPr>
        <w:t xml:space="preserve"> </w:t>
      </w:r>
      <w:r w:rsidRPr="00E173FE">
        <w:rPr>
          <w:lang w:val="en-US"/>
        </w:rPr>
        <w:t xml:space="preserve">We reviewed the literature on national and international screening programs published in PubMed, on web pages, and in clinical guidelines. CRC Screening programs are currently underway in most European countries, </w:t>
      </w:r>
      <w:smartTag w:uri="urn:schemas-microsoft-com:office:smarttags" w:element="country-region">
        <w:r w:rsidRPr="00E173FE">
          <w:rPr>
            <w:lang w:val="en-US"/>
          </w:rPr>
          <w:t>Canada</w:t>
        </w:r>
      </w:smartTag>
      <w:r w:rsidRPr="00E173FE">
        <w:rPr>
          <w:lang w:val="en-US"/>
        </w:rPr>
        <w:t xml:space="preserve">, specific regions in North and South America, Asia, and </w:t>
      </w:r>
      <w:smartTag w:uri="urn:schemas-microsoft-com:office:smarttags" w:element="place">
        <w:r w:rsidRPr="00E173FE">
          <w:rPr>
            <w:lang w:val="en-US"/>
          </w:rPr>
          <w:t>Oceania</w:t>
        </w:r>
      </w:smartTag>
      <w:r w:rsidRPr="00E173FE">
        <w:rPr>
          <w:lang w:val="en-US"/>
        </w:rPr>
        <w:t xml:space="preserve">. The most extensive screening strategies were based on fecal occult blood testing, and more recently, the fecal immunochemical test (FIT). Participation in screening has varied greatly among different programs. The </w:t>
      </w:r>
      <w:smartTag w:uri="urn:schemas-microsoft-com:office:smarttags" w:element="country-region">
        <w:r w:rsidRPr="00E173FE">
          <w:rPr>
            <w:lang w:val="en-US"/>
          </w:rPr>
          <w:t>Netherlands</w:t>
        </w:r>
      </w:smartTag>
      <w:r w:rsidRPr="00E173FE">
        <w:rPr>
          <w:lang w:val="en-US"/>
        </w:rPr>
        <w:t xml:space="preserve"> showed the highest participation rate (68.2%) and some areas of </w:t>
      </w:r>
      <w:smartTag w:uri="urn:schemas-microsoft-com:office:smarttags" w:element="place">
        <w:smartTag w:uri="urn:schemas-microsoft-com:office:smarttags" w:element="country-region">
          <w:r w:rsidRPr="00E173FE">
            <w:rPr>
              <w:lang w:val="en-US"/>
            </w:rPr>
            <w:t>Canada</w:t>
          </w:r>
        </w:smartTag>
      </w:smartTag>
      <w:r w:rsidRPr="00E173FE">
        <w:rPr>
          <w:lang w:val="en-US"/>
        </w:rPr>
        <w:t xml:space="preserve"> showed the lowest (16%). Participation rates were highest among women and in programs that used the FIT test. Men exhibited the greatest number of positive results. The FIT test has been the most widely used screening program worldwide. The advent of this test has increased participation rates and the detection of positive results. </w:t>
      </w:r>
    </w:p>
    <w:p w:rsidR="00156F78" w:rsidRPr="00E173FE" w:rsidRDefault="00156F78" w:rsidP="00D077F2">
      <w:pPr>
        <w:spacing w:after="0"/>
        <w:rPr>
          <w:lang w:val="en-US" w:eastAsia="zh-CN"/>
        </w:rPr>
      </w:pPr>
    </w:p>
    <w:p w:rsidR="00A464B6" w:rsidRPr="00E173FE" w:rsidRDefault="00A464B6" w:rsidP="00D077F2">
      <w:pPr>
        <w:spacing w:after="0"/>
        <w:rPr>
          <w:bCs/>
          <w:lang w:val="en-US" w:eastAsia="zh-CN"/>
        </w:rPr>
      </w:pPr>
      <w:r w:rsidRPr="00E173FE">
        <w:rPr>
          <w:b/>
          <w:bCs/>
          <w:lang w:val="en-US"/>
        </w:rPr>
        <w:t>Key</w:t>
      </w:r>
      <w:r w:rsidR="00156F78" w:rsidRPr="00E173FE">
        <w:rPr>
          <w:rFonts w:hint="eastAsia"/>
          <w:b/>
          <w:bCs/>
          <w:lang w:val="en-US" w:eastAsia="zh-CN"/>
        </w:rPr>
        <w:t xml:space="preserve"> </w:t>
      </w:r>
      <w:r w:rsidRPr="00E173FE">
        <w:rPr>
          <w:b/>
          <w:bCs/>
          <w:lang w:val="en-US"/>
        </w:rPr>
        <w:t xml:space="preserve">words: </w:t>
      </w:r>
      <w:r w:rsidRPr="00E173FE">
        <w:rPr>
          <w:bCs/>
          <w:lang w:val="en-US"/>
        </w:rPr>
        <w:t xml:space="preserve">Colorectal cancer; </w:t>
      </w:r>
      <w:proofErr w:type="gramStart"/>
      <w:r w:rsidR="00156F78" w:rsidRPr="00E173FE">
        <w:rPr>
          <w:bCs/>
          <w:lang w:val="en-US"/>
        </w:rPr>
        <w:t>Colorectal</w:t>
      </w:r>
      <w:proofErr w:type="gramEnd"/>
      <w:r w:rsidR="00156F78" w:rsidRPr="00E173FE">
        <w:rPr>
          <w:bCs/>
          <w:lang w:val="en-US"/>
        </w:rPr>
        <w:t xml:space="preserve"> </w:t>
      </w:r>
      <w:r w:rsidRPr="00E173FE">
        <w:rPr>
          <w:bCs/>
          <w:lang w:val="en-US"/>
        </w:rPr>
        <w:t xml:space="preserve">cancer screening; </w:t>
      </w:r>
      <w:r w:rsidR="00156F78" w:rsidRPr="00E173FE">
        <w:rPr>
          <w:bCs/>
          <w:lang w:val="en-US"/>
        </w:rPr>
        <w:t xml:space="preserve">Fecal </w:t>
      </w:r>
      <w:r w:rsidRPr="00E173FE">
        <w:rPr>
          <w:bCs/>
          <w:lang w:val="en-US"/>
        </w:rPr>
        <w:t xml:space="preserve">occult blood test; </w:t>
      </w:r>
      <w:r w:rsidR="00156F78" w:rsidRPr="00E173FE">
        <w:rPr>
          <w:bCs/>
          <w:lang w:val="en-US"/>
        </w:rPr>
        <w:t xml:space="preserve">Fecal </w:t>
      </w:r>
      <w:proofErr w:type="spellStart"/>
      <w:r w:rsidRPr="00E173FE">
        <w:rPr>
          <w:bCs/>
          <w:lang w:val="en-US"/>
        </w:rPr>
        <w:t>inmmunochemical</w:t>
      </w:r>
      <w:proofErr w:type="spellEnd"/>
      <w:r w:rsidRPr="00E173FE">
        <w:rPr>
          <w:bCs/>
          <w:lang w:val="en-US"/>
        </w:rPr>
        <w:t xml:space="preserve"> test; </w:t>
      </w:r>
      <w:r w:rsidR="00156F78" w:rsidRPr="00E173FE">
        <w:rPr>
          <w:bCs/>
          <w:lang w:val="en-US"/>
        </w:rPr>
        <w:t>Colonoscopy</w:t>
      </w:r>
    </w:p>
    <w:p w:rsidR="00A464B6" w:rsidRPr="00E173FE" w:rsidRDefault="00A464B6" w:rsidP="00D077F2">
      <w:pPr>
        <w:spacing w:after="0"/>
        <w:rPr>
          <w:bCs/>
          <w:lang w:val="en-US" w:eastAsia="zh-CN"/>
        </w:rPr>
      </w:pPr>
    </w:p>
    <w:p w:rsidR="00A464B6" w:rsidRPr="00E173FE" w:rsidRDefault="00A464B6" w:rsidP="00D077F2">
      <w:pPr>
        <w:spacing w:after="0"/>
        <w:rPr>
          <w:rFonts w:cs="Arial"/>
          <w:lang w:val="en-US" w:eastAsia="zh-CN"/>
        </w:rPr>
      </w:pPr>
      <w:bookmarkStart w:id="22" w:name="OLE_LINK55"/>
      <w:bookmarkStart w:id="23" w:name="OLE_LINK56"/>
      <w:bookmarkStart w:id="24" w:name="OLE_LINK105"/>
      <w:bookmarkStart w:id="25" w:name="OLE_LINK116"/>
      <w:bookmarkStart w:id="26" w:name="OLE_LINK89"/>
      <w:r w:rsidRPr="00E173FE">
        <w:rPr>
          <w:b/>
          <w:lang w:val="en-US"/>
        </w:rPr>
        <w:t>©</w:t>
      </w:r>
      <w:bookmarkEnd w:id="22"/>
      <w:bookmarkEnd w:id="23"/>
      <w:r w:rsidRPr="00E173FE">
        <w:rPr>
          <w:b/>
          <w:lang w:val="en-US"/>
        </w:rPr>
        <w:t xml:space="preserve"> </w:t>
      </w:r>
      <w:r w:rsidRPr="00E173FE">
        <w:rPr>
          <w:rFonts w:cs="Arial"/>
          <w:b/>
          <w:lang w:val="en-US"/>
        </w:rPr>
        <w:t xml:space="preserve">The Author(s) 2017. </w:t>
      </w:r>
      <w:r w:rsidRPr="00E173FE">
        <w:rPr>
          <w:rFonts w:cs="Arial"/>
          <w:lang w:val="en-US"/>
        </w:rPr>
        <w:t xml:space="preserve">Published by </w:t>
      </w:r>
      <w:proofErr w:type="spellStart"/>
      <w:r w:rsidRPr="00E173FE">
        <w:rPr>
          <w:rFonts w:cs="Arial"/>
          <w:lang w:val="en-US"/>
        </w:rPr>
        <w:t>Baishideng</w:t>
      </w:r>
      <w:proofErr w:type="spellEnd"/>
      <w:r w:rsidRPr="00E173FE">
        <w:rPr>
          <w:rFonts w:cs="Arial"/>
          <w:lang w:val="en-US"/>
        </w:rPr>
        <w:t xml:space="preserve"> Publishing Group Inc. All rights reserved.</w:t>
      </w:r>
    </w:p>
    <w:p w:rsidR="00A464B6" w:rsidRPr="00E173FE" w:rsidRDefault="00A464B6" w:rsidP="00D077F2">
      <w:pPr>
        <w:spacing w:after="0"/>
        <w:rPr>
          <w:rFonts w:cs="Arial"/>
          <w:lang w:val="en-US" w:eastAsia="zh-CN"/>
        </w:rPr>
      </w:pPr>
    </w:p>
    <w:bookmarkEnd w:id="24"/>
    <w:bookmarkEnd w:id="25"/>
    <w:bookmarkEnd w:id="26"/>
    <w:p w:rsidR="00A464B6" w:rsidRPr="00E173FE" w:rsidRDefault="00A464B6" w:rsidP="00D077F2">
      <w:pPr>
        <w:spacing w:after="0"/>
        <w:rPr>
          <w:lang w:val="en-US" w:eastAsia="zh-CN"/>
        </w:rPr>
      </w:pPr>
      <w:r w:rsidRPr="00E173FE">
        <w:rPr>
          <w:b/>
          <w:bCs/>
          <w:lang w:val="en-US"/>
        </w:rPr>
        <w:t xml:space="preserve">Core tip: </w:t>
      </w:r>
      <w:r w:rsidRPr="00E173FE">
        <w:rPr>
          <w:lang w:val="en-US"/>
        </w:rPr>
        <w:t>Colorectal cancer is the third most commonly diagnosed cancer worldwide. The incidence and mortality show wide geographical variations across the world. Screening is recommended to reduce both, however, there are significant differences among studies in implementation strategies and detection. This review aimed to present the results and strategies of different screening programs worldwide.</w:t>
      </w:r>
    </w:p>
    <w:p w:rsidR="00A464B6" w:rsidRPr="00E173FE" w:rsidRDefault="00A464B6" w:rsidP="00D077F2">
      <w:pPr>
        <w:spacing w:after="0"/>
        <w:rPr>
          <w:lang w:val="en-US" w:eastAsia="zh-CN"/>
        </w:rPr>
      </w:pPr>
    </w:p>
    <w:p w:rsidR="00A464B6" w:rsidRPr="00E173FE" w:rsidRDefault="00A464B6" w:rsidP="00D077F2">
      <w:pPr>
        <w:adjustRightInd w:val="0"/>
        <w:snapToGrid w:val="0"/>
        <w:spacing w:after="0"/>
        <w:rPr>
          <w:lang w:val="en-US"/>
        </w:rPr>
      </w:pPr>
      <w:r w:rsidRPr="00E173FE">
        <w:rPr>
          <w:lang w:val="en-US"/>
        </w:rPr>
        <w:t xml:space="preserve">Navarro M, Nicolas A, </w:t>
      </w:r>
      <w:proofErr w:type="spellStart"/>
      <w:r w:rsidRPr="00E173FE">
        <w:rPr>
          <w:lang w:val="en-US"/>
        </w:rPr>
        <w:t>Ferrandez</w:t>
      </w:r>
      <w:proofErr w:type="spellEnd"/>
      <w:r w:rsidRPr="00E173FE">
        <w:rPr>
          <w:lang w:val="en-US"/>
        </w:rPr>
        <w:t xml:space="preserve"> A, </w:t>
      </w:r>
      <w:proofErr w:type="spellStart"/>
      <w:r w:rsidRPr="00E173FE">
        <w:rPr>
          <w:lang w:val="en-US"/>
        </w:rPr>
        <w:t>Lanas</w:t>
      </w:r>
      <w:proofErr w:type="spellEnd"/>
      <w:r w:rsidRPr="00E173FE">
        <w:rPr>
          <w:lang w:val="en-US"/>
        </w:rPr>
        <w:t xml:space="preserve"> A. Colorectal cancer population screening programs worldwide in 2016: </w:t>
      </w:r>
      <w:r w:rsidR="00156F78" w:rsidRPr="00E173FE">
        <w:rPr>
          <w:lang w:val="en-US"/>
        </w:rPr>
        <w:t xml:space="preserve">An </w:t>
      </w:r>
      <w:r w:rsidRPr="00E173FE">
        <w:rPr>
          <w:lang w:val="en-US"/>
        </w:rPr>
        <w:t>update.</w:t>
      </w:r>
      <w:bookmarkStart w:id="27" w:name="OLE_LINK424"/>
      <w:bookmarkStart w:id="28" w:name="OLE_LINK425"/>
      <w:r w:rsidRPr="00E173FE">
        <w:rPr>
          <w:i/>
          <w:lang w:val="en-US"/>
        </w:rPr>
        <w:t xml:space="preserve"> </w:t>
      </w:r>
      <w:r w:rsidR="00035B18" w:rsidRPr="00E173FE">
        <w:rPr>
          <w:i/>
          <w:lang w:val="en-US"/>
        </w:rPr>
        <w:t xml:space="preserve">World J </w:t>
      </w:r>
      <w:proofErr w:type="spellStart"/>
      <w:r w:rsidR="00035B18" w:rsidRPr="00E173FE">
        <w:rPr>
          <w:i/>
          <w:lang w:val="en-US"/>
        </w:rPr>
        <w:t>Gastroenterol</w:t>
      </w:r>
      <w:proofErr w:type="spellEnd"/>
      <w:r w:rsidR="00035B18" w:rsidRPr="00E173FE">
        <w:rPr>
          <w:lang w:val="en-US"/>
        </w:rPr>
        <w:t xml:space="preserve"> 2017; </w:t>
      </w:r>
      <w:bookmarkStart w:id="29" w:name="OLE_LINK1689"/>
      <w:bookmarkStart w:id="30" w:name="OLE_LINK1298"/>
      <w:bookmarkStart w:id="31" w:name="OLE_LINK1297"/>
      <w:r w:rsidR="00035B18" w:rsidRPr="00E173FE">
        <w:rPr>
          <w:lang w:val="en-US"/>
        </w:rPr>
        <w:t>In press</w:t>
      </w:r>
      <w:bookmarkEnd w:id="29"/>
      <w:bookmarkEnd w:id="30"/>
      <w:bookmarkEnd w:id="31"/>
    </w:p>
    <w:bookmarkEnd w:id="27"/>
    <w:bookmarkEnd w:id="28"/>
    <w:p w:rsidR="00A464B6" w:rsidRPr="00E173FE" w:rsidRDefault="00A464B6" w:rsidP="00D077F2">
      <w:pPr>
        <w:spacing w:after="0"/>
        <w:rPr>
          <w:b/>
          <w:bCs/>
          <w:lang w:val="en-US"/>
        </w:rPr>
      </w:pPr>
    </w:p>
    <w:p w:rsidR="00A464B6" w:rsidRPr="00E173FE" w:rsidRDefault="00A464B6" w:rsidP="00D077F2">
      <w:pPr>
        <w:spacing w:after="0" w:line="240" w:lineRule="auto"/>
        <w:rPr>
          <w:b/>
          <w:szCs w:val="24"/>
          <w:lang w:val="en-US"/>
        </w:rPr>
      </w:pPr>
      <w:r w:rsidRPr="00E173FE">
        <w:rPr>
          <w:b/>
          <w:szCs w:val="24"/>
          <w:lang w:val="en-US"/>
        </w:rPr>
        <w:br w:type="page"/>
      </w:r>
    </w:p>
    <w:p w:rsidR="00156F78" w:rsidRPr="00E173FE" w:rsidRDefault="00156F78" w:rsidP="00D077F2">
      <w:pPr>
        <w:spacing w:after="0"/>
        <w:rPr>
          <w:b/>
        </w:rPr>
      </w:pPr>
      <w:r w:rsidRPr="00E173FE">
        <w:rPr>
          <w:b/>
        </w:rPr>
        <w:lastRenderedPageBreak/>
        <w:t>INTRODUCTION</w:t>
      </w:r>
    </w:p>
    <w:p w:rsidR="00A464B6" w:rsidRPr="00E173FE" w:rsidRDefault="00A464B6" w:rsidP="00D077F2">
      <w:pPr>
        <w:spacing w:after="0"/>
        <w:rPr>
          <w:lang w:val="en-US"/>
        </w:rPr>
      </w:pPr>
      <w:r w:rsidRPr="00E173FE">
        <w:rPr>
          <w:lang w:val="en-US"/>
        </w:rPr>
        <w:t xml:space="preserve">Colorectal Cancer (CRC) is one the most commonly diagnosed cancers worldwide. Among men with cancer, CRC ranked third in prevalence </w:t>
      </w:r>
      <w:r w:rsidR="00156F78" w:rsidRPr="00E173FE">
        <w:rPr>
          <w:lang w:val="en-US"/>
        </w:rPr>
        <w:t>(746</w:t>
      </w:r>
      <w:r w:rsidRPr="00E173FE">
        <w:rPr>
          <w:lang w:val="en-US"/>
        </w:rPr>
        <w:t xml:space="preserve">000 cases, 10% of the total male population), after lung and prostate cancers. Among women with cancer, CRC ranked second in prevalence </w:t>
      </w:r>
      <w:r w:rsidR="00156F78" w:rsidRPr="00E173FE">
        <w:rPr>
          <w:lang w:val="en-US"/>
        </w:rPr>
        <w:t>(614</w:t>
      </w:r>
      <w:r w:rsidRPr="00E173FE">
        <w:rPr>
          <w:lang w:val="en-US"/>
        </w:rPr>
        <w:t>000 cases, 9.2% of the total female population), after breast cancer. CRC incidence and mortality show wide geographical variations across the world. When comparing age-standardized incidence rates (</w:t>
      </w:r>
      <w:proofErr w:type="spellStart"/>
      <w:r w:rsidRPr="00E173FE">
        <w:rPr>
          <w:lang w:val="en-US"/>
        </w:rPr>
        <w:t>ASRis</w:t>
      </w:r>
      <w:proofErr w:type="spellEnd"/>
      <w:r w:rsidRPr="00E173FE">
        <w:rPr>
          <w:lang w:val="en-US"/>
        </w:rPr>
        <w:t xml:space="preserve">) of CRC in different countries, we found the highest rates in </w:t>
      </w:r>
      <w:smartTag w:uri="urn:schemas-microsoft-com:office:smarttags" w:element="country-region">
        <w:r w:rsidRPr="00E173FE">
          <w:rPr>
            <w:lang w:val="en-US"/>
          </w:rPr>
          <w:t>Australia</w:t>
        </w:r>
      </w:smartTag>
      <w:r w:rsidRPr="00E173FE">
        <w:rPr>
          <w:lang w:val="en-US"/>
        </w:rPr>
        <w:t xml:space="preserve"> and </w:t>
      </w:r>
      <w:smartTag w:uri="urn:schemas-microsoft-com:office:smarttags" w:element="country-region">
        <w:r w:rsidRPr="00E173FE">
          <w:rPr>
            <w:lang w:val="en-US"/>
          </w:rPr>
          <w:t>New Zealand</w:t>
        </w:r>
      </w:smartTag>
      <w:r w:rsidRPr="00E173FE">
        <w:rPr>
          <w:lang w:val="en-US"/>
        </w:rPr>
        <w:t xml:space="preserve">, and the lowest rates in Western </w:t>
      </w:r>
      <w:proofErr w:type="gramStart"/>
      <w:r w:rsidRPr="00E173FE">
        <w:rPr>
          <w:lang w:val="en-US"/>
        </w:rPr>
        <w:t>Africa</w:t>
      </w:r>
      <w:r w:rsidRPr="00E173FE">
        <w:rPr>
          <w:rFonts w:cs="Arial"/>
          <w:vertAlign w:val="superscript"/>
          <w:lang w:val="en-US"/>
        </w:rPr>
        <w:t>[</w:t>
      </w:r>
      <w:proofErr w:type="gramEnd"/>
      <w:r w:rsidRPr="00E173FE">
        <w:rPr>
          <w:rFonts w:cs="Arial"/>
          <w:vertAlign w:val="superscript"/>
          <w:lang w:val="en-US"/>
        </w:rPr>
        <w:t>1]</w:t>
      </w:r>
      <w:r w:rsidRPr="00E173FE">
        <w:rPr>
          <w:lang w:val="en-US"/>
        </w:rPr>
        <w:t xml:space="preserve">. </w:t>
      </w:r>
    </w:p>
    <w:p w:rsidR="00A464B6" w:rsidRPr="00E173FE" w:rsidRDefault="00A464B6" w:rsidP="00D077F2">
      <w:pPr>
        <w:spacing w:after="0"/>
        <w:ind w:firstLineChars="100" w:firstLine="240"/>
        <w:rPr>
          <w:rFonts w:cs="Arial"/>
          <w:lang w:val="en-US"/>
        </w:rPr>
      </w:pPr>
      <w:r w:rsidRPr="00E173FE">
        <w:rPr>
          <w:rFonts w:cs="Arial"/>
          <w:lang w:val="en-US"/>
        </w:rPr>
        <w:t xml:space="preserve">Nearly 55% of CRC cases occur in developed regions, but CRC-related mortality is highest in less developed countries (including regions of Africa). This poor survival is probably due to the lack of available health resources. However, high- and low-income countries also show large variations in the proportion of the population included in CRC registries. These variations may arise from </w:t>
      </w:r>
      <w:r w:rsidRPr="00E173FE">
        <w:rPr>
          <w:lang w:val="en-US"/>
        </w:rPr>
        <w:t xml:space="preserve">underdiagnoses, due to local medical and economic </w:t>
      </w:r>
      <w:proofErr w:type="gramStart"/>
      <w:r w:rsidRPr="00E173FE">
        <w:rPr>
          <w:lang w:val="en-US"/>
        </w:rPr>
        <w:t>situations</w:t>
      </w:r>
      <w:r w:rsidRPr="00E173FE">
        <w:rPr>
          <w:rFonts w:cs="Arial"/>
          <w:vertAlign w:val="superscript"/>
          <w:lang w:val="en-US"/>
        </w:rPr>
        <w:t>[</w:t>
      </w:r>
      <w:proofErr w:type="gramEnd"/>
      <w:r w:rsidRPr="00E173FE">
        <w:rPr>
          <w:rFonts w:cs="Arial"/>
          <w:vertAlign w:val="superscript"/>
          <w:lang w:val="en-US"/>
        </w:rPr>
        <w:t>2]</w:t>
      </w:r>
      <w:r w:rsidRPr="00E173FE">
        <w:rPr>
          <w:rFonts w:cs="Arial"/>
          <w:lang w:val="en-US"/>
        </w:rPr>
        <w:t xml:space="preserve">. </w:t>
      </w:r>
    </w:p>
    <w:p w:rsidR="00A464B6" w:rsidRPr="00E173FE" w:rsidRDefault="00A464B6" w:rsidP="00D077F2">
      <w:pPr>
        <w:spacing w:after="0"/>
        <w:ind w:firstLineChars="150" w:firstLine="360"/>
        <w:rPr>
          <w:rFonts w:cs="Arial"/>
          <w:lang w:val="en-US"/>
        </w:rPr>
      </w:pPr>
      <w:r w:rsidRPr="00E173FE">
        <w:rPr>
          <w:rFonts w:cs="Arial"/>
          <w:lang w:val="en-US"/>
        </w:rPr>
        <w:t xml:space="preserve">In many regions, the risk of developing CRC is around 5%, and of those patients, 45% will die despite </w:t>
      </w:r>
      <w:proofErr w:type="gramStart"/>
      <w:r w:rsidRPr="00E173FE">
        <w:rPr>
          <w:rFonts w:cs="Arial"/>
          <w:lang w:val="en-US"/>
        </w:rPr>
        <w:t>treatment</w:t>
      </w:r>
      <w:r w:rsidRPr="00E173FE">
        <w:rPr>
          <w:rFonts w:cs="Arial"/>
          <w:vertAlign w:val="superscript"/>
          <w:lang w:val="en-US"/>
        </w:rPr>
        <w:t>[</w:t>
      </w:r>
      <w:proofErr w:type="gramEnd"/>
      <w:r w:rsidRPr="00E173FE">
        <w:rPr>
          <w:rFonts w:cs="Arial"/>
          <w:vertAlign w:val="superscript"/>
          <w:lang w:val="en-US"/>
        </w:rPr>
        <w:t>3]</w:t>
      </w:r>
      <w:r w:rsidRPr="00E173FE">
        <w:rPr>
          <w:rFonts w:cs="Arial"/>
          <w:lang w:val="en-US"/>
        </w:rPr>
        <w:t xml:space="preserve">. </w:t>
      </w:r>
      <w:r w:rsidR="00156F78" w:rsidRPr="00E173FE">
        <w:rPr>
          <w:rFonts w:cs="Arial"/>
          <w:lang w:val="en-US"/>
        </w:rPr>
        <w:t>According to GLOBOCAN data, 694</w:t>
      </w:r>
      <w:r w:rsidRPr="00E173FE">
        <w:rPr>
          <w:rFonts w:cs="Arial"/>
          <w:lang w:val="en-US"/>
        </w:rPr>
        <w:t xml:space="preserve">000 individuals died in 2012 from </w:t>
      </w:r>
      <w:r w:rsidR="00156F78" w:rsidRPr="00E173FE">
        <w:rPr>
          <w:rFonts w:cs="Arial"/>
          <w:lang w:val="en-US"/>
        </w:rPr>
        <w:t>CRC worldwide (374</w:t>
      </w:r>
      <w:r w:rsidRPr="00E173FE">
        <w:rPr>
          <w:rFonts w:cs="Arial"/>
          <w:lang w:val="en-US"/>
        </w:rPr>
        <w:t>000 men and</w:t>
      </w:r>
      <w:r w:rsidR="00156F78" w:rsidRPr="00E173FE">
        <w:rPr>
          <w:rFonts w:cs="Arial"/>
          <w:lang w:val="en-US"/>
        </w:rPr>
        <w:t xml:space="preserve"> 320</w:t>
      </w:r>
      <w:r w:rsidRPr="00E173FE">
        <w:rPr>
          <w:rFonts w:cs="Arial"/>
          <w:lang w:val="en-US"/>
        </w:rPr>
        <w:t xml:space="preserve">000 women). Mortality rates show less variability than incidence rates; the highest estimated CRC-related mortality rates in both sexes were found in Central and Eastern Europe, and the lowest were found in Western </w:t>
      </w:r>
      <w:proofErr w:type="gramStart"/>
      <w:r w:rsidRPr="00E173FE">
        <w:rPr>
          <w:rFonts w:cs="Arial"/>
          <w:lang w:val="en-US"/>
        </w:rPr>
        <w:t>Africa</w:t>
      </w:r>
      <w:r w:rsidRPr="00E173FE">
        <w:rPr>
          <w:rFonts w:cs="Arial"/>
          <w:vertAlign w:val="superscript"/>
          <w:lang w:val="en-US"/>
        </w:rPr>
        <w:t>[</w:t>
      </w:r>
      <w:proofErr w:type="gramEnd"/>
      <w:r w:rsidRPr="00E173FE">
        <w:rPr>
          <w:rFonts w:cs="Arial"/>
          <w:vertAlign w:val="superscript"/>
          <w:lang w:val="en-US"/>
        </w:rPr>
        <w:t>1]</w:t>
      </w:r>
      <w:r w:rsidRPr="00E173FE">
        <w:rPr>
          <w:rFonts w:cs="Arial"/>
          <w:lang w:val="en-US"/>
        </w:rPr>
        <w:t>.</w:t>
      </w:r>
    </w:p>
    <w:p w:rsidR="00A464B6" w:rsidRPr="00E173FE" w:rsidRDefault="00A464B6" w:rsidP="00D077F2">
      <w:pPr>
        <w:spacing w:after="0"/>
        <w:ind w:firstLineChars="100" w:firstLine="240"/>
        <w:rPr>
          <w:lang w:val="en-US"/>
        </w:rPr>
      </w:pPr>
      <w:r w:rsidRPr="00E173FE">
        <w:rPr>
          <w:lang w:val="en-US"/>
        </w:rPr>
        <w:t xml:space="preserve">In Europe, there are huge variations in the </w:t>
      </w:r>
      <w:proofErr w:type="spellStart"/>
      <w:r w:rsidRPr="00E173FE">
        <w:rPr>
          <w:lang w:val="en-US"/>
        </w:rPr>
        <w:t>ASRis</w:t>
      </w:r>
      <w:proofErr w:type="spellEnd"/>
      <w:r w:rsidRPr="00E173FE">
        <w:rPr>
          <w:lang w:val="en-US"/>
        </w:rPr>
        <w:t xml:space="preserve"> of CRC; the lowest incidences were observed among men and women in Bosnia Herzegovina (30 per 100000 and 19 per 100000, respectively) and in Albania (13 and 11 per 100000 respectively). Among men, the highest incidences were observed in </w:t>
      </w:r>
      <w:smartTag w:uri="urn:schemas-microsoft-com:office:smarttags" w:element="country-region">
        <w:r w:rsidRPr="00E173FE">
          <w:rPr>
            <w:lang w:val="en-US"/>
          </w:rPr>
          <w:t>Slovakia</w:t>
        </w:r>
      </w:smartTag>
      <w:r w:rsidRPr="00E173FE">
        <w:rPr>
          <w:lang w:val="en-US"/>
        </w:rPr>
        <w:t xml:space="preserve">, </w:t>
      </w:r>
      <w:smartTag w:uri="urn:schemas-microsoft-com:office:smarttags" w:element="country-region">
        <w:r w:rsidRPr="00E173FE">
          <w:rPr>
            <w:lang w:val="en-US"/>
          </w:rPr>
          <w:t>Hungary</w:t>
        </w:r>
      </w:smartTag>
      <w:r w:rsidRPr="00E173FE">
        <w:rPr>
          <w:lang w:val="en-US"/>
        </w:rPr>
        <w:t xml:space="preserve">, and the </w:t>
      </w:r>
      <w:smartTag w:uri="urn:schemas-microsoft-com:office:smarttags" w:element="place">
        <w:smartTag w:uri="urn:schemas-microsoft-com:office:smarttags" w:element="PlaceName">
          <w:r w:rsidRPr="00E173FE">
            <w:rPr>
              <w:lang w:val="en-US"/>
            </w:rPr>
            <w:t>Czech</w:t>
          </w:r>
        </w:smartTag>
        <w:r w:rsidRPr="00E173FE">
          <w:rPr>
            <w:lang w:val="en-US"/>
          </w:rPr>
          <w:t xml:space="preserve"> </w:t>
        </w:r>
        <w:smartTag w:uri="urn:schemas-microsoft-com:office:smarttags" w:element="PlaceType">
          <w:r w:rsidRPr="00E173FE">
            <w:rPr>
              <w:lang w:val="en-US"/>
            </w:rPr>
            <w:t>Republic</w:t>
          </w:r>
        </w:smartTag>
      </w:smartTag>
      <w:r w:rsidRPr="00E173FE">
        <w:rPr>
          <w:lang w:val="en-US"/>
        </w:rPr>
        <w:t xml:space="preserve">. Among women, the highest incidences were found in </w:t>
      </w:r>
      <w:smartTag w:uri="urn:schemas-microsoft-com:office:smarttags" w:element="country-region">
        <w:r w:rsidRPr="00E173FE">
          <w:rPr>
            <w:lang w:val="en-US"/>
          </w:rPr>
          <w:t>Norway</w:t>
        </w:r>
      </w:smartTag>
      <w:r w:rsidRPr="00E173FE">
        <w:rPr>
          <w:lang w:val="en-US"/>
        </w:rPr>
        <w:t xml:space="preserve">, </w:t>
      </w:r>
      <w:smartTag w:uri="urn:schemas-microsoft-com:office:smarttags" w:element="country-region">
        <w:r w:rsidRPr="00E173FE">
          <w:rPr>
            <w:lang w:val="en-US"/>
          </w:rPr>
          <w:t>Denmark</w:t>
        </w:r>
      </w:smartTag>
      <w:r w:rsidRPr="00E173FE">
        <w:rPr>
          <w:lang w:val="en-US"/>
        </w:rPr>
        <w:t xml:space="preserve">, and </w:t>
      </w:r>
      <w:proofErr w:type="gramStart"/>
      <w:r w:rsidRPr="00E173FE">
        <w:rPr>
          <w:lang w:val="en-US"/>
        </w:rPr>
        <w:t>Holland</w:t>
      </w:r>
      <w:r w:rsidRPr="00E173FE">
        <w:rPr>
          <w:rFonts w:cs="Arial"/>
          <w:vertAlign w:val="superscript"/>
          <w:lang w:val="en-US"/>
        </w:rPr>
        <w:t>[</w:t>
      </w:r>
      <w:proofErr w:type="gramEnd"/>
      <w:r w:rsidRPr="00E173FE">
        <w:rPr>
          <w:vertAlign w:val="superscript"/>
          <w:lang w:val="en-US"/>
        </w:rPr>
        <w:t>1</w:t>
      </w:r>
      <w:r w:rsidRPr="00E173FE">
        <w:rPr>
          <w:rFonts w:cs="Arial"/>
          <w:vertAlign w:val="superscript"/>
          <w:lang w:val="en-US"/>
        </w:rPr>
        <w:t>]</w:t>
      </w:r>
      <w:r w:rsidRPr="00E173FE">
        <w:rPr>
          <w:lang w:val="en-US"/>
        </w:rPr>
        <w:t>. Although mortality rates are generally geographically similar to incidence rates, mortality is sometimes high in countries with relatively low incidence rates (</w:t>
      </w:r>
      <w:smartTag w:uri="urn:schemas-microsoft-com:office:smarttags" w:element="country-region">
        <w:r w:rsidRPr="00E173FE">
          <w:rPr>
            <w:lang w:val="en-US"/>
          </w:rPr>
          <w:t>Moldavia</w:t>
        </w:r>
      </w:smartTag>
      <w:r w:rsidRPr="00E173FE">
        <w:rPr>
          <w:lang w:val="en-US"/>
        </w:rPr>
        <w:t xml:space="preserve">, </w:t>
      </w:r>
      <w:smartTag w:uri="urn:schemas-microsoft-com:office:smarttags" w:element="country-region">
        <w:r w:rsidRPr="00E173FE">
          <w:rPr>
            <w:lang w:val="en-US"/>
          </w:rPr>
          <w:t>Russia</w:t>
        </w:r>
      </w:smartTag>
      <w:r w:rsidRPr="00E173FE">
        <w:rPr>
          <w:lang w:val="en-US"/>
        </w:rPr>
        <w:t xml:space="preserve">, </w:t>
      </w:r>
      <w:smartTag w:uri="urn:schemas-microsoft-com:office:smarttags" w:element="country-region">
        <w:r w:rsidRPr="00E173FE">
          <w:rPr>
            <w:lang w:val="en-US"/>
          </w:rPr>
          <w:t>Montenegro</w:t>
        </w:r>
      </w:smartTag>
      <w:r w:rsidRPr="00E173FE">
        <w:rPr>
          <w:lang w:val="en-US"/>
        </w:rPr>
        <w:t xml:space="preserve">, </w:t>
      </w:r>
      <w:smartTag w:uri="urn:schemas-microsoft-com:office:smarttags" w:element="country-region">
        <w:r w:rsidRPr="00E173FE">
          <w:rPr>
            <w:lang w:val="en-US"/>
          </w:rPr>
          <w:t>Poland</w:t>
        </w:r>
      </w:smartTag>
      <w:r w:rsidRPr="00E173FE">
        <w:rPr>
          <w:lang w:val="en-US"/>
        </w:rPr>
        <w:t xml:space="preserve">, and </w:t>
      </w:r>
      <w:smartTag w:uri="urn:schemas-microsoft-com:office:smarttags" w:element="place">
        <w:smartTag w:uri="urn:schemas-microsoft-com:office:smarttags" w:element="country-region">
          <w:r w:rsidRPr="00E173FE">
            <w:rPr>
              <w:lang w:val="en-US"/>
            </w:rPr>
            <w:t>Lithuania</w:t>
          </w:r>
        </w:smartTag>
      </w:smartTag>
      <w:r w:rsidRPr="00E173FE">
        <w:rPr>
          <w:lang w:val="en-US"/>
        </w:rPr>
        <w:t>)</w:t>
      </w:r>
      <w:r w:rsidRPr="00E173FE">
        <w:rPr>
          <w:rFonts w:cs="Arial"/>
          <w:vertAlign w:val="superscript"/>
          <w:lang w:val="en-US"/>
        </w:rPr>
        <w:t xml:space="preserve"> [</w:t>
      </w:r>
      <w:r w:rsidRPr="00E173FE">
        <w:rPr>
          <w:vertAlign w:val="superscript"/>
          <w:lang w:val="en-US"/>
        </w:rPr>
        <w:t>4</w:t>
      </w:r>
      <w:r w:rsidRPr="00E173FE">
        <w:rPr>
          <w:rFonts w:cs="Arial"/>
          <w:vertAlign w:val="superscript"/>
          <w:lang w:val="en-US"/>
        </w:rPr>
        <w:t>]</w:t>
      </w:r>
      <w:r w:rsidRPr="00E173FE">
        <w:rPr>
          <w:lang w:val="en-US"/>
        </w:rPr>
        <w:t xml:space="preserve">. </w:t>
      </w:r>
      <w:r w:rsidRPr="00E173FE">
        <w:rPr>
          <w:lang w:val="en-GB"/>
        </w:rPr>
        <w:t xml:space="preserve">In North America, the </w:t>
      </w:r>
      <w:proofErr w:type="spellStart"/>
      <w:r w:rsidRPr="00E173FE">
        <w:rPr>
          <w:lang w:val="en-GB"/>
        </w:rPr>
        <w:t>ASRi</w:t>
      </w:r>
      <w:proofErr w:type="spellEnd"/>
      <w:r w:rsidRPr="00E173FE">
        <w:rPr>
          <w:lang w:val="en-GB"/>
        </w:rPr>
        <w:t xml:space="preserve"> of CRC was estimated to be</w:t>
      </w:r>
      <w:r w:rsidR="00E173FE" w:rsidRPr="00E173FE">
        <w:rPr>
          <w:lang w:val="en-GB"/>
        </w:rPr>
        <w:t xml:space="preserve"> 26.1 per 100</w:t>
      </w:r>
      <w:r w:rsidRPr="00E173FE">
        <w:rPr>
          <w:lang w:val="en-GB"/>
        </w:rPr>
        <w:t xml:space="preserve">000. </w:t>
      </w:r>
      <w:r w:rsidRPr="00E173FE">
        <w:rPr>
          <w:lang w:val="en-US"/>
        </w:rPr>
        <w:t xml:space="preserve">In 2016, the American Cancer Society </w:t>
      </w:r>
      <w:r w:rsidR="00156F78" w:rsidRPr="00E173FE">
        <w:rPr>
          <w:lang w:val="en-US"/>
        </w:rPr>
        <w:lastRenderedPageBreak/>
        <w:t>estimated that 134</w:t>
      </w:r>
      <w:r w:rsidRPr="00E173FE">
        <w:rPr>
          <w:lang w:val="en-US"/>
        </w:rPr>
        <w:t>490 new CRC cases would be diagnosed in individuals of both sexes,</w:t>
      </w:r>
      <w:r w:rsidR="00156F78" w:rsidRPr="00E173FE">
        <w:rPr>
          <w:lang w:val="en-US"/>
        </w:rPr>
        <w:t xml:space="preserve"> and that 49</w:t>
      </w:r>
      <w:r w:rsidRPr="00E173FE">
        <w:rPr>
          <w:lang w:val="en-US"/>
        </w:rPr>
        <w:t xml:space="preserve">190 individuals would die from CRC in the </w:t>
      </w:r>
      <w:r w:rsidR="00156F78" w:rsidRPr="00E173FE">
        <w:rPr>
          <w:lang w:val="en-US"/>
        </w:rPr>
        <w:t xml:space="preserve">United </w:t>
      </w:r>
      <w:proofErr w:type="gramStart"/>
      <w:r w:rsidR="00156F78" w:rsidRPr="00E173FE">
        <w:rPr>
          <w:lang w:val="en-US"/>
        </w:rPr>
        <w:t>States</w:t>
      </w:r>
      <w:r w:rsidRPr="00E173FE">
        <w:rPr>
          <w:rFonts w:cs="Arial"/>
          <w:vertAlign w:val="superscript"/>
          <w:lang w:val="en-US"/>
        </w:rPr>
        <w:t>[</w:t>
      </w:r>
      <w:proofErr w:type="gramEnd"/>
      <w:r w:rsidRPr="00E173FE">
        <w:rPr>
          <w:vertAlign w:val="superscript"/>
          <w:lang w:val="en-US"/>
        </w:rPr>
        <w:t>5</w:t>
      </w:r>
      <w:r w:rsidRPr="00E173FE">
        <w:rPr>
          <w:rFonts w:cs="Arial"/>
          <w:vertAlign w:val="superscript"/>
          <w:lang w:val="en-US"/>
        </w:rPr>
        <w:t>]</w:t>
      </w:r>
      <w:r w:rsidRPr="00E173FE">
        <w:rPr>
          <w:lang w:val="en-US"/>
        </w:rPr>
        <w:t>. In the Eastern Mediterranean region, the highest CRC incidence was found in Israel</w:t>
      </w:r>
      <w:r w:rsidR="00156F78" w:rsidRPr="00E173FE">
        <w:rPr>
          <w:lang w:val="en-US"/>
        </w:rPr>
        <w:t xml:space="preserve"> (36 per 100</w:t>
      </w:r>
      <w:r w:rsidRPr="00E173FE">
        <w:rPr>
          <w:lang w:val="en-US"/>
        </w:rPr>
        <w:t>000), followed by Jordan an</w:t>
      </w:r>
      <w:r w:rsidR="00156F78" w:rsidRPr="00E173FE">
        <w:rPr>
          <w:lang w:val="en-US"/>
        </w:rPr>
        <w:t>d Kazakhstan (26 and 23 per 100</w:t>
      </w:r>
      <w:r w:rsidRPr="00E173FE">
        <w:rPr>
          <w:lang w:val="en-US"/>
        </w:rPr>
        <w:t xml:space="preserve">000, respectively). The highest mortality rates were found in </w:t>
      </w:r>
      <w:smartTag w:uri="urn:schemas-microsoft-com:office:smarttags" w:element="country-region">
        <w:r w:rsidRPr="00E173FE">
          <w:rPr>
            <w:lang w:val="en-US"/>
          </w:rPr>
          <w:t>Jordan</w:t>
        </w:r>
      </w:smartTag>
      <w:r w:rsidRPr="00E173FE">
        <w:rPr>
          <w:lang w:val="en-US"/>
        </w:rPr>
        <w:t xml:space="preserve">, followed by </w:t>
      </w:r>
      <w:smartTag w:uri="urn:schemas-microsoft-com:office:smarttags" w:element="country-region">
        <w:r w:rsidRPr="00E173FE">
          <w:rPr>
            <w:lang w:val="en-US"/>
          </w:rPr>
          <w:t>Kazakhstan</w:t>
        </w:r>
      </w:smartTag>
      <w:r w:rsidRPr="00E173FE">
        <w:rPr>
          <w:lang w:val="en-US"/>
        </w:rPr>
        <w:t xml:space="preserve">, </w:t>
      </w:r>
      <w:smartTag w:uri="urn:schemas-microsoft-com:office:smarttags" w:element="country-region">
        <w:r w:rsidRPr="00E173FE">
          <w:rPr>
            <w:lang w:val="en-US"/>
          </w:rPr>
          <w:t>Armenia</w:t>
        </w:r>
      </w:smartTag>
      <w:r w:rsidRPr="00E173FE">
        <w:rPr>
          <w:lang w:val="en-US"/>
        </w:rPr>
        <w:t xml:space="preserve">, and </w:t>
      </w:r>
      <w:smartTag w:uri="urn:schemas-microsoft-com:office:smarttags" w:element="place">
        <w:smartTag w:uri="urn:schemas-microsoft-com:office:smarttags" w:element="country-region">
          <w:r w:rsidRPr="00E173FE">
            <w:rPr>
              <w:lang w:val="en-US"/>
            </w:rPr>
            <w:t>Israel</w:t>
          </w:r>
        </w:smartTag>
      </w:smartTag>
      <w:r w:rsidRPr="00E173FE">
        <w:rPr>
          <w:lang w:val="en-US"/>
        </w:rPr>
        <w:t xml:space="preserve">. </w:t>
      </w:r>
      <w:r w:rsidRPr="00E173FE">
        <w:rPr>
          <w:rFonts w:cs="Calibri"/>
          <w:color w:val="212121"/>
          <w:lang w:val="en-US"/>
        </w:rPr>
        <w:t>In the Asian Pacific region, the incidence of CRC varies among regions. The highest incidence was reported in South Korea (</w:t>
      </w:r>
      <w:proofErr w:type="spellStart"/>
      <w:r w:rsidRPr="00E173FE">
        <w:rPr>
          <w:rFonts w:cs="Calibri"/>
          <w:color w:val="212121"/>
          <w:lang w:val="en-US"/>
        </w:rPr>
        <w:t>ASRi</w:t>
      </w:r>
      <w:proofErr w:type="spellEnd"/>
      <w:r w:rsidRPr="00E173FE">
        <w:rPr>
          <w:rFonts w:cs="Calibri"/>
          <w:color w:val="212121"/>
          <w:lang w:val="en-US"/>
        </w:rPr>
        <w:t>:</w:t>
      </w:r>
      <w:r w:rsidR="00156F78" w:rsidRPr="00E173FE">
        <w:rPr>
          <w:rFonts w:cs="Calibri"/>
          <w:color w:val="212121"/>
          <w:lang w:val="en-US"/>
        </w:rPr>
        <w:t xml:space="preserve"> 45 per 100</w:t>
      </w:r>
      <w:r w:rsidRPr="00E173FE">
        <w:rPr>
          <w:rFonts w:cs="Calibri"/>
          <w:color w:val="212121"/>
          <w:lang w:val="en-US"/>
        </w:rPr>
        <w:t>000). Singapore and Japan also had high incidence rates (</w:t>
      </w:r>
      <w:proofErr w:type="spellStart"/>
      <w:r w:rsidRPr="00E173FE">
        <w:rPr>
          <w:rFonts w:cs="Calibri"/>
          <w:color w:val="212121"/>
          <w:lang w:val="en-US"/>
        </w:rPr>
        <w:t>ASRis</w:t>
      </w:r>
      <w:proofErr w:type="spellEnd"/>
      <w:r w:rsidRPr="00E173FE">
        <w:rPr>
          <w:rFonts w:cs="Calibri"/>
          <w:color w:val="212121"/>
          <w:lang w:val="en-US"/>
        </w:rPr>
        <w:t>:</w:t>
      </w:r>
      <w:r w:rsidR="00156F78" w:rsidRPr="00E173FE">
        <w:rPr>
          <w:rFonts w:cs="Calibri"/>
          <w:color w:val="212121"/>
          <w:lang w:val="en-US"/>
        </w:rPr>
        <w:t xml:space="preserve"> 34 and 32 per 100</w:t>
      </w:r>
      <w:r w:rsidRPr="00E173FE">
        <w:rPr>
          <w:rFonts w:cs="Calibri"/>
          <w:color w:val="212121"/>
          <w:lang w:val="en-US"/>
        </w:rPr>
        <w:t xml:space="preserve">000, respectively). Compared to those regions, other countries, like India, have much lower </w:t>
      </w:r>
      <w:proofErr w:type="spellStart"/>
      <w:r w:rsidRPr="00E173FE">
        <w:rPr>
          <w:rFonts w:cs="Calibri"/>
          <w:color w:val="212121"/>
          <w:lang w:val="en-US"/>
        </w:rPr>
        <w:t>ASRis</w:t>
      </w:r>
      <w:proofErr w:type="spellEnd"/>
      <w:r w:rsidRPr="00E173FE">
        <w:rPr>
          <w:rFonts w:cs="Calibri"/>
          <w:color w:val="212121"/>
          <w:lang w:val="en-US"/>
        </w:rPr>
        <w:t xml:space="preserve"> </w:t>
      </w:r>
      <w:r w:rsidR="00156F78" w:rsidRPr="00E173FE">
        <w:rPr>
          <w:rFonts w:cs="Calibri"/>
          <w:color w:val="212121"/>
          <w:lang w:val="en-US"/>
        </w:rPr>
        <w:t>(6 per 100</w:t>
      </w:r>
      <w:r w:rsidRPr="00E173FE">
        <w:rPr>
          <w:rFonts w:cs="Calibri"/>
          <w:color w:val="212121"/>
          <w:lang w:val="en-US"/>
        </w:rPr>
        <w:t>000) and age-standardized mortality rates (</w:t>
      </w:r>
      <w:proofErr w:type="spellStart"/>
      <w:r w:rsidRPr="00E173FE">
        <w:rPr>
          <w:rFonts w:cs="Calibri"/>
          <w:color w:val="212121"/>
          <w:lang w:val="en-US"/>
        </w:rPr>
        <w:t>ASRm</w:t>
      </w:r>
      <w:proofErr w:type="spellEnd"/>
      <w:r w:rsidRPr="00E173FE">
        <w:rPr>
          <w:rFonts w:cs="Calibri"/>
          <w:color w:val="212121"/>
          <w:lang w:val="en-US"/>
        </w:rPr>
        <w:t>:</w:t>
      </w:r>
      <w:r w:rsidR="00156F78" w:rsidRPr="00E173FE">
        <w:rPr>
          <w:rFonts w:cs="Calibri"/>
          <w:color w:val="212121"/>
          <w:lang w:val="en-US"/>
        </w:rPr>
        <w:t xml:space="preserve"> 5 per 100</w:t>
      </w:r>
      <w:r w:rsidRPr="00E173FE">
        <w:rPr>
          <w:rFonts w:cs="Calibri"/>
          <w:color w:val="212121"/>
          <w:lang w:val="en-US"/>
        </w:rPr>
        <w:t>000</w:t>
      </w:r>
      <w:proofErr w:type="gramStart"/>
      <w:r w:rsidRPr="00E173FE">
        <w:rPr>
          <w:rFonts w:cs="Calibri"/>
          <w:color w:val="212121"/>
          <w:lang w:val="en-US"/>
        </w:rPr>
        <w:t>)</w:t>
      </w:r>
      <w:r w:rsidRPr="00E173FE">
        <w:rPr>
          <w:rFonts w:cs="Arial"/>
          <w:vertAlign w:val="superscript"/>
          <w:lang w:val="en-US"/>
        </w:rPr>
        <w:t>[</w:t>
      </w:r>
      <w:proofErr w:type="gramEnd"/>
      <w:r w:rsidRPr="00E173FE">
        <w:rPr>
          <w:vertAlign w:val="superscript"/>
          <w:lang w:val="en-US"/>
        </w:rPr>
        <w:t>4</w:t>
      </w:r>
      <w:r w:rsidRPr="00E173FE">
        <w:rPr>
          <w:rFonts w:cs="Arial"/>
          <w:vertAlign w:val="superscript"/>
          <w:lang w:val="en-US"/>
        </w:rPr>
        <w:t>]</w:t>
      </w:r>
      <w:r w:rsidRPr="00E173FE">
        <w:rPr>
          <w:lang w:val="en-US"/>
        </w:rPr>
        <w:t xml:space="preserve">. </w:t>
      </w:r>
    </w:p>
    <w:p w:rsidR="00A464B6" w:rsidRPr="00E173FE" w:rsidRDefault="00A464B6" w:rsidP="00D077F2">
      <w:pPr>
        <w:spacing w:after="0"/>
        <w:ind w:firstLineChars="100" w:firstLine="240"/>
        <w:rPr>
          <w:rFonts w:cs="Helvetica"/>
          <w:color w:val="262626"/>
          <w:lang w:val="en-US"/>
        </w:rPr>
      </w:pPr>
      <w:r w:rsidRPr="00E173FE">
        <w:rPr>
          <w:rFonts w:cs="Arial"/>
          <w:lang w:val="en-US"/>
        </w:rPr>
        <w:t xml:space="preserve">CRC qualifies for screening according to the </w:t>
      </w:r>
      <w:r w:rsidRPr="00E173FE">
        <w:rPr>
          <w:rFonts w:cs="Helvetica"/>
          <w:color w:val="262626"/>
          <w:lang w:val="en-US"/>
        </w:rPr>
        <w:t xml:space="preserve">criteria established by Wilson and </w:t>
      </w:r>
      <w:proofErr w:type="spellStart"/>
      <w:r w:rsidRPr="00E173FE">
        <w:rPr>
          <w:rFonts w:cs="Helvetica"/>
          <w:color w:val="262626"/>
          <w:lang w:val="en-US"/>
        </w:rPr>
        <w:t>Jungner</w:t>
      </w:r>
      <w:proofErr w:type="spellEnd"/>
      <w:r w:rsidRPr="00E173FE">
        <w:rPr>
          <w:rFonts w:cs="Helvetica"/>
          <w:color w:val="262626"/>
          <w:lang w:val="en-US"/>
        </w:rPr>
        <w:t xml:space="preserve"> as the “gold standard of screening assessment</w:t>
      </w:r>
      <w:proofErr w:type="gramStart"/>
      <w:r w:rsidRPr="00E173FE">
        <w:rPr>
          <w:rFonts w:cs="Helvetica"/>
          <w:color w:val="262626"/>
          <w:lang w:val="en-US"/>
        </w:rPr>
        <w:t>”</w:t>
      </w:r>
      <w:r w:rsidRPr="00E173FE">
        <w:rPr>
          <w:rFonts w:cs="Arial"/>
          <w:vertAlign w:val="superscript"/>
          <w:lang w:val="en-US"/>
        </w:rPr>
        <w:t>[</w:t>
      </w:r>
      <w:proofErr w:type="gramEnd"/>
      <w:r w:rsidRPr="00E173FE">
        <w:rPr>
          <w:rFonts w:cs="Arial"/>
          <w:vertAlign w:val="superscript"/>
          <w:lang w:val="en-US"/>
        </w:rPr>
        <w:t>6,7,8]</w:t>
      </w:r>
      <w:r w:rsidRPr="00E173FE">
        <w:rPr>
          <w:rFonts w:cs="Arial"/>
          <w:lang w:val="en-US"/>
        </w:rPr>
        <w:t xml:space="preserve">. The criteria that CRC fulfills include its high incidence rate, its long preclinical phase, its recognizable and tractable precursor, and the correlation between the tumor stage and mortality rate. </w:t>
      </w:r>
      <w:r w:rsidRPr="00E173FE">
        <w:rPr>
          <w:rFonts w:cs="Helvetica"/>
          <w:color w:val="262626"/>
          <w:lang w:val="en-US"/>
        </w:rPr>
        <w:t xml:space="preserve">Although the value of </w:t>
      </w:r>
      <w:r w:rsidRPr="00E173FE">
        <w:rPr>
          <w:rFonts w:cs="Helvetica"/>
          <w:lang w:val="en-US"/>
        </w:rPr>
        <w:t xml:space="preserve">the Wilson and </w:t>
      </w:r>
      <w:proofErr w:type="spellStart"/>
      <w:r w:rsidRPr="00E173FE">
        <w:rPr>
          <w:rFonts w:cs="Helvetica"/>
          <w:lang w:val="en-US"/>
        </w:rPr>
        <w:t>Jungner</w:t>
      </w:r>
      <w:proofErr w:type="spellEnd"/>
      <w:r w:rsidRPr="00E173FE">
        <w:rPr>
          <w:rFonts w:cs="Helvetica"/>
          <w:lang w:val="en-US"/>
        </w:rPr>
        <w:t xml:space="preserve"> criteria remains undisputed to this day, newer policy tools are now available (Table 1).</w:t>
      </w:r>
      <w:r w:rsidRPr="00E173FE">
        <w:rPr>
          <w:rFonts w:cs="Helvetica"/>
          <w:color w:val="262626"/>
          <w:lang w:val="en-US"/>
        </w:rPr>
        <w:t xml:space="preserve"> </w:t>
      </w:r>
    </w:p>
    <w:p w:rsidR="00A464B6" w:rsidRPr="00E173FE" w:rsidRDefault="00A464B6" w:rsidP="00D077F2">
      <w:pPr>
        <w:spacing w:after="0"/>
        <w:ind w:firstLineChars="200" w:firstLine="480"/>
        <w:rPr>
          <w:lang w:val="en-US"/>
        </w:rPr>
      </w:pPr>
      <w:r w:rsidRPr="00E173FE">
        <w:rPr>
          <w:lang w:val="en-US"/>
        </w:rPr>
        <w:t xml:space="preserve">Screening for CRC appears to be cost-effective compared to no </w:t>
      </w:r>
      <w:proofErr w:type="gramStart"/>
      <w:r w:rsidRPr="00E173FE">
        <w:rPr>
          <w:lang w:val="en-US"/>
        </w:rPr>
        <w:t>screening</w:t>
      </w:r>
      <w:r w:rsidRPr="00E173FE">
        <w:rPr>
          <w:rFonts w:cs="Arial"/>
          <w:vertAlign w:val="superscript"/>
          <w:lang w:val="en-US"/>
        </w:rPr>
        <w:t>[</w:t>
      </w:r>
      <w:proofErr w:type="gramEnd"/>
      <w:r w:rsidRPr="00E173FE">
        <w:rPr>
          <w:vertAlign w:val="superscript"/>
          <w:lang w:val="en-US"/>
        </w:rPr>
        <w:t>10</w:t>
      </w:r>
      <w:r w:rsidRPr="00E173FE">
        <w:rPr>
          <w:rFonts w:cs="Arial"/>
          <w:vertAlign w:val="superscript"/>
          <w:lang w:val="en-US"/>
        </w:rPr>
        <w:t>]</w:t>
      </w:r>
      <w:r w:rsidRPr="00E173FE">
        <w:rPr>
          <w:lang w:val="en-US"/>
        </w:rPr>
        <w:t>. However, CRC screening programs must be adapted to the risk of each population. An average-risk population is defined as a population of individuals aged 50 years or older, with no additional risk factors. The recommended screening for the average-risk population is one of the following: an annual or biennial fecal immunochemical test (FIT); sigmoidoscopy every 5 years; or colonoscopy every 10 years. When subgroups are identified and characterized with a higher-than-average incidence of colorectal neoplasia, it is necessary to increase the screening frequency to achieve program cost-</w:t>
      </w:r>
      <w:proofErr w:type="gramStart"/>
      <w:r w:rsidRPr="00E173FE">
        <w:rPr>
          <w:lang w:val="en-US"/>
        </w:rPr>
        <w:t>effectiveness</w:t>
      </w:r>
      <w:r w:rsidRPr="00E173FE">
        <w:rPr>
          <w:rFonts w:cs="Arial"/>
          <w:vertAlign w:val="superscript"/>
          <w:lang w:val="en-US"/>
        </w:rPr>
        <w:t>[</w:t>
      </w:r>
      <w:proofErr w:type="gramEnd"/>
      <w:r w:rsidRPr="00E173FE">
        <w:rPr>
          <w:vertAlign w:val="superscript"/>
          <w:lang w:val="en-US"/>
        </w:rPr>
        <w:t>11</w:t>
      </w:r>
      <w:r w:rsidRPr="00E173FE">
        <w:rPr>
          <w:rFonts w:cs="Arial"/>
          <w:vertAlign w:val="superscript"/>
          <w:lang w:val="en-US"/>
        </w:rPr>
        <w:t>]</w:t>
      </w:r>
      <w:r w:rsidRPr="00E173FE">
        <w:rPr>
          <w:lang w:val="en-US"/>
        </w:rPr>
        <w:t>. Despite recommendations, screening is currently offered to only a small proportion of the population.</w:t>
      </w:r>
    </w:p>
    <w:p w:rsidR="00A464B6" w:rsidRPr="00E173FE" w:rsidRDefault="00A464B6" w:rsidP="00D077F2">
      <w:pPr>
        <w:spacing w:after="0"/>
        <w:ind w:firstLineChars="98" w:firstLine="235"/>
        <w:rPr>
          <w:lang w:val="en-US" w:eastAsia="zh-CN"/>
        </w:rPr>
      </w:pPr>
      <w:r w:rsidRPr="00E173FE">
        <w:rPr>
          <w:lang w:val="en-US"/>
        </w:rPr>
        <w:t xml:space="preserve">In this review, we evaluated the results of 17 screening programs. We obtained </w:t>
      </w:r>
      <w:proofErr w:type="spellStart"/>
      <w:r w:rsidRPr="00E173FE">
        <w:rPr>
          <w:lang w:val="en-US"/>
        </w:rPr>
        <w:t>ASRis</w:t>
      </w:r>
      <w:proofErr w:type="spellEnd"/>
      <w:r w:rsidRPr="00E173FE">
        <w:rPr>
          <w:lang w:val="en-US"/>
        </w:rPr>
        <w:t xml:space="preserve"> and </w:t>
      </w:r>
      <w:proofErr w:type="spellStart"/>
      <w:r w:rsidRPr="00E173FE">
        <w:rPr>
          <w:lang w:val="en-US"/>
        </w:rPr>
        <w:t>ASRms</w:t>
      </w:r>
      <w:proofErr w:type="spellEnd"/>
      <w:r w:rsidRPr="00E173FE">
        <w:rPr>
          <w:lang w:val="en-US"/>
        </w:rPr>
        <w:t xml:space="preserve"> in the different countries reviewed from the website: www.globocan.iarc.fr. A literature search was conducted in PUBMED with the following keywords: Screening, Colorectal Cancer, Bowel cancer, </w:t>
      </w:r>
      <w:r w:rsidRPr="00E173FE">
        <w:rPr>
          <w:lang w:val="en-US"/>
        </w:rPr>
        <w:lastRenderedPageBreak/>
        <w:t xml:space="preserve">guidelines, </w:t>
      </w:r>
      <w:proofErr w:type="spellStart"/>
      <w:r w:rsidRPr="00E173FE">
        <w:rPr>
          <w:lang w:val="en-US"/>
        </w:rPr>
        <w:t>programmes</w:t>
      </w:r>
      <w:proofErr w:type="spellEnd"/>
      <w:r w:rsidRPr="00E173FE">
        <w:rPr>
          <w:lang w:val="en-US"/>
        </w:rPr>
        <w:t xml:space="preserve">, program, results, FIT, guaiac, first round, pilot, rounds, Europe/ United Kingdom/ Ireland/ The Netherlands/ Lithuania/ Italy/ Croatia/ Czech Republic/ Slovenia/ France/ Canada/ California/ USA/ Korea/ Australia/ </w:t>
      </w:r>
      <w:proofErr w:type="spellStart"/>
      <w:r w:rsidRPr="00E173FE">
        <w:rPr>
          <w:lang w:val="en-US"/>
        </w:rPr>
        <w:t>Thailandia</w:t>
      </w:r>
      <w:proofErr w:type="spellEnd"/>
      <w:r w:rsidRPr="00E173FE">
        <w:rPr>
          <w:lang w:val="en-US"/>
        </w:rPr>
        <w:t xml:space="preserve">/ Taiwan/ Chile. CRC screening program characteristics were also collected from national governmental websites. To evaluate and compare screening programs, we used universally applicable CRC screening indicators. </w:t>
      </w:r>
    </w:p>
    <w:p w:rsidR="00156F78" w:rsidRPr="00E173FE" w:rsidRDefault="00156F78" w:rsidP="00D077F2">
      <w:pPr>
        <w:spacing w:after="0"/>
        <w:ind w:firstLineChars="98" w:firstLine="235"/>
        <w:rPr>
          <w:lang w:val="en-US" w:eastAsia="zh-CN"/>
        </w:rPr>
      </w:pPr>
    </w:p>
    <w:p w:rsidR="00A464B6" w:rsidRPr="00E173FE" w:rsidRDefault="00A464B6" w:rsidP="00D077F2">
      <w:pPr>
        <w:pStyle w:val="Head1"/>
        <w:spacing w:before="0" w:after="0"/>
        <w:jc w:val="both"/>
      </w:pPr>
      <w:r w:rsidRPr="00E173FE">
        <w:t>CRC SCREENING TESTS</w:t>
      </w:r>
    </w:p>
    <w:p w:rsidR="00A464B6" w:rsidRPr="00E173FE" w:rsidRDefault="00A464B6" w:rsidP="00D077F2">
      <w:pPr>
        <w:pStyle w:val="head2"/>
        <w:spacing w:after="0"/>
        <w:rPr>
          <w:i/>
          <w:u w:val="none"/>
        </w:rPr>
      </w:pPr>
      <w:r w:rsidRPr="00E173FE">
        <w:rPr>
          <w:i/>
          <w:u w:val="none"/>
        </w:rPr>
        <w:t>Stool tests</w:t>
      </w:r>
    </w:p>
    <w:p w:rsidR="00A464B6" w:rsidRPr="00E173FE" w:rsidRDefault="00A464B6" w:rsidP="00D077F2">
      <w:pPr>
        <w:spacing w:after="0"/>
        <w:rPr>
          <w:b/>
          <w:lang w:val="en-US"/>
        </w:rPr>
      </w:pPr>
      <w:r w:rsidRPr="00E173FE">
        <w:rPr>
          <w:lang w:val="en-US"/>
        </w:rPr>
        <w:t xml:space="preserve">It has been established that CRC mortality could be reduced by screening with periodic fecal occult blood tests (FOBTs), followed by colonoscopy when the results were positive. A systematic review published in 2008, which included 4 clinical controlled trials involving over 300000 participants, found that </w:t>
      </w:r>
      <w:r w:rsidRPr="00E173FE">
        <w:rPr>
          <w:rFonts w:cs="Calibri"/>
          <w:color w:val="000000"/>
          <w:shd w:val="clear" w:color="auto" w:fill="FFFFFF"/>
          <w:lang w:val="en-US"/>
        </w:rPr>
        <w:t xml:space="preserve">screening with FOBT reduced the relative risk (RR) of CRC mortality by 16%, without adjustment, and by 25% after adjusting for screening </w:t>
      </w:r>
      <w:proofErr w:type="gramStart"/>
      <w:r w:rsidRPr="00E173FE">
        <w:rPr>
          <w:rFonts w:cs="Calibri"/>
          <w:color w:val="000000"/>
          <w:shd w:val="clear" w:color="auto" w:fill="FFFFFF"/>
          <w:lang w:val="en-US"/>
        </w:rPr>
        <w:t>attendance</w:t>
      </w:r>
      <w:r w:rsidRPr="00E173FE">
        <w:rPr>
          <w:rFonts w:cs="Arial"/>
          <w:vertAlign w:val="superscript"/>
          <w:lang w:val="en-US"/>
        </w:rPr>
        <w:t>[</w:t>
      </w:r>
      <w:proofErr w:type="gramEnd"/>
      <w:r w:rsidRPr="00E173FE">
        <w:rPr>
          <w:vertAlign w:val="superscript"/>
          <w:lang w:val="en-US"/>
        </w:rPr>
        <w:t>12</w:t>
      </w:r>
      <w:r w:rsidRPr="00E173FE">
        <w:rPr>
          <w:rFonts w:cs="Arial"/>
          <w:vertAlign w:val="superscript"/>
          <w:lang w:val="en-US"/>
        </w:rPr>
        <w:t>]</w:t>
      </w:r>
      <w:r w:rsidRPr="00E173FE">
        <w:rPr>
          <w:rFonts w:cs="Calibri"/>
          <w:color w:val="000000"/>
          <w:shd w:val="clear" w:color="auto" w:fill="FFFFFF"/>
          <w:lang w:val="en-US"/>
        </w:rPr>
        <w:t xml:space="preserve">. The follow-up of those patients showed that the effect of screening was reduced CRC-mortality, and this effect persisted for over 30 </w:t>
      </w:r>
      <w:proofErr w:type="gramStart"/>
      <w:r w:rsidRPr="00E173FE">
        <w:rPr>
          <w:rFonts w:cs="Calibri"/>
          <w:color w:val="000000"/>
          <w:shd w:val="clear" w:color="auto" w:fill="FFFFFF"/>
          <w:lang w:val="en-US"/>
        </w:rPr>
        <w:t>years</w:t>
      </w:r>
      <w:r w:rsidRPr="00E173FE">
        <w:rPr>
          <w:rFonts w:cs="Arial"/>
          <w:vertAlign w:val="superscript"/>
          <w:lang w:val="en-US"/>
        </w:rPr>
        <w:t>[</w:t>
      </w:r>
      <w:proofErr w:type="gramEnd"/>
      <w:r w:rsidRPr="00E173FE">
        <w:rPr>
          <w:vertAlign w:val="superscript"/>
          <w:lang w:val="en-US"/>
        </w:rPr>
        <w:t>13</w:t>
      </w:r>
      <w:r w:rsidRPr="00E173FE">
        <w:rPr>
          <w:rFonts w:cs="Arial"/>
          <w:vertAlign w:val="superscript"/>
          <w:lang w:val="en-US"/>
        </w:rPr>
        <w:t>]</w:t>
      </w:r>
      <w:r w:rsidRPr="00E173FE">
        <w:rPr>
          <w:rFonts w:cs="Calibri"/>
          <w:color w:val="000000"/>
          <w:shd w:val="clear" w:color="auto" w:fill="FFFFFF"/>
          <w:lang w:val="en-US"/>
        </w:rPr>
        <w:t xml:space="preserve">. A reduction in the RR of CRC incidence was also detected in follow-up, mainly due to the removal of adenomatous polyps. This effect was greater among individuals that received annual screenings (20% RR) than among those that received biennial (17%) </w:t>
      </w:r>
      <w:proofErr w:type="gramStart"/>
      <w:r w:rsidRPr="00E173FE">
        <w:rPr>
          <w:rFonts w:cs="Calibri"/>
          <w:color w:val="000000"/>
          <w:shd w:val="clear" w:color="auto" w:fill="FFFFFF"/>
          <w:lang w:val="en-US"/>
        </w:rPr>
        <w:t>screenings</w:t>
      </w:r>
      <w:r w:rsidRPr="00E173FE">
        <w:rPr>
          <w:rFonts w:cs="Arial"/>
          <w:vertAlign w:val="superscript"/>
          <w:lang w:val="en-US"/>
        </w:rPr>
        <w:t>[</w:t>
      </w:r>
      <w:proofErr w:type="gramEnd"/>
      <w:r w:rsidRPr="00E173FE">
        <w:rPr>
          <w:vertAlign w:val="superscript"/>
          <w:lang w:val="en-US"/>
        </w:rPr>
        <w:t>14</w:t>
      </w:r>
      <w:r w:rsidRPr="00E173FE">
        <w:rPr>
          <w:rFonts w:cs="Arial"/>
          <w:vertAlign w:val="superscript"/>
          <w:lang w:val="en-US"/>
        </w:rPr>
        <w:t>]</w:t>
      </w:r>
      <w:r w:rsidRPr="00E173FE">
        <w:rPr>
          <w:rFonts w:cs="Calibri"/>
          <w:color w:val="000000"/>
          <w:shd w:val="clear" w:color="auto" w:fill="FFFFFF"/>
          <w:lang w:val="en-US"/>
        </w:rPr>
        <w:t>.</w:t>
      </w:r>
    </w:p>
    <w:p w:rsidR="00A464B6" w:rsidRPr="00E173FE" w:rsidRDefault="00A464B6" w:rsidP="00D077F2">
      <w:pPr>
        <w:spacing w:after="0"/>
        <w:ind w:firstLineChars="150" w:firstLine="360"/>
        <w:rPr>
          <w:rFonts w:cs="Calibri"/>
          <w:color w:val="000000"/>
          <w:shd w:val="clear" w:color="auto" w:fill="FFFFFF"/>
          <w:lang w:val="en-US"/>
        </w:rPr>
      </w:pPr>
      <w:r w:rsidRPr="00E173FE">
        <w:rPr>
          <w:rFonts w:cs="Calibri"/>
          <w:color w:val="000000"/>
          <w:shd w:val="clear" w:color="auto" w:fill="FFFFFF"/>
          <w:lang w:val="en-US"/>
        </w:rPr>
        <w:t xml:space="preserve">Currently, there are two different tests available: the FIT and the guaiac fecal occult blood test (G-FOBT). The FIT achieved significantly higher detection rates for advanced adenomas and CRC than the G-FOBT. Although the FIT was more sensitive than the G-FOBT (61% </w:t>
      </w:r>
      <w:r w:rsidRPr="00E173FE">
        <w:rPr>
          <w:rFonts w:cs="Calibri"/>
          <w:i/>
          <w:color w:val="000000"/>
          <w:shd w:val="clear" w:color="auto" w:fill="FFFFFF"/>
          <w:lang w:val="en-US"/>
        </w:rPr>
        <w:t>vs</w:t>
      </w:r>
      <w:r w:rsidR="00156F78" w:rsidRPr="00E173FE">
        <w:rPr>
          <w:rFonts w:cs="Calibri" w:hint="eastAsia"/>
          <w:color w:val="000000"/>
          <w:shd w:val="clear" w:color="auto" w:fill="FFFFFF"/>
          <w:lang w:val="en-US" w:eastAsia="zh-CN"/>
        </w:rPr>
        <w:t xml:space="preserve"> </w:t>
      </w:r>
      <w:r w:rsidRPr="00E173FE">
        <w:rPr>
          <w:rFonts w:cs="Calibri"/>
          <w:color w:val="000000"/>
          <w:shd w:val="clear" w:color="auto" w:fill="FFFFFF"/>
          <w:lang w:val="en-US"/>
        </w:rPr>
        <w:t>23.8%, respectively), its specificity was slightly lower (95.1%</w:t>
      </w:r>
      <w:r w:rsidR="00156F78" w:rsidRPr="00E173FE">
        <w:rPr>
          <w:rFonts w:cs="Calibri"/>
          <w:i/>
          <w:color w:val="000000"/>
          <w:shd w:val="clear" w:color="auto" w:fill="FFFFFF"/>
          <w:lang w:val="en-US"/>
        </w:rPr>
        <w:t xml:space="preserve"> vs</w:t>
      </w:r>
      <w:r w:rsidR="00156F78" w:rsidRPr="00E173FE">
        <w:rPr>
          <w:rFonts w:cs="Calibri" w:hint="eastAsia"/>
          <w:color w:val="000000"/>
          <w:shd w:val="clear" w:color="auto" w:fill="FFFFFF"/>
          <w:lang w:val="en-US" w:eastAsia="zh-CN"/>
        </w:rPr>
        <w:t xml:space="preserve"> </w:t>
      </w:r>
      <w:r w:rsidRPr="00E173FE">
        <w:rPr>
          <w:rFonts w:cs="Calibri"/>
          <w:color w:val="000000"/>
          <w:shd w:val="clear" w:color="auto" w:fill="FFFFFF"/>
          <w:lang w:val="en-US"/>
        </w:rPr>
        <w:t>97.7%, respectively)</w:t>
      </w:r>
      <w:r w:rsidRPr="00E173FE">
        <w:rPr>
          <w:rFonts w:cs="Arial"/>
          <w:vertAlign w:val="superscript"/>
          <w:lang w:val="en-US"/>
        </w:rPr>
        <w:t xml:space="preserve"> [</w:t>
      </w:r>
      <w:r w:rsidRPr="00E173FE">
        <w:rPr>
          <w:vertAlign w:val="superscript"/>
          <w:lang w:val="en-US"/>
        </w:rPr>
        <w:t>15</w:t>
      </w:r>
      <w:proofErr w:type="gramStart"/>
      <w:r w:rsidRPr="00E173FE">
        <w:rPr>
          <w:vertAlign w:val="superscript"/>
          <w:lang w:val="en-US"/>
        </w:rPr>
        <w:t>,16</w:t>
      </w:r>
      <w:proofErr w:type="gramEnd"/>
      <w:r w:rsidRPr="00E173FE">
        <w:rPr>
          <w:rFonts w:cs="Arial"/>
          <w:vertAlign w:val="superscript"/>
          <w:lang w:val="en-US"/>
        </w:rPr>
        <w:t>]</w:t>
      </w:r>
      <w:r w:rsidRPr="00E173FE">
        <w:rPr>
          <w:rFonts w:cs="Calibri"/>
          <w:color w:val="000000"/>
          <w:shd w:val="clear" w:color="auto" w:fill="FFFFFF"/>
          <w:lang w:val="en-US"/>
        </w:rPr>
        <w:t>. Participation rates appeared to be higher in screening programs that used FIT compared to those that used G-</w:t>
      </w:r>
      <w:proofErr w:type="gramStart"/>
      <w:r w:rsidRPr="00E173FE">
        <w:rPr>
          <w:rFonts w:cs="Calibri"/>
          <w:color w:val="000000"/>
          <w:shd w:val="clear" w:color="auto" w:fill="FFFFFF"/>
          <w:lang w:val="en-US"/>
        </w:rPr>
        <w:t>FOBT</w:t>
      </w:r>
      <w:r w:rsidRPr="00E173FE">
        <w:rPr>
          <w:rFonts w:cs="Arial"/>
          <w:vertAlign w:val="superscript"/>
          <w:lang w:val="en-US"/>
        </w:rPr>
        <w:t>[</w:t>
      </w:r>
      <w:proofErr w:type="gramEnd"/>
      <w:r w:rsidRPr="00E173FE">
        <w:rPr>
          <w:vertAlign w:val="superscript"/>
          <w:lang w:val="en-US"/>
        </w:rPr>
        <w:t>15</w:t>
      </w:r>
      <w:r w:rsidRPr="00E173FE">
        <w:rPr>
          <w:rFonts w:cs="Arial"/>
          <w:vertAlign w:val="superscript"/>
          <w:lang w:val="en-US"/>
        </w:rPr>
        <w:t>]</w:t>
      </w:r>
      <w:r w:rsidRPr="00E173FE">
        <w:rPr>
          <w:rFonts w:cs="Calibri"/>
          <w:color w:val="000000"/>
          <w:shd w:val="clear" w:color="auto" w:fill="FFFFFF"/>
          <w:lang w:val="en-US"/>
        </w:rPr>
        <w:t>. This issue is probably related to the facts that FIT does not require dietary restrictions (due to its specificity to human hemoglobin [</w:t>
      </w:r>
      <w:proofErr w:type="spellStart"/>
      <w:r w:rsidRPr="00E173FE">
        <w:rPr>
          <w:rFonts w:cs="Calibri"/>
          <w:color w:val="000000"/>
          <w:shd w:val="clear" w:color="auto" w:fill="FFFFFF"/>
          <w:lang w:val="en-US"/>
        </w:rPr>
        <w:t>Hb</w:t>
      </w:r>
      <w:proofErr w:type="spellEnd"/>
      <w:r w:rsidRPr="00E173FE">
        <w:rPr>
          <w:rFonts w:cs="Calibri"/>
          <w:color w:val="000000"/>
          <w:shd w:val="clear" w:color="auto" w:fill="FFFFFF"/>
          <w:lang w:val="en-US"/>
        </w:rPr>
        <w:t xml:space="preserve">]) and that only one sample is needed in most screening </w:t>
      </w:r>
      <w:proofErr w:type="gramStart"/>
      <w:r w:rsidRPr="00E173FE">
        <w:rPr>
          <w:rFonts w:cs="Calibri"/>
          <w:color w:val="000000"/>
          <w:shd w:val="clear" w:color="auto" w:fill="FFFFFF"/>
          <w:lang w:val="en-US"/>
        </w:rPr>
        <w:t>programs</w:t>
      </w:r>
      <w:r w:rsidRPr="00E173FE">
        <w:rPr>
          <w:rFonts w:cs="Arial"/>
          <w:vertAlign w:val="superscript"/>
          <w:lang w:val="en-US"/>
        </w:rPr>
        <w:t>[</w:t>
      </w:r>
      <w:proofErr w:type="gramEnd"/>
      <w:r w:rsidRPr="00E173FE">
        <w:rPr>
          <w:vertAlign w:val="superscript"/>
          <w:lang w:val="en-US"/>
        </w:rPr>
        <w:t>16</w:t>
      </w:r>
      <w:r w:rsidRPr="00E173FE">
        <w:rPr>
          <w:rFonts w:cs="Arial"/>
          <w:vertAlign w:val="superscript"/>
          <w:lang w:val="en-US"/>
        </w:rPr>
        <w:t>]</w:t>
      </w:r>
      <w:r w:rsidRPr="00E173FE">
        <w:rPr>
          <w:rFonts w:cs="Calibri"/>
          <w:color w:val="000000"/>
          <w:shd w:val="clear" w:color="auto" w:fill="FFFFFF"/>
          <w:lang w:val="en-US"/>
        </w:rPr>
        <w:t xml:space="preserve">. Additionally, FIT offers quantitative results (ng </w:t>
      </w:r>
      <w:proofErr w:type="spellStart"/>
      <w:r w:rsidRPr="00E173FE">
        <w:rPr>
          <w:rFonts w:cs="Calibri"/>
          <w:color w:val="000000"/>
          <w:shd w:val="clear" w:color="auto" w:fill="FFFFFF"/>
          <w:lang w:val="en-US"/>
        </w:rPr>
        <w:t>Hb</w:t>
      </w:r>
      <w:proofErr w:type="spellEnd"/>
      <w:r w:rsidRPr="00E173FE">
        <w:rPr>
          <w:rFonts w:cs="Calibri"/>
          <w:color w:val="000000"/>
          <w:shd w:val="clear" w:color="auto" w:fill="FFFFFF"/>
          <w:lang w:val="en-US"/>
        </w:rPr>
        <w:t xml:space="preserve"> per ml buffer or </w:t>
      </w:r>
      <w:r w:rsidRPr="00E173FE">
        <w:rPr>
          <w:rFonts w:cs="Calibri"/>
          <w:color w:val="000000"/>
          <w:szCs w:val="24"/>
          <w:shd w:val="clear" w:color="auto" w:fill="FFFFFF"/>
          <w:lang w:val="en-US"/>
        </w:rPr>
        <w:sym w:font="Symbol" w:char="F06D"/>
      </w:r>
      <w:r w:rsidRPr="00E173FE">
        <w:rPr>
          <w:rFonts w:cs="Calibri"/>
          <w:color w:val="000000"/>
          <w:shd w:val="clear" w:color="auto" w:fill="FFFFFF"/>
          <w:lang w:val="en-US"/>
        </w:rPr>
        <w:t xml:space="preserve">g </w:t>
      </w:r>
      <w:proofErr w:type="spellStart"/>
      <w:r w:rsidRPr="00E173FE">
        <w:rPr>
          <w:rFonts w:cs="Calibri"/>
          <w:color w:val="000000"/>
          <w:shd w:val="clear" w:color="auto" w:fill="FFFFFF"/>
          <w:lang w:val="en-US"/>
        </w:rPr>
        <w:t>Hb</w:t>
      </w:r>
      <w:proofErr w:type="spellEnd"/>
      <w:r w:rsidRPr="00E173FE">
        <w:rPr>
          <w:rFonts w:cs="Calibri"/>
          <w:color w:val="000000"/>
          <w:shd w:val="clear" w:color="auto" w:fill="FFFFFF"/>
          <w:lang w:val="en-US"/>
        </w:rPr>
        <w:t xml:space="preserve"> per g feces) and an </w:t>
      </w:r>
      <w:r w:rsidRPr="00E173FE">
        <w:rPr>
          <w:rFonts w:cs="Calibri"/>
          <w:color w:val="000000"/>
          <w:shd w:val="clear" w:color="auto" w:fill="FFFFFF"/>
          <w:lang w:val="en-US"/>
        </w:rPr>
        <w:lastRenderedPageBreak/>
        <w:t xml:space="preserve">automated reading of the results. The cut-off value for the amount of </w:t>
      </w:r>
      <w:proofErr w:type="spellStart"/>
      <w:r w:rsidRPr="00E173FE">
        <w:rPr>
          <w:rFonts w:cs="Calibri"/>
          <w:color w:val="000000"/>
          <w:shd w:val="clear" w:color="auto" w:fill="FFFFFF"/>
          <w:lang w:val="en-US"/>
        </w:rPr>
        <w:t>Hb</w:t>
      </w:r>
      <w:proofErr w:type="spellEnd"/>
      <w:r w:rsidRPr="00E173FE">
        <w:rPr>
          <w:rFonts w:cs="Calibri"/>
          <w:color w:val="000000"/>
          <w:shd w:val="clear" w:color="auto" w:fill="FFFFFF"/>
          <w:lang w:val="en-US"/>
        </w:rPr>
        <w:t xml:space="preserve"> detected can be predetermined by the investigator. Several cut-off values have been used with different sensitivity and specificity rates. The investigator can adjust the cut-off value to limit the number of colonoscopies required, and thus, avoid overextending the available endoscopic resources. An optimum cut-off value has not been established; therefore, the choice should be based on the availability of endoscopic resources, the epidemiology of CRC in the study population, and the expected participation in the </w:t>
      </w:r>
      <w:proofErr w:type="gramStart"/>
      <w:r w:rsidRPr="00E173FE">
        <w:rPr>
          <w:rFonts w:cs="Calibri"/>
          <w:color w:val="000000"/>
          <w:shd w:val="clear" w:color="auto" w:fill="FFFFFF"/>
          <w:lang w:val="en-US"/>
        </w:rPr>
        <w:t>program</w:t>
      </w:r>
      <w:r w:rsidRPr="00E173FE">
        <w:rPr>
          <w:rFonts w:cs="Arial"/>
          <w:vertAlign w:val="superscript"/>
          <w:lang w:val="en-US"/>
        </w:rPr>
        <w:t>[</w:t>
      </w:r>
      <w:proofErr w:type="gramEnd"/>
      <w:r w:rsidRPr="00E173FE">
        <w:rPr>
          <w:vertAlign w:val="superscript"/>
          <w:lang w:val="en-US"/>
        </w:rPr>
        <w:t>17</w:t>
      </w:r>
      <w:r w:rsidRPr="00E173FE">
        <w:rPr>
          <w:rFonts w:cs="Arial"/>
          <w:vertAlign w:val="superscript"/>
          <w:lang w:val="en-US"/>
        </w:rPr>
        <w:t>]</w:t>
      </w:r>
      <w:r w:rsidRPr="00E173FE">
        <w:rPr>
          <w:rFonts w:cs="Calibri"/>
          <w:color w:val="000000"/>
          <w:shd w:val="clear" w:color="auto" w:fill="FFFFFF"/>
          <w:lang w:val="en-US"/>
        </w:rPr>
        <w:t xml:space="preserve">. Values between 20 and 30 </w:t>
      </w:r>
      <w:r w:rsidRPr="00E173FE">
        <w:rPr>
          <w:rFonts w:cs="Calibri"/>
          <w:color w:val="000000"/>
          <w:szCs w:val="24"/>
          <w:shd w:val="clear" w:color="auto" w:fill="FFFFFF"/>
          <w:lang w:val="en-US"/>
        </w:rPr>
        <w:sym w:font="Symbol" w:char="F06D"/>
      </w:r>
      <w:r w:rsidRPr="00E173FE">
        <w:rPr>
          <w:rFonts w:cs="Calibri"/>
          <w:color w:val="000000"/>
          <w:shd w:val="clear" w:color="auto" w:fill="FFFFFF"/>
          <w:lang w:val="en-US"/>
        </w:rPr>
        <w:t>g/g are recommended when the Health Care System can accommodate colonoscopies for approximately 5% (expected FIT positivity rate) of the population study (aged 50-74 years)</w:t>
      </w:r>
      <w:r w:rsidRPr="00E173FE">
        <w:rPr>
          <w:rFonts w:cs="Arial"/>
          <w:vertAlign w:val="superscript"/>
          <w:lang w:val="en-US"/>
        </w:rPr>
        <w:t>[</w:t>
      </w:r>
      <w:r w:rsidRPr="00E173FE">
        <w:rPr>
          <w:vertAlign w:val="superscript"/>
          <w:lang w:val="en-US"/>
        </w:rPr>
        <w:t>18</w:t>
      </w:r>
      <w:r w:rsidRPr="00E173FE">
        <w:rPr>
          <w:rFonts w:cs="Arial"/>
          <w:vertAlign w:val="superscript"/>
          <w:lang w:val="en-US"/>
        </w:rPr>
        <w:t>]</w:t>
      </w:r>
      <w:r w:rsidRPr="00E173FE">
        <w:rPr>
          <w:rFonts w:cs="Calibri"/>
          <w:color w:val="000000"/>
          <w:shd w:val="clear" w:color="auto" w:fill="FFFFFF"/>
          <w:lang w:val="en-US"/>
        </w:rPr>
        <w:t xml:space="preserve">. </w:t>
      </w:r>
    </w:p>
    <w:p w:rsidR="00A464B6" w:rsidRPr="00E173FE" w:rsidRDefault="00A464B6" w:rsidP="00D077F2">
      <w:pPr>
        <w:spacing w:after="0"/>
        <w:ind w:firstLineChars="150" w:firstLine="360"/>
        <w:rPr>
          <w:rFonts w:cs="Calibri"/>
          <w:lang w:val="en-US"/>
        </w:rPr>
      </w:pPr>
      <w:r w:rsidRPr="00E173FE">
        <w:rPr>
          <w:rFonts w:cs="Calibri"/>
          <w:color w:val="000000"/>
          <w:shd w:val="clear" w:color="auto" w:fill="FFFFFF"/>
          <w:lang w:val="en-US"/>
        </w:rPr>
        <w:t xml:space="preserve">Based on current evidence, the FIT has been recommended as the first option for detecting fecal occult blood in CRC </w:t>
      </w:r>
      <w:proofErr w:type="gramStart"/>
      <w:r w:rsidRPr="00E173FE">
        <w:rPr>
          <w:rFonts w:cs="Calibri"/>
          <w:color w:val="000000"/>
          <w:shd w:val="clear" w:color="auto" w:fill="FFFFFF"/>
          <w:lang w:val="en-US"/>
        </w:rPr>
        <w:t>screening</w:t>
      </w:r>
      <w:r w:rsidRPr="00E173FE">
        <w:rPr>
          <w:rFonts w:cs="Arial"/>
          <w:vertAlign w:val="superscript"/>
          <w:lang w:val="en-US"/>
        </w:rPr>
        <w:t>[</w:t>
      </w:r>
      <w:proofErr w:type="gramEnd"/>
      <w:r w:rsidRPr="00E173FE">
        <w:rPr>
          <w:rFonts w:cs="Calibri"/>
          <w:color w:val="000000"/>
          <w:shd w:val="clear" w:color="auto" w:fill="FFFFFF"/>
          <w:vertAlign w:val="superscript"/>
          <w:lang w:val="en-US"/>
        </w:rPr>
        <w:t>19</w:t>
      </w:r>
      <w:r w:rsidRPr="00E173FE">
        <w:rPr>
          <w:rFonts w:cs="Arial"/>
          <w:vertAlign w:val="superscript"/>
          <w:lang w:val="en-US"/>
        </w:rPr>
        <w:t>]</w:t>
      </w:r>
      <w:r w:rsidRPr="00E173FE">
        <w:rPr>
          <w:rFonts w:cs="Calibri"/>
          <w:color w:val="000000"/>
          <w:shd w:val="clear" w:color="auto" w:fill="FFFFFF"/>
          <w:lang w:val="en-US"/>
        </w:rPr>
        <w:t>. Most European countries with an organized screening program are currently using the FIT. This test has replaced the G-FOBT in screening programs in the United Kingdom since 2014 and in France since 2015</w:t>
      </w:r>
      <w:r w:rsidRPr="00E173FE">
        <w:rPr>
          <w:rFonts w:cs="Arial"/>
          <w:vertAlign w:val="superscript"/>
          <w:lang w:val="en-US"/>
        </w:rPr>
        <w:t>[</w:t>
      </w:r>
      <w:r w:rsidRPr="00E173FE">
        <w:rPr>
          <w:vertAlign w:val="superscript"/>
          <w:lang w:val="en-US"/>
        </w:rPr>
        <w:t>4</w:t>
      </w:r>
      <w:r w:rsidRPr="00E173FE">
        <w:rPr>
          <w:rFonts w:cs="Arial"/>
          <w:vertAlign w:val="superscript"/>
          <w:lang w:val="en-US"/>
        </w:rPr>
        <w:t>]</w:t>
      </w:r>
      <w:r w:rsidRPr="00E173FE">
        <w:rPr>
          <w:rFonts w:cs="Calibri"/>
          <w:color w:val="000000"/>
          <w:shd w:val="clear" w:color="auto" w:fill="FFFFFF"/>
          <w:lang w:val="en-US"/>
        </w:rPr>
        <w:t>.</w:t>
      </w:r>
    </w:p>
    <w:p w:rsidR="00A464B6" w:rsidRPr="00E173FE" w:rsidRDefault="00A464B6" w:rsidP="00D077F2">
      <w:pPr>
        <w:spacing w:after="0"/>
        <w:ind w:firstLineChars="150" w:firstLine="360"/>
        <w:rPr>
          <w:lang w:val="en-US" w:eastAsia="zh-CN"/>
        </w:rPr>
      </w:pPr>
      <w:r w:rsidRPr="00E173FE">
        <w:rPr>
          <w:lang w:val="en-US"/>
        </w:rPr>
        <w:t>Other non-invasive techniques are available, such as the fecal DNA analysis. These tests identify molecular alterations in adenomas and CRC cells. However, these tests are currently underused, due to the high cost and relatively low cost-</w:t>
      </w:r>
      <w:proofErr w:type="gramStart"/>
      <w:r w:rsidRPr="00E173FE">
        <w:rPr>
          <w:lang w:val="en-US"/>
        </w:rPr>
        <w:t>effectiveness</w:t>
      </w:r>
      <w:r w:rsidRPr="00E173FE">
        <w:rPr>
          <w:rFonts w:cs="Arial"/>
          <w:vertAlign w:val="superscript"/>
          <w:lang w:val="en-US"/>
        </w:rPr>
        <w:t>[</w:t>
      </w:r>
      <w:proofErr w:type="gramEnd"/>
      <w:r w:rsidRPr="00E173FE">
        <w:rPr>
          <w:vertAlign w:val="superscript"/>
          <w:lang w:val="en-US"/>
        </w:rPr>
        <w:t>20</w:t>
      </w:r>
      <w:r w:rsidRPr="00E173FE">
        <w:rPr>
          <w:rFonts w:cs="Arial"/>
          <w:vertAlign w:val="superscript"/>
          <w:lang w:val="en-US"/>
        </w:rPr>
        <w:t>]</w:t>
      </w:r>
      <w:r w:rsidRPr="00E173FE">
        <w:rPr>
          <w:lang w:val="en-US"/>
        </w:rPr>
        <w:t>.</w:t>
      </w:r>
    </w:p>
    <w:p w:rsidR="00156F78" w:rsidRPr="00E173FE" w:rsidRDefault="00156F78" w:rsidP="00D077F2">
      <w:pPr>
        <w:spacing w:after="0"/>
        <w:ind w:firstLineChars="150" w:firstLine="360"/>
        <w:rPr>
          <w:lang w:val="en-US" w:eastAsia="zh-CN"/>
        </w:rPr>
      </w:pPr>
    </w:p>
    <w:p w:rsidR="00A464B6" w:rsidRPr="00E173FE" w:rsidRDefault="00156F78" w:rsidP="00D077F2">
      <w:pPr>
        <w:pStyle w:val="head2"/>
        <w:spacing w:after="0"/>
        <w:rPr>
          <w:i/>
          <w:u w:val="none"/>
        </w:rPr>
      </w:pPr>
      <w:r w:rsidRPr="00E173FE">
        <w:rPr>
          <w:i/>
          <w:u w:val="none"/>
        </w:rPr>
        <w:t>Invasive techniques</w:t>
      </w:r>
    </w:p>
    <w:p w:rsidR="00A464B6" w:rsidRPr="00E173FE" w:rsidRDefault="00A464B6" w:rsidP="00D077F2">
      <w:pPr>
        <w:spacing w:after="0"/>
        <w:rPr>
          <w:lang w:val="en-US"/>
        </w:rPr>
      </w:pPr>
      <w:r w:rsidRPr="00E173FE">
        <w:rPr>
          <w:rStyle w:val="head3Char"/>
          <w:u w:val="none"/>
        </w:rPr>
        <w:t>Flexible sigmoidoscopy</w:t>
      </w:r>
      <w:r w:rsidRPr="00E173FE">
        <w:rPr>
          <w:lang w:val="en-US"/>
        </w:rPr>
        <w:t xml:space="preserve"> screening was shown to be effective in reducing the incidence and mortality rates of </w:t>
      </w:r>
      <w:proofErr w:type="gramStart"/>
      <w:r w:rsidRPr="00E173FE">
        <w:rPr>
          <w:lang w:val="en-US"/>
        </w:rPr>
        <w:t>CRC</w:t>
      </w:r>
      <w:r w:rsidRPr="00E173FE">
        <w:rPr>
          <w:rFonts w:cs="Arial"/>
          <w:vertAlign w:val="superscript"/>
          <w:lang w:val="en-US"/>
        </w:rPr>
        <w:t>[</w:t>
      </w:r>
      <w:proofErr w:type="gramEnd"/>
      <w:r w:rsidRPr="00E173FE">
        <w:rPr>
          <w:vertAlign w:val="superscript"/>
          <w:lang w:val="en-US"/>
        </w:rPr>
        <w:t>21,22</w:t>
      </w:r>
      <w:r w:rsidRPr="00E173FE">
        <w:rPr>
          <w:rFonts w:cs="Arial"/>
          <w:vertAlign w:val="superscript"/>
          <w:lang w:val="en-US"/>
        </w:rPr>
        <w:t>]</w:t>
      </w:r>
      <w:r w:rsidRPr="00E173FE">
        <w:rPr>
          <w:lang w:val="en-US"/>
        </w:rPr>
        <w:t>. It should be taken into account that, when a distal adenomatous polyp</w:t>
      </w:r>
      <w:r w:rsidRPr="00E173FE" w:rsidDel="002B439D">
        <w:rPr>
          <w:lang w:val="en-US"/>
        </w:rPr>
        <w:t xml:space="preserve"> </w:t>
      </w:r>
      <w:r w:rsidRPr="00E173FE">
        <w:rPr>
          <w:lang w:val="en-US"/>
        </w:rPr>
        <w:t xml:space="preserve">is detected in a sigmoidoscopy, a colonoscopy is required. This is necessary, because the characteristics of adenomas found in the rectum and sigma are correlated with the probability of presenting a proximal </w:t>
      </w:r>
      <w:proofErr w:type="gramStart"/>
      <w:r w:rsidRPr="00E173FE">
        <w:rPr>
          <w:lang w:val="en-US"/>
        </w:rPr>
        <w:t>CRC</w:t>
      </w:r>
      <w:r w:rsidRPr="00E173FE">
        <w:rPr>
          <w:rFonts w:cs="Arial"/>
          <w:vertAlign w:val="superscript"/>
          <w:lang w:val="en-US"/>
        </w:rPr>
        <w:t>[</w:t>
      </w:r>
      <w:proofErr w:type="gramEnd"/>
      <w:r w:rsidR="00156F78" w:rsidRPr="00E173FE">
        <w:rPr>
          <w:vertAlign w:val="superscript"/>
          <w:lang w:val="en-US"/>
        </w:rPr>
        <w:t>23</w:t>
      </w:r>
      <w:r w:rsidRPr="00E173FE">
        <w:rPr>
          <w:vertAlign w:val="superscript"/>
          <w:lang w:val="en-US"/>
        </w:rPr>
        <w:t>24</w:t>
      </w:r>
      <w:r w:rsidRPr="00E173FE">
        <w:rPr>
          <w:rFonts w:cs="Arial"/>
          <w:vertAlign w:val="superscript"/>
          <w:lang w:val="en-US"/>
        </w:rPr>
        <w:t>]</w:t>
      </w:r>
      <w:r w:rsidRPr="00E173FE">
        <w:rPr>
          <w:lang w:val="en-US"/>
        </w:rPr>
        <w:t>.</w:t>
      </w:r>
    </w:p>
    <w:p w:rsidR="00A464B6" w:rsidRPr="00E173FE" w:rsidRDefault="00A464B6" w:rsidP="00D077F2">
      <w:pPr>
        <w:spacing w:after="0"/>
        <w:ind w:firstLineChars="150" w:firstLine="360"/>
        <w:rPr>
          <w:rFonts w:cs="Arial"/>
          <w:lang w:val="en-US"/>
        </w:rPr>
      </w:pPr>
      <w:r w:rsidRPr="00E173FE">
        <w:rPr>
          <w:rStyle w:val="head3Char"/>
          <w:u w:val="none"/>
        </w:rPr>
        <w:t>Colonoscopy</w:t>
      </w:r>
      <w:r w:rsidRPr="00E173FE">
        <w:rPr>
          <w:rFonts w:cs="Arial"/>
          <w:lang w:val="en-US"/>
        </w:rPr>
        <w:t xml:space="preserve"> screening is used in several programs. Data are scarce from randomized clinical trials that have attested to its effectiveness. However, several observational studies have reported that colonoscopy screening reduced CRC mortality and incidence, mainly due to its great capacity for detecting </w:t>
      </w:r>
      <w:proofErr w:type="spellStart"/>
      <w:r w:rsidRPr="00E173FE">
        <w:rPr>
          <w:rFonts w:cs="Arial"/>
          <w:lang w:val="en-US"/>
        </w:rPr>
        <w:lastRenderedPageBreak/>
        <w:t>neoplasias</w:t>
      </w:r>
      <w:proofErr w:type="spellEnd"/>
      <w:r w:rsidRPr="00E173FE">
        <w:rPr>
          <w:rFonts w:cs="Arial"/>
          <w:lang w:val="en-US"/>
        </w:rPr>
        <w:t xml:space="preserve"> and adenomas. In a case-control study, performing a colonoscopy, regardless of its indication, was associated with a large reduction in the risk of CRC in the following 10 years after the test. This effect was greater when the colonoscopy had been used as a screening </w:t>
      </w:r>
      <w:proofErr w:type="gramStart"/>
      <w:r w:rsidRPr="00E173FE">
        <w:rPr>
          <w:rFonts w:cs="Arial"/>
          <w:lang w:val="en-US"/>
        </w:rPr>
        <w:t>test</w:t>
      </w:r>
      <w:r w:rsidRPr="00E173FE">
        <w:rPr>
          <w:rFonts w:cs="Arial"/>
          <w:vertAlign w:val="superscript"/>
          <w:lang w:val="en-US"/>
        </w:rPr>
        <w:t>[</w:t>
      </w:r>
      <w:proofErr w:type="gramEnd"/>
      <w:r w:rsidRPr="00E173FE">
        <w:rPr>
          <w:rFonts w:cs="Arial"/>
          <w:vertAlign w:val="superscript"/>
          <w:lang w:val="en-US"/>
        </w:rPr>
        <w:t>25]</w:t>
      </w:r>
      <w:r w:rsidRPr="00E173FE">
        <w:rPr>
          <w:rFonts w:cs="Arial"/>
          <w:lang w:val="en-US"/>
        </w:rPr>
        <w:t>. Several cohort studies have confirmed this finding. One study showed that, in an average-risk population, performing a colonoscopy was associated with a 67% reduction in CRC incidence after an 8-year follow-</w:t>
      </w:r>
      <w:proofErr w:type="gramStart"/>
      <w:r w:rsidRPr="00E173FE">
        <w:rPr>
          <w:rFonts w:cs="Arial"/>
          <w:lang w:val="en-US"/>
        </w:rPr>
        <w:t>up</w:t>
      </w:r>
      <w:r w:rsidRPr="00E173FE">
        <w:rPr>
          <w:rFonts w:cs="Arial"/>
          <w:vertAlign w:val="superscript"/>
          <w:lang w:val="en-US"/>
        </w:rPr>
        <w:t>[</w:t>
      </w:r>
      <w:proofErr w:type="gramEnd"/>
      <w:r w:rsidRPr="00E173FE">
        <w:rPr>
          <w:rFonts w:cs="Arial"/>
          <w:vertAlign w:val="superscript"/>
          <w:lang w:val="en-US"/>
        </w:rPr>
        <w:t>26]</w:t>
      </w:r>
      <w:r w:rsidRPr="00E173FE">
        <w:rPr>
          <w:rFonts w:cs="Arial"/>
          <w:lang w:val="en-US"/>
        </w:rPr>
        <w:t>. Another study demonstrated the long-term protective effect of a polypectomy. When a colonoscopy was performed with a polypectomy of at least one adenoma &gt;</w:t>
      </w:r>
      <w:r w:rsidR="00156F78" w:rsidRPr="00E173FE">
        <w:rPr>
          <w:rFonts w:cs="Arial" w:hint="eastAsia"/>
          <w:lang w:val="en-US" w:eastAsia="zh-CN"/>
        </w:rPr>
        <w:t xml:space="preserve"> </w:t>
      </w:r>
      <w:r w:rsidRPr="00E173FE">
        <w:rPr>
          <w:rFonts w:cs="Arial"/>
          <w:lang w:val="en-US"/>
        </w:rPr>
        <w:t>5 mm, the CRC incidence was reduced by 80% after a 10-year follow-</w:t>
      </w:r>
      <w:proofErr w:type="gramStart"/>
      <w:r w:rsidRPr="00E173FE">
        <w:rPr>
          <w:rFonts w:cs="Arial"/>
          <w:lang w:val="en-US"/>
        </w:rPr>
        <w:t>up</w:t>
      </w:r>
      <w:r w:rsidRPr="00E173FE">
        <w:rPr>
          <w:rFonts w:cs="Arial"/>
          <w:vertAlign w:val="superscript"/>
          <w:lang w:val="en-US"/>
        </w:rPr>
        <w:t>[</w:t>
      </w:r>
      <w:proofErr w:type="gramEnd"/>
      <w:r w:rsidRPr="00E173FE">
        <w:rPr>
          <w:rFonts w:cs="Arial"/>
          <w:vertAlign w:val="superscript"/>
          <w:lang w:val="en-US"/>
        </w:rPr>
        <w:t>27]</w:t>
      </w:r>
      <w:r w:rsidRPr="00E173FE">
        <w:rPr>
          <w:rFonts w:cs="Arial"/>
          <w:lang w:val="en-US"/>
        </w:rPr>
        <w:t>.</w:t>
      </w:r>
    </w:p>
    <w:p w:rsidR="00A464B6" w:rsidRPr="00E173FE" w:rsidRDefault="00A464B6" w:rsidP="00D077F2">
      <w:pPr>
        <w:spacing w:after="0"/>
        <w:ind w:firstLineChars="100" w:firstLine="240"/>
        <w:rPr>
          <w:rFonts w:cs="Arial"/>
          <w:lang w:val="en-US"/>
        </w:rPr>
      </w:pPr>
      <w:r w:rsidRPr="00E173FE">
        <w:rPr>
          <w:rFonts w:cs="Arial"/>
          <w:lang w:val="en-US"/>
        </w:rPr>
        <w:t xml:space="preserve">Colonoscopy quality has varied in reports from different </w:t>
      </w:r>
      <w:proofErr w:type="spellStart"/>
      <w:r w:rsidRPr="00E173FE">
        <w:rPr>
          <w:rFonts w:cs="Arial"/>
          <w:lang w:val="en-US"/>
        </w:rPr>
        <w:t>endoscopists</w:t>
      </w:r>
      <w:proofErr w:type="spellEnd"/>
      <w:r w:rsidRPr="00E173FE">
        <w:rPr>
          <w:rFonts w:cs="Arial"/>
          <w:lang w:val="en-US"/>
        </w:rPr>
        <w:t xml:space="preserve">. For this reason, over the last decade, a series of quality indicators for colonoscopy have been described. However, application of these indicators has not become well established in endoscopic </w:t>
      </w:r>
      <w:proofErr w:type="gramStart"/>
      <w:r w:rsidRPr="00E173FE">
        <w:rPr>
          <w:rFonts w:cs="Arial"/>
          <w:lang w:val="en-US"/>
        </w:rPr>
        <w:t>practice</w:t>
      </w:r>
      <w:r w:rsidRPr="00E173FE">
        <w:rPr>
          <w:rFonts w:cs="Arial"/>
          <w:vertAlign w:val="superscript"/>
          <w:lang w:val="en-US"/>
        </w:rPr>
        <w:t>[</w:t>
      </w:r>
      <w:proofErr w:type="gramEnd"/>
      <w:r w:rsidRPr="00E173FE">
        <w:rPr>
          <w:rFonts w:cs="Arial"/>
          <w:vertAlign w:val="superscript"/>
          <w:lang w:val="en-US"/>
        </w:rPr>
        <w:t>28]</w:t>
      </w:r>
      <w:r w:rsidRPr="00E173FE">
        <w:rPr>
          <w:rFonts w:cs="Arial"/>
          <w:lang w:val="en-US"/>
        </w:rPr>
        <w:t xml:space="preserve">. Currently, the main quality indicator among </w:t>
      </w:r>
      <w:proofErr w:type="spellStart"/>
      <w:r w:rsidRPr="00E173FE">
        <w:rPr>
          <w:rFonts w:cs="Arial"/>
          <w:lang w:val="en-US"/>
        </w:rPr>
        <w:t>endoscopists</w:t>
      </w:r>
      <w:proofErr w:type="spellEnd"/>
      <w:r w:rsidRPr="00E173FE">
        <w:rPr>
          <w:rFonts w:cs="Arial"/>
          <w:lang w:val="en-US"/>
        </w:rPr>
        <w:t xml:space="preserve"> is the adenoma detection rate (ADR). The ADR is defined as the proportion of screening colonoscopies performed by a physician that detected at least one histologically confirmed colorectal adenoma or adenocarcinoma. The recommended ADR is ≥</w:t>
      </w:r>
      <w:r w:rsidR="00156F78" w:rsidRPr="00E173FE">
        <w:rPr>
          <w:rFonts w:cs="Arial" w:hint="eastAsia"/>
          <w:lang w:val="en-US" w:eastAsia="zh-CN"/>
        </w:rPr>
        <w:t xml:space="preserve"> </w:t>
      </w:r>
      <w:r w:rsidRPr="00E173FE">
        <w:rPr>
          <w:rFonts w:cs="Arial"/>
          <w:lang w:val="en-US"/>
        </w:rPr>
        <w:t>25% (men ≥</w:t>
      </w:r>
      <w:r w:rsidR="00156F78" w:rsidRPr="00E173FE">
        <w:rPr>
          <w:rFonts w:cs="Arial" w:hint="eastAsia"/>
          <w:lang w:val="en-US" w:eastAsia="zh-CN"/>
        </w:rPr>
        <w:t xml:space="preserve"> </w:t>
      </w:r>
      <w:r w:rsidRPr="00E173FE">
        <w:rPr>
          <w:rFonts w:cs="Arial"/>
          <w:lang w:val="en-US"/>
        </w:rPr>
        <w:t>30%, women ≥</w:t>
      </w:r>
      <w:r w:rsidR="00156F78" w:rsidRPr="00E173FE">
        <w:rPr>
          <w:rFonts w:cs="Arial" w:hint="eastAsia"/>
          <w:lang w:val="en-US" w:eastAsia="zh-CN"/>
        </w:rPr>
        <w:t xml:space="preserve"> </w:t>
      </w:r>
      <w:r w:rsidRPr="00E173FE">
        <w:rPr>
          <w:rFonts w:cs="Arial"/>
          <w:lang w:val="en-US"/>
        </w:rPr>
        <w:t>20%</w:t>
      </w:r>
      <w:proofErr w:type="gramStart"/>
      <w:r w:rsidRPr="00E173FE">
        <w:rPr>
          <w:rFonts w:cs="Arial"/>
          <w:lang w:val="en-US"/>
        </w:rPr>
        <w:t>)</w:t>
      </w:r>
      <w:r w:rsidRPr="00E173FE">
        <w:rPr>
          <w:rFonts w:cs="Arial"/>
          <w:vertAlign w:val="superscript"/>
          <w:lang w:val="en-US"/>
        </w:rPr>
        <w:t>[</w:t>
      </w:r>
      <w:proofErr w:type="gramEnd"/>
      <w:r w:rsidRPr="00E173FE">
        <w:rPr>
          <w:rFonts w:cs="Arial"/>
          <w:vertAlign w:val="superscript"/>
          <w:lang w:val="en-US"/>
        </w:rPr>
        <w:t>29]</w:t>
      </w:r>
      <w:r w:rsidRPr="00E173FE">
        <w:rPr>
          <w:rFonts w:cs="Arial"/>
          <w:lang w:val="en-US"/>
        </w:rPr>
        <w:t xml:space="preserve">. Several studies have demonstrated a strong correlation between the ADR record of an </w:t>
      </w:r>
      <w:proofErr w:type="spellStart"/>
      <w:r w:rsidRPr="00E173FE">
        <w:rPr>
          <w:rFonts w:cs="Arial"/>
          <w:lang w:val="en-US"/>
        </w:rPr>
        <w:t>endoscopist</w:t>
      </w:r>
      <w:proofErr w:type="spellEnd"/>
      <w:r w:rsidRPr="00E173FE">
        <w:rPr>
          <w:rFonts w:cs="Arial"/>
          <w:lang w:val="en-US"/>
        </w:rPr>
        <w:t xml:space="preserve"> and the probability of diagnosing CRC within a given number of months of a colonoscopy (an interval CRC)</w:t>
      </w:r>
      <w:r w:rsidRPr="00E173FE">
        <w:rPr>
          <w:rFonts w:cs="Arial"/>
          <w:vertAlign w:val="superscript"/>
          <w:lang w:val="en-US"/>
        </w:rPr>
        <w:t xml:space="preserve"> [24]</w:t>
      </w:r>
      <w:r w:rsidRPr="00E173FE">
        <w:rPr>
          <w:rFonts w:cs="Arial"/>
          <w:lang w:val="en-US"/>
        </w:rPr>
        <w:t xml:space="preserve">. Despite the clinical importance of this measure, large variations remain among </w:t>
      </w:r>
      <w:proofErr w:type="spellStart"/>
      <w:r w:rsidRPr="00E173FE">
        <w:rPr>
          <w:rFonts w:cs="Arial"/>
          <w:lang w:val="en-US"/>
        </w:rPr>
        <w:t>endoscopists</w:t>
      </w:r>
      <w:proofErr w:type="spellEnd"/>
      <w:r w:rsidRPr="00E173FE">
        <w:rPr>
          <w:rFonts w:cs="Arial"/>
          <w:lang w:val="en-US"/>
        </w:rPr>
        <w:t>.</w:t>
      </w:r>
    </w:p>
    <w:p w:rsidR="00A464B6" w:rsidRPr="00E173FE" w:rsidRDefault="00A464B6" w:rsidP="00D077F2">
      <w:pPr>
        <w:spacing w:after="0"/>
        <w:ind w:firstLineChars="100" w:firstLine="240"/>
        <w:rPr>
          <w:rFonts w:cs="Arial"/>
          <w:color w:val="101010"/>
          <w:vertAlign w:val="superscript"/>
          <w:lang w:val="en-US"/>
        </w:rPr>
      </w:pPr>
      <w:r w:rsidRPr="00E173FE">
        <w:rPr>
          <w:rFonts w:cs="Arial"/>
          <w:color w:val="101010"/>
          <w:lang w:val="en-US"/>
        </w:rPr>
        <w:t>One study analyzed the results of colonoscopies performed in the US through an integrated health services organization, over a 12-year period. The association between the ADR and the risk of diagnosing CRC within 6 months to 10 years after the first colonoscopy was evaluated, and the risk of death from cancer was calculated. They studied a total of 314,872 colonoscopies performed by 136 gastroenterologists, with ADRs that ranged from 7.4% to 52.5%. They identified 712 interval colorectal adenocarcinomas and 147 associated deaths. The gastroenterologists were placed into quintiles, based on their ADRs (lowest ADR quintile ≤</w:t>
      </w:r>
      <w:r w:rsidR="00156F78" w:rsidRPr="00E173FE">
        <w:rPr>
          <w:rFonts w:cs="Arial" w:hint="eastAsia"/>
          <w:color w:val="101010"/>
          <w:lang w:val="en-US" w:eastAsia="zh-CN"/>
        </w:rPr>
        <w:t xml:space="preserve"> </w:t>
      </w:r>
      <w:r w:rsidRPr="00E173FE">
        <w:rPr>
          <w:rFonts w:cs="Arial"/>
          <w:color w:val="101010"/>
          <w:lang w:val="en-US"/>
        </w:rPr>
        <w:t>19.06% and highest ADR quintile ≥</w:t>
      </w:r>
      <w:r w:rsidR="00156F78" w:rsidRPr="00E173FE">
        <w:rPr>
          <w:rFonts w:cs="Arial" w:hint="eastAsia"/>
          <w:color w:val="101010"/>
          <w:lang w:val="en-US" w:eastAsia="zh-CN"/>
        </w:rPr>
        <w:t xml:space="preserve"> </w:t>
      </w:r>
      <w:r w:rsidRPr="00E173FE">
        <w:rPr>
          <w:rFonts w:cs="Arial"/>
          <w:color w:val="101010"/>
          <w:lang w:val="en-US"/>
        </w:rPr>
        <w:t xml:space="preserve">33.51%). They found that </w:t>
      </w:r>
      <w:r w:rsidRPr="00E173FE">
        <w:rPr>
          <w:rFonts w:cs="Arial"/>
          <w:color w:val="101010"/>
          <w:lang w:val="en-US"/>
        </w:rPr>
        <w:lastRenderedPageBreak/>
        <w:t xml:space="preserve">patients examined by gastroenterologists in the lowest ADR quintile had almost double the risk of being diagnosed with an interval cancer compared to patients examined by gastroenterologists in the highest quintile. In addition, the risk of a fatal interval cancer was reduced by 62% among patients examined by gastroenterologists in the highest quintile. Each 1% increase in the ADR was associated with a 5% decrease in the risk of a fatal interval colorectal </w:t>
      </w:r>
      <w:proofErr w:type="gramStart"/>
      <w:r w:rsidRPr="00E173FE">
        <w:rPr>
          <w:rFonts w:cs="Arial"/>
          <w:color w:val="101010"/>
          <w:lang w:val="en-US"/>
        </w:rPr>
        <w:t>cancer</w:t>
      </w:r>
      <w:r w:rsidRPr="00E173FE">
        <w:rPr>
          <w:rFonts w:cs="Arial"/>
          <w:vertAlign w:val="superscript"/>
          <w:lang w:val="en-US"/>
        </w:rPr>
        <w:t>[</w:t>
      </w:r>
      <w:proofErr w:type="gramEnd"/>
      <w:r w:rsidRPr="00E173FE">
        <w:rPr>
          <w:rFonts w:cs="Arial"/>
          <w:color w:val="101010"/>
          <w:vertAlign w:val="superscript"/>
          <w:lang w:val="en-US"/>
        </w:rPr>
        <w:t>30</w:t>
      </w:r>
      <w:r w:rsidRPr="00E173FE">
        <w:rPr>
          <w:rFonts w:cs="Arial"/>
          <w:vertAlign w:val="superscript"/>
          <w:lang w:val="en-US"/>
        </w:rPr>
        <w:t>]</w:t>
      </w:r>
      <w:r w:rsidRPr="00E173FE">
        <w:rPr>
          <w:rFonts w:cs="Arial"/>
          <w:color w:val="101010"/>
          <w:lang w:val="en-US"/>
        </w:rPr>
        <w:t>.</w:t>
      </w:r>
    </w:p>
    <w:p w:rsidR="00A464B6" w:rsidRPr="00E173FE" w:rsidRDefault="00A464B6" w:rsidP="00D077F2">
      <w:pPr>
        <w:spacing w:after="0"/>
        <w:ind w:firstLineChars="150" w:firstLine="360"/>
        <w:rPr>
          <w:rFonts w:cs="Arial"/>
          <w:lang w:val="en-US" w:eastAsia="zh-CN"/>
        </w:rPr>
      </w:pPr>
      <w:r w:rsidRPr="00E173FE">
        <w:rPr>
          <w:rFonts w:cs="Arial"/>
          <w:lang w:val="en-US"/>
        </w:rPr>
        <w:t xml:space="preserve">Although the colonoscopy is more effective than the FOBT for detecting </w:t>
      </w:r>
      <w:proofErr w:type="spellStart"/>
      <w:r w:rsidRPr="00E173FE">
        <w:rPr>
          <w:rFonts w:cs="Arial"/>
          <w:lang w:val="en-US"/>
        </w:rPr>
        <w:t>neoplasias</w:t>
      </w:r>
      <w:proofErr w:type="spellEnd"/>
      <w:r w:rsidRPr="00E173FE">
        <w:rPr>
          <w:rFonts w:cs="Arial"/>
          <w:lang w:val="en-US"/>
        </w:rPr>
        <w:t xml:space="preserve"> and adenomas, the FOBT is more readily accepted by participants in population screening programs. Thus, the higher FOBT participation rates may counteract its lower detection </w:t>
      </w:r>
      <w:proofErr w:type="gramStart"/>
      <w:r w:rsidRPr="00E173FE">
        <w:rPr>
          <w:rFonts w:cs="Arial"/>
          <w:lang w:val="en-US"/>
        </w:rPr>
        <w:t>capacity</w:t>
      </w:r>
      <w:r w:rsidRPr="00E173FE">
        <w:rPr>
          <w:rFonts w:cs="Arial"/>
          <w:vertAlign w:val="superscript"/>
          <w:lang w:val="en-US"/>
        </w:rPr>
        <w:t>[</w:t>
      </w:r>
      <w:proofErr w:type="gramEnd"/>
      <w:r w:rsidRPr="00E173FE">
        <w:rPr>
          <w:rFonts w:cs="Arial"/>
          <w:vertAlign w:val="superscript"/>
          <w:lang w:val="en-US"/>
        </w:rPr>
        <w:t>31]</w:t>
      </w:r>
      <w:r w:rsidRPr="00E173FE">
        <w:rPr>
          <w:rFonts w:cs="Arial"/>
          <w:lang w:val="en-US"/>
        </w:rPr>
        <w:t>.</w:t>
      </w:r>
      <w:r w:rsidR="00E173FE">
        <w:rPr>
          <w:rFonts w:cs="Arial" w:hint="eastAsia"/>
          <w:lang w:val="en-US" w:eastAsia="zh-CN"/>
        </w:rPr>
        <w:t xml:space="preserve"> </w:t>
      </w:r>
      <w:r w:rsidRPr="00E173FE">
        <w:rPr>
          <w:rFonts w:cs="Arial"/>
          <w:lang w:val="en-US"/>
        </w:rPr>
        <w:t>The COLONPREV study hypothesized that biennial FIT screening would be non-inferior to a one-time colonoscopy, for reducing CRC-related mortality among subjects with average risk. They recruited m</w:t>
      </w:r>
      <w:r w:rsidR="00156F78" w:rsidRPr="00E173FE">
        <w:rPr>
          <w:rFonts w:cs="Arial"/>
          <w:lang w:val="en-US"/>
        </w:rPr>
        <w:t>ore than 50</w:t>
      </w:r>
      <w:r w:rsidRPr="00E173FE">
        <w:rPr>
          <w:rFonts w:cs="Arial"/>
          <w:lang w:val="en-US"/>
        </w:rPr>
        <w:t xml:space="preserve">000 asymptomatic participants between ages 50 and 69 years, and randomly assigned them to undergo either a one-time colonoscopy or the biennial FIT. After the first round of FIT screening, they confirmed a similar CRC detection rate with both methods. However, advanced adenomas and other adenomas were detected at a higher rate in the colonoscopy than in the FIT groups. This result confirmed, once again, the superiority of the colonoscopy for detecting this type of lesion. Therefore, the colonoscopy has higher potential than the FIT for reducing the CRC incidence. Nevertheless, the higher participation rate in the FIT group (34.2% </w:t>
      </w:r>
      <w:r w:rsidRPr="00E173FE">
        <w:rPr>
          <w:rFonts w:cs="Arial"/>
          <w:i/>
          <w:lang w:val="en-US"/>
        </w:rPr>
        <w:t>vs</w:t>
      </w:r>
      <w:r w:rsidR="00E173FE">
        <w:rPr>
          <w:rFonts w:cs="Arial" w:hint="eastAsia"/>
          <w:lang w:val="en-US" w:eastAsia="zh-CN"/>
        </w:rPr>
        <w:t xml:space="preserve"> </w:t>
      </w:r>
      <w:r w:rsidRPr="00E173FE">
        <w:rPr>
          <w:rFonts w:cs="Arial"/>
          <w:lang w:val="en-US"/>
        </w:rPr>
        <w:t>24.6%), and the biennial periodicity of this test</w:t>
      </w:r>
      <w:r w:rsidRPr="00E173FE">
        <w:rPr>
          <w:lang w:val="en-US"/>
        </w:rPr>
        <w:t xml:space="preserve"> </w:t>
      </w:r>
      <w:r w:rsidRPr="00E173FE">
        <w:rPr>
          <w:rFonts w:cs="Arial"/>
          <w:lang w:val="en-US"/>
        </w:rPr>
        <w:t xml:space="preserve">may reduce the apparent advantage of colonoscopy over the long </w:t>
      </w:r>
      <w:proofErr w:type="gramStart"/>
      <w:r w:rsidRPr="00E173FE">
        <w:rPr>
          <w:rFonts w:cs="Arial"/>
          <w:lang w:val="en-US"/>
        </w:rPr>
        <w:t>term</w:t>
      </w:r>
      <w:r w:rsidRPr="00E173FE">
        <w:rPr>
          <w:rFonts w:cs="Arial"/>
          <w:vertAlign w:val="superscript"/>
          <w:lang w:val="en-US"/>
        </w:rPr>
        <w:t>[</w:t>
      </w:r>
      <w:proofErr w:type="gramEnd"/>
      <w:r w:rsidRPr="00E173FE">
        <w:rPr>
          <w:rFonts w:cs="Arial"/>
          <w:vertAlign w:val="superscript"/>
          <w:lang w:val="en-US"/>
        </w:rPr>
        <w:t>32]</w:t>
      </w:r>
      <w:r w:rsidRPr="00E173FE">
        <w:rPr>
          <w:rFonts w:cs="Arial"/>
          <w:lang w:val="en-US"/>
        </w:rPr>
        <w:t>. Final results from that study are expected in the next few years.</w:t>
      </w:r>
    </w:p>
    <w:p w:rsidR="00156F78" w:rsidRPr="00E173FE" w:rsidRDefault="00156F78" w:rsidP="00D077F2">
      <w:pPr>
        <w:spacing w:after="0"/>
        <w:ind w:firstLineChars="150" w:firstLine="360"/>
        <w:rPr>
          <w:rFonts w:cs="Arial"/>
          <w:lang w:val="en-US" w:eastAsia="zh-CN"/>
        </w:rPr>
      </w:pPr>
    </w:p>
    <w:p w:rsidR="00A464B6" w:rsidRPr="00E173FE" w:rsidRDefault="00A464B6" w:rsidP="00D077F2">
      <w:pPr>
        <w:pStyle w:val="Head1"/>
        <w:spacing w:before="0" w:after="0"/>
        <w:jc w:val="both"/>
        <w:rPr>
          <w:i/>
        </w:rPr>
      </w:pPr>
      <w:r w:rsidRPr="00E173FE">
        <w:t>CRC SCREENING PROGRAMS</w:t>
      </w:r>
    </w:p>
    <w:p w:rsidR="00A464B6" w:rsidRPr="00E173FE" w:rsidRDefault="00A464B6" w:rsidP="00D077F2">
      <w:pPr>
        <w:pStyle w:val="head2"/>
        <w:spacing w:after="0"/>
        <w:rPr>
          <w:i/>
          <w:u w:val="none"/>
        </w:rPr>
      </w:pPr>
      <w:r w:rsidRPr="00E173FE">
        <w:rPr>
          <w:i/>
          <w:u w:val="none"/>
        </w:rPr>
        <w:t>CRC screening programs in Europe</w:t>
      </w:r>
    </w:p>
    <w:p w:rsidR="00A464B6" w:rsidRPr="00E173FE" w:rsidRDefault="00A464B6" w:rsidP="00D077F2">
      <w:pPr>
        <w:spacing w:after="0"/>
        <w:rPr>
          <w:rFonts w:cs="Courier New"/>
          <w:color w:val="212121"/>
          <w:lang w:val="en-US" w:eastAsia="es-ES"/>
        </w:rPr>
      </w:pPr>
      <w:r w:rsidRPr="00E173FE">
        <w:rPr>
          <w:rFonts w:cs="Calibri"/>
          <w:color w:val="212121"/>
          <w:lang w:val="en-US" w:eastAsia="es-ES"/>
        </w:rPr>
        <w:t>In 2003, based on compelling evidence, the Council of the European Union recommended that all Member States should establish early detection programs with CRC screening for men and women aged 50 to 74 years, with annual or biennial FOBTs, followed by colonoscopy, when the results were positive</w:t>
      </w:r>
      <w:r w:rsidRPr="00E173FE">
        <w:rPr>
          <w:rFonts w:cs="Arial"/>
          <w:vertAlign w:val="superscript"/>
          <w:lang w:val="en-US"/>
        </w:rPr>
        <w:t>[</w:t>
      </w:r>
      <w:r w:rsidRPr="00E173FE">
        <w:rPr>
          <w:rFonts w:cs="Calibri"/>
          <w:color w:val="212121"/>
          <w:vertAlign w:val="superscript"/>
          <w:lang w:val="en-US" w:eastAsia="es-ES"/>
        </w:rPr>
        <w:t>33</w:t>
      </w:r>
      <w:r w:rsidRPr="00E173FE">
        <w:rPr>
          <w:rFonts w:cs="Arial"/>
          <w:vertAlign w:val="superscript"/>
          <w:lang w:val="en-US"/>
        </w:rPr>
        <w:t>]</w:t>
      </w:r>
      <w:r w:rsidRPr="00E173FE">
        <w:rPr>
          <w:rFonts w:cs="Calibri"/>
          <w:color w:val="212121"/>
          <w:lang w:val="en-US" w:eastAsia="es-ES"/>
        </w:rPr>
        <w:t>.</w:t>
      </w:r>
      <w:r w:rsidRPr="00E173FE">
        <w:rPr>
          <w:rFonts w:cs="Calibri"/>
          <w:color w:val="212121"/>
          <w:vertAlign w:val="superscript"/>
          <w:lang w:val="en-US" w:eastAsia="es-ES"/>
        </w:rPr>
        <w:t xml:space="preserve"> </w:t>
      </w:r>
      <w:r w:rsidRPr="00E173FE">
        <w:rPr>
          <w:rFonts w:cs="Calibri"/>
          <w:color w:val="212121"/>
          <w:lang w:val="en-US" w:eastAsia="es-ES"/>
        </w:rPr>
        <w:t xml:space="preserve">Following this recommendation, several CRC screening programs were </w:t>
      </w:r>
      <w:r w:rsidRPr="00E173FE">
        <w:rPr>
          <w:rFonts w:cs="Calibri"/>
          <w:color w:val="212121"/>
          <w:lang w:val="en-US" w:eastAsia="es-ES"/>
        </w:rPr>
        <w:lastRenderedPageBreak/>
        <w:t>launched in Europe, with wide variations in screening practices, probably due to different preexisting screening programs (pilots, opportunity-based, or organized) in several countries. Variations among different countries also arose due to differences in financial resources available for research and differences in colonoscopy capacities.</w:t>
      </w:r>
    </w:p>
    <w:p w:rsidR="00A464B6" w:rsidRPr="00E173FE" w:rsidRDefault="00A464B6" w:rsidP="00D077F2">
      <w:pPr>
        <w:spacing w:after="0"/>
        <w:ind w:firstLineChars="100" w:firstLine="240"/>
        <w:rPr>
          <w:rFonts w:cs="Courier New"/>
          <w:color w:val="212121"/>
          <w:lang w:val="en-US" w:eastAsia="es-ES"/>
        </w:rPr>
      </w:pPr>
      <w:r w:rsidRPr="00E173FE">
        <w:rPr>
          <w:lang w:val="en-US"/>
        </w:rPr>
        <w:t xml:space="preserve">In 2015, 24 countries in the European Union had established or were preparing to organize country-wide CRC screening programs. For example, Finland, France, Slovenia, and the United Kingdom had completely implemented organized programs. In Belgium, the Netherlands, Denmark, Ireland, Italy, Malta, Poland, and Spain, programs were being launched. Norway, Portugal, and Sweden were in the pilot phase. In contrast, other countries, including Slovakia, with the highest CRC rate in </w:t>
      </w:r>
      <w:proofErr w:type="gramStart"/>
      <w:r w:rsidRPr="00E173FE">
        <w:rPr>
          <w:lang w:val="en-US"/>
        </w:rPr>
        <w:t>Europe</w:t>
      </w:r>
      <w:r w:rsidRPr="00E173FE">
        <w:rPr>
          <w:rFonts w:cs="Arial"/>
          <w:vertAlign w:val="superscript"/>
          <w:lang w:val="en-US"/>
        </w:rPr>
        <w:t>[</w:t>
      </w:r>
      <w:proofErr w:type="gramEnd"/>
      <w:r w:rsidRPr="00E173FE">
        <w:rPr>
          <w:vertAlign w:val="superscript"/>
          <w:lang w:val="en-US"/>
        </w:rPr>
        <w:t>1</w:t>
      </w:r>
      <w:r w:rsidRPr="00E173FE">
        <w:rPr>
          <w:rFonts w:cs="Arial"/>
          <w:vertAlign w:val="superscript"/>
          <w:lang w:val="en-US"/>
        </w:rPr>
        <w:t>]</w:t>
      </w:r>
      <w:r w:rsidRPr="00E173FE">
        <w:rPr>
          <w:lang w:val="en-US"/>
        </w:rPr>
        <w:t xml:space="preserve">, did not have a national screening program. Similarly, no screening programs existed in Bulgaria, Albania, Bosnia, Herzegovina, Kosovo, Macedonia, Montenegro, Romania, Serbia, and </w:t>
      </w:r>
      <w:proofErr w:type="gramStart"/>
      <w:r w:rsidRPr="00E173FE">
        <w:rPr>
          <w:lang w:val="en-US"/>
        </w:rPr>
        <w:t>Russia</w:t>
      </w:r>
      <w:r w:rsidRPr="00E173FE">
        <w:rPr>
          <w:rFonts w:cs="Arial"/>
          <w:vertAlign w:val="superscript"/>
          <w:lang w:val="en-US"/>
        </w:rPr>
        <w:t>[</w:t>
      </w:r>
      <w:proofErr w:type="gramEnd"/>
      <w:r w:rsidRPr="00E173FE">
        <w:rPr>
          <w:vertAlign w:val="superscript"/>
          <w:lang w:val="en-US"/>
        </w:rPr>
        <w:t>4</w:t>
      </w:r>
      <w:r w:rsidRPr="00E173FE">
        <w:rPr>
          <w:rFonts w:cs="Arial"/>
          <w:vertAlign w:val="superscript"/>
          <w:lang w:val="en-US"/>
        </w:rPr>
        <w:t>]</w:t>
      </w:r>
      <w:r w:rsidRPr="00E173FE">
        <w:rPr>
          <w:lang w:val="en-US"/>
        </w:rPr>
        <w:t>.</w:t>
      </w:r>
    </w:p>
    <w:p w:rsidR="00A464B6" w:rsidRPr="00E173FE" w:rsidRDefault="00A464B6" w:rsidP="00D077F2">
      <w:pPr>
        <w:spacing w:after="0"/>
        <w:ind w:firstLineChars="100" w:firstLine="240"/>
        <w:rPr>
          <w:lang w:val="en-US"/>
        </w:rPr>
      </w:pPr>
      <w:r w:rsidRPr="00E173FE">
        <w:rPr>
          <w:lang w:val="en-US"/>
        </w:rPr>
        <w:t>An analysis of different programs in several European countries showed that  Croatia and the Czech Republic had the lowest participation rates (&lt;</w:t>
      </w:r>
      <w:r w:rsidR="00156F78" w:rsidRPr="00E173FE">
        <w:rPr>
          <w:rFonts w:hint="eastAsia"/>
          <w:lang w:val="en-US" w:eastAsia="zh-CN"/>
        </w:rPr>
        <w:t xml:space="preserve"> </w:t>
      </w:r>
      <w:r w:rsidRPr="00E173FE">
        <w:rPr>
          <w:lang w:val="en-US"/>
        </w:rPr>
        <w:t xml:space="preserve">25%), and both countries reported high </w:t>
      </w:r>
      <w:proofErr w:type="spellStart"/>
      <w:r w:rsidRPr="00E173FE">
        <w:rPr>
          <w:lang w:val="en-US"/>
        </w:rPr>
        <w:t>ASRms</w:t>
      </w:r>
      <w:proofErr w:type="spellEnd"/>
      <w:r w:rsidRPr="00E173FE">
        <w:rPr>
          <w:lang w:val="en-US"/>
        </w:rPr>
        <w:t xml:space="preserve"> (18.7% and 15.4%, respectively), followed by France (participation rate 34.3%). The other countries achieved better participation rates (over 45%); the highest participation was observed in the Netherlands, followed by Slovenia. The Netherlands had the highest positive test rate (test positivity, 12.2%), but the lowest cut-off value for the FIT test: 15 µg/g. The second highest test positivity was found in Ireland (10% test positivity, with a cut-off value 20 µg/g). In Italy, with the same cut-off value, test positivity was 5.8%, and in Slovenia, it was 5.9%. The lowest test positivity rates were found in England and France (2% and 2.8%, respectively), where the G-FOBT was used. In Croatia, Lithuania, and the Netherlands, the proportion of colonoscopies performed did not exceed 75%; but in the Czech Republic and Slovenia, the proportions were above 95%. In England, a very high CRC percentage was detected (10.1% of patients a with positive G-FOBT result), but only 2% of all patients had a positive G-FOBT. Ireland had a similar CRC percentage (9%), but also a greater number of patients had positive FIT results </w:t>
      </w:r>
      <w:r w:rsidRPr="00E173FE">
        <w:rPr>
          <w:lang w:val="en-US"/>
        </w:rPr>
        <w:lastRenderedPageBreak/>
        <w:t>(10%). The highest detection rate was found in the Netherlands (5.9 per 1000 screenings), followed by Ireland (3.3 per 1000 screenings). More detailed results are described below and in Table 2.</w:t>
      </w:r>
    </w:p>
    <w:p w:rsidR="00156F78" w:rsidRPr="00E173FE" w:rsidRDefault="00156F78" w:rsidP="00D077F2">
      <w:pPr>
        <w:spacing w:after="0"/>
        <w:ind w:firstLineChars="100" w:firstLine="241"/>
        <w:rPr>
          <w:rStyle w:val="head3Char"/>
          <w:b/>
          <w:u w:val="none"/>
          <w:lang w:eastAsia="zh-CN"/>
        </w:rPr>
      </w:pPr>
    </w:p>
    <w:p w:rsidR="00A464B6" w:rsidRPr="00E173FE" w:rsidRDefault="00A464B6" w:rsidP="00E173FE">
      <w:pPr>
        <w:spacing w:after="0"/>
        <w:rPr>
          <w:lang w:val="en-US"/>
        </w:rPr>
      </w:pPr>
      <w:r w:rsidRPr="00E173FE">
        <w:rPr>
          <w:rStyle w:val="head3Char"/>
          <w:b/>
          <w:u w:val="none"/>
        </w:rPr>
        <w:t>Spain</w:t>
      </w:r>
      <w:r w:rsidRPr="00E173FE">
        <w:rPr>
          <w:b/>
          <w:lang w:val="en-US"/>
        </w:rPr>
        <w:t xml:space="preserve">: </w:t>
      </w:r>
      <w:r w:rsidRPr="00E173FE">
        <w:rPr>
          <w:lang w:val="en-US"/>
        </w:rPr>
        <w:t xml:space="preserve">Different screening programs have been implemented in all areas of Spain for the population aged 50-69 years. These programs mostly use the FIT. In 2014, participation rates varied among the regions, but the average was 49.2%. More women than men participated (51.41% </w:t>
      </w:r>
      <w:r w:rsidRPr="00E173FE">
        <w:rPr>
          <w:i/>
          <w:lang w:val="en-US"/>
        </w:rPr>
        <w:t>vs</w:t>
      </w:r>
      <w:r w:rsidR="00E173FE">
        <w:rPr>
          <w:rFonts w:hint="eastAsia"/>
          <w:lang w:val="en-US" w:eastAsia="zh-CN"/>
        </w:rPr>
        <w:t xml:space="preserve"> </w:t>
      </w:r>
      <w:r w:rsidRPr="00E173FE">
        <w:rPr>
          <w:lang w:val="en-US"/>
        </w:rPr>
        <w:t xml:space="preserve">47.01%). On average, 6.56% of test results were positive, with a higher percentage found in men (8.2%) than in women (5.17%). The positive predictive value (PPV) for cancer was 4.70%. The CRC detection rate was 2.75 per 1000 </w:t>
      </w:r>
      <w:proofErr w:type="gramStart"/>
      <w:r w:rsidRPr="00E173FE">
        <w:rPr>
          <w:lang w:val="en-US"/>
        </w:rPr>
        <w:t>screenings</w:t>
      </w:r>
      <w:r w:rsidRPr="00E173FE">
        <w:rPr>
          <w:rFonts w:cs="Arial"/>
          <w:vertAlign w:val="superscript"/>
          <w:lang w:val="en-US"/>
        </w:rPr>
        <w:t>[</w:t>
      </w:r>
      <w:proofErr w:type="gramEnd"/>
      <w:r w:rsidRPr="00E173FE">
        <w:rPr>
          <w:vertAlign w:val="superscript"/>
          <w:lang w:val="en-US"/>
        </w:rPr>
        <w:t>34</w:t>
      </w:r>
      <w:r w:rsidRPr="00E173FE">
        <w:rPr>
          <w:rFonts w:cs="Arial"/>
          <w:vertAlign w:val="superscript"/>
          <w:lang w:val="en-US"/>
        </w:rPr>
        <w:t>]</w:t>
      </w:r>
      <w:r w:rsidRPr="00E173FE">
        <w:rPr>
          <w:lang w:val="en-US"/>
        </w:rPr>
        <w:t>.</w:t>
      </w:r>
    </w:p>
    <w:p w:rsidR="00156F78" w:rsidRPr="00E173FE" w:rsidRDefault="00156F78" w:rsidP="00E173FE">
      <w:pPr>
        <w:spacing w:after="0"/>
        <w:rPr>
          <w:rStyle w:val="head3Char"/>
          <w:b/>
          <w:u w:val="none"/>
          <w:lang w:eastAsia="zh-CN"/>
        </w:rPr>
      </w:pPr>
    </w:p>
    <w:p w:rsidR="00A464B6" w:rsidRPr="00E173FE" w:rsidRDefault="00A464B6" w:rsidP="00E173FE">
      <w:pPr>
        <w:spacing w:after="0"/>
        <w:rPr>
          <w:lang w:val="en-US"/>
        </w:rPr>
      </w:pPr>
      <w:r w:rsidRPr="00E173FE">
        <w:rPr>
          <w:rStyle w:val="head3Char"/>
          <w:b/>
          <w:u w:val="none"/>
        </w:rPr>
        <w:t>The Netherlands</w:t>
      </w:r>
      <w:r w:rsidRPr="00E173FE">
        <w:rPr>
          <w:b/>
          <w:lang w:val="en-US"/>
        </w:rPr>
        <w:t xml:space="preserve">: </w:t>
      </w:r>
      <w:r w:rsidRPr="00E173FE">
        <w:rPr>
          <w:lang w:val="en-US"/>
        </w:rPr>
        <w:t>In 2011, the Netherlands decided to implement a national population screening program for CRC. The program began in 2014, with the FIT test and a cut-off value of 15</w:t>
      </w:r>
      <w:r w:rsidR="00E173FE">
        <w:rPr>
          <w:rFonts w:hint="eastAsia"/>
          <w:lang w:val="en-US" w:eastAsia="zh-CN"/>
        </w:rPr>
        <w:t xml:space="preserve"> </w:t>
      </w:r>
      <w:r w:rsidRPr="00E173FE">
        <w:rPr>
          <w:lang w:val="en-US"/>
        </w:rPr>
        <w:t xml:space="preserve">µg/g. This program achieved a 68.2% participation rate. Initially, it was necessary to increase the cut-off value (from 15 </w:t>
      </w:r>
      <w:r w:rsidRPr="00E173FE">
        <w:t>μ</w:t>
      </w:r>
      <w:r w:rsidRPr="00E173FE">
        <w:rPr>
          <w:lang w:val="en-US"/>
        </w:rPr>
        <w:t xml:space="preserve">g/g to 47 </w:t>
      </w:r>
      <w:r w:rsidRPr="00E173FE">
        <w:t>μ</w:t>
      </w:r>
      <w:r w:rsidRPr="00E173FE">
        <w:rPr>
          <w:lang w:val="en-US"/>
        </w:rPr>
        <w:t>g/</w:t>
      </w:r>
      <w:proofErr w:type="gramStart"/>
      <w:r w:rsidRPr="00E173FE">
        <w:rPr>
          <w:lang w:val="en-US"/>
        </w:rPr>
        <w:t>g</w:t>
      </w:r>
      <w:r w:rsidRPr="00E173FE" w:rsidDel="00065A90">
        <w:rPr>
          <w:lang w:val="en-US"/>
        </w:rPr>
        <w:t xml:space="preserve"> </w:t>
      </w:r>
      <w:r w:rsidRPr="00E173FE">
        <w:rPr>
          <w:lang w:val="en-US"/>
        </w:rPr>
        <w:t>)</w:t>
      </w:r>
      <w:proofErr w:type="gramEnd"/>
      <w:r w:rsidRPr="00E173FE">
        <w:rPr>
          <w:lang w:val="en-US"/>
        </w:rPr>
        <w:t>, because the proportion of individuals with positive tests was higher than expected (12%). This proportion exceeded the number of false positives, and it surpassed the capacity to perform colonoscopies. With the first cut-off value, test positivity was 10.1% in women and 14.5% in men. Colonoscopies were performed in 74.3% of these patients; among these, CRC was detected in 763 (6.7%) and advanced adenoma was detected in 33.5%. The CRC detection rate was 5.9 per 1000 inhabitants and the PPV was 6.7</w:t>
      </w:r>
      <w:proofErr w:type="gramStart"/>
      <w:r w:rsidRPr="00E173FE">
        <w:rPr>
          <w:lang w:val="en-US"/>
        </w:rPr>
        <w:t>%</w:t>
      </w:r>
      <w:r w:rsidRPr="00E173FE">
        <w:rPr>
          <w:rFonts w:cs="Arial"/>
          <w:vertAlign w:val="superscript"/>
          <w:lang w:val="en-US"/>
        </w:rPr>
        <w:t>[</w:t>
      </w:r>
      <w:proofErr w:type="gramEnd"/>
      <w:r w:rsidRPr="00E173FE">
        <w:rPr>
          <w:vertAlign w:val="superscript"/>
          <w:lang w:val="en-US"/>
        </w:rPr>
        <w:t>35</w:t>
      </w:r>
      <w:r w:rsidRPr="00E173FE">
        <w:rPr>
          <w:rFonts w:cs="Arial"/>
          <w:vertAlign w:val="superscript"/>
          <w:lang w:val="en-US"/>
        </w:rPr>
        <w:t>]</w:t>
      </w:r>
      <w:r w:rsidRPr="00E173FE">
        <w:rPr>
          <w:lang w:val="en-US"/>
        </w:rPr>
        <w:t>.</w:t>
      </w:r>
    </w:p>
    <w:p w:rsidR="00156F78" w:rsidRPr="00E173FE" w:rsidRDefault="00156F78" w:rsidP="00D077F2">
      <w:pPr>
        <w:spacing w:after="0"/>
        <w:ind w:firstLineChars="149" w:firstLine="359"/>
        <w:rPr>
          <w:rStyle w:val="head3Char"/>
          <w:b/>
          <w:u w:val="none"/>
          <w:lang w:eastAsia="zh-CN"/>
        </w:rPr>
      </w:pPr>
    </w:p>
    <w:p w:rsidR="00A464B6" w:rsidRPr="00E173FE" w:rsidRDefault="00A464B6" w:rsidP="00E173FE">
      <w:pPr>
        <w:spacing w:after="0"/>
        <w:rPr>
          <w:lang w:val="en-US"/>
        </w:rPr>
      </w:pPr>
      <w:r w:rsidRPr="00E173FE">
        <w:rPr>
          <w:rStyle w:val="head3Char"/>
          <w:b/>
          <w:u w:val="none"/>
        </w:rPr>
        <w:t>Ireland</w:t>
      </w:r>
      <w:r w:rsidRPr="00E173FE">
        <w:rPr>
          <w:b/>
          <w:lang w:val="en-US"/>
        </w:rPr>
        <w:t xml:space="preserve">: </w:t>
      </w:r>
      <w:r w:rsidRPr="00E173FE">
        <w:rPr>
          <w:iCs/>
          <w:lang w:val="en-US"/>
        </w:rPr>
        <w:t>The</w:t>
      </w:r>
      <w:r w:rsidRPr="00E173FE">
        <w:rPr>
          <w:lang w:val="en-US"/>
        </w:rPr>
        <w:t xml:space="preserve"> first pilot program in Ireland was the</w:t>
      </w:r>
      <w:r w:rsidRPr="00E173FE">
        <w:rPr>
          <w:iCs/>
          <w:lang w:val="en-US"/>
        </w:rPr>
        <w:t xml:space="preserve"> Adelaide and </w:t>
      </w:r>
      <w:proofErr w:type="spellStart"/>
      <w:r w:rsidRPr="00E173FE">
        <w:rPr>
          <w:iCs/>
          <w:lang w:val="en-US"/>
        </w:rPr>
        <w:t>Meath</w:t>
      </w:r>
      <w:proofErr w:type="spellEnd"/>
      <w:r w:rsidRPr="00E173FE">
        <w:rPr>
          <w:iCs/>
          <w:lang w:val="en-US"/>
        </w:rPr>
        <w:t xml:space="preserve"> Hospital/Trinity College Dublin Colorectal Cancer Screening Program (TTC-CRC-SP).</w:t>
      </w:r>
      <w:r w:rsidRPr="00E173FE">
        <w:rPr>
          <w:i/>
          <w:lang w:val="en-US"/>
        </w:rPr>
        <w:t xml:space="preserve"> </w:t>
      </w:r>
      <w:r w:rsidRPr="00E173FE">
        <w:rPr>
          <w:lang w:val="en-US"/>
        </w:rPr>
        <w:t xml:space="preserve">It included a population aged 50 to 74 years, and it applied the FIT (OC Sensor, cut-off value 20 </w:t>
      </w:r>
      <w:proofErr w:type="spellStart"/>
      <w:r w:rsidRPr="00E173FE">
        <w:rPr>
          <w:lang w:val="en-US"/>
        </w:rPr>
        <w:t>μg</w:t>
      </w:r>
      <w:proofErr w:type="spellEnd"/>
      <w:r w:rsidRPr="00E173FE">
        <w:rPr>
          <w:lang w:val="en-US"/>
        </w:rPr>
        <w:t xml:space="preserve">/g). The participation rate was 51% (58% women and 42% men). The proportion of individuals with positive test results was 10%. Of the colonoscopies performed (87%), advanced adenomas were detected in 99 patients (24%) and CRC was detected in 38 (9%). The PPVs for CRC and advanced adenoma were 4% and 5%, respectively, and the CRC </w:t>
      </w:r>
      <w:r w:rsidRPr="00E173FE">
        <w:rPr>
          <w:lang w:val="en-US"/>
        </w:rPr>
        <w:lastRenderedPageBreak/>
        <w:t>detection rate was 0.33</w:t>
      </w:r>
      <w:proofErr w:type="gramStart"/>
      <w:r w:rsidRPr="00E173FE">
        <w:rPr>
          <w:lang w:val="en-US"/>
        </w:rPr>
        <w:t>%</w:t>
      </w:r>
      <w:r w:rsidRPr="00E173FE">
        <w:rPr>
          <w:rFonts w:cs="Arial"/>
          <w:vertAlign w:val="superscript"/>
          <w:lang w:val="en-US"/>
        </w:rPr>
        <w:t>[</w:t>
      </w:r>
      <w:proofErr w:type="gramEnd"/>
      <w:r w:rsidRPr="00E173FE">
        <w:rPr>
          <w:vertAlign w:val="superscript"/>
          <w:lang w:val="en-US"/>
        </w:rPr>
        <w:t>36</w:t>
      </w:r>
      <w:r w:rsidRPr="00E173FE">
        <w:rPr>
          <w:rFonts w:cs="Arial"/>
          <w:vertAlign w:val="superscript"/>
          <w:lang w:val="en-US"/>
        </w:rPr>
        <w:t>]</w:t>
      </w:r>
      <w:r w:rsidRPr="00E173FE">
        <w:rPr>
          <w:lang w:val="en-US"/>
        </w:rPr>
        <w:t>. A second round was conducted, where they excluded patients that had changed residence, had been diagnosed with cancer, and had died. The participation rate was 48%, and 375 patients had positive test results (8%). Of the patients with a positive test, 87% underwent a colonoscopy. The PPV for CRC was similar to that of the first round (4%), and the CRC detection rate was 0.12</w:t>
      </w:r>
      <w:proofErr w:type="gramStart"/>
      <w:r w:rsidRPr="00E173FE">
        <w:rPr>
          <w:lang w:val="en-US"/>
        </w:rPr>
        <w:t>%</w:t>
      </w:r>
      <w:r w:rsidRPr="00E173FE">
        <w:rPr>
          <w:rFonts w:cs="Arial"/>
          <w:vertAlign w:val="superscript"/>
          <w:lang w:val="en-US"/>
        </w:rPr>
        <w:t>[</w:t>
      </w:r>
      <w:proofErr w:type="gramEnd"/>
      <w:r w:rsidRPr="00E173FE">
        <w:rPr>
          <w:vertAlign w:val="superscript"/>
          <w:lang w:val="en-US"/>
        </w:rPr>
        <w:t>37</w:t>
      </w:r>
      <w:r w:rsidRPr="00E173FE">
        <w:rPr>
          <w:rFonts w:cs="Arial"/>
          <w:vertAlign w:val="superscript"/>
          <w:lang w:val="en-US"/>
        </w:rPr>
        <w:t>]</w:t>
      </w:r>
      <w:r w:rsidRPr="00E173FE">
        <w:rPr>
          <w:lang w:val="en-US"/>
        </w:rPr>
        <w:t>.</w:t>
      </w:r>
    </w:p>
    <w:p w:rsidR="00156F78" w:rsidRPr="00E173FE" w:rsidRDefault="00156F78" w:rsidP="00D077F2">
      <w:pPr>
        <w:spacing w:after="0"/>
        <w:ind w:firstLineChars="150" w:firstLine="361"/>
        <w:rPr>
          <w:rStyle w:val="head3Char"/>
          <w:b/>
          <w:u w:val="none"/>
          <w:lang w:eastAsia="zh-CN"/>
        </w:rPr>
      </w:pPr>
    </w:p>
    <w:p w:rsidR="00A464B6" w:rsidRPr="00E173FE" w:rsidRDefault="00A464B6" w:rsidP="00E173FE">
      <w:pPr>
        <w:spacing w:after="0"/>
        <w:rPr>
          <w:color w:val="000000"/>
          <w:lang w:val="en-US"/>
        </w:rPr>
      </w:pPr>
      <w:r w:rsidRPr="00E173FE">
        <w:rPr>
          <w:rStyle w:val="head3Char"/>
          <w:b/>
          <w:u w:val="none"/>
        </w:rPr>
        <w:t>Italy</w:t>
      </w:r>
      <w:r w:rsidRPr="00E173FE">
        <w:rPr>
          <w:color w:val="000000"/>
          <w:lang w:val="en-US"/>
        </w:rPr>
        <w:t>:</w:t>
      </w:r>
      <w:r w:rsidRPr="00E173FE">
        <w:rPr>
          <w:color w:val="000000"/>
          <w:vertAlign w:val="superscript"/>
          <w:lang w:val="en-US"/>
        </w:rPr>
        <w:t xml:space="preserve"> </w:t>
      </w:r>
      <w:r w:rsidRPr="00E173FE">
        <w:rPr>
          <w:color w:val="000000"/>
          <w:lang w:val="en-US"/>
        </w:rPr>
        <w:t xml:space="preserve">Lombardy is a densely populated northern region of Italy with the highest incidence of CRC. The screening program began with the population aged 50-69 years, in 2005-2006. They applied the FIT with a cut-off value of </w:t>
      </w:r>
      <w:r w:rsidRPr="00E173FE">
        <w:rPr>
          <w:lang w:val="en-US"/>
        </w:rPr>
        <w:t xml:space="preserve">20 </w:t>
      </w:r>
      <w:proofErr w:type="spellStart"/>
      <w:r w:rsidRPr="00E173FE">
        <w:rPr>
          <w:lang w:val="en-US"/>
        </w:rPr>
        <w:t>μg</w:t>
      </w:r>
      <w:proofErr w:type="spellEnd"/>
      <w:r w:rsidRPr="00E173FE">
        <w:rPr>
          <w:lang w:val="en-US"/>
        </w:rPr>
        <w:t>/g</w:t>
      </w:r>
      <w:r w:rsidRPr="00E173FE">
        <w:rPr>
          <w:color w:val="000000"/>
          <w:lang w:val="en-US"/>
        </w:rPr>
        <w:t xml:space="preserve">. The second round of the program had been completed in 2009. The </w:t>
      </w:r>
      <w:r w:rsidRPr="00E173FE">
        <w:rPr>
          <w:lang w:val="en-US"/>
        </w:rPr>
        <w:t>PPVs for advanced adenoma were 29% in the first round, and 30.2% in the second round. The PPVs for CRC were 4% and 3%, respectively</w:t>
      </w:r>
      <w:r w:rsidRPr="00E173FE">
        <w:rPr>
          <w:color w:val="000000"/>
          <w:lang w:val="en-US"/>
        </w:rPr>
        <w:t xml:space="preserve">. The PPVs for advanced adenoma and CRC were higher in people aged 60-69 years and in males. The CRC detection rates in the first and second rounds were 2.5 and 1.6 per 1000 screened, </w:t>
      </w:r>
      <w:proofErr w:type="gramStart"/>
      <w:r w:rsidRPr="00E173FE">
        <w:rPr>
          <w:color w:val="000000"/>
          <w:lang w:val="en-US"/>
        </w:rPr>
        <w:t>respectively</w:t>
      </w:r>
      <w:r w:rsidRPr="00E173FE">
        <w:rPr>
          <w:rFonts w:cs="Arial"/>
          <w:vertAlign w:val="superscript"/>
          <w:lang w:val="en-US"/>
        </w:rPr>
        <w:t>[</w:t>
      </w:r>
      <w:proofErr w:type="gramEnd"/>
      <w:r w:rsidRPr="00E173FE">
        <w:rPr>
          <w:color w:val="000000"/>
          <w:vertAlign w:val="superscript"/>
          <w:lang w:val="en-US"/>
        </w:rPr>
        <w:t>38</w:t>
      </w:r>
      <w:r w:rsidRPr="00E173FE">
        <w:rPr>
          <w:rFonts w:cs="Arial"/>
          <w:vertAlign w:val="superscript"/>
          <w:lang w:val="en-US"/>
        </w:rPr>
        <w:t>]</w:t>
      </w:r>
      <w:r w:rsidRPr="00E173FE">
        <w:rPr>
          <w:color w:val="000000"/>
          <w:lang w:val="en-US"/>
        </w:rPr>
        <w:t xml:space="preserve">. </w:t>
      </w:r>
    </w:p>
    <w:p w:rsidR="00156F78" w:rsidRPr="00E173FE" w:rsidRDefault="00156F78" w:rsidP="00D077F2">
      <w:pPr>
        <w:spacing w:after="0"/>
        <w:ind w:firstLineChars="100" w:firstLine="241"/>
        <w:rPr>
          <w:rStyle w:val="head3Char"/>
          <w:b/>
          <w:u w:val="none"/>
          <w:lang w:eastAsia="zh-CN"/>
        </w:rPr>
      </w:pPr>
    </w:p>
    <w:p w:rsidR="00A464B6" w:rsidRPr="00E173FE" w:rsidRDefault="00A464B6" w:rsidP="00E173FE">
      <w:pPr>
        <w:spacing w:after="0"/>
        <w:rPr>
          <w:lang w:val="en-US"/>
        </w:rPr>
      </w:pPr>
      <w:r w:rsidRPr="00E173FE">
        <w:rPr>
          <w:rStyle w:val="head3Char"/>
          <w:b/>
          <w:u w:val="none"/>
        </w:rPr>
        <w:t>Croatia</w:t>
      </w:r>
      <w:r w:rsidRPr="00E173FE">
        <w:rPr>
          <w:b/>
          <w:lang w:val="en-US"/>
        </w:rPr>
        <w:t>:</w:t>
      </w:r>
      <w:r w:rsidRPr="00E173FE">
        <w:rPr>
          <w:lang w:val="en-US"/>
        </w:rPr>
        <w:t xml:space="preserve"> The Croatian screening program was implemented in 2007 for the population aged 50-74 years. They implemented the G-FOBT. Participation was low, reaching 19.9%. Positive tests were found in 6.9% cases, and of these, only 66% received a colonoscopy. CRC was identified in 472 patients (3.8%)</w:t>
      </w:r>
      <w:r w:rsidRPr="00E173FE">
        <w:rPr>
          <w:vertAlign w:val="superscript"/>
          <w:lang w:val="en-US"/>
        </w:rPr>
        <w:t xml:space="preserve"> </w:t>
      </w:r>
      <w:r w:rsidRPr="00E173FE">
        <w:rPr>
          <w:rFonts w:cs="Arial"/>
          <w:vertAlign w:val="superscript"/>
          <w:lang w:val="en-US"/>
        </w:rPr>
        <w:t>[</w:t>
      </w:r>
      <w:r w:rsidRPr="00E173FE">
        <w:rPr>
          <w:vertAlign w:val="superscript"/>
          <w:lang w:val="en-US"/>
        </w:rPr>
        <w:t>39</w:t>
      </w:r>
      <w:r w:rsidRPr="00E173FE">
        <w:rPr>
          <w:rFonts w:cs="Arial"/>
          <w:vertAlign w:val="superscript"/>
          <w:lang w:val="en-US"/>
        </w:rPr>
        <w:t>]</w:t>
      </w:r>
      <w:r w:rsidRPr="00E173FE">
        <w:rPr>
          <w:lang w:val="en-US"/>
        </w:rPr>
        <w:t>.</w:t>
      </w:r>
    </w:p>
    <w:p w:rsidR="00156F78" w:rsidRPr="00E173FE" w:rsidRDefault="00156F78" w:rsidP="00D077F2">
      <w:pPr>
        <w:spacing w:after="0"/>
        <w:ind w:firstLineChars="100" w:firstLine="241"/>
        <w:rPr>
          <w:rStyle w:val="head3Char"/>
          <w:b/>
          <w:u w:val="none"/>
          <w:lang w:eastAsia="zh-CN"/>
        </w:rPr>
      </w:pPr>
    </w:p>
    <w:p w:rsidR="00A464B6" w:rsidRPr="00E173FE" w:rsidRDefault="00A464B6" w:rsidP="00E173FE">
      <w:pPr>
        <w:spacing w:after="0"/>
        <w:rPr>
          <w:lang w:val="en-US"/>
        </w:rPr>
      </w:pPr>
      <w:r w:rsidRPr="00E173FE">
        <w:rPr>
          <w:rStyle w:val="head3Char"/>
          <w:b/>
          <w:u w:val="none"/>
        </w:rPr>
        <w:t>Lithuania</w:t>
      </w:r>
      <w:r w:rsidRPr="00E173FE">
        <w:rPr>
          <w:b/>
          <w:lang w:val="en-US"/>
        </w:rPr>
        <w:t xml:space="preserve">: </w:t>
      </w:r>
      <w:r w:rsidRPr="00E173FE">
        <w:rPr>
          <w:lang w:val="en-US"/>
        </w:rPr>
        <w:t xml:space="preserve">The Lithuanian National Screening Program began in 2009, for the population aged 50 to 74 years. The FIT was applied. The participation rate for 3 years was 46% (271,396). A positive FIT was observed in </w:t>
      </w:r>
      <w:r w:rsidR="00E173FE">
        <w:rPr>
          <w:lang w:val="en-US"/>
        </w:rPr>
        <w:t>19</w:t>
      </w:r>
      <w:r w:rsidRPr="00E173FE">
        <w:rPr>
          <w:lang w:val="en-US"/>
        </w:rPr>
        <w:t>455 participants (7.2%). Of these, 66.1% underwent a colonoscopy. High-grade neoplasia was detected in 3.9% of cases, and the rate of CRC was 3.1% among all colonoscopies. The rate of CRC detected with the program was 0.2</w:t>
      </w:r>
      <w:proofErr w:type="gramStart"/>
      <w:r w:rsidRPr="00E173FE">
        <w:rPr>
          <w:lang w:val="en-US"/>
        </w:rPr>
        <w:t>%</w:t>
      </w:r>
      <w:r w:rsidRPr="00E173FE">
        <w:rPr>
          <w:rFonts w:cs="Arial"/>
          <w:vertAlign w:val="superscript"/>
          <w:lang w:val="en-US"/>
        </w:rPr>
        <w:t>[</w:t>
      </w:r>
      <w:proofErr w:type="gramEnd"/>
      <w:r w:rsidRPr="00E173FE">
        <w:rPr>
          <w:vertAlign w:val="superscript"/>
          <w:lang w:val="en-US"/>
        </w:rPr>
        <w:t>40</w:t>
      </w:r>
      <w:r w:rsidRPr="00E173FE">
        <w:rPr>
          <w:rFonts w:cs="Arial"/>
          <w:vertAlign w:val="superscript"/>
          <w:lang w:val="en-US"/>
        </w:rPr>
        <w:t>]</w:t>
      </w:r>
      <w:r w:rsidRPr="00E173FE">
        <w:rPr>
          <w:lang w:val="en-US"/>
        </w:rPr>
        <w:t>.</w:t>
      </w:r>
    </w:p>
    <w:p w:rsidR="00156F78" w:rsidRPr="00E173FE" w:rsidRDefault="00156F78" w:rsidP="00D077F2">
      <w:pPr>
        <w:spacing w:after="0"/>
        <w:ind w:firstLineChars="100" w:firstLine="241"/>
        <w:rPr>
          <w:rStyle w:val="head3Char"/>
          <w:b/>
          <w:u w:val="none"/>
          <w:lang w:eastAsia="zh-CN"/>
        </w:rPr>
      </w:pPr>
    </w:p>
    <w:p w:rsidR="00A464B6" w:rsidRPr="00E173FE" w:rsidRDefault="00A464B6" w:rsidP="00E173FE">
      <w:pPr>
        <w:spacing w:after="0"/>
        <w:rPr>
          <w:lang w:val="en-US"/>
        </w:rPr>
      </w:pPr>
      <w:r w:rsidRPr="00E173FE">
        <w:rPr>
          <w:rStyle w:val="head3Char"/>
          <w:b/>
          <w:u w:val="none"/>
        </w:rPr>
        <w:t>Slovenia</w:t>
      </w:r>
      <w:r w:rsidRPr="00E173FE">
        <w:rPr>
          <w:b/>
          <w:lang w:val="en-US"/>
        </w:rPr>
        <w:t>:</w:t>
      </w:r>
      <w:r w:rsidRPr="00E173FE">
        <w:rPr>
          <w:lang w:val="en-US"/>
        </w:rPr>
        <w:t xml:space="preserve"> The Slovenian National Screening Program (SVIT program) started in 2009. This program performed a biennial FIT for the population aged 50 to 69 years during 2014. The participation rate was 57.8% (53.2% men, 62.3% </w:t>
      </w:r>
      <w:r w:rsidRPr="00E173FE">
        <w:rPr>
          <w:lang w:val="en-US"/>
        </w:rPr>
        <w:lastRenderedPageBreak/>
        <w:t xml:space="preserve">women). In this population, 6% had positive test results (7.6% men and 4.7% women). The colonoscopies detected 159 (2.12%) patients with CRC and 1887 (25.16%) patients with advanced </w:t>
      </w:r>
      <w:proofErr w:type="gramStart"/>
      <w:r w:rsidRPr="00E173FE">
        <w:rPr>
          <w:lang w:val="en-US"/>
        </w:rPr>
        <w:t>adenomas</w:t>
      </w:r>
      <w:r w:rsidRPr="00E173FE">
        <w:rPr>
          <w:rFonts w:cs="Arial"/>
          <w:vertAlign w:val="superscript"/>
          <w:lang w:val="en-US"/>
        </w:rPr>
        <w:t>[</w:t>
      </w:r>
      <w:proofErr w:type="gramEnd"/>
      <w:r w:rsidRPr="00E173FE">
        <w:rPr>
          <w:vertAlign w:val="superscript"/>
          <w:lang w:val="en-US"/>
        </w:rPr>
        <w:t>41</w:t>
      </w:r>
      <w:r w:rsidRPr="00E173FE">
        <w:rPr>
          <w:rFonts w:cs="Arial"/>
          <w:vertAlign w:val="superscript"/>
          <w:lang w:val="en-US"/>
        </w:rPr>
        <w:t>]</w:t>
      </w:r>
      <w:r w:rsidRPr="00E173FE">
        <w:rPr>
          <w:lang w:val="en-US"/>
        </w:rPr>
        <w:t xml:space="preserve">. </w:t>
      </w:r>
    </w:p>
    <w:p w:rsidR="00156F78" w:rsidRPr="00E173FE" w:rsidRDefault="00156F78" w:rsidP="00D077F2">
      <w:pPr>
        <w:spacing w:after="0"/>
        <w:ind w:firstLineChars="100" w:firstLine="241"/>
        <w:rPr>
          <w:rStyle w:val="head3Char"/>
          <w:b/>
          <w:u w:val="none"/>
          <w:lang w:eastAsia="zh-CN"/>
        </w:rPr>
      </w:pPr>
    </w:p>
    <w:p w:rsidR="00A464B6" w:rsidRPr="00E173FE" w:rsidRDefault="00A464B6" w:rsidP="00E173FE">
      <w:pPr>
        <w:spacing w:after="0"/>
        <w:rPr>
          <w:lang w:val="en-US"/>
        </w:rPr>
      </w:pPr>
      <w:r w:rsidRPr="00E173FE">
        <w:rPr>
          <w:rStyle w:val="head3Char"/>
          <w:b/>
          <w:u w:val="none"/>
        </w:rPr>
        <w:t>England</w:t>
      </w:r>
      <w:r w:rsidRPr="00E173FE">
        <w:rPr>
          <w:b/>
          <w:lang w:val="en-US"/>
        </w:rPr>
        <w:t>:</w:t>
      </w:r>
      <w:r w:rsidRPr="00E173FE">
        <w:rPr>
          <w:lang w:val="en-US"/>
        </w:rPr>
        <w:t xml:space="preserve"> The English National Screening Program began in 2006 for the population aged 60 to 69 years. This program performed a biennial G-FOBT. The first round was completed in 2010. Of the 2 million invitations sent, 49.6% of men and 54.4% of women responded. The overall participation rate was 52%. Positive test results were found in 2% (2.5% men, 1.5% women). Among the colonoscopies performed (83%), CRC was detected in 10.1% (</w:t>
      </w:r>
      <w:r w:rsidRPr="00E173FE">
        <w:rPr>
          <w:i/>
          <w:lang w:val="en-US"/>
        </w:rPr>
        <w:t>n</w:t>
      </w:r>
      <w:r w:rsidR="00156F78" w:rsidRPr="00E173FE">
        <w:rPr>
          <w:rFonts w:hint="eastAsia"/>
          <w:lang w:val="en-US" w:eastAsia="zh-CN"/>
        </w:rPr>
        <w:t xml:space="preserve"> </w:t>
      </w:r>
      <w:r w:rsidRPr="00E173FE">
        <w:rPr>
          <w:lang w:val="en-US"/>
        </w:rPr>
        <w:t>=</w:t>
      </w:r>
      <w:r w:rsidR="00156F78" w:rsidRPr="00E173FE">
        <w:rPr>
          <w:rFonts w:hint="eastAsia"/>
          <w:lang w:val="en-US" w:eastAsia="zh-CN"/>
        </w:rPr>
        <w:t xml:space="preserve"> </w:t>
      </w:r>
      <w:r w:rsidRPr="00E173FE">
        <w:rPr>
          <w:lang w:val="en-US"/>
        </w:rPr>
        <w:t>1772; detection rates of 11.6% in men and 7.8% in women). High risk adenomas were detected in 9.8% (</w:t>
      </w:r>
      <w:r w:rsidRPr="00E173FE">
        <w:rPr>
          <w:i/>
          <w:lang w:val="en-US"/>
        </w:rPr>
        <w:t>n</w:t>
      </w:r>
      <w:r w:rsidR="00156F78" w:rsidRPr="00E173FE">
        <w:rPr>
          <w:rFonts w:hint="eastAsia"/>
          <w:lang w:val="en-US" w:eastAsia="zh-CN"/>
        </w:rPr>
        <w:t xml:space="preserve"> </w:t>
      </w:r>
      <w:r w:rsidRPr="00E173FE">
        <w:rPr>
          <w:lang w:val="en-US"/>
        </w:rPr>
        <w:t>=</w:t>
      </w:r>
      <w:r w:rsidR="00156F78" w:rsidRPr="00E173FE">
        <w:rPr>
          <w:rFonts w:hint="eastAsia"/>
          <w:lang w:val="en-US" w:eastAsia="zh-CN"/>
        </w:rPr>
        <w:t xml:space="preserve"> </w:t>
      </w:r>
      <w:r w:rsidRPr="00E173FE">
        <w:rPr>
          <w:lang w:val="en-US"/>
        </w:rPr>
        <w:t>1721; detection rates of 12.2% in men and 6.2% in women)</w:t>
      </w:r>
      <w:r w:rsidRPr="00E173FE">
        <w:rPr>
          <w:rFonts w:cs="Arial"/>
          <w:vertAlign w:val="superscript"/>
          <w:lang w:val="en-US"/>
        </w:rPr>
        <w:t xml:space="preserve"> [</w:t>
      </w:r>
      <w:r w:rsidRPr="00E173FE">
        <w:rPr>
          <w:vertAlign w:val="superscript"/>
          <w:lang w:val="en-US"/>
        </w:rPr>
        <w:t>42</w:t>
      </w:r>
      <w:r w:rsidRPr="00E173FE">
        <w:rPr>
          <w:rFonts w:cs="Arial"/>
          <w:vertAlign w:val="superscript"/>
          <w:lang w:val="en-US"/>
        </w:rPr>
        <w:t>]</w:t>
      </w:r>
      <w:r w:rsidRPr="00E173FE">
        <w:rPr>
          <w:lang w:val="en-US"/>
        </w:rPr>
        <w:t xml:space="preserve">. </w:t>
      </w:r>
    </w:p>
    <w:p w:rsidR="00156F78" w:rsidRPr="00E173FE" w:rsidRDefault="00156F78" w:rsidP="00D077F2">
      <w:pPr>
        <w:spacing w:after="0"/>
        <w:ind w:firstLineChars="100" w:firstLine="241"/>
        <w:rPr>
          <w:rStyle w:val="head3Char"/>
          <w:b/>
          <w:u w:val="none"/>
          <w:lang w:eastAsia="zh-CN"/>
        </w:rPr>
      </w:pPr>
    </w:p>
    <w:p w:rsidR="00A464B6" w:rsidRPr="00E173FE" w:rsidRDefault="00A464B6" w:rsidP="00E173FE">
      <w:pPr>
        <w:spacing w:after="0"/>
        <w:rPr>
          <w:lang w:val="en-US"/>
        </w:rPr>
      </w:pPr>
      <w:r w:rsidRPr="00E173FE">
        <w:rPr>
          <w:rStyle w:val="head3Char"/>
          <w:b/>
          <w:u w:val="none"/>
        </w:rPr>
        <w:t>Czech Republic</w:t>
      </w:r>
      <w:r w:rsidRPr="00E173FE">
        <w:rPr>
          <w:b/>
          <w:lang w:val="en-US"/>
        </w:rPr>
        <w:t>:</w:t>
      </w:r>
      <w:r w:rsidRPr="00E173FE">
        <w:rPr>
          <w:lang w:val="en-US"/>
        </w:rPr>
        <w:t xml:space="preserve"> The Czech National Screening Program started in 2000 for individuals older than 50 years. They applied a biennial G-FOBT. By 2009, the FIT was introduced. The coverage of CRC screening in 2010 was 22.7</w:t>
      </w:r>
      <w:proofErr w:type="gramStart"/>
      <w:r w:rsidRPr="00E173FE">
        <w:rPr>
          <w:lang w:val="en-US"/>
        </w:rPr>
        <w:t>%</w:t>
      </w:r>
      <w:r w:rsidRPr="00E173FE">
        <w:rPr>
          <w:rFonts w:cs="Arial"/>
          <w:vertAlign w:val="superscript"/>
          <w:lang w:val="en-US"/>
        </w:rPr>
        <w:t>[</w:t>
      </w:r>
      <w:proofErr w:type="gramEnd"/>
      <w:r w:rsidRPr="00E173FE">
        <w:rPr>
          <w:vertAlign w:val="superscript"/>
          <w:lang w:val="en-US"/>
        </w:rPr>
        <w:t>43</w:t>
      </w:r>
      <w:r w:rsidRPr="00E173FE">
        <w:rPr>
          <w:rFonts w:cs="Arial"/>
          <w:vertAlign w:val="superscript"/>
          <w:lang w:val="en-US"/>
        </w:rPr>
        <w:t>]</w:t>
      </w:r>
      <w:r w:rsidRPr="00E173FE">
        <w:rPr>
          <w:lang w:val="en-US"/>
        </w:rPr>
        <w:t>. The results of the program from 2001 to 2011 are shown in Table 3.</w:t>
      </w:r>
    </w:p>
    <w:p w:rsidR="00156F78" w:rsidRPr="00E173FE" w:rsidRDefault="00156F78" w:rsidP="00D077F2">
      <w:pPr>
        <w:spacing w:after="0"/>
        <w:ind w:firstLineChars="147" w:firstLine="354"/>
        <w:rPr>
          <w:rStyle w:val="head3Char"/>
          <w:b/>
          <w:u w:val="none"/>
          <w:lang w:eastAsia="zh-CN"/>
        </w:rPr>
      </w:pPr>
    </w:p>
    <w:p w:rsidR="00A464B6" w:rsidRPr="00E173FE" w:rsidRDefault="00A464B6" w:rsidP="00E173FE">
      <w:pPr>
        <w:spacing w:after="0"/>
        <w:rPr>
          <w:szCs w:val="24"/>
          <w:lang w:val="en-US"/>
        </w:rPr>
      </w:pPr>
      <w:r w:rsidRPr="00E173FE">
        <w:rPr>
          <w:rStyle w:val="head3Char"/>
          <w:b/>
          <w:u w:val="none"/>
        </w:rPr>
        <w:t>France</w:t>
      </w:r>
      <w:r w:rsidRPr="00E173FE">
        <w:rPr>
          <w:b/>
          <w:szCs w:val="24"/>
          <w:lang w:val="en-US"/>
        </w:rPr>
        <w:t>:</w:t>
      </w:r>
      <w:r w:rsidRPr="00E173FE">
        <w:rPr>
          <w:szCs w:val="24"/>
          <w:lang w:val="en-US"/>
        </w:rPr>
        <w:t xml:space="preserve"> The French National screening program started in 2008 for the population aged 50-74 years. They applied the G-FOBT. The participation rate was 34.3%. Positive test results were found in 2.8%. Of these, 88% underwent a colonoscopy. CRC was detected in 7.5% (detection was 9% in men and 5.8% in women). The advanced adenoma detection rate was 4.9 per 1000 screened; the CRC detection rate was 1.9</w:t>
      </w:r>
      <w:proofErr w:type="gramStart"/>
      <w:r w:rsidRPr="00E173FE">
        <w:rPr>
          <w:szCs w:val="24"/>
          <w:lang w:val="en-US"/>
        </w:rPr>
        <w:t>‰</w:t>
      </w:r>
      <w:r w:rsidRPr="00E173FE">
        <w:rPr>
          <w:rFonts w:cs="Arial"/>
          <w:vertAlign w:val="superscript"/>
          <w:lang w:val="en-US"/>
        </w:rPr>
        <w:t>[</w:t>
      </w:r>
      <w:proofErr w:type="gramEnd"/>
      <w:r w:rsidRPr="00E173FE">
        <w:rPr>
          <w:szCs w:val="24"/>
          <w:vertAlign w:val="superscript"/>
          <w:lang w:val="en-US"/>
        </w:rPr>
        <w:t>44</w:t>
      </w:r>
      <w:r w:rsidRPr="00E173FE">
        <w:rPr>
          <w:rFonts w:cs="Arial"/>
          <w:vertAlign w:val="superscript"/>
          <w:lang w:val="en-US"/>
        </w:rPr>
        <w:t>]</w:t>
      </w:r>
      <w:r w:rsidRPr="00E173FE">
        <w:rPr>
          <w:szCs w:val="24"/>
          <w:lang w:val="en-US"/>
        </w:rPr>
        <w:t xml:space="preserve">. </w:t>
      </w:r>
    </w:p>
    <w:p w:rsidR="00A464B6" w:rsidRPr="00E173FE" w:rsidRDefault="00A464B6" w:rsidP="00D077F2">
      <w:pPr>
        <w:pStyle w:val="head2"/>
        <w:spacing w:after="0"/>
        <w:rPr>
          <w:u w:val="none"/>
        </w:rPr>
      </w:pPr>
    </w:p>
    <w:p w:rsidR="00A464B6" w:rsidRPr="00E173FE" w:rsidRDefault="00A464B6" w:rsidP="00D077F2">
      <w:pPr>
        <w:pStyle w:val="head2"/>
        <w:spacing w:after="0"/>
        <w:rPr>
          <w:i/>
          <w:u w:val="none"/>
        </w:rPr>
      </w:pPr>
      <w:r w:rsidRPr="00E173FE">
        <w:rPr>
          <w:i/>
          <w:u w:val="none"/>
        </w:rPr>
        <w:t>CRC screening programs in the Americas</w:t>
      </w:r>
    </w:p>
    <w:p w:rsidR="00A464B6" w:rsidRPr="00E173FE" w:rsidRDefault="00156F78" w:rsidP="00E173FE">
      <w:pPr>
        <w:spacing w:after="0"/>
        <w:rPr>
          <w:lang w:val="en-US"/>
        </w:rPr>
      </w:pPr>
      <w:r w:rsidRPr="00E173FE">
        <w:rPr>
          <w:rStyle w:val="head3Char"/>
          <w:b/>
          <w:u w:val="none"/>
        </w:rPr>
        <w:t>United States</w:t>
      </w:r>
      <w:r w:rsidR="00A464B6" w:rsidRPr="00E173FE">
        <w:rPr>
          <w:b/>
          <w:lang w:val="en-US"/>
        </w:rPr>
        <w:t>:</w:t>
      </w:r>
      <w:r w:rsidR="00A464B6" w:rsidRPr="00E173FE">
        <w:rPr>
          <w:lang w:val="en-US"/>
        </w:rPr>
        <w:t xml:space="preserve"> Currently in the US, screening </w:t>
      </w:r>
      <w:proofErr w:type="gramStart"/>
      <w:r w:rsidR="00A464B6" w:rsidRPr="00E173FE">
        <w:rPr>
          <w:lang w:val="en-US"/>
        </w:rPr>
        <w:t>programs  have</w:t>
      </w:r>
      <w:proofErr w:type="gramEnd"/>
      <w:r w:rsidR="00A464B6" w:rsidRPr="00E173FE">
        <w:rPr>
          <w:lang w:val="en-US"/>
        </w:rPr>
        <w:t xml:space="preserve"> been established on an opportunistic basis. The average-risk population (50-75 years) are encouraged to undergo screening at 50 years of age, and participants choose among several options. The available options are: (1) annual G-FOBT or FIT, according to the manufacturer's recommendations for specimen collection; (2) multi-target stool DNA test every 3 years; (3) flexible sigmoidoscopy every 5 </w:t>
      </w:r>
      <w:r w:rsidR="00A464B6" w:rsidRPr="00E173FE">
        <w:rPr>
          <w:lang w:val="en-US"/>
        </w:rPr>
        <w:lastRenderedPageBreak/>
        <w:t xml:space="preserve">years; (4) colonoscopy every 10 years; (5) double-contrast barium enema every 5 years; or (6) CT </w:t>
      </w:r>
      <w:proofErr w:type="spellStart"/>
      <w:r w:rsidR="00A464B6" w:rsidRPr="00E173FE">
        <w:rPr>
          <w:lang w:val="en-US"/>
        </w:rPr>
        <w:t>colonography</w:t>
      </w:r>
      <w:proofErr w:type="spellEnd"/>
      <w:r w:rsidR="00A464B6" w:rsidRPr="00E173FE">
        <w:rPr>
          <w:lang w:val="en-US"/>
        </w:rPr>
        <w:t xml:space="preserve"> every 5 years. In about 90% of cases, colonoscopy is the preferred </w:t>
      </w:r>
      <w:proofErr w:type="gramStart"/>
      <w:r w:rsidR="00A464B6" w:rsidRPr="00E173FE">
        <w:rPr>
          <w:lang w:val="en-US"/>
        </w:rPr>
        <w:t>option</w:t>
      </w:r>
      <w:r w:rsidR="00A464B6" w:rsidRPr="00E173FE">
        <w:rPr>
          <w:rFonts w:cs="Arial"/>
          <w:vertAlign w:val="superscript"/>
          <w:lang w:val="en-US"/>
        </w:rPr>
        <w:t>[</w:t>
      </w:r>
      <w:proofErr w:type="gramEnd"/>
      <w:r w:rsidR="00A464B6" w:rsidRPr="00E173FE">
        <w:rPr>
          <w:vertAlign w:val="superscript"/>
          <w:lang w:val="en-US"/>
        </w:rPr>
        <w:t>28</w:t>
      </w:r>
      <w:r w:rsidR="00A464B6" w:rsidRPr="00E173FE">
        <w:rPr>
          <w:rFonts w:cs="Arial"/>
          <w:vertAlign w:val="superscript"/>
          <w:lang w:val="en-US"/>
        </w:rPr>
        <w:t>]</w:t>
      </w:r>
      <w:r w:rsidR="00A464B6" w:rsidRPr="00E173FE">
        <w:rPr>
          <w:lang w:val="en-US"/>
        </w:rPr>
        <w:t>.</w:t>
      </w:r>
    </w:p>
    <w:p w:rsidR="00A464B6" w:rsidRPr="00E173FE" w:rsidRDefault="00A464B6" w:rsidP="00D077F2">
      <w:pPr>
        <w:spacing w:after="0"/>
        <w:ind w:firstLineChars="150" w:firstLine="360"/>
        <w:rPr>
          <w:lang w:val="en-US"/>
        </w:rPr>
      </w:pPr>
      <w:r w:rsidRPr="00E173FE">
        <w:rPr>
          <w:lang w:val="en-US"/>
        </w:rPr>
        <w:t xml:space="preserve">On the other hand, screening program evaluations have been conducted in several regions of the country. For example, the Kaiser Permanente Northern and Southern California program conducted 4 screening rounds in a population of 50 to 70 years. They used the annual FIT (cut-off value 20 </w:t>
      </w:r>
      <w:proofErr w:type="spellStart"/>
      <w:r w:rsidRPr="00E173FE">
        <w:rPr>
          <w:lang w:val="en-US"/>
        </w:rPr>
        <w:t>μg</w:t>
      </w:r>
      <w:proofErr w:type="spellEnd"/>
      <w:r w:rsidRPr="00E173FE">
        <w:rPr>
          <w:lang w:val="en-US"/>
        </w:rPr>
        <w:t xml:space="preserve">/g). They achieved a 48.2% participation rate in the first round. A positive FIT result was found in 5% of participants and the PPVs were 51.5% for adenomas and 3.4% for </w:t>
      </w:r>
      <w:proofErr w:type="gramStart"/>
      <w:r w:rsidRPr="00E173FE">
        <w:rPr>
          <w:lang w:val="en-US"/>
        </w:rPr>
        <w:t>CRC</w:t>
      </w:r>
      <w:r w:rsidRPr="00E173FE">
        <w:rPr>
          <w:rFonts w:cs="Arial"/>
          <w:vertAlign w:val="superscript"/>
          <w:lang w:val="en-US"/>
        </w:rPr>
        <w:t>[</w:t>
      </w:r>
      <w:proofErr w:type="gramEnd"/>
      <w:r w:rsidRPr="00E173FE">
        <w:rPr>
          <w:vertAlign w:val="superscript"/>
          <w:lang w:val="en-US"/>
        </w:rPr>
        <w:t>45</w:t>
      </w:r>
      <w:r w:rsidRPr="00E173FE">
        <w:rPr>
          <w:rFonts w:cs="Arial"/>
          <w:vertAlign w:val="superscript"/>
          <w:lang w:val="en-US"/>
        </w:rPr>
        <w:t>]</w:t>
      </w:r>
      <w:r w:rsidRPr="00E173FE">
        <w:rPr>
          <w:lang w:val="en-US"/>
        </w:rPr>
        <w:t>.</w:t>
      </w:r>
    </w:p>
    <w:p w:rsidR="00156F78" w:rsidRPr="00E173FE" w:rsidRDefault="00156F78" w:rsidP="00D077F2">
      <w:pPr>
        <w:spacing w:after="0"/>
        <w:ind w:firstLineChars="150" w:firstLine="360"/>
        <w:rPr>
          <w:rStyle w:val="head3Char"/>
          <w:u w:val="none"/>
          <w:lang w:eastAsia="zh-CN"/>
        </w:rPr>
      </w:pPr>
    </w:p>
    <w:p w:rsidR="00A464B6" w:rsidRPr="00E173FE" w:rsidRDefault="00A464B6" w:rsidP="00E173FE">
      <w:pPr>
        <w:spacing w:after="0"/>
        <w:rPr>
          <w:lang w:val="en-US" w:eastAsia="zh-CN"/>
        </w:rPr>
      </w:pPr>
      <w:r w:rsidRPr="00E173FE">
        <w:rPr>
          <w:rStyle w:val="head3Char"/>
          <w:b/>
          <w:u w:val="none"/>
        </w:rPr>
        <w:t>Canada</w:t>
      </w:r>
      <w:r w:rsidRPr="00E173FE">
        <w:rPr>
          <w:b/>
          <w:lang w:val="en-US"/>
        </w:rPr>
        <w:t>:</w:t>
      </w:r>
      <w:r w:rsidRPr="00E173FE">
        <w:rPr>
          <w:lang w:val="en-US"/>
        </w:rPr>
        <w:t xml:space="preserve"> Canada organized a CRC screening program for average-risk individuals, aged 50-74 years, from January 2009 to December 2011. Five provincial programs were included (</w:t>
      </w:r>
      <w:r w:rsidRPr="00E173FE">
        <w:rPr>
          <w:color w:val="000000"/>
          <w:shd w:val="clear" w:color="auto" w:fill="FFFFFF"/>
          <w:lang w:val="en-US"/>
        </w:rPr>
        <w:t>British Columbia, Saskatchewan, Manitoba, Nova Scotia, and Prince Edward Island</w:t>
      </w:r>
      <w:r w:rsidRPr="00E173FE">
        <w:rPr>
          <w:lang w:val="en-US"/>
        </w:rPr>
        <w:t>). The results of the first round showed very low participation rates (16.1%</w:t>
      </w:r>
      <w:proofErr w:type="gramStart"/>
      <w:r w:rsidRPr="00E173FE">
        <w:rPr>
          <w:lang w:val="en-US"/>
        </w:rPr>
        <w:t>)</w:t>
      </w:r>
      <w:r w:rsidRPr="00E173FE">
        <w:rPr>
          <w:rFonts w:cs="Arial"/>
          <w:vertAlign w:val="superscript"/>
          <w:lang w:val="en-US"/>
        </w:rPr>
        <w:t>[</w:t>
      </w:r>
      <w:proofErr w:type="gramEnd"/>
      <w:r w:rsidRPr="00E173FE">
        <w:rPr>
          <w:vertAlign w:val="superscript"/>
          <w:lang w:val="en-US"/>
        </w:rPr>
        <w:t>46</w:t>
      </w:r>
      <w:r w:rsidRPr="00E173FE">
        <w:rPr>
          <w:rFonts w:cs="Arial"/>
          <w:vertAlign w:val="superscript"/>
          <w:lang w:val="en-US"/>
        </w:rPr>
        <w:t>]</w:t>
      </w:r>
      <w:r w:rsidRPr="00E173FE">
        <w:rPr>
          <w:lang w:val="en-US"/>
        </w:rPr>
        <w:t xml:space="preserve">. The test positivity rate was 4.4% (4.8% with FIT and 3.7% with G-FOBT). </w:t>
      </w:r>
      <w:r w:rsidRPr="00E173FE">
        <w:rPr>
          <w:color w:val="000000"/>
          <w:shd w:val="clear" w:color="auto" w:fill="FFFFFF"/>
          <w:lang w:val="en-US"/>
        </w:rPr>
        <w:t>Positive test results were more frequent in men (5.9%) than in women (3.4%), and the frequency increased with age: positive tests were found in 5.7% of the 70–74 age group and 3.4% of the 50–54 age group.</w:t>
      </w:r>
      <w:r w:rsidRPr="00E173FE">
        <w:rPr>
          <w:lang w:val="en-US"/>
        </w:rPr>
        <w:t xml:space="preserve"> Compliance with a follow-up colonoscopy was 80.5%. The detection rates were 16.9 per 1000 screened for adenomas, and</w:t>
      </w:r>
      <w:r w:rsidRPr="00E173FE">
        <w:rPr>
          <w:color w:val="000000"/>
          <w:shd w:val="clear" w:color="auto" w:fill="FFFFFF"/>
          <w:lang w:val="en-US"/>
        </w:rPr>
        <w:t xml:space="preserve"> 1.8 per 1000 screened</w:t>
      </w:r>
      <w:r w:rsidRPr="00E173FE">
        <w:rPr>
          <w:lang w:val="en-US"/>
        </w:rPr>
        <w:t xml:space="preserve"> for C</w:t>
      </w:r>
      <w:r w:rsidRPr="00E173FE">
        <w:rPr>
          <w:rStyle w:val="small-caps"/>
          <w:smallCaps/>
          <w:color w:val="000000"/>
          <w:spacing w:val="5"/>
          <w:szCs w:val="24"/>
          <w:shd w:val="clear" w:color="auto" w:fill="FFFFFF"/>
          <w:lang w:val="en-US"/>
        </w:rPr>
        <w:t>RC</w:t>
      </w:r>
      <w:r w:rsidRPr="00E173FE">
        <w:rPr>
          <w:lang w:val="en-US"/>
        </w:rPr>
        <w:t xml:space="preserve">. </w:t>
      </w:r>
      <w:r w:rsidRPr="00E173FE">
        <w:rPr>
          <w:color w:val="000000"/>
          <w:shd w:val="clear" w:color="auto" w:fill="FFFFFF"/>
          <w:lang w:val="en-US"/>
        </w:rPr>
        <w:t>The</w:t>
      </w:r>
      <w:r w:rsidRPr="00E173FE">
        <w:rPr>
          <w:rStyle w:val="apple-converted-space"/>
          <w:color w:val="000000"/>
          <w:szCs w:val="24"/>
          <w:shd w:val="clear" w:color="auto" w:fill="FFFFFF"/>
          <w:lang w:val="en-US"/>
        </w:rPr>
        <w:t> </w:t>
      </w:r>
      <w:r w:rsidRPr="00E173FE">
        <w:rPr>
          <w:lang w:val="en-US"/>
        </w:rPr>
        <w:t xml:space="preserve">PPVs </w:t>
      </w:r>
      <w:r w:rsidRPr="00E173FE">
        <w:rPr>
          <w:color w:val="000000"/>
          <w:shd w:val="clear" w:color="auto" w:fill="FFFFFF"/>
          <w:lang w:val="en-US"/>
        </w:rPr>
        <w:t>for adenoma were 35.9% with the</w:t>
      </w:r>
      <w:r w:rsidRPr="00E173FE">
        <w:rPr>
          <w:rStyle w:val="apple-converted-space"/>
          <w:color w:val="000000"/>
          <w:szCs w:val="24"/>
          <w:shd w:val="clear" w:color="auto" w:fill="FFFFFF"/>
          <w:lang w:val="en-US"/>
        </w:rPr>
        <w:t> </w:t>
      </w:r>
      <w:r w:rsidRPr="00E173FE">
        <w:rPr>
          <w:rStyle w:val="small-caps"/>
          <w:smallCaps/>
          <w:color w:val="000000"/>
          <w:spacing w:val="5"/>
          <w:szCs w:val="24"/>
          <w:shd w:val="clear" w:color="auto" w:fill="FFFFFF"/>
          <w:lang w:val="en-US"/>
        </w:rPr>
        <w:t>G-FOBT</w:t>
      </w:r>
      <w:r w:rsidRPr="00E173FE">
        <w:rPr>
          <w:color w:val="000000"/>
          <w:shd w:val="clear" w:color="auto" w:fill="FFFFFF"/>
          <w:lang w:val="en-US"/>
        </w:rPr>
        <w:t xml:space="preserve"> and 50.6% with the</w:t>
      </w:r>
      <w:r w:rsidRPr="00E173FE">
        <w:rPr>
          <w:rStyle w:val="apple-converted-space"/>
          <w:color w:val="000000"/>
          <w:szCs w:val="24"/>
          <w:shd w:val="clear" w:color="auto" w:fill="FFFFFF"/>
          <w:lang w:val="en-US"/>
        </w:rPr>
        <w:t> </w:t>
      </w:r>
      <w:r w:rsidRPr="00E173FE">
        <w:rPr>
          <w:rStyle w:val="small-caps"/>
          <w:smallCaps/>
          <w:color w:val="000000"/>
          <w:spacing w:val="5"/>
          <w:szCs w:val="24"/>
          <w:shd w:val="clear" w:color="auto" w:fill="FFFFFF"/>
          <w:lang w:val="en-US"/>
        </w:rPr>
        <w:t xml:space="preserve">FIT. </w:t>
      </w:r>
      <w:r w:rsidRPr="00E173FE">
        <w:rPr>
          <w:lang w:val="en-US"/>
        </w:rPr>
        <w:t>The PPV for CRC was 4.4% in both tests.</w:t>
      </w:r>
    </w:p>
    <w:p w:rsidR="00156F78" w:rsidRPr="00E173FE" w:rsidRDefault="00156F78" w:rsidP="00D077F2">
      <w:pPr>
        <w:spacing w:after="0"/>
        <w:ind w:firstLineChars="150" w:firstLine="360"/>
        <w:rPr>
          <w:lang w:val="en-US" w:eastAsia="zh-CN"/>
        </w:rPr>
      </w:pPr>
    </w:p>
    <w:p w:rsidR="00A464B6" w:rsidRPr="00E173FE" w:rsidRDefault="00A464B6" w:rsidP="00E173FE">
      <w:pPr>
        <w:spacing w:after="0"/>
        <w:rPr>
          <w:lang w:val="en-US" w:eastAsia="zh-CN"/>
        </w:rPr>
      </w:pPr>
      <w:r w:rsidRPr="00E173FE">
        <w:rPr>
          <w:rStyle w:val="head3Char"/>
          <w:b/>
          <w:u w:val="none"/>
        </w:rPr>
        <w:t>Chile</w:t>
      </w:r>
      <w:r w:rsidRPr="00E173FE">
        <w:rPr>
          <w:b/>
          <w:lang w:val="en-US"/>
        </w:rPr>
        <w:t xml:space="preserve">: </w:t>
      </w:r>
      <w:r w:rsidRPr="00E173FE">
        <w:rPr>
          <w:lang w:val="en-US"/>
        </w:rPr>
        <w:t xml:space="preserve">In Chile, an organized screening program was launched between 2007 and 2009 in asymptomatic subjects, aged 50 years or older without risk factors. They applied the FIT test with a cutoff of 20 </w:t>
      </w:r>
      <w:proofErr w:type="spellStart"/>
      <w:r w:rsidRPr="00E173FE">
        <w:rPr>
          <w:lang w:val="en-US"/>
        </w:rPr>
        <w:t>μg</w:t>
      </w:r>
      <w:proofErr w:type="spellEnd"/>
      <w:r w:rsidRPr="00E173FE">
        <w:rPr>
          <w:lang w:val="en-US"/>
        </w:rPr>
        <w:t xml:space="preserve">/g. The participation rate was 77%. Of 4,938 participants, positive test results were found in 9.6%. Of these, a colonoscopy was performed in 58.6%. CRC detection rates were 2 per 1000 </w:t>
      </w:r>
      <w:proofErr w:type="gramStart"/>
      <w:r w:rsidRPr="00E173FE">
        <w:rPr>
          <w:lang w:val="en-US"/>
        </w:rPr>
        <w:t>screenings</w:t>
      </w:r>
      <w:r w:rsidRPr="00E173FE">
        <w:rPr>
          <w:rFonts w:cs="Arial"/>
          <w:vertAlign w:val="superscript"/>
          <w:lang w:val="en-US"/>
        </w:rPr>
        <w:t>[</w:t>
      </w:r>
      <w:proofErr w:type="gramEnd"/>
      <w:r w:rsidRPr="00E173FE">
        <w:rPr>
          <w:vertAlign w:val="superscript"/>
          <w:lang w:val="en-US"/>
        </w:rPr>
        <w:t>47</w:t>
      </w:r>
      <w:r w:rsidRPr="00E173FE">
        <w:rPr>
          <w:rFonts w:cs="Arial"/>
          <w:vertAlign w:val="superscript"/>
          <w:lang w:val="en-US"/>
        </w:rPr>
        <w:t>]</w:t>
      </w:r>
      <w:r w:rsidRPr="00E173FE">
        <w:rPr>
          <w:lang w:val="en-US"/>
        </w:rPr>
        <w:t>.</w:t>
      </w:r>
    </w:p>
    <w:p w:rsidR="00156F78" w:rsidRPr="00E173FE" w:rsidRDefault="00156F78" w:rsidP="00D077F2">
      <w:pPr>
        <w:spacing w:after="0"/>
        <w:ind w:firstLineChars="100" w:firstLine="240"/>
        <w:rPr>
          <w:i/>
          <w:lang w:val="en-US" w:eastAsia="zh-CN"/>
        </w:rPr>
      </w:pPr>
    </w:p>
    <w:p w:rsidR="00A464B6" w:rsidRPr="00E173FE" w:rsidRDefault="00A464B6" w:rsidP="00D077F2">
      <w:pPr>
        <w:pStyle w:val="head2"/>
        <w:spacing w:after="0"/>
        <w:rPr>
          <w:i/>
          <w:u w:val="none"/>
        </w:rPr>
      </w:pPr>
      <w:r w:rsidRPr="00E173FE">
        <w:rPr>
          <w:i/>
          <w:u w:val="none"/>
        </w:rPr>
        <w:t>CRC</w:t>
      </w:r>
      <w:r w:rsidR="00156F78" w:rsidRPr="00E173FE">
        <w:rPr>
          <w:i/>
          <w:u w:val="none"/>
        </w:rPr>
        <w:t xml:space="preserve"> screening programs in the western pacific and </w:t>
      </w:r>
      <w:proofErr w:type="gramStart"/>
      <w:r w:rsidR="00156F78" w:rsidRPr="00E173FE">
        <w:rPr>
          <w:i/>
          <w:u w:val="none"/>
        </w:rPr>
        <w:t xml:space="preserve">east </w:t>
      </w:r>
      <w:proofErr w:type="spellStart"/>
      <w:r w:rsidR="00156F78" w:rsidRPr="00E173FE">
        <w:rPr>
          <w:i/>
          <w:u w:val="none"/>
        </w:rPr>
        <w:t>asia</w:t>
      </w:r>
      <w:proofErr w:type="spellEnd"/>
      <w:proofErr w:type="gramEnd"/>
    </w:p>
    <w:p w:rsidR="00A464B6" w:rsidRPr="00E173FE" w:rsidRDefault="00A464B6" w:rsidP="00D077F2">
      <w:pPr>
        <w:spacing w:after="0"/>
        <w:rPr>
          <w:shd w:val="clear" w:color="auto" w:fill="FFFFFF"/>
          <w:lang w:val="en-US"/>
        </w:rPr>
      </w:pPr>
      <w:r w:rsidRPr="00E173FE">
        <w:rPr>
          <w:lang w:val="en-US"/>
        </w:rPr>
        <w:lastRenderedPageBreak/>
        <w:t>The Asian Pacific Colorectal Cancer Working Group has recommended organized screening in regions with the highest CRC incidence (&gt;</w:t>
      </w:r>
      <w:r w:rsidR="00156F78" w:rsidRPr="00E173FE">
        <w:rPr>
          <w:rFonts w:hint="eastAsia"/>
          <w:lang w:val="en-US" w:eastAsia="zh-CN"/>
        </w:rPr>
        <w:t xml:space="preserve"> </w:t>
      </w:r>
      <w:r w:rsidR="00156F78" w:rsidRPr="00E173FE">
        <w:rPr>
          <w:lang w:val="en-US"/>
        </w:rPr>
        <w:t>30 per 100</w:t>
      </w:r>
      <w:r w:rsidRPr="00E173FE">
        <w:rPr>
          <w:lang w:val="en-US"/>
        </w:rPr>
        <w:t>000)</w:t>
      </w:r>
      <w:r w:rsidRPr="00E173FE">
        <w:rPr>
          <w:rFonts w:cs="Arial"/>
          <w:vertAlign w:val="superscript"/>
          <w:lang w:val="en-US"/>
        </w:rPr>
        <w:t>[</w:t>
      </w:r>
      <w:r w:rsidRPr="00E173FE">
        <w:rPr>
          <w:vertAlign w:val="superscript"/>
          <w:lang w:val="en-US"/>
        </w:rPr>
        <w:t>48</w:t>
      </w:r>
      <w:r w:rsidRPr="00E173FE">
        <w:rPr>
          <w:rFonts w:cs="Arial"/>
          <w:vertAlign w:val="superscript"/>
          <w:lang w:val="en-US"/>
        </w:rPr>
        <w:t>]</w:t>
      </w:r>
      <w:r w:rsidRPr="00E173FE">
        <w:rPr>
          <w:lang w:val="en-US"/>
        </w:rPr>
        <w:t xml:space="preserve">. The programs target average-risk individuals, aged 50-75 years, and they preferably apply the FIT test. Several studies have investigated the barriers to CRC detection in different cultural and socio-political contexts in the Asia-Pacific region. These barriers included poor understanding of the characteristics of screening and testing, lack of financial support, and lack of health </w:t>
      </w:r>
      <w:proofErr w:type="gramStart"/>
      <w:r w:rsidRPr="00E173FE">
        <w:rPr>
          <w:lang w:val="en-US"/>
        </w:rPr>
        <w:t>insurance</w:t>
      </w:r>
      <w:r w:rsidRPr="00E173FE">
        <w:rPr>
          <w:rFonts w:cs="Arial"/>
          <w:vertAlign w:val="superscript"/>
          <w:lang w:val="en-US"/>
        </w:rPr>
        <w:t>[</w:t>
      </w:r>
      <w:proofErr w:type="gramEnd"/>
      <w:r w:rsidRPr="00E173FE">
        <w:rPr>
          <w:vertAlign w:val="superscript"/>
          <w:lang w:val="en-US"/>
        </w:rPr>
        <w:t>49</w:t>
      </w:r>
      <w:r w:rsidRPr="00E173FE">
        <w:rPr>
          <w:rFonts w:cs="Arial"/>
          <w:vertAlign w:val="superscript"/>
          <w:lang w:val="en-US"/>
        </w:rPr>
        <w:t>]</w:t>
      </w:r>
      <w:r w:rsidRPr="00E173FE">
        <w:rPr>
          <w:lang w:val="en-US"/>
        </w:rPr>
        <w:t xml:space="preserve">. </w:t>
      </w:r>
      <w:r w:rsidRPr="00E173FE">
        <w:rPr>
          <w:shd w:val="clear" w:color="auto" w:fill="FFFFFF"/>
          <w:lang w:val="en-US"/>
        </w:rPr>
        <w:t xml:space="preserve">Several countries in East Asia have ongoing organized screening programs, including Japan, Korea, China, Hong Kong, Taiwan, and </w:t>
      </w:r>
      <w:proofErr w:type="gramStart"/>
      <w:r w:rsidRPr="00E173FE">
        <w:rPr>
          <w:shd w:val="clear" w:color="auto" w:fill="FFFFFF"/>
          <w:lang w:val="en-US"/>
        </w:rPr>
        <w:t>Bangkok</w:t>
      </w:r>
      <w:r w:rsidRPr="00E173FE">
        <w:rPr>
          <w:rFonts w:cs="Arial"/>
          <w:vertAlign w:val="superscript"/>
          <w:lang w:val="en-US"/>
        </w:rPr>
        <w:t>[</w:t>
      </w:r>
      <w:proofErr w:type="gramEnd"/>
      <w:r w:rsidRPr="00E173FE">
        <w:rPr>
          <w:shd w:val="clear" w:color="auto" w:fill="FFFFFF"/>
          <w:vertAlign w:val="superscript"/>
          <w:lang w:val="en-US"/>
        </w:rPr>
        <w:t>50</w:t>
      </w:r>
      <w:r w:rsidRPr="00E173FE">
        <w:rPr>
          <w:rFonts w:cs="Arial"/>
          <w:vertAlign w:val="superscript"/>
          <w:lang w:val="en-US"/>
        </w:rPr>
        <w:t>]</w:t>
      </w:r>
      <w:r w:rsidRPr="00E173FE">
        <w:rPr>
          <w:shd w:val="clear" w:color="auto" w:fill="FFFFFF"/>
          <w:lang w:val="en-US"/>
        </w:rPr>
        <w:t>.</w:t>
      </w:r>
      <w:r w:rsidRPr="00E173FE">
        <w:rPr>
          <w:lang w:val="en-US"/>
        </w:rPr>
        <w:t xml:space="preserve"> </w:t>
      </w:r>
      <w:r w:rsidRPr="00E173FE">
        <w:rPr>
          <w:shd w:val="clear" w:color="auto" w:fill="FFFFFF"/>
          <w:lang w:val="en-US"/>
        </w:rPr>
        <w:t>The results for several of these CRC Screening Programs are described below.</w:t>
      </w:r>
    </w:p>
    <w:p w:rsidR="00156F78" w:rsidRPr="00E173FE" w:rsidRDefault="00156F78" w:rsidP="00D077F2">
      <w:pPr>
        <w:spacing w:after="0"/>
        <w:ind w:firstLineChars="100" w:firstLine="240"/>
        <w:rPr>
          <w:rStyle w:val="head3Char"/>
          <w:u w:val="none"/>
          <w:lang w:eastAsia="zh-CN"/>
        </w:rPr>
      </w:pPr>
    </w:p>
    <w:p w:rsidR="00A464B6" w:rsidRPr="00E173FE" w:rsidRDefault="00A464B6" w:rsidP="00E173FE">
      <w:pPr>
        <w:spacing w:after="0"/>
        <w:rPr>
          <w:lang w:val="en-US"/>
        </w:rPr>
      </w:pPr>
      <w:r w:rsidRPr="00E173FE">
        <w:rPr>
          <w:rStyle w:val="head3Char"/>
          <w:b/>
          <w:u w:val="none"/>
        </w:rPr>
        <w:t>Japan</w:t>
      </w:r>
      <w:r w:rsidRPr="00E173FE">
        <w:rPr>
          <w:b/>
          <w:shd w:val="clear" w:color="auto" w:fill="FFFFFF"/>
          <w:lang w:val="en-US"/>
        </w:rPr>
        <w:t xml:space="preserve">: </w:t>
      </w:r>
      <w:r w:rsidRPr="00E173FE">
        <w:rPr>
          <w:lang w:val="en-US"/>
        </w:rPr>
        <w:t xml:space="preserve">In Japan, a CRC screening program has been in place since 1992 for beneficiaries of health insurance, aged 40-69 years. The program applies the FIT. In 2013, participation rates were 41.4% in men and 34.5% in </w:t>
      </w:r>
      <w:proofErr w:type="gramStart"/>
      <w:r w:rsidRPr="00E173FE">
        <w:rPr>
          <w:lang w:val="en-US"/>
        </w:rPr>
        <w:t>women</w:t>
      </w:r>
      <w:r w:rsidRPr="00E173FE">
        <w:rPr>
          <w:rFonts w:cs="Arial"/>
          <w:vertAlign w:val="superscript"/>
          <w:lang w:val="en-US"/>
        </w:rPr>
        <w:t>[</w:t>
      </w:r>
      <w:proofErr w:type="gramEnd"/>
      <w:r w:rsidRPr="00E173FE">
        <w:rPr>
          <w:vertAlign w:val="superscript"/>
          <w:lang w:val="en-US"/>
        </w:rPr>
        <w:t>51</w:t>
      </w:r>
      <w:r w:rsidRPr="00E173FE">
        <w:rPr>
          <w:rFonts w:cs="Arial"/>
          <w:vertAlign w:val="superscript"/>
          <w:lang w:val="en-US"/>
        </w:rPr>
        <w:t>]</w:t>
      </w:r>
      <w:r w:rsidRPr="00E173FE">
        <w:rPr>
          <w:lang w:val="en-US"/>
        </w:rPr>
        <w:t xml:space="preserve">. </w:t>
      </w:r>
    </w:p>
    <w:p w:rsidR="00156F78" w:rsidRPr="00E173FE" w:rsidRDefault="00156F78" w:rsidP="00D077F2">
      <w:pPr>
        <w:spacing w:after="0"/>
        <w:rPr>
          <w:rStyle w:val="head3Char"/>
          <w:u w:val="none"/>
          <w:lang w:eastAsia="zh-CN"/>
        </w:rPr>
      </w:pPr>
    </w:p>
    <w:p w:rsidR="00156F78" w:rsidRDefault="00A464B6" w:rsidP="00D077F2">
      <w:pPr>
        <w:spacing w:after="0"/>
        <w:rPr>
          <w:lang w:val="en-US" w:eastAsia="zh-CN"/>
        </w:rPr>
      </w:pPr>
      <w:r w:rsidRPr="00E173FE">
        <w:rPr>
          <w:rStyle w:val="head3Char"/>
          <w:b/>
          <w:u w:val="none"/>
        </w:rPr>
        <w:t>South Korea</w:t>
      </w:r>
      <w:r w:rsidRPr="00E173FE">
        <w:rPr>
          <w:b/>
          <w:lang w:val="en-US"/>
        </w:rPr>
        <w:t>:</w:t>
      </w:r>
      <w:r w:rsidRPr="00E173FE">
        <w:rPr>
          <w:lang w:val="en-US"/>
        </w:rPr>
        <w:t xml:space="preserve"> The South Korean National Screening Program was introduced in 2004. It targets the National Health Insurance population, aged over 50 years. They employ an annual FIT (qualitative or quantitative). Participation increased from 10.5% in 2004 to 21.1% in 2008</w:t>
      </w:r>
      <w:r w:rsidR="00E173FE" w:rsidRPr="00E173FE">
        <w:rPr>
          <w:rFonts w:cs="Arial" w:hint="eastAsia"/>
          <w:vertAlign w:val="superscript"/>
          <w:lang w:val="en-US" w:eastAsia="zh-CN"/>
        </w:rPr>
        <w:t xml:space="preserve"> </w:t>
      </w:r>
      <w:r w:rsidR="00035B18" w:rsidRPr="00E173FE">
        <w:rPr>
          <w:rFonts w:cs="Arial"/>
          <w:lang w:val="en-US"/>
        </w:rPr>
        <w:t>and to 25% in 2012</w:t>
      </w:r>
      <w:r w:rsidRPr="00E173FE">
        <w:rPr>
          <w:rFonts w:cs="Arial"/>
          <w:vertAlign w:val="superscript"/>
          <w:lang w:val="en-US"/>
        </w:rPr>
        <w:t>[52]</w:t>
      </w:r>
      <w:r w:rsidR="00E173FE">
        <w:rPr>
          <w:rFonts w:hint="eastAsia"/>
          <w:lang w:val="en-US" w:eastAsia="zh-CN"/>
        </w:rPr>
        <w:t xml:space="preserve">. </w:t>
      </w:r>
      <w:r w:rsidRPr="00E173FE">
        <w:rPr>
          <w:lang w:val="en-US"/>
        </w:rPr>
        <w:t>In 2008, the FIT positivity rate was 7.5% (8.8% in men and 6.4% in women). A colonoscopy was performed in 31.4% of those with positive test results. The CRC detection rate was 1.2</w:t>
      </w:r>
      <w:proofErr w:type="gramStart"/>
      <w:r w:rsidRPr="00E173FE">
        <w:rPr>
          <w:lang w:val="en-US"/>
        </w:rPr>
        <w:t>%</w:t>
      </w:r>
      <w:r w:rsidR="00035B18" w:rsidRPr="00E173FE">
        <w:rPr>
          <w:vertAlign w:val="superscript"/>
          <w:lang w:val="en-US"/>
        </w:rPr>
        <w:t>[</w:t>
      </w:r>
      <w:proofErr w:type="gramEnd"/>
      <w:r w:rsidR="00035B18" w:rsidRPr="00E173FE">
        <w:rPr>
          <w:vertAlign w:val="superscript"/>
          <w:lang w:val="en-US"/>
        </w:rPr>
        <w:t>53]</w:t>
      </w:r>
      <w:r w:rsidRPr="00E173FE">
        <w:rPr>
          <w:lang w:val="en-US"/>
        </w:rPr>
        <w:t>.</w:t>
      </w:r>
    </w:p>
    <w:p w:rsidR="00E173FE" w:rsidRDefault="00E173FE" w:rsidP="00E173FE">
      <w:pPr>
        <w:spacing w:after="0"/>
        <w:rPr>
          <w:rStyle w:val="head3Char"/>
          <w:u w:val="none"/>
          <w:lang w:eastAsia="zh-CN"/>
        </w:rPr>
      </w:pPr>
    </w:p>
    <w:p w:rsidR="00A464B6" w:rsidRPr="00E173FE" w:rsidRDefault="00A464B6" w:rsidP="00E173FE">
      <w:pPr>
        <w:spacing w:after="0"/>
        <w:rPr>
          <w:lang w:val="en-US"/>
        </w:rPr>
      </w:pPr>
      <w:r w:rsidRPr="00E173FE">
        <w:rPr>
          <w:rStyle w:val="head3Char"/>
          <w:b/>
          <w:u w:val="none"/>
        </w:rPr>
        <w:t>Taiwan</w:t>
      </w:r>
      <w:r w:rsidRPr="00E173FE">
        <w:rPr>
          <w:b/>
          <w:lang w:val="en-US"/>
        </w:rPr>
        <w:t>:</w:t>
      </w:r>
      <w:r w:rsidRPr="00E173FE">
        <w:rPr>
          <w:lang w:val="en-US"/>
        </w:rPr>
        <w:t xml:space="preserve"> The Taiwanese National program began in 2004. They performed biennial FITs in individuals aged 50 to 69 years. In the first round,</w:t>
      </w:r>
      <w:r w:rsidR="00E173FE">
        <w:rPr>
          <w:lang w:val="en-US"/>
        </w:rPr>
        <w:t xml:space="preserve"> 1160</w:t>
      </w:r>
      <w:r w:rsidRPr="00E173FE">
        <w:rPr>
          <w:lang w:val="en-US"/>
        </w:rPr>
        <w:t xml:space="preserve">895 individuals (21.4%) participated. The test positivity rate was 4%. </w:t>
      </w:r>
      <w:proofErr w:type="gramStart"/>
      <w:r w:rsidRPr="00E173FE">
        <w:rPr>
          <w:lang w:val="en-US"/>
        </w:rPr>
        <w:t>Subsequent  colonoscopies</w:t>
      </w:r>
      <w:proofErr w:type="gramEnd"/>
      <w:r w:rsidRPr="00E173FE">
        <w:rPr>
          <w:lang w:val="en-US"/>
        </w:rPr>
        <w:t xml:space="preserve"> detected 4284 advanced adenomas (detection rate 4.6 per 1000) and 2304 CRCs (detection rate 2.5 per 1000). The PPVs of FITs were 11.7% for advanced adenoma, and 6.1% for </w:t>
      </w:r>
      <w:proofErr w:type="gramStart"/>
      <w:r w:rsidRPr="00E173FE">
        <w:rPr>
          <w:lang w:val="en-US"/>
        </w:rPr>
        <w:t>CRC</w:t>
      </w:r>
      <w:r w:rsidRPr="00E173FE">
        <w:rPr>
          <w:rFonts w:cs="Arial"/>
          <w:vertAlign w:val="superscript"/>
          <w:lang w:val="en-US"/>
        </w:rPr>
        <w:t>[</w:t>
      </w:r>
      <w:proofErr w:type="gramEnd"/>
      <w:r w:rsidRPr="00E173FE">
        <w:rPr>
          <w:vertAlign w:val="superscript"/>
          <w:lang w:val="en-US"/>
        </w:rPr>
        <w:t>54</w:t>
      </w:r>
      <w:r w:rsidRPr="00E173FE">
        <w:rPr>
          <w:rFonts w:cs="Arial"/>
          <w:vertAlign w:val="superscript"/>
          <w:lang w:val="en-US"/>
        </w:rPr>
        <w:t>]</w:t>
      </w:r>
      <w:r w:rsidRPr="00E173FE">
        <w:rPr>
          <w:lang w:val="en-US"/>
        </w:rPr>
        <w:t>.</w:t>
      </w:r>
    </w:p>
    <w:p w:rsidR="00156F78" w:rsidRPr="00E173FE" w:rsidRDefault="00156F78" w:rsidP="00D077F2">
      <w:pPr>
        <w:spacing w:after="0"/>
        <w:rPr>
          <w:rStyle w:val="head3Char"/>
          <w:u w:val="none"/>
          <w:lang w:eastAsia="zh-CN"/>
        </w:rPr>
      </w:pPr>
    </w:p>
    <w:p w:rsidR="00A464B6" w:rsidRPr="00E173FE" w:rsidRDefault="00A464B6" w:rsidP="00E173FE">
      <w:pPr>
        <w:spacing w:after="0"/>
        <w:rPr>
          <w:lang w:val="en-US"/>
        </w:rPr>
      </w:pPr>
      <w:r w:rsidRPr="00E173FE">
        <w:rPr>
          <w:rStyle w:val="head3Char"/>
          <w:b/>
          <w:u w:val="none"/>
        </w:rPr>
        <w:t>Thailand</w:t>
      </w:r>
      <w:r w:rsidRPr="00E173FE">
        <w:rPr>
          <w:b/>
          <w:lang w:val="en-US"/>
        </w:rPr>
        <w:t xml:space="preserve">: </w:t>
      </w:r>
      <w:r w:rsidRPr="00E173FE">
        <w:rPr>
          <w:lang w:val="en-US"/>
        </w:rPr>
        <w:t xml:space="preserve">A Thai pilot screening program was implemented in 2011. The FIT was performed in the population aged 50-65 years in </w:t>
      </w:r>
      <w:proofErr w:type="spellStart"/>
      <w:r w:rsidRPr="00E173FE">
        <w:rPr>
          <w:lang w:val="en-US"/>
        </w:rPr>
        <w:t>Lampang</w:t>
      </w:r>
      <w:proofErr w:type="spellEnd"/>
      <w:r w:rsidRPr="00E173FE">
        <w:rPr>
          <w:lang w:val="en-US"/>
        </w:rPr>
        <w:t xml:space="preserve"> Province. The </w:t>
      </w:r>
      <w:r w:rsidRPr="00E173FE">
        <w:rPr>
          <w:lang w:val="en-US"/>
        </w:rPr>
        <w:lastRenderedPageBreak/>
        <w:t xml:space="preserve">participation rate (62.9%) was higher among women (67.8%) than men (57.8%). The test was positive in 1.1% (1.2% men, 1.0% women). Colonoscopy was performed in 72% of those with positive tests. Detection rates were 3.7% for CRC and 30.6% for </w:t>
      </w:r>
      <w:proofErr w:type="gramStart"/>
      <w:r w:rsidRPr="00E173FE">
        <w:rPr>
          <w:lang w:val="en-US"/>
        </w:rPr>
        <w:t>adenomas</w:t>
      </w:r>
      <w:r w:rsidRPr="00E173FE">
        <w:rPr>
          <w:rFonts w:cs="Arial"/>
          <w:vertAlign w:val="superscript"/>
          <w:lang w:val="en-US"/>
        </w:rPr>
        <w:t>[</w:t>
      </w:r>
      <w:proofErr w:type="gramEnd"/>
      <w:r w:rsidRPr="00E173FE">
        <w:rPr>
          <w:vertAlign w:val="superscript"/>
          <w:lang w:val="en-US"/>
        </w:rPr>
        <w:t>55</w:t>
      </w:r>
      <w:r w:rsidRPr="00E173FE">
        <w:rPr>
          <w:rFonts w:cs="Arial"/>
          <w:vertAlign w:val="superscript"/>
          <w:lang w:val="en-US"/>
        </w:rPr>
        <w:t>]</w:t>
      </w:r>
      <w:r w:rsidRPr="00E173FE">
        <w:rPr>
          <w:lang w:val="en-US"/>
        </w:rPr>
        <w:t>.</w:t>
      </w:r>
    </w:p>
    <w:p w:rsidR="00156F78" w:rsidRPr="00E173FE" w:rsidRDefault="00156F78" w:rsidP="00D077F2">
      <w:pPr>
        <w:spacing w:after="0"/>
        <w:rPr>
          <w:rStyle w:val="head3Char"/>
          <w:u w:val="none"/>
          <w:lang w:eastAsia="zh-CN"/>
        </w:rPr>
      </w:pPr>
    </w:p>
    <w:p w:rsidR="00156F78" w:rsidRPr="00E173FE" w:rsidRDefault="00A464B6" w:rsidP="00E173FE">
      <w:pPr>
        <w:spacing w:after="0"/>
        <w:rPr>
          <w:rFonts w:cs="Arial"/>
          <w:lang w:val="en-US" w:eastAsia="zh-CN"/>
        </w:rPr>
      </w:pPr>
      <w:r w:rsidRPr="00E173FE">
        <w:rPr>
          <w:rStyle w:val="head3Char"/>
          <w:b/>
          <w:u w:val="none"/>
        </w:rPr>
        <w:t>Australia</w:t>
      </w:r>
      <w:r w:rsidRPr="00E173FE">
        <w:rPr>
          <w:b/>
          <w:lang w:val="en-US"/>
        </w:rPr>
        <w:t xml:space="preserve">: </w:t>
      </w:r>
      <w:r w:rsidRPr="00E173FE">
        <w:rPr>
          <w:lang w:val="en-US"/>
        </w:rPr>
        <w:t>An Australian pilot program was conducted from 2002 to 2006 with the biennial FIT in the population aged 55-74 years. The participation rate was 45.4% (women 47.4%, men 43.4%). Positive FIT results were found in 9% of participants. Colonoscopy was performed in 54.8% of the individuals with positive FITs. Adenomas were found in 19.8% (13.9% advanced) and CRC was found in 5.3</w:t>
      </w:r>
      <w:proofErr w:type="gramStart"/>
      <w:r w:rsidRPr="00E173FE">
        <w:rPr>
          <w:lang w:val="en-US"/>
        </w:rPr>
        <w:t>%</w:t>
      </w:r>
      <w:r w:rsidRPr="00E173FE">
        <w:rPr>
          <w:rFonts w:cs="Arial"/>
          <w:vertAlign w:val="superscript"/>
          <w:lang w:val="en-US"/>
        </w:rPr>
        <w:t>[</w:t>
      </w:r>
      <w:proofErr w:type="gramEnd"/>
      <w:r w:rsidRPr="00E173FE">
        <w:rPr>
          <w:vertAlign w:val="superscript"/>
          <w:lang w:val="en-US"/>
        </w:rPr>
        <w:t>56</w:t>
      </w:r>
      <w:r w:rsidRPr="00E173FE">
        <w:rPr>
          <w:rFonts w:cs="Arial"/>
          <w:vertAlign w:val="superscript"/>
          <w:lang w:val="en-US"/>
        </w:rPr>
        <w:t>]</w:t>
      </w:r>
      <w:r w:rsidRPr="00E173FE">
        <w:rPr>
          <w:lang w:val="en-US"/>
        </w:rPr>
        <w:t xml:space="preserve">. In 2006, The National Bowel Cancer Screening </w:t>
      </w:r>
      <w:proofErr w:type="gramStart"/>
      <w:r w:rsidRPr="00E173FE">
        <w:rPr>
          <w:lang w:val="en-US"/>
        </w:rPr>
        <w:t>Program  was</w:t>
      </w:r>
      <w:proofErr w:type="gramEnd"/>
      <w:r w:rsidRPr="00E173FE">
        <w:rPr>
          <w:lang w:val="en-US"/>
        </w:rPr>
        <w:t xml:space="preserve"> initiated with a biennial FIT for the population aged 55-65 years. The program will continue to expand until 2020. The program aims to apply biennial screening to the entire population aged 50-74 </w:t>
      </w:r>
      <w:proofErr w:type="gramStart"/>
      <w:r w:rsidRPr="00E173FE">
        <w:rPr>
          <w:lang w:val="en-US"/>
        </w:rPr>
        <w:t>years</w:t>
      </w:r>
      <w:r w:rsidRPr="00E173FE">
        <w:rPr>
          <w:rFonts w:cs="Arial"/>
          <w:vertAlign w:val="superscript"/>
          <w:lang w:val="en-US"/>
        </w:rPr>
        <w:t>[</w:t>
      </w:r>
      <w:proofErr w:type="gramEnd"/>
      <w:r w:rsidRPr="00E173FE">
        <w:rPr>
          <w:vertAlign w:val="superscript"/>
          <w:lang w:val="en-US"/>
        </w:rPr>
        <w:t>4</w:t>
      </w:r>
      <w:r w:rsidRPr="00E173FE">
        <w:rPr>
          <w:rFonts w:cs="Arial"/>
          <w:vertAlign w:val="superscript"/>
          <w:lang w:val="en-US"/>
        </w:rPr>
        <w:t>]</w:t>
      </w:r>
      <w:r w:rsidRPr="00E173FE">
        <w:rPr>
          <w:rFonts w:cs="Arial"/>
          <w:lang w:val="en-US"/>
        </w:rPr>
        <w:t>.</w:t>
      </w:r>
      <w:r w:rsidR="00156F78" w:rsidRPr="00E173FE">
        <w:rPr>
          <w:rFonts w:cs="Arial" w:hint="eastAsia"/>
          <w:lang w:val="en-US" w:eastAsia="zh-CN"/>
        </w:rPr>
        <w:t xml:space="preserve"> </w:t>
      </w:r>
    </w:p>
    <w:p w:rsidR="00156F78" w:rsidRPr="00E173FE" w:rsidRDefault="00156F78" w:rsidP="00D077F2">
      <w:pPr>
        <w:spacing w:after="0"/>
        <w:ind w:firstLineChars="100" w:firstLine="241"/>
        <w:rPr>
          <w:rFonts w:cs="Arial"/>
          <w:b/>
          <w:szCs w:val="24"/>
          <w:lang w:val="en-US" w:eastAsia="zh-CN"/>
        </w:rPr>
        <w:sectPr w:rsidR="00156F78" w:rsidRPr="00E173FE" w:rsidSect="00A22EEB">
          <w:headerReference w:type="default" r:id="rId9"/>
          <w:footerReference w:type="default" r:id="rId10"/>
          <w:pgSz w:w="11900" w:h="16840"/>
          <w:pgMar w:top="1417" w:right="1701" w:bottom="851" w:left="1701" w:header="708" w:footer="708" w:gutter="0"/>
          <w:cols w:space="708"/>
        </w:sectPr>
      </w:pPr>
    </w:p>
    <w:p w:rsidR="00A464B6" w:rsidRPr="00E173FE" w:rsidRDefault="00A464B6" w:rsidP="00D077F2">
      <w:pPr>
        <w:pStyle w:val="Head1"/>
        <w:spacing w:before="0" w:after="0"/>
        <w:jc w:val="both"/>
      </w:pPr>
      <w:r w:rsidRPr="00E173FE">
        <w:rPr>
          <w:shd w:val="clear" w:color="auto" w:fill="FFFFFF"/>
        </w:rPr>
        <w:lastRenderedPageBreak/>
        <w:t>COMPARISON OF THE RESULTS OF SEVERAL CRC SCREENING PROGRAMS</w:t>
      </w:r>
    </w:p>
    <w:p w:rsidR="00A464B6" w:rsidRPr="00E173FE" w:rsidRDefault="00A464B6" w:rsidP="00D077F2">
      <w:pPr>
        <w:spacing w:after="0"/>
        <w:rPr>
          <w:lang w:val="en-US"/>
        </w:rPr>
      </w:pPr>
      <w:r w:rsidRPr="00E173FE">
        <w:rPr>
          <w:lang w:val="en-US"/>
        </w:rPr>
        <w:t xml:space="preserve">Most European countries have implemented a national organized screening program. However, some countries have not, despite high CRC incidence and mortality rates, such as Slovakia. Likewise, most countries of Central America, South America, the Middle East, and Africa, do not have organized screening programs. In most cases, the lack of organized programs could be explained by limited resources, including the limited availability of colonoscopy facilities, and the type of organization of the Health Care System. Most organized screening programs use non-invasive tests (FIT or G-FOBT); in contrast, most opportunistic programs rely on endoscopy. Colonoscopy remains the most commonly used screening test in North America, but FIT screening programs are beginning to be implemented in some areas, such as </w:t>
      </w:r>
      <w:proofErr w:type="gramStart"/>
      <w:r w:rsidRPr="00E173FE">
        <w:rPr>
          <w:lang w:val="en-US"/>
        </w:rPr>
        <w:t>California</w:t>
      </w:r>
      <w:r w:rsidRPr="00E173FE">
        <w:rPr>
          <w:rFonts w:cs="Arial"/>
          <w:vertAlign w:val="superscript"/>
          <w:lang w:val="en-US"/>
        </w:rPr>
        <w:t>[</w:t>
      </w:r>
      <w:proofErr w:type="gramEnd"/>
      <w:r w:rsidRPr="00E173FE">
        <w:rPr>
          <w:vertAlign w:val="superscript"/>
          <w:lang w:val="en-US"/>
        </w:rPr>
        <w:t>45</w:t>
      </w:r>
      <w:r w:rsidRPr="00E173FE">
        <w:rPr>
          <w:rFonts w:cs="Arial"/>
          <w:vertAlign w:val="superscript"/>
          <w:lang w:val="en-US"/>
        </w:rPr>
        <w:t>]</w:t>
      </w:r>
      <w:r w:rsidRPr="00E173FE">
        <w:rPr>
          <w:lang w:val="en-US"/>
        </w:rPr>
        <w:t>.</w:t>
      </w:r>
    </w:p>
    <w:p w:rsidR="00A464B6" w:rsidRPr="00E173FE" w:rsidRDefault="00A464B6" w:rsidP="00D077F2">
      <w:pPr>
        <w:spacing w:after="0"/>
        <w:ind w:firstLineChars="100" w:firstLine="240"/>
        <w:rPr>
          <w:lang w:val="en-US"/>
        </w:rPr>
      </w:pPr>
      <w:r w:rsidRPr="00E173FE">
        <w:rPr>
          <w:lang w:val="en-US"/>
        </w:rPr>
        <w:t xml:space="preserve">The efficacy of CRC screening is determined by the degree of participation and the diagnostic yield of the test. Studies have shown that FIT screening is superior to G-FOBT in both </w:t>
      </w:r>
      <w:proofErr w:type="gramStart"/>
      <w:r w:rsidRPr="00E173FE">
        <w:rPr>
          <w:lang w:val="en-US"/>
        </w:rPr>
        <w:t>aspects</w:t>
      </w:r>
      <w:r w:rsidRPr="00E173FE">
        <w:rPr>
          <w:rFonts w:cs="Arial"/>
          <w:vertAlign w:val="superscript"/>
          <w:lang w:val="en-US"/>
        </w:rPr>
        <w:t>[</w:t>
      </w:r>
      <w:proofErr w:type="gramEnd"/>
      <w:r w:rsidRPr="00E173FE">
        <w:rPr>
          <w:vertAlign w:val="superscript"/>
          <w:lang w:val="en-US"/>
        </w:rPr>
        <w:t>20,47</w:t>
      </w:r>
      <w:r w:rsidRPr="00E173FE">
        <w:rPr>
          <w:rFonts w:cs="Arial"/>
          <w:vertAlign w:val="superscript"/>
          <w:lang w:val="en-US"/>
        </w:rPr>
        <w:t>]</w:t>
      </w:r>
      <w:r w:rsidRPr="00E173FE">
        <w:rPr>
          <w:lang w:val="en-US"/>
        </w:rPr>
        <w:t xml:space="preserve">. The overall results showed that the highest participation rates were obtained in programs using FIT. In fact, in programs that used both tests (FIT and G-FOBT), participation rates increased after FIT was introduced, as observed in the Czech </w:t>
      </w:r>
      <w:proofErr w:type="gramStart"/>
      <w:r w:rsidRPr="00E173FE">
        <w:rPr>
          <w:lang w:val="en-US"/>
        </w:rPr>
        <w:t>Republic</w:t>
      </w:r>
      <w:r w:rsidRPr="00E173FE">
        <w:rPr>
          <w:rFonts w:cs="Arial"/>
          <w:vertAlign w:val="superscript"/>
          <w:lang w:val="en-US"/>
        </w:rPr>
        <w:t>[</w:t>
      </w:r>
      <w:proofErr w:type="gramEnd"/>
      <w:r w:rsidRPr="00E173FE">
        <w:rPr>
          <w:vertAlign w:val="superscript"/>
          <w:lang w:val="en-US"/>
        </w:rPr>
        <w:t>43</w:t>
      </w:r>
      <w:r w:rsidRPr="00E173FE">
        <w:rPr>
          <w:rFonts w:cs="Arial"/>
          <w:vertAlign w:val="superscript"/>
          <w:lang w:val="en-US"/>
        </w:rPr>
        <w:t>]</w:t>
      </w:r>
      <w:r w:rsidRPr="00E173FE">
        <w:rPr>
          <w:lang w:val="en-US"/>
        </w:rPr>
        <w:t>.</w:t>
      </w:r>
    </w:p>
    <w:p w:rsidR="00A464B6" w:rsidRPr="00E173FE" w:rsidRDefault="00A464B6" w:rsidP="00D077F2">
      <w:pPr>
        <w:spacing w:after="0"/>
        <w:ind w:firstLineChars="100" w:firstLine="240"/>
        <w:rPr>
          <w:lang w:val="en-US"/>
        </w:rPr>
      </w:pPr>
      <w:r w:rsidRPr="00E173FE">
        <w:rPr>
          <w:lang w:val="en-US"/>
        </w:rPr>
        <w:t>FIT screening also produced more positive tests than G-FOBT screening. Therefore, the lowest rates of test positivity in Europe were obtained in England and France, where screening was performed with the G-</w:t>
      </w:r>
      <w:proofErr w:type="gramStart"/>
      <w:r w:rsidRPr="00E173FE">
        <w:rPr>
          <w:lang w:val="en-US"/>
        </w:rPr>
        <w:t>FOBT</w:t>
      </w:r>
      <w:r w:rsidRPr="00E173FE">
        <w:rPr>
          <w:rFonts w:cs="Arial"/>
          <w:vertAlign w:val="superscript"/>
          <w:lang w:val="en-US"/>
        </w:rPr>
        <w:t>[</w:t>
      </w:r>
      <w:proofErr w:type="gramEnd"/>
      <w:r w:rsidRPr="00E173FE">
        <w:rPr>
          <w:vertAlign w:val="superscript"/>
          <w:lang w:val="en-US"/>
        </w:rPr>
        <w:t>42,44</w:t>
      </w:r>
      <w:r w:rsidRPr="00E173FE">
        <w:rPr>
          <w:rFonts w:cs="Arial"/>
          <w:vertAlign w:val="superscript"/>
          <w:lang w:val="en-US"/>
        </w:rPr>
        <w:t>]</w:t>
      </w:r>
      <w:r w:rsidRPr="00E173FE">
        <w:rPr>
          <w:lang w:val="en-US"/>
        </w:rPr>
        <w:t xml:space="preserve">. As mentioned, </w:t>
      </w:r>
      <w:r w:rsidRPr="00E173FE">
        <w:rPr>
          <w:rFonts w:cs="Arial"/>
          <w:lang w:val="en-US"/>
        </w:rPr>
        <w:t xml:space="preserve">in the Czech Republic program, after the G-FOBT was replaced with the FIT, the PPV for advanced adenoma increased, and the PPV for CRC </w:t>
      </w:r>
      <w:proofErr w:type="gramStart"/>
      <w:r w:rsidRPr="00E173FE">
        <w:rPr>
          <w:rFonts w:cs="Arial"/>
          <w:lang w:val="en-US"/>
        </w:rPr>
        <w:t>decreased</w:t>
      </w:r>
      <w:r w:rsidRPr="00E173FE">
        <w:rPr>
          <w:rFonts w:cs="Arial"/>
          <w:vertAlign w:val="superscript"/>
          <w:lang w:val="en-US"/>
        </w:rPr>
        <w:t>[</w:t>
      </w:r>
      <w:proofErr w:type="gramEnd"/>
      <w:r w:rsidRPr="00E173FE">
        <w:rPr>
          <w:rFonts w:cs="Arial"/>
          <w:vertAlign w:val="superscript"/>
          <w:lang w:val="en-US"/>
        </w:rPr>
        <w:t>43]</w:t>
      </w:r>
      <w:r w:rsidRPr="00E173FE">
        <w:rPr>
          <w:rFonts w:cs="Arial"/>
          <w:lang w:val="en-US"/>
        </w:rPr>
        <w:t xml:space="preserve">. This result implied that, compared to the G-FOBT, the FIT had a higher sensitivity and PPV for advanced adenomas, but a lower PPV for CRC. </w:t>
      </w:r>
    </w:p>
    <w:p w:rsidR="00A464B6" w:rsidRPr="00E173FE" w:rsidRDefault="00A464B6" w:rsidP="00D077F2">
      <w:pPr>
        <w:spacing w:after="0"/>
        <w:ind w:firstLineChars="100" w:firstLine="240"/>
        <w:rPr>
          <w:lang w:val="en-US"/>
        </w:rPr>
      </w:pPr>
      <w:r w:rsidRPr="00E173FE">
        <w:rPr>
          <w:lang w:val="en-US"/>
        </w:rPr>
        <w:t xml:space="preserve">Among all the programs reviewed, only Korea used a qualitative FIT. Studies worldwide using different </w:t>
      </w:r>
      <w:proofErr w:type="spellStart"/>
      <w:r w:rsidRPr="00E173FE">
        <w:rPr>
          <w:lang w:val="en-US"/>
        </w:rPr>
        <w:t>Hb</w:t>
      </w:r>
      <w:proofErr w:type="spellEnd"/>
      <w:r w:rsidRPr="00E173FE">
        <w:rPr>
          <w:lang w:val="en-US"/>
        </w:rPr>
        <w:t xml:space="preserve"> thresholds have shown that defining a positive FIT result with a cut-off value of 100 ng/m</w:t>
      </w:r>
      <w:r w:rsidR="00E173FE" w:rsidRPr="00E173FE">
        <w:rPr>
          <w:lang w:val="en-US"/>
        </w:rPr>
        <w:t>L</w:t>
      </w:r>
      <w:r w:rsidRPr="00E173FE">
        <w:rPr>
          <w:lang w:val="en-US"/>
        </w:rPr>
        <w:t xml:space="preserve"> </w:t>
      </w:r>
      <w:proofErr w:type="spellStart"/>
      <w:r w:rsidRPr="00E173FE">
        <w:rPr>
          <w:lang w:val="en-US"/>
        </w:rPr>
        <w:t>Hb</w:t>
      </w:r>
      <w:proofErr w:type="spellEnd"/>
      <w:r w:rsidRPr="00E173FE">
        <w:rPr>
          <w:lang w:val="en-US"/>
        </w:rPr>
        <w:t xml:space="preserve"> (20 </w:t>
      </w:r>
      <w:proofErr w:type="spellStart"/>
      <w:r w:rsidRPr="00E173FE">
        <w:rPr>
          <w:lang w:val="en-US"/>
        </w:rPr>
        <w:t>μg</w:t>
      </w:r>
      <w:proofErr w:type="spellEnd"/>
      <w:r w:rsidRPr="00E173FE">
        <w:rPr>
          <w:lang w:val="en-US"/>
        </w:rPr>
        <w:t xml:space="preserve">/g) provided high sensitivity, specificity, and PPV for detecting </w:t>
      </w:r>
      <w:proofErr w:type="gramStart"/>
      <w:r w:rsidRPr="00E173FE">
        <w:rPr>
          <w:lang w:val="en-US"/>
        </w:rPr>
        <w:t>neoplasia</w:t>
      </w:r>
      <w:r w:rsidRPr="00E173FE">
        <w:rPr>
          <w:rFonts w:cs="Arial"/>
          <w:vertAlign w:val="superscript"/>
          <w:lang w:val="en-US"/>
        </w:rPr>
        <w:t>[</w:t>
      </w:r>
      <w:proofErr w:type="gramEnd"/>
      <w:r w:rsidRPr="00E173FE">
        <w:rPr>
          <w:vertAlign w:val="superscript"/>
          <w:lang w:val="en-US"/>
        </w:rPr>
        <w:t>49,,53,54</w:t>
      </w:r>
      <w:r w:rsidRPr="00E173FE">
        <w:rPr>
          <w:rFonts w:cs="Arial"/>
          <w:vertAlign w:val="superscript"/>
          <w:lang w:val="en-US"/>
        </w:rPr>
        <w:t>]</w:t>
      </w:r>
      <w:r w:rsidRPr="00E173FE">
        <w:rPr>
          <w:lang w:val="en-US"/>
        </w:rPr>
        <w:t xml:space="preserve">. Other studies reported a decline in specificity with cut-off values below 100 ng/ml </w:t>
      </w:r>
      <w:proofErr w:type="spellStart"/>
      <w:proofErr w:type="gramStart"/>
      <w:r w:rsidRPr="00E173FE">
        <w:rPr>
          <w:lang w:val="en-US"/>
        </w:rPr>
        <w:t>Hb</w:t>
      </w:r>
      <w:proofErr w:type="spellEnd"/>
      <w:r w:rsidRPr="00E173FE">
        <w:rPr>
          <w:rFonts w:cs="Arial"/>
          <w:vertAlign w:val="superscript"/>
          <w:lang w:val="en-US"/>
        </w:rPr>
        <w:t>[</w:t>
      </w:r>
      <w:proofErr w:type="gramEnd"/>
      <w:r w:rsidR="00E173FE">
        <w:rPr>
          <w:vertAlign w:val="superscript"/>
          <w:lang w:val="en-US"/>
        </w:rPr>
        <w:t>5,</w:t>
      </w:r>
      <w:r w:rsidRPr="00E173FE">
        <w:rPr>
          <w:vertAlign w:val="superscript"/>
          <w:lang w:val="en-US"/>
        </w:rPr>
        <w:t>45,46,48,53</w:t>
      </w:r>
      <w:r w:rsidRPr="00E173FE">
        <w:rPr>
          <w:rFonts w:cs="Arial"/>
          <w:vertAlign w:val="superscript"/>
          <w:lang w:val="en-US"/>
        </w:rPr>
        <w:t>]</w:t>
      </w:r>
      <w:r w:rsidRPr="00E173FE">
        <w:rPr>
          <w:lang w:val="en-US"/>
        </w:rPr>
        <w:t>. According to this information, a cutoff value between 75 and 100 ng/m</w:t>
      </w:r>
      <w:r w:rsidR="00E173FE" w:rsidRPr="00E173FE">
        <w:rPr>
          <w:lang w:val="en-US"/>
        </w:rPr>
        <w:t>L</w:t>
      </w:r>
      <w:r w:rsidR="00E173FE">
        <w:rPr>
          <w:rFonts w:hint="eastAsia"/>
          <w:lang w:val="en-US" w:eastAsia="zh-CN"/>
        </w:rPr>
        <w:t xml:space="preserve"> </w:t>
      </w:r>
      <w:proofErr w:type="spellStart"/>
      <w:r w:rsidRPr="00E173FE">
        <w:rPr>
          <w:lang w:val="en-US"/>
        </w:rPr>
        <w:t>Hb</w:t>
      </w:r>
      <w:proofErr w:type="spellEnd"/>
      <w:r w:rsidRPr="00E173FE">
        <w:rPr>
          <w:lang w:val="en-US"/>
        </w:rPr>
        <w:t xml:space="preserve"> might represent an </w:t>
      </w:r>
      <w:r w:rsidRPr="00E173FE">
        <w:rPr>
          <w:lang w:val="en-US"/>
        </w:rPr>
        <w:lastRenderedPageBreak/>
        <w:t>optimum in most European populatio</w:t>
      </w:r>
      <w:r w:rsidR="00156F78" w:rsidRPr="00E173FE">
        <w:rPr>
          <w:lang w:val="en-US"/>
        </w:rPr>
        <w:t>ns,</w:t>
      </w:r>
      <w:r w:rsidRPr="00E173FE">
        <w:rPr>
          <w:lang w:val="en-US"/>
        </w:rPr>
        <w:t xml:space="preserve"> depending on the resources and availability of colonoscopy.</w:t>
      </w:r>
    </w:p>
    <w:p w:rsidR="00A464B6" w:rsidRPr="00E173FE" w:rsidRDefault="00A464B6" w:rsidP="00D077F2">
      <w:pPr>
        <w:spacing w:after="0"/>
        <w:ind w:firstLineChars="100" w:firstLine="240"/>
        <w:rPr>
          <w:lang w:val="en-US"/>
        </w:rPr>
      </w:pPr>
      <w:r w:rsidRPr="00E173FE">
        <w:rPr>
          <w:lang w:val="en-US"/>
        </w:rPr>
        <w:t xml:space="preserve">Some countries had to modify the cut-off value to align the need for colonoscopies with the limited capacity of endoscopic resources. For example, in the Netherlands, which had the highest rates of positivity among all international and European programs, the cutoff value was raised from 88 to 275 ng/ml </w:t>
      </w:r>
      <w:proofErr w:type="spellStart"/>
      <w:r w:rsidRPr="00E173FE">
        <w:rPr>
          <w:lang w:val="en-US"/>
        </w:rPr>
        <w:t>Hb</w:t>
      </w:r>
      <w:proofErr w:type="spellEnd"/>
      <w:r w:rsidRPr="00E173FE">
        <w:rPr>
          <w:lang w:val="en-US"/>
        </w:rPr>
        <w:t xml:space="preserve"> (15 </w:t>
      </w:r>
      <w:r w:rsidRPr="00E173FE">
        <w:t>μ</w:t>
      </w:r>
      <w:r w:rsidRPr="00E173FE">
        <w:rPr>
          <w:lang w:val="en-US"/>
        </w:rPr>
        <w:t xml:space="preserve">g/g to 47 </w:t>
      </w:r>
      <w:r w:rsidRPr="00E173FE">
        <w:t>μ</w:t>
      </w:r>
      <w:r w:rsidRPr="00E173FE">
        <w:rPr>
          <w:lang w:val="en-US"/>
        </w:rPr>
        <w:t xml:space="preserve">g/g) at the beginning of their </w:t>
      </w:r>
      <w:proofErr w:type="gramStart"/>
      <w:r w:rsidRPr="00E173FE">
        <w:rPr>
          <w:lang w:val="en-US"/>
        </w:rPr>
        <w:t>program</w:t>
      </w:r>
      <w:r w:rsidRPr="00E173FE">
        <w:rPr>
          <w:rFonts w:cs="Arial"/>
          <w:vertAlign w:val="superscript"/>
          <w:lang w:val="en-US"/>
        </w:rPr>
        <w:t>[</w:t>
      </w:r>
      <w:proofErr w:type="gramEnd"/>
      <w:r w:rsidRPr="00E173FE">
        <w:rPr>
          <w:vertAlign w:val="superscript"/>
          <w:lang w:val="en-US"/>
        </w:rPr>
        <w:t>35</w:t>
      </w:r>
      <w:r w:rsidRPr="00E173FE">
        <w:rPr>
          <w:rFonts w:cs="Arial"/>
          <w:vertAlign w:val="superscript"/>
          <w:lang w:val="en-US"/>
        </w:rPr>
        <w:t>]</w:t>
      </w:r>
      <w:r w:rsidRPr="00E173FE">
        <w:rPr>
          <w:lang w:val="en-US"/>
        </w:rPr>
        <w:t>. In addition, the Netherlands had the highest CRC detection rate in Europe; the detection rates were double those of several European and other countries. The program in Ireland also had a high percentage of positive tests (10%). In comparison, with the same cut-off value, Italy had almost half (5.8%) the proportion of positive tests. This suggested that there might be a relatively high incidence of adenomas in Ireland, and that lower cut-off values would be very difficult to manage with the current availability of colonoscopy resources in the country.</w:t>
      </w:r>
    </w:p>
    <w:p w:rsidR="00A464B6" w:rsidRPr="00E173FE" w:rsidRDefault="00A464B6" w:rsidP="00D077F2">
      <w:pPr>
        <w:spacing w:after="0"/>
        <w:ind w:firstLineChars="100" w:firstLine="240"/>
        <w:rPr>
          <w:vertAlign w:val="superscript"/>
          <w:lang w:val="en-US"/>
        </w:rPr>
      </w:pPr>
      <w:r w:rsidRPr="00E173FE">
        <w:rPr>
          <w:lang w:val="en-US"/>
        </w:rPr>
        <w:t xml:space="preserve">Another problem to consider is the low acceptance of colonoscopy in some countries. In South Korea, only 31.4% of individuals with a positive FIT had undergone a colonoscopy after. This reluctance could result in low detection </w:t>
      </w:r>
      <w:proofErr w:type="gramStart"/>
      <w:r w:rsidRPr="00E173FE">
        <w:rPr>
          <w:lang w:val="en-US"/>
        </w:rPr>
        <w:t>rates</w:t>
      </w:r>
      <w:r w:rsidRPr="00E173FE">
        <w:rPr>
          <w:rFonts w:cs="Arial"/>
          <w:vertAlign w:val="superscript"/>
          <w:lang w:val="en-US"/>
        </w:rPr>
        <w:t>[</w:t>
      </w:r>
      <w:proofErr w:type="gramEnd"/>
      <w:r w:rsidRPr="00E173FE">
        <w:rPr>
          <w:vertAlign w:val="superscript"/>
          <w:lang w:val="en-US"/>
        </w:rPr>
        <w:t>53</w:t>
      </w:r>
      <w:r w:rsidRPr="00E173FE">
        <w:rPr>
          <w:rFonts w:cs="Arial"/>
          <w:vertAlign w:val="superscript"/>
          <w:lang w:val="en-US"/>
        </w:rPr>
        <w:t>]</w:t>
      </w:r>
      <w:r w:rsidRPr="00E173FE">
        <w:rPr>
          <w:lang w:val="en-US"/>
        </w:rPr>
        <w:t>. In other European countries, like Croatia, Lithuania, and The Netherlands, the proportion of colonoscopies among individuals with positive test results did not exceed 75</w:t>
      </w:r>
      <w:proofErr w:type="gramStart"/>
      <w:r w:rsidRPr="00E173FE">
        <w:rPr>
          <w:lang w:val="en-US"/>
        </w:rPr>
        <w:t>%</w:t>
      </w:r>
      <w:r w:rsidRPr="00E173FE">
        <w:rPr>
          <w:rFonts w:cs="Arial"/>
          <w:vertAlign w:val="superscript"/>
          <w:lang w:val="en-US"/>
        </w:rPr>
        <w:t>[</w:t>
      </w:r>
      <w:proofErr w:type="gramEnd"/>
      <w:r w:rsidRPr="00E173FE">
        <w:rPr>
          <w:vertAlign w:val="superscript"/>
          <w:lang w:val="en-US"/>
        </w:rPr>
        <w:t>35,39,40</w:t>
      </w:r>
      <w:r w:rsidRPr="00E173FE">
        <w:rPr>
          <w:rFonts w:cs="Arial"/>
          <w:vertAlign w:val="superscript"/>
          <w:lang w:val="en-US"/>
        </w:rPr>
        <w:t>]</w:t>
      </w:r>
      <w:r w:rsidRPr="00E173FE">
        <w:rPr>
          <w:lang w:val="en-US"/>
        </w:rPr>
        <w:t xml:space="preserve">. </w:t>
      </w:r>
    </w:p>
    <w:p w:rsidR="00A464B6" w:rsidRPr="00E173FE" w:rsidRDefault="00A464B6" w:rsidP="00D077F2">
      <w:pPr>
        <w:spacing w:after="0"/>
        <w:ind w:firstLineChars="100" w:firstLine="240"/>
        <w:rPr>
          <w:lang w:val="en-US"/>
        </w:rPr>
      </w:pPr>
      <w:r w:rsidRPr="00E173FE">
        <w:rPr>
          <w:lang w:val="en-US"/>
        </w:rPr>
        <w:t xml:space="preserve">Participation rates in the screening programs were higher among women than men. This difference probably occurred because women had a greater awareness of preventive programs; in particular, women were likely to have had experience in breast and cervix screening. In addition, positive FIT rates were significantly higher in men than in women (except in Ireland and Thailand, where rates were similar between the sexes). The CRC detection rates were also higher in men than in women; in some programs, detection rates in men were double the rates in women. Special efforts should be made in all screening programs to increase both the overall participation and male participation rates. </w:t>
      </w:r>
    </w:p>
    <w:p w:rsidR="00A464B6" w:rsidRPr="00E173FE" w:rsidRDefault="00A464B6" w:rsidP="00D077F2">
      <w:pPr>
        <w:spacing w:after="0"/>
        <w:ind w:firstLineChars="100" w:firstLine="240"/>
        <w:rPr>
          <w:lang w:val="en-US"/>
        </w:rPr>
      </w:pPr>
      <w:r w:rsidRPr="00E173FE">
        <w:rPr>
          <w:lang w:val="en-US"/>
        </w:rPr>
        <w:t>The lowest participation rates were found in Canada, possibly because the data were published recently after the programs had been started.</w:t>
      </w:r>
    </w:p>
    <w:p w:rsidR="00A464B6" w:rsidRPr="00E173FE" w:rsidRDefault="00A464B6" w:rsidP="00D077F2">
      <w:pPr>
        <w:spacing w:after="0"/>
        <w:ind w:firstLineChars="100" w:firstLine="240"/>
        <w:rPr>
          <w:lang w:val="en-US" w:eastAsia="zh-CN"/>
        </w:rPr>
      </w:pPr>
      <w:r w:rsidRPr="00E173FE">
        <w:rPr>
          <w:lang w:val="en-US"/>
        </w:rPr>
        <w:lastRenderedPageBreak/>
        <w:t>In general, participation rates in the different programs currently exceed the acceptable minimum of 45%, but they have not reached the desired target (&gt;</w:t>
      </w:r>
      <w:r w:rsidR="00156F78" w:rsidRPr="00E173FE">
        <w:rPr>
          <w:rFonts w:hint="eastAsia"/>
          <w:lang w:val="en-US" w:eastAsia="zh-CN"/>
        </w:rPr>
        <w:t xml:space="preserve"> </w:t>
      </w:r>
      <w:r w:rsidRPr="00E173FE">
        <w:rPr>
          <w:lang w:val="en-US"/>
        </w:rPr>
        <w:t>65%). Screening programs must employ specific strategies to attract the target population and encourage participation in screening programs. A better understanding of the barriers and facilitators to participation is needed to design strategies that promote equity of access. It is important to monitor, record, and evaluate the minimum indicators and requirements of CRC Population Screening Programs, to ensure they meet the standards of the European Quality Control Guide.</w:t>
      </w:r>
    </w:p>
    <w:p w:rsidR="00156F78" w:rsidRPr="00E173FE" w:rsidRDefault="00156F78" w:rsidP="00D077F2">
      <w:pPr>
        <w:spacing w:after="0"/>
        <w:ind w:firstLineChars="100" w:firstLine="240"/>
        <w:rPr>
          <w:lang w:val="en-US" w:eastAsia="zh-CN"/>
        </w:rPr>
      </w:pPr>
    </w:p>
    <w:p w:rsidR="00A464B6" w:rsidRPr="00E173FE" w:rsidRDefault="00156F78" w:rsidP="00D077F2">
      <w:pPr>
        <w:pStyle w:val="Head1"/>
        <w:spacing w:before="0" w:after="0"/>
        <w:jc w:val="both"/>
        <w:rPr>
          <w:lang w:eastAsia="zh-CN"/>
        </w:rPr>
      </w:pPr>
      <w:r w:rsidRPr="00E173FE">
        <w:t>CONCLUSION</w:t>
      </w:r>
    </w:p>
    <w:p w:rsidR="00A464B6" w:rsidRPr="00E173FE" w:rsidRDefault="00A464B6" w:rsidP="00D077F2">
      <w:pPr>
        <w:widowControl w:val="0"/>
        <w:autoSpaceDE w:val="0"/>
        <w:autoSpaceDN w:val="0"/>
        <w:adjustRightInd w:val="0"/>
        <w:spacing w:after="0"/>
        <w:rPr>
          <w:lang w:val="en-US"/>
        </w:rPr>
      </w:pPr>
      <w:r w:rsidRPr="00E173FE">
        <w:rPr>
          <w:lang w:val="en-US"/>
        </w:rPr>
        <w:t xml:space="preserve">This review highlighted the large variations in CRC incidence and mortality around the world. Some regions with high CRC rates do not have screening programs, and other regions, like Europe, have widespread organized screening programs. Additionally, participation rates vary greatly between programs around the world. The highest rates were found in the Netherlands and the lowest were found in Canada. The most common test used as a screening tool in organized screening programs was the fecal occult blood test. In countries with screening programs that arose opportunistically, colonoscopy was most commonly used for screening. Between the two types of fecal occult blood tests, the most commonly used test was the FIT. Use of the FIT has increased participation rates, because it is user friendly; a single sample suffices, and no dietary restrictions are imposed prior to the test. Because the FIT is more sensitive than the G-FOBT, the number of false positives and the demand for invasive tests has increased. Consequently, the cut-off value of the test must be adapted to each region, taking into account the availability of endoscopic resources. </w:t>
      </w:r>
      <w:r w:rsidR="00156F78" w:rsidRPr="00E173FE">
        <w:rPr>
          <w:lang w:val="en-US"/>
        </w:rPr>
        <w:t xml:space="preserve">The </w:t>
      </w:r>
      <w:r w:rsidRPr="00E173FE">
        <w:rPr>
          <w:lang w:val="en-US"/>
        </w:rPr>
        <w:t>FIT also exhibited superior detection of advanced adenomas compared to the G-FOBT. This feature promotes treatment in early stages and prevents the formation of cancer. Participation rates were higher among women, possibly due to their increased awareness of the importance of other screening programs, such as breast cancer screening. Positive test results and CRC detection rates were higher in men than in women; therefore, men’s awareness should be increased to encourage participation in screening programs.</w:t>
      </w:r>
    </w:p>
    <w:p w:rsidR="00F4280E" w:rsidRPr="00E173FE" w:rsidRDefault="00F4280E" w:rsidP="00D077F2">
      <w:pPr>
        <w:spacing w:after="0" w:line="240" w:lineRule="auto"/>
        <w:jc w:val="left"/>
        <w:rPr>
          <w:lang w:val="en-US"/>
        </w:rPr>
      </w:pPr>
      <w:r w:rsidRPr="00E173FE">
        <w:rPr>
          <w:lang w:val="en-US"/>
        </w:rPr>
        <w:br w:type="page"/>
      </w:r>
    </w:p>
    <w:p w:rsidR="00F4280E" w:rsidRPr="00E173FE" w:rsidRDefault="00F4280E" w:rsidP="00D077F2">
      <w:pPr>
        <w:spacing w:after="0"/>
        <w:rPr>
          <w:rFonts w:cs="Arial"/>
          <w:szCs w:val="24"/>
          <w:lang w:val="en-US" w:eastAsia="zh-CN"/>
        </w:rPr>
      </w:pPr>
      <w:r w:rsidRPr="00E173FE">
        <w:rPr>
          <w:b/>
        </w:rPr>
        <w:lastRenderedPageBreak/>
        <w:t>REFERENCES</w:t>
      </w:r>
      <w:bookmarkStart w:id="32" w:name="OLE_LINK148"/>
      <w:bookmarkStart w:id="33" w:name="OLE_LINK149"/>
    </w:p>
    <w:p w:rsidR="00D077F2" w:rsidRPr="00E173FE" w:rsidRDefault="00D077F2" w:rsidP="00D077F2">
      <w:pPr>
        <w:spacing w:after="0"/>
        <w:rPr>
          <w:rFonts w:eastAsia="SimSun" w:cs="SimSun"/>
          <w:szCs w:val="24"/>
        </w:rPr>
      </w:pPr>
      <w:r w:rsidRPr="00E173FE">
        <w:rPr>
          <w:rFonts w:eastAsia="SimSun" w:cs="SimSun"/>
          <w:szCs w:val="24"/>
        </w:rPr>
        <w:t>1</w:t>
      </w:r>
      <w:r w:rsidRPr="00E173FE">
        <w:rPr>
          <w:rFonts w:eastAsia="SimSun" w:cs="SimSun" w:hint="eastAsia"/>
          <w:b/>
          <w:szCs w:val="24"/>
        </w:rPr>
        <w:t xml:space="preserve"> </w:t>
      </w:r>
      <w:r w:rsidRPr="00E173FE">
        <w:rPr>
          <w:rFonts w:eastAsia="SimSun" w:cs="SimSun"/>
          <w:b/>
          <w:szCs w:val="24"/>
        </w:rPr>
        <w:t>Globocan</w:t>
      </w:r>
      <w:r w:rsidRPr="00E173FE">
        <w:rPr>
          <w:rFonts w:eastAsia="SimSun" w:cs="SimSun"/>
          <w:szCs w:val="24"/>
        </w:rPr>
        <w:t>. Estimated cancer incidence, mortality and prevalence worldwide in 2012. (2012). Avaiable from: URL: http: //globocan.iarc.fr/Default.aspx</w:t>
      </w:r>
    </w:p>
    <w:p w:rsidR="00D077F2" w:rsidRPr="00E173FE" w:rsidRDefault="00D077F2" w:rsidP="00D077F2">
      <w:pPr>
        <w:spacing w:after="0"/>
        <w:rPr>
          <w:rFonts w:eastAsia="SimSun" w:cs="SimSun"/>
          <w:szCs w:val="24"/>
        </w:rPr>
      </w:pPr>
      <w:r w:rsidRPr="00E173FE">
        <w:rPr>
          <w:rFonts w:eastAsia="SimSun" w:cs="SimSun"/>
          <w:szCs w:val="24"/>
        </w:rPr>
        <w:t>2</w:t>
      </w:r>
      <w:r w:rsidRPr="00E173FE">
        <w:rPr>
          <w:rFonts w:eastAsia="SimSun" w:cs="SimSun" w:hint="eastAsia"/>
          <w:szCs w:val="24"/>
        </w:rPr>
        <w:t xml:space="preserve"> </w:t>
      </w:r>
      <w:r w:rsidRPr="00E173FE">
        <w:rPr>
          <w:rFonts w:eastAsia="SimSun" w:cs="SimSun"/>
          <w:b/>
          <w:szCs w:val="24"/>
        </w:rPr>
        <w:t>Forman D</w:t>
      </w:r>
      <w:r w:rsidRPr="00E173FE">
        <w:rPr>
          <w:rFonts w:eastAsia="SimSun" w:cs="SimSun"/>
          <w:szCs w:val="24"/>
        </w:rPr>
        <w:t>, Bray F, Brewster DH,</w:t>
      </w:r>
      <w:r w:rsidRPr="00E173FE">
        <w:t xml:space="preserve"> </w:t>
      </w:r>
      <w:r w:rsidRPr="00E173FE">
        <w:rPr>
          <w:rFonts w:eastAsia="SimSun" w:cs="SimSun" w:hint="eastAsia"/>
          <w:szCs w:val="24"/>
        </w:rPr>
        <w:t xml:space="preserve"> </w:t>
      </w:r>
      <w:r w:rsidRPr="00E173FE">
        <w:rPr>
          <w:rFonts w:eastAsia="SimSun" w:cs="SimSun"/>
          <w:szCs w:val="24"/>
        </w:rPr>
        <w:t>Gombe</w:t>
      </w:r>
      <w:r w:rsidRPr="00E173FE">
        <w:rPr>
          <w:rFonts w:eastAsia="SimSun" w:cs="SimSun" w:hint="eastAsia"/>
          <w:szCs w:val="24"/>
        </w:rPr>
        <w:t xml:space="preserve"> </w:t>
      </w:r>
      <w:r w:rsidRPr="00E173FE">
        <w:rPr>
          <w:rFonts w:eastAsia="SimSun" w:cs="SimSun"/>
          <w:szCs w:val="24"/>
        </w:rPr>
        <w:t xml:space="preserve">Mbalawa C, </w:t>
      </w:r>
      <w:r w:rsidRPr="00E173FE">
        <w:rPr>
          <w:rFonts w:eastAsia="SimSun" w:cs="SimSun" w:hint="eastAsia"/>
          <w:szCs w:val="24"/>
        </w:rPr>
        <w:t xml:space="preserve"> </w:t>
      </w:r>
      <w:r w:rsidRPr="00E173FE">
        <w:rPr>
          <w:rFonts w:eastAsia="SimSun" w:cs="SimSun"/>
          <w:szCs w:val="24"/>
        </w:rPr>
        <w:t>Kohler</w:t>
      </w:r>
      <w:r w:rsidRPr="00E173FE">
        <w:rPr>
          <w:rFonts w:eastAsia="SimSun" w:cs="SimSun" w:hint="eastAsia"/>
          <w:szCs w:val="24"/>
        </w:rPr>
        <w:t xml:space="preserve"> B</w:t>
      </w:r>
      <w:r w:rsidRPr="00E173FE">
        <w:rPr>
          <w:rFonts w:eastAsia="SimSun" w:cs="SimSun"/>
          <w:szCs w:val="24"/>
        </w:rPr>
        <w:t xml:space="preserve">, </w:t>
      </w:r>
      <w:r w:rsidRPr="00E173FE">
        <w:rPr>
          <w:rFonts w:eastAsia="SimSun" w:cs="SimSun" w:hint="eastAsia"/>
          <w:szCs w:val="24"/>
        </w:rPr>
        <w:t xml:space="preserve"> </w:t>
      </w:r>
      <w:r w:rsidRPr="00E173FE">
        <w:rPr>
          <w:rFonts w:eastAsia="SimSun" w:cs="SimSun"/>
          <w:szCs w:val="24"/>
        </w:rPr>
        <w:t>Piñeros</w:t>
      </w:r>
      <w:r w:rsidRPr="00E173FE">
        <w:rPr>
          <w:rFonts w:eastAsia="SimSun" w:cs="SimSun" w:hint="eastAsia"/>
          <w:szCs w:val="24"/>
        </w:rPr>
        <w:t xml:space="preserve"> M</w:t>
      </w:r>
      <w:r w:rsidRPr="00E173FE">
        <w:rPr>
          <w:rFonts w:eastAsia="SimSun" w:cs="SimSun"/>
          <w:szCs w:val="24"/>
        </w:rPr>
        <w:t>,</w:t>
      </w:r>
      <w:r w:rsidRPr="00E173FE">
        <w:rPr>
          <w:rFonts w:eastAsia="SimSun" w:cs="SimSun" w:hint="eastAsia"/>
          <w:szCs w:val="24"/>
        </w:rPr>
        <w:t xml:space="preserve"> </w:t>
      </w:r>
      <w:r w:rsidRPr="00E173FE">
        <w:rPr>
          <w:rFonts w:eastAsia="SimSun" w:cs="SimSun"/>
          <w:szCs w:val="24"/>
        </w:rPr>
        <w:t>Steliarova-Foucher</w:t>
      </w:r>
      <w:r w:rsidRPr="00E173FE">
        <w:rPr>
          <w:rFonts w:eastAsia="SimSun" w:cs="SimSun" w:hint="eastAsia"/>
          <w:szCs w:val="24"/>
        </w:rPr>
        <w:t xml:space="preserve"> E</w:t>
      </w:r>
      <w:r w:rsidRPr="00E173FE">
        <w:rPr>
          <w:rFonts w:eastAsia="SimSun" w:cs="SimSun"/>
          <w:szCs w:val="24"/>
        </w:rPr>
        <w:t>,</w:t>
      </w:r>
      <w:r w:rsidRPr="00E173FE">
        <w:rPr>
          <w:rFonts w:eastAsia="SimSun" w:cs="SimSun" w:hint="eastAsia"/>
          <w:szCs w:val="24"/>
        </w:rPr>
        <w:t xml:space="preserve"> </w:t>
      </w:r>
      <w:r w:rsidRPr="00E173FE">
        <w:rPr>
          <w:rFonts w:eastAsia="SimSun" w:cs="SimSun"/>
          <w:szCs w:val="24"/>
        </w:rPr>
        <w:t>Swaminathan</w:t>
      </w:r>
      <w:r w:rsidRPr="00E173FE">
        <w:rPr>
          <w:rFonts w:eastAsia="SimSun" w:cs="SimSun" w:hint="eastAsia"/>
          <w:szCs w:val="24"/>
        </w:rPr>
        <w:t xml:space="preserve"> R, </w:t>
      </w:r>
      <w:r w:rsidRPr="00E173FE">
        <w:rPr>
          <w:rFonts w:eastAsia="SimSun" w:cs="SimSun"/>
          <w:szCs w:val="24"/>
        </w:rPr>
        <w:t xml:space="preserve">Ferlay </w:t>
      </w:r>
      <w:r w:rsidRPr="00E173FE">
        <w:rPr>
          <w:rFonts w:eastAsia="SimSun" w:cs="SimSun" w:hint="eastAsia"/>
          <w:szCs w:val="24"/>
        </w:rPr>
        <w:t>J</w:t>
      </w:r>
      <w:r w:rsidRPr="00E173FE">
        <w:rPr>
          <w:rFonts w:eastAsia="SimSun" w:cs="SimSun"/>
          <w:szCs w:val="24"/>
        </w:rPr>
        <w:t xml:space="preserve">. </w:t>
      </w:r>
      <w:bookmarkStart w:id="34" w:name="OLE_LINK207"/>
      <w:bookmarkStart w:id="35" w:name="OLE_LINK208"/>
      <w:r w:rsidRPr="00E173FE">
        <w:rPr>
          <w:rFonts w:eastAsia="SimSun" w:cs="SimSun"/>
          <w:szCs w:val="24"/>
        </w:rPr>
        <w:t>Cancer incidence in five continents. Vol X</w:t>
      </w:r>
      <w:bookmarkEnd w:id="34"/>
      <w:bookmarkEnd w:id="35"/>
      <w:r w:rsidRPr="00E173FE">
        <w:rPr>
          <w:rFonts w:eastAsia="SimSun" w:cs="SimSun"/>
          <w:szCs w:val="24"/>
        </w:rPr>
        <w:t>. International Agency for Research on Cancer, 2014.</w:t>
      </w:r>
    </w:p>
    <w:p w:rsidR="00D077F2" w:rsidRPr="00E173FE" w:rsidRDefault="00D077F2" w:rsidP="00D077F2">
      <w:pPr>
        <w:spacing w:after="0"/>
        <w:rPr>
          <w:rFonts w:eastAsia="SimSun" w:cs="SimSun"/>
          <w:szCs w:val="24"/>
        </w:rPr>
      </w:pPr>
      <w:r w:rsidRPr="00E173FE">
        <w:rPr>
          <w:rFonts w:eastAsia="SimSun" w:cs="SimSun"/>
          <w:szCs w:val="24"/>
        </w:rPr>
        <w:t>3 </w:t>
      </w:r>
      <w:r w:rsidRPr="00E173FE">
        <w:rPr>
          <w:rFonts w:eastAsia="SimSun" w:cs="SimSun"/>
          <w:b/>
          <w:bCs/>
          <w:szCs w:val="24"/>
        </w:rPr>
        <w:t>Ferlay J</w:t>
      </w:r>
      <w:r w:rsidRPr="00E173FE">
        <w:rPr>
          <w:rFonts w:eastAsia="SimSun" w:cs="SimSun"/>
          <w:szCs w:val="24"/>
        </w:rPr>
        <w:t>, Shin HR, Bray F, Forman D, Mathers C, Parkin DM. Estimates of worldwide burden of cancer in 2008: GLOBOCAN 2008. </w:t>
      </w:r>
      <w:r w:rsidRPr="00E173FE">
        <w:rPr>
          <w:rFonts w:eastAsia="SimSun" w:cs="SimSun"/>
          <w:i/>
          <w:iCs/>
          <w:szCs w:val="24"/>
        </w:rPr>
        <w:t>Int J Cancer</w:t>
      </w:r>
      <w:r w:rsidRPr="00E173FE">
        <w:rPr>
          <w:rFonts w:eastAsia="SimSun" w:cs="SimSun"/>
          <w:szCs w:val="24"/>
        </w:rPr>
        <w:t> 2010; </w:t>
      </w:r>
      <w:r w:rsidRPr="00E173FE">
        <w:rPr>
          <w:rFonts w:eastAsia="SimSun" w:cs="SimSun"/>
          <w:b/>
          <w:bCs/>
          <w:szCs w:val="24"/>
        </w:rPr>
        <w:t>127</w:t>
      </w:r>
      <w:r w:rsidRPr="00E173FE">
        <w:rPr>
          <w:rFonts w:eastAsia="SimSun" w:cs="SimSun"/>
          <w:szCs w:val="24"/>
        </w:rPr>
        <w:t>: 2893-2917 [PMID: 21351269 DOI: 10.1002/ijc.25516]</w:t>
      </w:r>
    </w:p>
    <w:p w:rsidR="00D077F2" w:rsidRPr="00E173FE" w:rsidRDefault="00D077F2" w:rsidP="00D077F2">
      <w:pPr>
        <w:spacing w:after="0"/>
        <w:rPr>
          <w:rFonts w:eastAsia="SimSun" w:cs="SimSun"/>
          <w:szCs w:val="24"/>
        </w:rPr>
      </w:pPr>
      <w:r w:rsidRPr="00E173FE">
        <w:rPr>
          <w:rFonts w:eastAsia="SimSun" w:cs="SimSun"/>
          <w:szCs w:val="24"/>
        </w:rPr>
        <w:t>4 </w:t>
      </w:r>
      <w:r w:rsidRPr="00E173FE">
        <w:rPr>
          <w:rFonts w:eastAsia="SimSun" w:cs="SimSun"/>
          <w:b/>
          <w:bCs/>
          <w:szCs w:val="24"/>
        </w:rPr>
        <w:t>Schreuders EH</w:t>
      </w:r>
      <w:r w:rsidRPr="00E173FE">
        <w:rPr>
          <w:rFonts w:eastAsia="SimSun" w:cs="SimSun"/>
          <w:szCs w:val="24"/>
        </w:rPr>
        <w:t>, Ruco A, Rabeneck L, Schoen RE, Sung JJ, Young GP, Kuipers EJ. Colorectal cancer screening: a global overview of existing programmes. </w:t>
      </w:r>
      <w:r w:rsidRPr="00E173FE">
        <w:rPr>
          <w:rFonts w:eastAsia="SimSun" w:cs="SimSun"/>
          <w:i/>
          <w:iCs/>
          <w:szCs w:val="24"/>
        </w:rPr>
        <w:t>Gut</w:t>
      </w:r>
      <w:r w:rsidRPr="00E173FE">
        <w:rPr>
          <w:rFonts w:eastAsia="SimSun" w:cs="SimSun"/>
          <w:szCs w:val="24"/>
        </w:rPr>
        <w:t> 2015; </w:t>
      </w:r>
      <w:r w:rsidRPr="00E173FE">
        <w:rPr>
          <w:rFonts w:eastAsia="SimSun" w:cs="SimSun"/>
          <w:b/>
          <w:bCs/>
          <w:szCs w:val="24"/>
        </w:rPr>
        <w:t>64</w:t>
      </w:r>
      <w:r w:rsidRPr="00E173FE">
        <w:rPr>
          <w:rFonts w:eastAsia="SimSun" w:cs="SimSun"/>
          <w:szCs w:val="24"/>
        </w:rPr>
        <w:t>: 1637-1649 [PMID: 26041752 DOI: 10.1136/gutjnl-2014-309086]</w:t>
      </w:r>
    </w:p>
    <w:p w:rsidR="00D077F2" w:rsidRPr="00E173FE" w:rsidRDefault="00D077F2" w:rsidP="00D077F2">
      <w:pPr>
        <w:spacing w:after="0"/>
        <w:rPr>
          <w:rFonts w:eastAsia="SimSun" w:cs="SimSun"/>
          <w:szCs w:val="24"/>
        </w:rPr>
      </w:pPr>
      <w:r w:rsidRPr="00E173FE">
        <w:rPr>
          <w:rFonts w:eastAsia="SimSun" w:cs="SimSun"/>
          <w:szCs w:val="24"/>
        </w:rPr>
        <w:t>5 </w:t>
      </w:r>
      <w:r w:rsidRPr="00E173FE">
        <w:rPr>
          <w:rFonts w:eastAsia="SimSun" w:cs="SimSun"/>
          <w:b/>
          <w:bCs/>
          <w:szCs w:val="24"/>
        </w:rPr>
        <w:t>Siegel RL</w:t>
      </w:r>
      <w:r w:rsidRPr="00E173FE">
        <w:rPr>
          <w:rFonts w:eastAsia="SimSun" w:cs="SimSun"/>
          <w:szCs w:val="24"/>
        </w:rPr>
        <w:t>, Miller KD, Jemal A. Cancer statistics, 2016. </w:t>
      </w:r>
      <w:r w:rsidRPr="00E173FE">
        <w:rPr>
          <w:rFonts w:eastAsia="SimSun" w:cs="SimSun"/>
          <w:i/>
          <w:iCs/>
          <w:szCs w:val="24"/>
        </w:rPr>
        <w:t>CA Cancer J Clin</w:t>
      </w:r>
      <w:r w:rsidRPr="00E173FE">
        <w:rPr>
          <w:rFonts w:eastAsia="SimSun" w:cs="SimSun"/>
          <w:szCs w:val="24"/>
        </w:rPr>
        <w:t> ; </w:t>
      </w:r>
      <w:r w:rsidRPr="00E173FE">
        <w:rPr>
          <w:rFonts w:eastAsia="SimSun" w:cs="SimSun"/>
          <w:b/>
          <w:bCs/>
          <w:szCs w:val="24"/>
        </w:rPr>
        <w:t>66</w:t>
      </w:r>
      <w:r w:rsidRPr="00E173FE">
        <w:rPr>
          <w:rFonts w:eastAsia="SimSun" w:cs="SimSun"/>
          <w:szCs w:val="24"/>
        </w:rPr>
        <w:t>: 7-30 [PMID: 26742998 DOI: 10.3322/caac.21332]</w:t>
      </w:r>
    </w:p>
    <w:p w:rsidR="00D077F2" w:rsidRPr="00E173FE" w:rsidRDefault="00D077F2" w:rsidP="00D077F2">
      <w:pPr>
        <w:spacing w:after="0"/>
        <w:rPr>
          <w:rFonts w:eastAsia="SimSun" w:cs="SimSun"/>
          <w:szCs w:val="24"/>
        </w:rPr>
      </w:pPr>
      <w:r w:rsidRPr="00E173FE">
        <w:rPr>
          <w:rFonts w:eastAsia="SimSun" w:cs="SimSun"/>
          <w:szCs w:val="24"/>
        </w:rPr>
        <w:t>6 </w:t>
      </w:r>
      <w:r w:rsidRPr="00E173FE">
        <w:rPr>
          <w:rFonts w:eastAsia="SimSun" w:cs="SimSun"/>
          <w:b/>
          <w:bCs/>
          <w:szCs w:val="24"/>
        </w:rPr>
        <w:t>Winawer SJ</w:t>
      </w:r>
      <w:r w:rsidRPr="00E173FE">
        <w:rPr>
          <w:rFonts w:eastAsia="SimSun" w:cs="SimSun"/>
          <w:szCs w:val="24"/>
        </w:rPr>
        <w:t>, Zauber AG, Ho MN, O'Brien MJ, Gottlieb LS, Sternberg SS, Waye JD, Schapiro M, Bond JH, Panish JF. Prevention of colorectal cancer by colonoscopic polypectomy. The National Polyp Study Workgroup. </w:t>
      </w:r>
      <w:r w:rsidRPr="00E173FE">
        <w:rPr>
          <w:rFonts w:eastAsia="SimSun" w:cs="SimSun"/>
          <w:i/>
          <w:iCs/>
          <w:szCs w:val="24"/>
        </w:rPr>
        <w:t>N Engl J Med</w:t>
      </w:r>
      <w:r w:rsidRPr="00E173FE">
        <w:rPr>
          <w:rFonts w:eastAsia="SimSun" w:cs="SimSun"/>
          <w:szCs w:val="24"/>
        </w:rPr>
        <w:t> 1993; </w:t>
      </w:r>
      <w:r w:rsidRPr="00E173FE">
        <w:rPr>
          <w:rFonts w:eastAsia="SimSun" w:cs="SimSun"/>
          <w:b/>
          <w:bCs/>
          <w:szCs w:val="24"/>
        </w:rPr>
        <w:t>329</w:t>
      </w:r>
      <w:r w:rsidRPr="00E173FE">
        <w:rPr>
          <w:rFonts w:eastAsia="SimSun" w:cs="SimSun"/>
          <w:szCs w:val="24"/>
        </w:rPr>
        <w:t>: 1977-1981 [PMID: 8247072 DOI: 10.1056/NEJM199312303292701]</w:t>
      </w:r>
    </w:p>
    <w:p w:rsidR="00D077F2" w:rsidRPr="00E173FE" w:rsidRDefault="00D077F2" w:rsidP="00D077F2">
      <w:pPr>
        <w:spacing w:after="0"/>
        <w:rPr>
          <w:rFonts w:eastAsia="SimSun" w:cs="SimSun"/>
          <w:szCs w:val="24"/>
        </w:rPr>
      </w:pPr>
      <w:r w:rsidRPr="00E173FE">
        <w:rPr>
          <w:rFonts w:eastAsia="SimSun" w:cs="SimSun"/>
          <w:szCs w:val="24"/>
        </w:rPr>
        <w:t>7 </w:t>
      </w:r>
      <w:r w:rsidRPr="00E173FE">
        <w:rPr>
          <w:rFonts w:eastAsia="SimSun" w:cs="SimSun"/>
          <w:b/>
          <w:bCs/>
          <w:szCs w:val="24"/>
        </w:rPr>
        <w:t>Stryker SJ</w:t>
      </w:r>
      <w:r w:rsidRPr="00E173FE">
        <w:rPr>
          <w:rFonts w:eastAsia="SimSun" w:cs="SimSun"/>
          <w:szCs w:val="24"/>
        </w:rPr>
        <w:t>, Wolff BG, Culp CE, Libbe SD, Ilstrup DM, MacCarty RL. Natural history of untreated colonic polyps. </w:t>
      </w:r>
      <w:r w:rsidRPr="00E173FE">
        <w:rPr>
          <w:rFonts w:eastAsia="SimSun" w:cs="SimSun"/>
          <w:i/>
          <w:iCs/>
          <w:szCs w:val="24"/>
        </w:rPr>
        <w:t>Gastroenterology</w:t>
      </w:r>
      <w:r w:rsidRPr="00E173FE">
        <w:rPr>
          <w:rFonts w:eastAsia="SimSun" w:cs="SimSun"/>
          <w:szCs w:val="24"/>
        </w:rPr>
        <w:t> 1987; </w:t>
      </w:r>
      <w:r w:rsidRPr="00E173FE">
        <w:rPr>
          <w:rFonts w:eastAsia="SimSun" w:cs="SimSun"/>
          <w:b/>
          <w:bCs/>
          <w:szCs w:val="24"/>
        </w:rPr>
        <w:t>93</w:t>
      </w:r>
      <w:r w:rsidRPr="00E173FE">
        <w:rPr>
          <w:rFonts w:eastAsia="SimSun" w:cs="SimSun"/>
          <w:szCs w:val="24"/>
        </w:rPr>
        <w:t>: 1009-1013 [PMID: 3653628]</w:t>
      </w:r>
    </w:p>
    <w:p w:rsidR="00D077F2" w:rsidRPr="00E173FE" w:rsidRDefault="00D077F2" w:rsidP="00D077F2">
      <w:pPr>
        <w:spacing w:after="0"/>
        <w:rPr>
          <w:rFonts w:eastAsia="SimSun" w:cs="SimSun"/>
          <w:szCs w:val="24"/>
        </w:rPr>
      </w:pPr>
      <w:r w:rsidRPr="00E173FE">
        <w:rPr>
          <w:rFonts w:eastAsia="SimSun" w:cs="SimSun"/>
          <w:szCs w:val="24"/>
        </w:rPr>
        <w:t>8</w:t>
      </w:r>
      <w:r w:rsidRPr="00E173FE">
        <w:rPr>
          <w:rFonts w:eastAsia="SimSun" w:cs="SimSun" w:hint="eastAsia"/>
          <w:szCs w:val="24"/>
        </w:rPr>
        <w:t xml:space="preserve"> </w:t>
      </w:r>
      <w:r w:rsidRPr="00E173FE">
        <w:rPr>
          <w:rFonts w:eastAsia="SimSun" w:cs="SimSun"/>
          <w:b/>
          <w:szCs w:val="24"/>
        </w:rPr>
        <w:t>Wilson JMG,</w:t>
      </w:r>
      <w:r w:rsidRPr="00E173FE">
        <w:rPr>
          <w:rFonts w:eastAsia="SimSun" w:cs="SimSun"/>
          <w:szCs w:val="24"/>
        </w:rPr>
        <w:t xml:space="preserve"> Jungner G. Principles and practice of screening for disease. Geneva: WHO; 1968. Available from: URL: http: //www.who.int/bulletin/volumes/86/4/07-050112BP.pdf</w:t>
      </w:r>
    </w:p>
    <w:p w:rsidR="00D077F2" w:rsidRPr="00E173FE" w:rsidRDefault="00D077F2" w:rsidP="00D077F2">
      <w:pPr>
        <w:spacing w:after="0"/>
        <w:rPr>
          <w:rFonts w:eastAsia="SimSun" w:cs="SimSun"/>
          <w:szCs w:val="24"/>
        </w:rPr>
      </w:pPr>
      <w:r w:rsidRPr="00E173FE">
        <w:rPr>
          <w:rFonts w:eastAsia="SimSun" w:cs="SimSun"/>
          <w:szCs w:val="24"/>
        </w:rPr>
        <w:t>9 </w:t>
      </w:r>
      <w:r w:rsidRPr="00E173FE">
        <w:rPr>
          <w:rFonts w:eastAsia="SimSun" w:cs="SimSun"/>
          <w:b/>
          <w:bCs/>
          <w:szCs w:val="24"/>
        </w:rPr>
        <w:t>Andermann A</w:t>
      </w:r>
      <w:r w:rsidRPr="00E173FE">
        <w:rPr>
          <w:rFonts w:eastAsia="SimSun" w:cs="SimSun"/>
          <w:szCs w:val="24"/>
        </w:rPr>
        <w:t>, Blancquaert I, Beauchamp S, Déry V. Revisiting Wilson and Jungner in the genomic age: a review of screening criteria over the past 40 years. </w:t>
      </w:r>
      <w:r w:rsidRPr="00E173FE">
        <w:rPr>
          <w:rFonts w:eastAsia="SimSun" w:cs="SimSun"/>
          <w:i/>
          <w:iCs/>
          <w:szCs w:val="24"/>
        </w:rPr>
        <w:t>Bull World Health Organ</w:t>
      </w:r>
      <w:r w:rsidRPr="00E173FE">
        <w:rPr>
          <w:rFonts w:eastAsia="SimSun" w:cs="SimSun"/>
          <w:szCs w:val="24"/>
        </w:rPr>
        <w:t> 2008; </w:t>
      </w:r>
      <w:r w:rsidRPr="00E173FE">
        <w:rPr>
          <w:rFonts w:eastAsia="SimSun" w:cs="SimSun"/>
          <w:b/>
          <w:bCs/>
          <w:szCs w:val="24"/>
        </w:rPr>
        <w:t>86</w:t>
      </w:r>
      <w:r w:rsidRPr="00E173FE">
        <w:rPr>
          <w:rFonts w:eastAsia="SimSun" w:cs="SimSun"/>
          <w:szCs w:val="24"/>
        </w:rPr>
        <w:t>: 317-319 [PMID: 18438522 DOI: 10.2471/BLT.07.050112]</w:t>
      </w:r>
    </w:p>
    <w:p w:rsidR="00D077F2" w:rsidRPr="00E173FE" w:rsidRDefault="00D077F2" w:rsidP="00D077F2">
      <w:pPr>
        <w:spacing w:after="0"/>
        <w:rPr>
          <w:rFonts w:eastAsia="SimSun" w:cs="SimSun"/>
          <w:szCs w:val="24"/>
        </w:rPr>
      </w:pPr>
      <w:r w:rsidRPr="00E173FE">
        <w:rPr>
          <w:rFonts w:eastAsia="SimSun" w:cs="SimSun"/>
          <w:szCs w:val="24"/>
        </w:rPr>
        <w:t>10 </w:t>
      </w:r>
      <w:r w:rsidRPr="00E173FE">
        <w:rPr>
          <w:rFonts w:eastAsia="SimSun" w:cs="SimSun"/>
          <w:b/>
          <w:bCs/>
          <w:szCs w:val="24"/>
        </w:rPr>
        <w:t>Pignone M</w:t>
      </w:r>
      <w:r w:rsidRPr="00E173FE">
        <w:rPr>
          <w:rFonts w:eastAsia="SimSun" w:cs="SimSun"/>
          <w:szCs w:val="24"/>
        </w:rPr>
        <w:t>, Saha S, Hoerger T, Mandelblatt J. Cost-effectiveness analyses of colorectal cancer screening: a systematic review for the U.S. Preventive Services Task Force. </w:t>
      </w:r>
      <w:r w:rsidRPr="00E173FE">
        <w:rPr>
          <w:rFonts w:eastAsia="SimSun" w:cs="SimSun"/>
          <w:i/>
          <w:iCs/>
          <w:szCs w:val="24"/>
        </w:rPr>
        <w:t>Ann Intern Med</w:t>
      </w:r>
      <w:r w:rsidRPr="00E173FE">
        <w:rPr>
          <w:rFonts w:eastAsia="SimSun" w:cs="SimSun"/>
          <w:szCs w:val="24"/>
        </w:rPr>
        <w:t> 2002; </w:t>
      </w:r>
      <w:r w:rsidRPr="00E173FE">
        <w:rPr>
          <w:rFonts w:eastAsia="SimSun" w:cs="SimSun"/>
          <w:b/>
          <w:bCs/>
          <w:szCs w:val="24"/>
        </w:rPr>
        <w:t>137</w:t>
      </w:r>
      <w:r w:rsidRPr="00E173FE">
        <w:rPr>
          <w:rFonts w:eastAsia="SimSun" w:cs="SimSun"/>
          <w:szCs w:val="24"/>
        </w:rPr>
        <w:t>: 96-104 [PMID: 12118964 DOI: 10.7326/0003-4819-137-2-200207160-00007]</w:t>
      </w:r>
    </w:p>
    <w:p w:rsidR="00D077F2" w:rsidRPr="00E173FE" w:rsidRDefault="00D077F2" w:rsidP="00886547">
      <w:pPr>
        <w:rPr>
          <w:rFonts w:cs="Tahoma"/>
          <w:b/>
          <w:color w:val="0000FF"/>
          <w:lang w:eastAsia="zh-CN"/>
        </w:rPr>
      </w:pPr>
      <w:r w:rsidRPr="00E173FE">
        <w:rPr>
          <w:rFonts w:eastAsia="SimSun" w:cs="SimSun"/>
          <w:szCs w:val="24"/>
        </w:rPr>
        <w:lastRenderedPageBreak/>
        <w:t>11</w:t>
      </w:r>
      <w:r w:rsidRPr="00E173FE">
        <w:rPr>
          <w:rFonts w:eastAsia="SimSun" w:cs="SimSun" w:hint="eastAsia"/>
          <w:szCs w:val="24"/>
        </w:rPr>
        <w:t xml:space="preserve"> </w:t>
      </w:r>
      <w:r w:rsidRPr="00E173FE">
        <w:rPr>
          <w:rFonts w:eastAsia="SimSun" w:cs="SimSun"/>
          <w:b/>
          <w:szCs w:val="24"/>
        </w:rPr>
        <w:t>Castells A</w:t>
      </w:r>
      <w:r w:rsidRPr="00E173FE">
        <w:rPr>
          <w:rFonts w:eastAsia="SimSun" w:cs="SimSun"/>
          <w:szCs w:val="24"/>
        </w:rPr>
        <w:t>, Marzo-Castillejo M, Mascort J, Amador F, Andreu M, Bellas B</w:t>
      </w:r>
      <w:bookmarkStart w:id="36" w:name="OLE_LINK205"/>
      <w:bookmarkStart w:id="37" w:name="OLE_LINK206"/>
      <w:bookmarkStart w:id="38" w:name="OLE_LINK209"/>
      <w:bookmarkStart w:id="39" w:name="OLE_LINK210"/>
      <w:r w:rsidR="00886547" w:rsidRPr="00E173FE">
        <w:rPr>
          <w:rFonts w:eastAsia="SimSun" w:cs="SimSun" w:hint="eastAsia"/>
          <w:szCs w:val="24"/>
          <w:lang w:eastAsia="zh-CN"/>
        </w:rPr>
        <w:t xml:space="preserve">. </w:t>
      </w:r>
      <w:bookmarkStart w:id="40" w:name="OLE_LINK211"/>
      <w:bookmarkStart w:id="41" w:name="OLE_LINK212"/>
      <w:r w:rsidRPr="00E173FE">
        <w:rPr>
          <w:rFonts w:eastAsia="SimSun" w:cs="SimSun"/>
          <w:szCs w:val="24"/>
        </w:rPr>
        <w:t>Guía de práctica clínica en prevención del cáncer colorectal</w:t>
      </w:r>
      <w:bookmarkEnd w:id="36"/>
      <w:bookmarkEnd w:id="37"/>
      <w:bookmarkEnd w:id="38"/>
      <w:bookmarkEnd w:id="39"/>
      <w:r w:rsidRPr="00E173FE">
        <w:rPr>
          <w:rFonts w:eastAsia="SimSun" w:cs="SimSun"/>
          <w:szCs w:val="24"/>
        </w:rPr>
        <w:t xml:space="preserve">. </w:t>
      </w:r>
      <w:r w:rsidRPr="00E173FE">
        <w:rPr>
          <w:rFonts w:eastAsia="SimSun" w:cs="SimSun"/>
          <w:i/>
          <w:szCs w:val="24"/>
        </w:rPr>
        <w:t>Gastroenterol Hepatol</w:t>
      </w:r>
      <w:r w:rsidRPr="00E173FE">
        <w:rPr>
          <w:rFonts w:eastAsia="SimSun" w:cs="SimSun"/>
          <w:szCs w:val="24"/>
        </w:rPr>
        <w:t xml:space="preserve"> 2009</w:t>
      </w:r>
      <w:bookmarkEnd w:id="40"/>
      <w:bookmarkEnd w:id="41"/>
      <w:r w:rsidRPr="00E173FE">
        <w:rPr>
          <w:rFonts w:eastAsia="SimSun" w:cs="SimSun"/>
          <w:szCs w:val="24"/>
        </w:rPr>
        <w:t xml:space="preserve">; </w:t>
      </w:r>
      <w:r w:rsidRPr="00E173FE">
        <w:rPr>
          <w:rFonts w:eastAsia="SimSun" w:cs="SimSun"/>
          <w:b/>
          <w:szCs w:val="24"/>
        </w:rPr>
        <w:t>32</w:t>
      </w:r>
      <w:r w:rsidRPr="00E173FE">
        <w:rPr>
          <w:rFonts w:eastAsia="SimSun" w:cs="SimSun"/>
          <w:szCs w:val="24"/>
        </w:rPr>
        <w:t xml:space="preserve">: 717.e1-717.e58 [DOI: </w:t>
      </w:r>
      <w:r w:rsidR="00886547" w:rsidRPr="00E173FE">
        <w:rPr>
          <w:rFonts w:cs="SimSun"/>
        </w:rPr>
        <w:t>http://dx.doi.org/</w:t>
      </w:r>
      <w:r w:rsidRPr="00E173FE">
        <w:rPr>
          <w:rFonts w:eastAsia="SimSun" w:cs="SimSun"/>
          <w:szCs w:val="24"/>
        </w:rPr>
        <w:t>1</w:t>
      </w:r>
      <w:r w:rsidR="00886547" w:rsidRPr="00E173FE">
        <w:rPr>
          <w:rFonts w:eastAsia="SimSun" w:cs="SimSun"/>
          <w:szCs w:val="24"/>
        </w:rPr>
        <w:t>0.1016/j.gastrohep.2009.09.001]</w:t>
      </w:r>
    </w:p>
    <w:p w:rsidR="00D077F2" w:rsidRPr="00E173FE" w:rsidRDefault="00D077F2" w:rsidP="00D077F2">
      <w:pPr>
        <w:spacing w:after="0"/>
        <w:rPr>
          <w:rFonts w:eastAsia="SimSun" w:cs="SimSun"/>
          <w:szCs w:val="24"/>
        </w:rPr>
      </w:pPr>
      <w:r w:rsidRPr="00E173FE">
        <w:rPr>
          <w:rFonts w:eastAsia="SimSun" w:cs="SimSun"/>
          <w:szCs w:val="24"/>
        </w:rPr>
        <w:t>12 </w:t>
      </w:r>
      <w:r w:rsidRPr="00E173FE">
        <w:rPr>
          <w:rFonts w:eastAsia="SimSun" w:cs="SimSun"/>
          <w:b/>
          <w:bCs/>
          <w:szCs w:val="24"/>
        </w:rPr>
        <w:t>Hewitson P</w:t>
      </w:r>
      <w:r w:rsidRPr="00E173FE">
        <w:rPr>
          <w:rFonts w:eastAsia="SimSun" w:cs="SimSun"/>
          <w:szCs w:val="24"/>
        </w:rPr>
        <w:t>, Glasziou P, Watson E, Towler B, Irwig L. Cochrane systematic review of colorectal cancer screening using the fecal occult blood test (hemoccult): an update. </w:t>
      </w:r>
      <w:r w:rsidRPr="00E173FE">
        <w:rPr>
          <w:rFonts w:eastAsia="SimSun" w:cs="SimSun"/>
          <w:i/>
          <w:iCs/>
          <w:szCs w:val="24"/>
        </w:rPr>
        <w:t>Am J Gastroenterol</w:t>
      </w:r>
      <w:r w:rsidRPr="00E173FE">
        <w:rPr>
          <w:rFonts w:eastAsia="SimSun" w:cs="SimSun"/>
          <w:szCs w:val="24"/>
        </w:rPr>
        <w:t> 2008; </w:t>
      </w:r>
      <w:r w:rsidRPr="00E173FE">
        <w:rPr>
          <w:rFonts w:eastAsia="SimSun" w:cs="SimSun"/>
          <w:b/>
          <w:bCs/>
          <w:szCs w:val="24"/>
        </w:rPr>
        <w:t>103</w:t>
      </w:r>
      <w:r w:rsidRPr="00E173FE">
        <w:rPr>
          <w:rFonts w:eastAsia="SimSun" w:cs="SimSun"/>
          <w:szCs w:val="24"/>
        </w:rPr>
        <w:t>: 1541-1549 [PMID: 18479499 DOI: 10.1111/j.1572-0241.2008.01875.x]</w:t>
      </w:r>
    </w:p>
    <w:p w:rsidR="00D077F2" w:rsidRPr="00E173FE" w:rsidRDefault="00D077F2" w:rsidP="00D077F2">
      <w:pPr>
        <w:spacing w:after="0"/>
        <w:rPr>
          <w:rFonts w:eastAsia="SimSun" w:cs="SimSun"/>
          <w:szCs w:val="24"/>
        </w:rPr>
      </w:pPr>
      <w:r w:rsidRPr="00E173FE">
        <w:rPr>
          <w:rFonts w:eastAsia="SimSun" w:cs="SimSun"/>
          <w:szCs w:val="24"/>
        </w:rPr>
        <w:t>13 </w:t>
      </w:r>
      <w:r w:rsidRPr="00E173FE">
        <w:rPr>
          <w:rFonts w:eastAsia="SimSun" w:cs="SimSun"/>
          <w:b/>
          <w:bCs/>
          <w:szCs w:val="24"/>
        </w:rPr>
        <w:t>Shaukat A</w:t>
      </w:r>
      <w:r w:rsidRPr="00E173FE">
        <w:rPr>
          <w:rFonts w:eastAsia="SimSun" w:cs="SimSun"/>
          <w:szCs w:val="24"/>
        </w:rPr>
        <w:t>, Mongin SJ, Geisser MS, Lederle FA, Bond JH, Mandel JS, Church TR. Long-term mortality after screening for colorectal cancer. </w:t>
      </w:r>
      <w:r w:rsidRPr="00E173FE">
        <w:rPr>
          <w:rFonts w:eastAsia="SimSun" w:cs="SimSun"/>
          <w:i/>
          <w:iCs/>
          <w:szCs w:val="24"/>
        </w:rPr>
        <w:t>N Engl J Med</w:t>
      </w:r>
      <w:r w:rsidRPr="00E173FE">
        <w:rPr>
          <w:rFonts w:eastAsia="SimSun" w:cs="SimSun"/>
          <w:szCs w:val="24"/>
        </w:rPr>
        <w:t> 2013; </w:t>
      </w:r>
      <w:r w:rsidRPr="00E173FE">
        <w:rPr>
          <w:rFonts w:eastAsia="SimSun" w:cs="SimSun"/>
          <w:b/>
          <w:bCs/>
          <w:szCs w:val="24"/>
        </w:rPr>
        <w:t>369</w:t>
      </w:r>
      <w:r w:rsidRPr="00E173FE">
        <w:rPr>
          <w:rFonts w:eastAsia="SimSun" w:cs="SimSun"/>
          <w:szCs w:val="24"/>
        </w:rPr>
        <w:t>: 1106-1114 [PMID: 24047060 DOI: 10.1056/NEJMoa1300720]</w:t>
      </w:r>
    </w:p>
    <w:p w:rsidR="00D077F2" w:rsidRPr="00E173FE" w:rsidRDefault="00D077F2" w:rsidP="00D077F2">
      <w:pPr>
        <w:spacing w:after="0"/>
        <w:rPr>
          <w:rFonts w:eastAsia="SimSun" w:cs="SimSun"/>
          <w:szCs w:val="24"/>
        </w:rPr>
      </w:pPr>
      <w:r w:rsidRPr="00E173FE">
        <w:rPr>
          <w:rFonts w:eastAsia="SimSun" w:cs="SimSun"/>
          <w:szCs w:val="24"/>
        </w:rPr>
        <w:t>14 </w:t>
      </w:r>
      <w:r w:rsidRPr="00E173FE">
        <w:rPr>
          <w:rFonts w:eastAsia="SimSun" w:cs="SimSun"/>
          <w:b/>
          <w:bCs/>
          <w:szCs w:val="24"/>
        </w:rPr>
        <w:t>Mandel JS</w:t>
      </w:r>
      <w:r w:rsidRPr="00E173FE">
        <w:rPr>
          <w:rFonts w:eastAsia="SimSun" w:cs="SimSun"/>
          <w:szCs w:val="24"/>
        </w:rPr>
        <w:t>, Church TR, Bond JH, Ederer F, Geisser MS, Mongin SJ, Snover DC, Schuman LM. The effect of fecal occult-blood screening on the incidence of colorectal cancer. </w:t>
      </w:r>
      <w:r w:rsidRPr="00E173FE">
        <w:rPr>
          <w:rFonts w:eastAsia="SimSun" w:cs="SimSun"/>
          <w:i/>
          <w:iCs/>
          <w:szCs w:val="24"/>
        </w:rPr>
        <w:t>N Engl J Med</w:t>
      </w:r>
      <w:r w:rsidRPr="00E173FE">
        <w:rPr>
          <w:rFonts w:eastAsia="SimSun" w:cs="SimSun"/>
          <w:szCs w:val="24"/>
        </w:rPr>
        <w:t> 2000; </w:t>
      </w:r>
      <w:r w:rsidRPr="00E173FE">
        <w:rPr>
          <w:rFonts w:eastAsia="SimSun" w:cs="SimSun"/>
          <w:b/>
          <w:bCs/>
          <w:szCs w:val="24"/>
        </w:rPr>
        <w:t>343</w:t>
      </w:r>
      <w:r w:rsidRPr="00E173FE">
        <w:rPr>
          <w:rFonts w:eastAsia="SimSun" w:cs="SimSun"/>
          <w:szCs w:val="24"/>
        </w:rPr>
        <w:t>: 1603-1607 [PMID: 11096167 DOI: 10.1056/NEJM200011303432203]</w:t>
      </w:r>
    </w:p>
    <w:p w:rsidR="00D077F2" w:rsidRPr="00E173FE" w:rsidRDefault="00D077F2" w:rsidP="00D077F2">
      <w:pPr>
        <w:spacing w:after="0"/>
        <w:rPr>
          <w:rFonts w:eastAsia="SimSun" w:cs="SimSun"/>
          <w:szCs w:val="24"/>
        </w:rPr>
      </w:pPr>
      <w:r w:rsidRPr="00E173FE">
        <w:rPr>
          <w:rFonts w:eastAsia="SimSun" w:cs="SimSun"/>
          <w:szCs w:val="24"/>
        </w:rPr>
        <w:t>15 </w:t>
      </w:r>
      <w:r w:rsidRPr="00E173FE">
        <w:rPr>
          <w:rFonts w:eastAsia="SimSun" w:cs="SimSun"/>
          <w:b/>
          <w:bCs/>
          <w:szCs w:val="24"/>
        </w:rPr>
        <w:t>van Rossum LG</w:t>
      </w:r>
      <w:r w:rsidRPr="00E173FE">
        <w:rPr>
          <w:rFonts w:eastAsia="SimSun" w:cs="SimSun"/>
          <w:szCs w:val="24"/>
        </w:rPr>
        <w:t>, van Rijn AF, Laheij RJ, van Oijen MG, Fockens P, van Krieken HH, Verbeek AL, Jansen JB, Dekker E. Random comparison of guaiac and immunochemical fecal occult blood tests for colorectal cancer in a screening population. </w:t>
      </w:r>
      <w:r w:rsidRPr="00E173FE">
        <w:rPr>
          <w:rFonts w:eastAsia="SimSun" w:cs="SimSun"/>
          <w:i/>
          <w:iCs/>
          <w:szCs w:val="24"/>
        </w:rPr>
        <w:t>Gastroenterology</w:t>
      </w:r>
      <w:r w:rsidRPr="00E173FE">
        <w:rPr>
          <w:rFonts w:eastAsia="SimSun" w:cs="SimSun"/>
          <w:szCs w:val="24"/>
        </w:rPr>
        <w:t> 2008; </w:t>
      </w:r>
      <w:r w:rsidRPr="00E173FE">
        <w:rPr>
          <w:rFonts w:eastAsia="SimSun" w:cs="SimSun"/>
          <w:b/>
          <w:bCs/>
          <w:szCs w:val="24"/>
        </w:rPr>
        <w:t>135</w:t>
      </w:r>
      <w:r w:rsidRPr="00E173FE">
        <w:rPr>
          <w:rFonts w:eastAsia="SimSun" w:cs="SimSun"/>
          <w:szCs w:val="24"/>
        </w:rPr>
        <w:t>: 82-90 [PMID: 18482589 DOI: 10.1053/j.gastro.2008.03.040]</w:t>
      </w:r>
    </w:p>
    <w:p w:rsidR="00D077F2" w:rsidRPr="00E173FE" w:rsidRDefault="00D077F2" w:rsidP="00D077F2">
      <w:pPr>
        <w:spacing w:after="0"/>
        <w:rPr>
          <w:rFonts w:eastAsia="SimSun" w:cs="SimSun"/>
          <w:szCs w:val="24"/>
        </w:rPr>
      </w:pPr>
      <w:r w:rsidRPr="00E173FE">
        <w:rPr>
          <w:rFonts w:eastAsia="SimSun" w:cs="SimSun"/>
          <w:szCs w:val="24"/>
        </w:rPr>
        <w:t>16 </w:t>
      </w:r>
      <w:r w:rsidRPr="00E173FE">
        <w:rPr>
          <w:rFonts w:eastAsia="SimSun" w:cs="SimSun"/>
          <w:b/>
          <w:bCs/>
          <w:szCs w:val="24"/>
        </w:rPr>
        <w:t>Parra-Blanco A</w:t>
      </w:r>
      <w:r w:rsidRPr="00E173FE">
        <w:rPr>
          <w:rFonts w:eastAsia="SimSun" w:cs="SimSun"/>
          <w:szCs w:val="24"/>
        </w:rPr>
        <w:t>, Gimeno-García AZ, Quintero E, Nicolás D, Moreno SG, Jiménez A, Hernández-Guerra M, Carrillo-Palau M, Eishi Y, López-Bastida J. Diagnostic accuracy of immunochemical versus guaiac faecal occult blood tests for colorectal cancer screening. </w:t>
      </w:r>
      <w:r w:rsidRPr="00E173FE">
        <w:rPr>
          <w:rFonts w:eastAsia="SimSun" w:cs="SimSun"/>
          <w:i/>
          <w:iCs/>
          <w:szCs w:val="24"/>
        </w:rPr>
        <w:t>J Gastroenterol</w:t>
      </w:r>
      <w:r w:rsidRPr="00E173FE">
        <w:rPr>
          <w:rFonts w:eastAsia="SimSun" w:cs="SimSun"/>
          <w:szCs w:val="24"/>
        </w:rPr>
        <w:t> 2010; </w:t>
      </w:r>
      <w:r w:rsidRPr="00E173FE">
        <w:rPr>
          <w:rFonts w:eastAsia="SimSun" w:cs="SimSun"/>
          <w:b/>
          <w:bCs/>
          <w:szCs w:val="24"/>
        </w:rPr>
        <w:t>45</w:t>
      </w:r>
      <w:r w:rsidRPr="00E173FE">
        <w:rPr>
          <w:rFonts w:eastAsia="SimSun" w:cs="SimSun"/>
          <w:szCs w:val="24"/>
        </w:rPr>
        <w:t>: 703-712 [PMID: 20157748 DOI: 10.1007/s00535-010-0214-8]</w:t>
      </w:r>
    </w:p>
    <w:p w:rsidR="00D077F2" w:rsidRPr="00E173FE" w:rsidRDefault="00D077F2" w:rsidP="00D077F2">
      <w:pPr>
        <w:spacing w:after="0"/>
        <w:rPr>
          <w:rFonts w:eastAsia="SimSun" w:cs="SimSun"/>
          <w:szCs w:val="24"/>
        </w:rPr>
      </w:pPr>
      <w:r w:rsidRPr="00E173FE">
        <w:rPr>
          <w:rFonts w:eastAsia="SimSun" w:cs="SimSun"/>
          <w:szCs w:val="24"/>
        </w:rPr>
        <w:t>17 </w:t>
      </w:r>
      <w:r w:rsidRPr="00E173FE">
        <w:rPr>
          <w:rFonts w:eastAsia="SimSun" w:cs="SimSun"/>
          <w:b/>
          <w:bCs/>
          <w:szCs w:val="24"/>
        </w:rPr>
        <w:t>Grazzini G</w:t>
      </w:r>
      <w:r w:rsidRPr="00E173FE">
        <w:rPr>
          <w:rFonts w:eastAsia="SimSun" w:cs="SimSun"/>
          <w:szCs w:val="24"/>
        </w:rPr>
        <w:t>, Visioli CB, Zorzi M, Ciatto S, Banovich F, Bonanomi AG, Bortoli A, Castiglione G, Cazzola L, Confortini M, Mantellini P, Rubeca T, Zappa M. Immunochemical faecal occult blood test: number of samples and positivity cutoff. What is the best strategy for colorectal cancer screening? </w:t>
      </w:r>
      <w:r w:rsidRPr="00E173FE">
        <w:rPr>
          <w:rFonts w:eastAsia="SimSun" w:cs="SimSun"/>
          <w:i/>
          <w:iCs/>
          <w:szCs w:val="24"/>
        </w:rPr>
        <w:t>Br J Cancer</w:t>
      </w:r>
      <w:r w:rsidRPr="00E173FE">
        <w:rPr>
          <w:rFonts w:eastAsia="SimSun" w:cs="SimSun"/>
          <w:szCs w:val="24"/>
        </w:rPr>
        <w:t> 2009; </w:t>
      </w:r>
      <w:r w:rsidRPr="00E173FE">
        <w:rPr>
          <w:rFonts w:eastAsia="SimSun" w:cs="SimSun"/>
          <w:b/>
          <w:bCs/>
          <w:szCs w:val="24"/>
        </w:rPr>
        <w:t>100</w:t>
      </w:r>
      <w:r w:rsidRPr="00E173FE">
        <w:rPr>
          <w:rFonts w:eastAsia="SimSun" w:cs="SimSun"/>
          <w:szCs w:val="24"/>
        </w:rPr>
        <w:t>: 259-265 [PMID: 19142185 DOI: 10.1038/sj.bjc.6604864]</w:t>
      </w:r>
    </w:p>
    <w:p w:rsidR="00D077F2" w:rsidRPr="00E173FE" w:rsidRDefault="00D077F2" w:rsidP="00D077F2">
      <w:pPr>
        <w:spacing w:after="0"/>
        <w:rPr>
          <w:rFonts w:eastAsia="SimSun" w:cs="SimSun"/>
          <w:szCs w:val="24"/>
        </w:rPr>
      </w:pPr>
      <w:r w:rsidRPr="00E173FE">
        <w:rPr>
          <w:rFonts w:eastAsia="SimSun" w:cs="SimSun"/>
          <w:szCs w:val="24"/>
        </w:rPr>
        <w:t>18 </w:t>
      </w:r>
      <w:r w:rsidRPr="00E173FE">
        <w:rPr>
          <w:rFonts w:eastAsia="SimSun" w:cs="SimSun"/>
          <w:b/>
          <w:bCs/>
          <w:szCs w:val="24"/>
        </w:rPr>
        <w:t>Hamza S</w:t>
      </w:r>
      <w:r w:rsidRPr="00E173FE">
        <w:rPr>
          <w:rFonts w:eastAsia="SimSun" w:cs="SimSun"/>
          <w:szCs w:val="24"/>
        </w:rPr>
        <w:t xml:space="preserve">, Dancourt V, Lejeune C, Bidan JM, Lepage C, Faivre J. Diagnostic yield of a one sample immunochemical test at different cut-off values in an organised </w:t>
      </w:r>
      <w:r w:rsidRPr="00E173FE">
        <w:rPr>
          <w:rFonts w:eastAsia="SimSun" w:cs="SimSun"/>
          <w:szCs w:val="24"/>
        </w:rPr>
        <w:lastRenderedPageBreak/>
        <w:t>screening programme for colorectal cancer. </w:t>
      </w:r>
      <w:r w:rsidRPr="00E173FE">
        <w:rPr>
          <w:rFonts w:eastAsia="SimSun" w:cs="SimSun"/>
          <w:i/>
          <w:iCs/>
          <w:szCs w:val="24"/>
        </w:rPr>
        <w:t>Eur J Cancer</w:t>
      </w:r>
      <w:r w:rsidRPr="00E173FE">
        <w:rPr>
          <w:rFonts w:eastAsia="SimSun" w:cs="SimSun"/>
          <w:szCs w:val="24"/>
        </w:rPr>
        <w:t> 2013; </w:t>
      </w:r>
      <w:r w:rsidRPr="00E173FE">
        <w:rPr>
          <w:rFonts w:eastAsia="SimSun" w:cs="SimSun"/>
          <w:b/>
          <w:bCs/>
          <w:szCs w:val="24"/>
        </w:rPr>
        <w:t>49</w:t>
      </w:r>
      <w:r w:rsidRPr="00E173FE">
        <w:rPr>
          <w:rFonts w:eastAsia="SimSun" w:cs="SimSun"/>
          <w:szCs w:val="24"/>
        </w:rPr>
        <w:t>: 2727-2733 [PMID: 23601670 DOI: 10.1016/j.ejca.2013.03.023]</w:t>
      </w:r>
    </w:p>
    <w:p w:rsidR="00D077F2" w:rsidRPr="00E173FE" w:rsidRDefault="00D077F2" w:rsidP="00D077F2">
      <w:pPr>
        <w:spacing w:after="0"/>
        <w:rPr>
          <w:rFonts w:eastAsia="SimSun" w:cs="SimSun"/>
          <w:szCs w:val="24"/>
        </w:rPr>
      </w:pPr>
      <w:r w:rsidRPr="00E173FE">
        <w:rPr>
          <w:rFonts w:eastAsia="SimSun" w:cs="SimSun"/>
          <w:szCs w:val="24"/>
        </w:rPr>
        <w:t>19 </w:t>
      </w:r>
      <w:r w:rsidRPr="00E173FE">
        <w:rPr>
          <w:rFonts w:eastAsia="SimSun" w:cs="SimSun"/>
          <w:b/>
          <w:bCs/>
          <w:szCs w:val="24"/>
        </w:rPr>
        <w:t>Tinmouth J</w:t>
      </w:r>
      <w:r w:rsidRPr="00E173FE">
        <w:rPr>
          <w:rFonts w:eastAsia="SimSun" w:cs="SimSun"/>
          <w:szCs w:val="24"/>
        </w:rPr>
        <w:t>, Lansdorp-Vogelaar I, Allison JE. Faecal immunochemical tests versus guaiac faecal occult blood tests: what clinicians and colorectal cancer screening programme organisers need to know. </w:t>
      </w:r>
      <w:r w:rsidRPr="00E173FE">
        <w:rPr>
          <w:rFonts w:eastAsia="SimSun" w:cs="SimSun"/>
          <w:i/>
          <w:iCs/>
          <w:szCs w:val="24"/>
        </w:rPr>
        <w:t>Gut</w:t>
      </w:r>
      <w:r w:rsidRPr="00E173FE">
        <w:rPr>
          <w:rFonts w:eastAsia="SimSun" w:cs="SimSun"/>
          <w:szCs w:val="24"/>
        </w:rPr>
        <w:t> 2015; </w:t>
      </w:r>
      <w:r w:rsidRPr="00E173FE">
        <w:rPr>
          <w:rFonts w:eastAsia="SimSun" w:cs="SimSun"/>
          <w:b/>
          <w:bCs/>
          <w:szCs w:val="24"/>
        </w:rPr>
        <w:t>64</w:t>
      </w:r>
      <w:r w:rsidRPr="00E173FE">
        <w:rPr>
          <w:rFonts w:eastAsia="SimSun" w:cs="SimSun"/>
          <w:szCs w:val="24"/>
        </w:rPr>
        <w:t>: 1327-1337 [PMID: 26041750 DOI: 10.1136/gutjnl-2014-308074]</w:t>
      </w:r>
    </w:p>
    <w:p w:rsidR="00D077F2" w:rsidRPr="00E173FE" w:rsidRDefault="00D077F2" w:rsidP="00D077F2">
      <w:pPr>
        <w:spacing w:after="0"/>
        <w:rPr>
          <w:rFonts w:eastAsia="SimSun" w:cs="SimSun"/>
          <w:szCs w:val="24"/>
        </w:rPr>
      </w:pPr>
      <w:r w:rsidRPr="00E173FE">
        <w:rPr>
          <w:rFonts w:eastAsia="SimSun" w:cs="SimSun"/>
          <w:szCs w:val="24"/>
        </w:rPr>
        <w:t>20</w:t>
      </w:r>
      <w:r w:rsidRPr="00E173FE">
        <w:rPr>
          <w:rFonts w:eastAsia="SimSun" w:cs="SimSun" w:hint="eastAsia"/>
          <w:szCs w:val="24"/>
        </w:rPr>
        <w:t xml:space="preserve"> </w:t>
      </w:r>
      <w:r w:rsidRPr="00E173FE">
        <w:rPr>
          <w:rFonts w:eastAsia="SimSun" w:cs="SimSun"/>
          <w:b/>
          <w:szCs w:val="24"/>
        </w:rPr>
        <w:t xml:space="preserve">National Cancer Institute. </w:t>
      </w:r>
      <w:r w:rsidRPr="00E173FE">
        <w:rPr>
          <w:rFonts w:eastAsia="SimSun" w:cs="SimSun"/>
          <w:szCs w:val="24"/>
        </w:rPr>
        <w:t>Colorectal Cancer Prevention. Available from: URL: http: // www.cancer.gov</w:t>
      </w:r>
    </w:p>
    <w:p w:rsidR="00D077F2" w:rsidRPr="00E173FE" w:rsidRDefault="00D077F2" w:rsidP="00D077F2">
      <w:pPr>
        <w:spacing w:after="0"/>
        <w:rPr>
          <w:rFonts w:eastAsia="SimSun" w:cs="SimSun"/>
          <w:szCs w:val="24"/>
        </w:rPr>
      </w:pPr>
      <w:r w:rsidRPr="00E173FE">
        <w:rPr>
          <w:rFonts w:eastAsia="SimSun" w:cs="SimSun"/>
          <w:szCs w:val="24"/>
        </w:rPr>
        <w:t>21 </w:t>
      </w:r>
      <w:r w:rsidRPr="00E173FE">
        <w:rPr>
          <w:rFonts w:eastAsia="SimSun" w:cs="SimSun"/>
          <w:b/>
          <w:bCs/>
          <w:szCs w:val="24"/>
        </w:rPr>
        <w:t>Atkin WS</w:t>
      </w:r>
      <w:r w:rsidRPr="00E173FE">
        <w:rPr>
          <w:rFonts w:eastAsia="SimSun" w:cs="SimSun"/>
          <w:szCs w:val="24"/>
        </w:rPr>
        <w:t>, Edwards R, Kralj-Hans I, Wooldrage K, Hart AR, Northover JM, Parkin DM, Wardle J, Duffy SW, Cuzick J. Once-only flexible sigmoidoscopy screening in prevention of colorectal cancer: a multicentre randomised controlled trial. </w:t>
      </w:r>
      <w:r w:rsidRPr="00E173FE">
        <w:rPr>
          <w:rFonts w:eastAsia="SimSun" w:cs="SimSun"/>
          <w:i/>
          <w:iCs/>
          <w:szCs w:val="24"/>
        </w:rPr>
        <w:t>Lancet</w:t>
      </w:r>
      <w:r w:rsidRPr="00E173FE">
        <w:rPr>
          <w:rFonts w:eastAsia="SimSun" w:cs="SimSun"/>
          <w:szCs w:val="24"/>
        </w:rPr>
        <w:t> 2010; </w:t>
      </w:r>
      <w:r w:rsidRPr="00E173FE">
        <w:rPr>
          <w:rFonts w:eastAsia="SimSun" w:cs="SimSun"/>
          <w:b/>
          <w:bCs/>
          <w:szCs w:val="24"/>
        </w:rPr>
        <w:t>375</w:t>
      </w:r>
      <w:r w:rsidRPr="00E173FE">
        <w:rPr>
          <w:rFonts w:eastAsia="SimSun" w:cs="SimSun"/>
          <w:szCs w:val="24"/>
        </w:rPr>
        <w:t>: 1624-1633 [PMID: 20430429 DOI: 10.1016/S0140-6736(10)60551-X]</w:t>
      </w:r>
    </w:p>
    <w:p w:rsidR="00D077F2" w:rsidRPr="00E173FE" w:rsidRDefault="00D077F2" w:rsidP="00D077F2">
      <w:pPr>
        <w:spacing w:after="0"/>
        <w:rPr>
          <w:rFonts w:eastAsia="SimSun" w:cs="SimSun"/>
          <w:szCs w:val="24"/>
        </w:rPr>
      </w:pPr>
      <w:r w:rsidRPr="00E173FE">
        <w:rPr>
          <w:rFonts w:eastAsia="SimSun" w:cs="SimSun"/>
          <w:szCs w:val="24"/>
        </w:rPr>
        <w:t>22 </w:t>
      </w:r>
      <w:r w:rsidRPr="00E173FE">
        <w:rPr>
          <w:rFonts w:eastAsia="SimSun" w:cs="SimSun"/>
          <w:b/>
          <w:bCs/>
          <w:szCs w:val="24"/>
        </w:rPr>
        <w:t>Brenner H</w:t>
      </w:r>
      <w:r w:rsidRPr="00E173FE">
        <w:rPr>
          <w:rFonts w:eastAsia="SimSun" w:cs="SimSun"/>
          <w:szCs w:val="24"/>
        </w:rPr>
        <w:t>, Stock C, Hoffmeister M. Effect of screening sigmoidoscopy and screening colonoscopy on colorectal cancer incidence and mortality: systematic review and meta-analysis of randomised controlled trials and observational studies. </w:t>
      </w:r>
      <w:r w:rsidRPr="00E173FE">
        <w:rPr>
          <w:rFonts w:eastAsia="SimSun" w:cs="SimSun"/>
          <w:i/>
          <w:iCs/>
          <w:szCs w:val="24"/>
        </w:rPr>
        <w:t>BMJ</w:t>
      </w:r>
      <w:r w:rsidRPr="00E173FE">
        <w:rPr>
          <w:rFonts w:eastAsia="SimSun" w:cs="SimSun"/>
          <w:szCs w:val="24"/>
        </w:rPr>
        <w:t> 2014; </w:t>
      </w:r>
      <w:r w:rsidRPr="00E173FE">
        <w:rPr>
          <w:rFonts w:eastAsia="SimSun" w:cs="SimSun"/>
          <w:b/>
          <w:bCs/>
          <w:szCs w:val="24"/>
        </w:rPr>
        <w:t>348</w:t>
      </w:r>
      <w:r w:rsidRPr="00E173FE">
        <w:rPr>
          <w:rFonts w:eastAsia="SimSun" w:cs="SimSun"/>
          <w:szCs w:val="24"/>
        </w:rPr>
        <w:t>: g2467 [PMID: 24922745 DOI: 10.1136/bmj.g2467]</w:t>
      </w:r>
    </w:p>
    <w:p w:rsidR="00D077F2" w:rsidRPr="00E173FE" w:rsidRDefault="00D077F2" w:rsidP="00D077F2">
      <w:pPr>
        <w:spacing w:after="0"/>
        <w:rPr>
          <w:rFonts w:eastAsia="SimSun" w:cs="SimSun"/>
          <w:szCs w:val="24"/>
        </w:rPr>
      </w:pPr>
      <w:r w:rsidRPr="00E173FE">
        <w:rPr>
          <w:rFonts w:eastAsia="SimSun" w:cs="SimSun"/>
          <w:szCs w:val="24"/>
        </w:rPr>
        <w:t>23 </w:t>
      </w:r>
      <w:r w:rsidRPr="00E173FE">
        <w:rPr>
          <w:rFonts w:eastAsia="SimSun" w:cs="SimSun"/>
          <w:b/>
          <w:bCs/>
          <w:szCs w:val="24"/>
        </w:rPr>
        <w:t>Zarchy TM</w:t>
      </w:r>
      <w:r w:rsidRPr="00E173FE">
        <w:rPr>
          <w:rFonts w:eastAsia="SimSun" w:cs="SimSun"/>
          <w:szCs w:val="24"/>
        </w:rPr>
        <w:t>, Ershoff D. Do characteristics of adenomas on flexible sigmoidoscopy predict advanced lesions on baseline colonoscopy? </w:t>
      </w:r>
      <w:r w:rsidRPr="00E173FE">
        <w:rPr>
          <w:rFonts w:eastAsia="SimSun" w:cs="SimSun"/>
          <w:i/>
          <w:iCs/>
          <w:szCs w:val="24"/>
        </w:rPr>
        <w:t>Gastroenterology</w:t>
      </w:r>
      <w:r w:rsidRPr="00E173FE">
        <w:rPr>
          <w:rFonts w:eastAsia="SimSun" w:cs="SimSun"/>
          <w:szCs w:val="24"/>
        </w:rPr>
        <w:t> 1994; </w:t>
      </w:r>
      <w:r w:rsidRPr="00E173FE">
        <w:rPr>
          <w:rFonts w:eastAsia="SimSun" w:cs="SimSun"/>
          <w:b/>
          <w:bCs/>
          <w:szCs w:val="24"/>
        </w:rPr>
        <w:t>106</w:t>
      </w:r>
      <w:r w:rsidRPr="00E173FE">
        <w:rPr>
          <w:rFonts w:eastAsia="SimSun" w:cs="SimSun"/>
          <w:szCs w:val="24"/>
        </w:rPr>
        <w:t>: 1501-1504 [PMID: 8194695]</w:t>
      </w:r>
    </w:p>
    <w:p w:rsidR="00D077F2" w:rsidRPr="00E173FE" w:rsidRDefault="00D077F2" w:rsidP="00D077F2">
      <w:pPr>
        <w:spacing w:after="0"/>
        <w:rPr>
          <w:rFonts w:eastAsia="SimSun" w:cs="SimSun"/>
          <w:szCs w:val="24"/>
        </w:rPr>
      </w:pPr>
      <w:r w:rsidRPr="00E173FE">
        <w:rPr>
          <w:rFonts w:eastAsia="SimSun" w:cs="SimSun"/>
          <w:szCs w:val="24"/>
        </w:rPr>
        <w:t>24 </w:t>
      </w:r>
      <w:r w:rsidRPr="00E173FE">
        <w:rPr>
          <w:rFonts w:eastAsia="SimSun" w:cs="SimSun"/>
          <w:b/>
          <w:bCs/>
          <w:szCs w:val="24"/>
        </w:rPr>
        <w:t>Papatheodoridis GV</w:t>
      </w:r>
      <w:r w:rsidRPr="00E173FE">
        <w:rPr>
          <w:rFonts w:eastAsia="SimSun" w:cs="SimSun"/>
          <w:szCs w:val="24"/>
        </w:rPr>
        <w:t>, Triantafyllou K, Tzouvala M, Paspatis G, Xourgias V, Karamanolis DG. Characteristics of rectosigmoid adenomas as predictors of synchronous advanced proximal colon neoplasms. </w:t>
      </w:r>
      <w:r w:rsidRPr="00E173FE">
        <w:rPr>
          <w:rFonts w:eastAsia="SimSun" w:cs="SimSun"/>
          <w:i/>
          <w:iCs/>
          <w:szCs w:val="24"/>
        </w:rPr>
        <w:t>Am J Gastroenterol</w:t>
      </w:r>
      <w:r w:rsidRPr="00E173FE">
        <w:rPr>
          <w:rFonts w:eastAsia="SimSun" w:cs="SimSun"/>
          <w:szCs w:val="24"/>
        </w:rPr>
        <w:t> 1996; </w:t>
      </w:r>
      <w:r w:rsidRPr="00E173FE">
        <w:rPr>
          <w:rFonts w:eastAsia="SimSun" w:cs="SimSun"/>
          <w:b/>
          <w:bCs/>
          <w:szCs w:val="24"/>
        </w:rPr>
        <w:t>91</w:t>
      </w:r>
      <w:r w:rsidRPr="00E173FE">
        <w:rPr>
          <w:rFonts w:eastAsia="SimSun" w:cs="SimSun"/>
          <w:szCs w:val="24"/>
        </w:rPr>
        <w:t>: 1809-1813 [PMID: 8792703]</w:t>
      </w:r>
    </w:p>
    <w:p w:rsidR="00D077F2" w:rsidRPr="00E173FE" w:rsidRDefault="00D077F2" w:rsidP="00D077F2">
      <w:pPr>
        <w:spacing w:after="0"/>
        <w:rPr>
          <w:rFonts w:eastAsia="SimSun" w:cs="SimSun"/>
          <w:szCs w:val="24"/>
        </w:rPr>
      </w:pPr>
      <w:r w:rsidRPr="00E173FE">
        <w:rPr>
          <w:rFonts w:eastAsia="SimSun" w:cs="SimSun"/>
          <w:szCs w:val="24"/>
        </w:rPr>
        <w:t>25 </w:t>
      </w:r>
      <w:r w:rsidRPr="00E173FE">
        <w:rPr>
          <w:rFonts w:eastAsia="SimSun" w:cs="SimSun"/>
          <w:b/>
          <w:bCs/>
          <w:szCs w:val="24"/>
        </w:rPr>
        <w:t>Brenner H</w:t>
      </w:r>
      <w:r w:rsidRPr="00E173FE">
        <w:rPr>
          <w:rFonts w:eastAsia="SimSun" w:cs="SimSun"/>
          <w:szCs w:val="24"/>
        </w:rPr>
        <w:t>, Chang-Claude J, Jansen L, Knebel P, Stock C, Hoffmeister M. Reduced risk of colorectal cancer up to 10 years after screening, surveillance, or diagnostic colonoscopy. </w:t>
      </w:r>
      <w:r w:rsidRPr="00E173FE">
        <w:rPr>
          <w:rFonts w:eastAsia="SimSun" w:cs="SimSun"/>
          <w:i/>
          <w:iCs/>
          <w:szCs w:val="24"/>
        </w:rPr>
        <w:t>Gastroenterology</w:t>
      </w:r>
      <w:r w:rsidRPr="00E173FE">
        <w:rPr>
          <w:rFonts w:eastAsia="SimSun" w:cs="SimSun"/>
          <w:szCs w:val="24"/>
        </w:rPr>
        <w:t> 2014; </w:t>
      </w:r>
      <w:r w:rsidRPr="00E173FE">
        <w:rPr>
          <w:rFonts w:eastAsia="SimSun" w:cs="SimSun"/>
          <w:b/>
          <w:bCs/>
          <w:szCs w:val="24"/>
        </w:rPr>
        <w:t>146</w:t>
      </w:r>
      <w:r w:rsidRPr="00E173FE">
        <w:rPr>
          <w:rFonts w:eastAsia="SimSun" w:cs="SimSun"/>
          <w:szCs w:val="24"/>
        </w:rPr>
        <w:t>: 709-717 [PMID: 24012982 DOI: 10.1053/j.gastro.2013.09.001]</w:t>
      </w:r>
    </w:p>
    <w:p w:rsidR="00D077F2" w:rsidRPr="00E173FE" w:rsidRDefault="00D077F2" w:rsidP="00D077F2">
      <w:pPr>
        <w:spacing w:after="0"/>
        <w:rPr>
          <w:rFonts w:eastAsia="SimSun" w:cs="SimSun"/>
          <w:szCs w:val="24"/>
        </w:rPr>
      </w:pPr>
      <w:r w:rsidRPr="00E173FE">
        <w:rPr>
          <w:rFonts w:eastAsia="SimSun" w:cs="SimSun"/>
          <w:szCs w:val="24"/>
        </w:rPr>
        <w:t>26 </w:t>
      </w:r>
      <w:r w:rsidRPr="00E173FE">
        <w:rPr>
          <w:rFonts w:eastAsia="SimSun" w:cs="SimSun"/>
          <w:b/>
          <w:bCs/>
          <w:szCs w:val="24"/>
        </w:rPr>
        <w:t>Kahi CJ</w:t>
      </w:r>
      <w:r w:rsidRPr="00E173FE">
        <w:rPr>
          <w:rFonts w:eastAsia="SimSun" w:cs="SimSun"/>
          <w:szCs w:val="24"/>
        </w:rPr>
        <w:t>, Imperiale TF, Juliar BE, Rex DK. Effect of screening colonoscopy on colorectal cancer incidence and mortality. </w:t>
      </w:r>
      <w:r w:rsidRPr="00E173FE">
        <w:rPr>
          <w:rFonts w:eastAsia="SimSun" w:cs="SimSun"/>
          <w:i/>
          <w:iCs/>
          <w:szCs w:val="24"/>
        </w:rPr>
        <w:t>Clin Gastroenterol Hepatol</w:t>
      </w:r>
      <w:r w:rsidRPr="00E173FE">
        <w:rPr>
          <w:rFonts w:eastAsia="SimSun" w:cs="SimSun"/>
          <w:szCs w:val="24"/>
        </w:rPr>
        <w:t> 2009; </w:t>
      </w:r>
      <w:r w:rsidRPr="00E173FE">
        <w:rPr>
          <w:rFonts w:eastAsia="SimSun" w:cs="SimSun"/>
          <w:b/>
          <w:bCs/>
          <w:szCs w:val="24"/>
        </w:rPr>
        <w:t>7</w:t>
      </w:r>
      <w:r w:rsidRPr="00E173FE">
        <w:rPr>
          <w:rFonts w:eastAsia="SimSun" w:cs="SimSun"/>
          <w:szCs w:val="24"/>
        </w:rPr>
        <w:t>: 770-75; quiz 711 [PMID: 19268269 DOI: 10.1016/j.cgh.2008.12.030]</w:t>
      </w:r>
    </w:p>
    <w:p w:rsidR="00D077F2" w:rsidRPr="00E173FE" w:rsidRDefault="00D077F2" w:rsidP="00D077F2">
      <w:pPr>
        <w:spacing w:after="0"/>
        <w:rPr>
          <w:rFonts w:eastAsia="SimSun" w:cs="SimSun"/>
          <w:szCs w:val="24"/>
        </w:rPr>
      </w:pPr>
      <w:r w:rsidRPr="00E173FE">
        <w:rPr>
          <w:rFonts w:eastAsia="SimSun" w:cs="SimSun"/>
          <w:szCs w:val="24"/>
        </w:rPr>
        <w:lastRenderedPageBreak/>
        <w:t>27 </w:t>
      </w:r>
      <w:r w:rsidRPr="00E173FE">
        <w:rPr>
          <w:rFonts w:eastAsia="SimSun" w:cs="SimSun"/>
          <w:b/>
          <w:bCs/>
          <w:szCs w:val="24"/>
        </w:rPr>
        <w:t>Citarda F</w:t>
      </w:r>
      <w:r w:rsidRPr="00E173FE">
        <w:rPr>
          <w:rFonts w:eastAsia="SimSun" w:cs="SimSun"/>
          <w:szCs w:val="24"/>
        </w:rPr>
        <w:t>, Tomaselli G, Capocaccia R, Barcherini S, Crespi M. Efficacy in standard clinical practice of colonoscopic polypectomy in reducing colorectal cancer incidence. </w:t>
      </w:r>
      <w:r w:rsidRPr="00E173FE">
        <w:rPr>
          <w:rFonts w:eastAsia="SimSun" w:cs="SimSun"/>
          <w:i/>
          <w:iCs/>
          <w:szCs w:val="24"/>
        </w:rPr>
        <w:t>Gut</w:t>
      </w:r>
      <w:r w:rsidRPr="00E173FE">
        <w:rPr>
          <w:rFonts w:eastAsia="SimSun" w:cs="SimSun"/>
          <w:szCs w:val="24"/>
        </w:rPr>
        <w:t> 2001; </w:t>
      </w:r>
      <w:r w:rsidRPr="00E173FE">
        <w:rPr>
          <w:rFonts w:eastAsia="SimSun" w:cs="SimSun"/>
          <w:b/>
          <w:bCs/>
          <w:szCs w:val="24"/>
        </w:rPr>
        <w:t>48</w:t>
      </w:r>
      <w:r w:rsidRPr="00E173FE">
        <w:rPr>
          <w:rFonts w:eastAsia="SimSun" w:cs="SimSun"/>
          <w:szCs w:val="24"/>
        </w:rPr>
        <w:t>: 812-815 [PMID: 11358901 DOI: 10.1136/gut.48.6.812]</w:t>
      </w:r>
    </w:p>
    <w:p w:rsidR="00D077F2" w:rsidRPr="00E173FE" w:rsidRDefault="00D077F2" w:rsidP="00D077F2">
      <w:pPr>
        <w:spacing w:after="0"/>
        <w:rPr>
          <w:rFonts w:eastAsia="SimSun" w:cs="SimSun"/>
          <w:szCs w:val="24"/>
        </w:rPr>
      </w:pPr>
      <w:r w:rsidRPr="00E173FE">
        <w:rPr>
          <w:rFonts w:eastAsia="SimSun" w:cs="SimSun"/>
          <w:szCs w:val="24"/>
        </w:rPr>
        <w:t>28 </w:t>
      </w:r>
      <w:r w:rsidRPr="00E173FE">
        <w:rPr>
          <w:rFonts w:eastAsia="SimSun" w:cs="SimSun"/>
          <w:b/>
          <w:bCs/>
          <w:szCs w:val="24"/>
        </w:rPr>
        <w:t>Smith RA</w:t>
      </w:r>
      <w:r w:rsidRPr="00E173FE">
        <w:rPr>
          <w:rFonts w:eastAsia="SimSun" w:cs="SimSun"/>
          <w:szCs w:val="24"/>
        </w:rPr>
        <w:t>, Andrews K, Brooks D, DeSantis CE, Fedewa SA, Lortet-Tieulent J, Manassaram-Baptiste D, Brawley OW, Wender RC. Cancer screening in the United States, 2016: A review of current American Cancer Society guidelines and current issues in cancer screening. </w:t>
      </w:r>
      <w:r w:rsidRPr="00E173FE">
        <w:rPr>
          <w:rFonts w:eastAsia="SimSun" w:cs="SimSun"/>
          <w:i/>
          <w:iCs/>
          <w:szCs w:val="24"/>
        </w:rPr>
        <w:t>CA Cancer J Clin</w:t>
      </w:r>
      <w:r w:rsidRPr="00E173FE">
        <w:rPr>
          <w:rFonts w:eastAsia="SimSun" w:cs="SimSun"/>
          <w:szCs w:val="24"/>
        </w:rPr>
        <w:t> ; </w:t>
      </w:r>
      <w:r w:rsidRPr="00E173FE">
        <w:rPr>
          <w:rFonts w:eastAsia="SimSun" w:cs="SimSun"/>
          <w:b/>
          <w:bCs/>
          <w:szCs w:val="24"/>
        </w:rPr>
        <w:t>66</w:t>
      </w:r>
      <w:r w:rsidRPr="00E173FE">
        <w:rPr>
          <w:rFonts w:eastAsia="SimSun" w:cs="SimSun"/>
          <w:szCs w:val="24"/>
        </w:rPr>
        <w:t>: 96-114 [PMID: 26797525 DOI: 10.3322/caac.21336]</w:t>
      </w:r>
    </w:p>
    <w:p w:rsidR="00D077F2" w:rsidRPr="00E173FE" w:rsidRDefault="00D077F2" w:rsidP="00D077F2">
      <w:pPr>
        <w:spacing w:after="0"/>
        <w:rPr>
          <w:rFonts w:eastAsia="SimSun" w:cs="SimSun"/>
          <w:szCs w:val="24"/>
        </w:rPr>
      </w:pPr>
      <w:r w:rsidRPr="00E173FE">
        <w:rPr>
          <w:rFonts w:eastAsia="SimSun" w:cs="SimSun"/>
          <w:szCs w:val="24"/>
        </w:rPr>
        <w:t>29 </w:t>
      </w:r>
      <w:r w:rsidRPr="00E173FE">
        <w:rPr>
          <w:rFonts w:eastAsia="SimSun" w:cs="SimSun"/>
          <w:b/>
          <w:bCs/>
          <w:szCs w:val="24"/>
        </w:rPr>
        <w:t>Rex DK</w:t>
      </w:r>
      <w:r w:rsidRPr="00E173FE">
        <w:rPr>
          <w:rFonts w:eastAsia="SimSun" w:cs="SimSun"/>
          <w:szCs w:val="24"/>
        </w:rPr>
        <w:t>, Schoenfeld PS, Cohen J, Pike IM, Adler DG, Fennerty MB, Lieb JG, Park WG, Rizk MK, Sawhney MS, Shaheen NJ, Wani S, Weinberg DS. Quality indicators for colonoscopy. </w:t>
      </w:r>
      <w:r w:rsidRPr="00E173FE">
        <w:rPr>
          <w:rFonts w:eastAsia="SimSun" w:cs="SimSun"/>
          <w:i/>
          <w:iCs/>
          <w:szCs w:val="24"/>
        </w:rPr>
        <w:t>Am J Gastroenterol</w:t>
      </w:r>
      <w:r w:rsidRPr="00E173FE">
        <w:rPr>
          <w:rFonts w:eastAsia="SimSun" w:cs="SimSun"/>
          <w:szCs w:val="24"/>
        </w:rPr>
        <w:t> 2015; </w:t>
      </w:r>
      <w:r w:rsidRPr="00E173FE">
        <w:rPr>
          <w:rFonts w:eastAsia="SimSun" w:cs="SimSun"/>
          <w:b/>
          <w:bCs/>
          <w:szCs w:val="24"/>
        </w:rPr>
        <w:t>110</w:t>
      </w:r>
      <w:r w:rsidRPr="00E173FE">
        <w:rPr>
          <w:rFonts w:eastAsia="SimSun" w:cs="SimSun"/>
          <w:szCs w:val="24"/>
        </w:rPr>
        <w:t>: 72-90 [PMID: 25448873 DOI: 10.1038/ajg.2014.385]</w:t>
      </w:r>
    </w:p>
    <w:p w:rsidR="00D077F2" w:rsidRPr="00E173FE" w:rsidRDefault="00D077F2" w:rsidP="00D077F2">
      <w:pPr>
        <w:spacing w:after="0"/>
        <w:rPr>
          <w:rFonts w:eastAsia="SimSun" w:cs="SimSun"/>
          <w:szCs w:val="24"/>
        </w:rPr>
      </w:pPr>
      <w:r w:rsidRPr="00E173FE">
        <w:rPr>
          <w:rFonts w:eastAsia="SimSun" w:cs="SimSun"/>
          <w:szCs w:val="24"/>
        </w:rPr>
        <w:t>30 </w:t>
      </w:r>
      <w:r w:rsidRPr="00E173FE">
        <w:rPr>
          <w:rFonts w:eastAsia="SimSun" w:cs="SimSun"/>
          <w:b/>
          <w:bCs/>
          <w:szCs w:val="24"/>
        </w:rPr>
        <w:t>Corley DA</w:t>
      </w:r>
      <w:r w:rsidRPr="00E173FE">
        <w:rPr>
          <w:rFonts w:eastAsia="SimSun" w:cs="SimSun"/>
          <w:szCs w:val="24"/>
        </w:rPr>
        <w:t>, Jensen CD, Marks AR, Zhao WK, Lee JK, Doubeni CA, Zauber AG, de Boer J, Fireman BH, Schottinger JE, Quinn VP, Ghai NR, Levin TR, Quesenberry CP. Adenoma detection rate and risk of colorectal cancer and death. </w:t>
      </w:r>
      <w:r w:rsidRPr="00E173FE">
        <w:rPr>
          <w:rFonts w:eastAsia="SimSun" w:cs="SimSun"/>
          <w:i/>
          <w:iCs/>
          <w:szCs w:val="24"/>
        </w:rPr>
        <w:t>N Engl J Med</w:t>
      </w:r>
      <w:r w:rsidRPr="00E173FE">
        <w:rPr>
          <w:rFonts w:eastAsia="SimSun" w:cs="SimSun"/>
          <w:szCs w:val="24"/>
        </w:rPr>
        <w:t> 2014; </w:t>
      </w:r>
      <w:r w:rsidRPr="00E173FE">
        <w:rPr>
          <w:rFonts w:eastAsia="SimSun" w:cs="SimSun"/>
          <w:b/>
          <w:bCs/>
          <w:szCs w:val="24"/>
        </w:rPr>
        <w:t>370</w:t>
      </w:r>
      <w:r w:rsidRPr="00E173FE">
        <w:rPr>
          <w:rFonts w:eastAsia="SimSun" w:cs="SimSun"/>
          <w:szCs w:val="24"/>
        </w:rPr>
        <w:t>: 1298-1306 [PMID: 24693890 DOI: 10.1056/NEJMoa1309086]</w:t>
      </w:r>
    </w:p>
    <w:p w:rsidR="00D077F2" w:rsidRPr="00E173FE" w:rsidRDefault="00D077F2" w:rsidP="00D077F2">
      <w:pPr>
        <w:spacing w:after="0"/>
        <w:rPr>
          <w:rFonts w:eastAsia="SimSun" w:cs="SimSun"/>
          <w:szCs w:val="24"/>
        </w:rPr>
      </w:pPr>
      <w:r w:rsidRPr="00E173FE">
        <w:rPr>
          <w:rFonts w:eastAsia="SimSun" w:cs="SimSun"/>
          <w:szCs w:val="24"/>
        </w:rPr>
        <w:t>31 </w:t>
      </w:r>
      <w:r w:rsidRPr="00E173FE">
        <w:rPr>
          <w:rFonts w:eastAsia="SimSun" w:cs="SimSun"/>
          <w:b/>
          <w:bCs/>
          <w:szCs w:val="24"/>
        </w:rPr>
        <w:t>Segnan N</w:t>
      </w:r>
      <w:r w:rsidRPr="00E173FE">
        <w:rPr>
          <w:rFonts w:eastAsia="SimSun" w:cs="SimSun"/>
          <w:szCs w:val="24"/>
        </w:rPr>
        <w:t>, Senore C, Andreoni B, Azzoni A, Bisanti L, Cardelli A, Castiglione G, Crosta C, Ederle A, Fantin A, Ferrari A, Fracchia M, Ferrero F, Gasperoni S, Recchia S, Risio M, Rubeca T, Saracco G, Zappa M. Comparing attendance and detection rate of colonoscopy with sigmoidoscopy and FIT for colorectal cancer screening. </w:t>
      </w:r>
      <w:r w:rsidRPr="00E173FE">
        <w:rPr>
          <w:rFonts w:eastAsia="SimSun" w:cs="SimSun"/>
          <w:i/>
          <w:iCs/>
          <w:szCs w:val="24"/>
        </w:rPr>
        <w:t>Gastroenterology</w:t>
      </w:r>
      <w:r w:rsidRPr="00E173FE">
        <w:rPr>
          <w:rFonts w:eastAsia="SimSun" w:cs="SimSun"/>
          <w:szCs w:val="24"/>
        </w:rPr>
        <w:t> 2007; </w:t>
      </w:r>
      <w:r w:rsidRPr="00E173FE">
        <w:rPr>
          <w:rFonts w:eastAsia="SimSun" w:cs="SimSun"/>
          <w:b/>
          <w:bCs/>
          <w:szCs w:val="24"/>
        </w:rPr>
        <w:t>132</w:t>
      </w:r>
      <w:r w:rsidRPr="00E173FE">
        <w:rPr>
          <w:rFonts w:eastAsia="SimSun" w:cs="SimSun"/>
          <w:szCs w:val="24"/>
        </w:rPr>
        <w:t>: 2304-2312 [PMID: 17570205 DOI: 10.1053/j.gastro.2007.03.030]</w:t>
      </w:r>
    </w:p>
    <w:p w:rsidR="00D077F2" w:rsidRPr="00E173FE" w:rsidRDefault="00D077F2" w:rsidP="00D077F2">
      <w:pPr>
        <w:spacing w:after="0"/>
        <w:rPr>
          <w:rFonts w:eastAsia="SimSun" w:cs="SimSun"/>
          <w:szCs w:val="24"/>
        </w:rPr>
      </w:pPr>
      <w:r w:rsidRPr="00E173FE">
        <w:rPr>
          <w:rFonts w:eastAsia="SimSun" w:cs="SimSun"/>
          <w:szCs w:val="24"/>
        </w:rPr>
        <w:t>32 </w:t>
      </w:r>
      <w:r w:rsidRPr="00E173FE">
        <w:rPr>
          <w:rFonts w:eastAsia="SimSun" w:cs="SimSun"/>
          <w:b/>
          <w:bCs/>
          <w:szCs w:val="24"/>
        </w:rPr>
        <w:t>Quintero E</w:t>
      </w:r>
      <w:r w:rsidRPr="00E173FE">
        <w:rPr>
          <w:rFonts w:eastAsia="SimSun" w:cs="SimSun"/>
          <w:szCs w:val="24"/>
        </w:rPr>
        <w:t>, Castells A, Bujanda L, Cubiella J, Salas D, Lanas Á, Andreu M, Carballo F, Morillas JD, Hernández C, Jover R, Montalvo I, Arenas J, Laredo E, Hernández V, Iglesias F, Cid E, Zubizarreta R, Sala T, Ponce M, Andrés M, Teruel G, Peris A, Roncales MP, Polo-Tomás M, Bessa X, Ferrer-Armengou O, Grau J, Serradesanferm A, Ono A, Cruzado J, Pérez-Riquelme F, Alonso-Abreu I, de la Vega-Prieto M, Reyes-Melian JM, Cacho G, Díaz-Tasende J, Herreros-de-Tejada A, Poves C, Santander C, González-Navarro A. Colonoscopy versus fecal immunochemical testing in colorectal-cancer screening. </w:t>
      </w:r>
      <w:r w:rsidRPr="00E173FE">
        <w:rPr>
          <w:rFonts w:eastAsia="SimSun" w:cs="SimSun"/>
          <w:i/>
          <w:iCs/>
          <w:szCs w:val="24"/>
        </w:rPr>
        <w:t>N Engl J Med</w:t>
      </w:r>
      <w:r w:rsidRPr="00E173FE">
        <w:rPr>
          <w:rFonts w:eastAsia="SimSun" w:cs="SimSun"/>
          <w:szCs w:val="24"/>
        </w:rPr>
        <w:t> 2012; </w:t>
      </w:r>
      <w:r w:rsidRPr="00E173FE">
        <w:rPr>
          <w:rFonts w:eastAsia="SimSun" w:cs="SimSun"/>
          <w:b/>
          <w:bCs/>
          <w:szCs w:val="24"/>
        </w:rPr>
        <w:t>366</w:t>
      </w:r>
      <w:r w:rsidRPr="00E173FE">
        <w:rPr>
          <w:rFonts w:eastAsia="SimSun" w:cs="SimSun"/>
          <w:szCs w:val="24"/>
        </w:rPr>
        <w:t>: 697-706 [PMID: 22356323 DOI: 10.1056/NEJMoa1108895]</w:t>
      </w:r>
    </w:p>
    <w:p w:rsidR="00D077F2" w:rsidRPr="00E173FE" w:rsidRDefault="00D077F2" w:rsidP="00D077F2">
      <w:pPr>
        <w:spacing w:after="0"/>
        <w:rPr>
          <w:rFonts w:eastAsia="SimSun" w:cs="SimSun"/>
          <w:szCs w:val="24"/>
        </w:rPr>
      </w:pPr>
      <w:r w:rsidRPr="00E173FE">
        <w:rPr>
          <w:rFonts w:eastAsia="SimSun" w:cs="SimSun"/>
          <w:szCs w:val="24"/>
        </w:rPr>
        <w:lastRenderedPageBreak/>
        <w:t>33</w:t>
      </w:r>
      <w:r w:rsidRPr="00E173FE">
        <w:rPr>
          <w:rFonts w:eastAsia="SimSun" w:cs="SimSun" w:hint="eastAsia"/>
          <w:szCs w:val="24"/>
        </w:rPr>
        <w:t xml:space="preserve"> </w:t>
      </w:r>
      <w:r w:rsidRPr="00E173FE">
        <w:rPr>
          <w:rFonts w:eastAsia="SimSun" w:cs="SimSun"/>
          <w:b/>
          <w:szCs w:val="24"/>
        </w:rPr>
        <w:t>Council of the European Union</w:t>
      </w:r>
      <w:r w:rsidRPr="00E173FE">
        <w:rPr>
          <w:rFonts w:eastAsia="SimSun" w:cs="SimSun"/>
          <w:szCs w:val="24"/>
        </w:rPr>
        <w:t>. Council Recommendation of 2 December 2003 on Cancer Screening (2003/878/EC) 878. Off J Eur Union; 2003.</w:t>
      </w:r>
    </w:p>
    <w:p w:rsidR="00D077F2" w:rsidRPr="00E173FE" w:rsidRDefault="00D077F2" w:rsidP="00D077F2">
      <w:pPr>
        <w:spacing w:after="0"/>
        <w:rPr>
          <w:rFonts w:eastAsia="SimSun" w:cs="SimSun"/>
          <w:szCs w:val="24"/>
        </w:rPr>
      </w:pPr>
      <w:r w:rsidRPr="00E173FE">
        <w:rPr>
          <w:rFonts w:eastAsia="SimSun" w:cs="SimSun"/>
          <w:szCs w:val="24"/>
        </w:rPr>
        <w:t>34</w:t>
      </w:r>
      <w:r w:rsidRPr="00E173FE">
        <w:rPr>
          <w:rFonts w:eastAsia="SimSun" w:cs="SimSun" w:hint="eastAsia"/>
          <w:szCs w:val="24"/>
        </w:rPr>
        <w:t xml:space="preserve"> </w:t>
      </w:r>
      <w:r w:rsidRPr="00E173FE">
        <w:rPr>
          <w:rFonts w:eastAsia="SimSun" w:cs="SimSun"/>
          <w:b/>
          <w:szCs w:val="24"/>
        </w:rPr>
        <w:t>Red de programas de cribado de cáncer.</w:t>
      </w:r>
      <w:r w:rsidRPr="00E173FE">
        <w:rPr>
          <w:rFonts w:eastAsia="SimSun" w:cs="SimSun"/>
          <w:szCs w:val="24"/>
        </w:rPr>
        <w:t xml:space="preserve"> Available from: URL: http: //www.cribadocancer.com</w:t>
      </w:r>
    </w:p>
    <w:p w:rsidR="00D077F2" w:rsidRPr="00E173FE" w:rsidRDefault="00D077F2" w:rsidP="00D077F2">
      <w:pPr>
        <w:spacing w:after="0"/>
        <w:rPr>
          <w:rFonts w:eastAsia="SimSun" w:cs="SimSun"/>
          <w:szCs w:val="24"/>
        </w:rPr>
      </w:pPr>
      <w:r w:rsidRPr="00E173FE">
        <w:rPr>
          <w:rFonts w:eastAsia="SimSun" w:cs="SimSun"/>
          <w:szCs w:val="24"/>
        </w:rPr>
        <w:t>35</w:t>
      </w:r>
      <w:r w:rsidRPr="00E173FE">
        <w:rPr>
          <w:rFonts w:eastAsia="SimSun" w:cs="SimSun" w:hint="eastAsia"/>
          <w:szCs w:val="24"/>
        </w:rPr>
        <w:t xml:space="preserve"> </w:t>
      </w:r>
      <w:r w:rsidRPr="00E173FE">
        <w:rPr>
          <w:rFonts w:eastAsia="SimSun" w:cs="SimSun"/>
          <w:b/>
          <w:szCs w:val="24"/>
        </w:rPr>
        <w:t>Heijnen ML,</w:t>
      </w:r>
      <w:r w:rsidRPr="00E173FE">
        <w:rPr>
          <w:rFonts w:eastAsia="SimSun" w:cs="SimSun" w:hint="eastAsia"/>
          <w:b/>
          <w:szCs w:val="24"/>
        </w:rPr>
        <w:t xml:space="preserve"> </w:t>
      </w:r>
      <w:r w:rsidRPr="00E173FE">
        <w:rPr>
          <w:rFonts w:eastAsia="SimSun" w:cs="SimSun"/>
          <w:szCs w:val="24"/>
        </w:rPr>
        <w:t>Landsdorp-Vogelaar I. CRC Screening in the Netherlands. From pilot to National Programme. 2014. Available from: URL: http: //www.rivm.nl/en/Topics/B/Bowel_cancer_screening_programme.</w:t>
      </w:r>
    </w:p>
    <w:p w:rsidR="00D077F2" w:rsidRPr="00E173FE" w:rsidRDefault="00D077F2" w:rsidP="00D077F2">
      <w:pPr>
        <w:spacing w:after="0"/>
        <w:rPr>
          <w:rFonts w:eastAsia="SimSun" w:cs="SimSun"/>
          <w:szCs w:val="24"/>
        </w:rPr>
      </w:pPr>
      <w:r w:rsidRPr="00E173FE">
        <w:rPr>
          <w:rFonts w:eastAsia="SimSun" w:cs="SimSun"/>
          <w:szCs w:val="24"/>
        </w:rPr>
        <w:t>36 </w:t>
      </w:r>
      <w:r w:rsidRPr="00E173FE">
        <w:rPr>
          <w:rFonts w:eastAsia="SimSun" w:cs="SimSun"/>
          <w:b/>
          <w:bCs/>
          <w:szCs w:val="24"/>
        </w:rPr>
        <w:t>McNamara D</w:t>
      </w:r>
      <w:r w:rsidRPr="00E173FE">
        <w:rPr>
          <w:rFonts w:eastAsia="SimSun" w:cs="SimSun"/>
          <w:szCs w:val="24"/>
        </w:rPr>
        <w:t>, Qasim A, Lee N, Condon C, O'Morain C. Round one of the Adelaide and Meath Hospital/Trinity College Colorectal Cancer Screening Programme: programme report and analysis based on established international key performance indices. </w:t>
      </w:r>
      <w:r w:rsidRPr="00E173FE">
        <w:rPr>
          <w:rFonts w:eastAsia="SimSun" w:cs="SimSun"/>
          <w:i/>
          <w:iCs/>
          <w:szCs w:val="24"/>
        </w:rPr>
        <w:t>Ir J Med Sci</w:t>
      </w:r>
      <w:r w:rsidRPr="00E173FE">
        <w:rPr>
          <w:rFonts w:eastAsia="SimSun" w:cs="SimSun"/>
          <w:szCs w:val="24"/>
        </w:rPr>
        <w:t> 2011; </w:t>
      </w:r>
      <w:r w:rsidRPr="00E173FE">
        <w:rPr>
          <w:rFonts w:eastAsia="SimSun" w:cs="SimSun"/>
          <w:b/>
          <w:bCs/>
          <w:szCs w:val="24"/>
        </w:rPr>
        <w:t>180</w:t>
      </w:r>
      <w:r w:rsidRPr="00E173FE">
        <w:rPr>
          <w:rFonts w:eastAsia="SimSun" w:cs="SimSun"/>
          <w:szCs w:val="24"/>
        </w:rPr>
        <w:t>: 549-552 [PMID: 21264524 DOI: 10.1007/s11845-010-0650-8]</w:t>
      </w:r>
    </w:p>
    <w:p w:rsidR="00D077F2" w:rsidRPr="00E173FE" w:rsidRDefault="00D077F2" w:rsidP="00D077F2">
      <w:pPr>
        <w:spacing w:after="0"/>
        <w:rPr>
          <w:rFonts w:eastAsia="SimSun" w:cs="SimSun"/>
          <w:szCs w:val="24"/>
        </w:rPr>
      </w:pPr>
      <w:r w:rsidRPr="00E173FE">
        <w:rPr>
          <w:rFonts w:eastAsia="SimSun" w:cs="SimSun"/>
          <w:szCs w:val="24"/>
        </w:rPr>
        <w:t>37 </w:t>
      </w:r>
      <w:r w:rsidRPr="00E173FE">
        <w:rPr>
          <w:rFonts w:eastAsia="SimSun" w:cs="SimSun"/>
          <w:b/>
          <w:bCs/>
          <w:szCs w:val="24"/>
        </w:rPr>
        <w:t>McNamara D</w:t>
      </w:r>
      <w:r w:rsidRPr="00E173FE">
        <w:rPr>
          <w:rFonts w:eastAsia="SimSun" w:cs="SimSun"/>
          <w:szCs w:val="24"/>
        </w:rPr>
        <w:t>, Leen R, Seng-Lee C, Shearer N, Crotty P, Neary P, Walsh P, Boran G, O'Morain C. Sustained participation, colonoscopy uptake and adenoma detection rates over two rounds of the Tallaght-Trinity College colorectal cancer screening programme with the faecal immunological test. </w:t>
      </w:r>
      <w:r w:rsidRPr="00E173FE">
        <w:rPr>
          <w:rFonts w:eastAsia="SimSun" w:cs="SimSun"/>
          <w:i/>
          <w:iCs/>
          <w:szCs w:val="24"/>
        </w:rPr>
        <w:t>Eur J Gastroenterol Hepatol</w:t>
      </w:r>
      <w:r w:rsidRPr="00E173FE">
        <w:rPr>
          <w:rFonts w:eastAsia="SimSun" w:cs="SimSun"/>
          <w:szCs w:val="24"/>
        </w:rPr>
        <w:t> 2014; </w:t>
      </w:r>
      <w:r w:rsidRPr="00E173FE">
        <w:rPr>
          <w:rFonts w:eastAsia="SimSun" w:cs="SimSun"/>
          <w:b/>
          <w:bCs/>
          <w:szCs w:val="24"/>
        </w:rPr>
        <w:t>26</w:t>
      </w:r>
      <w:r w:rsidRPr="00E173FE">
        <w:rPr>
          <w:rFonts w:eastAsia="SimSun" w:cs="SimSun"/>
          <w:szCs w:val="24"/>
        </w:rPr>
        <w:t>: 1415-1421 [PMID: 25244415 DOI: 10.1097/MEG.0000000000000207]</w:t>
      </w:r>
    </w:p>
    <w:p w:rsidR="00D077F2" w:rsidRPr="00E173FE" w:rsidRDefault="00D077F2" w:rsidP="00D077F2">
      <w:pPr>
        <w:spacing w:after="0"/>
        <w:rPr>
          <w:rFonts w:eastAsia="SimSun" w:cs="SimSun"/>
          <w:szCs w:val="24"/>
        </w:rPr>
      </w:pPr>
      <w:r w:rsidRPr="00E173FE">
        <w:rPr>
          <w:rFonts w:eastAsia="SimSun" w:cs="SimSun"/>
          <w:szCs w:val="24"/>
        </w:rPr>
        <w:t>38 </w:t>
      </w:r>
      <w:r w:rsidRPr="00E173FE">
        <w:rPr>
          <w:rFonts w:eastAsia="SimSun" w:cs="SimSun"/>
          <w:b/>
          <w:bCs/>
          <w:szCs w:val="24"/>
        </w:rPr>
        <w:t>Parente F</w:t>
      </w:r>
      <w:r w:rsidRPr="00E173FE">
        <w:rPr>
          <w:rFonts w:eastAsia="SimSun" w:cs="SimSun"/>
          <w:szCs w:val="24"/>
        </w:rPr>
        <w:t>, Boemo C, Ardizzoia A, Costa M, Carzaniga P, Ilardo A, Moretti R, Cremaschini M, Parente EM, Pirola ME. Outcomes and cost evaluation of the first two rounds of a colorectal cancer screening program based on immunochemical fecal occult blood test in northern Italy. </w:t>
      </w:r>
      <w:r w:rsidRPr="00E173FE">
        <w:rPr>
          <w:rFonts w:eastAsia="SimSun" w:cs="SimSun"/>
          <w:i/>
          <w:iCs/>
          <w:szCs w:val="24"/>
        </w:rPr>
        <w:t>Endoscopy</w:t>
      </w:r>
      <w:r w:rsidRPr="00E173FE">
        <w:rPr>
          <w:rFonts w:eastAsia="SimSun" w:cs="SimSun"/>
          <w:szCs w:val="24"/>
        </w:rPr>
        <w:t> 2013; </w:t>
      </w:r>
      <w:r w:rsidRPr="00E173FE">
        <w:rPr>
          <w:rFonts w:eastAsia="SimSun" w:cs="SimSun"/>
          <w:b/>
          <w:bCs/>
          <w:szCs w:val="24"/>
        </w:rPr>
        <w:t>45</w:t>
      </w:r>
      <w:r w:rsidRPr="00E173FE">
        <w:rPr>
          <w:rFonts w:eastAsia="SimSun" w:cs="SimSun"/>
          <w:szCs w:val="24"/>
        </w:rPr>
        <w:t>: 27-34 [PMID: 23254404 DOI: 10.1055/s-0032-1325800]</w:t>
      </w:r>
    </w:p>
    <w:p w:rsidR="00D077F2" w:rsidRPr="00E173FE" w:rsidRDefault="00D077F2" w:rsidP="00D077F2">
      <w:pPr>
        <w:spacing w:after="0"/>
        <w:rPr>
          <w:rFonts w:eastAsia="SimSun" w:cs="SimSun"/>
          <w:szCs w:val="24"/>
        </w:rPr>
      </w:pPr>
      <w:r w:rsidRPr="00E173FE">
        <w:rPr>
          <w:rFonts w:eastAsia="SimSun" w:cs="SimSun" w:hint="eastAsia"/>
          <w:szCs w:val="24"/>
        </w:rPr>
        <w:t xml:space="preserve">39 </w:t>
      </w:r>
      <w:r w:rsidRPr="00E173FE">
        <w:rPr>
          <w:rFonts w:eastAsia="SimSun" w:cs="SimSun"/>
          <w:b/>
          <w:szCs w:val="24"/>
        </w:rPr>
        <w:t>Katicic M,</w:t>
      </w:r>
      <w:r w:rsidRPr="00E173FE">
        <w:rPr>
          <w:rFonts w:eastAsia="SimSun" w:cs="SimSun"/>
          <w:szCs w:val="24"/>
        </w:rPr>
        <w:t xml:space="preserve"> Antoljak N, Kujundžić M, Stamenić V, Skoko Poljak D, Kramarić D, Stimac D, Strnad Pešikan M, Samija M, Ebling Z.</w:t>
      </w:r>
      <w:r w:rsidRPr="00E173FE">
        <w:rPr>
          <w:rFonts w:eastAsia="SimSun" w:cs="SimSun" w:hint="eastAsia"/>
          <w:szCs w:val="24"/>
        </w:rPr>
        <w:t xml:space="preserve"> </w:t>
      </w:r>
      <w:r w:rsidRPr="00E173FE">
        <w:rPr>
          <w:rFonts w:eastAsia="SimSun" w:cs="SimSun"/>
          <w:szCs w:val="24"/>
        </w:rPr>
        <w:t xml:space="preserve">Results of National Colorectal Cancer </w:t>
      </w:r>
      <w:r w:rsidRPr="00E173FE">
        <w:rPr>
          <w:rFonts w:ascii="MS Mincho" w:eastAsia="MS Mincho" w:hAnsi="MS Mincho" w:cs="MS Mincho" w:hint="eastAsia"/>
          <w:szCs w:val="24"/>
        </w:rPr>
        <w:t> </w:t>
      </w:r>
      <w:r w:rsidRPr="00E173FE">
        <w:rPr>
          <w:rFonts w:eastAsia="SimSun" w:cs="SimSun"/>
          <w:szCs w:val="24"/>
        </w:rPr>
        <w:t>Screening Program in Croatia (2007</w:t>
      </w:r>
      <w:r w:rsidRPr="00E173FE">
        <w:rPr>
          <w:rFonts w:eastAsia="SimSun" w:cs="Book Antiqua"/>
          <w:szCs w:val="24"/>
        </w:rPr>
        <w:t>–</w:t>
      </w:r>
      <w:r w:rsidRPr="00E173FE">
        <w:rPr>
          <w:rFonts w:eastAsia="SimSun" w:cs="SimSun"/>
          <w:szCs w:val="24"/>
        </w:rPr>
        <w:t xml:space="preserve">2011). </w:t>
      </w:r>
      <w:r w:rsidRPr="00E173FE">
        <w:rPr>
          <w:rFonts w:eastAsia="SimSun" w:cs="SimSun"/>
          <w:i/>
          <w:szCs w:val="24"/>
        </w:rPr>
        <w:t>World J Gastroenterol</w:t>
      </w:r>
      <w:r w:rsidRPr="00E173FE">
        <w:rPr>
          <w:rFonts w:eastAsia="SimSun" w:cs="SimSun" w:hint="eastAsia"/>
          <w:i/>
          <w:szCs w:val="24"/>
        </w:rPr>
        <w:t xml:space="preserve"> </w:t>
      </w:r>
      <w:r w:rsidRPr="00E173FE">
        <w:rPr>
          <w:rFonts w:eastAsia="SimSun" w:cs="SimSun"/>
          <w:szCs w:val="24"/>
        </w:rPr>
        <w:t>2012;</w:t>
      </w:r>
      <w:r w:rsidRPr="00E173FE">
        <w:rPr>
          <w:rFonts w:eastAsia="SimSun" w:cs="SimSun" w:hint="eastAsia"/>
          <w:szCs w:val="24"/>
        </w:rPr>
        <w:t xml:space="preserve"> </w:t>
      </w:r>
      <w:r w:rsidRPr="00E173FE">
        <w:rPr>
          <w:rFonts w:eastAsia="SimSun" w:cs="SimSun"/>
          <w:b/>
          <w:szCs w:val="24"/>
        </w:rPr>
        <w:t>18</w:t>
      </w:r>
      <w:r w:rsidRPr="00E173FE">
        <w:rPr>
          <w:rFonts w:eastAsia="SimSun" w:cs="SimSun"/>
          <w:szCs w:val="24"/>
        </w:rPr>
        <w:t>:</w:t>
      </w:r>
      <w:r w:rsidRPr="00E173FE">
        <w:rPr>
          <w:rFonts w:eastAsia="SimSun" w:cs="SimSun" w:hint="eastAsia"/>
          <w:szCs w:val="24"/>
        </w:rPr>
        <w:t xml:space="preserve"> </w:t>
      </w:r>
      <w:r w:rsidRPr="00E173FE">
        <w:rPr>
          <w:rFonts w:eastAsia="SimSun" w:cs="SimSun"/>
          <w:szCs w:val="24"/>
        </w:rPr>
        <w:t>4300</w:t>
      </w:r>
      <w:r w:rsidRPr="00E173FE">
        <w:rPr>
          <w:rFonts w:eastAsia="SimSun" w:cs="Book Antiqua"/>
          <w:szCs w:val="24"/>
        </w:rPr>
        <w:t>–</w:t>
      </w:r>
      <w:r w:rsidRPr="00E173FE">
        <w:rPr>
          <w:rFonts w:eastAsia="SimSun" w:cs="Book Antiqua" w:hint="eastAsia"/>
          <w:szCs w:val="24"/>
        </w:rPr>
        <w:t>430</w:t>
      </w:r>
      <w:r w:rsidRPr="00E173FE">
        <w:rPr>
          <w:rFonts w:eastAsia="SimSun" w:cs="SimSun"/>
          <w:szCs w:val="24"/>
        </w:rPr>
        <w:t xml:space="preserve">7 [PMID: </w:t>
      </w:r>
      <w:bookmarkStart w:id="42" w:name="OLE_LINK201"/>
      <w:bookmarkStart w:id="43" w:name="OLE_LINK202"/>
      <w:r w:rsidRPr="00E173FE">
        <w:rPr>
          <w:rFonts w:eastAsia="SimSun" w:cs="SimSun"/>
          <w:szCs w:val="24"/>
        </w:rPr>
        <w:t xml:space="preserve">22969192 </w:t>
      </w:r>
      <w:bookmarkEnd w:id="42"/>
      <w:bookmarkEnd w:id="43"/>
      <w:r w:rsidRPr="00E173FE">
        <w:rPr>
          <w:rFonts w:eastAsia="SimSun" w:cs="SimSun"/>
          <w:szCs w:val="24"/>
        </w:rPr>
        <w:t>DOI: 10.3748/wjg.v18.i32.4300].</w:t>
      </w:r>
    </w:p>
    <w:p w:rsidR="00D077F2" w:rsidRPr="00E173FE" w:rsidRDefault="00D077F2" w:rsidP="00D077F2">
      <w:pPr>
        <w:spacing w:after="0"/>
        <w:rPr>
          <w:rFonts w:eastAsia="SimSun" w:cs="SimSun"/>
          <w:szCs w:val="24"/>
        </w:rPr>
      </w:pPr>
      <w:r w:rsidRPr="00E173FE">
        <w:rPr>
          <w:rFonts w:eastAsia="SimSun" w:cs="SimSun"/>
          <w:szCs w:val="24"/>
        </w:rPr>
        <w:t>40 </w:t>
      </w:r>
      <w:r w:rsidRPr="00E173FE">
        <w:rPr>
          <w:rFonts w:eastAsia="SimSun" w:cs="SimSun"/>
          <w:b/>
          <w:bCs/>
          <w:szCs w:val="24"/>
        </w:rPr>
        <w:t>Poskus T</w:t>
      </w:r>
      <w:r w:rsidRPr="00E173FE">
        <w:rPr>
          <w:rFonts w:eastAsia="SimSun" w:cs="SimSun"/>
          <w:szCs w:val="24"/>
        </w:rPr>
        <w:t>, Strupas K, Mikalauskas S, Bitinait</w:t>
      </w:r>
      <w:r w:rsidRPr="00E173FE">
        <w:rPr>
          <w:rFonts w:eastAsia="MS Mincho" w:cs="MS Mincho"/>
          <w:szCs w:val="24"/>
        </w:rPr>
        <w:t>ė</w:t>
      </w:r>
      <w:r w:rsidRPr="00E173FE">
        <w:rPr>
          <w:rFonts w:eastAsia="SimSun" w:cs="SimSun"/>
          <w:szCs w:val="24"/>
        </w:rPr>
        <w:t xml:space="preserve"> D, Kavaliauskas A, Samalavicius NE, Saladzinskas Z. Initial results of the National Colorectal Cancer Screening Program in Lithuania. </w:t>
      </w:r>
      <w:r w:rsidRPr="00E173FE">
        <w:rPr>
          <w:rFonts w:eastAsia="SimSun" w:cs="SimSun"/>
          <w:i/>
          <w:iCs/>
          <w:szCs w:val="24"/>
        </w:rPr>
        <w:t>Eur J Cancer Prev</w:t>
      </w:r>
      <w:r w:rsidRPr="00E173FE">
        <w:rPr>
          <w:rFonts w:eastAsia="SimSun" w:cs="SimSun"/>
          <w:szCs w:val="24"/>
        </w:rPr>
        <w:t> 2015; </w:t>
      </w:r>
      <w:r w:rsidRPr="00E173FE">
        <w:rPr>
          <w:rFonts w:eastAsia="SimSun" w:cs="SimSun"/>
          <w:b/>
          <w:bCs/>
          <w:szCs w:val="24"/>
        </w:rPr>
        <w:t>24</w:t>
      </w:r>
      <w:r w:rsidRPr="00E173FE">
        <w:rPr>
          <w:rFonts w:eastAsia="SimSun" w:cs="SimSun"/>
          <w:szCs w:val="24"/>
        </w:rPr>
        <w:t>: 76-80 [PMID: 25370682 DOI: 10.1097/CEJ.0000000000000096]</w:t>
      </w:r>
    </w:p>
    <w:p w:rsidR="00D077F2" w:rsidRPr="00E173FE" w:rsidRDefault="00D077F2" w:rsidP="00D077F2">
      <w:pPr>
        <w:spacing w:after="0"/>
        <w:rPr>
          <w:rFonts w:eastAsia="SimSun" w:cs="SimSun"/>
          <w:szCs w:val="24"/>
        </w:rPr>
      </w:pPr>
      <w:r w:rsidRPr="00E173FE">
        <w:rPr>
          <w:rFonts w:eastAsia="SimSun" w:cs="SimSun"/>
          <w:szCs w:val="24"/>
        </w:rPr>
        <w:t>41</w:t>
      </w:r>
      <w:r w:rsidRPr="00E173FE">
        <w:rPr>
          <w:rFonts w:eastAsia="SimSun" w:cs="SimSun" w:hint="eastAsia"/>
          <w:b/>
          <w:szCs w:val="24"/>
        </w:rPr>
        <w:t xml:space="preserve"> </w:t>
      </w:r>
      <w:r w:rsidRPr="00E173FE">
        <w:rPr>
          <w:rFonts w:eastAsia="SimSun" w:cs="SimSun"/>
          <w:b/>
          <w:szCs w:val="24"/>
        </w:rPr>
        <w:t>SVIT Programme</w:t>
      </w:r>
      <w:r w:rsidRPr="00E173FE">
        <w:rPr>
          <w:rFonts w:eastAsia="SimSun" w:cs="SimSun"/>
          <w:szCs w:val="24"/>
        </w:rPr>
        <w:t>:</w:t>
      </w:r>
      <w:r w:rsidRPr="00E173FE">
        <w:rPr>
          <w:rFonts w:eastAsia="SimSun" w:cs="SimSun"/>
          <w:b/>
          <w:szCs w:val="24"/>
        </w:rPr>
        <w:t xml:space="preserve"> Screening for colorectal Cancer.</w:t>
      </w:r>
      <w:r w:rsidRPr="00E173FE">
        <w:rPr>
          <w:rFonts w:eastAsia="SimSun" w:cs="SimSun"/>
          <w:szCs w:val="24"/>
        </w:rPr>
        <w:t xml:space="preserve"> Republic of Slovenia. Ministry of health. Available from: URL: http: //www.dpor.si.</w:t>
      </w:r>
    </w:p>
    <w:p w:rsidR="00D077F2" w:rsidRPr="00E173FE" w:rsidRDefault="00D077F2" w:rsidP="00D077F2">
      <w:pPr>
        <w:spacing w:after="0"/>
        <w:rPr>
          <w:rFonts w:eastAsia="SimSun" w:cs="SimSun"/>
          <w:szCs w:val="24"/>
        </w:rPr>
      </w:pPr>
      <w:r w:rsidRPr="00E173FE">
        <w:rPr>
          <w:rFonts w:eastAsia="SimSun" w:cs="SimSun"/>
          <w:szCs w:val="24"/>
        </w:rPr>
        <w:lastRenderedPageBreak/>
        <w:t>42 </w:t>
      </w:r>
      <w:r w:rsidRPr="00E173FE">
        <w:rPr>
          <w:rFonts w:eastAsia="SimSun" w:cs="SimSun"/>
          <w:b/>
          <w:bCs/>
          <w:szCs w:val="24"/>
        </w:rPr>
        <w:t>Logan RF</w:t>
      </w:r>
      <w:r w:rsidRPr="00E173FE">
        <w:rPr>
          <w:rFonts w:eastAsia="SimSun" w:cs="SimSun"/>
          <w:szCs w:val="24"/>
        </w:rPr>
        <w:t>, Patnick J, Nickerson C, Coleman L, Rutter MD, von Wagner C. Outcomes of the Bowel Cancer Screening Programme (BCSP) in England after the first 1 million tests. </w:t>
      </w:r>
      <w:r w:rsidRPr="00E173FE">
        <w:rPr>
          <w:rFonts w:eastAsia="SimSun" w:cs="SimSun"/>
          <w:i/>
          <w:iCs/>
          <w:szCs w:val="24"/>
        </w:rPr>
        <w:t>Gut</w:t>
      </w:r>
      <w:r w:rsidRPr="00E173FE">
        <w:rPr>
          <w:rFonts w:eastAsia="SimSun" w:cs="SimSun"/>
          <w:szCs w:val="24"/>
        </w:rPr>
        <w:t> 2012; </w:t>
      </w:r>
      <w:r w:rsidRPr="00E173FE">
        <w:rPr>
          <w:rFonts w:eastAsia="SimSun" w:cs="SimSun"/>
          <w:b/>
          <w:bCs/>
          <w:szCs w:val="24"/>
        </w:rPr>
        <w:t>61</w:t>
      </w:r>
      <w:r w:rsidRPr="00E173FE">
        <w:rPr>
          <w:rFonts w:eastAsia="SimSun" w:cs="SimSun"/>
          <w:szCs w:val="24"/>
        </w:rPr>
        <w:t>: 1439-1446 [PMID: 22156981 DOI: 10.1136/gutjnl-2011-300843]</w:t>
      </w:r>
    </w:p>
    <w:p w:rsidR="00D077F2" w:rsidRPr="00E173FE" w:rsidRDefault="00D077F2" w:rsidP="00D077F2">
      <w:pPr>
        <w:spacing w:after="0"/>
        <w:rPr>
          <w:rFonts w:eastAsia="SimSun" w:cs="SimSun"/>
          <w:szCs w:val="24"/>
        </w:rPr>
      </w:pPr>
      <w:r w:rsidRPr="00E173FE">
        <w:rPr>
          <w:rFonts w:eastAsia="SimSun" w:cs="SimSun"/>
          <w:szCs w:val="24"/>
        </w:rPr>
        <w:t>43 </w:t>
      </w:r>
      <w:r w:rsidRPr="00E173FE">
        <w:rPr>
          <w:rFonts w:eastAsia="SimSun" w:cs="SimSun"/>
          <w:b/>
          <w:bCs/>
          <w:szCs w:val="24"/>
        </w:rPr>
        <w:t>Suchanek S</w:t>
      </w:r>
      <w:r w:rsidRPr="00E173FE">
        <w:rPr>
          <w:rFonts w:eastAsia="SimSun" w:cs="SimSun"/>
          <w:szCs w:val="24"/>
        </w:rPr>
        <w:t>, Majek O, Vojtechova G, Minarikova P, Rotnaglova B, Seifert B, Minarik M, Kozeny P, Dusek L, Zavoral M. Colorectal cancer prevention in the Czech Republic: time trends in performance indicators and current situation after 10 years of screening. </w:t>
      </w:r>
      <w:r w:rsidRPr="00E173FE">
        <w:rPr>
          <w:rFonts w:eastAsia="SimSun" w:cs="SimSun"/>
          <w:i/>
          <w:iCs/>
          <w:szCs w:val="24"/>
        </w:rPr>
        <w:t>Eur J Cancer Prev</w:t>
      </w:r>
      <w:r w:rsidRPr="00E173FE">
        <w:rPr>
          <w:rFonts w:eastAsia="SimSun" w:cs="SimSun"/>
          <w:szCs w:val="24"/>
        </w:rPr>
        <w:t> 2014; </w:t>
      </w:r>
      <w:r w:rsidRPr="00E173FE">
        <w:rPr>
          <w:rFonts w:eastAsia="SimSun" w:cs="SimSun"/>
          <w:b/>
          <w:bCs/>
          <w:szCs w:val="24"/>
        </w:rPr>
        <w:t>23</w:t>
      </w:r>
      <w:r w:rsidRPr="00E173FE">
        <w:rPr>
          <w:rFonts w:eastAsia="SimSun" w:cs="SimSun"/>
          <w:szCs w:val="24"/>
        </w:rPr>
        <w:t>: 18-26 [PMID: 24129196 DOI: 10.1097/CEJ.0b013e328364f203]</w:t>
      </w:r>
    </w:p>
    <w:p w:rsidR="00D077F2" w:rsidRPr="00E173FE" w:rsidRDefault="00D077F2" w:rsidP="00D077F2">
      <w:pPr>
        <w:spacing w:after="0"/>
        <w:rPr>
          <w:rFonts w:eastAsia="SimSun" w:cs="SimSun"/>
          <w:szCs w:val="24"/>
        </w:rPr>
      </w:pPr>
      <w:r w:rsidRPr="00E173FE">
        <w:rPr>
          <w:rFonts w:eastAsia="SimSun" w:cs="SimSun"/>
          <w:szCs w:val="24"/>
        </w:rPr>
        <w:t>44 </w:t>
      </w:r>
      <w:r w:rsidRPr="00E173FE">
        <w:rPr>
          <w:rFonts w:eastAsia="SimSun" w:cs="SimSun"/>
          <w:b/>
          <w:bCs/>
          <w:szCs w:val="24"/>
        </w:rPr>
        <w:t>Leuraud K</w:t>
      </w:r>
      <w:r w:rsidRPr="00E173FE">
        <w:rPr>
          <w:rFonts w:eastAsia="SimSun" w:cs="SimSun"/>
          <w:szCs w:val="24"/>
        </w:rPr>
        <w:t>, Jezewski-Serra D, Viguier J, Salines E. Colorectal cancer screening by guaiac faecal occult blood test in France: Evaluation of the programme two years after launching. </w:t>
      </w:r>
      <w:r w:rsidRPr="00E173FE">
        <w:rPr>
          <w:rFonts w:eastAsia="SimSun" w:cs="SimSun"/>
          <w:i/>
          <w:iCs/>
          <w:szCs w:val="24"/>
        </w:rPr>
        <w:t>Cancer Epidemiol</w:t>
      </w:r>
      <w:r w:rsidRPr="00E173FE">
        <w:rPr>
          <w:rFonts w:eastAsia="SimSun" w:cs="SimSun"/>
          <w:szCs w:val="24"/>
        </w:rPr>
        <w:t> 2013; </w:t>
      </w:r>
      <w:r w:rsidRPr="00E173FE">
        <w:rPr>
          <w:rFonts w:eastAsia="SimSun" w:cs="SimSun"/>
          <w:b/>
          <w:bCs/>
          <w:szCs w:val="24"/>
        </w:rPr>
        <w:t>37</w:t>
      </w:r>
      <w:r w:rsidRPr="00E173FE">
        <w:rPr>
          <w:rFonts w:eastAsia="SimSun" w:cs="SimSun"/>
          <w:szCs w:val="24"/>
        </w:rPr>
        <w:t>: 959-967 [PMID: 24035240 DOI: 10.1016/j.canep.2013.07.008]</w:t>
      </w:r>
    </w:p>
    <w:p w:rsidR="00D077F2" w:rsidRPr="00E173FE" w:rsidRDefault="00D077F2" w:rsidP="00D077F2">
      <w:pPr>
        <w:spacing w:after="0"/>
        <w:rPr>
          <w:rFonts w:eastAsia="SimSun" w:cs="SimSun"/>
          <w:szCs w:val="24"/>
        </w:rPr>
      </w:pPr>
      <w:r w:rsidRPr="00E173FE">
        <w:rPr>
          <w:rFonts w:eastAsia="SimSun" w:cs="SimSun"/>
          <w:szCs w:val="24"/>
        </w:rPr>
        <w:t>45 </w:t>
      </w:r>
      <w:r w:rsidRPr="00E173FE">
        <w:rPr>
          <w:rFonts w:eastAsia="SimSun" w:cs="SimSun"/>
          <w:b/>
          <w:bCs/>
          <w:szCs w:val="24"/>
        </w:rPr>
        <w:t>Jensen CD</w:t>
      </w:r>
      <w:r w:rsidRPr="00E173FE">
        <w:rPr>
          <w:rFonts w:eastAsia="SimSun" w:cs="SimSun"/>
          <w:szCs w:val="24"/>
        </w:rPr>
        <w:t>, Corley DA, Quinn VP, Doubeni CA, Zauber AG, Lee JK, Zhao WK, Marks AR, Schottinger JE, Ghai NR, Lee AT, Contreras R, Klabunde CN, Quesenberry CP, Levin TR, Mysliwiec PA. Fecal Immunochemical Test Program Performance Over 4 Rounds of Annual Screening: A Retrospective Cohort Study. </w:t>
      </w:r>
      <w:r w:rsidRPr="00E173FE">
        <w:rPr>
          <w:rFonts w:eastAsia="SimSun" w:cs="SimSun"/>
          <w:i/>
          <w:iCs/>
          <w:szCs w:val="24"/>
        </w:rPr>
        <w:t>Ann Intern Med</w:t>
      </w:r>
      <w:r w:rsidRPr="00E173FE">
        <w:rPr>
          <w:rFonts w:eastAsia="SimSun" w:cs="SimSun"/>
          <w:szCs w:val="24"/>
        </w:rPr>
        <w:t> 2016; </w:t>
      </w:r>
      <w:r w:rsidRPr="00E173FE">
        <w:rPr>
          <w:rFonts w:eastAsia="SimSun" w:cs="SimSun"/>
          <w:b/>
          <w:bCs/>
          <w:szCs w:val="24"/>
        </w:rPr>
        <w:t>164</w:t>
      </w:r>
      <w:r w:rsidRPr="00E173FE">
        <w:rPr>
          <w:rFonts w:eastAsia="SimSun" w:cs="SimSun"/>
          <w:szCs w:val="24"/>
        </w:rPr>
        <w:t>: 456-463 [PMID: 26811150 DOI: 10.7326/M15-0983]</w:t>
      </w:r>
    </w:p>
    <w:p w:rsidR="00D077F2" w:rsidRPr="00E173FE" w:rsidRDefault="00D077F2" w:rsidP="00D077F2">
      <w:pPr>
        <w:spacing w:after="0"/>
        <w:rPr>
          <w:rFonts w:eastAsia="SimSun" w:cs="SimSun"/>
          <w:szCs w:val="24"/>
        </w:rPr>
      </w:pPr>
      <w:r w:rsidRPr="00E173FE">
        <w:rPr>
          <w:rFonts w:eastAsia="SimSun" w:cs="SimSun"/>
          <w:szCs w:val="24"/>
        </w:rPr>
        <w:t>46 </w:t>
      </w:r>
      <w:r w:rsidRPr="00E173FE">
        <w:rPr>
          <w:rFonts w:eastAsia="SimSun" w:cs="SimSun"/>
          <w:b/>
          <w:bCs/>
          <w:szCs w:val="24"/>
        </w:rPr>
        <w:t>Major D</w:t>
      </w:r>
      <w:r w:rsidRPr="00E173FE">
        <w:rPr>
          <w:rFonts w:eastAsia="SimSun" w:cs="SimSun"/>
          <w:szCs w:val="24"/>
        </w:rPr>
        <w:t>, Bryant H, Delaney M, Fekete S, Gentile L, Harrison M, Mai V, Nicholson E, Taylor Y. Colorectal cancer screening in Canada: results from the first round of screening for five provincial programs. </w:t>
      </w:r>
      <w:r w:rsidRPr="00E173FE">
        <w:rPr>
          <w:rFonts w:eastAsia="SimSun" w:cs="SimSun"/>
          <w:i/>
          <w:iCs/>
          <w:szCs w:val="24"/>
        </w:rPr>
        <w:t>Curr Oncol</w:t>
      </w:r>
      <w:r w:rsidRPr="00E173FE">
        <w:rPr>
          <w:rFonts w:eastAsia="SimSun" w:cs="SimSun"/>
          <w:szCs w:val="24"/>
        </w:rPr>
        <w:t> 2013; </w:t>
      </w:r>
      <w:r w:rsidRPr="00E173FE">
        <w:rPr>
          <w:rFonts w:eastAsia="SimSun" w:cs="SimSun"/>
          <w:b/>
          <w:bCs/>
          <w:szCs w:val="24"/>
        </w:rPr>
        <w:t>20</w:t>
      </w:r>
      <w:r w:rsidRPr="00E173FE">
        <w:rPr>
          <w:rFonts w:eastAsia="SimSun" w:cs="SimSun"/>
          <w:szCs w:val="24"/>
        </w:rPr>
        <w:t>: 252-257 [PMID: 24155629 DOI: 10.3747/co.20.1646]</w:t>
      </w:r>
    </w:p>
    <w:p w:rsidR="00D077F2" w:rsidRPr="00E173FE" w:rsidRDefault="00D077F2" w:rsidP="00D077F2">
      <w:pPr>
        <w:spacing w:after="0"/>
        <w:rPr>
          <w:rFonts w:eastAsia="SimSun" w:cs="SimSun"/>
          <w:szCs w:val="24"/>
        </w:rPr>
      </w:pPr>
      <w:r w:rsidRPr="00E173FE">
        <w:rPr>
          <w:rFonts w:eastAsia="SimSun" w:cs="SimSun"/>
          <w:szCs w:val="24"/>
        </w:rPr>
        <w:t>47</w:t>
      </w:r>
      <w:r w:rsidRPr="00E173FE">
        <w:rPr>
          <w:rFonts w:eastAsia="SimSun" w:cs="SimSun" w:hint="eastAsia"/>
          <w:szCs w:val="24"/>
        </w:rPr>
        <w:t xml:space="preserve"> </w:t>
      </w:r>
      <w:r w:rsidRPr="00E173FE">
        <w:rPr>
          <w:rFonts w:eastAsia="SimSun" w:cs="SimSun"/>
          <w:b/>
          <w:szCs w:val="24"/>
        </w:rPr>
        <w:t>López-Kostner F</w:t>
      </w:r>
      <w:r w:rsidRPr="00E173FE">
        <w:rPr>
          <w:rFonts w:eastAsia="SimSun" w:cs="SimSun"/>
          <w:szCs w:val="24"/>
        </w:rPr>
        <w:t>, Kronberg U, Zarate AJ</w:t>
      </w:r>
      <w:r w:rsidRPr="00E173FE">
        <w:t xml:space="preserve"> </w:t>
      </w:r>
      <w:r w:rsidRPr="00E173FE">
        <w:rPr>
          <w:rFonts w:eastAsia="SimSun" w:cs="SimSun"/>
          <w:szCs w:val="24"/>
        </w:rPr>
        <w:t>Cortés</w:t>
      </w:r>
      <w:r w:rsidRPr="00E173FE">
        <w:rPr>
          <w:rFonts w:eastAsia="SimSun" w:cs="SimSun" w:hint="eastAsia"/>
          <w:szCs w:val="24"/>
        </w:rPr>
        <w:t xml:space="preserve"> M</w:t>
      </w:r>
      <w:r w:rsidRPr="00E173FE">
        <w:rPr>
          <w:rFonts w:eastAsia="SimSun" w:cs="SimSun"/>
          <w:szCs w:val="24"/>
        </w:rPr>
        <w:t xml:space="preserve">. </w:t>
      </w:r>
      <w:bookmarkStart w:id="44" w:name="OLE_LINK203"/>
      <w:bookmarkStart w:id="45" w:name="OLE_LINK204"/>
      <w:r w:rsidRPr="00E173FE">
        <w:rPr>
          <w:rFonts w:eastAsia="SimSun" w:cs="SimSun"/>
          <w:szCs w:val="24"/>
        </w:rPr>
        <w:t>Programa de detección de neoplasias colorrectales en población mayor de 50 años</w:t>
      </w:r>
      <w:bookmarkEnd w:id="44"/>
      <w:bookmarkEnd w:id="45"/>
      <w:r w:rsidRPr="00E173FE">
        <w:rPr>
          <w:rFonts w:eastAsia="SimSun" w:cs="SimSun"/>
          <w:szCs w:val="24"/>
        </w:rPr>
        <w:t xml:space="preserve">. </w:t>
      </w:r>
      <w:r w:rsidRPr="00E173FE">
        <w:rPr>
          <w:rFonts w:eastAsia="SimSun" w:cs="SimSun"/>
          <w:i/>
          <w:szCs w:val="24"/>
        </w:rPr>
        <w:t>Rev Med Chile</w:t>
      </w:r>
      <w:r w:rsidRPr="00E173FE">
        <w:rPr>
          <w:rFonts w:eastAsia="SimSun" w:cs="SimSun" w:hint="eastAsia"/>
          <w:szCs w:val="24"/>
        </w:rPr>
        <w:t xml:space="preserve"> </w:t>
      </w:r>
      <w:r w:rsidRPr="00E173FE">
        <w:rPr>
          <w:rFonts w:eastAsia="SimSun" w:cs="SimSun"/>
          <w:szCs w:val="24"/>
        </w:rPr>
        <w:t xml:space="preserve">2012; </w:t>
      </w:r>
      <w:r w:rsidRPr="00E173FE">
        <w:rPr>
          <w:rFonts w:eastAsia="SimSun" w:cs="SimSun"/>
          <w:b/>
          <w:szCs w:val="24"/>
        </w:rPr>
        <w:t>140</w:t>
      </w:r>
      <w:r w:rsidRPr="00E173FE">
        <w:rPr>
          <w:rFonts w:eastAsia="SimSun" w:cs="SimSun"/>
          <w:szCs w:val="24"/>
        </w:rPr>
        <w:t>:</w:t>
      </w:r>
      <w:r w:rsidRPr="00E173FE">
        <w:rPr>
          <w:rFonts w:eastAsia="SimSun" w:cs="SimSun" w:hint="eastAsia"/>
          <w:szCs w:val="24"/>
        </w:rPr>
        <w:t xml:space="preserve"> </w:t>
      </w:r>
      <w:r w:rsidRPr="00E173FE">
        <w:rPr>
          <w:rFonts w:eastAsia="SimSun" w:cs="SimSun"/>
          <w:szCs w:val="24"/>
        </w:rPr>
        <w:t>281-286 [DOI: 10.4067/S0034-9887201200030000].</w:t>
      </w:r>
    </w:p>
    <w:p w:rsidR="00D077F2" w:rsidRPr="00E173FE" w:rsidRDefault="00D077F2" w:rsidP="00D077F2">
      <w:pPr>
        <w:spacing w:after="0"/>
        <w:rPr>
          <w:rFonts w:eastAsia="SimSun" w:cs="SimSun"/>
          <w:szCs w:val="24"/>
        </w:rPr>
      </w:pPr>
      <w:r w:rsidRPr="00E173FE">
        <w:rPr>
          <w:rFonts w:eastAsia="SimSun" w:cs="SimSun"/>
          <w:szCs w:val="24"/>
        </w:rPr>
        <w:t>48 </w:t>
      </w:r>
      <w:r w:rsidRPr="00E173FE">
        <w:rPr>
          <w:rFonts w:eastAsia="SimSun" w:cs="SimSun"/>
          <w:b/>
          <w:bCs/>
          <w:szCs w:val="24"/>
        </w:rPr>
        <w:t>Sung JJ</w:t>
      </w:r>
      <w:r w:rsidRPr="00E173FE">
        <w:rPr>
          <w:rFonts w:eastAsia="SimSun" w:cs="SimSun"/>
          <w:szCs w:val="24"/>
        </w:rPr>
        <w:t>, Ng SC, Chan FK, Chiu HM, Kim HS, Matsuda T, Ng SS, Lau JY, Zheng S, Adler S, Reddy N, Yeoh KG, Tsoi KK, Ching JY, Kuipers EJ, Rabeneck L, Young GP, Steele RJ, Lieberman D, Goh KL. An updated Asia Pacific Consensus Recommendations on colorectal cancer screening. </w:t>
      </w:r>
      <w:r w:rsidRPr="00E173FE">
        <w:rPr>
          <w:rFonts w:eastAsia="SimSun" w:cs="SimSun"/>
          <w:i/>
          <w:iCs/>
          <w:szCs w:val="24"/>
        </w:rPr>
        <w:t>Gut</w:t>
      </w:r>
      <w:r w:rsidRPr="00E173FE">
        <w:rPr>
          <w:rFonts w:eastAsia="SimSun" w:cs="SimSun"/>
          <w:szCs w:val="24"/>
        </w:rPr>
        <w:t> 2015; </w:t>
      </w:r>
      <w:r w:rsidRPr="00E173FE">
        <w:rPr>
          <w:rFonts w:eastAsia="SimSun" w:cs="SimSun"/>
          <w:b/>
          <w:bCs/>
          <w:szCs w:val="24"/>
        </w:rPr>
        <w:t>64</w:t>
      </w:r>
      <w:r w:rsidRPr="00E173FE">
        <w:rPr>
          <w:rFonts w:eastAsia="SimSun" w:cs="SimSun"/>
          <w:szCs w:val="24"/>
        </w:rPr>
        <w:t>: 121-132 [PMID: 24647008 DOI: 10.1136/gutjnl-2013-306503]</w:t>
      </w:r>
    </w:p>
    <w:p w:rsidR="00D077F2" w:rsidRPr="00E173FE" w:rsidRDefault="00D077F2" w:rsidP="00D077F2">
      <w:pPr>
        <w:spacing w:after="0"/>
        <w:rPr>
          <w:rFonts w:eastAsia="SimSun" w:cs="SimSun"/>
          <w:szCs w:val="24"/>
        </w:rPr>
      </w:pPr>
      <w:r w:rsidRPr="00E173FE">
        <w:rPr>
          <w:rFonts w:eastAsia="SimSun" w:cs="SimSun"/>
          <w:szCs w:val="24"/>
        </w:rPr>
        <w:lastRenderedPageBreak/>
        <w:t>49 </w:t>
      </w:r>
      <w:r w:rsidRPr="00E173FE">
        <w:rPr>
          <w:rFonts w:eastAsia="SimSun" w:cs="SimSun"/>
          <w:b/>
          <w:bCs/>
          <w:szCs w:val="24"/>
        </w:rPr>
        <w:t>Cai SR</w:t>
      </w:r>
      <w:r w:rsidRPr="00E173FE">
        <w:rPr>
          <w:rFonts w:eastAsia="SimSun" w:cs="SimSun"/>
          <w:szCs w:val="24"/>
        </w:rPr>
        <w:t>, Zhang SZ, Zhu HH, Zheng S. Barriers to colorectal cancer screening: a case-control study. </w:t>
      </w:r>
      <w:r w:rsidRPr="00E173FE">
        <w:rPr>
          <w:rFonts w:eastAsia="SimSun" w:cs="SimSun"/>
          <w:i/>
          <w:iCs/>
          <w:szCs w:val="24"/>
        </w:rPr>
        <w:t>World J Gastroenterol</w:t>
      </w:r>
      <w:r w:rsidRPr="00E173FE">
        <w:rPr>
          <w:rFonts w:eastAsia="SimSun" w:cs="SimSun"/>
          <w:szCs w:val="24"/>
        </w:rPr>
        <w:t> 2009; </w:t>
      </w:r>
      <w:r w:rsidRPr="00E173FE">
        <w:rPr>
          <w:rFonts w:eastAsia="SimSun" w:cs="SimSun"/>
          <w:b/>
          <w:bCs/>
          <w:szCs w:val="24"/>
        </w:rPr>
        <w:t>15</w:t>
      </w:r>
      <w:r w:rsidRPr="00E173FE">
        <w:rPr>
          <w:rFonts w:eastAsia="SimSun" w:cs="SimSun"/>
          <w:szCs w:val="24"/>
        </w:rPr>
        <w:t>: 2531-2536 [PMID: 19469005 DOI: 10.3748/wjg.15.2531]</w:t>
      </w:r>
    </w:p>
    <w:p w:rsidR="00D077F2" w:rsidRPr="00E173FE" w:rsidRDefault="00D077F2" w:rsidP="00D077F2">
      <w:pPr>
        <w:spacing w:after="0"/>
        <w:rPr>
          <w:rFonts w:eastAsia="SimSun" w:cs="SimSun"/>
          <w:szCs w:val="24"/>
        </w:rPr>
      </w:pPr>
      <w:r w:rsidRPr="00E173FE">
        <w:rPr>
          <w:rFonts w:eastAsia="SimSun" w:cs="SimSun"/>
          <w:szCs w:val="24"/>
        </w:rPr>
        <w:t>50 </w:t>
      </w:r>
      <w:r w:rsidRPr="00E173FE">
        <w:rPr>
          <w:rFonts w:eastAsia="SimSun" w:cs="SimSun"/>
          <w:b/>
          <w:bCs/>
          <w:szCs w:val="24"/>
        </w:rPr>
        <w:t>Sano Y</w:t>
      </w:r>
      <w:r w:rsidRPr="00E173FE">
        <w:rPr>
          <w:rFonts w:eastAsia="SimSun" w:cs="SimSun"/>
          <w:szCs w:val="24"/>
        </w:rPr>
        <w:t>, Byeon JS, Li XB, Wong MC, Chiu HM, Rerknimitr R, Utsumi T, Hattori S, Sano W, Iwatate M, Chiu P, Sung J. Colorectal cancer screening of the general population in East Asia. </w:t>
      </w:r>
      <w:r w:rsidRPr="00E173FE">
        <w:rPr>
          <w:rFonts w:eastAsia="SimSun" w:cs="SimSun"/>
          <w:i/>
          <w:iCs/>
          <w:szCs w:val="24"/>
        </w:rPr>
        <w:t>Dig Endosc</w:t>
      </w:r>
      <w:r w:rsidRPr="00E173FE">
        <w:rPr>
          <w:rFonts w:eastAsia="SimSun" w:cs="SimSun"/>
          <w:szCs w:val="24"/>
        </w:rPr>
        <w:t> 2016; </w:t>
      </w:r>
      <w:r w:rsidRPr="00E173FE">
        <w:rPr>
          <w:rFonts w:eastAsia="SimSun" w:cs="SimSun"/>
          <w:b/>
          <w:bCs/>
          <w:szCs w:val="24"/>
        </w:rPr>
        <w:t>28</w:t>
      </w:r>
      <w:r w:rsidRPr="00E173FE">
        <w:rPr>
          <w:rFonts w:eastAsia="SimSun" w:cs="SimSun"/>
          <w:szCs w:val="24"/>
        </w:rPr>
        <w:t>: 243-249 [PMID: 26595883 DOI: 10.1111/den.12579]</w:t>
      </w:r>
    </w:p>
    <w:p w:rsidR="00D077F2" w:rsidRPr="00E173FE" w:rsidRDefault="00D077F2" w:rsidP="00D077F2">
      <w:pPr>
        <w:spacing w:after="0"/>
        <w:rPr>
          <w:rFonts w:eastAsia="SimSun" w:cs="SimSun"/>
          <w:szCs w:val="24"/>
        </w:rPr>
      </w:pPr>
      <w:r w:rsidRPr="00E173FE">
        <w:rPr>
          <w:rFonts w:eastAsia="SimSun" w:cs="SimSun"/>
          <w:szCs w:val="24"/>
        </w:rPr>
        <w:t>51</w:t>
      </w:r>
      <w:r w:rsidRPr="00E173FE">
        <w:rPr>
          <w:rFonts w:eastAsia="SimSun" w:cs="SimSun" w:hint="eastAsia"/>
          <w:szCs w:val="24"/>
        </w:rPr>
        <w:t xml:space="preserve"> </w:t>
      </w:r>
      <w:r w:rsidRPr="00E173FE">
        <w:rPr>
          <w:rFonts w:eastAsia="SimSun" w:cs="SimSun"/>
          <w:b/>
          <w:szCs w:val="24"/>
        </w:rPr>
        <w:t xml:space="preserve">Center for cancer control and information services NCC. </w:t>
      </w:r>
      <w:r w:rsidRPr="00E173FE">
        <w:rPr>
          <w:rFonts w:eastAsia="SimSun" w:cs="SimSun"/>
          <w:szCs w:val="24"/>
        </w:rPr>
        <w:t>Cancer statistics in Japan ’13. Japan: foundation for promotion of cancer research, 2013. Available from: URL: http: // www.ncc.go.jp/en/cis/index.html</w:t>
      </w:r>
    </w:p>
    <w:p w:rsidR="00D077F2" w:rsidRPr="00E173FE" w:rsidRDefault="00D077F2" w:rsidP="00D077F2">
      <w:pPr>
        <w:spacing w:after="0"/>
        <w:rPr>
          <w:rFonts w:eastAsia="SimSun" w:cs="SimSun"/>
          <w:szCs w:val="24"/>
        </w:rPr>
      </w:pPr>
      <w:r w:rsidRPr="00E173FE">
        <w:rPr>
          <w:rFonts w:eastAsia="SimSun" w:cs="SimSun"/>
          <w:szCs w:val="24"/>
        </w:rPr>
        <w:t>52 </w:t>
      </w:r>
      <w:r w:rsidRPr="00E173FE">
        <w:rPr>
          <w:rFonts w:eastAsia="SimSun" w:cs="SimSun"/>
          <w:b/>
          <w:bCs/>
          <w:szCs w:val="24"/>
        </w:rPr>
        <w:t>Suh M</w:t>
      </w:r>
      <w:r w:rsidRPr="00E173FE">
        <w:rPr>
          <w:rFonts w:eastAsia="SimSun" w:cs="SimSun"/>
          <w:szCs w:val="24"/>
        </w:rPr>
        <w:t>, Song S, Cho HN, Park B, Jun JK, Choi E, Kim Y, Choi KS. Trends in Participation Rates for the National Cancer Screening Program in Korea, 2002-2012. </w:t>
      </w:r>
      <w:r w:rsidRPr="00E173FE">
        <w:rPr>
          <w:rFonts w:eastAsia="SimSun" w:cs="SimSun"/>
          <w:i/>
          <w:iCs/>
          <w:szCs w:val="24"/>
        </w:rPr>
        <w:t>Cancer Res Treat</w:t>
      </w:r>
      <w:r w:rsidRPr="00E173FE">
        <w:rPr>
          <w:rFonts w:eastAsia="SimSun" w:cs="SimSun"/>
          <w:szCs w:val="24"/>
        </w:rPr>
        <w:t> 2016; : [PMID: 27857022 DOI: 10.4143/crt.2016.186]</w:t>
      </w:r>
    </w:p>
    <w:p w:rsidR="00D077F2" w:rsidRPr="00E173FE" w:rsidRDefault="00D077F2" w:rsidP="00D077F2">
      <w:pPr>
        <w:spacing w:after="0"/>
        <w:rPr>
          <w:rFonts w:eastAsia="SimSun" w:cs="SimSun"/>
          <w:szCs w:val="24"/>
        </w:rPr>
      </w:pPr>
      <w:r w:rsidRPr="00E173FE">
        <w:rPr>
          <w:rFonts w:eastAsia="SimSun" w:cs="SimSun"/>
          <w:szCs w:val="24"/>
        </w:rPr>
        <w:t>53 </w:t>
      </w:r>
      <w:r w:rsidRPr="00E173FE">
        <w:rPr>
          <w:rFonts w:eastAsia="SimSun" w:cs="SimSun"/>
          <w:b/>
          <w:bCs/>
          <w:szCs w:val="24"/>
        </w:rPr>
        <w:t>Choi KS</w:t>
      </w:r>
      <w:r w:rsidRPr="00E173FE">
        <w:rPr>
          <w:rFonts w:eastAsia="SimSun" w:cs="SimSun"/>
          <w:szCs w:val="24"/>
        </w:rPr>
        <w:t>, Lee HY, Jun JK, Shin A, Park EC. Adherence to follow-up after a positive fecal occult blood test in an organized colorectal cancer screening program in Korea, 2004-2008. </w:t>
      </w:r>
      <w:r w:rsidRPr="00E173FE">
        <w:rPr>
          <w:rFonts w:eastAsia="SimSun" w:cs="SimSun"/>
          <w:i/>
          <w:iCs/>
          <w:szCs w:val="24"/>
        </w:rPr>
        <w:t>J Gastroenterol Hepatol</w:t>
      </w:r>
      <w:r w:rsidRPr="00E173FE">
        <w:rPr>
          <w:rFonts w:eastAsia="SimSun" w:cs="SimSun"/>
          <w:szCs w:val="24"/>
        </w:rPr>
        <w:t> 2012; </w:t>
      </w:r>
      <w:r w:rsidRPr="00E173FE">
        <w:rPr>
          <w:rFonts w:eastAsia="SimSun" w:cs="SimSun"/>
          <w:b/>
          <w:bCs/>
          <w:szCs w:val="24"/>
        </w:rPr>
        <w:t>27</w:t>
      </w:r>
      <w:r w:rsidRPr="00E173FE">
        <w:rPr>
          <w:rFonts w:eastAsia="SimSun" w:cs="SimSun"/>
          <w:szCs w:val="24"/>
        </w:rPr>
        <w:t>: 1070-1077 [PMID: 22004224 DOI: 10.1111/j.1440-1746.2011.06944.x]</w:t>
      </w:r>
    </w:p>
    <w:p w:rsidR="00D077F2" w:rsidRPr="00E173FE" w:rsidRDefault="00D077F2" w:rsidP="00D077F2">
      <w:pPr>
        <w:spacing w:after="0"/>
        <w:rPr>
          <w:rFonts w:eastAsia="SimSun" w:cs="SimSun"/>
          <w:szCs w:val="24"/>
        </w:rPr>
      </w:pPr>
      <w:r w:rsidRPr="00E173FE">
        <w:rPr>
          <w:rFonts w:eastAsia="SimSun" w:cs="SimSun"/>
          <w:szCs w:val="24"/>
        </w:rPr>
        <w:t>54 </w:t>
      </w:r>
      <w:r w:rsidRPr="00E173FE">
        <w:rPr>
          <w:rFonts w:eastAsia="SimSun" w:cs="SimSun"/>
          <w:b/>
          <w:bCs/>
          <w:szCs w:val="24"/>
        </w:rPr>
        <w:t>Chiu HM</w:t>
      </w:r>
      <w:r w:rsidRPr="00E173FE">
        <w:rPr>
          <w:rFonts w:eastAsia="SimSun" w:cs="SimSun"/>
          <w:szCs w:val="24"/>
        </w:rPr>
        <w:t>, Chen SL, Yen AM, Chiu SY, Fann JC, Lee YC, Pan SL, Wu MS, Liao CS, Chen HH, Koong SL, Chiou ST. Effectiveness of fecal immunochemical testing in reducing colorectal cancer mortality from the One Million Taiwanese Screening Program. </w:t>
      </w:r>
      <w:r w:rsidRPr="00E173FE">
        <w:rPr>
          <w:rFonts w:eastAsia="SimSun" w:cs="SimSun"/>
          <w:i/>
          <w:iCs/>
          <w:szCs w:val="24"/>
        </w:rPr>
        <w:t>Cancer</w:t>
      </w:r>
      <w:r w:rsidRPr="00E173FE">
        <w:rPr>
          <w:rFonts w:eastAsia="SimSun" w:cs="SimSun"/>
          <w:szCs w:val="24"/>
        </w:rPr>
        <w:t> 2015; </w:t>
      </w:r>
      <w:r w:rsidRPr="00E173FE">
        <w:rPr>
          <w:rFonts w:eastAsia="SimSun" w:cs="SimSun"/>
          <w:b/>
          <w:bCs/>
          <w:szCs w:val="24"/>
        </w:rPr>
        <w:t>121</w:t>
      </w:r>
      <w:r w:rsidRPr="00E173FE">
        <w:rPr>
          <w:rFonts w:eastAsia="SimSun" w:cs="SimSun"/>
          <w:szCs w:val="24"/>
        </w:rPr>
        <w:t>: 3221-3229 [PMID: 25995082 DOI: 10.1002/cncr.29462]</w:t>
      </w:r>
    </w:p>
    <w:p w:rsidR="00D077F2" w:rsidRPr="00E173FE" w:rsidRDefault="00D077F2" w:rsidP="00D077F2">
      <w:pPr>
        <w:spacing w:after="0"/>
        <w:rPr>
          <w:rFonts w:eastAsia="SimSun" w:cs="SimSun"/>
          <w:szCs w:val="24"/>
        </w:rPr>
      </w:pPr>
      <w:r w:rsidRPr="00E173FE">
        <w:rPr>
          <w:rFonts w:eastAsia="SimSun" w:cs="SimSun"/>
          <w:szCs w:val="24"/>
        </w:rPr>
        <w:t>55 </w:t>
      </w:r>
      <w:r w:rsidRPr="00E173FE">
        <w:rPr>
          <w:rFonts w:eastAsia="SimSun" w:cs="SimSun"/>
          <w:b/>
          <w:bCs/>
          <w:szCs w:val="24"/>
        </w:rPr>
        <w:t>Khuhaprema T</w:t>
      </w:r>
      <w:r w:rsidRPr="00E173FE">
        <w:rPr>
          <w:rFonts w:eastAsia="SimSun" w:cs="SimSun"/>
          <w:szCs w:val="24"/>
        </w:rPr>
        <w:t>, Sangrajrang S, Lalitwongsa S, Chokvanitphong V, Raunroadroong T, Ratanachu-Ek T, Muwonge R, Lucas E, Wild C, Sankaranarayanan R. Organised colorectal cancer screening in Lampang Province, Thailand: preliminary results from a pilot implementation programme. </w:t>
      </w:r>
      <w:r w:rsidRPr="00E173FE">
        <w:rPr>
          <w:rFonts w:eastAsia="SimSun" w:cs="SimSun"/>
          <w:i/>
          <w:iCs/>
          <w:szCs w:val="24"/>
        </w:rPr>
        <w:t>BMJ Open</w:t>
      </w:r>
      <w:r w:rsidRPr="00E173FE">
        <w:rPr>
          <w:rFonts w:eastAsia="SimSun" w:cs="SimSun"/>
          <w:szCs w:val="24"/>
        </w:rPr>
        <w:t> 2014; </w:t>
      </w:r>
      <w:r w:rsidRPr="00E173FE">
        <w:rPr>
          <w:rFonts w:eastAsia="SimSun" w:cs="SimSun"/>
          <w:b/>
          <w:bCs/>
          <w:szCs w:val="24"/>
        </w:rPr>
        <w:t>4</w:t>
      </w:r>
      <w:r w:rsidRPr="00E173FE">
        <w:rPr>
          <w:rFonts w:eastAsia="SimSun" w:cs="SimSun"/>
          <w:szCs w:val="24"/>
        </w:rPr>
        <w:t>: e003671 [PMID: 24435889 DOI: 10.1136/bmjopen-2013-003671]</w:t>
      </w:r>
    </w:p>
    <w:p w:rsidR="00D077F2" w:rsidRPr="00E173FE" w:rsidRDefault="00D077F2" w:rsidP="00D077F2">
      <w:pPr>
        <w:spacing w:after="0"/>
        <w:rPr>
          <w:rFonts w:eastAsia="SimSun" w:cs="SimSun"/>
          <w:szCs w:val="24"/>
        </w:rPr>
      </w:pPr>
      <w:r w:rsidRPr="00E173FE">
        <w:rPr>
          <w:rFonts w:eastAsia="SimSun" w:cs="SimSun"/>
          <w:szCs w:val="24"/>
        </w:rPr>
        <w:t>56</w:t>
      </w:r>
      <w:r w:rsidRPr="00E173FE">
        <w:rPr>
          <w:rFonts w:eastAsia="SimSun" w:cs="SimSun" w:hint="eastAsia"/>
          <w:b/>
          <w:szCs w:val="24"/>
        </w:rPr>
        <w:t xml:space="preserve"> </w:t>
      </w:r>
      <w:r w:rsidRPr="00E173FE">
        <w:rPr>
          <w:rFonts w:eastAsia="SimSun" w:cs="SimSun"/>
          <w:b/>
          <w:szCs w:val="24"/>
        </w:rPr>
        <w:t xml:space="preserve">Commonwealth of Australia. </w:t>
      </w:r>
      <w:r w:rsidRPr="00E173FE">
        <w:rPr>
          <w:rFonts w:eastAsia="SimSun" w:cs="SimSun"/>
          <w:szCs w:val="24"/>
        </w:rPr>
        <w:t>The Australian bowel Cancer Screening Pilot Program and Beyond,</w:t>
      </w:r>
      <w:r w:rsidRPr="00E173FE">
        <w:rPr>
          <w:rFonts w:eastAsia="SimSun" w:cs="SimSun" w:hint="eastAsia"/>
          <w:szCs w:val="24"/>
        </w:rPr>
        <w:t xml:space="preserve"> </w:t>
      </w:r>
      <w:r w:rsidRPr="00E173FE">
        <w:rPr>
          <w:rFonts w:eastAsia="SimSun" w:cs="SimSun"/>
          <w:szCs w:val="24"/>
        </w:rPr>
        <w:t>2005. Screening monograph no.6/2005. Available from: URL: http: //www.cancerscreening.gov.au/internet/screening/publishing.nsf/content/9C0493AFEB3FD33CCA257D720005C9F2/$File/final-eval.pdf</w:t>
      </w:r>
    </w:p>
    <w:p w:rsidR="00D077F2" w:rsidRPr="00E173FE" w:rsidRDefault="00D077F2" w:rsidP="00D077F2">
      <w:pPr>
        <w:spacing w:after="0"/>
        <w:rPr>
          <w:rFonts w:cs="Calibri"/>
          <w:szCs w:val="24"/>
          <w:lang w:val="en-US" w:eastAsia="zh-CN"/>
        </w:rPr>
      </w:pPr>
      <w:r w:rsidRPr="00E173FE">
        <w:rPr>
          <w:rFonts w:hint="eastAsia"/>
          <w:lang w:val="en-US" w:eastAsia="zh-CN"/>
        </w:rPr>
        <w:t xml:space="preserve"> </w:t>
      </w:r>
    </w:p>
    <w:bookmarkEnd w:id="32"/>
    <w:bookmarkEnd w:id="33"/>
    <w:p w:rsidR="005059FF" w:rsidRPr="00E173FE" w:rsidRDefault="00F4280E" w:rsidP="00D077F2">
      <w:pPr>
        <w:spacing w:after="0"/>
        <w:rPr>
          <w:rFonts w:eastAsia="SimSun"/>
          <w:b/>
          <w:bCs/>
          <w:color w:val="000000"/>
          <w:lang w:eastAsia="zh-CN"/>
        </w:rPr>
      </w:pPr>
      <w:r w:rsidRPr="00E173FE">
        <w:rPr>
          <w:lang w:val="en-US"/>
        </w:rPr>
        <w:br w:type="page"/>
      </w:r>
      <w:r w:rsidR="005059FF" w:rsidRPr="00E173FE">
        <w:rPr>
          <w:rStyle w:val="Strong"/>
          <w:rFonts w:cs="Arial"/>
          <w:bCs w:val="0"/>
          <w:noProof/>
          <w:color w:val="000000"/>
        </w:rPr>
        <w:lastRenderedPageBreak/>
        <w:t>P-Reviewer</w:t>
      </w:r>
      <w:r w:rsidR="005059FF" w:rsidRPr="00E173FE">
        <w:rPr>
          <w:rStyle w:val="Strong"/>
          <w:rFonts w:eastAsia="SimSun" w:cs="Arial"/>
          <w:bCs w:val="0"/>
          <w:noProof/>
          <w:color w:val="000000"/>
          <w:lang w:eastAsia="zh-CN"/>
        </w:rPr>
        <w:t>:</w:t>
      </w:r>
      <w:r w:rsidR="005059FF" w:rsidRPr="00E173FE">
        <w:rPr>
          <w:bCs/>
          <w:color w:val="000000"/>
        </w:rPr>
        <w:t xml:space="preserve"> </w:t>
      </w:r>
      <w:r w:rsidR="00EB613E" w:rsidRPr="00E173FE">
        <w:rPr>
          <w:bCs/>
          <w:color w:val="000000"/>
        </w:rPr>
        <w:t>Bechtold</w:t>
      </w:r>
      <w:r w:rsidR="00EB613E" w:rsidRPr="00E173FE">
        <w:rPr>
          <w:rFonts w:hint="eastAsia"/>
          <w:bCs/>
          <w:color w:val="000000"/>
          <w:lang w:eastAsia="zh-CN"/>
        </w:rPr>
        <w:t xml:space="preserve"> ML, </w:t>
      </w:r>
      <w:r w:rsidR="00EB613E" w:rsidRPr="00E173FE">
        <w:rPr>
          <w:bCs/>
          <w:color w:val="000000"/>
        </w:rPr>
        <w:t>Cho</w:t>
      </w:r>
      <w:r w:rsidR="00EB613E" w:rsidRPr="00E173FE">
        <w:rPr>
          <w:rFonts w:hint="eastAsia"/>
          <w:bCs/>
          <w:color w:val="000000"/>
          <w:lang w:eastAsia="zh-CN"/>
        </w:rPr>
        <w:t xml:space="preserve"> YS</w:t>
      </w:r>
      <w:r w:rsidR="006E15CC">
        <w:rPr>
          <w:rFonts w:hint="eastAsia"/>
          <w:bCs/>
          <w:color w:val="000000"/>
          <w:lang w:eastAsia="zh-CN"/>
        </w:rPr>
        <w:t>,</w:t>
      </w:r>
      <w:r w:rsidR="00EB613E" w:rsidRPr="00E173FE">
        <w:rPr>
          <w:rFonts w:hint="eastAsia"/>
          <w:bCs/>
          <w:color w:val="000000"/>
          <w:lang w:eastAsia="zh-CN"/>
        </w:rPr>
        <w:t xml:space="preserve"> </w:t>
      </w:r>
      <w:r w:rsidR="006E15CC" w:rsidRPr="006E15CC">
        <w:rPr>
          <w:bCs/>
          <w:color w:val="000000"/>
          <w:lang w:eastAsia="zh-CN"/>
        </w:rPr>
        <w:t>Lakatos</w:t>
      </w:r>
      <w:r w:rsidR="006E15CC">
        <w:rPr>
          <w:rFonts w:hint="eastAsia"/>
          <w:bCs/>
          <w:color w:val="000000"/>
          <w:lang w:eastAsia="zh-CN"/>
        </w:rPr>
        <w:t xml:space="preserve"> PL</w:t>
      </w:r>
      <w:r w:rsidR="005059FF" w:rsidRPr="00E173FE">
        <w:rPr>
          <w:bCs/>
          <w:color w:val="000000"/>
        </w:rPr>
        <w:t xml:space="preserve"> </w:t>
      </w:r>
      <w:r w:rsidR="005059FF" w:rsidRPr="00E173FE">
        <w:rPr>
          <w:b/>
          <w:bCs/>
          <w:color w:val="000000"/>
        </w:rPr>
        <w:t>S-Editor</w:t>
      </w:r>
      <w:r w:rsidR="005059FF" w:rsidRPr="00E173FE">
        <w:rPr>
          <w:rFonts w:eastAsia="SimSun"/>
          <w:b/>
          <w:bCs/>
          <w:color w:val="000000"/>
          <w:lang w:eastAsia="zh-CN"/>
        </w:rPr>
        <w:t>:</w:t>
      </w:r>
      <w:r w:rsidR="005059FF" w:rsidRPr="00E173FE">
        <w:rPr>
          <w:bCs/>
          <w:color w:val="000000"/>
        </w:rPr>
        <w:t xml:space="preserve"> </w:t>
      </w:r>
      <w:r w:rsidR="005059FF" w:rsidRPr="00E173FE">
        <w:rPr>
          <w:rFonts w:eastAsia="SimSun"/>
          <w:bCs/>
          <w:color w:val="000000"/>
          <w:lang w:eastAsia="zh-CN"/>
        </w:rPr>
        <w:t>Qi Y</w:t>
      </w:r>
      <w:r w:rsidR="005059FF" w:rsidRPr="00E173FE">
        <w:rPr>
          <w:b/>
          <w:bCs/>
          <w:color w:val="000000"/>
        </w:rPr>
        <w:t xml:space="preserve">   L-Editor</w:t>
      </w:r>
      <w:r w:rsidR="005059FF" w:rsidRPr="00E173FE">
        <w:rPr>
          <w:rFonts w:eastAsia="SimSun"/>
          <w:b/>
          <w:bCs/>
          <w:color w:val="000000"/>
          <w:lang w:eastAsia="zh-CN"/>
        </w:rPr>
        <w:t>:</w:t>
      </w:r>
      <w:r w:rsidR="005059FF" w:rsidRPr="00E173FE">
        <w:rPr>
          <w:b/>
          <w:bCs/>
          <w:color w:val="000000"/>
        </w:rPr>
        <w:t xml:space="preserve">   E-Editor</w:t>
      </w:r>
      <w:r w:rsidR="005059FF" w:rsidRPr="00E173FE">
        <w:rPr>
          <w:rFonts w:eastAsia="SimSun"/>
          <w:b/>
          <w:bCs/>
          <w:color w:val="000000"/>
          <w:lang w:eastAsia="zh-CN"/>
        </w:rPr>
        <w:t>:</w:t>
      </w:r>
    </w:p>
    <w:p w:rsidR="005059FF" w:rsidRPr="00E173FE" w:rsidRDefault="005059FF" w:rsidP="00D077F2">
      <w:pPr>
        <w:shd w:val="clear" w:color="auto" w:fill="FFFFFF"/>
        <w:snapToGrid w:val="0"/>
        <w:spacing w:after="0"/>
        <w:rPr>
          <w:rFonts w:cs="Helvetica"/>
          <w:b/>
        </w:rPr>
      </w:pPr>
      <w:r w:rsidRPr="00E173FE">
        <w:rPr>
          <w:rFonts w:cs="Helvetica"/>
          <w:b/>
        </w:rPr>
        <w:t xml:space="preserve">Specialty type: </w:t>
      </w:r>
      <w:r w:rsidRPr="00E173FE">
        <w:rPr>
          <w:rFonts w:cs="Helvetica"/>
        </w:rPr>
        <w:t>Gastroenterology and</w:t>
      </w:r>
      <w:r w:rsidRPr="00E173FE">
        <w:rPr>
          <w:rFonts w:cs="Helvetica" w:hint="eastAsia"/>
        </w:rPr>
        <w:t xml:space="preserve"> </w:t>
      </w:r>
      <w:r w:rsidRPr="00E173FE">
        <w:rPr>
          <w:rFonts w:cs="Helvetica"/>
        </w:rPr>
        <w:t>hepatology</w:t>
      </w:r>
    </w:p>
    <w:p w:rsidR="005059FF" w:rsidRPr="00E173FE" w:rsidRDefault="005059FF" w:rsidP="00D077F2">
      <w:pPr>
        <w:shd w:val="clear" w:color="auto" w:fill="FFFFFF"/>
        <w:snapToGrid w:val="0"/>
        <w:spacing w:after="0"/>
        <w:rPr>
          <w:rFonts w:cs="Helvetica"/>
          <w:b/>
        </w:rPr>
      </w:pPr>
      <w:r w:rsidRPr="00E173FE">
        <w:rPr>
          <w:rFonts w:cs="Helvetica"/>
          <w:b/>
        </w:rPr>
        <w:t xml:space="preserve">Country of origin: </w:t>
      </w:r>
      <w:r w:rsidR="00EB613E" w:rsidRPr="00E173FE">
        <w:rPr>
          <w:szCs w:val="24"/>
          <w:lang w:val="en-US"/>
        </w:rPr>
        <w:t>Spain</w:t>
      </w:r>
    </w:p>
    <w:p w:rsidR="005059FF" w:rsidRPr="00E173FE" w:rsidRDefault="005059FF" w:rsidP="00D077F2">
      <w:pPr>
        <w:shd w:val="clear" w:color="auto" w:fill="FFFFFF"/>
        <w:snapToGrid w:val="0"/>
        <w:spacing w:after="0"/>
        <w:rPr>
          <w:rFonts w:cs="Helvetica"/>
          <w:b/>
        </w:rPr>
      </w:pPr>
      <w:r w:rsidRPr="00E173FE">
        <w:rPr>
          <w:rFonts w:cs="Helvetica"/>
          <w:b/>
        </w:rPr>
        <w:t>Peer-review report classification</w:t>
      </w:r>
    </w:p>
    <w:p w:rsidR="005059FF" w:rsidRPr="00E173FE" w:rsidRDefault="005059FF" w:rsidP="00D077F2">
      <w:pPr>
        <w:shd w:val="clear" w:color="auto" w:fill="FFFFFF"/>
        <w:snapToGrid w:val="0"/>
        <w:spacing w:after="0"/>
        <w:rPr>
          <w:rFonts w:cs="Helvetica"/>
        </w:rPr>
      </w:pPr>
      <w:r w:rsidRPr="00E173FE">
        <w:rPr>
          <w:rFonts w:cs="Helvetica"/>
        </w:rPr>
        <w:t xml:space="preserve">Grade A (Excellent): </w:t>
      </w:r>
      <w:r w:rsidRPr="00E173FE">
        <w:rPr>
          <w:rFonts w:cs="Helvetica" w:hint="eastAsia"/>
        </w:rPr>
        <w:t>0</w:t>
      </w:r>
    </w:p>
    <w:p w:rsidR="005059FF" w:rsidRPr="00E173FE" w:rsidRDefault="005059FF" w:rsidP="00D077F2">
      <w:pPr>
        <w:shd w:val="clear" w:color="auto" w:fill="FFFFFF"/>
        <w:snapToGrid w:val="0"/>
        <w:spacing w:after="0"/>
        <w:rPr>
          <w:rFonts w:cs="Helvetica"/>
          <w:lang w:eastAsia="zh-CN"/>
        </w:rPr>
      </w:pPr>
      <w:r w:rsidRPr="00E173FE">
        <w:rPr>
          <w:rFonts w:cs="Helvetica"/>
        </w:rPr>
        <w:t xml:space="preserve">Grade B (Very good): </w:t>
      </w:r>
      <w:r w:rsidR="00D077F2" w:rsidRPr="00E173FE">
        <w:rPr>
          <w:rFonts w:cs="Helvetica" w:hint="eastAsia"/>
          <w:lang w:eastAsia="zh-CN"/>
        </w:rPr>
        <w:t>B</w:t>
      </w:r>
      <w:r w:rsidR="00EB613E" w:rsidRPr="00E173FE">
        <w:rPr>
          <w:rFonts w:cs="Helvetica" w:hint="eastAsia"/>
          <w:lang w:eastAsia="zh-CN"/>
        </w:rPr>
        <w:t>,</w:t>
      </w:r>
      <w:r w:rsidR="00D077F2" w:rsidRPr="00E173FE">
        <w:rPr>
          <w:rFonts w:cs="Helvetica" w:hint="eastAsia"/>
          <w:lang w:eastAsia="zh-CN"/>
        </w:rPr>
        <w:t xml:space="preserve"> </w:t>
      </w:r>
      <w:r w:rsidR="00EB613E" w:rsidRPr="00E173FE">
        <w:rPr>
          <w:rFonts w:cs="Helvetica" w:hint="eastAsia"/>
          <w:lang w:eastAsia="zh-CN"/>
        </w:rPr>
        <w:t>B</w:t>
      </w:r>
    </w:p>
    <w:p w:rsidR="005059FF" w:rsidRPr="00E173FE" w:rsidRDefault="005059FF" w:rsidP="00D077F2">
      <w:pPr>
        <w:shd w:val="clear" w:color="auto" w:fill="FFFFFF"/>
        <w:snapToGrid w:val="0"/>
        <w:spacing w:after="0"/>
        <w:rPr>
          <w:rFonts w:cs="Helvetica"/>
          <w:lang w:eastAsia="zh-CN"/>
        </w:rPr>
      </w:pPr>
      <w:r w:rsidRPr="00E173FE">
        <w:rPr>
          <w:rFonts w:cs="Helvetica"/>
        </w:rPr>
        <w:t xml:space="preserve">Grade C (Good): </w:t>
      </w:r>
      <w:r w:rsidR="006E15CC">
        <w:rPr>
          <w:rFonts w:cs="Helvetica" w:hint="eastAsia"/>
          <w:lang w:eastAsia="zh-CN"/>
        </w:rPr>
        <w:t>C</w:t>
      </w:r>
    </w:p>
    <w:p w:rsidR="005059FF" w:rsidRPr="00E173FE" w:rsidRDefault="005059FF" w:rsidP="00D077F2">
      <w:pPr>
        <w:shd w:val="clear" w:color="auto" w:fill="FFFFFF"/>
        <w:snapToGrid w:val="0"/>
        <w:spacing w:after="0"/>
        <w:rPr>
          <w:rFonts w:cs="Helvetica"/>
        </w:rPr>
      </w:pPr>
      <w:r w:rsidRPr="00E173FE">
        <w:rPr>
          <w:rFonts w:cs="Helvetica"/>
        </w:rPr>
        <w:t xml:space="preserve">Grade D (Fair): </w:t>
      </w:r>
      <w:r w:rsidRPr="00E173FE">
        <w:rPr>
          <w:rFonts w:cs="Helvetica" w:hint="eastAsia"/>
        </w:rPr>
        <w:t>0</w:t>
      </w:r>
    </w:p>
    <w:p w:rsidR="005059FF" w:rsidRPr="00E173FE" w:rsidRDefault="005059FF" w:rsidP="00D077F2">
      <w:pPr>
        <w:shd w:val="clear" w:color="auto" w:fill="FFFFFF"/>
        <w:snapToGrid w:val="0"/>
        <w:spacing w:after="0"/>
        <w:rPr>
          <w:rFonts w:cs="Helvetica"/>
        </w:rPr>
      </w:pPr>
      <w:r w:rsidRPr="00E173FE">
        <w:rPr>
          <w:rFonts w:cs="Helvetica"/>
        </w:rPr>
        <w:t xml:space="preserve">Grade E (Poor): </w:t>
      </w:r>
      <w:r w:rsidRPr="00E173FE">
        <w:rPr>
          <w:rFonts w:cs="Helvetica" w:hint="eastAsia"/>
        </w:rPr>
        <w:t>0</w:t>
      </w:r>
    </w:p>
    <w:p w:rsidR="00F4280E" w:rsidRPr="00E173FE" w:rsidRDefault="00F4280E" w:rsidP="00D077F2">
      <w:pPr>
        <w:spacing w:after="0" w:line="240" w:lineRule="auto"/>
        <w:jc w:val="left"/>
      </w:pPr>
    </w:p>
    <w:p w:rsidR="00A464B6" w:rsidRPr="00E173FE" w:rsidRDefault="00A464B6" w:rsidP="00D077F2">
      <w:pPr>
        <w:spacing w:after="0"/>
        <w:rPr>
          <w:lang w:val="en-US"/>
        </w:rPr>
      </w:pPr>
    </w:p>
    <w:p w:rsidR="00EB613E" w:rsidRPr="00E173FE" w:rsidRDefault="00EB613E" w:rsidP="00D077F2">
      <w:pPr>
        <w:spacing w:after="0" w:line="240" w:lineRule="auto"/>
        <w:jc w:val="left"/>
        <w:rPr>
          <w:rFonts w:cs="Calibri"/>
          <w:b/>
          <w:szCs w:val="24"/>
          <w:lang w:val="en-US"/>
        </w:rPr>
      </w:pPr>
      <w:r w:rsidRPr="00E173FE">
        <w:rPr>
          <w:rFonts w:cs="Calibri"/>
          <w:b/>
          <w:szCs w:val="24"/>
          <w:lang w:val="en-US"/>
        </w:rPr>
        <w:br w:type="page"/>
      </w:r>
    </w:p>
    <w:p w:rsidR="00E173FE" w:rsidRPr="00E173FE" w:rsidRDefault="00A464B6" w:rsidP="00D077F2">
      <w:pPr>
        <w:widowControl w:val="0"/>
        <w:autoSpaceDE w:val="0"/>
        <w:autoSpaceDN w:val="0"/>
        <w:adjustRightInd w:val="0"/>
        <w:spacing w:after="0"/>
        <w:rPr>
          <w:rFonts w:cs="Arial"/>
          <w:vertAlign w:val="superscript"/>
          <w:lang w:val="en-US" w:eastAsia="zh-CN"/>
        </w:rPr>
      </w:pPr>
      <w:r w:rsidRPr="00E173FE">
        <w:rPr>
          <w:rFonts w:cs="Calibri"/>
          <w:b/>
          <w:szCs w:val="24"/>
          <w:lang w:val="en-US"/>
        </w:rPr>
        <w:lastRenderedPageBreak/>
        <w:t>Table 1</w:t>
      </w:r>
      <w:r w:rsidR="00156F78" w:rsidRPr="00E173FE">
        <w:rPr>
          <w:rFonts w:cs="Calibri" w:hint="eastAsia"/>
          <w:b/>
          <w:szCs w:val="24"/>
          <w:lang w:val="en-US" w:eastAsia="zh-CN"/>
        </w:rPr>
        <w:t xml:space="preserve"> </w:t>
      </w:r>
      <w:r w:rsidRPr="00E173FE">
        <w:rPr>
          <w:rFonts w:cs="Calibri"/>
          <w:b/>
          <w:szCs w:val="24"/>
          <w:lang w:val="en-US"/>
        </w:rPr>
        <w:t>New screening criteria</w:t>
      </w:r>
      <w:r w:rsidRPr="00E173FE">
        <w:rPr>
          <w:rFonts w:cs="Calibri"/>
          <w:b/>
          <w:color w:val="262626"/>
          <w:szCs w:val="24"/>
          <w:lang w:val="en-US"/>
        </w:rPr>
        <w:t xml:space="preserve"> (</w:t>
      </w:r>
      <w:r w:rsidRPr="00E173FE">
        <w:rPr>
          <w:rFonts w:cs="Calibri"/>
          <w:b/>
          <w:szCs w:val="24"/>
          <w:lang w:val="en-US"/>
        </w:rPr>
        <w:t xml:space="preserve">Adapted from:  </w:t>
      </w:r>
      <w:proofErr w:type="spellStart"/>
      <w:r w:rsidRPr="00E173FE">
        <w:rPr>
          <w:rFonts w:cs="Calibri"/>
          <w:b/>
          <w:color w:val="262626"/>
          <w:szCs w:val="24"/>
          <w:lang w:val="en-US"/>
        </w:rPr>
        <w:t>Andermann</w:t>
      </w:r>
      <w:proofErr w:type="spellEnd"/>
      <w:r w:rsidR="00156F78" w:rsidRPr="00E173FE">
        <w:rPr>
          <w:rFonts w:cs="Calibri" w:hint="eastAsia"/>
          <w:b/>
          <w:i/>
          <w:color w:val="262626"/>
          <w:szCs w:val="24"/>
          <w:lang w:val="en-US" w:eastAsia="zh-CN"/>
        </w:rPr>
        <w:t xml:space="preserve"> </w:t>
      </w:r>
      <w:r w:rsidRPr="00E173FE">
        <w:rPr>
          <w:rFonts w:cs="Calibri"/>
          <w:b/>
          <w:i/>
          <w:color w:val="262626"/>
          <w:szCs w:val="24"/>
          <w:lang w:val="en-US"/>
        </w:rPr>
        <w:t xml:space="preserve">et </w:t>
      </w:r>
      <w:proofErr w:type="gramStart"/>
      <w:r w:rsidRPr="00E173FE">
        <w:rPr>
          <w:rFonts w:cs="Calibri"/>
          <w:b/>
          <w:i/>
          <w:color w:val="262626"/>
          <w:szCs w:val="24"/>
          <w:lang w:val="en-US"/>
        </w:rPr>
        <w:t>al</w:t>
      </w:r>
      <w:r w:rsidRPr="00E173FE">
        <w:rPr>
          <w:rFonts w:cs="Arial"/>
          <w:vertAlign w:val="superscript"/>
          <w:lang w:val="en-US"/>
        </w:rPr>
        <w:t>[</w:t>
      </w:r>
      <w:proofErr w:type="gramEnd"/>
      <w:r w:rsidRPr="00E173FE">
        <w:rPr>
          <w:rFonts w:cs="Calibri"/>
          <w:b/>
          <w:color w:val="262626"/>
          <w:szCs w:val="24"/>
          <w:vertAlign w:val="superscript"/>
          <w:lang w:val="en-US"/>
        </w:rPr>
        <w:t>9</w:t>
      </w:r>
      <w:r w:rsidRPr="00E173FE">
        <w:rPr>
          <w:rFonts w:cs="Arial"/>
          <w:vertAlign w:val="superscript"/>
          <w:lang w:val="en-US"/>
        </w:rPr>
        <w:t>]</w:t>
      </w:r>
    </w:p>
    <w:tbl>
      <w:tblPr>
        <w:tblW w:w="0" w:type="auto"/>
        <w:tblInd w:w="534" w:type="dxa"/>
        <w:tblBorders>
          <w:top w:val="single" w:sz="4" w:space="0" w:color="000000"/>
          <w:bottom w:val="single" w:sz="4" w:space="0" w:color="000000"/>
          <w:insideV w:val="single" w:sz="4" w:space="0" w:color="000000"/>
        </w:tblBorders>
        <w:tblLook w:val="00A0" w:firstRow="1" w:lastRow="0" w:firstColumn="1" w:lastColumn="0" w:noHBand="0" w:noVBand="0"/>
      </w:tblPr>
      <w:tblGrid>
        <w:gridCol w:w="7371"/>
      </w:tblGrid>
      <w:tr w:rsidR="00156F78" w:rsidRPr="00E173FE" w:rsidTr="00156F78">
        <w:tc>
          <w:tcPr>
            <w:tcW w:w="7371"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n-US" w:eastAsia="es-ES"/>
              </w:rPr>
            </w:pPr>
            <w:r w:rsidRPr="00E173FE">
              <w:rPr>
                <w:rFonts w:cs="Helvetica"/>
                <w:b/>
                <w:bCs/>
                <w:color w:val="000000" w:themeColor="text1"/>
                <w:szCs w:val="24"/>
                <w:lang w:val="en-US" w:eastAsia="es-ES"/>
              </w:rPr>
              <w:t xml:space="preserve">Emerging screening criteria proposed after Wilson and </w:t>
            </w:r>
            <w:proofErr w:type="spellStart"/>
            <w:r w:rsidRPr="00E173FE">
              <w:rPr>
                <w:rFonts w:cs="Helvetica"/>
                <w:b/>
                <w:bCs/>
                <w:color w:val="000000" w:themeColor="text1"/>
                <w:szCs w:val="24"/>
                <w:lang w:val="en-US" w:eastAsia="es-ES"/>
              </w:rPr>
              <w:t>Junger</w:t>
            </w:r>
            <w:proofErr w:type="spellEnd"/>
            <w:r w:rsidRPr="00E173FE">
              <w:rPr>
                <w:rFonts w:cs="Helvetica"/>
                <w:b/>
                <w:bCs/>
                <w:color w:val="000000" w:themeColor="text1"/>
                <w:szCs w:val="24"/>
                <w:lang w:val="en-US" w:eastAsia="es-ES"/>
              </w:rPr>
              <w:t xml:space="preserve"> principles</w:t>
            </w:r>
          </w:p>
        </w:tc>
      </w:tr>
      <w:tr w:rsidR="00156F78" w:rsidRPr="00E173FE" w:rsidTr="00156F78">
        <w:tc>
          <w:tcPr>
            <w:tcW w:w="7371" w:type="dxa"/>
            <w:tcBorders>
              <w:top w:val="single" w:sz="4" w:space="0" w:color="000000"/>
            </w:tcBorders>
            <w:shd w:val="clear" w:color="auto" w:fill="auto"/>
          </w:tcPr>
          <w:p w:rsidR="00A464B6" w:rsidRPr="00E173FE" w:rsidRDefault="00A464B6" w:rsidP="00D077F2">
            <w:pPr>
              <w:widowControl w:val="0"/>
              <w:autoSpaceDE w:val="0"/>
              <w:autoSpaceDN w:val="0"/>
              <w:adjustRightInd w:val="0"/>
              <w:spacing w:after="0"/>
              <w:rPr>
                <w:rFonts w:cs="Helvetica"/>
                <w:bCs/>
                <w:color w:val="000000" w:themeColor="text1"/>
                <w:szCs w:val="24"/>
                <w:lang w:val="en-US" w:eastAsia="es-ES"/>
              </w:rPr>
            </w:pPr>
            <w:r w:rsidRPr="00E173FE">
              <w:rPr>
                <w:rFonts w:cs="Helvetica"/>
                <w:bCs/>
                <w:color w:val="000000" w:themeColor="text1"/>
                <w:szCs w:val="24"/>
                <w:lang w:val="en-US" w:eastAsia="es-ES"/>
              </w:rPr>
              <w:t xml:space="preserve">The screening </w:t>
            </w:r>
            <w:proofErr w:type="spellStart"/>
            <w:r w:rsidRPr="00E173FE">
              <w:rPr>
                <w:rFonts w:cs="Helvetica"/>
                <w:bCs/>
                <w:color w:val="000000" w:themeColor="text1"/>
                <w:szCs w:val="24"/>
                <w:lang w:val="en-US" w:eastAsia="es-ES"/>
              </w:rPr>
              <w:t>programme</w:t>
            </w:r>
            <w:proofErr w:type="spellEnd"/>
            <w:r w:rsidRPr="00E173FE">
              <w:rPr>
                <w:rFonts w:cs="Helvetica"/>
                <w:bCs/>
                <w:color w:val="000000" w:themeColor="text1"/>
                <w:szCs w:val="24"/>
                <w:lang w:val="en-US" w:eastAsia="es-ES"/>
              </w:rPr>
              <w:t xml:space="preserve"> should respond to a recognized need.</w:t>
            </w:r>
          </w:p>
        </w:tc>
      </w:tr>
      <w:tr w:rsidR="00156F78" w:rsidRPr="00E173FE" w:rsidTr="00156F78">
        <w:tc>
          <w:tcPr>
            <w:tcW w:w="7371" w:type="dxa"/>
            <w:shd w:val="clear" w:color="auto" w:fill="auto"/>
          </w:tcPr>
          <w:p w:rsidR="00A464B6" w:rsidRPr="00E173FE" w:rsidRDefault="00A464B6" w:rsidP="00D077F2">
            <w:pPr>
              <w:widowControl w:val="0"/>
              <w:autoSpaceDE w:val="0"/>
              <w:autoSpaceDN w:val="0"/>
              <w:adjustRightInd w:val="0"/>
              <w:spacing w:after="0"/>
              <w:rPr>
                <w:rFonts w:cs="Helvetica"/>
                <w:bCs/>
                <w:color w:val="000000" w:themeColor="text1"/>
                <w:szCs w:val="24"/>
                <w:lang w:val="en-US" w:eastAsia="es-ES"/>
              </w:rPr>
            </w:pPr>
            <w:r w:rsidRPr="00E173FE">
              <w:rPr>
                <w:rFonts w:cs="Helvetica"/>
                <w:bCs/>
                <w:color w:val="000000" w:themeColor="text1"/>
                <w:szCs w:val="24"/>
                <w:lang w:val="en-US" w:eastAsia="es-ES"/>
              </w:rPr>
              <w:t xml:space="preserve">The objectives of screening should be defined at the outset. </w:t>
            </w:r>
          </w:p>
        </w:tc>
      </w:tr>
      <w:tr w:rsidR="00156F78" w:rsidRPr="00E173FE" w:rsidTr="00156F78">
        <w:tc>
          <w:tcPr>
            <w:tcW w:w="7371" w:type="dxa"/>
            <w:shd w:val="clear" w:color="auto" w:fill="auto"/>
          </w:tcPr>
          <w:p w:rsidR="00A464B6" w:rsidRPr="00E173FE" w:rsidRDefault="00A464B6" w:rsidP="00D077F2">
            <w:pPr>
              <w:widowControl w:val="0"/>
              <w:autoSpaceDE w:val="0"/>
              <w:autoSpaceDN w:val="0"/>
              <w:adjustRightInd w:val="0"/>
              <w:spacing w:after="0"/>
              <w:rPr>
                <w:rFonts w:cs="Helvetica"/>
                <w:bCs/>
                <w:color w:val="000000" w:themeColor="text1"/>
                <w:szCs w:val="24"/>
                <w:lang w:val="en-US" w:eastAsia="es-ES"/>
              </w:rPr>
            </w:pPr>
            <w:r w:rsidRPr="00E173FE">
              <w:rPr>
                <w:rFonts w:cs="Helvetica"/>
                <w:bCs/>
                <w:color w:val="000000" w:themeColor="text1"/>
                <w:szCs w:val="24"/>
                <w:lang w:val="en-US" w:eastAsia="es-ES"/>
              </w:rPr>
              <w:t xml:space="preserve">There should be a defined target population. </w:t>
            </w:r>
          </w:p>
        </w:tc>
      </w:tr>
      <w:tr w:rsidR="00156F78" w:rsidRPr="00E173FE" w:rsidTr="00156F78">
        <w:tc>
          <w:tcPr>
            <w:tcW w:w="7371" w:type="dxa"/>
            <w:shd w:val="clear" w:color="auto" w:fill="auto"/>
          </w:tcPr>
          <w:p w:rsidR="00A464B6" w:rsidRPr="00E173FE" w:rsidRDefault="00A464B6" w:rsidP="00D077F2">
            <w:pPr>
              <w:widowControl w:val="0"/>
              <w:autoSpaceDE w:val="0"/>
              <w:autoSpaceDN w:val="0"/>
              <w:adjustRightInd w:val="0"/>
              <w:spacing w:after="0"/>
              <w:rPr>
                <w:rFonts w:cs="Helvetica"/>
                <w:bCs/>
                <w:color w:val="000000" w:themeColor="text1"/>
                <w:szCs w:val="24"/>
                <w:lang w:val="en-US" w:eastAsia="es-ES"/>
              </w:rPr>
            </w:pPr>
            <w:r w:rsidRPr="00E173FE">
              <w:rPr>
                <w:rFonts w:cs="Helvetica"/>
                <w:bCs/>
                <w:color w:val="000000" w:themeColor="text1"/>
                <w:szCs w:val="24"/>
                <w:lang w:val="en-US" w:eastAsia="es-ES"/>
              </w:rPr>
              <w:t xml:space="preserve">There should be scientific evidence of screening </w:t>
            </w:r>
            <w:proofErr w:type="spellStart"/>
            <w:r w:rsidRPr="00E173FE">
              <w:rPr>
                <w:rFonts w:cs="Helvetica"/>
                <w:bCs/>
                <w:color w:val="000000" w:themeColor="text1"/>
                <w:szCs w:val="24"/>
                <w:lang w:val="en-US" w:eastAsia="es-ES"/>
              </w:rPr>
              <w:t>programme</w:t>
            </w:r>
            <w:proofErr w:type="spellEnd"/>
            <w:r w:rsidRPr="00E173FE">
              <w:rPr>
                <w:rFonts w:cs="Helvetica"/>
                <w:bCs/>
                <w:color w:val="000000" w:themeColor="text1"/>
                <w:szCs w:val="24"/>
                <w:lang w:val="en-US" w:eastAsia="es-ES"/>
              </w:rPr>
              <w:t xml:space="preserve"> effectiveness. </w:t>
            </w:r>
          </w:p>
        </w:tc>
      </w:tr>
      <w:tr w:rsidR="00156F78" w:rsidRPr="00E173FE" w:rsidTr="00156F78">
        <w:tc>
          <w:tcPr>
            <w:tcW w:w="7371" w:type="dxa"/>
            <w:shd w:val="clear" w:color="auto" w:fill="auto"/>
          </w:tcPr>
          <w:p w:rsidR="00A464B6" w:rsidRPr="00E173FE" w:rsidRDefault="00A464B6" w:rsidP="00D077F2">
            <w:pPr>
              <w:widowControl w:val="0"/>
              <w:autoSpaceDE w:val="0"/>
              <w:autoSpaceDN w:val="0"/>
              <w:adjustRightInd w:val="0"/>
              <w:spacing w:after="0"/>
              <w:rPr>
                <w:rFonts w:cs="Helvetica"/>
                <w:bCs/>
                <w:color w:val="000000" w:themeColor="text1"/>
                <w:szCs w:val="24"/>
                <w:lang w:val="en-US" w:eastAsia="es-ES"/>
              </w:rPr>
            </w:pPr>
            <w:r w:rsidRPr="00E173FE">
              <w:rPr>
                <w:rFonts w:cs="Helvetica"/>
                <w:bCs/>
                <w:color w:val="000000" w:themeColor="text1"/>
                <w:szCs w:val="24"/>
                <w:lang w:val="en-US" w:eastAsia="es-ES"/>
              </w:rPr>
              <w:t xml:space="preserve">The </w:t>
            </w:r>
            <w:proofErr w:type="spellStart"/>
            <w:r w:rsidRPr="00E173FE">
              <w:rPr>
                <w:rFonts w:cs="Helvetica"/>
                <w:bCs/>
                <w:color w:val="000000" w:themeColor="text1"/>
                <w:szCs w:val="24"/>
                <w:lang w:val="en-US" w:eastAsia="es-ES"/>
              </w:rPr>
              <w:t>programme</w:t>
            </w:r>
            <w:proofErr w:type="spellEnd"/>
            <w:r w:rsidRPr="00E173FE">
              <w:rPr>
                <w:rFonts w:cs="Helvetica"/>
                <w:bCs/>
                <w:color w:val="000000" w:themeColor="text1"/>
                <w:szCs w:val="24"/>
                <w:lang w:val="en-US" w:eastAsia="es-ES"/>
              </w:rPr>
              <w:t xml:space="preserve"> should integrate education, testing, clinical services and </w:t>
            </w:r>
            <w:proofErr w:type="spellStart"/>
            <w:r w:rsidRPr="00E173FE">
              <w:rPr>
                <w:rFonts w:cs="Helvetica"/>
                <w:bCs/>
                <w:color w:val="000000" w:themeColor="text1"/>
                <w:szCs w:val="24"/>
                <w:lang w:val="en-US" w:eastAsia="es-ES"/>
              </w:rPr>
              <w:t>programme</w:t>
            </w:r>
            <w:proofErr w:type="spellEnd"/>
            <w:r w:rsidRPr="00E173FE">
              <w:rPr>
                <w:rFonts w:cs="Helvetica"/>
                <w:bCs/>
                <w:color w:val="000000" w:themeColor="text1"/>
                <w:szCs w:val="24"/>
                <w:lang w:val="en-US" w:eastAsia="es-ES"/>
              </w:rPr>
              <w:t xml:space="preserve"> management. </w:t>
            </w:r>
          </w:p>
        </w:tc>
      </w:tr>
      <w:tr w:rsidR="00156F78" w:rsidRPr="00E173FE" w:rsidTr="00156F78">
        <w:tc>
          <w:tcPr>
            <w:tcW w:w="7371" w:type="dxa"/>
            <w:shd w:val="clear" w:color="auto" w:fill="auto"/>
          </w:tcPr>
          <w:p w:rsidR="00A464B6" w:rsidRPr="00E173FE" w:rsidRDefault="00A464B6" w:rsidP="00D077F2">
            <w:pPr>
              <w:widowControl w:val="0"/>
              <w:autoSpaceDE w:val="0"/>
              <w:autoSpaceDN w:val="0"/>
              <w:adjustRightInd w:val="0"/>
              <w:spacing w:after="0"/>
              <w:rPr>
                <w:rFonts w:cs="Helvetica"/>
                <w:bCs/>
                <w:color w:val="000000" w:themeColor="text1"/>
                <w:szCs w:val="24"/>
                <w:lang w:val="en-US" w:eastAsia="es-ES"/>
              </w:rPr>
            </w:pPr>
            <w:r w:rsidRPr="00E173FE">
              <w:rPr>
                <w:rFonts w:cs="Helvetica"/>
                <w:bCs/>
                <w:color w:val="000000" w:themeColor="text1"/>
                <w:szCs w:val="24"/>
                <w:lang w:val="en-US" w:eastAsia="es-ES"/>
              </w:rPr>
              <w:t xml:space="preserve">There should be quality assurance, with mechanisms to minimize potential risks of screening. </w:t>
            </w:r>
          </w:p>
        </w:tc>
      </w:tr>
      <w:tr w:rsidR="00156F78" w:rsidRPr="00E173FE" w:rsidTr="00156F78">
        <w:tc>
          <w:tcPr>
            <w:tcW w:w="7371" w:type="dxa"/>
            <w:shd w:val="clear" w:color="auto" w:fill="auto"/>
          </w:tcPr>
          <w:p w:rsidR="00A464B6" w:rsidRPr="00E173FE" w:rsidRDefault="00A464B6" w:rsidP="00D077F2">
            <w:pPr>
              <w:widowControl w:val="0"/>
              <w:autoSpaceDE w:val="0"/>
              <w:autoSpaceDN w:val="0"/>
              <w:adjustRightInd w:val="0"/>
              <w:spacing w:after="0"/>
              <w:rPr>
                <w:rFonts w:cs="Helvetica"/>
                <w:bCs/>
                <w:color w:val="000000" w:themeColor="text1"/>
                <w:szCs w:val="24"/>
                <w:lang w:val="en-US" w:eastAsia="es-ES"/>
              </w:rPr>
            </w:pPr>
            <w:r w:rsidRPr="00E173FE">
              <w:rPr>
                <w:rFonts w:cs="Helvetica"/>
                <w:bCs/>
                <w:color w:val="000000" w:themeColor="text1"/>
                <w:szCs w:val="24"/>
                <w:lang w:val="en-US" w:eastAsia="es-ES"/>
              </w:rPr>
              <w:t xml:space="preserve">The </w:t>
            </w:r>
            <w:proofErr w:type="spellStart"/>
            <w:r w:rsidRPr="00E173FE">
              <w:rPr>
                <w:rFonts w:cs="Helvetica"/>
                <w:bCs/>
                <w:color w:val="000000" w:themeColor="text1"/>
                <w:szCs w:val="24"/>
                <w:lang w:val="en-US" w:eastAsia="es-ES"/>
              </w:rPr>
              <w:t>programme</w:t>
            </w:r>
            <w:proofErr w:type="spellEnd"/>
            <w:r w:rsidRPr="00E173FE">
              <w:rPr>
                <w:rFonts w:cs="Helvetica"/>
                <w:bCs/>
                <w:color w:val="000000" w:themeColor="text1"/>
                <w:szCs w:val="24"/>
                <w:lang w:val="en-US" w:eastAsia="es-ES"/>
              </w:rPr>
              <w:t xml:space="preserve"> should ensure informed choice, confidentiality and respect for autonomy. </w:t>
            </w:r>
          </w:p>
        </w:tc>
      </w:tr>
      <w:tr w:rsidR="00156F78" w:rsidRPr="00E173FE" w:rsidTr="00156F78">
        <w:tc>
          <w:tcPr>
            <w:tcW w:w="7371" w:type="dxa"/>
            <w:shd w:val="clear" w:color="auto" w:fill="auto"/>
          </w:tcPr>
          <w:p w:rsidR="00A464B6" w:rsidRPr="00E173FE" w:rsidRDefault="00A464B6" w:rsidP="00D077F2">
            <w:pPr>
              <w:widowControl w:val="0"/>
              <w:autoSpaceDE w:val="0"/>
              <w:autoSpaceDN w:val="0"/>
              <w:adjustRightInd w:val="0"/>
              <w:spacing w:after="0"/>
              <w:rPr>
                <w:rFonts w:cs="Helvetica"/>
                <w:bCs/>
                <w:color w:val="000000" w:themeColor="text1"/>
                <w:szCs w:val="24"/>
                <w:lang w:val="en-US" w:eastAsia="es-ES"/>
              </w:rPr>
            </w:pPr>
            <w:r w:rsidRPr="00E173FE">
              <w:rPr>
                <w:rFonts w:cs="Helvetica"/>
                <w:bCs/>
                <w:color w:val="000000" w:themeColor="text1"/>
                <w:szCs w:val="24"/>
                <w:lang w:val="en-US" w:eastAsia="es-ES"/>
              </w:rPr>
              <w:t xml:space="preserve">The </w:t>
            </w:r>
            <w:proofErr w:type="spellStart"/>
            <w:r w:rsidRPr="00E173FE">
              <w:rPr>
                <w:rFonts w:cs="Helvetica"/>
                <w:bCs/>
                <w:color w:val="000000" w:themeColor="text1"/>
                <w:szCs w:val="24"/>
                <w:lang w:val="en-US" w:eastAsia="es-ES"/>
              </w:rPr>
              <w:t>programme</w:t>
            </w:r>
            <w:proofErr w:type="spellEnd"/>
            <w:r w:rsidRPr="00E173FE">
              <w:rPr>
                <w:rFonts w:cs="Helvetica"/>
                <w:bCs/>
                <w:color w:val="000000" w:themeColor="text1"/>
                <w:szCs w:val="24"/>
                <w:lang w:val="en-US" w:eastAsia="es-ES"/>
              </w:rPr>
              <w:t xml:space="preserve"> should promote equity and access to screening for the entire target population. </w:t>
            </w:r>
          </w:p>
        </w:tc>
      </w:tr>
      <w:tr w:rsidR="00156F78" w:rsidRPr="00E173FE" w:rsidTr="00156F78">
        <w:tc>
          <w:tcPr>
            <w:tcW w:w="7371" w:type="dxa"/>
            <w:shd w:val="clear" w:color="auto" w:fill="auto"/>
          </w:tcPr>
          <w:p w:rsidR="00A464B6" w:rsidRPr="00E173FE" w:rsidRDefault="00A464B6" w:rsidP="00D077F2">
            <w:pPr>
              <w:widowControl w:val="0"/>
              <w:autoSpaceDE w:val="0"/>
              <w:autoSpaceDN w:val="0"/>
              <w:adjustRightInd w:val="0"/>
              <w:spacing w:after="0"/>
              <w:rPr>
                <w:rFonts w:cs="Helvetica"/>
                <w:bCs/>
                <w:color w:val="000000" w:themeColor="text1"/>
                <w:szCs w:val="24"/>
                <w:lang w:val="en-US" w:eastAsia="es-ES"/>
              </w:rPr>
            </w:pPr>
            <w:proofErr w:type="spellStart"/>
            <w:r w:rsidRPr="00E173FE">
              <w:rPr>
                <w:rFonts w:cs="Helvetica"/>
                <w:bCs/>
                <w:color w:val="000000" w:themeColor="text1"/>
                <w:szCs w:val="24"/>
                <w:lang w:val="en-US" w:eastAsia="es-ES"/>
              </w:rPr>
              <w:t>Programme</w:t>
            </w:r>
            <w:proofErr w:type="spellEnd"/>
            <w:r w:rsidRPr="00E173FE">
              <w:rPr>
                <w:rFonts w:cs="Helvetica"/>
                <w:bCs/>
                <w:color w:val="000000" w:themeColor="text1"/>
                <w:szCs w:val="24"/>
                <w:lang w:val="en-US" w:eastAsia="es-ES"/>
              </w:rPr>
              <w:t xml:space="preserve"> evaluation should be planned from the outset. </w:t>
            </w:r>
          </w:p>
        </w:tc>
      </w:tr>
      <w:tr w:rsidR="00156F78" w:rsidRPr="00E173FE" w:rsidTr="00156F78">
        <w:tc>
          <w:tcPr>
            <w:tcW w:w="7371" w:type="dxa"/>
            <w:shd w:val="clear" w:color="auto" w:fill="auto"/>
          </w:tcPr>
          <w:p w:rsidR="00A464B6" w:rsidRPr="00E173FE" w:rsidRDefault="00A464B6" w:rsidP="00D077F2">
            <w:pPr>
              <w:spacing w:after="0"/>
              <w:rPr>
                <w:bCs/>
                <w:color w:val="000000" w:themeColor="text1"/>
                <w:szCs w:val="24"/>
                <w:lang w:val="en-US" w:eastAsia="es-ES"/>
              </w:rPr>
            </w:pPr>
            <w:r w:rsidRPr="00E173FE">
              <w:rPr>
                <w:rFonts w:cs="Helvetica"/>
                <w:bCs/>
                <w:color w:val="000000" w:themeColor="text1"/>
                <w:szCs w:val="24"/>
                <w:lang w:val="en-US" w:eastAsia="es-ES"/>
              </w:rPr>
              <w:t>The overall benefits of screening should outweigh the harm</w:t>
            </w:r>
          </w:p>
        </w:tc>
      </w:tr>
    </w:tbl>
    <w:p w:rsidR="00A464B6" w:rsidRPr="00E173FE" w:rsidRDefault="00A464B6" w:rsidP="00D077F2">
      <w:pPr>
        <w:spacing w:after="0"/>
        <w:rPr>
          <w:b/>
          <w:bCs/>
          <w:lang w:val="en-US"/>
        </w:rPr>
      </w:pPr>
    </w:p>
    <w:p w:rsidR="00A464B6" w:rsidRPr="00E173FE" w:rsidRDefault="00A464B6" w:rsidP="00D077F2">
      <w:pPr>
        <w:spacing w:after="0" w:line="240" w:lineRule="auto"/>
        <w:rPr>
          <w:b/>
          <w:bCs/>
          <w:lang w:val="en-US"/>
        </w:rPr>
      </w:pPr>
      <w:r w:rsidRPr="00E173FE">
        <w:rPr>
          <w:b/>
          <w:bCs/>
          <w:lang w:val="en-US"/>
        </w:rPr>
        <w:br w:type="page"/>
      </w:r>
    </w:p>
    <w:p w:rsidR="00A464B6" w:rsidRPr="00E173FE" w:rsidRDefault="00A464B6" w:rsidP="00D077F2">
      <w:pPr>
        <w:spacing w:after="0"/>
        <w:rPr>
          <w:b/>
          <w:bCs/>
          <w:lang w:val="en-US"/>
        </w:rPr>
        <w:sectPr w:rsidR="00A464B6" w:rsidRPr="00E173FE" w:rsidSect="00F239A3">
          <w:pgSz w:w="11906" w:h="16838"/>
          <w:pgMar w:top="1134" w:right="1418" w:bottom="1134" w:left="1418" w:header="708" w:footer="708" w:gutter="0"/>
          <w:cols w:space="708"/>
          <w:docGrid w:linePitch="360"/>
        </w:sectPr>
      </w:pPr>
    </w:p>
    <w:p w:rsidR="00A464B6" w:rsidRPr="00E173FE" w:rsidRDefault="00A464B6" w:rsidP="00D077F2">
      <w:pPr>
        <w:spacing w:after="0"/>
        <w:rPr>
          <w:lang w:val="en-US" w:eastAsia="zh-CN"/>
        </w:rPr>
      </w:pPr>
      <w:r w:rsidRPr="00E173FE">
        <w:rPr>
          <w:b/>
          <w:bCs/>
          <w:lang w:val="en-US"/>
        </w:rPr>
        <w:lastRenderedPageBreak/>
        <w:t>Table 2</w:t>
      </w:r>
      <w:r w:rsidR="00156F78" w:rsidRPr="00E173FE">
        <w:rPr>
          <w:rFonts w:hint="eastAsia"/>
          <w:b/>
          <w:bCs/>
          <w:lang w:val="en-US" w:eastAsia="zh-CN"/>
        </w:rPr>
        <w:t xml:space="preserve"> </w:t>
      </w:r>
      <w:r w:rsidRPr="00E173FE">
        <w:rPr>
          <w:b/>
          <w:lang w:val="en-US"/>
        </w:rPr>
        <w:t>Results of European Screening Programs</w:t>
      </w:r>
    </w:p>
    <w:tbl>
      <w:tblPr>
        <w:tblW w:w="0" w:type="auto"/>
        <w:tblBorders>
          <w:top w:val="single" w:sz="4" w:space="0" w:color="000000"/>
          <w:bottom w:val="single" w:sz="4" w:space="0" w:color="000000"/>
        </w:tblBorders>
        <w:tblLayout w:type="fixed"/>
        <w:tblLook w:val="00A0" w:firstRow="1" w:lastRow="0" w:firstColumn="1" w:lastColumn="0" w:noHBand="0" w:noVBand="0"/>
      </w:tblPr>
      <w:tblGrid>
        <w:gridCol w:w="2074"/>
        <w:gridCol w:w="1617"/>
        <w:gridCol w:w="1038"/>
        <w:gridCol w:w="1475"/>
        <w:gridCol w:w="1166"/>
        <w:gridCol w:w="1332"/>
        <w:gridCol w:w="1546"/>
        <w:gridCol w:w="1452"/>
        <w:gridCol w:w="1875"/>
        <w:gridCol w:w="1211"/>
      </w:tblGrid>
      <w:tr w:rsidR="00156F78" w:rsidRPr="00E173FE" w:rsidTr="00156F78">
        <w:trPr>
          <w:trHeight w:val="465"/>
        </w:trPr>
        <w:tc>
          <w:tcPr>
            <w:tcW w:w="2074"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n-US" w:eastAsia="ja-JP" w:bidi="he-IL"/>
              </w:rPr>
            </w:pPr>
            <w:r w:rsidRPr="00E173FE">
              <w:rPr>
                <w:b/>
                <w:bCs/>
                <w:color w:val="000000" w:themeColor="text1"/>
                <w:szCs w:val="24"/>
                <w:lang w:val="en-US" w:eastAsia="ja-JP" w:bidi="he-IL"/>
              </w:rPr>
              <w:t>Country</w:t>
            </w:r>
          </w:p>
        </w:tc>
        <w:tc>
          <w:tcPr>
            <w:tcW w:w="1617"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n-US" w:eastAsia="ja-JP" w:bidi="he-IL"/>
              </w:rPr>
            </w:pPr>
            <w:r w:rsidRPr="00E173FE">
              <w:rPr>
                <w:b/>
                <w:bCs/>
                <w:color w:val="000000" w:themeColor="text1"/>
                <w:szCs w:val="24"/>
                <w:lang w:val="en-US" w:eastAsia="ja-JP" w:bidi="he-IL"/>
              </w:rPr>
              <w:t>Netherlands</w:t>
            </w:r>
          </w:p>
        </w:tc>
        <w:tc>
          <w:tcPr>
            <w:tcW w:w="1038"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n-US" w:eastAsia="ja-JP" w:bidi="he-IL"/>
              </w:rPr>
            </w:pPr>
            <w:r w:rsidRPr="00E173FE">
              <w:rPr>
                <w:b/>
                <w:bCs/>
                <w:color w:val="000000" w:themeColor="text1"/>
                <w:szCs w:val="24"/>
                <w:lang w:val="en-US" w:eastAsia="ja-JP" w:bidi="he-IL"/>
              </w:rPr>
              <w:t>Italy</w:t>
            </w:r>
          </w:p>
        </w:tc>
        <w:tc>
          <w:tcPr>
            <w:tcW w:w="1475"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n-US" w:eastAsia="ja-JP" w:bidi="he-IL"/>
              </w:rPr>
            </w:pPr>
            <w:r w:rsidRPr="00E173FE">
              <w:rPr>
                <w:b/>
                <w:bCs/>
                <w:color w:val="000000" w:themeColor="text1"/>
                <w:szCs w:val="24"/>
                <w:lang w:val="en-US" w:eastAsia="ja-JP" w:bidi="he-IL"/>
              </w:rPr>
              <w:t>Ireland</w:t>
            </w:r>
          </w:p>
        </w:tc>
        <w:tc>
          <w:tcPr>
            <w:tcW w:w="1166"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n-US" w:eastAsia="ja-JP" w:bidi="he-IL"/>
              </w:rPr>
            </w:pPr>
            <w:r w:rsidRPr="00E173FE">
              <w:rPr>
                <w:b/>
                <w:bCs/>
                <w:color w:val="000000" w:themeColor="text1"/>
                <w:szCs w:val="24"/>
                <w:lang w:val="en-US" w:eastAsia="ja-JP" w:bidi="he-IL"/>
              </w:rPr>
              <w:t>Lithuania</w:t>
            </w:r>
          </w:p>
        </w:tc>
        <w:tc>
          <w:tcPr>
            <w:tcW w:w="1332"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n-US" w:eastAsia="ja-JP" w:bidi="he-IL"/>
              </w:rPr>
            </w:pPr>
            <w:r w:rsidRPr="00E173FE">
              <w:rPr>
                <w:b/>
                <w:bCs/>
                <w:color w:val="000000" w:themeColor="text1"/>
                <w:szCs w:val="24"/>
                <w:lang w:val="en-US" w:eastAsia="ja-JP" w:bidi="he-IL"/>
              </w:rPr>
              <w:t>Croatia</w:t>
            </w:r>
          </w:p>
        </w:tc>
        <w:tc>
          <w:tcPr>
            <w:tcW w:w="1546"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n-US" w:eastAsia="ja-JP" w:bidi="he-IL"/>
              </w:rPr>
            </w:pPr>
            <w:r w:rsidRPr="00E173FE">
              <w:rPr>
                <w:b/>
                <w:bCs/>
                <w:color w:val="000000" w:themeColor="text1"/>
                <w:szCs w:val="24"/>
                <w:lang w:val="en-US" w:eastAsia="ja-JP" w:bidi="he-IL"/>
              </w:rPr>
              <w:t>Czech Republic</w:t>
            </w:r>
          </w:p>
        </w:tc>
        <w:tc>
          <w:tcPr>
            <w:tcW w:w="1452"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n-US" w:eastAsia="ja-JP" w:bidi="he-IL"/>
              </w:rPr>
            </w:pPr>
            <w:r w:rsidRPr="00E173FE">
              <w:rPr>
                <w:b/>
                <w:bCs/>
                <w:color w:val="000000" w:themeColor="text1"/>
                <w:szCs w:val="24"/>
                <w:lang w:val="en-US" w:eastAsia="ja-JP" w:bidi="he-IL"/>
              </w:rPr>
              <w:t>Slovenia</w:t>
            </w:r>
          </w:p>
        </w:tc>
        <w:tc>
          <w:tcPr>
            <w:tcW w:w="1875"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s-ES_tradnl" w:eastAsia="ja-JP" w:bidi="he-IL"/>
              </w:rPr>
            </w:pPr>
            <w:proofErr w:type="spellStart"/>
            <w:r w:rsidRPr="00E173FE">
              <w:rPr>
                <w:b/>
                <w:bCs/>
                <w:color w:val="000000" w:themeColor="text1"/>
                <w:szCs w:val="24"/>
                <w:lang w:val="en-US" w:eastAsia="ja-JP" w:bidi="he-IL"/>
              </w:rPr>
              <w:t>Eng</w:t>
            </w:r>
            <w:r w:rsidRPr="00E173FE">
              <w:rPr>
                <w:b/>
                <w:bCs/>
                <w:color w:val="000000" w:themeColor="text1"/>
                <w:szCs w:val="24"/>
                <w:lang w:val="es-ES_tradnl" w:eastAsia="ja-JP" w:bidi="he-IL"/>
              </w:rPr>
              <w:t>land</w:t>
            </w:r>
            <w:proofErr w:type="spellEnd"/>
          </w:p>
        </w:tc>
        <w:tc>
          <w:tcPr>
            <w:tcW w:w="1211" w:type="dxa"/>
            <w:tcBorders>
              <w:top w:val="single" w:sz="4" w:space="0" w:color="000000"/>
              <w:bottom w:val="single" w:sz="4" w:space="0" w:color="000000"/>
            </w:tcBorders>
            <w:shd w:val="clear" w:color="auto" w:fill="auto"/>
          </w:tcPr>
          <w:p w:rsidR="00A464B6" w:rsidRPr="00E173FE" w:rsidRDefault="00A464B6" w:rsidP="00D077F2">
            <w:pPr>
              <w:spacing w:after="0"/>
              <w:rPr>
                <w:b/>
                <w:bCs/>
                <w:color w:val="000000" w:themeColor="text1"/>
                <w:szCs w:val="24"/>
                <w:lang w:val="es-ES_tradnl" w:eastAsia="ja-JP" w:bidi="he-IL"/>
              </w:rPr>
            </w:pPr>
            <w:r w:rsidRPr="00E173FE">
              <w:rPr>
                <w:b/>
                <w:bCs/>
                <w:color w:val="000000" w:themeColor="text1"/>
                <w:szCs w:val="24"/>
                <w:lang w:val="es-ES_tradnl" w:eastAsia="ja-JP" w:bidi="he-IL"/>
              </w:rPr>
              <w:t>France</w:t>
            </w:r>
          </w:p>
        </w:tc>
      </w:tr>
      <w:tr w:rsidR="00A464B6" w:rsidRPr="00E173FE" w:rsidTr="00156F78">
        <w:trPr>
          <w:trHeight w:val="241"/>
        </w:trPr>
        <w:tc>
          <w:tcPr>
            <w:tcW w:w="2074" w:type="dxa"/>
            <w:tcBorders>
              <w:top w:val="single" w:sz="4" w:space="0" w:color="000000"/>
            </w:tcBorders>
            <w:shd w:val="clear" w:color="auto" w:fill="auto"/>
          </w:tcPr>
          <w:p w:rsidR="00A464B6" w:rsidRPr="00E173FE" w:rsidRDefault="00A464B6" w:rsidP="00D077F2">
            <w:pPr>
              <w:spacing w:after="0"/>
              <w:rPr>
                <w:bCs/>
                <w:color w:val="000000"/>
                <w:szCs w:val="24"/>
                <w:lang w:val="es-ES_tradnl" w:eastAsia="ja-JP" w:bidi="he-IL"/>
              </w:rPr>
            </w:pPr>
            <w:r w:rsidRPr="00E173FE">
              <w:rPr>
                <w:bCs/>
                <w:color w:val="000000"/>
                <w:szCs w:val="24"/>
                <w:lang w:val="es-ES_tradnl" w:eastAsia="ja-JP" w:bidi="he-IL"/>
              </w:rPr>
              <w:t>ASRi</w:t>
            </w:r>
          </w:p>
        </w:tc>
        <w:tc>
          <w:tcPr>
            <w:tcW w:w="1617" w:type="dxa"/>
            <w:tcBorders>
              <w:top w:val="single" w:sz="4" w:space="0" w:color="000000"/>
            </w:tcBorders>
            <w:shd w:val="clear" w:color="auto" w:fill="auto"/>
          </w:tcPr>
          <w:p w:rsidR="00A464B6" w:rsidRPr="00E173FE" w:rsidRDefault="00156F78" w:rsidP="00D077F2">
            <w:pPr>
              <w:spacing w:after="0"/>
              <w:rPr>
                <w:szCs w:val="24"/>
                <w:lang w:val="es-ES_tradnl" w:eastAsia="ja-JP" w:bidi="he-IL"/>
              </w:rPr>
            </w:pPr>
            <w:r w:rsidRPr="00E173FE">
              <w:rPr>
                <w:szCs w:val="24"/>
                <w:lang w:val="es-ES_tradnl" w:eastAsia="ja-JP" w:bidi="he-IL"/>
              </w:rPr>
              <w:t>40</w:t>
            </w:r>
            <w:r w:rsidRPr="00E173FE">
              <w:rPr>
                <w:rFonts w:hint="eastAsia"/>
                <w:szCs w:val="24"/>
                <w:lang w:val="es-ES_tradnl" w:eastAsia="zh-CN" w:bidi="he-IL"/>
              </w:rPr>
              <w:t>.</w:t>
            </w:r>
            <w:r w:rsidR="00A464B6" w:rsidRPr="00E173FE">
              <w:rPr>
                <w:szCs w:val="24"/>
                <w:lang w:val="es-ES_tradnl" w:eastAsia="ja-JP" w:bidi="he-IL"/>
              </w:rPr>
              <w:t>2</w:t>
            </w:r>
          </w:p>
        </w:tc>
        <w:tc>
          <w:tcPr>
            <w:tcW w:w="1038" w:type="dxa"/>
            <w:tcBorders>
              <w:top w:val="single" w:sz="4" w:space="0" w:color="000000"/>
            </w:tcBorders>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33</w:t>
            </w:r>
            <w:r w:rsidR="00156F78" w:rsidRPr="00E173FE">
              <w:rPr>
                <w:rFonts w:hint="eastAsia"/>
                <w:szCs w:val="24"/>
                <w:lang w:val="es-ES_tradnl" w:eastAsia="zh-CN" w:bidi="he-IL"/>
              </w:rPr>
              <w:t>.</w:t>
            </w:r>
            <w:r w:rsidRPr="00E173FE">
              <w:rPr>
                <w:szCs w:val="24"/>
                <w:lang w:val="es-ES_tradnl" w:eastAsia="ja-JP" w:bidi="he-IL"/>
              </w:rPr>
              <w:t>9</w:t>
            </w:r>
          </w:p>
        </w:tc>
        <w:tc>
          <w:tcPr>
            <w:tcW w:w="1475" w:type="dxa"/>
            <w:tcBorders>
              <w:top w:val="single" w:sz="4" w:space="0" w:color="000000"/>
            </w:tcBorders>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34</w:t>
            </w:r>
            <w:r w:rsidR="00156F78" w:rsidRPr="00E173FE">
              <w:rPr>
                <w:rFonts w:hint="eastAsia"/>
                <w:szCs w:val="24"/>
                <w:lang w:val="es-ES_tradnl" w:eastAsia="zh-CN" w:bidi="he-IL"/>
              </w:rPr>
              <w:t>.</w:t>
            </w:r>
            <w:r w:rsidRPr="00E173FE">
              <w:rPr>
                <w:szCs w:val="24"/>
                <w:lang w:val="es-ES_tradnl" w:eastAsia="ja-JP" w:bidi="he-IL"/>
              </w:rPr>
              <w:t>9</w:t>
            </w:r>
          </w:p>
        </w:tc>
        <w:tc>
          <w:tcPr>
            <w:tcW w:w="1166" w:type="dxa"/>
            <w:tcBorders>
              <w:top w:val="single" w:sz="4" w:space="0" w:color="000000"/>
            </w:tcBorders>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23</w:t>
            </w:r>
            <w:r w:rsidR="00156F78" w:rsidRPr="00E173FE">
              <w:rPr>
                <w:rFonts w:hint="eastAsia"/>
                <w:szCs w:val="24"/>
                <w:lang w:val="es-ES_tradnl" w:eastAsia="zh-CN" w:bidi="he-IL"/>
              </w:rPr>
              <w:t>.</w:t>
            </w:r>
            <w:r w:rsidRPr="00E173FE">
              <w:rPr>
                <w:szCs w:val="24"/>
                <w:lang w:val="es-ES_tradnl" w:eastAsia="ja-JP" w:bidi="he-IL"/>
              </w:rPr>
              <w:t>4</w:t>
            </w:r>
          </w:p>
        </w:tc>
        <w:tc>
          <w:tcPr>
            <w:tcW w:w="1332" w:type="dxa"/>
            <w:tcBorders>
              <w:top w:val="single" w:sz="4" w:space="0" w:color="000000"/>
            </w:tcBorders>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32</w:t>
            </w:r>
            <w:r w:rsidR="00156F78" w:rsidRPr="00E173FE">
              <w:rPr>
                <w:rFonts w:hint="eastAsia"/>
                <w:szCs w:val="24"/>
                <w:lang w:val="es-ES_tradnl" w:eastAsia="zh-CN" w:bidi="he-IL"/>
              </w:rPr>
              <w:t>.</w:t>
            </w:r>
            <w:r w:rsidRPr="00E173FE">
              <w:rPr>
                <w:szCs w:val="24"/>
                <w:lang w:val="es-ES_tradnl" w:eastAsia="ja-JP" w:bidi="he-IL"/>
              </w:rPr>
              <w:t>9</w:t>
            </w:r>
          </w:p>
        </w:tc>
        <w:tc>
          <w:tcPr>
            <w:tcW w:w="1546" w:type="dxa"/>
            <w:tcBorders>
              <w:top w:val="single" w:sz="4" w:space="0" w:color="000000"/>
            </w:tcBorders>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39</w:t>
            </w:r>
            <w:r w:rsidR="00156F78" w:rsidRPr="00E173FE">
              <w:rPr>
                <w:rFonts w:hint="eastAsia"/>
                <w:szCs w:val="24"/>
                <w:lang w:val="es-ES_tradnl" w:eastAsia="zh-CN" w:bidi="he-IL"/>
              </w:rPr>
              <w:t>.</w:t>
            </w:r>
            <w:r w:rsidRPr="00E173FE">
              <w:rPr>
                <w:szCs w:val="24"/>
                <w:lang w:val="es-ES_tradnl" w:eastAsia="ja-JP" w:bidi="he-IL"/>
              </w:rPr>
              <w:t>9</w:t>
            </w:r>
          </w:p>
        </w:tc>
        <w:tc>
          <w:tcPr>
            <w:tcW w:w="1452" w:type="dxa"/>
            <w:tcBorders>
              <w:top w:val="single" w:sz="4" w:space="0" w:color="000000"/>
            </w:tcBorders>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37</w:t>
            </w:r>
          </w:p>
        </w:tc>
        <w:tc>
          <w:tcPr>
            <w:tcW w:w="1875" w:type="dxa"/>
            <w:tcBorders>
              <w:top w:val="single" w:sz="4" w:space="0" w:color="000000"/>
            </w:tcBorders>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30</w:t>
            </w:r>
            <w:r w:rsidR="00156F78" w:rsidRPr="00E173FE">
              <w:rPr>
                <w:rFonts w:hint="eastAsia"/>
                <w:szCs w:val="24"/>
                <w:lang w:val="es-ES_tradnl" w:eastAsia="zh-CN" w:bidi="he-IL"/>
              </w:rPr>
              <w:t>.</w:t>
            </w:r>
            <w:r w:rsidRPr="00E173FE">
              <w:rPr>
                <w:szCs w:val="24"/>
                <w:lang w:val="es-ES_tradnl" w:eastAsia="ja-JP" w:bidi="he-IL"/>
              </w:rPr>
              <w:t>2</w:t>
            </w:r>
          </w:p>
        </w:tc>
        <w:tc>
          <w:tcPr>
            <w:tcW w:w="1211" w:type="dxa"/>
            <w:tcBorders>
              <w:top w:val="single" w:sz="4" w:space="0" w:color="000000"/>
            </w:tcBorders>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36</w:t>
            </w:r>
            <w:r w:rsidR="00156F78" w:rsidRPr="00E173FE">
              <w:rPr>
                <w:rFonts w:hint="eastAsia"/>
                <w:szCs w:val="24"/>
                <w:lang w:val="es-ES_tradnl" w:eastAsia="zh-CN" w:bidi="he-IL"/>
              </w:rPr>
              <w:t>.</w:t>
            </w:r>
            <w:r w:rsidRPr="00E173FE">
              <w:rPr>
                <w:szCs w:val="24"/>
                <w:lang w:val="es-ES_tradnl" w:eastAsia="ja-JP" w:bidi="he-IL"/>
              </w:rPr>
              <w:t>1</w:t>
            </w:r>
          </w:p>
        </w:tc>
      </w:tr>
      <w:tr w:rsidR="00A464B6" w:rsidRPr="00E173FE" w:rsidTr="00156F78">
        <w:trPr>
          <w:trHeight w:val="223"/>
        </w:trPr>
        <w:tc>
          <w:tcPr>
            <w:tcW w:w="2074" w:type="dxa"/>
            <w:shd w:val="clear" w:color="auto" w:fill="auto"/>
          </w:tcPr>
          <w:p w:rsidR="00A464B6" w:rsidRPr="00E173FE" w:rsidRDefault="00A464B6" w:rsidP="00D077F2">
            <w:pPr>
              <w:spacing w:after="0"/>
              <w:rPr>
                <w:bCs/>
                <w:color w:val="000000"/>
                <w:szCs w:val="24"/>
                <w:lang w:val="es-ES_tradnl" w:eastAsia="ja-JP" w:bidi="he-IL"/>
              </w:rPr>
            </w:pPr>
            <w:r w:rsidRPr="00E173FE">
              <w:rPr>
                <w:bCs/>
                <w:color w:val="000000"/>
                <w:szCs w:val="24"/>
                <w:lang w:val="es-ES_tradnl" w:eastAsia="ja-JP" w:bidi="he-IL"/>
              </w:rPr>
              <w:t>ASRm</w:t>
            </w:r>
          </w:p>
        </w:tc>
        <w:tc>
          <w:tcPr>
            <w:tcW w:w="1617"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13</w:t>
            </w:r>
            <w:r w:rsidR="00156F78" w:rsidRPr="00E173FE">
              <w:rPr>
                <w:rFonts w:hint="eastAsia"/>
                <w:szCs w:val="24"/>
                <w:lang w:val="es-ES_tradnl" w:eastAsia="zh-CN" w:bidi="he-IL"/>
              </w:rPr>
              <w:t>.</w:t>
            </w:r>
            <w:r w:rsidRPr="00E173FE">
              <w:rPr>
                <w:szCs w:val="24"/>
                <w:lang w:val="es-ES_tradnl" w:eastAsia="ja-JP" w:bidi="he-IL"/>
              </w:rPr>
              <w:t>4</w:t>
            </w:r>
          </w:p>
        </w:tc>
        <w:tc>
          <w:tcPr>
            <w:tcW w:w="1038"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10</w:t>
            </w:r>
            <w:r w:rsidR="00156F78" w:rsidRPr="00E173FE">
              <w:rPr>
                <w:rFonts w:hint="eastAsia"/>
                <w:szCs w:val="24"/>
                <w:lang w:val="es-ES_tradnl" w:eastAsia="zh-CN" w:bidi="he-IL"/>
              </w:rPr>
              <w:t>.</w:t>
            </w:r>
            <w:r w:rsidRPr="00E173FE">
              <w:rPr>
                <w:szCs w:val="24"/>
                <w:lang w:val="es-ES_tradnl" w:eastAsia="ja-JP" w:bidi="he-IL"/>
              </w:rPr>
              <w:t>8</w:t>
            </w:r>
          </w:p>
        </w:tc>
        <w:tc>
          <w:tcPr>
            <w:tcW w:w="14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12</w:t>
            </w:r>
            <w:r w:rsidR="00156F78" w:rsidRPr="00E173FE">
              <w:rPr>
                <w:rFonts w:hint="eastAsia"/>
                <w:szCs w:val="24"/>
                <w:lang w:val="es-ES_tradnl" w:eastAsia="zh-CN" w:bidi="he-IL"/>
              </w:rPr>
              <w:t>.</w:t>
            </w:r>
            <w:r w:rsidRPr="00E173FE">
              <w:rPr>
                <w:szCs w:val="24"/>
                <w:lang w:val="es-ES_tradnl" w:eastAsia="ja-JP" w:bidi="he-IL"/>
              </w:rPr>
              <w:t>2</w:t>
            </w:r>
          </w:p>
        </w:tc>
        <w:tc>
          <w:tcPr>
            <w:tcW w:w="116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13</w:t>
            </w:r>
            <w:r w:rsidR="00156F78" w:rsidRPr="00E173FE">
              <w:rPr>
                <w:rFonts w:hint="eastAsia"/>
                <w:szCs w:val="24"/>
                <w:lang w:val="es-ES_tradnl" w:eastAsia="zh-CN" w:bidi="he-IL"/>
              </w:rPr>
              <w:t>.</w:t>
            </w:r>
            <w:r w:rsidRPr="00E173FE">
              <w:rPr>
                <w:szCs w:val="24"/>
                <w:lang w:val="es-ES_tradnl" w:eastAsia="ja-JP" w:bidi="he-IL"/>
              </w:rPr>
              <w:t>7</w:t>
            </w:r>
          </w:p>
        </w:tc>
        <w:tc>
          <w:tcPr>
            <w:tcW w:w="1332"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18</w:t>
            </w:r>
            <w:r w:rsidR="00156F78" w:rsidRPr="00E173FE">
              <w:rPr>
                <w:rFonts w:hint="eastAsia"/>
                <w:szCs w:val="24"/>
                <w:lang w:val="es-ES_tradnl" w:eastAsia="zh-CN" w:bidi="he-IL"/>
              </w:rPr>
              <w:t>.</w:t>
            </w:r>
            <w:r w:rsidRPr="00E173FE">
              <w:rPr>
                <w:szCs w:val="24"/>
                <w:lang w:val="es-ES_tradnl" w:eastAsia="ja-JP" w:bidi="he-IL"/>
              </w:rPr>
              <w:t>7</w:t>
            </w:r>
          </w:p>
        </w:tc>
        <w:tc>
          <w:tcPr>
            <w:tcW w:w="154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15</w:t>
            </w:r>
            <w:r w:rsidR="00156F78" w:rsidRPr="00E173FE">
              <w:rPr>
                <w:rFonts w:hint="eastAsia"/>
                <w:szCs w:val="24"/>
                <w:lang w:val="es-ES_tradnl" w:eastAsia="zh-CN" w:bidi="he-IL"/>
              </w:rPr>
              <w:t>.</w:t>
            </w:r>
            <w:r w:rsidRPr="00E173FE">
              <w:rPr>
                <w:szCs w:val="24"/>
                <w:lang w:val="es-ES_tradnl" w:eastAsia="ja-JP" w:bidi="he-IL"/>
              </w:rPr>
              <w:t>4</w:t>
            </w:r>
          </w:p>
        </w:tc>
        <w:tc>
          <w:tcPr>
            <w:tcW w:w="1452"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16</w:t>
            </w:r>
            <w:r w:rsidR="00156F78" w:rsidRPr="00E173FE">
              <w:rPr>
                <w:rFonts w:hint="eastAsia"/>
                <w:szCs w:val="24"/>
                <w:lang w:val="es-ES_tradnl" w:eastAsia="zh-CN" w:bidi="he-IL"/>
              </w:rPr>
              <w:t>.</w:t>
            </w:r>
            <w:r w:rsidRPr="00E173FE">
              <w:rPr>
                <w:szCs w:val="24"/>
                <w:lang w:val="es-ES_tradnl" w:eastAsia="ja-JP" w:bidi="he-IL"/>
              </w:rPr>
              <w:t>2</w:t>
            </w:r>
          </w:p>
        </w:tc>
        <w:tc>
          <w:tcPr>
            <w:tcW w:w="18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10</w:t>
            </w:r>
            <w:r w:rsidR="00156F78" w:rsidRPr="00E173FE">
              <w:rPr>
                <w:rFonts w:hint="eastAsia"/>
                <w:szCs w:val="24"/>
                <w:lang w:val="es-ES_tradnl" w:eastAsia="zh-CN" w:bidi="he-IL"/>
              </w:rPr>
              <w:t>.</w:t>
            </w:r>
            <w:r w:rsidRPr="00E173FE">
              <w:rPr>
                <w:szCs w:val="24"/>
                <w:lang w:val="es-ES_tradnl" w:eastAsia="ja-JP" w:bidi="he-IL"/>
              </w:rPr>
              <w:t>7</w:t>
            </w:r>
          </w:p>
        </w:tc>
        <w:tc>
          <w:tcPr>
            <w:tcW w:w="1211"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12</w:t>
            </w:r>
            <w:r w:rsidR="00156F78" w:rsidRPr="00E173FE">
              <w:rPr>
                <w:rFonts w:hint="eastAsia"/>
                <w:szCs w:val="24"/>
                <w:lang w:val="es-ES_tradnl" w:eastAsia="zh-CN" w:bidi="he-IL"/>
              </w:rPr>
              <w:t>.</w:t>
            </w:r>
            <w:r w:rsidRPr="00E173FE">
              <w:rPr>
                <w:szCs w:val="24"/>
                <w:lang w:val="es-ES_tradnl" w:eastAsia="ja-JP" w:bidi="he-IL"/>
              </w:rPr>
              <w:t>9</w:t>
            </w:r>
          </w:p>
        </w:tc>
      </w:tr>
      <w:tr w:rsidR="00A464B6" w:rsidRPr="00E173FE" w:rsidTr="00156F78">
        <w:trPr>
          <w:trHeight w:val="241"/>
        </w:trPr>
        <w:tc>
          <w:tcPr>
            <w:tcW w:w="2074" w:type="dxa"/>
            <w:shd w:val="clear" w:color="auto" w:fill="auto"/>
          </w:tcPr>
          <w:p w:rsidR="00A464B6" w:rsidRPr="00E173FE" w:rsidRDefault="00A464B6" w:rsidP="00D077F2">
            <w:pPr>
              <w:spacing w:after="0"/>
              <w:rPr>
                <w:bCs/>
                <w:color w:val="000000"/>
                <w:szCs w:val="24"/>
                <w:lang w:val="es-ES_tradnl" w:eastAsia="ja-JP" w:bidi="he-IL"/>
              </w:rPr>
            </w:pPr>
            <w:r w:rsidRPr="00E173FE">
              <w:rPr>
                <w:bCs/>
                <w:color w:val="000000"/>
                <w:szCs w:val="24"/>
                <w:lang w:val="es-ES_tradnl" w:eastAsia="ja-JP" w:bidi="he-IL"/>
              </w:rPr>
              <w:t>Period</w:t>
            </w:r>
          </w:p>
        </w:tc>
        <w:tc>
          <w:tcPr>
            <w:tcW w:w="1617"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2014-2015</w:t>
            </w:r>
          </w:p>
        </w:tc>
        <w:tc>
          <w:tcPr>
            <w:tcW w:w="1038"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2007-2009</w:t>
            </w:r>
          </w:p>
        </w:tc>
        <w:tc>
          <w:tcPr>
            <w:tcW w:w="14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2008-2009</w:t>
            </w:r>
          </w:p>
        </w:tc>
        <w:tc>
          <w:tcPr>
            <w:tcW w:w="116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2009-2012</w:t>
            </w:r>
          </w:p>
        </w:tc>
        <w:tc>
          <w:tcPr>
            <w:tcW w:w="1332"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2007-2011</w:t>
            </w:r>
          </w:p>
        </w:tc>
        <w:tc>
          <w:tcPr>
            <w:tcW w:w="154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2000-2011</w:t>
            </w:r>
          </w:p>
        </w:tc>
        <w:tc>
          <w:tcPr>
            <w:tcW w:w="1452"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2009-2014</w:t>
            </w:r>
          </w:p>
        </w:tc>
        <w:tc>
          <w:tcPr>
            <w:tcW w:w="18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2006-2010</w:t>
            </w:r>
          </w:p>
        </w:tc>
        <w:tc>
          <w:tcPr>
            <w:tcW w:w="1211"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2008-2009</w:t>
            </w:r>
          </w:p>
        </w:tc>
      </w:tr>
      <w:tr w:rsidR="00A464B6" w:rsidRPr="00E173FE" w:rsidTr="00156F78">
        <w:trPr>
          <w:trHeight w:val="449"/>
        </w:trPr>
        <w:tc>
          <w:tcPr>
            <w:tcW w:w="2074" w:type="dxa"/>
            <w:shd w:val="clear" w:color="auto" w:fill="auto"/>
          </w:tcPr>
          <w:p w:rsidR="00A464B6" w:rsidRPr="00E173FE" w:rsidRDefault="00A464B6" w:rsidP="00D077F2">
            <w:pPr>
              <w:spacing w:after="0"/>
              <w:rPr>
                <w:bCs/>
                <w:color w:val="000000"/>
                <w:szCs w:val="24"/>
                <w:lang w:val="es-ES_tradnl" w:eastAsia="ja-JP" w:bidi="he-IL"/>
              </w:rPr>
            </w:pPr>
            <w:r w:rsidRPr="00E173FE">
              <w:rPr>
                <w:bCs/>
                <w:color w:val="000000"/>
                <w:szCs w:val="24"/>
                <w:lang w:val="es-ES_tradnl" w:eastAsia="ja-JP" w:bidi="he-IL"/>
              </w:rPr>
              <w:t>Age</w:t>
            </w:r>
          </w:p>
        </w:tc>
        <w:tc>
          <w:tcPr>
            <w:tcW w:w="1617"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55-75</w:t>
            </w:r>
          </w:p>
        </w:tc>
        <w:tc>
          <w:tcPr>
            <w:tcW w:w="1038"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50-69</w:t>
            </w:r>
          </w:p>
        </w:tc>
        <w:tc>
          <w:tcPr>
            <w:tcW w:w="14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50-74</w:t>
            </w:r>
          </w:p>
        </w:tc>
        <w:tc>
          <w:tcPr>
            <w:tcW w:w="116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50-74</w:t>
            </w:r>
          </w:p>
        </w:tc>
        <w:tc>
          <w:tcPr>
            <w:tcW w:w="1332"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50-74</w:t>
            </w:r>
          </w:p>
        </w:tc>
        <w:tc>
          <w:tcPr>
            <w:tcW w:w="154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 xml:space="preserve">&gt;50 </w:t>
            </w:r>
          </w:p>
        </w:tc>
        <w:tc>
          <w:tcPr>
            <w:tcW w:w="1452"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50-69</w:t>
            </w:r>
          </w:p>
        </w:tc>
        <w:tc>
          <w:tcPr>
            <w:tcW w:w="18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60-69</w:t>
            </w:r>
          </w:p>
        </w:tc>
        <w:tc>
          <w:tcPr>
            <w:tcW w:w="1211"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50-74</w:t>
            </w:r>
          </w:p>
        </w:tc>
      </w:tr>
      <w:tr w:rsidR="00A464B6" w:rsidRPr="00E173FE" w:rsidTr="00156F78">
        <w:trPr>
          <w:trHeight w:val="465"/>
        </w:trPr>
        <w:tc>
          <w:tcPr>
            <w:tcW w:w="2074" w:type="dxa"/>
            <w:shd w:val="clear" w:color="auto" w:fill="auto"/>
          </w:tcPr>
          <w:p w:rsidR="00A464B6" w:rsidRPr="00E173FE" w:rsidRDefault="00A464B6" w:rsidP="00D077F2">
            <w:pPr>
              <w:spacing w:after="0"/>
              <w:rPr>
                <w:bCs/>
                <w:color w:val="000000"/>
                <w:szCs w:val="24"/>
                <w:lang w:val="es-ES_tradnl" w:eastAsia="ja-JP" w:bidi="he-IL"/>
              </w:rPr>
            </w:pPr>
            <w:r w:rsidRPr="00E173FE">
              <w:rPr>
                <w:bCs/>
                <w:color w:val="000000"/>
                <w:szCs w:val="24"/>
                <w:lang w:val="es-ES_tradnl" w:eastAsia="ja-JP" w:bidi="he-IL"/>
              </w:rPr>
              <w:t>Test</w:t>
            </w:r>
          </w:p>
        </w:tc>
        <w:tc>
          <w:tcPr>
            <w:tcW w:w="1617"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FIT</w:t>
            </w:r>
          </w:p>
          <w:p w:rsidR="00A464B6" w:rsidRPr="00E173FE" w:rsidRDefault="00A464B6" w:rsidP="00D077F2">
            <w:pPr>
              <w:spacing w:after="0"/>
              <w:rPr>
                <w:szCs w:val="24"/>
                <w:lang w:val="es-ES_tradnl" w:eastAsia="ja-JP" w:bidi="he-IL"/>
              </w:rPr>
            </w:pPr>
          </w:p>
        </w:tc>
        <w:tc>
          <w:tcPr>
            <w:tcW w:w="1038"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 xml:space="preserve">FIT </w:t>
            </w:r>
          </w:p>
          <w:p w:rsidR="00A464B6" w:rsidRPr="00E173FE" w:rsidRDefault="00A464B6" w:rsidP="00D077F2">
            <w:pPr>
              <w:spacing w:after="0"/>
              <w:rPr>
                <w:szCs w:val="24"/>
                <w:lang w:val="es-ES_tradnl" w:eastAsia="ja-JP" w:bidi="he-IL"/>
              </w:rPr>
            </w:pPr>
          </w:p>
        </w:tc>
        <w:tc>
          <w:tcPr>
            <w:tcW w:w="14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FIT</w:t>
            </w:r>
          </w:p>
          <w:p w:rsidR="00A464B6" w:rsidRPr="00E173FE" w:rsidRDefault="00A464B6" w:rsidP="00D077F2">
            <w:pPr>
              <w:spacing w:after="0"/>
              <w:rPr>
                <w:szCs w:val="24"/>
                <w:lang w:val="es-ES_tradnl" w:bidi="he-IL"/>
              </w:rPr>
            </w:pPr>
          </w:p>
        </w:tc>
        <w:tc>
          <w:tcPr>
            <w:tcW w:w="116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FIT</w:t>
            </w:r>
          </w:p>
          <w:p w:rsidR="00A464B6" w:rsidRPr="00E173FE" w:rsidRDefault="00A464B6" w:rsidP="00D077F2">
            <w:pPr>
              <w:spacing w:after="0"/>
              <w:rPr>
                <w:szCs w:val="24"/>
                <w:lang w:val="es-ES_tradnl" w:eastAsia="ja-JP" w:bidi="he-IL"/>
              </w:rPr>
            </w:pPr>
          </w:p>
        </w:tc>
        <w:tc>
          <w:tcPr>
            <w:tcW w:w="1332"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gFOBT</w:t>
            </w:r>
          </w:p>
        </w:tc>
        <w:tc>
          <w:tcPr>
            <w:tcW w:w="154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gFOBT/FIT</w:t>
            </w:r>
          </w:p>
        </w:tc>
        <w:tc>
          <w:tcPr>
            <w:tcW w:w="1452"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FIT</w:t>
            </w:r>
          </w:p>
        </w:tc>
        <w:tc>
          <w:tcPr>
            <w:tcW w:w="18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gFOBT</w:t>
            </w:r>
          </w:p>
        </w:tc>
        <w:tc>
          <w:tcPr>
            <w:tcW w:w="1211"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gFOBT</w:t>
            </w:r>
          </w:p>
        </w:tc>
      </w:tr>
      <w:tr w:rsidR="00A464B6" w:rsidRPr="00E173FE" w:rsidTr="00156F78">
        <w:trPr>
          <w:trHeight w:val="1621"/>
        </w:trPr>
        <w:tc>
          <w:tcPr>
            <w:tcW w:w="2074" w:type="dxa"/>
            <w:shd w:val="clear" w:color="auto" w:fill="auto"/>
          </w:tcPr>
          <w:p w:rsidR="00A464B6" w:rsidRPr="00E173FE" w:rsidRDefault="00A464B6" w:rsidP="00D077F2">
            <w:pPr>
              <w:spacing w:after="0"/>
              <w:rPr>
                <w:bCs/>
                <w:color w:val="000000"/>
                <w:szCs w:val="24"/>
                <w:lang w:val="pt-BR" w:eastAsia="ja-JP" w:bidi="he-IL"/>
              </w:rPr>
            </w:pPr>
            <w:r w:rsidRPr="00E173FE">
              <w:rPr>
                <w:bCs/>
                <w:color w:val="000000"/>
                <w:szCs w:val="24"/>
                <w:lang w:val="pt-BR" w:eastAsia="ja-JP" w:bidi="he-IL"/>
              </w:rPr>
              <w:t>Participation</w:t>
            </w:r>
            <w:r w:rsidR="00156F78" w:rsidRPr="00E173FE">
              <w:rPr>
                <w:rFonts w:hint="eastAsia"/>
                <w:bCs/>
                <w:color w:val="000000"/>
                <w:szCs w:val="24"/>
                <w:lang w:val="pt-BR" w:eastAsia="zh-CN" w:bidi="he-IL"/>
              </w:rPr>
              <w:t xml:space="preserve">, </w:t>
            </w:r>
            <w:r w:rsidRPr="00E173FE">
              <w:rPr>
                <w:bCs/>
                <w:i/>
                <w:color w:val="000000"/>
                <w:szCs w:val="24"/>
                <w:lang w:val="pt-BR" w:eastAsia="ja-JP" w:bidi="he-IL"/>
              </w:rPr>
              <w:t>n</w:t>
            </w:r>
            <w:r w:rsidR="00156F78" w:rsidRPr="00E173FE">
              <w:rPr>
                <w:rFonts w:hint="eastAsia"/>
                <w:bCs/>
                <w:color w:val="000000"/>
                <w:szCs w:val="24"/>
                <w:lang w:val="pt-BR" w:eastAsia="zh-CN" w:bidi="he-IL"/>
              </w:rPr>
              <w:t xml:space="preserve"> </w:t>
            </w:r>
            <w:r w:rsidRPr="00E173FE">
              <w:rPr>
                <w:bCs/>
                <w:color w:val="000000"/>
                <w:szCs w:val="24"/>
                <w:lang w:val="pt-BR" w:eastAsia="ja-JP" w:bidi="he-IL"/>
              </w:rPr>
              <w:t xml:space="preserve"> (%)</w:t>
            </w:r>
          </w:p>
          <w:p w:rsidR="00A464B6" w:rsidRPr="00E173FE" w:rsidRDefault="00A464B6" w:rsidP="00D077F2">
            <w:pPr>
              <w:spacing w:after="0"/>
              <w:rPr>
                <w:bCs/>
                <w:color w:val="000000"/>
                <w:szCs w:val="24"/>
                <w:lang w:val="pt-BR" w:eastAsia="ja-JP" w:bidi="he-IL"/>
              </w:rPr>
            </w:pPr>
          </w:p>
          <w:p w:rsidR="00A464B6" w:rsidRPr="00E173FE" w:rsidRDefault="00A464B6" w:rsidP="00D077F2">
            <w:pPr>
              <w:spacing w:after="0"/>
              <w:rPr>
                <w:bCs/>
                <w:color w:val="000000"/>
                <w:szCs w:val="24"/>
                <w:lang w:val="pt-BR" w:eastAsia="zh-CN" w:bidi="he-IL"/>
              </w:rPr>
            </w:pPr>
            <w:r w:rsidRPr="00E173FE">
              <w:rPr>
                <w:bCs/>
                <w:color w:val="000000"/>
                <w:szCs w:val="24"/>
                <w:lang w:val="pt-BR" w:eastAsia="ja-JP" w:bidi="he-IL"/>
              </w:rPr>
              <w:t>M</w:t>
            </w:r>
            <w:r w:rsidR="00156F78" w:rsidRPr="00E173FE">
              <w:rPr>
                <w:rFonts w:hint="eastAsia"/>
                <w:bCs/>
                <w:color w:val="000000"/>
                <w:szCs w:val="24"/>
                <w:lang w:val="pt-BR" w:eastAsia="zh-CN" w:bidi="he-IL"/>
              </w:rPr>
              <w:t xml:space="preserve">, </w:t>
            </w:r>
            <w:r w:rsidR="00156F78" w:rsidRPr="00E173FE">
              <w:rPr>
                <w:bCs/>
                <w:i/>
                <w:color w:val="000000"/>
                <w:szCs w:val="24"/>
                <w:lang w:val="pt-BR" w:eastAsia="ja-JP" w:bidi="he-IL"/>
              </w:rPr>
              <w:t>n</w:t>
            </w:r>
            <w:r w:rsidR="00156F78" w:rsidRPr="00E173FE">
              <w:rPr>
                <w:rFonts w:hint="eastAsia"/>
                <w:bCs/>
                <w:color w:val="000000"/>
                <w:szCs w:val="24"/>
                <w:lang w:val="pt-BR" w:eastAsia="zh-CN" w:bidi="he-IL"/>
              </w:rPr>
              <w:t xml:space="preserve"> </w:t>
            </w:r>
            <w:r w:rsidR="00156F78" w:rsidRPr="00E173FE">
              <w:rPr>
                <w:bCs/>
                <w:color w:val="000000"/>
                <w:szCs w:val="24"/>
                <w:lang w:val="pt-BR" w:eastAsia="ja-JP" w:bidi="he-IL"/>
              </w:rPr>
              <w:t xml:space="preserve"> (%)</w:t>
            </w:r>
          </w:p>
          <w:p w:rsidR="00156F78" w:rsidRPr="00E173FE" w:rsidRDefault="00A464B6" w:rsidP="00D077F2">
            <w:pPr>
              <w:spacing w:after="0"/>
              <w:rPr>
                <w:bCs/>
                <w:color w:val="000000"/>
                <w:szCs w:val="24"/>
                <w:lang w:val="pt-BR" w:eastAsia="ja-JP" w:bidi="he-IL"/>
              </w:rPr>
            </w:pPr>
            <w:r w:rsidRPr="00E173FE">
              <w:rPr>
                <w:bCs/>
                <w:color w:val="000000"/>
                <w:szCs w:val="24"/>
                <w:lang w:val="pt-BR" w:eastAsia="ja-JP" w:bidi="he-IL"/>
              </w:rPr>
              <w:t xml:space="preserve">F </w:t>
            </w:r>
            <w:r w:rsidR="00156F78" w:rsidRPr="00E173FE">
              <w:rPr>
                <w:rFonts w:hint="eastAsia"/>
                <w:bCs/>
                <w:color w:val="000000"/>
                <w:szCs w:val="24"/>
                <w:lang w:val="pt-BR" w:eastAsia="zh-CN" w:bidi="he-IL"/>
              </w:rPr>
              <w:t xml:space="preserve">, </w:t>
            </w:r>
            <w:r w:rsidR="00156F78" w:rsidRPr="00E173FE">
              <w:rPr>
                <w:bCs/>
                <w:i/>
                <w:color w:val="000000"/>
                <w:szCs w:val="24"/>
                <w:lang w:val="pt-BR" w:eastAsia="ja-JP" w:bidi="he-IL"/>
              </w:rPr>
              <w:t>n</w:t>
            </w:r>
            <w:r w:rsidR="00156F78" w:rsidRPr="00E173FE">
              <w:rPr>
                <w:rFonts w:hint="eastAsia"/>
                <w:bCs/>
                <w:color w:val="000000"/>
                <w:szCs w:val="24"/>
                <w:lang w:val="pt-BR" w:eastAsia="zh-CN" w:bidi="he-IL"/>
              </w:rPr>
              <w:t xml:space="preserve"> </w:t>
            </w:r>
            <w:r w:rsidR="00156F78" w:rsidRPr="00E173FE">
              <w:rPr>
                <w:bCs/>
                <w:color w:val="000000"/>
                <w:szCs w:val="24"/>
                <w:lang w:val="pt-BR" w:eastAsia="ja-JP" w:bidi="he-IL"/>
              </w:rPr>
              <w:t xml:space="preserve"> (%)</w:t>
            </w:r>
          </w:p>
          <w:p w:rsidR="00A464B6" w:rsidRPr="00E173FE" w:rsidRDefault="00A464B6" w:rsidP="00D077F2">
            <w:pPr>
              <w:spacing w:after="0"/>
              <w:rPr>
                <w:bCs/>
                <w:color w:val="000000"/>
                <w:szCs w:val="24"/>
                <w:lang w:val="pt-BR" w:eastAsia="ja-JP" w:bidi="he-IL"/>
              </w:rPr>
            </w:pPr>
          </w:p>
        </w:tc>
        <w:tc>
          <w:tcPr>
            <w:tcW w:w="1617" w:type="dxa"/>
            <w:shd w:val="clear" w:color="auto" w:fill="auto"/>
          </w:tcPr>
          <w:p w:rsidR="00A464B6" w:rsidRPr="00E173FE" w:rsidRDefault="00E173FE" w:rsidP="00D077F2">
            <w:pPr>
              <w:spacing w:after="0"/>
              <w:rPr>
                <w:szCs w:val="24"/>
                <w:lang w:val="es-ES_tradnl" w:eastAsia="ja-JP" w:bidi="he-IL"/>
              </w:rPr>
            </w:pPr>
            <w:r>
              <w:rPr>
                <w:szCs w:val="24"/>
                <w:lang w:val="es-ES_tradnl" w:eastAsia="ja-JP" w:bidi="he-IL"/>
              </w:rPr>
              <w:t>129,395 (68.2</w:t>
            </w:r>
            <w:r w:rsidR="00A464B6" w:rsidRPr="00E173FE">
              <w:rPr>
                <w:szCs w:val="24"/>
                <w:lang w:val="es-ES_tradnl" w:eastAsia="ja-JP" w:bidi="he-IL"/>
              </w:rPr>
              <w:t>)</w:t>
            </w:r>
          </w:p>
        </w:tc>
        <w:tc>
          <w:tcPr>
            <w:tcW w:w="1038" w:type="dxa"/>
            <w:shd w:val="clear" w:color="auto" w:fill="auto"/>
          </w:tcPr>
          <w:p w:rsidR="00A464B6" w:rsidRPr="00E173FE" w:rsidRDefault="00156F78" w:rsidP="00D077F2">
            <w:pPr>
              <w:spacing w:after="0"/>
              <w:rPr>
                <w:szCs w:val="24"/>
                <w:lang w:val="es-ES_tradnl" w:eastAsia="ja-JP" w:bidi="he-IL"/>
              </w:rPr>
            </w:pPr>
            <w:r w:rsidRPr="00E173FE">
              <w:rPr>
                <w:szCs w:val="24"/>
                <w:lang w:val="es-ES_tradnl" w:eastAsia="ja-JP" w:bidi="he-IL"/>
              </w:rPr>
              <w:t>81</w:t>
            </w:r>
            <w:r w:rsidR="00A464B6" w:rsidRPr="00E173FE">
              <w:rPr>
                <w:szCs w:val="24"/>
                <w:lang w:val="es-ES_tradnl" w:eastAsia="ja-JP" w:bidi="he-IL"/>
              </w:rPr>
              <w:t>619</w:t>
            </w:r>
          </w:p>
          <w:p w:rsidR="00A464B6" w:rsidRPr="00E173FE" w:rsidRDefault="00E173FE" w:rsidP="00D077F2">
            <w:pPr>
              <w:spacing w:after="0"/>
              <w:rPr>
                <w:szCs w:val="24"/>
                <w:lang w:val="es-ES_tradnl" w:eastAsia="ja-JP" w:bidi="he-IL"/>
              </w:rPr>
            </w:pPr>
            <w:r>
              <w:rPr>
                <w:szCs w:val="24"/>
                <w:lang w:val="es-ES_tradnl" w:eastAsia="ja-JP" w:bidi="he-IL"/>
              </w:rPr>
              <w:t>(54.4</w:t>
            </w:r>
            <w:r w:rsidR="00A464B6" w:rsidRPr="00E173FE">
              <w:rPr>
                <w:szCs w:val="24"/>
                <w:lang w:val="es-ES_tradnl" w:eastAsia="ja-JP" w:bidi="he-IL"/>
              </w:rPr>
              <w:t>)</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p>
        </w:tc>
        <w:tc>
          <w:tcPr>
            <w:tcW w:w="14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 xml:space="preserve">9993 </w:t>
            </w:r>
          </w:p>
          <w:p w:rsidR="00A464B6" w:rsidRPr="00E173FE" w:rsidRDefault="00E173FE" w:rsidP="00D077F2">
            <w:pPr>
              <w:spacing w:after="0"/>
              <w:rPr>
                <w:szCs w:val="24"/>
                <w:lang w:val="es-ES_tradnl" w:eastAsia="ja-JP" w:bidi="he-IL"/>
              </w:rPr>
            </w:pPr>
            <w:r>
              <w:rPr>
                <w:szCs w:val="24"/>
                <w:lang w:val="es-ES_tradnl" w:eastAsia="ja-JP" w:bidi="he-IL"/>
              </w:rPr>
              <w:t>(51</w:t>
            </w:r>
            <w:r w:rsidR="00A464B6" w:rsidRPr="00E173FE">
              <w:rPr>
                <w:szCs w:val="24"/>
                <w:lang w:val="es-ES_tradnl" w:eastAsia="ja-JP" w:bidi="he-IL"/>
              </w:rPr>
              <w:t>)</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2126</w:t>
            </w:r>
            <w:r w:rsidR="00156F78" w:rsidRPr="00E173FE">
              <w:rPr>
                <w:rFonts w:hint="eastAsia"/>
                <w:szCs w:val="24"/>
                <w:lang w:val="es-ES_tradnl" w:eastAsia="zh-CN" w:bidi="he-IL"/>
              </w:rPr>
              <w:t xml:space="preserve"> </w:t>
            </w:r>
            <w:r w:rsidRPr="00E173FE">
              <w:rPr>
                <w:szCs w:val="24"/>
                <w:lang w:val="es-ES_tradnl" w:eastAsia="ja-JP" w:bidi="he-IL"/>
              </w:rPr>
              <w:t>(42%)</w:t>
            </w:r>
          </w:p>
          <w:p w:rsidR="00A464B6" w:rsidRPr="00E173FE" w:rsidRDefault="00A464B6" w:rsidP="00D077F2">
            <w:pPr>
              <w:spacing w:after="0"/>
              <w:rPr>
                <w:lang w:eastAsia="ja-JP"/>
              </w:rPr>
            </w:pPr>
            <w:r w:rsidRPr="00E173FE">
              <w:rPr>
                <w:szCs w:val="24"/>
                <w:lang w:val="es-ES_tradnl" w:eastAsia="ja-JP" w:bidi="he-IL"/>
              </w:rPr>
              <w:t>2937 (42%)</w:t>
            </w:r>
          </w:p>
        </w:tc>
        <w:tc>
          <w:tcPr>
            <w:tcW w:w="1166" w:type="dxa"/>
            <w:shd w:val="clear" w:color="auto" w:fill="auto"/>
          </w:tcPr>
          <w:p w:rsidR="00A464B6" w:rsidRPr="00E173FE" w:rsidRDefault="00156F78" w:rsidP="00D077F2">
            <w:pPr>
              <w:spacing w:after="0"/>
              <w:rPr>
                <w:szCs w:val="24"/>
                <w:lang w:val="es-ES_tradnl" w:eastAsia="ja-JP" w:bidi="he-IL"/>
              </w:rPr>
            </w:pPr>
            <w:r w:rsidRPr="00E173FE">
              <w:rPr>
                <w:szCs w:val="24"/>
                <w:lang w:val="es-ES_tradnl" w:eastAsia="ja-JP" w:bidi="he-IL"/>
              </w:rPr>
              <w:t>271</w:t>
            </w:r>
            <w:r w:rsidR="00A464B6" w:rsidRPr="00E173FE">
              <w:rPr>
                <w:szCs w:val="24"/>
                <w:lang w:val="es-ES_tradnl" w:eastAsia="ja-JP" w:bidi="he-IL"/>
              </w:rPr>
              <w:t>396</w:t>
            </w:r>
          </w:p>
          <w:p w:rsidR="00A464B6" w:rsidRPr="00E173FE" w:rsidRDefault="00E173FE" w:rsidP="00D077F2">
            <w:pPr>
              <w:spacing w:after="0"/>
              <w:rPr>
                <w:szCs w:val="24"/>
                <w:lang w:val="es-ES_tradnl" w:eastAsia="ja-JP" w:bidi="he-IL"/>
              </w:rPr>
            </w:pPr>
            <w:r>
              <w:rPr>
                <w:szCs w:val="24"/>
                <w:lang w:val="es-ES_tradnl" w:eastAsia="ja-JP" w:bidi="he-IL"/>
              </w:rPr>
              <w:t>(46</w:t>
            </w:r>
            <w:r w:rsidR="00A464B6" w:rsidRPr="00E173FE">
              <w:rPr>
                <w:szCs w:val="24"/>
                <w:lang w:val="es-ES_tradnl" w:eastAsia="ja-JP" w:bidi="he-IL"/>
              </w:rPr>
              <w:t>)</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p>
        </w:tc>
        <w:tc>
          <w:tcPr>
            <w:tcW w:w="1332" w:type="dxa"/>
            <w:shd w:val="clear" w:color="auto" w:fill="auto"/>
          </w:tcPr>
          <w:p w:rsidR="00A464B6" w:rsidRPr="00E173FE" w:rsidRDefault="00156F78" w:rsidP="00D077F2">
            <w:pPr>
              <w:spacing w:after="0"/>
              <w:rPr>
                <w:szCs w:val="24"/>
                <w:lang w:val="es-ES_tradnl" w:eastAsia="ja-JP" w:bidi="he-IL"/>
              </w:rPr>
            </w:pPr>
            <w:r w:rsidRPr="00E173FE">
              <w:rPr>
                <w:szCs w:val="24"/>
                <w:lang w:val="es-ES_tradnl" w:eastAsia="ja-JP" w:bidi="he-IL"/>
              </w:rPr>
              <w:t>210</w:t>
            </w:r>
            <w:r w:rsidR="00E173FE">
              <w:rPr>
                <w:szCs w:val="24"/>
                <w:lang w:val="es-ES_tradnl" w:eastAsia="ja-JP" w:bidi="he-IL"/>
              </w:rPr>
              <w:t>239 (19.9</w:t>
            </w:r>
            <w:r w:rsidR="00A464B6" w:rsidRPr="00E173FE">
              <w:rPr>
                <w:szCs w:val="24"/>
                <w:lang w:val="es-ES_tradnl" w:eastAsia="ja-JP" w:bidi="he-IL"/>
              </w:rPr>
              <w:t>)</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p>
        </w:tc>
        <w:tc>
          <w:tcPr>
            <w:tcW w:w="154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521,429</w:t>
            </w:r>
          </w:p>
          <w:p w:rsidR="00A464B6" w:rsidRPr="00E173FE" w:rsidRDefault="00E173FE" w:rsidP="00D077F2">
            <w:pPr>
              <w:spacing w:after="0"/>
              <w:rPr>
                <w:szCs w:val="24"/>
                <w:lang w:val="es-ES_tradnl" w:eastAsia="ja-JP" w:bidi="he-IL"/>
              </w:rPr>
            </w:pPr>
            <w:r>
              <w:rPr>
                <w:szCs w:val="24"/>
                <w:lang w:val="es-ES_tradnl" w:eastAsia="ja-JP" w:bidi="he-IL"/>
              </w:rPr>
              <w:t>(22.7</w:t>
            </w:r>
            <w:r w:rsidR="00A464B6" w:rsidRPr="00E173FE">
              <w:rPr>
                <w:szCs w:val="24"/>
                <w:lang w:val="es-ES_tradnl" w:eastAsia="ja-JP" w:bidi="he-IL"/>
              </w:rPr>
              <w:t>)</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p>
        </w:tc>
        <w:tc>
          <w:tcPr>
            <w:tcW w:w="1452" w:type="dxa"/>
            <w:shd w:val="clear" w:color="auto" w:fill="auto"/>
          </w:tcPr>
          <w:p w:rsidR="00A464B6" w:rsidRPr="00E173FE" w:rsidRDefault="00156F78" w:rsidP="00D077F2">
            <w:pPr>
              <w:spacing w:after="0"/>
              <w:rPr>
                <w:szCs w:val="24"/>
                <w:lang w:val="es-ES_tradnl" w:eastAsia="ja-JP" w:bidi="he-IL"/>
              </w:rPr>
            </w:pPr>
            <w:r w:rsidRPr="00E173FE">
              <w:rPr>
                <w:szCs w:val="24"/>
                <w:lang w:val="es-ES_tradnl" w:eastAsia="ja-JP" w:bidi="he-IL"/>
              </w:rPr>
              <w:t>152</w:t>
            </w:r>
            <w:r w:rsidR="00E173FE">
              <w:rPr>
                <w:szCs w:val="24"/>
                <w:lang w:val="es-ES_tradnl" w:eastAsia="ja-JP" w:bidi="he-IL"/>
              </w:rPr>
              <w:t>475 (60.43</w:t>
            </w:r>
            <w:r w:rsidR="00A464B6" w:rsidRPr="00E173FE">
              <w:rPr>
                <w:szCs w:val="24"/>
                <w:lang w:val="es-ES_tradnl" w:eastAsia="ja-JP" w:bidi="he-IL"/>
              </w:rPr>
              <w:t>)</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55.23%</w:t>
            </w:r>
          </w:p>
          <w:p w:rsidR="00A464B6" w:rsidRPr="00E173FE" w:rsidRDefault="00A464B6" w:rsidP="00D077F2">
            <w:pPr>
              <w:spacing w:after="0"/>
              <w:rPr>
                <w:szCs w:val="24"/>
                <w:lang w:val="es-ES_tradnl" w:eastAsia="ja-JP" w:bidi="he-IL"/>
              </w:rPr>
            </w:pPr>
            <w:r w:rsidRPr="00E173FE">
              <w:rPr>
                <w:szCs w:val="24"/>
                <w:lang w:val="es-ES_tradnl" w:eastAsia="ja-JP" w:bidi="he-IL"/>
              </w:rPr>
              <w:t>65.53%</w:t>
            </w:r>
          </w:p>
        </w:tc>
        <w:tc>
          <w:tcPr>
            <w:tcW w:w="1875" w:type="dxa"/>
            <w:shd w:val="clear" w:color="auto" w:fill="auto"/>
          </w:tcPr>
          <w:p w:rsidR="00A464B6" w:rsidRPr="00E173FE" w:rsidRDefault="00156F78" w:rsidP="00D077F2">
            <w:pPr>
              <w:spacing w:after="0"/>
              <w:rPr>
                <w:szCs w:val="24"/>
                <w:lang w:val="es-ES_tradnl" w:eastAsia="ja-JP" w:bidi="he-IL"/>
              </w:rPr>
            </w:pPr>
            <w:r w:rsidRPr="00E173FE">
              <w:rPr>
                <w:szCs w:val="24"/>
                <w:lang w:val="es-ES_tradnl" w:eastAsia="ja-JP" w:bidi="he-IL"/>
              </w:rPr>
              <w:t>1079</w:t>
            </w:r>
            <w:r w:rsidR="00A464B6" w:rsidRPr="00E173FE">
              <w:rPr>
                <w:szCs w:val="24"/>
                <w:lang w:val="es-ES_tradnl" w:eastAsia="ja-JP" w:bidi="he-IL"/>
              </w:rPr>
              <w:t xml:space="preserve">293 </w:t>
            </w:r>
          </w:p>
          <w:p w:rsidR="00A464B6" w:rsidRPr="00E173FE" w:rsidRDefault="00E173FE" w:rsidP="00D077F2">
            <w:pPr>
              <w:spacing w:after="0"/>
              <w:rPr>
                <w:szCs w:val="24"/>
                <w:lang w:val="es-ES_tradnl" w:eastAsia="ja-JP" w:bidi="he-IL"/>
              </w:rPr>
            </w:pPr>
            <w:r>
              <w:rPr>
                <w:szCs w:val="24"/>
                <w:lang w:val="es-ES_tradnl" w:eastAsia="ja-JP" w:bidi="he-IL"/>
              </w:rPr>
              <w:t>(52</w:t>
            </w:r>
            <w:r w:rsidR="00A464B6" w:rsidRPr="00E173FE">
              <w:rPr>
                <w:szCs w:val="24"/>
                <w:lang w:val="es-ES_tradnl" w:eastAsia="ja-JP" w:bidi="he-IL"/>
              </w:rPr>
              <w:t>)</w:t>
            </w:r>
          </w:p>
          <w:p w:rsidR="00A464B6" w:rsidRPr="00E173FE" w:rsidRDefault="00A464B6" w:rsidP="00D077F2">
            <w:pPr>
              <w:spacing w:after="0"/>
              <w:rPr>
                <w:lang w:eastAsia="ja-JP"/>
              </w:rPr>
            </w:pPr>
          </w:p>
          <w:p w:rsidR="00A464B6" w:rsidRPr="00E173FE" w:rsidRDefault="00A464B6" w:rsidP="00D077F2">
            <w:pPr>
              <w:spacing w:after="0"/>
              <w:rPr>
                <w:szCs w:val="24"/>
                <w:lang w:val="es-ES_tradnl" w:eastAsia="ja-JP" w:bidi="he-IL"/>
              </w:rPr>
            </w:pPr>
            <w:r w:rsidRPr="00E173FE">
              <w:rPr>
                <w:szCs w:val="24"/>
                <w:lang w:val="es-ES_tradnl" w:eastAsia="ja-JP" w:bidi="he-IL"/>
              </w:rPr>
              <w:t>510,864 (49.6%)</w:t>
            </w:r>
          </w:p>
          <w:p w:rsidR="00A464B6" w:rsidRPr="00E173FE" w:rsidRDefault="00A464B6" w:rsidP="00D077F2">
            <w:pPr>
              <w:spacing w:after="0"/>
              <w:rPr>
                <w:lang w:eastAsia="ja-JP"/>
              </w:rPr>
            </w:pPr>
            <w:r w:rsidRPr="00E173FE">
              <w:rPr>
                <w:szCs w:val="24"/>
                <w:lang w:val="es-ES_tradnl" w:eastAsia="ja-JP" w:bidi="he-IL"/>
              </w:rPr>
              <w:t>568,429 (54.4%)</w:t>
            </w:r>
          </w:p>
        </w:tc>
        <w:tc>
          <w:tcPr>
            <w:tcW w:w="1211" w:type="dxa"/>
            <w:shd w:val="clear" w:color="auto" w:fill="auto"/>
          </w:tcPr>
          <w:p w:rsidR="00A464B6" w:rsidRPr="00E173FE" w:rsidRDefault="00E173FE" w:rsidP="00D077F2">
            <w:pPr>
              <w:spacing w:after="0"/>
              <w:rPr>
                <w:szCs w:val="24"/>
                <w:lang w:val="es-ES_tradnl" w:eastAsia="ja-JP" w:bidi="he-IL"/>
              </w:rPr>
            </w:pPr>
            <w:r>
              <w:rPr>
                <w:szCs w:val="24"/>
                <w:lang w:val="es-ES_tradnl" w:eastAsia="ja-JP" w:bidi="he-IL"/>
              </w:rPr>
              <w:t>2,964,976 (34.3</w:t>
            </w:r>
            <w:r w:rsidR="00A464B6" w:rsidRPr="00E173FE">
              <w:rPr>
                <w:szCs w:val="24"/>
                <w:lang w:val="es-ES_tradnl" w:eastAsia="ja-JP" w:bidi="he-IL"/>
              </w:rPr>
              <w:t>)</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32.1%</w:t>
            </w:r>
          </w:p>
          <w:p w:rsidR="00A464B6" w:rsidRPr="00E173FE" w:rsidRDefault="00A464B6" w:rsidP="00D077F2">
            <w:pPr>
              <w:spacing w:after="0"/>
              <w:rPr>
                <w:szCs w:val="24"/>
                <w:lang w:val="es-ES_tradnl" w:eastAsia="ja-JP" w:bidi="he-IL"/>
              </w:rPr>
            </w:pPr>
            <w:r w:rsidRPr="00E173FE">
              <w:rPr>
                <w:szCs w:val="24"/>
                <w:lang w:val="es-ES_tradnl" w:eastAsia="ja-JP" w:bidi="he-IL"/>
              </w:rPr>
              <w:t>36.2%</w:t>
            </w:r>
          </w:p>
        </w:tc>
      </w:tr>
      <w:tr w:rsidR="00A464B6" w:rsidRPr="00E173FE" w:rsidTr="00156F78">
        <w:trPr>
          <w:trHeight w:val="1363"/>
        </w:trPr>
        <w:tc>
          <w:tcPr>
            <w:tcW w:w="2074" w:type="dxa"/>
            <w:shd w:val="clear" w:color="auto" w:fill="auto"/>
          </w:tcPr>
          <w:p w:rsidR="00156F78" w:rsidRPr="00E173FE" w:rsidRDefault="00A464B6" w:rsidP="00D077F2">
            <w:pPr>
              <w:spacing w:after="0"/>
              <w:rPr>
                <w:bCs/>
                <w:color w:val="000000"/>
                <w:szCs w:val="24"/>
                <w:lang w:val="pt-BR" w:eastAsia="ja-JP" w:bidi="he-IL"/>
              </w:rPr>
            </w:pPr>
            <w:r w:rsidRPr="00E173FE">
              <w:rPr>
                <w:bCs/>
                <w:color w:val="000000"/>
                <w:szCs w:val="24"/>
                <w:lang w:val="pt-BR" w:eastAsia="ja-JP" w:bidi="he-IL"/>
              </w:rPr>
              <w:t>Positive test</w:t>
            </w:r>
            <w:r w:rsidR="00156F78" w:rsidRPr="00E173FE">
              <w:rPr>
                <w:rFonts w:hint="eastAsia"/>
                <w:bCs/>
                <w:color w:val="000000"/>
                <w:szCs w:val="24"/>
                <w:lang w:val="pt-BR" w:eastAsia="zh-CN" w:bidi="he-IL"/>
              </w:rPr>
              <w:t xml:space="preserve">, </w:t>
            </w:r>
            <w:r w:rsidR="00156F78" w:rsidRPr="00E173FE">
              <w:rPr>
                <w:bCs/>
                <w:i/>
                <w:color w:val="000000"/>
                <w:szCs w:val="24"/>
                <w:lang w:val="pt-BR" w:eastAsia="ja-JP" w:bidi="he-IL"/>
              </w:rPr>
              <w:t>n</w:t>
            </w:r>
            <w:r w:rsidR="00156F78" w:rsidRPr="00E173FE">
              <w:rPr>
                <w:rFonts w:hint="eastAsia"/>
                <w:bCs/>
                <w:color w:val="000000"/>
                <w:szCs w:val="24"/>
                <w:lang w:val="pt-BR" w:eastAsia="zh-CN" w:bidi="he-IL"/>
              </w:rPr>
              <w:t xml:space="preserve"> </w:t>
            </w:r>
            <w:r w:rsidR="00156F78" w:rsidRPr="00E173FE">
              <w:rPr>
                <w:bCs/>
                <w:color w:val="000000"/>
                <w:szCs w:val="24"/>
                <w:lang w:val="pt-BR" w:eastAsia="ja-JP" w:bidi="he-IL"/>
              </w:rPr>
              <w:t xml:space="preserve"> (%)</w:t>
            </w:r>
          </w:p>
          <w:p w:rsidR="00A464B6" w:rsidRPr="00E173FE" w:rsidRDefault="00A464B6" w:rsidP="00D077F2">
            <w:pPr>
              <w:spacing w:after="0"/>
              <w:rPr>
                <w:bCs/>
                <w:color w:val="000000"/>
                <w:szCs w:val="24"/>
                <w:lang w:val="pt-BR" w:eastAsia="ja-JP" w:bidi="he-IL"/>
              </w:rPr>
            </w:pPr>
          </w:p>
          <w:p w:rsidR="00156F78" w:rsidRPr="00E173FE" w:rsidRDefault="00A464B6" w:rsidP="00D077F2">
            <w:pPr>
              <w:spacing w:after="0"/>
              <w:rPr>
                <w:bCs/>
                <w:color w:val="000000"/>
                <w:szCs w:val="24"/>
                <w:lang w:val="pt-BR" w:eastAsia="ja-JP" w:bidi="he-IL"/>
              </w:rPr>
            </w:pPr>
            <w:r w:rsidRPr="00E173FE">
              <w:rPr>
                <w:bCs/>
                <w:color w:val="000000"/>
                <w:szCs w:val="24"/>
                <w:lang w:val="pt-BR" w:eastAsia="ja-JP" w:bidi="he-IL"/>
              </w:rPr>
              <w:t>M</w:t>
            </w:r>
            <w:r w:rsidR="00156F78" w:rsidRPr="00E173FE">
              <w:rPr>
                <w:rFonts w:hint="eastAsia"/>
                <w:bCs/>
                <w:color w:val="000000"/>
                <w:szCs w:val="24"/>
                <w:lang w:val="pt-BR" w:eastAsia="zh-CN" w:bidi="he-IL"/>
              </w:rPr>
              <w:t xml:space="preserve">, </w:t>
            </w:r>
            <w:r w:rsidR="00156F78" w:rsidRPr="00E173FE">
              <w:rPr>
                <w:bCs/>
                <w:i/>
                <w:color w:val="000000"/>
                <w:szCs w:val="24"/>
                <w:lang w:val="pt-BR" w:eastAsia="ja-JP" w:bidi="he-IL"/>
              </w:rPr>
              <w:t>n</w:t>
            </w:r>
            <w:r w:rsidR="00156F78" w:rsidRPr="00E173FE">
              <w:rPr>
                <w:rFonts w:hint="eastAsia"/>
                <w:bCs/>
                <w:color w:val="000000"/>
                <w:szCs w:val="24"/>
                <w:lang w:val="pt-BR" w:eastAsia="zh-CN" w:bidi="he-IL"/>
              </w:rPr>
              <w:t xml:space="preserve"> </w:t>
            </w:r>
            <w:r w:rsidR="00156F78" w:rsidRPr="00E173FE">
              <w:rPr>
                <w:bCs/>
                <w:color w:val="000000"/>
                <w:szCs w:val="24"/>
                <w:lang w:val="pt-BR" w:eastAsia="ja-JP" w:bidi="he-IL"/>
              </w:rPr>
              <w:t xml:space="preserve"> (%)</w:t>
            </w:r>
          </w:p>
          <w:p w:rsidR="00A464B6" w:rsidRPr="00E173FE" w:rsidRDefault="00A464B6" w:rsidP="00D077F2">
            <w:pPr>
              <w:spacing w:after="0"/>
              <w:rPr>
                <w:bCs/>
                <w:color w:val="000000"/>
                <w:szCs w:val="24"/>
                <w:lang w:val="pt-BR" w:eastAsia="ja-JP" w:bidi="he-IL"/>
              </w:rPr>
            </w:pPr>
          </w:p>
          <w:p w:rsidR="00156F78" w:rsidRPr="00E173FE" w:rsidRDefault="00A464B6" w:rsidP="00D077F2">
            <w:pPr>
              <w:spacing w:after="0"/>
              <w:rPr>
                <w:bCs/>
                <w:color w:val="000000"/>
                <w:szCs w:val="24"/>
                <w:lang w:val="pt-BR" w:eastAsia="ja-JP" w:bidi="he-IL"/>
              </w:rPr>
            </w:pPr>
            <w:r w:rsidRPr="00E173FE">
              <w:rPr>
                <w:bCs/>
                <w:color w:val="000000"/>
                <w:szCs w:val="24"/>
                <w:lang w:val="en-US" w:eastAsia="ja-JP" w:bidi="he-IL"/>
              </w:rPr>
              <w:t>F</w:t>
            </w:r>
            <w:r w:rsidR="00156F78" w:rsidRPr="00E173FE">
              <w:rPr>
                <w:rFonts w:hint="eastAsia"/>
                <w:bCs/>
                <w:color w:val="000000"/>
                <w:szCs w:val="24"/>
                <w:lang w:val="pt-BR" w:eastAsia="zh-CN" w:bidi="he-IL"/>
              </w:rPr>
              <w:t xml:space="preserve">, </w:t>
            </w:r>
            <w:r w:rsidR="00156F78" w:rsidRPr="00E173FE">
              <w:rPr>
                <w:bCs/>
                <w:i/>
                <w:color w:val="000000"/>
                <w:szCs w:val="24"/>
                <w:lang w:val="pt-BR" w:eastAsia="ja-JP" w:bidi="he-IL"/>
              </w:rPr>
              <w:t>n</w:t>
            </w:r>
            <w:r w:rsidR="00156F78" w:rsidRPr="00E173FE">
              <w:rPr>
                <w:rFonts w:hint="eastAsia"/>
                <w:bCs/>
                <w:color w:val="000000"/>
                <w:szCs w:val="24"/>
                <w:lang w:val="pt-BR" w:eastAsia="zh-CN" w:bidi="he-IL"/>
              </w:rPr>
              <w:t xml:space="preserve"> </w:t>
            </w:r>
            <w:r w:rsidR="00156F78" w:rsidRPr="00E173FE">
              <w:rPr>
                <w:bCs/>
                <w:color w:val="000000"/>
                <w:szCs w:val="24"/>
                <w:lang w:val="pt-BR" w:eastAsia="ja-JP" w:bidi="he-IL"/>
              </w:rPr>
              <w:t>(%)</w:t>
            </w:r>
          </w:p>
          <w:p w:rsidR="00A464B6" w:rsidRPr="00E173FE" w:rsidRDefault="00A464B6" w:rsidP="00D077F2">
            <w:pPr>
              <w:spacing w:after="0"/>
              <w:rPr>
                <w:bCs/>
                <w:color w:val="000000"/>
                <w:szCs w:val="24"/>
                <w:lang w:val="en-US" w:eastAsia="ja-JP" w:bidi="he-IL"/>
              </w:rPr>
            </w:pPr>
          </w:p>
        </w:tc>
        <w:tc>
          <w:tcPr>
            <w:tcW w:w="1617"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lastRenderedPageBreak/>
              <w:t>15,802</w:t>
            </w:r>
          </w:p>
          <w:p w:rsidR="00A464B6" w:rsidRPr="00E173FE" w:rsidRDefault="00E173FE" w:rsidP="00D077F2">
            <w:pPr>
              <w:spacing w:after="0"/>
              <w:rPr>
                <w:szCs w:val="24"/>
                <w:lang w:val="es-ES_tradnl" w:eastAsia="ja-JP" w:bidi="he-IL"/>
              </w:rPr>
            </w:pPr>
            <w:r>
              <w:rPr>
                <w:szCs w:val="24"/>
                <w:lang w:val="es-ES_tradnl" w:eastAsia="ja-JP" w:bidi="he-IL"/>
              </w:rPr>
              <w:t>(12.2</w:t>
            </w:r>
            <w:r w:rsidR="00A464B6" w:rsidRPr="00E173FE">
              <w:rPr>
                <w:szCs w:val="24"/>
                <w:lang w:val="es-ES_tradnl" w:eastAsia="ja-JP" w:bidi="he-IL"/>
              </w:rPr>
              <w:t>)</w:t>
            </w:r>
          </w:p>
          <w:p w:rsidR="00A464B6" w:rsidRPr="00E173FE" w:rsidRDefault="00A464B6" w:rsidP="00D077F2">
            <w:pPr>
              <w:spacing w:after="0"/>
              <w:rPr>
                <w:lang w:eastAsia="ja-JP"/>
              </w:rPr>
            </w:pPr>
          </w:p>
          <w:p w:rsidR="00A464B6" w:rsidRPr="00E173FE" w:rsidRDefault="00A464B6" w:rsidP="00D077F2">
            <w:pPr>
              <w:spacing w:after="0"/>
              <w:rPr>
                <w:szCs w:val="24"/>
                <w:lang w:val="es-ES_tradnl" w:eastAsia="ja-JP" w:bidi="he-IL"/>
              </w:rPr>
            </w:pPr>
            <w:r w:rsidRPr="00E173FE">
              <w:rPr>
                <w:szCs w:val="24"/>
                <w:lang w:val="es-ES_tradnl" w:eastAsia="ja-JP" w:bidi="he-IL"/>
              </w:rPr>
              <w:t>14.5%</w:t>
            </w:r>
          </w:p>
          <w:p w:rsidR="00A464B6" w:rsidRPr="00E173FE" w:rsidRDefault="00A464B6" w:rsidP="00D077F2">
            <w:pPr>
              <w:spacing w:after="0"/>
              <w:rPr>
                <w:szCs w:val="24"/>
                <w:lang w:val="es-ES_tradnl" w:eastAsia="ja-JP" w:bidi="he-IL"/>
              </w:rPr>
            </w:pPr>
            <w:r w:rsidRPr="00E173FE">
              <w:rPr>
                <w:szCs w:val="24"/>
                <w:lang w:val="es-ES_tradnl" w:eastAsia="ja-JP" w:bidi="he-IL"/>
              </w:rPr>
              <w:lastRenderedPageBreak/>
              <w:t>10.1%</w:t>
            </w:r>
          </w:p>
        </w:tc>
        <w:tc>
          <w:tcPr>
            <w:tcW w:w="1038" w:type="dxa"/>
            <w:shd w:val="clear" w:color="auto" w:fill="auto"/>
          </w:tcPr>
          <w:p w:rsidR="00A464B6" w:rsidRPr="00E173FE" w:rsidRDefault="00E173FE" w:rsidP="00D077F2">
            <w:pPr>
              <w:spacing w:after="0"/>
              <w:rPr>
                <w:szCs w:val="24"/>
                <w:lang w:val="es-ES_tradnl" w:eastAsia="ja-JP" w:bidi="he-IL"/>
              </w:rPr>
            </w:pPr>
            <w:r>
              <w:rPr>
                <w:szCs w:val="24"/>
                <w:lang w:val="es-ES_tradnl" w:eastAsia="ja-JP" w:bidi="he-IL"/>
              </w:rPr>
              <w:lastRenderedPageBreak/>
              <w:t>(5.8</w:t>
            </w:r>
            <w:r w:rsidR="00A464B6" w:rsidRPr="00E173FE">
              <w:rPr>
                <w:szCs w:val="24"/>
                <w:lang w:val="es-ES_tradnl" w:eastAsia="ja-JP" w:bidi="he-IL"/>
              </w:rPr>
              <w:t>)</w:t>
            </w:r>
          </w:p>
        </w:tc>
        <w:tc>
          <w:tcPr>
            <w:tcW w:w="1475" w:type="dxa"/>
            <w:shd w:val="clear" w:color="auto" w:fill="auto"/>
          </w:tcPr>
          <w:p w:rsidR="00A464B6" w:rsidRPr="00E173FE" w:rsidRDefault="00E173FE" w:rsidP="00D077F2">
            <w:pPr>
              <w:spacing w:after="0"/>
              <w:rPr>
                <w:szCs w:val="24"/>
                <w:lang w:val="es-ES_tradnl" w:eastAsia="ja-JP" w:bidi="he-IL"/>
              </w:rPr>
            </w:pPr>
            <w:r>
              <w:rPr>
                <w:szCs w:val="24"/>
                <w:lang w:val="es-ES_tradnl" w:eastAsia="ja-JP" w:bidi="he-IL"/>
              </w:rPr>
              <w:t>514 (10</w:t>
            </w:r>
            <w:r w:rsidR="00A464B6" w:rsidRPr="00E173FE">
              <w:rPr>
                <w:szCs w:val="24"/>
                <w:lang w:val="es-ES_tradnl" w:eastAsia="ja-JP" w:bidi="he-IL"/>
              </w:rPr>
              <w:t>)</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lang w:eastAsia="ja-JP"/>
              </w:rPr>
            </w:pPr>
          </w:p>
          <w:p w:rsidR="00A464B6" w:rsidRPr="00E173FE" w:rsidRDefault="00A464B6" w:rsidP="00D077F2">
            <w:pPr>
              <w:spacing w:after="0"/>
              <w:rPr>
                <w:szCs w:val="24"/>
                <w:lang w:val="es-ES_tradnl" w:eastAsia="ja-JP" w:bidi="he-IL"/>
              </w:rPr>
            </w:pPr>
            <w:r w:rsidRPr="00E173FE">
              <w:rPr>
                <w:szCs w:val="24"/>
                <w:lang w:val="es-ES_tradnl" w:eastAsia="ja-JP" w:bidi="he-IL"/>
              </w:rPr>
              <w:t>254 (5)</w:t>
            </w:r>
          </w:p>
          <w:p w:rsidR="00A464B6" w:rsidRPr="00E173FE" w:rsidRDefault="00E173FE" w:rsidP="00D077F2">
            <w:pPr>
              <w:spacing w:after="0"/>
              <w:rPr>
                <w:szCs w:val="24"/>
                <w:lang w:val="es-ES_tradnl" w:eastAsia="ja-JP" w:bidi="he-IL"/>
              </w:rPr>
            </w:pPr>
            <w:r>
              <w:rPr>
                <w:szCs w:val="24"/>
                <w:lang w:val="es-ES_tradnl" w:eastAsia="ja-JP" w:bidi="he-IL"/>
              </w:rPr>
              <w:lastRenderedPageBreak/>
              <w:t>260 (5</w:t>
            </w:r>
            <w:r w:rsidR="00A464B6" w:rsidRPr="00E173FE">
              <w:rPr>
                <w:szCs w:val="24"/>
                <w:lang w:val="es-ES_tradnl" w:eastAsia="ja-JP" w:bidi="he-IL"/>
              </w:rPr>
              <w:t>)</w:t>
            </w:r>
          </w:p>
        </w:tc>
        <w:tc>
          <w:tcPr>
            <w:tcW w:w="116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lastRenderedPageBreak/>
              <w:t>19,455</w:t>
            </w:r>
          </w:p>
          <w:p w:rsidR="00A464B6" w:rsidRPr="00E173FE" w:rsidRDefault="00E173FE" w:rsidP="00D077F2">
            <w:pPr>
              <w:spacing w:after="0"/>
              <w:rPr>
                <w:szCs w:val="24"/>
                <w:lang w:val="es-ES_tradnl" w:eastAsia="ja-JP" w:bidi="he-IL"/>
              </w:rPr>
            </w:pPr>
            <w:r>
              <w:rPr>
                <w:szCs w:val="24"/>
                <w:lang w:val="es-ES_tradnl" w:eastAsia="ja-JP" w:bidi="he-IL"/>
              </w:rPr>
              <w:t>(7.2</w:t>
            </w:r>
            <w:r w:rsidR="00A464B6" w:rsidRPr="00E173FE">
              <w:rPr>
                <w:szCs w:val="24"/>
                <w:lang w:val="es-ES_tradnl" w:eastAsia="ja-JP" w:bidi="he-IL"/>
              </w:rPr>
              <w:t>)</w:t>
            </w:r>
          </w:p>
        </w:tc>
        <w:tc>
          <w:tcPr>
            <w:tcW w:w="1332" w:type="dxa"/>
            <w:shd w:val="clear" w:color="auto" w:fill="auto"/>
          </w:tcPr>
          <w:p w:rsidR="00A464B6" w:rsidRPr="00E173FE" w:rsidRDefault="00E173FE" w:rsidP="00D077F2">
            <w:pPr>
              <w:spacing w:after="0"/>
              <w:rPr>
                <w:szCs w:val="24"/>
                <w:lang w:val="es-ES_tradnl" w:eastAsia="ja-JP" w:bidi="he-IL"/>
              </w:rPr>
            </w:pPr>
            <w:r>
              <w:rPr>
                <w:szCs w:val="24"/>
                <w:lang w:val="es-ES_tradnl" w:eastAsia="ja-JP" w:bidi="he-IL"/>
              </w:rPr>
              <w:t>12,477 (6.9</w:t>
            </w:r>
            <w:r w:rsidR="00A464B6" w:rsidRPr="00E173FE">
              <w:rPr>
                <w:szCs w:val="24"/>
                <w:lang w:val="es-ES_tradnl" w:eastAsia="ja-JP" w:bidi="he-IL"/>
              </w:rPr>
              <w:t>)</w:t>
            </w:r>
          </w:p>
        </w:tc>
        <w:tc>
          <w:tcPr>
            <w:tcW w:w="154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31,794</w:t>
            </w:r>
          </w:p>
          <w:p w:rsidR="00A464B6" w:rsidRPr="00E173FE" w:rsidRDefault="00E173FE" w:rsidP="00D077F2">
            <w:pPr>
              <w:spacing w:after="0"/>
              <w:rPr>
                <w:szCs w:val="24"/>
                <w:lang w:val="es-ES_tradnl" w:eastAsia="ja-JP" w:bidi="he-IL"/>
              </w:rPr>
            </w:pPr>
            <w:r>
              <w:rPr>
                <w:szCs w:val="24"/>
                <w:lang w:val="es-ES_tradnl" w:eastAsia="ja-JP" w:bidi="he-IL"/>
              </w:rPr>
              <w:t>(6.1</w:t>
            </w:r>
            <w:r w:rsidR="00A464B6" w:rsidRPr="00E173FE">
              <w:rPr>
                <w:szCs w:val="24"/>
                <w:lang w:val="es-ES_tradnl" w:eastAsia="ja-JP" w:bidi="he-IL"/>
              </w:rPr>
              <w:t>)</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p>
        </w:tc>
        <w:tc>
          <w:tcPr>
            <w:tcW w:w="1452" w:type="dxa"/>
            <w:shd w:val="clear" w:color="auto" w:fill="auto"/>
          </w:tcPr>
          <w:p w:rsidR="00A464B6" w:rsidRPr="00E173FE" w:rsidRDefault="00E173FE" w:rsidP="00D077F2">
            <w:pPr>
              <w:spacing w:after="0"/>
              <w:rPr>
                <w:szCs w:val="24"/>
                <w:lang w:val="es-ES_tradnl" w:eastAsia="ja-JP" w:bidi="he-IL"/>
              </w:rPr>
            </w:pPr>
            <w:r>
              <w:rPr>
                <w:szCs w:val="24"/>
                <w:lang w:val="es-ES_tradnl" w:eastAsia="ja-JP" w:bidi="he-IL"/>
              </w:rPr>
              <w:t>8108 (5.9</w:t>
            </w:r>
            <w:r w:rsidR="00A464B6" w:rsidRPr="00E173FE">
              <w:rPr>
                <w:szCs w:val="24"/>
                <w:lang w:val="es-ES_tradnl" w:eastAsia="ja-JP" w:bidi="he-IL"/>
              </w:rPr>
              <w:t>)</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p>
          <w:p w:rsidR="00A464B6" w:rsidRPr="00E173FE" w:rsidRDefault="00A464B6" w:rsidP="00D077F2">
            <w:pPr>
              <w:spacing w:after="0"/>
              <w:rPr>
                <w:lang w:eastAsia="ja-JP"/>
              </w:rPr>
            </w:pPr>
            <w:r w:rsidRPr="00E173FE">
              <w:rPr>
                <w:szCs w:val="24"/>
                <w:lang w:val="es-ES_tradnl" w:eastAsia="ja-JP" w:bidi="he-IL"/>
              </w:rPr>
              <w:t>7.6%</w:t>
            </w:r>
          </w:p>
          <w:p w:rsidR="00A464B6" w:rsidRPr="00E173FE" w:rsidRDefault="00A464B6" w:rsidP="00D077F2">
            <w:pPr>
              <w:spacing w:after="0"/>
              <w:rPr>
                <w:lang w:eastAsia="ja-JP"/>
              </w:rPr>
            </w:pPr>
            <w:r w:rsidRPr="00E173FE">
              <w:rPr>
                <w:szCs w:val="24"/>
                <w:lang w:val="es-ES_tradnl" w:eastAsia="ja-JP" w:bidi="he-IL"/>
              </w:rPr>
              <w:lastRenderedPageBreak/>
              <w:t>4.7%</w:t>
            </w:r>
          </w:p>
        </w:tc>
        <w:tc>
          <w:tcPr>
            <w:tcW w:w="1875" w:type="dxa"/>
            <w:shd w:val="clear" w:color="auto" w:fill="auto"/>
          </w:tcPr>
          <w:p w:rsidR="00A464B6" w:rsidRPr="00E173FE" w:rsidRDefault="00E173FE" w:rsidP="00D077F2">
            <w:pPr>
              <w:spacing w:after="0"/>
              <w:rPr>
                <w:lang w:eastAsia="ja-JP"/>
              </w:rPr>
            </w:pPr>
            <w:r>
              <w:rPr>
                <w:szCs w:val="24"/>
                <w:lang w:val="es-ES_tradnl" w:eastAsia="ja-JP" w:bidi="he-IL"/>
              </w:rPr>
              <w:lastRenderedPageBreak/>
              <w:t>21</w:t>
            </w:r>
            <w:r w:rsidR="00A464B6" w:rsidRPr="00E173FE">
              <w:rPr>
                <w:szCs w:val="24"/>
                <w:lang w:val="es-ES_tradnl" w:eastAsia="ja-JP" w:bidi="he-IL"/>
              </w:rPr>
              <w:t>106 (2%)</w:t>
            </w:r>
          </w:p>
          <w:p w:rsidR="00A464B6" w:rsidRPr="00E173FE" w:rsidRDefault="00A464B6" w:rsidP="00D077F2">
            <w:pPr>
              <w:spacing w:after="0"/>
              <w:rPr>
                <w:lang w:eastAsia="ja-JP"/>
              </w:rPr>
            </w:pPr>
          </w:p>
          <w:p w:rsidR="00A464B6" w:rsidRPr="00E173FE" w:rsidRDefault="00A464B6" w:rsidP="00D077F2">
            <w:pPr>
              <w:spacing w:after="0"/>
              <w:rPr>
                <w:lang w:eastAsia="ja-JP"/>
              </w:rPr>
            </w:pPr>
          </w:p>
          <w:p w:rsidR="00A464B6" w:rsidRPr="00E173FE" w:rsidRDefault="00E173FE" w:rsidP="00D077F2">
            <w:pPr>
              <w:spacing w:after="0"/>
              <w:rPr>
                <w:lang w:eastAsia="ja-JP"/>
              </w:rPr>
            </w:pPr>
            <w:r>
              <w:rPr>
                <w:szCs w:val="24"/>
                <w:lang w:val="es-ES_tradnl" w:eastAsia="ja-JP" w:bidi="he-IL"/>
              </w:rPr>
              <w:t>12776 (2.5</w:t>
            </w:r>
            <w:r w:rsidR="00A464B6" w:rsidRPr="00E173FE">
              <w:rPr>
                <w:szCs w:val="24"/>
                <w:lang w:val="es-ES_tradnl" w:eastAsia="ja-JP" w:bidi="he-IL"/>
              </w:rPr>
              <w:t>)</w:t>
            </w:r>
          </w:p>
          <w:p w:rsidR="00A464B6" w:rsidRPr="00E173FE" w:rsidRDefault="00E173FE" w:rsidP="00D077F2">
            <w:pPr>
              <w:spacing w:after="0"/>
              <w:rPr>
                <w:lang w:eastAsia="ja-JP"/>
              </w:rPr>
            </w:pPr>
            <w:r>
              <w:rPr>
                <w:szCs w:val="24"/>
                <w:lang w:val="es-ES_tradnl" w:eastAsia="ja-JP" w:bidi="he-IL"/>
              </w:rPr>
              <w:lastRenderedPageBreak/>
              <w:t>8330 (1.5</w:t>
            </w:r>
            <w:r w:rsidR="00A464B6" w:rsidRPr="00E173FE">
              <w:rPr>
                <w:szCs w:val="24"/>
                <w:lang w:val="es-ES_tradnl" w:eastAsia="ja-JP" w:bidi="he-IL"/>
              </w:rPr>
              <w:t>)</w:t>
            </w:r>
          </w:p>
          <w:p w:rsidR="00A464B6" w:rsidRPr="00E173FE" w:rsidRDefault="00A464B6" w:rsidP="00D077F2">
            <w:pPr>
              <w:spacing w:after="0"/>
              <w:rPr>
                <w:lang w:eastAsia="ja-JP"/>
              </w:rPr>
            </w:pPr>
          </w:p>
        </w:tc>
        <w:tc>
          <w:tcPr>
            <w:tcW w:w="1211" w:type="dxa"/>
            <w:shd w:val="clear" w:color="auto" w:fill="auto"/>
          </w:tcPr>
          <w:p w:rsidR="00A464B6" w:rsidRPr="00E173FE" w:rsidRDefault="00E173FE" w:rsidP="00D077F2">
            <w:pPr>
              <w:spacing w:after="0"/>
              <w:rPr>
                <w:lang w:eastAsia="ja-JP"/>
              </w:rPr>
            </w:pPr>
            <w:r>
              <w:rPr>
                <w:szCs w:val="24"/>
                <w:lang w:val="es-ES_tradnl" w:eastAsia="ja-JP" w:bidi="he-IL"/>
              </w:rPr>
              <w:lastRenderedPageBreak/>
              <w:t>82786 (2.8</w:t>
            </w:r>
            <w:r w:rsidR="00A464B6" w:rsidRPr="00E173FE">
              <w:rPr>
                <w:szCs w:val="24"/>
                <w:lang w:val="es-ES_tradnl" w:eastAsia="ja-JP" w:bidi="he-IL"/>
              </w:rPr>
              <w:t>)</w:t>
            </w:r>
          </w:p>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3.3%</w:t>
            </w:r>
          </w:p>
          <w:p w:rsidR="00A464B6" w:rsidRPr="00E173FE" w:rsidRDefault="00A464B6" w:rsidP="00D077F2">
            <w:pPr>
              <w:spacing w:after="0"/>
              <w:rPr>
                <w:lang w:eastAsia="ja-JP"/>
              </w:rPr>
            </w:pPr>
            <w:r w:rsidRPr="00E173FE">
              <w:rPr>
                <w:szCs w:val="24"/>
                <w:lang w:val="es-ES_tradnl" w:eastAsia="ja-JP" w:bidi="he-IL"/>
              </w:rPr>
              <w:lastRenderedPageBreak/>
              <w:t>2.4%</w:t>
            </w:r>
          </w:p>
        </w:tc>
      </w:tr>
      <w:tr w:rsidR="00A464B6" w:rsidRPr="00E173FE" w:rsidTr="00156F78">
        <w:trPr>
          <w:trHeight w:val="689"/>
        </w:trPr>
        <w:tc>
          <w:tcPr>
            <w:tcW w:w="2074" w:type="dxa"/>
            <w:shd w:val="clear" w:color="auto" w:fill="auto"/>
          </w:tcPr>
          <w:p w:rsidR="00A464B6" w:rsidRPr="00E173FE" w:rsidRDefault="00A464B6" w:rsidP="00D077F2">
            <w:pPr>
              <w:spacing w:after="0"/>
              <w:rPr>
                <w:bCs/>
                <w:color w:val="000000"/>
                <w:szCs w:val="24"/>
                <w:lang w:val="es-ES_tradnl" w:eastAsia="zh-CN" w:bidi="he-IL"/>
              </w:rPr>
            </w:pPr>
            <w:r w:rsidRPr="00E173FE">
              <w:rPr>
                <w:bCs/>
                <w:color w:val="000000"/>
                <w:szCs w:val="24"/>
                <w:lang w:val="es-ES_tradnl" w:eastAsia="ja-JP" w:bidi="he-IL"/>
              </w:rPr>
              <w:lastRenderedPageBreak/>
              <w:t>Colonoscopies performed</w:t>
            </w:r>
            <w:r w:rsidR="00156F78" w:rsidRPr="00E173FE">
              <w:rPr>
                <w:rFonts w:hint="eastAsia"/>
                <w:bCs/>
                <w:color w:val="000000"/>
                <w:szCs w:val="24"/>
                <w:lang w:val="es-ES_tradnl" w:eastAsia="zh-CN" w:bidi="he-IL"/>
              </w:rPr>
              <w:t xml:space="preserve"> </w:t>
            </w:r>
          </w:p>
        </w:tc>
        <w:tc>
          <w:tcPr>
            <w:tcW w:w="1617" w:type="dxa"/>
            <w:shd w:val="clear" w:color="auto" w:fill="auto"/>
          </w:tcPr>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74.3%</w:t>
            </w:r>
          </w:p>
        </w:tc>
        <w:tc>
          <w:tcPr>
            <w:tcW w:w="1038" w:type="dxa"/>
            <w:shd w:val="clear" w:color="auto" w:fill="auto"/>
          </w:tcPr>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92.5%</w:t>
            </w:r>
          </w:p>
        </w:tc>
        <w:tc>
          <w:tcPr>
            <w:tcW w:w="1475" w:type="dxa"/>
            <w:shd w:val="clear" w:color="auto" w:fill="auto"/>
          </w:tcPr>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87%</w:t>
            </w:r>
          </w:p>
        </w:tc>
        <w:tc>
          <w:tcPr>
            <w:tcW w:w="1166"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66.1%</w:t>
            </w:r>
          </w:p>
        </w:tc>
        <w:tc>
          <w:tcPr>
            <w:tcW w:w="1332"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66%</w:t>
            </w:r>
          </w:p>
        </w:tc>
        <w:tc>
          <w:tcPr>
            <w:tcW w:w="1546" w:type="dxa"/>
            <w:shd w:val="clear" w:color="auto" w:fill="auto"/>
            <w:vAlign w:val="center"/>
          </w:tcPr>
          <w:p w:rsidR="00A464B6" w:rsidRPr="00E173FE" w:rsidRDefault="00A464B6" w:rsidP="00D077F2">
            <w:pPr>
              <w:keepNext/>
              <w:keepLines/>
              <w:spacing w:after="0"/>
              <w:outlineLvl w:val="3"/>
              <w:rPr>
                <w:szCs w:val="24"/>
                <w:lang w:val="es-ES_tradnl" w:eastAsia="ja-JP" w:bidi="he-IL"/>
              </w:rPr>
            </w:pPr>
            <w:r w:rsidRPr="00E173FE">
              <w:rPr>
                <w:szCs w:val="24"/>
                <w:lang w:val="es-ES_tradnl" w:eastAsia="ja-JP" w:bidi="he-IL"/>
              </w:rPr>
              <w:t>95.7%</w:t>
            </w:r>
          </w:p>
        </w:tc>
        <w:tc>
          <w:tcPr>
            <w:tcW w:w="1452"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98.9%</w:t>
            </w:r>
          </w:p>
        </w:tc>
        <w:tc>
          <w:tcPr>
            <w:tcW w:w="1875"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83%</w:t>
            </w:r>
          </w:p>
        </w:tc>
        <w:tc>
          <w:tcPr>
            <w:tcW w:w="1211"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88.4%</w:t>
            </w:r>
          </w:p>
        </w:tc>
      </w:tr>
      <w:tr w:rsidR="00A464B6" w:rsidRPr="00E173FE" w:rsidTr="00156F78">
        <w:trPr>
          <w:trHeight w:val="689"/>
        </w:trPr>
        <w:tc>
          <w:tcPr>
            <w:tcW w:w="2074" w:type="dxa"/>
            <w:shd w:val="clear" w:color="auto" w:fill="auto"/>
          </w:tcPr>
          <w:p w:rsidR="00156F78" w:rsidRPr="00E173FE" w:rsidRDefault="00A464B6" w:rsidP="00D077F2">
            <w:pPr>
              <w:spacing w:after="0"/>
              <w:rPr>
                <w:bCs/>
                <w:color w:val="000000"/>
                <w:szCs w:val="24"/>
                <w:lang w:val="pt-BR" w:eastAsia="ja-JP" w:bidi="he-IL"/>
              </w:rPr>
            </w:pPr>
            <w:r w:rsidRPr="00E173FE">
              <w:rPr>
                <w:bCs/>
                <w:color w:val="000000"/>
                <w:szCs w:val="24"/>
                <w:lang w:val="en-US" w:eastAsia="ja-JP" w:bidi="he-IL"/>
              </w:rPr>
              <w:t>Advanced adenomas</w:t>
            </w:r>
            <w:r w:rsidR="00156F78" w:rsidRPr="00E173FE">
              <w:rPr>
                <w:rFonts w:hint="eastAsia"/>
                <w:bCs/>
                <w:color w:val="000000"/>
                <w:szCs w:val="24"/>
                <w:lang w:val="pt-BR" w:eastAsia="zh-CN" w:bidi="he-IL"/>
              </w:rPr>
              <w:t xml:space="preserve">, </w:t>
            </w:r>
            <w:r w:rsidR="00156F78" w:rsidRPr="00E173FE">
              <w:rPr>
                <w:bCs/>
                <w:i/>
                <w:color w:val="000000"/>
                <w:szCs w:val="24"/>
                <w:lang w:val="pt-BR" w:eastAsia="ja-JP" w:bidi="he-IL"/>
              </w:rPr>
              <w:t>n</w:t>
            </w:r>
            <w:r w:rsidR="00156F78" w:rsidRPr="00E173FE">
              <w:rPr>
                <w:rFonts w:hint="eastAsia"/>
                <w:bCs/>
                <w:color w:val="000000"/>
                <w:szCs w:val="24"/>
                <w:lang w:val="pt-BR" w:eastAsia="zh-CN" w:bidi="he-IL"/>
              </w:rPr>
              <w:t xml:space="preserve"> </w:t>
            </w:r>
            <w:r w:rsidR="00156F78" w:rsidRPr="00E173FE">
              <w:rPr>
                <w:bCs/>
                <w:color w:val="000000"/>
                <w:szCs w:val="24"/>
                <w:lang w:val="pt-BR" w:eastAsia="ja-JP" w:bidi="he-IL"/>
              </w:rPr>
              <w:t>(%)</w:t>
            </w:r>
          </w:p>
          <w:p w:rsidR="00A464B6" w:rsidRPr="00E173FE" w:rsidRDefault="00A464B6" w:rsidP="00D077F2">
            <w:pPr>
              <w:spacing w:after="0"/>
              <w:rPr>
                <w:bCs/>
                <w:color w:val="000000"/>
                <w:szCs w:val="24"/>
                <w:lang w:val="en-US" w:eastAsia="ja-JP" w:bidi="he-IL"/>
              </w:rPr>
            </w:pPr>
          </w:p>
        </w:tc>
        <w:tc>
          <w:tcPr>
            <w:tcW w:w="1617"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3832</w:t>
            </w:r>
          </w:p>
          <w:p w:rsidR="00A464B6" w:rsidRPr="00E173FE" w:rsidRDefault="00E173FE" w:rsidP="00D077F2">
            <w:pPr>
              <w:spacing w:after="0"/>
              <w:rPr>
                <w:szCs w:val="24"/>
                <w:lang w:val="es-ES_tradnl" w:eastAsia="ja-JP" w:bidi="he-IL"/>
              </w:rPr>
            </w:pPr>
            <w:r>
              <w:rPr>
                <w:szCs w:val="24"/>
                <w:lang w:val="es-ES_tradnl" w:eastAsia="ja-JP" w:bidi="he-IL"/>
              </w:rPr>
              <w:t>(33.5</w:t>
            </w:r>
            <w:r w:rsidR="00A464B6" w:rsidRPr="00E173FE">
              <w:rPr>
                <w:szCs w:val="24"/>
                <w:lang w:val="es-ES_tradnl" w:eastAsia="ja-JP" w:bidi="he-IL"/>
              </w:rPr>
              <w:t>)</w:t>
            </w:r>
          </w:p>
        </w:tc>
        <w:tc>
          <w:tcPr>
            <w:tcW w:w="1038"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702</w:t>
            </w:r>
          </w:p>
          <w:p w:rsidR="00A464B6" w:rsidRPr="00E173FE" w:rsidRDefault="00A464B6" w:rsidP="00D077F2">
            <w:pPr>
              <w:spacing w:after="0"/>
              <w:rPr>
                <w:szCs w:val="24"/>
                <w:lang w:val="es-ES_tradnl" w:eastAsia="ja-JP" w:bidi="he-IL"/>
              </w:rPr>
            </w:pPr>
          </w:p>
        </w:tc>
        <w:tc>
          <w:tcPr>
            <w:tcW w:w="14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99</w:t>
            </w:r>
          </w:p>
          <w:p w:rsidR="00A464B6" w:rsidRPr="00E173FE" w:rsidRDefault="00E173FE" w:rsidP="00D077F2">
            <w:pPr>
              <w:spacing w:after="0"/>
              <w:rPr>
                <w:szCs w:val="24"/>
                <w:lang w:val="es-ES_tradnl" w:eastAsia="ja-JP" w:bidi="he-IL"/>
              </w:rPr>
            </w:pPr>
            <w:r>
              <w:rPr>
                <w:szCs w:val="24"/>
                <w:lang w:val="es-ES_tradnl" w:eastAsia="ja-JP" w:bidi="he-IL"/>
              </w:rPr>
              <w:t>(24</w:t>
            </w:r>
            <w:r w:rsidR="00A464B6" w:rsidRPr="00E173FE">
              <w:rPr>
                <w:szCs w:val="24"/>
                <w:lang w:val="es-ES_tradnl" w:eastAsia="ja-JP" w:bidi="he-IL"/>
              </w:rPr>
              <w:t>)</w:t>
            </w:r>
          </w:p>
          <w:p w:rsidR="00A464B6" w:rsidRPr="00E173FE" w:rsidRDefault="00A464B6" w:rsidP="00D077F2">
            <w:pPr>
              <w:spacing w:after="0"/>
              <w:rPr>
                <w:lang w:eastAsia="ja-JP"/>
              </w:rPr>
            </w:pPr>
          </w:p>
        </w:tc>
        <w:tc>
          <w:tcPr>
            <w:tcW w:w="116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3.9%</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p>
        </w:tc>
        <w:tc>
          <w:tcPr>
            <w:tcW w:w="1332"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41%</w:t>
            </w:r>
          </w:p>
        </w:tc>
        <w:tc>
          <w:tcPr>
            <w:tcW w:w="154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3077</w:t>
            </w:r>
          </w:p>
          <w:p w:rsidR="00A464B6" w:rsidRPr="00E173FE" w:rsidRDefault="00A464B6" w:rsidP="00D077F2">
            <w:pPr>
              <w:spacing w:after="0"/>
              <w:rPr>
                <w:szCs w:val="24"/>
                <w:lang w:val="es-ES_tradnl" w:eastAsia="ja-JP" w:bidi="he-IL"/>
              </w:rPr>
            </w:pPr>
          </w:p>
          <w:p w:rsidR="00A464B6" w:rsidRPr="00E173FE" w:rsidRDefault="00A464B6" w:rsidP="00D077F2">
            <w:pPr>
              <w:spacing w:after="0"/>
              <w:rPr>
                <w:lang w:eastAsia="ja-JP"/>
              </w:rPr>
            </w:pPr>
          </w:p>
          <w:p w:rsidR="00A464B6" w:rsidRPr="00E173FE" w:rsidRDefault="00A464B6" w:rsidP="00D077F2">
            <w:pPr>
              <w:spacing w:after="0"/>
              <w:rPr>
                <w:lang w:eastAsia="ja-JP"/>
              </w:rPr>
            </w:pPr>
          </w:p>
        </w:tc>
        <w:tc>
          <w:tcPr>
            <w:tcW w:w="1452" w:type="dxa"/>
            <w:shd w:val="clear" w:color="auto" w:fill="auto"/>
          </w:tcPr>
          <w:p w:rsidR="00A464B6" w:rsidRPr="00E173FE" w:rsidRDefault="00E173FE" w:rsidP="00D077F2">
            <w:pPr>
              <w:spacing w:after="0"/>
              <w:rPr>
                <w:lang w:eastAsia="ja-JP"/>
              </w:rPr>
            </w:pPr>
            <w:r>
              <w:rPr>
                <w:szCs w:val="24"/>
                <w:lang w:val="es-ES_tradnl" w:eastAsia="ja-JP" w:bidi="he-IL"/>
              </w:rPr>
              <w:t>1887 (25.16</w:t>
            </w:r>
            <w:r w:rsidR="00A464B6" w:rsidRPr="00E173FE">
              <w:rPr>
                <w:szCs w:val="24"/>
                <w:lang w:val="es-ES_tradnl" w:eastAsia="ja-JP" w:bidi="he-IL"/>
              </w:rPr>
              <w:t>)</w:t>
            </w:r>
          </w:p>
        </w:tc>
        <w:tc>
          <w:tcPr>
            <w:tcW w:w="18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1721</w:t>
            </w:r>
          </w:p>
          <w:p w:rsidR="00A464B6" w:rsidRPr="00E173FE" w:rsidRDefault="00E173FE" w:rsidP="00D077F2">
            <w:pPr>
              <w:spacing w:after="0"/>
              <w:rPr>
                <w:lang w:eastAsia="ja-JP"/>
              </w:rPr>
            </w:pPr>
            <w:r>
              <w:rPr>
                <w:szCs w:val="24"/>
                <w:lang w:val="es-ES_tradnl" w:eastAsia="ja-JP" w:bidi="he-IL"/>
              </w:rPr>
              <w:t xml:space="preserve"> (9.8</w:t>
            </w:r>
            <w:r w:rsidR="00A464B6" w:rsidRPr="00E173FE">
              <w:rPr>
                <w:szCs w:val="24"/>
                <w:lang w:val="es-ES_tradnl" w:eastAsia="ja-JP" w:bidi="he-IL"/>
              </w:rPr>
              <w:t>)</w:t>
            </w:r>
          </w:p>
          <w:p w:rsidR="00A464B6" w:rsidRPr="00E173FE" w:rsidRDefault="00A464B6" w:rsidP="00D077F2">
            <w:pPr>
              <w:spacing w:after="0"/>
              <w:rPr>
                <w:lang w:eastAsia="ja-JP"/>
              </w:rPr>
            </w:pPr>
          </w:p>
          <w:p w:rsidR="00A464B6" w:rsidRPr="00E173FE" w:rsidRDefault="00A464B6" w:rsidP="00D077F2">
            <w:pPr>
              <w:spacing w:after="0"/>
              <w:rPr>
                <w:lang w:eastAsia="ja-JP"/>
              </w:rPr>
            </w:pPr>
          </w:p>
        </w:tc>
        <w:tc>
          <w:tcPr>
            <w:tcW w:w="1211" w:type="dxa"/>
            <w:shd w:val="clear" w:color="auto" w:fill="auto"/>
          </w:tcPr>
          <w:p w:rsidR="00A464B6" w:rsidRPr="00E173FE" w:rsidRDefault="00E173FE" w:rsidP="00D077F2">
            <w:pPr>
              <w:spacing w:after="0"/>
              <w:rPr>
                <w:lang w:eastAsia="ja-JP"/>
              </w:rPr>
            </w:pPr>
            <w:r>
              <w:rPr>
                <w:szCs w:val="24"/>
                <w:lang w:val="es-ES_tradnl" w:eastAsia="ja-JP" w:bidi="he-IL"/>
              </w:rPr>
              <w:t>14</w:t>
            </w:r>
            <w:r w:rsidR="00A464B6" w:rsidRPr="00E173FE">
              <w:rPr>
                <w:szCs w:val="24"/>
                <w:lang w:val="es-ES_tradnl" w:eastAsia="ja-JP" w:bidi="he-IL"/>
              </w:rPr>
              <w:t>276</w:t>
            </w:r>
          </w:p>
        </w:tc>
      </w:tr>
      <w:tr w:rsidR="00A464B6" w:rsidRPr="00E173FE" w:rsidTr="00156F78">
        <w:trPr>
          <w:trHeight w:val="1109"/>
        </w:trPr>
        <w:tc>
          <w:tcPr>
            <w:tcW w:w="2074" w:type="dxa"/>
            <w:shd w:val="clear" w:color="auto" w:fill="auto"/>
          </w:tcPr>
          <w:p w:rsidR="00A464B6" w:rsidRPr="00E173FE" w:rsidRDefault="00A464B6" w:rsidP="00D077F2">
            <w:pPr>
              <w:spacing w:after="0"/>
              <w:rPr>
                <w:bCs/>
                <w:color w:val="000000"/>
                <w:szCs w:val="24"/>
                <w:lang w:val="es-ES_tradnl" w:eastAsia="ja-JP" w:bidi="he-IL"/>
              </w:rPr>
            </w:pPr>
          </w:p>
          <w:p w:rsidR="00A464B6" w:rsidRPr="00E173FE" w:rsidRDefault="00A464B6" w:rsidP="00D077F2">
            <w:pPr>
              <w:spacing w:after="0"/>
              <w:rPr>
                <w:bCs/>
                <w:color w:val="000000"/>
                <w:szCs w:val="24"/>
                <w:lang w:val="es-ES_tradnl" w:eastAsia="zh-CN" w:bidi="he-IL"/>
              </w:rPr>
            </w:pPr>
            <w:r w:rsidRPr="00E173FE">
              <w:rPr>
                <w:bCs/>
                <w:color w:val="000000"/>
                <w:szCs w:val="24"/>
                <w:lang w:val="es-ES_tradnl" w:eastAsia="ja-JP" w:bidi="he-IL"/>
              </w:rPr>
              <w:t>PPV Advanced adenomas</w:t>
            </w:r>
            <w:r w:rsidR="00156F78" w:rsidRPr="00E173FE">
              <w:rPr>
                <w:rFonts w:hint="eastAsia"/>
                <w:bCs/>
                <w:color w:val="000000"/>
                <w:szCs w:val="24"/>
                <w:lang w:val="es-ES_tradnl" w:eastAsia="zh-CN" w:bidi="he-IL"/>
              </w:rPr>
              <w:t xml:space="preserve"> </w:t>
            </w:r>
          </w:p>
        </w:tc>
        <w:tc>
          <w:tcPr>
            <w:tcW w:w="1617" w:type="dxa"/>
            <w:shd w:val="clear" w:color="auto" w:fill="auto"/>
          </w:tcPr>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NA</w:t>
            </w:r>
          </w:p>
        </w:tc>
        <w:tc>
          <w:tcPr>
            <w:tcW w:w="1038" w:type="dxa"/>
            <w:shd w:val="clear" w:color="auto" w:fill="auto"/>
          </w:tcPr>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30.2%</w:t>
            </w:r>
          </w:p>
        </w:tc>
        <w:tc>
          <w:tcPr>
            <w:tcW w:w="1475" w:type="dxa"/>
            <w:shd w:val="clear" w:color="auto" w:fill="auto"/>
          </w:tcPr>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5%</w:t>
            </w:r>
          </w:p>
        </w:tc>
        <w:tc>
          <w:tcPr>
            <w:tcW w:w="1166"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NA</w:t>
            </w:r>
          </w:p>
        </w:tc>
        <w:tc>
          <w:tcPr>
            <w:tcW w:w="1332"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NA</w:t>
            </w:r>
          </w:p>
        </w:tc>
        <w:tc>
          <w:tcPr>
            <w:tcW w:w="1546"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16.8%</w:t>
            </w:r>
          </w:p>
        </w:tc>
        <w:tc>
          <w:tcPr>
            <w:tcW w:w="1452"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NA</w:t>
            </w:r>
          </w:p>
        </w:tc>
        <w:tc>
          <w:tcPr>
            <w:tcW w:w="1875"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NA</w:t>
            </w:r>
          </w:p>
        </w:tc>
        <w:tc>
          <w:tcPr>
            <w:tcW w:w="1211"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19.6%</w:t>
            </w:r>
          </w:p>
        </w:tc>
      </w:tr>
      <w:tr w:rsidR="00A464B6" w:rsidRPr="00E173FE" w:rsidTr="00156F78">
        <w:trPr>
          <w:trHeight w:val="827"/>
        </w:trPr>
        <w:tc>
          <w:tcPr>
            <w:tcW w:w="2074" w:type="dxa"/>
            <w:shd w:val="clear" w:color="auto" w:fill="auto"/>
          </w:tcPr>
          <w:p w:rsidR="00A464B6" w:rsidRPr="00E173FE" w:rsidRDefault="00A464B6" w:rsidP="00D077F2">
            <w:pPr>
              <w:spacing w:after="0"/>
              <w:rPr>
                <w:bCs/>
                <w:color w:val="000000"/>
                <w:szCs w:val="24"/>
                <w:lang w:val="es-ES_tradnl" w:eastAsia="ja-JP" w:bidi="he-IL"/>
              </w:rPr>
            </w:pPr>
          </w:p>
          <w:p w:rsidR="00156F78" w:rsidRPr="00E173FE" w:rsidRDefault="00A464B6" w:rsidP="00D077F2">
            <w:pPr>
              <w:spacing w:after="0"/>
              <w:rPr>
                <w:bCs/>
                <w:color w:val="000000"/>
                <w:szCs w:val="24"/>
                <w:lang w:val="pt-BR" w:eastAsia="ja-JP" w:bidi="he-IL"/>
              </w:rPr>
            </w:pPr>
            <w:r w:rsidRPr="00E173FE">
              <w:rPr>
                <w:bCs/>
                <w:color w:val="000000"/>
                <w:szCs w:val="24"/>
                <w:lang w:val="es-ES_tradnl" w:eastAsia="ja-JP" w:bidi="he-IL"/>
              </w:rPr>
              <w:t>CRC</w:t>
            </w:r>
            <w:r w:rsidR="00156F78" w:rsidRPr="00E173FE">
              <w:rPr>
                <w:rFonts w:hint="eastAsia"/>
                <w:bCs/>
                <w:color w:val="000000"/>
                <w:szCs w:val="24"/>
                <w:lang w:val="pt-BR" w:eastAsia="zh-CN" w:bidi="he-IL"/>
              </w:rPr>
              <w:t xml:space="preserve">, </w:t>
            </w:r>
            <w:r w:rsidR="00156F78" w:rsidRPr="00E173FE">
              <w:rPr>
                <w:bCs/>
                <w:i/>
                <w:color w:val="000000"/>
                <w:szCs w:val="24"/>
                <w:lang w:val="pt-BR" w:eastAsia="ja-JP" w:bidi="he-IL"/>
              </w:rPr>
              <w:t>n</w:t>
            </w:r>
            <w:r w:rsidR="00156F78" w:rsidRPr="00E173FE">
              <w:rPr>
                <w:rFonts w:hint="eastAsia"/>
                <w:bCs/>
                <w:color w:val="000000"/>
                <w:szCs w:val="24"/>
                <w:lang w:val="pt-BR" w:eastAsia="zh-CN" w:bidi="he-IL"/>
              </w:rPr>
              <w:t xml:space="preserve"> </w:t>
            </w:r>
            <w:r w:rsidR="00156F78" w:rsidRPr="00E173FE">
              <w:rPr>
                <w:bCs/>
                <w:color w:val="000000"/>
                <w:szCs w:val="24"/>
                <w:lang w:val="pt-BR" w:eastAsia="ja-JP" w:bidi="he-IL"/>
              </w:rPr>
              <w:t xml:space="preserve"> (%)</w:t>
            </w:r>
          </w:p>
          <w:p w:rsidR="00A464B6" w:rsidRPr="00E173FE" w:rsidRDefault="00A464B6" w:rsidP="00D077F2">
            <w:pPr>
              <w:spacing w:after="0"/>
              <w:rPr>
                <w:bCs/>
                <w:color w:val="000000"/>
                <w:szCs w:val="24"/>
                <w:lang w:val="es-ES_tradnl" w:eastAsia="zh-CN" w:bidi="he-IL"/>
              </w:rPr>
            </w:pPr>
          </w:p>
        </w:tc>
        <w:tc>
          <w:tcPr>
            <w:tcW w:w="1617" w:type="dxa"/>
            <w:shd w:val="clear" w:color="auto" w:fill="auto"/>
          </w:tcPr>
          <w:p w:rsidR="00A464B6" w:rsidRPr="00E173FE" w:rsidRDefault="00A464B6" w:rsidP="00D077F2">
            <w:pPr>
              <w:spacing w:after="0"/>
              <w:rPr>
                <w:szCs w:val="24"/>
                <w:lang w:val="es-ES_tradnl" w:eastAsia="ja-JP" w:bidi="he-IL"/>
              </w:rPr>
            </w:pPr>
          </w:p>
          <w:p w:rsidR="00A464B6" w:rsidRPr="00E173FE" w:rsidRDefault="00E173FE" w:rsidP="00D077F2">
            <w:pPr>
              <w:spacing w:after="0"/>
              <w:rPr>
                <w:szCs w:val="24"/>
                <w:lang w:val="es-ES_tradnl" w:eastAsia="ja-JP" w:bidi="he-IL"/>
              </w:rPr>
            </w:pPr>
            <w:r>
              <w:rPr>
                <w:szCs w:val="24"/>
                <w:lang w:val="es-ES_tradnl" w:eastAsia="ja-JP" w:bidi="he-IL"/>
              </w:rPr>
              <w:t>763 (6.7</w:t>
            </w:r>
            <w:r w:rsidR="00A464B6" w:rsidRPr="00E173FE">
              <w:rPr>
                <w:szCs w:val="24"/>
                <w:lang w:val="es-ES_tradnl" w:eastAsia="ja-JP" w:bidi="he-IL"/>
              </w:rPr>
              <w:t>)</w:t>
            </w:r>
          </w:p>
        </w:tc>
        <w:tc>
          <w:tcPr>
            <w:tcW w:w="1038" w:type="dxa"/>
            <w:shd w:val="clear" w:color="auto" w:fill="auto"/>
          </w:tcPr>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70</w:t>
            </w:r>
          </w:p>
        </w:tc>
        <w:tc>
          <w:tcPr>
            <w:tcW w:w="1475" w:type="dxa"/>
            <w:shd w:val="clear" w:color="auto" w:fill="auto"/>
          </w:tcPr>
          <w:p w:rsidR="00A464B6" w:rsidRPr="00E173FE" w:rsidRDefault="00A464B6" w:rsidP="00D077F2">
            <w:pPr>
              <w:spacing w:after="0"/>
              <w:rPr>
                <w:szCs w:val="24"/>
                <w:lang w:val="es-ES_tradnl" w:eastAsia="ja-JP" w:bidi="he-IL"/>
              </w:rPr>
            </w:pPr>
          </w:p>
          <w:p w:rsidR="00A464B6" w:rsidRPr="00E173FE" w:rsidRDefault="00E173FE" w:rsidP="00D077F2">
            <w:pPr>
              <w:spacing w:after="0"/>
              <w:rPr>
                <w:szCs w:val="24"/>
                <w:lang w:val="es-ES_tradnl" w:eastAsia="ja-JP" w:bidi="he-IL"/>
              </w:rPr>
            </w:pPr>
            <w:r>
              <w:rPr>
                <w:szCs w:val="24"/>
                <w:lang w:val="es-ES_tradnl" w:eastAsia="ja-JP" w:bidi="he-IL"/>
              </w:rPr>
              <w:t>38 (9</w:t>
            </w:r>
            <w:r w:rsidR="00A464B6" w:rsidRPr="00E173FE">
              <w:rPr>
                <w:szCs w:val="24"/>
                <w:lang w:val="es-ES_tradnl" w:eastAsia="ja-JP" w:bidi="he-IL"/>
              </w:rPr>
              <w:t>)</w:t>
            </w:r>
          </w:p>
        </w:tc>
        <w:tc>
          <w:tcPr>
            <w:tcW w:w="1166"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3.1%</w:t>
            </w:r>
          </w:p>
        </w:tc>
        <w:tc>
          <w:tcPr>
            <w:tcW w:w="1332"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 xml:space="preserve">472 </w:t>
            </w:r>
            <w:r w:rsidR="00E173FE">
              <w:rPr>
                <w:szCs w:val="24"/>
                <w:lang w:val="es-ES_tradnl" w:eastAsia="ja-JP" w:bidi="he-IL"/>
              </w:rPr>
              <w:t>(3.6</w:t>
            </w:r>
            <w:r w:rsidRPr="00E173FE">
              <w:rPr>
                <w:szCs w:val="24"/>
                <w:lang w:val="es-ES_tradnl" w:eastAsia="ja-JP" w:bidi="he-IL"/>
              </w:rPr>
              <w:t>)</w:t>
            </w:r>
          </w:p>
        </w:tc>
        <w:tc>
          <w:tcPr>
            <w:tcW w:w="1546"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829</w:t>
            </w:r>
          </w:p>
        </w:tc>
        <w:tc>
          <w:tcPr>
            <w:tcW w:w="1452" w:type="dxa"/>
            <w:shd w:val="clear" w:color="auto" w:fill="auto"/>
          </w:tcPr>
          <w:p w:rsidR="00A464B6" w:rsidRPr="00E173FE" w:rsidRDefault="00A464B6" w:rsidP="00D077F2">
            <w:pPr>
              <w:spacing w:after="0"/>
              <w:rPr>
                <w:lang w:eastAsia="ja-JP"/>
              </w:rPr>
            </w:pPr>
          </w:p>
          <w:p w:rsidR="00A464B6" w:rsidRPr="00E173FE" w:rsidRDefault="00E173FE" w:rsidP="00D077F2">
            <w:pPr>
              <w:spacing w:after="0"/>
              <w:rPr>
                <w:lang w:eastAsia="ja-JP"/>
              </w:rPr>
            </w:pPr>
            <w:r>
              <w:rPr>
                <w:szCs w:val="24"/>
                <w:lang w:val="es-ES_tradnl" w:eastAsia="ja-JP" w:bidi="he-IL"/>
              </w:rPr>
              <w:t>159 (2.16</w:t>
            </w:r>
            <w:r w:rsidR="00A464B6" w:rsidRPr="00E173FE">
              <w:rPr>
                <w:szCs w:val="24"/>
                <w:lang w:val="es-ES_tradnl" w:eastAsia="ja-JP" w:bidi="he-IL"/>
              </w:rPr>
              <w:t>)</w:t>
            </w:r>
          </w:p>
        </w:tc>
        <w:tc>
          <w:tcPr>
            <w:tcW w:w="1875" w:type="dxa"/>
            <w:shd w:val="clear" w:color="auto" w:fill="auto"/>
          </w:tcPr>
          <w:p w:rsidR="00A464B6" w:rsidRPr="00E173FE" w:rsidRDefault="00A464B6" w:rsidP="00D077F2">
            <w:pPr>
              <w:spacing w:after="0"/>
              <w:rPr>
                <w:lang w:eastAsia="ja-JP"/>
              </w:rPr>
            </w:pPr>
          </w:p>
          <w:p w:rsidR="00A464B6" w:rsidRPr="00E173FE" w:rsidRDefault="00E173FE" w:rsidP="00D077F2">
            <w:pPr>
              <w:spacing w:after="0"/>
              <w:rPr>
                <w:lang w:eastAsia="ja-JP"/>
              </w:rPr>
            </w:pPr>
            <w:r>
              <w:rPr>
                <w:szCs w:val="24"/>
                <w:lang w:val="es-ES_tradnl" w:eastAsia="ja-JP" w:bidi="he-IL"/>
              </w:rPr>
              <w:t>1772 (10.1</w:t>
            </w:r>
            <w:r w:rsidR="00A464B6" w:rsidRPr="00E173FE">
              <w:rPr>
                <w:szCs w:val="24"/>
                <w:lang w:val="es-ES_tradnl" w:eastAsia="ja-JP" w:bidi="he-IL"/>
              </w:rPr>
              <w:t>)</w:t>
            </w:r>
          </w:p>
        </w:tc>
        <w:tc>
          <w:tcPr>
            <w:tcW w:w="1211"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7.5%</w:t>
            </w:r>
          </w:p>
        </w:tc>
      </w:tr>
      <w:tr w:rsidR="00A464B6" w:rsidRPr="00E173FE" w:rsidTr="00156F78">
        <w:trPr>
          <w:trHeight w:val="241"/>
        </w:trPr>
        <w:tc>
          <w:tcPr>
            <w:tcW w:w="2074" w:type="dxa"/>
            <w:shd w:val="clear" w:color="auto" w:fill="auto"/>
          </w:tcPr>
          <w:p w:rsidR="00A464B6" w:rsidRPr="00E173FE" w:rsidRDefault="00A464B6" w:rsidP="00D077F2">
            <w:pPr>
              <w:spacing w:after="0"/>
              <w:rPr>
                <w:bCs/>
                <w:color w:val="000000"/>
                <w:szCs w:val="24"/>
                <w:lang w:val="es-ES_tradnl" w:eastAsia="zh-CN" w:bidi="he-IL"/>
              </w:rPr>
            </w:pPr>
            <w:r w:rsidRPr="00E173FE">
              <w:rPr>
                <w:bCs/>
                <w:color w:val="000000"/>
                <w:szCs w:val="24"/>
                <w:lang w:val="es-ES_tradnl" w:eastAsia="ja-JP" w:bidi="he-IL"/>
              </w:rPr>
              <w:t>PPV CRC</w:t>
            </w:r>
            <w:r w:rsidR="00156F78" w:rsidRPr="00E173FE">
              <w:rPr>
                <w:rFonts w:hint="eastAsia"/>
                <w:bCs/>
                <w:color w:val="000000"/>
                <w:szCs w:val="24"/>
                <w:lang w:val="es-ES_tradnl" w:eastAsia="zh-CN" w:bidi="he-IL"/>
              </w:rPr>
              <w:t xml:space="preserve"> </w:t>
            </w:r>
          </w:p>
        </w:tc>
        <w:tc>
          <w:tcPr>
            <w:tcW w:w="1617"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6.7%</w:t>
            </w:r>
          </w:p>
        </w:tc>
        <w:tc>
          <w:tcPr>
            <w:tcW w:w="1038"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3%</w:t>
            </w:r>
          </w:p>
        </w:tc>
        <w:tc>
          <w:tcPr>
            <w:tcW w:w="1475"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4%</w:t>
            </w:r>
          </w:p>
        </w:tc>
        <w:tc>
          <w:tcPr>
            <w:tcW w:w="116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NA</w:t>
            </w:r>
          </w:p>
        </w:tc>
        <w:tc>
          <w:tcPr>
            <w:tcW w:w="1332"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NA</w:t>
            </w:r>
          </w:p>
        </w:tc>
        <w:tc>
          <w:tcPr>
            <w:tcW w:w="1546" w:type="dxa"/>
            <w:shd w:val="clear" w:color="auto" w:fill="auto"/>
          </w:tcPr>
          <w:p w:rsidR="00A464B6" w:rsidRPr="00E173FE" w:rsidRDefault="00A464B6" w:rsidP="00D077F2">
            <w:pPr>
              <w:spacing w:after="0"/>
              <w:rPr>
                <w:szCs w:val="24"/>
                <w:lang w:val="es-ES_tradnl" w:eastAsia="ja-JP" w:bidi="he-IL"/>
              </w:rPr>
            </w:pPr>
            <w:r w:rsidRPr="00E173FE">
              <w:rPr>
                <w:szCs w:val="24"/>
                <w:lang w:val="es-ES_tradnl" w:eastAsia="ja-JP" w:bidi="he-IL"/>
              </w:rPr>
              <w:t>4.5%</w:t>
            </w:r>
          </w:p>
        </w:tc>
        <w:tc>
          <w:tcPr>
            <w:tcW w:w="1452" w:type="dxa"/>
            <w:shd w:val="clear" w:color="auto" w:fill="auto"/>
          </w:tcPr>
          <w:p w:rsidR="00A464B6" w:rsidRPr="00E173FE" w:rsidRDefault="00A464B6" w:rsidP="00D077F2">
            <w:pPr>
              <w:spacing w:after="0"/>
              <w:rPr>
                <w:lang w:eastAsia="ja-JP"/>
              </w:rPr>
            </w:pPr>
            <w:r w:rsidRPr="00E173FE">
              <w:rPr>
                <w:szCs w:val="24"/>
                <w:lang w:val="es-ES_tradnl" w:eastAsia="ja-JP" w:bidi="he-IL"/>
              </w:rPr>
              <w:t>NA</w:t>
            </w:r>
          </w:p>
        </w:tc>
        <w:tc>
          <w:tcPr>
            <w:tcW w:w="1875" w:type="dxa"/>
            <w:shd w:val="clear" w:color="auto" w:fill="auto"/>
          </w:tcPr>
          <w:p w:rsidR="00A464B6" w:rsidRPr="00E173FE" w:rsidRDefault="00A464B6" w:rsidP="00D077F2">
            <w:pPr>
              <w:spacing w:after="0"/>
              <w:rPr>
                <w:lang w:eastAsia="ja-JP"/>
              </w:rPr>
            </w:pPr>
            <w:r w:rsidRPr="00E173FE">
              <w:rPr>
                <w:szCs w:val="24"/>
                <w:lang w:val="es-ES_tradnl" w:eastAsia="ja-JP" w:bidi="he-IL"/>
              </w:rPr>
              <w:t>NA</w:t>
            </w:r>
          </w:p>
        </w:tc>
        <w:tc>
          <w:tcPr>
            <w:tcW w:w="1211" w:type="dxa"/>
            <w:shd w:val="clear" w:color="auto" w:fill="auto"/>
          </w:tcPr>
          <w:p w:rsidR="00A464B6" w:rsidRPr="00E173FE" w:rsidRDefault="00A464B6" w:rsidP="00D077F2">
            <w:pPr>
              <w:spacing w:after="0"/>
              <w:rPr>
                <w:lang w:eastAsia="ja-JP"/>
              </w:rPr>
            </w:pPr>
            <w:r w:rsidRPr="00E173FE">
              <w:rPr>
                <w:szCs w:val="24"/>
                <w:lang w:val="es-ES_tradnl" w:eastAsia="ja-JP" w:bidi="he-IL"/>
              </w:rPr>
              <w:t>NA</w:t>
            </w:r>
          </w:p>
        </w:tc>
      </w:tr>
      <w:tr w:rsidR="00A464B6" w:rsidRPr="00E173FE" w:rsidTr="00156F78">
        <w:trPr>
          <w:trHeight w:val="683"/>
        </w:trPr>
        <w:tc>
          <w:tcPr>
            <w:tcW w:w="2074" w:type="dxa"/>
            <w:shd w:val="clear" w:color="auto" w:fill="auto"/>
          </w:tcPr>
          <w:p w:rsidR="00A464B6" w:rsidRPr="00E173FE" w:rsidRDefault="00A464B6" w:rsidP="00D077F2">
            <w:pPr>
              <w:spacing w:after="0"/>
              <w:rPr>
                <w:bCs/>
                <w:color w:val="000000"/>
                <w:szCs w:val="24"/>
                <w:lang w:val="es-ES_tradnl" w:eastAsia="ja-JP" w:bidi="he-IL"/>
              </w:rPr>
            </w:pPr>
            <w:r w:rsidRPr="00E173FE">
              <w:rPr>
                <w:bCs/>
                <w:color w:val="000000"/>
                <w:szCs w:val="24"/>
                <w:lang w:val="es-ES_tradnl" w:eastAsia="ja-JP" w:bidi="he-IL"/>
              </w:rPr>
              <w:t>CRC detection rate per  1000</w:t>
            </w:r>
          </w:p>
          <w:p w:rsidR="00A464B6" w:rsidRPr="00E173FE" w:rsidRDefault="00A464B6" w:rsidP="00D077F2">
            <w:pPr>
              <w:spacing w:after="0"/>
              <w:rPr>
                <w:bCs/>
                <w:color w:val="000000"/>
                <w:szCs w:val="24"/>
                <w:lang w:val="es-ES_tradnl" w:eastAsia="ja-JP" w:bidi="he-IL"/>
              </w:rPr>
            </w:pPr>
          </w:p>
        </w:tc>
        <w:tc>
          <w:tcPr>
            <w:tcW w:w="1617" w:type="dxa"/>
            <w:shd w:val="clear" w:color="auto" w:fill="auto"/>
          </w:tcPr>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5.9</w:t>
            </w:r>
          </w:p>
        </w:tc>
        <w:tc>
          <w:tcPr>
            <w:tcW w:w="1038" w:type="dxa"/>
            <w:shd w:val="clear" w:color="auto" w:fill="auto"/>
          </w:tcPr>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1.6</w:t>
            </w:r>
          </w:p>
        </w:tc>
        <w:tc>
          <w:tcPr>
            <w:tcW w:w="1475" w:type="dxa"/>
            <w:shd w:val="clear" w:color="auto" w:fill="auto"/>
          </w:tcPr>
          <w:p w:rsidR="00A464B6" w:rsidRPr="00E173FE" w:rsidRDefault="00A464B6" w:rsidP="00D077F2">
            <w:pPr>
              <w:spacing w:after="0"/>
              <w:rPr>
                <w:szCs w:val="24"/>
                <w:lang w:val="es-ES_tradnl" w:eastAsia="ja-JP" w:bidi="he-IL"/>
              </w:rPr>
            </w:pPr>
          </w:p>
          <w:p w:rsidR="00A464B6" w:rsidRPr="00E173FE" w:rsidRDefault="00A464B6" w:rsidP="00D077F2">
            <w:pPr>
              <w:spacing w:after="0"/>
              <w:rPr>
                <w:szCs w:val="24"/>
                <w:lang w:val="es-ES_tradnl" w:eastAsia="ja-JP" w:bidi="he-IL"/>
              </w:rPr>
            </w:pPr>
            <w:r w:rsidRPr="00E173FE">
              <w:rPr>
                <w:szCs w:val="24"/>
                <w:lang w:val="es-ES_tradnl" w:eastAsia="ja-JP" w:bidi="he-IL"/>
              </w:rPr>
              <w:t>3.3</w:t>
            </w:r>
          </w:p>
        </w:tc>
        <w:tc>
          <w:tcPr>
            <w:tcW w:w="1166"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0.2</w:t>
            </w:r>
          </w:p>
        </w:tc>
        <w:tc>
          <w:tcPr>
            <w:tcW w:w="1332"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NA</w:t>
            </w:r>
          </w:p>
        </w:tc>
        <w:tc>
          <w:tcPr>
            <w:tcW w:w="1546"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1</w:t>
            </w:r>
          </w:p>
        </w:tc>
        <w:tc>
          <w:tcPr>
            <w:tcW w:w="1452"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NA</w:t>
            </w:r>
          </w:p>
        </w:tc>
        <w:tc>
          <w:tcPr>
            <w:tcW w:w="1875"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NA</w:t>
            </w:r>
          </w:p>
        </w:tc>
        <w:tc>
          <w:tcPr>
            <w:tcW w:w="1211" w:type="dxa"/>
            <w:shd w:val="clear" w:color="auto" w:fill="auto"/>
          </w:tcPr>
          <w:p w:rsidR="00A464B6" w:rsidRPr="00E173FE" w:rsidRDefault="00A464B6" w:rsidP="00D077F2">
            <w:pPr>
              <w:spacing w:after="0"/>
              <w:rPr>
                <w:lang w:eastAsia="ja-JP"/>
              </w:rPr>
            </w:pPr>
          </w:p>
          <w:p w:rsidR="00A464B6" w:rsidRPr="00E173FE" w:rsidRDefault="00A464B6" w:rsidP="00D077F2">
            <w:pPr>
              <w:spacing w:after="0"/>
              <w:rPr>
                <w:lang w:eastAsia="ja-JP"/>
              </w:rPr>
            </w:pPr>
            <w:r w:rsidRPr="00E173FE">
              <w:rPr>
                <w:szCs w:val="24"/>
                <w:lang w:val="es-ES_tradnl" w:eastAsia="ja-JP" w:bidi="he-IL"/>
              </w:rPr>
              <w:t>1.9</w:t>
            </w:r>
          </w:p>
        </w:tc>
      </w:tr>
    </w:tbl>
    <w:p w:rsidR="00A464B6" w:rsidRPr="00E173FE" w:rsidRDefault="00A464B6" w:rsidP="00D077F2">
      <w:pPr>
        <w:spacing w:after="0"/>
        <w:rPr>
          <w:rFonts w:cs="Arial"/>
          <w:szCs w:val="24"/>
          <w:lang w:eastAsia="zh-CN"/>
        </w:rPr>
      </w:pPr>
      <w:r w:rsidRPr="00E173FE">
        <w:rPr>
          <w:rFonts w:cs="Arial"/>
          <w:szCs w:val="24"/>
        </w:rPr>
        <w:t xml:space="preserve">NA: </w:t>
      </w:r>
      <w:r w:rsidR="00156F78" w:rsidRPr="00E173FE">
        <w:rPr>
          <w:rFonts w:cs="Arial"/>
          <w:szCs w:val="24"/>
        </w:rPr>
        <w:t xml:space="preserve">Not </w:t>
      </w:r>
      <w:r w:rsidRPr="00E173FE">
        <w:rPr>
          <w:rFonts w:cs="Arial"/>
          <w:szCs w:val="24"/>
        </w:rPr>
        <w:t>available</w:t>
      </w:r>
      <w:r w:rsidR="00156F78" w:rsidRPr="00E173FE">
        <w:rPr>
          <w:rFonts w:cs="Arial" w:hint="eastAsia"/>
          <w:szCs w:val="24"/>
          <w:lang w:eastAsia="zh-CN"/>
        </w:rPr>
        <w:t>.</w:t>
      </w:r>
    </w:p>
    <w:p w:rsidR="00A464B6" w:rsidRPr="00E173FE" w:rsidRDefault="00A464B6" w:rsidP="00D077F2">
      <w:pPr>
        <w:spacing w:after="0"/>
        <w:rPr>
          <w:b/>
          <w:bCs/>
          <w:lang w:val="en-US" w:eastAsia="zh-CN"/>
        </w:rPr>
        <w:sectPr w:rsidR="00A464B6" w:rsidRPr="00E173FE" w:rsidSect="009E6016">
          <w:pgSz w:w="16838" w:h="11906" w:orient="landscape"/>
          <w:pgMar w:top="1418" w:right="1134" w:bottom="1418" w:left="1134" w:header="709" w:footer="709" w:gutter="0"/>
          <w:cols w:space="708"/>
          <w:docGrid w:linePitch="360"/>
        </w:sectPr>
      </w:pPr>
    </w:p>
    <w:p w:rsidR="00A464B6" w:rsidRPr="00E173FE" w:rsidRDefault="00A464B6" w:rsidP="00D077F2">
      <w:pPr>
        <w:spacing w:after="0"/>
        <w:rPr>
          <w:rFonts w:cs="Arial"/>
          <w:szCs w:val="24"/>
          <w:lang w:val="en-US" w:eastAsia="zh-CN"/>
        </w:rPr>
      </w:pPr>
      <w:r w:rsidRPr="00E173FE">
        <w:rPr>
          <w:b/>
          <w:bCs/>
          <w:lang w:val="en-US"/>
        </w:rPr>
        <w:lastRenderedPageBreak/>
        <w:t>Table 3</w:t>
      </w:r>
      <w:r w:rsidR="00156F78" w:rsidRPr="00E173FE">
        <w:rPr>
          <w:rFonts w:hint="eastAsia"/>
          <w:b/>
          <w:bCs/>
          <w:lang w:val="en-US" w:eastAsia="zh-CN"/>
        </w:rPr>
        <w:t xml:space="preserve"> </w:t>
      </w:r>
      <w:r w:rsidRPr="00E173FE">
        <w:rPr>
          <w:b/>
          <w:lang w:val="en-US"/>
        </w:rPr>
        <w:t xml:space="preserve">Results of CRC screening program time-trend (adapted from </w:t>
      </w:r>
      <w:proofErr w:type="spellStart"/>
      <w:r w:rsidRPr="00E173FE">
        <w:rPr>
          <w:b/>
          <w:lang w:val="en-US"/>
        </w:rPr>
        <w:t>Suchanek</w:t>
      </w:r>
      <w:proofErr w:type="spellEnd"/>
      <w:r w:rsidRPr="00E173FE">
        <w:rPr>
          <w:b/>
          <w:lang w:val="en-US"/>
        </w:rPr>
        <w:t xml:space="preserve"> S </w:t>
      </w:r>
      <w:r w:rsidRPr="00E173FE">
        <w:rPr>
          <w:b/>
          <w:i/>
          <w:lang w:val="en-US"/>
        </w:rPr>
        <w:t>et al</w:t>
      </w:r>
      <w:proofErr w:type="gramStart"/>
      <w:r w:rsidRPr="00E173FE">
        <w:rPr>
          <w:b/>
          <w:lang w:val="en-US"/>
        </w:rPr>
        <w:t>)</w:t>
      </w:r>
      <w:r w:rsidRPr="00E173FE">
        <w:rPr>
          <w:rFonts w:cs="Arial"/>
          <w:b/>
          <w:vertAlign w:val="superscript"/>
          <w:lang w:val="en-US"/>
        </w:rPr>
        <w:t>[</w:t>
      </w:r>
      <w:proofErr w:type="gramEnd"/>
      <w:r w:rsidRPr="00E173FE">
        <w:rPr>
          <w:b/>
          <w:vertAlign w:val="superscript"/>
          <w:lang w:val="en-US"/>
        </w:rPr>
        <w:t>43</w:t>
      </w:r>
      <w:r w:rsidRPr="00E173FE">
        <w:rPr>
          <w:rFonts w:cs="Arial"/>
          <w:b/>
          <w:vertAlign w:val="superscript"/>
          <w:lang w:val="en-US"/>
        </w:rPr>
        <w:t>]</w:t>
      </w:r>
    </w:p>
    <w:tbl>
      <w:tblPr>
        <w:tblW w:w="10222" w:type="dxa"/>
        <w:tblInd w:w="-601" w:type="dxa"/>
        <w:tblBorders>
          <w:top w:val="single" w:sz="8" w:space="0" w:color="000000"/>
          <w:bottom w:val="single" w:sz="8" w:space="0" w:color="000000"/>
        </w:tblBorders>
        <w:tblLayout w:type="fixed"/>
        <w:tblLook w:val="00A0" w:firstRow="1" w:lastRow="0" w:firstColumn="1" w:lastColumn="0" w:noHBand="0" w:noVBand="0"/>
      </w:tblPr>
      <w:tblGrid>
        <w:gridCol w:w="2136"/>
        <w:gridCol w:w="1101"/>
        <w:gridCol w:w="1115"/>
        <w:gridCol w:w="1078"/>
        <w:gridCol w:w="1198"/>
        <w:gridCol w:w="1198"/>
        <w:gridCol w:w="1198"/>
        <w:gridCol w:w="1198"/>
      </w:tblGrid>
      <w:tr w:rsidR="00156F78" w:rsidRPr="00E173FE" w:rsidTr="00156F78">
        <w:trPr>
          <w:trHeight w:val="432"/>
        </w:trPr>
        <w:tc>
          <w:tcPr>
            <w:tcW w:w="2136" w:type="dxa"/>
            <w:tcBorders>
              <w:top w:val="single" w:sz="8" w:space="0" w:color="000000"/>
              <w:bottom w:val="single" w:sz="8" w:space="0" w:color="000000"/>
            </w:tcBorders>
            <w:shd w:val="clear" w:color="auto" w:fill="auto"/>
          </w:tcPr>
          <w:p w:rsidR="00A464B6" w:rsidRPr="00E173FE" w:rsidRDefault="00A464B6" w:rsidP="00D077F2">
            <w:pPr>
              <w:spacing w:after="0"/>
              <w:rPr>
                <w:b/>
                <w:bCs/>
                <w:color w:val="000000" w:themeColor="text1"/>
                <w:szCs w:val="24"/>
                <w:lang w:val="en-US" w:bidi="he-IL"/>
              </w:rPr>
            </w:pPr>
          </w:p>
        </w:tc>
        <w:tc>
          <w:tcPr>
            <w:tcW w:w="1101" w:type="dxa"/>
            <w:tcBorders>
              <w:top w:val="single" w:sz="8" w:space="0" w:color="000000"/>
              <w:bottom w:val="single" w:sz="8" w:space="0" w:color="000000"/>
            </w:tcBorders>
            <w:shd w:val="clear" w:color="auto" w:fill="auto"/>
          </w:tcPr>
          <w:p w:rsidR="00A464B6" w:rsidRPr="00E173FE" w:rsidRDefault="00A464B6" w:rsidP="00D077F2">
            <w:pPr>
              <w:keepNext/>
              <w:keepLines/>
              <w:spacing w:after="0"/>
              <w:outlineLvl w:val="3"/>
              <w:rPr>
                <w:b/>
                <w:bCs/>
                <w:color w:val="000000" w:themeColor="text1"/>
                <w:szCs w:val="24"/>
                <w:lang w:val="en-US" w:bidi="he-IL"/>
              </w:rPr>
            </w:pPr>
            <w:r w:rsidRPr="00E173FE">
              <w:rPr>
                <w:b/>
                <w:bCs/>
                <w:color w:val="000000" w:themeColor="text1"/>
                <w:szCs w:val="24"/>
                <w:lang w:val="en-US" w:bidi="he-IL"/>
              </w:rPr>
              <w:t>2006</w:t>
            </w:r>
          </w:p>
        </w:tc>
        <w:tc>
          <w:tcPr>
            <w:tcW w:w="1115" w:type="dxa"/>
            <w:tcBorders>
              <w:top w:val="single" w:sz="8" w:space="0" w:color="000000"/>
              <w:bottom w:val="single" w:sz="8" w:space="0" w:color="000000"/>
            </w:tcBorders>
            <w:shd w:val="clear" w:color="auto" w:fill="auto"/>
          </w:tcPr>
          <w:p w:rsidR="00A464B6" w:rsidRPr="00E173FE" w:rsidRDefault="00A464B6" w:rsidP="00D077F2">
            <w:pPr>
              <w:keepNext/>
              <w:keepLines/>
              <w:spacing w:after="0"/>
              <w:outlineLvl w:val="3"/>
              <w:rPr>
                <w:b/>
                <w:bCs/>
                <w:color w:val="000000" w:themeColor="text1"/>
                <w:szCs w:val="24"/>
                <w:lang w:val="en-US" w:bidi="he-IL"/>
              </w:rPr>
            </w:pPr>
            <w:r w:rsidRPr="00E173FE">
              <w:rPr>
                <w:b/>
                <w:bCs/>
                <w:color w:val="000000" w:themeColor="text1"/>
                <w:szCs w:val="24"/>
                <w:lang w:val="en-US" w:bidi="he-IL"/>
              </w:rPr>
              <w:t>2007</w:t>
            </w:r>
          </w:p>
        </w:tc>
        <w:tc>
          <w:tcPr>
            <w:tcW w:w="1078" w:type="dxa"/>
            <w:tcBorders>
              <w:top w:val="single" w:sz="8" w:space="0" w:color="000000"/>
              <w:bottom w:val="single" w:sz="8" w:space="0" w:color="000000"/>
            </w:tcBorders>
            <w:shd w:val="clear" w:color="auto" w:fill="auto"/>
          </w:tcPr>
          <w:p w:rsidR="00A464B6" w:rsidRPr="00E173FE" w:rsidRDefault="00A464B6" w:rsidP="00D077F2">
            <w:pPr>
              <w:keepNext/>
              <w:keepLines/>
              <w:spacing w:after="0"/>
              <w:outlineLvl w:val="3"/>
              <w:rPr>
                <w:b/>
                <w:bCs/>
                <w:color w:val="000000" w:themeColor="text1"/>
                <w:szCs w:val="24"/>
                <w:lang w:val="en-US" w:bidi="he-IL"/>
              </w:rPr>
            </w:pPr>
            <w:r w:rsidRPr="00E173FE">
              <w:rPr>
                <w:b/>
                <w:bCs/>
                <w:color w:val="000000" w:themeColor="text1"/>
                <w:szCs w:val="24"/>
                <w:lang w:val="en-US" w:bidi="he-IL"/>
              </w:rPr>
              <w:t>2008</w:t>
            </w:r>
          </w:p>
        </w:tc>
        <w:tc>
          <w:tcPr>
            <w:tcW w:w="1198" w:type="dxa"/>
            <w:tcBorders>
              <w:top w:val="single" w:sz="8" w:space="0" w:color="000000"/>
              <w:bottom w:val="single" w:sz="8" w:space="0" w:color="000000"/>
            </w:tcBorders>
            <w:shd w:val="clear" w:color="auto" w:fill="auto"/>
          </w:tcPr>
          <w:p w:rsidR="00A464B6" w:rsidRPr="00E173FE" w:rsidRDefault="00A464B6" w:rsidP="00D077F2">
            <w:pPr>
              <w:keepNext/>
              <w:keepLines/>
              <w:spacing w:after="0"/>
              <w:outlineLvl w:val="3"/>
              <w:rPr>
                <w:b/>
                <w:bCs/>
                <w:color w:val="000000" w:themeColor="text1"/>
                <w:szCs w:val="24"/>
                <w:lang w:val="en-US" w:bidi="he-IL"/>
              </w:rPr>
            </w:pPr>
            <w:r w:rsidRPr="00E173FE">
              <w:rPr>
                <w:b/>
                <w:bCs/>
                <w:color w:val="000000" w:themeColor="text1"/>
                <w:szCs w:val="24"/>
                <w:lang w:val="en-US" w:bidi="he-IL"/>
              </w:rPr>
              <w:t>2009</w:t>
            </w:r>
          </w:p>
        </w:tc>
        <w:tc>
          <w:tcPr>
            <w:tcW w:w="1198" w:type="dxa"/>
            <w:tcBorders>
              <w:top w:val="single" w:sz="8" w:space="0" w:color="000000"/>
              <w:bottom w:val="single" w:sz="8" w:space="0" w:color="000000"/>
            </w:tcBorders>
            <w:shd w:val="clear" w:color="auto" w:fill="auto"/>
          </w:tcPr>
          <w:p w:rsidR="00A464B6" w:rsidRPr="00E173FE" w:rsidRDefault="00A464B6" w:rsidP="00D077F2">
            <w:pPr>
              <w:keepNext/>
              <w:keepLines/>
              <w:spacing w:after="0"/>
              <w:outlineLvl w:val="3"/>
              <w:rPr>
                <w:b/>
                <w:bCs/>
                <w:color w:val="000000" w:themeColor="text1"/>
                <w:szCs w:val="24"/>
                <w:lang w:val="en-US" w:bidi="he-IL"/>
              </w:rPr>
            </w:pPr>
            <w:r w:rsidRPr="00E173FE">
              <w:rPr>
                <w:b/>
                <w:bCs/>
                <w:color w:val="000000" w:themeColor="text1"/>
                <w:szCs w:val="24"/>
                <w:lang w:val="en-US" w:bidi="he-IL"/>
              </w:rPr>
              <w:t>2010</w:t>
            </w:r>
          </w:p>
        </w:tc>
        <w:tc>
          <w:tcPr>
            <w:tcW w:w="1198" w:type="dxa"/>
            <w:tcBorders>
              <w:top w:val="single" w:sz="8" w:space="0" w:color="000000"/>
              <w:bottom w:val="single" w:sz="8" w:space="0" w:color="000000"/>
            </w:tcBorders>
            <w:shd w:val="clear" w:color="auto" w:fill="auto"/>
          </w:tcPr>
          <w:p w:rsidR="00A464B6" w:rsidRPr="00E173FE" w:rsidRDefault="00A464B6" w:rsidP="00D077F2">
            <w:pPr>
              <w:keepNext/>
              <w:keepLines/>
              <w:spacing w:after="0"/>
              <w:outlineLvl w:val="3"/>
              <w:rPr>
                <w:b/>
                <w:bCs/>
                <w:color w:val="000000" w:themeColor="text1"/>
                <w:szCs w:val="24"/>
                <w:lang w:val="en-US" w:bidi="he-IL"/>
              </w:rPr>
            </w:pPr>
            <w:r w:rsidRPr="00E173FE">
              <w:rPr>
                <w:b/>
                <w:bCs/>
                <w:color w:val="000000" w:themeColor="text1"/>
                <w:szCs w:val="24"/>
                <w:lang w:val="en-US" w:bidi="he-IL"/>
              </w:rPr>
              <w:t>2011</w:t>
            </w:r>
          </w:p>
        </w:tc>
        <w:tc>
          <w:tcPr>
            <w:tcW w:w="1198" w:type="dxa"/>
            <w:tcBorders>
              <w:top w:val="single" w:sz="8" w:space="0" w:color="000000"/>
              <w:bottom w:val="single" w:sz="8" w:space="0" w:color="000000"/>
            </w:tcBorders>
            <w:shd w:val="clear" w:color="auto" w:fill="auto"/>
          </w:tcPr>
          <w:p w:rsidR="00A464B6" w:rsidRPr="00E173FE" w:rsidRDefault="00A464B6" w:rsidP="00D077F2">
            <w:pPr>
              <w:keepNext/>
              <w:keepLines/>
              <w:spacing w:after="0"/>
              <w:outlineLvl w:val="3"/>
              <w:rPr>
                <w:b/>
                <w:bCs/>
                <w:color w:val="000000" w:themeColor="text1"/>
                <w:szCs w:val="24"/>
                <w:lang w:val="en-US" w:bidi="he-IL"/>
              </w:rPr>
            </w:pPr>
            <w:r w:rsidRPr="00E173FE">
              <w:rPr>
                <w:b/>
                <w:bCs/>
                <w:color w:val="000000" w:themeColor="text1"/>
                <w:szCs w:val="24"/>
                <w:lang w:val="en-US" w:bidi="he-IL"/>
              </w:rPr>
              <w:t>Total</w:t>
            </w:r>
          </w:p>
        </w:tc>
      </w:tr>
      <w:tr w:rsidR="00A464B6" w:rsidRPr="00E173FE" w:rsidTr="00156F78">
        <w:trPr>
          <w:trHeight w:val="1284"/>
        </w:trPr>
        <w:tc>
          <w:tcPr>
            <w:tcW w:w="2136" w:type="dxa"/>
            <w:tcBorders>
              <w:top w:val="single" w:sz="8" w:space="0" w:color="000000"/>
            </w:tcBorders>
            <w:shd w:val="clear" w:color="auto" w:fill="auto"/>
            <w:vAlign w:val="center"/>
          </w:tcPr>
          <w:p w:rsidR="00A464B6" w:rsidRPr="00E173FE" w:rsidRDefault="00A464B6" w:rsidP="00D077F2">
            <w:pPr>
              <w:spacing w:after="0"/>
              <w:rPr>
                <w:b/>
                <w:bCs/>
                <w:color w:val="000000"/>
                <w:lang w:val="en-US"/>
              </w:rPr>
            </w:pPr>
            <w:r w:rsidRPr="00E173FE">
              <w:rPr>
                <w:color w:val="000000"/>
                <w:szCs w:val="24"/>
                <w:lang w:val="en-US" w:bidi="he-IL"/>
              </w:rPr>
              <w:t>Examined patients (</w:t>
            </w:r>
            <w:r w:rsidRPr="00E173FE">
              <w:rPr>
                <w:i/>
                <w:color w:val="000000"/>
                <w:szCs w:val="24"/>
                <w:lang w:val="en-US" w:bidi="he-IL"/>
              </w:rPr>
              <w:t>n</w:t>
            </w:r>
            <w:r w:rsidRPr="00E173FE">
              <w:rPr>
                <w:color w:val="000000"/>
                <w:szCs w:val="24"/>
                <w:lang w:val="en-US" w:bidi="he-IL"/>
              </w:rPr>
              <w:t>)</w:t>
            </w:r>
          </w:p>
        </w:tc>
        <w:tc>
          <w:tcPr>
            <w:tcW w:w="1101" w:type="dxa"/>
            <w:tcBorders>
              <w:top w:val="single" w:sz="8" w:space="0" w:color="000000"/>
            </w:tcBorders>
            <w:shd w:val="clear" w:color="auto" w:fill="auto"/>
            <w:vAlign w:val="center"/>
          </w:tcPr>
          <w:p w:rsidR="00A464B6" w:rsidRPr="00E173FE" w:rsidRDefault="00156F78" w:rsidP="00D077F2">
            <w:pPr>
              <w:spacing w:after="0"/>
              <w:rPr>
                <w:color w:val="000000"/>
                <w:lang w:val="en-US"/>
              </w:rPr>
            </w:pPr>
            <w:r w:rsidRPr="00E173FE">
              <w:rPr>
                <w:color w:val="000000"/>
                <w:szCs w:val="24"/>
                <w:lang w:val="en-US" w:bidi="he-IL"/>
              </w:rPr>
              <w:t>272</w:t>
            </w:r>
            <w:r w:rsidR="00A464B6" w:rsidRPr="00E173FE">
              <w:rPr>
                <w:color w:val="000000"/>
                <w:szCs w:val="24"/>
                <w:lang w:val="en-US" w:bidi="he-IL"/>
              </w:rPr>
              <w:t>658</w:t>
            </w:r>
          </w:p>
        </w:tc>
        <w:tc>
          <w:tcPr>
            <w:tcW w:w="1115" w:type="dxa"/>
            <w:tcBorders>
              <w:top w:val="single" w:sz="8" w:space="0" w:color="000000"/>
            </w:tcBorders>
            <w:shd w:val="clear" w:color="auto" w:fill="auto"/>
            <w:vAlign w:val="center"/>
          </w:tcPr>
          <w:p w:rsidR="00A464B6" w:rsidRPr="00E173FE" w:rsidRDefault="00156F78" w:rsidP="00D077F2">
            <w:pPr>
              <w:spacing w:after="0"/>
              <w:rPr>
                <w:color w:val="000000"/>
                <w:lang w:val="en-US"/>
              </w:rPr>
            </w:pPr>
            <w:r w:rsidRPr="00E173FE">
              <w:rPr>
                <w:color w:val="000000"/>
                <w:szCs w:val="24"/>
                <w:lang w:val="en-US" w:bidi="he-IL"/>
              </w:rPr>
              <w:t>320</w:t>
            </w:r>
            <w:r w:rsidR="00A464B6" w:rsidRPr="00E173FE">
              <w:rPr>
                <w:color w:val="000000"/>
                <w:szCs w:val="24"/>
                <w:lang w:val="en-US" w:bidi="he-IL"/>
              </w:rPr>
              <w:t>317</w:t>
            </w:r>
          </w:p>
        </w:tc>
        <w:tc>
          <w:tcPr>
            <w:tcW w:w="1078" w:type="dxa"/>
            <w:tcBorders>
              <w:top w:val="single" w:sz="8" w:space="0" w:color="000000"/>
            </w:tcBorders>
            <w:shd w:val="clear" w:color="auto" w:fill="auto"/>
            <w:vAlign w:val="center"/>
          </w:tcPr>
          <w:p w:rsidR="00A464B6" w:rsidRPr="00E173FE" w:rsidRDefault="00156F78" w:rsidP="00D077F2">
            <w:pPr>
              <w:spacing w:after="0"/>
              <w:rPr>
                <w:color w:val="000000"/>
                <w:lang w:val="en-US"/>
              </w:rPr>
            </w:pPr>
            <w:r w:rsidRPr="00E173FE">
              <w:rPr>
                <w:color w:val="000000"/>
                <w:szCs w:val="24"/>
                <w:lang w:val="en-US" w:bidi="he-IL"/>
              </w:rPr>
              <w:t>352</w:t>
            </w:r>
            <w:r w:rsidR="00A464B6" w:rsidRPr="00E173FE">
              <w:rPr>
                <w:color w:val="000000"/>
                <w:szCs w:val="24"/>
                <w:lang w:val="en-US" w:bidi="he-IL"/>
              </w:rPr>
              <w:t>595</w:t>
            </w:r>
          </w:p>
        </w:tc>
        <w:tc>
          <w:tcPr>
            <w:tcW w:w="1198" w:type="dxa"/>
            <w:tcBorders>
              <w:top w:val="single" w:sz="8" w:space="0" w:color="000000"/>
            </w:tcBorders>
            <w:shd w:val="clear" w:color="auto" w:fill="auto"/>
            <w:vAlign w:val="center"/>
          </w:tcPr>
          <w:p w:rsidR="00A464B6" w:rsidRPr="00E173FE" w:rsidRDefault="00156F78" w:rsidP="00D077F2">
            <w:pPr>
              <w:spacing w:after="0"/>
              <w:rPr>
                <w:color w:val="000000"/>
                <w:lang w:val="en-US"/>
              </w:rPr>
            </w:pPr>
            <w:r w:rsidRPr="00E173FE">
              <w:rPr>
                <w:color w:val="000000"/>
                <w:szCs w:val="24"/>
                <w:lang w:val="en-US" w:bidi="he-IL"/>
              </w:rPr>
              <w:t>414</w:t>
            </w:r>
            <w:r w:rsidR="00A464B6" w:rsidRPr="00E173FE">
              <w:rPr>
                <w:color w:val="000000"/>
                <w:szCs w:val="24"/>
                <w:lang w:val="en-US" w:bidi="he-IL"/>
              </w:rPr>
              <w:t>300</w:t>
            </w:r>
          </w:p>
        </w:tc>
        <w:tc>
          <w:tcPr>
            <w:tcW w:w="1198" w:type="dxa"/>
            <w:tcBorders>
              <w:top w:val="single" w:sz="8" w:space="0" w:color="000000"/>
            </w:tcBorders>
            <w:shd w:val="clear" w:color="auto" w:fill="auto"/>
            <w:vAlign w:val="center"/>
          </w:tcPr>
          <w:p w:rsidR="00A464B6" w:rsidRPr="00E173FE" w:rsidRDefault="00156F78" w:rsidP="00D077F2">
            <w:pPr>
              <w:spacing w:after="0"/>
              <w:rPr>
                <w:color w:val="000000"/>
                <w:lang w:val="en-US"/>
              </w:rPr>
            </w:pPr>
            <w:r w:rsidRPr="00E173FE">
              <w:rPr>
                <w:color w:val="000000"/>
                <w:szCs w:val="24"/>
                <w:lang w:val="en-US" w:bidi="he-IL"/>
              </w:rPr>
              <w:t>521</w:t>
            </w:r>
            <w:r w:rsidR="00A464B6" w:rsidRPr="00E173FE">
              <w:rPr>
                <w:color w:val="000000"/>
                <w:szCs w:val="24"/>
                <w:lang w:val="en-US" w:bidi="he-IL"/>
              </w:rPr>
              <w:t>429</w:t>
            </w:r>
          </w:p>
        </w:tc>
        <w:tc>
          <w:tcPr>
            <w:tcW w:w="1198" w:type="dxa"/>
            <w:tcBorders>
              <w:top w:val="single" w:sz="8" w:space="0" w:color="000000"/>
            </w:tcBorders>
            <w:shd w:val="clear" w:color="auto" w:fill="auto"/>
            <w:vAlign w:val="center"/>
          </w:tcPr>
          <w:p w:rsidR="00A464B6" w:rsidRPr="00E173FE" w:rsidRDefault="00A464B6" w:rsidP="00D077F2">
            <w:pPr>
              <w:spacing w:after="0"/>
              <w:rPr>
                <w:color w:val="000000"/>
                <w:lang w:val="en-US"/>
              </w:rPr>
            </w:pPr>
            <w:r w:rsidRPr="00E173FE">
              <w:rPr>
                <w:color w:val="000000"/>
                <w:szCs w:val="24"/>
                <w:lang w:val="en-US" w:bidi="he-IL"/>
              </w:rPr>
              <w:t>NA</w:t>
            </w:r>
          </w:p>
        </w:tc>
        <w:tc>
          <w:tcPr>
            <w:tcW w:w="1198" w:type="dxa"/>
            <w:tcBorders>
              <w:top w:val="single" w:sz="8" w:space="0" w:color="000000"/>
            </w:tcBorders>
            <w:shd w:val="clear" w:color="auto" w:fill="auto"/>
            <w:vAlign w:val="center"/>
          </w:tcPr>
          <w:p w:rsidR="00A464B6" w:rsidRPr="00E173FE" w:rsidRDefault="00156F78" w:rsidP="00D077F2">
            <w:pPr>
              <w:spacing w:after="0"/>
              <w:rPr>
                <w:color w:val="000000"/>
                <w:lang w:val="en-US"/>
              </w:rPr>
            </w:pPr>
            <w:r w:rsidRPr="00E173FE">
              <w:rPr>
                <w:color w:val="000000"/>
                <w:szCs w:val="24"/>
                <w:lang w:val="en-US" w:bidi="he-IL"/>
              </w:rPr>
              <w:t>1881</w:t>
            </w:r>
            <w:r w:rsidR="00A464B6" w:rsidRPr="00E173FE">
              <w:rPr>
                <w:color w:val="000000"/>
                <w:szCs w:val="24"/>
                <w:lang w:val="en-US" w:bidi="he-IL"/>
              </w:rPr>
              <w:t>299</w:t>
            </w:r>
          </w:p>
        </w:tc>
      </w:tr>
      <w:tr w:rsidR="00A464B6" w:rsidRPr="00E173FE" w:rsidTr="00156F78">
        <w:trPr>
          <w:trHeight w:val="863"/>
        </w:trPr>
        <w:tc>
          <w:tcPr>
            <w:tcW w:w="2136" w:type="dxa"/>
            <w:shd w:val="clear" w:color="auto" w:fill="auto"/>
            <w:vAlign w:val="center"/>
          </w:tcPr>
          <w:p w:rsidR="00A464B6" w:rsidRPr="00E173FE" w:rsidRDefault="00A464B6" w:rsidP="00D077F2">
            <w:pPr>
              <w:spacing w:after="0"/>
              <w:rPr>
                <w:b/>
                <w:bCs/>
                <w:color w:val="000000"/>
                <w:lang w:val="en-US"/>
              </w:rPr>
            </w:pPr>
            <w:r w:rsidRPr="00E173FE">
              <w:rPr>
                <w:color w:val="000000"/>
                <w:szCs w:val="24"/>
                <w:lang w:val="en-US" w:bidi="he-IL"/>
              </w:rPr>
              <w:t>Positivity rate</w:t>
            </w:r>
          </w:p>
        </w:tc>
        <w:tc>
          <w:tcPr>
            <w:tcW w:w="1101" w:type="dxa"/>
            <w:shd w:val="clear" w:color="auto" w:fill="auto"/>
            <w:vAlign w:val="center"/>
          </w:tcPr>
          <w:p w:rsidR="00A464B6" w:rsidRPr="00E173FE" w:rsidRDefault="00156F78" w:rsidP="00D077F2">
            <w:pPr>
              <w:spacing w:after="0"/>
              <w:rPr>
                <w:color w:val="000000"/>
                <w:lang w:val="en-US" w:eastAsia="zh-CN"/>
              </w:rPr>
            </w:pPr>
            <w:r w:rsidRPr="00E173FE">
              <w:rPr>
                <w:color w:val="000000"/>
                <w:szCs w:val="24"/>
                <w:lang w:val="en-US" w:bidi="he-IL"/>
              </w:rPr>
              <w:t>3.6</w:t>
            </w:r>
            <w:r w:rsidRPr="00E173FE">
              <w:rPr>
                <w:rFonts w:hint="eastAsia"/>
                <w:color w:val="000000"/>
                <w:szCs w:val="24"/>
                <w:lang w:val="en-US" w:eastAsia="zh-CN" w:bidi="he-IL"/>
              </w:rPr>
              <w:t>%</w:t>
            </w:r>
          </w:p>
        </w:tc>
        <w:tc>
          <w:tcPr>
            <w:tcW w:w="1115" w:type="dxa"/>
            <w:shd w:val="clear" w:color="auto" w:fill="auto"/>
            <w:vAlign w:val="center"/>
          </w:tcPr>
          <w:p w:rsidR="00A464B6" w:rsidRPr="00E173FE" w:rsidRDefault="00156F78" w:rsidP="00D077F2">
            <w:pPr>
              <w:spacing w:after="0"/>
              <w:rPr>
                <w:color w:val="000000"/>
                <w:lang w:val="en-US" w:eastAsia="zh-CN"/>
              </w:rPr>
            </w:pPr>
            <w:r w:rsidRPr="00E173FE">
              <w:rPr>
                <w:color w:val="000000"/>
                <w:szCs w:val="24"/>
                <w:lang w:val="en-US" w:bidi="he-IL"/>
              </w:rPr>
              <w:t>3.3</w:t>
            </w:r>
            <w:r w:rsidRPr="00E173FE">
              <w:rPr>
                <w:rFonts w:hint="eastAsia"/>
                <w:color w:val="000000"/>
                <w:szCs w:val="24"/>
                <w:lang w:val="en-US" w:eastAsia="zh-CN" w:bidi="he-IL"/>
              </w:rPr>
              <w:t>%</w:t>
            </w:r>
          </w:p>
        </w:tc>
        <w:tc>
          <w:tcPr>
            <w:tcW w:w="107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4.1</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5.0</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6.1</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rPr>
            </w:pPr>
            <w:r w:rsidRPr="00E173FE">
              <w:rPr>
                <w:color w:val="000000"/>
                <w:szCs w:val="24"/>
                <w:lang w:val="en-US" w:bidi="he-IL"/>
              </w:rPr>
              <w:t>NA</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4.6</w:t>
            </w:r>
            <w:r w:rsidR="00156F78" w:rsidRPr="00E173FE">
              <w:rPr>
                <w:rFonts w:hint="eastAsia"/>
                <w:color w:val="000000"/>
                <w:szCs w:val="24"/>
                <w:lang w:val="en-US" w:eastAsia="zh-CN" w:bidi="he-IL"/>
              </w:rPr>
              <w:t>%</w:t>
            </w:r>
          </w:p>
        </w:tc>
      </w:tr>
      <w:tr w:rsidR="00A464B6" w:rsidRPr="00E173FE" w:rsidTr="00156F78">
        <w:trPr>
          <w:trHeight w:val="1730"/>
        </w:trPr>
        <w:tc>
          <w:tcPr>
            <w:tcW w:w="2136" w:type="dxa"/>
            <w:shd w:val="clear" w:color="auto" w:fill="auto"/>
            <w:vAlign w:val="center"/>
          </w:tcPr>
          <w:p w:rsidR="00A464B6" w:rsidRPr="00E173FE" w:rsidRDefault="00A464B6" w:rsidP="00D077F2">
            <w:pPr>
              <w:spacing w:after="0"/>
              <w:rPr>
                <w:b/>
                <w:bCs/>
                <w:color w:val="000000"/>
                <w:lang w:val="en-US" w:eastAsia="zh-CN"/>
              </w:rPr>
            </w:pPr>
            <w:r w:rsidRPr="00E173FE">
              <w:rPr>
                <w:color w:val="000000"/>
                <w:szCs w:val="24"/>
                <w:lang w:val="en-US" w:bidi="he-IL"/>
              </w:rPr>
              <w:t xml:space="preserve">PPV for advanced adenoma </w:t>
            </w:r>
            <w:r w:rsidR="00156F78" w:rsidRPr="00E173FE">
              <w:rPr>
                <w:rFonts w:hint="eastAsia"/>
                <w:color w:val="000000"/>
                <w:szCs w:val="24"/>
                <w:lang w:val="en-US" w:eastAsia="zh-CN" w:bidi="he-IL"/>
              </w:rPr>
              <w:t xml:space="preserve"> </w:t>
            </w:r>
          </w:p>
        </w:tc>
        <w:tc>
          <w:tcPr>
            <w:tcW w:w="1101"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14.1</w:t>
            </w:r>
            <w:r w:rsidR="00156F78" w:rsidRPr="00E173FE">
              <w:rPr>
                <w:rFonts w:hint="eastAsia"/>
                <w:color w:val="000000"/>
                <w:szCs w:val="24"/>
                <w:lang w:val="en-US" w:eastAsia="zh-CN" w:bidi="he-IL"/>
              </w:rPr>
              <w:t>%</w:t>
            </w:r>
          </w:p>
        </w:tc>
        <w:tc>
          <w:tcPr>
            <w:tcW w:w="1115"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13.5</w:t>
            </w:r>
            <w:r w:rsidR="00156F78" w:rsidRPr="00E173FE">
              <w:rPr>
                <w:rFonts w:hint="eastAsia"/>
                <w:color w:val="000000"/>
                <w:szCs w:val="24"/>
                <w:lang w:val="en-US" w:eastAsia="zh-CN" w:bidi="he-IL"/>
              </w:rPr>
              <w:t>%</w:t>
            </w:r>
          </w:p>
        </w:tc>
        <w:tc>
          <w:tcPr>
            <w:tcW w:w="107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16.2</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16.6</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16.8</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16.7</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16.2</w:t>
            </w:r>
            <w:r w:rsidR="00156F78" w:rsidRPr="00E173FE">
              <w:rPr>
                <w:rFonts w:hint="eastAsia"/>
                <w:color w:val="000000"/>
                <w:szCs w:val="24"/>
                <w:lang w:val="en-US" w:eastAsia="zh-CN" w:bidi="he-IL"/>
              </w:rPr>
              <w:t>%</w:t>
            </w:r>
          </w:p>
        </w:tc>
      </w:tr>
      <w:tr w:rsidR="00A464B6" w:rsidRPr="00E173FE" w:rsidTr="00156F78">
        <w:trPr>
          <w:trHeight w:val="879"/>
        </w:trPr>
        <w:tc>
          <w:tcPr>
            <w:tcW w:w="2136" w:type="dxa"/>
            <w:shd w:val="clear" w:color="auto" w:fill="auto"/>
            <w:vAlign w:val="center"/>
          </w:tcPr>
          <w:p w:rsidR="00A464B6" w:rsidRPr="00E173FE" w:rsidRDefault="00A464B6" w:rsidP="00D077F2">
            <w:pPr>
              <w:spacing w:after="0"/>
              <w:rPr>
                <w:b/>
                <w:bCs/>
                <w:color w:val="000000"/>
                <w:lang w:val="en-US" w:eastAsia="zh-CN"/>
              </w:rPr>
            </w:pPr>
            <w:r w:rsidRPr="00E173FE">
              <w:rPr>
                <w:color w:val="000000"/>
                <w:szCs w:val="24"/>
                <w:lang w:val="en-US" w:bidi="he-IL"/>
              </w:rPr>
              <w:t xml:space="preserve">PPV for CRC </w:t>
            </w:r>
            <w:r w:rsidR="00156F78" w:rsidRPr="00E173FE">
              <w:rPr>
                <w:rFonts w:hint="eastAsia"/>
                <w:color w:val="000000"/>
                <w:szCs w:val="24"/>
                <w:lang w:val="en-US" w:eastAsia="zh-CN" w:bidi="he-IL"/>
              </w:rPr>
              <w:t xml:space="preserve"> </w:t>
            </w:r>
          </w:p>
        </w:tc>
        <w:tc>
          <w:tcPr>
            <w:tcW w:w="1101"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6.3</w:t>
            </w:r>
            <w:r w:rsidR="00156F78" w:rsidRPr="00E173FE">
              <w:rPr>
                <w:rFonts w:hint="eastAsia"/>
                <w:color w:val="000000"/>
                <w:szCs w:val="24"/>
                <w:lang w:val="en-US" w:eastAsia="zh-CN" w:bidi="he-IL"/>
              </w:rPr>
              <w:t>%</w:t>
            </w:r>
          </w:p>
        </w:tc>
        <w:tc>
          <w:tcPr>
            <w:tcW w:w="1115"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5.9</w:t>
            </w:r>
            <w:r w:rsidR="00156F78" w:rsidRPr="00E173FE">
              <w:rPr>
                <w:rFonts w:hint="eastAsia"/>
                <w:color w:val="000000"/>
                <w:szCs w:val="24"/>
                <w:lang w:val="en-US" w:eastAsia="zh-CN" w:bidi="he-IL"/>
              </w:rPr>
              <w:t>%</w:t>
            </w:r>
          </w:p>
        </w:tc>
        <w:tc>
          <w:tcPr>
            <w:tcW w:w="107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6.0</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5.1</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4.5</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3.6</w:t>
            </w:r>
            <w:r w:rsidR="00156F78" w:rsidRPr="00E173FE">
              <w:rPr>
                <w:rFonts w:hint="eastAsia"/>
                <w:color w:val="000000"/>
                <w:szCs w:val="24"/>
                <w:lang w:val="en-US" w:eastAsia="zh-CN" w:bidi="he-IL"/>
              </w:rPr>
              <w:t>%</w:t>
            </w:r>
          </w:p>
        </w:tc>
        <w:tc>
          <w:tcPr>
            <w:tcW w:w="1198" w:type="dxa"/>
            <w:shd w:val="clear" w:color="auto" w:fill="auto"/>
            <w:vAlign w:val="center"/>
          </w:tcPr>
          <w:p w:rsidR="00A464B6" w:rsidRPr="00E173FE" w:rsidRDefault="00A464B6" w:rsidP="00D077F2">
            <w:pPr>
              <w:spacing w:after="0"/>
              <w:rPr>
                <w:color w:val="000000"/>
                <w:lang w:val="en-US" w:eastAsia="zh-CN"/>
              </w:rPr>
            </w:pPr>
            <w:r w:rsidRPr="00E173FE">
              <w:rPr>
                <w:color w:val="000000"/>
                <w:szCs w:val="24"/>
                <w:lang w:val="en-US" w:bidi="he-IL"/>
              </w:rPr>
              <w:t>4.8</w:t>
            </w:r>
            <w:r w:rsidR="00156F78" w:rsidRPr="00E173FE">
              <w:rPr>
                <w:rFonts w:hint="eastAsia"/>
                <w:color w:val="000000"/>
                <w:szCs w:val="24"/>
                <w:lang w:val="en-US" w:eastAsia="zh-CN" w:bidi="he-IL"/>
              </w:rPr>
              <w:t>%</w:t>
            </w:r>
          </w:p>
        </w:tc>
      </w:tr>
    </w:tbl>
    <w:p w:rsidR="00A464B6" w:rsidRPr="00E173FE" w:rsidRDefault="00156F78" w:rsidP="00D077F2">
      <w:pPr>
        <w:pStyle w:val="Heading2"/>
        <w:spacing w:before="0"/>
        <w:rPr>
          <w:rFonts w:ascii="Book Antiqua" w:hAnsi="Book Antiqua"/>
          <w:b/>
          <w:sz w:val="24"/>
          <w:szCs w:val="24"/>
          <w:lang w:val="en-US" w:eastAsia="zh-CN"/>
        </w:rPr>
      </w:pPr>
      <w:r w:rsidRPr="00E173FE">
        <w:rPr>
          <w:rFonts w:ascii="Book Antiqua" w:hAnsi="Book Antiqua" w:hint="eastAsia"/>
          <w:b/>
          <w:sz w:val="24"/>
          <w:szCs w:val="24"/>
          <w:lang w:val="en-US" w:eastAsia="zh-CN"/>
        </w:rPr>
        <w:t xml:space="preserve"> </w:t>
      </w:r>
    </w:p>
    <w:p w:rsidR="00A464B6" w:rsidRPr="00E173FE" w:rsidRDefault="00A464B6" w:rsidP="00D077F2">
      <w:pPr>
        <w:pStyle w:val="Heading2"/>
        <w:spacing w:before="0"/>
        <w:rPr>
          <w:rFonts w:ascii="Book Antiqua" w:hAnsi="Book Antiqua"/>
          <w:b/>
          <w:sz w:val="24"/>
          <w:szCs w:val="24"/>
          <w:lang w:val="en-US"/>
        </w:rPr>
        <w:sectPr w:rsidR="00A464B6" w:rsidRPr="00E173FE" w:rsidSect="00F239A3">
          <w:pgSz w:w="11906" w:h="16838"/>
          <w:pgMar w:top="1134" w:right="1418" w:bottom="1134" w:left="1418" w:header="708" w:footer="708" w:gutter="0"/>
          <w:cols w:space="708"/>
          <w:docGrid w:linePitch="360"/>
        </w:sectPr>
      </w:pPr>
    </w:p>
    <w:p w:rsidR="00A464B6" w:rsidRPr="00E173FE" w:rsidRDefault="00A464B6" w:rsidP="00D077F2">
      <w:pPr>
        <w:pStyle w:val="Heading2"/>
        <w:spacing w:before="0"/>
        <w:rPr>
          <w:rFonts w:ascii="Book Antiqua" w:hAnsi="Book Antiqua"/>
          <w:b/>
          <w:sz w:val="24"/>
          <w:szCs w:val="24"/>
          <w:lang w:val="en-US" w:eastAsia="zh-CN"/>
        </w:rPr>
      </w:pPr>
      <w:r w:rsidRPr="00E173FE">
        <w:rPr>
          <w:rFonts w:ascii="Book Antiqua" w:hAnsi="Book Antiqua"/>
          <w:b/>
          <w:sz w:val="24"/>
          <w:szCs w:val="24"/>
          <w:lang w:val="en-US"/>
        </w:rPr>
        <w:lastRenderedPageBreak/>
        <w:t>Table 4</w:t>
      </w:r>
      <w:r w:rsidR="00156F78" w:rsidRPr="00E173FE">
        <w:rPr>
          <w:rFonts w:ascii="Book Antiqua" w:hAnsi="Book Antiqua" w:hint="eastAsia"/>
          <w:b/>
          <w:sz w:val="24"/>
          <w:szCs w:val="24"/>
          <w:lang w:val="en-US" w:eastAsia="zh-CN"/>
        </w:rPr>
        <w:t xml:space="preserve"> </w:t>
      </w:r>
      <w:r w:rsidRPr="00E173FE">
        <w:rPr>
          <w:rFonts w:ascii="Book Antiqua" w:hAnsi="Book Antiqua"/>
          <w:b/>
          <w:sz w:val="24"/>
          <w:szCs w:val="24"/>
          <w:lang w:val="en-US"/>
        </w:rPr>
        <w:t>Results of American, Western Pacific and East Asian</w:t>
      </w:r>
      <w:r w:rsidR="005B79CD" w:rsidRPr="00E173FE">
        <w:rPr>
          <w:rFonts w:ascii="Book Antiqua" w:hAnsi="Book Antiqua"/>
          <w:b/>
          <w:sz w:val="24"/>
          <w:szCs w:val="24"/>
          <w:lang w:val="en-US"/>
        </w:rPr>
        <w:t xml:space="preserve"> screening programs</w:t>
      </w:r>
      <w:r w:rsidR="005B79CD" w:rsidRPr="00E173FE">
        <w:rPr>
          <w:rFonts w:ascii="Book Antiqua" w:hAnsi="Book Antiqua"/>
          <w:b/>
          <w:sz w:val="24"/>
          <w:szCs w:val="24"/>
          <w:lang w:val="en-US" w:eastAsia="zh-CN"/>
        </w:rPr>
        <w:t xml:space="preserve"> </w:t>
      </w:r>
    </w:p>
    <w:p w:rsidR="005B79CD" w:rsidRPr="00E173FE" w:rsidRDefault="005B79CD" w:rsidP="00D077F2">
      <w:pPr>
        <w:spacing w:after="0"/>
        <w:rPr>
          <w:lang w:val="en-US" w:eastAsia="zh-CN"/>
        </w:rPr>
      </w:pPr>
    </w:p>
    <w:tbl>
      <w:tblPr>
        <w:tblW w:w="14142" w:type="dxa"/>
        <w:tblBorders>
          <w:top w:val="single" w:sz="8" w:space="0" w:color="000000"/>
          <w:bottom w:val="single" w:sz="8" w:space="0" w:color="000000"/>
        </w:tblBorders>
        <w:tblLook w:val="00A0" w:firstRow="1" w:lastRow="0" w:firstColumn="1" w:lastColumn="0" w:noHBand="0" w:noVBand="0"/>
      </w:tblPr>
      <w:tblGrid>
        <w:gridCol w:w="1951"/>
        <w:gridCol w:w="1812"/>
        <w:gridCol w:w="1971"/>
        <w:gridCol w:w="1365"/>
        <w:gridCol w:w="2110"/>
        <w:gridCol w:w="1885"/>
        <w:gridCol w:w="1481"/>
        <w:gridCol w:w="1567"/>
      </w:tblGrid>
      <w:tr w:rsidR="005B79CD" w:rsidRPr="00E173FE" w:rsidTr="00EC52E5">
        <w:trPr>
          <w:trHeight w:val="269"/>
        </w:trPr>
        <w:tc>
          <w:tcPr>
            <w:tcW w:w="1951" w:type="dxa"/>
            <w:tcBorders>
              <w:top w:val="single" w:sz="8" w:space="0" w:color="000000"/>
              <w:bottom w:val="single" w:sz="8" w:space="0" w:color="000000"/>
            </w:tcBorders>
            <w:shd w:val="clear" w:color="auto" w:fill="auto"/>
          </w:tcPr>
          <w:p w:rsidR="005B79CD" w:rsidRPr="00E173FE" w:rsidRDefault="005B79CD" w:rsidP="00D077F2">
            <w:pPr>
              <w:spacing w:after="0"/>
              <w:rPr>
                <w:b/>
                <w:bCs/>
                <w:color w:val="000000" w:themeColor="text1"/>
                <w:szCs w:val="24"/>
                <w:lang w:val="es-ES_tradnl" w:eastAsia="ja-JP" w:bidi="he-IL"/>
              </w:rPr>
            </w:pPr>
            <w:r w:rsidRPr="00E173FE">
              <w:rPr>
                <w:b/>
                <w:color w:val="000000" w:themeColor="text1"/>
                <w:szCs w:val="24"/>
                <w:lang w:val="es-ES_tradnl" w:eastAsia="ja-JP" w:bidi="he-IL"/>
              </w:rPr>
              <w:t>Country</w:t>
            </w:r>
          </w:p>
        </w:tc>
        <w:tc>
          <w:tcPr>
            <w:tcW w:w="1812" w:type="dxa"/>
            <w:tcBorders>
              <w:top w:val="single" w:sz="8" w:space="0" w:color="000000"/>
              <w:bottom w:val="single" w:sz="8" w:space="0" w:color="000000"/>
            </w:tcBorders>
            <w:shd w:val="clear" w:color="auto" w:fill="auto"/>
          </w:tcPr>
          <w:p w:rsidR="005B79CD" w:rsidRPr="00E173FE" w:rsidRDefault="005B79CD" w:rsidP="00D077F2">
            <w:pPr>
              <w:spacing w:after="0"/>
              <w:rPr>
                <w:b/>
                <w:bCs/>
                <w:color w:val="000000" w:themeColor="text1"/>
                <w:szCs w:val="24"/>
                <w:lang w:val="es-ES_tradnl" w:eastAsia="ja-JP" w:bidi="he-IL"/>
              </w:rPr>
            </w:pPr>
            <w:r w:rsidRPr="00E173FE">
              <w:rPr>
                <w:b/>
                <w:color w:val="000000" w:themeColor="text1"/>
                <w:szCs w:val="24"/>
                <w:lang w:val="es-ES_tradnl" w:eastAsia="ja-JP" w:bidi="he-IL"/>
              </w:rPr>
              <w:t>Canada</w:t>
            </w:r>
          </w:p>
        </w:tc>
        <w:tc>
          <w:tcPr>
            <w:tcW w:w="1971" w:type="dxa"/>
            <w:tcBorders>
              <w:top w:val="single" w:sz="8" w:space="0" w:color="000000"/>
              <w:bottom w:val="single" w:sz="8" w:space="0" w:color="000000"/>
            </w:tcBorders>
            <w:shd w:val="clear" w:color="auto" w:fill="auto"/>
          </w:tcPr>
          <w:p w:rsidR="005B79CD" w:rsidRPr="00E173FE" w:rsidRDefault="005B79CD" w:rsidP="00D077F2">
            <w:pPr>
              <w:spacing w:after="0"/>
              <w:rPr>
                <w:b/>
                <w:bCs/>
                <w:color w:val="000000" w:themeColor="text1"/>
                <w:szCs w:val="24"/>
                <w:lang w:val="es-ES_tradnl" w:eastAsia="ja-JP" w:bidi="he-IL"/>
              </w:rPr>
            </w:pPr>
            <w:r w:rsidRPr="00E173FE">
              <w:rPr>
                <w:b/>
                <w:color w:val="000000" w:themeColor="text1"/>
                <w:szCs w:val="24"/>
                <w:lang w:val="es-ES_tradnl" w:eastAsia="ja-JP" w:bidi="he-IL"/>
              </w:rPr>
              <w:t>California (United States)</w:t>
            </w:r>
          </w:p>
        </w:tc>
        <w:tc>
          <w:tcPr>
            <w:tcW w:w="1365" w:type="dxa"/>
            <w:tcBorders>
              <w:top w:val="single" w:sz="8" w:space="0" w:color="000000"/>
              <w:bottom w:val="single" w:sz="8" w:space="0" w:color="000000"/>
            </w:tcBorders>
            <w:shd w:val="clear" w:color="auto" w:fill="auto"/>
          </w:tcPr>
          <w:p w:rsidR="005B79CD" w:rsidRPr="00E173FE" w:rsidRDefault="005B79CD" w:rsidP="00D077F2">
            <w:pPr>
              <w:spacing w:after="0"/>
              <w:rPr>
                <w:b/>
                <w:bCs/>
                <w:color w:val="000000" w:themeColor="text1"/>
                <w:szCs w:val="24"/>
                <w:lang w:val="es-ES_tradnl" w:eastAsia="ja-JP" w:bidi="he-IL"/>
              </w:rPr>
            </w:pPr>
            <w:r w:rsidRPr="00E173FE">
              <w:rPr>
                <w:b/>
                <w:color w:val="000000" w:themeColor="text1"/>
                <w:szCs w:val="24"/>
                <w:lang w:val="es-ES_tradnl" w:eastAsia="ja-JP" w:bidi="he-IL"/>
              </w:rPr>
              <w:t>South Korea</w:t>
            </w:r>
          </w:p>
        </w:tc>
        <w:tc>
          <w:tcPr>
            <w:tcW w:w="2110" w:type="dxa"/>
            <w:tcBorders>
              <w:top w:val="single" w:sz="8" w:space="0" w:color="000000"/>
              <w:bottom w:val="single" w:sz="8" w:space="0" w:color="000000"/>
            </w:tcBorders>
            <w:shd w:val="clear" w:color="auto" w:fill="auto"/>
          </w:tcPr>
          <w:p w:rsidR="005B79CD" w:rsidRPr="00E173FE" w:rsidRDefault="005B79CD" w:rsidP="00D077F2">
            <w:pPr>
              <w:spacing w:after="0"/>
              <w:rPr>
                <w:b/>
                <w:bCs/>
                <w:color w:val="000000" w:themeColor="text1"/>
                <w:szCs w:val="24"/>
                <w:lang w:val="es-ES_tradnl" w:eastAsia="ja-JP" w:bidi="he-IL"/>
              </w:rPr>
            </w:pPr>
            <w:r w:rsidRPr="00E173FE">
              <w:rPr>
                <w:b/>
                <w:color w:val="000000" w:themeColor="text1"/>
                <w:szCs w:val="24"/>
                <w:lang w:val="es-ES_tradnl" w:eastAsia="ja-JP" w:bidi="he-IL"/>
              </w:rPr>
              <w:t>Australia</w:t>
            </w:r>
          </w:p>
        </w:tc>
        <w:tc>
          <w:tcPr>
            <w:tcW w:w="1885" w:type="dxa"/>
            <w:tcBorders>
              <w:top w:val="single" w:sz="8" w:space="0" w:color="000000"/>
              <w:bottom w:val="single" w:sz="8" w:space="0" w:color="000000"/>
            </w:tcBorders>
            <w:shd w:val="clear" w:color="auto" w:fill="auto"/>
          </w:tcPr>
          <w:p w:rsidR="005B79CD" w:rsidRPr="00E173FE" w:rsidRDefault="005B79CD" w:rsidP="00D077F2">
            <w:pPr>
              <w:spacing w:after="0"/>
              <w:rPr>
                <w:b/>
                <w:bCs/>
                <w:color w:val="000000" w:themeColor="text1"/>
                <w:szCs w:val="24"/>
                <w:lang w:val="es-ES_tradnl" w:eastAsia="ja-JP" w:bidi="he-IL"/>
              </w:rPr>
            </w:pPr>
            <w:r w:rsidRPr="00E173FE">
              <w:rPr>
                <w:b/>
                <w:color w:val="000000" w:themeColor="text1"/>
                <w:szCs w:val="24"/>
                <w:lang w:val="es-ES_tradnl" w:eastAsia="ja-JP" w:bidi="he-IL"/>
              </w:rPr>
              <w:t>Thailand</w:t>
            </w:r>
          </w:p>
        </w:tc>
        <w:tc>
          <w:tcPr>
            <w:tcW w:w="1481" w:type="dxa"/>
            <w:tcBorders>
              <w:top w:val="single" w:sz="8" w:space="0" w:color="000000"/>
              <w:bottom w:val="single" w:sz="8" w:space="0" w:color="000000"/>
            </w:tcBorders>
            <w:shd w:val="clear" w:color="auto" w:fill="auto"/>
          </w:tcPr>
          <w:p w:rsidR="005B79CD" w:rsidRPr="00E173FE" w:rsidRDefault="005B79CD" w:rsidP="00D077F2">
            <w:pPr>
              <w:spacing w:after="0"/>
              <w:rPr>
                <w:b/>
                <w:bCs/>
                <w:color w:val="000000" w:themeColor="text1"/>
                <w:szCs w:val="24"/>
                <w:lang w:val="es-ES_tradnl" w:eastAsia="ja-JP" w:bidi="he-IL"/>
              </w:rPr>
            </w:pPr>
            <w:r w:rsidRPr="00E173FE">
              <w:rPr>
                <w:b/>
                <w:color w:val="000000" w:themeColor="text1"/>
                <w:szCs w:val="24"/>
                <w:lang w:val="es-ES_tradnl" w:eastAsia="ja-JP" w:bidi="he-IL"/>
              </w:rPr>
              <w:t>Taiwan</w:t>
            </w:r>
          </w:p>
        </w:tc>
        <w:tc>
          <w:tcPr>
            <w:tcW w:w="1567" w:type="dxa"/>
            <w:tcBorders>
              <w:top w:val="single" w:sz="8" w:space="0" w:color="000000"/>
              <w:bottom w:val="single" w:sz="8" w:space="0" w:color="000000"/>
            </w:tcBorders>
            <w:shd w:val="clear" w:color="auto" w:fill="auto"/>
          </w:tcPr>
          <w:p w:rsidR="005B79CD" w:rsidRPr="00E173FE" w:rsidRDefault="005B79CD" w:rsidP="00D077F2">
            <w:pPr>
              <w:spacing w:after="0"/>
              <w:rPr>
                <w:b/>
                <w:bCs/>
                <w:color w:val="000000" w:themeColor="text1"/>
                <w:szCs w:val="24"/>
                <w:lang w:val="es-ES_tradnl" w:eastAsia="ja-JP" w:bidi="he-IL"/>
              </w:rPr>
            </w:pPr>
            <w:r w:rsidRPr="00E173FE">
              <w:rPr>
                <w:b/>
                <w:color w:val="000000" w:themeColor="text1"/>
                <w:szCs w:val="24"/>
                <w:lang w:val="es-ES_tradnl" w:eastAsia="ja-JP" w:bidi="he-IL"/>
              </w:rPr>
              <w:t>Chile</w:t>
            </w:r>
          </w:p>
        </w:tc>
      </w:tr>
      <w:tr w:rsidR="005B79CD" w:rsidRPr="00E173FE" w:rsidTr="00EC52E5">
        <w:trPr>
          <w:trHeight w:val="269"/>
        </w:trPr>
        <w:tc>
          <w:tcPr>
            <w:tcW w:w="1951" w:type="dxa"/>
            <w:tcBorders>
              <w:top w:val="single" w:sz="8" w:space="0" w:color="000000"/>
            </w:tcBorders>
            <w:shd w:val="clear" w:color="auto" w:fill="auto"/>
          </w:tcPr>
          <w:p w:rsidR="005B79CD" w:rsidRPr="00E173FE" w:rsidRDefault="005B79CD" w:rsidP="00D077F2">
            <w:pPr>
              <w:keepNext/>
              <w:keepLines/>
              <w:spacing w:after="0"/>
              <w:outlineLvl w:val="3"/>
              <w:rPr>
                <w:bCs/>
                <w:szCs w:val="24"/>
                <w:lang w:val="es-ES_tradnl" w:eastAsia="ja-JP" w:bidi="he-IL"/>
              </w:rPr>
            </w:pPr>
            <w:r w:rsidRPr="00E173FE">
              <w:rPr>
                <w:bCs/>
                <w:lang w:val="es-ES_tradnl" w:eastAsia="ja-JP" w:bidi="he-IL"/>
              </w:rPr>
              <w:t>ASRi</w:t>
            </w:r>
          </w:p>
        </w:tc>
        <w:tc>
          <w:tcPr>
            <w:tcW w:w="1812" w:type="dxa"/>
            <w:tcBorders>
              <w:top w:val="single" w:sz="8" w:space="0" w:color="000000"/>
            </w:tcBorders>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35</w:t>
            </w:r>
            <w:r w:rsidRPr="00E173FE">
              <w:rPr>
                <w:rFonts w:hint="eastAsia"/>
                <w:szCs w:val="24"/>
                <w:lang w:val="es-ES_tradnl" w:eastAsia="zh-CN" w:bidi="he-IL"/>
              </w:rPr>
              <w:t>.</w:t>
            </w:r>
            <w:r w:rsidRPr="00E173FE">
              <w:rPr>
                <w:szCs w:val="24"/>
                <w:lang w:val="es-ES_tradnl" w:eastAsia="ja-JP" w:bidi="he-IL"/>
              </w:rPr>
              <w:t>5</w:t>
            </w:r>
          </w:p>
        </w:tc>
        <w:tc>
          <w:tcPr>
            <w:tcW w:w="1971" w:type="dxa"/>
            <w:tcBorders>
              <w:top w:val="single" w:sz="8" w:space="0" w:color="000000"/>
            </w:tcBorders>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25 (United States)</w:t>
            </w:r>
          </w:p>
        </w:tc>
        <w:tc>
          <w:tcPr>
            <w:tcW w:w="1365" w:type="dxa"/>
            <w:tcBorders>
              <w:top w:val="single" w:sz="8" w:space="0" w:color="000000"/>
            </w:tcBorders>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45</w:t>
            </w:r>
          </w:p>
        </w:tc>
        <w:tc>
          <w:tcPr>
            <w:tcW w:w="2110" w:type="dxa"/>
            <w:tcBorders>
              <w:top w:val="single" w:sz="8" w:space="0" w:color="000000"/>
            </w:tcBorders>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38</w:t>
            </w:r>
          </w:p>
        </w:tc>
        <w:tc>
          <w:tcPr>
            <w:tcW w:w="1885" w:type="dxa"/>
            <w:tcBorders>
              <w:top w:val="single" w:sz="8" w:space="0" w:color="000000"/>
            </w:tcBorders>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12</w:t>
            </w:r>
            <w:r w:rsidRPr="00E173FE">
              <w:rPr>
                <w:rFonts w:hint="eastAsia"/>
                <w:szCs w:val="24"/>
                <w:lang w:val="es-ES_tradnl" w:eastAsia="zh-CN" w:bidi="he-IL"/>
              </w:rPr>
              <w:t>.</w:t>
            </w:r>
            <w:r w:rsidRPr="00E173FE">
              <w:rPr>
                <w:szCs w:val="24"/>
                <w:lang w:val="es-ES_tradnl" w:eastAsia="ja-JP" w:bidi="he-IL"/>
              </w:rPr>
              <w:t>4</w:t>
            </w:r>
          </w:p>
        </w:tc>
        <w:tc>
          <w:tcPr>
            <w:tcW w:w="1481" w:type="dxa"/>
            <w:tcBorders>
              <w:top w:val="single" w:sz="8" w:space="0" w:color="000000"/>
            </w:tcBorders>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567" w:type="dxa"/>
            <w:tcBorders>
              <w:top w:val="single" w:sz="8" w:space="0" w:color="000000"/>
            </w:tcBorders>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15</w:t>
            </w:r>
          </w:p>
        </w:tc>
      </w:tr>
      <w:tr w:rsidR="005B79CD" w:rsidRPr="00E173FE" w:rsidTr="00EC52E5">
        <w:trPr>
          <w:trHeight w:val="269"/>
        </w:trPr>
        <w:tc>
          <w:tcPr>
            <w:tcW w:w="1951" w:type="dxa"/>
            <w:shd w:val="clear" w:color="auto" w:fill="auto"/>
          </w:tcPr>
          <w:p w:rsidR="005B79CD" w:rsidRPr="00E173FE" w:rsidRDefault="005B79CD" w:rsidP="00D077F2">
            <w:pPr>
              <w:keepNext/>
              <w:keepLines/>
              <w:spacing w:after="0"/>
              <w:outlineLvl w:val="3"/>
              <w:rPr>
                <w:bCs/>
                <w:szCs w:val="24"/>
                <w:lang w:val="es-ES_tradnl" w:eastAsia="ja-JP" w:bidi="he-IL"/>
              </w:rPr>
            </w:pPr>
            <w:r w:rsidRPr="00E173FE">
              <w:rPr>
                <w:bCs/>
                <w:lang w:val="es-ES_tradnl" w:eastAsia="ja-JP" w:bidi="he-IL"/>
              </w:rPr>
              <w:t>ASRm</w:t>
            </w:r>
          </w:p>
        </w:tc>
        <w:tc>
          <w:tcPr>
            <w:tcW w:w="1812"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10</w:t>
            </w:r>
            <w:r w:rsidRPr="00E173FE">
              <w:rPr>
                <w:rFonts w:hint="eastAsia"/>
                <w:szCs w:val="24"/>
                <w:lang w:val="es-ES_tradnl" w:eastAsia="zh-CN" w:bidi="he-IL"/>
              </w:rPr>
              <w:t>.</w:t>
            </w:r>
            <w:r w:rsidRPr="00E173FE">
              <w:rPr>
                <w:szCs w:val="24"/>
                <w:lang w:val="es-ES_tradnl" w:eastAsia="ja-JP" w:bidi="he-IL"/>
              </w:rPr>
              <w:t>8</w:t>
            </w:r>
          </w:p>
        </w:tc>
        <w:tc>
          <w:tcPr>
            <w:tcW w:w="1971"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9</w:t>
            </w:r>
            <w:r w:rsidRPr="00E173FE">
              <w:rPr>
                <w:rFonts w:hint="eastAsia"/>
                <w:szCs w:val="24"/>
                <w:lang w:val="es-ES_tradnl" w:eastAsia="zh-CN" w:bidi="he-IL"/>
              </w:rPr>
              <w:t>.</w:t>
            </w:r>
            <w:r w:rsidRPr="00E173FE">
              <w:rPr>
                <w:szCs w:val="24"/>
                <w:lang w:val="es-ES_tradnl" w:eastAsia="ja-JP" w:bidi="he-IL"/>
              </w:rPr>
              <w:t>2 (United States)</w:t>
            </w:r>
          </w:p>
        </w:tc>
        <w:tc>
          <w:tcPr>
            <w:tcW w:w="1365"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12</w:t>
            </w:r>
          </w:p>
        </w:tc>
        <w:tc>
          <w:tcPr>
            <w:tcW w:w="2110"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9</w:t>
            </w:r>
          </w:p>
        </w:tc>
        <w:tc>
          <w:tcPr>
            <w:tcW w:w="1885"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7</w:t>
            </w:r>
            <w:r w:rsidRPr="00E173FE">
              <w:rPr>
                <w:rFonts w:hint="eastAsia"/>
                <w:szCs w:val="24"/>
                <w:lang w:val="es-ES_tradnl" w:eastAsia="zh-CN" w:bidi="he-IL"/>
              </w:rPr>
              <w:t>.</w:t>
            </w:r>
            <w:r w:rsidRPr="00E173FE">
              <w:rPr>
                <w:szCs w:val="24"/>
                <w:lang w:val="es-ES_tradnl" w:eastAsia="ja-JP" w:bidi="he-IL"/>
              </w:rPr>
              <w:t>3</w:t>
            </w:r>
          </w:p>
        </w:tc>
        <w:tc>
          <w:tcPr>
            <w:tcW w:w="1481"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567"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8</w:t>
            </w:r>
            <w:r w:rsidRPr="00E173FE">
              <w:rPr>
                <w:rFonts w:hint="eastAsia"/>
                <w:szCs w:val="24"/>
                <w:lang w:val="es-ES_tradnl" w:eastAsia="zh-CN" w:bidi="he-IL"/>
              </w:rPr>
              <w:t>.</w:t>
            </w:r>
            <w:r w:rsidRPr="00E173FE">
              <w:rPr>
                <w:szCs w:val="24"/>
                <w:lang w:val="es-ES_tradnl" w:eastAsia="ja-JP" w:bidi="he-IL"/>
              </w:rPr>
              <w:t>6</w:t>
            </w:r>
          </w:p>
        </w:tc>
      </w:tr>
      <w:tr w:rsidR="005B79CD" w:rsidRPr="00E173FE" w:rsidTr="00EC52E5">
        <w:trPr>
          <w:trHeight w:val="256"/>
        </w:trPr>
        <w:tc>
          <w:tcPr>
            <w:tcW w:w="1951" w:type="dxa"/>
            <w:shd w:val="clear" w:color="auto" w:fill="auto"/>
          </w:tcPr>
          <w:p w:rsidR="005B79CD" w:rsidRPr="00E173FE" w:rsidRDefault="005B79CD" w:rsidP="00D077F2">
            <w:pPr>
              <w:keepNext/>
              <w:keepLines/>
              <w:spacing w:after="0"/>
              <w:outlineLvl w:val="3"/>
              <w:rPr>
                <w:bCs/>
                <w:szCs w:val="24"/>
                <w:lang w:val="es-ES_tradnl" w:eastAsia="ja-JP" w:bidi="he-IL"/>
              </w:rPr>
            </w:pPr>
            <w:r w:rsidRPr="00E173FE">
              <w:rPr>
                <w:bCs/>
                <w:lang w:val="es-ES_tradnl" w:eastAsia="ja-JP" w:bidi="he-IL"/>
              </w:rPr>
              <w:t>Period</w:t>
            </w:r>
          </w:p>
        </w:tc>
        <w:tc>
          <w:tcPr>
            <w:tcW w:w="1812"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2009-2011</w:t>
            </w:r>
          </w:p>
        </w:tc>
        <w:tc>
          <w:tcPr>
            <w:tcW w:w="1971"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2008</w:t>
            </w:r>
          </w:p>
        </w:tc>
        <w:tc>
          <w:tcPr>
            <w:tcW w:w="1365"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2004-2008</w:t>
            </w:r>
          </w:p>
        </w:tc>
        <w:tc>
          <w:tcPr>
            <w:tcW w:w="2110"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2002-2004</w:t>
            </w:r>
          </w:p>
        </w:tc>
        <w:tc>
          <w:tcPr>
            <w:tcW w:w="1885"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2011-2012</w:t>
            </w:r>
          </w:p>
        </w:tc>
        <w:tc>
          <w:tcPr>
            <w:tcW w:w="1481"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2004-2009</w:t>
            </w:r>
          </w:p>
        </w:tc>
        <w:tc>
          <w:tcPr>
            <w:tcW w:w="1567"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2007-2009</w:t>
            </w:r>
          </w:p>
        </w:tc>
      </w:tr>
      <w:tr w:rsidR="005B79CD" w:rsidRPr="00E173FE" w:rsidTr="00EC52E5">
        <w:trPr>
          <w:trHeight w:val="346"/>
        </w:trPr>
        <w:tc>
          <w:tcPr>
            <w:tcW w:w="1951" w:type="dxa"/>
            <w:shd w:val="clear" w:color="auto" w:fill="auto"/>
          </w:tcPr>
          <w:p w:rsidR="005B79CD" w:rsidRPr="00E173FE" w:rsidRDefault="005B79CD" w:rsidP="00D077F2">
            <w:pPr>
              <w:spacing w:after="0"/>
              <w:rPr>
                <w:bCs/>
                <w:szCs w:val="24"/>
                <w:lang w:val="es-ES_tradnl" w:eastAsia="ja-JP" w:bidi="he-IL"/>
              </w:rPr>
            </w:pPr>
            <w:r w:rsidRPr="00E173FE">
              <w:rPr>
                <w:bCs/>
                <w:lang w:val="es-ES_tradnl" w:eastAsia="ja-JP" w:bidi="he-IL"/>
              </w:rPr>
              <w:t>Age range</w:t>
            </w:r>
          </w:p>
        </w:tc>
        <w:tc>
          <w:tcPr>
            <w:tcW w:w="1812"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50-74</w:t>
            </w:r>
          </w:p>
        </w:tc>
        <w:tc>
          <w:tcPr>
            <w:tcW w:w="1971"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50-70</w:t>
            </w:r>
          </w:p>
        </w:tc>
        <w:tc>
          <w:tcPr>
            <w:tcW w:w="1365"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50-75</w:t>
            </w:r>
          </w:p>
        </w:tc>
        <w:tc>
          <w:tcPr>
            <w:tcW w:w="2110"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55-74</w:t>
            </w:r>
          </w:p>
        </w:tc>
        <w:tc>
          <w:tcPr>
            <w:tcW w:w="1885"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50-65</w:t>
            </w:r>
          </w:p>
        </w:tc>
        <w:tc>
          <w:tcPr>
            <w:tcW w:w="1481"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50-69</w:t>
            </w:r>
          </w:p>
        </w:tc>
        <w:tc>
          <w:tcPr>
            <w:tcW w:w="1567"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&gt;</w:t>
            </w:r>
            <w:r w:rsidRPr="00E173FE">
              <w:rPr>
                <w:rFonts w:hint="eastAsia"/>
                <w:szCs w:val="24"/>
                <w:lang w:val="es-ES_tradnl" w:eastAsia="zh-CN" w:bidi="he-IL"/>
              </w:rPr>
              <w:t xml:space="preserve"> </w:t>
            </w:r>
            <w:r w:rsidRPr="00E173FE">
              <w:rPr>
                <w:szCs w:val="24"/>
                <w:lang w:val="es-ES_tradnl" w:eastAsia="ja-JP" w:bidi="he-IL"/>
              </w:rPr>
              <w:t>50</w:t>
            </w:r>
          </w:p>
        </w:tc>
      </w:tr>
      <w:tr w:rsidR="005B79CD" w:rsidRPr="00E173FE" w:rsidTr="00EC52E5">
        <w:trPr>
          <w:trHeight w:val="269"/>
        </w:trPr>
        <w:tc>
          <w:tcPr>
            <w:tcW w:w="1951" w:type="dxa"/>
            <w:shd w:val="clear" w:color="auto" w:fill="auto"/>
          </w:tcPr>
          <w:p w:rsidR="005B79CD" w:rsidRPr="00E173FE" w:rsidRDefault="005B79CD" w:rsidP="00D077F2">
            <w:pPr>
              <w:keepNext/>
              <w:keepLines/>
              <w:spacing w:after="0"/>
              <w:outlineLvl w:val="3"/>
              <w:rPr>
                <w:bCs/>
                <w:szCs w:val="24"/>
                <w:lang w:val="es-ES_tradnl" w:eastAsia="ja-JP" w:bidi="he-IL"/>
              </w:rPr>
            </w:pPr>
            <w:r w:rsidRPr="00E173FE">
              <w:rPr>
                <w:bCs/>
                <w:lang w:val="es-ES_tradnl" w:eastAsia="ja-JP" w:bidi="he-IL"/>
              </w:rPr>
              <w:t>Test</w:t>
            </w:r>
          </w:p>
        </w:tc>
        <w:tc>
          <w:tcPr>
            <w:tcW w:w="1812"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G-FOBT/FIT</w:t>
            </w:r>
          </w:p>
        </w:tc>
        <w:tc>
          <w:tcPr>
            <w:tcW w:w="1971"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FIT</w:t>
            </w:r>
          </w:p>
          <w:p w:rsidR="005B79CD" w:rsidRPr="00E173FE" w:rsidRDefault="005B79CD" w:rsidP="00D077F2">
            <w:pPr>
              <w:spacing w:after="0"/>
              <w:rPr>
                <w:szCs w:val="24"/>
                <w:lang w:val="es-ES_tradnl" w:eastAsia="ja-JP" w:bidi="he-IL"/>
              </w:rPr>
            </w:pPr>
          </w:p>
        </w:tc>
        <w:tc>
          <w:tcPr>
            <w:tcW w:w="1365"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FIT</w:t>
            </w:r>
          </w:p>
        </w:tc>
        <w:tc>
          <w:tcPr>
            <w:tcW w:w="2110"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FIT</w:t>
            </w:r>
          </w:p>
        </w:tc>
        <w:tc>
          <w:tcPr>
            <w:tcW w:w="1885"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FIT</w:t>
            </w:r>
          </w:p>
          <w:p w:rsidR="005B79CD" w:rsidRPr="00E173FE" w:rsidRDefault="005B79CD" w:rsidP="00D077F2">
            <w:pPr>
              <w:spacing w:after="0"/>
              <w:rPr>
                <w:szCs w:val="24"/>
                <w:lang w:val="es-ES_tradnl" w:eastAsia="ja-JP" w:bidi="he-IL"/>
              </w:rPr>
            </w:pPr>
          </w:p>
        </w:tc>
        <w:tc>
          <w:tcPr>
            <w:tcW w:w="1481"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FIT</w:t>
            </w:r>
          </w:p>
          <w:p w:rsidR="005B79CD" w:rsidRPr="00E173FE" w:rsidRDefault="005B79CD" w:rsidP="00D077F2">
            <w:pPr>
              <w:spacing w:after="0"/>
              <w:rPr>
                <w:szCs w:val="24"/>
                <w:lang w:val="es-ES_tradnl" w:eastAsia="ja-JP" w:bidi="he-IL"/>
              </w:rPr>
            </w:pPr>
          </w:p>
        </w:tc>
        <w:tc>
          <w:tcPr>
            <w:tcW w:w="1567"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FIT</w:t>
            </w:r>
          </w:p>
          <w:p w:rsidR="005B79CD" w:rsidRPr="00E173FE" w:rsidRDefault="005B79CD" w:rsidP="00D077F2">
            <w:pPr>
              <w:spacing w:after="0"/>
              <w:rPr>
                <w:szCs w:val="24"/>
                <w:lang w:val="es-ES_tradnl" w:bidi="he-IL"/>
              </w:rPr>
            </w:pPr>
          </w:p>
        </w:tc>
      </w:tr>
      <w:tr w:rsidR="005B79CD" w:rsidRPr="00E173FE" w:rsidTr="00EC52E5">
        <w:trPr>
          <w:trHeight w:val="524"/>
        </w:trPr>
        <w:tc>
          <w:tcPr>
            <w:tcW w:w="1951" w:type="dxa"/>
            <w:shd w:val="clear" w:color="auto" w:fill="auto"/>
          </w:tcPr>
          <w:p w:rsidR="005B79CD" w:rsidRPr="00E173FE" w:rsidRDefault="005B79CD" w:rsidP="00D077F2">
            <w:pPr>
              <w:spacing w:after="0"/>
              <w:rPr>
                <w:bCs/>
                <w:szCs w:val="24"/>
                <w:lang w:val="es-ES_tradnl" w:eastAsia="ja-JP" w:bidi="he-IL"/>
              </w:rPr>
            </w:pPr>
          </w:p>
          <w:p w:rsidR="005B79CD" w:rsidRPr="00E173FE" w:rsidRDefault="005B79CD" w:rsidP="00D077F2">
            <w:pPr>
              <w:keepNext/>
              <w:keepLines/>
              <w:spacing w:after="0"/>
              <w:outlineLvl w:val="3"/>
              <w:rPr>
                <w:bCs/>
                <w:szCs w:val="24"/>
                <w:lang w:val="es-ES_tradnl" w:eastAsia="ja-JP" w:bidi="he-IL"/>
              </w:rPr>
            </w:pPr>
            <w:r w:rsidRPr="00E173FE">
              <w:rPr>
                <w:bCs/>
                <w:lang w:val="es-ES_tradnl" w:eastAsia="ja-JP" w:bidi="he-IL"/>
              </w:rPr>
              <w:t>Participation</w:t>
            </w:r>
            <w:r w:rsidRPr="00E173FE">
              <w:rPr>
                <w:rFonts w:hint="eastAsia"/>
                <w:bCs/>
                <w:lang w:val="es-ES_tradnl" w:eastAsia="zh-CN" w:bidi="he-IL"/>
              </w:rPr>
              <w:t xml:space="preserve">, </w:t>
            </w:r>
            <w:r w:rsidRPr="00E173FE">
              <w:rPr>
                <w:bCs/>
                <w:i/>
                <w:lang w:val="es-ES_tradnl" w:eastAsia="ja-JP" w:bidi="he-IL"/>
              </w:rPr>
              <w:t>n</w:t>
            </w:r>
            <w:r w:rsidRPr="00E173FE">
              <w:rPr>
                <w:rFonts w:hint="eastAsia"/>
                <w:bCs/>
                <w:lang w:val="es-ES_tradnl" w:eastAsia="zh-CN" w:bidi="he-IL"/>
              </w:rPr>
              <w:t xml:space="preserve"> </w:t>
            </w:r>
            <w:r w:rsidRPr="00E173FE">
              <w:rPr>
                <w:bCs/>
                <w:lang w:val="es-ES_tradnl" w:eastAsia="ja-JP" w:bidi="he-IL"/>
              </w:rPr>
              <w:t>(%)</w:t>
            </w:r>
          </w:p>
          <w:p w:rsidR="005B79CD" w:rsidRPr="00E173FE" w:rsidRDefault="005B79CD" w:rsidP="00D077F2">
            <w:pPr>
              <w:spacing w:after="0"/>
              <w:rPr>
                <w:bCs/>
                <w:szCs w:val="24"/>
                <w:lang w:val="es-ES_tradnl" w:eastAsia="ja-JP" w:bidi="he-IL"/>
              </w:rPr>
            </w:pPr>
          </w:p>
          <w:p w:rsidR="005B79CD" w:rsidRPr="00E173FE" w:rsidRDefault="005B79CD" w:rsidP="00D077F2">
            <w:pPr>
              <w:keepNext/>
              <w:keepLines/>
              <w:spacing w:after="0"/>
              <w:outlineLvl w:val="3"/>
              <w:rPr>
                <w:bCs/>
                <w:szCs w:val="24"/>
                <w:lang w:val="es-ES_tradnl" w:eastAsia="ja-JP" w:bidi="he-IL"/>
              </w:rPr>
            </w:pPr>
            <w:r w:rsidRPr="00E173FE">
              <w:rPr>
                <w:bCs/>
                <w:lang w:val="es-ES_tradnl" w:eastAsia="ja-JP" w:bidi="he-IL"/>
              </w:rPr>
              <w:t>M</w:t>
            </w:r>
            <w:r w:rsidRPr="00E173FE">
              <w:rPr>
                <w:rFonts w:hint="eastAsia"/>
                <w:bCs/>
                <w:lang w:val="es-ES_tradnl" w:eastAsia="zh-CN" w:bidi="he-IL"/>
              </w:rPr>
              <w:t xml:space="preserve">, </w:t>
            </w:r>
            <w:r w:rsidRPr="00E173FE">
              <w:rPr>
                <w:bCs/>
                <w:i/>
                <w:lang w:val="es-ES_tradnl" w:eastAsia="ja-JP" w:bidi="he-IL"/>
              </w:rPr>
              <w:t>n</w:t>
            </w:r>
            <w:r w:rsidRPr="00E173FE">
              <w:rPr>
                <w:rFonts w:hint="eastAsia"/>
                <w:bCs/>
                <w:lang w:val="es-ES_tradnl" w:eastAsia="zh-CN" w:bidi="he-IL"/>
              </w:rPr>
              <w:t xml:space="preserve"> </w:t>
            </w:r>
            <w:r w:rsidRPr="00E173FE">
              <w:rPr>
                <w:bCs/>
                <w:lang w:val="es-ES_tradnl" w:eastAsia="ja-JP" w:bidi="he-IL"/>
              </w:rPr>
              <w:t>(%)</w:t>
            </w:r>
          </w:p>
          <w:p w:rsidR="005B79CD" w:rsidRPr="00E173FE" w:rsidRDefault="005B79CD" w:rsidP="00D077F2">
            <w:pPr>
              <w:keepNext/>
              <w:keepLines/>
              <w:spacing w:after="0"/>
              <w:outlineLvl w:val="3"/>
              <w:rPr>
                <w:bCs/>
                <w:szCs w:val="24"/>
                <w:lang w:val="es-ES_tradnl" w:eastAsia="ja-JP" w:bidi="he-IL"/>
              </w:rPr>
            </w:pPr>
          </w:p>
          <w:p w:rsidR="005B79CD" w:rsidRPr="00E173FE" w:rsidRDefault="005B79CD" w:rsidP="00D077F2">
            <w:pPr>
              <w:keepNext/>
              <w:keepLines/>
              <w:spacing w:after="0"/>
              <w:outlineLvl w:val="3"/>
              <w:rPr>
                <w:bCs/>
                <w:szCs w:val="24"/>
                <w:lang w:val="es-ES_tradnl" w:eastAsia="ja-JP" w:bidi="he-IL"/>
              </w:rPr>
            </w:pPr>
            <w:r w:rsidRPr="00E173FE">
              <w:rPr>
                <w:bCs/>
                <w:lang w:val="es-ES_tradnl" w:eastAsia="ja-JP" w:bidi="he-IL"/>
              </w:rPr>
              <w:t>F</w:t>
            </w:r>
            <w:r w:rsidRPr="00E173FE">
              <w:rPr>
                <w:rFonts w:hint="eastAsia"/>
                <w:bCs/>
                <w:lang w:val="es-ES_tradnl" w:eastAsia="zh-CN" w:bidi="he-IL"/>
              </w:rPr>
              <w:t xml:space="preserve">, </w:t>
            </w:r>
            <w:r w:rsidRPr="00E173FE">
              <w:rPr>
                <w:bCs/>
                <w:i/>
                <w:lang w:val="es-ES_tradnl" w:eastAsia="ja-JP" w:bidi="he-IL"/>
              </w:rPr>
              <w:t>n</w:t>
            </w:r>
            <w:r w:rsidRPr="00E173FE">
              <w:rPr>
                <w:rFonts w:hint="eastAsia"/>
                <w:bCs/>
                <w:lang w:val="es-ES_tradnl" w:eastAsia="zh-CN" w:bidi="he-IL"/>
              </w:rPr>
              <w:t xml:space="preserve"> </w:t>
            </w:r>
            <w:r w:rsidRPr="00E173FE">
              <w:rPr>
                <w:bCs/>
                <w:lang w:val="es-ES_tradnl" w:eastAsia="ja-JP" w:bidi="he-IL"/>
              </w:rPr>
              <w:t>(%)</w:t>
            </w:r>
          </w:p>
          <w:p w:rsidR="005B79CD" w:rsidRPr="00E173FE" w:rsidRDefault="005B79CD" w:rsidP="00D077F2">
            <w:pPr>
              <w:keepNext/>
              <w:keepLines/>
              <w:spacing w:after="0"/>
              <w:outlineLvl w:val="3"/>
              <w:rPr>
                <w:bCs/>
                <w:szCs w:val="24"/>
                <w:lang w:val="es-ES_tradnl" w:eastAsia="ja-JP" w:bidi="he-IL"/>
              </w:rPr>
            </w:pPr>
          </w:p>
        </w:tc>
        <w:tc>
          <w:tcPr>
            <w:tcW w:w="1812"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104750</w:t>
            </w:r>
          </w:p>
          <w:p w:rsidR="005B79CD" w:rsidRPr="00E173FE" w:rsidRDefault="00E173FE" w:rsidP="00D077F2">
            <w:pPr>
              <w:spacing w:after="0"/>
              <w:rPr>
                <w:szCs w:val="24"/>
                <w:lang w:val="es-ES_tradnl" w:eastAsia="ja-JP" w:bidi="he-IL"/>
              </w:rPr>
            </w:pPr>
            <w:r>
              <w:rPr>
                <w:szCs w:val="24"/>
                <w:lang w:val="es-ES_tradnl" w:eastAsia="ja-JP" w:bidi="he-IL"/>
              </w:rPr>
              <w:t>(16.1</w:t>
            </w:r>
            <w:r w:rsidR="005B79CD" w:rsidRPr="00E173FE">
              <w:rPr>
                <w:szCs w:val="24"/>
                <w:lang w:val="es-ES_tradnl" w:eastAsia="ja-JP" w:bidi="he-IL"/>
              </w:rPr>
              <w:t>)</w:t>
            </w:r>
          </w:p>
        </w:tc>
        <w:tc>
          <w:tcPr>
            <w:tcW w:w="197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323</w:t>
            </w:r>
            <w:r w:rsidR="00E173FE">
              <w:rPr>
                <w:szCs w:val="24"/>
                <w:lang w:val="es-ES_tradnl" w:eastAsia="ja-JP" w:bidi="he-IL"/>
              </w:rPr>
              <w:t>349 (48.2</w:t>
            </w:r>
            <w:r w:rsidRPr="00E173FE">
              <w:rPr>
                <w:szCs w:val="24"/>
                <w:lang w:val="es-ES_tradnl" w:eastAsia="ja-JP" w:bidi="he-IL"/>
              </w:rPr>
              <w:t>)</w:t>
            </w:r>
          </w:p>
        </w:tc>
        <w:tc>
          <w:tcPr>
            <w:tcW w:w="1365" w:type="dxa"/>
            <w:shd w:val="clear" w:color="auto" w:fill="auto"/>
          </w:tcPr>
          <w:p w:rsidR="005B79CD" w:rsidRPr="00E173FE" w:rsidRDefault="00E173FE" w:rsidP="00D077F2">
            <w:pPr>
              <w:spacing w:after="0"/>
              <w:rPr>
                <w:szCs w:val="24"/>
                <w:lang w:val="es-ES_tradnl" w:eastAsia="ja-JP" w:bidi="he-IL"/>
              </w:rPr>
            </w:pPr>
            <w:r>
              <w:rPr>
                <w:szCs w:val="24"/>
                <w:lang w:val="es-ES_tradnl" w:eastAsia="ja-JP" w:bidi="he-IL"/>
              </w:rPr>
              <w:t>984915 (21</w:t>
            </w:r>
            <w:r w:rsidR="005B79CD" w:rsidRPr="00E173FE">
              <w:rPr>
                <w:szCs w:val="24"/>
                <w:lang w:val="es-ES_tradnl" w:eastAsia="ja-JP" w:bidi="he-IL"/>
              </w:rPr>
              <w:t>)</w:t>
            </w: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446</w:t>
            </w:r>
            <w:r w:rsidR="00E173FE">
              <w:rPr>
                <w:szCs w:val="24"/>
                <w:lang w:val="es-ES_tradnl" w:eastAsia="ja-JP" w:bidi="he-IL"/>
              </w:rPr>
              <w:t>590 (20.5</w:t>
            </w:r>
            <w:r w:rsidRPr="00E173FE">
              <w:rPr>
                <w:szCs w:val="24"/>
                <w:lang w:val="es-ES_tradnl" w:eastAsia="ja-JP" w:bidi="he-IL"/>
              </w:rPr>
              <w:t>)</w:t>
            </w:r>
          </w:p>
          <w:p w:rsidR="005B79CD" w:rsidRPr="00E173FE" w:rsidRDefault="005B79CD" w:rsidP="00D077F2">
            <w:pPr>
              <w:spacing w:after="0"/>
              <w:rPr>
                <w:szCs w:val="24"/>
                <w:lang w:val="es-ES_tradnl" w:eastAsia="ja-JP" w:bidi="he-IL"/>
              </w:rPr>
            </w:pPr>
            <w:r w:rsidRPr="00E173FE">
              <w:rPr>
                <w:szCs w:val="24"/>
                <w:lang w:val="es-ES_tradnl" w:eastAsia="ja-JP" w:bidi="he-IL"/>
              </w:rPr>
              <w:t>538</w:t>
            </w:r>
            <w:r w:rsidR="00E173FE">
              <w:rPr>
                <w:szCs w:val="24"/>
                <w:lang w:val="es-ES_tradnl" w:eastAsia="ja-JP" w:bidi="he-IL"/>
              </w:rPr>
              <w:t>325 (21.9</w:t>
            </w:r>
            <w:r w:rsidRPr="00E173FE">
              <w:rPr>
                <w:szCs w:val="24"/>
                <w:lang w:val="es-ES_tradnl" w:eastAsia="ja-JP" w:bidi="he-IL"/>
              </w:rPr>
              <w:t>)</w:t>
            </w:r>
          </w:p>
        </w:tc>
        <w:tc>
          <w:tcPr>
            <w:tcW w:w="2110"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25</w:t>
            </w:r>
            <w:r w:rsidR="00E173FE">
              <w:rPr>
                <w:szCs w:val="24"/>
                <w:lang w:val="es-ES_tradnl" w:eastAsia="ja-JP" w:bidi="he-IL"/>
              </w:rPr>
              <w:t>840 (45.4</w:t>
            </w:r>
            <w:r w:rsidRPr="00E173FE">
              <w:rPr>
                <w:szCs w:val="24"/>
                <w:lang w:val="es-ES_tradnl" w:eastAsia="ja-JP" w:bidi="he-IL"/>
              </w:rPr>
              <w:t>)</w:t>
            </w:r>
          </w:p>
        </w:tc>
        <w:tc>
          <w:tcPr>
            <w:tcW w:w="1885"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80</w:t>
            </w:r>
            <w:r w:rsidR="00E173FE">
              <w:rPr>
                <w:szCs w:val="24"/>
                <w:lang w:val="es-ES_tradnl" w:eastAsia="ja-JP" w:bidi="he-IL"/>
              </w:rPr>
              <w:t>012 (62.9</w:t>
            </w:r>
            <w:r w:rsidRPr="00E173FE">
              <w:rPr>
                <w:szCs w:val="24"/>
                <w:lang w:val="es-ES_tradnl" w:eastAsia="ja-JP" w:bidi="he-IL"/>
              </w:rPr>
              <w:t>)</w:t>
            </w: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57.8%</w:t>
            </w:r>
          </w:p>
          <w:p w:rsidR="005B79CD" w:rsidRPr="00E173FE" w:rsidRDefault="005B79CD" w:rsidP="00D077F2">
            <w:pPr>
              <w:spacing w:after="0"/>
              <w:rPr>
                <w:szCs w:val="24"/>
                <w:lang w:val="es-ES_tradnl" w:eastAsia="ja-JP" w:bidi="he-IL"/>
              </w:rPr>
            </w:pPr>
            <w:r w:rsidRPr="00E173FE">
              <w:rPr>
                <w:szCs w:val="24"/>
                <w:lang w:val="es-ES_tradnl" w:eastAsia="ja-JP" w:bidi="he-IL"/>
              </w:rPr>
              <w:t>67.8%</w:t>
            </w:r>
          </w:p>
        </w:tc>
        <w:tc>
          <w:tcPr>
            <w:tcW w:w="148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1160</w:t>
            </w:r>
            <w:r w:rsidR="00E173FE">
              <w:rPr>
                <w:szCs w:val="24"/>
                <w:lang w:val="es-ES_tradnl" w:eastAsia="ja-JP" w:bidi="he-IL"/>
              </w:rPr>
              <w:t>895 (21.4</w:t>
            </w:r>
            <w:r w:rsidRPr="00E173FE">
              <w:rPr>
                <w:szCs w:val="24"/>
                <w:lang w:val="es-ES_tradnl" w:eastAsia="ja-JP" w:bidi="he-IL"/>
              </w:rPr>
              <w:t>)</w:t>
            </w: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446</w:t>
            </w:r>
            <w:r w:rsidR="00E173FE">
              <w:rPr>
                <w:szCs w:val="24"/>
                <w:lang w:val="es-ES_tradnl" w:eastAsia="ja-JP" w:bidi="he-IL"/>
              </w:rPr>
              <w:t>290 (20.4</w:t>
            </w:r>
            <w:r w:rsidRPr="00E173FE">
              <w:rPr>
                <w:szCs w:val="24"/>
                <w:lang w:val="es-ES_tradnl" w:eastAsia="ja-JP" w:bidi="he-IL"/>
              </w:rPr>
              <w:t>)</w:t>
            </w:r>
          </w:p>
          <w:p w:rsidR="005B79CD" w:rsidRPr="00E173FE" w:rsidRDefault="00E173FE" w:rsidP="00D077F2">
            <w:pPr>
              <w:spacing w:after="0"/>
              <w:rPr>
                <w:szCs w:val="24"/>
                <w:lang w:val="es-ES_tradnl" w:eastAsia="zh-CN" w:bidi="he-IL"/>
              </w:rPr>
            </w:pPr>
            <w:r>
              <w:rPr>
                <w:szCs w:val="24"/>
                <w:lang w:val="es-ES_tradnl" w:eastAsia="ja-JP" w:bidi="he-IL"/>
              </w:rPr>
              <w:t>714605 (25</w:t>
            </w:r>
            <w:r w:rsidR="005B79CD" w:rsidRPr="00E173FE">
              <w:rPr>
                <w:szCs w:val="24"/>
                <w:lang w:val="es-ES_tradnl" w:eastAsia="ja-JP" w:bidi="he-IL"/>
              </w:rPr>
              <w:t>)</w:t>
            </w:r>
          </w:p>
        </w:tc>
        <w:tc>
          <w:tcPr>
            <w:tcW w:w="1567"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 xml:space="preserve">4938 </w:t>
            </w:r>
          </w:p>
        </w:tc>
      </w:tr>
      <w:tr w:rsidR="005B79CD" w:rsidRPr="00E173FE" w:rsidTr="00EC52E5">
        <w:trPr>
          <w:trHeight w:val="796"/>
        </w:trPr>
        <w:tc>
          <w:tcPr>
            <w:tcW w:w="1951" w:type="dxa"/>
            <w:shd w:val="clear" w:color="auto" w:fill="auto"/>
          </w:tcPr>
          <w:p w:rsidR="005B79CD" w:rsidRPr="00E173FE" w:rsidRDefault="005B79CD" w:rsidP="00D077F2">
            <w:pPr>
              <w:keepNext/>
              <w:keepLines/>
              <w:spacing w:after="0"/>
              <w:outlineLvl w:val="3"/>
              <w:rPr>
                <w:bCs/>
                <w:szCs w:val="24"/>
                <w:lang w:val="es-ES_tradnl" w:eastAsia="ja-JP" w:bidi="he-IL"/>
              </w:rPr>
            </w:pPr>
            <w:r w:rsidRPr="00E173FE">
              <w:rPr>
                <w:bCs/>
                <w:lang w:val="en-US" w:eastAsia="ja-JP" w:bidi="he-IL"/>
              </w:rPr>
              <w:lastRenderedPageBreak/>
              <w:t>Positive test</w:t>
            </w:r>
            <w:r w:rsidRPr="00E173FE">
              <w:rPr>
                <w:rFonts w:hint="eastAsia"/>
                <w:bCs/>
                <w:lang w:val="es-ES_tradnl" w:eastAsia="zh-CN" w:bidi="he-IL"/>
              </w:rPr>
              <w:t xml:space="preserve">, </w:t>
            </w:r>
            <w:r w:rsidRPr="00E173FE">
              <w:rPr>
                <w:bCs/>
                <w:i/>
                <w:lang w:val="es-ES_tradnl" w:eastAsia="ja-JP" w:bidi="he-IL"/>
              </w:rPr>
              <w:t>n</w:t>
            </w:r>
            <w:r w:rsidRPr="00E173FE">
              <w:rPr>
                <w:rFonts w:hint="eastAsia"/>
                <w:bCs/>
                <w:lang w:val="es-ES_tradnl" w:eastAsia="zh-CN" w:bidi="he-IL"/>
              </w:rPr>
              <w:t xml:space="preserve"> </w:t>
            </w:r>
            <w:r w:rsidRPr="00E173FE">
              <w:rPr>
                <w:bCs/>
                <w:lang w:val="es-ES_tradnl" w:eastAsia="ja-JP" w:bidi="he-IL"/>
              </w:rPr>
              <w:t>(%)</w:t>
            </w:r>
          </w:p>
          <w:p w:rsidR="005B79CD" w:rsidRPr="00E173FE" w:rsidRDefault="005B79CD" w:rsidP="00D077F2">
            <w:pPr>
              <w:spacing w:after="0"/>
              <w:rPr>
                <w:bCs/>
                <w:szCs w:val="24"/>
                <w:lang w:val="en-US" w:eastAsia="ja-JP" w:bidi="he-IL"/>
              </w:rPr>
            </w:pPr>
          </w:p>
          <w:p w:rsidR="005B79CD" w:rsidRPr="00E173FE" w:rsidRDefault="005B79CD" w:rsidP="00D077F2">
            <w:pPr>
              <w:keepNext/>
              <w:keepLines/>
              <w:spacing w:after="0"/>
              <w:outlineLvl w:val="3"/>
              <w:rPr>
                <w:bCs/>
                <w:szCs w:val="24"/>
                <w:lang w:val="es-ES_tradnl" w:eastAsia="ja-JP" w:bidi="he-IL"/>
              </w:rPr>
            </w:pPr>
            <w:r w:rsidRPr="00E173FE">
              <w:rPr>
                <w:bCs/>
                <w:lang w:val="en-US" w:eastAsia="ja-JP" w:bidi="he-IL"/>
              </w:rPr>
              <w:t>M</w:t>
            </w:r>
            <w:r w:rsidRPr="00E173FE">
              <w:rPr>
                <w:rFonts w:hint="eastAsia"/>
                <w:bCs/>
                <w:lang w:val="es-ES_tradnl" w:eastAsia="zh-CN" w:bidi="he-IL"/>
              </w:rPr>
              <w:t xml:space="preserve">, </w:t>
            </w:r>
            <w:r w:rsidRPr="00E173FE">
              <w:rPr>
                <w:bCs/>
                <w:i/>
                <w:lang w:val="es-ES_tradnl" w:eastAsia="ja-JP" w:bidi="he-IL"/>
              </w:rPr>
              <w:t>n</w:t>
            </w:r>
            <w:r w:rsidRPr="00E173FE">
              <w:rPr>
                <w:rFonts w:hint="eastAsia"/>
                <w:bCs/>
                <w:lang w:val="es-ES_tradnl" w:eastAsia="zh-CN" w:bidi="he-IL"/>
              </w:rPr>
              <w:t xml:space="preserve"> </w:t>
            </w:r>
            <w:r w:rsidRPr="00E173FE">
              <w:rPr>
                <w:bCs/>
                <w:lang w:val="es-ES_tradnl" w:eastAsia="ja-JP" w:bidi="he-IL"/>
              </w:rPr>
              <w:t>(%)</w:t>
            </w:r>
          </w:p>
          <w:p w:rsidR="005B79CD" w:rsidRPr="00E173FE" w:rsidRDefault="005B79CD" w:rsidP="00D077F2">
            <w:pPr>
              <w:keepNext/>
              <w:keepLines/>
              <w:spacing w:after="0"/>
              <w:outlineLvl w:val="3"/>
              <w:rPr>
                <w:bCs/>
                <w:szCs w:val="24"/>
                <w:lang w:val="es-ES_tradnl" w:eastAsia="ja-JP" w:bidi="he-IL"/>
              </w:rPr>
            </w:pPr>
          </w:p>
          <w:p w:rsidR="005B79CD" w:rsidRPr="00E173FE" w:rsidRDefault="005B79CD" w:rsidP="00D077F2">
            <w:pPr>
              <w:keepNext/>
              <w:keepLines/>
              <w:spacing w:after="0"/>
              <w:outlineLvl w:val="3"/>
              <w:rPr>
                <w:bCs/>
                <w:szCs w:val="24"/>
                <w:lang w:val="es-ES_tradnl" w:eastAsia="ja-JP" w:bidi="he-IL"/>
              </w:rPr>
            </w:pPr>
            <w:r w:rsidRPr="00E173FE">
              <w:rPr>
                <w:bCs/>
                <w:lang w:val="en-US" w:eastAsia="ja-JP" w:bidi="he-IL"/>
              </w:rPr>
              <w:t>F</w:t>
            </w:r>
            <w:r w:rsidRPr="00E173FE">
              <w:rPr>
                <w:rFonts w:hint="eastAsia"/>
                <w:bCs/>
                <w:lang w:val="es-ES_tradnl" w:eastAsia="zh-CN" w:bidi="he-IL"/>
              </w:rPr>
              <w:t xml:space="preserve">, </w:t>
            </w:r>
            <w:r w:rsidRPr="00E173FE">
              <w:rPr>
                <w:bCs/>
                <w:i/>
                <w:lang w:val="es-ES_tradnl" w:eastAsia="ja-JP" w:bidi="he-IL"/>
              </w:rPr>
              <w:t>n</w:t>
            </w:r>
            <w:r w:rsidRPr="00E173FE">
              <w:rPr>
                <w:rFonts w:hint="eastAsia"/>
                <w:bCs/>
                <w:lang w:val="es-ES_tradnl" w:eastAsia="zh-CN" w:bidi="he-IL"/>
              </w:rPr>
              <w:t xml:space="preserve"> </w:t>
            </w:r>
            <w:r w:rsidRPr="00E173FE">
              <w:rPr>
                <w:bCs/>
                <w:lang w:val="es-ES_tradnl" w:eastAsia="ja-JP" w:bidi="he-IL"/>
              </w:rPr>
              <w:t>(%)</w:t>
            </w:r>
          </w:p>
          <w:p w:rsidR="005B79CD" w:rsidRPr="00E173FE" w:rsidRDefault="005B79CD" w:rsidP="00D077F2">
            <w:pPr>
              <w:keepNext/>
              <w:keepLines/>
              <w:spacing w:after="0"/>
              <w:outlineLvl w:val="3"/>
              <w:rPr>
                <w:bCs/>
                <w:szCs w:val="24"/>
                <w:lang w:val="en-US" w:eastAsia="ja-JP" w:bidi="he-IL"/>
              </w:rPr>
            </w:pPr>
          </w:p>
        </w:tc>
        <w:tc>
          <w:tcPr>
            <w:tcW w:w="1812" w:type="dxa"/>
            <w:shd w:val="clear" w:color="auto" w:fill="auto"/>
          </w:tcPr>
          <w:p w:rsidR="005B79CD" w:rsidRPr="00E173FE" w:rsidRDefault="005B79CD" w:rsidP="00D077F2">
            <w:pPr>
              <w:spacing w:after="0"/>
              <w:rPr>
                <w:szCs w:val="24"/>
                <w:lang w:val="en-US" w:eastAsia="ja-JP" w:bidi="he-IL"/>
              </w:rPr>
            </w:pPr>
          </w:p>
          <w:p w:rsidR="005B79CD" w:rsidRPr="00E173FE" w:rsidRDefault="00E173FE" w:rsidP="00D077F2">
            <w:pPr>
              <w:spacing w:after="0"/>
              <w:rPr>
                <w:szCs w:val="24"/>
                <w:lang w:val="es-ES_tradnl" w:eastAsia="ja-JP" w:bidi="he-IL"/>
              </w:rPr>
            </w:pPr>
            <w:r>
              <w:rPr>
                <w:szCs w:val="24"/>
                <w:lang w:val="es-ES_tradnl" w:eastAsia="ja-JP" w:bidi="he-IL"/>
              </w:rPr>
              <w:t>4661 (4.4</w:t>
            </w:r>
            <w:r w:rsidR="005B79CD" w:rsidRPr="00E173FE">
              <w:rPr>
                <w:szCs w:val="24"/>
                <w:lang w:val="es-ES_tradnl" w:eastAsia="ja-JP" w:bidi="he-IL"/>
              </w:rPr>
              <w:t>)</w:t>
            </w: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5.9%</w:t>
            </w:r>
          </w:p>
          <w:p w:rsidR="005B79CD" w:rsidRPr="00E173FE" w:rsidRDefault="005B79CD" w:rsidP="00D077F2">
            <w:pPr>
              <w:spacing w:after="0"/>
              <w:rPr>
                <w:szCs w:val="24"/>
                <w:lang w:val="es-ES_tradnl" w:eastAsia="ja-JP" w:bidi="he-IL"/>
              </w:rPr>
            </w:pPr>
            <w:r w:rsidRPr="00E173FE">
              <w:rPr>
                <w:szCs w:val="24"/>
                <w:lang w:val="es-ES_tradnl" w:eastAsia="ja-JP" w:bidi="he-IL"/>
              </w:rPr>
              <w:t>3.4%</w:t>
            </w:r>
          </w:p>
        </w:tc>
        <w:tc>
          <w:tcPr>
            <w:tcW w:w="197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5%</w:t>
            </w:r>
          </w:p>
        </w:tc>
        <w:tc>
          <w:tcPr>
            <w:tcW w:w="1365"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73568</w:t>
            </w:r>
          </w:p>
          <w:p w:rsidR="005B79CD" w:rsidRPr="00E173FE" w:rsidRDefault="005B79CD" w:rsidP="00D077F2">
            <w:pPr>
              <w:spacing w:after="0"/>
              <w:rPr>
                <w:szCs w:val="24"/>
                <w:lang w:val="es-ES_tradnl" w:eastAsia="ja-JP" w:bidi="he-IL"/>
              </w:rPr>
            </w:pPr>
            <w:r w:rsidRPr="00E173FE">
              <w:rPr>
                <w:szCs w:val="24"/>
                <w:lang w:val="es-ES_tradnl" w:eastAsia="ja-JP" w:bidi="he-IL"/>
              </w:rPr>
              <w:t>(7.5)</w:t>
            </w:r>
          </w:p>
          <w:p w:rsidR="005B79CD" w:rsidRPr="00E173FE" w:rsidRDefault="005B79CD" w:rsidP="00D077F2">
            <w:pPr>
              <w:spacing w:after="0"/>
              <w:rPr>
                <w:lang w:eastAsia="ja-JP"/>
              </w:rPr>
            </w:pPr>
          </w:p>
          <w:p w:rsidR="005B79CD" w:rsidRPr="00E173FE" w:rsidRDefault="005B79CD" w:rsidP="00D077F2">
            <w:pPr>
              <w:spacing w:after="0"/>
              <w:rPr>
                <w:lang w:eastAsia="ja-JP"/>
              </w:rPr>
            </w:pPr>
            <w:r w:rsidRPr="00E173FE">
              <w:rPr>
                <w:szCs w:val="24"/>
                <w:lang w:val="es-ES_tradnl" w:eastAsia="ja-JP" w:bidi="he-IL"/>
              </w:rPr>
              <w:t>39233 (8.8)</w:t>
            </w:r>
          </w:p>
          <w:p w:rsidR="005B79CD" w:rsidRPr="00E173FE" w:rsidRDefault="005B79CD" w:rsidP="00D077F2">
            <w:pPr>
              <w:spacing w:after="0"/>
              <w:rPr>
                <w:szCs w:val="24"/>
                <w:lang w:val="es-ES_tradnl" w:eastAsia="ja-JP" w:bidi="he-IL"/>
              </w:rPr>
            </w:pPr>
            <w:r w:rsidRPr="00E173FE">
              <w:rPr>
                <w:szCs w:val="24"/>
                <w:lang w:val="es-ES_tradnl" w:eastAsia="ja-JP" w:bidi="he-IL"/>
              </w:rPr>
              <w:t>34335 (6.4)</w:t>
            </w:r>
          </w:p>
        </w:tc>
        <w:tc>
          <w:tcPr>
            <w:tcW w:w="2110" w:type="dxa"/>
            <w:shd w:val="clear" w:color="auto" w:fill="auto"/>
          </w:tcPr>
          <w:p w:rsidR="005B79CD" w:rsidRPr="00E173FE" w:rsidRDefault="005B79CD" w:rsidP="00D077F2">
            <w:pPr>
              <w:spacing w:after="0"/>
              <w:rPr>
                <w:szCs w:val="24"/>
                <w:lang w:val="es-ES_tradnl" w:eastAsia="ja-JP" w:bidi="he-IL"/>
              </w:rPr>
            </w:pPr>
          </w:p>
          <w:p w:rsidR="005B79CD" w:rsidRPr="00E173FE" w:rsidRDefault="00E173FE" w:rsidP="00D077F2">
            <w:pPr>
              <w:spacing w:after="0"/>
              <w:rPr>
                <w:szCs w:val="24"/>
                <w:lang w:val="es-ES_tradnl" w:eastAsia="ja-JP" w:bidi="he-IL"/>
              </w:rPr>
            </w:pPr>
            <w:r>
              <w:rPr>
                <w:szCs w:val="24"/>
                <w:lang w:val="es-ES_tradnl" w:eastAsia="ja-JP" w:bidi="he-IL"/>
              </w:rPr>
              <w:t>2308 (8.9</w:t>
            </w:r>
            <w:r w:rsidR="005B79CD" w:rsidRPr="00E173FE">
              <w:rPr>
                <w:szCs w:val="24"/>
                <w:lang w:val="es-ES_tradnl" w:eastAsia="ja-JP" w:bidi="he-IL"/>
              </w:rPr>
              <w:t>)</w:t>
            </w:r>
          </w:p>
        </w:tc>
        <w:tc>
          <w:tcPr>
            <w:tcW w:w="1885" w:type="dxa"/>
            <w:shd w:val="clear" w:color="auto" w:fill="auto"/>
          </w:tcPr>
          <w:p w:rsidR="005B79CD" w:rsidRPr="00E173FE" w:rsidRDefault="005B79CD" w:rsidP="00D077F2">
            <w:pPr>
              <w:spacing w:after="0"/>
              <w:rPr>
                <w:szCs w:val="24"/>
                <w:lang w:val="es-ES_tradnl" w:eastAsia="ja-JP" w:bidi="he-IL"/>
              </w:rPr>
            </w:pPr>
          </w:p>
          <w:p w:rsidR="005B79CD" w:rsidRPr="00E173FE" w:rsidRDefault="00E173FE" w:rsidP="00D077F2">
            <w:pPr>
              <w:spacing w:after="0"/>
              <w:rPr>
                <w:szCs w:val="24"/>
                <w:lang w:val="es-ES_tradnl" w:eastAsia="ja-JP" w:bidi="he-IL"/>
              </w:rPr>
            </w:pPr>
            <w:r>
              <w:rPr>
                <w:szCs w:val="24"/>
                <w:lang w:val="es-ES_tradnl" w:eastAsia="ja-JP" w:bidi="he-IL"/>
              </w:rPr>
              <w:t>873 (1.1</w:t>
            </w:r>
            <w:r w:rsidR="005B79CD" w:rsidRPr="00E173FE">
              <w:rPr>
                <w:szCs w:val="24"/>
                <w:lang w:val="es-ES_tradnl" w:eastAsia="ja-JP" w:bidi="he-IL"/>
              </w:rPr>
              <w:t>)</w:t>
            </w: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1.2%</w:t>
            </w:r>
          </w:p>
          <w:p w:rsidR="005B79CD" w:rsidRPr="00E173FE" w:rsidRDefault="005B79CD" w:rsidP="00D077F2">
            <w:pPr>
              <w:spacing w:after="0"/>
              <w:rPr>
                <w:szCs w:val="24"/>
                <w:lang w:val="es-ES_tradnl" w:eastAsia="ja-JP" w:bidi="he-IL"/>
              </w:rPr>
            </w:pPr>
            <w:r w:rsidRPr="00E173FE">
              <w:rPr>
                <w:szCs w:val="24"/>
                <w:lang w:val="es-ES_tradnl" w:eastAsia="ja-JP" w:bidi="he-IL"/>
              </w:rPr>
              <w:t>1.1%</w:t>
            </w:r>
          </w:p>
        </w:tc>
        <w:tc>
          <w:tcPr>
            <w:tcW w:w="148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4%</w:t>
            </w: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5%</w:t>
            </w:r>
          </w:p>
          <w:p w:rsidR="005B79CD" w:rsidRPr="00E173FE" w:rsidRDefault="005B79CD" w:rsidP="00D077F2">
            <w:pPr>
              <w:spacing w:after="0"/>
              <w:rPr>
                <w:szCs w:val="24"/>
                <w:lang w:val="es-ES_tradnl" w:eastAsia="ja-JP" w:bidi="he-IL"/>
              </w:rPr>
            </w:pPr>
            <w:r w:rsidRPr="00E173FE">
              <w:rPr>
                <w:szCs w:val="24"/>
                <w:lang w:val="es-ES_tradnl" w:eastAsia="ja-JP" w:bidi="he-IL"/>
              </w:rPr>
              <w:t>3.4%</w:t>
            </w:r>
          </w:p>
        </w:tc>
        <w:tc>
          <w:tcPr>
            <w:tcW w:w="1567" w:type="dxa"/>
            <w:shd w:val="clear" w:color="auto" w:fill="auto"/>
          </w:tcPr>
          <w:p w:rsidR="005B79CD" w:rsidRPr="00E173FE" w:rsidRDefault="005B79CD" w:rsidP="00D077F2">
            <w:pPr>
              <w:spacing w:after="0"/>
              <w:rPr>
                <w:szCs w:val="24"/>
                <w:lang w:val="es-ES_tradnl" w:eastAsia="ja-JP" w:bidi="he-IL"/>
              </w:rPr>
            </w:pPr>
          </w:p>
          <w:p w:rsidR="005B79CD" w:rsidRPr="00E173FE" w:rsidRDefault="00E173FE" w:rsidP="00D077F2">
            <w:pPr>
              <w:spacing w:after="0"/>
              <w:rPr>
                <w:szCs w:val="24"/>
                <w:lang w:val="es-ES_tradnl" w:eastAsia="ja-JP" w:bidi="he-IL"/>
              </w:rPr>
            </w:pPr>
            <w:r>
              <w:rPr>
                <w:szCs w:val="24"/>
                <w:lang w:val="es-ES_tradnl" w:eastAsia="ja-JP" w:bidi="he-IL"/>
              </w:rPr>
              <w:t>476 (9.6</w:t>
            </w:r>
            <w:r w:rsidR="005B79CD" w:rsidRPr="00E173FE">
              <w:rPr>
                <w:szCs w:val="24"/>
                <w:lang w:val="es-ES_tradnl" w:eastAsia="ja-JP" w:bidi="he-IL"/>
              </w:rPr>
              <w:t>)</w:t>
            </w:r>
          </w:p>
        </w:tc>
      </w:tr>
      <w:tr w:rsidR="005B79CD" w:rsidRPr="00E173FE" w:rsidTr="00EC52E5">
        <w:trPr>
          <w:trHeight w:val="796"/>
        </w:trPr>
        <w:tc>
          <w:tcPr>
            <w:tcW w:w="1951" w:type="dxa"/>
            <w:shd w:val="clear" w:color="auto" w:fill="auto"/>
          </w:tcPr>
          <w:p w:rsidR="005B79CD" w:rsidRPr="00E173FE" w:rsidRDefault="005B79CD" w:rsidP="00D077F2">
            <w:pPr>
              <w:keepNext/>
              <w:keepLines/>
              <w:spacing w:after="0"/>
              <w:outlineLvl w:val="3"/>
              <w:rPr>
                <w:bCs/>
                <w:szCs w:val="24"/>
                <w:lang w:val="es-ES_tradnl" w:eastAsia="zh-CN" w:bidi="he-IL"/>
              </w:rPr>
            </w:pPr>
            <w:r w:rsidRPr="00E173FE">
              <w:rPr>
                <w:bCs/>
                <w:lang w:val="es-ES_tradnl" w:eastAsia="ja-JP" w:bidi="he-IL"/>
              </w:rPr>
              <w:t>Colonoscopies performed</w:t>
            </w:r>
            <w:r w:rsidRPr="00E173FE">
              <w:rPr>
                <w:rFonts w:hint="eastAsia"/>
                <w:bCs/>
                <w:lang w:val="es-ES_tradnl" w:eastAsia="zh-CN" w:bidi="he-IL"/>
              </w:rPr>
              <w:t xml:space="preserve"> </w:t>
            </w:r>
          </w:p>
        </w:tc>
        <w:tc>
          <w:tcPr>
            <w:tcW w:w="1812"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80.5%</w:t>
            </w:r>
          </w:p>
        </w:tc>
        <w:tc>
          <w:tcPr>
            <w:tcW w:w="197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365" w:type="dxa"/>
            <w:shd w:val="clear" w:color="auto" w:fill="auto"/>
          </w:tcPr>
          <w:p w:rsidR="005B79CD" w:rsidRPr="00E173FE" w:rsidRDefault="005B79CD" w:rsidP="00D077F2">
            <w:pPr>
              <w:spacing w:after="0"/>
              <w:rPr>
                <w:szCs w:val="24"/>
                <w:lang w:val="es-ES_tradnl" w:eastAsia="ja-JP" w:bidi="he-IL"/>
              </w:rPr>
            </w:pPr>
          </w:p>
          <w:p w:rsidR="005B79CD" w:rsidRPr="00E173FE" w:rsidRDefault="00E173FE" w:rsidP="00D077F2">
            <w:pPr>
              <w:spacing w:after="0"/>
              <w:rPr>
                <w:szCs w:val="24"/>
                <w:lang w:val="es-ES_tradnl" w:eastAsia="ja-JP" w:bidi="he-IL"/>
              </w:rPr>
            </w:pPr>
            <w:r>
              <w:rPr>
                <w:szCs w:val="24"/>
                <w:lang w:val="es-ES_tradnl" w:eastAsia="ja-JP" w:bidi="he-IL"/>
              </w:rPr>
              <w:t>23,117 (31.4</w:t>
            </w:r>
            <w:r w:rsidR="005B79CD" w:rsidRPr="00E173FE">
              <w:rPr>
                <w:szCs w:val="24"/>
                <w:lang w:val="es-ES_tradnl" w:eastAsia="ja-JP" w:bidi="he-IL"/>
              </w:rPr>
              <w:t>)</w:t>
            </w:r>
          </w:p>
        </w:tc>
        <w:tc>
          <w:tcPr>
            <w:tcW w:w="2110"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1</w:t>
            </w:r>
            <w:r w:rsidR="00E173FE">
              <w:rPr>
                <w:szCs w:val="24"/>
                <w:lang w:val="es-ES_tradnl" w:eastAsia="ja-JP" w:bidi="he-IL"/>
              </w:rPr>
              <w:t>265 (54.8</w:t>
            </w:r>
            <w:r w:rsidRPr="00E173FE">
              <w:rPr>
                <w:szCs w:val="24"/>
                <w:lang w:val="es-ES_tradnl" w:eastAsia="ja-JP" w:bidi="he-IL"/>
              </w:rPr>
              <w:t>)</w:t>
            </w:r>
          </w:p>
        </w:tc>
        <w:tc>
          <w:tcPr>
            <w:tcW w:w="1885" w:type="dxa"/>
            <w:shd w:val="clear" w:color="auto" w:fill="auto"/>
          </w:tcPr>
          <w:p w:rsidR="005B79CD" w:rsidRPr="00E173FE" w:rsidRDefault="005B79CD" w:rsidP="00D077F2">
            <w:pPr>
              <w:spacing w:after="0"/>
              <w:rPr>
                <w:szCs w:val="24"/>
                <w:lang w:val="es-ES_tradnl" w:eastAsia="ja-JP" w:bidi="he-IL"/>
              </w:rPr>
            </w:pPr>
          </w:p>
          <w:p w:rsidR="005B79CD" w:rsidRPr="00E173FE" w:rsidRDefault="00E173FE" w:rsidP="00D077F2">
            <w:pPr>
              <w:spacing w:after="0"/>
              <w:rPr>
                <w:szCs w:val="24"/>
                <w:lang w:val="es-ES_tradnl" w:eastAsia="ja-JP" w:bidi="he-IL"/>
              </w:rPr>
            </w:pPr>
            <w:r>
              <w:rPr>
                <w:szCs w:val="24"/>
                <w:lang w:val="es-ES_tradnl" w:eastAsia="ja-JP" w:bidi="he-IL"/>
              </w:rPr>
              <w:t>627 (71.8</w:t>
            </w:r>
            <w:r w:rsidR="005B79CD" w:rsidRPr="00E173FE">
              <w:rPr>
                <w:szCs w:val="24"/>
                <w:lang w:val="es-ES_tradnl" w:eastAsia="ja-JP" w:bidi="he-IL"/>
              </w:rPr>
              <w:t>)</w:t>
            </w:r>
          </w:p>
        </w:tc>
        <w:tc>
          <w:tcPr>
            <w:tcW w:w="148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80%</w:t>
            </w:r>
          </w:p>
        </w:tc>
        <w:tc>
          <w:tcPr>
            <w:tcW w:w="1567" w:type="dxa"/>
            <w:shd w:val="clear" w:color="auto" w:fill="auto"/>
          </w:tcPr>
          <w:p w:rsidR="005B79CD" w:rsidRPr="00E173FE" w:rsidRDefault="005B79CD" w:rsidP="00D077F2">
            <w:pPr>
              <w:spacing w:after="0"/>
              <w:rPr>
                <w:szCs w:val="24"/>
                <w:lang w:val="es-ES_tradnl" w:eastAsia="ja-JP" w:bidi="he-IL"/>
              </w:rPr>
            </w:pPr>
          </w:p>
          <w:p w:rsidR="005B79CD" w:rsidRPr="00E173FE" w:rsidRDefault="00E173FE" w:rsidP="00D077F2">
            <w:pPr>
              <w:spacing w:after="0"/>
              <w:rPr>
                <w:szCs w:val="24"/>
                <w:lang w:val="es-ES_tradnl" w:eastAsia="ja-JP" w:bidi="he-IL"/>
              </w:rPr>
            </w:pPr>
            <w:r>
              <w:rPr>
                <w:szCs w:val="24"/>
                <w:lang w:val="es-ES_tradnl" w:eastAsia="ja-JP" w:bidi="he-IL"/>
              </w:rPr>
              <w:t>279 (58.6</w:t>
            </w:r>
            <w:r w:rsidR="005B79CD" w:rsidRPr="00E173FE">
              <w:rPr>
                <w:szCs w:val="24"/>
                <w:lang w:val="es-ES_tradnl" w:eastAsia="ja-JP" w:bidi="he-IL"/>
              </w:rPr>
              <w:t>)</w:t>
            </w:r>
          </w:p>
        </w:tc>
      </w:tr>
      <w:tr w:rsidR="005B79CD" w:rsidRPr="00E173FE" w:rsidTr="00EC52E5">
        <w:trPr>
          <w:trHeight w:val="322"/>
        </w:trPr>
        <w:tc>
          <w:tcPr>
            <w:tcW w:w="1951" w:type="dxa"/>
            <w:shd w:val="clear" w:color="auto" w:fill="auto"/>
          </w:tcPr>
          <w:p w:rsidR="005B79CD" w:rsidRPr="00E173FE" w:rsidRDefault="005B79CD" w:rsidP="00D077F2">
            <w:pPr>
              <w:keepNext/>
              <w:keepLines/>
              <w:spacing w:after="0"/>
              <w:outlineLvl w:val="3"/>
              <w:rPr>
                <w:bCs/>
                <w:szCs w:val="24"/>
                <w:lang w:val="es-ES_tradnl" w:eastAsia="ja-JP" w:bidi="he-IL"/>
              </w:rPr>
            </w:pPr>
            <w:r w:rsidRPr="00E173FE">
              <w:rPr>
                <w:bCs/>
                <w:lang w:val="es-ES_tradnl" w:eastAsia="ja-JP" w:bidi="he-IL"/>
              </w:rPr>
              <w:t>Advanced adenoma</w:t>
            </w:r>
            <w:r w:rsidRPr="00E173FE">
              <w:rPr>
                <w:rFonts w:hint="eastAsia"/>
                <w:bCs/>
                <w:lang w:val="es-ES_tradnl" w:eastAsia="zh-CN" w:bidi="he-IL"/>
              </w:rPr>
              <w:t xml:space="preserve">, </w:t>
            </w:r>
            <w:r w:rsidRPr="00E173FE">
              <w:rPr>
                <w:bCs/>
                <w:i/>
                <w:lang w:val="es-ES_tradnl" w:eastAsia="ja-JP" w:bidi="he-IL"/>
              </w:rPr>
              <w:t>n</w:t>
            </w:r>
            <w:r w:rsidRPr="00E173FE">
              <w:rPr>
                <w:rFonts w:hint="eastAsia"/>
                <w:bCs/>
                <w:lang w:val="es-ES_tradnl" w:eastAsia="zh-CN" w:bidi="he-IL"/>
              </w:rPr>
              <w:t xml:space="preserve"> </w:t>
            </w:r>
            <w:r w:rsidRPr="00E173FE">
              <w:rPr>
                <w:bCs/>
                <w:lang w:val="es-ES_tradnl" w:eastAsia="ja-JP" w:bidi="he-IL"/>
              </w:rPr>
              <w:t>(%)</w:t>
            </w:r>
          </w:p>
          <w:p w:rsidR="005B79CD" w:rsidRPr="00E173FE" w:rsidRDefault="005B79CD" w:rsidP="00D077F2">
            <w:pPr>
              <w:spacing w:after="0"/>
              <w:rPr>
                <w:bCs/>
                <w:szCs w:val="24"/>
                <w:lang w:val="es-ES_tradnl" w:eastAsia="ja-JP" w:bidi="he-IL"/>
              </w:rPr>
            </w:pPr>
          </w:p>
        </w:tc>
        <w:tc>
          <w:tcPr>
            <w:tcW w:w="1812"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97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365"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2110" w:type="dxa"/>
            <w:shd w:val="clear" w:color="auto" w:fill="auto"/>
          </w:tcPr>
          <w:p w:rsidR="005B79CD" w:rsidRPr="00E173FE" w:rsidRDefault="005B79CD" w:rsidP="00D077F2">
            <w:pPr>
              <w:spacing w:after="0"/>
              <w:rPr>
                <w:szCs w:val="24"/>
                <w:lang w:val="es-ES_tradnl" w:eastAsia="ja-JP" w:bidi="he-IL"/>
              </w:rPr>
            </w:pPr>
          </w:p>
          <w:p w:rsidR="005B79CD" w:rsidRPr="00E173FE" w:rsidRDefault="00E173FE" w:rsidP="00D077F2">
            <w:pPr>
              <w:spacing w:after="0"/>
              <w:rPr>
                <w:szCs w:val="24"/>
                <w:lang w:val="es-ES_tradnl" w:eastAsia="ja-JP" w:bidi="he-IL"/>
              </w:rPr>
            </w:pPr>
            <w:r>
              <w:rPr>
                <w:szCs w:val="24"/>
                <w:lang w:val="es-ES_tradnl" w:eastAsia="ja-JP" w:bidi="he-IL"/>
              </w:rPr>
              <w:t>176 (13.9</w:t>
            </w:r>
            <w:r w:rsidR="005B79CD" w:rsidRPr="00E173FE">
              <w:rPr>
                <w:szCs w:val="24"/>
                <w:lang w:val="es-ES_tradnl" w:eastAsia="ja-JP" w:bidi="he-IL"/>
              </w:rPr>
              <w:t>)</w:t>
            </w:r>
          </w:p>
        </w:tc>
        <w:tc>
          <w:tcPr>
            <w:tcW w:w="1885"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75 (12%)</w:t>
            </w:r>
          </w:p>
        </w:tc>
        <w:tc>
          <w:tcPr>
            <w:tcW w:w="148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 xml:space="preserve">4284 </w:t>
            </w:r>
          </w:p>
        </w:tc>
        <w:tc>
          <w:tcPr>
            <w:tcW w:w="1567" w:type="dxa"/>
            <w:shd w:val="clear" w:color="auto" w:fill="auto"/>
          </w:tcPr>
          <w:p w:rsidR="005B79CD" w:rsidRPr="00E173FE" w:rsidRDefault="005B79CD" w:rsidP="00D077F2">
            <w:pPr>
              <w:spacing w:after="0"/>
              <w:rPr>
                <w:szCs w:val="24"/>
                <w:lang w:val="es-ES_tradnl" w:eastAsia="ja-JP" w:bidi="he-IL"/>
              </w:rPr>
            </w:pPr>
          </w:p>
          <w:p w:rsidR="005B79CD" w:rsidRPr="00E173FE" w:rsidRDefault="00E173FE" w:rsidP="00D077F2">
            <w:pPr>
              <w:spacing w:after="0"/>
              <w:rPr>
                <w:szCs w:val="24"/>
                <w:lang w:val="es-ES_tradnl" w:eastAsia="ja-JP" w:bidi="he-IL"/>
              </w:rPr>
            </w:pPr>
            <w:r>
              <w:rPr>
                <w:szCs w:val="24"/>
                <w:lang w:val="es-ES_tradnl" w:eastAsia="ja-JP" w:bidi="he-IL"/>
              </w:rPr>
              <w:t>75 (16</w:t>
            </w:r>
            <w:r w:rsidR="005B79CD" w:rsidRPr="00E173FE">
              <w:rPr>
                <w:szCs w:val="24"/>
                <w:lang w:val="es-ES_tradnl" w:eastAsia="ja-JP" w:bidi="he-IL"/>
              </w:rPr>
              <w:t>)</w:t>
            </w:r>
          </w:p>
        </w:tc>
      </w:tr>
      <w:tr w:rsidR="005B79CD" w:rsidRPr="00E173FE" w:rsidTr="00EC52E5">
        <w:trPr>
          <w:trHeight w:val="447"/>
        </w:trPr>
        <w:tc>
          <w:tcPr>
            <w:tcW w:w="1951" w:type="dxa"/>
            <w:shd w:val="clear" w:color="auto" w:fill="auto"/>
          </w:tcPr>
          <w:p w:rsidR="005B79CD" w:rsidRPr="00E173FE" w:rsidRDefault="005B79CD" w:rsidP="00D077F2">
            <w:pPr>
              <w:keepNext/>
              <w:keepLines/>
              <w:spacing w:after="0"/>
              <w:outlineLvl w:val="3"/>
              <w:rPr>
                <w:bCs/>
                <w:szCs w:val="24"/>
                <w:lang w:val="es-ES_tradnl" w:eastAsia="zh-CN" w:bidi="he-IL"/>
              </w:rPr>
            </w:pPr>
            <w:r w:rsidRPr="00E173FE">
              <w:rPr>
                <w:bCs/>
                <w:lang w:val="es-ES_tradnl" w:eastAsia="ja-JP" w:bidi="he-IL"/>
              </w:rPr>
              <w:t>PPV Advanced adenoma</w:t>
            </w:r>
            <w:r w:rsidRPr="00E173FE">
              <w:rPr>
                <w:rFonts w:hint="eastAsia"/>
                <w:bCs/>
                <w:lang w:val="es-ES_tradnl" w:eastAsia="zh-CN" w:bidi="he-IL"/>
              </w:rPr>
              <w:t xml:space="preserve"> </w:t>
            </w:r>
          </w:p>
          <w:p w:rsidR="005B79CD" w:rsidRPr="00E173FE" w:rsidRDefault="005B79CD" w:rsidP="00D077F2">
            <w:pPr>
              <w:spacing w:after="0"/>
              <w:rPr>
                <w:bCs/>
                <w:szCs w:val="24"/>
                <w:lang w:val="es-ES_tradnl" w:eastAsia="ja-JP" w:bidi="he-IL"/>
              </w:rPr>
            </w:pPr>
          </w:p>
        </w:tc>
        <w:tc>
          <w:tcPr>
            <w:tcW w:w="1812"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97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365"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2110"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885"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48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567"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p w:rsidR="005B79CD" w:rsidRPr="00E173FE" w:rsidRDefault="005B79CD" w:rsidP="00D077F2">
            <w:pPr>
              <w:spacing w:after="0"/>
              <w:rPr>
                <w:szCs w:val="24"/>
                <w:lang w:val="es-ES_tradnl" w:eastAsia="ja-JP" w:bidi="he-IL"/>
              </w:rPr>
            </w:pPr>
          </w:p>
        </w:tc>
      </w:tr>
      <w:tr w:rsidR="005B79CD" w:rsidRPr="00E173FE" w:rsidTr="00EC52E5">
        <w:trPr>
          <w:trHeight w:val="269"/>
        </w:trPr>
        <w:tc>
          <w:tcPr>
            <w:tcW w:w="1951" w:type="dxa"/>
            <w:shd w:val="clear" w:color="auto" w:fill="auto"/>
          </w:tcPr>
          <w:p w:rsidR="005B79CD" w:rsidRPr="00E173FE" w:rsidRDefault="005B79CD" w:rsidP="00D077F2">
            <w:pPr>
              <w:keepNext/>
              <w:keepLines/>
              <w:spacing w:after="0"/>
              <w:outlineLvl w:val="3"/>
              <w:rPr>
                <w:bCs/>
                <w:szCs w:val="24"/>
                <w:lang w:val="es-ES_tradnl" w:eastAsia="ja-JP" w:bidi="he-IL"/>
              </w:rPr>
            </w:pPr>
            <w:r w:rsidRPr="00E173FE">
              <w:rPr>
                <w:bCs/>
                <w:lang w:val="es-ES_tradnl" w:eastAsia="ja-JP" w:bidi="he-IL"/>
              </w:rPr>
              <w:t>CRC</w:t>
            </w:r>
            <w:r w:rsidRPr="00E173FE">
              <w:rPr>
                <w:rFonts w:hint="eastAsia"/>
                <w:bCs/>
                <w:lang w:val="es-ES_tradnl" w:eastAsia="zh-CN" w:bidi="he-IL"/>
              </w:rPr>
              <w:t xml:space="preserve">, </w:t>
            </w:r>
            <w:r w:rsidRPr="00E173FE">
              <w:rPr>
                <w:bCs/>
                <w:i/>
                <w:lang w:val="es-ES_tradnl" w:eastAsia="ja-JP" w:bidi="he-IL"/>
              </w:rPr>
              <w:t>n</w:t>
            </w:r>
            <w:r w:rsidRPr="00E173FE">
              <w:rPr>
                <w:rFonts w:hint="eastAsia"/>
                <w:bCs/>
                <w:lang w:val="es-ES_tradnl" w:eastAsia="zh-CN" w:bidi="he-IL"/>
              </w:rPr>
              <w:t xml:space="preserve"> </w:t>
            </w:r>
            <w:r w:rsidRPr="00E173FE">
              <w:rPr>
                <w:bCs/>
                <w:lang w:val="es-ES_tradnl" w:eastAsia="ja-JP" w:bidi="he-IL"/>
              </w:rPr>
              <w:t>(%)</w:t>
            </w:r>
          </w:p>
          <w:p w:rsidR="005B79CD" w:rsidRPr="00E173FE" w:rsidRDefault="005B79CD" w:rsidP="00D077F2">
            <w:pPr>
              <w:spacing w:after="0"/>
              <w:rPr>
                <w:bCs/>
                <w:szCs w:val="24"/>
                <w:lang w:val="es-ES_tradnl" w:eastAsia="ja-JP" w:bidi="he-IL"/>
              </w:rPr>
            </w:pPr>
          </w:p>
          <w:p w:rsidR="005B79CD" w:rsidRPr="00E173FE" w:rsidRDefault="005B79CD" w:rsidP="00D077F2">
            <w:pPr>
              <w:keepNext/>
              <w:keepLines/>
              <w:spacing w:after="0"/>
              <w:outlineLvl w:val="3"/>
              <w:rPr>
                <w:bCs/>
                <w:szCs w:val="24"/>
                <w:lang w:val="es-ES_tradnl" w:eastAsia="zh-CN" w:bidi="he-IL"/>
              </w:rPr>
            </w:pPr>
            <w:r w:rsidRPr="00E173FE">
              <w:rPr>
                <w:bCs/>
                <w:lang w:val="es-ES_tradnl" w:eastAsia="ja-JP" w:bidi="he-IL"/>
              </w:rPr>
              <w:t>PPV CRC</w:t>
            </w:r>
            <w:r w:rsidRPr="00E173FE">
              <w:rPr>
                <w:rFonts w:hint="eastAsia"/>
                <w:bCs/>
                <w:lang w:val="es-ES_tradnl" w:eastAsia="zh-CN" w:bidi="he-IL"/>
              </w:rPr>
              <w:t xml:space="preserve"> </w:t>
            </w:r>
          </w:p>
        </w:tc>
        <w:tc>
          <w:tcPr>
            <w:tcW w:w="1812"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86</w:t>
            </w: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4.4%</w:t>
            </w:r>
          </w:p>
        </w:tc>
        <w:tc>
          <w:tcPr>
            <w:tcW w:w="197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3.4%</w:t>
            </w:r>
          </w:p>
        </w:tc>
        <w:tc>
          <w:tcPr>
            <w:tcW w:w="1365"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1.2%</w:t>
            </w:r>
          </w:p>
        </w:tc>
        <w:tc>
          <w:tcPr>
            <w:tcW w:w="2110" w:type="dxa"/>
            <w:shd w:val="clear" w:color="auto" w:fill="auto"/>
          </w:tcPr>
          <w:p w:rsidR="005B79CD" w:rsidRPr="00E173FE" w:rsidRDefault="00E173FE" w:rsidP="00D077F2">
            <w:pPr>
              <w:spacing w:after="0"/>
              <w:rPr>
                <w:szCs w:val="24"/>
                <w:lang w:val="es-ES_tradnl" w:eastAsia="ja-JP" w:bidi="he-IL"/>
              </w:rPr>
            </w:pPr>
            <w:r>
              <w:rPr>
                <w:szCs w:val="24"/>
                <w:lang w:val="es-ES_tradnl" w:eastAsia="ja-JP" w:bidi="he-IL"/>
              </w:rPr>
              <w:t>67 (5.3</w:t>
            </w:r>
            <w:r w:rsidR="005B79CD" w:rsidRPr="00E173FE">
              <w:rPr>
                <w:szCs w:val="24"/>
                <w:lang w:val="es-ES_tradnl" w:eastAsia="ja-JP" w:bidi="he-IL"/>
              </w:rPr>
              <w:t>)</w:t>
            </w:r>
          </w:p>
        </w:tc>
        <w:tc>
          <w:tcPr>
            <w:tcW w:w="1885" w:type="dxa"/>
            <w:shd w:val="clear" w:color="auto" w:fill="auto"/>
          </w:tcPr>
          <w:p w:rsidR="005B79CD" w:rsidRPr="00E173FE" w:rsidRDefault="00E173FE" w:rsidP="00D077F2">
            <w:pPr>
              <w:spacing w:after="0"/>
              <w:rPr>
                <w:szCs w:val="24"/>
                <w:lang w:val="es-ES_tradnl" w:eastAsia="ja-JP" w:bidi="he-IL"/>
              </w:rPr>
            </w:pPr>
            <w:r>
              <w:rPr>
                <w:szCs w:val="24"/>
                <w:lang w:val="es-ES_tradnl" w:eastAsia="ja-JP" w:bidi="he-IL"/>
              </w:rPr>
              <w:t>23 (3.7</w:t>
            </w:r>
            <w:r w:rsidR="005B79CD" w:rsidRPr="00E173FE">
              <w:rPr>
                <w:szCs w:val="24"/>
                <w:lang w:val="es-ES_tradnl" w:eastAsia="ja-JP" w:bidi="he-IL"/>
              </w:rPr>
              <w:t>)</w:t>
            </w:r>
          </w:p>
        </w:tc>
        <w:tc>
          <w:tcPr>
            <w:tcW w:w="1481" w:type="dxa"/>
            <w:shd w:val="clear" w:color="auto" w:fill="auto"/>
          </w:tcPr>
          <w:p w:rsidR="005B79CD" w:rsidRPr="00E173FE" w:rsidRDefault="005B79CD" w:rsidP="00D077F2">
            <w:pPr>
              <w:spacing w:after="0"/>
              <w:rPr>
                <w:szCs w:val="24"/>
                <w:lang w:val="es-ES_tradnl" w:eastAsia="ja-JP" w:bidi="he-IL"/>
              </w:rPr>
            </w:pPr>
            <w:r w:rsidRPr="00E173FE">
              <w:rPr>
                <w:szCs w:val="24"/>
                <w:lang w:val="es-ES_tradnl" w:eastAsia="ja-JP" w:bidi="he-IL"/>
              </w:rPr>
              <w:t>2304</w:t>
            </w:r>
          </w:p>
        </w:tc>
        <w:tc>
          <w:tcPr>
            <w:tcW w:w="1567" w:type="dxa"/>
            <w:shd w:val="clear" w:color="auto" w:fill="auto"/>
          </w:tcPr>
          <w:p w:rsidR="005B79CD" w:rsidRPr="00E173FE" w:rsidRDefault="00E173FE" w:rsidP="00D077F2">
            <w:pPr>
              <w:spacing w:after="0"/>
              <w:rPr>
                <w:szCs w:val="24"/>
                <w:lang w:val="es-ES_tradnl" w:eastAsia="ja-JP" w:bidi="he-IL"/>
              </w:rPr>
            </w:pPr>
            <w:r>
              <w:rPr>
                <w:szCs w:val="24"/>
                <w:lang w:val="es-ES_tradnl" w:eastAsia="ja-JP" w:bidi="he-IL"/>
              </w:rPr>
              <w:t>13 (1.1</w:t>
            </w:r>
            <w:r w:rsidR="005B79CD" w:rsidRPr="00E173FE">
              <w:rPr>
                <w:szCs w:val="24"/>
                <w:lang w:val="es-ES_tradnl" w:eastAsia="ja-JP" w:bidi="he-IL"/>
              </w:rPr>
              <w:t>)</w:t>
            </w:r>
          </w:p>
        </w:tc>
      </w:tr>
      <w:tr w:rsidR="005B79CD" w:rsidRPr="00E173FE" w:rsidTr="00EC52E5">
        <w:trPr>
          <w:trHeight w:val="796"/>
        </w:trPr>
        <w:tc>
          <w:tcPr>
            <w:tcW w:w="1951" w:type="dxa"/>
            <w:shd w:val="clear" w:color="auto" w:fill="auto"/>
          </w:tcPr>
          <w:p w:rsidR="005B79CD" w:rsidRPr="00E173FE" w:rsidRDefault="005B79CD" w:rsidP="00D077F2">
            <w:pPr>
              <w:keepNext/>
              <w:keepLines/>
              <w:spacing w:after="0"/>
              <w:outlineLvl w:val="3"/>
              <w:rPr>
                <w:bCs/>
                <w:szCs w:val="24"/>
                <w:lang w:val="es-ES_tradnl" w:eastAsia="ja-JP" w:bidi="he-IL"/>
              </w:rPr>
            </w:pPr>
            <w:r w:rsidRPr="00E173FE">
              <w:rPr>
                <w:bCs/>
                <w:lang w:val="es-ES_tradnl" w:eastAsia="ja-JP" w:bidi="he-IL"/>
              </w:rPr>
              <w:lastRenderedPageBreak/>
              <w:t>CRC Detection rate per 1000</w:t>
            </w:r>
          </w:p>
        </w:tc>
        <w:tc>
          <w:tcPr>
            <w:tcW w:w="1812"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1.8</w:t>
            </w:r>
          </w:p>
        </w:tc>
        <w:tc>
          <w:tcPr>
            <w:tcW w:w="197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1365"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NA</w:t>
            </w:r>
          </w:p>
        </w:tc>
        <w:tc>
          <w:tcPr>
            <w:tcW w:w="2110"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2.59</w:t>
            </w:r>
          </w:p>
        </w:tc>
        <w:tc>
          <w:tcPr>
            <w:tcW w:w="1885"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0.29</w:t>
            </w:r>
          </w:p>
        </w:tc>
        <w:tc>
          <w:tcPr>
            <w:tcW w:w="1481"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2.5</w:t>
            </w:r>
          </w:p>
        </w:tc>
        <w:tc>
          <w:tcPr>
            <w:tcW w:w="1567" w:type="dxa"/>
            <w:shd w:val="clear" w:color="auto" w:fill="auto"/>
          </w:tcPr>
          <w:p w:rsidR="005B79CD" w:rsidRPr="00E173FE" w:rsidRDefault="005B79CD" w:rsidP="00D077F2">
            <w:pPr>
              <w:spacing w:after="0"/>
              <w:rPr>
                <w:szCs w:val="24"/>
                <w:lang w:val="es-ES_tradnl" w:eastAsia="ja-JP" w:bidi="he-IL"/>
              </w:rPr>
            </w:pPr>
          </w:p>
          <w:p w:rsidR="005B79CD" w:rsidRPr="00E173FE" w:rsidRDefault="005B79CD" w:rsidP="00D077F2">
            <w:pPr>
              <w:spacing w:after="0"/>
              <w:rPr>
                <w:szCs w:val="24"/>
                <w:lang w:val="es-ES_tradnl" w:eastAsia="ja-JP" w:bidi="he-IL"/>
              </w:rPr>
            </w:pPr>
            <w:r w:rsidRPr="00E173FE">
              <w:rPr>
                <w:szCs w:val="24"/>
                <w:lang w:val="es-ES_tradnl" w:eastAsia="ja-JP" w:bidi="he-IL"/>
              </w:rPr>
              <w:t>2</w:t>
            </w:r>
          </w:p>
        </w:tc>
      </w:tr>
    </w:tbl>
    <w:p w:rsidR="00A464B6" w:rsidRPr="00E173FE" w:rsidRDefault="00A464B6" w:rsidP="00D077F2">
      <w:pPr>
        <w:spacing w:after="0"/>
        <w:rPr>
          <w:lang w:val="en-US"/>
        </w:rPr>
      </w:pPr>
    </w:p>
    <w:p w:rsidR="00A464B6" w:rsidRPr="00E173FE" w:rsidRDefault="005B79CD" w:rsidP="00D077F2">
      <w:pPr>
        <w:spacing w:after="0"/>
        <w:rPr>
          <w:rFonts w:cs="Arial"/>
          <w:szCs w:val="24"/>
          <w:lang w:eastAsia="zh-CN"/>
        </w:rPr>
        <w:sectPr w:rsidR="00A464B6" w:rsidRPr="00E173FE" w:rsidSect="009E6016">
          <w:pgSz w:w="16838" w:h="11906" w:orient="landscape"/>
          <w:pgMar w:top="1418" w:right="1134" w:bottom="1418" w:left="1134" w:header="709" w:footer="709" w:gutter="0"/>
          <w:cols w:space="708"/>
          <w:docGrid w:linePitch="360"/>
        </w:sectPr>
      </w:pPr>
      <w:r w:rsidRPr="00E173FE">
        <w:rPr>
          <w:rFonts w:cs="Arial" w:hint="eastAsia"/>
          <w:szCs w:val="24"/>
          <w:lang w:eastAsia="zh-CN"/>
        </w:rPr>
        <w:t xml:space="preserve"> </w:t>
      </w:r>
    </w:p>
    <w:p w:rsidR="00A464B6" w:rsidRPr="00E173FE" w:rsidRDefault="00A464B6" w:rsidP="00D077F2">
      <w:pPr>
        <w:spacing w:after="0"/>
        <w:rPr>
          <w:rFonts w:cs="Calibri"/>
          <w:szCs w:val="24"/>
          <w:lang w:val="en-US"/>
        </w:rPr>
      </w:pPr>
    </w:p>
    <w:sectPr w:rsidR="00A464B6" w:rsidRPr="00E173FE" w:rsidSect="00F239A3">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571" w:rsidRDefault="00F57571" w:rsidP="00BF11A0">
      <w:pPr>
        <w:spacing w:after="0" w:line="240" w:lineRule="auto"/>
      </w:pPr>
      <w:r>
        <w:separator/>
      </w:r>
    </w:p>
  </w:endnote>
  <w:endnote w:type="continuationSeparator" w:id="0">
    <w:p w:rsidR="00F57571" w:rsidRDefault="00F57571" w:rsidP="00BF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78" w:rsidRPr="00F87576" w:rsidRDefault="00156F7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571" w:rsidRDefault="00F57571" w:rsidP="00BF11A0">
      <w:pPr>
        <w:spacing w:after="0" w:line="240" w:lineRule="auto"/>
      </w:pPr>
      <w:r>
        <w:separator/>
      </w:r>
    </w:p>
  </w:footnote>
  <w:footnote w:type="continuationSeparator" w:id="0">
    <w:p w:rsidR="00F57571" w:rsidRDefault="00F57571" w:rsidP="00BF1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F78" w:rsidRDefault="00156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1A3C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59891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14E2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39A03E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BB68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569F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5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C1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6FB7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E02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6E87"/>
    <w:multiLevelType w:val="multilevel"/>
    <w:tmpl w:val="4520668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04BF30C6"/>
    <w:multiLevelType w:val="multilevel"/>
    <w:tmpl w:val="A484DE0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67A19B8"/>
    <w:multiLevelType w:val="multilevel"/>
    <w:tmpl w:val="9F88B714"/>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684690E"/>
    <w:multiLevelType w:val="hybridMultilevel"/>
    <w:tmpl w:val="F5C08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E06517"/>
    <w:multiLevelType w:val="multilevel"/>
    <w:tmpl w:val="4F027BD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4F3D0E34"/>
    <w:multiLevelType w:val="hybridMultilevel"/>
    <w:tmpl w:val="29064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412172"/>
    <w:multiLevelType w:val="hybridMultilevel"/>
    <w:tmpl w:val="96B8B5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5F3B246D"/>
    <w:multiLevelType w:val="hybridMultilevel"/>
    <w:tmpl w:val="E8FEE746"/>
    <w:lvl w:ilvl="0" w:tplc="F19EE4F4">
      <w:start w:val="1"/>
      <w:numFmt w:val="decimal"/>
      <w:lvlText w:val="%1."/>
      <w:lvlJc w:val="left"/>
      <w:pPr>
        <w:ind w:left="720" w:hanging="360"/>
      </w:pPr>
      <w:rPr>
        <w:rFonts w:cs="Times New Roman"/>
        <w:color w:val="auto"/>
        <w:sz w:val="24"/>
        <w:szCs w:val="24"/>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2813DE5"/>
    <w:multiLevelType w:val="hybridMultilevel"/>
    <w:tmpl w:val="75A46F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1DA01FD"/>
    <w:multiLevelType w:val="multilevel"/>
    <w:tmpl w:val="0F92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61C6C"/>
    <w:multiLevelType w:val="hybridMultilevel"/>
    <w:tmpl w:val="B9D23334"/>
    <w:lvl w:ilvl="0" w:tplc="EF146950">
      <w:start w:val="2"/>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7"/>
  </w:num>
  <w:num w:numId="4">
    <w:abstractNumId w:val="15"/>
  </w:num>
  <w:num w:numId="5">
    <w:abstractNumId w:val="20"/>
  </w:num>
  <w:num w:numId="6">
    <w:abstractNumId w:val="13"/>
  </w:num>
  <w:num w:numId="7">
    <w:abstractNumId w:val="18"/>
  </w:num>
  <w:num w:numId="8">
    <w:abstractNumId w:val="10"/>
  </w:num>
  <w:num w:numId="9">
    <w:abstractNumId w:val="11"/>
  </w:num>
  <w:num w:numId="10">
    <w:abstractNumId w:val="12"/>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A4"/>
    <w:rsid w:val="00013DD0"/>
    <w:rsid w:val="0002224B"/>
    <w:rsid w:val="0002276B"/>
    <w:rsid w:val="0002657E"/>
    <w:rsid w:val="00027836"/>
    <w:rsid w:val="000312EE"/>
    <w:rsid w:val="00033AE8"/>
    <w:rsid w:val="00035B18"/>
    <w:rsid w:val="00040542"/>
    <w:rsid w:val="00050CB2"/>
    <w:rsid w:val="00060D36"/>
    <w:rsid w:val="00065A90"/>
    <w:rsid w:val="00067547"/>
    <w:rsid w:val="00070A3F"/>
    <w:rsid w:val="0007204D"/>
    <w:rsid w:val="00090C87"/>
    <w:rsid w:val="000A44CA"/>
    <w:rsid w:val="000B1934"/>
    <w:rsid w:val="000D4336"/>
    <w:rsid w:val="000D445C"/>
    <w:rsid w:val="000D75ED"/>
    <w:rsid w:val="000F5956"/>
    <w:rsid w:val="000F732C"/>
    <w:rsid w:val="000F7BEC"/>
    <w:rsid w:val="00106CD0"/>
    <w:rsid w:val="00111DCA"/>
    <w:rsid w:val="00116B8D"/>
    <w:rsid w:val="00122728"/>
    <w:rsid w:val="00123C25"/>
    <w:rsid w:val="00130920"/>
    <w:rsid w:val="001327A7"/>
    <w:rsid w:val="0014256B"/>
    <w:rsid w:val="001454AC"/>
    <w:rsid w:val="00146A13"/>
    <w:rsid w:val="00156F78"/>
    <w:rsid w:val="00157176"/>
    <w:rsid w:val="001677F7"/>
    <w:rsid w:val="00170FA2"/>
    <w:rsid w:val="00172AC3"/>
    <w:rsid w:val="00182E11"/>
    <w:rsid w:val="00192F12"/>
    <w:rsid w:val="00193764"/>
    <w:rsid w:val="001A372B"/>
    <w:rsid w:val="001A5C90"/>
    <w:rsid w:val="001A613D"/>
    <w:rsid w:val="001B2F04"/>
    <w:rsid w:val="001B715C"/>
    <w:rsid w:val="001C1BCD"/>
    <w:rsid w:val="001D5DCC"/>
    <w:rsid w:val="001D7C33"/>
    <w:rsid w:val="001E5C64"/>
    <w:rsid w:val="001F1B31"/>
    <w:rsid w:val="001F296B"/>
    <w:rsid w:val="001F67A4"/>
    <w:rsid w:val="00212338"/>
    <w:rsid w:val="00220A06"/>
    <w:rsid w:val="00222FB3"/>
    <w:rsid w:val="0023421D"/>
    <w:rsid w:val="00234B87"/>
    <w:rsid w:val="00240883"/>
    <w:rsid w:val="00246A2C"/>
    <w:rsid w:val="002502D1"/>
    <w:rsid w:val="0026759A"/>
    <w:rsid w:val="002705F8"/>
    <w:rsid w:val="002730BD"/>
    <w:rsid w:val="002758BD"/>
    <w:rsid w:val="00284A55"/>
    <w:rsid w:val="002A2A29"/>
    <w:rsid w:val="002B439D"/>
    <w:rsid w:val="002C38B4"/>
    <w:rsid w:val="002D4678"/>
    <w:rsid w:val="002D52B7"/>
    <w:rsid w:val="002D6EFB"/>
    <w:rsid w:val="002E0AAE"/>
    <w:rsid w:val="002E3F10"/>
    <w:rsid w:val="002F2B8D"/>
    <w:rsid w:val="002F395D"/>
    <w:rsid w:val="002F5D47"/>
    <w:rsid w:val="00300225"/>
    <w:rsid w:val="00303618"/>
    <w:rsid w:val="00304283"/>
    <w:rsid w:val="003121E0"/>
    <w:rsid w:val="00313110"/>
    <w:rsid w:val="00317A41"/>
    <w:rsid w:val="00322FAF"/>
    <w:rsid w:val="00324716"/>
    <w:rsid w:val="003271C0"/>
    <w:rsid w:val="00327D39"/>
    <w:rsid w:val="00334F59"/>
    <w:rsid w:val="003452AE"/>
    <w:rsid w:val="003460AD"/>
    <w:rsid w:val="00350BDE"/>
    <w:rsid w:val="003610D9"/>
    <w:rsid w:val="00366663"/>
    <w:rsid w:val="00371908"/>
    <w:rsid w:val="00377784"/>
    <w:rsid w:val="00380F81"/>
    <w:rsid w:val="00383555"/>
    <w:rsid w:val="0038454A"/>
    <w:rsid w:val="00385437"/>
    <w:rsid w:val="003872FD"/>
    <w:rsid w:val="0039068E"/>
    <w:rsid w:val="003952DD"/>
    <w:rsid w:val="003A39BC"/>
    <w:rsid w:val="003A3A96"/>
    <w:rsid w:val="003A5EB8"/>
    <w:rsid w:val="003A624D"/>
    <w:rsid w:val="003B1655"/>
    <w:rsid w:val="003B1B1D"/>
    <w:rsid w:val="003D274E"/>
    <w:rsid w:val="003D762D"/>
    <w:rsid w:val="003F4847"/>
    <w:rsid w:val="00405922"/>
    <w:rsid w:val="00405EDB"/>
    <w:rsid w:val="0040629E"/>
    <w:rsid w:val="004115EC"/>
    <w:rsid w:val="00414230"/>
    <w:rsid w:val="004436C8"/>
    <w:rsid w:val="00446A54"/>
    <w:rsid w:val="0045439C"/>
    <w:rsid w:val="00457BF2"/>
    <w:rsid w:val="004763AB"/>
    <w:rsid w:val="0047725B"/>
    <w:rsid w:val="004816EE"/>
    <w:rsid w:val="004A0657"/>
    <w:rsid w:val="004A50FD"/>
    <w:rsid w:val="004B0706"/>
    <w:rsid w:val="004B10A5"/>
    <w:rsid w:val="004C01E6"/>
    <w:rsid w:val="004C2140"/>
    <w:rsid w:val="004D3479"/>
    <w:rsid w:val="004D59C8"/>
    <w:rsid w:val="004D626F"/>
    <w:rsid w:val="004E0CA1"/>
    <w:rsid w:val="004E1DE8"/>
    <w:rsid w:val="004F191D"/>
    <w:rsid w:val="005059FF"/>
    <w:rsid w:val="00506C68"/>
    <w:rsid w:val="005326D8"/>
    <w:rsid w:val="00532E57"/>
    <w:rsid w:val="00537CC4"/>
    <w:rsid w:val="00537E3F"/>
    <w:rsid w:val="00542E8B"/>
    <w:rsid w:val="00552584"/>
    <w:rsid w:val="005573C7"/>
    <w:rsid w:val="00561F14"/>
    <w:rsid w:val="005719D9"/>
    <w:rsid w:val="00573515"/>
    <w:rsid w:val="00581CF8"/>
    <w:rsid w:val="005857D7"/>
    <w:rsid w:val="005904A2"/>
    <w:rsid w:val="005978FF"/>
    <w:rsid w:val="00597DF6"/>
    <w:rsid w:val="005A0497"/>
    <w:rsid w:val="005B3B68"/>
    <w:rsid w:val="005B6226"/>
    <w:rsid w:val="005B79CD"/>
    <w:rsid w:val="005C2453"/>
    <w:rsid w:val="005C4E9B"/>
    <w:rsid w:val="005D272F"/>
    <w:rsid w:val="005E3FBE"/>
    <w:rsid w:val="00600A9B"/>
    <w:rsid w:val="00606824"/>
    <w:rsid w:val="006101E9"/>
    <w:rsid w:val="00610BD6"/>
    <w:rsid w:val="00616548"/>
    <w:rsid w:val="0062307B"/>
    <w:rsid w:val="0064070A"/>
    <w:rsid w:val="00642E73"/>
    <w:rsid w:val="0064428E"/>
    <w:rsid w:val="006473FF"/>
    <w:rsid w:val="00655DC9"/>
    <w:rsid w:val="006902E4"/>
    <w:rsid w:val="00694FE2"/>
    <w:rsid w:val="006A1939"/>
    <w:rsid w:val="006A3B17"/>
    <w:rsid w:val="006A48F0"/>
    <w:rsid w:val="006A714C"/>
    <w:rsid w:val="006B3428"/>
    <w:rsid w:val="006B6703"/>
    <w:rsid w:val="006B7A82"/>
    <w:rsid w:val="006E0674"/>
    <w:rsid w:val="006E15CC"/>
    <w:rsid w:val="006E2A62"/>
    <w:rsid w:val="006F5F48"/>
    <w:rsid w:val="007025C7"/>
    <w:rsid w:val="0070354B"/>
    <w:rsid w:val="00712F63"/>
    <w:rsid w:val="007143F6"/>
    <w:rsid w:val="00715D76"/>
    <w:rsid w:val="007167DF"/>
    <w:rsid w:val="007340B3"/>
    <w:rsid w:val="007407FE"/>
    <w:rsid w:val="00742F1F"/>
    <w:rsid w:val="0074320B"/>
    <w:rsid w:val="00746A0C"/>
    <w:rsid w:val="00750269"/>
    <w:rsid w:val="00766AF8"/>
    <w:rsid w:val="0077060A"/>
    <w:rsid w:val="0077382A"/>
    <w:rsid w:val="007756F0"/>
    <w:rsid w:val="00775B0F"/>
    <w:rsid w:val="00777B9D"/>
    <w:rsid w:val="00780CE0"/>
    <w:rsid w:val="007828D7"/>
    <w:rsid w:val="00793FA5"/>
    <w:rsid w:val="0079625A"/>
    <w:rsid w:val="007A0FA9"/>
    <w:rsid w:val="007A7051"/>
    <w:rsid w:val="007B581B"/>
    <w:rsid w:val="007B5CB9"/>
    <w:rsid w:val="007D4DA0"/>
    <w:rsid w:val="007F0974"/>
    <w:rsid w:val="007F2965"/>
    <w:rsid w:val="007F303A"/>
    <w:rsid w:val="007F55BB"/>
    <w:rsid w:val="00802437"/>
    <w:rsid w:val="00806F8A"/>
    <w:rsid w:val="00812BF4"/>
    <w:rsid w:val="008164A4"/>
    <w:rsid w:val="00822E50"/>
    <w:rsid w:val="00826EA6"/>
    <w:rsid w:val="0083514D"/>
    <w:rsid w:val="0083618B"/>
    <w:rsid w:val="008401DA"/>
    <w:rsid w:val="00843858"/>
    <w:rsid w:val="00851383"/>
    <w:rsid w:val="00851DBA"/>
    <w:rsid w:val="00861AFB"/>
    <w:rsid w:val="00862B48"/>
    <w:rsid w:val="00862C64"/>
    <w:rsid w:val="008639C9"/>
    <w:rsid w:val="00886547"/>
    <w:rsid w:val="00886689"/>
    <w:rsid w:val="008926FA"/>
    <w:rsid w:val="008964E6"/>
    <w:rsid w:val="008A093E"/>
    <w:rsid w:val="008A2584"/>
    <w:rsid w:val="008C3A25"/>
    <w:rsid w:val="008C3F73"/>
    <w:rsid w:val="008C7F9F"/>
    <w:rsid w:val="008D1296"/>
    <w:rsid w:val="008D169F"/>
    <w:rsid w:val="008D2C56"/>
    <w:rsid w:val="008E100D"/>
    <w:rsid w:val="008E31EA"/>
    <w:rsid w:val="008F666D"/>
    <w:rsid w:val="008F7F88"/>
    <w:rsid w:val="00901D52"/>
    <w:rsid w:val="00904413"/>
    <w:rsid w:val="00904584"/>
    <w:rsid w:val="0091413F"/>
    <w:rsid w:val="00920048"/>
    <w:rsid w:val="00926F19"/>
    <w:rsid w:val="00937F32"/>
    <w:rsid w:val="009443AD"/>
    <w:rsid w:val="00947566"/>
    <w:rsid w:val="00947A80"/>
    <w:rsid w:val="00952EDF"/>
    <w:rsid w:val="00954613"/>
    <w:rsid w:val="0097412F"/>
    <w:rsid w:val="009750E0"/>
    <w:rsid w:val="00993203"/>
    <w:rsid w:val="00994942"/>
    <w:rsid w:val="0099601E"/>
    <w:rsid w:val="009A7C82"/>
    <w:rsid w:val="009B5528"/>
    <w:rsid w:val="009C64D0"/>
    <w:rsid w:val="009D02D5"/>
    <w:rsid w:val="009D0E04"/>
    <w:rsid w:val="009D5F5A"/>
    <w:rsid w:val="009E6016"/>
    <w:rsid w:val="009F19CA"/>
    <w:rsid w:val="009F4473"/>
    <w:rsid w:val="009F688B"/>
    <w:rsid w:val="009F7A16"/>
    <w:rsid w:val="00A12C3C"/>
    <w:rsid w:val="00A215F7"/>
    <w:rsid w:val="00A22EEB"/>
    <w:rsid w:val="00A26D8D"/>
    <w:rsid w:val="00A348E6"/>
    <w:rsid w:val="00A407E0"/>
    <w:rsid w:val="00A41DE6"/>
    <w:rsid w:val="00A4251C"/>
    <w:rsid w:val="00A464B6"/>
    <w:rsid w:val="00A5469B"/>
    <w:rsid w:val="00A57BA7"/>
    <w:rsid w:val="00A6021B"/>
    <w:rsid w:val="00A604B5"/>
    <w:rsid w:val="00A6107D"/>
    <w:rsid w:val="00A67528"/>
    <w:rsid w:val="00A77DA5"/>
    <w:rsid w:val="00A912A5"/>
    <w:rsid w:val="00AA2297"/>
    <w:rsid w:val="00AA2666"/>
    <w:rsid w:val="00AC3F0B"/>
    <w:rsid w:val="00AC5947"/>
    <w:rsid w:val="00AC6707"/>
    <w:rsid w:val="00AE2F80"/>
    <w:rsid w:val="00AE505F"/>
    <w:rsid w:val="00AE7CF2"/>
    <w:rsid w:val="00AF37B4"/>
    <w:rsid w:val="00B0192F"/>
    <w:rsid w:val="00B2689D"/>
    <w:rsid w:val="00B36FF7"/>
    <w:rsid w:val="00B42C9E"/>
    <w:rsid w:val="00B55109"/>
    <w:rsid w:val="00B55A90"/>
    <w:rsid w:val="00B77C7D"/>
    <w:rsid w:val="00BB3D50"/>
    <w:rsid w:val="00BC2DF1"/>
    <w:rsid w:val="00BE0EDB"/>
    <w:rsid w:val="00BF11A0"/>
    <w:rsid w:val="00BF1FF7"/>
    <w:rsid w:val="00BF5B5A"/>
    <w:rsid w:val="00BF6D42"/>
    <w:rsid w:val="00C2622D"/>
    <w:rsid w:val="00C3009F"/>
    <w:rsid w:val="00C31649"/>
    <w:rsid w:val="00C36874"/>
    <w:rsid w:val="00C37E47"/>
    <w:rsid w:val="00C41C79"/>
    <w:rsid w:val="00C42223"/>
    <w:rsid w:val="00C54D28"/>
    <w:rsid w:val="00C6608D"/>
    <w:rsid w:val="00C74C09"/>
    <w:rsid w:val="00C81EB8"/>
    <w:rsid w:val="00C8701F"/>
    <w:rsid w:val="00C9709E"/>
    <w:rsid w:val="00C9723C"/>
    <w:rsid w:val="00CC301A"/>
    <w:rsid w:val="00CD6AD7"/>
    <w:rsid w:val="00CE5EB7"/>
    <w:rsid w:val="00CF11FF"/>
    <w:rsid w:val="00CF3ABF"/>
    <w:rsid w:val="00CF665B"/>
    <w:rsid w:val="00D05AD9"/>
    <w:rsid w:val="00D07484"/>
    <w:rsid w:val="00D077F2"/>
    <w:rsid w:val="00D15B85"/>
    <w:rsid w:val="00D23C13"/>
    <w:rsid w:val="00D24863"/>
    <w:rsid w:val="00D24FA6"/>
    <w:rsid w:val="00D41ED6"/>
    <w:rsid w:val="00D50C5F"/>
    <w:rsid w:val="00D51418"/>
    <w:rsid w:val="00D53275"/>
    <w:rsid w:val="00D5469F"/>
    <w:rsid w:val="00D6291C"/>
    <w:rsid w:val="00D649DB"/>
    <w:rsid w:val="00D702F0"/>
    <w:rsid w:val="00D70623"/>
    <w:rsid w:val="00D71F71"/>
    <w:rsid w:val="00D81543"/>
    <w:rsid w:val="00D91212"/>
    <w:rsid w:val="00DA4297"/>
    <w:rsid w:val="00DA5758"/>
    <w:rsid w:val="00DB4CF4"/>
    <w:rsid w:val="00DC7427"/>
    <w:rsid w:val="00DD5C3D"/>
    <w:rsid w:val="00DD693F"/>
    <w:rsid w:val="00DD6AC7"/>
    <w:rsid w:val="00DF256E"/>
    <w:rsid w:val="00E1188A"/>
    <w:rsid w:val="00E11C56"/>
    <w:rsid w:val="00E173FE"/>
    <w:rsid w:val="00E253F4"/>
    <w:rsid w:val="00E33002"/>
    <w:rsid w:val="00E34B10"/>
    <w:rsid w:val="00E35F07"/>
    <w:rsid w:val="00E43199"/>
    <w:rsid w:val="00E55350"/>
    <w:rsid w:val="00E62EDA"/>
    <w:rsid w:val="00E73A79"/>
    <w:rsid w:val="00E73EE2"/>
    <w:rsid w:val="00E74C15"/>
    <w:rsid w:val="00E8239F"/>
    <w:rsid w:val="00E835A2"/>
    <w:rsid w:val="00E85062"/>
    <w:rsid w:val="00EA0B6E"/>
    <w:rsid w:val="00EA61C6"/>
    <w:rsid w:val="00EB613E"/>
    <w:rsid w:val="00EB6CF8"/>
    <w:rsid w:val="00EB7D0C"/>
    <w:rsid w:val="00EC0C0D"/>
    <w:rsid w:val="00ED0539"/>
    <w:rsid w:val="00ED5A8A"/>
    <w:rsid w:val="00ED6D5B"/>
    <w:rsid w:val="00EE7879"/>
    <w:rsid w:val="00F0389E"/>
    <w:rsid w:val="00F070AB"/>
    <w:rsid w:val="00F12385"/>
    <w:rsid w:val="00F17754"/>
    <w:rsid w:val="00F17BFC"/>
    <w:rsid w:val="00F239A3"/>
    <w:rsid w:val="00F25BE7"/>
    <w:rsid w:val="00F32A0C"/>
    <w:rsid w:val="00F4280E"/>
    <w:rsid w:val="00F57571"/>
    <w:rsid w:val="00F6267F"/>
    <w:rsid w:val="00F62EE8"/>
    <w:rsid w:val="00F72960"/>
    <w:rsid w:val="00F87576"/>
    <w:rsid w:val="00F8766D"/>
    <w:rsid w:val="00F97B7B"/>
    <w:rsid w:val="00FA0C64"/>
    <w:rsid w:val="00FC4996"/>
    <w:rsid w:val="00FC72CD"/>
    <w:rsid w:val="00FC747A"/>
    <w:rsid w:val="00FE3C4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3E07E103-CAA8-4DAF-A0AA-99630643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8E"/>
    <w:pPr>
      <w:spacing w:after="200" w:line="360" w:lineRule="auto"/>
      <w:jc w:val="both"/>
    </w:pPr>
    <w:rPr>
      <w:rFonts w:ascii="Book Antiqua" w:hAnsi="Book Antiqua"/>
      <w:sz w:val="24"/>
      <w:lang w:eastAsia="en-US"/>
    </w:rPr>
  </w:style>
  <w:style w:type="paragraph" w:styleId="Heading2">
    <w:name w:val="heading 2"/>
    <w:basedOn w:val="Normal"/>
    <w:next w:val="Normal"/>
    <w:link w:val="Heading2Char"/>
    <w:uiPriority w:val="99"/>
    <w:qFormat/>
    <w:rsid w:val="006E0674"/>
    <w:pPr>
      <w:keepNext/>
      <w:keepLines/>
      <w:spacing w:before="40" w:after="0" w:line="240" w:lineRule="auto"/>
      <w:outlineLvl w:val="1"/>
    </w:pPr>
    <w:rPr>
      <w:rFonts w:ascii="Cambria" w:hAnsi="Cambria"/>
      <w:sz w:val="28"/>
      <w:szCs w:val="26"/>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0674"/>
    <w:rPr>
      <w:rFonts w:ascii="Cambria" w:hAnsi="Cambria" w:cs="Times New Roman"/>
      <w:sz w:val="26"/>
      <w:szCs w:val="26"/>
      <w:lang w:val="es-ES_tradnl" w:eastAsia="ja-JP"/>
    </w:rPr>
  </w:style>
  <w:style w:type="paragraph" w:styleId="ListParagraph">
    <w:name w:val="List Paragraph"/>
    <w:basedOn w:val="Normal"/>
    <w:link w:val="ListParagraphChar"/>
    <w:uiPriority w:val="34"/>
    <w:qFormat/>
    <w:rsid w:val="008164A4"/>
    <w:pPr>
      <w:ind w:left="720"/>
      <w:contextualSpacing/>
    </w:pPr>
  </w:style>
  <w:style w:type="paragraph" w:styleId="BalloonText">
    <w:name w:val="Balloon Text"/>
    <w:basedOn w:val="Normal"/>
    <w:link w:val="BalloonTextChar"/>
    <w:uiPriority w:val="99"/>
    <w:semiHidden/>
    <w:rsid w:val="0093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7F32"/>
    <w:rPr>
      <w:rFonts w:ascii="Tahoma" w:hAnsi="Tahoma" w:cs="Tahoma"/>
      <w:sz w:val="16"/>
      <w:szCs w:val="16"/>
    </w:rPr>
  </w:style>
  <w:style w:type="character" w:customStyle="1" w:styleId="apple-converted-space">
    <w:name w:val="apple-converted-space"/>
    <w:basedOn w:val="DefaultParagraphFont"/>
    <w:uiPriority w:val="99"/>
    <w:rsid w:val="00CC301A"/>
    <w:rPr>
      <w:rFonts w:cs="Times New Roman"/>
    </w:rPr>
  </w:style>
  <w:style w:type="character" w:styleId="CommentReference">
    <w:name w:val="annotation reference"/>
    <w:basedOn w:val="DefaultParagraphFont"/>
    <w:uiPriority w:val="99"/>
    <w:rsid w:val="00EA61C6"/>
    <w:rPr>
      <w:rFonts w:cs="Times New Roman"/>
      <w:sz w:val="18"/>
      <w:szCs w:val="18"/>
    </w:rPr>
  </w:style>
  <w:style w:type="paragraph" w:styleId="CommentText">
    <w:name w:val="annotation text"/>
    <w:basedOn w:val="Normal"/>
    <w:link w:val="CommentTextChar"/>
    <w:uiPriority w:val="99"/>
    <w:rsid w:val="002E0AAE"/>
    <w:pPr>
      <w:spacing w:after="0" w:line="240" w:lineRule="auto"/>
      <w:jc w:val="left"/>
    </w:pPr>
    <w:rPr>
      <w:rFonts w:ascii="Calibri" w:hAnsi="Calibri" w:cs="Calibri"/>
      <w:sz w:val="20"/>
      <w:szCs w:val="20"/>
      <w:lang w:val="en-US" w:eastAsia="ja-JP"/>
    </w:rPr>
  </w:style>
  <w:style w:type="character" w:customStyle="1" w:styleId="CommentTextChar">
    <w:name w:val="Comment Text Char"/>
    <w:basedOn w:val="DefaultParagraphFont"/>
    <w:link w:val="CommentText"/>
    <w:uiPriority w:val="99"/>
    <w:locked/>
    <w:rsid w:val="002E0AAE"/>
    <w:rPr>
      <w:rFonts w:ascii="Calibri" w:hAnsi="Calibri" w:cs="Calibri"/>
      <w:sz w:val="20"/>
      <w:szCs w:val="20"/>
      <w:lang w:val="en-US" w:eastAsia="ja-JP"/>
    </w:rPr>
  </w:style>
  <w:style w:type="paragraph" w:styleId="HTMLPreformatted">
    <w:name w:val="HTML Preformatted"/>
    <w:basedOn w:val="Normal"/>
    <w:link w:val="HTMLPreformattedChar"/>
    <w:uiPriority w:val="99"/>
    <w:rsid w:val="00FE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PreformattedChar">
    <w:name w:val="HTML Preformatted Char"/>
    <w:basedOn w:val="DefaultParagraphFont"/>
    <w:link w:val="HTMLPreformatted"/>
    <w:uiPriority w:val="99"/>
    <w:locked/>
    <w:rsid w:val="00FE3C47"/>
    <w:rPr>
      <w:rFonts w:ascii="Courier New" w:hAnsi="Courier New" w:cs="Courier New"/>
      <w:sz w:val="20"/>
      <w:szCs w:val="20"/>
      <w:lang w:eastAsia="es-ES"/>
    </w:rPr>
  </w:style>
  <w:style w:type="character" w:styleId="Hyperlink">
    <w:name w:val="Hyperlink"/>
    <w:basedOn w:val="DefaultParagraphFont"/>
    <w:uiPriority w:val="99"/>
    <w:rsid w:val="00192F12"/>
    <w:rPr>
      <w:rFonts w:cs="Times New Roman"/>
      <w:color w:val="0000FF"/>
      <w:u w:val="single"/>
    </w:rPr>
  </w:style>
  <w:style w:type="paragraph" w:styleId="NormalWeb">
    <w:name w:val="Normal (Web)"/>
    <w:basedOn w:val="Normal"/>
    <w:uiPriority w:val="99"/>
    <w:rsid w:val="00920048"/>
    <w:pPr>
      <w:spacing w:before="100" w:beforeAutospacing="1" w:after="100" w:afterAutospacing="1" w:line="240" w:lineRule="auto"/>
    </w:pPr>
    <w:rPr>
      <w:rFonts w:ascii="Times New Roman" w:hAnsi="Times New Roman"/>
      <w:szCs w:val="24"/>
      <w:lang w:eastAsia="es-ES"/>
    </w:rPr>
  </w:style>
  <w:style w:type="character" w:styleId="Strong">
    <w:name w:val="Strong"/>
    <w:basedOn w:val="DefaultParagraphFont"/>
    <w:uiPriority w:val="22"/>
    <w:qFormat/>
    <w:rsid w:val="00920048"/>
    <w:rPr>
      <w:rFonts w:cs="Times New Roman"/>
      <w:b/>
      <w:bCs/>
    </w:rPr>
  </w:style>
  <w:style w:type="table" w:styleId="MediumGrid3-Accent6">
    <w:name w:val="Medium Grid 3 Accent 6"/>
    <w:basedOn w:val="TableNormal"/>
    <w:uiPriority w:val="99"/>
    <w:rsid w:val="006E0674"/>
    <w:rPr>
      <w:sz w:val="24"/>
      <w:szCs w:val="24"/>
      <w:lang w:val="es-ES_tradnl"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small-caps">
    <w:name w:val="small-caps"/>
    <w:basedOn w:val="DefaultParagraphFont"/>
    <w:uiPriority w:val="99"/>
    <w:rsid w:val="006A1939"/>
    <w:rPr>
      <w:rFonts w:cs="Times New Roman"/>
    </w:rPr>
  </w:style>
  <w:style w:type="table" w:styleId="MediumGrid3-Accent3">
    <w:name w:val="Medium Grid 3 Accent 3"/>
    <w:basedOn w:val="TableNormal"/>
    <w:uiPriority w:val="99"/>
    <w:rsid w:val="00A22EEB"/>
    <w:rPr>
      <w:sz w:val="24"/>
      <w:szCs w:val="24"/>
      <w:lang w:val="es-ES_tradnl"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uiPriority w:val="99"/>
    <w:rsid w:val="00234B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uiPriority w:val="99"/>
    <w:rsid w:val="00234B87"/>
    <w:rPr>
      <w:color w:val="000000"/>
      <w:sz w:val="20"/>
      <w:szCs w:val="20"/>
      <w:lang w:val="en-US" w:eastAsia="en-US" w:bidi="he-I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Shading-Accent3">
    <w:name w:val="Light Shading Accent 3"/>
    <w:basedOn w:val="TableNormal"/>
    <w:uiPriority w:val="99"/>
    <w:rsid w:val="00234B87"/>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99"/>
    <w:rsid w:val="00234B87"/>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staclara1">
    <w:name w:val="Lista clara1"/>
    <w:uiPriority w:val="99"/>
    <w:rsid w:val="005857D7"/>
    <w:rPr>
      <w:sz w:val="24"/>
      <w:szCs w:val="24"/>
      <w:lang w:val="es-ES_tradnl" w:eastAsia="en-US" w:bidi="he-I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it-auth">
    <w:name w:val="cit-auth"/>
    <w:basedOn w:val="DefaultParagraphFont"/>
    <w:uiPriority w:val="99"/>
    <w:rsid w:val="001677F7"/>
    <w:rPr>
      <w:rFonts w:cs="Times New Roman"/>
    </w:rPr>
  </w:style>
  <w:style w:type="character" w:customStyle="1" w:styleId="cit-sep">
    <w:name w:val="cit-sep"/>
    <w:basedOn w:val="DefaultParagraphFont"/>
    <w:uiPriority w:val="99"/>
    <w:rsid w:val="001677F7"/>
    <w:rPr>
      <w:rFonts w:cs="Times New Roman"/>
    </w:rPr>
  </w:style>
  <w:style w:type="paragraph" w:styleId="CommentSubject">
    <w:name w:val="annotation subject"/>
    <w:basedOn w:val="CommentText"/>
    <w:next w:val="CommentText"/>
    <w:link w:val="CommentSubjectChar"/>
    <w:uiPriority w:val="99"/>
    <w:semiHidden/>
    <w:rsid w:val="002E0AAE"/>
    <w:rPr>
      <w:b/>
      <w:bCs/>
      <w:lang w:val="es-ES" w:eastAsia="en-US"/>
    </w:rPr>
  </w:style>
  <w:style w:type="character" w:customStyle="1" w:styleId="CommentSubjectChar">
    <w:name w:val="Comment Subject Char"/>
    <w:basedOn w:val="CommentTextChar"/>
    <w:link w:val="CommentSubject"/>
    <w:uiPriority w:val="99"/>
    <w:semiHidden/>
    <w:locked/>
    <w:rsid w:val="002E0AAE"/>
    <w:rPr>
      <w:rFonts w:ascii="Book Antiqua" w:hAnsi="Book Antiqua" w:cs="Calibri"/>
      <w:b/>
      <w:bCs/>
      <w:sz w:val="20"/>
      <w:szCs w:val="20"/>
      <w:lang w:val="en-US" w:eastAsia="en-US"/>
    </w:rPr>
  </w:style>
  <w:style w:type="paragraph" w:styleId="Revision">
    <w:name w:val="Revision"/>
    <w:hidden/>
    <w:uiPriority w:val="99"/>
    <w:semiHidden/>
    <w:rsid w:val="002E0AAE"/>
    <w:rPr>
      <w:rFonts w:ascii="Book Antiqua" w:hAnsi="Book Antiqua"/>
      <w:sz w:val="24"/>
      <w:lang w:eastAsia="en-US"/>
    </w:rPr>
  </w:style>
  <w:style w:type="paragraph" w:styleId="Caption">
    <w:name w:val="caption"/>
    <w:basedOn w:val="Normal"/>
    <w:next w:val="Normal"/>
    <w:uiPriority w:val="99"/>
    <w:qFormat/>
    <w:locked/>
    <w:rsid w:val="000D4336"/>
    <w:pPr>
      <w:spacing w:line="240" w:lineRule="auto"/>
    </w:pPr>
    <w:rPr>
      <w:b/>
      <w:bCs/>
      <w:color w:val="4F81BD"/>
      <w:sz w:val="18"/>
      <w:szCs w:val="18"/>
    </w:rPr>
  </w:style>
  <w:style w:type="paragraph" w:customStyle="1" w:styleId="Head1">
    <w:name w:val="Head1"/>
    <w:basedOn w:val="Normal"/>
    <w:link w:val="Head1Char"/>
    <w:uiPriority w:val="99"/>
    <w:rsid w:val="006E2A62"/>
    <w:pPr>
      <w:spacing w:before="300"/>
      <w:jc w:val="left"/>
    </w:pPr>
    <w:rPr>
      <w:b/>
      <w:caps/>
      <w:szCs w:val="24"/>
      <w:lang w:val="en-US"/>
    </w:rPr>
  </w:style>
  <w:style w:type="paragraph" w:customStyle="1" w:styleId="head2">
    <w:name w:val="head2"/>
    <w:basedOn w:val="ListParagraph"/>
    <w:link w:val="head2Char"/>
    <w:uiPriority w:val="99"/>
    <w:rsid w:val="000D4336"/>
    <w:pPr>
      <w:ind w:left="0"/>
    </w:pPr>
    <w:rPr>
      <w:rFonts w:cs="Arial"/>
      <w:b/>
      <w:color w:val="1A1718"/>
      <w:szCs w:val="24"/>
      <w:u w:val="single"/>
      <w:lang w:val="en-US"/>
    </w:rPr>
  </w:style>
  <w:style w:type="character" w:customStyle="1" w:styleId="Head1Char">
    <w:name w:val="Head1 Char"/>
    <w:basedOn w:val="DefaultParagraphFont"/>
    <w:link w:val="Head1"/>
    <w:uiPriority w:val="99"/>
    <w:locked/>
    <w:rsid w:val="006E2A62"/>
    <w:rPr>
      <w:rFonts w:ascii="Book Antiqua" w:hAnsi="Book Antiqua" w:cs="Times New Roman"/>
      <w:b/>
      <w:caps/>
      <w:sz w:val="24"/>
      <w:szCs w:val="24"/>
      <w:lang w:val="en-US" w:eastAsia="en-US"/>
    </w:rPr>
  </w:style>
  <w:style w:type="paragraph" w:customStyle="1" w:styleId="head3">
    <w:name w:val="head3"/>
    <w:basedOn w:val="Normal"/>
    <w:link w:val="head3Char"/>
    <w:uiPriority w:val="99"/>
    <w:rsid w:val="0062307B"/>
    <w:rPr>
      <w:u w:val="single"/>
      <w:lang w:val="en-US"/>
    </w:rPr>
  </w:style>
  <w:style w:type="character" w:customStyle="1" w:styleId="ListParagraphChar">
    <w:name w:val="List Paragraph Char"/>
    <w:basedOn w:val="DefaultParagraphFont"/>
    <w:link w:val="ListParagraph"/>
    <w:uiPriority w:val="99"/>
    <w:locked/>
    <w:rsid w:val="000D4336"/>
    <w:rPr>
      <w:rFonts w:ascii="Book Antiqua" w:hAnsi="Book Antiqua" w:cs="Times New Roman"/>
      <w:sz w:val="24"/>
      <w:lang w:eastAsia="en-US"/>
    </w:rPr>
  </w:style>
  <w:style w:type="character" w:customStyle="1" w:styleId="head2Char">
    <w:name w:val="head2 Char"/>
    <w:basedOn w:val="ListParagraphChar"/>
    <w:link w:val="head2"/>
    <w:uiPriority w:val="99"/>
    <w:locked/>
    <w:rsid w:val="000D4336"/>
    <w:rPr>
      <w:rFonts w:ascii="Book Antiqua" w:hAnsi="Book Antiqua" w:cs="Arial"/>
      <w:b/>
      <w:color w:val="1A1718"/>
      <w:sz w:val="24"/>
      <w:szCs w:val="24"/>
      <w:u w:val="single"/>
      <w:lang w:val="en-US" w:eastAsia="en-US"/>
    </w:rPr>
  </w:style>
  <w:style w:type="paragraph" w:styleId="Header">
    <w:name w:val="header"/>
    <w:basedOn w:val="Normal"/>
    <w:link w:val="HeaderChar"/>
    <w:uiPriority w:val="99"/>
    <w:semiHidden/>
    <w:rsid w:val="00BF11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F11A0"/>
    <w:rPr>
      <w:rFonts w:ascii="Book Antiqua" w:hAnsi="Book Antiqua" w:cs="Times New Roman"/>
      <w:sz w:val="24"/>
      <w:lang w:eastAsia="en-US"/>
    </w:rPr>
  </w:style>
  <w:style w:type="character" w:customStyle="1" w:styleId="head3Char">
    <w:name w:val="head3 Char"/>
    <w:basedOn w:val="DefaultParagraphFont"/>
    <w:link w:val="head3"/>
    <w:uiPriority w:val="99"/>
    <w:locked/>
    <w:rsid w:val="0062307B"/>
    <w:rPr>
      <w:rFonts w:ascii="Book Antiqua" w:hAnsi="Book Antiqua" w:cs="Times New Roman"/>
      <w:sz w:val="24"/>
      <w:u w:val="single"/>
      <w:lang w:val="en-US" w:eastAsia="en-US"/>
    </w:rPr>
  </w:style>
  <w:style w:type="paragraph" w:styleId="Footer">
    <w:name w:val="footer"/>
    <w:basedOn w:val="Normal"/>
    <w:link w:val="FooterChar"/>
    <w:uiPriority w:val="99"/>
    <w:rsid w:val="00BF11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11A0"/>
    <w:rPr>
      <w:rFonts w:ascii="Book Antiqua" w:hAnsi="Book Antiqua" w:cs="Times New Roman"/>
      <w:sz w:val="24"/>
      <w:lang w:eastAsia="en-US"/>
    </w:rPr>
  </w:style>
  <w:style w:type="character" w:customStyle="1" w:styleId="hoenzb">
    <w:name w:val="hoenzb"/>
    <w:basedOn w:val="DefaultParagraphFont"/>
    <w:uiPriority w:val="99"/>
    <w:rsid w:val="00742F1F"/>
    <w:rPr>
      <w:rFonts w:cs="Times New Roman"/>
    </w:rPr>
  </w:style>
  <w:style w:type="paragraph" w:styleId="FootnoteText">
    <w:name w:val="footnote text"/>
    <w:basedOn w:val="Normal"/>
    <w:link w:val="FootnoteTextChar"/>
    <w:uiPriority w:val="99"/>
    <w:semiHidden/>
    <w:rsid w:val="0074320B"/>
    <w:rPr>
      <w:sz w:val="20"/>
      <w:szCs w:val="20"/>
    </w:rPr>
  </w:style>
  <w:style w:type="character" w:customStyle="1" w:styleId="FootnoteTextChar">
    <w:name w:val="Footnote Text Char"/>
    <w:basedOn w:val="DefaultParagraphFont"/>
    <w:link w:val="FootnoteText"/>
    <w:uiPriority w:val="99"/>
    <w:semiHidden/>
    <w:rsid w:val="00375C5F"/>
    <w:rPr>
      <w:rFonts w:ascii="Book Antiqua" w:hAnsi="Book Antiqua"/>
      <w:sz w:val="20"/>
      <w:szCs w:val="20"/>
      <w:lang w:eastAsia="en-US"/>
    </w:rPr>
  </w:style>
  <w:style w:type="character" w:styleId="FootnoteReference">
    <w:name w:val="footnote reference"/>
    <w:basedOn w:val="DefaultParagraphFont"/>
    <w:uiPriority w:val="99"/>
    <w:semiHidden/>
    <w:rsid w:val="0074320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249814">
      <w:marLeft w:val="0"/>
      <w:marRight w:val="0"/>
      <w:marTop w:val="0"/>
      <w:marBottom w:val="0"/>
      <w:divBdr>
        <w:top w:val="none" w:sz="0" w:space="0" w:color="auto"/>
        <w:left w:val="none" w:sz="0" w:space="0" w:color="auto"/>
        <w:bottom w:val="none" w:sz="0" w:space="0" w:color="auto"/>
        <w:right w:val="none" w:sz="0" w:space="0" w:color="auto"/>
      </w:divBdr>
    </w:div>
    <w:div w:id="1667249815">
      <w:marLeft w:val="0"/>
      <w:marRight w:val="0"/>
      <w:marTop w:val="0"/>
      <w:marBottom w:val="0"/>
      <w:divBdr>
        <w:top w:val="none" w:sz="0" w:space="0" w:color="auto"/>
        <w:left w:val="none" w:sz="0" w:space="0" w:color="auto"/>
        <w:bottom w:val="none" w:sz="0" w:space="0" w:color="auto"/>
        <w:right w:val="none" w:sz="0" w:space="0" w:color="auto"/>
      </w:divBdr>
    </w:div>
    <w:div w:id="1667249817">
      <w:marLeft w:val="0"/>
      <w:marRight w:val="0"/>
      <w:marTop w:val="0"/>
      <w:marBottom w:val="0"/>
      <w:divBdr>
        <w:top w:val="none" w:sz="0" w:space="0" w:color="auto"/>
        <w:left w:val="none" w:sz="0" w:space="0" w:color="auto"/>
        <w:bottom w:val="none" w:sz="0" w:space="0" w:color="auto"/>
        <w:right w:val="none" w:sz="0" w:space="0" w:color="auto"/>
      </w:divBdr>
    </w:div>
    <w:div w:id="1667249819">
      <w:marLeft w:val="0"/>
      <w:marRight w:val="0"/>
      <w:marTop w:val="0"/>
      <w:marBottom w:val="0"/>
      <w:divBdr>
        <w:top w:val="none" w:sz="0" w:space="0" w:color="auto"/>
        <w:left w:val="none" w:sz="0" w:space="0" w:color="auto"/>
        <w:bottom w:val="none" w:sz="0" w:space="0" w:color="auto"/>
        <w:right w:val="none" w:sz="0" w:space="0" w:color="auto"/>
      </w:divBdr>
      <w:divsChild>
        <w:div w:id="1667249822">
          <w:marLeft w:val="0"/>
          <w:marRight w:val="0"/>
          <w:marTop w:val="0"/>
          <w:marBottom w:val="0"/>
          <w:divBdr>
            <w:top w:val="none" w:sz="0" w:space="0" w:color="auto"/>
            <w:left w:val="none" w:sz="0" w:space="0" w:color="auto"/>
            <w:bottom w:val="none" w:sz="0" w:space="0" w:color="auto"/>
            <w:right w:val="none" w:sz="0" w:space="0" w:color="auto"/>
          </w:divBdr>
        </w:div>
        <w:div w:id="1667249837">
          <w:marLeft w:val="0"/>
          <w:marRight w:val="0"/>
          <w:marTop w:val="0"/>
          <w:marBottom w:val="0"/>
          <w:divBdr>
            <w:top w:val="none" w:sz="0" w:space="0" w:color="auto"/>
            <w:left w:val="none" w:sz="0" w:space="0" w:color="auto"/>
            <w:bottom w:val="none" w:sz="0" w:space="0" w:color="auto"/>
            <w:right w:val="none" w:sz="0" w:space="0" w:color="auto"/>
          </w:divBdr>
        </w:div>
        <w:div w:id="1667249883">
          <w:marLeft w:val="0"/>
          <w:marRight w:val="0"/>
          <w:marTop w:val="0"/>
          <w:marBottom w:val="0"/>
          <w:divBdr>
            <w:top w:val="none" w:sz="0" w:space="0" w:color="auto"/>
            <w:left w:val="none" w:sz="0" w:space="0" w:color="auto"/>
            <w:bottom w:val="none" w:sz="0" w:space="0" w:color="auto"/>
            <w:right w:val="none" w:sz="0" w:space="0" w:color="auto"/>
          </w:divBdr>
        </w:div>
      </w:divsChild>
    </w:div>
    <w:div w:id="1667249820">
      <w:marLeft w:val="0"/>
      <w:marRight w:val="0"/>
      <w:marTop w:val="0"/>
      <w:marBottom w:val="0"/>
      <w:divBdr>
        <w:top w:val="none" w:sz="0" w:space="0" w:color="auto"/>
        <w:left w:val="none" w:sz="0" w:space="0" w:color="auto"/>
        <w:bottom w:val="none" w:sz="0" w:space="0" w:color="auto"/>
        <w:right w:val="none" w:sz="0" w:space="0" w:color="auto"/>
      </w:divBdr>
    </w:div>
    <w:div w:id="1667249823">
      <w:marLeft w:val="0"/>
      <w:marRight w:val="0"/>
      <w:marTop w:val="0"/>
      <w:marBottom w:val="0"/>
      <w:divBdr>
        <w:top w:val="none" w:sz="0" w:space="0" w:color="auto"/>
        <w:left w:val="none" w:sz="0" w:space="0" w:color="auto"/>
        <w:bottom w:val="none" w:sz="0" w:space="0" w:color="auto"/>
        <w:right w:val="none" w:sz="0" w:space="0" w:color="auto"/>
      </w:divBdr>
    </w:div>
    <w:div w:id="1667249827">
      <w:marLeft w:val="0"/>
      <w:marRight w:val="0"/>
      <w:marTop w:val="0"/>
      <w:marBottom w:val="0"/>
      <w:divBdr>
        <w:top w:val="none" w:sz="0" w:space="0" w:color="auto"/>
        <w:left w:val="none" w:sz="0" w:space="0" w:color="auto"/>
        <w:bottom w:val="none" w:sz="0" w:space="0" w:color="auto"/>
        <w:right w:val="none" w:sz="0" w:space="0" w:color="auto"/>
      </w:divBdr>
    </w:div>
    <w:div w:id="1667249828">
      <w:marLeft w:val="0"/>
      <w:marRight w:val="0"/>
      <w:marTop w:val="0"/>
      <w:marBottom w:val="0"/>
      <w:divBdr>
        <w:top w:val="none" w:sz="0" w:space="0" w:color="auto"/>
        <w:left w:val="none" w:sz="0" w:space="0" w:color="auto"/>
        <w:bottom w:val="none" w:sz="0" w:space="0" w:color="auto"/>
        <w:right w:val="none" w:sz="0" w:space="0" w:color="auto"/>
      </w:divBdr>
    </w:div>
    <w:div w:id="1667249829">
      <w:marLeft w:val="0"/>
      <w:marRight w:val="0"/>
      <w:marTop w:val="0"/>
      <w:marBottom w:val="0"/>
      <w:divBdr>
        <w:top w:val="none" w:sz="0" w:space="0" w:color="auto"/>
        <w:left w:val="none" w:sz="0" w:space="0" w:color="auto"/>
        <w:bottom w:val="none" w:sz="0" w:space="0" w:color="auto"/>
        <w:right w:val="none" w:sz="0" w:space="0" w:color="auto"/>
      </w:divBdr>
    </w:div>
    <w:div w:id="1667249830">
      <w:marLeft w:val="0"/>
      <w:marRight w:val="0"/>
      <w:marTop w:val="0"/>
      <w:marBottom w:val="0"/>
      <w:divBdr>
        <w:top w:val="none" w:sz="0" w:space="0" w:color="auto"/>
        <w:left w:val="none" w:sz="0" w:space="0" w:color="auto"/>
        <w:bottom w:val="none" w:sz="0" w:space="0" w:color="auto"/>
        <w:right w:val="none" w:sz="0" w:space="0" w:color="auto"/>
      </w:divBdr>
    </w:div>
    <w:div w:id="1667249831">
      <w:marLeft w:val="0"/>
      <w:marRight w:val="0"/>
      <w:marTop w:val="0"/>
      <w:marBottom w:val="0"/>
      <w:divBdr>
        <w:top w:val="none" w:sz="0" w:space="0" w:color="auto"/>
        <w:left w:val="none" w:sz="0" w:space="0" w:color="auto"/>
        <w:bottom w:val="none" w:sz="0" w:space="0" w:color="auto"/>
        <w:right w:val="none" w:sz="0" w:space="0" w:color="auto"/>
      </w:divBdr>
    </w:div>
    <w:div w:id="1667249832">
      <w:marLeft w:val="0"/>
      <w:marRight w:val="0"/>
      <w:marTop w:val="0"/>
      <w:marBottom w:val="0"/>
      <w:divBdr>
        <w:top w:val="none" w:sz="0" w:space="0" w:color="auto"/>
        <w:left w:val="none" w:sz="0" w:space="0" w:color="auto"/>
        <w:bottom w:val="none" w:sz="0" w:space="0" w:color="auto"/>
        <w:right w:val="none" w:sz="0" w:space="0" w:color="auto"/>
      </w:divBdr>
    </w:div>
    <w:div w:id="1667249834">
      <w:marLeft w:val="0"/>
      <w:marRight w:val="0"/>
      <w:marTop w:val="0"/>
      <w:marBottom w:val="0"/>
      <w:divBdr>
        <w:top w:val="none" w:sz="0" w:space="0" w:color="auto"/>
        <w:left w:val="none" w:sz="0" w:space="0" w:color="auto"/>
        <w:bottom w:val="none" w:sz="0" w:space="0" w:color="auto"/>
        <w:right w:val="none" w:sz="0" w:space="0" w:color="auto"/>
      </w:divBdr>
      <w:divsChild>
        <w:div w:id="1667249816">
          <w:marLeft w:val="0"/>
          <w:marRight w:val="0"/>
          <w:marTop w:val="0"/>
          <w:marBottom w:val="0"/>
          <w:divBdr>
            <w:top w:val="none" w:sz="0" w:space="0" w:color="auto"/>
            <w:left w:val="none" w:sz="0" w:space="0" w:color="auto"/>
            <w:bottom w:val="none" w:sz="0" w:space="0" w:color="auto"/>
            <w:right w:val="none" w:sz="0" w:space="0" w:color="auto"/>
          </w:divBdr>
        </w:div>
        <w:div w:id="1667249821">
          <w:marLeft w:val="0"/>
          <w:marRight w:val="0"/>
          <w:marTop w:val="0"/>
          <w:marBottom w:val="0"/>
          <w:divBdr>
            <w:top w:val="none" w:sz="0" w:space="0" w:color="auto"/>
            <w:left w:val="none" w:sz="0" w:space="0" w:color="auto"/>
            <w:bottom w:val="none" w:sz="0" w:space="0" w:color="auto"/>
            <w:right w:val="none" w:sz="0" w:space="0" w:color="auto"/>
          </w:divBdr>
        </w:div>
        <w:div w:id="1667249894">
          <w:marLeft w:val="0"/>
          <w:marRight w:val="0"/>
          <w:marTop w:val="0"/>
          <w:marBottom w:val="0"/>
          <w:divBdr>
            <w:top w:val="none" w:sz="0" w:space="0" w:color="auto"/>
            <w:left w:val="none" w:sz="0" w:space="0" w:color="auto"/>
            <w:bottom w:val="none" w:sz="0" w:space="0" w:color="auto"/>
            <w:right w:val="none" w:sz="0" w:space="0" w:color="auto"/>
          </w:divBdr>
        </w:div>
      </w:divsChild>
    </w:div>
    <w:div w:id="1667249835">
      <w:marLeft w:val="0"/>
      <w:marRight w:val="0"/>
      <w:marTop w:val="0"/>
      <w:marBottom w:val="0"/>
      <w:divBdr>
        <w:top w:val="none" w:sz="0" w:space="0" w:color="auto"/>
        <w:left w:val="none" w:sz="0" w:space="0" w:color="auto"/>
        <w:bottom w:val="none" w:sz="0" w:space="0" w:color="auto"/>
        <w:right w:val="none" w:sz="0" w:space="0" w:color="auto"/>
      </w:divBdr>
    </w:div>
    <w:div w:id="1667249838">
      <w:marLeft w:val="0"/>
      <w:marRight w:val="0"/>
      <w:marTop w:val="0"/>
      <w:marBottom w:val="0"/>
      <w:divBdr>
        <w:top w:val="none" w:sz="0" w:space="0" w:color="auto"/>
        <w:left w:val="none" w:sz="0" w:space="0" w:color="auto"/>
        <w:bottom w:val="none" w:sz="0" w:space="0" w:color="auto"/>
        <w:right w:val="none" w:sz="0" w:space="0" w:color="auto"/>
      </w:divBdr>
    </w:div>
    <w:div w:id="1667249840">
      <w:marLeft w:val="0"/>
      <w:marRight w:val="0"/>
      <w:marTop w:val="0"/>
      <w:marBottom w:val="0"/>
      <w:divBdr>
        <w:top w:val="none" w:sz="0" w:space="0" w:color="auto"/>
        <w:left w:val="none" w:sz="0" w:space="0" w:color="auto"/>
        <w:bottom w:val="none" w:sz="0" w:space="0" w:color="auto"/>
        <w:right w:val="none" w:sz="0" w:space="0" w:color="auto"/>
      </w:divBdr>
    </w:div>
    <w:div w:id="1667249843">
      <w:marLeft w:val="0"/>
      <w:marRight w:val="0"/>
      <w:marTop w:val="0"/>
      <w:marBottom w:val="0"/>
      <w:divBdr>
        <w:top w:val="none" w:sz="0" w:space="0" w:color="auto"/>
        <w:left w:val="none" w:sz="0" w:space="0" w:color="auto"/>
        <w:bottom w:val="none" w:sz="0" w:space="0" w:color="auto"/>
        <w:right w:val="none" w:sz="0" w:space="0" w:color="auto"/>
      </w:divBdr>
    </w:div>
    <w:div w:id="1667249844">
      <w:marLeft w:val="0"/>
      <w:marRight w:val="0"/>
      <w:marTop w:val="0"/>
      <w:marBottom w:val="0"/>
      <w:divBdr>
        <w:top w:val="none" w:sz="0" w:space="0" w:color="auto"/>
        <w:left w:val="none" w:sz="0" w:space="0" w:color="auto"/>
        <w:bottom w:val="none" w:sz="0" w:space="0" w:color="auto"/>
        <w:right w:val="none" w:sz="0" w:space="0" w:color="auto"/>
      </w:divBdr>
    </w:div>
    <w:div w:id="1667249846">
      <w:marLeft w:val="0"/>
      <w:marRight w:val="0"/>
      <w:marTop w:val="0"/>
      <w:marBottom w:val="0"/>
      <w:divBdr>
        <w:top w:val="none" w:sz="0" w:space="0" w:color="auto"/>
        <w:left w:val="none" w:sz="0" w:space="0" w:color="auto"/>
        <w:bottom w:val="none" w:sz="0" w:space="0" w:color="auto"/>
        <w:right w:val="none" w:sz="0" w:space="0" w:color="auto"/>
      </w:divBdr>
    </w:div>
    <w:div w:id="1667249847">
      <w:marLeft w:val="0"/>
      <w:marRight w:val="0"/>
      <w:marTop w:val="0"/>
      <w:marBottom w:val="0"/>
      <w:divBdr>
        <w:top w:val="none" w:sz="0" w:space="0" w:color="auto"/>
        <w:left w:val="none" w:sz="0" w:space="0" w:color="auto"/>
        <w:bottom w:val="none" w:sz="0" w:space="0" w:color="auto"/>
        <w:right w:val="none" w:sz="0" w:space="0" w:color="auto"/>
      </w:divBdr>
    </w:div>
    <w:div w:id="1667249849">
      <w:marLeft w:val="0"/>
      <w:marRight w:val="0"/>
      <w:marTop w:val="0"/>
      <w:marBottom w:val="0"/>
      <w:divBdr>
        <w:top w:val="none" w:sz="0" w:space="0" w:color="auto"/>
        <w:left w:val="none" w:sz="0" w:space="0" w:color="auto"/>
        <w:bottom w:val="none" w:sz="0" w:space="0" w:color="auto"/>
        <w:right w:val="none" w:sz="0" w:space="0" w:color="auto"/>
      </w:divBdr>
    </w:div>
    <w:div w:id="1667249850">
      <w:marLeft w:val="0"/>
      <w:marRight w:val="0"/>
      <w:marTop w:val="0"/>
      <w:marBottom w:val="0"/>
      <w:divBdr>
        <w:top w:val="none" w:sz="0" w:space="0" w:color="auto"/>
        <w:left w:val="none" w:sz="0" w:space="0" w:color="auto"/>
        <w:bottom w:val="none" w:sz="0" w:space="0" w:color="auto"/>
        <w:right w:val="none" w:sz="0" w:space="0" w:color="auto"/>
      </w:divBdr>
    </w:div>
    <w:div w:id="1667249851">
      <w:marLeft w:val="0"/>
      <w:marRight w:val="0"/>
      <w:marTop w:val="0"/>
      <w:marBottom w:val="0"/>
      <w:divBdr>
        <w:top w:val="none" w:sz="0" w:space="0" w:color="auto"/>
        <w:left w:val="none" w:sz="0" w:space="0" w:color="auto"/>
        <w:bottom w:val="none" w:sz="0" w:space="0" w:color="auto"/>
        <w:right w:val="none" w:sz="0" w:space="0" w:color="auto"/>
      </w:divBdr>
      <w:divsChild>
        <w:div w:id="1667249818">
          <w:marLeft w:val="0"/>
          <w:marRight w:val="0"/>
          <w:marTop w:val="0"/>
          <w:marBottom w:val="0"/>
          <w:divBdr>
            <w:top w:val="none" w:sz="0" w:space="0" w:color="auto"/>
            <w:left w:val="none" w:sz="0" w:space="0" w:color="auto"/>
            <w:bottom w:val="none" w:sz="0" w:space="0" w:color="auto"/>
            <w:right w:val="none" w:sz="0" w:space="0" w:color="auto"/>
          </w:divBdr>
        </w:div>
        <w:div w:id="1667249825">
          <w:marLeft w:val="0"/>
          <w:marRight w:val="0"/>
          <w:marTop w:val="0"/>
          <w:marBottom w:val="0"/>
          <w:divBdr>
            <w:top w:val="none" w:sz="0" w:space="0" w:color="auto"/>
            <w:left w:val="none" w:sz="0" w:space="0" w:color="auto"/>
            <w:bottom w:val="none" w:sz="0" w:space="0" w:color="auto"/>
            <w:right w:val="none" w:sz="0" w:space="0" w:color="auto"/>
          </w:divBdr>
        </w:div>
        <w:div w:id="1667249833">
          <w:marLeft w:val="0"/>
          <w:marRight w:val="0"/>
          <w:marTop w:val="0"/>
          <w:marBottom w:val="0"/>
          <w:divBdr>
            <w:top w:val="none" w:sz="0" w:space="0" w:color="auto"/>
            <w:left w:val="none" w:sz="0" w:space="0" w:color="auto"/>
            <w:bottom w:val="none" w:sz="0" w:space="0" w:color="auto"/>
            <w:right w:val="none" w:sz="0" w:space="0" w:color="auto"/>
          </w:divBdr>
        </w:div>
        <w:div w:id="1667249848">
          <w:marLeft w:val="0"/>
          <w:marRight w:val="0"/>
          <w:marTop w:val="0"/>
          <w:marBottom w:val="0"/>
          <w:divBdr>
            <w:top w:val="none" w:sz="0" w:space="0" w:color="auto"/>
            <w:left w:val="none" w:sz="0" w:space="0" w:color="auto"/>
            <w:bottom w:val="none" w:sz="0" w:space="0" w:color="auto"/>
            <w:right w:val="none" w:sz="0" w:space="0" w:color="auto"/>
          </w:divBdr>
        </w:div>
        <w:div w:id="1667249874">
          <w:marLeft w:val="0"/>
          <w:marRight w:val="0"/>
          <w:marTop w:val="0"/>
          <w:marBottom w:val="0"/>
          <w:divBdr>
            <w:top w:val="none" w:sz="0" w:space="0" w:color="auto"/>
            <w:left w:val="none" w:sz="0" w:space="0" w:color="auto"/>
            <w:bottom w:val="none" w:sz="0" w:space="0" w:color="auto"/>
            <w:right w:val="none" w:sz="0" w:space="0" w:color="auto"/>
          </w:divBdr>
        </w:div>
        <w:div w:id="1667249888">
          <w:marLeft w:val="0"/>
          <w:marRight w:val="0"/>
          <w:marTop w:val="0"/>
          <w:marBottom w:val="0"/>
          <w:divBdr>
            <w:top w:val="none" w:sz="0" w:space="0" w:color="auto"/>
            <w:left w:val="none" w:sz="0" w:space="0" w:color="auto"/>
            <w:bottom w:val="none" w:sz="0" w:space="0" w:color="auto"/>
            <w:right w:val="none" w:sz="0" w:space="0" w:color="auto"/>
          </w:divBdr>
        </w:div>
        <w:div w:id="1667249889">
          <w:marLeft w:val="0"/>
          <w:marRight w:val="0"/>
          <w:marTop w:val="0"/>
          <w:marBottom w:val="0"/>
          <w:divBdr>
            <w:top w:val="none" w:sz="0" w:space="0" w:color="auto"/>
            <w:left w:val="none" w:sz="0" w:space="0" w:color="auto"/>
            <w:bottom w:val="none" w:sz="0" w:space="0" w:color="auto"/>
            <w:right w:val="none" w:sz="0" w:space="0" w:color="auto"/>
          </w:divBdr>
        </w:div>
      </w:divsChild>
    </w:div>
    <w:div w:id="1667249852">
      <w:marLeft w:val="0"/>
      <w:marRight w:val="0"/>
      <w:marTop w:val="0"/>
      <w:marBottom w:val="0"/>
      <w:divBdr>
        <w:top w:val="none" w:sz="0" w:space="0" w:color="auto"/>
        <w:left w:val="none" w:sz="0" w:space="0" w:color="auto"/>
        <w:bottom w:val="none" w:sz="0" w:space="0" w:color="auto"/>
        <w:right w:val="none" w:sz="0" w:space="0" w:color="auto"/>
      </w:divBdr>
    </w:div>
    <w:div w:id="166724985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
        <w:div w:id="1667249884">
          <w:marLeft w:val="0"/>
          <w:marRight w:val="0"/>
          <w:marTop w:val="0"/>
          <w:marBottom w:val="0"/>
          <w:divBdr>
            <w:top w:val="none" w:sz="0" w:space="0" w:color="auto"/>
            <w:left w:val="none" w:sz="0" w:space="0" w:color="auto"/>
            <w:bottom w:val="none" w:sz="0" w:space="0" w:color="auto"/>
            <w:right w:val="none" w:sz="0" w:space="0" w:color="auto"/>
          </w:divBdr>
        </w:div>
      </w:divsChild>
    </w:div>
    <w:div w:id="1667249854">
      <w:marLeft w:val="0"/>
      <w:marRight w:val="0"/>
      <w:marTop w:val="0"/>
      <w:marBottom w:val="0"/>
      <w:divBdr>
        <w:top w:val="none" w:sz="0" w:space="0" w:color="auto"/>
        <w:left w:val="none" w:sz="0" w:space="0" w:color="auto"/>
        <w:bottom w:val="none" w:sz="0" w:space="0" w:color="auto"/>
        <w:right w:val="none" w:sz="0" w:space="0" w:color="auto"/>
      </w:divBdr>
    </w:div>
    <w:div w:id="1667249855">
      <w:marLeft w:val="0"/>
      <w:marRight w:val="0"/>
      <w:marTop w:val="0"/>
      <w:marBottom w:val="0"/>
      <w:divBdr>
        <w:top w:val="none" w:sz="0" w:space="0" w:color="auto"/>
        <w:left w:val="none" w:sz="0" w:space="0" w:color="auto"/>
        <w:bottom w:val="none" w:sz="0" w:space="0" w:color="auto"/>
        <w:right w:val="none" w:sz="0" w:space="0" w:color="auto"/>
      </w:divBdr>
    </w:div>
    <w:div w:id="1667249856">
      <w:marLeft w:val="0"/>
      <w:marRight w:val="0"/>
      <w:marTop w:val="0"/>
      <w:marBottom w:val="0"/>
      <w:divBdr>
        <w:top w:val="none" w:sz="0" w:space="0" w:color="auto"/>
        <w:left w:val="none" w:sz="0" w:space="0" w:color="auto"/>
        <w:bottom w:val="none" w:sz="0" w:space="0" w:color="auto"/>
        <w:right w:val="none" w:sz="0" w:space="0" w:color="auto"/>
      </w:divBdr>
    </w:div>
    <w:div w:id="1667249857">
      <w:marLeft w:val="0"/>
      <w:marRight w:val="0"/>
      <w:marTop w:val="0"/>
      <w:marBottom w:val="0"/>
      <w:divBdr>
        <w:top w:val="none" w:sz="0" w:space="0" w:color="auto"/>
        <w:left w:val="none" w:sz="0" w:space="0" w:color="auto"/>
        <w:bottom w:val="none" w:sz="0" w:space="0" w:color="auto"/>
        <w:right w:val="none" w:sz="0" w:space="0" w:color="auto"/>
      </w:divBdr>
    </w:div>
    <w:div w:id="1667249858">
      <w:marLeft w:val="0"/>
      <w:marRight w:val="0"/>
      <w:marTop w:val="0"/>
      <w:marBottom w:val="0"/>
      <w:divBdr>
        <w:top w:val="none" w:sz="0" w:space="0" w:color="auto"/>
        <w:left w:val="none" w:sz="0" w:space="0" w:color="auto"/>
        <w:bottom w:val="none" w:sz="0" w:space="0" w:color="auto"/>
        <w:right w:val="none" w:sz="0" w:space="0" w:color="auto"/>
      </w:divBdr>
    </w:div>
    <w:div w:id="1667249859">
      <w:marLeft w:val="0"/>
      <w:marRight w:val="0"/>
      <w:marTop w:val="0"/>
      <w:marBottom w:val="0"/>
      <w:divBdr>
        <w:top w:val="none" w:sz="0" w:space="0" w:color="auto"/>
        <w:left w:val="none" w:sz="0" w:space="0" w:color="auto"/>
        <w:bottom w:val="none" w:sz="0" w:space="0" w:color="auto"/>
        <w:right w:val="none" w:sz="0" w:space="0" w:color="auto"/>
      </w:divBdr>
    </w:div>
    <w:div w:id="1667249860">
      <w:marLeft w:val="0"/>
      <w:marRight w:val="0"/>
      <w:marTop w:val="0"/>
      <w:marBottom w:val="0"/>
      <w:divBdr>
        <w:top w:val="none" w:sz="0" w:space="0" w:color="auto"/>
        <w:left w:val="none" w:sz="0" w:space="0" w:color="auto"/>
        <w:bottom w:val="none" w:sz="0" w:space="0" w:color="auto"/>
        <w:right w:val="none" w:sz="0" w:space="0" w:color="auto"/>
      </w:divBdr>
    </w:div>
    <w:div w:id="1667249862">
      <w:marLeft w:val="0"/>
      <w:marRight w:val="0"/>
      <w:marTop w:val="0"/>
      <w:marBottom w:val="0"/>
      <w:divBdr>
        <w:top w:val="none" w:sz="0" w:space="0" w:color="auto"/>
        <w:left w:val="none" w:sz="0" w:space="0" w:color="auto"/>
        <w:bottom w:val="none" w:sz="0" w:space="0" w:color="auto"/>
        <w:right w:val="none" w:sz="0" w:space="0" w:color="auto"/>
      </w:divBdr>
    </w:div>
    <w:div w:id="1667249863">
      <w:marLeft w:val="0"/>
      <w:marRight w:val="0"/>
      <w:marTop w:val="0"/>
      <w:marBottom w:val="0"/>
      <w:divBdr>
        <w:top w:val="none" w:sz="0" w:space="0" w:color="auto"/>
        <w:left w:val="none" w:sz="0" w:space="0" w:color="auto"/>
        <w:bottom w:val="none" w:sz="0" w:space="0" w:color="auto"/>
        <w:right w:val="none" w:sz="0" w:space="0" w:color="auto"/>
      </w:divBdr>
    </w:div>
    <w:div w:id="1667249864">
      <w:marLeft w:val="0"/>
      <w:marRight w:val="0"/>
      <w:marTop w:val="0"/>
      <w:marBottom w:val="0"/>
      <w:divBdr>
        <w:top w:val="none" w:sz="0" w:space="0" w:color="auto"/>
        <w:left w:val="none" w:sz="0" w:space="0" w:color="auto"/>
        <w:bottom w:val="none" w:sz="0" w:space="0" w:color="auto"/>
        <w:right w:val="none" w:sz="0" w:space="0" w:color="auto"/>
      </w:divBdr>
    </w:div>
    <w:div w:id="1667249867">
      <w:marLeft w:val="0"/>
      <w:marRight w:val="0"/>
      <w:marTop w:val="0"/>
      <w:marBottom w:val="0"/>
      <w:divBdr>
        <w:top w:val="none" w:sz="0" w:space="0" w:color="auto"/>
        <w:left w:val="none" w:sz="0" w:space="0" w:color="auto"/>
        <w:bottom w:val="none" w:sz="0" w:space="0" w:color="auto"/>
        <w:right w:val="none" w:sz="0" w:space="0" w:color="auto"/>
      </w:divBdr>
    </w:div>
    <w:div w:id="1667249869">
      <w:marLeft w:val="0"/>
      <w:marRight w:val="0"/>
      <w:marTop w:val="0"/>
      <w:marBottom w:val="0"/>
      <w:divBdr>
        <w:top w:val="none" w:sz="0" w:space="0" w:color="auto"/>
        <w:left w:val="none" w:sz="0" w:space="0" w:color="auto"/>
        <w:bottom w:val="none" w:sz="0" w:space="0" w:color="auto"/>
        <w:right w:val="none" w:sz="0" w:space="0" w:color="auto"/>
      </w:divBdr>
    </w:div>
    <w:div w:id="1667249870">
      <w:marLeft w:val="0"/>
      <w:marRight w:val="0"/>
      <w:marTop w:val="0"/>
      <w:marBottom w:val="0"/>
      <w:divBdr>
        <w:top w:val="none" w:sz="0" w:space="0" w:color="auto"/>
        <w:left w:val="none" w:sz="0" w:space="0" w:color="auto"/>
        <w:bottom w:val="none" w:sz="0" w:space="0" w:color="auto"/>
        <w:right w:val="none" w:sz="0" w:space="0" w:color="auto"/>
      </w:divBdr>
    </w:div>
    <w:div w:id="1667249872">
      <w:marLeft w:val="0"/>
      <w:marRight w:val="0"/>
      <w:marTop w:val="0"/>
      <w:marBottom w:val="0"/>
      <w:divBdr>
        <w:top w:val="none" w:sz="0" w:space="0" w:color="auto"/>
        <w:left w:val="none" w:sz="0" w:space="0" w:color="auto"/>
        <w:bottom w:val="none" w:sz="0" w:space="0" w:color="auto"/>
        <w:right w:val="none" w:sz="0" w:space="0" w:color="auto"/>
      </w:divBdr>
      <w:divsChild>
        <w:div w:id="1667249826">
          <w:marLeft w:val="0"/>
          <w:marRight w:val="0"/>
          <w:marTop w:val="0"/>
          <w:marBottom w:val="0"/>
          <w:divBdr>
            <w:top w:val="none" w:sz="0" w:space="0" w:color="auto"/>
            <w:left w:val="none" w:sz="0" w:space="0" w:color="auto"/>
            <w:bottom w:val="none" w:sz="0" w:space="0" w:color="auto"/>
            <w:right w:val="none" w:sz="0" w:space="0" w:color="auto"/>
          </w:divBdr>
        </w:div>
        <w:div w:id="1667249836">
          <w:marLeft w:val="0"/>
          <w:marRight w:val="0"/>
          <w:marTop w:val="0"/>
          <w:marBottom w:val="0"/>
          <w:divBdr>
            <w:top w:val="none" w:sz="0" w:space="0" w:color="auto"/>
            <w:left w:val="none" w:sz="0" w:space="0" w:color="auto"/>
            <w:bottom w:val="none" w:sz="0" w:space="0" w:color="auto"/>
            <w:right w:val="none" w:sz="0" w:space="0" w:color="auto"/>
          </w:divBdr>
        </w:div>
        <w:div w:id="1667249839">
          <w:marLeft w:val="0"/>
          <w:marRight w:val="0"/>
          <w:marTop w:val="0"/>
          <w:marBottom w:val="0"/>
          <w:divBdr>
            <w:top w:val="none" w:sz="0" w:space="0" w:color="auto"/>
            <w:left w:val="none" w:sz="0" w:space="0" w:color="auto"/>
            <w:bottom w:val="none" w:sz="0" w:space="0" w:color="auto"/>
            <w:right w:val="none" w:sz="0" w:space="0" w:color="auto"/>
          </w:divBdr>
        </w:div>
        <w:div w:id="1667249842">
          <w:marLeft w:val="0"/>
          <w:marRight w:val="0"/>
          <w:marTop w:val="0"/>
          <w:marBottom w:val="0"/>
          <w:divBdr>
            <w:top w:val="none" w:sz="0" w:space="0" w:color="auto"/>
            <w:left w:val="none" w:sz="0" w:space="0" w:color="auto"/>
            <w:bottom w:val="none" w:sz="0" w:space="0" w:color="auto"/>
            <w:right w:val="none" w:sz="0" w:space="0" w:color="auto"/>
          </w:divBdr>
        </w:div>
        <w:div w:id="1667249845">
          <w:marLeft w:val="0"/>
          <w:marRight w:val="0"/>
          <w:marTop w:val="0"/>
          <w:marBottom w:val="0"/>
          <w:divBdr>
            <w:top w:val="none" w:sz="0" w:space="0" w:color="auto"/>
            <w:left w:val="none" w:sz="0" w:space="0" w:color="auto"/>
            <w:bottom w:val="none" w:sz="0" w:space="0" w:color="auto"/>
            <w:right w:val="none" w:sz="0" w:space="0" w:color="auto"/>
          </w:divBdr>
        </w:div>
        <w:div w:id="1667249866">
          <w:marLeft w:val="0"/>
          <w:marRight w:val="0"/>
          <w:marTop w:val="0"/>
          <w:marBottom w:val="0"/>
          <w:divBdr>
            <w:top w:val="none" w:sz="0" w:space="0" w:color="auto"/>
            <w:left w:val="none" w:sz="0" w:space="0" w:color="auto"/>
            <w:bottom w:val="none" w:sz="0" w:space="0" w:color="auto"/>
            <w:right w:val="none" w:sz="0" w:space="0" w:color="auto"/>
          </w:divBdr>
        </w:div>
        <w:div w:id="1667249871">
          <w:marLeft w:val="0"/>
          <w:marRight w:val="0"/>
          <w:marTop w:val="0"/>
          <w:marBottom w:val="0"/>
          <w:divBdr>
            <w:top w:val="none" w:sz="0" w:space="0" w:color="auto"/>
            <w:left w:val="none" w:sz="0" w:space="0" w:color="auto"/>
            <w:bottom w:val="none" w:sz="0" w:space="0" w:color="auto"/>
            <w:right w:val="none" w:sz="0" w:space="0" w:color="auto"/>
          </w:divBdr>
        </w:div>
        <w:div w:id="1667249877">
          <w:marLeft w:val="0"/>
          <w:marRight w:val="0"/>
          <w:marTop w:val="0"/>
          <w:marBottom w:val="0"/>
          <w:divBdr>
            <w:top w:val="none" w:sz="0" w:space="0" w:color="auto"/>
            <w:left w:val="none" w:sz="0" w:space="0" w:color="auto"/>
            <w:bottom w:val="none" w:sz="0" w:space="0" w:color="auto"/>
            <w:right w:val="none" w:sz="0" w:space="0" w:color="auto"/>
          </w:divBdr>
        </w:div>
      </w:divsChild>
    </w:div>
    <w:div w:id="1667249873">
      <w:marLeft w:val="0"/>
      <w:marRight w:val="0"/>
      <w:marTop w:val="0"/>
      <w:marBottom w:val="0"/>
      <w:divBdr>
        <w:top w:val="none" w:sz="0" w:space="0" w:color="auto"/>
        <w:left w:val="none" w:sz="0" w:space="0" w:color="auto"/>
        <w:bottom w:val="none" w:sz="0" w:space="0" w:color="auto"/>
        <w:right w:val="none" w:sz="0" w:space="0" w:color="auto"/>
      </w:divBdr>
    </w:div>
    <w:div w:id="1667249875">
      <w:marLeft w:val="0"/>
      <w:marRight w:val="0"/>
      <w:marTop w:val="0"/>
      <w:marBottom w:val="0"/>
      <w:divBdr>
        <w:top w:val="none" w:sz="0" w:space="0" w:color="auto"/>
        <w:left w:val="none" w:sz="0" w:space="0" w:color="auto"/>
        <w:bottom w:val="none" w:sz="0" w:space="0" w:color="auto"/>
        <w:right w:val="none" w:sz="0" w:space="0" w:color="auto"/>
      </w:divBdr>
    </w:div>
    <w:div w:id="1667249876">
      <w:marLeft w:val="0"/>
      <w:marRight w:val="0"/>
      <w:marTop w:val="0"/>
      <w:marBottom w:val="0"/>
      <w:divBdr>
        <w:top w:val="none" w:sz="0" w:space="0" w:color="auto"/>
        <w:left w:val="none" w:sz="0" w:space="0" w:color="auto"/>
        <w:bottom w:val="none" w:sz="0" w:space="0" w:color="auto"/>
        <w:right w:val="none" w:sz="0" w:space="0" w:color="auto"/>
      </w:divBdr>
      <w:divsChild>
        <w:div w:id="1667249824">
          <w:marLeft w:val="0"/>
          <w:marRight w:val="0"/>
          <w:marTop w:val="0"/>
          <w:marBottom w:val="0"/>
          <w:divBdr>
            <w:top w:val="none" w:sz="0" w:space="0" w:color="auto"/>
            <w:left w:val="none" w:sz="0" w:space="0" w:color="auto"/>
            <w:bottom w:val="none" w:sz="0" w:space="0" w:color="auto"/>
            <w:right w:val="none" w:sz="0" w:space="0" w:color="auto"/>
          </w:divBdr>
        </w:div>
        <w:div w:id="1667249841">
          <w:marLeft w:val="0"/>
          <w:marRight w:val="0"/>
          <w:marTop w:val="0"/>
          <w:marBottom w:val="0"/>
          <w:divBdr>
            <w:top w:val="none" w:sz="0" w:space="0" w:color="auto"/>
            <w:left w:val="none" w:sz="0" w:space="0" w:color="auto"/>
            <w:bottom w:val="none" w:sz="0" w:space="0" w:color="auto"/>
            <w:right w:val="none" w:sz="0" w:space="0" w:color="auto"/>
          </w:divBdr>
        </w:div>
        <w:div w:id="1667249865">
          <w:marLeft w:val="0"/>
          <w:marRight w:val="0"/>
          <w:marTop w:val="0"/>
          <w:marBottom w:val="0"/>
          <w:divBdr>
            <w:top w:val="none" w:sz="0" w:space="0" w:color="auto"/>
            <w:left w:val="none" w:sz="0" w:space="0" w:color="auto"/>
            <w:bottom w:val="none" w:sz="0" w:space="0" w:color="auto"/>
            <w:right w:val="none" w:sz="0" w:space="0" w:color="auto"/>
          </w:divBdr>
        </w:div>
        <w:div w:id="1667249868">
          <w:marLeft w:val="0"/>
          <w:marRight w:val="0"/>
          <w:marTop w:val="0"/>
          <w:marBottom w:val="0"/>
          <w:divBdr>
            <w:top w:val="none" w:sz="0" w:space="0" w:color="auto"/>
            <w:left w:val="none" w:sz="0" w:space="0" w:color="auto"/>
            <w:bottom w:val="none" w:sz="0" w:space="0" w:color="auto"/>
            <w:right w:val="none" w:sz="0" w:space="0" w:color="auto"/>
          </w:divBdr>
        </w:div>
        <w:div w:id="1667249882">
          <w:marLeft w:val="0"/>
          <w:marRight w:val="0"/>
          <w:marTop w:val="0"/>
          <w:marBottom w:val="0"/>
          <w:divBdr>
            <w:top w:val="none" w:sz="0" w:space="0" w:color="auto"/>
            <w:left w:val="none" w:sz="0" w:space="0" w:color="auto"/>
            <w:bottom w:val="none" w:sz="0" w:space="0" w:color="auto"/>
            <w:right w:val="none" w:sz="0" w:space="0" w:color="auto"/>
          </w:divBdr>
        </w:div>
        <w:div w:id="1667249885">
          <w:marLeft w:val="0"/>
          <w:marRight w:val="0"/>
          <w:marTop w:val="0"/>
          <w:marBottom w:val="0"/>
          <w:divBdr>
            <w:top w:val="none" w:sz="0" w:space="0" w:color="auto"/>
            <w:left w:val="none" w:sz="0" w:space="0" w:color="auto"/>
            <w:bottom w:val="none" w:sz="0" w:space="0" w:color="auto"/>
            <w:right w:val="none" w:sz="0" w:space="0" w:color="auto"/>
          </w:divBdr>
        </w:div>
        <w:div w:id="1667249892">
          <w:marLeft w:val="0"/>
          <w:marRight w:val="0"/>
          <w:marTop w:val="0"/>
          <w:marBottom w:val="0"/>
          <w:divBdr>
            <w:top w:val="none" w:sz="0" w:space="0" w:color="auto"/>
            <w:left w:val="none" w:sz="0" w:space="0" w:color="auto"/>
            <w:bottom w:val="none" w:sz="0" w:space="0" w:color="auto"/>
            <w:right w:val="none" w:sz="0" w:space="0" w:color="auto"/>
          </w:divBdr>
        </w:div>
        <w:div w:id="1667249893">
          <w:marLeft w:val="0"/>
          <w:marRight w:val="0"/>
          <w:marTop w:val="0"/>
          <w:marBottom w:val="0"/>
          <w:divBdr>
            <w:top w:val="none" w:sz="0" w:space="0" w:color="auto"/>
            <w:left w:val="none" w:sz="0" w:space="0" w:color="auto"/>
            <w:bottom w:val="none" w:sz="0" w:space="0" w:color="auto"/>
            <w:right w:val="none" w:sz="0" w:space="0" w:color="auto"/>
          </w:divBdr>
        </w:div>
      </w:divsChild>
    </w:div>
    <w:div w:id="1667249878">
      <w:marLeft w:val="0"/>
      <w:marRight w:val="0"/>
      <w:marTop w:val="0"/>
      <w:marBottom w:val="0"/>
      <w:divBdr>
        <w:top w:val="none" w:sz="0" w:space="0" w:color="auto"/>
        <w:left w:val="none" w:sz="0" w:space="0" w:color="auto"/>
        <w:bottom w:val="none" w:sz="0" w:space="0" w:color="auto"/>
        <w:right w:val="none" w:sz="0" w:space="0" w:color="auto"/>
      </w:divBdr>
    </w:div>
    <w:div w:id="1667249879">
      <w:marLeft w:val="0"/>
      <w:marRight w:val="0"/>
      <w:marTop w:val="0"/>
      <w:marBottom w:val="0"/>
      <w:divBdr>
        <w:top w:val="none" w:sz="0" w:space="0" w:color="auto"/>
        <w:left w:val="none" w:sz="0" w:space="0" w:color="auto"/>
        <w:bottom w:val="none" w:sz="0" w:space="0" w:color="auto"/>
        <w:right w:val="none" w:sz="0" w:space="0" w:color="auto"/>
      </w:divBdr>
    </w:div>
    <w:div w:id="1667249880">
      <w:marLeft w:val="0"/>
      <w:marRight w:val="0"/>
      <w:marTop w:val="0"/>
      <w:marBottom w:val="0"/>
      <w:divBdr>
        <w:top w:val="none" w:sz="0" w:space="0" w:color="auto"/>
        <w:left w:val="none" w:sz="0" w:space="0" w:color="auto"/>
        <w:bottom w:val="none" w:sz="0" w:space="0" w:color="auto"/>
        <w:right w:val="none" w:sz="0" w:space="0" w:color="auto"/>
      </w:divBdr>
    </w:div>
    <w:div w:id="1667249881">
      <w:marLeft w:val="0"/>
      <w:marRight w:val="0"/>
      <w:marTop w:val="0"/>
      <w:marBottom w:val="0"/>
      <w:divBdr>
        <w:top w:val="none" w:sz="0" w:space="0" w:color="auto"/>
        <w:left w:val="none" w:sz="0" w:space="0" w:color="auto"/>
        <w:bottom w:val="none" w:sz="0" w:space="0" w:color="auto"/>
        <w:right w:val="none" w:sz="0" w:space="0" w:color="auto"/>
      </w:divBdr>
    </w:div>
    <w:div w:id="1667249886">
      <w:marLeft w:val="0"/>
      <w:marRight w:val="0"/>
      <w:marTop w:val="0"/>
      <w:marBottom w:val="0"/>
      <w:divBdr>
        <w:top w:val="none" w:sz="0" w:space="0" w:color="auto"/>
        <w:left w:val="none" w:sz="0" w:space="0" w:color="auto"/>
        <w:bottom w:val="none" w:sz="0" w:space="0" w:color="auto"/>
        <w:right w:val="none" w:sz="0" w:space="0" w:color="auto"/>
      </w:divBdr>
    </w:div>
    <w:div w:id="1667249887">
      <w:marLeft w:val="0"/>
      <w:marRight w:val="0"/>
      <w:marTop w:val="0"/>
      <w:marBottom w:val="0"/>
      <w:divBdr>
        <w:top w:val="none" w:sz="0" w:space="0" w:color="auto"/>
        <w:left w:val="none" w:sz="0" w:space="0" w:color="auto"/>
        <w:bottom w:val="none" w:sz="0" w:space="0" w:color="auto"/>
        <w:right w:val="none" w:sz="0" w:space="0" w:color="auto"/>
      </w:divBdr>
    </w:div>
    <w:div w:id="1667249890">
      <w:marLeft w:val="0"/>
      <w:marRight w:val="0"/>
      <w:marTop w:val="0"/>
      <w:marBottom w:val="0"/>
      <w:divBdr>
        <w:top w:val="none" w:sz="0" w:space="0" w:color="auto"/>
        <w:left w:val="none" w:sz="0" w:space="0" w:color="auto"/>
        <w:bottom w:val="none" w:sz="0" w:space="0" w:color="auto"/>
        <w:right w:val="none" w:sz="0" w:space="0" w:color="auto"/>
      </w:divBdr>
    </w:div>
    <w:div w:id="1667249891">
      <w:marLeft w:val="0"/>
      <w:marRight w:val="0"/>
      <w:marTop w:val="0"/>
      <w:marBottom w:val="0"/>
      <w:divBdr>
        <w:top w:val="none" w:sz="0" w:space="0" w:color="auto"/>
        <w:left w:val="none" w:sz="0" w:space="0" w:color="auto"/>
        <w:bottom w:val="none" w:sz="0" w:space="0" w:color="auto"/>
        <w:right w:val="none" w:sz="0" w:space="0" w:color="auto"/>
      </w:divBdr>
    </w:div>
    <w:div w:id="1667249895">
      <w:marLeft w:val="0"/>
      <w:marRight w:val="0"/>
      <w:marTop w:val="0"/>
      <w:marBottom w:val="0"/>
      <w:divBdr>
        <w:top w:val="none" w:sz="0" w:space="0" w:color="auto"/>
        <w:left w:val="none" w:sz="0" w:space="0" w:color="auto"/>
        <w:bottom w:val="none" w:sz="0" w:space="0" w:color="auto"/>
        <w:right w:val="none" w:sz="0" w:space="0" w:color="auto"/>
      </w:divBdr>
    </w:div>
    <w:div w:id="1667249896">
      <w:marLeft w:val="0"/>
      <w:marRight w:val="0"/>
      <w:marTop w:val="0"/>
      <w:marBottom w:val="0"/>
      <w:divBdr>
        <w:top w:val="none" w:sz="0" w:space="0" w:color="auto"/>
        <w:left w:val="none" w:sz="0" w:space="0" w:color="auto"/>
        <w:bottom w:val="none" w:sz="0" w:space="0" w:color="auto"/>
        <w:right w:val="none" w:sz="0" w:space="0" w:color="auto"/>
      </w:divBdr>
    </w:div>
    <w:div w:id="1667249897">
      <w:marLeft w:val="0"/>
      <w:marRight w:val="0"/>
      <w:marTop w:val="0"/>
      <w:marBottom w:val="0"/>
      <w:divBdr>
        <w:top w:val="none" w:sz="0" w:space="0" w:color="auto"/>
        <w:left w:val="none" w:sz="0" w:space="0" w:color="auto"/>
        <w:bottom w:val="none" w:sz="0" w:space="0" w:color="auto"/>
        <w:right w:val="none" w:sz="0" w:space="0" w:color="auto"/>
      </w:divBdr>
    </w:div>
    <w:div w:id="1667249898">
      <w:marLeft w:val="0"/>
      <w:marRight w:val="0"/>
      <w:marTop w:val="0"/>
      <w:marBottom w:val="0"/>
      <w:divBdr>
        <w:top w:val="none" w:sz="0" w:space="0" w:color="auto"/>
        <w:left w:val="none" w:sz="0" w:space="0" w:color="auto"/>
        <w:bottom w:val="none" w:sz="0" w:space="0" w:color="auto"/>
        <w:right w:val="none" w:sz="0" w:space="0" w:color="auto"/>
      </w:divBdr>
    </w:div>
    <w:div w:id="1667249899">
      <w:marLeft w:val="0"/>
      <w:marRight w:val="0"/>
      <w:marTop w:val="0"/>
      <w:marBottom w:val="0"/>
      <w:divBdr>
        <w:top w:val="none" w:sz="0" w:space="0" w:color="auto"/>
        <w:left w:val="none" w:sz="0" w:space="0" w:color="auto"/>
        <w:bottom w:val="none" w:sz="0" w:space="0" w:color="auto"/>
        <w:right w:val="none" w:sz="0" w:space="0" w:color="auto"/>
      </w:divBdr>
    </w:div>
    <w:div w:id="1667249900">
      <w:marLeft w:val="0"/>
      <w:marRight w:val="0"/>
      <w:marTop w:val="0"/>
      <w:marBottom w:val="0"/>
      <w:divBdr>
        <w:top w:val="none" w:sz="0" w:space="0" w:color="auto"/>
        <w:left w:val="none" w:sz="0" w:space="0" w:color="auto"/>
        <w:bottom w:val="none" w:sz="0" w:space="0" w:color="auto"/>
        <w:right w:val="none" w:sz="0" w:space="0" w:color="auto"/>
      </w:divBdr>
    </w:div>
    <w:div w:id="1667249901">
      <w:marLeft w:val="0"/>
      <w:marRight w:val="0"/>
      <w:marTop w:val="0"/>
      <w:marBottom w:val="0"/>
      <w:divBdr>
        <w:top w:val="none" w:sz="0" w:space="0" w:color="auto"/>
        <w:left w:val="none" w:sz="0" w:space="0" w:color="auto"/>
        <w:bottom w:val="none" w:sz="0" w:space="0" w:color="auto"/>
        <w:right w:val="none" w:sz="0" w:space="0" w:color="auto"/>
      </w:divBdr>
    </w:div>
    <w:div w:id="1667249902">
      <w:marLeft w:val="0"/>
      <w:marRight w:val="0"/>
      <w:marTop w:val="0"/>
      <w:marBottom w:val="0"/>
      <w:divBdr>
        <w:top w:val="none" w:sz="0" w:space="0" w:color="auto"/>
        <w:left w:val="none" w:sz="0" w:space="0" w:color="auto"/>
        <w:bottom w:val="none" w:sz="0" w:space="0" w:color="auto"/>
        <w:right w:val="none" w:sz="0" w:space="0" w:color="auto"/>
      </w:divBdr>
    </w:div>
    <w:div w:id="1667249903">
      <w:marLeft w:val="0"/>
      <w:marRight w:val="0"/>
      <w:marTop w:val="0"/>
      <w:marBottom w:val="0"/>
      <w:divBdr>
        <w:top w:val="none" w:sz="0" w:space="0" w:color="auto"/>
        <w:left w:val="none" w:sz="0" w:space="0" w:color="auto"/>
        <w:bottom w:val="none" w:sz="0" w:space="0" w:color="auto"/>
        <w:right w:val="none" w:sz="0" w:space="0" w:color="auto"/>
      </w:divBdr>
    </w:div>
    <w:div w:id="1667249904">
      <w:marLeft w:val="0"/>
      <w:marRight w:val="0"/>
      <w:marTop w:val="0"/>
      <w:marBottom w:val="0"/>
      <w:divBdr>
        <w:top w:val="none" w:sz="0" w:space="0" w:color="auto"/>
        <w:left w:val="none" w:sz="0" w:space="0" w:color="auto"/>
        <w:bottom w:val="none" w:sz="0" w:space="0" w:color="auto"/>
        <w:right w:val="none" w:sz="0" w:space="0" w:color="auto"/>
      </w:divBdr>
    </w:div>
    <w:div w:id="1667249905">
      <w:marLeft w:val="0"/>
      <w:marRight w:val="0"/>
      <w:marTop w:val="0"/>
      <w:marBottom w:val="0"/>
      <w:divBdr>
        <w:top w:val="none" w:sz="0" w:space="0" w:color="auto"/>
        <w:left w:val="none" w:sz="0" w:space="0" w:color="auto"/>
        <w:bottom w:val="none" w:sz="0" w:space="0" w:color="auto"/>
        <w:right w:val="none" w:sz="0" w:space="0" w:color="auto"/>
      </w:divBdr>
    </w:div>
    <w:div w:id="1667249906">
      <w:marLeft w:val="0"/>
      <w:marRight w:val="0"/>
      <w:marTop w:val="0"/>
      <w:marBottom w:val="0"/>
      <w:divBdr>
        <w:top w:val="none" w:sz="0" w:space="0" w:color="auto"/>
        <w:left w:val="none" w:sz="0" w:space="0" w:color="auto"/>
        <w:bottom w:val="none" w:sz="0" w:space="0" w:color="auto"/>
        <w:right w:val="none" w:sz="0" w:space="0" w:color="auto"/>
      </w:divBdr>
    </w:div>
    <w:div w:id="1667249907">
      <w:marLeft w:val="0"/>
      <w:marRight w:val="0"/>
      <w:marTop w:val="0"/>
      <w:marBottom w:val="0"/>
      <w:divBdr>
        <w:top w:val="none" w:sz="0" w:space="0" w:color="auto"/>
        <w:left w:val="none" w:sz="0" w:space="0" w:color="auto"/>
        <w:bottom w:val="none" w:sz="0" w:space="0" w:color="auto"/>
        <w:right w:val="none" w:sz="0" w:space="0" w:color="auto"/>
      </w:divBdr>
    </w:div>
    <w:div w:id="1667249908">
      <w:marLeft w:val="0"/>
      <w:marRight w:val="0"/>
      <w:marTop w:val="0"/>
      <w:marBottom w:val="0"/>
      <w:divBdr>
        <w:top w:val="none" w:sz="0" w:space="0" w:color="auto"/>
        <w:left w:val="none" w:sz="0" w:space="0" w:color="auto"/>
        <w:bottom w:val="none" w:sz="0" w:space="0" w:color="auto"/>
        <w:right w:val="none" w:sz="0" w:space="0" w:color="auto"/>
      </w:divBdr>
    </w:div>
    <w:div w:id="1667249909">
      <w:marLeft w:val="0"/>
      <w:marRight w:val="0"/>
      <w:marTop w:val="0"/>
      <w:marBottom w:val="0"/>
      <w:divBdr>
        <w:top w:val="none" w:sz="0" w:space="0" w:color="auto"/>
        <w:left w:val="none" w:sz="0" w:space="0" w:color="auto"/>
        <w:bottom w:val="none" w:sz="0" w:space="0" w:color="auto"/>
        <w:right w:val="none" w:sz="0" w:space="0" w:color="auto"/>
      </w:divBdr>
    </w:div>
    <w:div w:id="1667249910">
      <w:marLeft w:val="0"/>
      <w:marRight w:val="0"/>
      <w:marTop w:val="0"/>
      <w:marBottom w:val="0"/>
      <w:divBdr>
        <w:top w:val="none" w:sz="0" w:space="0" w:color="auto"/>
        <w:left w:val="none" w:sz="0" w:space="0" w:color="auto"/>
        <w:bottom w:val="none" w:sz="0" w:space="0" w:color="auto"/>
        <w:right w:val="none" w:sz="0" w:space="0" w:color="auto"/>
      </w:divBdr>
    </w:div>
    <w:div w:id="1667249911">
      <w:marLeft w:val="0"/>
      <w:marRight w:val="0"/>
      <w:marTop w:val="0"/>
      <w:marBottom w:val="0"/>
      <w:divBdr>
        <w:top w:val="none" w:sz="0" w:space="0" w:color="auto"/>
        <w:left w:val="none" w:sz="0" w:space="0" w:color="auto"/>
        <w:bottom w:val="none" w:sz="0" w:space="0" w:color="auto"/>
        <w:right w:val="none" w:sz="0" w:space="0" w:color="auto"/>
      </w:divBdr>
    </w:div>
    <w:div w:id="1667249912">
      <w:marLeft w:val="0"/>
      <w:marRight w:val="0"/>
      <w:marTop w:val="0"/>
      <w:marBottom w:val="0"/>
      <w:divBdr>
        <w:top w:val="none" w:sz="0" w:space="0" w:color="auto"/>
        <w:left w:val="none" w:sz="0" w:space="0" w:color="auto"/>
        <w:bottom w:val="none" w:sz="0" w:space="0" w:color="auto"/>
        <w:right w:val="none" w:sz="0" w:space="0" w:color="auto"/>
      </w:divBdr>
    </w:div>
    <w:div w:id="1667249913">
      <w:marLeft w:val="0"/>
      <w:marRight w:val="0"/>
      <w:marTop w:val="0"/>
      <w:marBottom w:val="0"/>
      <w:divBdr>
        <w:top w:val="none" w:sz="0" w:space="0" w:color="auto"/>
        <w:left w:val="none" w:sz="0" w:space="0" w:color="auto"/>
        <w:bottom w:val="none" w:sz="0" w:space="0" w:color="auto"/>
        <w:right w:val="none" w:sz="0" w:space="0" w:color="auto"/>
      </w:divBdr>
    </w:div>
    <w:div w:id="1667249914">
      <w:marLeft w:val="0"/>
      <w:marRight w:val="0"/>
      <w:marTop w:val="0"/>
      <w:marBottom w:val="0"/>
      <w:divBdr>
        <w:top w:val="none" w:sz="0" w:space="0" w:color="auto"/>
        <w:left w:val="none" w:sz="0" w:space="0" w:color="auto"/>
        <w:bottom w:val="none" w:sz="0" w:space="0" w:color="auto"/>
        <w:right w:val="none" w:sz="0" w:space="0" w:color="auto"/>
      </w:divBdr>
    </w:div>
    <w:div w:id="1667249915">
      <w:marLeft w:val="0"/>
      <w:marRight w:val="0"/>
      <w:marTop w:val="0"/>
      <w:marBottom w:val="0"/>
      <w:divBdr>
        <w:top w:val="none" w:sz="0" w:space="0" w:color="auto"/>
        <w:left w:val="none" w:sz="0" w:space="0" w:color="auto"/>
        <w:bottom w:val="none" w:sz="0" w:space="0" w:color="auto"/>
        <w:right w:val="none" w:sz="0" w:space="0" w:color="auto"/>
      </w:divBdr>
    </w:div>
    <w:div w:id="1667249916">
      <w:marLeft w:val="0"/>
      <w:marRight w:val="0"/>
      <w:marTop w:val="0"/>
      <w:marBottom w:val="0"/>
      <w:divBdr>
        <w:top w:val="none" w:sz="0" w:space="0" w:color="auto"/>
        <w:left w:val="none" w:sz="0" w:space="0" w:color="auto"/>
        <w:bottom w:val="none" w:sz="0" w:space="0" w:color="auto"/>
        <w:right w:val="none" w:sz="0" w:space="0" w:color="auto"/>
      </w:divBdr>
    </w:div>
    <w:div w:id="1667249917">
      <w:marLeft w:val="0"/>
      <w:marRight w:val="0"/>
      <w:marTop w:val="0"/>
      <w:marBottom w:val="0"/>
      <w:divBdr>
        <w:top w:val="none" w:sz="0" w:space="0" w:color="auto"/>
        <w:left w:val="none" w:sz="0" w:space="0" w:color="auto"/>
        <w:bottom w:val="none" w:sz="0" w:space="0" w:color="auto"/>
        <w:right w:val="none" w:sz="0" w:space="0" w:color="auto"/>
      </w:divBdr>
    </w:div>
    <w:div w:id="1667249918">
      <w:marLeft w:val="0"/>
      <w:marRight w:val="0"/>
      <w:marTop w:val="0"/>
      <w:marBottom w:val="0"/>
      <w:divBdr>
        <w:top w:val="none" w:sz="0" w:space="0" w:color="auto"/>
        <w:left w:val="none" w:sz="0" w:space="0" w:color="auto"/>
        <w:bottom w:val="none" w:sz="0" w:space="0" w:color="auto"/>
        <w:right w:val="none" w:sz="0" w:space="0" w:color="auto"/>
      </w:divBdr>
    </w:div>
    <w:div w:id="1667249919">
      <w:marLeft w:val="0"/>
      <w:marRight w:val="0"/>
      <w:marTop w:val="0"/>
      <w:marBottom w:val="0"/>
      <w:divBdr>
        <w:top w:val="none" w:sz="0" w:space="0" w:color="auto"/>
        <w:left w:val="none" w:sz="0" w:space="0" w:color="auto"/>
        <w:bottom w:val="none" w:sz="0" w:space="0" w:color="auto"/>
        <w:right w:val="none" w:sz="0" w:space="0" w:color="auto"/>
      </w:divBdr>
    </w:div>
    <w:div w:id="1667249920">
      <w:marLeft w:val="0"/>
      <w:marRight w:val="0"/>
      <w:marTop w:val="0"/>
      <w:marBottom w:val="0"/>
      <w:divBdr>
        <w:top w:val="none" w:sz="0" w:space="0" w:color="auto"/>
        <w:left w:val="none" w:sz="0" w:space="0" w:color="auto"/>
        <w:bottom w:val="none" w:sz="0" w:space="0" w:color="auto"/>
        <w:right w:val="none" w:sz="0" w:space="0" w:color="auto"/>
      </w:divBdr>
    </w:div>
    <w:div w:id="1667249921">
      <w:marLeft w:val="0"/>
      <w:marRight w:val="0"/>
      <w:marTop w:val="0"/>
      <w:marBottom w:val="0"/>
      <w:divBdr>
        <w:top w:val="none" w:sz="0" w:space="0" w:color="auto"/>
        <w:left w:val="none" w:sz="0" w:space="0" w:color="auto"/>
        <w:bottom w:val="none" w:sz="0" w:space="0" w:color="auto"/>
        <w:right w:val="none" w:sz="0" w:space="0" w:color="auto"/>
      </w:divBdr>
    </w:div>
    <w:div w:id="1667249922">
      <w:marLeft w:val="0"/>
      <w:marRight w:val="0"/>
      <w:marTop w:val="0"/>
      <w:marBottom w:val="0"/>
      <w:divBdr>
        <w:top w:val="none" w:sz="0" w:space="0" w:color="auto"/>
        <w:left w:val="none" w:sz="0" w:space="0" w:color="auto"/>
        <w:bottom w:val="none" w:sz="0" w:space="0" w:color="auto"/>
        <w:right w:val="none" w:sz="0" w:space="0" w:color="auto"/>
      </w:divBdr>
    </w:div>
    <w:div w:id="1667249923">
      <w:marLeft w:val="0"/>
      <w:marRight w:val="0"/>
      <w:marTop w:val="0"/>
      <w:marBottom w:val="0"/>
      <w:divBdr>
        <w:top w:val="none" w:sz="0" w:space="0" w:color="auto"/>
        <w:left w:val="none" w:sz="0" w:space="0" w:color="auto"/>
        <w:bottom w:val="none" w:sz="0" w:space="0" w:color="auto"/>
        <w:right w:val="none" w:sz="0" w:space="0" w:color="auto"/>
      </w:divBdr>
    </w:div>
    <w:div w:id="1667249924">
      <w:marLeft w:val="0"/>
      <w:marRight w:val="0"/>
      <w:marTop w:val="0"/>
      <w:marBottom w:val="0"/>
      <w:divBdr>
        <w:top w:val="none" w:sz="0" w:space="0" w:color="auto"/>
        <w:left w:val="none" w:sz="0" w:space="0" w:color="auto"/>
        <w:bottom w:val="none" w:sz="0" w:space="0" w:color="auto"/>
        <w:right w:val="none" w:sz="0" w:space="0" w:color="auto"/>
      </w:divBdr>
    </w:div>
    <w:div w:id="1667249925">
      <w:marLeft w:val="0"/>
      <w:marRight w:val="0"/>
      <w:marTop w:val="0"/>
      <w:marBottom w:val="0"/>
      <w:divBdr>
        <w:top w:val="none" w:sz="0" w:space="0" w:color="auto"/>
        <w:left w:val="none" w:sz="0" w:space="0" w:color="auto"/>
        <w:bottom w:val="none" w:sz="0" w:space="0" w:color="auto"/>
        <w:right w:val="none" w:sz="0" w:space="0" w:color="auto"/>
      </w:divBdr>
    </w:div>
    <w:div w:id="1667249926">
      <w:marLeft w:val="0"/>
      <w:marRight w:val="0"/>
      <w:marTop w:val="0"/>
      <w:marBottom w:val="0"/>
      <w:divBdr>
        <w:top w:val="none" w:sz="0" w:space="0" w:color="auto"/>
        <w:left w:val="none" w:sz="0" w:space="0" w:color="auto"/>
        <w:bottom w:val="none" w:sz="0" w:space="0" w:color="auto"/>
        <w:right w:val="none" w:sz="0" w:space="0" w:color="auto"/>
      </w:divBdr>
    </w:div>
    <w:div w:id="1667249927">
      <w:marLeft w:val="0"/>
      <w:marRight w:val="0"/>
      <w:marTop w:val="0"/>
      <w:marBottom w:val="0"/>
      <w:divBdr>
        <w:top w:val="none" w:sz="0" w:space="0" w:color="auto"/>
        <w:left w:val="none" w:sz="0" w:space="0" w:color="auto"/>
        <w:bottom w:val="none" w:sz="0" w:space="0" w:color="auto"/>
        <w:right w:val="none" w:sz="0" w:space="0" w:color="auto"/>
      </w:divBdr>
    </w:div>
    <w:div w:id="1667249928">
      <w:marLeft w:val="0"/>
      <w:marRight w:val="0"/>
      <w:marTop w:val="0"/>
      <w:marBottom w:val="0"/>
      <w:divBdr>
        <w:top w:val="none" w:sz="0" w:space="0" w:color="auto"/>
        <w:left w:val="none" w:sz="0" w:space="0" w:color="auto"/>
        <w:bottom w:val="none" w:sz="0" w:space="0" w:color="auto"/>
        <w:right w:val="none" w:sz="0" w:space="0" w:color="auto"/>
      </w:divBdr>
    </w:div>
    <w:div w:id="1667249929">
      <w:marLeft w:val="0"/>
      <w:marRight w:val="0"/>
      <w:marTop w:val="0"/>
      <w:marBottom w:val="0"/>
      <w:divBdr>
        <w:top w:val="none" w:sz="0" w:space="0" w:color="auto"/>
        <w:left w:val="none" w:sz="0" w:space="0" w:color="auto"/>
        <w:bottom w:val="none" w:sz="0" w:space="0" w:color="auto"/>
        <w:right w:val="none" w:sz="0" w:space="0" w:color="auto"/>
      </w:divBdr>
    </w:div>
    <w:div w:id="1667249930">
      <w:marLeft w:val="0"/>
      <w:marRight w:val="0"/>
      <w:marTop w:val="0"/>
      <w:marBottom w:val="0"/>
      <w:divBdr>
        <w:top w:val="none" w:sz="0" w:space="0" w:color="auto"/>
        <w:left w:val="none" w:sz="0" w:space="0" w:color="auto"/>
        <w:bottom w:val="none" w:sz="0" w:space="0" w:color="auto"/>
        <w:right w:val="none" w:sz="0" w:space="0" w:color="auto"/>
      </w:divBdr>
    </w:div>
    <w:div w:id="1667249931">
      <w:marLeft w:val="0"/>
      <w:marRight w:val="0"/>
      <w:marTop w:val="0"/>
      <w:marBottom w:val="0"/>
      <w:divBdr>
        <w:top w:val="none" w:sz="0" w:space="0" w:color="auto"/>
        <w:left w:val="none" w:sz="0" w:space="0" w:color="auto"/>
        <w:bottom w:val="none" w:sz="0" w:space="0" w:color="auto"/>
        <w:right w:val="none" w:sz="0" w:space="0" w:color="auto"/>
      </w:divBdr>
    </w:div>
    <w:div w:id="1667249932">
      <w:marLeft w:val="0"/>
      <w:marRight w:val="0"/>
      <w:marTop w:val="0"/>
      <w:marBottom w:val="0"/>
      <w:divBdr>
        <w:top w:val="none" w:sz="0" w:space="0" w:color="auto"/>
        <w:left w:val="none" w:sz="0" w:space="0" w:color="auto"/>
        <w:bottom w:val="none" w:sz="0" w:space="0" w:color="auto"/>
        <w:right w:val="none" w:sz="0" w:space="0" w:color="auto"/>
      </w:divBdr>
    </w:div>
    <w:div w:id="1667249933">
      <w:marLeft w:val="0"/>
      <w:marRight w:val="0"/>
      <w:marTop w:val="0"/>
      <w:marBottom w:val="0"/>
      <w:divBdr>
        <w:top w:val="none" w:sz="0" w:space="0" w:color="auto"/>
        <w:left w:val="none" w:sz="0" w:space="0" w:color="auto"/>
        <w:bottom w:val="none" w:sz="0" w:space="0" w:color="auto"/>
        <w:right w:val="none" w:sz="0" w:space="0" w:color="auto"/>
      </w:divBdr>
    </w:div>
    <w:div w:id="1667249934">
      <w:marLeft w:val="0"/>
      <w:marRight w:val="0"/>
      <w:marTop w:val="0"/>
      <w:marBottom w:val="0"/>
      <w:divBdr>
        <w:top w:val="none" w:sz="0" w:space="0" w:color="auto"/>
        <w:left w:val="none" w:sz="0" w:space="0" w:color="auto"/>
        <w:bottom w:val="none" w:sz="0" w:space="0" w:color="auto"/>
        <w:right w:val="none" w:sz="0" w:space="0" w:color="auto"/>
      </w:divBdr>
    </w:div>
    <w:div w:id="1667249935">
      <w:marLeft w:val="0"/>
      <w:marRight w:val="0"/>
      <w:marTop w:val="0"/>
      <w:marBottom w:val="0"/>
      <w:divBdr>
        <w:top w:val="none" w:sz="0" w:space="0" w:color="auto"/>
        <w:left w:val="none" w:sz="0" w:space="0" w:color="auto"/>
        <w:bottom w:val="none" w:sz="0" w:space="0" w:color="auto"/>
        <w:right w:val="none" w:sz="0" w:space="0" w:color="auto"/>
      </w:divBdr>
    </w:div>
    <w:div w:id="1667249936">
      <w:marLeft w:val="0"/>
      <w:marRight w:val="0"/>
      <w:marTop w:val="0"/>
      <w:marBottom w:val="0"/>
      <w:divBdr>
        <w:top w:val="none" w:sz="0" w:space="0" w:color="auto"/>
        <w:left w:val="none" w:sz="0" w:space="0" w:color="auto"/>
        <w:bottom w:val="none" w:sz="0" w:space="0" w:color="auto"/>
        <w:right w:val="none" w:sz="0" w:space="0" w:color="auto"/>
      </w:divBdr>
    </w:div>
    <w:div w:id="1667249937">
      <w:marLeft w:val="0"/>
      <w:marRight w:val="0"/>
      <w:marTop w:val="0"/>
      <w:marBottom w:val="0"/>
      <w:divBdr>
        <w:top w:val="none" w:sz="0" w:space="0" w:color="auto"/>
        <w:left w:val="none" w:sz="0" w:space="0" w:color="auto"/>
        <w:bottom w:val="none" w:sz="0" w:space="0" w:color="auto"/>
        <w:right w:val="none" w:sz="0" w:space="0" w:color="auto"/>
      </w:divBdr>
    </w:div>
    <w:div w:id="1667249938">
      <w:marLeft w:val="0"/>
      <w:marRight w:val="0"/>
      <w:marTop w:val="0"/>
      <w:marBottom w:val="0"/>
      <w:divBdr>
        <w:top w:val="none" w:sz="0" w:space="0" w:color="auto"/>
        <w:left w:val="none" w:sz="0" w:space="0" w:color="auto"/>
        <w:bottom w:val="none" w:sz="0" w:space="0" w:color="auto"/>
        <w:right w:val="none" w:sz="0" w:space="0" w:color="auto"/>
      </w:divBdr>
    </w:div>
    <w:div w:id="1667249939">
      <w:marLeft w:val="0"/>
      <w:marRight w:val="0"/>
      <w:marTop w:val="0"/>
      <w:marBottom w:val="0"/>
      <w:divBdr>
        <w:top w:val="none" w:sz="0" w:space="0" w:color="auto"/>
        <w:left w:val="none" w:sz="0" w:space="0" w:color="auto"/>
        <w:bottom w:val="none" w:sz="0" w:space="0" w:color="auto"/>
        <w:right w:val="none" w:sz="0" w:space="0" w:color="auto"/>
      </w:divBdr>
    </w:div>
    <w:div w:id="1667249940">
      <w:marLeft w:val="0"/>
      <w:marRight w:val="0"/>
      <w:marTop w:val="0"/>
      <w:marBottom w:val="0"/>
      <w:divBdr>
        <w:top w:val="none" w:sz="0" w:space="0" w:color="auto"/>
        <w:left w:val="none" w:sz="0" w:space="0" w:color="auto"/>
        <w:bottom w:val="none" w:sz="0" w:space="0" w:color="auto"/>
        <w:right w:val="none" w:sz="0" w:space="0" w:color="auto"/>
      </w:divBdr>
    </w:div>
    <w:div w:id="1667249941">
      <w:marLeft w:val="0"/>
      <w:marRight w:val="0"/>
      <w:marTop w:val="0"/>
      <w:marBottom w:val="0"/>
      <w:divBdr>
        <w:top w:val="none" w:sz="0" w:space="0" w:color="auto"/>
        <w:left w:val="none" w:sz="0" w:space="0" w:color="auto"/>
        <w:bottom w:val="none" w:sz="0" w:space="0" w:color="auto"/>
        <w:right w:val="none" w:sz="0" w:space="0" w:color="auto"/>
      </w:divBdr>
    </w:div>
    <w:div w:id="1667249942">
      <w:marLeft w:val="0"/>
      <w:marRight w:val="0"/>
      <w:marTop w:val="0"/>
      <w:marBottom w:val="0"/>
      <w:divBdr>
        <w:top w:val="none" w:sz="0" w:space="0" w:color="auto"/>
        <w:left w:val="none" w:sz="0" w:space="0" w:color="auto"/>
        <w:bottom w:val="none" w:sz="0" w:space="0" w:color="auto"/>
        <w:right w:val="none" w:sz="0" w:space="0" w:color="auto"/>
      </w:divBdr>
    </w:div>
    <w:div w:id="1667249943">
      <w:marLeft w:val="0"/>
      <w:marRight w:val="0"/>
      <w:marTop w:val="0"/>
      <w:marBottom w:val="0"/>
      <w:divBdr>
        <w:top w:val="none" w:sz="0" w:space="0" w:color="auto"/>
        <w:left w:val="none" w:sz="0" w:space="0" w:color="auto"/>
        <w:bottom w:val="none" w:sz="0" w:space="0" w:color="auto"/>
        <w:right w:val="none" w:sz="0" w:space="0" w:color="auto"/>
      </w:divBdr>
    </w:div>
    <w:div w:id="1667249944">
      <w:marLeft w:val="0"/>
      <w:marRight w:val="0"/>
      <w:marTop w:val="0"/>
      <w:marBottom w:val="0"/>
      <w:divBdr>
        <w:top w:val="none" w:sz="0" w:space="0" w:color="auto"/>
        <w:left w:val="none" w:sz="0" w:space="0" w:color="auto"/>
        <w:bottom w:val="none" w:sz="0" w:space="0" w:color="auto"/>
        <w:right w:val="none" w:sz="0" w:space="0" w:color="auto"/>
      </w:divBdr>
    </w:div>
    <w:div w:id="1667249945">
      <w:marLeft w:val="0"/>
      <w:marRight w:val="0"/>
      <w:marTop w:val="0"/>
      <w:marBottom w:val="0"/>
      <w:divBdr>
        <w:top w:val="none" w:sz="0" w:space="0" w:color="auto"/>
        <w:left w:val="none" w:sz="0" w:space="0" w:color="auto"/>
        <w:bottom w:val="none" w:sz="0" w:space="0" w:color="auto"/>
        <w:right w:val="none" w:sz="0" w:space="0" w:color="auto"/>
      </w:divBdr>
    </w:div>
    <w:div w:id="1667249946">
      <w:marLeft w:val="0"/>
      <w:marRight w:val="0"/>
      <w:marTop w:val="0"/>
      <w:marBottom w:val="0"/>
      <w:divBdr>
        <w:top w:val="none" w:sz="0" w:space="0" w:color="auto"/>
        <w:left w:val="none" w:sz="0" w:space="0" w:color="auto"/>
        <w:bottom w:val="none" w:sz="0" w:space="0" w:color="auto"/>
        <w:right w:val="none" w:sz="0" w:space="0" w:color="auto"/>
      </w:divBdr>
    </w:div>
    <w:div w:id="1667249947">
      <w:marLeft w:val="0"/>
      <w:marRight w:val="0"/>
      <w:marTop w:val="0"/>
      <w:marBottom w:val="0"/>
      <w:divBdr>
        <w:top w:val="none" w:sz="0" w:space="0" w:color="auto"/>
        <w:left w:val="none" w:sz="0" w:space="0" w:color="auto"/>
        <w:bottom w:val="none" w:sz="0" w:space="0" w:color="auto"/>
        <w:right w:val="none" w:sz="0" w:space="0" w:color="auto"/>
      </w:divBdr>
    </w:div>
    <w:div w:id="1667249948">
      <w:marLeft w:val="0"/>
      <w:marRight w:val="0"/>
      <w:marTop w:val="0"/>
      <w:marBottom w:val="0"/>
      <w:divBdr>
        <w:top w:val="none" w:sz="0" w:space="0" w:color="auto"/>
        <w:left w:val="none" w:sz="0" w:space="0" w:color="auto"/>
        <w:bottom w:val="none" w:sz="0" w:space="0" w:color="auto"/>
        <w:right w:val="none" w:sz="0" w:space="0" w:color="auto"/>
      </w:divBdr>
    </w:div>
    <w:div w:id="1667249949">
      <w:marLeft w:val="0"/>
      <w:marRight w:val="0"/>
      <w:marTop w:val="0"/>
      <w:marBottom w:val="0"/>
      <w:divBdr>
        <w:top w:val="none" w:sz="0" w:space="0" w:color="auto"/>
        <w:left w:val="none" w:sz="0" w:space="0" w:color="auto"/>
        <w:bottom w:val="none" w:sz="0" w:space="0" w:color="auto"/>
        <w:right w:val="none" w:sz="0" w:space="0" w:color="auto"/>
      </w:divBdr>
    </w:div>
    <w:div w:id="1667249950">
      <w:marLeft w:val="0"/>
      <w:marRight w:val="0"/>
      <w:marTop w:val="0"/>
      <w:marBottom w:val="0"/>
      <w:divBdr>
        <w:top w:val="none" w:sz="0" w:space="0" w:color="auto"/>
        <w:left w:val="none" w:sz="0" w:space="0" w:color="auto"/>
        <w:bottom w:val="none" w:sz="0" w:space="0" w:color="auto"/>
        <w:right w:val="none" w:sz="0" w:space="0" w:color="auto"/>
      </w:divBdr>
    </w:div>
    <w:div w:id="1667249951">
      <w:marLeft w:val="0"/>
      <w:marRight w:val="0"/>
      <w:marTop w:val="0"/>
      <w:marBottom w:val="0"/>
      <w:divBdr>
        <w:top w:val="none" w:sz="0" w:space="0" w:color="auto"/>
        <w:left w:val="none" w:sz="0" w:space="0" w:color="auto"/>
        <w:bottom w:val="none" w:sz="0" w:space="0" w:color="auto"/>
        <w:right w:val="none" w:sz="0" w:space="0" w:color="auto"/>
      </w:divBdr>
    </w:div>
    <w:div w:id="1667249952">
      <w:marLeft w:val="0"/>
      <w:marRight w:val="0"/>
      <w:marTop w:val="0"/>
      <w:marBottom w:val="0"/>
      <w:divBdr>
        <w:top w:val="none" w:sz="0" w:space="0" w:color="auto"/>
        <w:left w:val="none" w:sz="0" w:space="0" w:color="auto"/>
        <w:bottom w:val="none" w:sz="0" w:space="0" w:color="auto"/>
        <w:right w:val="none" w:sz="0" w:space="0" w:color="auto"/>
      </w:divBdr>
    </w:div>
    <w:div w:id="1667249953">
      <w:marLeft w:val="0"/>
      <w:marRight w:val="0"/>
      <w:marTop w:val="0"/>
      <w:marBottom w:val="0"/>
      <w:divBdr>
        <w:top w:val="none" w:sz="0" w:space="0" w:color="auto"/>
        <w:left w:val="none" w:sz="0" w:space="0" w:color="auto"/>
        <w:bottom w:val="none" w:sz="0" w:space="0" w:color="auto"/>
        <w:right w:val="none" w:sz="0" w:space="0" w:color="auto"/>
      </w:divBdr>
    </w:div>
    <w:div w:id="1667249954">
      <w:marLeft w:val="0"/>
      <w:marRight w:val="0"/>
      <w:marTop w:val="0"/>
      <w:marBottom w:val="0"/>
      <w:divBdr>
        <w:top w:val="none" w:sz="0" w:space="0" w:color="auto"/>
        <w:left w:val="none" w:sz="0" w:space="0" w:color="auto"/>
        <w:bottom w:val="none" w:sz="0" w:space="0" w:color="auto"/>
        <w:right w:val="none" w:sz="0" w:space="0" w:color="auto"/>
      </w:divBdr>
    </w:div>
    <w:div w:id="1667249955">
      <w:marLeft w:val="0"/>
      <w:marRight w:val="0"/>
      <w:marTop w:val="0"/>
      <w:marBottom w:val="0"/>
      <w:divBdr>
        <w:top w:val="none" w:sz="0" w:space="0" w:color="auto"/>
        <w:left w:val="none" w:sz="0" w:space="0" w:color="auto"/>
        <w:bottom w:val="none" w:sz="0" w:space="0" w:color="auto"/>
        <w:right w:val="none" w:sz="0" w:space="0" w:color="auto"/>
      </w:divBdr>
    </w:div>
    <w:div w:id="1667249956">
      <w:marLeft w:val="0"/>
      <w:marRight w:val="0"/>
      <w:marTop w:val="0"/>
      <w:marBottom w:val="0"/>
      <w:divBdr>
        <w:top w:val="none" w:sz="0" w:space="0" w:color="auto"/>
        <w:left w:val="none" w:sz="0" w:space="0" w:color="auto"/>
        <w:bottom w:val="none" w:sz="0" w:space="0" w:color="auto"/>
        <w:right w:val="none" w:sz="0" w:space="0" w:color="auto"/>
      </w:divBdr>
    </w:div>
    <w:div w:id="1667249957">
      <w:marLeft w:val="0"/>
      <w:marRight w:val="0"/>
      <w:marTop w:val="0"/>
      <w:marBottom w:val="0"/>
      <w:divBdr>
        <w:top w:val="none" w:sz="0" w:space="0" w:color="auto"/>
        <w:left w:val="none" w:sz="0" w:space="0" w:color="auto"/>
        <w:bottom w:val="none" w:sz="0" w:space="0" w:color="auto"/>
        <w:right w:val="none" w:sz="0" w:space="0" w:color="auto"/>
      </w:divBdr>
    </w:div>
    <w:div w:id="1667249958">
      <w:marLeft w:val="0"/>
      <w:marRight w:val="0"/>
      <w:marTop w:val="0"/>
      <w:marBottom w:val="0"/>
      <w:divBdr>
        <w:top w:val="none" w:sz="0" w:space="0" w:color="auto"/>
        <w:left w:val="none" w:sz="0" w:space="0" w:color="auto"/>
        <w:bottom w:val="none" w:sz="0" w:space="0" w:color="auto"/>
        <w:right w:val="none" w:sz="0" w:space="0" w:color="auto"/>
      </w:divBdr>
    </w:div>
    <w:div w:id="1667249959">
      <w:marLeft w:val="0"/>
      <w:marRight w:val="0"/>
      <w:marTop w:val="0"/>
      <w:marBottom w:val="0"/>
      <w:divBdr>
        <w:top w:val="none" w:sz="0" w:space="0" w:color="auto"/>
        <w:left w:val="none" w:sz="0" w:space="0" w:color="auto"/>
        <w:bottom w:val="none" w:sz="0" w:space="0" w:color="auto"/>
        <w:right w:val="none" w:sz="0" w:space="0" w:color="auto"/>
      </w:divBdr>
    </w:div>
    <w:div w:id="1667249960">
      <w:marLeft w:val="0"/>
      <w:marRight w:val="0"/>
      <w:marTop w:val="0"/>
      <w:marBottom w:val="0"/>
      <w:divBdr>
        <w:top w:val="none" w:sz="0" w:space="0" w:color="auto"/>
        <w:left w:val="none" w:sz="0" w:space="0" w:color="auto"/>
        <w:bottom w:val="none" w:sz="0" w:space="0" w:color="auto"/>
        <w:right w:val="none" w:sz="0" w:space="0" w:color="auto"/>
      </w:divBdr>
    </w:div>
    <w:div w:id="1667249961">
      <w:marLeft w:val="0"/>
      <w:marRight w:val="0"/>
      <w:marTop w:val="0"/>
      <w:marBottom w:val="0"/>
      <w:divBdr>
        <w:top w:val="none" w:sz="0" w:space="0" w:color="auto"/>
        <w:left w:val="none" w:sz="0" w:space="0" w:color="auto"/>
        <w:bottom w:val="none" w:sz="0" w:space="0" w:color="auto"/>
        <w:right w:val="none" w:sz="0" w:space="0" w:color="auto"/>
      </w:divBdr>
    </w:div>
    <w:div w:id="1667249962">
      <w:marLeft w:val="0"/>
      <w:marRight w:val="0"/>
      <w:marTop w:val="0"/>
      <w:marBottom w:val="0"/>
      <w:divBdr>
        <w:top w:val="none" w:sz="0" w:space="0" w:color="auto"/>
        <w:left w:val="none" w:sz="0" w:space="0" w:color="auto"/>
        <w:bottom w:val="none" w:sz="0" w:space="0" w:color="auto"/>
        <w:right w:val="none" w:sz="0" w:space="0" w:color="auto"/>
      </w:divBdr>
    </w:div>
    <w:div w:id="1667249963">
      <w:marLeft w:val="0"/>
      <w:marRight w:val="0"/>
      <w:marTop w:val="0"/>
      <w:marBottom w:val="0"/>
      <w:divBdr>
        <w:top w:val="none" w:sz="0" w:space="0" w:color="auto"/>
        <w:left w:val="none" w:sz="0" w:space="0" w:color="auto"/>
        <w:bottom w:val="none" w:sz="0" w:space="0" w:color="auto"/>
        <w:right w:val="none" w:sz="0" w:space="0" w:color="auto"/>
      </w:divBdr>
    </w:div>
    <w:div w:id="1667249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as@uniza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1143-40ED-4D87-9DED-000DC681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8515</Words>
  <Characters>48539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COLORECTAL CANCER POPULATION SCREENING PROGRAMS WORLDWIDE IN 2016</vt:lpstr>
    </vt:vector>
  </TitlesOfParts>
  <Company>Hewlett-Packard</Company>
  <LinksUpToDate>false</LinksUpToDate>
  <CharactersWithSpaces>56941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COLORECTAL CANCER POPULATION SCREENING PROGRAMS WORLDWIDE IN 2016</dc:title>
  <dc:creator>Mercedes</dc:creator>
  <cp:lastModifiedBy>Na Ma</cp:lastModifiedBy>
  <cp:revision>2</cp:revision>
  <dcterms:created xsi:type="dcterms:W3CDTF">2017-05-04T01:00:00Z</dcterms:created>
  <dcterms:modified xsi:type="dcterms:W3CDTF">2017-05-04T01:00:00Z</dcterms:modified>
</cp:coreProperties>
</file>