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399" w:rsidRPr="00C40A8B" w:rsidRDefault="00726399" w:rsidP="00E60C33">
      <w:pPr>
        <w:adjustRightInd w:val="0"/>
        <w:snapToGrid w:val="0"/>
        <w:spacing w:line="360" w:lineRule="auto"/>
        <w:rPr>
          <w:rFonts w:ascii="Book Antiqua" w:hAnsi="Book Antiqua" w:cs="宋体"/>
          <w:i/>
          <w:color w:val="000000"/>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bookmarkStart w:id="140" w:name="OLE_LINK1905"/>
      <w:bookmarkStart w:id="141" w:name="OLE_LINK1982"/>
      <w:bookmarkStart w:id="142" w:name="OLE_LINK1919"/>
      <w:bookmarkStart w:id="143" w:name="OLE_LINK2016"/>
      <w:bookmarkStart w:id="144" w:name="OLE_LINK2017"/>
      <w:bookmarkStart w:id="145" w:name="OLE_LINK2176"/>
      <w:bookmarkStart w:id="146" w:name="OLE_LINK2177"/>
      <w:bookmarkStart w:id="147" w:name="OLE_LINK2263"/>
      <w:bookmarkStart w:id="148" w:name="OLE_LINK2264"/>
      <w:bookmarkStart w:id="149" w:name="OLE_LINK2422"/>
      <w:bookmarkStart w:id="150" w:name="OLE_LINK2535"/>
      <w:bookmarkStart w:id="151" w:name="OLE_LINK2536"/>
      <w:bookmarkStart w:id="152" w:name="OLE_LINK2125"/>
      <w:bookmarkStart w:id="153" w:name="OLE_LINK2126"/>
      <w:bookmarkStart w:id="154" w:name="OLE_LINK2186"/>
      <w:bookmarkStart w:id="155" w:name="OLE_LINK2187"/>
      <w:bookmarkStart w:id="156" w:name="OLE_LINK2181"/>
      <w:bookmarkStart w:id="157" w:name="OLE_LINK2182"/>
      <w:bookmarkStart w:id="158" w:name="OLE_LINK2471"/>
      <w:bookmarkStart w:id="159" w:name="OLE_LINK2261"/>
      <w:r w:rsidRPr="00C40A8B">
        <w:rPr>
          <w:rFonts w:ascii="Book Antiqua" w:hAnsi="Book Antiqua" w:cs="宋体"/>
          <w:b/>
          <w:color w:val="0033CC"/>
        </w:rPr>
        <w:t>Name of journal:</w:t>
      </w:r>
      <w:r w:rsidRPr="00C40A8B">
        <w:rPr>
          <w:rFonts w:ascii="Book Antiqua" w:hAnsi="Book Antiqua" w:cs="宋体"/>
          <w:b/>
          <w:color w:val="000000"/>
        </w:rPr>
        <w:t xml:space="preserve"> </w:t>
      </w:r>
      <w:bookmarkStart w:id="160" w:name="OLE_LINK718"/>
      <w:bookmarkStart w:id="161" w:name="OLE_LINK719"/>
      <w:bookmarkEnd w:id="0"/>
      <w:r w:rsidRPr="00C40A8B">
        <w:rPr>
          <w:rFonts w:ascii="Book Antiqua" w:hAnsi="Book Antiqua" w:cs="宋体"/>
          <w:i/>
          <w:color w:val="000000"/>
        </w:rPr>
        <w:t xml:space="preserve">World Journal of </w:t>
      </w:r>
      <w:bookmarkEnd w:id="160"/>
      <w:bookmarkEnd w:id="161"/>
      <w:r w:rsidRPr="00C40A8B">
        <w:rPr>
          <w:rFonts w:ascii="Book Antiqua" w:hAnsi="Book Antiqua" w:cs="宋体"/>
          <w:i/>
          <w:color w:val="000000"/>
        </w:rPr>
        <w:t>Otorhinolaryngology</w:t>
      </w:r>
    </w:p>
    <w:p w:rsidR="00726399" w:rsidRPr="00C40A8B" w:rsidRDefault="00726399" w:rsidP="00E60C33">
      <w:pPr>
        <w:adjustRightInd w:val="0"/>
        <w:snapToGrid w:val="0"/>
        <w:spacing w:line="360" w:lineRule="auto"/>
        <w:rPr>
          <w:rFonts w:ascii="Book Antiqua" w:hAnsi="Book Antiqua" w:cs="宋体"/>
          <w:b/>
          <w:i/>
          <w:color w:val="000000"/>
        </w:rPr>
      </w:pPr>
      <w:r w:rsidRPr="00C40A8B">
        <w:rPr>
          <w:rFonts w:ascii="Book Antiqua" w:hAnsi="Book Antiqua" w:cs="Arial"/>
          <w:b/>
          <w:color w:val="0033CC"/>
        </w:rPr>
        <w:t>ESPS Manuscript NO:</w:t>
      </w:r>
      <w:r w:rsidRPr="00C40A8B">
        <w:rPr>
          <w:rFonts w:ascii="Book Antiqua" w:hAnsi="Book Antiqua" w:cs="AdvPL"/>
          <w:b/>
          <w:kern w:val="0"/>
        </w:rPr>
        <w:t xml:space="preserve"> 3304 </w:t>
      </w:r>
    </w:p>
    <w:p w:rsidR="00726399" w:rsidRPr="00C40A8B" w:rsidRDefault="00726399" w:rsidP="00E60C33">
      <w:pPr>
        <w:suppressAutoHyphens/>
        <w:autoSpaceDE w:val="0"/>
        <w:autoSpaceDN w:val="0"/>
        <w:adjustRightInd w:val="0"/>
        <w:snapToGrid w:val="0"/>
        <w:spacing w:line="360" w:lineRule="auto"/>
        <w:rPr>
          <w:rFonts w:ascii="Book Antiqua" w:hAnsi="Book Antiqua"/>
          <w:b/>
          <w:color w:val="000000"/>
          <w:kern w:val="0"/>
        </w:rPr>
      </w:pPr>
      <w:bookmarkStart w:id="162" w:name="OLE_LINK1617"/>
      <w:bookmarkStart w:id="163" w:name="OLE_LINK1618"/>
      <w:bookmarkStart w:id="164" w:name="OLE_LINK1966"/>
      <w:bookmarkStart w:id="165" w:name="OLE_LINK2328"/>
      <w:bookmarkStart w:id="166" w:name="OLE_LINK2329"/>
      <w:bookmarkStart w:id="167" w:name="OLE_LINK2330"/>
      <w:bookmarkStart w:id="168" w:name="OLE_LINK2335"/>
      <w:r w:rsidRPr="00C40A8B">
        <w:rPr>
          <w:rFonts w:ascii="Book Antiqua" w:hAnsi="Book Antiqua"/>
          <w:b/>
          <w:color w:val="0033CC"/>
          <w:kern w:val="0"/>
        </w:rPr>
        <w:t>Columns:</w:t>
      </w:r>
      <w:r w:rsidRPr="00C40A8B">
        <w:rPr>
          <w:rFonts w:ascii="Book Antiqua" w:hAnsi="Book Antiqua"/>
          <w:b/>
          <w:color w:val="000000"/>
          <w:kern w:val="0"/>
        </w:rPr>
        <w:t xml:space="preserve"> </w:t>
      </w:r>
      <w:bookmarkStart w:id="169" w:name="OLE_LINK2487"/>
      <w:bookmarkStart w:id="170" w:name="OLE_LINK2488"/>
      <w:r w:rsidRPr="00C40A8B">
        <w:rPr>
          <w:rFonts w:ascii="Book Antiqua" w:hAnsi="Book Antiqua" w:cs="AdvPL"/>
          <w:b/>
          <w:kern w:val="0"/>
        </w:rPr>
        <w:t>FRONTIER</w:t>
      </w:r>
      <w:bookmarkEnd w:id="169"/>
      <w:bookmarkEnd w:id="170"/>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2"/>
    <w:bookmarkEnd w:id="163"/>
    <w:bookmarkEnd w:id="164"/>
    <w:bookmarkEnd w:id="165"/>
    <w:bookmarkEnd w:id="166"/>
    <w:bookmarkEnd w:id="167"/>
    <w:bookmarkEnd w:id="168"/>
    <w:p w:rsidR="00726399" w:rsidRPr="00C40A8B" w:rsidRDefault="00726399" w:rsidP="00E60C33">
      <w:pPr>
        <w:autoSpaceDE w:val="0"/>
        <w:autoSpaceDN w:val="0"/>
        <w:adjustRightInd w:val="0"/>
        <w:snapToGrid w:val="0"/>
        <w:spacing w:line="360" w:lineRule="auto"/>
        <w:ind w:rightChars="201" w:right="482"/>
        <w:rPr>
          <w:rFonts w:ascii="Book Antiqua" w:hAnsi="Book Antiqua" w:cs="AdvPL"/>
          <w:b/>
          <w:kern w:val="0"/>
          <w:lang w:eastAsia="zh-CN"/>
        </w:rPr>
      </w:pPr>
    </w:p>
    <w:p w:rsidR="00726399" w:rsidRPr="00C40A8B" w:rsidRDefault="00726399" w:rsidP="00E60C33">
      <w:pPr>
        <w:autoSpaceDE w:val="0"/>
        <w:autoSpaceDN w:val="0"/>
        <w:adjustRightInd w:val="0"/>
        <w:snapToGrid w:val="0"/>
        <w:spacing w:line="360" w:lineRule="auto"/>
        <w:ind w:rightChars="201" w:right="482"/>
        <w:rPr>
          <w:rFonts w:ascii="Book Antiqua" w:hAnsi="Book Antiqua" w:cs="AdvPL"/>
          <w:b/>
          <w:kern w:val="0"/>
          <w:lang w:eastAsia="zh-CN"/>
        </w:rPr>
      </w:pPr>
      <w:r w:rsidRPr="00C40A8B">
        <w:rPr>
          <w:rFonts w:ascii="Book Antiqua" w:hAnsi="Book Antiqua" w:cs="AdvPL"/>
          <w:b/>
          <w:kern w:val="0"/>
        </w:rPr>
        <w:t>Cause of idiopathic sudden sensorineural hearing loss</w:t>
      </w:r>
      <w:r w:rsidRPr="00C40A8B">
        <w:rPr>
          <w:rFonts w:ascii="Book Antiqua" w:hAnsi="Book Antiqua" w:cs="AdvPL"/>
          <w:b/>
          <w:kern w:val="0"/>
          <w:lang w:eastAsia="zh-CN"/>
        </w:rPr>
        <w:t xml:space="preserve">: </w:t>
      </w:r>
      <w:r w:rsidRPr="00C40A8B">
        <w:rPr>
          <w:rFonts w:ascii="Book Antiqua" w:hAnsi="Book Antiqua" w:cs="AdvPL"/>
          <w:b/>
          <w:kern w:val="0"/>
        </w:rPr>
        <w:t>The stress response theory</w:t>
      </w:r>
    </w:p>
    <w:p w:rsidR="00726399" w:rsidRPr="00C40A8B" w:rsidRDefault="00726399" w:rsidP="00E60C33">
      <w:pPr>
        <w:pStyle w:val="a6"/>
        <w:spacing w:line="360" w:lineRule="auto"/>
        <w:rPr>
          <w:rFonts w:ascii="Book Antiqua" w:eastAsia="宋体" w:hAnsi="Book Antiqua" w:cs="AdvPL"/>
          <w:kern w:val="0"/>
          <w:sz w:val="24"/>
          <w:szCs w:val="24"/>
          <w:lang w:eastAsia="zh-CN"/>
        </w:rPr>
      </w:pPr>
    </w:p>
    <w:p w:rsidR="00726399" w:rsidRPr="00C40A8B" w:rsidRDefault="00726399" w:rsidP="00E60C33">
      <w:pPr>
        <w:pStyle w:val="a6"/>
        <w:spacing w:line="360" w:lineRule="auto"/>
        <w:rPr>
          <w:rFonts w:ascii="Book Antiqua" w:hAnsi="Book Antiqua" w:cs="AdvPL"/>
          <w:kern w:val="0"/>
          <w:sz w:val="24"/>
          <w:szCs w:val="24"/>
        </w:rPr>
      </w:pPr>
      <w:r w:rsidRPr="00C40A8B">
        <w:rPr>
          <w:rFonts w:ascii="Book Antiqua" w:eastAsia="宋体" w:hAnsi="Book Antiqua" w:cs="AdvPL"/>
          <w:b/>
          <w:kern w:val="0"/>
          <w:sz w:val="24"/>
          <w:szCs w:val="24"/>
          <w:lang w:eastAsia="zh-CN"/>
        </w:rPr>
        <w:t xml:space="preserve">Masuda M </w:t>
      </w:r>
      <w:r w:rsidRPr="00C40A8B">
        <w:rPr>
          <w:rFonts w:ascii="Book Antiqua" w:eastAsia="宋体" w:hAnsi="Book Antiqua" w:cs="AdvPL"/>
          <w:b/>
          <w:i/>
          <w:kern w:val="0"/>
          <w:sz w:val="24"/>
          <w:szCs w:val="24"/>
          <w:lang w:eastAsia="zh-CN"/>
        </w:rPr>
        <w:t>et al</w:t>
      </w:r>
      <w:r w:rsidRPr="00C40A8B">
        <w:rPr>
          <w:rFonts w:ascii="Book Antiqua" w:eastAsia="宋体" w:hAnsi="Book Antiqua" w:cs="AdvPL"/>
          <w:b/>
          <w:kern w:val="0"/>
          <w:sz w:val="24"/>
          <w:szCs w:val="24"/>
          <w:lang w:eastAsia="zh-CN"/>
        </w:rPr>
        <w:t>.</w:t>
      </w:r>
      <w:r w:rsidRPr="00C40A8B">
        <w:rPr>
          <w:rFonts w:ascii="Book Antiqua" w:eastAsia="宋体" w:hAnsi="Book Antiqua" w:cs="AdvPL"/>
          <w:kern w:val="0"/>
          <w:sz w:val="24"/>
          <w:szCs w:val="24"/>
          <w:lang w:eastAsia="zh-CN"/>
        </w:rPr>
        <w:t xml:space="preserve"> </w:t>
      </w:r>
      <w:r w:rsidRPr="00C40A8B">
        <w:rPr>
          <w:rFonts w:ascii="Book Antiqua" w:hAnsi="Book Antiqua" w:cs="AdvPL"/>
          <w:kern w:val="0"/>
          <w:sz w:val="24"/>
          <w:szCs w:val="24"/>
        </w:rPr>
        <w:t>Stress response theory</w:t>
      </w:r>
    </w:p>
    <w:p w:rsidR="00726399" w:rsidRPr="00C40A8B" w:rsidRDefault="00726399" w:rsidP="00E60C33">
      <w:pPr>
        <w:autoSpaceDE w:val="0"/>
        <w:autoSpaceDN w:val="0"/>
        <w:adjustRightInd w:val="0"/>
        <w:snapToGrid w:val="0"/>
        <w:spacing w:line="360" w:lineRule="auto"/>
        <w:ind w:rightChars="201" w:right="482"/>
        <w:rPr>
          <w:rFonts w:ascii="Book Antiqua" w:hAnsi="Book Antiqua" w:cs="AdvPL"/>
          <w:b/>
          <w:kern w:val="0"/>
          <w:lang w:eastAsia="zh-CN"/>
        </w:rPr>
      </w:pPr>
    </w:p>
    <w:p w:rsidR="00726399" w:rsidRPr="00C40A8B" w:rsidRDefault="00726399" w:rsidP="00E60C33">
      <w:pPr>
        <w:autoSpaceDE w:val="0"/>
        <w:autoSpaceDN w:val="0"/>
        <w:adjustRightInd w:val="0"/>
        <w:snapToGrid w:val="0"/>
        <w:spacing w:line="360" w:lineRule="auto"/>
        <w:rPr>
          <w:rFonts w:ascii="Book Antiqua" w:hAnsi="Book Antiqua" w:cs="AdvPL"/>
          <w:kern w:val="0"/>
          <w:lang w:eastAsia="zh-CN"/>
        </w:rPr>
      </w:pPr>
      <w:bookmarkStart w:id="171" w:name="OLE_LINK2372"/>
      <w:bookmarkStart w:id="172" w:name="OLE_LINK2373"/>
      <w:r w:rsidRPr="00C40A8B">
        <w:rPr>
          <w:rFonts w:ascii="Book Antiqua" w:hAnsi="Book Antiqua" w:cs="AdvPL"/>
          <w:kern w:val="0"/>
        </w:rPr>
        <w:t>Masatsugu Masuda, Jin Kanzaki</w:t>
      </w:r>
    </w:p>
    <w:bookmarkEnd w:id="171"/>
    <w:bookmarkEnd w:id="172"/>
    <w:p w:rsidR="00726399" w:rsidRPr="00C40A8B" w:rsidRDefault="00522642" w:rsidP="00E60C33">
      <w:pPr>
        <w:autoSpaceDE w:val="0"/>
        <w:autoSpaceDN w:val="0"/>
        <w:adjustRightInd w:val="0"/>
        <w:snapToGrid w:val="0"/>
        <w:spacing w:line="360" w:lineRule="auto"/>
        <w:rPr>
          <w:rFonts w:ascii="Book Antiqua" w:hAnsi="Book Antiqua" w:cs="AdvPL"/>
          <w:b/>
          <w:kern w:val="0"/>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24765</wp:posOffset>
                </wp:positionH>
                <wp:positionV relativeFrom="paragraph">
                  <wp:posOffset>41910</wp:posOffset>
                </wp:positionV>
                <wp:extent cx="5267325" cy="0"/>
                <wp:effectExtent l="24765" t="22860" r="22860" b="2476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95pt;margin-top:3.3pt;width:414.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" strokecolor="gray" strokeweight="3pt"/>
            </w:pict>
          </mc:Fallback>
        </mc:AlternateContent>
      </w:r>
    </w:p>
    <w:p w:rsidR="00726399" w:rsidRPr="00C40A8B" w:rsidRDefault="00726399" w:rsidP="00E60C33">
      <w:pPr>
        <w:autoSpaceDE w:val="0"/>
        <w:autoSpaceDN w:val="0"/>
        <w:adjustRightInd w:val="0"/>
        <w:snapToGrid w:val="0"/>
        <w:spacing w:line="360" w:lineRule="auto"/>
        <w:rPr>
          <w:rFonts w:ascii="Book Antiqua" w:hAnsi="Book Antiqua" w:cs="AdvPL"/>
          <w:kern w:val="0"/>
        </w:rPr>
      </w:pPr>
      <w:r w:rsidRPr="00C40A8B">
        <w:rPr>
          <w:rFonts w:ascii="Book Antiqua" w:hAnsi="Book Antiqua" w:cs="AdvPL"/>
          <w:b/>
          <w:kern w:val="0"/>
        </w:rPr>
        <w:t>Masatsugu Masuda</w:t>
      </w:r>
      <w:r w:rsidRPr="00C40A8B">
        <w:rPr>
          <w:rFonts w:ascii="Book Antiqua" w:hAnsi="Book Antiqua" w:cs="AdvPL"/>
          <w:kern w:val="0"/>
        </w:rPr>
        <w:t>, Department of Otolaryngology, Kyorin University School of Medicine, 6-20-2 Shinkawa, Mitaka-shi,</w:t>
      </w:r>
      <w:r w:rsidRPr="00C40A8B">
        <w:rPr>
          <w:rFonts w:ascii="Book Antiqua" w:hAnsi="Book Antiqua" w:cs="AdvPL"/>
          <w:kern w:val="0"/>
          <w:lang w:eastAsia="zh-CN"/>
        </w:rPr>
        <w:t xml:space="preserve"> </w:t>
      </w:r>
      <w:r w:rsidRPr="00C40A8B">
        <w:rPr>
          <w:rFonts w:ascii="Book Antiqua" w:hAnsi="Book Antiqua" w:cs="AdvPL"/>
          <w:kern w:val="0"/>
        </w:rPr>
        <w:t>Tokyo</w:t>
      </w:r>
      <w:r w:rsidRPr="00C40A8B">
        <w:rPr>
          <w:rFonts w:ascii="Book Antiqua" w:hAnsi="Book Antiqua" w:cs="AdvPL"/>
          <w:kern w:val="0"/>
          <w:lang w:eastAsia="zh-CN"/>
        </w:rPr>
        <w:t xml:space="preserve"> </w:t>
      </w:r>
      <w:r w:rsidRPr="00C40A8B">
        <w:rPr>
          <w:rFonts w:ascii="Book Antiqua" w:hAnsi="Book Antiqua" w:cs="AdvPL"/>
          <w:kern w:val="0"/>
        </w:rPr>
        <w:t>181-8611, Japan</w:t>
      </w:r>
    </w:p>
    <w:p w:rsidR="00726399" w:rsidRPr="00C40A8B" w:rsidRDefault="00726399" w:rsidP="00E60C33">
      <w:pPr>
        <w:autoSpaceDE w:val="0"/>
        <w:autoSpaceDN w:val="0"/>
        <w:adjustRightInd w:val="0"/>
        <w:snapToGrid w:val="0"/>
        <w:spacing w:line="360" w:lineRule="auto"/>
        <w:rPr>
          <w:rFonts w:ascii="Book Antiqua" w:hAnsi="Book Antiqua" w:cs="AdvPL"/>
          <w:kern w:val="0"/>
        </w:rPr>
      </w:pPr>
    </w:p>
    <w:p w:rsidR="00726399" w:rsidRPr="00C40A8B" w:rsidRDefault="00726399" w:rsidP="00E60C33">
      <w:pPr>
        <w:snapToGrid w:val="0"/>
        <w:spacing w:line="360" w:lineRule="auto"/>
        <w:rPr>
          <w:rFonts w:ascii="Book Antiqua" w:hAnsi="Book Antiqua"/>
          <w:lang w:eastAsia="zh-CN"/>
        </w:rPr>
      </w:pPr>
      <w:r w:rsidRPr="00C40A8B">
        <w:rPr>
          <w:rFonts w:ascii="Book Antiqua" w:hAnsi="Book Antiqua" w:cs="AdvPL"/>
          <w:b/>
          <w:kern w:val="0"/>
        </w:rPr>
        <w:t>Jin Kanzaki</w:t>
      </w:r>
      <w:r w:rsidRPr="00C40A8B">
        <w:rPr>
          <w:rFonts w:ascii="Book Antiqua" w:hAnsi="Book Antiqua" w:cs="AdvPL"/>
          <w:kern w:val="0"/>
        </w:rPr>
        <w:t xml:space="preserve">, </w:t>
      </w:r>
      <w:r w:rsidRPr="00C40A8B">
        <w:rPr>
          <w:rFonts w:ascii="Book Antiqua" w:hAnsi="Book Antiqua"/>
        </w:rPr>
        <w:t xml:space="preserve">Department of Otolaryngology, International University of Health and Welfare, 13-1 Higashikaiganncho, Atami-shi, </w:t>
      </w:r>
      <w:smartTag w:uri="urn:schemas-microsoft-com:office:smarttags" w:element="City">
        <w:r w:rsidRPr="00C40A8B">
          <w:rPr>
            <w:rFonts w:ascii="Book Antiqua" w:hAnsi="Book Antiqua"/>
          </w:rPr>
          <w:t>Shizuoka</w:t>
        </w:r>
      </w:smartTag>
      <w:r w:rsidRPr="00C40A8B">
        <w:rPr>
          <w:rFonts w:ascii="Book Antiqua" w:hAnsi="Book Antiqua"/>
          <w:lang w:eastAsia="zh-CN"/>
        </w:rPr>
        <w:t xml:space="preserve"> </w:t>
      </w:r>
      <w:r w:rsidRPr="00C40A8B">
        <w:rPr>
          <w:rFonts w:ascii="Book Antiqua" w:hAnsi="Book Antiqua"/>
        </w:rPr>
        <w:t xml:space="preserve">413-0012, </w:t>
      </w:r>
      <w:smartTag w:uri="urn:schemas-microsoft-com:office:smarttags" w:element="place">
        <w:smartTag w:uri="urn:schemas-microsoft-com:office:smarttags" w:element="country-region">
          <w:r w:rsidRPr="00C40A8B">
            <w:rPr>
              <w:rFonts w:ascii="Book Antiqua" w:hAnsi="Book Antiqua"/>
            </w:rPr>
            <w:t>Japan</w:t>
          </w:r>
        </w:smartTag>
      </w:smartTag>
    </w:p>
    <w:p w:rsidR="00726399" w:rsidRPr="00C40A8B" w:rsidRDefault="00726399" w:rsidP="00E60C33">
      <w:pPr>
        <w:autoSpaceDE w:val="0"/>
        <w:autoSpaceDN w:val="0"/>
        <w:adjustRightInd w:val="0"/>
        <w:snapToGrid w:val="0"/>
        <w:spacing w:line="360" w:lineRule="auto"/>
        <w:rPr>
          <w:rFonts w:ascii="Book Antiqua" w:hAnsi="Book Antiqua" w:cs="AdvPL"/>
          <w:b/>
          <w:kern w:val="0"/>
          <w:vertAlign w:val="superscript"/>
        </w:rPr>
      </w:pPr>
    </w:p>
    <w:p w:rsidR="00726399" w:rsidRPr="00C40A8B" w:rsidRDefault="00726399" w:rsidP="00E60C33">
      <w:pPr>
        <w:autoSpaceDE w:val="0"/>
        <w:autoSpaceDN w:val="0"/>
        <w:adjustRightInd w:val="0"/>
        <w:snapToGrid w:val="0"/>
        <w:spacing w:line="360" w:lineRule="auto"/>
        <w:rPr>
          <w:rFonts w:ascii="Book Antiqua" w:hAnsi="Book Antiqua" w:cs="AdvPL"/>
          <w:kern w:val="0"/>
        </w:rPr>
      </w:pPr>
      <w:r w:rsidRPr="00C40A8B">
        <w:rPr>
          <w:rFonts w:ascii="Book Antiqua" w:hAnsi="Book Antiqua" w:cs="AdvPL"/>
          <w:b/>
          <w:kern w:val="0"/>
        </w:rPr>
        <w:t>Author contribution</w:t>
      </w:r>
      <w:r w:rsidRPr="00C40A8B">
        <w:rPr>
          <w:rFonts w:ascii="Book Antiqua" w:hAnsi="Book Antiqua" w:cs="AdvPL"/>
          <w:b/>
          <w:kern w:val="0"/>
          <w:lang w:eastAsia="zh-CN"/>
        </w:rPr>
        <w:t>s</w:t>
      </w:r>
      <w:r w:rsidRPr="00C40A8B">
        <w:rPr>
          <w:rFonts w:ascii="Book Antiqua" w:hAnsi="Book Antiqua" w:cs="AdvPL"/>
          <w:b/>
          <w:kern w:val="0"/>
        </w:rPr>
        <w:t xml:space="preserve">: </w:t>
      </w:r>
      <w:r w:rsidRPr="00C40A8B">
        <w:rPr>
          <w:rFonts w:ascii="Book Antiqua" w:hAnsi="Book Antiqua" w:cs="AdvPL"/>
          <w:kern w:val="0"/>
        </w:rPr>
        <w:t>Masuda M designed and wrote this paper</w:t>
      </w:r>
      <w:r w:rsidRPr="00C40A8B">
        <w:rPr>
          <w:rFonts w:ascii="Book Antiqua" w:hAnsi="Book Antiqua" w:cs="AdvPL"/>
          <w:kern w:val="0"/>
          <w:lang w:eastAsia="zh-CN"/>
        </w:rPr>
        <w:t xml:space="preserve">; </w:t>
      </w:r>
      <w:r w:rsidRPr="00C40A8B">
        <w:rPr>
          <w:rFonts w:ascii="Book Antiqua" w:hAnsi="Book Antiqua" w:cs="AdvPL"/>
          <w:kern w:val="0"/>
        </w:rPr>
        <w:t>Kanzaki J gave an outline of this paper to Masuda M.</w:t>
      </w:r>
    </w:p>
    <w:p w:rsidR="00726399" w:rsidRPr="00C40A8B" w:rsidRDefault="00726399" w:rsidP="00E60C33">
      <w:pPr>
        <w:autoSpaceDE w:val="0"/>
        <w:autoSpaceDN w:val="0"/>
        <w:adjustRightInd w:val="0"/>
        <w:snapToGrid w:val="0"/>
        <w:spacing w:line="360" w:lineRule="auto"/>
        <w:rPr>
          <w:rFonts w:ascii="Book Antiqua" w:hAnsi="Book Antiqua" w:cs="AdvPL"/>
          <w:kern w:val="0"/>
        </w:rPr>
      </w:pPr>
    </w:p>
    <w:p w:rsidR="00726399" w:rsidRPr="00C40A8B" w:rsidRDefault="00726399" w:rsidP="00E60C33">
      <w:pPr>
        <w:autoSpaceDE w:val="0"/>
        <w:autoSpaceDN w:val="0"/>
        <w:adjustRightInd w:val="0"/>
        <w:snapToGrid w:val="0"/>
        <w:spacing w:line="360" w:lineRule="auto"/>
        <w:rPr>
          <w:rFonts w:ascii="Book Antiqua" w:hAnsi="Book Antiqua" w:cs="AdvPL"/>
          <w:kern w:val="0"/>
          <w:lang w:eastAsia="zh-CN"/>
        </w:rPr>
      </w:pPr>
      <w:r w:rsidRPr="00C40A8B">
        <w:rPr>
          <w:rFonts w:ascii="Book Antiqua" w:hAnsi="Book Antiqua" w:cs="AdvPL"/>
          <w:b/>
          <w:kern w:val="0"/>
        </w:rPr>
        <w:t>Supported by</w:t>
      </w:r>
      <w:r w:rsidRPr="00C40A8B">
        <w:rPr>
          <w:rFonts w:ascii="Book Antiqua" w:hAnsi="Book Antiqua" w:cs="AdvPL"/>
          <w:kern w:val="0"/>
        </w:rPr>
        <w:t xml:space="preserve"> </w:t>
      </w:r>
      <w:r w:rsidRPr="00C40A8B">
        <w:rPr>
          <w:rFonts w:ascii="Book Antiqua" w:hAnsi="Book Antiqua" w:cs="AdvPL"/>
          <w:kern w:val="0"/>
          <w:lang w:eastAsia="zh-CN"/>
        </w:rPr>
        <w:t>A</w:t>
      </w:r>
      <w:r w:rsidRPr="00C40A8B">
        <w:rPr>
          <w:rFonts w:ascii="Book Antiqua" w:hAnsi="Book Antiqua" w:cs="AdvPL"/>
          <w:kern w:val="0"/>
        </w:rPr>
        <w:t xml:space="preserve"> grant from the Ministry of Health, Labor and Welfare and a Grant-in-Aid for Young Scientists </w:t>
      </w:r>
    </w:p>
    <w:p w:rsidR="00726399" w:rsidRPr="00C40A8B" w:rsidRDefault="00726399" w:rsidP="00E60C33">
      <w:pPr>
        <w:autoSpaceDE w:val="0"/>
        <w:autoSpaceDN w:val="0"/>
        <w:adjustRightInd w:val="0"/>
        <w:snapToGrid w:val="0"/>
        <w:spacing w:line="360" w:lineRule="auto"/>
        <w:rPr>
          <w:rFonts w:ascii="Book Antiqua" w:hAnsi="Book Antiqua" w:cs="AdvPL"/>
          <w:kern w:val="0"/>
          <w:lang w:eastAsia="zh-CN"/>
        </w:rPr>
      </w:pPr>
    </w:p>
    <w:p w:rsidR="00726399" w:rsidRPr="00C40A8B" w:rsidRDefault="00726399" w:rsidP="00E60C33">
      <w:pPr>
        <w:tabs>
          <w:tab w:val="left" w:pos="3119"/>
        </w:tabs>
        <w:autoSpaceDE w:val="0"/>
        <w:autoSpaceDN w:val="0"/>
        <w:adjustRightInd w:val="0"/>
        <w:snapToGrid w:val="0"/>
        <w:spacing w:line="360" w:lineRule="auto"/>
        <w:rPr>
          <w:rFonts w:ascii="Book Antiqua" w:hAnsi="Book Antiqua" w:cs="AdvPL"/>
          <w:kern w:val="0"/>
          <w:lang w:eastAsia="zh-CN"/>
        </w:rPr>
      </w:pPr>
      <w:r w:rsidRPr="00C40A8B">
        <w:rPr>
          <w:rFonts w:ascii="Book Antiqua" w:hAnsi="Book Antiqua" w:cs="AdvPL"/>
          <w:b/>
          <w:kern w:val="0"/>
          <w:lang w:eastAsia="zh-CN"/>
        </w:rPr>
        <w:t>C</w:t>
      </w:r>
      <w:r w:rsidRPr="00C40A8B">
        <w:rPr>
          <w:rFonts w:ascii="Book Antiqua" w:hAnsi="Book Antiqua" w:cs="AdvPL"/>
          <w:b/>
          <w:kern w:val="0"/>
        </w:rPr>
        <w:t>orrespondence</w:t>
      </w:r>
      <w:r w:rsidRPr="00C40A8B">
        <w:rPr>
          <w:rFonts w:ascii="Book Antiqua" w:hAnsi="Book Antiqua" w:cs="AdvPL"/>
          <w:b/>
          <w:kern w:val="0"/>
          <w:lang w:eastAsia="zh-CN"/>
        </w:rPr>
        <w:t xml:space="preserve"> to</w:t>
      </w:r>
      <w:r w:rsidRPr="00C40A8B">
        <w:rPr>
          <w:rFonts w:ascii="Book Antiqua" w:hAnsi="Book Antiqua" w:cs="AdvPL"/>
          <w:b/>
          <w:kern w:val="0"/>
        </w:rPr>
        <w:t>: Masatsugu Masuda, MD, PhD</w:t>
      </w:r>
      <w:r w:rsidRPr="00C40A8B">
        <w:rPr>
          <w:rFonts w:ascii="Book Antiqua" w:hAnsi="Book Antiqua" w:cs="AdvPL"/>
          <w:b/>
          <w:kern w:val="0"/>
          <w:lang w:eastAsia="zh-CN"/>
        </w:rPr>
        <w:t xml:space="preserve">, </w:t>
      </w:r>
      <w:r w:rsidRPr="00C40A8B">
        <w:rPr>
          <w:rFonts w:ascii="Book Antiqua" w:hAnsi="Book Antiqua" w:cs="AdvPL"/>
          <w:kern w:val="0"/>
        </w:rPr>
        <w:t>Department of Otolaryngology, Kyorin University School of Medicine,</w:t>
      </w:r>
      <w:r w:rsidRPr="00C40A8B">
        <w:rPr>
          <w:rFonts w:ascii="Book Antiqua" w:hAnsi="Book Antiqua" w:cs="AdvPL"/>
          <w:kern w:val="0"/>
          <w:lang w:eastAsia="zh-CN"/>
        </w:rPr>
        <w:t xml:space="preserve"> </w:t>
      </w:r>
      <w:smartTag w:uri="urn:schemas-microsoft-com:office:smarttags" w:element="chsdate">
        <w:smartTagPr>
          <w:attr w:name="Year" w:val="2002"/>
          <w:attr w:name="Month" w:val="6"/>
          <w:attr w:name="Day" w:val="20"/>
          <w:attr w:name="IsLunarDate" w:val="False"/>
          <w:attr w:name="IsROCDate" w:val="False"/>
        </w:smartTagPr>
        <w:r w:rsidRPr="00C40A8B">
          <w:rPr>
            <w:rFonts w:ascii="Book Antiqua" w:hAnsi="Book Antiqua" w:cs="AdvPL"/>
            <w:kern w:val="0"/>
          </w:rPr>
          <w:t>6-20-2</w:t>
        </w:r>
      </w:smartTag>
      <w:r w:rsidRPr="00C40A8B">
        <w:rPr>
          <w:rFonts w:ascii="Book Antiqua" w:hAnsi="Book Antiqua" w:cs="AdvPL"/>
          <w:kern w:val="0"/>
        </w:rPr>
        <w:t xml:space="preserve"> Shinkawa, Mitaka-shi, </w:t>
      </w:r>
      <w:smartTag w:uri="urn:schemas-microsoft-com:office:smarttags" w:element="City">
        <w:r w:rsidRPr="00C40A8B">
          <w:rPr>
            <w:rFonts w:ascii="Book Antiqua" w:hAnsi="Book Antiqua" w:cs="AdvPL"/>
            <w:kern w:val="0"/>
          </w:rPr>
          <w:t>Tokyo</w:t>
        </w:r>
      </w:smartTag>
      <w:r w:rsidRPr="00C40A8B">
        <w:rPr>
          <w:rFonts w:ascii="Book Antiqua" w:hAnsi="Book Antiqua" w:cs="AdvPL"/>
          <w:kern w:val="0"/>
        </w:rPr>
        <w:t xml:space="preserve"> 181-8611, </w:t>
      </w:r>
      <w:smartTag w:uri="urn:schemas-microsoft-com:office:smarttags" w:element="place">
        <w:smartTag w:uri="urn:schemas-microsoft-com:office:smarttags" w:element="country-region">
          <w:r w:rsidRPr="00C40A8B">
            <w:rPr>
              <w:rFonts w:ascii="Book Antiqua" w:hAnsi="Book Antiqua" w:cs="AdvPL"/>
              <w:kern w:val="0"/>
            </w:rPr>
            <w:t>Japan</w:t>
          </w:r>
        </w:smartTag>
      </w:smartTag>
      <w:r w:rsidRPr="00C40A8B">
        <w:rPr>
          <w:rFonts w:ascii="Book Antiqua" w:hAnsi="Book Antiqua" w:cs="AdvPL"/>
          <w:kern w:val="0"/>
          <w:lang w:eastAsia="zh-CN"/>
        </w:rPr>
        <w:t>.</w:t>
      </w:r>
      <w:r w:rsidRPr="00C40A8B">
        <w:rPr>
          <w:rFonts w:ascii="Book Antiqua" w:hAnsi="Book Antiqua"/>
        </w:rPr>
        <w:t xml:space="preserve"> masoeur13@mac.com</w:t>
      </w:r>
    </w:p>
    <w:p w:rsidR="00726399" w:rsidRPr="00C40A8B" w:rsidRDefault="00726399" w:rsidP="00E60C33">
      <w:pPr>
        <w:tabs>
          <w:tab w:val="left" w:pos="3119"/>
        </w:tabs>
        <w:autoSpaceDE w:val="0"/>
        <w:autoSpaceDN w:val="0"/>
        <w:adjustRightInd w:val="0"/>
        <w:snapToGrid w:val="0"/>
        <w:spacing w:line="360" w:lineRule="auto"/>
        <w:rPr>
          <w:rFonts w:ascii="Book Antiqua" w:hAnsi="Book Antiqua" w:cs="AdvPL"/>
          <w:kern w:val="0"/>
          <w:lang w:eastAsia="zh-CN"/>
        </w:rPr>
      </w:pPr>
    </w:p>
    <w:p w:rsidR="00726399" w:rsidRPr="00C40A8B" w:rsidRDefault="00726399" w:rsidP="00E60C33">
      <w:pPr>
        <w:autoSpaceDE w:val="0"/>
        <w:autoSpaceDN w:val="0"/>
        <w:adjustRightInd w:val="0"/>
        <w:snapToGrid w:val="0"/>
        <w:spacing w:line="360" w:lineRule="auto"/>
        <w:rPr>
          <w:rFonts w:ascii="Book Antiqua" w:hAnsi="Book Antiqua"/>
          <w:color w:val="000000"/>
          <w:kern w:val="0"/>
        </w:rPr>
      </w:pPr>
      <w:bookmarkStart w:id="173" w:name="OLE_LINK65"/>
      <w:bookmarkStart w:id="174" w:name="OLE_LINK106"/>
      <w:bookmarkStart w:id="175" w:name="OLE_LINK331"/>
      <w:bookmarkStart w:id="176" w:name="OLE_LINK2444"/>
      <w:bookmarkStart w:id="177" w:name="OLE_LINK207"/>
      <w:bookmarkStart w:id="178" w:name="OLE_LINK208"/>
      <w:bookmarkStart w:id="179" w:name="OLE_LINK143"/>
      <w:bookmarkStart w:id="180" w:name="OLE_LINK429"/>
      <w:bookmarkStart w:id="181" w:name="OLE_LINK724"/>
      <w:bookmarkStart w:id="182" w:name="OLE_LINK601"/>
      <w:bookmarkStart w:id="183" w:name="OLE_LINK570"/>
      <w:bookmarkStart w:id="184" w:name="OLE_LINK788"/>
      <w:bookmarkStart w:id="185" w:name="OLE_LINK978"/>
      <w:bookmarkStart w:id="186" w:name="OLE_LINK503"/>
      <w:bookmarkStart w:id="187" w:name="OLE_LINK542"/>
      <w:bookmarkStart w:id="188" w:name="OLE_LINK636"/>
      <w:bookmarkStart w:id="189" w:name="OLE_LINK659"/>
      <w:bookmarkStart w:id="190" w:name="OLE_LINK567"/>
      <w:bookmarkStart w:id="191" w:name="OLE_LINK737"/>
      <w:bookmarkStart w:id="192" w:name="OLE_LINK786"/>
      <w:bookmarkStart w:id="193" w:name="OLE_LINK842"/>
      <w:bookmarkStart w:id="194" w:name="OLE_LINK858"/>
      <w:bookmarkStart w:id="195" w:name="OLE_LINK873"/>
      <w:bookmarkStart w:id="196" w:name="OLE_LINK924"/>
      <w:bookmarkStart w:id="197" w:name="OLE_LINK761"/>
      <w:bookmarkStart w:id="198" w:name="OLE_LINK848"/>
      <w:bookmarkStart w:id="199" w:name="OLE_LINK1020"/>
      <w:bookmarkStart w:id="200" w:name="OLE_LINK1066"/>
      <w:bookmarkStart w:id="201" w:name="OLE_LINK1085"/>
      <w:bookmarkStart w:id="202" w:name="OLE_LINK1115"/>
      <w:bookmarkStart w:id="203" w:name="OLE_LINK1162"/>
      <w:bookmarkStart w:id="204" w:name="OLE_LINK1243"/>
      <w:bookmarkStart w:id="205" w:name="OLE_LINK1264"/>
      <w:bookmarkStart w:id="206" w:name="OLE_LINK1283"/>
      <w:bookmarkStart w:id="207" w:name="OLE_LINK1311"/>
      <w:bookmarkStart w:id="208" w:name="OLE_LINK1360"/>
      <w:bookmarkStart w:id="209" w:name="OLE_LINK1383"/>
      <w:bookmarkStart w:id="210" w:name="OLE_LINK1430"/>
      <w:bookmarkStart w:id="211" w:name="OLE_LINK1453"/>
      <w:bookmarkStart w:id="212" w:name="OLE_LINK913"/>
      <w:bookmarkStart w:id="213" w:name="OLE_LINK1228"/>
      <w:bookmarkStart w:id="214" w:name="OLE_LINK1356"/>
      <w:bookmarkStart w:id="215" w:name="OLE_LINK1359"/>
      <w:bookmarkStart w:id="216" w:name="OLE_LINK1629"/>
      <w:bookmarkStart w:id="217" w:name="OLE_LINK1630"/>
      <w:bookmarkStart w:id="218" w:name="OLE_LINK1631"/>
      <w:bookmarkStart w:id="219" w:name="OLE_LINK1632"/>
      <w:bookmarkStart w:id="220" w:name="OLE_LINK1837"/>
      <w:bookmarkStart w:id="221" w:name="OLE_LINK1532"/>
      <w:bookmarkStart w:id="222" w:name="OLE_LINK1533"/>
      <w:bookmarkStart w:id="223" w:name="OLE_LINK1534"/>
      <w:bookmarkStart w:id="224" w:name="OLE_LINK1535"/>
      <w:bookmarkStart w:id="225" w:name="OLE_LINK1525"/>
      <w:bookmarkStart w:id="226" w:name="OLE_LINK1567"/>
      <w:bookmarkStart w:id="227" w:name="OLE_LINK1728"/>
      <w:bookmarkStart w:id="228" w:name="OLE_LINK1768"/>
      <w:bookmarkStart w:id="229" w:name="OLE_LINK1857"/>
      <w:bookmarkStart w:id="230" w:name="OLE_LINK1968"/>
      <w:bookmarkStart w:id="231" w:name="OLE_LINK1969"/>
      <w:bookmarkStart w:id="232" w:name="OLE_LINK1970"/>
      <w:bookmarkStart w:id="233" w:name="OLE_LINK1971"/>
      <w:bookmarkStart w:id="234" w:name="OLE_LINK1904"/>
      <w:bookmarkStart w:id="235" w:name="OLE_LINK1940"/>
      <w:bookmarkStart w:id="236" w:name="OLE_LINK1933"/>
      <w:bookmarkStart w:id="237" w:name="OLE_LINK1991"/>
      <w:bookmarkStart w:id="238" w:name="OLE_LINK2074"/>
      <w:bookmarkStart w:id="239" w:name="OLE_LINK1916"/>
      <w:bookmarkStart w:id="240" w:name="OLE_LINK1961"/>
      <w:bookmarkStart w:id="241" w:name="OLE_LINK2003"/>
      <w:bookmarkStart w:id="242" w:name="OLE_LINK2404"/>
      <w:bookmarkStart w:id="243" w:name="OLE_LINK2185"/>
      <w:r w:rsidRPr="00C40A8B">
        <w:rPr>
          <w:rFonts w:ascii="Book Antiqua" w:hAnsi="Book Antiqua"/>
          <w:b/>
          <w:bCs/>
          <w:color w:val="000000"/>
          <w:kern w:val="0"/>
        </w:rPr>
        <w:t xml:space="preserve">Telephone: </w:t>
      </w:r>
      <w:bookmarkStart w:id="244" w:name="OLE_LINK1415"/>
      <w:bookmarkStart w:id="245" w:name="OLE_LINK1416"/>
      <w:bookmarkStart w:id="246" w:name="OLE_LINK1417"/>
      <w:r w:rsidRPr="00C40A8B">
        <w:rPr>
          <w:rFonts w:ascii="Book Antiqua" w:hAnsi="Book Antiqua"/>
          <w:color w:val="000000"/>
          <w:kern w:val="0"/>
        </w:rPr>
        <w:t>+</w:t>
      </w:r>
      <w:bookmarkEnd w:id="244"/>
      <w:bookmarkEnd w:id="245"/>
      <w:bookmarkEnd w:id="246"/>
      <w:r w:rsidRPr="00C40A8B">
        <w:rPr>
          <w:rFonts w:ascii="Book Antiqua" w:hAnsi="Book Antiqua" w:cs="AdvPL"/>
          <w:kern w:val="0"/>
        </w:rPr>
        <w:t>81-422-425968</w:t>
      </w:r>
      <w:r w:rsidRPr="00C40A8B">
        <w:rPr>
          <w:rFonts w:ascii="Book Antiqua" w:hAnsi="Book Antiqua"/>
          <w:color w:val="000000"/>
          <w:kern w:val="0"/>
        </w:rPr>
        <w:t xml:space="preserve">   </w:t>
      </w:r>
      <w:bookmarkStart w:id="247" w:name="OLE_LINK42"/>
      <w:bookmarkStart w:id="248" w:name="OLE_LINK128"/>
      <w:bookmarkStart w:id="249" w:name="OLE_LINK440"/>
      <w:bookmarkStart w:id="250" w:name="OLE_LINK951"/>
      <w:bookmarkStart w:id="251" w:name="OLE_LINK955"/>
      <w:r w:rsidRPr="00C40A8B">
        <w:rPr>
          <w:rFonts w:ascii="Book Antiqua" w:hAnsi="Book Antiqua"/>
          <w:color w:val="000000"/>
          <w:kern w:val="0"/>
          <w:lang w:eastAsia="zh-CN"/>
        </w:rPr>
        <w:t xml:space="preserve">    </w:t>
      </w:r>
      <w:r w:rsidRPr="00C40A8B">
        <w:rPr>
          <w:rFonts w:ascii="Book Antiqua" w:hAnsi="Book Antiqua"/>
          <w:b/>
          <w:bCs/>
          <w:color w:val="000000"/>
          <w:kern w:val="0"/>
        </w:rPr>
        <w:t>Fax:</w:t>
      </w:r>
      <w:r w:rsidRPr="00C40A8B">
        <w:rPr>
          <w:rFonts w:ascii="Book Antiqua" w:hAnsi="Book Antiqua"/>
          <w:color w:val="000000"/>
          <w:kern w:val="0"/>
        </w:rPr>
        <w:t xml:space="preserve"> +</w:t>
      </w:r>
      <w:bookmarkEnd w:id="173"/>
      <w:bookmarkEnd w:id="174"/>
      <w:bookmarkEnd w:id="247"/>
      <w:bookmarkEnd w:id="248"/>
      <w:bookmarkEnd w:id="249"/>
      <w:r w:rsidRPr="00C40A8B">
        <w:rPr>
          <w:rFonts w:ascii="Book Antiqua" w:hAnsi="Book Antiqua" w:cs="AdvPL"/>
          <w:kern w:val="0"/>
        </w:rPr>
        <w:t>81-422-425968</w:t>
      </w:r>
    </w:p>
    <w:p w:rsidR="00726399" w:rsidRPr="00C40A8B" w:rsidRDefault="00726399" w:rsidP="00E60C33">
      <w:pPr>
        <w:adjustRightInd w:val="0"/>
        <w:snapToGrid w:val="0"/>
        <w:spacing w:line="360" w:lineRule="auto"/>
        <w:rPr>
          <w:rFonts w:ascii="Book Antiqua" w:hAnsi="Book Antiqua"/>
          <w:b/>
        </w:rPr>
      </w:pPr>
      <w:bookmarkStart w:id="252" w:name="OLE_LINK25"/>
      <w:bookmarkStart w:id="253" w:name="OLE_LINK26"/>
      <w:bookmarkStart w:id="254" w:name="OLE_LINK145"/>
      <w:bookmarkStart w:id="255" w:name="OLE_LINK215"/>
      <w:bookmarkStart w:id="256" w:name="OLE_LINK352"/>
      <w:bookmarkStart w:id="257" w:name="OLE_LINK364"/>
      <w:bookmarkStart w:id="258" w:name="OLE_LINK383"/>
      <w:bookmarkStart w:id="259" w:name="OLE_LINK361"/>
      <w:bookmarkStart w:id="260" w:name="OLE_LINK444"/>
      <w:bookmarkStart w:id="261" w:name="OLE_LINK501"/>
      <w:bookmarkStart w:id="262" w:name="OLE_LINK572"/>
      <w:bookmarkStart w:id="263" w:name="OLE_LINK573"/>
      <w:bookmarkStart w:id="264" w:name="OLE_LINK756"/>
      <w:bookmarkStart w:id="265" w:name="OLE_LINK757"/>
      <w:bookmarkStart w:id="266" w:name="OLE_LINK805"/>
      <w:bookmarkStart w:id="267" w:name="OLE_LINK806"/>
      <w:bookmarkStart w:id="268" w:name="OLE_LINK958"/>
      <w:bookmarkStart w:id="269" w:name="OLE_LINK1018"/>
      <w:bookmarkStart w:id="270" w:name="OLE_LINK1059"/>
      <w:bookmarkStart w:id="271" w:name="OLE_LINK1122"/>
      <w:bookmarkStart w:id="272" w:name="OLE_LINK1123"/>
      <w:bookmarkStart w:id="273" w:name="OLE_LINK1402"/>
      <w:bookmarkStart w:id="274" w:name="OLE_LINK1750"/>
      <w:bookmarkStart w:id="275" w:name="OLE_LINK1751"/>
      <w:bookmarkStart w:id="276" w:name="OLE_LINK1832"/>
      <w:bookmarkStart w:id="277" w:name="OLE_LINK1878"/>
      <w:bookmarkStart w:id="278" w:name="OLE_LINK1917"/>
      <w:bookmarkStart w:id="279" w:name="OLE_LINK1918"/>
      <w:bookmarkStart w:id="280" w:name="OLE_LINK1985"/>
      <w:bookmarkStart w:id="281" w:name="OLE_LINK1986"/>
      <w:bookmarkStart w:id="282" w:name="OLE_LINK1927"/>
      <w:bookmarkStart w:id="283" w:name="OLE_LINK1928"/>
      <w:bookmarkStart w:id="284" w:name="OLE_LINK2044"/>
      <w:bookmarkStart w:id="285" w:name="OLE_LINK2352"/>
      <w:bookmarkStart w:id="286" w:name="OLE_LINK2220"/>
      <w:bookmarkEnd w:id="175"/>
      <w:bookmarkEnd w:id="176"/>
      <w:r w:rsidRPr="00C40A8B">
        <w:rPr>
          <w:rFonts w:ascii="Book Antiqua" w:hAnsi="Book Antiqua"/>
          <w:b/>
        </w:rPr>
        <w:t>Received:</w:t>
      </w:r>
      <w:r w:rsidRPr="00C40A8B">
        <w:rPr>
          <w:rFonts w:ascii="Book Antiqua" w:hAnsi="Book Antiqua"/>
          <w:b/>
          <w:lang w:eastAsia="zh-CN"/>
        </w:rPr>
        <w:t xml:space="preserve"> </w:t>
      </w:r>
      <w:r w:rsidRPr="00C40A8B">
        <w:rPr>
          <w:rFonts w:ascii="Book Antiqua" w:hAnsi="Book Antiqua"/>
          <w:lang w:eastAsia="zh-CN"/>
        </w:rPr>
        <w:t xml:space="preserve">April 20, 2013  </w:t>
      </w:r>
      <w:r w:rsidRPr="00C40A8B">
        <w:rPr>
          <w:rFonts w:ascii="Book Antiqua" w:hAnsi="Book Antiqua"/>
        </w:rPr>
        <w:t xml:space="preserve"> </w:t>
      </w:r>
      <w:r w:rsidRPr="00C40A8B">
        <w:rPr>
          <w:rFonts w:ascii="Book Antiqua" w:hAnsi="Book Antiqua"/>
          <w:lang w:eastAsia="zh-CN"/>
        </w:rPr>
        <w:t xml:space="preserve">  </w:t>
      </w:r>
      <w:r w:rsidRPr="00C40A8B">
        <w:rPr>
          <w:rFonts w:ascii="Book Antiqua" w:hAnsi="Book Antiqua"/>
          <w:b/>
        </w:rPr>
        <w:t xml:space="preserve"> Revised:</w:t>
      </w:r>
      <w:bookmarkEnd w:id="252"/>
      <w:bookmarkEnd w:id="253"/>
      <w:r w:rsidRPr="00C40A8B">
        <w:rPr>
          <w:rFonts w:ascii="Book Antiqua" w:hAnsi="Book Antiqua"/>
          <w:b/>
          <w:lang w:eastAsia="zh-CN"/>
        </w:rPr>
        <w:t xml:space="preserve"> </w:t>
      </w:r>
      <w:bookmarkStart w:id="287" w:name="OLE_LINK2489"/>
      <w:bookmarkStart w:id="288" w:name="OLE_LINK2490"/>
      <w:bookmarkStart w:id="289" w:name="OLE_LINK2491"/>
      <w:r w:rsidRPr="00C40A8B">
        <w:rPr>
          <w:rFonts w:ascii="Book Antiqua" w:hAnsi="Book Antiqua"/>
          <w:lang w:eastAsia="zh-CN"/>
        </w:rPr>
        <w:t>June 14, 2013</w:t>
      </w:r>
      <w:r w:rsidRPr="00C40A8B">
        <w:rPr>
          <w:rFonts w:ascii="Book Antiqua" w:hAnsi="Book Antiqua"/>
        </w:rPr>
        <w:t xml:space="preserve"> </w:t>
      </w:r>
      <w:bookmarkStart w:id="290" w:name="OLE_LINK69"/>
      <w:bookmarkStart w:id="291" w:name="OLE_LINK70"/>
      <w:bookmarkStart w:id="292" w:name="OLE_LINK103"/>
      <w:bookmarkStart w:id="293" w:name="OLE_LINK104"/>
      <w:bookmarkEnd w:id="287"/>
      <w:bookmarkEnd w:id="288"/>
      <w:bookmarkEnd w:id="289"/>
    </w:p>
    <w:p w:rsidR="00214AA8" w:rsidRPr="009D731B" w:rsidRDefault="00726399" w:rsidP="00214AA8">
      <w:pPr>
        <w:rPr>
          <w:rFonts w:ascii="Book Antiqua" w:hAnsi="Book Antiqua"/>
        </w:rPr>
      </w:pPr>
      <w:bookmarkStart w:id="294" w:name="OLE_LINK303"/>
      <w:bookmarkStart w:id="295" w:name="OLE_LINK304"/>
      <w:bookmarkStart w:id="296" w:name="OLE_LINK1382"/>
      <w:bookmarkStart w:id="297" w:name="OLE_LINK2188"/>
      <w:bookmarkStart w:id="298" w:name="OLE_LINK2189"/>
      <w:r w:rsidRPr="00C40A8B">
        <w:rPr>
          <w:rFonts w:ascii="Book Antiqua" w:hAnsi="Book Antiqua"/>
          <w:b/>
        </w:rPr>
        <w:lastRenderedPageBreak/>
        <w:t xml:space="preserve">Accepted: </w:t>
      </w:r>
      <w:bookmarkStart w:id="299" w:name="OLE_LINK1"/>
      <w:bookmarkStart w:id="300" w:name="OLE_LINK2"/>
      <w:r w:rsidR="00214AA8" w:rsidRPr="009D731B">
        <w:rPr>
          <w:rFonts w:ascii="Book Antiqua" w:hAnsi="Book Antiqua"/>
        </w:rPr>
        <w:t>July 23, 2013</w:t>
      </w:r>
      <w:bookmarkEnd w:id="299"/>
      <w:bookmarkEnd w:id="300"/>
    </w:p>
    <w:p w:rsidR="00726399" w:rsidRPr="00C40A8B" w:rsidRDefault="00726399" w:rsidP="00E60C33">
      <w:pPr>
        <w:adjustRightInd w:val="0"/>
        <w:snapToGrid w:val="0"/>
        <w:spacing w:line="360" w:lineRule="auto"/>
        <w:rPr>
          <w:rFonts w:ascii="Book Antiqua" w:hAnsi="Book Antiqua"/>
          <w:b/>
          <w:lang w:eastAsia="zh-CN"/>
        </w:rPr>
      </w:pPr>
      <w:bookmarkStart w:id="301" w:name="_GoBack"/>
      <w:bookmarkEnd w:id="301"/>
      <w:r>
        <w:rPr>
          <w:rFonts w:ascii="Book Antiqua" w:hAnsi="Book Antiqua"/>
          <w:b/>
          <w:lang w:eastAsia="zh-CN"/>
        </w:rPr>
        <w:t xml:space="preserve">                 </w:t>
      </w:r>
      <w:r w:rsidRPr="00C40A8B">
        <w:rPr>
          <w:rFonts w:ascii="Book Antiqua" w:hAnsi="Book Antiqua"/>
          <w:b/>
        </w:rPr>
        <w:t xml:space="preserve">Published online: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50"/>
      <w:bookmarkEnd w:id="251"/>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90"/>
      <w:bookmarkEnd w:id="291"/>
      <w:bookmarkEnd w:id="292"/>
      <w:bookmarkEnd w:id="293"/>
      <w:bookmarkEnd w:id="294"/>
      <w:bookmarkEnd w:id="295"/>
      <w:bookmarkEnd w:id="296"/>
      <w:bookmarkEnd w:id="297"/>
      <w:bookmarkEnd w:id="298"/>
    </w:p>
    <w:p w:rsidR="00726399" w:rsidRPr="00C40A8B" w:rsidRDefault="00726399" w:rsidP="00E60C33">
      <w:pPr>
        <w:adjustRightInd w:val="0"/>
        <w:snapToGrid w:val="0"/>
        <w:spacing w:line="360" w:lineRule="auto"/>
        <w:rPr>
          <w:rFonts w:ascii="Book Antiqua" w:hAnsi="Book Antiqua"/>
          <w:b/>
        </w:rPr>
      </w:pPr>
      <w:r w:rsidRPr="00C40A8B">
        <w:rPr>
          <w:rFonts w:ascii="Book Antiqua" w:hAnsi="Book Antiqua"/>
          <w:b/>
        </w:rPr>
        <w:t>Abstract</w:t>
      </w:r>
    </w:p>
    <w:p w:rsidR="00726399" w:rsidRPr="00C40A8B" w:rsidRDefault="00726399" w:rsidP="00E60C33">
      <w:pPr>
        <w:snapToGrid w:val="0"/>
        <w:spacing w:line="360" w:lineRule="auto"/>
        <w:rPr>
          <w:rFonts w:ascii="Book Antiqua" w:hAnsi="Book Antiqua"/>
          <w:color w:val="000000"/>
          <w:lang w:eastAsia="zh-CN"/>
        </w:rPr>
      </w:pPr>
      <w:r w:rsidRPr="00C40A8B">
        <w:rPr>
          <w:rFonts w:ascii="Book Antiqua" w:hAnsi="Book Antiqua"/>
          <w:color w:val="000000"/>
        </w:rPr>
        <w:t xml:space="preserve">The stress response theory is a relatively new concept about the cause of </w:t>
      </w:r>
      <w:bookmarkStart w:id="302" w:name="OLE_LINK2415"/>
      <w:bookmarkStart w:id="303" w:name="OLE_LINK2416"/>
      <w:r w:rsidRPr="00C40A8B">
        <w:rPr>
          <w:rFonts w:ascii="Book Antiqua" w:hAnsi="Book Antiqua"/>
          <w:color w:val="000000"/>
        </w:rPr>
        <w:t>idiopathic sudden sensorineural hearing loss (ISHL)</w:t>
      </w:r>
      <w:bookmarkEnd w:id="302"/>
      <w:bookmarkEnd w:id="303"/>
      <w:r w:rsidRPr="00C40A8B">
        <w:rPr>
          <w:rFonts w:ascii="Book Antiqua" w:hAnsi="Book Antiqua"/>
          <w:color w:val="000000"/>
        </w:rPr>
        <w:t xml:space="preserve">. A number of possible etiologies have been proposed in the literature, as discussed in this paper, but each proposed etiology has been both supported and refuted in the literature. However, the stress response theory can integrate hypotheses that have been advocated so far. The word ‘stress’ refers to a constellation of physical and psychological stimuli including systemic viral and bacterial illness, systemic inflammatory disorders, and physical, mental or metabolic stress. Numerous studies have demonstrated adverse effects of systemic stress on health. Stress causes changes in the immune system and cytokine network through activation of the hypothalamus-pituitary-adrenal axis and the sympathetic nervous system. Several types of catecholamine and cytokine receptors are in the cochlea cells other than capillary cells, and then they can respond to systemic stressors. However, there are few studies examining how systemic stress is associated with cochlear dysfunction. The stress response theory addresses this question. In the theory, a variety of stressors and risk factors contribute to the onset of ISHL in varying degrees. The lateral wall of the cochlea has very unique responses to systemic stressors. It plays a critical role in causing ISHL. Systemic stressors converge at the lateral wall and trigger pathological activation of </w:t>
      </w:r>
      <w:r w:rsidRPr="00C40A8B">
        <w:rPr>
          <w:rFonts w:ascii="Book Antiqua" w:hAnsi="Book Antiqua"/>
          <w:lang w:eastAsia="zh-CN"/>
        </w:rPr>
        <w:t>n</w:t>
      </w:r>
      <w:r w:rsidRPr="00C40A8B">
        <w:rPr>
          <w:rFonts w:ascii="Book Antiqua" w:hAnsi="Book Antiqua"/>
        </w:rPr>
        <w:t>uclear factor kappa-light-chain-enhancer of activated B cells</w:t>
      </w:r>
      <w:r w:rsidRPr="00C40A8B">
        <w:rPr>
          <w:rFonts w:ascii="Book Antiqua" w:hAnsi="Book Antiqua"/>
          <w:color w:val="000000"/>
        </w:rPr>
        <w:t xml:space="preserve">, a transcriptional factor known as a stress sensor. This activation enhances local expression of genes associated with immune and inflammatory system, resulting in cochlear dysfunction. We review the original stress response theory advocated by Adams </w:t>
      </w:r>
      <w:r w:rsidRPr="00C40A8B">
        <w:rPr>
          <w:rFonts w:ascii="Book Antiqua" w:hAnsi="Book Antiqua"/>
          <w:i/>
          <w:color w:val="000000"/>
        </w:rPr>
        <w:t>et al</w:t>
      </w:r>
      <w:r w:rsidRPr="00C40A8B">
        <w:rPr>
          <w:rFonts w:ascii="Book Antiqua" w:hAnsi="Book Antiqua"/>
          <w:color w:val="000000"/>
        </w:rPr>
        <w:t xml:space="preserve"> and the integrative stress response theory that integrates our knowledge about the etiologies of ISHL so far.</w:t>
      </w:r>
    </w:p>
    <w:p w:rsidR="00726399" w:rsidRPr="00C40A8B" w:rsidRDefault="00726399" w:rsidP="00E60C33">
      <w:pPr>
        <w:snapToGrid w:val="0"/>
        <w:spacing w:line="360" w:lineRule="auto"/>
        <w:rPr>
          <w:rFonts w:ascii="Book Antiqua" w:hAnsi="Book Antiqua"/>
          <w:color w:val="000000"/>
          <w:lang w:eastAsia="zh-CN"/>
        </w:rPr>
      </w:pPr>
    </w:p>
    <w:p w:rsidR="00726399" w:rsidRPr="00C40A8B" w:rsidRDefault="00726399" w:rsidP="00E60C33">
      <w:pPr>
        <w:adjustRightInd w:val="0"/>
        <w:snapToGrid w:val="0"/>
        <w:spacing w:line="360" w:lineRule="auto"/>
        <w:rPr>
          <w:rFonts w:ascii="Book Antiqua" w:hAnsi="Book Antiqua"/>
        </w:rPr>
      </w:pPr>
      <w:bookmarkStart w:id="304" w:name="OLE_LINK98"/>
      <w:bookmarkStart w:id="305" w:name="OLE_LINK156"/>
      <w:bookmarkStart w:id="306" w:name="OLE_LINK196"/>
      <w:bookmarkStart w:id="307" w:name="OLE_LINK217"/>
      <w:bookmarkStart w:id="308" w:name="OLE_LINK242"/>
      <w:bookmarkStart w:id="309" w:name="OLE_LINK247"/>
      <w:bookmarkStart w:id="310" w:name="OLE_LINK311"/>
      <w:bookmarkStart w:id="311" w:name="OLE_LINK312"/>
      <w:bookmarkStart w:id="312" w:name="OLE_LINK325"/>
      <w:bookmarkStart w:id="313" w:name="OLE_LINK330"/>
      <w:bookmarkStart w:id="314" w:name="OLE_LINK513"/>
      <w:bookmarkStart w:id="315" w:name="OLE_LINK514"/>
      <w:bookmarkStart w:id="316" w:name="OLE_LINK464"/>
      <w:bookmarkStart w:id="317" w:name="OLE_LINK465"/>
      <w:bookmarkStart w:id="318" w:name="OLE_LINK466"/>
      <w:bookmarkStart w:id="319" w:name="OLE_LINK470"/>
      <w:bookmarkStart w:id="320" w:name="OLE_LINK471"/>
      <w:bookmarkStart w:id="321" w:name="OLE_LINK472"/>
      <w:bookmarkStart w:id="322" w:name="OLE_LINK474"/>
      <w:bookmarkStart w:id="323" w:name="OLE_LINK512"/>
      <w:bookmarkStart w:id="324" w:name="OLE_LINK800"/>
      <w:bookmarkStart w:id="325" w:name="OLE_LINK982"/>
      <w:bookmarkStart w:id="326" w:name="OLE_LINK1027"/>
      <w:bookmarkStart w:id="327" w:name="OLE_LINK504"/>
      <w:bookmarkStart w:id="328" w:name="OLE_LINK546"/>
      <w:bookmarkStart w:id="329" w:name="OLE_LINK547"/>
      <w:bookmarkStart w:id="330" w:name="OLE_LINK575"/>
      <w:bookmarkStart w:id="331" w:name="OLE_LINK640"/>
      <w:bookmarkStart w:id="332" w:name="OLE_LINK672"/>
      <w:bookmarkStart w:id="333" w:name="OLE_LINK714"/>
      <w:bookmarkStart w:id="334" w:name="OLE_LINK651"/>
      <w:bookmarkStart w:id="335" w:name="OLE_LINK652"/>
      <w:bookmarkStart w:id="336" w:name="OLE_LINK744"/>
      <w:bookmarkStart w:id="337" w:name="OLE_LINK758"/>
      <w:bookmarkStart w:id="338" w:name="OLE_LINK787"/>
      <w:bookmarkStart w:id="339" w:name="OLE_LINK807"/>
      <w:bookmarkStart w:id="340" w:name="OLE_LINK820"/>
      <w:bookmarkStart w:id="341" w:name="OLE_LINK862"/>
      <w:bookmarkStart w:id="342" w:name="OLE_LINK879"/>
      <w:bookmarkStart w:id="343" w:name="OLE_LINK906"/>
      <w:bookmarkStart w:id="344" w:name="OLE_LINK928"/>
      <w:bookmarkStart w:id="345" w:name="OLE_LINK960"/>
      <w:bookmarkStart w:id="346" w:name="OLE_LINK861"/>
      <w:bookmarkStart w:id="347" w:name="OLE_LINK983"/>
      <w:bookmarkStart w:id="348" w:name="OLE_LINK1334"/>
      <w:bookmarkStart w:id="349" w:name="OLE_LINK1029"/>
      <w:bookmarkStart w:id="350" w:name="OLE_LINK1060"/>
      <w:bookmarkStart w:id="351" w:name="OLE_LINK1061"/>
      <w:bookmarkStart w:id="352" w:name="OLE_LINK1348"/>
      <w:bookmarkStart w:id="353" w:name="OLE_LINK1086"/>
      <w:bookmarkStart w:id="354" w:name="OLE_LINK1100"/>
      <w:bookmarkStart w:id="355" w:name="OLE_LINK1125"/>
      <w:bookmarkStart w:id="356" w:name="OLE_LINK1163"/>
      <w:bookmarkStart w:id="357" w:name="OLE_LINK1193"/>
      <w:bookmarkStart w:id="358" w:name="OLE_LINK1219"/>
      <w:bookmarkStart w:id="359" w:name="OLE_LINK1247"/>
      <w:bookmarkStart w:id="360" w:name="OLE_LINK1284"/>
      <w:bookmarkStart w:id="361" w:name="OLE_LINK1313"/>
      <w:bookmarkStart w:id="362" w:name="OLE_LINK1361"/>
      <w:bookmarkStart w:id="363" w:name="OLE_LINK1384"/>
      <w:bookmarkStart w:id="364" w:name="OLE_LINK1403"/>
      <w:bookmarkStart w:id="365" w:name="OLE_LINK1437"/>
      <w:bookmarkStart w:id="366" w:name="OLE_LINK1454"/>
      <w:bookmarkStart w:id="367" w:name="OLE_LINK1480"/>
      <w:bookmarkStart w:id="368" w:name="OLE_LINK1504"/>
      <w:bookmarkStart w:id="369" w:name="OLE_LINK1516"/>
      <w:bookmarkStart w:id="370" w:name="OLE_LINK135"/>
      <w:bookmarkStart w:id="371" w:name="OLE_LINK216"/>
      <w:bookmarkStart w:id="372" w:name="OLE_LINK259"/>
      <w:bookmarkStart w:id="373" w:name="OLE_LINK1186"/>
      <w:bookmarkStart w:id="374" w:name="OLE_LINK1265"/>
      <w:bookmarkStart w:id="375" w:name="OLE_LINK1373"/>
      <w:bookmarkStart w:id="376" w:name="OLE_LINK1478"/>
      <w:bookmarkStart w:id="377" w:name="OLE_LINK1644"/>
      <w:bookmarkStart w:id="378" w:name="OLE_LINK1884"/>
      <w:bookmarkStart w:id="379" w:name="OLE_LINK1885"/>
      <w:bookmarkStart w:id="380" w:name="OLE_LINK1538"/>
      <w:bookmarkStart w:id="381" w:name="OLE_LINK1539"/>
      <w:bookmarkStart w:id="382" w:name="OLE_LINK1543"/>
      <w:bookmarkStart w:id="383" w:name="OLE_LINK1549"/>
      <w:bookmarkStart w:id="384" w:name="OLE_LINK1778"/>
      <w:bookmarkStart w:id="385" w:name="OLE_LINK1756"/>
      <w:bookmarkStart w:id="386" w:name="OLE_LINK1776"/>
      <w:bookmarkStart w:id="387" w:name="OLE_LINK1777"/>
      <w:bookmarkStart w:id="388" w:name="OLE_LINK1868"/>
      <w:bookmarkStart w:id="389" w:name="OLE_LINK1744"/>
      <w:bookmarkStart w:id="390" w:name="OLE_LINK1817"/>
      <w:bookmarkStart w:id="391" w:name="OLE_LINK1835"/>
      <w:bookmarkStart w:id="392" w:name="OLE_LINK1866"/>
      <w:bookmarkStart w:id="393" w:name="OLE_LINK1882"/>
      <w:bookmarkStart w:id="394" w:name="OLE_LINK1901"/>
      <w:bookmarkStart w:id="395" w:name="OLE_LINK1902"/>
      <w:bookmarkStart w:id="396" w:name="OLE_LINK2013"/>
      <w:bookmarkStart w:id="397" w:name="OLE_LINK1894"/>
      <w:bookmarkStart w:id="398" w:name="OLE_LINK1929"/>
      <w:bookmarkStart w:id="399" w:name="OLE_LINK1941"/>
      <w:bookmarkStart w:id="400" w:name="OLE_LINK1995"/>
      <w:bookmarkStart w:id="401" w:name="OLE_LINK1938"/>
      <w:bookmarkStart w:id="402" w:name="OLE_LINK2081"/>
      <w:bookmarkStart w:id="403" w:name="OLE_LINK2082"/>
      <w:bookmarkStart w:id="404" w:name="OLE_LINK2292"/>
      <w:bookmarkStart w:id="405" w:name="OLE_LINK1931"/>
      <w:bookmarkStart w:id="406" w:name="OLE_LINK1964"/>
      <w:bookmarkStart w:id="407" w:name="OLE_LINK2020"/>
      <w:bookmarkStart w:id="408" w:name="OLE_LINK2071"/>
      <w:bookmarkStart w:id="409" w:name="OLE_LINK2134"/>
      <w:bookmarkStart w:id="410" w:name="OLE_LINK2265"/>
      <w:bookmarkStart w:id="411" w:name="OLE_LINK2562"/>
      <w:bookmarkStart w:id="412" w:name="OLE_LINK1923"/>
      <w:bookmarkStart w:id="413" w:name="OLE_LINK2192"/>
      <w:bookmarkStart w:id="414" w:name="OLE_LINK2110"/>
      <w:bookmarkStart w:id="415" w:name="OLE_LINK2445"/>
      <w:bookmarkStart w:id="416" w:name="OLE_LINK2446"/>
      <w:bookmarkStart w:id="417" w:name="OLE_LINK2169"/>
      <w:bookmarkStart w:id="418" w:name="OLE_LINK2190"/>
      <w:bookmarkStart w:id="419" w:name="OLE_LINK2331"/>
      <w:bookmarkStart w:id="420" w:name="OLE_LINK2345"/>
      <w:bookmarkStart w:id="421" w:name="OLE_LINK2467"/>
      <w:bookmarkStart w:id="422" w:name="OLE_LINK2484"/>
      <w:bookmarkStart w:id="423" w:name="OLE_LINK2157"/>
      <w:bookmarkStart w:id="424" w:name="OLE_LINK2221"/>
      <w:bookmarkStart w:id="425" w:name="OLE_LINK2252"/>
      <w:bookmarkStart w:id="426" w:name="OLE_LINK2229"/>
      <w:bookmarkStart w:id="427" w:name="OLE_LINK2230"/>
      <w:r w:rsidRPr="00C40A8B">
        <w:rPr>
          <w:rFonts w:ascii="Book Antiqua" w:hAnsi="Book Antiqua"/>
        </w:rPr>
        <w:lastRenderedPageBreak/>
        <w:t xml:space="preserve">© 2013 Baishideng. All rights reserved.  </w:t>
      </w:r>
    </w:p>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rsidR="00726399" w:rsidRPr="00C40A8B" w:rsidRDefault="00726399" w:rsidP="00E60C33">
      <w:pPr>
        <w:snapToGrid w:val="0"/>
        <w:spacing w:line="360" w:lineRule="auto"/>
        <w:ind w:firstLineChars="233" w:firstLine="559"/>
        <w:rPr>
          <w:rFonts w:ascii="Book Antiqua" w:hAnsi="Book Antiqua"/>
        </w:rPr>
      </w:pPr>
    </w:p>
    <w:p w:rsidR="00726399" w:rsidRPr="00C40A8B" w:rsidRDefault="00726399" w:rsidP="00E60C33">
      <w:pPr>
        <w:snapToGrid w:val="0"/>
        <w:spacing w:line="360" w:lineRule="auto"/>
        <w:rPr>
          <w:rFonts w:ascii="Book Antiqua" w:hAnsi="Book Antiqua"/>
          <w:lang w:eastAsia="zh-CN"/>
        </w:rPr>
      </w:pPr>
      <w:r w:rsidRPr="00C40A8B">
        <w:rPr>
          <w:rFonts w:ascii="Book Antiqua" w:hAnsi="Book Antiqua"/>
          <w:b/>
        </w:rPr>
        <w:t>Key words:</w:t>
      </w:r>
      <w:r w:rsidRPr="00C40A8B">
        <w:rPr>
          <w:rFonts w:ascii="Book Antiqua" w:hAnsi="Book Antiqua"/>
        </w:rPr>
        <w:t xml:space="preserve"> Cause</w:t>
      </w:r>
      <w:r w:rsidRPr="00C40A8B">
        <w:rPr>
          <w:rFonts w:ascii="Book Antiqua" w:hAnsi="Book Antiqua"/>
          <w:lang w:eastAsia="zh-CN"/>
        </w:rPr>
        <w:t xml:space="preserve">; </w:t>
      </w:r>
      <w:r w:rsidRPr="00C40A8B">
        <w:rPr>
          <w:rFonts w:ascii="Book Antiqua" w:hAnsi="Book Antiqua"/>
        </w:rPr>
        <w:t>Idiopathic sudden sensorineural hearing loss</w:t>
      </w:r>
      <w:r w:rsidRPr="00C40A8B">
        <w:rPr>
          <w:rFonts w:ascii="Book Antiqua" w:hAnsi="Book Antiqua"/>
          <w:lang w:eastAsia="zh-CN"/>
        </w:rPr>
        <w:t xml:space="preserve">; </w:t>
      </w:r>
      <w:r w:rsidRPr="00C40A8B">
        <w:rPr>
          <w:rFonts w:ascii="Book Antiqua" w:hAnsi="Book Antiqua"/>
        </w:rPr>
        <w:t>Lateral wall</w:t>
      </w:r>
      <w:r w:rsidRPr="00C40A8B">
        <w:rPr>
          <w:rFonts w:ascii="Book Antiqua" w:hAnsi="Book Antiqua"/>
          <w:lang w:eastAsia="zh-CN"/>
        </w:rPr>
        <w:t>; N</w:t>
      </w:r>
      <w:r w:rsidRPr="00C40A8B">
        <w:rPr>
          <w:rFonts w:ascii="Book Antiqua" w:hAnsi="Book Antiqua"/>
        </w:rPr>
        <w:t>uclear factor kappa-light-chain-enhancer of activated B cells</w:t>
      </w:r>
      <w:r w:rsidRPr="00C40A8B">
        <w:rPr>
          <w:rFonts w:ascii="Book Antiqua" w:hAnsi="Book Antiqua"/>
          <w:lang w:eastAsia="zh-CN"/>
        </w:rPr>
        <w:t>;</w:t>
      </w:r>
      <w:r w:rsidRPr="00C40A8B">
        <w:rPr>
          <w:rFonts w:ascii="Book Antiqua" w:hAnsi="Book Antiqua"/>
        </w:rPr>
        <w:t xml:space="preserve"> Stress</w:t>
      </w:r>
    </w:p>
    <w:p w:rsidR="00726399" w:rsidRPr="00C40A8B" w:rsidRDefault="00726399" w:rsidP="00E60C33">
      <w:pPr>
        <w:snapToGrid w:val="0"/>
        <w:spacing w:line="360" w:lineRule="auto"/>
        <w:rPr>
          <w:rFonts w:ascii="Book Antiqua" w:hAnsi="Book Antiqua"/>
          <w:lang w:eastAsia="zh-CN"/>
        </w:rPr>
      </w:pPr>
    </w:p>
    <w:p w:rsidR="00726399" w:rsidRPr="00C40A8B" w:rsidRDefault="00726399" w:rsidP="00E60C33">
      <w:pPr>
        <w:widowControl/>
        <w:snapToGrid w:val="0"/>
        <w:spacing w:line="360" w:lineRule="auto"/>
        <w:rPr>
          <w:rFonts w:ascii="Book Antiqua" w:hAnsi="Book Antiqua" w:cs="Arial"/>
          <w:b/>
          <w:i/>
          <w:color w:val="262626"/>
          <w:kern w:val="0"/>
        </w:rPr>
      </w:pPr>
      <w:r w:rsidRPr="00C40A8B">
        <w:rPr>
          <w:rFonts w:ascii="Book Antiqua" w:hAnsi="Book Antiqua" w:cs="Arial"/>
          <w:b/>
          <w:color w:val="262626"/>
          <w:kern w:val="0"/>
        </w:rPr>
        <w:t>Core tip</w:t>
      </w:r>
      <w:r w:rsidRPr="00C40A8B">
        <w:rPr>
          <w:rFonts w:ascii="Book Antiqua" w:hAnsi="Book Antiqua" w:cs="Arial"/>
          <w:b/>
          <w:color w:val="262626"/>
          <w:kern w:val="0"/>
          <w:lang w:eastAsia="zh-CN"/>
        </w:rPr>
        <w:t xml:space="preserve">: </w:t>
      </w:r>
      <w:r w:rsidRPr="00C40A8B">
        <w:rPr>
          <w:rFonts w:ascii="Book Antiqua" w:hAnsi="Book Antiqua" w:cs="Arial"/>
          <w:color w:val="262626"/>
          <w:kern w:val="0"/>
        </w:rPr>
        <w:t>The present review focuses on the following four points. First, it summarizes etiologies proposed in the last decade to confirm what we know about the cause of idiopathic sudden sensorineural hearing loss (ISHL). Second, it reviews how systemic stressors affect the human body and the cochlea. Third, it reviews the characteristics of the lateral wall that show unique responses to systemic stressors. Finally, it reviews a relatively new concept about the cause of ISHL, the stress response theory, which integrates our knowledge of the cause of ISHL.</w:t>
      </w:r>
    </w:p>
    <w:p w:rsidR="00726399" w:rsidRPr="00C40A8B" w:rsidRDefault="00726399" w:rsidP="00E60C33">
      <w:pPr>
        <w:snapToGrid w:val="0"/>
        <w:spacing w:line="360" w:lineRule="auto"/>
        <w:rPr>
          <w:rFonts w:ascii="Book Antiqua" w:hAnsi="Book Antiqua"/>
          <w:lang w:eastAsia="zh-CN"/>
        </w:rPr>
      </w:pPr>
    </w:p>
    <w:p w:rsidR="00726399" w:rsidRPr="00C40A8B" w:rsidRDefault="00726399" w:rsidP="00E60C33">
      <w:pPr>
        <w:autoSpaceDE w:val="0"/>
        <w:autoSpaceDN w:val="0"/>
        <w:adjustRightInd w:val="0"/>
        <w:snapToGrid w:val="0"/>
        <w:spacing w:line="360" w:lineRule="auto"/>
        <w:rPr>
          <w:rFonts w:ascii="Book Antiqua" w:hAnsi="Book Antiqua" w:cs="AdvPL"/>
          <w:kern w:val="0"/>
          <w:lang w:eastAsia="zh-CN"/>
        </w:rPr>
      </w:pPr>
      <w:r w:rsidRPr="00C40A8B">
        <w:rPr>
          <w:rFonts w:ascii="Book Antiqua" w:hAnsi="Book Antiqua" w:cs="AdvPL"/>
          <w:kern w:val="0"/>
        </w:rPr>
        <w:t>Masuda M, Kanzaki J</w:t>
      </w:r>
      <w:r w:rsidRPr="00C40A8B">
        <w:rPr>
          <w:rFonts w:ascii="Book Antiqua" w:hAnsi="Book Antiqua" w:cs="AdvPL"/>
          <w:kern w:val="0"/>
          <w:lang w:eastAsia="zh-CN"/>
        </w:rPr>
        <w:t xml:space="preserve">. </w:t>
      </w:r>
      <w:r w:rsidRPr="00C40A8B">
        <w:rPr>
          <w:rFonts w:ascii="Book Antiqua" w:hAnsi="Book Antiqua" w:cs="AdvPL"/>
          <w:kern w:val="0"/>
        </w:rPr>
        <w:t>Cause of idiopathic sudden sensorineural hearing loss</w:t>
      </w:r>
      <w:r w:rsidRPr="00C40A8B">
        <w:rPr>
          <w:rFonts w:ascii="Book Antiqua" w:hAnsi="Book Antiqua" w:cs="AdvPL"/>
          <w:kern w:val="0"/>
          <w:lang w:eastAsia="zh-CN"/>
        </w:rPr>
        <w:t xml:space="preserve">: </w:t>
      </w:r>
      <w:r w:rsidRPr="00C40A8B">
        <w:rPr>
          <w:rFonts w:ascii="Book Antiqua" w:hAnsi="Book Antiqua" w:cs="AdvPL"/>
          <w:kern w:val="0"/>
        </w:rPr>
        <w:t>The stress response theory</w:t>
      </w:r>
      <w:r w:rsidRPr="00C40A8B">
        <w:rPr>
          <w:rFonts w:ascii="Book Antiqua" w:hAnsi="Book Antiqua" w:cs="AdvPL"/>
          <w:kern w:val="0"/>
          <w:lang w:eastAsia="zh-CN"/>
        </w:rPr>
        <w:t>.</w:t>
      </w:r>
      <w:bookmarkStart w:id="428" w:name="OLE_LINK1547"/>
      <w:bookmarkStart w:id="429" w:name="OLE_LINK1548"/>
      <w:bookmarkStart w:id="430" w:name="OLE_LINK1824"/>
      <w:bookmarkStart w:id="431" w:name="OLE_LINK1825"/>
      <w:bookmarkStart w:id="432" w:name="OLE_LINK1945"/>
      <w:bookmarkStart w:id="433" w:name="OLE_LINK1826"/>
      <w:bookmarkStart w:id="434" w:name="OLE_LINK1921"/>
      <w:bookmarkStart w:id="435" w:name="OLE_LINK1912"/>
      <w:bookmarkStart w:id="436" w:name="OLE_LINK1974"/>
      <w:bookmarkStart w:id="437" w:name="OLE_LINK1975"/>
      <w:bookmarkStart w:id="438" w:name="OLE_LINK1946"/>
      <w:bookmarkStart w:id="439" w:name="OLE_LINK1998"/>
      <w:bookmarkStart w:id="440" w:name="OLE_LINK2000"/>
      <w:bookmarkStart w:id="441" w:name="OLE_LINK1944"/>
      <w:bookmarkStart w:id="442" w:name="OLE_LINK2001"/>
      <w:bookmarkStart w:id="443" w:name="OLE_LINK2307"/>
      <w:bookmarkStart w:id="444" w:name="OLE_LINK2453"/>
      <w:bookmarkStart w:id="445" w:name="OLE_LINK2454"/>
      <w:bookmarkStart w:id="446" w:name="OLE_LINK2228"/>
      <w:bookmarkStart w:id="447" w:name="OLE_LINK2346"/>
      <w:r w:rsidRPr="00C40A8B">
        <w:rPr>
          <w:rFonts w:ascii="Book Antiqua" w:hAnsi="Book Antiqua" w:cs="AdvPL"/>
          <w:kern w:val="0"/>
          <w:lang w:eastAsia="zh-CN"/>
        </w:rPr>
        <w:t xml:space="preserve"> </w:t>
      </w:r>
      <w:r w:rsidRPr="00C40A8B">
        <w:rPr>
          <w:rFonts w:ascii="Book Antiqua" w:hAnsi="Book Antiqua"/>
          <w:i/>
          <w:snapToGrid w:val="0"/>
        </w:rPr>
        <w:t xml:space="preserve">World J Otorhinolaryngol </w:t>
      </w:r>
      <w:r w:rsidRPr="00C40A8B">
        <w:rPr>
          <w:rFonts w:ascii="Book Antiqua" w:hAnsi="Book Antiqua"/>
          <w:snapToGrid w:val="0"/>
        </w:rPr>
        <w:t>2013</w:t>
      </w:r>
      <w:r w:rsidRPr="00C40A8B">
        <w:rPr>
          <w:rFonts w:ascii="Book Antiqua" w:hAnsi="Book Antiqua"/>
          <w:i/>
          <w:snapToGrid w:val="0"/>
        </w:rPr>
        <w:t>;</w:t>
      </w:r>
    </w:p>
    <w:p w:rsidR="00726399" w:rsidRPr="00C40A8B" w:rsidRDefault="00726399" w:rsidP="00E60C33">
      <w:pPr>
        <w:pStyle w:val="p0"/>
        <w:adjustRightInd w:val="0"/>
        <w:snapToGrid w:val="0"/>
        <w:spacing w:line="360" w:lineRule="auto"/>
        <w:jc w:val="both"/>
        <w:rPr>
          <w:rFonts w:ascii="Book Antiqua" w:hAnsi="Book Antiqua"/>
          <w:sz w:val="24"/>
          <w:szCs w:val="24"/>
        </w:rPr>
      </w:pPr>
      <w:bookmarkStart w:id="448" w:name="OLE_LINK404"/>
      <w:bookmarkStart w:id="449" w:name="OLE_LINK405"/>
      <w:bookmarkStart w:id="450" w:name="OLE_LINK406"/>
      <w:bookmarkStart w:id="451" w:name="OLE_LINK407"/>
      <w:bookmarkStart w:id="452" w:name="OLE_LINK629"/>
      <w:bookmarkStart w:id="453" w:name="OLE_LINK630"/>
      <w:bookmarkStart w:id="454" w:name="OLE_LINK1908"/>
      <w:bookmarkStart w:id="455" w:name="OLE_LINK1864"/>
      <w:bookmarkStart w:id="456" w:name="OLE_LINK401"/>
      <w:bookmarkStart w:id="457" w:name="OLE_LINK402"/>
      <w:bookmarkStart w:id="458" w:name="OLE_LINK99"/>
      <w:bookmarkStart w:id="459" w:name="OLE_LINK100"/>
      <w:bookmarkStart w:id="460" w:name="OLE_LINK271"/>
      <w:bookmarkStart w:id="461" w:name="OLE_LINK272"/>
      <w:bookmarkStart w:id="462" w:name="OLE_LINK300"/>
      <w:bookmarkStart w:id="463" w:name="OLE_LINK302"/>
      <w:bookmarkStart w:id="464" w:name="OLE_LINK449"/>
      <w:bookmarkStart w:id="465" w:name="OLE_LINK450"/>
      <w:bookmarkStart w:id="466" w:name="OLE_LINK456"/>
      <w:bookmarkStart w:id="467" w:name="OLE_LINK705"/>
      <w:bookmarkStart w:id="468" w:name="OLE_LINK522"/>
      <w:bookmarkStart w:id="469" w:name="OLE_LINK621"/>
      <w:bookmarkStart w:id="470" w:name="OLE_LINK1242"/>
      <w:bookmarkStart w:id="471" w:name="OLE_LINK1102"/>
      <w:bookmarkStart w:id="472" w:name="OLE_LINK1103"/>
      <w:bookmarkStart w:id="473" w:name="OLE_LINK1546"/>
      <w:bookmarkStart w:id="474" w:name="OLE_LINK2014"/>
      <w:bookmarkStart w:id="475" w:name="OLE_LINK2015"/>
      <w:bookmarkStart w:id="476" w:name="OLE_LINK2138"/>
      <w:bookmarkStart w:id="477" w:name="OLE_LINK2139"/>
      <w:bookmarkStart w:id="478" w:name="OLE_LINK2202"/>
      <w:bookmarkStart w:id="479" w:name="OLE_LINK2203"/>
      <w:bookmarkStart w:id="480" w:name="OLE_LINK2205"/>
      <w:bookmarkStart w:id="481" w:name="OLE_LINK2206"/>
      <w:bookmarkStart w:id="482" w:name="OLE_LINK2485"/>
      <w:bookmarkEnd w:id="428"/>
      <w:bookmarkEnd w:id="429"/>
      <w:r w:rsidRPr="00C40A8B">
        <w:rPr>
          <w:rFonts w:ascii="Book Antiqua" w:hAnsi="Book Antiqua"/>
          <w:b/>
          <w:bCs/>
          <w:sz w:val="24"/>
          <w:szCs w:val="24"/>
        </w:rPr>
        <w:t>Available from:</w:t>
      </w:r>
      <w:r w:rsidRPr="00C40A8B">
        <w:rPr>
          <w:rFonts w:ascii="Book Antiqua" w:hAnsi="Book Antiqua"/>
          <w:sz w:val="24"/>
          <w:szCs w:val="24"/>
        </w:rPr>
        <w:t xml:space="preserve"> </w:t>
      </w:r>
      <w:bookmarkEnd w:id="448"/>
      <w:bookmarkEnd w:id="449"/>
      <w:r w:rsidRPr="00C40A8B">
        <w:rPr>
          <w:rFonts w:ascii="Book Antiqua" w:hAnsi="Book Antiqua"/>
          <w:color w:val="000000"/>
          <w:sz w:val="24"/>
          <w:szCs w:val="24"/>
        </w:rPr>
        <w:t>URL:</w:t>
      </w:r>
      <w:bookmarkEnd w:id="450"/>
      <w:bookmarkEnd w:id="451"/>
      <w:bookmarkEnd w:id="452"/>
      <w:bookmarkEnd w:id="453"/>
      <w:bookmarkEnd w:id="454"/>
      <w:bookmarkEnd w:id="455"/>
      <w:r w:rsidRPr="00C40A8B">
        <w:rPr>
          <w:rFonts w:ascii="Book Antiqua" w:hAnsi="Book Antiqua"/>
          <w:color w:val="000000"/>
          <w:sz w:val="24"/>
          <w:szCs w:val="24"/>
        </w:rPr>
        <w:t xml:space="preserve"> http://</w:t>
      </w:r>
      <w:bookmarkEnd w:id="456"/>
      <w:bookmarkEnd w:id="457"/>
      <w:r w:rsidRPr="00C40A8B">
        <w:rPr>
          <w:rFonts w:ascii="Book Antiqua" w:hAnsi="Book Antiqua"/>
          <w:color w:val="000000"/>
          <w:sz w:val="24"/>
          <w:szCs w:val="24"/>
        </w:rPr>
        <w:t xml:space="preserve">www.wjgnet.com/esps/  </w:t>
      </w:r>
    </w:p>
    <w:p w:rsidR="00726399" w:rsidRPr="00696A23" w:rsidRDefault="00726399" w:rsidP="00E60C33">
      <w:pPr>
        <w:pStyle w:val="p0"/>
        <w:adjustRightInd w:val="0"/>
        <w:snapToGrid w:val="0"/>
        <w:spacing w:line="360" w:lineRule="auto"/>
        <w:jc w:val="both"/>
        <w:rPr>
          <w:rFonts w:ascii="Book Antiqua" w:hAnsi="Book Antiqua"/>
          <w:bCs/>
          <w:sz w:val="24"/>
          <w:szCs w:val="24"/>
          <w:lang w:val="fr-FR"/>
        </w:rPr>
      </w:pPr>
      <w:bookmarkStart w:id="483" w:name="OLE_LINK399"/>
      <w:bookmarkStart w:id="484" w:name="OLE_LINK400"/>
      <w:bookmarkStart w:id="485" w:name="OLE_LINK494"/>
      <w:bookmarkStart w:id="486" w:name="OLE_LINK495"/>
      <w:bookmarkStart w:id="487" w:name="OLE_LINK607"/>
      <w:bookmarkStart w:id="488" w:name="OLE_LINK608"/>
      <w:bookmarkStart w:id="489" w:name="OLE_LINK609"/>
      <w:bookmarkStart w:id="490" w:name="OLE_LINK727"/>
      <w:bookmarkStart w:id="491" w:name="OLE_LINK853"/>
      <w:bookmarkStart w:id="492" w:name="OLE_LINK585"/>
      <w:bookmarkStart w:id="493" w:name="OLE_LINK689"/>
      <w:bookmarkStart w:id="494" w:name="OLE_LINK539"/>
      <w:bookmarkEnd w:id="458"/>
      <w:bookmarkEnd w:id="459"/>
      <w:bookmarkEnd w:id="460"/>
      <w:bookmarkEnd w:id="461"/>
      <w:bookmarkEnd w:id="462"/>
      <w:bookmarkEnd w:id="463"/>
      <w:r w:rsidRPr="00696A23">
        <w:rPr>
          <w:rFonts w:ascii="Book Antiqua" w:hAnsi="Book Antiqua" w:cs="Times New Roman"/>
          <w:b/>
          <w:bCs/>
          <w:kern w:val="2"/>
          <w:sz w:val="24"/>
          <w:szCs w:val="24"/>
          <w:lang w:val="fr-FR"/>
        </w:rPr>
        <w:t xml:space="preserve">DOI: </w:t>
      </w:r>
      <w:r w:rsidRPr="00696A23">
        <w:rPr>
          <w:rFonts w:ascii="Book Antiqua" w:hAnsi="Book Antiqua" w:cs="Times New Roman"/>
          <w:bCs/>
          <w:kern w:val="2"/>
          <w:sz w:val="24"/>
          <w:szCs w:val="24"/>
          <w:lang w:val="fr-FR"/>
        </w:rPr>
        <w:t>http://dx.doi.org/10.5319/wjo.v0.i0.0000</w:t>
      </w:r>
    </w:p>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rsidR="00726399" w:rsidRPr="00696A23" w:rsidRDefault="00726399" w:rsidP="00E60C33">
      <w:pPr>
        <w:snapToGrid w:val="0"/>
        <w:spacing w:line="360" w:lineRule="auto"/>
        <w:rPr>
          <w:rFonts w:ascii="Book Antiqua" w:hAnsi="Book Antiqua"/>
          <w:lang w:val="fr-FR" w:eastAsia="zh-CN"/>
        </w:rPr>
      </w:pPr>
    </w:p>
    <w:p w:rsidR="00726399" w:rsidRPr="00C40A8B" w:rsidRDefault="00726399" w:rsidP="00E60C33">
      <w:pPr>
        <w:widowControl/>
        <w:snapToGrid w:val="0"/>
        <w:spacing w:line="360" w:lineRule="auto"/>
        <w:rPr>
          <w:rFonts w:ascii="Book Antiqua" w:hAnsi="Book Antiqua"/>
        </w:rPr>
      </w:pPr>
      <w:r w:rsidRPr="00696A23">
        <w:rPr>
          <w:rFonts w:ascii="Book Antiqua" w:hAnsi="Book Antiqua" w:cs="Arial"/>
          <w:b/>
          <w:i/>
          <w:color w:val="262626"/>
          <w:kern w:val="0"/>
        </w:rPr>
        <w:br w:type="page"/>
      </w:r>
      <w:r w:rsidRPr="00C40A8B">
        <w:rPr>
          <w:rFonts w:ascii="Book Antiqua" w:hAnsi="Book Antiqua"/>
          <w:b/>
        </w:rPr>
        <w:lastRenderedPageBreak/>
        <w:t>INTRODUCTION</w:t>
      </w:r>
    </w:p>
    <w:p w:rsidR="00726399" w:rsidRPr="00C40A8B" w:rsidRDefault="00726399" w:rsidP="00E60C33">
      <w:pPr>
        <w:autoSpaceDE w:val="0"/>
        <w:autoSpaceDN w:val="0"/>
        <w:adjustRightInd w:val="0"/>
        <w:snapToGrid w:val="0"/>
        <w:spacing w:line="360" w:lineRule="auto"/>
        <w:rPr>
          <w:rFonts w:ascii="Book Antiqua" w:hAnsi="Book Antiqua" w:cs="AdvPL"/>
          <w:kern w:val="0"/>
        </w:rPr>
      </w:pPr>
      <w:r w:rsidRPr="00C40A8B">
        <w:rPr>
          <w:rFonts w:ascii="Book Antiqua" w:hAnsi="Book Antiqua" w:cs="AdvPL"/>
          <w:kern w:val="0"/>
        </w:rPr>
        <w:t>Idiopathic sudden sensorineural hearing loss (ISHL) is a moderately common otologic disorder characterized by new onset of unilateral reversible or irreversible sensorineural hearing loss, which generally develops over minutes or several hours. However, the etiology remains unknown</w:t>
      </w:r>
      <w:r w:rsidRPr="00C40A8B">
        <w:rPr>
          <w:rFonts w:ascii="Book Antiqua" w:hAnsi="Book Antiqua"/>
        </w:rPr>
        <w:t>.</w:t>
      </w:r>
      <w:r w:rsidRPr="00C40A8B">
        <w:rPr>
          <w:rFonts w:ascii="Book Antiqua" w:hAnsi="Book Antiqua" w:cs="AdvPL"/>
          <w:kern w:val="0"/>
        </w:rPr>
        <w:t xml:space="preserve"> During the past decade, a number of papers on proposed etiologies have been published, including those on vascular disturbance, viral infection, and immune-mediated mechanisms. Table 1 summarizes papers about the cause of ISHL published during this decade</w:t>
      </w:r>
      <w:r w:rsidRPr="00C40A8B">
        <w:rPr>
          <w:rFonts w:ascii="Book Antiqua" w:hAnsi="Book Antiqua"/>
          <w:noProof/>
          <w:vertAlign w:val="superscript"/>
        </w:rPr>
        <w:t>[1-70]</w:t>
      </w:r>
      <w:r w:rsidRPr="00C40A8B">
        <w:rPr>
          <w:rFonts w:ascii="Book Antiqua" w:hAnsi="Book Antiqua" w:cs="AdvPL"/>
          <w:kern w:val="0"/>
        </w:rPr>
        <w:t>. Papers for and against vascular etiologies with analysis of genetic polymorphism are increasing. Yet, there is no conclusive evidence, and many different treatments exist for ISHL</w:t>
      </w:r>
      <w:r w:rsidRPr="00C40A8B">
        <w:rPr>
          <w:rFonts w:ascii="Book Antiqua" w:hAnsi="Book Antiqua"/>
          <w:noProof/>
          <w:vertAlign w:val="superscript"/>
        </w:rPr>
        <w:t>[71]</w:t>
      </w:r>
      <w:r w:rsidRPr="00C40A8B">
        <w:rPr>
          <w:rFonts w:ascii="Book Antiqua" w:hAnsi="Book Antiqua" w:cs="AdvPL"/>
          <w:kern w:val="0"/>
        </w:rPr>
        <w:t xml:space="preserve">. In fact, </w:t>
      </w:r>
      <w:r w:rsidRPr="00C40A8B">
        <w:rPr>
          <w:rFonts w:ascii="Book Antiqua" w:eastAsia="TimesNewRomanPSMT" w:hAnsi="Book Antiqua" w:cs="TimesNewRomanPSMT"/>
          <w:noProof/>
          <w:kern w:val="0"/>
        </w:rPr>
        <w:t>Nosrati-Zarenoe</w:t>
      </w:r>
      <w:r w:rsidRPr="00C40A8B">
        <w:rPr>
          <w:rFonts w:ascii="Book Antiqua" w:hAnsi="Book Antiqua" w:cs="AdvPL"/>
          <w:kern w:val="0"/>
        </w:rPr>
        <w:t xml:space="preserve"> </w:t>
      </w:r>
      <w:r w:rsidRPr="00C40A8B">
        <w:rPr>
          <w:rFonts w:ascii="Book Antiqua" w:hAnsi="Book Antiqua" w:cs="AdvPL"/>
          <w:i/>
          <w:kern w:val="0"/>
        </w:rPr>
        <w:t>et al</w:t>
      </w:r>
      <w:r w:rsidRPr="00C40A8B">
        <w:rPr>
          <w:rFonts w:ascii="Book Antiqua" w:hAnsi="Book Antiqua"/>
          <w:noProof/>
          <w:vertAlign w:val="superscript"/>
        </w:rPr>
        <w:t>[72]</w:t>
      </w:r>
      <w:r w:rsidRPr="00C40A8B">
        <w:rPr>
          <w:rFonts w:ascii="Book Antiqua" w:hAnsi="Book Antiqua" w:cs="AdvPL"/>
          <w:kern w:val="0"/>
        </w:rPr>
        <w:t xml:space="preserve"> reported no significant difference in outcomes between treated and non-treated patients (300 patients in total).</w:t>
      </w:r>
    </w:p>
    <w:p w:rsidR="00726399" w:rsidRPr="00C40A8B" w:rsidRDefault="00726399" w:rsidP="00E60C33">
      <w:pPr>
        <w:autoSpaceDE w:val="0"/>
        <w:autoSpaceDN w:val="0"/>
        <w:adjustRightInd w:val="0"/>
        <w:snapToGrid w:val="0"/>
        <w:spacing w:line="360" w:lineRule="auto"/>
        <w:ind w:firstLineChars="100" w:firstLine="240"/>
        <w:rPr>
          <w:rFonts w:ascii="Book Antiqua" w:hAnsi="Book Antiqua" w:cs="AdvPL"/>
          <w:kern w:val="0"/>
        </w:rPr>
      </w:pPr>
      <w:r w:rsidRPr="00C40A8B">
        <w:rPr>
          <w:rFonts w:ascii="Book Antiqua" w:hAnsi="Book Antiqua" w:cs="AdvPL"/>
          <w:kern w:val="0"/>
        </w:rPr>
        <w:t>To develop and apply the best treatment for ISHL, we must reveal the pathophysiology. Most papers focus on one cause of the disease, and each proposed etiology has papers that support and refute it, as shown in Table 1. On the other hand, the stress response theory can integrate the various hypotheses proposed up to this point, and can explain the clinical characteristics of ISHL. Originally, the theory was advocated by Adams, Merchant and their colleagues</w:t>
      </w:r>
      <w:r w:rsidRPr="00C40A8B">
        <w:rPr>
          <w:rFonts w:ascii="Book Antiqua" w:hAnsi="Book Antiqua"/>
          <w:noProof/>
          <w:vertAlign w:val="superscript"/>
        </w:rPr>
        <w:t>[52,73]</w:t>
      </w:r>
      <w:r w:rsidRPr="00C40A8B">
        <w:rPr>
          <w:rFonts w:ascii="Book Antiqua" w:hAnsi="Book Antiqua"/>
        </w:rPr>
        <w:t>.</w:t>
      </w:r>
      <w:r w:rsidRPr="00C40A8B">
        <w:rPr>
          <w:rFonts w:ascii="Book Antiqua" w:hAnsi="Book Antiqua" w:cs="AdvPL"/>
          <w:kern w:val="0"/>
        </w:rPr>
        <w:t xml:space="preserve"> They proposed that ISHL might be a result of pathologic activation of </w:t>
      </w:r>
      <w:bookmarkStart w:id="495" w:name="OLE_LINK2408"/>
      <w:bookmarkStart w:id="496" w:name="OLE_LINK2409"/>
      <w:bookmarkStart w:id="497" w:name="OLE_LINK2470"/>
      <w:r w:rsidRPr="00C40A8B">
        <w:rPr>
          <w:rFonts w:ascii="Book Antiqua" w:hAnsi="Book Antiqua"/>
          <w:lang w:eastAsia="zh-CN"/>
        </w:rPr>
        <w:t>n</w:t>
      </w:r>
      <w:r w:rsidRPr="00C40A8B">
        <w:rPr>
          <w:rFonts w:ascii="Book Antiqua" w:hAnsi="Book Antiqua"/>
        </w:rPr>
        <w:t>uclear factor kappa-light-chain-enhancer of activated B cells</w:t>
      </w:r>
      <w:r w:rsidRPr="00C40A8B">
        <w:rPr>
          <w:rFonts w:ascii="Book Antiqua" w:hAnsi="Book Antiqua" w:cs="AdvPL"/>
          <w:kern w:val="0"/>
        </w:rPr>
        <w:t xml:space="preserve"> </w:t>
      </w:r>
      <w:r w:rsidRPr="00C40A8B">
        <w:rPr>
          <w:rFonts w:ascii="Book Antiqua" w:hAnsi="Book Antiqua" w:cs="AdvPL"/>
          <w:kern w:val="0"/>
          <w:lang w:eastAsia="zh-CN"/>
        </w:rPr>
        <w:t>(</w:t>
      </w:r>
      <w:r w:rsidRPr="00C40A8B">
        <w:rPr>
          <w:rFonts w:ascii="Book Antiqua" w:hAnsi="Book Antiqua" w:cs="AdvPL"/>
          <w:kern w:val="0"/>
        </w:rPr>
        <w:t>NF-κB</w:t>
      </w:r>
      <w:r w:rsidRPr="00C40A8B">
        <w:rPr>
          <w:rFonts w:ascii="Book Antiqua" w:hAnsi="Book Antiqua" w:cs="AdvPL"/>
          <w:kern w:val="0"/>
          <w:lang w:eastAsia="zh-CN"/>
        </w:rPr>
        <w:t>)</w:t>
      </w:r>
      <w:bookmarkEnd w:id="495"/>
      <w:bookmarkEnd w:id="496"/>
      <w:bookmarkEnd w:id="497"/>
      <w:r w:rsidRPr="00C40A8B">
        <w:rPr>
          <w:rFonts w:ascii="Book Antiqua" w:hAnsi="Book Antiqua" w:cs="AdvPL"/>
          <w:kern w:val="0"/>
        </w:rPr>
        <w:t xml:space="preserve"> in the cochlear lateral wall. </w:t>
      </w:r>
      <w:r w:rsidRPr="00C40A8B">
        <w:rPr>
          <w:rFonts w:ascii="Book Antiqua" w:hAnsi="Book Antiqua"/>
        </w:rPr>
        <w:t>NF-κB is activated by various stressors, acting as a “stress sensor”.</w:t>
      </w:r>
      <w:r w:rsidRPr="00C40A8B">
        <w:rPr>
          <w:rFonts w:ascii="Book Antiqua" w:hAnsi="Book Antiqua" w:hint="eastAsia"/>
        </w:rPr>
        <w:t xml:space="preserve">　</w:t>
      </w:r>
      <w:r w:rsidRPr="00C40A8B">
        <w:rPr>
          <w:rFonts w:ascii="Book Antiqua" w:hAnsi="Book Antiqua"/>
        </w:rPr>
        <w:t>It plays a pivotal role in regulating expression of genes associated with immune system and inflammatory responses. For example, interleukin (</w:t>
      </w:r>
      <w:bookmarkStart w:id="498" w:name="OLE_LINK2376"/>
      <w:r w:rsidRPr="00C40A8B">
        <w:rPr>
          <w:rFonts w:ascii="Book Antiqua" w:hAnsi="Book Antiqua"/>
        </w:rPr>
        <w:t>IL</w:t>
      </w:r>
      <w:bookmarkEnd w:id="498"/>
      <w:r w:rsidRPr="00C40A8B">
        <w:rPr>
          <w:rFonts w:ascii="Book Antiqua" w:hAnsi="Book Antiqua"/>
        </w:rPr>
        <w:t>)-6, tumor necrosis factor-α (TNF-α), inducible nitric oxide (</w:t>
      </w:r>
      <w:bookmarkStart w:id="499" w:name="OLE_LINK2377"/>
      <w:bookmarkStart w:id="500" w:name="OLE_LINK2378"/>
      <w:r w:rsidRPr="00C40A8B">
        <w:rPr>
          <w:rFonts w:ascii="Book Antiqua" w:hAnsi="Book Antiqua"/>
        </w:rPr>
        <w:t>iNOS</w:t>
      </w:r>
      <w:bookmarkEnd w:id="499"/>
      <w:bookmarkEnd w:id="500"/>
      <w:r w:rsidRPr="00C40A8B">
        <w:rPr>
          <w:rFonts w:ascii="Book Antiqua" w:hAnsi="Book Antiqua"/>
        </w:rPr>
        <w:t xml:space="preserve">), and </w:t>
      </w:r>
      <w:bookmarkStart w:id="501" w:name="OLE_LINK2483"/>
      <w:bookmarkStart w:id="502" w:name="OLE_LINK2486"/>
      <w:r w:rsidRPr="00C40A8B">
        <w:rPr>
          <w:rFonts w:ascii="Book Antiqua" w:eastAsia="MS PGothic" w:hAnsi="Book Antiqua"/>
          <w:color w:val="000000"/>
          <w:kern w:val="0"/>
        </w:rPr>
        <w:t>intercellular adhesion molecule 1 (</w:t>
      </w:r>
      <w:bookmarkStart w:id="503" w:name="OLE_LINK2379"/>
      <w:r w:rsidRPr="00C40A8B">
        <w:rPr>
          <w:rFonts w:ascii="Book Antiqua" w:hAnsi="Book Antiqua"/>
        </w:rPr>
        <w:t>ICAM-1</w:t>
      </w:r>
      <w:bookmarkEnd w:id="503"/>
      <w:r w:rsidRPr="00C40A8B">
        <w:rPr>
          <w:rFonts w:ascii="Book Antiqua" w:hAnsi="Book Antiqua"/>
        </w:rPr>
        <w:t>)</w:t>
      </w:r>
      <w:bookmarkEnd w:id="501"/>
      <w:bookmarkEnd w:id="502"/>
      <w:r w:rsidRPr="00C40A8B">
        <w:rPr>
          <w:rFonts w:ascii="Book Antiqua" w:hAnsi="Book Antiqua"/>
        </w:rPr>
        <w:t xml:space="preserve"> are NF-κB responsive genes</w:t>
      </w:r>
      <w:r w:rsidRPr="00C40A8B">
        <w:rPr>
          <w:rFonts w:ascii="Book Antiqua" w:hAnsi="Book Antiqua"/>
          <w:noProof/>
          <w:vertAlign w:val="superscript"/>
        </w:rPr>
        <w:t>[74]</w:t>
      </w:r>
      <w:r w:rsidRPr="00C40A8B">
        <w:rPr>
          <w:rFonts w:ascii="Book Antiqua" w:hAnsi="Book Antiqua"/>
        </w:rPr>
        <w:t xml:space="preserve">. The authors demonstrated that NF-κB was activated in the unilateral cochlear lateral wall </w:t>
      </w:r>
      <w:r w:rsidRPr="00C40A8B">
        <w:rPr>
          <w:rFonts w:ascii="Book Antiqua" w:hAnsi="Book Antiqua" w:cs="AdvPL"/>
          <w:kern w:val="0"/>
        </w:rPr>
        <w:t xml:space="preserve">by the systemic stressor, </w:t>
      </w:r>
      <w:r w:rsidRPr="00C40A8B">
        <w:rPr>
          <w:rFonts w:ascii="Book Antiqua" w:hAnsi="Book Antiqua" w:cs="AdvPL"/>
          <w:i/>
          <w:kern w:val="0"/>
        </w:rPr>
        <w:t>i.e.</w:t>
      </w:r>
      <w:r w:rsidRPr="00C40A8B">
        <w:rPr>
          <w:rFonts w:ascii="Book Antiqua" w:hAnsi="Book Antiqua" w:cs="AdvPL"/>
          <w:kern w:val="0"/>
          <w:lang w:eastAsia="zh-CN"/>
        </w:rPr>
        <w:t xml:space="preserve">, </w:t>
      </w:r>
      <w:r w:rsidRPr="00C40A8B">
        <w:rPr>
          <w:rFonts w:ascii="Book Antiqua" w:hAnsi="Book Antiqua" w:cs="AdvPL"/>
          <w:kern w:val="0"/>
        </w:rPr>
        <w:t>intraperitoneal</w:t>
      </w:r>
      <w:r w:rsidRPr="00C40A8B">
        <w:rPr>
          <w:rFonts w:ascii="Book Antiqua" w:hAnsi="Book Antiqua"/>
        </w:rPr>
        <w:t xml:space="preserve"> bacterial endotoxin lipopolysaccharide (</w:t>
      </w:r>
      <w:bookmarkStart w:id="504" w:name="OLE_LINK2380"/>
      <w:bookmarkStart w:id="505" w:name="OLE_LINK2381"/>
      <w:r w:rsidRPr="00C40A8B">
        <w:rPr>
          <w:rFonts w:ascii="Book Antiqua" w:hAnsi="Book Antiqua"/>
        </w:rPr>
        <w:t>LPS</w:t>
      </w:r>
      <w:bookmarkEnd w:id="504"/>
      <w:bookmarkEnd w:id="505"/>
      <w:r w:rsidRPr="00C40A8B">
        <w:rPr>
          <w:rFonts w:ascii="Book Antiqua" w:hAnsi="Book Antiqua"/>
        </w:rPr>
        <w:t>)</w:t>
      </w:r>
      <w:r w:rsidRPr="00C40A8B">
        <w:rPr>
          <w:rFonts w:ascii="Book Antiqua" w:hAnsi="Book Antiqua" w:cs="AdvPL"/>
          <w:kern w:val="0"/>
        </w:rPr>
        <w:t xml:space="preserve"> </w:t>
      </w:r>
      <w:r w:rsidRPr="00C40A8B">
        <w:rPr>
          <w:rFonts w:ascii="Book Antiqua" w:hAnsi="Book Antiqua" w:cs="AdvPL"/>
          <w:kern w:val="0"/>
        </w:rPr>
        <w:lastRenderedPageBreak/>
        <w:t xml:space="preserve">injection, but not by the local stressor, </w:t>
      </w:r>
      <w:r w:rsidRPr="00C40A8B">
        <w:rPr>
          <w:rFonts w:ascii="Book Antiqua" w:hAnsi="Book Antiqua" w:cs="AdvPL"/>
          <w:i/>
          <w:kern w:val="0"/>
        </w:rPr>
        <w:t>i.e.</w:t>
      </w:r>
      <w:r w:rsidRPr="00C40A8B">
        <w:rPr>
          <w:rFonts w:ascii="Book Antiqua" w:hAnsi="Book Antiqua" w:cs="AdvPL"/>
          <w:kern w:val="0"/>
          <w:lang w:eastAsia="zh-CN"/>
        </w:rPr>
        <w:t>,</w:t>
      </w:r>
      <w:r w:rsidRPr="00C40A8B">
        <w:rPr>
          <w:rFonts w:ascii="Book Antiqua" w:hAnsi="Book Antiqua" w:cs="AdvPL"/>
          <w:kern w:val="0"/>
        </w:rPr>
        <w:t xml:space="preserve"> intratympanic LPS injection (Figure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C40A8B">
          <w:rPr>
            <w:rFonts w:ascii="Book Antiqua" w:hAnsi="Book Antiqua" w:cs="AdvPL"/>
            <w:kern w:val="0"/>
          </w:rPr>
          <w:t>1A</w:t>
        </w:r>
      </w:smartTag>
      <w:r w:rsidRPr="00C40A8B">
        <w:rPr>
          <w:rFonts w:ascii="Book Antiqua" w:hAnsi="Book Antiqua" w:cs="AdvPL"/>
          <w:kern w:val="0"/>
          <w:lang w:eastAsia="zh-CN"/>
        </w:rPr>
        <w:t xml:space="preserve"> and </w:t>
      </w:r>
      <w:r w:rsidRPr="00C40A8B">
        <w:rPr>
          <w:rFonts w:ascii="Book Antiqua" w:hAnsi="Book Antiqua" w:cs="AdvPL"/>
          <w:kern w:val="0"/>
        </w:rPr>
        <w:t>D). Then, they speculated that ISHL would be the result of pathologic NF-κB activation responding to the systemic stressor.</w:t>
      </w:r>
    </w:p>
    <w:p w:rsidR="00726399" w:rsidRPr="00C40A8B" w:rsidRDefault="00726399" w:rsidP="00E60C33">
      <w:pPr>
        <w:autoSpaceDE w:val="0"/>
        <w:autoSpaceDN w:val="0"/>
        <w:adjustRightInd w:val="0"/>
        <w:snapToGrid w:val="0"/>
        <w:spacing w:line="360" w:lineRule="auto"/>
        <w:ind w:firstLineChars="100" w:firstLine="240"/>
        <w:rPr>
          <w:rFonts w:ascii="Book Antiqua" w:hAnsi="Book Antiqua" w:cs="AdvPL"/>
          <w:kern w:val="0"/>
        </w:rPr>
      </w:pPr>
      <w:r w:rsidRPr="00C40A8B">
        <w:rPr>
          <w:rFonts w:ascii="Book Antiqua" w:hAnsi="Book Antiqua" w:cs="AdvPL"/>
          <w:kern w:val="0"/>
        </w:rPr>
        <w:t>In the present review, we describe the association of stress and the onset of ISHL, extending the original concept of the stress response theory. To begin, we will quickly review the influence of the chronic psychosocial and physiological stressors on the human body.</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rPr>
      </w:pPr>
      <w:r w:rsidRPr="00C40A8B">
        <w:rPr>
          <w:rFonts w:ascii="Book Antiqua" w:hAnsi="Book Antiqua"/>
          <w:b/>
        </w:rPr>
        <w:t>OVERVIEW OF CHRONIC STRESS EFFECTS ON HUMAN BODY</w:t>
      </w:r>
    </w:p>
    <w:p w:rsidR="00726399" w:rsidRPr="00C40A8B" w:rsidRDefault="00726399" w:rsidP="00E60C33">
      <w:pPr>
        <w:snapToGrid w:val="0"/>
        <w:spacing w:line="360" w:lineRule="auto"/>
        <w:rPr>
          <w:rFonts w:ascii="Book Antiqua" w:hAnsi="Book Antiqua"/>
        </w:rPr>
      </w:pPr>
      <w:r w:rsidRPr="00C40A8B">
        <w:rPr>
          <w:rFonts w:ascii="Book Antiqua" w:hAnsi="Book Antiqua"/>
        </w:rPr>
        <w:t xml:space="preserve">Selye </w:t>
      </w:r>
      <w:bookmarkStart w:id="506" w:name="OLE_LINK2385"/>
      <w:r w:rsidRPr="00C40A8B">
        <w:rPr>
          <w:rFonts w:ascii="Book Antiqua" w:hAnsi="Book Antiqua"/>
          <w:i/>
          <w:lang w:eastAsia="zh-CN"/>
        </w:rPr>
        <w:t>et al</w:t>
      </w:r>
      <w:bookmarkEnd w:id="506"/>
      <w:r w:rsidRPr="00C40A8B">
        <w:rPr>
          <w:rFonts w:ascii="Book Antiqua" w:hAnsi="Book Antiqua"/>
          <w:noProof/>
          <w:vertAlign w:val="superscript"/>
        </w:rPr>
        <w:t>[75,76]</w:t>
      </w:r>
      <w:r w:rsidRPr="00C40A8B">
        <w:rPr>
          <w:rFonts w:ascii="Book Antiqua" w:hAnsi="Book Antiqua"/>
          <w:i/>
          <w:lang w:eastAsia="zh-CN"/>
        </w:rPr>
        <w:t xml:space="preserve"> </w:t>
      </w:r>
      <w:r w:rsidRPr="00C40A8B">
        <w:rPr>
          <w:rFonts w:ascii="Book Antiqua" w:hAnsi="Book Antiqua"/>
        </w:rPr>
        <w:t xml:space="preserve">defined stress response as the body’s nonspecific response when a human being is subjected to stressors, including psychosocial, physical, and biological stimuli. More than half a century ago, </w:t>
      </w:r>
      <w:bookmarkStart w:id="507" w:name="OLE_LINK2382"/>
      <w:bookmarkStart w:id="508" w:name="OLE_LINK2383"/>
      <w:bookmarkStart w:id="509" w:name="OLE_LINK2384"/>
      <w:r w:rsidRPr="00C40A8B">
        <w:rPr>
          <w:rFonts w:ascii="Book Antiqua" w:hAnsi="Book Antiqua"/>
        </w:rPr>
        <w:t>Selye</w:t>
      </w:r>
      <w:bookmarkEnd w:id="507"/>
      <w:bookmarkEnd w:id="508"/>
      <w:bookmarkEnd w:id="509"/>
      <w:r w:rsidRPr="00C40A8B">
        <w:rPr>
          <w:rFonts w:ascii="Book Antiqua" w:hAnsi="Book Antiqua"/>
          <w:i/>
          <w:lang w:eastAsia="zh-CN"/>
        </w:rPr>
        <w:t xml:space="preserve"> et al</w:t>
      </w:r>
      <w:r w:rsidRPr="00C40A8B">
        <w:rPr>
          <w:rFonts w:ascii="Book Antiqua" w:hAnsi="Book Antiqua"/>
          <w:noProof/>
          <w:vertAlign w:val="superscript"/>
        </w:rPr>
        <w:t>[77]</w:t>
      </w:r>
      <w:r w:rsidRPr="00C40A8B">
        <w:rPr>
          <w:rFonts w:ascii="Book Antiqua" w:hAnsi="Book Antiqua"/>
        </w:rPr>
        <w:t xml:space="preserve"> showed that stress caused damage to organs like the heart and the kidney. In recent years, there is accumulating evidence that chronic stress results in many diseases including dermatitis, depression, cardiovascular disease, osteopenia/</w:t>
      </w:r>
      <w:r w:rsidRPr="00C40A8B">
        <w:rPr>
          <w:rFonts w:ascii="Book Antiqua" w:hAnsi="Book Antiqua"/>
          <w:lang w:eastAsia="zh-CN"/>
        </w:rPr>
        <w:t xml:space="preserve"> </w:t>
      </w:r>
      <w:r w:rsidRPr="00C40A8B">
        <w:rPr>
          <w:rFonts w:ascii="Book Antiqua" w:hAnsi="Book Antiqua"/>
        </w:rPr>
        <w:t>osteoporosis, immune suppression, and insulin resistance through the activation of the hypothalamus-pituitary-adrenal (</w:t>
      </w:r>
      <w:bookmarkStart w:id="510" w:name="OLE_LINK2386"/>
      <w:r w:rsidRPr="00C40A8B">
        <w:rPr>
          <w:rFonts w:ascii="Book Antiqua" w:hAnsi="Book Antiqua"/>
        </w:rPr>
        <w:t>HPA</w:t>
      </w:r>
      <w:bookmarkEnd w:id="510"/>
      <w:r w:rsidRPr="00C40A8B">
        <w:rPr>
          <w:rFonts w:ascii="Book Antiqua" w:hAnsi="Book Antiqua"/>
        </w:rPr>
        <w:t>) axis and the sympathetic nervous system (</w:t>
      </w:r>
      <w:bookmarkStart w:id="511" w:name="OLE_LINK2387"/>
      <w:r w:rsidRPr="00C40A8B">
        <w:rPr>
          <w:rFonts w:ascii="Book Antiqua" w:hAnsi="Book Antiqua"/>
        </w:rPr>
        <w:t>SNS</w:t>
      </w:r>
      <w:bookmarkEnd w:id="511"/>
      <w:r w:rsidRPr="00C40A8B">
        <w:rPr>
          <w:rFonts w:ascii="Book Antiqua" w:hAnsi="Book Antiqua"/>
        </w:rPr>
        <w:t>)</w:t>
      </w:r>
      <w:r w:rsidRPr="00C40A8B">
        <w:rPr>
          <w:rFonts w:ascii="Book Antiqua" w:hAnsi="Book Antiqua"/>
          <w:noProof/>
          <w:vertAlign w:val="superscript"/>
        </w:rPr>
        <w:t>[78-80]</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Briefly, stressors induce release of corticotropin-releasing hormone (</w:t>
      </w:r>
      <w:bookmarkStart w:id="512" w:name="OLE_LINK2388"/>
      <w:bookmarkStart w:id="513" w:name="OLE_LINK2389"/>
      <w:r w:rsidRPr="00C40A8B">
        <w:rPr>
          <w:rFonts w:ascii="Book Antiqua" w:hAnsi="Book Antiqua"/>
        </w:rPr>
        <w:t>CRH</w:t>
      </w:r>
      <w:bookmarkEnd w:id="512"/>
      <w:bookmarkEnd w:id="513"/>
      <w:r w:rsidRPr="00C40A8B">
        <w:rPr>
          <w:rFonts w:ascii="Book Antiqua" w:hAnsi="Book Antiqua"/>
        </w:rPr>
        <w:t>) from the hypothalamus, CRH induces adrenocorticotropic hormone (ACTH) release from the anterior pituitary, ACTH induces glucocorticoid (GC) secretion from the adrenal cortex, and GC induces norepinephrine (NEP) and epinephrine (EP) release from the adrenal medulla. Stressors and CRH also activate the locus coeruleus of the brainstem, eliciting an SNS response and resulting in NEP and EP release. Furthermore, chronic psychological stress results in a decrease in the sensitivity of immune cells to GC that normally terminates the inflammatory response, which then increases a variety of disease risks</w:t>
      </w:r>
      <w:r w:rsidRPr="00C40A8B">
        <w:rPr>
          <w:rFonts w:ascii="Book Antiqua" w:hAnsi="Book Antiqua"/>
          <w:noProof/>
          <w:vertAlign w:val="superscript"/>
        </w:rPr>
        <w:t>[81]</w:t>
      </w:r>
      <w:r w:rsidRPr="00C40A8B">
        <w:rPr>
          <w:rFonts w:ascii="Book Antiqua" w:hAnsi="Book Antiqua"/>
        </w:rPr>
        <w:t>.</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i/>
          <w:lang w:eastAsia="zh-CN"/>
        </w:rPr>
      </w:pPr>
      <w:r w:rsidRPr="00C40A8B">
        <w:rPr>
          <w:rFonts w:ascii="Book Antiqua" w:hAnsi="Book Antiqua"/>
          <w:b/>
          <w:i/>
        </w:rPr>
        <w:lastRenderedPageBreak/>
        <w:t>Possible direct effects of the autonomic nervous system on the cochlea</w:t>
      </w:r>
      <w:r w:rsidRPr="00C40A8B">
        <w:rPr>
          <w:rFonts w:ascii="Book Antiqua" w:hAnsi="Book Antiqua"/>
          <w:b/>
          <w:i/>
          <w:lang w:eastAsia="zh-CN"/>
        </w:rPr>
        <w:t xml:space="preserve"> </w:t>
      </w:r>
    </w:p>
    <w:p w:rsidR="00726399" w:rsidRPr="00C40A8B" w:rsidRDefault="00726399" w:rsidP="00E60C33">
      <w:pPr>
        <w:snapToGrid w:val="0"/>
        <w:spacing w:line="360" w:lineRule="auto"/>
        <w:rPr>
          <w:rFonts w:ascii="Book Antiqua" w:hAnsi="Book Antiqua"/>
          <w:b/>
          <w:lang w:eastAsia="zh-CN"/>
        </w:rPr>
      </w:pPr>
      <w:r w:rsidRPr="00C40A8B">
        <w:rPr>
          <w:rFonts w:ascii="Book Antiqua" w:hAnsi="Book Antiqua"/>
        </w:rPr>
        <w:t>It is well known that the cardiovascular system is directly regulated by the NEP and EP from the SNS, and acetylcholine from the parasympathetic nervous system. In addition, converging evidence from animal and human studies indicates that there is an association between stress and cardiovascular disease</w:t>
      </w:r>
      <w:r w:rsidRPr="00C40A8B">
        <w:rPr>
          <w:rFonts w:ascii="Book Antiqua" w:hAnsi="Book Antiqua"/>
          <w:noProof/>
          <w:vertAlign w:val="superscript"/>
        </w:rPr>
        <w:t>[78]</w:t>
      </w:r>
      <w:r w:rsidRPr="00C40A8B">
        <w:rPr>
          <w:rFonts w:ascii="Book Antiqua" w:hAnsi="Book Antiqua"/>
        </w:rPr>
        <w:t xml:space="preserve">. However, the effect of these systemic stress-induced catecholamines on the cochlea remains unknown. </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Several types of adrenergic and muscarinic acetylcholine receptors are located in the cochlea and in the endolymphatic sac, as well as in blood vessels like the spiral modiolar artery (Table 2)</w:t>
      </w:r>
      <w:r w:rsidRPr="00C40A8B">
        <w:rPr>
          <w:rFonts w:ascii="Book Antiqua" w:hAnsi="Book Antiqua"/>
          <w:noProof/>
          <w:vertAlign w:val="superscript"/>
        </w:rPr>
        <w:t>[82-91]</w:t>
      </w:r>
      <w:r w:rsidRPr="00C40A8B">
        <w:rPr>
          <w:rFonts w:ascii="Book Antiqua" w:hAnsi="Book Antiqua"/>
        </w:rPr>
        <w:t>. Their exact functions and synapse formation with autonomic nerve fibers are not clear. However, the stress-induced circulating EP and NEP increase will relay the SNS activity to the inner ear. Parasympathetic nervous system activity will also affect the inner ear, because the activity can be relayed to the whole body by the circulating acetylcholine-synthesizing T cells</w:t>
      </w:r>
      <w:r w:rsidRPr="00C40A8B">
        <w:rPr>
          <w:rFonts w:ascii="Book Antiqua" w:hAnsi="Book Antiqua"/>
          <w:noProof/>
          <w:vertAlign w:val="superscript"/>
        </w:rPr>
        <w:t>[92]</w:t>
      </w:r>
      <w:r w:rsidRPr="00C40A8B">
        <w:rPr>
          <w:rFonts w:ascii="Book Antiqua" w:hAnsi="Book Antiqua"/>
        </w:rPr>
        <w:t>, even if the parasympathetic nerve and the cochlea cells do not have synaptic formation.</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 xml:space="preserve">Considering that these receptors are on the vessels of the cochlea, the lateral wall, and the endolymphatic sac, they probably contribute to the following functions: </w:t>
      </w:r>
      <w:r w:rsidRPr="00C40A8B">
        <w:rPr>
          <w:rFonts w:ascii="Book Antiqua" w:hAnsi="Book Antiqua"/>
          <w:lang w:eastAsia="zh-CN"/>
        </w:rPr>
        <w:t>(</w:t>
      </w:r>
      <w:r w:rsidRPr="00C40A8B">
        <w:rPr>
          <w:rFonts w:ascii="Book Antiqua" w:hAnsi="Book Antiqua"/>
        </w:rPr>
        <w:t>1</w:t>
      </w:r>
      <w:r w:rsidRPr="00C40A8B">
        <w:rPr>
          <w:rFonts w:ascii="Book Antiqua" w:hAnsi="Book Antiqua"/>
          <w:lang w:eastAsia="zh-CN"/>
        </w:rPr>
        <w:t xml:space="preserve">) </w:t>
      </w:r>
      <w:r w:rsidRPr="00C40A8B">
        <w:rPr>
          <w:rFonts w:ascii="Book Antiqua" w:hAnsi="Book Antiqua"/>
        </w:rPr>
        <w:t>regulation of the blood flow</w:t>
      </w:r>
      <w:r w:rsidRPr="00C40A8B">
        <w:rPr>
          <w:rFonts w:ascii="Book Antiqua" w:hAnsi="Book Antiqua"/>
          <w:lang w:eastAsia="zh-CN"/>
        </w:rPr>
        <w:t>;</w:t>
      </w:r>
      <w:r w:rsidRPr="00C40A8B">
        <w:rPr>
          <w:rFonts w:ascii="Book Antiqua" w:hAnsi="Book Antiqua"/>
        </w:rPr>
        <w:t xml:space="preserve"> </w:t>
      </w:r>
      <w:r w:rsidRPr="00C40A8B">
        <w:rPr>
          <w:rFonts w:ascii="Book Antiqua" w:hAnsi="Book Antiqua"/>
          <w:lang w:eastAsia="zh-CN"/>
        </w:rPr>
        <w:t>(</w:t>
      </w:r>
      <w:r w:rsidRPr="00C40A8B">
        <w:rPr>
          <w:rFonts w:ascii="Book Antiqua" w:hAnsi="Book Antiqua"/>
        </w:rPr>
        <w:t>2</w:t>
      </w:r>
      <w:r w:rsidRPr="00C40A8B">
        <w:rPr>
          <w:rFonts w:ascii="Book Antiqua" w:hAnsi="Book Antiqua"/>
          <w:lang w:eastAsia="zh-CN"/>
        </w:rPr>
        <w:t>)</w:t>
      </w:r>
      <w:r w:rsidRPr="00C40A8B">
        <w:rPr>
          <w:rFonts w:ascii="Book Antiqua" w:hAnsi="Book Antiqua"/>
        </w:rPr>
        <w:t xml:space="preserve"> maintenance of the inner ear lymphatic ion homeostasis</w:t>
      </w:r>
      <w:r w:rsidRPr="00C40A8B">
        <w:rPr>
          <w:rFonts w:ascii="Book Antiqua" w:hAnsi="Book Antiqua"/>
          <w:lang w:eastAsia="zh-CN"/>
        </w:rPr>
        <w:t>;</w:t>
      </w:r>
      <w:r w:rsidRPr="00C40A8B">
        <w:rPr>
          <w:rFonts w:ascii="Book Antiqua" w:hAnsi="Book Antiqua"/>
        </w:rPr>
        <w:t xml:space="preserve"> and </w:t>
      </w:r>
      <w:r w:rsidRPr="00C40A8B">
        <w:rPr>
          <w:rFonts w:ascii="Book Antiqua" w:hAnsi="Book Antiqua"/>
          <w:lang w:eastAsia="zh-CN"/>
        </w:rPr>
        <w:t>(</w:t>
      </w:r>
      <w:r w:rsidRPr="00C40A8B">
        <w:rPr>
          <w:rFonts w:ascii="Book Antiqua" w:hAnsi="Book Antiqua"/>
        </w:rPr>
        <w:t>3</w:t>
      </w:r>
      <w:r w:rsidRPr="00C40A8B">
        <w:rPr>
          <w:rFonts w:ascii="Book Antiqua" w:hAnsi="Book Antiqua"/>
          <w:lang w:eastAsia="zh-CN"/>
        </w:rPr>
        <w:t>)</w:t>
      </w:r>
      <w:r w:rsidRPr="00C40A8B">
        <w:rPr>
          <w:rFonts w:ascii="Book Antiqua" w:hAnsi="Book Antiqua"/>
        </w:rPr>
        <w:t xml:space="preserve"> enhancement of the stress response in the lateral wall. We will describe these again in section II.</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Stress-induced dysfunction of immune system through the decrease of natural killer cell activity</w:t>
      </w:r>
    </w:p>
    <w:p w:rsidR="00726399" w:rsidRPr="00C40A8B" w:rsidRDefault="00726399" w:rsidP="00E60C33">
      <w:pPr>
        <w:snapToGrid w:val="0"/>
        <w:spacing w:line="360" w:lineRule="auto"/>
        <w:rPr>
          <w:rFonts w:ascii="Book Antiqua" w:hAnsi="Book Antiqua"/>
        </w:rPr>
      </w:pPr>
      <w:r w:rsidRPr="00C40A8B">
        <w:rPr>
          <w:rFonts w:ascii="Book Antiqua" w:hAnsi="Book Antiqua"/>
        </w:rPr>
        <w:t>Chronic stress disrupts immune system homeostasis and induces susceptibility to infectious and autoimmune diseases</w:t>
      </w:r>
      <w:r w:rsidRPr="00C40A8B">
        <w:rPr>
          <w:rFonts w:ascii="Book Antiqua" w:hAnsi="Book Antiqua"/>
          <w:noProof/>
          <w:vertAlign w:val="superscript"/>
        </w:rPr>
        <w:t>[93,94]</w:t>
      </w:r>
      <w:r w:rsidRPr="00C40A8B">
        <w:rPr>
          <w:rFonts w:ascii="Book Antiqua" w:hAnsi="Book Antiqua"/>
        </w:rPr>
        <w:t>. Furthermore, there are frequent associations between infectious diseases and autoimmune diseases</w:t>
      </w:r>
      <w:r w:rsidRPr="00C40A8B">
        <w:rPr>
          <w:rFonts w:ascii="Book Antiqua" w:hAnsi="Book Antiqua"/>
          <w:noProof/>
          <w:vertAlign w:val="superscript"/>
        </w:rPr>
        <w:t>[95]</w:t>
      </w:r>
      <w:r w:rsidRPr="00C40A8B">
        <w:rPr>
          <w:rFonts w:ascii="Book Antiqua" w:hAnsi="Book Antiqua"/>
        </w:rPr>
        <w:t>. The natural killer (</w:t>
      </w:r>
      <w:bookmarkStart w:id="514" w:name="OLE_LINK2390"/>
      <w:r w:rsidRPr="00C40A8B">
        <w:rPr>
          <w:rFonts w:ascii="Book Antiqua" w:hAnsi="Book Antiqua"/>
        </w:rPr>
        <w:t>NK</w:t>
      </w:r>
      <w:bookmarkEnd w:id="514"/>
      <w:r w:rsidRPr="00C40A8B">
        <w:rPr>
          <w:rFonts w:ascii="Book Antiqua" w:hAnsi="Book Antiqua"/>
        </w:rPr>
        <w:t>) cell has critical roles in resistance against both viral and bacterial infections</w:t>
      </w:r>
      <w:r w:rsidRPr="00C40A8B">
        <w:rPr>
          <w:rFonts w:ascii="Book Antiqua" w:hAnsi="Book Antiqua"/>
          <w:noProof/>
          <w:vertAlign w:val="superscript"/>
        </w:rPr>
        <w:t>[96</w:t>
      </w:r>
      <w:r w:rsidRPr="00C40A8B">
        <w:rPr>
          <w:rFonts w:ascii="Book Antiqua" w:hAnsi="Book Antiqua"/>
          <w:noProof/>
          <w:vertAlign w:val="superscript"/>
          <w:lang w:eastAsia="zh-CN"/>
        </w:rPr>
        <w:t>,</w:t>
      </w:r>
      <w:r w:rsidRPr="00C40A8B">
        <w:rPr>
          <w:rFonts w:ascii="Book Antiqua" w:hAnsi="Book Antiqua"/>
          <w:noProof/>
          <w:vertAlign w:val="superscript"/>
        </w:rPr>
        <w:t>97]</w:t>
      </w:r>
      <w:r w:rsidRPr="00C40A8B">
        <w:rPr>
          <w:rFonts w:ascii="Book Antiqua" w:hAnsi="Book Antiqua"/>
        </w:rPr>
        <w:t>, and in regulating autoimmunity</w:t>
      </w:r>
      <w:r w:rsidRPr="00C40A8B">
        <w:rPr>
          <w:rFonts w:ascii="Book Antiqua" w:hAnsi="Book Antiqua"/>
          <w:noProof/>
          <w:vertAlign w:val="superscript"/>
        </w:rPr>
        <w:t>[98]</w:t>
      </w:r>
      <w:r w:rsidRPr="00C40A8B">
        <w:rPr>
          <w:rFonts w:ascii="Book Antiqua" w:hAnsi="Book Antiqua"/>
        </w:rPr>
        <w:t xml:space="preserve">. However, NK cell </w:t>
      </w:r>
      <w:r w:rsidRPr="00C40A8B">
        <w:rPr>
          <w:rFonts w:ascii="Book Antiqua" w:hAnsi="Book Antiqua"/>
        </w:rPr>
        <w:lastRenderedPageBreak/>
        <w:t>activity (</w:t>
      </w:r>
      <w:bookmarkStart w:id="515" w:name="OLE_LINK2391"/>
      <w:bookmarkStart w:id="516" w:name="OLE_LINK2392"/>
      <w:r w:rsidRPr="00C40A8B">
        <w:rPr>
          <w:rFonts w:ascii="Book Antiqua" w:hAnsi="Book Antiqua"/>
        </w:rPr>
        <w:t>NKCA</w:t>
      </w:r>
      <w:bookmarkEnd w:id="515"/>
      <w:bookmarkEnd w:id="516"/>
      <w:r w:rsidRPr="00C40A8B">
        <w:rPr>
          <w:rFonts w:ascii="Book Antiqua" w:hAnsi="Book Antiqua"/>
        </w:rPr>
        <w:t>) is reduced by chronic stress like fatigue, stressful life events, inability to cope with stress, and shortness of sleep</w:t>
      </w:r>
      <w:r w:rsidRPr="00C40A8B">
        <w:rPr>
          <w:rFonts w:ascii="Book Antiqua" w:hAnsi="Book Antiqua"/>
          <w:noProof/>
          <w:vertAlign w:val="superscript"/>
        </w:rPr>
        <w:t>[99-103]</w:t>
      </w:r>
      <w:r w:rsidRPr="00C40A8B">
        <w:rPr>
          <w:rFonts w:ascii="Book Antiqua" w:hAnsi="Book Antiqua"/>
        </w:rPr>
        <w:t>. Therefore, such chronic stress has the potential to put the host in danger of infectious and autoimmune disease.</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Association of stress and cytokines</w:t>
      </w:r>
    </w:p>
    <w:p w:rsidR="00726399" w:rsidRPr="00C40A8B" w:rsidRDefault="00726399" w:rsidP="00E60C33">
      <w:pPr>
        <w:snapToGrid w:val="0"/>
        <w:spacing w:line="360" w:lineRule="auto"/>
        <w:rPr>
          <w:rFonts w:ascii="Book Antiqua" w:hAnsi="Book Antiqua"/>
        </w:rPr>
      </w:pPr>
      <w:r w:rsidRPr="00C40A8B">
        <w:rPr>
          <w:rFonts w:ascii="Book Antiqua" w:hAnsi="Book Antiqua"/>
        </w:rPr>
        <w:t>IL-1, IL-6, and TNF are well known pro-inflammatory cytokines. They are pleiotropic and work as both effectors and regulators of stress response composed of the HPA axis and the SNS</w:t>
      </w:r>
      <w:r w:rsidRPr="00C40A8B">
        <w:rPr>
          <w:rFonts w:ascii="Book Antiqua" w:hAnsi="Book Antiqua"/>
          <w:noProof/>
          <w:vertAlign w:val="superscript"/>
        </w:rPr>
        <w:t>[104-106]</w:t>
      </w:r>
      <w:r w:rsidRPr="00C40A8B">
        <w:rPr>
          <w:rFonts w:ascii="Book Antiqua" w:hAnsi="Book Antiqua"/>
        </w:rPr>
        <w:t xml:space="preserve">. </w:t>
      </w:r>
      <w:bookmarkStart w:id="517" w:name="OLE_LINK2393"/>
      <w:bookmarkStart w:id="518" w:name="OLE_LINK2394"/>
      <w:r w:rsidRPr="00C40A8B">
        <w:rPr>
          <w:rFonts w:ascii="Book Antiqua" w:hAnsi="Book Antiqua"/>
        </w:rPr>
        <w:t>NO</w:t>
      </w:r>
      <w:bookmarkEnd w:id="517"/>
      <w:bookmarkEnd w:id="518"/>
      <w:r w:rsidRPr="00C40A8B">
        <w:rPr>
          <w:rFonts w:ascii="Book Antiqua" w:hAnsi="Book Antiqua"/>
        </w:rPr>
        <w:t xml:space="preserve"> is also involved in the HPA axis response</w:t>
      </w:r>
      <w:r w:rsidRPr="00C40A8B">
        <w:rPr>
          <w:rFonts w:ascii="Book Antiqua" w:hAnsi="Book Antiqua"/>
          <w:noProof/>
          <w:vertAlign w:val="superscript"/>
        </w:rPr>
        <w:t>[107]</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IL-1 is a potent pro-inflammatory cytokine</w:t>
      </w:r>
      <w:r w:rsidRPr="00C40A8B">
        <w:rPr>
          <w:rFonts w:ascii="Book Antiqua" w:hAnsi="Book Antiqua"/>
          <w:noProof/>
          <w:vertAlign w:val="superscript"/>
        </w:rPr>
        <w:t>[108]</w:t>
      </w:r>
      <w:r w:rsidRPr="00C40A8B">
        <w:rPr>
          <w:rFonts w:ascii="Book Antiqua" w:hAnsi="Book Antiqua"/>
        </w:rPr>
        <w:t>, and is produced centrally and periphery following exposure to immunological and psychological stressors</w:t>
      </w:r>
      <w:r w:rsidRPr="00C40A8B">
        <w:rPr>
          <w:rFonts w:ascii="Book Antiqua" w:hAnsi="Book Antiqua"/>
          <w:noProof/>
          <w:vertAlign w:val="superscript"/>
        </w:rPr>
        <w:t>[105]</w:t>
      </w:r>
      <w:r w:rsidRPr="00C40A8B">
        <w:rPr>
          <w:rFonts w:ascii="Book Antiqua" w:hAnsi="Book Antiqua"/>
        </w:rPr>
        <w:t>. It directly activates the HPA axis and central nervous system, and can even cause depressive symptoms. IL-1 is also known to induce IL-6 strongly</w:t>
      </w:r>
      <w:r w:rsidRPr="00C40A8B">
        <w:rPr>
          <w:rFonts w:ascii="Book Antiqua" w:hAnsi="Book Antiqua"/>
          <w:noProof/>
          <w:vertAlign w:val="superscript"/>
        </w:rPr>
        <w:t>[104]</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color w:val="FF0000"/>
        </w:rPr>
      </w:pPr>
      <w:r w:rsidRPr="00C40A8B">
        <w:rPr>
          <w:rFonts w:ascii="Book Antiqua" w:hAnsi="Book Antiqua"/>
        </w:rPr>
        <w:t>IL-6 is induced by stress as well as by IL-1. Stress-induced increases in IL-6 are a robust finding, and increases are typically higher in adverse psychological conditions</w:t>
      </w:r>
      <w:r w:rsidRPr="00C40A8B">
        <w:rPr>
          <w:rFonts w:ascii="Book Antiqua" w:hAnsi="Book Antiqua"/>
          <w:noProof/>
          <w:vertAlign w:val="superscript"/>
        </w:rPr>
        <w:t>[104]</w:t>
      </w:r>
      <w:r w:rsidRPr="00C40A8B">
        <w:rPr>
          <w:rFonts w:ascii="Book Antiqua" w:hAnsi="Book Antiqua"/>
        </w:rPr>
        <w:t>. Work stress is associated with an enhancement of IL-6 production by leukocytes before and after infectious stressor and with a lower capacity of GC to suppress IL-6 production</w:t>
      </w:r>
      <w:r w:rsidRPr="00C40A8B">
        <w:rPr>
          <w:rFonts w:ascii="Book Antiqua" w:hAnsi="Book Antiqua"/>
          <w:noProof/>
          <w:vertAlign w:val="superscript"/>
        </w:rPr>
        <w:t>[109]</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Local and circulating IL-6 can influence the whole body via classical- and trans-signaling, respectively. In classical signaling, IL-6 works in cells that express the membrane-bound IL-6 receptor, but only few cells express it, so this signaling works locally. In trans-signaling, a complex of circulating IL-6 bound to the IL-6 receptor, which occurs naturally or by cleavage from apoptotic neutrophil, can control inflammatory response through binding with glycoprotein (gp130), displayed by all cells</w:t>
      </w:r>
      <w:r w:rsidRPr="00C40A8B">
        <w:rPr>
          <w:rFonts w:ascii="Book Antiqua" w:hAnsi="Book Antiqua"/>
          <w:noProof/>
          <w:vertAlign w:val="superscript"/>
        </w:rPr>
        <w:t>[110]</w:t>
      </w:r>
      <w:r w:rsidRPr="00C40A8B">
        <w:rPr>
          <w:rFonts w:ascii="Book Antiqua" w:hAnsi="Book Antiqua"/>
        </w:rPr>
        <w:t xml:space="preserve">. </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The underlying mechanism of IL-6 increase under stress is associated with activation of NF-κB</w:t>
      </w:r>
      <w:r w:rsidRPr="00C40A8B">
        <w:rPr>
          <w:rFonts w:ascii="Book Antiqua" w:hAnsi="Book Antiqua"/>
          <w:noProof/>
          <w:vertAlign w:val="superscript"/>
        </w:rPr>
        <w:t>[111,112]</w:t>
      </w:r>
      <w:r w:rsidRPr="00C40A8B">
        <w:rPr>
          <w:rFonts w:ascii="Book Antiqua" w:hAnsi="Book Antiqua"/>
        </w:rPr>
        <w:t>. Cortisol and catecholamines in the HPA axis and the SNS induce and enhance NF-κB activation under psychosocial stress</w:t>
      </w:r>
      <w:r w:rsidRPr="00C40A8B">
        <w:rPr>
          <w:rFonts w:ascii="Book Antiqua" w:hAnsi="Book Antiqua"/>
          <w:noProof/>
          <w:vertAlign w:val="superscript"/>
        </w:rPr>
        <w:t>[111,113]</w:t>
      </w:r>
      <w:r w:rsidRPr="00C40A8B">
        <w:rPr>
          <w:rFonts w:ascii="Book Antiqua" w:hAnsi="Book Antiqua"/>
        </w:rPr>
        <w:t xml:space="preserve">. </w:t>
      </w:r>
      <w:r w:rsidRPr="00C40A8B">
        <w:rPr>
          <w:rFonts w:ascii="Book Antiqua" w:hAnsi="Book Antiqua"/>
        </w:rPr>
        <w:lastRenderedPageBreak/>
        <w:t>Then, NF-κB induces IL-6 expression. IL-6 is not only a transcriptional target of NF-κB, but also an activator of NF-κB</w:t>
      </w:r>
      <w:r w:rsidRPr="00C40A8B">
        <w:rPr>
          <w:rFonts w:ascii="Book Antiqua" w:hAnsi="Book Antiqua"/>
          <w:noProof/>
          <w:vertAlign w:val="superscript"/>
        </w:rPr>
        <w:t>[114,115]</w:t>
      </w:r>
      <w:r w:rsidRPr="00C40A8B">
        <w:rPr>
          <w:rFonts w:ascii="Book Antiqua" w:hAnsi="Book Antiqua"/>
        </w:rPr>
        <w:t xml:space="preserve">. Therefore, a positive feedback loop can be made between the two. </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Chronic stress also disturbs the circadian rhythm of serum IL-6 levels. Although serum levels of IL-6 reflect circadian cycle, IL-6 decreases less during the night in individuals experiencing negative mood or fatigue than those experiencing uplift events</w:t>
      </w:r>
      <w:r w:rsidRPr="00C40A8B">
        <w:rPr>
          <w:rFonts w:ascii="Book Antiqua" w:hAnsi="Book Antiqua"/>
          <w:noProof/>
          <w:vertAlign w:val="superscript"/>
        </w:rPr>
        <w:t>[116]</w:t>
      </w:r>
      <w:r w:rsidRPr="00C40A8B">
        <w:rPr>
          <w:rFonts w:ascii="Book Antiqua" w:hAnsi="Book Antiqua"/>
        </w:rPr>
        <w:t>. Conversely, IL-6 elevation per se generates fatigue, fever, and sleep-related symptoms such as daytime somnolence</w:t>
      </w:r>
      <w:r w:rsidRPr="00C40A8B">
        <w:rPr>
          <w:rFonts w:ascii="Book Antiqua" w:hAnsi="Book Antiqua"/>
          <w:noProof/>
          <w:vertAlign w:val="superscript"/>
        </w:rPr>
        <w:t>[104]</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Additionally, TNF-α also increases under chronic psychosocial stress</w:t>
      </w:r>
      <w:r w:rsidRPr="00C40A8B">
        <w:rPr>
          <w:rFonts w:ascii="Book Antiqua" w:hAnsi="Book Antiqua"/>
          <w:noProof/>
          <w:vertAlign w:val="superscript"/>
        </w:rPr>
        <w:t>[103,117-120]</w:t>
      </w:r>
      <w:r w:rsidRPr="00C40A8B">
        <w:rPr>
          <w:rFonts w:ascii="Book Antiqua" w:hAnsi="Book Antiqua"/>
        </w:rPr>
        <w:t>. There is in fact a personality type associated with high TNF-α, distressed personality</w:t>
      </w:r>
      <w:r w:rsidRPr="00C40A8B">
        <w:rPr>
          <w:rFonts w:ascii="Book Antiqua" w:hAnsi="Book Antiqua"/>
          <w:noProof/>
          <w:vertAlign w:val="superscript"/>
        </w:rPr>
        <w:t>[121]</w:t>
      </w:r>
      <w:r w:rsidRPr="00C40A8B">
        <w:rPr>
          <w:rFonts w:ascii="Book Antiqua" w:hAnsi="Book Antiqua"/>
        </w:rPr>
        <w:t>. It may be a possible reason why final health status is different among individuals under the same stress.</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NO is generally identified as a molecule involved in neurotransmission, neuromodulation, controlling arterial diameter, and protecting blood vessels from deleterious consequences of platelet aggregation and activation of inflammatory responses</w:t>
      </w:r>
      <w:r w:rsidRPr="00C40A8B">
        <w:rPr>
          <w:rFonts w:ascii="Book Antiqua" w:hAnsi="Book Antiqua"/>
          <w:noProof/>
          <w:vertAlign w:val="superscript"/>
        </w:rPr>
        <w:t>[122,123]</w:t>
      </w:r>
      <w:r w:rsidRPr="00C40A8B">
        <w:rPr>
          <w:rFonts w:ascii="Book Antiqua" w:hAnsi="Book Antiqua"/>
        </w:rPr>
        <w:t>. It is also involved in the LPS-induced HPA axis response under basal conditions and during its adaptation to chronic social stress circumstances</w:t>
      </w:r>
      <w:r w:rsidRPr="00C40A8B">
        <w:rPr>
          <w:rFonts w:ascii="Book Antiqua" w:hAnsi="Book Antiqua"/>
          <w:noProof/>
          <w:vertAlign w:val="superscript"/>
        </w:rPr>
        <w:t>[107]</w:t>
      </w:r>
      <w:r w:rsidRPr="00C40A8B">
        <w:rPr>
          <w:rFonts w:ascii="Book Antiqua" w:hAnsi="Book Antiqua"/>
        </w:rPr>
        <w:t>. Excess NO induced by increased iNOS expression leads to the formation of a powerful oxidant, peroxynitrite. It results in cell death by many mechanisms, including lipid peroxidation, protein nitration, DNA damage, or the irreversible inhibition of respiration</w:t>
      </w:r>
      <w:r w:rsidRPr="00C40A8B">
        <w:rPr>
          <w:rFonts w:ascii="Book Antiqua" w:hAnsi="Book Antiqua"/>
          <w:noProof/>
          <w:vertAlign w:val="superscript"/>
        </w:rPr>
        <w:t>[124]</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The description above concerns the stress response of the whole body. Next, we will review the characteristics of the lateral wall that play a leading role in the stress response theory.</w:t>
      </w:r>
    </w:p>
    <w:p w:rsidR="00726399" w:rsidRPr="00C40A8B" w:rsidRDefault="00726399" w:rsidP="00E60C33">
      <w:pPr>
        <w:snapToGrid w:val="0"/>
        <w:spacing w:line="360" w:lineRule="auto"/>
        <w:rPr>
          <w:rFonts w:ascii="Book Antiqua" w:hAnsi="Book Antiqua"/>
          <w:lang w:eastAsia="zh-CN"/>
        </w:rPr>
      </w:pPr>
    </w:p>
    <w:p w:rsidR="00726399" w:rsidRPr="00C40A8B" w:rsidRDefault="00726399" w:rsidP="00E60C33">
      <w:pPr>
        <w:snapToGrid w:val="0"/>
        <w:spacing w:line="360" w:lineRule="auto"/>
        <w:rPr>
          <w:rFonts w:ascii="Book Antiqua" w:hAnsi="Book Antiqua"/>
          <w:b/>
        </w:rPr>
      </w:pPr>
      <w:r w:rsidRPr="00C40A8B">
        <w:rPr>
          <w:rFonts w:ascii="Book Antiqua" w:hAnsi="Book Antiqua"/>
          <w:b/>
        </w:rPr>
        <w:t>CHARACTERISTICS OF THE COCHLEAR LATERAL WALL</w:t>
      </w: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An essential role for cochlear homeostasis</w:t>
      </w:r>
    </w:p>
    <w:p w:rsidR="00726399" w:rsidRPr="00C40A8B" w:rsidRDefault="00726399" w:rsidP="00E60C33">
      <w:pPr>
        <w:snapToGrid w:val="0"/>
        <w:spacing w:line="360" w:lineRule="auto"/>
        <w:rPr>
          <w:rFonts w:ascii="Book Antiqua" w:hAnsi="Book Antiqua"/>
        </w:rPr>
      </w:pPr>
      <w:r w:rsidRPr="00C40A8B">
        <w:rPr>
          <w:rFonts w:ascii="Book Antiqua" w:hAnsi="Book Antiqua"/>
        </w:rPr>
        <w:t xml:space="preserve">The lateral wall consists of the stria vascularis and the spiral ligament, in which there are four types of fibrocytes (Figure 1). The fibrocytes are classified based </w:t>
      </w:r>
      <w:r w:rsidRPr="00C40A8B">
        <w:rPr>
          <w:rFonts w:ascii="Book Antiqua" w:hAnsi="Book Antiqua"/>
        </w:rPr>
        <w:lastRenderedPageBreak/>
        <w:t>on general location, and localization of sodium-potassium-</w:t>
      </w:r>
      <w:r w:rsidRPr="00C40A8B">
        <w:rPr>
          <w:rFonts w:ascii="Book Antiqua" w:hAnsi="Book Antiqua"/>
          <w:lang w:eastAsia="zh-CN"/>
        </w:rPr>
        <w:t xml:space="preserve"> </w:t>
      </w:r>
      <w:r w:rsidRPr="00C40A8B">
        <w:rPr>
          <w:rFonts w:ascii="Book Antiqua" w:hAnsi="Book Antiqua"/>
        </w:rPr>
        <w:t>adenosine-</w:t>
      </w:r>
      <w:r w:rsidRPr="00C40A8B">
        <w:rPr>
          <w:rFonts w:ascii="Book Antiqua" w:hAnsi="Book Antiqua"/>
          <w:lang w:eastAsia="zh-CN"/>
        </w:rPr>
        <w:t xml:space="preserve"> </w:t>
      </w:r>
      <w:r w:rsidRPr="00C40A8B">
        <w:rPr>
          <w:rFonts w:ascii="Book Antiqua" w:hAnsi="Book Antiqua"/>
        </w:rPr>
        <w:t>triphosphatase (Na</w:t>
      </w:r>
      <w:r w:rsidRPr="00C40A8B">
        <w:rPr>
          <w:rFonts w:ascii="Book Antiqua" w:hAnsi="Book Antiqua"/>
          <w:vertAlign w:val="superscript"/>
        </w:rPr>
        <w:t>+</w:t>
      </w:r>
      <w:r w:rsidRPr="00C40A8B">
        <w:rPr>
          <w:rFonts w:ascii="Book Antiqua" w:hAnsi="Book Antiqua"/>
        </w:rPr>
        <w:t>/K</w:t>
      </w:r>
      <w:r w:rsidRPr="00C40A8B">
        <w:rPr>
          <w:rFonts w:ascii="Book Antiqua" w:hAnsi="Book Antiqua"/>
          <w:vertAlign w:val="superscript"/>
        </w:rPr>
        <w:t>+</w:t>
      </w:r>
      <w:r w:rsidRPr="00C40A8B">
        <w:rPr>
          <w:rFonts w:ascii="Book Antiqua" w:hAnsi="Book Antiqua"/>
        </w:rPr>
        <w:t>-ATPase) and the gap junction protein connexin 26</w:t>
      </w:r>
      <w:r w:rsidRPr="00C40A8B">
        <w:rPr>
          <w:rFonts w:ascii="Book Antiqua" w:hAnsi="Book Antiqua"/>
          <w:noProof/>
          <w:vertAlign w:val="superscript"/>
        </w:rPr>
        <w:t>[125-128]</w:t>
      </w:r>
      <w:r w:rsidRPr="00C40A8B">
        <w:rPr>
          <w:rFonts w:ascii="Book Antiqua" w:hAnsi="Book Antiqua"/>
        </w:rPr>
        <w:t>. They have a critical role in the potassium ion recycling mechanism</w:t>
      </w:r>
      <w:r w:rsidRPr="00C40A8B">
        <w:rPr>
          <w:rFonts w:ascii="Book Antiqua" w:hAnsi="Book Antiqua"/>
          <w:noProof/>
          <w:vertAlign w:val="superscript"/>
        </w:rPr>
        <w:t>[129]</w:t>
      </w:r>
      <w:r w:rsidRPr="00C40A8B">
        <w:rPr>
          <w:rFonts w:ascii="Book Antiqua" w:hAnsi="Book Antiqua"/>
        </w:rPr>
        <w:t>, and could also be implicated in the mechanisms of glucose transport in the cochlea</w:t>
      </w:r>
      <w:r w:rsidRPr="00C40A8B">
        <w:rPr>
          <w:rFonts w:ascii="Book Antiqua" w:hAnsi="Book Antiqua"/>
          <w:noProof/>
          <w:vertAlign w:val="superscript"/>
        </w:rPr>
        <w:t>[130]</w:t>
      </w:r>
      <w:r w:rsidRPr="00C40A8B">
        <w:rPr>
          <w:rFonts w:ascii="Book Antiqua" w:hAnsi="Book Antiqua"/>
        </w:rPr>
        <w:t>. Type III fibrocytes have even contractility and regulate tension of the basilar membrane, thereby determining auditory sensitivity</w:t>
      </w:r>
      <w:r w:rsidRPr="00C40A8B">
        <w:rPr>
          <w:rFonts w:ascii="Book Antiqua" w:hAnsi="Book Antiqua"/>
          <w:noProof/>
          <w:vertAlign w:val="superscript"/>
        </w:rPr>
        <w:t>[131]</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In the stria vascularis, there are three types of cells that express multiple ion-transport apparatuses</w:t>
      </w:r>
      <w:r w:rsidRPr="00C40A8B">
        <w:rPr>
          <w:rFonts w:ascii="Book Antiqua" w:hAnsi="Book Antiqua"/>
          <w:noProof/>
          <w:vertAlign w:val="superscript"/>
        </w:rPr>
        <w:t>[132]</w:t>
      </w:r>
      <w:r w:rsidRPr="00C40A8B">
        <w:rPr>
          <w:rFonts w:ascii="Book Antiqua" w:hAnsi="Book Antiqua"/>
        </w:rPr>
        <w:t>. Therefore, the lateral wall is essential for maintaining cochlear homeostasis, and thus for normal hearing</w:t>
      </w:r>
      <w:r w:rsidRPr="00C40A8B">
        <w:rPr>
          <w:rFonts w:ascii="Book Antiqua" w:hAnsi="Book Antiqua"/>
          <w:noProof/>
          <w:vertAlign w:val="superscript"/>
        </w:rPr>
        <w:t>[125,132]</w:t>
      </w:r>
      <w:r w:rsidRPr="00C40A8B">
        <w:rPr>
          <w:rFonts w:ascii="Book Antiqua" w:hAnsi="Book Antiqua"/>
        </w:rPr>
        <w:t>. Degeneration of the lateral wall may be implicated in the survival of sensory cells</w:t>
      </w:r>
      <w:r w:rsidRPr="00C40A8B">
        <w:rPr>
          <w:rFonts w:ascii="Book Antiqua" w:hAnsi="Book Antiqua"/>
          <w:noProof/>
          <w:vertAlign w:val="superscript"/>
        </w:rPr>
        <w:t>[133]</w:t>
      </w:r>
      <w:r w:rsidRPr="00C40A8B">
        <w:rPr>
          <w:rFonts w:ascii="Book Antiqua" w:hAnsi="Book Antiqua"/>
        </w:rPr>
        <w:t xml:space="preserve">. </w:t>
      </w:r>
    </w:p>
    <w:p w:rsidR="00726399" w:rsidRPr="00C40A8B" w:rsidRDefault="00726399" w:rsidP="00E60C33">
      <w:pPr>
        <w:snapToGrid w:val="0"/>
        <w:spacing w:line="360" w:lineRule="auto"/>
        <w:rPr>
          <w:rFonts w:ascii="Book Antiqua" w:hAnsi="Book Antiqua"/>
          <w:b/>
          <w:i/>
          <w:lang w:eastAsia="zh-CN"/>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Association between the extent of lateral wall dysfunction and the degree of hearing loss</w:t>
      </w:r>
    </w:p>
    <w:p w:rsidR="00726399" w:rsidRPr="00C40A8B" w:rsidRDefault="00726399" w:rsidP="00E60C33">
      <w:pPr>
        <w:snapToGrid w:val="0"/>
        <w:spacing w:line="360" w:lineRule="auto"/>
        <w:rPr>
          <w:rFonts w:ascii="Book Antiqua" w:hAnsi="Book Antiqua"/>
        </w:rPr>
      </w:pPr>
      <w:r w:rsidRPr="00C40A8B">
        <w:rPr>
          <w:rFonts w:ascii="Book Antiqua" w:hAnsi="Book Antiqua"/>
        </w:rPr>
        <w:t>Matsunaga and his colleagues demonstrated that different degrees of acute energy failure in the cochlear lateral wall cause different degrees of degeneration of the lateral wall fibrocytes, resulting in different degrees of hearing loss (Figure 1E</w:t>
      </w:r>
      <w:r w:rsidRPr="00C40A8B">
        <w:rPr>
          <w:rFonts w:ascii="Book Antiqua" w:hAnsi="Book Antiqua"/>
          <w:lang w:eastAsia="zh-CN"/>
        </w:rPr>
        <w:t xml:space="preserve"> and </w:t>
      </w:r>
      <w:r w:rsidRPr="00C40A8B">
        <w:rPr>
          <w:rFonts w:ascii="Book Antiqua" w:hAnsi="Book Antiqua"/>
        </w:rPr>
        <w:t>F)</w:t>
      </w:r>
      <w:r w:rsidRPr="00C40A8B">
        <w:rPr>
          <w:rFonts w:ascii="Book Antiqua" w:hAnsi="Book Antiqua"/>
          <w:noProof/>
          <w:vertAlign w:val="superscript"/>
        </w:rPr>
        <w:t>[134-136]</w:t>
      </w:r>
      <w:r w:rsidRPr="00C40A8B">
        <w:rPr>
          <w:rFonts w:ascii="Book Antiqua" w:hAnsi="Book Antiqua"/>
        </w:rPr>
        <w:t>. They administered the mitochondrial toxin 3-nitropropionic acid (3-NP) in the rat cochlea through the round window. Five hundred mmol/L 3-NP caused a permanent threshold shift of more than 80 dB at 8-20 kHz three hours after 3-NP administration</w:t>
      </w:r>
      <w:r w:rsidRPr="00C40A8B">
        <w:rPr>
          <w:rFonts w:ascii="Book Antiqua" w:hAnsi="Book Antiqua"/>
          <w:noProof/>
          <w:vertAlign w:val="superscript"/>
        </w:rPr>
        <w:t>[136]</w:t>
      </w:r>
      <w:r w:rsidRPr="00C40A8B">
        <w:rPr>
          <w:rFonts w:ascii="Book Antiqua" w:hAnsi="Book Antiqua"/>
        </w:rPr>
        <w:t>. Marked degeneration of type II fibrocytes, type IV fibrocytes, and cells in the stria vascularis were detected at the same time. Lateral wall degeneration was progressive for at least 14 d. In the organ of Corti, mitochondrial translocation in outer hair cells and mild degeneration of Deiters cells were observed 7 and 14 d after the administration, respectively.</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On the other hand, 300 m</w:t>
      </w:r>
      <w:r w:rsidRPr="00C40A8B">
        <w:rPr>
          <w:rFonts w:ascii="Book Antiqua" w:hAnsi="Book Antiqua"/>
          <w:lang w:eastAsia="zh-CN"/>
        </w:rPr>
        <w:t>mol/L</w:t>
      </w:r>
      <w:r w:rsidRPr="00C40A8B">
        <w:rPr>
          <w:rFonts w:ascii="Book Antiqua" w:hAnsi="Book Antiqua"/>
        </w:rPr>
        <w:t xml:space="preserve"> 3-NP caused a completely reversible threshold shift at 8 kHz and degeneration of the lateral wall was not observed 3 wk after the 300 mmol/L 3-NP administration</w:t>
      </w:r>
      <w:r w:rsidRPr="00C40A8B">
        <w:rPr>
          <w:rFonts w:ascii="Book Antiqua" w:hAnsi="Book Antiqua"/>
          <w:noProof/>
          <w:vertAlign w:val="superscript"/>
        </w:rPr>
        <w:t>[135]</w:t>
      </w:r>
      <w:r w:rsidRPr="00C40A8B">
        <w:rPr>
          <w:rFonts w:ascii="Book Antiqua" w:hAnsi="Book Antiqua"/>
        </w:rPr>
        <w:t xml:space="preserve">. These suggest that mild </w:t>
      </w:r>
      <w:r w:rsidRPr="00C40A8B">
        <w:rPr>
          <w:rFonts w:ascii="Book Antiqua" w:hAnsi="Book Antiqua"/>
        </w:rPr>
        <w:lastRenderedPageBreak/>
        <w:t>energy failure of the lateral wall causes temporal and mild disturbance of cochlear homeostasis and temporal hearing loss without loss of inner ear cells. However, severe energy failure causes loss of the lateral wall cells, and then induces structural changes in the organ of Corti resulting in permanent hearing loss.</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 xml:space="preserve">Wang </w:t>
      </w:r>
      <w:r w:rsidRPr="00C40A8B">
        <w:rPr>
          <w:rFonts w:ascii="Book Antiqua" w:hAnsi="Book Antiqua"/>
          <w:i/>
        </w:rPr>
        <w:t>et al</w:t>
      </w:r>
      <w:r w:rsidRPr="00C40A8B">
        <w:rPr>
          <w:rFonts w:ascii="Book Antiqua" w:hAnsi="Book Antiqua"/>
          <w:noProof/>
          <w:vertAlign w:val="superscript"/>
        </w:rPr>
        <w:t>[137]</w:t>
      </w:r>
      <w:r w:rsidRPr="00C40A8B">
        <w:rPr>
          <w:rFonts w:ascii="Book Antiqua" w:hAnsi="Book Antiqua"/>
        </w:rPr>
        <w:t xml:space="preserve"> demonstrated that different intensities of an octave band noise (8-16 kHz) resulted in degeneration of different kinds of fibrocytes in the lateral wall and different degrees of hearing loss. In the lateral wall, 94 dB SPL noise caused loss of type IV fibrocytes alone, and resulted in only about</w:t>
      </w:r>
      <w:r w:rsidRPr="00C40A8B">
        <w:rPr>
          <w:rFonts w:ascii="Book Antiqua" w:hAnsi="Book Antiqua"/>
          <w:lang w:eastAsia="zh-CN"/>
        </w:rPr>
        <w:t xml:space="preserve"> </w:t>
      </w:r>
      <w:r w:rsidRPr="00C40A8B">
        <w:rPr>
          <w:rFonts w:ascii="Book Antiqua" w:hAnsi="Book Antiqua"/>
        </w:rPr>
        <w:t>10 dB threshold shift at most. However, more than 112 dB SPL noise caused loss of type I, II, and IV fibrocytes, and resulted in more than 60 dB threshold shift.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These findings suggest that degree of the energy failure and the extent of the dysfunctional region in the lateral wall are the critical indicators of the degree of acute hearing loss.</w:t>
      </w:r>
    </w:p>
    <w:p w:rsidR="00726399" w:rsidRPr="00C40A8B" w:rsidRDefault="00726399" w:rsidP="00E60C33">
      <w:pPr>
        <w:snapToGrid w:val="0"/>
        <w:spacing w:line="360" w:lineRule="auto"/>
        <w:rPr>
          <w:rFonts w:ascii="Book Antiqua" w:hAnsi="Book Antiqua"/>
          <w:b/>
          <w:i/>
          <w:lang w:eastAsia="zh-CN"/>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Change of a region where NF-κB is activated in the lateral wall</w:t>
      </w:r>
    </w:p>
    <w:p w:rsidR="00726399" w:rsidRPr="00C40A8B" w:rsidRDefault="00726399" w:rsidP="00E60C33">
      <w:pPr>
        <w:snapToGrid w:val="0"/>
        <w:spacing w:line="360" w:lineRule="auto"/>
        <w:rPr>
          <w:rFonts w:ascii="Book Antiqua" w:hAnsi="Book Antiqua"/>
        </w:rPr>
      </w:pPr>
      <w:r w:rsidRPr="00C40A8B">
        <w:rPr>
          <w:rFonts w:ascii="Book Antiqua" w:hAnsi="Book Antiqua"/>
        </w:rPr>
        <w:t>NF-κB is activated in the lateral wall 24 h or earlier after loading stressors (Table 3)</w:t>
      </w:r>
      <w:r w:rsidRPr="00C40A8B">
        <w:rPr>
          <w:rFonts w:ascii="Book Antiqua" w:hAnsi="Book Antiqua"/>
          <w:noProof/>
          <w:vertAlign w:val="superscript"/>
        </w:rPr>
        <w:t>[138-143]</w:t>
      </w:r>
      <w:r w:rsidRPr="00C40A8B">
        <w:rPr>
          <w:rFonts w:ascii="Book Antiqua" w:hAnsi="Book Antiqua"/>
        </w:rPr>
        <w:t>. Interestingly, the region where NF-κB is activated changes in the lateral wall depending on the kind of stressor, the degree of the stress intensity, and/or the genetic background of animal.</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 xml:space="preserve">Adams </w:t>
      </w:r>
      <w:r w:rsidRPr="00C40A8B">
        <w:rPr>
          <w:rFonts w:ascii="Book Antiqua" w:hAnsi="Book Antiqua"/>
          <w:i/>
        </w:rPr>
        <w:t>et al</w:t>
      </w:r>
      <w:r w:rsidRPr="00C40A8B">
        <w:rPr>
          <w:rFonts w:ascii="Book Antiqua" w:hAnsi="Book Antiqua"/>
          <w:noProof/>
          <w:vertAlign w:val="superscript"/>
        </w:rPr>
        <w:t>[138]</w:t>
      </w:r>
      <w:r w:rsidRPr="00C40A8B">
        <w:rPr>
          <w:rFonts w:ascii="Book Antiqua" w:hAnsi="Book Antiqua"/>
        </w:rPr>
        <w:t xml:space="preserve"> demonstrated that NF-κB of type I fibrocytes was mainly activated by an octave-band noise (90-112dB SPL) exposure using CBA/J (Figure 1B). Masuda </w:t>
      </w:r>
      <w:r w:rsidRPr="00C40A8B">
        <w:rPr>
          <w:rFonts w:ascii="Book Antiqua" w:hAnsi="Book Antiqua"/>
          <w:i/>
        </w:rPr>
        <w:t>et al</w:t>
      </w:r>
      <w:r w:rsidRPr="00C40A8B">
        <w:rPr>
          <w:rFonts w:ascii="Book Antiqua" w:hAnsi="Book Antiqua"/>
          <w:noProof/>
          <w:vertAlign w:val="superscript"/>
        </w:rPr>
        <w:t>[141]</w:t>
      </w:r>
      <w:r w:rsidRPr="00C40A8B">
        <w:rPr>
          <w:rFonts w:ascii="Book Antiqua" w:hAnsi="Book Antiqua"/>
        </w:rPr>
        <w:t xml:space="preserve"> applied noise more than two orders of magnitude greater (124 dB SPL), and demonstrated that NF-κB of the whole lateral wall was activated using C57/Bl6J mice. Miyao </w:t>
      </w:r>
      <w:r w:rsidRPr="00C40A8B">
        <w:rPr>
          <w:rFonts w:ascii="Book Antiqua" w:hAnsi="Book Antiqua"/>
          <w:i/>
        </w:rPr>
        <w:t>et al</w:t>
      </w:r>
      <w:r w:rsidRPr="00C40A8B">
        <w:rPr>
          <w:rFonts w:ascii="Book Antiqua" w:hAnsi="Book Antiqua"/>
          <w:noProof/>
          <w:vertAlign w:val="superscript"/>
        </w:rPr>
        <w:t>[140]</w:t>
      </w:r>
      <w:r w:rsidRPr="00C40A8B">
        <w:rPr>
          <w:rFonts w:ascii="Book Antiqua" w:hAnsi="Book Antiqua"/>
        </w:rPr>
        <w:t xml:space="preserve"> demonstrated that NF-κB of type I, II, and IV fibrocytes was activated by octave-band noise (118</w:t>
      </w:r>
      <w:r w:rsidRPr="00C40A8B">
        <w:rPr>
          <w:rFonts w:ascii="Book Antiqua" w:hAnsi="Book Antiqua"/>
          <w:lang w:eastAsia="zh-CN"/>
        </w:rPr>
        <w:t xml:space="preserve"> </w:t>
      </w:r>
      <w:r w:rsidRPr="00C40A8B">
        <w:rPr>
          <w:rFonts w:ascii="Book Antiqua" w:hAnsi="Book Antiqua"/>
        </w:rPr>
        <w:t>dB SPL) exposure using Swiss-Webster mice. These results suggest that the same kind of stressor at different intensities or with different genetic backgrounds activates NF-κB of different regions in the lateral wall.</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lastRenderedPageBreak/>
        <w:t>Different kinds of stressors also cause the different regional activation of NF-κB. As mentioned above, noise first induces NF-κB activation of type I fibrocytes in the CBA/Bl6J mice. However, systemic inflammatory stress by peritoneal injection of LPS, a Gram-negative bacterial component, induces the activation in type II fibrocytes with little activation in type I fibrocytes in mice of the same genetic background (Figure 1A)</w:t>
      </w:r>
      <w:r w:rsidRPr="00C40A8B">
        <w:rPr>
          <w:rFonts w:ascii="Book Antiqua" w:hAnsi="Book Antiqua"/>
          <w:noProof/>
          <w:vertAlign w:val="superscript"/>
        </w:rPr>
        <w:t>[73,138]</w:t>
      </w:r>
      <w:r w:rsidRPr="00C40A8B">
        <w:rPr>
          <w:rFonts w:ascii="Book Antiqua" w:hAnsi="Book Antiqua"/>
        </w:rPr>
        <w:t>. Systemic TNF secretion by intraperitoneal anti-CD3 or taxol injection induces the same NF-κB activation as that by LPS</w:t>
      </w:r>
      <w:r w:rsidRPr="00C40A8B">
        <w:rPr>
          <w:rFonts w:ascii="Book Antiqua" w:hAnsi="Book Antiqua"/>
          <w:noProof/>
          <w:vertAlign w:val="superscript"/>
        </w:rPr>
        <w:t>[138]</w:t>
      </w:r>
      <w:r w:rsidRPr="00C40A8B">
        <w:rPr>
          <w:rFonts w:ascii="Book Antiqua" w:hAnsi="Book Antiqua"/>
        </w:rPr>
        <w:t>. In another report, intraperitoneal administration of cisplatin induces NF-κB activation in the whole lateral wall (Figure 1C), and this activation was inhibited by TNF-α inhibitor</w:t>
      </w:r>
      <w:r w:rsidRPr="00C40A8B">
        <w:rPr>
          <w:rFonts w:ascii="Book Antiqua" w:hAnsi="Book Antiqua"/>
          <w:noProof/>
          <w:vertAlign w:val="superscript"/>
        </w:rPr>
        <w:t>[142]</w:t>
      </w:r>
      <w:r w:rsidRPr="00C40A8B">
        <w:rPr>
          <w:rFonts w:ascii="Book Antiqua" w:hAnsi="Book Antiqua"/>
        </w:rPr>
        <w:t xml:space="preserve">. These suggest that LPS and cisplatin induces NF-κB activation through TNF and/or other factors that remain to be determined. </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Prompt and more intense NF-κB activation in the lateral wall responding to multiple stressors than a single stressor</w:t>
      </w:r>
    </w:p>
    <w:p w:rsidR="00726399" w:rsidRPr="00C40A8B" w:rsidRDefault="00726399" w:rsidP="00E60C33">
      <w:pPr>
        <w:snapToGrid w:val="0"/>
        <w:spacing w:line="360" w:lineRule="auto"/>
        <w:rPr>
          <w:rFonts w:ascii="Book Antiqua" w:hAnsi="Book Antiqua"/>
        </w:rPr>
      </w:pPr>
      <w:r w:rsidRPr="00C40A8B">
        <w:rPr>
          <w:rFonts w:ascii="Book Antiqua" w:hAnsi="Book Antiqua"/>
        </w:rPr>
        <w:t>NF-κB activation in the lateral wall is quick after loading a stressor. For example, activation was confirmed two hours after noise exposure in the whole lateral wall of C57/Bl6J mice, and less but still significant activation was observed after 72 h (Table 3)</w:t>
      </w:r>
      <w:r w:rsidRPr="00C40A8B">
        <w:rPr>
          <w:rFonts w:ascii="Book Antiqua" w:hAnsi="Book Antiqua"/>
          <w:noProof/>
          <w:vertAlign w:val="superscript"/>
        </w:rPr>
        <w:t>[141]</w:t>
      </w:r>
      <w:r w:rsidRPr="00C40A8B">
        <w:rPr>
          <w:rFonts w:ascii="Book Antiqua" w:hAnsi="Book Antiqua"/>
        </w:rPr>
        <w:t>. Using Swiss-Webster mice, the activation was observed four hours after noise exposure but not seven d after</w:t>
      </w:r>
      <w:r w:rsidRPr="00C40A8B">
        <w:rPr>
          <w:rFonts w:ascii="Book Antiqua" w:hAnsi="Book Antiqua"/>
          <w:noProof/>
          <w:vertAlign w:val="superscript"/>
        </w:rPr>
        <w:t>[139]</w:t>
      </w:r>
      <w:r w:rsidRPr="00C40A8B">
        <w:rPr>
          <w:rFonts w:ascii="Book Antiqua" w:hAnsi="Book Antiqua"/>
        </w:rPr>
        <w:t>. With intraperitoneal LPS, taxol, or anti-CD3 injection, it was observed in the type I fibrocytes of CBA/CaJ mice after 24 h</w:t>
      </w:r>
      <w:r w:rsidRPr="00C40A8B">
        <w:rPr>
          <w:rFonts w:ascii="Book Antiqua" w:hAnsi="Book Antiqua"/>
          <w:noProof/>
          <w:vertAlign w:val="superscript"/>
        </w:rPr>
        <w:t>[138]</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 xml:space="preserve">The promptly activated NF-κB regulates expression of several inflammatory factors like IL-1β, IL-6, TNF-α, iNOS, ICAM-1, and </w:t>
      </w:r>
      <w:r w:rsidRPr="00C40A8B">
        <w:rPr>
          <w:rFonts w:ascii="Book Antiqua" w:eastAsia="MS PGothic" w:hAnsi="Book Antiqua"/>
          <w:color w:val="000000"/>
          <w:kern w:val="0"/>
        </w:rPr>
        <w:t>vascular cell adhesion molecule 1 (</w:t>
      </w:r>
      <w:r w:rsidRPr="00C40A8B">
        <w:rPr>
          <w:rFonts w:ascii="Book Antiqua" w:hAnsi="Book Antiqua"/>
        </w:rPr>
        <w:t>VCAM-1). IL-1β, IL-6, and TNF-α are pro-inflammatory cytokines and they are effectors and regulators of the HPA axis and the SNS, and excess NO induced by iNOS increase results in cell death, as discussed previously (section I-</w:t>
      </w:r>
      <w:r w:rsidRPr="00C40A8B">
        <w:rPr>
          <w:rFonts w:ascii="Book Antiqua" w:hAnsi="Book Antiqua"/>
          <w:lang w:eastAsia="zh-CN"/>
        </w:rPr>
        <w:t>III</w:t>
      </w:r>
      <w:r w:rsidRPr="00C40A8B">
        <w:rPr>
          <w:rFonts w:ascii="Book Antiqua" w:hAnsi="Book Antiqua"/>
        </w:rPr>
        <w:t xml:space="preserve">). ICAM-1 and VCAM-1 are critical in mediating adhesion of leukocytes to vascular endothelial cells and transendothelial migration in a </w:t>
      </w:r>
      <w:r w:rsidRPr="00C40A8B">
        <w:rPr>
          <w:rFonts w:ascii="Book Antiqua" w:hAnsi="Book Antiqua"/>
        </w:rPr>
        <w:lastRenderedPageBreak/>
        <w:t>variety of acute and chronic inflammatory diseases</w:t>
      </w:r>
      <w:r w:rsidRPr="00C40A8B">
        <w:rPr>
          <w:rFonts w:ascii="Book Antiqua" w:hAnsi="Book Antiqua"/>
          <w:noProof/>
          <w:vertAlign w:val="superscript"/>
        </w:rPr>
        <w:t>[144,145]</w:t>
      </w:r>
      <w:r w:rsidRPr="00C40A8B">
        <w:rPr>
          <w:rFonts w:ascii="Book Antiqua" w:hAnsi="Book Antiqua"/>
        </w:rPr>
        <w:t>. They also play an essential role in regulating microvascular permeability</w:t>
      </w:r>
      <w:r w:rsidRPr="00C40A8B">
        <w:rPr>
          <w:rFonts w:ascii="Book Antiqua" w:hAnsi="Book Antiqua"/>
          <w:noProof/>
          <w:vertAlign w:val="superscript"/>
        </w:rPr>
        <w:t>[146]</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 xml:space="preserve">It is noteworthy that multiple stressors enhance and prolong the NF-κB activation and the target gene expression, as compared with a single stressor. Miyao </w:t>
      </w:r>
      <w:r w:rsidRPr="00C40A8B">
        <w:rPr>
          <w:rFonts w:ascii="Book Antiqua" w:hAnsi="Book Antiqua"/>
          <w:i/>
        </w:rPr>
        <w:t>et al</w:t>
      </w:r>
      <w:r w:rsidRPr="00C40A8B">
        <w:rPr>
          <w:rFonts w:ascii="Book Antiqua" w:hAnsi="Book Antiqua"/>
          <w:noProof/>
          <w:vertAlign w:val="superscript"/>
        </w:rPr>
        <w:t>[140]</w:t>
      </w:r>
      <w:r w:rsidRPr="00C40A8B">
        <w:rPr>
          <w:rFonts w:ascii="Book Antiqua" w:hAnsi="Book Antiqua"/>
        </w:rPr>
        <w:t xml:space="preserve"> demonstrated that noise-exposure plus intrathecal antigen injection induced longer NF-κB activation, much more intense and wider regional ICAM-1 expression, and more leukocytes induction in the lateral wall than noise-exposure alone or antigen injection alone. The NF-κB activation was observed four hours after but not seven d after noise-exposure alone. On the other hand, with noise-exposure plus antigen challenge, the activation was observed even seven d after.  </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rPr>
      </w:pPr>
      <w:r w:rsidRPr="00C40A8B">
        <w:rPr>
          <w:rFonts w:ascii="Book Antiqua" w:hAnsi="Book Antiqua"/>
          <w:b/>
        </w:rPr>
        <w:t>STRESS RESPONSE THEORY</w:t>
      </w: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The original stress response theory of ISHL</w:t>
      </w:r>
    </w:p>
    <w:p w:rsidR="00726399" w:rsidRPr="00C40A8B" w:rsidRDefault="00726399" w:rsidP="00E60C33">
      <w:pPr>
        <w:snapToGrid w:val="0"/>
        <w:spacing w:line="360" w:lineRule="auto"/>
        <w:rPr>
          <w:rFonts w:ascii="Book Antiqua" w:hAnsi="Book Antiqua"/>
        </w:rPr>
      </w:pPr>
      <w:r w:rsidRPr="00C40A8B">
        <w:rPr>
          <w:rFonts w:ascii="Book Antiqua" w:hAnsi="Book Antiqua"/>
        </w:rPr>
        <w:t>There is an anecdotal hypothesis about the onset of ISHL, in which so-called “stress” (</w:t>
      </w:r>
      <w:r w:rsidRPr="00C40A8B">
        <w:rPr>
          <w:rFonts w:ascii="Book Antiqua" w:hAnsi="Book Antiqua"/>
          <w:i/>
        </w:rPr>
        <w:t>i.e.</w:t>
      </w:r>
      <w:r w:rsidRPr="00C40A8B">
        <w:rPr>
          <w:rFonts w:ascii="Book Antiqua" w:hAnsi="Book Antiqua"/>
          <w:i/>
          <w:lang w:eastAsia="zh-CN"/>
        </w:rPr>
        <w:t>,</w:t>
      </w:r>
      <w:r w:rsidRPr="00C40A8B">
        <w:rPr>
          <w:rFonts w:ascii="Book Antiqua" w:hAnsi="Book Antiqua"/>
        </w:rPr>
        <w:t xml:space="preserve"> psychological and physical stressors) may be associated with the onset of ISHL. It is reported that fatigue, stressful life events, inability to cope with stress, and shortness of sleep are involved in the onset of ISHL</w:t>
      </w:r>
      <w:r w:rsidRPr="00C40A8B">
        <w:rPr>
          <w:rFonts w:ascii="Book Antiqua" w:hAnsi="Book Antiqua"/>
          <w:noProof/>
          <w:vertAlign w:val="superscript"/>
        </w:rPr>
        <w:t>[147-149]</w:t>
      </w:r>
      <w:r w:rsidRPr="00C40A8B">
        <w:rPr>
          <w:rFonts w:ascii="Book Antiqua" w:hAnsi="Book Antiqua"/>
        </w:rPr>
        <w:t xml:space="preserve">. However, this hypothesis has a contradictory survey, as the other hypotheses do (Table 1 and see Merchant </w:t>
      </w:r>
      <w:r w:rsidRPr="00C40A8B">
        <w:rPr>
          <w:rFonts w:ascii="Book Antiqua" w:hAnsi="Book Antiqua"/>
          <w:i/>
        </w:rPr>
        <w:t>et al</w:t>
      </w:r>
      <w:r w:rsidRPr="00C40A8B">
        <w:rPr>
          <w:rFonts w:ascii="Book Antiqua" w:hAnsi="Book Antiqua"/>
          <w:noProof/>
          <w:vertAlign w:val="superscript"/>
        </w:rPr>
        <w:t>[150]</w:t>
      </w:r>
      <w:r w:rsidRPr="00C40A8B">
        <w:rPr>
          <w:rFonts w:ascii="Book Antiqua" w:hAnsi="Book Antiqua"/>
        </w:rPr>
        <w:t xml:space="preserve">). According to a survey by Japanese Ministry of Health, Labor and Welfare in 1975, rates of ISHL patients complaining of psychological and physical stress were unexpectedly low, 13.7% and 22.5% respectively. This may suggest that a subjective scale of stress is different among individuals and it is difficult to analyze individual stress just by questionnaires. </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 xml:space="preserve">Concerning the viral hypothesis, many reports could not show histopathological and biomolecular evidences of viral invasion or infection of the inner ear. With respect to the vascular hypothesis, it alone is not enough to explain the clinical characteristics of ISHL. For example, ISHL is not necessarily </w:t>
      </w:r>
      <w:r w:rsidRPr="00C40A8B">
        <w:rPr>
          <w:rFonts w:ascii="Book Antiqua" w:hAnsi="Book Antiqua"/>
        </w:rPr>
        <w:lastRenderedPageBreak/>
        <w:t>more prevalent in the elderly, does not accompany other vascular disease, and does not generally recur, making it very different from the cerebral ischemia. Furthermore, only two of 29 ears with ISHL examined showed histopathological evidence of vascular insult to the cochlea, consisting of deposition of connective tissue and new bone within the cochlea.</w:t>
      </w:r>
    </w:p>
    <w:p w:rsidR="00726399" w:rsidRPr="00C40A8B" w:rsidRDefault="00726399" w:rsidP="00E60C33">
      <w:pPr>
        <w:snapToGrid w:val="0"/>
        <w:spacing w:line="360" w:lineRule="auto"/>
        <w:ind w:firstLineChars="100" w:firstLine="240"/>
        <w:rPr>
          <w:rFonts w:ascii="Book Antiqua" w:hAnsi="Book Antiqua"/>
          <w:color w:val="000000"/>
        </w:rPr>
      </w:pPr>
      <w:r w:rsidRPr="00C40A8B">
        <w:rPr>
          <w:rFonts w:ascii="Book Antiqua" w:hAnsi="Book Antiqua"/>
        </w:rPr>
        <w:t xml:space="preserve">Finally, Adams </w:t>
      </w:r>
      <w:r w:rsidRPr="00C40A8B">
        <w:rPr>
          <w:rFonts w:ascii="Book Antiqua" w:hAnsi="Book Antiqua"/>
          <w:i/>
        </w:rPr>
        <w:t>et al</w:t>
      </w:r>
      <w:r w:rsidRPr="00C40A8B">
        <w:rPr>
          <w:rFonts w:ascii="Book Antiqua" w:hAnsi="Book Antiqua"/>
          <w:noProof/>
          <w:vertAlign w:val="superscript"/>
        </w:rPr>
        <w:t>[73,138]</w:t>
      </w:r>
      <w:r w:rsidRPr="00C40A8B">
        <w:rPr>
          <w:rFonts w:ascii="Book Antiqua" w:hAnsi="Book Antiqua"/>
        </w:rPr>
        <w:t xml:space="preserve"> proposed that the stress response of the lateral wall to systemic stress is the cause of ISHL</w:t>
      </w:r>
      <w:r w:rsidRPr="00C40A8B">
        <w:rPr>
          <w:rFonts w:ascii="Book Antiqua" w:hAnsi="Book Antiqua"/>
          <w:noProof/>
          <w:vertAlign w:val="superscript"/>
        </w:rPr>
        <w:t>[52]</w:t>
      </w:r>
      <w:r w:rsidRPr="00C40A8B">
        <w:rPr>
          <w:rFonts w:ascii="Book Antiqua" w:hAnsi="Book Antiqua"/>
        </w:rPr>
        <w:t xml:space="preserve">. They observed the inner ear of a patient who died nine d after the onset of ISHL. In the affected cochlea, the organ of Corti showed marked swelling with edema, vacuole formation within the cytoplasm, and blurring of cell boundaries. They interpreted this as evidence that the cells in the organ of Corti were under severe osmotic stress, which must have resulted from lymphatic homeostasis disruption in the cochlea. </w:t>
      </w:r>
      <w:r w:rsidRPr="00C40A8B">
        <w:rPr>
          <w:rFonts w:ascii="Book Antiqua" w:hAnsi="Book Antiqua"/>
          <w:color w:val="000000"/>
        </w:rPr>
        <w:t>In their paper published in 2005, they speculated that osmotic stress-induced NF-κB activation within the supporting cells may be an important mechanism causing ISHL in addition to the activation in the lateral wall</w:t>
      </w:r>
      <w:r w:rsidRPr="00C40A8B">
        <w:rPr>
          <w:rFonts w:ascii="Book Antiqua" w:hAnsi="Book Antiqua"/>
          <w:noProof/>
          <w:color w:val="000000"/>
          <w:vertAlign w:val="superscript"/>
        </w:rPr>
        <w:t>[52]</w:t>
      </w:r>
      <w:r w:rsidRPr="00C40A8B">
        <w:rPr>
          <w:rFonts w:ascii="Book Antiqua" w:hAnsi="Book Antiqua"/>
          <w:color w:val="000000"/>
        </w:rPr>
        <w:t>. However, using a sophisticated animal model in 2009, they demonstrated that cells of the organ of Corti and spiral ganglion were remarkable for the lack of NF-κB activation by systemic inflammatory stress</w:t>
      </w:r>
      <w:r w:rsidRPr="00C40A8B">
        <w:rPr>
          <w:rFonts w:ascii="Book Antiqua" w:hAnsi="Book Antiqua"/>
          <w:noProof/>
          <w:color w:val="000000"/>
          <w:vertAlign w:val="superscript"/>
        </w:rPr>
        <w:t>[138]</w:t>
      </w:r>
      <w:r w:rsidRPr="00C40A8B">
        <w:rPr>
          <w:rFonts w:ascii="Book Antiqua" w:hAnsi="Book Antiqua"/>
          <w:color w:val="000000"/>
        </w:rPr>
        <w:t xml:space="preserve">. On the other hand, type II fibrocytes in the lateral wall predominantly showed the activation. The lateral wall plays an essential role in maintaining the cochlear homeostasis. In addition, NF-κB is a well-known transcription factor that directly leads to inflammatory cytokine production, and it was observed in animal and human lateral walls, but not in the organ of Corti. Conclusively, the original hypothesis by Adams </w:t>
      </w:r>
      <w:r w:rsidRPr="00C40A8B">
        <w:rPr>
          <w:rFonts w:ascii="Book Antiqua" w:hAnsi="Book Antiqua"/>
          <w:i/>
          <w:color w:val="000000"/>
        </w:rPr>
        <w:t>et al</w:t>
      </w:r>
      <w:r w:rsidRPr="00C40A8B">
        <w:rPr>
          <w:rFonts w:ascii="Book Antiqua" w:hAnsi="Book Antiqua"/>
          <w:noProof/>
          <w:color w:val="000000"/>
          <w:vertAlign w:val="superscript"/>
        </w:rPr>
        <w:t>[138]</w:t>
      </w:r>
      <w:r w:rsidRPr="00C40A8B">
        <w:rPr>
          <w:rFonts w:ascii="Book Antiqua" w:hAnsi="Book Antiqua"/>
          <w:color w:val="000000"/>
        </w:rPr>
        <w:t xml:space="preserve"> is that ISHL is the result of the stress response of the cochlear lateral wall through NF-κB activation responding to the systemic stress and dysfunction of the lateral wall, and the changes of the organ of Corti cells are the secondary phenomenon to the lateral wall dysfunction.</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 xml:space="preserve">They demonstrated that intraperitoneal LPS injection, </w:t>
      </w:r>
      <w:r w:rsidRPr="00C40A8B">
        <w:rPr>
          <w:rFonts w:ascii="Book Antiqua" w:hAnsi="Book Antiqua"/>
          <w:i/>
        </w:rPr>
        <w:t>i.e.</w:t>
      </w:r>
      <w:r w:rsidRPr="00C40A8B">
        <w:rPr>
          <w:rFonts w:ascii="Book Antiqua" w:hAnsi="Book Antiqua"/>
          <w:i/>
          <w:lang w:eastAsia="zh-CN"/>
        </w:rPr>
        <w:t>,</w:t>
      </w:r>
      <w:r w:rsidRPr="00C40A8B">
        <w:rPr>
          <w:rFonts w:ascii="Book Antiqua" w:hAnsi="Book Antiqua"/>
        </w:rPr>
        <w:t xml:space="preserve"> systemic stress, </w:t>
      </w:r>
      <w:r w:rsidRPr="00C40A8B">
        <w:rPr>
          <w:rFonts w:ascii="Book Antiqua" w:hAnsi="Book Antiqua"/>
        </w:rPr>
        <w:lastRenderedPageBreak/>
        <w:t xml:space="preserve">consistently resulted in NF-κB activation in the lateral wall unilaterally but not bilaterally, and the intratympanic LPS injection, </w:t>
      </w:r>
      <w:r w:rsidRPr="00C40A8B">
        <w:rPr>
          <w:rFonts w:ascii="Book Antiqua" w:hAnsi="Book Antiqua"/>
          <w:i/>
        </w:rPr>
        <w:t>i.e.</w:t>
      </w:r>
      <w:r w:rsidRPr="00C40A8B">
        <w:rPr>
          <w:rFonts w:ascii="Book Antiqua" w:hAnsi="Book Antiqua"/>
          <w:i/>
          <w:lang w:eastAsia="zh-CN"/>
        </w:rPr>
        <w:t>,</w:t>
      </w:r>
      <w:r w:rsidRPr="00C40A8B">
        <w:rPr>
          <w:rFonts w:ascii="Book Antiqua" w:hAnsi="Book Antiqua"/>
        </w:rPr>
        <w:t xml:space="preserve"> local stress, did not induce the lateral wall NF-κB activation of the mouse cochlea (Figure 1A</w:t>
      </w:r>
      <w:r w:rsidRPr="00C40A8B">
        <w:rPr>
          <w:rFonts w:ascii="Book Antiqua" w:hAnsi="Book Antiqua"/>
          <w:lang w:eastAsia="zh-CN"/>
        </w:rPr>
        <w:t xml:space="preserve"> and </w:t>
      </w:r>
      <w:r w:rsidRPr="00C40A8B">
        <w:rPr>
          <w:rFonts w:ascii="Book Antiqua" w:hAnsi="Book Antiqua"/>
        </w:rPr>
        <w:t>D). This seems to reflect the clinical characteristics of the onset of ISHL: acute onset is consistent with the prompt activation profile of NF-κB, most of cases with ISHL are unilateral, and it is not accompanied with the middle ear inflammation. They speculated that systemic cytokines like TNF-α induced by intraperitoneal LPS injection activate the lateral wall NF-κB.</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However, intraperitoneal LPS injection alone activates NF-κB in the type II fibrocytes alone and did not cause hearing loss in mice</w:t>
      </w:r>
      <w:r w:rsidRPr="00C40A8B">
        <w:rPr>
          <w:rFonts w:ascii="Book Antiqua" w:hAnsi="Book Antiqua"/>
          <w:noProof/>
          <w:vertAlign w:val="superscript"/>
        </w:rPr>
        <w:t>[138]</w:t>
      </w:r>
      <w:r w:rsidRPr="00C40A8B">
        <w:rPr>
          <w:rFonts w:ascii="Book Antiqua" w:hAnsi="Book Antiqua"/>
        </w:rPr>
        <w:t xml:space="preserve">. Additionally, intraperitoneal injection of anti-CD3 and taxol, which are known to induce TNF secretion, activate NF-κB in the type II cells alone. These observations shed light on the two points: </w:t>
      </w:r>
      <w:r w:rsidRPr="00C40A8B">
        <w:rPr>
          <w:rFonts w:ascii="Book Antiqua" w:hAnsi="Book Antiqua"/>
          <w:lang w:eastAsia="zh-CN"/>
        </w:rPr>
        <w:t>(</w:t>
      </w:r>
      <w:r w:rsidRPr="00C40A8B">
        <w:rPr>
          <w:rFonts w:ascii="Book Antiqua" w:hAnsi="Book Antiqua"/>
        </w:rPr>
        <w:t>1</w:t>
      </w:r>
      <w:r w:rsidRPr="00C40A8B">
        <w:rPr>
          <w:rFonts w:ascii="Book Antiqua" w:hAnsi="Book Antiqua"/>
          <w:lang w:eastAsia="zh-CN"/>
        </w:rPr>
        <w:t>)</w:t>
      </w:r>
      <w:r w:rsidRPr="00C40A8B">
        <w:rPr>
          <w:rFonts w:ascii="Book Antiqua" w:hAnsi="Book Antiqua"/>
        </w:rPr>
        <w:t xml:space="preserve"> a wider range of NF-κB activation in the lateral wall is needed to cause hearing loss</w:t>
      </w:r>
      <w:r w:rsidRPr="00C40A8B">
        <w:rPr>
          <w:rFonts w:ascii="Book Antiqua" w:hAnsi="Book Antiqua"/>
          <w:lang w:eastAsia="zh-CN"/>
        </w:rPr>
        <w:t>; and</w:t>
      </w:r>
      <w:r w:rsidRPr="00C40A8B">
        <w:rPr>
          <w:rFonts w:ascii="Book Antiqua" w:hAnsi="Book Antiqua"/>
        </w:rPr>
        <w:t xml:space="preserve"> </w:t>
      </w:r>
      <w:r w:rsidRPr="00C40A8B">
        <w:rPr>
          <w:rFonts w:ascii="Book Antiqua" w:hAnsi="Book Antiqua"/>
          <w:lang w:eastAsia="zh-CN"/>
        </w:rPr>
        <w:t>(</w:t>
      </w:r>
      <w:r w:rsidRPr="00C40A8B">
        <w:rPr>
          <w:rFonts w:ascii="Book Antiqua" w:hAnsi="Book Antiqua"/>
        </w:rPr>
        <w:t>2</w:t>
      </w:r>
      <w:r w:rsidRPr="00C40A8B">
        <w:rPr>
          <w:rFonts w:ascii="Book Antiqua" w:hAnsi="Book Antiqua"/>
          <w:lang w:eastAsia="zh-CN"/>
        </w:rPr>
        <w:t>)</w:t>
      </w:r>
      <w:r w:rsidRPr="00C40A8B">
        <w:rPr>
          <w:rFonts w:ascii="Book Antiqua" w:hAnsi="Book Antiqua"/>
        </w:rPr>
        <w:t xml:space="preserve"> systemic stress by infection followed by cytokine increase alone is not enough to induce such a wide range of NF-κB activation. Therefore, the synergistic effect of multiple stressors must be necessary to induce the wide range of lateral wall NF-κB activation resulting in hearing loss.</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Next, we will discuss and review how a variety of stressors including psychological and physical stressors converge in lateral wall NF-κB activation and cause ISHL.</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The integrative stress response theory of ISHL</w:t>
      </w:r>
    </w:p>
    <w:p w:rsidR="00726399" w:rsidRPr="00C40A8B" w:rsidRDefault="00726399" w:rsidP="00E60C33">
      <w:pPr>
        <w:snapToGrid w:val="0"/>
        <w:spacing w:line="360" w:lineRule="auto"/>
        <w:rPr>
          <w:rFonts w:ascii="Book Antiqua" w:hAnsi="Book Antiqua"/>
        </w:rPr>
      </w:pPr>
      <w:r w:rsidRPr="00C40A8B">
        <w:rPr>
          <w:rFonts w:ascii="Book Antiqua" w:hAnsi="Book Antiqua"/>
        </w:rPr>
        <w:t xml:space="preserve">We have reviewed how psychosocial and physical stress affect the HPA axis, the SNS, the immune system, inflammatory factors, and a cytokine network. These systemic stress responses can synergistically induce and enhance lateral wall NF-κB activation (Figure 2). Although it is still impossible to demonstrate the live NF-κB activation in the human cochlea, Masuda </w:t>
      </w:r>
      <w:r w:rsidRPr="00C40A8B">
        <w:rPr>
          <w:rFonts w:ascii="Book Antiqua" w:hAnsi="Book Antiqua"/>
          <w:i/>
        </w:rPr>
        <w:t>et al</w:t>
      </w:r>
      <w:r w:rsidRPr="00C40A8B">
        <w:rPr>
          <w:rFonts w:ascii="Book Antiqua" w:hAnsi="Book Antiqua"/>
          <w:noProof/>
          <w:vertAlign w:val="superscript"/>
        </w:rPr>
        <w:t>[51]</w:t>
      </w:r>
      <w:r w:rsidRPr="00C40A8B">
        <w:rPr>
          <w:rFonts w:ascii="Book Antiqua" w:hAnsi="Book Antiqua"/>
        </w:rPr>
        <w:t xml:space="preserve"> recently found</w:t>
      </w:r>
      <w:r w:rsidRPr="00C40A8B">
        <w:rPr>
          <w:rFonts w:ascii="Book Antiqua" w:hAnsi="Book Antiqua"/>
          <w:color w:val="FF0000"/>
        </w:rPr>
        <w:t xml:space="preserve"> </w:t>
      </w:r>
      <w:r w:rsidRPr="00C40A8B">
        <w:rPr>
          <w:rFonts w:ascii="Book Antiqua" w:hAnsi="Book Antiqua"/>
        </w:rPr>
        <w:t xml:space="preserve">evidence for the stress response theory using ISHL patients’ blood sample </w:t>
      </w:r>
      <w:r w:rsidRPr="00C40A8B">
        <w:rPr>
          <w:rFonts w:ascii="Book Antiqua" w:hAnsi="Book Antiqua"/>
        </w:rPr>
        <w:lastRenderedPageBreak/>
        <w:t xml:space="preserve">analysis. </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So-called “stress,” as in chronic psychosocial and physical stress, results in EP and NEP increases through the HPA axis and SNS activation, and the cochlear lateral wall expresses these receptors (Table 2). Therefore, the stress-induced catecholamines can induce and enhance NEP-dependent NF-κB activation. Therefore, the stress-induced catecholamines can induce and enhance NEP-dependent NF-κB activation</w:t>
      </w:r>
      <w:r w:rsidRPr="00C40A8B">
        <w:rPr>
          <w:rFonts w:ascii="Book Antiqua" w:hAnsi="Book Antiqua"/>
          <w:noProof/>
          <w:vertAlign w:val="superscript"/>
        </w:rPr>
        <w:t>[111,151]</w:t>
      </w:r>
      <w:r w:rsidRPr="00C40A8B">
        <w:rPr>
          <w:rFonts w:ascii="Book Antiqua" w:hAnsi="Book Antiqua"/>
        </w:rPr>
        <w:t>, and induce the target gene expression including pro-inflammatory cytokine, adhesion molecules, and iNOS (Table 3).</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Stress decreases NKCA, resulting in dysregulation of the immune system and subclinical infections. This immune system disturbance is involved in the stress response theory. In fact, some authors have suggested that subclinical infection is associated with onset in some ISHL patients after detecting the elevated erythrocyte sedimentation rate or specific antibodies against viruses</w:t>
      </w:r>
      <w:r w:rsidRPr="00C40A8B">
        <w:rPr>
          <w:rFonts w:ascii="Book Antiqua" w:hAnsi="Book Antiqua"/>
          <w:noProof/>
          <w:vertAlign w:val="superscript"/>
        </w:rPr>
        <w:t>[44,47,152]</w:t>
      </w:r>
      <w:r w:rsidRPr="00C40A8B">
        <w:rPr>
          <w:rFonts w:ascii="Book Antiqua" w:hAnsi="Book Antiqua"/>
        </w:rPr>
        <w:t>.</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Infection also enhances immune system dysregulation, cytokine production, and psychological stress</w:t>
      </w:r>
      <w:r w:rsidRPr="00C40A8B">
        <w:rPr>
          <w:rFonts w:ascii="Book Antiqua" w:hAnsi="Book Antiqua"/>
          <w:noProof/>
          <w:vertAlign w:val="superscript"/>
        </w:rPr>
        <w:t>[153]</w:t>
      </w:r>
      <w:r w:rsidRPr="00C40A8B">
        <w:rPr>
          <w:rFonts w:ascii="Book Antiqua" w:hAnsi="Book Antiqua"/>
        </w:rPr>
        <w:t>. Note that bacteria and virus do not attack the inner ear directly in the ‘infection’ we describe here, but they change the whole immune system and have influence on the inner ear homeostasis afterward. These will lead to an increase of circulating neutrophil and cytokines like IL-6; there is a positive feedback loop between neutrophil and IL-6</w:t>
      </w:r>
      <w:r w:rsidRPr="00C40A8B">
        <w:rPr>
          <w:rFonts w:ascii="Book Antiqua" w:hAnsi="Book Antiqua"/>
          <w:noProof/>
          <w:vertAlign w:val="superscript"/>
        </w:rPr>
        <w:t>[154-156]</w:t>
      </w:r>
      <w:r w:rsidRPr="00C40A8B">
        <w:rPr>
          <w:rFonts w:ascii="Book Antiqua" w:hAnsi="Book Antiqua"/>
        </w:rPr>
        <w:t>. Stress also results in an abnormal immune state. Furthermore, the neutrophil increase induces cochlear energy shortage by impeding the blood flow, because neutrophils have a thrombogenic profile and are known to have association with the risk and prognosis of myocardial infarction and stroke</w:t>
      </w:r>
      <w:r w:rsidRPr="00C40A8B">
        <w:rPr>
          <w:rFonts w:ascii="Book Antiqua" w:hAnsi="Book Antiqua"/>
          <w:noProof/>
          <w:vertAlign w:val="superscript"/>
        </w:rPr>
        <w:t>[157-159]</w:t>
      </w:r>
      <w:r w:rsidRPr="00C40A8B">
        <w:rPr>
          <w:rFonts w:ascii="Book Antiqua" w:hAnsi="Book Antiqua"/>
        </w:rPr>
        <w:t>. Such an energy shortage induces stress response of the cochlear lateral wall.</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Increase of circulating cytokines can also activate lateral wall NF-κB. IL-6 is a target and a regulator of NF-κB, and can have an impact on the NF-κB activation through classic and trans-signaling because the IL-6 receptor and gp130 are expressed in the lateral wall</w:t>
      </w:r>
      <w:r w:rsidRPr="00C40A8B">
        <w:rPr>
          <w:rFonts w:ascii="Book Antiqua" w:hAnsi="Book Antiqua"/>
          <w:noProof/>
          <w:vertAlign w:val="superscript"/>
        </w:rPr>
        <w:t>[160]</w:t>
      </w:r>
      <w:r w:rsidRPr="00C40A8B">
        <w:rPr>
          <w:rFonts w:ascii="Book Antiqua" w:hAnsi="Book Antiqua"/>
        </w:rPr>
        <w:t xml:space="preserve">. Circulating TNF-α activates NF-κB of the lateral wall. It also enhances microvascular tone and reduces blood flow in </w:t>
      </w:r>
      <w:r w:rsidRPr="00C40A8B">
        <w:rPr>
          <w:rFonts w:ascii="Book Antiqua" w:hAnsi="Book Antiqua"/>
        </w:rPr>
        <w:lastRenderedPageBreak/>
        <w:t>the cochlea</w:t>
      </w:r>
      <w:r w:rsidRPr="00C40A8B">
        <w:rPr>
          <w:rFonts w:ascii="Book Antiqua" w:hAnsi="Book Antiqua"/>
          <w:noProof/>
          <w:vertAlign w:val="superscript"/>
        </w:rPr>
        <w:t>[161]</w:t>
      </w:r>
      <w:r w:rsidRPr="00C40A8B">
        <w:rPr>
          <w:rFonts w:ascii="Book Antiqua" w:hAnsi="Book Antiqua"/>
        </w:rPr>
        <w:t xml:space="preserve">, resulting in the lateral wall energy shortage. </w:t>
      </w:r>
    </w:p>
    <w:p w:rsidR="00726399" w:rsidRPr="00C40A8B" w:rsidRDefault="00726399" w:rsidP="00E60C33">
      <w:pPr>
        <w:snapToGrid w:val="0"/>
        <w:spacing w:line="360" w:lineRule="auto"/>
        <w:ind w:firstLineChars="100" w:firstLine="240"/>
        <w:rPr>
          <w:rFonts w:ascii="Book Antiqua" w:hAnsi="Book Antiqua"/>
          <w:color w:val="000000"/>
        </w:rPr>
      </w:pPr>
      <w:r w:rsidRPr="00C40A8B">
        <w:rPr>
          <w:rFonts w:ascii="Book Antiqua" w:hAnsi="Book Antiqua"/>
        </w:rPr>
        <w:t xml:space="preserve">The whole systemic stressors mentioned above converge synergistically to the NF-κB activation in the lateral wall. The NF-κB activation initiates inflammatory responses in the </w:t>
      </w:r>
      <w:r w:rsidRPr="00C40A8B">
        <w:rPr>
          <w:rFonts w:ascii="Book Antiqua" w:hAnsi="Book Antiqua"/>
          <w:color w:val="000000"/>
        </w:rPr>
        <w:t>lateral wall locally. The NF-κB-induced inflammatory cytokines will affect the lateral wall cell function that maintains cochlear homeostasis. The cytokines will also exacerbate inflammatory responses of the lateral wall through enhancing vascular permeability and recruitment of leukocytes</w:t>
      </w:r>
      <w:r w:rsidRPr="00C40A8B">
        <w:rPr>
          <w:rFonts w:ascii="Book Antiqua" w:hAnsi="Book Antiqua"/>
          <w:noProof/>
          <w:color w:val="000000"/>
          <w:vertAlign w:val="superscript"/>
        </w:rPr>
        <w:t>[162,163]</w:t>
      </w:r>
      <w:r w:rsidRPr="00C40A8B">
        <w:rPr>
          <w:rFonts w:ascii="Book Antiqua" w:hAnsi="Book Antiqua"/>
          <w:color w:val="000000"/>
        </w:rPr>
        <w:t>, because the blood supply to the lateral wall is abundant. In rabbits, for example, the lateral wall contains more than 80% of total cochlear blood</w:t>
      </w:r>
      <w:r w:rsidRPr="00C40A8B">
        <w:rPr>
          <w:rFonts w:ascii="Book Antiqua" w:hAnsi="Book Antiqua"/>
          <w:noProof/>
          <w:color w:val="000000"/>
          <w:vertAlign w:val="superscript"/>
        </w:rPr>
        <w:t>[164]</w:t>
      </w:r>
      <w:r w:rsidRPr="00C40A8B">
        <w:rPr>
          <w:rFonts w:ascii="Book Antiqua" w:hAnsi="Book Antiqua"/>
          <w:color w:val="000000"/>
        </w:rPr>
        <w:t>. The disruption of cochlear homeostasis ultimately causes ISHL. In fact, an ISHL-affected ear has high concentration of proteins in the inner ear fluid space using fluid-attenuated inversion recovery MRI</w:t>
      </w:r>
      <w:r w:rsidRPr="00C40A8B">
        <w:rPr>
          <w:rFonts w:ascii="Book Antiqua" w:hAnsi="Book Antiqua"/>
          <w:noProof/>
          <w:color w:val="000000"/>
          <w:vertAlign w:val="superscript"/>
        </w:rPr>
        <w:t>[165-167]</w:t>
      </w:r>
      <w:r w:rsidRPr="00C40A8B">
        <w:rPr>
          <w:rFonts w:ascii="Book Antiqua" w:hAnsi="Book Antiqua"/>
          <w:color w:val="000000"/>
        </w:rPr>
        <w:t>, suggesting the disruption of cochlear homeostasis.</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To explain clinical characteristics of ISHL, the integrative stress response theory should be integrated with other possible factors. At first, ISHL usually affects the unilateral ear, and the prevalence is much lower in childhood than in adulthood. Minor pre-existing subclinical damage in the inner ear or asymmetry of terminal vascular structure (for example, stenotic or not stenotic, straight or torturous) could be a potential explanation for the clinical characteristics of ISHL.</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All persons under stress do not suffer from ISHL. Therefore, there must be innate factors for ISHL onset, probably including polymorphisms of genes encoding coagulation factors, vascular tone, and cytokines, among others (Table 1). Even individual personality is likely be involved in differential stress response.</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Summary of the stress response theory</w:t>
      </w:r>
    </w:p>
    <w:p w:rsidR="00726399" w:rsidRPr="00C40A8B" w:rsidRDefault="00726399" w:rsidP="00E60C33">
      <w:pPr>
        <w:snapToGrid w:val="0"/>
        <w:spacing w:line="360" w:lineRule="auto"/>
        <w:rPr>
          <w:rFonts w:ascii="Book Antiqua" w:hAnsi="Book Antiqua"/>
        </w:rPr>
      </w:pPr>
      <w:r w:rsidRPr="00C40A8B">
        <w:rPr>
          <w:rFonts w:ascii="Book Antiqua" w:hAnsi="Book Antiqua"/>
        </w:rPr>
        <w:t xml:space="preserve">A quest for a single definitive cause of ISHL does not seem to be reasonable after reviewing the literature. The basic and critical concept of the stress </w:t>
      </w:r>
      <w:r w:rsidRPr="00C40A8B">
        <w:rPr>
          <w:rFonts w:ascii="Book Antiqua" w:hAnsi="Book Antiqua"/>
        </w:rPr>
        <w:lastRenderedPageBreak/>
        <w:t xml:space="preserve">response theory is that ISHL must not result from a specific single and local cause in the inner ear. Moreover, ISHL should encompass several causes contributing to different degrees of severity and prognosis. Synchronism of different types of factors and different degrees of contribution of each factor could result in the individual ISHL case. Some of these factors must occur rarely, and each factor must occur in a temporally appropriate order to trigger pathological NF-κB activation in the cochlear lateral wall. Therefore, ISHL does not recur frequently, even in the same individual. </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snapToGrid w:val="0"/>
        <w:spacing w:line="360" w:lineRule="auto"/>
        <w:rPr>
          <w:rFonts w:ascii="Book Antiqua" w:hAnsi="Book Antiqua"/>
          <w:b/>
          <w:i/>
        </w:rPr>
      </w:pPr>
      <w:r w:rsidRPr="00C40A8B">
        <w:rPr>
          <w:rFonts w:ascii="Book Antiqua" w:hAnsi="Book Antiqua"/>
          <w:b/>
          <w:i/>
        </w:rPr>
        <w:t>Future studies about ISHL in terms of the stress response theory</w:t>
      </w:r>
    </w:p>
    <w:p w:rsidR="00726399" w:rsidRPr="00C40A8B" w:rsidRDefault="00726399" w:rsidP="00E60C33">
      <w:pPr>
        <w:snapToGrid w:val="0"/>
        <w:spacing w:line="360" w:lineRule="auto"/>
        <w:rPr>
          <w:rFonts w:ascii="Book Antiqua" w:hAnsi="Book Antiqua"/>
        </w:rPr>
      </w:pPr>
      <w:r w:rsidRPr="00C40A8B">
        <w:rPr>
          <w:rFonts w:ascii="Book Antiqua" w:hAnsi="Book Antiqua"/>
        </w:rPr>
        <w:t>We have described the possibility that psychosocial and physical stress increase the likelihood of disruption of cochlear homeostasis. Long-term stress should be detected objectively, as in HbA1c for analyzing blood sugar level over periods of one or two months in diabetic patients.  Monocyte chemotactic protein-1, epidermal growth factor, and vascular endothelial growth factor have been expected to be prolonged psychosocial stress markers</w:t>
      </w:r>
      <w:r w:rsidRPr="00C40A8B">
        <w:rPr>
          <w:rFonts w:ascii="Book Antiqua" w:hAnsi="Book Antiqua"/>
          <w:noProof/>
          <w:vertAlign w:val="superscript"/>
        </w:rPr>
        <w:t>[168]</w:t>
      </w:r>
      <w:r w:rsidRPr="00C40A8B">
        <w:rPr>
          <w:rFonts w:ascii="Book Antiqua" w:hAnsi="Book Antiqua"/>
        </w:rPr>
        <w:t>, but the validity is still controversial</w:t>
      </w:r>
      <w:r w:rsidRPr="00C40A8B">
        <w:rPr>
          <w:rFonts w:ascii="Book Antiqua" w:hAnsi="Book Antiqua"/>
          <w:noProof/>
          <w:vertAlign w:val="superscript"/>
        </w:rPr>
        <w:t>[169]</w:t>
      </w:r>
      <w:r w:rsidRPr="00C40A8B">
        <w:rPr>
          <w:rFonts w:ascii="Book Antiqua" w:hAnsi="Book Antiqua"/>
        </w:rPr>
        <w:t>. There are controversies about the association of pro-inflammatory cytokines and ISHL as well</w:t>
      </w:r>
      <w:r w:rsidRPr="00C40A8B">
        <w:rPr>
          <w:rFonts w:ascii="Book Antiqua" w:hAnsi="Book Antiqua"/>
          <w:noProof/>
          <w:vertAlign w:val="superscript"/>
        </w:rPr>
        <w:t>[30-35,40,51]</w:t>
      </w:r>
      <w:r w:rsidRPr="00C40A8B">
        <w:rPr>
          <w:rFonts w:ascii="Book Antiqua" w:hAnsi="Book Antiqua"/>
        </w:rPr>
        <w:t xml:space="preserve"> (Table</w:t>
      </w:r>
      <w:r w:rsidRPr="00C40A8B">
        <w:rPr>
          <w:rFonts w:ascii="Book Antiqua" w:hAnsi="Book Antiqua"/>
          <w:lang w:eastAsia="zh-CN"/>
        </w:rPr>
        <w:t xml:space="preserve"> </w:t>
      </w:r>
      <w:r w:rsidRPr="00C40A8B">
        <w:rPr>
          <w:rFonts w:ascii="Book Antiqua" w:hAnsi="Book Antiqua"/>
        </w:rPr>
        <w:t xml:space="preserve">1). It may not be enough to measure and analyze the value of each biomarker separately. A new method that analyzes a complicated network consisting of multiple factors will be needed. Broderick </w:t>
      </w:r>
      <w:r w:rsidRPr="00C40A8B">
        <w:rPr>
          <w:rFonts w:ascii="Book Antiqua" w:hAnsi="Book Antiqua"/>
          <w:i/>
        </w:rPr>
        <w:t>et al</w:t>
      </w:r>
      <w:r w:rsidRPr="00C40A8B">
        <w:rPr>
          <w:rFonts w:ascii="Book Antiqua" w:hAnsi="Book Antiqua"/>
          <w:noProof/>
          <w:vertAlign w:val="superscript"/>
        </w:rPr>
        <w:t>[170]</w:t>
      </w:r>
      <w:r w:rsidRPr="00C40A8B">
        <w:rPr>
          <w:rFonts w:ascii="Book Antiqua" w:hAnsi="Book Antiqua"/>
        </w:rPr>
        <w:t xml:space="preserve"> focused on the network of cytokines in which cytokine-cytokine associations are demonstrated topologically, and they demonstrated that the network of subjects with chronic fatigue syndrome deferred in topology significantly compared with healthy subjects.</w:t>
      </w:r>
    </w:p>
    <w:p w:rsidR="00726399" w:rsidRPr="00C40A8B" w:rsidRDefault="00726399" w:rsidP="00E60C33">
      <w:pPr>
        <w:snapToGrid w:val="0"/>
        <w:spacing w:line="360" w:lineRule="auto"/>
        <w:ind w:firstLineChars="100" w:firstLine="240"/>
        <w:rPr>
          <w:rFonts w:ascii="Book Antiqua" w:hAnsi="Book Antiqua"/>
        </w:rPr>
      </w:pPr>
      <w:r w:rsidRPr="00C40A8B">
        <w:rPr>
          <w:rFonts w:ascii="Book Antiqua" w:hAnsi="Book Antiqua"/>
        </w:rPr>
        <w:t>Therefore, it is vital to integrate of our knowledge and comprehensive analysis of possible etiologies to reveal the pathophysiology of ISHL.</w:t>
      </w:r>
    </w:p>
    <w:p w:rsidR="00726399" w:rsidRPr="00C40A8B" w:rsidRDefault="00726399" w:rsidP="00E60C33">
      <w:pPr>
        <w:snapToGrid w:val="0"/>
        <w:spacing w:line="360" w:lineRule="auto"/>
        <w:ind w:firstLineChars="236" w:firstLine="566"/>
        <w:rPr>
          <w:rFonts w:ascii="Book Antiqua" w:hAnsi="Book Antiqua"/>
        </w:rPr>
      </w:pPr>
    </w:p>
    <w:p w:rsidR="00726399" w:rsidRPr="00C40A8B" w:rsidRDefault="00726399" w:rsidP="00E60C33">
      <w:pPr>
        <w:widowControl/>
        <w:snapToGrid w:val="0"/>
        <w:spacing w:line="360" w:lineRule="auto"/>
        <w:rPr>
          <w:rFonts w:ascii="Book Antiqua" w:hAnsi="Book Antiqua"/>
          <w:b/>
          <w:lang w:eastAsia="zh-CN"/>
        </w:rPr>
      </w:pPr>
      <w:r w:rsidRPr="00C40A8B">
        <w:rPr>
          <w:rFonts w:ascii="Book Antiqua" w:hAnsi="Book Antiqua"/>
          <w:b/>
        </w:rPr>
        <w:t>REFERENCES</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 </w:t>
      </w:r>
      <w:r w:rsidRPr="00C40A8B">
        <w:rPr>
          <w:rFonts w:ascii="Book Antiqua" w:hAnsi="Book Antiqua" w:cs="宋体"/>
          <w:b/>
          <w:bCs/>
          <w:kern w:val="0"/>
          <w:lang w:eastAsia="zh-CN"/>
        </w:rPr>
        <w:t>Fusconi M</w:t>
      </w:r>
      <w:r w:rsidRPr="00C40A8B">
        <w:rPr>
          <w:rFonts w:ascii="Book Antiqua" w:hAnsi="Book Antiqua" w:cs="宋体"/>
          <w:kern w:val="0"/>
          <w:lang w:eastAsia="zh-CN"/>
        </w:rPr>
        <w:t xml:space="preserve">, Chistolini A, Angelosanto N, Pignoloni P, Tombolini M, De Virgilio A, Pagliarella M, de Vincentiis M. Role of genetic and acquired prothrombotic risk factors in genesis of sudden sensorineural hearing loss.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16</w:t>
      </w:r>
      <w:r w:rsidRPr="00C40A8B">
        <w:rPr>
          <w:rFonts w:ascii="Book Antiqua" w:hAnsi="Book Antiqua" w:cs="宋体"/>
          <w:kern w:val="0"/>
          <w:lang w:eastAsia="zh-CN"/>
        </w:rPr>
        <w:t>: 185-190 [PMID: 20798492 DOI: 10.1159/000319310]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 </w:t>
      </w:r>
      <w:r w:rsidRPr="00C40A8B">
        <w:rPr>
          <w:rFonts w:ascii="Book Antiqua" w:hAnsi="Book Antiqua" w:cs="宋体"/>
          <w:b/>
          <w:bCs/>
          <w:kern w:val="0"/>
          <w:lang w:eastAsia="zh-CN"/>
        </w:rPr>
        <w:t>Fusconi M</w:t>
      </w:r>
      <w:r w:rsidRPr="00C40A8B">
        <w:rPr>
          <w:rFonts w:ascii="Book Antiqua" w:hAnsi="Book Antiqua" w:cs="宋体"/>
          <w:kern w:val="0"/>
          <w:lang w:eastAsia="zh-CN"/>
        </w:rPr>
        <w:t xml:space="preserve">, Chistolini A, de Virgilio A, Greco A, Massaro F, Turchetta R, Benincasa AT, Tombolini M, de Vincentiis M. Sudden sensorineural hearing loss: a vascular cause? Analysis of prothrombotic risk factors in head and neck. </w:t>
      </w:r>
      <w:r w:rsidRPr="00C40A8B">
        <w:rPr>
          <w:rFonts w:ascii="Book Antiqua" w:hAnsi="Book Antiqua" w:cs="宋体"/>
          <w:i/>
          <w:iCs/>
          <w:kern w:val="0"/>
          <w:lang w:eastAsia="zh-CN"/>
        </w:rPr>
        <w:t>Int J Audiol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51</w:t>
      </w:r>
      <w:r w:rsidRPr="00C40A8B">
        <w:rPr>
          <w:rFonts w:ascii="Book Antiqua" w:hAnsi="Book Antiqua" w:cs="宋体"/>
          <w:kern w:val="0"/>
          <w:lang w:eastAsia="zh-CN"/>
        </w:rPr>
        <w:t>: 800-805 [PMID: 22928918 DOI: 10.3109/14992027.2012.705904]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 </w:t>
      </w:r>
      <w:r w:rsidRPr="00C40A8B">
        <w:rPr>
          <w:rFonts w:ascii="Book Antiqua" w:hAnsi="Book Antiqua" w:cs="宋体"/>
          <w:b/>
          <w:bCs/>
          <w:kern w:val="0"/>
          <w:lang w:eastAsia="zh-CN"/>
        </w:rPr>
        <w:t>Lin C</w:t>
      </w:r>
      <w:r w:rsidRPr="00C40A8B">
        <w:rPr>
          <w:rFonts w:ascii="Book Antiqua" w:hAnsi="Book Antiqua" w:cs="宋体"/>
          <w:kern w:val="0"/>
          <w:lang w:eastAsia="zh-CN"/>
        </w:rPr>
        <w:t xml:space="preserve">, Hsu HT, Lin YS, Weng SF. Increased risk of getting sudden sensorineural hearing loss in patients with chronic kidney disease: a population-based cohort study.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123</w:t>
      </w:r>
      <w:r w:rsidRPr="00C40A8B">
        <w:rPr>
          <w:rFonts w:ascii="Book Antiqua" w:hAnsi="Book Antiqua" w:cs="宋体"/>
          <w:kern w:val="0"/>
          <w:lang w:eastAsia="zh-CN"/>
        </w:rPr>
        <w:t>: 767-773 [PMID: 22927011 DOI: 10.1002/lary.23669]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 </w:t>
      </w:r>
      <w:r w:rsidRPr="00C40A8B">
        <w:rPr>
          <w:rFonts w:ascii="Book Antiqua" w:hAnsi="Book Antiqua" w:cs="宋体"/>
          <w:b/>
          <w:bCs/>
          <w:kern w:val="0"/>
          <w:lang w:eastAsia="zh-CN"/>
        </w:rPr>
        <w:t>Ballesteros F</w:t>
      </w:r>
      <w:r w:rsidRPr="00C40A8B">
        <w:rPr>
          <w:rFonts w:ascii="Book Antiqua" w:hAnsi="Book Antiqua" w:cs="宋体"/>
          <w:kern w:val="0"/>
          <w:lang w:eastAsia="zh-CN"/>
        </w:rPr>
        <w:t xml:space="preserve">, Alobid I, Tassies D, Reverter JC, Scharf RE, Guilemany JM, Bernal-Sprekelsen M. Is there an overlap between sudden neurosensorial hearing loss and cardiovascular risk factors?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14</w:t>
      </w:r>
      <w:r w:rsidRPr="00C40A8B">
        <w:rPr>
          <w:rFonts w:ascii="Book Antiqua" w:hAnsi="Book Antiqua" w:cs="宋体"/>
          <w:kern w:val="0"/>
          <w:lang w:eastAsia="zh-CN"/>
        </w:rPr>
        <w:t>: 139-145 [PMID: 19005247 DOI: 10.1159/000171475]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 </w:t>
      </w:r>
      <w:r w:rsidRPr="00C40A8B">
        <w:rPr>
          <w:rFonts w:ascii="Book Antiqua" w:hAnsi="Book Antiqua" w:cs="宋体"/>
          <w:b/>
          <w:bCs/>
          <w:kern w:val="0"/>
          <w:lang w:eastAsia="zh-CN"/>
        </w:rPr>
        <w:t>Ballesteros F</w:t>
      </w:r>
      <w:r w:rsidRPr="00C40A8B">
        <w:rPr>
          <w:rFonts w:ascii="Book Antiqua" w:hAnsi="Book Antiqua" w:cs="宋体"/>
          <w:kern w:val="0"/>
          <w:lang w:eastAsia="zh-CN"/>
        </w:rPr>
        <w:t xml:space="preserve">, Tassies D, Reverter JC, Alobid I, Bernal-Sprekelsen M. Idiopathic sudden sensorineural hearing loss: classic cardiovascular and new genetic risk factors.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17</w:t>
      </w:r>
      <w:r w:rsidRPr="00C40A8B">
        <w:rPr>
          <w:rFonts w:ascii="Book Antiqua" w:hAnsi="Book Antiqua" w:cs="宋体"/>
          <w:kern w:val="0"/>
          <w:lang w:eastAsia="zh-CN"/>
        </w:rPr>
        <w:t>: 400-408 [PMID: 22948415 DOI: 10.1159/000341989]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 </w:t>
      </w:r>
      <w:r w:rsidRPr="00C40A8B">
        <w:rPr>
          <w:rFonts w:ascii="Book Antiqua" w:hAnsi="Book Antiqua"/>
          <w:b/>
          <w:bCs/>
        </w:rPr>
        <w:t>Cho SH</w:t>
      </w:r>
      <w:r w:rsidRPr="00C40A8B">
        <w:rPr>
          <w:rFonts w:ascii="Book Antiqua" w:hAnsi="Book Antiqua"/>
        </w:rPr>
        <w:t>, Chen H, Kim IS, Yokose C, Kang J, Cho D, Cai C, Palma S, Busi M, Martini A, Yoo TJ. Association of the 4</w:t>
      </w:r>
      <w:r w:rsidRPr="00C40A8B">
        <w:rPr>
          <w:rFonts w:ascii="Book Antiqua" w:hAnsi="Cambria Math" w:cs="Cambria Math"/>
        </w:rPr>
        <w:t> </w:t>
      </w:r>
      <w:r w:rsidRPr="00C40A8B">
        <w:rPr>
          <w:rFonts w:ascii="Book Antiqua" w:hAnsi="Book Antiqua" w:cs="Century"/>
        </w:rPr>
        <w:t>g/5</w:t>
      </w:r>
      <w:r w:rsidRPr="00C40A8B">
        <w:rPr>
          <w:rFonts w:ascii="Book Antiqua" w:hAnsi="Cambria Math" w:cs="Cambria Math"/>
        </w:rPr>
        <w:t> </w:t>
      </w:r>
      <w:r w:rsidRPr="00C40A8B">
        <w:rPr>
          <w:rFonts w:ascii="Book Antiqua" w:hAnsi="Book Antiqua" w:cs="Century"/>
        </w:rPr>
        <w:t>g polymorphism of plasminogen</w:t>
      </w:r>
      <w:r w:rsidRPr="00C40A8B">
        <w:rPr>
          <w:rFonts w:ascii="Book Antiqua" w:hAnsi="Book Antiqua"/>
        </w:rPr>
        <w:t xml:space="preserve"> </w:t>
      </w:r>
      <w:r w:rsidRPr="00C40A8B">
        <w:rPr>
          <w:rFonts w:ascii="Book Antiqua" w:hAnsi="Book Antiqua"/>
        </w:rPr>
        <w:lastRenderedPageBreak/>
        <w:t xml:space="preserve">activator inhibitor-1 gene with sudden sensorineural hearing loss. A case control study. </w:t>
      </w:r>
      <w:r w:rsidRPr="00C40A8B">
        <w:rPr>
          <w:rFonts w:ascii="Book Antiqua" w:hAnsi="Book Antiqua"/>
          <w:i/>
          <w:iCs/>
        </w:rPr>
        <w:t>BMC Ear Nose Throat Disord</w:t>
      </w:r>
      <w:r w:rsidRPr="00C40A8B">
        <w:rPr>
          <w:rFonts w:ascii="Book Antiqua" w:hAnsi="Book Antiqua"/>
        </w:rPr>
        <w:t xml:space="preserve"> 2012; </w:t>
      </w:r>
      <w:r w:rsidRPr="00C40A8B">
        <w:rPr>
          <w:rFonts w:ascii="Book Antiqua" w:hAnsi="Book Antiqua"/>
          <w:b/>
          <w:bCs/>
        </w:rPr>
        <w:t>12</w:t>
      </w:r>
      <w:r w:rsidRPr="00C40A8B">
        <w:rPr>
          <w:rFonts w:ascii="Book Antiqua" w:hAnsi="Book Antiqua"/>
        </w:rPr>
        <w:t>: 5 [PMID: 22672326 DOI: 10.1186/1472-6815-12-5]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 </w:t>
      </w:r>
      <w:r w:rsidRPr="00C40A8B">
        <w:rPr>
          <w:rFonts w:ascii="Book Antiqua" w:hAnsi="Book Antiqua" w:cs="宋体"/>
          <w:b/>
          <w:bCs/>
          <w:kern w:val="0"/>
          <w:lang w:eastAsia="zh-CN"/>
        </w:rPr>
        <w:t>Nishio N</w:t>
      </w:r>
      <w:r w:rsidRPr="00C40A8B">
        <w:rPr>
          <w:rFonts w:ascii="Book Antiqua" w:hAnsi="Book Antiqua" w:cs="宋体"/>
          <w:kern w:val="0"/>
          <w:lang w:eastAsia="zh-CN"/>
        </w:rPr>
        <w:t xml:space="preserve">, Teranishi M, Uchida Y, Sugiura S, Ando F, Shimokata H, Sone M, Otake H, Kato K, Yoshida T, Tagaya M, Hibi T, Nakashima T. Contribution of complement factor H Y402H polymorphism to sudden sensorineural hearing loss risk and possible interaction with diabetes. </w:t>
      </w:r>
      <w:r w:rsidRPr="00C40A8B">
        <w:rPr>
          <w:rFonts w:ascii="Book Antiqua" w:hAnsi="Book Antiqua" w:cs="宋体"/>
          <w:i/>
          <w:iCs/>
          <w:kern w:val="0"/>
          <w:lang w:eastAsia="zh-CN"/>
        </w:rPr>
        <w:t>Gene</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499</w:t>
      </w:r>
      <w:r w:rsidRPr="00C40A8B">
        <w:rPr>
          <w:rFonts w:ascii="Book Antiqua" w:hAnsi="Book Antiqua" w:cs="宋体"/>
          <w:kern w:val="0"/>
          <w:lang w:eastAsia="zh-CN"/>
        </w:rPr>
        <w:t>: 226-230 [PMID: 22426290 DOI: 10.1016/j.gene.2012.02.027]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 </w:t>
      </w:r>
      <w:r w:rsidRPr="00C40A8B">
        <w:rPr>
          <w:rFonts w:ascii="Book Antiqua" w:hAnsi="Book Antiqua" w:cs="宋体"/>
          <w:b/>
          <w:bCs/>
          <w:kern w:val="0"/>
          <w:lang w:eastAsia="zh-CN"/>
        </w:rPr>
        <w:t>Ciccone MM</w:t>
      </w:r>
      <w:r w:rsidRPr="00C40A8B">
        <w:rPr>
          <w:rFonts w:ascii="Book Antiqua" w:hAnsi="Book Antiqua" w:cs="宋体"/>
          <w:kern w:val="0"/>
          <w:lang w:eastAsia="zh-CN"/>
        </w:rPr>
        <w:t xml:space="preserve">, Cortese F, Pinto M, Di Teo C, Fornarelli F, Gesualdo M, Mezzina A, Sabatelli E, Scicchitano P, Quaranta N. Endothelial function and cardiovascular risk in patients with idiopathic sudden sensorineural hearing loss. </w:t>
      </w:r>
      <w:r w:rsidRPr="00C40A8B">
        <w:rPr>
          <w:rFonts w:ascii="Book Antiqua" w:hAnsi="Book Antiqua" w:cs="宋体"/>
          <w:i/>
          <w:iCs/>
          <w:kern w:val="0"/>
          <w:lang w:eastAsia="zh-CN"/>
        </w:rPr>
        <w:t>Atherosclerosis</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225</w:t>
      </w:r>
      <w:r w:rsidRPr="00C40A8B">
        <w:rPr>
          <w:rFonts w:ascii="Book Antiqua" w:hAnsi="Book Antiqua" w:cs="宋体"/>
          <w:kern w:val="0"/>
          <w:lang w:eastAsia="zh-CN"/>
        </w:rPr>
        <w:t>: 511-516 [PMID: 23102449 DOI: 10.1016/j.atherosclerosis.2012.10.024]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 </w:t>
      </w:r>
      <w:r w:rsidRPr="00C40A8B">
        <w:rPr>
          <w:rFonts w:ascii="Book Antiqua" w:hAnsi="Book Antiqua" w:cs="宋体"/>
          <w:b/>
          <w:bCs/>
          <w:kern w:val="0"/>
          <w:lang w:eastAsia="zh-CN"/>
        </w:rPr>
        <w:t>Kim C</w:t>
      </w:r>
      <w:r w:rsidRPr="00C40A8B">
        <w:rPr>
          <w:rFonts w:ascii="Book Antiqua" w:hAnsi="Book Antiqua" w:cs="宋体"/>
          <w:kern w:val="0"/>
          <w:lang w:eastAsia="zh-CN"/>
        </w:rPr>
        <w:t xml:space="preserve">, Sohn JH, Choi HC. Vertebrobasilar angulation and its association with sudden sensorineural hearing loss. </w:t>
      </w:r>
      <w:r w:rsidRPr="00C40A8B">
        <w:rPr>
          <w:rFonts w:ascii="Book Antiqua" w:hAnsi="Book Antiqua" w:cs="宋体"/>
          <w:i/>
          <w:iCs/>
          <w:kern w:val="0"/>
          <w:lang w:eastAsia="zh-CN"/>
        </w:rPr>
        <w:t>Med Hypotheses</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79</w:t>
      </w:r>
      <w:r w:rsidRPr="00C40A8B">
        <w:rPr>
          <w:rFonts w:ascii="Book Antiqua" w:hAnsi="Book Antiqua" w:cs="宋体"/>
          <w:kern w:val="0"/>
          <w:lang w:eastAsia="zh-CN"/>
        </w:rPr>
        <w:t>: 202-203 [PMID: 22688399 DOI: 10.1016/j.mehy.2012.04.035]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 </w:t>
      </w:r>
      <w:r w:rsidRPr="00C40A8B">
        <w:rPr>
          <w:rFonts w:ascii="Book Antiqua" w:hAnsi="Book Antiqua" w:cs="宋体"/>
          <w:b/>
          <w:bCs/>
          <w:kern w:val="0"/>
          <w:lang w:eastAsia="zh-CN"/>
        </w:rPr>
        <w:t>Capaccio P</w:t>
      </w:r>
      <w:r w:rsidRPr="00C40A8B">
        <w:rPr>
          <w:rFonts w:ascii="Book Antiqua" w:hAnsi="Book Antiqua" w:cs="宋体"/>
          <w:kern w:val="0"/>
          <w:lang w:eastAsia="zh-CN"/>
        </w:rPr>
        <w:t xml:space="preserve">, Pignataro L, Gaini LM, Sigismund PE, Novembrino C, De Giuseppe R, Uva V, Tripodi A, Bamonti F. Unbalanced oxidative status in idiopathic sudden sensorineural hearing loss. </w:t>
      </w:r>
      <w:r w:rsidRPr="00C40A8B">
        <w:rPr>
          <w:rFonts w:ascii="Book Antiqua" w:hAnsi="Book Antiqua" w:cs="宋体"/>
          <w:i/>
          <w:iCs/>
          <w:kern w:val="0"/>
          <w:lang w:eastAsia="zh-CN"/>
        </w:rPr>
        <w:t>Eur Arch Otorhinolaryngol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269</w:t>
      </w:r>
      <w:r w:rsidRPr="00C40A8B">
        <w:rPr>
          <w:rFonts w:ascii="Book Antiqua" w:hAnsi="Book Antiqua" w:cs="宋体"/>
          <w:kern w:val="0"/>
          <w:lang w:eastAsia="zh-CN"/>
        </w:rPr>
        <w:t>: 449-453 [PMID: 21706323 DOI: 10.1007/s00405-011-1671-2]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 </w:t>
      </w:r>
      <w:r w:rsidRPr="00C40A8B">
        <w:rPr>
          <w:rFonts w:ascii="Book Antiqua" w:hAnsi="Book Antiqua" w:cs="宋体"/>
          <w:b/>
          <w:bCs/>
          <w:kern w:val="0"/>
          <w:lang w:eastAsia="zh-CN"/>
        </w:rPr>
        <w:t>Lan MY</w:t>
      </w:r>
      <w:r w:rsidRPr="00C40A8B">
        <w:rPr>
          <w:rFonts w:ascii="Book Antiqua" w:hAnsi="Book Antiqua" w:cs="宋体"/>
          <w:kern w:val="0"/>
          <w:lang w:eastAsia="zh-CN"/>
        </w:rPr>
        <w:t xml:space="preserve">, Shiao JY, Hsu YB, Lin FY, Lin JC. A preliminary study on the role of inherited prothrombotic risk factors in Taiwanese patients with sudden </w:t>
      </w:r>
      <w:r w:rsidRPr="00C40A8B">
        <w:rPr>
          <w:rFonts w:ascii="Book Antiqua" w:hAnsi="Book Antiqua" w:cs="宋体"/>
          <w:kern w:val="0"/>
          <w:lang w:eastAsia="zh-CN"/>
        </w:rPr>
        <w:lastRenderedPageBreak/>
        <w:t xml:space="preserve">sensorineural hearing loss. </w:t>
      </w:r>
      <w:r w:rsidRPr="00C40A8B">
        <w:rPr>
          <w:rFonts w:ascii="Book Antiqua" w:hAnsi="Book Antiqua" w:cs="宋体"/>
          <w:i/>
          <w:iCs/>
          <w:kern w:val="0"/>
          <w:lang w:eastAsia="zh-CN"/>
        </w:rPr>
        <w:t>Eur Arch Otorhinolaryngol</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268</w:t>
      </w:r>
      <w:r w:rsidRPr="00C40A8B">
        <w:rPr>
          <w:rFonts w:ascii="Book Antiqua" w:hAnsi="Book Antiqua" w:cs="宋体"/>
          <w:kern w:val="0"/>
          <w:lang w:eastAsia="zh-CN"/>
        </w:rPr>
        <w:t>: 817-822 [PMID: 21170721 DOI: 10.1007/s00405-010-1457-y]</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 </w:t>
      </w:r>
      <w:r w:rsidRPr="00C40A8B">
        <w:rPr>
          <w:rFonts w:ascii="Book Antiqua" w:hAnsi="Book Antiqua" w:cs="宋体"/>
          <w:b/>
          <w:bCs/>
          <w:kern w:val="0"/>
          <w:lang w:eastAsia="zh-CN"/>
        </w:rPr>
        <w:t>Mosnier I</w:t>
      </w:r>
      <w:r w:rsidRPr="00C40A8B">
        <w:rPr>
          <w:rFonts w:ascii="Book Antiqua" w:hAnsi="Book Antiqua" w:cs="宋体"/>
          <w:kern w:val="0"/>
          <w:lang w:eastAsia="zh-CN"/>
        </w:rPr>
        <w:t xml:space="preserve">, Stepanian A, Baron G, Bodenez C, Robier A, Meyer B, Fraysse B, Bertholon P, Defay F, Ameziane N, Ferrary E, Sterkers O, de Prost D. Cardiovascular and thromboembolic risk factors in idiopathic sudden sensorineural hearing loss: a case-control study.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16</w:t>
      </w:r>
      <w:r w:rsidRPr="00C40A8B">
        <w:rPr>
          <w:rFonts w:ascii="Book Antiqua" w:hAnsi="Book Antiqua" w:cs="宋体"/>
          <w:kern w:val="0"/>
          <w:lang w:eastAsia="zh-CN"/>
        </w:rPr>
        <w:t>: 55-66 [PMID: 20551629 DOI: 10.1159/000312640]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 </w:t>
      </w:r>
      <w:r w:rsidRPr="00C40A8B">
        <w:rPr>
          <w:rFonts w:ascii="Book Antiqua" w:hAnsi="Book Antiqua" w:cs="宋体"/>
          <w:b/>
          <w:bCs/>
          <w:kern w:val="0"/>
          <w:lang w:eastAsia="zh-CN"/>
        </w:rPr>
        <w:t>Uchida Y</w:t>
      </w:r>
      <w:r w:rsidRPr="00C40A8B">
        <w:rPr>
          <w:rFonts w:ascii="Book Antiqua" w:hAnsi="Book Antiqua" w:cs="宋体"/>
          <w:kern w:val="0"/>
          <w:lang w:eastAsia="zh-CN"/>
        </w:rPr>
        <w:t xml:space="preserve">, Sugiura S, Ando F, Shimokata H, Nakashima T. Association of the C677T polymorphism in the methylenetetrahydrofolate reductase gene with sudden sensorineural hearing loss.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120</w:t>
      </w:r>
      <w:r w:rsidRPr="00C40A8B">
        <w:rPr>
          <w:rFonts w:ascii="Book Antiqua" w:hAnsi="Book Antiqua" w:cs="宋体"/>
          <w:kern w:val="0"/>
          <w:lang w:eastAsia="zh-CN"/>
        </w:rPr>
        <w:t>: 791-795 [PMID: 20213658 DOI: 10.1002/lary.20809]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 </w:t>
      </w:r>
      <w:r w:rsidRPr="00C40A8B">
        <w:rPr>
          <w:rFonts w:ascii="Book Antiqua" w:hAnsi="Book Antiqua" w:cs="宋体"/>
          <w:b/>
          <w:bCs/>
          <w:kern w:val="0"/>
          <w:lang w:eastAsia="zh-CN"/>
        </w:rPr>
        <w:t>Uchida Y</w:t>
      </w:r>
      <w:r w:rsidRPr="00C40A8B">
        <w:rPr>
          <w:rFonts w:ascii="Book Antiqua" w:hAnsi="Book Antiqua" w:cs="宋体"/>
          <w:kern w:val="0"/>
          <w:lang w:eastAsia="zh-CN"/>
        </w:rPr>
        <w:t xml:space="preserve">, Sugiura S, Nakashima T, Ando F, Shimokata H. Contribution of 1425G/A polymorphism in protein kinase C-Eta (PRKCH) gene and brain white matter lesions to the risk of sudden sensorineural hearing loss in a Japanese nested case-control study. </w:t>
      </w:r>
      <w:r w:rsidRPr="00C40A8B">
        <w:rPr>
          <w:rFonts w:ascii="Book Antiqua" w:hAnsi="Book Antiqua" w:cs="宋体"/>
          <w:i/>
          <w:iCs/>
          <w:kern w:val="0"/>
          <w:lang w:eastAsia="zh-CN"/>
        </w:rPr>
        <w:t>J Neurogenet</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25</w:t>
      </w:r>
      <w:r w:rsidRPr="00C40A8B">
        <w:rPr>
          <w:rFonts w:ascii="Book Antiqua" w:hAnsi="Book Antiqua" w:cs="宋体"/>
          <w:kern w:val="0"/>
          <w:lang w:eastAsia="zh-CN"/>
        </w:rPr>
        <w:t>: 82-87 [PMID: 21756056 DOI: 10.3109/01677063.2011.591462]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 </w:t>
      </w:r>
      <w:r w:rsidRPr="00C40A8B">
        <w:rPr>
          <w:rFonts w:ascii="Book Antiqua" w:hAnsi="Book Antiqua" w:cs="宋体"/>
          <w:b/>
          <w:bCs/>
          <w:kern w:val="0"/>
          <w:lang w:eastAsia="zh-CN"/>
        </w:rPr>
        <w:t>Oreskovic Z</w:t>
      </w:r>
      <w:r w:rsidRPr="00C40A8B">
        <w:rPr>
          <w:rFonts w:ascii="Book Antiqua" w:hAnsi="Book Antiqua" w:cs="宋体"/>
          <w:kern w:val="0"/>
          <w:lang w:eastAsia="zh-CN"/>
        </w:rPr>
        <w:t xml:space="preserve">, Shejbal D, Bicanic G, Kekic B. Influence of lipoproteins and fibrinogen on pathogenesis of sudden sensorineural hearing loss. </w:t>
      </w:r>
      <w:r w:rsidRPr="00C40A8B">
        <w:rPr>
          <w:rFonts w:ascii="Book Antiqua" w:hAnsi="Book Antiqua" w:cs="宋体"/>
          <w:i/>
          <w:iCs/>
          <w:kern w:val="0"/>
          <w:lang w:eastAsia="zh-CN"/>
        </w:rPr>
        <w:t>J Laryngol Otol</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125</w:t>
      </w:r>
      <w:r w:rsidRPr="00C40A8B">
        <w:rPr>
          <w:rFonts w:ascii="Book Antiqua" w:hAnsi="Book Antiqua" w:cs="宋体"/>
          <w:kern w:val="0"/>
          <w:lang w:eastAsia="zh-CN"/>
        </w:rPr>
        <w:t>: 258-261 [PMID: 21054908 DOI: 10.1017/S0022215110002252]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16 </w:t>
      </w:r>
      <w:r w:rsidRPr="00C40A8B">
        <w:rPr>
          <w:rFonts w:ascii="Book Antiqua" w:hAnsi="Book Antiqua" w:cs="宋体"/>
          <w:b/>
          <w:bCs/>
          <w:kern w:val="0"/>
          <w:lang w:eastAsia="zh-CN"/>
        </w:rPr>
        <w:t>Cadoni G</w:t>
      </w:r>
      <w:r w:rsidRPr="00C40A8B">
        <w:rPr>
          <w:rFonts w:ascii="Book Antiqua" w:hAnsi="Book Antiqua" w:cs="宋体"/>
          <w:kern w:val="0"/>
          <w:lang w:eastAsia="zh-CN"/>
        </w:rPr>
        <w:t xml:space="preserve">, Agostino S, Scipione S, Galli J. Low serum folate levels: a risk factor for sudden sensorineural hearing loss? </w:t>
      </w:r>
      <w:r w:rsidRPr="00C40A8B">
        <w:rPr>
          <w:rFonts w:ascii="Book Antiqua" w:hAnsi="Book Antiqua" w:cs="宋体"/>
          <w:i/>
          <w:iCs/>
          <w:kern w:val="0"/>
          <w:lang w:eastAsia="zh-CN"/>
        </w:rPr>
        <w:t>Acta Otolaryngol</w:t>
      </w:r>
      <w:r w:rsidRPr="00C40A8B">
        <w:rPr>
          <w:rFonts w:ascii="Book Antiqua" w:hAnsi="Book Antiqua" w:cs="宋体"/>
          <w:kern w:val="0"/>
          <w:lang w:eastAsia="zh-CN"/>
        </w:rPr>
        <w:t xml:space="preserve"> 2004; </w:t>
      </w:r>
      <w:r w:rsidRPr="00C40A8B">
        <w:rPr>
          <w:rFonts w:ascii="Book Antiqua" w:hAnsi="Book Antiqua" w:cs="宋体"/>
          <w:b/>
          <w:bCs/>
          <w:kern w:val="0"/>
          <w:lang w:eastAsia="zh-CN"/>
        </w:rPr>
        <w:t>124</w:t>
      </w:r>
      <w:r w:rsidRPr="00C40A8B">
        <w:rPr>
          <w:rFonts w:ascii="Book Antiqua" w:hAnsi="Book Antiqua" w:cs="宋体"/>
          <w:kern w:val="0"/>
          <w:lang w:eastAsia="zh-CN"/>
        </w:rPr>
        <w:t>: 608-611 [PMID: 15267180]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17 </w:t>
      </w:r>
      <w:r w:rsidRPr="00C40A8B">
        <w:rPr>
          <w:rFonts w:ascii="Book Antiqua" w:hAnsi="Book Antiqua" w:cs="宋体"/>
          <w:b/>
          <w:bCs/>
          <w:kern w:val="0"/>
          <w:lang w:eastAsia="zh-CN"/>
        </w:rPr>
        <w:t>Cadoni G</w:t>
      </w:r>
      <w:r w:rsidRPr="00C40A8B">
        <w:rPr>
          <w:rFonts w:ascii="Book Antiqua" w:hAnsi="Book Antiqua" w:cs="宋体"/>
          <w:kern w:val="0"/>
          <w:lang w:eastAsia="zh-CN"/>
        </w:rPr>
        <w:t xml:space="preserve">, Scipione S, Rocca B, Agostino S, La Greca C, Bonvissuto D, Paludetti G. Lack of association between inherited thrombophilic risk factors and idiopathic sudden sensorineural hearing loss in Italian patients. </w:t>
      </w:r>
      <w:r w:rsidRPr="00C40A8B">
        <w:rPr>
          <w:rFonts w:ascii="Book Antiqua" w:hAnsi="Book Antiqua" w:cs="宋体"/>
          <w:i/>
          <w:iCs/>
          <w:kern w:val="0"/>
          <w:lang w:eastAsia="zh-CN"/>
        </w:rPr>
        <w:t>Ann Otol Rhinol Laryngol</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115</w:t>
      </w:r>
      <w:r w:rsidRPr="00C40A8B">
        <w:rPr>
          <w:rFonts w:ascii="Book Antiqua" w:hAnsi="Book Antiqua" w:cs="宋体"/>
          <w:kern w:val="0"/>
          <w:lang w:eastAsia="zh-CN"/>
        </w:rPr>
        <w:t>: 195-200 [PMID: 16572609]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18 </w:t>
      </w:r>
      <w:r w:rsidRPr="00C40A8B">
        <w:rPr>
          <w:rFonts w:ascii="Book Antiqua" w:hAnsi="Book Antiqua" w:cs="宋体"/>
          <w:b/>
          <w:bCs/>
          <w:kern w:val="0"/>
          <w:lang w:eastAsia="zh-CN"/>
        </w:rPr>
        <w:t>Cadoni G</w:t>
      </w:r>
      <w:r w:rsidRPr="00C40A8B">
        <w:rPr>
          <w:rFonts w:ascii="Book Antiqua" w:hAnsi="Book Antiqua" w:cs="宋体"/>
          <w:kern w:val="0"/>
          <w:lang w:eastAsia="zh-CN"/>
        </w:rPr>
        <w:t xml:space="preserve">, Scorpecci A, Cianfrone F, Giannantonio S, Paludetti G, Lippa S. Serum fatty acids and cardiovascular risk factors in sudden sensorineural hearing loss: a case-control study. </w:t>
      </w:r>
      <w:r w:rsidRPr="00C40A8B">
        <w:rPr>
          <w:rFonts w:ascii="Book Antiqua" w:hAnsi="Book Antiqua" w:cs="宋体"/>
          <w:i/>
          <w:iCs/>
          <w:kern w:val="0"/>
          <w:lang w:eastAsia="zh-CN"/>
        </w:rPr>
        <w:t>Ann Otol Rhinol Laryngol</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119</w:t>
      </w:r>
      <w:r w:rsidRPr="00C40A8B">
        <w:rPr>
          <w:rFonts w:ascii="Book Antiqua" w:hAnsi="Book Antiqua" w:cs="宋体"/>
          <w:kern w:val="0"/>
          <w:lang w:eastAsia="zh-CN"/>
        </w:rPr>
        <w:t>: 82-88 [PMID: 20336917]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19 </w:t>
      </w:r>
      <w:r w:rsidRPr="00C40A8B">
        <w:rPr>
          <w:rFonts w:ascii="Book Antiqua" w:hAnsi="Book Antiqua" w:cs="宋体"/>
          <w:b/>
          <w:bCs/>
          <w:kern w:val="0"/>
          <w:lang w:eastAsia="zh-CN"/>
        </w:rPr>
        <w:t>Capaccio P</w:t>
      </w:r>
      <w:r w:rsidRPr="00C40A8B">
        <w:rPr>
          <w:rFonts w:ascii="Book Antiqua" w:hAnsi="Book Antiqua" w:cs="宋体"/>
          <w:kern w:val="0"/>
          <w:lang w:eastAsia="zh-CN"/>
        </w:rPr>
        <w:t xml:space="preserve">, Cuccarini V, Ottaviani F, Fracchiolla NS, Bossi A, Pignataro L. Prothrombotic gene mutations in patients with sudden sensorineural hearing loss and cardiovascular thrombotic disease. </w:t>
      </w:r>
      <w:r w:rsidRPr="00C40A8B">
        <w:rPr>
          <w:rFonts w:ascii="Book Antiqua" w:hAnsi="Book Antiqua" w:cs="宋体"/>
          <w:i/>
          <w:iCs/>
          <w:kern w:val="0"/>
          <w:lang w:eastAsia="zh-CN"/>
        </w:rPr>
        <w:t>Ann Otol Rhinol Laryngol</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118</w:t>
      </w:r>
      <w:r w:rsidRPr="00C40A8B">
        <w:rPr>
          <w:rFonts w:ascii="Book Antiqua" w:hAnsi="Book Antiqua" w:cs="宋体"/>
          <w:kern w:val="0"/>
          <w:lang w:eastAsia="zh-CN"/>
        </w:rPr>
        <w:t>: 205-210 [PMID: 19374152]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20 </w:t>
      </w:r>
      <w:r w:rsidRPr="00C40A8B">
        <w:rPr>
          <w:rFonts w:ascii="Book Antiqua" w:hAnsi="Book Antiqua" w:cs="宋体"/>
          <w:b/>
          <w:bCs/>
          <w:kern w:val="0"/>
          <w:lang w:eastAsia="zh-CN"/>
        </w:rPr>
        <w:t>Capaccio P</w:t>
      </w:r>
      <w:r w:rsidRPr="00C40A8B">
        <w:rPr>
          <w:rFonts w:ascii="Book Antiqua" w:hAnsi="Book Antiqua" w:cs="宋体"/>
          <w:kern w:val="0"/>
          <w:lang w:eastAsia="zh-CN"/>
        </w:rPr>
        <w:t xml:space="preserve">, Ottaviani F, Cuccarini V, Bottero A, Schindler A, Cesana BM, Censuales S, Pignataro L. Genetic and acquired prothrombotic risk factors and sudden hearing loss.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2007; </w:t>
      </w:r>
      <w:r w:rsidRPr="00C40A8B">
        <w:rPr>
          <w:rFonts w:ascii="Book Antiqua" w:hAnsi="Book Antiqua" w:cs="宋体"/>
          <w:b/>
          <w:bCs/>
          <w:kern w:val="0"/>
          <w:lang w:eastAsia="zh-CN"/>
        </w:rPr>
        <w:t>117</w:t>
      </w:r>
      <w:r w:rsidRPr="00C40A8B">
        <w:rPr>
          <w:rFonts w:ascii="Book Antiqua" w:hAnsi="Book Antiqua" w:cs="宋体"/>
          <w:kern w:val="0"/>
          <w:lang w:eastAsia="zh-CN"/>
        </w:rPr>
        <w:t>: 547-551 [PMID: 17334320 DOI: 10.1097/MLG.0b013e31802f3c6a]</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21 </w:t>
      </w:r>
      <w:r w:rsidRPr="00C40A8B">
        <w:rPr>
          <w:rFonts w:ascii="Book Antiqua" w:hAnsi="Book Antiqua" w:cs="宋体"/>
          <w:b/>
          <w:bCs/>
          <w:kern w:val="0"/>
          <w:lang w:eastAsia="zh-CN"/>
        </w:rPr>
        <w:t>Yildiz Z</w:t>
      </w:r>
      <w:r w:rsidRPr="00C40A8B">
        <w:rPr>
          <w:rFonts w:ascii="Book Antiqua" w:hAnsi="Book Antiqua" w:cs="宋体"/>
          <w:kern w:val="0"/>
          <w:lang w:eastAsia="zh-CN"/>
        </w:rPr>
        <w:t xml:space="preserve">, Ulu A, Incesulu A, Ozkaptan Y, Akar N. The importance of thrombotic risk factors in the development of idiopathic sudden hearing loss. </w:t>
      </w:r>
      <w:r w:rsidRPr="00C40A8B">
        <w:rPr>
          <w:rFonts w:ascii="Book Antiqua" w:hAnsi="Book Antiqua" w:cs="宋体"/>
          <w:i/>
          <w:iCs/>
          <w:kern w:val="0"/>
          <w:lang w:eastAsia="zh-CN"/>
        </w:rPr>
        <w:t>Clin Appl Thromb Hemost</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14</w:t>
      </w:r>
      <w:r w:rsidRPr="00C40A8B">
        <w:rPr>
          <w:rFonts w:ascii="Book Antiqua" w:hAnsi="Book Antiqua" w:cs="宋体"/>
          <w:kern w:val="0"/>
          <w:lang w:eastAsia="zh-CN"/>
        </w:rPr>
        <w:t>: 356-359 [PMID: 18160602 DOI: 10.1177/1076029607306399]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22 </w:t>
      </w:r>
      <w:r w:rsidRPr="00C40A8B">
        <w:rPr>
          <w:rFonts w:ascii="Book Antiqua" w:hAnsi="Book Antiqua" w:cs="宋体"/>
          <w:b/>
          <w:bCs/>
          <w:kern w:val="0"/>
          <w:lang w:eastAsia="zh-CN"/>
        </w:rPr>
        <w:t>Quaranta N</w:t>
      </w:r>
      <w:r w:rsidRPr="00C40A8B">
        <w:rPr>
          <w:rFonts w:ascii="Book Antiqua" w:hAnsi="Book Antiqua" w:cs="宋体"/>
          <w:kern w:val="0"/>
          <w:lang w:eastAsia="zh-CN"/>
        </w:rPr>
        <w:t xml:space="preserve">, Ramunni A, Brescia P, D'Elia A, Vacca A, Ria R. Soluble intercellular adhesion molecule 1 and soluble vascular cell adhesion molecule 1 </w:t>
      </w:r>
      <w:r w:rsidRPr="00C40A8B">
        <w:rPr>
          <w:rFonts w:ascii="Book Antiqua" w:hAnsi="Book Antiqua" w:cs="宋体"/>
          <w:kern w:val="0"/>
          <w:lang w:eastAsia="zh-CN"/>
        </w:rPr>
        <w:lastRenderedPageBreak/>
        <w:t xml:space="preserve">in sudden hearing loss. </w:t>
      </w:r>
      <w:r w:rsidRPr="00C40A8B">
        <w:rPr>
          <w:rFonts w:ascii="Book Antiqua" w:hAnsi="Book Antiqua" w:cs="宋体"/>
          <w:i/>
          <w:iCs/>
          <w:kern w:val="0"/>
          <w:lang w:eastAsia="zh-CN"/>
        </w:rPr>
        <w:t>Otol Neurotol</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29</w:t>
      </w:r>
      <w:r w:rsidRPr="00C40A8B">
        <w:rPr>
          <w:rFonts w:ascii="Book Antiqua" w:hAnsi="Book Antiqua" w:cs="宋体"/>
          <w:kern w:val="0"/>
          <w:lang w:eastAsia="zh-CN"/>
        </w:rPr>
        <w:t>: 470-474 [PMID: 18401280 DOI: 10.1097/MAO.0b013e318170b650]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23 </w:t>
      </w:r>
      <w:r w:rsidRPr="00C40A8B">
        <w:rPr>
          <w:rFonts w:ascii="Book Antiqua" w:hAnsi="Book Antiqua" w:cs="宋体"/>
          <w:b/>
          <w:bCs/>
          <w:kern w:val="0"/>
          <w:lang w:eastAsia="zh-CN"/>
        </w:rPr>
        <w:t>Görür K</w:t>
      </w:r>
      <w:r w:rsidRPr="00C40A8B">
        <w:rPr>
          <w:rFonts w:ascii="Book Antiqua" w:hAnsi="Book Antiqua" w:cs="宋体"/>
          <w:kern w:val="0"/>
          <w:lang w:eastAsia="zh-CN"/>
        </w:rPr>
        <w:t xml:space="preserve">, Tuncer U, Eskandari G, Ozcan C, Unal M, Ozsahinoglu C. The role of factor V Leiden and prothrombin G20210A mutations in sudden sensorineural hearing loss. </w:t>
      </w:r>
      <w:r w:rsidRPr="00C40A8B">
        <w:rPr>
          <w:rFonts w:ascii="Book Antiqua" w:hAnsi="Book Antiqua" w:cs="宋体"/>
          <w:i/>
          <w:iCs/>
          <w:kern w:val="0"/>
          <w:lang w:eastAsia="zh-CN"/>
        </w:rPr>
        <w:t>Otol Neurotol</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26</w:t>
      </w:r>
      <w:r w:rsidRPr="00C40A8B">
        <w:rPr>
          <w:rFonts w:ascii="Book Antiqua" w:hAnsi="Book Antiqua" w:cs="宋体"/>
          <w:kern w:val="0"/>
          <w:lang w:eastAsia="zh-CN"/>
        </w:rPr>
        <w:t>: 599-601 [PMID: 16015153]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24 </w:t>
      </w:r>
      <w:r w:rsidRPr="00C40A8B">
        <w:rPr>
          <w:rFonts w:ascii="Book Antiqua" w:hAnsi="Book Antiqua" w:cs="宋体"/>
          <w:b/>
          <w:bCs/>
          <w:kern w:val="0"/>
          <w:lang w:eastAsia="zh-CN"/>
        </w:rPr>
        <w:t>Marcucci R</w:t>
      </w:r>
      <w:r w:rsidRPr="00C40A8B">
        <w:rPr>
          <w:rFonts w:ascii="Book Antiqua" w:hAnsi="Book Antiqua" w:cs="宋体"/>
          <w:kern w:val="0"/>
          <w:lang w:eastAsia="zh-CN"/>
        </w:rPr>
        <w:t xml:space="preserve">, Alessandrello Liotta A, Cellai AP, Rogolino A, Berloco P, Leprini E, Pagnini P, Abbate R, Prisco D. Cardiovascular and thrombophilic risk factors for idiopathic sudden sensorineural hearing loss. </w:t>
      </w:r>
      <w:r w:rsidRPr="00C40A8B">
        <w:rPr>
          <w:rFonts w:ascii="Book Antiqua" w:hAnsi="Book Antiqua" w:cs="宋体"/>
          <w:i/>
          <w:iCs/>
          <w:kern w:val="0"/>
          <w:lang w:eastAsia="zh-CN"/>
        </w:rPr>
        <w:t>J Thromb Haemost</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3</w:t>
      </w:r>
      <w:r w:rsidRPr="00C40A8B">
        <w:rPr>
          <w:rFonts w:ascii="Book Antiqua" w:hAnsi="Book Antiqua" w:cs="宋体"/>
          <w:kern w:val="0"/>
          <w:lang w:eastAsia="zh-CN"/>
        </w:rPr>
        <w:t>: 929-934 [PMID: 15869586 DOI: 10.1111/j.1538-7836.2005.01310.x]</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25 </w:t>
      </w:r>
      <w:r w:rsidRPr="00C40A8B">
        <w:rPr>
          <w:rFonts w:ascii="Book Antiqua" w:hAnsi="Book Antiqua" w:cs="宋体"/>
          <w:b/>
          <w:bCs/>
          <w:kern w:val="0"/>
          <w:lang w:eastAsia="zh-CN"/>
        </w:rPr>
        <w:t>Fatini C</w:t>
      </w:r>
      <w:r w:rsidRPr="00C40A8B">
        <w:rPr>
          <w:rFonts w:ascii="Book Antiqua" w:hAnsi="Book Antiqua" w:cs="宋体"/>
          <w:kern w:val="0"/>
          <w:lang w:eastAsia="zh-CN"/>
        </w:rPr>
        <w:t xml:space="preserve">, Mannini L, Sticchi E, Cecchi E, Bruschettini A, Leprini E, Pagnini P, Gensini GF, Prisco D, Abbate R. eNOS gene affects red cell deformability: role of T-786C, G894T, and 4a/4b polymorphisms. </w:t>
      </w:r>
      <w:r w:rsidRPr="00C40A8B">
        <w:rPr>
          <w:rFonts w:ascii="Book Antiqua" w:hAnsi="Book Antiqua" w:cs="宋体"/>
          <w:i/>
          <w:iCs/>
          <w:kern w:val="0"/>
          <w:lang w:eastAsia="zh-CN"/>
        </w:rPr>
        <w:t>Clin Appl Thromb Hemost</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11</w:t>
      </w:r>
      <w:r w:rsidRPr="00C40A8B">
        <w:rPr>
          <w:rFonts w:ascii="Book Antiqua" w:hAnsi="Book Antiqua" w:cs="宋体"/>
          <w:kern w:val="0"/>
          <w:lang w:eastAsia="zh-CN"/>
        </w:rPr>
        <w:t>: 481-488 [PMID: 16244776]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26 </w:t>
      </w:r>
      <w:r w:rsidRPr="00C40A8B">
        <w:rPr>
          <w:rFonts w:ascii="Book Antiqua" w:hAnsi="Book Antiqua" w:cs="宋体"/>
          <w:b/>
          <w:bCs/>
          <w:kern w:val="0"/>
          <w:lang w:eastAsia="zh-CN"/>
        </w:rPr>
        <w:t>Balletshofer BM</w:t>
      </w:r>
      <w:r w:rsidRPr="00C40A8B">
        <w:rPr>
          <w:rFonts w:ascii="Book Antiqua" w:hAnsi="Book Antiqua" w:cs="宋体"/>
          <w:kern w:val="0"/>
          <w:lang w:eastAsia="zh-CN"/>
        </w:rPr>
        <w:t xml:space="preserve">, Stock J, Rittig K, Lehn-Stefan A, Braun N, Burkart F, Plontke S, Klingel R, Häring HU. Acute effect of rheopheresis on peripheral endothelial dysfunction in patients suffering from sudden hearing loss. </w:t>
      </w:r>
      <w:r w:rsidRPr="00C40A8B">
        <w:rPr>
          <w:rFonts w:ascii="Book Antiqua" w:hAnsi="Book Antiqua" w:cs="宋体"/>
          <w:i/>
          <w:iCs/>
          <w:kern w:val="0"/>
          <w:lang w:eastAsia="zh-CN"/>
        </w:rPr>
        <w:t>Ther Apher Dial</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9</w:t>
      </w:r>
      <w:r w:rsidRPr="00C40A8B">
        <w:rPr>
          <w:rFonts w:ascii="Book Antiqua" w:hAnsi="Book Antiqua" w:cs="宋体"/>
          <w:kern w:val="0"/>
          <w:lang w:eastAsia="zh-CN"/>
        </w:rPr>
        <w:t>: 385-390 [PMID: 16202012 DOI: 10.1111/j.1744-9987.2005.00316.x]</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27 </w:t>
      </w:r>
      <w:r w:rsidRPr="00C40A8B">
        <w:rPr>
          <w:rFonts w:ascii="Book Antiqua" w:hAnsi="Book Antiqua" w:cs="宋体"/>
          <w:b/>
          <w:bCs/>
          <w:kern w:val="0"/>
          <w:lang w:eastAsia="zh-CN"/>
        </w:rPr>
        <w:t>Mannini L</w:t>
      </w:r>
      <w:r w:rsidRPr="00C40A8B">
        <w:rPr>
          <w:rFonts w:ascii="Book Antiqua" w:hAnsi="Book Antiqua" w:cs="宋体"/>
          <w:kern w:val="0"/>
          <w:lang w:eastAsia="zh-CN"/>
        </w:rPr>
        <w:t xml:space="preserve">, Paniccia R, Cecchi E, Alessandrello Liotta A, Leprini E, Berloco P, Pagnini P, Abbate R, Franco Gensini G, Prisco D. Reduced erythrocyte deformability and hypercoagulability in idiopathic sudden sensorineural hearing loss. </w:t>
      </w:r>
      <w:r w:rsidRPr="00C40A8B">
        <w:rPr>
          <w:rFonts w:ascii="Book Antiqua" w:hAnsi="Book Antiqua" w:cs="宋体"/>
          <w:i/>
          <w:iCs/>
          <w:kern w:val="0"/>
          <w:lang w:eastAsia="zh-CN"/>
        </w:rPr>
        <w:t>Clin Hemorheol Microcirc</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33</w:t>
      </w:r>
      <w:r w:rsidRPr="00C40A8B">
        <w:rPr>
          <w:rFonts w:ascii="Book Antiqua" w:hAnsi="Book Antiqua" w:cs="宋体"/>
          <w:kern w:val="0"/>
          <w:lang w:eastAsia="zh-CN"/>
        </w:rPr>
        <w:t>: 47-55 [PMID: 16037632]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28 </w:t>
      </w:r>
      <w:r w:rsidRPr="00C40A8B">
        <w:rPr>
          <w:rFonts w:ascii="Book Antiqua" w:hAnsi="Book Antiqua" w:cs="宋体"/>
          <w:b/>
          <w:bCs/>
          <w:kern w:val="0"/>
          <w:lang w:eastAsia="zh-CN"/>
        </w:rPr>
        <w:t>Cadoni G</w:t>
      </w:r>
      <w:r w:rsidRPr="00C40A8B">
        <w:rPr>
          <w:rFonts w:ascii="Book Antiqua" w:hAnsi="Book Antiqua" w:cs="宋体"/>
          <w:kern w:val="0"/>
          <w:lang w:eastAsia="zh-CN"/>
        </w:rPr>
        <w:t xml:space="preserve">, Agostino S, Manna R, De Santis A, Fetoni AR, Vulpiani P, Ottaviani F. Clinical associations of serum antiendothelial cell antibodies in patients with sudden sensorineural hearing loss.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2003; </w:t>
      </w:r>
      <w:r w:rsidRPr="00C40A8B">
        <w:rPr>
          <w:rFonts w:ascii="Book Antiqua" w:hAnsi="Book Antiqua" w:cs="宋体"/>
          <w:b/>
          <w:bCs/>
          <w:kern w:val="0"/>
          <w:lang w:eastAsia="zh-CN"/>
        </w:rPr>
        <w:t>113</w:t>
      </w:r>
      <w:r w:rsidRPr="00C40A8B">
        <w:rPr>
          <w:rFonts w:ascii="Book Antiqua" w:hAnsi="Book Antiqua" w:cs="宋体"/>
          <w:kern w:val="0"/>
          <w:lang w:eastAsia="zh-CN"/>
        </w:rPr>
        <w:t>: 797-801 [PMID: 12792313 DOI: 10.1097/00005537-200305000-00006]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29 </w:t>
      </w:r>
      <w:r w:rsidRPr="00C40A8B">
        <w:rPr>
          <w:rFonts w:ascii="Book Antiqua" w:hAnsi="Book Antiqua" w:cs="宋体"/>
          <w:b/>
          <w:bCs/>
          <w:kern w:val="0"/>
          <w:lang w:eastAsia="zh-CN"/>
        </w:rPr>
        <w:t>Cadoni G</w:t>
      </w:r>
      <w:r w:rsidRPr="00C40A8B">
        <w:rPr>
          <w:rFonts w:ascii="Book Antiqua" w:hAnsi="Book Antiqua" w:cs="宋体"/>
          <w:kern w:val="0"/>
          <w:lang w:eastAsia="zh-CN"/>
        </w:rPr>
        <w:t xml:space="preserve">, Fetoni AR, Agostino S, De Santis A, Manna R, Ottaviani F, Paludetti G. Autoimmunity in sudden sensorineural hearing loss: possible role of anti-endothelial cell autoantibodies. </w:t>
      </w:r>
      <w:r w:rsidRPr="00C40A8B">
        <w:rPr>
          <w:rFonts w:ascii="Book Antiqua" w:hAnsi="Book Antiqua" w:cs="宋体"/>
          <w:i/>
          <w:iCs/>
          <w:kern w:val="0"/>
          <w:lang w:eastAsia="zh-CN"/>
        </w:rPr>
        <w:t>Acta Otolaryngol Suppl</w:t>
      </w:r>
      <w:r w:rsidRPr="00C40A8B">
        <w:rPr>
          <w:rFonts w:ascii="Book Antiqua" w:hAnsi="Book Antiqua" w:cs="宋体"/>
          <w:kern w:val="0"/>
          <w:lang w:eastAsia="zh-CN"/>
        </w:rPr>
        <w:t xml:space="preserve"> 2002; : 30-33 [PMID: 12211354]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30 </w:t>
      </w:r>
      <w:r w:rsidRPr="00C40A8B">
        <w:rPr>
          <w:rFonts w:ascii="Book Antiqua" w:hAnsi="Book Antiqua" w:cs="宋体"/>
          <w:b/>
          <w:bCs/>
          <w:kern w:val="0"/>
          <w:lang w:eastAsia="zh-CN"/>
        </w:rPr>
        <w:t>Um JY</w:t>
      </w:r>
      <w:r w:rsidRPr="00C40A8B">
        <w:rPr>
          <w:rFonts w:ascii="Book Antiqua" w:hAnsi="Book Antiqua" w:cs="宋体"/>
          <w:kern w:val="0"/>
          <w:lang w:eastAsia="zh-CN"/>
        </w:rPr>
        <w:t xml:space="preserve">, Jang CH, Kim HL, Cho YB, Park J, Lee SJ, Kim YB, Kim HJ, Ahn KS, Jang HJ, Lee SG, Lee H, Lee KM, Kim SJ, Hong SH. Proinflammatory cytokine IL-1 β polymorphisms in sudden sensorineural hearing loss. </w:t>
      </w:r>
      <w:r w:rsidRPr="00C40A8B">
        <w:rPr>
          <w:rFonts w:ascii="Book Antiqua" w:hAnsi="Book Antiqua" w:cs="宋体"/>
          <w:i/>
          <w:iCs/>
          <w:kern w:val="0"/>
          <w:lang w:eastAsia="zh-CN"/>
        </w:rPr>
        <w:t>Immunopharmacol Immunotoxicol</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35</w:t>
      </w:r>
      <w:r w:rsidRPr="00C40A8B">
        <w:rPr>
          <w:rFonts w:ascii="Book Antiqua" w:hAnsi="Book Antiqua" w:cs="宋体"/>
          <w:kern w:val="0"/>
          <w:lang w:eastAsia="zh-CN"/>
        </w:rPr>
        <w:t>: 52-56 [PMID: 23013363 DOI: 10.3109/08923973.2012.719523]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31 </w:t>
      </w:r>
      <w:r w:rsidRPr="00C40A8B">
        <w:rPr>
          <w:rFonts w:ascii="Book Antiqua" w:hAnsi="Book Antiqua" w:cs="宋体"/>
          <w:b/>
          <w:bCs/>
          <w:kern w:val="0"/>
          <w:lang w:eastAsia="zh-CN"/>
        </w:rPr>
        <w:t>Um JY</w:t>
      </w:r>
      <w:r w:rsidRPr="00C40A8B">
        <w:rPr>
          <w:rFonts w:ascii="Book Antiqua" w:hAnsi="Book Antiqua" w:cs="宋体"/>
          <w:kern w:val="0"/>
          <w:lang w:eastAsia="zh-CN"/>
        </w:rPr>
        <w:t xml:space="preserve">, Jang CH, Kim KY, Kim SJ, Kim NH, Moon PD, Choi IY, Myung NY, Jeong HJ, Hong SH, Kim HM. Candidate genes of cerebrovascular disease and sudden sensorineural hearing loss. </w:t>
      </w:r>
      <w:r w:rsidRPr="00C40A8B">
        <w:rPr>
          <w:rFonts w:ascii="Book Antiqua" w:hAnsi="Book Antiqua" w:cs="宋体"/>
          <w:i/>
          <w:iCs/>
          <w:kern w:val="0"/>
          <w:lang w:eastAsia="zh-CN"/>
        </w:rPr>
        <w:t>Clin Appl Thromb Hemost</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16</w:t>
      </w:r>
      <w:r w:rsidRPr="00C40A8B">
        <w:rPr>
          <w:rFonts w:ascii="Book Antiqua" w:hAnsi="Book Antiqua" w:cs="宋体"/>
          <w:kern w:val="0"/>
          <w:lang w:eastAsia="zh-CN"/>
        </w:rPr>
        <w:t>: 559-562 [PMID: 19833626 DOI: 10.1177/1076029609348313]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32 </w:t>
      </w:r>
      <w:r w:rsidRPr="00C40A8B">
        <w:rPr>
          <w:rFonts w:ascii="Book Antiqua" w:hAnsi="Book Antiqua" w:cs="宋体"/>
          <w:b/>
          <w:bCs/>
          <w:kern w:val="0"/>
          <w:lang w:eastAsia="zh-CN"/>
        </w:rPr>
        <w:t>Demirhan E</w:t>
      </w:r>
      <w:r w:rsidRPr="00C40A8B">
        <w:rPr>
          <w:rFonts w:ascii="Book Antiqua" w:hAnsi="Book Antiqua" w:cs="宋体"/>
          <w:kern w:val="0"/>
          <w:lang w:eastAsia="zh-CN"/>
        </w:rPr>
        <w:t xml:space="preserve">, Eskut NP, Zorlu Y, Cukurova I, Tuna G, Kirkali FG. Blood levels of TNF-α, IL-10, and IL-12 in idiopathic sudden sensorineural hearing loss.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123</w:t>
      </w:r>
      <w:r w:rsidRPr="00C40A8B">
        <w:rPr>
          <w:rFonts w:ascii="Book Antiqua" w:hAnsi="Book Antiqua" w:cs="宋体"/>
          <w:kern w:val="0"/>
          <w:lang w:eastAsia="zh-CN"/>
        </w:rPr>
        <w:t>: 1778-1781 [PMID: 23382065 DOI: 10.1002/lary.23907]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33 </w:t>
      </w:r>
      <w:r w:rsidRPr="00C40A8B">
        <w:rPr>
          <w:rFonts w:ascii="Book Antiqua" w:hAnsi="Book Antiqua" w:cs="宋体"/>
          <w:b/>
          <w:bCs/>
          <w:kern w:val="0"/>
          <w:lang w:eastAsia="zh-CN"/>
        </w:rPr>
        <w:t>Hiramatsu M</w:t>
      </w:r>
      <w:r w:rsidRPr="00C40A8B">
        <w:rPr>
          <w:rFonts w:ascii="Book Antiqua" w:hAnsi="Book Antiqua" w:cs="宋体"/>
          <w:kern w:val="0"/>
          <w:lang w:eastAsia="zh-CN"/>
        </w:rPr>
        <w:t xml:space="preserve">, Teranishi M, Uchida Y, Nishio N, Suzuki H, Kato K, Otake H, Yoshida T, Tagaya M, Suzuki H, Sone M, Sugiura S, Ando F, Shimokata H, </w:t>
      </w:r>
      <w:r w:rsidRPr="00C40A8B">
        <w:rPr>
          <w:rFonts w:ascii="Book Antiqua" w:hAnsi="Book Antiqua" w:cs="宋体"/>
          <w:kern w:val="0"/>
          <w:lang w:eastAsia="zh-CN"/>
        </w:rPr>
        <w:lastRenderedPageBreak/>
        <w:t xml:space="preserve">Nakashima T. Polymorphisms in genes involved in inflammatory pathways in patients with sudden sensorineural hearing loss. </w:t>
      </w:r>
      <w:r w:rsidRPr="00C40A8B">
        <w:rPr>
          <w:rFonts w:ascii="Book Antiqua" w:hAnsi="Book Antiqua" w:cs="宋体"/>
          <w:i/>
          <w:iCs/>
          <w:kern w:val="0"/>
          <w:lang w:eastAsia="zh-CN"/>
        </w:rPr>
        <w:t>J Neurogenet</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26</w:t>
      </w:r>
      <w:r w:rsidRPr="00C40A8B">
        <w:rPr>
          <w:rFonts w:ascii="Book Antiqua" w:hAnsi="Book Antiqua" w:cs="宋体"/>
          <w:kern w:val="0"/>
          <w:lang w:eastAsia="zh-CN"/>
        </w:rPr>
        <w:t>: 387-396 [PMID: 22385075 DOI: 10.3109/01677063.2011.652266]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34 </w:t>
      </w:r>
      <w:r w:rsidRPr="00C40A8B">
        <w:rPr>
          <w:rFonts w:ascii="Book Antiqua" w:hAnsi="Book Antiqua" w:cs="宋体"/>
          <w:b/>
          <w:bCs/>
          <w:kern w:val="0"/>
          <w:lang w:eastAsia="zh-CN"/>
        </w:rPr>
        <w:t>Furuta T</w:t>
      </w:r>
      <w:r w:rsidRPr="00C40A8B">
        <w:rPr>
          <w:rFonts w:ascii="Book Antiqua" w:hAnsi="Book Antiqua" w:cs="宋体"/>
          <w:kern w:val="0"/>
          <w:lang w:eastAsia="zh-CN"/>
        </w:rPr>
        <w:t xml:space="preserve">, Teranishi M, Uchida Y, Nishio N, Kato K, Otake H, Yoshida T, Tagaya M, Suzuki H, Sugiura M, Sone M, Hiramatsu M, Sugiura S, Ando F, Shimokata H, Nakashima T. Association of interleukin-1 gene polymorphisms with sudden sensorineural hearing loss and Ménière's disease. </w:t>
      </w:r>
      <w:r w:rsidRPr="00C40A8B">
        <w:rPr>
          <w:rFonts w:ascii="Book Antiqua" w:hAnsi="Book Antiqua" w:cs="宋体"/>
          <w:i/>
          <w:iCs/>
          <w:kern w:val="0"/>
          <w:lang w:eastAsia="zh-CN"/>
        </w:rPr>
        <w:t>Int J Immunogenet</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38</w:t>
      </w:r>
      <w:r w:rsidRPr="00C40A8B">
        <w:rPr>
          <w:rFonts w:ascii="Book Antiqua" w:hAnsi="Book Antiqua" w:cs="宋体"/>
          <w:kern w:val="0"/>
          <w:lang w:eastAsia="zh-CN"/>
        </w:rPr>
        <w:t>: 249-254 [PMID: 21385326 DOI: 10.1111/j.1744-313X.2011.01004.x]</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35 </w:t>
      </w:r>
      <w:r w:rsidRPr="00C40A8B">
        <w:rPr>
          <w:rFonts w:ascii="Book Antiqua" w:hAnsi="Book Antiqua" w:cs="宋体"/>
          <w:b/>
          <w:bCs/>
          <w:kern w:val="0"/>
          <w:lang w:eastAsia="zh-CN"/>
        </w:rPr>
        <w:t>Haubner F</w:t>
      </w:r>
      <w:r w:rsidRPr="00C40A8B">
        <w:rPr>
          <w:rFonts w:ascii="Book Antiqua" w:hAnsi="Book Antiqua" w:cs="宋体"/>
          <w:kern w:val="0"/>
          <w:lang w:eastAsia="zh-CN"/>
        </w:rPr>
        <w:t xml:space="preserve">, Martin L, Steffens T, Strutz J, Kleinjung T. The role of soluble adhesion molecules and cytokines in sudden sensorineural hearing loss. </w:t>
      </w:r>
      <w:r w:rsidRPr="00C40A8B">
        <w:rPr>
          <w:rFonts w:ascii="Book Antiqua" w:hAnsi="Book Antiqua" w:cs="宋体"/>
          <w:i/>
          <w:iCs/>
          <w:kern w:val="0"/>
          <w:lang w:eastAsia="zh-CN"/>
        </w:rPr>
        <w:t>Otolaryngol Head Neck Surg</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144</w:t>
      </w:r>
      <w:r w:rsidRPr="00C40A8B">
        <w:rPr>
          <w:rFonts w:ascii="Book Antiqua" w:hAnsi="Book Antiqua" w:cs="宋体"/>
          <w:kern w:val="0"/>
          <w:lang w:eastAsia="zh-CN"/>
        </w:rPr>
        <w:t>: 575-580 [PMID: 21493238 DOI: 10.1177/0194599810394324]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36 </w:t>
      </w:r>
      <w:r w:rsidRPr="00C40A8B">
        <w:rPr>
          <w:rFonts w:ascii="Book Antiqua" w:hAnsi="Book Antiqua" w:cs="宋体"/>
          <w:b/>
          <w:bCs/>
          <w:kern w:val="0"/>
          <w:lang w:eastAsia="zh-CN"/>
        </w:rPr>
        <w:t>Kassner SS</w:t>
      </w:r>
      <w:r w:rsidRPr="00C40A8B">
        <w:rPr>
          <w:rFonts w:ascii="Book Antiqua" w:hAnsi="Book Antiqua" w:cs="宋体"/>
          <w:kern w:val="0"/>
          <w:lang w:eastAsia="zh-CN"/>
        </w:rPr>
        <w:t xml:space="preserve">, Schöttler S, Bonaterra GA, Stern-Sträter J, Sommer U, Hormann K, Kinscherf R, Gössler UR. Proinflammatory and proadhesive activation of lymphocytes and macrophages in sudden sensorineural hearing loss.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16</w:t>
      </w:r>
      <w:r w:rsidRPr="00C40A8B">
        <w:rPr>
          <w:rFonts w:ascii="Book Antiqua" w:hAnsi="Book Antiqua" w:cs="宋体"/>
          <w:kern w:val="0"/>
          <w:lang w:eastAsia="zh-CN"/>
        </w:rPr>
        <w:t>: 254-262 [PMID: 20980746 DOI: 10.1159/000320610]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37 </w:t>
      </w:r>
      <w:r w:rsidRPr="00C40A8B">
        <w:rPr>
          <w:rFonts w:ascii="Book Antiqua" w:hAnsi="Book Antiqua" w:cs="宋体"/>
          <w:b/>
          <w:bCs/>
          <w:kern w:val="0"/>
          <w:lang w:eastAsia="zh-CN"/>
        </w:rPr>
        <w:t>Chien CY</w:t>
      </w:r>
      <w:r w:rsidRPr="00C40A8B">
        <w:rPr>
          <w:rFonts w:ascii="Book Antiqua" w:hAnsi="Book Antiqua" w:cs="宋体"/>
          <w:kern w:val="0"/>
          <w:lang w:eastAsia="zh-CN"/>
        </w:rPr>
        <w:t xml:space="preserve">, Chang NC, Tai SY, Wang LF, Wu MT, Ho KY. Heat shock protein 70 gene polymorphisms in sudden sensorineural hearing loss.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17</w:t>
      </w:r>
      <w:r w:rsidRPr="00C40A8B">
        <w:rPr>
          <w:rFonts w:ascii="Book Antiqua" w:hAnsi="Book Antiqua" w:cs="宋体"/>
          <w:kern w:val="0"/>
          <w:lang w:eastAsia="zh-CN"/>
        </w:rPr>
        <w:t>: 381-385 [PMID: 22922572 DOI: 10.1159/000341815]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38 </w:t>
      </w:r>
      <w:r w:rsidRPr="00C40A8B">
        <w:rPr>
          <w:rFonts w:ascii="Book Antiqua" w:hAnsi="Book Antiqua" w:cs="宋体"/>
          <w:b/>
          <w:bCs/>
          <w:kern w:val="0"/>
          <w:lang w:eastAsia="zh-CN"/>
        </w:rPr>
        <w:t>Teranishi M</w:t>
      </w:r>
      <w:r w:rsidRPr="00C40A8B">
        <w:rPr>
          <w:rFonts w:ascii="Book Antiqua" w:hAnsi="Book Antiqua" w:cs="宋体"/>
          <w:kern w:val="0"/>
          <w:lang w:eastAsia="zh-CN"/>
        </w:rPr>
        <w:t xml:space="preserve">, Uchida Y, Nishio N, Kato K, Otake H, Yoshida T, Suzuki H, Sone M, Sugiura S, Ando F, Shimokata H, Nakashima T. Polymorphisms in genes involved in oxidative stress response in patients with sudden </w:t>
      </w:r>
      <w:r w:rsidRPr="00C40A8B">
        <w:rPr>
          <w:rFonts w:ascii="Book Antiqua" w:hAnsi="Book Antiqua" w:cs="宋体"/>
          <w:kern w:val="0"/>
          <w:lang w:eastAsia="zh-CN"/>
        </w:rPr>
        <w:lastRenderedPageBreak/>
        <w:t xml:space="preserve">sensorineural hearing loss and Ménière's disease in a Japanese population. </w:t>
      </w:r>
      <w:r w:rsidRPr="00C40A8B">
        <w:rPr>
          <w:rFonts w:ascii="Book Antiqua" w:hAnsi="Book Antiqua" w:cs="宋体"/>
          <w:i/>
          <w:iCs/>
          <w:kern w:val="0"/>
          <w:lang w:eastAsia="zh-CN"/>
        </w:rPr>
        <w:t>DNA Cell Biol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31</w:t>
      </w:r>
      <w:r w:rsidRPr="00C40A8B">
        <w:rPr>
          <w:rFonts w:ascii="Book Antiqua" w:hAnsi="Book Antiqua" w:cs="宋体"/>
          <w:kern w:val="0"/>
          <w:lang w:eastAsia="zh-CN"/>
        </w:rPr>
        <w:t>: 1555-1562 [PMID: 22877234 DOI: 10.1089/dna.2012.1631]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39 </w:t>
      </w:r>
      <w:r w:rsidRPr="00C40A8B">
        <w:rPr>
          <w:rFonts w:ascii="Book Antiqua" w:hAnsi="Book Antiqua" w:cs="宋体"/>
          <w:b/>
          <w:bCs/>
          <w:kern w:val="0"/>
          <w:lang w:eastAsia="zh-CN"/>
        </w:rPr>
        <w:t>Um JY</w:t>
      </w:r>
      <w:r w:rsidRPr="00C40A8B">
        <w:rPr>
          <w:rFonts w:ascii="Book Antiqua" w:hAnsi="Book Antiqua" w:cs="宋体"/>
          <w:kern w:val="0"/>
          <w:lang w:eastAsia="zh-CN"/>
        </w:rPr>
        <w:t xml:space="preserve">, Jang CH, Kim SJ, Kim HL, Kim SY, Cho YB, Hong SH. Steroid combination therapy and detoxification enzyme gene polymorphisms in sudden sensorineural hearing loss patients. </w:t>
      </w:r>
      <w:r w:rsidRPr="00C40A8B">
        <w:rPr>
          <w:rFonts w:ascii="Book Antiqua" w:hAnsi="Book Antiqua" w:cs="宋体"/>
          <w:i/>
          <w:iCs/>
          <w:kern w:val="0"/>
          <w:lang w:eastAsia="zh-CN"/>
        </w:rPr>
        <w:t>Otol Neurotol</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32</w:t>
      </w:r>
      <w:r w:rsidRPr="00C40A8B">
        <w:rPr>
          <w:rFonts w:ascii="Book Antiqua" w:hAnsi="Book Antiqua" w:cs="宋体"/>
          <w:kern w:val="0"/>
          <w:lang w:eastAsia="zh-CN"/>
        </w:rPr>
        <w:t>: 872-876 [PMID: 21389901 DOI: 10.1097/MAO.0b013e31821341ac]</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40 </w:t>
      </w:r>
      <w:r w:rsidRPr="00C40A8B">
        <w:rPr>
          <w:rFonts w:ascii="Book Antiqua" w:hAnsi="Book Antiqua" w:cs="宋体"/>
          <w:b/>
          <w:bCs/>
          <w:kern w:val="0"/>
          <w:lang w:eastAsia="zh-CN"/>
        </w:rPr>
        <w:t>Süslü N</w:t>
      </w:r>
      <w:r w:rsidRPr="00C40A8B">
        <w:rPr>
          <w:rFonts w:ascii="Book Antiqua" w:hAnsi="Book Antiqua" w:cs="宋体"/>
          <w:kern w:val="0"/>
          <w:lang w:eastAsia="zh-CN"/>
        </w:rPr>
        <w:t xml:space="preserve">, Yilmaz T, Gürsel B. Utility of anti-HSP 70, TNF-alpha, ESR, antinuclear antibody, and antiphospholipid antibodies in the diagnosis and treatment of sudden sensorineural hearing loss.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119</w:t>
      </w:r>
      <w:r w:rsidRPr="00C40A8B">
        <w:rPr>
          <w:rFonts w:ascii="Book Antiqua" w:hAnsi="Book Antiqua" w:cs="宋体"/>
          <w:kern w:val="0"/>
          <w:lang w:eastAsia="zh-CN"/>
        </w:rPr>
        <w:t>: 341-346 [PMID: 19160386 DOI: 10.1002/lary.20050]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41 </w:t>
      </w:r>
      <w:r w:rsidRPr="00C40A8B">
        <w:rPr>
          <w:rFonts w:ascii="Book Antiqua" w:hAnsi="Book Antiqua" w:cs="宋体"/>
          <w:b/>
          <w:bCs/>
          <w:kern w:val="0"/>
          <w:lang w:eastAsia="zh-CN"/>
        </w:rPr>
        <w:t>Gross M</w:t>
      </w:r>
      <w:r w:rsidRPr="00C40A8B">
        <w:rPr>
          <w:rFonts w:ascii="Book Antiqua" w:hAnsi="Book Antiqua" w:cs="宋体"/>
          <w:kern w:val="0"/>
          <w:lang w:eastAsia="zh-CN"/>
        </w:rPr>
        <w:t xml:space="preserve">, Eliashar R, Ben-Yaakov A, Ulmansky R, Elidan J. Prevalence and clinical significance of anticardiolipin, anti-beta2-glycoprotein-1, and anti-heat shock protein-70 autoantibodies in sudden sensorineural hearing loss.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13</w:t>
      </w:r>
      <w:r w:rsidRPr="00C40A8B">
        <w:rPr>
          <w:rFonts w:ascii="Book Antiqua" w:hAnsi="Book Antiqua" w:cs="宋体"/>
          <w:kern w:val="0"/>
          <w:lang w:eastAsia="zh-CN"/>
        </w:rPr>
        <w:t>: 231-238 [PMID: 18259075 DOI: 10.1159/000115432]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42 </w:t>
      </w:r>
      <w:r w:rsidRPr="00C40A8B">
        <w:rPr>
          <w:rFonts w:ascii="Book Antiqua" w:hAnsi="Book Antiqua" w:cs="宋体"/>
          <w:b/>
          <w:bCs/>
          <w:kern w:val="0"/>
          <w:lang w:eastAsia="zh-CN"/>
        </w:rPr>
        <w:t>Park SN</w:t>
      </w:r>
      <w:r w:rsidRPr="00C40A8B">
        <w:rPr>
          <w:rFonts w:ascii="Book Antiqua" w:hAnsi="Book Antiqua" w:cs="宋体"/>
          <w:kern w:val="0"/>
          <w:lang w:eastAsia="zh-CN"/>
        </w:rPr>
        <w:t xml:space="preserve">, Yeo SW, Park KH. Serum heat shock protein 70 and its correlation with clinical characteristics in patients with sudden sensorineural hearing loss.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116</w:t>
      </w:r>
      <w:r w:rsidRPr="00C40A8B">
        <w:rPr>
          <w:rFonts w:ascii="Book Antiqua" w:hAnsi="Book Antiqua" w:cs="宋体"/>
          <w:kern w:val="0"/>
          <w:lang w:eastAsia="zh-CN"/>
        </w:rPr>
        <w:t>: 121-125 [PMID: 16481823 DOI: 10.1097/01.mlg.0000187401.75156.b2]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43 </w:t>
      </w:r>
      <w:r w:rsidRPr="00C40A8B">
        <w:rPr>
          <w:rFonts w:ascii="Book Antiqua" w:hAnsi="Book Antiqua" w:cs="宋体"/>
          <w:b/>
          <w:bCs/>
          <w:kern w:val="0"/>
          <w:lang w:eastAsia="zh-CN"/>
        </w:rPr>
        <w:t>Cadoni G</w:t>
      </w:r>
      <w:r w:rsidRPr="00C40A8B">
        <w:rPr>
          <w:rFonts w:ascii="Book Antiqua" w:hAnsi="Book Antiqua" w:cs="宋体"/>
          <w:kern w:val="0"/>
          <w:lang w:eastAsia="zh-CN"/>
        </w:rPr>
        <w:t xml:space="preserve">, Boccia S, Scipione S, Arzani D, Cianfagna F, Ricciardi G, Paludetti G, Agostino S. Glutathione s-transferase gene polymorphisms in Italian patients with sudden sensorineural hearing loss. </w:t>
      </w:r>
      <w:r w:rsidRPr="00C40A8B">
        <w:rPr>
          <w:rFonts w:ascii="Book Antiqua" w:hAnsi="Book Antiqua" w:cs="宋体"/>
          <w:i/>
          <w:iCs/>
          <w:kern w:val="0"/>
          <w:lang w:eastAsia="zh-CN"/>
        </w:rPr>
        <w:t>Otol Neurotol</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27</w:t>
      </w:r>
      <w:r w:rsidRPr="00C40A8B">
        <w:rPr>
          <w:rFonts w:ascii="Book Antiqua" w:hAnsi="Book Antiqua" w:cs="宋体"/>
          <w:kern w:val="0"/>
          <w:lang w:eastAsia="zh-CN"/>
        </w:rPr>
        <w:t>: 1166-1169 [PMID: 16788422 DOI: 10.1097/01.mao.0000226303.59198.ce]</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44 </w:t>
      </w:r>
      <w:r w:rsidRPr="00C40A8B">
        <w:rPr>
          <w:rFonts w:ascii="Book Antiqua" w:hAnsi="Book Antiqua" w:cs="宋体"/>
          <w:b/>
          <w:bCs/>
          <w:kern w:val="0"/>
          <w:lang w:eastAsia="zh-CN"/>
        </w:rPr>
        <w:t>Bakker R</w:t>
      </w:r>
      <w:r w:rsidRPr="00C40A8B">
        <w:rPr>
          <w:rFonts w:ascii="Book Antiqua" w:hAnsi="Book Antiqua" w:cs="宋体"/>
          <w:kern w:val="0"/>
          <w:lang w:eastAsia="zh-CN"/>
        </w:rPr>
        <w:t xml:space="preserve">, Aarts MC, van der Heijden GJ, Rovers MM. No evidence for the diagnostic value of Borrelia serology in patients with sudden hearing loss. </w:t>
      </w:r>
      <w:r w:rsidRPr="00C40A8B">
        <w:rPr>
          <w:rFonts w:ascii="Book Antiqua" w:hAnsi="Book Antiqua" w:cs="宋体"/>
          <w:i/>
          <w:iCs/>
          <w:kern w:val="0"/>
          <w:lang w:eastAsia="zh-CN"/>
        </w:rPr>
        <w:t>Otolaryngol Head Neck Surg</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146</w:t>
      </w:r>
      <w:r w:rsidRPr="00C40A8B">
        <w:rPr>
          <w:rFonts w:ascii="Book Antiqua" w:hAnsi="Book Antiqua" w:cs="宋体"/>
          <w:kern w:val="0"/>
          <w:lang w:eastAsia="zh-CN"/>
        </w:rPr>
        <w:t>: 539-543 [PMID: 22394551 DOI: 10.1177/0194599811432535]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45 </w:t>
      </w:r>
      <w:r w:rsidRPr="00C40A8B">
        <w:rPr>
          <w:rFonts w:ascii="Book Antiqua" w:hAnsi="Book Antiqua" w:cs="宋体"/>
          <w:b/>
          <w:bCs/>
          <w:kern w:val="0"/>
          <w:lang w:eastAsia="zh-CN"/>
        </w:rPr>
        <w:t>Sheu JJ</w:t>
      </w:r>
      <w:r w:rsidRPr="00C40A8B">
        <w:rPr>
          <w:rFonts w:ascii="Book Antiqua" w:hAnsi="Book Antiqua" w:cs="宋体"/>
          <w:kern w:val="0"/>
          <w:lang w:eastAsia="zh-CN"/>
        </w:rPr>
        <w:t xml:space="preserve">, Keller JJ, Chen YH, Wu CS, Lin HC. No increased risk of sudden sensorineural hearing loss following recent herpes zoster: a nationwide population-based study. </w:t>
      </w:r>
      <w:r w:rsidRPr="00C40A8B">
        <w:rPr>
          <w:rFonts w:ascii="Book Antiqua" w:hAnsi="Book Antiqua" w:cs="宋体"/>
          <w:i/>
          <w:iCs/>
          <w:kern w:val="0"/>
          <w:lang w:eastAsia="zh-CN"/>
        </w:rPr>
        <w:t>Acta Otolaryngol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132</w:t>
      </w:r>
      <w:r w:rsidRPr="00C40A8B">
        <w:rPr>
          <w:rFonts w:ascii="Book Antiqua" w:hAnsi="Book Antiqua" w:cs="宋体"/>
          <w:kern w:val="0"/>
          <w:lang w:eastAsia="zh-CN"/>
        </w:rPr>
        <w:t>: 167-172 [PMID: 22201558 DOI: 10.3109/00016489.2011.633227]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46 </w:t>
      </w:r>
      <w:r w:rsidRPr="00C40A8B">
        <w:rPr>
          <w:rFonts w:ascii="Book Antiqua" w:hAnsi="Book Antiqua" w:cs="宋体"/>
          <w:b/>
          <w:bCs/>
          <w:kern w:val="0"/>
          <w:lang w:eastAsia="zh-CN"/>
        </w:rPr>
        <w:t>Kikidis D</w:t>
      </w:r>
      <w:r w:rsidRPr="00C40A8B">
        <w:rPr>
          <w:rFonts w:ascii="Book Antiqua" w:hAnsi="Book Antiqua" w:cs="宋体"/>
          <w:kern w:val="0"/>
          <w:lang w:eastAsia="zh-CN"/>
        </w:rPr>
        <w:t xml:space="preserve">, Nikolopoulos TP, Kampessis G, Stamatiou G, Chrysovergis A. Sudden sensorineural hearing loss: subclinical viral and toxoplasmosis infections as aetiology and how they alter the clinical course. </w:t>
      </w:r>
      <w:r w:rsidRPr="00C40A8B">
        <w:rPr>
          <w:rFonts w:ascii="Book Antiqua" w:hAnsi="Book Antiqua" w:cs="宋体"/>
          <w:i/>
          <w:iCs/>
          <w:kern w:val="0"/>
          <w:lang w:eastAsia="zh-CN"/>
        </w:rPr>
        <w:t>ORL J Otorhinolaryngol Relat Spec</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73</w:t>
      </w:r>
      <w:r w:rsidRPr="00C40A8B">
        <w:rPr>
          <w:rFonts w:ascii="Book Antiqua" w:hAnsi="Book Antiqua" w:cs="宋体"/>
          <w:kern w:val="0"/>
          <w:lang w:eastAsia="zh-CN"/>
        </w:rPr>
        <w:t>: 110-115 [PMID: 21389742 DOI: 10.1159/000324210]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47 </w:t>
      </w:r>
      <w:r w:rsidRPr="00C40A8B">
        <w:rPr>
          <w:rFonts w:ascii="Book Antiqua" w:hAnsi="Book Antiqua" w:cs="宋体"/>
          <w:b/>
          <w:bCs/>
          <w:kern w:val="0"/>
          <w:lang w:eastAsia="zh-CN"/>
        </w:rPr>
        <w:t>Gross M</w:t>
      </w:r>
      <w:r w:rsidRPr="00C40A8B">
        <w:rPr>
          <w:rFonts w:ascii="Book Antiqua" w:hAnsi="Book Antiqua" w:cs="宋体"/>
          <w:kern w:val="0"/>
          <w:lang w:eastAsia="zh-CN"/>
        </w:rPr>
        <w:t xml:space="preserve">, Wolf DG, Elidan J, Eliashar R. Enterovirus, cytomegalovirus, and Epstein-Barr virus infection screening in idiopathic sudden sensorineural hearing loss.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2007; </w:t>
      </w:r>
      <w:r w:rsidRPr="00C40A8B">
        <w:rPr>
          <w:rFonts w:ascii="Book Antiqua" w:hAnsi="Book Antiqua" w:cs="宋体"/>
          <w:b/>
          <w:bCs/>
          <w:kern w:val="0"/>
          <w:lang w:eastAsia="zh-CN"/>
        </w:rPr>
        <w:t>12</w:t>
      </w:r>
      <w:r w:rsidRPr="00C40A8B">
        <w:rPr>
          <w:rFonts w:ascii="Book Antiqua" w:hAnsi="Book Antiqua" w:cs="宋体"/>
          <w:kern w:val="0"/>
          <w:lang w:eastAsia="zh-CN"/>
        </w:rPr>
        <w:t>: 179-182 [PMID: 17259705 DOI: 10.1159/000099021]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48 </w:t>
      </w:r>
      <w:r w:rsidRPr="00C40A8B">
        <w:rPr>
          <w:rFonts w:ascii="Book Antiqua" w:hAnsi="Book Antiqua" w:cs="宋体"/>
          <w:b/>
          <w:bCs/>
          <w:kern w:val="0"/>
          <w:lang w:eastAsia="zh-CN"/>
        </w:rPr>
        <w:t>Baek MJ</w:t>
      </w:r>
      <w:r w:rsidRPr="00C40A8B">
        <w:rPr>
          <w:rFonts w:ascii="Book Antiqua" w:hAnsi="Book Antiqua" w:cs="宋体"/>
          <w:kern w:val="0"/>
          <w:lang w:eastAsia="zh-CN"/>
        </w:rPr>
        <w:t xml:space="preserve">, Park HM, Johnson JM, Altuntas CZ, Jane-Wit D, Jaini R, Solares CA, Thomas DM, Ball EJ, Robertson NG, Morton CC, Hughes GB, Tuohy VK. Increased frequencies of cochlin-specific T cells in patients with autoimmune sensorineural hearing loss. </w:t>
      </w:r>
      <w:r w:rsidRPr="00C40A8B">
        <w:rPr>
          <w:rFonts w:ascii="Book Antiqua" w:hAnsi="Book Antiqua" w:cs="宋体"/>
          <w:i/>
          <w:iCs/>
          <w:kern w:val="0"/>
          <w:lang w:eastAsia="zh-CN"/>
        </w:rPr>
        <w:t>J Immunol</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177</w:t>
      </w:r>
      <w:r w:rsidRPr="00C40A8B">
        <w:rPr>
          <w:rFonts w:ascii="Book Antiqua" w:hAnsi="Book Antiqua" w:cs="宋体"/>
          <w:kern w:val="0"/>
          <w:lang w:eastAsia="zh-CN"/>
        </w:rPr>
        <w:t>: 4203-4210 [PMID: 16951386]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49 </w:t>
      </w:r>
      <w:r w:rsidRPr="00C40A8B">
        <w:rPr>
          <w:rFonts w:ascii="Book Antiqua" w:hAnsi="Book Antiqua" w:cs="宋体"/>
          <w:b/>
          <w:bCs/>
          <w:kern w:val="0"/>
          <w:lang w:eastAsia="zh-CN"/>
        </w:rPr>
        <w:t>Masuda M</w:t>
      </w:r>
      <w:r w:rsidRPr="00C40A8B">
        <w:rPr>
          <w:rFonts w:ascii="Book Antiqua" w:hAnsi="Book Antiqua" w:cs="宋体"/>
          <w:kern w:val="0"/>
          <w:lang w:eastAsia="zh-CN"/>
        </w:rPr>
        <w:t xml:space="preserve">, Kanzaki S, Minami S, Kikuchi J, Kanzaki J, Sato H, Ogawa K. Correlations of inflammatory biomarkers with the onset and prognosis of </w:t>
      </w:r>
      <w:r w:rsidRPr="00C40A8B">
        <w:rPr>
          <w:rFonts w:ascii="Book Antiqua" w:hAnsi="Book Antiqua" w:cs="宋体"/>
          <w:kern w:val="0"/>
          <w:lang w:eastAsia="zh-CN"/>
        </w:rPr>
        <w:lastRenderedPageBreak/>
        <w:t xml:space="preserve">idiopathic sudden sensorineural hearing loss. </w:t>
      </w:r>
      <w:r w:rsidRPr="00C40A8B">
        <w:rPr>
          <w:rFonts w:ascii="Book Antiqua" w:hAnsi="Book Antiqua" w:cs="宋体"/>
          <w:i/>
          <w:iCs/>
          <w:kern w:val="0"/>
          <w:lang w:eastAsia="zh-CN"/>
        </w:rPr>
        <w:t>Otol Neurotol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33</w:t>
      </w:r>
      <w:r w:rsidRPr="00C40A8B">
        <w:rPr>
          <w:rFonts w:ascii="Book Antiqua" w:hAnsi="Book Antiqua" w:cs="宋体"/>
          <w:kern w:val="0"/>
          <w:lang w:eastAsia="zh-CN"/>
        </w:rPr>
        <w:t>: 1142-1150 [PMID: 22872174 DOI: 10.1097/MAO.0b013e3182635417]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50 </w:t>
      </w:r>
      <w:r w:rsidRPr="00C40A8B">
        <w:rPr>
          <w:rFonts w:ascii="Book Antiqua" w:hAnsi="Book Antiqua" w:cs="宋体"/>
          <w:b/>
          <w:bCs/>
          <w:kern w:val="0"/>
          <w:lang w:eastAsia="zh-CN"/>
        </w:rPr>
        <w:t>Merchant SN</w:t>
      </w:r>
      <w:r w:rsidRPr="00C40A8B">
        <w:rPr>
          <w:rFonts w:ascii="Book Antiqua" w:hAnsi="Book Antiqua" w:cs="宋体"/>
          <w:kern w:val="0"/>
          <w:lang w:eastAsia="zh-CN"/>
        </w:rPr>
        <w:t xml:space="preserve">, Adams JC, Nadol JB. Pathology and pathophysiology of idiopathic sudden sensorineural hearing loss. </w:t>
      </w:r>
      <w:r w:rsidRPr="00C40A8B">
        <w:rPr>
          <w:rFonts w:ascii="Book Antiqua" w:hAnsi="Book Antiqua" w:cs="宋体"/>
          <w:i/>
          <w:iCs/>
          <w:kern w:val="0"/>
          <w:lang w:eastAsia="zh-CN"/>
        </w:rPr>
        <w:t>Otol Neurotol</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26</w:t>
      </w:r>
      <w:r w:rsidRPr="00C40A8B">
        <w:rPr>
          <w:rFonts w:ascii="Book Antiqua" w:hAnsi="Book Antiqua" w:cs="宋体"/>
          <w:kern w:val="0"/>
          <w:lang w:eastAsia="zh-CN"/>
        </w:rPr>
        <w:t>: 151-160 [PMID: 15793397]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51 </w:t>
      </w:r>
      <w:r w:rsidRPr="00C40A8B">
        <w:rPr>
          <w:rFonts w:ascii="Book Antiqua" w:hAnsi="Book Antiqua" w:cs="宋体"/>
          <w:b/>
          <w:bCs/>
          <w:kern w:val="0"/>
          <w:lang w:eastAsia="zh-CN"/>
        </w:rPr>
        <w:t>Lin C</w:t>
      </w:r>
      <w:r w:rsidRPr="00C40A8B">
        <w:rPr>
          <w:rFonts w:ascii="Book Antiqua" w:hAnsi="Book Antiqua" w:cs="宋体"/>
          <w:kern w:val="0"/>
          <w:lang w:eastAsia="zh-CN"/>
        </w:rPr>
        <w:t xml:space="preserve">, Lin SW, Weng SF, Lin YS. Increased risk of sudden sensorineural hearing loss in patients with human immunodeficiency virus aged 18 to 35 years: a population-based cohort study. </w:t>
      </w:r>
      <w:r w:rsidRPr="00C40A8B">
        <w:rPr>
          <w:rFonts w:ascii="Book Antiqua" w:hAnsi="Book Antiqua" w:cs="宋体"/>
          <w:i/>
          <w:iCs/>
          <w:kern w:val="0"/>
          <w:lang w:eastAsia="zh-CN"/>
        </w:rPr>
        <w:t>JAMA Otolaryngol Head Neck Surg</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139</w:t>
      </w:r>
      <w:r w:rsidRPr="00C40A8B">
        <w:rPr>
          <w:rFonts w:ascii="Book Antiqua" w:hAnsi="Book Antiqua" w:cs="宋体"/>
          <w:kern w:val="0"/>
          <w:lang w:eastAsia="zh-CN"/>
        </w:rPr>
        <w:t>: 251-255 [PMID: 23429891 DOI: 10.1001/jamaoto.2013.1709]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52 </w:t>
      </w:r>
      <w:r w:rsidRPr="00C40A8B">
        <w:rPr>
          <w:rFonts w:ascii="Book Antiqua" w:hAnsi="Book Antiqua" w:cs="宋体"/>
          <w:b/>
          <w:bCs/>
          <w:kern w:val="0"/>
          <w:lang w:eastAsia="zh-CN"/>
        </w:rPr>
        <w:t>Lin C</w:t>
      </w:r>
      <w:r w:rsidRPr="00C40A8B">
        <w:rPr>
          <w:rFonts w:ascii="Book Antiqua" w:hAnsi="Book Antiqua" w:cs="宋体"/>
          <w:kern w:val="0"/>
          <w:lang w:eastAsia="zh-CN"/>
        </w:rPr>
        <w:t xml:space="preserve">, Lin SW, Weng SF, Lin YS. Risk of sudden sensorineural hearing loss in patients with systemic lupus erythematosus: a population-based cohort study.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18</w:t>
      </w:r>
      <w:r w:rsidRPr="00C40A8B">
        <w:rPr>
          <w:rFonts w:ascii="Book Antiqua" w:hAnsi="Book Antiqua" w:cs="宋体"/>
          <w:kern w:val="0"/>
          <w:lang w:eastAsia="zh-CN"/>
        </w:rPr>
        <w:t>: 95-100 [PMID: 23257626 DOI: 10.1159/000345512]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53 </w:t>
      </w:r>
      <w:r w:rsidRPr="00C40A8B">
        <w:rPr>
          <w:rFonts w:ascii="Book Antiqua" w:hAnsi="Book Antiqua" w:cs="宋体"/>
          <w:b/>
          <w:bCs/>
          <w:kern w:val="0"/>
          <w:lang w:eastAsia="zh-CN"/>
        </w:rPr>
        <w:t>Keller JJ</w:t>
      </w:r>
      <w:r w:rsidRPr="00C40A8B">
        <w:rPr>
          <w:rFonts w:ascii="Book Antiqua" w:hAnsi="Book Antiqua" w:cs="宋体"/>
          <w:kern w:val="0"/>
          <w:lang w:eastAsia="zh-CN"/>
        </w:rPr>
        <w:t xml:space="preserve">, Wu CS, Kang JH, Lin HC. Association of acute myocardial infarction with sudden sensorineural hearing loss: a population-based case-control study.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18</w:t>
      </w:r>
      <w:r w:rsidRPr="00C40A8B">
        <w:rPr>
          <w:rFonts w:ascii="Book Antiqua" w:hAnsi="Book Antiqua" w:cs="宋体"/>
          <w:kern w:val="0"/>
          <w:lang w:eastAsia="zh-CN"/>
        </w:rPr>
        <w:t>: 3-8 [PMID: 22948477 DOI: 10.1159/000341988]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54 </w:t>
      </w:r>
      <w:r w:rsidRPr="00C40A8B">
        <w:rPr>
          <w:rFonts w:ascii="Book Antiqua" w:hAnsi="Book Antiqua" w:cs="宋体"/>
          <w:b/>
          <w:bCs/>
          <w:kern w:val="0"/>
          <w:lang w:eastAsia="zh-CN"/>
        </w:rPr>
        <w:t>Chu CH</w:t>
      </w:r>
      <w:r w:rsidRPr="00C40A8B">
        <w:rPr>
          <w:rFonts w:ascii="Book Antiqua" w:hAnsi="Book Antiqua" w:cs="宋体"/>
          <w:kern w:val="0"/>
          <w:lang w:eastAsia="zh-CN"/>
        </w:rPr>
        <w:t xml:space="preserve">, Liu CJ, Fuh JL, Shiao AS, Chen TJ, Wang SJ. Migraine is a risk factor for sudden sensorineural hearing loss: a nationwide population-based study. </w:t>
      </w:r>
      <w:r w:rsidRPr="00C40A8B">
        <w:rPr>
          <w:rFonts w:ascii="Book Antiqua" w:hAnsi="Book Antiqua" w:cs="宋体"/>
          <w:i/>
          <w:iCs/>
          <w:kern w:val="0"/>
          <w:lang w:eastAsia="zh-CN"/>
        </w:rPr>
        <w:t>Cephalalgia</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33</w:t>
      </w:r>
      <w:r w:rsidRPr="00C40A8B">
        <w:rPr>
          <w:rFonts w:ascii="Book Antiqua" w:hAnsi="Book Antiqua" w:cs="宋体"/>
          <w:kern w:val="0"/>
          <w:lang w:eastAsia="zh-CN"/>
        </w:rPr>
        <w:t>: 80-86 [PMID: 23197354 DOI: 10.1177/0333102412468671]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55 </w:t>
      </w:r>
      <w:r w:rsidRPr="00C40A8B">
        <w:rPr>
          <w:rFonts w:ascii="Book Antiqua" w:hAnsi="Book Antiqua" w:cs="宋体"/>
          <w:b/>
          <w:bCs/>
          <w:kern w:val="0"/>
          <w:lang w:eastAsia="zh-CN"/>
        </w:rPr>
        <w:t>Keller JJ</w:t>
      </w:r>
      <w:r w:rsidRPr="00C40A8B">
        <w:rPr>
          <w:rFonts w:ascii="Book Antiqua" w:hAnsi="Book Antiqua" w:cs="宋体"/>
          <w:kern w:val="0"/>
          <w:lang w:eastAsia="zh-CN"/>
        </w:rPr>
        <w:t xml:space="preserve">, Chen YK, Lin HC. A case-control analysis on the association between erectile dysfunction and sudden sensorineural hearing loss in Taiwan. </w:t>
      </w:r>
      <w:r w:rsidRPr="00C40A8B">
        <w:rPr>
          <w:rFonts w:ascii="Book Antiqua" w:hAnsi="Book Antiqua" w:cs="宋体"/>
          <w:i/>
          <w:iCs/>
          <w:kern w:val="0"/>
          <w:lang w:eastAsia="zh-CN"/>
        </w:rPr>
        <w:lastRenderedPageBreak/>
        <w:t>J Sex Med</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9</w:t>
      </w:r>
      <w:r w:rsidRPr="00C40A8B">
        <w:rPr>
          <w:rFonts w:ascii="Book Antiqua" w:hAnsi="Book Antiqua" w:cs="宋体"/>
          <w:kern w:val="0"/>
          <w:lang w:eastAsia="zh-CN"/>
        </w:rPr>
        <w:t>: 1411-1417 [PMID: 22429794 DOI: 10.1111/j.1743-6109.2012.02669.x]</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56 </w:t>
      </w:r>
      <w:r w:rsidRPr="00C40A8B">
        <w:rPr>
          <w:rFonts w:ascii="Book Antiqua" w:hAnsi="Book Antiqua" w:cs="宋体"/>
          <w:b/>
          <w:bCs/>
          <w:kern w:val="0"/>
          <w:lang w:eastAsia="zh-CN"/>
        </w:rPr>
        <w:t>Kele</w:t>
      </w:r>
      <w:r w:rsidRPr="00C40A8B">
        <w:rPr>
          <w:rFonts w:ascii="Book Antiqua" w:eastAsia="MS Mincho" w:hAnsi="Book Antiqua" w:cs="MS Mincho"/>
          <w:b/>
          <w:bCs/>
          <w:kern w:val="0"/>
          <w:lang w:eastAsia="zh-CN"/>
        </w:rPr>
        <w:t>ş</w:t>
      </w:r>
      <w:r w:rsidRPr="00C40A8B">
        <w:rPr>
          <w:rFonts w:ascii="Book Antiqua" w:hAnsi="Book Antiqua" w:cs="宋体"/>
          <w:b/>
          <w:bCs/>
          <w:kern w:val="0"/>
          <w:lang w:eastAsia="zh-CN"/>
        </w:rPr>
        <w:t xml:space="preserve"> E</w:t>
      </w:r>
      <w:r w:rsidRPr="00C40A8B">
        <w:rPr>
          <w:rFonts w:ascii="Book Antiqua" w:hAnsi="Book Antiqua" w:cs="宋体"/>
          <w:kern w:val="0"/>
          <w:lang w:eastAsia="zh-CN"/>
        </w:rPr>
        <w:t xml:space="preserve">, Sapmaz E, Gödekmerdan A. The role of allergy in the etiopathogenesis of idiopathic sudden sensorineural hearing loss. </w:t>
      </w:r>
      <w:r w:rsidRPr="00C40A8B">
        <w:rPr>
          <w:rFonts w:ascii="Book Antiqua" w:hAnsi="Book Antiqua" w:cs="宋体"/>
          <w:i/>
          <w:iCs/>
          <w:kern w:val="0"/>
          <w:lang w:eastAsia="zh-CN"/>
        </w:rPr>
        <w:t>Eur Arch Otorhinolaryngol</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270</w:t>
      </w:r>
      <w:r w:rsidRPr="00C40A8B">
        <w:rPr>
          <w:rFonts w:ascii="Book Antiqua" w:hAnsi="Book Antiqua" w:cs="宋体"/>
          <w:kern w:val="0"/>
          <w:lang w:eastAsia="zh-CN"/>
        </w:rPr>
        <w:t>: 1795-1801 [PMID: 23008128 DOI: 10.1007/s00405-012-2189-y]</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57 </w:t>
      </w:r>
      <w:r w:rsidRPr="00C40A8B">
        <w:rPr>
          <w:rFonts w:ascii="Book Antiqua" w:hAnsi="Book Antiqua" w:cs="宋体"/>
          <w:b/>
          <w:bCs/>
          <w:kern w:val="0"/>
          <w:lang w:eastAsia="zh-CN"/>
        </w:rPr>
        <w:t>Sheu JJ</w:t>
      </w:r>
      <w:r w:rsidRPr="00C40A8B">
        <w:rPr>
          <w:rFonts w:ascii="Book Antiqua" w:hAnsi="Book Antiqua" w:cs="宋体"/>
          <w:kern w:val="0"/>
          <w:lang w:eastAsia="zh-CN"/>
        </w:rPr>
        <w:t xml:space="preserve">, Wu CS, Lin HC. Association between obstructive sleep apnea and sudden sensorineural hearing loss: a population-based case-control study. </w:t>
      </w:r>
      <w:r w:rsidRPr="00C40A8B">
        <w:rPr>
          <w:rFonts w:ascii="Book Antiqua" w:hAnsi="Book Antiqua" w:cs="宋体"/>
          <w:i/>
          <w:iCs/>
          <w:kern w:val="0"/>
          <w:lang w:eastAsia="zh-CN"/>
        </w:rPr>
        <w:t>Arch Otolaryngol Head Neck Surg</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138</w:t>
      </w:r>
      <w:r w:rsidRPr="00C40A8B">
        <w:rPr>
          <w:rFonts w:ascii="Book Antiqua" w:hAnsi="Book Antiqua" w:cs="宋体"/>
          <w:kern w:val="0"/>
          <w:lang w:eastAsia="zh-CN"/>
        </w:rPr>
        <w:t>: 55-59 [PMID: 22249630 DOI: 10.1001/archoto.2011.227]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58 </w:t>
      </w:r>
      <w:r w:rsidRPr="00C40A8B">
        <w:rPr>
          <w:rFonts w:ascii="Book Antiqua" w:hAnsi="Book Antiqua" w:cs="宋体"/>
          <w:b/>
          <w:bCs/>
          <w:kern w:val="0"/>
          <w:lang w:eastAsia="zh-CN"/>
        </w:rPr>
        <w:t>Aimoni C</w:t>
      </w:r>
      <w:r w:rsidRPr="00C40A8B">
        <w:rPr>
          <w:rFonts w:ascii="Book Antiqua" w:hAnsi="Book Antiqua" w:cs="宋体"/>
          <w:kern w:val="0"/>
          <w:lang w:eastAsia="zh-CN"/>
        </w:rPr>
        <w:t xml:space="preserve">, Bianchini C, Borin M, Ciorba A, Fellin R, Martini A, Scanelli G, Volpato S. Diabetes, cardiovascular risk factors and idiopathic sudden sensorineural hearing loss: a case-control study.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15</w:t>
      </w:r>
      <w:r w:rsidRPr="00C40A8B">
        <w:rPr>
          <w:rFonts w:ascii="Book Antiqua" w:hAnsi="Book Antiqua" w:cs="宋体"/>
          <w:kern w:val="0"/>
          <w:lang w:eastAsia="zh-CN"/>
        </w:rPr>
        <w:t>: 111-115 [PMID: 19657186 DOI: 10.1159/000231636]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59 </w:t>
      </w:r>
      <w:r w:rsidRPr="00C40A8B">
        <w:rPr>
          <w:rFonts w:ascii="Book Antiqua" w:hAnsi="Book Antiqua" w:cs="宋体"/>
          <w:b/>
          <w:bCs/>
          <w:kern w:val="0"/>
          <w:lang w:eastAsia="zh-CN"/>
        </w:rPr>
        <w:t>Gäckler A</w:t>
      </w:r>
      <w:r w:rsidRPr="00C40A8B">
        <w:rPr>
          <w:rFonts w:ascii="Book Antiqua" w:hAnsi="Book Antiqua" w:cs="宋体"/>
          <w:kern w:val="0"/>
          <w:lang w:eastAsia="zh-CN"/>
        </w:rPr>
        <w:t xml:space="preserve">, Eickelmann AK, Brors D, Dazert S, Epplen JT, Kunstmann E. Positive family history of idiopathic sudden sensorineural hearing loss. </w:t>
      </w:r>
      <w:r w:rsidRPr="00C40A8B">
        <w:rPr>
          <w:rFonts w:ascii="Book Antiqua" w:hAnsi="Book Antiqua" w:cs="宋体"/>
          <w:i/>
          <w:iCs/>
          <w:kern w:val="0"/>
          <w:lang w:eastAsia="zh-CN"/>
        </w:rPr>
        <w:t>Eur Arch Otorhinolaryngol</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267</w:t>
      </w:r>
      <w:r w:rsidRPr="00C40A8B">
        <w:rPr>
          <w:rFonts w:ascii="Book Antiqua" w:hAnsi="Book Antiqua" w:cs="宋体"/>
          <w:kern w:val="0"/>
          <w:lang w:eastAsia="zh-CN"/>
        </w:rPr>
        <w:t>: 1843-1848 [PMID: 20593290 DOI: 10.1007/s00405-010-1310-3]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60 </w:t>
      </w:r>
      <w:r w:rsidRPr="00C40A8B">
        <w:rPr>
          <w:rFonts w:ascii="Book Antiqua" w:hAnsi="Book Antiqua" w:cs="宋体"/>
          <w:b/>
          <w:bCs/>
          <w:kern w:val="0"/>
          <w:lang w:eastAsia="zh-CN"/>
        </w:rPr>
        <w:t>Lin HC</w:t>
      </w:r>
      <w:r w:rsidRPr="00C40A8B">
        <w:rPr>
          <w:rFonts w:ascii="Book Antiqua" w:hAnsi="Book Antiqua" w:cs="宋体"/>
          <w:kern w:val="0"/>
          <w:lang w:eastAsia="zh-CN"/>
        </w:rPr>
        <w:t xml:space="preserve">, Chao PZ, Lee HC. Sudden sensorineural hearing loss increases the risk of stroke: a 5-year follow-up study. </w:t>
      </w:r>
      <w:r w:rsidRPr="00C40A8B">
        <w:rPr>
          <w:rFonts w:ascii="Book Antiqua" w:hAnsi="Book Antiqua" w:cs="宋体"/>
          <w:i/>
          <w:iCs/>
          <w:kern w:val="0"/>
          <w:lang w:eastAsia="zh-CN"/>
        </w:rPr>
        <w:t>Stroke</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39</w:t>
      </w:r>
      <w:r w:rsidRPr="00C40A8B">
        <w:rPr>
          <w:rFonts w:ascii="Book Antiqua" w:hAnsi="Book Antiqua" w:cs="宋体"/>
          <w:kern w:val="0"/>
          <w:lang w:eastAsia="zh-CN"/>
        </w:rPr>
        <w:t>: 2744-2748 [PMID: 18583554 DOI: 10.1161/STROKEAHA.108.519090]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61 </w:t>
      </w:r>
      <w:r w:rsidRPr="00C40A8B">
        <w:rPr>
          <w:rFonts w:ascii="Book Antiqua" w:hAnsi="Book Antiqua" w:cs="宋体"/>
          <w:b/>
          <w:bCs/>
          <w:kern w:val="0"/>
          <w:lang w:eastAsia="zh-CN"/>
        </w:rPr>
        <w:t>Haubner F</w:t>
      </w:r>
      <w:r w:rsidRPr="00C40A8B">
        <w:rPr>
          <w:rFonts w:ascii="Book Antiqua" w:hAnsi="Book Antiqua" w:cs="宋体"/>
          <w:kern w:val="0"/>
          <w:lang w:eastAsia="zh-CN"/>
        </w:rPr>
        <w:t xml:space="preserve">, Rohrmeier C, Koch C, Vielsmeier V, Strutz J, Kleinjung T. Occurence of a round window membrane rupture in patients with sudden </w:t>
      </w:r>
      <w:r w:rsidRPr="00C40A8B">
        <w:rPr>
          <w:rFonts w:ascii="Book Antiqua" w:hAnsi="Book Antiqua" w:cs="宋体"/>
          <w:kern w:val="0"/>
          <w:lang w:eastAsia="zh-CN"/>
        </w:rPr>
        <w:lastRenderedPageBreak/>
        <w:t xml:space="preserve">sensorineural hearing loss. </w:t>
      </w:r>
      <w:r w:rsidRPr="00C40A8B">
        <w:rPr>
          <w:rFonts w:ascii="Book Antiqua" w:hAnsi="Book Antiqua" w:cs="宋体"/>
          <w:i/>
          <w:iCs/>
          <w:kern w:val="0"/>
          <w:lang w:eastAsia="zh-CN"/>
        </w:rPr>
        <w:t>BMC Ear Nose Throat Disord</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12</w:t>
      </w:r>
      <w:r w:rsidRPr="00C40A8B">
        <w:rPr>
          <w:rFonts w:ascii="Book Antiqua" w:hAnsi="Book Antiqua" w:cs="宋体"/>
          <w:kern w:val="0"/>
          <w:lang w:eastAsia="zh-CN"/>
        </w:rPr>
        <w:t>: 14 [PMID: 23194317 DOI: 10.1186/1472-6815-12-14]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62 </w:t>
      </w:r>
      <w:r w:rsidRPr="00C40A8B">
        <w:rPr>
          <w:rFonts w:ascii="Book Antiqua" w:hAnsi="Book Antiqua" w:cs="宋体"/>
          <w:b/>
          <w:bCs/>
          <w:kern w:val="0"/>
          <w:lang w:eastAsia="zh-CN"/>
        </w:rPr>
        <w:t>Chen X</w:t>
      </w:r>
      <w:r w:rsidRPr="00C40A8B">
        <w:rPr>
          <w:rFonts w:ascii="Book Antiqua" w:hAnsi="Book Antiqua" w:cs="宋体"/>
          <w:kern w:val="0"/>
          <w:lang w:eastAsia="zh-CN"/>
        </w:rPr>
        <w:t xml:space="preserve">, Zhang XD, Gu X, Fang ZM, Zhang R. Endolymphatic space imaging in idiopathic sudden sensorineural hearing loss with vertigo.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122</w:t>
      </w:r>
      <w:r w:rsidRPr="00C40A8B">
        <w:rPr>
          <w:rFonts w:ascii="Book Antiqua" w:hAnsi="Book Antiqua" w:cs="宋体"/>
          <w:kern w:val="0"/>
          <w:lang w:eastAsia="zh-CN"/>
        </w:rPr>
        <w:t>: 2265-2268 [PMID: 22996668 DOI: 10.1002/lary.23452]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63 </w:t>
      </w:r>
      <w:r w:rsidRPr="00C40A8B">
        <w:rPr>
          <w:rFonts w:ascii="Book Antiqua" w:hAnsi="Book Antiqua" w:cs="宋体"/>
          <w:b/>
          <w:bCs/>
          <w:kern w:val="0"/>
          <w:lang w:eastAsia="zh-CN"/>
        </w:rPr>
        <w:t>Park JJ</w:t>
      </w:r>
      <w:r w:rsidRPr="00C40A8B">
        <w:rPr>
          <w:rFonts w:ascii="Book Antiqua" w:hAnsi="Book Antiqua" w:cs="宋体"/>
          <w:kern w:val="0"/>
          <w:lang w:eastAsia="zh-CN"/>
        </w:rPr>
        <w:t xml:space="preserve">, Luedeke I, Luecke K, Emmerling O, Westhofen M. Eustachian tube function in patients with inner ear disorders. </w:t>
      </w:r>
      <w:r w:rsidRPr="00C40A8B">
        <w:rPr>
          <w:rFonts w:ascii="Book Antiqua" w:hAnsi="Book Antiqua" w:cs="宋体"/>
          <w:i/>
          <w:iCs/>
          <w:kern w:val="0"/>
          <w:lang w:eastAsia="zh-CN"/>
        </w:rPr>
        <w:t>Eur Arch Otorhinolaryngol</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270</w:t>
      </w:r>
      <w:r w:rsidRPr="00C40A8B">
        <w:rPr>
          <w:rFonts w:ascii="Book Antiqua" w:hAnsi="Book Antiqua" w:cs="宋体"/>
          <w:kern w:val="0"/>
          <w:lang w:eastAsia="zh-CN"/>
        </w:rPr>
        <w:t>: 1615-1621 [PMID: 22941437 DOI: 10.1007/s00405-012-2143-z]</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64 </w:t>
      </w:r>
      <w:r w:rsidRPr="00C40A8B">
        <w:rPr>
          <w:rFonts w:ascii="Book Antiqua" w:hAnsi="Book Antiqua" w:cs="宋体"/>
          <w:b/>
          <w:bCs/>
          <w:kern w:val="0"/>
          <w:lang w:eastAsia="zh-CN"/>
        </w:rPr>
        <w:t>Punj J</w:t>
      </w:r>
      <w:r w:rsidRPr="00C40A8B">
        <w:rPr>
          <w:rFonts w:ascii="Book Antiqua" w:hAnsi="Book Antiqua" w:cs="宋体"/>
          <w:kern w:val="0"/>
          <w:lang w:eastAsia="zh-CN"/>
        </w:rPr>
        <w:t xml:space="preserve">, Pandey R, Darlong V. Sensorineural hearing loss after general anaesthesia: 52 cases reported until now! </w:t>
      </w:r>
      <w:r w:rsidRPr="00C40A8B">
        <w:rPr>
          <w:rFonts w:ascii="Book Antiqua" w:hAnsi="Book Antiqua" w:cs="宋体"/>
          <w:i/>
          <w:iCs/>
          <w:kern w:val="0"/>
          <w:lang w:eastAsia="zh-CN"/>
        </w:rPr>
        <w:t>Anaesthesia</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64</w:t>
      </w:r>
      <w:r w:rsidRPr="00C40A8B">
        <w:rPr>
          <w:rFonts w:ascii="Book Antiqua" w:hAnsi="Book Antiqua" w:cs="宋体"/>
          <w:kern w:val="0"/>
          <w:lang w:eastAsia="zh-CN"/>
        </w:rPr>
        <w:t>: 226 [PMID: 19143715 DOI: 10.1111/j.1365-2044.2008.05846.x]</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65 </w:t>
      </w:r>
      <w:r w:rsidRPr="00C40A8B">
        <w:rPr>
          <w:rFonts w:ascii="Book Antiqua" w:hAnsi="Book Antiqua" w:cs="宋体"/>
          <w:b/>
          <w:bCs/>
          <w:kern w:val="0"/>
          <w:lang w:eastAsia="zh-CN"/>
        </w:rPr>
        <w:t>Lin HC</w:t>
      </w:r>
      <w:r w:rsidRPr="00C40A8B">
        <w:rPr>
          <w:rFonts w:ascii="Book Antiqua" w:hAnsi="Book Antiqua" w:cs="宋体"/>
          <w:kern w:val="0"/>
          <w:lang w:eastAsia="zh-CN"/>
        </w:rPr>
        <w:t xml:space="preserve">, Lee HC, Chao PZ, Wu CS. The effects of weather on the incidence of sudden sensorineural hearing loss: a 5-year population-based study.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11</w:t>
      </w:r>
      <w:r w:rsidRPr="00C40A8B">
        <w:rPr>
          <w:rFonts w:ascii="Book Antiqua" w:hAnsi="Book Antiqua" w:cs="宋体"/>
          <w:kern w:val="0"/>
          <w:lang w:eastAsia="zh-CN"/>
        </w:rPr>
        <w:t>: 165-171 [PMID: 16462137 DOI: 10.1159/000091268]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66 </w:t>
      </w:r>
      <w:r w:rsidRPr="00C40A8B">
        <w:rPr>
          <w:rFonts w:ascii="Book Antiqua" w:hAnsi="Book Antiqua" w:cs="宋体"/>
          <w:b/>
          <w:bCs/>
          <w:kern w:val="0"/>
          <w:lang w:eastAsia="zh-CN"/>
        </w:rPr>
        <w:t>Amor-Dorado JC</w:t>
      </w:r>
      <w:r w:rsidRPr="00C40A8B">
        <w:rPr>
          <w:rFonts w:ascii="Book Antiqua" w:hAnsi="Book Antiqua" w:cs="宋体"/>
          <w:kern w:val="0"/>
          <w:lang w:eastAsia="zh-CN"/>
        </w:rPr>
        <w:t xml:space="preserve">, Paco L, Martin J, Lopez-Nevot MA, Gonzalez-Gay MA. Human leukocyte antigen-DQB1 and -DRB1 associations in patients with idiopathic sudden sensorineural hearing loss from a defined population of Northwest Spain. </w:t>
      </w:r>
      <w:r w:rsidRPr="00C40A8B">
        <w:rPr>
          <w:rFonts w:ascii="Book Antiqua" w:hAnsi="Book Antiqua" w:cs="宋体"/>
          <w:i/>
          <w:iCs/>
          <w:kern w:val="0"/>
          <w:lang w:eastAsia="zh-CN"/>
        </w:rPr>
        <w:t>Acta Otolaryngol</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125</w:t>
      </w:r>
      <w:r w:rsidRPr="00C40A8B">
        <w:rPr>
          <w:rFonts w:ascii="Book Antiqua" w:hAnsi="Book Antiqua" w:cs="宋体"/>
          <w:kern w:val="0"/>
          <w:lang w:eastAsia="zh-CN"/>
        </w:rPr>
        <w:t>: 1277-1282 [PMID: 16303674 DOI: 10.1080/00016480510012228]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67 </w:t>
      </w:r>
      <w:r w:rsidRPr="00C40A8B">
        <w:rPr>
          <w:rFonts w:ascii="Book Antiqua" w:hAnsi="Book Antiqua" w:cs="宋体"/>
          <w:b/>
          <w:bCs/>
          <w:kern w:val="0"/>
          <w:lang w:eastAsia="zh-CN"/>
        </w:rPr>
        <w:t>Danielides V</w:t>
      </w:r>
      <w:r w:rsidRPr="00C40A8B">
        <w:rPr>
          <w:rFonts w:ascii="Book Antiqua" w:hAnsi="Book Antiqua" w:cs="宋体"/>
          <w:kern w:val="0"/>
          <w:lang w:eastAsia="zh-CN"/>
        </w:rPr>
        <w:t xml:space="preserve">, Nousia CS, Bartzokas A, Lolis CJ, Kateri M, Skevas A. Weather conditions and sudden sensorineural hearing loss. </w:t>
      </w:r>
      <w:r w:rsidRPr="00C40A8B">
        <w:rPr>
          <w:rFonts w:ascii="Book Antiqua" w:hAnsi="Book Antiqua" w:cs="宋体"/>
          <w:i/>
          <w:iCs/>
          <w:kern w:val="0"/>
          <w:lang w:eastAsia="zh-CN"/>
        </w:rPr>
        <w:t>BMC Ear Nose Throat Disord</w:t>
      </w:r>
      <w:r w:rsidRPr="00C40A8B">
        <w:rPr>
          <w:rFonts w:ascii="Book Antiqua" w:hAnsi="Book Antiqua" w:cs="宋体"/>
          <w:kern w:val="0"/>
          <w:lang w:eastAsia="zh-CN"/>
        </w:rPr>
        <w:t xml:space="preserve"> 2002; </w:t>
      </w:r>
      <w:r w:rsidRPr="00C40A8B">
        <w:rPr>
          <w:rFonts w:ascii="Book Antiqua" w:hAnsi="Book Antiqua" w:cs="宋体"/>
          <w:b/>
          <w:bCs/>
          <w:kern w:val="0"/>
          <w:lang w:eastAsia="zh-CN"/>
        </w:rPr>
        <w:t>2</w:t>
      </w:r>
      <w:r w:rsidRPr="00C40A8B">
        <w:rPr>
          <w:rFonts w:ascii="Book Antiqua" w:hAnsi="Book Antiqua" w:cs="宋体"/>
          <w:kern w:val="0"/>
          <w:lang w:eastAsia="zh-CN"/>
        </w:rPr>
        <w:t>: 2 [PMID: 12123526]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68 </w:t>
      </w:r>
      <w:r w:rsidRPr="00C40A8B">
        <w:rPr>
          <w:rFonts w:ascii="Book Antiqua" w:hAnsi="Book Antiqua" w:cs="宋体"/>
          <w:b/>
          <w:bCs/>
          <w:kern w:val="0"/>
          <w:lang w:eastAsia="zh-CN"/>
        </w:rPr>
        <w:t>Finger RP</w:t>
      </w:r>
      <w:r w:rsidRPr="00C40A8B">
        <w:rPr>
          <w:rFonts w:ascii="Book Antiqua" w:hAnsi="Book Antiqua" w:cs="宋体"/>
          <w:kern w:val="0"/>
          <w:lang w:eastAsia="zh-CN"/>
        </w:rPr>
        <w:t xml:space="preserve">, Gostian AO. Idiopathic sudden hearing loss: contradictory clinical evidence, placebo effects and high spontaneous recovery rate--where do we stand in assessing treatment outcomes? </w:t>
      </w:r>
      <w:r w:rsidRPr="00C40A8B">
        <w:rPr>
          <w:rFonts w:ascii="Book Antiqua" w:hAnsi="Book Antiqua" w:cs="宋体"/>
          <w:i/>
          <w:iCs/>
          <w:kern w:val="0"/>
          <w:lang w:eastAsia="zh-CN"/>
        </w:rPr>
        <w:t>Acta Otolaryngol</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126</w:t>
      </w:r>
      <w:r w:rsidRPr="00C40A8B">
        <w:rPr>
          <w:rFonts w:ascii="Book Antiqua" w:hAnsi="Book Antiqua" w:cs="宋体"/>
          <w:kern w:val="0"/>
          <w:lang w:eastAsia="zh-CN"/>
        </w:rPr>
        <w:t>: 1124-1127 [PMID: 17043035 DOI: 10.1080/00016480600702084]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69 </w:t>
      </w:r>
      <w:r w:rsidRPr="00C40A8B">
        <w:rPr>
          <w:rFonts w:ascii="Book Antiqua" w:hAnsi="Book Antiqua" w:cs="宋体"/>
          <w:b/>
          <w:bCs/>
          <w:kern w:val="0"/>
          <w:lang w:eastAsia="zh-CN"/>
        </w:rPr>
        <w:t>Nosrati-Zarenoe R</w:t>
      </w:r>
      <w:r w:rsidRPr="00C40A8B">
        <w:rPr>
          <w:rFonts w:ascii="Book Antiqua" w:hAnsi="Book Antiqua" w:cs="宋体"/>
          <w:kern w:val="0"/>
          <w:lang w:eastAsia="zh-CN"/>
        </w:rPr>
        <w:t xml:space="preserve">, Arlinger S, Hultcrantz E. Idiopathic sudden sensorineural hearing loss: results drawn from the Swedish national database. </w:t>
      </w:r>
      <w:r w:rsidRPr="00C40A8B">
        <w:rPr>
          <w:rFonts w:ascii="Book Antiqua" w:hAnsi="Book Antiqua" w:cs="宋体"/>
          <w:i/>
          <w:iCs/>
          <w:kern w:val="0"/>
          <w:lang w:eastAsia="zh-CN"/>
        </w:rPr>
        <w:t>Acta Otolaryngol</w:t>
      </w:r>
      <w:r w:rsidRPr="00C40A8B">
        <w:rPr>
          <w:rFonts w:ascii="Book Antiqua" w:hAnsi="Book Antiqua" w:cs="宋体"/>
          <w:kern w:val="0"/>
          <w:lang w:eastAsia="zh-CN"/>
        </w:rPr>
        <w:t xml:space="preserve"> 2007; </w:t>
      </w:r>
      <w:r w:rsidRPr="00C40A8B">
        <w:rPr>
          <w:rFonts w:ascii="Book Antiqua" w:hAnsi="Book Antiqua" w:cs="宋体"/>
          <w:b/>
          <w:bCs/>
          <w:kern w:val="0"/>
          <w:lang w:eastAsia="zh-CN"/>
        </w:rPr>
        <w:t>127</w:t>
      </w:r>
      <w:r w:rsidRPr="00C40A8B">
        <w:rPr>
          <w:rFonts w:ascii="Book Antiqua" w:hAnsi="Book Antiqua" w:cs="宋体"/>
          <w:kern w:val="0"/>
          <w:lang w:eastAsia="zh-CN"/>
        </w:rPr>
        <w:t>: 1168-1175 [PMID: 17851927 DOI: 10.1080/00016480701242477]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70 </w:t>
      </w:r>
      <w:r w:rsidRPr="00C40A8B">
        <w:rPr>
          <w:rFonts w:ascii="Book Antiqua" w:hAnsi="Book Antiqua" w:cs="宋体"/>
          <w:b/>
          <w:bCs/>
          <w:kern w:val="0"/>
          <w:lang w:eastAsia="zh-CN"/>
        </w:rPr>
        <w:t>Adams JC</w:t>
      </w:r>
      <w:r w:rsidRPr="00C40A8B">
        <w:rPr>
          <w:rFonts w:ascii="Book Antiqua" w:hAnsi="Book Antiqua" w:cs="宋体"/>
          <w:kern w:val="0"/>
          <w:lang w:eastAsia="zh-CN"/>
        </w:rPr>
        <w:t xml:space="preserve">. Clinical implications of inflammatory cytokines in the cochlea: a technical note. </w:t>
      </w:r>
      <w:r w:rsidRPr="00C40A8B">
        <w:rPr>
          <w:rFonts w:ascii="Book Antiqua" w:hAnsi="Book Antiqua" w:cs="宋体"/>
          <w:i/>
          <w:iCs/>
          <w:kern w:val="0"/>
          <w:lang w:eastAsia="zh-CN"/>
        </w:rPr>
        <w:t>Otol Neurotol</w:t>
      </w:r>
      <w:r w:rsidRPr="00C40A8B">
        <w:rPr>
          <w:rFonts w:ascii="Book Antiqua" w:hAnsi="Book Antiqua" w:cs="宋体"/>
          <w:kern w:val="0"/>
          <w:lang w:eastAsia="zh-CN"/>
        </w:rPr>
        <w:t xml:space="preserve"> 2002; </w:t>
      </w:r>
      <w:r w:rsidRPr="00C40A8B">
        <w:rPr>
          <w:rFonts w:ascii="Book Antiqua" w:hAnsi="Book Antiqua" w:cs="宋体"/>
          <w:b/>
          <w:bCs/>
          <w:kern w:val="0"/>
          <w:lang w:eastAsia="zh-CN"/>
        </w:rPr>
        <w:t>23</w:t>
      </w:r>
      <w:r w:rsidRPr="00C40A8B">
        <w:rPr>
          <w:rFonts w:ascii="Book Antiqua" w:hAnsi="Book Antiqua" w:cs="宋体"/>
          <w:kern w:val="0"/>
          <w:lang w:eastAsia="zh-CN"/>
        </w:rPr>
        <w:t>: 316-322 [PMID: 11981388]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71 </w:t>
      </w:r>
      <w:r w:rsidRPr="00C40A8B">
        <w:rPr>
          <w:rFonts w:ascii="Book Antiqua" w:hAnsi="Book Antiqua" w:cs="宋体"/>
          <w:b/>
          <w:bCs/>
          <w:kern w:val="0"/>
          <w:lang w:eastAsia="zh-CN"/>
        </w:rPr>
        <w:t>Mattson MP</w:t>
      </w:r>
      <w:r w:rsidRPr="00C40A8B">
        <w:rPr>
          <w:rFonts w:ascii="Book Antiqua" w:hAnsi="Book Antiqua" w:cs="宋体"/>
          <w:kern w:val="0"/>
          <w:lang w:eastAsia="zh-CN"/>
        </w:rPr>
        <w:t xml:space="preserve">, Culmsee C, Yu Z, Camandola S. Roles of nuclear factor kappaB in neuronal survival and plasticity. </w:t>
      </w:r>
      <w:r w:rsidRPr="00C40A8B">
        <w:rPr>
          <w:rFonts w:ascii="Book Antiqua" w:hAnsi="Book Antiqua" w:cs="宋体"/>
          <w:i/>
          <w:iCs/>
          <w:kern w:val="0"/>
          <w:lang w:eastAsia="zh-CN"/>
        </w:rPr>
        <w:t>J Neurochem</w:t>
      </w:r>
      <w:r w:rsidRPr="00C40A8B">
        <w:rPr>
          <w:rFonts w:ascii="Book Antiqua" w:hAnsi="Book Antiqua" w:cs="宋体"/>
          <w:kern w:val="0"/>
          <w:lang w:eastAsia="zh-CN"/>
        </w:rPr>
        <w:t xml:space="preserve"> 2000; </w:t>
      </w:r>
      <w:r w:rsidRPr="00C40A8B">
        <w:rPr>
          <w:rFonts w:ascii="Book Antiqua" w:hAnsi="Book Antiqua" w:cs="宋体"/>
          <w:b/>
          <w:bCs/>
          <w:kern w:val="0"/>
          <w:lang w:eastAsia="zh-CN"/>
        </w:rPr>
        <w:t>74</w:t>
      </w:r>
      <w:r w:rsidRPr="00C40A8B">
        <w:rPr>
          <w:rFonts w:ascii="Book Antiqua" w:hAnsi="Book Antiqua" w:cs="宋体"/>
          <w:kern w:val="0"/>
          <w:lang w:eastAsia="zh-CN"/>
        </w:rPr>
        <w:t>: 443-456 [PMID: 10646495]</w:t>
      </w:r>
    </w:p>
    <w:p w:rsidR="00726399" w:rsidRPr="00C40A8B" w:rsidRDefault="00726399" w:rsidP="001C55EF">
      <w:pPr>
        <w:rPr>
          <w:rFonts w:ascii="Book Antiqua" w:hAnsi="Book Antiqua" w:cs="宋体"/>
          <w:kern w:val="0"/>
          <w:lang w:eastAsia="zh-CN"/>
        </w:rPr>
      </w:pPr>
      <w:r w:rsidRPr="00C40A8B">
        <w:rPr>
          <w:rFonts w:ascii="Book Antiqua" w:hAnsi="Book Antiqua" w:cs="宋体"/>
          <w:kern w:val="0"/>
          <w:lang w:eastAsia="zh-CN"/>
        </w:rPr>
        <w:t xml:space="preserve">72 </w:t>
      </w:r>
      <w:r w:rsidRPr="00C40A8B">
        <w:rPr>
          <w:rFonts w:ascii="Book Antiqua" w:hAnsi="Book Antiqua" w:cs="宋体"/>
          <w:b/>
          <w:bCs/>
          <w:kern w:val="0"/>
          <w:lang w:eastAsia="zh-CN"/>
        </w:rPr>
        <w:t>Selye H</w:t>
      </w:r>
      <w:r w:rsidRPr="00C40A8B">
        <w:rPr>
          <w:rFonts w:ascii="Book Antiqua" w:hAnsi="Book Antiqua" w:cs="宋体"/>
          <w:kern w:val="0"/>
          <w:lang w:eastAsia="zh-CN"/>
        </w:rPr>
        <w:t xml:space="preserve">, Fortier C. Adaptive reactions to stress. </w:t>
      </w:r>
      <w:r w:rsidRPr="00C40A8B">
        <w:rPr>
          <w:rFonts w:ascii="Book Antiqua" w:hAnsi="Book Antiqua" w:cs="宋体"/>
          <w:i/>
          <w:iCs/>
          <w:kern w:val="0"/>
          <w:lang w:eastAsia="zh-CN"/>
        </w:rPr>
        <w:t>Res Publ Assoc Res Nerv Ment Dis</w:t>
      </w:r>
      <w:r w:rsidRPr="00C40A8B">
        <w:rPr>
          <w:rFonts w:ascii="Book Antiqua" w:hAnsi="Book Antiqua" w:cs="宋体"/>
          <w:kern w:val="0"/>
          <w:lang w:eastAsia="zh-CN"/>
        </w:rPr>
        <w:t xml:space="preserve"> 1949; </w:t>
      </w:r>
      <w:r w:rsidRPr="00C40A8B">
        <w:rPr>
          <w:rFonts w:ascii="Book Antiqua" w:hAnsi="Book Antiqua" w:cs="宋体"/>
          <w:b/>
          <w:bCs/>
          <w:kern w:val="0"/>
          <w:lang w:eastAsia="zh-CN"/>
        </w:rPr>
        <w:t>29</w:t>
      </w:r>
      <w:r w:rsidRPr="00C40A8B">
        <w:rPr>
          <w:rFonts w:ascii="Book Antiqua" w:hAnsi="Book Antiqua" w:cs="宋体"/>
          <w:kern w:val="0"/>
          <w:lang w:eastAsia="zh-CN"/>
        </w:rPr>
        <w:t>: 3-18 [PMID: 14854281]</w:t>
      </w:r>
    </w:p>
    <w:p w:rsidR="00726399" w:rsidRPr="00C40A8B" w:rsidRDefault="00726399" w:rsidP="001C55EF">
      <w:pPr>
        <w:snapToGrid w:val="0"/>
        <w:spacing w:line="360" w:lineRule="auto"/>
        <w:rPr>
          <w:rFonts w:ascii="Book Antiqua" w:hAnsi="Book Antiqua"/>
          <w:noProof/>
        </w:rPr>
      </w:pPr>
      <w:bookmarkStart w:id="519" w:name="_ENREF_73"/>
      <w:r w:rsidRPr="00C40A8B">
        <w:rPr>
          <w:rFonts w:ascii="Book Antiqua" w:hAnsi="Book Antiqua"/>
          <w:noProof/>
        </w:rPr>
        <w:t>73</w:t>
      </w:r>
      <w:r w:rsidRPr="00C40A8B">
        <w:rPr>
          <w:rFonts w:ascii="Book Antiqua" w:hAnsi="Book Antiqua"/>
          <w:noProof/>
          <w:lang w:eastAsia="zh-CN"/>
        </w:rPr>
        <w:t xml:space="preserve"> </w:t>
      </w:r>
      <w:r w:rsidRPr="00C40A8B">
        <w:rPr>
          <w:rFonts w:ascii="Book Antiqua" w:hAnsi="Book Antiqua"/>
          <w:b/>
          <w:noProof/>
        </w:rPr>
        <w:t>Selye H</w:t>
      </w:r>
      <w:r w:rsidRPr="00C40A8B">
        <w:rPr>
          <w:rFonts w:ascii="Book Antiqua" w:hAnsi="Book Antiqua"/>
          <w:noProof/>
        </w:rPr>
        <w:t xml:space="preserve">, McKeown T. </w:t>
      </w:r>
      <w:bookmarkStart w:id="520" w:name="OLE_LINK2498"/>
      <w:bookmarkStart w:id="521" w:name="OLE_LINK2499"/>
      <w:r w:rsidRPr="00C40A8B">
        <w:rPr>
          <w:rFonts w:ascii="Book Antiqua" w:hAnsi="Book Antiqua"/>
          <w:noProof/>
        </w:rPr>
        <w:t>Studies on the physiology of the maternal placenta</w:t>
      </w:r>
      <w:r w:rsidRPr="00C40A8B">
        <w:rPr>
          <w:rFonts w:ascii="Book Antiqua" w:hAnsi="Book Antiqua"/>
          <w:noProof/>
          <w:lang w:eastAsia="zh-CN"/>
        </w:rPr>
        <w:t xml:space="preserve"> </w:t>
      </w:r>
      <w:r w:rsidRPr="00C40A8B">
        <w:rPr>
          <w:rFonts w:ascii="Book Antiqua" w:hAnsi="Book Antiqua"/>
          <w:noProof/>
        </w:rPr>
        <w:t>in the rat.</w:t>
      </w:r>
      <w:r w:rsidRPr="00C40A8B">
        <w:rPr>
          <w:rFonts w:ascii="Book Antiqua" w:hAnsi="Book Antiqua"/>
          <w:i/>
          <w:noProof/>
        </w:rPr>
        <w:t xml:space="preserve"> Proc Roy Soc Lond </w:t>
      </w:r>
      <w:r w:rsidRPr="00C40A8B">
        <w:rPr>
          <w:rFonts w:ascii="Book Antiqua" w:hAnsi="Book Antiqua"/>
          <w:noProof/>
        </w:rPr>
        <w:t>1935: 1-35</w:t>
      </w:r>
      <w:bookmarkEnd w:id="520"/>
      <w:bookmarkEnd w:id="521"/>
      <w:r w:rsidRPr="00C40A8B">
        <w:rPr>
          <w:rFonts w:ascii="Book Antiqua" w:hAnsi="Book Antiqua"/>
          <w:noProof/>
        </w:rPr>
        <w:t xml:space="preserve"> </w:t>
      </w:r>
      <w:bookmarkEnd w:id="519"/>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74 </w:t>
      </w:r>
      <w:r w:rsidRPr="00C40A8B">
        <w:rPr>
          <w:rFonts w:ascii="Book Antiqua" w:hAnsi="Book Antiqua" w:cs="宋体"/>
          <w:b/>
          <w:bCs/>
          <w:kern w:val="0"/>
          <w:lang w:eastAsia="zh-CN"/>
        </w:rPr>
        <w:t>Selye H</w:t>
      </w:r>
      <w:r w:rsidRPr="00C40A8B">
        <w:rPr>
          <w:rFonts w:ascii="Book Antiqua" w:hAnsi="Book Antiqua" w:cs="宋体"/>
          <w:kern w:val="0"/>
          <w:lang w:eastAsia="zh-CN"/>
        </w:rPr>
        <w:t xml:space="preserve">, Bajusz E. Sensitization by potassium deficiency for the production of myocardial necrosis by stress. </w:t>
      </w:r>
      <w:r w:rsidRPr="00C40A8B">
        <w:rPr>
          <w:rFonts w:ascii="Book Antiqua" w:hAnsi="Book Antiqua" w:cs="宋体"/>
          <w:i/>
          <w:iCs/>
          <w:kern w:val="0"/>
          <w:lang w:eastAsia="zh-CN"/>
        </w:rPr>
        <w:t>Am J Pathol</w:t>
      </w:r>
      <w:r w:rsidRPr="00C40A8B">
        <w:rPr>
          <w:rFonts w:ascii="Book Antiqua" w:hAnsi="Book Antiqua" w:cs="宋体"/>
          <w:kern w:val="0"/>
          <w:lang w:eastAsia="zh-CN"/>
        </w:rPr>
        <w:t xml:space="preserve"> 1959; </w:t>
      </w:r>
      <w:r w:rsidRPr="00C40A8B">
        <w:rPr>
          <w:rFonts w:ascii="Book Antiqua" w:hAnsi="Book Antiqua" w:cs="宋体"/>
          <w:b/>
          <w:bCs/>
          <w:kern w:val="0"/>
          <w:lang w:eastAsia="zh-CN"/>
        </w:rPr>
        <w:t>35</w:t>
      </w:r>
      <w:r w:rsidRPr="00C40A8B">
        <w:rPr>
          <w:rFonts w:ascii="Book Antiqua" w:hAnsi="Book Antiqua" w:cs="宋体"/>
          <w:kern w:val="0"/>
          <w:lang w:eastAsia="zh-CN"/>
        </w:rPr>
        <w:t>: 525-535 [PMID: 13649885]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75 </w:t>
      </w:r>
      <w:r w:rsidRPr="00C40A8B">
        <w:rPr>
          <w:rFonts w:ascii="Book Antiqua" w:hAnsi="Book Antiqua" w:cs="宋体"/>
          <w:b/>
          <w:bCs/>
          <w:kern w:val="0"/>
          <w:lang w:eastAsia="zh-CN"/>
        </w:rPr>
        <w:t>Grippo AJ</w:t>
      </w:r>
      <w:r w:rsidRPr="00C40A8B">
        <w:rPr>
          <w:rFonts w:ascii="Book Antiqua" w:hAnsi="Book Antiqua" w:cs="宋体"/>
          <w:kern w:val="0"/>
          <w:lang w:eastAsia="zh-CN"/>
        </w:rPr>
        <w:t xml:space="preserve">, Johnson AK. Stress, depression and cardiovascular dysregulation: a review of neurobiological mechanisms and the integration of research from preclinical disease models. </w:t>
      </w:r>
      <w:r w:rsidRPr="00C40A8B">
        <w:rPr>
          <w:rFonts w:ascii="Book Antiqua" w:hAnsi="Book Antiqua" w:cs="宋体"/>
          <w:i/>
          <w:iCs/>
          <w:kern w:val="0"/>
          <w:lang w:eastAsia="zh-CN"/>
        </w:rPr>
        <w:t>Stress</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12</w:t>
      </w:r>
      <w:r w:rsidRPr="00C40A8B">
        <w:rPr>
          <w:rFonts w:ascii="Book Antiqua" w:hAnsi="Book Antiqua" w:cs="宋体"/>
          <w:kern w:val="0"/>
          <w:lang w:eastAsia="zh-CN"/>
        </w:rPr>
        <w:t>: 1-21 [PMID: 19116888 DOI: 10.1080/10253890802046281]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76 </w:t>
      </w:r>
      <w:r w:rsidRPr="00C40A8B">
        <w:rPr>
          <w:rFonts w:ascii="Book Antiqua" w:hAnsi="Book Antiqua" w:cs="宋体"/>
          <w:b/>
          <w:bCs/>
          <w:kern w:val="0"/>
          <w:lang w:eastAsia="zh-CN"/>
        </w:rPr>
        <w:t>Hall JM</w:t>
      </w:r>
      <w:r w:rsidRPr="00C40A8B">
        <w:rPr>
          <w:rFonts w:ascii="Book Antiqua" w:hAnsi="Book Antiqua" w:cs="宋体"/>
          <w:kern w:val="0"/>
          <w:lang w:eastAsia="zh-CN"/>
        </w:rPr>
        <w:t xml:space="preserve">, Cruser D, Podawiltz A, Mummert DI, Jones H, Mummert ME. Psychological Stress and the Cutaneous Immune Response: Roles of the HPA Axis and the Sympathetic Nervous System in Atopic Dermatitis and Psoriasis. </w:t>
      </w:r>
      <w:r w:rsidRPr="00C40A8B">
        <w:rPr>
          <w:rFonts w:ascii="Book Antiqua" w:hAnsi="Book Antiqua" w:cs="宋体"/>
          <w:i/>
          <w:iCs/>
          <w:kern w:val="0"/>
          <w:lang w:eastAsia="zh-CN"/>
        </w:rPr>
        <w:t>Dermatol Res Pract</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2012</w:t>
      </w:r>
      <w:r w:rsidRPr="00C40A8B">
        <w:rPr>
          <w:rFonts w:ascii="Book Antiqua" w:hAnsi="Book Antiqua" w:cs="宋体"/>
          <w:kern w:val="0"/>
          <w:lang w:eastAsia="zh-CN"/>
        </w:rPr>
        <w:t>: 403908 [PMID: 22969795 DOI: 10.1155/2012/403908]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77 </w:t>
      </w:r>
      <w:r w:rsidRPr="00C40A8B">
        <w:rPr>
          <w:rFonts w:ascii="Book Antiqua" w:hAnsi="Book Antiqua" w:cs="宋体"/>
          <w:b/>
          <w:bCs/>
          <w:kern w:val="0"/>
          <w:lang w:eastAsia="zh-CN"/>
        </w:rPr>
        <w:t>Gold PW</w:t>
      </w:r>
      <w:r w:rsidRPr="00C40A8B">
        <w:rPr>
          <w:rFonts w:ascii="Book Antiqua" w:hAnsi="Book Antiqua" w:cs="宋体"/>
          <w:kern w:val="0"/>
          <w:lang w:eastAsia="zh-CN"/>
        </w:rPr>
        <w:t xml:space="preserve">, Chrousos GP. Organization of the stress system and its dysregulation in melancholic and atypical depression: high vs low CRH/NE states. </w:t>
      </w:r>
      <w:r w:rsidRPr="00C40A8B">
        <w:rPr>
          <w:rFonts w:ascii="Book Antiqua" w:hAnsi="Book Antiqua" w:cs="宋体"/>
          <w:i/>
          <w:iCs/>
          <w:kern w:val="0"/>
          <w:lang w:eastAsia="zh-CN"/>
        </w:rPr>
        <w:t>Mol Psychiatry</w:t>
      </w:r>
      <w:r w:rsidRPr="00C40A8B">
        <w:rPr>
          <w:rFonts w:ascii="Book Antiqua" w:hAnsi="Book Antiqua" w:cs="宋体"/>
          <w:kern w:val="0"/>
          <w:lang w:eastAsia="zh-CN"/>
        </w:rPr>
        <w:t xml:space="preserve"> 2002; </w:t>
      </w:r>
      <w:r w:rsidRPr="00C40A8B">
        <w:rPr>
          <w:rFonts w:ascii="Book Antiqua" w:hAnsi="Book Antiqua" w:cs="宋体"/>
          <w:b/>
          <w:bCs/>
          <w:kern w:val="0"/>
          <w:lang w:eastAsia="zh-CN"/>
        </w:rPr>
        <w:t>7</w:t>
      </w:r>
      <w:r w:rsidRPr="00C40A8B">
        <w:rPr>
          <w:rFonts w:ascii="Book Antiqua" w:hAnsi="Book Antiqua" w:cs="宋体"/>
          <w:kern w:val="0"/>
          <w:lang w:eastAsia="zh-CN"/>
        </w:rPr>
        <w:t>: 254-275 [PMID: 11920153 DOI: 10.1038/sj.mp.4001032]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78 </w:t>
      </w:r>
      <w:r w:rsidRPr="00C40A8B">
        <w:rPr>
          <w:rFonts w:ascii="Book Antiqua" w:hAnsi="Book Antiqua" w:cs="宋体"/>
          <w:b/>
          <w:bCs/>
          <w:kern w:val="0"/>
          <w:lang w:eastAsia="zh-CN"/>
        </w:rPr>
        <w:t>Cohen S</w:t>
      </w:r>
      <w:r w:rsidRPr="00C40A8B">
        <w:rPr>
          <w:rFonts w:ascii="Book Antiqua" w:hAnsi="Book Antiqua" w:cs="宋体"/>
          <w:kern w:val="0"/>
          <w:lang w:eastAsia="zh-CN"/>
        </w:rPr>
        <w:t xml:space="preserve">, Janicki-Deverts D, Doyle WJ, Miller GE, Frank E, Rabin BS, Turner RB. Chronic stress, glucocorticoid receptor resistance, inflammation, and disease risk. </w:t>
      </w:r>
      <w:r w:rsidRPr="00C40A8B">
        <w:rPr>
          <w:rFonts w:ascii="Book Antiqua" w:hAnsi="Book Antiqua" w:cs="宋体"/>
          <w:i/>
          <w:iCs/>
          <w:kern w:val="0"/>
          <w:lang w:eastAsia="zh-CN"/>
        </w:rPr>
        <w:t>Proc Natl Acad Sci U S A</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109</w:t>
      </w:r>
      <w:r w:rsidRPr="00C40A8B">
        <w:rPr>
          <w:rFonts w:ascii="Book Antiqua" w:hAnsi="Book Antiqua" w:cs="宋体"/>
          <w:kern w:val="0"/>
          <w:lang w:eastAsia="zh-CN"/>
        </w:rPr>
        <w:t>: 5995-5999 [PMID: 22474371 DOI: 10.1073/pnas.1118355109]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79 </w:t>
      </w:r>
      <w:r w:rsidRPr="00C40A8B">
        <w:rPr>
          <w:rFonts w:ascii="Book Antiqua" w:hAnsi="Book Antiqua" w:cs="宋体"/>
          <w:b/>
          <w:bCs/>
          <w:kern w:val="0"/>
          <w:lang w:eastAsia="zh-CN"/>
        </w:rPr>
        <w:t>Khan KM</w:t>
      </w:r>
      <w:r w:rsidRPr="00C40A8B">
        <w:rPr>
          <w:rFonts w:ascii="Book Antiqua" w:hAnsi="Book Antiqua" w:cs="宋体"/>
          <w:kern w:val="0"/>
          <w:lang w:eastAsia="zh-CN"/>
        </w:rPr>
        <w:t xml:space="preserve">, Drescher MJ, Hatfield JS, Ramakrishnan NA, Drescher DG. Immunohistochemical localization of adrenergic receptors in the rat organ of corti and spiral ganglion. </w:t>
      </w:r>
      <w:r w:rsidRPr="00C40A8B">
        <w:rPr>
          <w:rFonts w:ascii="Book Antiqua" w:hAnsi="Book Antiqua" w:cs="宋体"/>
          <w:i/>
          <w:iCs/>
          <w:kern w:val="0"/>
          <w:lang w:eastAsia="zh-CN"/>
        </w:rPr>
        <w:t>J Neurosci Res</w:t>
      </w:r>
      <w:r w:rsidRPr="00C40A8B">
        <w:rPr>
          <w:rFonts w:ascii="Book Antiqua" w:hAnsi="Book Antiqua" w:cs="宋体"/>
          <w:kern w:val="0"/>
          <w:lang w:eastAsia="zh-CN"/>
        </w:rPr>
        <w:t xml:space="preserve"> 2007; </w:t>
      </w:r>
      <w:r w:rsidRPr="00C40A8B">
        <w:rPr>
          <w:rFonts w:ascii="Book Antiqua" w:hAnsi="Book Antiqua" w:cs="宋体"/>
          <w:b/>
          <w:bCs/>
          <w:kern w:val="0"/>
          <w:lang w:eastAsia="zh-CN"/>
        </w:rPr>
        <w:t>85</w:t>
      </w:r>
      <w:r w:rsidRPr="00C40A8B">
        <w:rPr>
          <w:rFonts w:ascii="Book Antiqua" w:hAnsi="Book Antiqua" w:cs="宋体"/>
          <w:kern w:val="0"/>
          <w:lang w:eastAsia="zh-CN"/>
        </w:rPr>
        <w:t>: 3000-3012 [PMID: 17671986 DOI: 10.1002/jnr.21404]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80 </w:t>
      </w:r>
      <w:r w:rsidRPr="00C40A8B">
        <w:rPr>
          <w:rFonts w:ascii="Book Antiqua" w:hAnsi="Book Antiqua" w:cs="宋体"/>
          <w:b/>
          <w:bCs/>
          <w:kern w:val="0"/>
          <w:lang w:eastAsia="zh-CN"/>
        </w:rPr>
        <w:t>Khan KM</w:t>
      </w:r>
      <w:r w:rsidRPr="00C40A8B">
        <w:rPr>
          <w:rFonts w:ascii="Book Antiqua" w:hAnsi="Book Antiqua" w:cs="宋体"/>
          <w:kern w:val="0"/>
          <w:lang w:eastAsia="zh-CN"/>
        </w:rPr>
        <w:t xml:space="preserve">, Sarfaraz N, Siddiqui S, Malik ZA, Salim Z. Expression of G protein alpha subunits in the lateral wall of the rat cochlea. </w:t>
      </w:r>
      <w:r w:rsidRPr="00C40A8B">
        <w:rPr>
          <w:rFonts w:ascii="Book Antiqua" w:hAnsi="Book Antiqua" w:cs="宋体"/>
          <w:i/>
          <w:iCs/>
          <w:kern w:val="0"/>
          <w:lang w:eastAsia="zh-CN"/>
        </w:rPr>
        <w:t>J Anat</w:t>
      </w:r>
      <w:r w:rsidRPr="00C40A8B">
        <w:rPr>
          <w:rFonts w:ascii="Book Antiqua" w:hAnsi="Book Antiqua" w:cs="宋体"/>
          <w:kern w:val="0"/>
          <w:lang w:eastAsia="zh-CN"/>
        </w:rPr>
        <w:t xml:space="preserve"> 2003; </w:t>
      </w:r>
      <w:r w:rsidRPr="00C40A8B">
        <w:rPr>
          <w:rFonts w:ascii="Book Antiqua" w:hAnsi="Book Antiqua" w:cs="宋体"/>
          <w:b/>
          <w:bCs/>
          <w:kern w:val="0"/>
          <w:lang w:eastAsia="zh-CN"/>
        </w:rPr>
        <w:t>202</w:t>
      </w:r>
      <w:r w:rsidRPr="00C40A8B">
        <w:rPr>
          <w:rFonts w:ascii="Book Antiqua" w:hAnsi="Book Antiqua" w:cs="宋体"/>
          <w:kern w:val="0"/>
          <w:lang w:eastAsia="zh-CN"/>
        </w:rPr>
        <w:t>: 293-301 [PMID: 12713269]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81 </w:t>
      </w:r>
      <w:r w:rsidRPr="00C40A8B">
        <w:rPr>
          <w:rFonts w:ascii="Book Antiqua" w:hAnsi="Book Antiqua" w:cs="宋体"/>
          <w:b/>
          <w:bCs/>
          <w:kern w:val="0"/>
          <w:lang w:eastAsia="zh-CN"/>
        </w:rPr>
        <w:t>Gruber DD</w:t>
      </w:r>
      <w:r w:rsidRPr="00C40A8B">
        <w:rPr>
          <w:rFonts w:ascii="Book Antiqua" w:hAnsi="Book Antiqua" w:cs="宋体"/>
          <w:kern w:val="0"/>
          <w:lang w:eastAsia="zh-CN"/>
        </w:rPr>
        <w:t xml:space="preserve">, Dang H, Shimozono M, Scofield MA, Wangemann P. Alpha1A-adrenergic receptors mediate vasoconstriction of the isolated spiral modiolar artery in vitro. </w:t>
      </w:r>
      <w:r w:rsidRPr="00C40A8B">
        <w:rPr>
          <w:rFonts w:ascii="Book Antiqua" w:hAnsi="Book Antiqua" w:cs="宋体"/>
          <w:i/>
          <w:iCs/>
          <w:kern w:val="0"/>
          <w:lang w:eastAsia="zh-CN"/>
        </w:rPr>
        <w:t>Hear Res</w:t>
      </w:r>
      <w:r w:rsidRPr="00C40A8B">
        <w:rPr>
          <w:rFonts w:ascii="Book Antiqua" w:hAnsi="Book Antiqua" w:cs="宋体"/>
          <w:kern w:val="0"/>
          <w:lang w:eastAsia="zh-CN"/>
        </w:rPr>
        <w:t xml:space="preserve"> 1998; </w:t>
      </w:r>
      <w:r w:rsidRPr="00C40A8B">
        <w:rPr>
          <w:rFonts w:ascii="Book Antiqua" w:hAnsi="Book Antiqua" w:cs="宋体"/>
          <w:b/>
          <w:bCs/>
          <w:kern w:val="0"/>
          <w:lang w:eastAsia="zh-CN"/>
        </w:rPr>
        <w:t>119</w:t>
      </w:r>
      <w:r w:rsidRPr="00C40A8B">
        <w:rPr>
          <w:rFonts w:ascii="Book Antiqua" w:hAnsi="Book Antiqua" w:cs="宋体"/>
          <w:kern w:val="0"/>
          <w:lang w:eastAsia="zh-CN"/>
        </w:rPr>
        <w:t>: 113-124 [PMID: 9641324]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82 </w:t>
      </w:r>
      <w:r w:rsidRPr="00C40A8B">
        <w:rPr>
          <w:rFonts w:ascii="Book Antiqua" w:hAnsi="Book Antiqua" w:cs="宋体"/>
          <w:b/>
          <w:bCs/>
          <w:kern w:val="0"/>
          <w:lang w:eastAsia="zh-CN"/>
        </w:rPr>
        <w:t>Ross MD</w:t>
      </w:r>
      <w:r w:rsidRPr="00C40A8B">
        <w:rPr>
          <w:rFonts w:ascii="Book Antiqua" w:hAnsi="Book Antiqua" w:cs="宋体"/>
          <w:kern w:val="0"/>
          <w:lang w:eastAsia="zh-CN"/>
        </w:rPr>
        <w:t xml:space="preserve">. Glycogen accumulation in Reissner's membrane following chemical sympathectomy with 6-hydroxydopamine. </w:t>
      </w:r>
      <w:r w:rsidRPr="00C40A8B">
        <w:rPr>
          <w:rFonts w:ascii="Book Antiqua" w:hAnsi="Book Antiqua" w:cs="宋体"/>
          <w:i/>
          <w:iCs/>
          <w:kern w:val="0"/>
          <w:lang w:eastAsia="zh-CN"/>
        </w:rPr>
        <w:t>Acta Otolaryngol</w:t>
      </w:r>
      <w:r w:rsidRPr="00C40A8B">
        <w:rPr>
          <w:rFonts w:ascii="Book Antiqua" w:hAnsi="Book Antiqua" w:cs="宋体"/>
          <w:kern w:val="0"/>
          <w:lang w:eastAsia="zh-CN"/>
        </w:rPr>
        <w:t xml:space="preserve"> 1978; </w:t>
      </w:r>
      <w:r w:rsidRPr="00C40A8B">
        <w:rPr>
          <w:rFonts w:ascii="Book Antiqua" w:hAnsi="Book Antiqua" w:cs="宋体"/>
          <w:b/>
          <w:bCs/>
          <w:kern w:val="0"/>
          <w:lang w:eastAsia="zh-CN"/>
        </w:rPr>
        <w:t>86</w:t>
      </w:r>
      <w:r w:rsidRPr="00C40A8B">
        <w:rPr>
          <w:rFonts w:ascii="Book Antiqua" w:hAnsi="Book Antiqua" w:cs="宋体"/>
          <w:kern w:val="0"/>
          <w:lang w:eastAsia="zh-CN"/>
        </w:rPr>
        <w:t>: 314-330 [PMID: 213930]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83 </w:t>
      </w:r>
      <w:r w:rsidRPr="00C40A8B">
        <w:rPr>
          <w:rFonts w:ascii="Book Antiqua" w:hAnsi="Book Antiqua" w:cs="宋体"/>
          <w:b/>
          <w:bCs/>
          <w:kern w:val="0"/>
          <w:lang w:eastAsia="zh-CN"/>
        </w:rPr>
        <w:t>Wangemann P</w:t>
      </w:r>
      <w:r w:rsidRPr="00C40A8B">
        <w:rPr>
          <w:rFonts w:ascii="Book Antiqua" w:hAnsi="Book Antiqua" w:cs="宋体"/>
          <w:kern w:val="0"/>
          <w:lang w:eastAsia="zh-CN"/>
        </w:rPr>
        <w:t xml:space="preserve">, Liu J, Shimozono M, Schimanski S, Scofield MA. K+ secretion in strial marginal cells is stimulated via beta 1-adrenergic receptors but not via beta 2-adrenergic or vasopressin receptors. </w:t>
      </w:r>
      <w:r w:rsidRPr="00C40A8B">
        <w:rPr>
          <w:rFonts w:ascii="Book Antiqua" w:hAnsi="Book Antiqua" w:cs="宋体"/>
          <w:i/>
          <w:iCs/>
          <w:kern w:val="0"/>
          <w:lang w:eastAsia="zh-CN"/>
        </w:rPr>
        <w:t>J Membr Biol</w:t>
      </w:r>
      <w:r w:rsidRPr="00C40A8B">
        <w:rPr>
          <w:rFonts w:ascii="Book Antiqua" w:hAnsi="Book Antiqua" w:cs="宋体"/>
          <w:kern w:val="0"/>
          <w:lang w:eastAsia="zh-CN"/>
        </w:rPr>
        <w:t xml:space="preserve"> 2000; </w:t>
      </w:r>
      <w:r w:rsidRPr="00C40A8B">
        <w:rPr>
          <w:rFonts w:ascii="Book Antiqua" w:hAnsi="Book Antiqua" w:cs="宋体"/>
          <w:b/>
          <w:bCs/>
          <w:kern w:val="0"/>
          <w:lang w:eastAsia="zh-CN"/>
        </w:rPr>
        <w:t>175</w:t>
      </w:r>
      <w:r w:rsidRPr="00C40A8B">
        <w:rPr>
          <w:rFonts w:ascii="Book Antiqua" w:hAnsi="Book Antiqua" w:cs="宋体"/>
          <w:kern w:val="0"/>
          <w:lang w:eastAsia="zh-CN"/>
        </w:rPr>
        <w:t>: 191-202 [PMID: 10833529]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84 </w:t>
      </w:r>
      <w:r w:rsidRPr="00C40A8B">
        <w:rPr>
          <w:rFonts w:ascii="Book Antiqua" w:hAnsi="Book Antiqua" w:cs="宋体"/>
          <w:b/>
          <w:bCs/>
          <w:kern w:val="0"/>
          <w:lang w:eastAsia="zh-CN"/>
        </w:rPr>
        <w:t>Fauser C</w:t>
      </w:r>
      <w:r w:rsidRPr="00C40A8B">
        <w:rPr>
          <w:rFonts w:ascii="Book Antiqua" w:hAnsi="Book Antiqua" w:cs="宋体"/>
          <w:kern w:val="0"/>
          <w:lang w:eastAsia="zh-CN"/>
        </w:rPr>
        <w:t xml:space="preserve">, Schimanski S, Wangemann P. Localization of beta1-adrenergic receptors in the cochlea and the vestibular labyrinth. </w:t>
      </w:r>
      <w:r w:rsidRPr="00C40A8B">
        <w:rPr>
          <w:rFonts w:ascii="Book Antiqua" w:hAnsi="Book Antiqua" w:cs="宋体"/>
          <w:i/>
          <w:iCs/>
          <w:kern w:val="0"/>
          <w:lang w:eastAsia="zh-CN"/>
        </w:rPr>
        <w:t>J Membr Biol</w:t>
      </w:r>
      <w:r w:rsidRPr="00C40A8B">
        <w:rPr>
          <w:rFonts w:ascii="Book Antiqua" w:hAnsi="Book Antiqua" w:cs="宋体"/>
          <w:kern w:val="0"/>
          <w:lang w:eastAsia="zh-CN"/>
        </w:rPr>
        <w:t xml:space="preserve"> 2004; </w:t>
      </w:r>
      <w:r w:rsidRPr="00C40A8B">
        <w:rPr>
          <w:rFonts w:ascii="Book Antiqua" w:hAnsi="Book Antiqua" w:cs="宋体"/>
          <w:b/>
          <w:bCs/>
          <w:kern w:val="0"/>
          <w:lang w:eastAsia="zh-CN"/>
        </w:rPr>
        <w:t>201</w:t>
      </w:r>
      <w:r w:rsidRPr="00C40A8B">
        <w:rPr>
          <w:rFonts w:ascii="Book Antiqua" w:hAnsi="Book Antiqua" w:cs="宋体"/>
          <w:kern w:val="0"/>
          <w:lang w:eastAsia="zh-CN"/>
        </w:rPr>
        <w:t>: 25-32 [PMID: 15635809]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85 </w:t>
      </w:r>
      <w:r w:rsidRPr="00C40A8B">
        <w:rPr>
          <w:rFonts w:ascii="Book Antiqua" w:hAnsi="Book Antiqua" w:cs="宋体"/>
          <w:b/>
          <w:bCs/>
          <w:kern w:val="0"/>
          <w:lang w:eastAsia="zh-CN"/>
        </w:rPr>
        <w:t>Mori N</w:t>
      </w:r>
      <w:r w:rsidRPr="00C40A8B">
        <w:rPr>
          <w:rFonts w:ascii="Book Antiqua" w:hAnsi="Book Antiqua" w:cs="宋体"/>
          <w:kern w:val="0"/>
          <w:lang w:eastAsia="zh-CN"/>
        </w:rPr>
        <w:t xml:space="preserve">, Uozumi N. Evidence that beta 2-receptors mediate action of catecholamines on endolymphatic sac DC potential. </w:t>
      </w:r>
      <w:r w:rsidRPr="00C40A8B">
        <w:rPr>
          <w:rFonts w:ascii="Book Antiqua" w:hAnsi="Book Antiqua" w:cs="宋体"/>
          <w:i/>
          <w:iCs/>
          <w:kern w:val="0"/>
          <w:lang w:eastAsia="zh-CN"/>
        </w:rPr>
        <w:t>Am J Physiol</w:t>
      </w:r>
      <w:r w:rsidRPr="00C40A8B">
        <w:rPr>
          <w:rFonts w:ascii="Book Antiqua" w:hAnsi="Book Antiqua" w:cs="宋体"/>
          <w:kern w:val="0"/>
          <w:lang w:eastAsia="zh-CN"/>
        </w:rPr>
        <w:t xml:space="preserve"> 1991; </w:t>
      </w:r>
      <w:r w:rsidRPr="00C40A8B">
        <w:rPr>
          <w:rFonts w:ascii="Book Antiqua" w:hAnsi="Book Antiqua" w:cs="宋体"/>
          <w:b/>
          <w:bCs/>
          <w:kern w:val="0"/>
          <w:lang w:eastAsia="zh-CN"/>
        </w:rPr>
        <w:t>260</w:t>
      </w:r>
      <w:r w:rsidRPr="00C40A8B">
        <w:rPr>
          <w:rFonts w:ascii="Book Antiqua" w:hAnsi="Book Antiqua" w:cs="宋体"/>
          <w:kern w:val="0"/>
          <w:lang w:eastAsia="zh-CN"/>
        </w:rPr>
        <w:t>: R911-R915 [PMID: 1852128]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86 </w:t>
      </w:r>
      <w:r w:rsidRPr="00C40A8B">
        <w:rPr>
          <w:rFonts w:ascii="Book Antiqua" w:hAnsi="Book Antiqua" w:cs="宋体"/>
          <w:b/>
          <w:bCs/>
          <w:kern w:val="0"/>
          <w:lang w:eastAsia="zh-CN"/>
        </w:rPr>
        <w:t>Schimanski S</w:t>
      </w:r>
      <w:r w:rsidRPr="00C40A8B">
        <w:rPr>
          <w:rFonts w:ascii="Book Antiqua" w:hAnsi="Book Antiqua" w:cs="宋体"/>
          <w:kern w:val="0"/>
          <w:lang w:eastAsia="zh-CN"/>
        </w:rPr>
        <w:t xml:space="preserve">, Scofield MA, Wangemann P. Functional beta2-adrenergic receptors are present in nonstrial tissues of the lateral wall in the gerbil cochlea.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2001; </w:t>
      </w:r>
      <w:r w:rsidRPr="00C40A8B">
        <w:rPr>
          <w:rFonts w:ascii="Book Antiqua" w:hAnsi="Book Antiqua" w:cs="宋体"/>
          <w:b/>
          <w:bCs/>
          <w:kern w:val="0"/>
          <w:lang w:eastAsia="zh-CN"/>
        </w:rPr>
        <w:t>6</w:t>
      </w:r>
      <w:r w:rsidRPr="00C40A8B">
        <w:rPr>
          <w:rFonts w:ascii="Book Antiqua" w:hAnsi="Book Antiqua" w:cs="宋体"/>
          <w:kern w:val="0"/>
          <w:lang w:eastAsia="zh-CN"/>
        </w:rPr>
        <w:t>: 124-131 [PMID: 11474138 DOI: 46819]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87 </w:t>
      </w:r>
      <w:r w:rsidRPr="00C40A8B">
        <w:rPr>
          <w:rFonts w:ascii="Book Antiqua" w:hAnsi="Book Antiqua" w:cs="宋体"/>
          <w:b/>
          <w:bCs/>
          <w:kern w:val="0"/>
          <w:lang w:eastAsia="zh-CN"/>
        </w:rPr>
        <w:t>Khan KM</w:t>
      </w:r>
      <w:r w:rsidRPr="00C40A8B">
        <w:rPr>
          <w:rFonts w:ascii="Book Antiqua" w:hAnsi="Book Antiqua" w:cs="宋体"/>
          <w:kern w:val="0"/>
          <w:lang w:eastAsia="zh-CN"/>
        </w:rPr>
        <w:t xml:space="preserve">, Drescher MJ, Hatfield JS, Khan AM, Drescher DG. Muscarinic receptor subtypes are differentially distributed in the rat cochlea. </w:t>
      </w:r>
      <w:r w:rsidRPr="00C40A8B">
        <w:rPr>
          <w:rFonts w:ascii="Book Antiqua" w:hAnsi="Book Antiqua" w:cs="宋体"/>
          <w:i/>
          <w:iCs/>
          <w:kern w:val="0"/>
          <w:lang w:eastAsia="zh-CN"/>
        </w:rPr>
        <w:t>Neuroscience</w:t>
      </w:r>
      <w:r w:rsidRPr="00C40A8B">
        <w:rPr>
          <w:rFonts w:ascii="Book Antiqua" w:hAnsi="Book Antiqua" w:cs="宋体"/>
          <w:kern w:val="0"/>
          <w:lang w:eastAsia="zh-CN"/>
        </w:rPr>
        <w:t xml:space="preserve"> 2002; </w:t>
      </w:r>
      <w:r w:rsidRPr="00C40A8B">
        <w:rPr>
          <w:rFonts w:ascii="Book Antiqua" w:hAnsi="Book Antiqua" w:cs="宋体"/>
          <w:b/>
          <w:bCs/>
          <w:kern w:val="0"/>
          <w:lang w:eastAsia="zh-CN"/>
        </w:rPr>
        <w:t>111</w:t>
      </w:r>
      <w:r w:rsidRPr="00C40A8B">
        <w:rPr>
          <w:rFonts w:ascii="Book Antiqua" w:hAnsi="Book Antiqua" w:cs="宋体"/>
          <w:kern w:val="0"/>
          <w:lang w:eastAsia="zh-CN"/>
        </w:rPr>
        <w:t>: 291-302 [PMID: 11983315]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88</w:t>
      </w:r>
      <w:r w:rsidRPr="00C40A8B">
        <w:rPr>
          <w:rFonts w:ascii="Book Antiqua" w:hAnsi="Book Antiqua" w:cs="宋体"/>
          <w:b/>
          <w:kern w:val="0"/>
          <w:lang w:eastAsia="zh-CN"/>
        </w:rPr>
        <w:t xml:space="preserve"> Kanzaki J</w:t>
      </w:r>
      <w:r w:rsidRPr="00C40A8B">
        <w:rPr>
          <w:rFonts w:ascii="Book Antiqua" w:hAnsi="Book Antiqua" w:cs="宋体"/>
          <w:kern w:val="0"/>
          <w:lang w:eastAsia="zh-CN"/>
        </w:rPr>
        <w:t xml:space="preserve">, Masuda M. Correlation between stress and acute sensorineural hearing loss: stress and sudden deafness. </w:t>
      </w:r>
      <w:r w:rsidRPr="00C40A8B">
        <w:rPr>
          <w:rFonts w:ascii="Book Antiqua" w:hAnsi="Book Antiqua" w:cs="宋体"/>
          <w:i/>
          <w:kern w:val="0"/>
          <w:lang w:eastAsia="zh-CN"/>
        </w:rPr>
        <w:t>Audiology Japan</w:t>
      </w:r>
      <w:r w:rsidRPr="00C40A8B">
        <w:rPr>
          <w:rFonts w:ascii="Book Antiqua" w:hAnsi="Book Antiqua" w:cs="宋体"/>
          <w:kern w:val="0"/>
          <w:lang w:eastAsia="zh-CN"/>
        </w:rPr>
        <w:t xml:space="preserve"> 2013; </w:t>
      </w:r>
      <w:r w:rsidRPr="00C40A8B">
        <w:rPr>
          <w:rFonts w:ascii="Book Antiqua" w:hAnsi="Book Antiqua" w:cs="宋体"/>
          <w:b/>
          <w:kern w:val="0"/>
          <w:lang w:eastAsia="zh-CN"/>
        </w:rPr>
        <w:t>56</w:t>
      </w:r>
      <w:r w:rsidRPr="00C40A8B">
        <w:rPr>
          <w:rFonts w:ascii="Book Antiqua" w:hAnsi="Book Antiqua" w:cs="宋体"/>
          <w:kern w:val="0"/>
          <w:lang w:eastAsia="zh-CN"/>
        </w:rPr>
        <w:t>: in press (in Japanese)</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89 </w:t>
      </w:r>
      <w:r w:rsidRPr="00C40A8B">
        <w:rPr>
          <w:rFonts w:ascii="Book Antiqua" w:hAnsi="Book Antiqua" w:cs="宋体"/>
          <w:b/>
          <w:bCs/>
          <w:kern w:val="0"/>
          <w:lang w:eastAsia="zh-CN"/>
        </w:rPr>
        <w:t>Rosas-Ballina M</w:t>
      </w:r>
      <w:r w:rsidRPr="00C40A8B">
        <w:rPr>
          <w:rFonts w:ascii="Book Antiqua" w:hAnsi="Book Antiqua" w:cs="宋体"/>
          <w:kern w:val="0"/>
          <w:lang w:eastAsia="zh-CN"/>
        </w:rPr>
        <w:t xml:space="preserve">, Olofsson PS, Ochani M, Valdés-Ferrer SI, Levine YA, Reardon C, Tusche MW, Pavlov VA, Andersson U, Chavan S, Mak TW, Tracey KJ. Acetylcholine-synthesizing T cells relay neural signals in a vagus nerve circuit. </w:t>
      </w:r>
      <w:r w:rsidRPr="00C40A8B">
        <w:rPr>
          <w:rFonts w:ascii="Book Antiqua" w:hAnsi="Book Antiqua" w:cs="宋体"/>
          <w:i/>
          <w:iCs/>
          <w:kern w:val="0"/>
          <w:lang w:eastAsia="zh-CN"/>
        </w:rPr>
        <w:t>Science</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334</w:t>
      </w:r>
      <w:r w:rsidRPr="00C40A8B">
        <w:rPr>
          <w:rFonts w:ascii="Book Antiqua" w:hAnsi="Book Antiqua" w:cs="宋体"/>
          <w:kern w:val="0"/>
          <w:lang w:eastAsia="zh-CN"/>
        </w:rPr>
        <w:t>: 98-101 [PMID: 21921156 DOI: 10.1126/science.1209985]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90 </w:t>
      </w:r>
      <w:r w:rsidRPr="00C40A8B">
        <w:rPr>
          <w:rFonts w:ascii="Book Antiqua" w:hAnsi="Book Antiqua" w:cs="宋体"/>
          <w:b/>
          <w:bCs/>
          <w:kern w:val="0"/>
          <w:lang w:eastAsia="zh-CN"/>
        </w:rPr>
        <w:t>Dimitrijevic M</w:t>
      </w:r>
      <w:r w:rsidRPr="00C40A8B">
        <w:rPr>
          <w:rFonts w:ascii="Book Antiqua" w:hAnsi="Book Antiqua" w:cs="宋体"/>
          <w:kern w:val="0"/>
          <w:lang w:eastAsia="zh-CN"/>
        </w:rPr>
        <w:t xml:space="preserve">, Stanojevic S, Kustrimovic N, Leposavic G. End-point effector stress mediators in neuroimmune interactions: their role in immune system homeostasis and autoimmune pathology. </w:t>
      </w:r>
      <w:r w:rsidRPr="00C40A8B">
        <w:rPr>
          <w:rFonts w:ascii="Book Antiqua" w:hAnsi="Book Antiqua" w:cs="宋体"/>
          <w:i/>
          <w:iCs/>
          <w:kern w:val="0"/>
          <w:lang w:eastAsia="zh-CN"/>
        </w:rPr>
        <w:t>Immunol Res</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52</w:t>
      </w:r>
      <w:r w:rsidRPr="00C40A8B">
        <w:rPr>
          <w:rFonts w:ascii="Book Antiqua" w:hAnsi="Book Antiqua" w:cs="宋体"/>
          <w:kern w:val="0"/>
          <w:lang w:eastAsia="zh-CN"/>
        </w:rPr>
        <w:t>: 64-80 [PMID: 22396175 DOI: 10.1007/s12026-012-8275-9]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91 </w:t>
      </w:r>
      <w:r w:rsidRPr="00C40A8B">
        <w:rPr>
          <w:rFonts w:ascii="Book Antiqua" w:hAnsi="Book Antiqua" w:cs="宋体"/>
          <w:b/>
          <w:bCs/>
          <w:kern w:val="0"/>
          <w:lang w:eastAsia="zh-CN"/>
        </w:rPr>
        <w:t>Drago</w:t>
      </w:r>
      <w:r w:rsidRPr="00C40A8B">
        <w:rPr>
          <w:rFonts w:ascii="Book Antiqua" w:eastAsia="MS Mincho" w:hAnsi="Book Antiqua" w:cs="MS Mincho"/>
          <w:b/>
          <w:bCs/>
          <w:kern w:val="0"/>
          <w:lang w:eastAsia="zh-CN"/>
        </w:rPr>
        <w:t>ş</w:t>
      </w:r>
      <w:r w:rsidRPr="00C40A8B">
        <w:rPr>
          <w:rFonts w:ascii="Book Antiqua" w:hAnsi="Book Antiqua" w:cs="宋体"/>
          <w:b/>
          <w:bCs/>
          <w:kern w:val="0"/>
          <w:lang w:eastAsia="zh-CN"/>
        </w:rPr>
        <w:t xml:space="preserve"> D</w:t>
      </w:r>
      <w:r w:rsidRPr="00C40A8B">
        <w:rPr>
          <w:rFonts w:ascii="Book Antiqua" w:hAnsi="Book Antiqua" w:cs="宋体"/>
          <w:kern w:val="0"/>
          <w:lang w:eastAsia="zh-CN"/>
        </w:rPr>
        <w:t>, T</w:t>
      </w:r>
      <w:r w:rsidRPr="00C40A8B">
        <w:rPr>
          <w:rFonts w:ascii="Book Antiqua" w:eastAsia="MS Mincho" w:hAnsi="Book Antiqua" w:cs="MS Mincho"/>
          <w:kern w:val="0"/>
          <w:lang w:eastAsia="zh-CN"/>
        </w:rPr>
        <w:t>ă</w:t>
      </w:r>
      <w:r w:rsidRPr="00C40A8B">
        <w:rPr>
          <w:rFonts w:ascii="Book Antiqua" w:hAnsi="Book Antiqua" w:cs="宋体"/>
          <w:kern w:val="0"/>
          <w:lang w:eastAsia="zh-CN"/>
        </w:rPr>
        <w:t>n</w:t>
      </w:r>
      <w:r w:rsidRPr="00C40A8B">
        <w:rPr>
          <w:rFonts w:ascii="Book Antiqua" w:eastAsia="MS Mincho" w:hAnsi="Book Antiqua" w:cs="MS Mincho"/>
          <w:kern w:val="0"/>
          <w:lang w:eastAsia="zh-CN"/>
        </w:rPr>
        <w:t>ă</w:t>
      </w:r>
      <w:r w:rsidRPr="00C40A8B">
        <w:rPr>
          <w:rFonts w:ascii="Book Antiqua" w:hAnsi="Book Antiqua" w:cs="宋体"/>
          <w:kern w:val="0"/>
          <w:lang w:eastAsia="zh-CN"/>
        </w:rPr>
        <w:t xml:space="preserve">sescu MD. The effect of stress on the defense systems. </w:t>
      </w:r>
      <w:r w:rsidRPr="00C40A8B">
        <w:rPr>
          <w:rFonts w:ascii="Book Antiqua" w:hAnsi="Book Antiqua" w:cs="宋体"/>
          <w:i/>
          <w:iCs/>
          <w:kern w:val="0"/>
          <w:lang w:eastAsia="zh-CN"/>
        </w:rPr>
        <w:t>J Med Life</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3</w:t>
      </w:r>
      <w:r w:rsidRPr="00C40A8B">
        <w:rPr>
          <w:rFonts w:ascii="Book Antiqua" w:hAnsi="Book Antiqua" w:cs="宋体"/>
          <w:kern w:val="0"/>
          <w:lang w:eastAsia="zh-CN"/>
        </w:rPr>
        <w:t>: 10-18 [PMID: 20302192]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92 </w:t>
      </w:r>
      <w:r w:rsidRPr="00C40A8B">
        <w:rPr>
          <w:rFonts w:ascii="Book Antiqua" w:hAnsi="Book Antiqua" w:cs="宋体"/>
          <w:b/>
          <w:bCs/>
          <w:kern w:val="0"/>
          <w:lang w:eastAsia="zh-CN"/>
        </w:rPr>
        <w:t>Shi FD</w:t>
      </w:r>
      <w:r w:rsidRPr="00C40A8B">
        <w:rPr>
          <w:rFonts w:ascii="Book Antiqua" w:hAnsi="Book Antiqua" w:cs="宋体"/>
          <w:kern w:val="0"/>
          <w:lang w:eastAsia="zh-CN"/>
        </w:rPr>
        <w:t xml:space="preserve">, Ljunggren HG, Sarvetnick N. Innate immunity and autoimmunity: from self-protection to self-destruction. </w:t>
      </w:r>
      <w:r w:rsidRPr="00C40A8B">
        <w:rPr>
          <w:rFonts w:ascii="Book Antiqua" w:hAnsi="Book Antiqua" w:cs="宋体"/>
          <w:i/>
          <w:iCs/>
          <w:kern w:val="0"/>
          <w:lang w:eastAsia="zh-CN"/>
        </w:rPr>
        <w:t>Trends Immunol</w:t>
      </w:r>
      <w:r w:rsidRPr="00C40A8B">
        <w:rPr>
          <w:rFonts w:ascii="Book Antiqua" w:hAnsi="Book Antiqua" w:cs="宋体"/>
          <w:kern w:val="0"/>
          <w:lang w:eastAsia="zh-CN"/>
        </w:rPr>
        <w:t xml:space="preserve"> 2001; </w:t>
      </w:r>
      <w:r w:rsidRPr="00C40A8B">
        <w:rPr>
          <w:rFonts w:ascii="Book Antiqua" w:hAnsi="Book Antiqua" w:cs="宋体"/>
          <w:b/>
          <w:bCs/>
          <w:kern w:val="0"/>
          <w:lang w:eastAsia="zh-CN"/>
        </w:rPr>
        <w:t>22</w:t>
      </w:r>
      <w:r w:rsidRPr="00C40A8B">
        <w:rPr>
          <w:rFonts w:ascii="Book Antiqua" w:hAnsi="Book Antiqua" w:cs="宋体"/>
          <w:kern w:val="0"/>
          <w:lang w:eastAsia="zh-CN"/>
        </w:rPr>
        <w:t>: 97-101 [PMID: 11286711 DOI: S1471490600018214]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93 </w:t>
      </w:r>
      <w:r w:rsidRPr="00C40A8B">
        <w:rPr>
          <w:rFonts w:ascii="Book Antiqua" w:hAnsi="Book Antiqua" w:cs="宋体"/>
          <w:b/>
          <w:bCs/>
          <w:kern w:val="0"/>
          <w:lang w:eastAsia="zh-CN"/>
        </w:rPr>
        <w:t>Costantini C</w:t>
      </w:r>
      <w:r w:rsidRPr="00C40A8B">
        <w:rPr>
          <w:rFonts w:ascii="Book Antiqua" w:hAnsi="Book Antiqua" w:cs="宋体"/>
          <w:kern w:val="0"/>
          <w:lang w:eastAsia="zh-CN"/>
        </w:rPr>
        <w:t xml:space="preserve">, Micheletti A, Calzetti F, Perbellini O, Pizzolo G, Cassatella MA. Neutrophil activation and survival are modulated by interaction with NK cells. </w:t>
      </w:r>
      <w:r w:rsidRPr="00C40A8B">
        <w:rPr>
          <w:rFonts w:ascii="Book Antiqua" w:hAnsi="Book Antiqua" w:cs="宋体"/>
          <w:i/>
          <w:iCs/>
          <w:kern w:val="0"/>
          <w:lang w:eastAsia="zh-CN"/>
        </w:rPr>
        <w:t>Int Immunol</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22</w:t>
      </w:r>
      <w:r w:rsidRPr="00C40A8B">
        <w:rPr>
          <w:rFonts w:ascii="Book Antiqua" w:hAnsi="Book Antiqua" w:cs="宋体"/>
          <w:kern w:val="0"/>
          <w:lang w:eastAsia="zh-CN"/>
        </w:rPr>
        <w:t>: 827-838 [PMID: 20739460 DOI: dxq434]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94 </w:t>
      </w:r>
      <w:r w:rsidRPr="00C40A8B">
        <w:rPr>
          <w:rFonts w:ascii="Book Antiqua" w:hAnsi="Book Antiqua" w:cs="宋体"/>
          <w:b/>
          <w:bCs/>
          <w:kern w:val="0"/>
          <w:lang w:eastAsia="zh-CN"/>
        </w:rPr>
        <w:t>King PT</w:t>
      </w:r>
      <w:r w:rsidRPr="00C40A8B">
        <w:rPr>
          <w:rFonts w:ascii="Book Antiqua" w:hAnsi="Book Antiqua" w:cs="宋体"/>
          <w:kern w:val="0"/>
          <w:lang w:eastAsia="zh-CN"/>
        </w:rPr>
        <w:t xml:space="preserve">, Ngui J, Farmer MW, Hutchinson P, Holmes PW, Holdsworth SR. Cytotoxic T lymphocyte and natural killer cell responses to non-typeable Haemophilus influenzae. </w:t>
      </w:r>
      <w:r w:rsidRPr="00C40A8B">
        <w:rPr>
          <w:rFonts w:ascii="Book Antiqua" w:hAnsi="Book Antiqua" w:cs="宋体"/>
          <w:i/>
          <w:iCs/>
          <w:kern w:val="0"/>
          <w:lang w:eastAsia="zh-CN"/>
        </w:rPr>
        <w:t>Clin Exp Immunol</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152</w:t>
      </w:r>
      <w:r w:rsidRPr="00C40A8B">
        <w:rPr>
          <w:rFonts w:ascii="Book Antiqua" w:hAnsi="Book Antiqua" w:cs="宋体"/>
          <w:kern w:val="0"/>
          <w:lang w:eastAsia="zh-CN"/>
        </w:rPr>
        <w:t>: 542-551 [PMID: 18462210 DOI: CEI3667]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95 </w:t>
      </w:r>
      <w:r w:rsidRPr="00C40A8B">
        <w:rPr>
          <w:rFonts w:ascii="Book Antiqua" w:hAnsi="Book Antiqua" w:cs="宋体"/>
          <w:b/>
          <w:bCs/>
          <w:kern w:val="0"/>
          <w:lang w:eastAsia="zh-CN"/>
        </w:rPr>
        <w:t>Shi FD</w:t>
      </w:r>
      <w:r w:rsidRPr="00C40A8B">
        <w:rPr>
          <w:rFonts w:ascii="Book Antiqua" w:hAnsi="Book Antiqua" w:cs="宋体"/>
          <w:kern w:val="0"/>
          <w:lang w:eastAsia="zh-CN"/>
        </w:rPr>
        <w:t xml:space="preserve">, Zhou Q. Natural killer cells as indispensable players and therapeutic targets in autoimmunity. </w:t>
      </w:r>
      <w:r w:rsidRPr="00C40A8B">
        <w:rPr>
          <w:rFonts w:ascii="Book Antiqua" w:hAnsi="Book Antiqua" w:cs="宋体"/>
          <w:i/>
          <w:iCs/>
          <w:kern w:val="0"/>
          <w:lang w:eastAsia="zh-CN"/>
        </w:rPr>
        <w:t>Autoimmunity</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44</w:t>
      </w:r>
      <w:r w:rsidRPr="00C40A8B">
        <w:rPr>
          <w:rFonts w:ascii="Book Antiqua" w:hAnsi="Book Antiqua" w:cs="宋体"/>
          <w:kern w:val="0"/>
          <w:lang w:eastAsia="zh-CN"/>
        </w:rPr>
        <w:t>: 3-10 [PMID: 20701455 DOI: 10.3109/08916931003782122]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96 </w:t>
      </w:r>
      <w:r w:rsidRPr="00C40A8B">
        <w:rPr>
          <w:rFonts w:ascii="Book Antiqua" w:hAnsi="Book Antiqua" w:cs="宋体"/>
          <w:b/>
          <w:bCs/>
          <w:kern w:val="0"/>
          <w:lang w:eastAsia="zh-CN"/>
        </w:rPr>
        <w:t>Cohen F</w:t>
      </w:r>
      <w:r w:rsidRPr="00C40A8B">
        <w:rPr>
          <w:rFonts w:ascii="Book Antiqua" w:hAnsi="Book Antiqua" w:cs="宋体"/>
          <w:kern w:val="0"/>
          <w:lang w:eastAsia="zh-CN"/>
        </w:rPr>
        <w:t xml:space="preserve">, Kemeny ME, Zegans LS, Johnson P, Kearney KA, Stites DP. Immune function declines with unemployment and recovers after stressor termination. </w:t>
      </w:r>
      <w:r w:rsidRPr="00C40A8B">
        <w:rPr>
          <w:rFonts w:ascii="Book Antiqua" w:hAnsi="Book Antiqua" w:cs="宋体"/>
          <w:i/>
          <w:iCs/>
          <w:kern w:val="0"/>
          <w:lang w:eastAsia="zh-CN"/>
        </w:rPr>
        <w:t>Psychosom Med</w:t>
      </w:r>
      <w:r w:rsidRPr="00C40A8B">
        <w:rPr>
          <w:rFonts w:ascii="Book Antiqua" w:hAnsi="Book Antiqua" w:cs="宋体"/>
          <w:kern w:val="0"/>
          <w:lang w:eastAsia="zh-CN"/>
        </w:rPr>
        <w:t xml:space="preserve"> 2007; </w:t>
      </w:r>
      <w:r w:rsidRPr="00C40A8B">
        <w:rPr>
          <w:rFonts w:ascii="Book Antiqua" w:hAnsi="Book Antiqua" w:cs="宋体"/>
          <w:b/>
          <w:bCs/>
          <w:kern w:val="0"/>
          <w:lang w:eastAsia="zh-CN"/>
        </w:rPr>
        <w:t>69</w:t>
      </w:r>
      <w:r w:rsidRPr="00C40A8B">
        <w:rPr>
          <w:rFonts w:ascii="Book Antiqua" w:hAnsi="Book Antiqua" w:cs="宋体"/>
          <w:kern w:val="0"/>
          <w:lang w:eastAsia="zh-CN"/>
        </w:rPr>
        <w:t>: 225-234 [PMID: 17401058 DOI: PSY.0b013e31803139a6]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97 </w:t>
      </w:r>
      <w:r w:rsidRPr="00C40A8B">
        <w:rPr>
          <w:rFonts w:ascii="Book Antiqua" w:hAnsi="Book Antiqua" w:cs="宋体"/>
          <w:b/>
          <w:bCs/>
          <w:kern w:val="0"/>
          <w:lang w:eastAsia="zh-CN"/>
        </w:rPr>
        <w:t>Borella P</w:t>
      </w:r>
      <w:r w:rsidRPr="00C40A8B">
        <w:rPr>
          <w:rFonts w:ascii="Book Antiqua" w:hAnsi="Book Antiqua" w:cs="宋体"/>
          <w:kern w:val="0"/>
          <w:lang w:eastAsia="zh-CN"/>
        </w:rPr>
        <w:t xml:space="preserve">, Bargellini A, Rovesti S, Pinelli M, Vivoli R, Solfrini V, Vivoli G. Emotional stability, anxiety, and natural killer activity under examination stress. </w:t>
      </w:r>
      <w:r w:rsidRPr="00C40A8B">
        <w:rPr>
          <w:rFonts w:ascii="Book Antiqua" w:hAnsi="Book Antiqua" w:cs="宋体"/>
          <w:i/>
          <w:iCs/>
          <w:kern w:val="0"/>
          <w:lang w:eastAsia="zh-CN"/>
        </w:rPr>
        <w:t>Psychoneuroendocrinology</w:t>
      </w:r>
      <w:r w:rsidRPr="00C40A8B">
        <w:rPr>
          <w:rFonts w:ascii="Book Antiqua" w:hAnsi="Book Antiqua" w:cs="宋体"/>
          <w:kern w:val="0"/>
          <w:lang w:eastAsia="zh-CN"/>
        </w:rPr>
        <w:t xml:space="preserve"> 1999; </w:t>
      </w:r>
      <w:r w:rsidRPr="00C40A8B">
        <w:rPr>
          <w:rFonts w:ascii="Book Antiqua" w:hAnsi="Book Antiqua" w:cs="宋体"/>
          <w:b/>
          <w:bCs/>
          <w:kern w:val="0"/>
          <w:lang w:eastAsia="zh-CN"/>
        </w:rPr>
        <w:t>24</w:t>
      </w:r>
      <w:r w:rsidRPr="00C40A8B">
        <w:rPr>
          <w:rFonts w:ascii="Book Antiqua" w:hAnsi="Book Antiqua" w:cs="宋体"/>
          <w:kern w:val="0"/>
          <w:lang w:eastAsia="zh-CN"/>
        </w:rPr>
        <w:t>: 613-627 [PMID: 10399771 DOI: S0306-4530(99)00016-5]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98 </w:t>
      </w:r>
      <w:r w:rsidRPr="00C40A8B">
        <w:rPr>
          <w:rFonts w:ascii="Book Antiqua" w:hAnsi="Book Antiqua" w:cs="宋体"/>
          <w:b/>
          <w:bCs/>
          <w:kern w:val="0"/>
          <w:lang w:eastAsia="zh-CN"/>
        </w:rPr>
        <w:t>Fletcher MA</w:t>
      </w:r>
      <w:r w:rsidRPr="00C40A8B">
        <w:rPr>
          <w:rFonts w:ascii="Book Antiqua" w:hAnsi="Book Antiqua" w:cs="宋体"/>
          <w:kern w:val="0"/>
          <w:lang w:eastAsia="zh-CN"/>
        </w:rPr>
        <w:t xml:space="preserve">, Zeng XR, Maher K, Levis S, Hurwitz B, Antoni M, Broderick G, Klimas NG. Biomarkers in chronic fatigue syndrome: evaluation of natural killer cell function and dipeptidyl peptidase IV/CD26. </w:t>
      </w:r>
      <w:r w:rsidRPr="00C40A8B">
        <w:rPr>
          <w:rFonts w:ascii="Book Antiqua" w:hAnsi="Book Antiqua" w:cs="宋体"/>
          <w:i/>
          <w:iCs/>
          <w:kern w:val="0"/>
          <w:lang w:eastAsia="zh-CN"/>
        </w:rPr>
        <w:t>PLoS One</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5</w:t>
      </w:r>
      <w:r w:rsidRPr="00C40A8B">
        <w:rPr>
          <w:rFonts w:ascii="Book Antiqua" w:hAnsi="Book Antiqua" w:cs="宋体"/>
          <w:kern w:val="0"/>
          <w:lang w:eastAsia="zh-CN"/>
        </w:rPr>
        <w:t>: e10817 [PMID: 20520837 DOI: 10.1371/journal.pone.0010817]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99 </w:t>
      </w:r>
      <w:r w:rsidRPr="00C40A8B">
        <w:rPr>
          <w:rFonts w:ascii="Book Antiqua" w:hAnsi="Book Antiqua" w:cs="宋体"/>
          <w:b/>
          <w:bCs/>
          <w:kern w:val="0"/>
          <w:lang w:eastAsia="zh-CN"/>
        </w:rPr>
        <w:t>Fondell E</w:t>
      </w:r>
      <w:r w:rsidRPr="00C40A8B">
        <w:rPr>
          <w:rFonts w:ascii="Book Antiqua" w:hAnsi="Book Antiqua" w:cs="宋体"/>
          <w:kern w:val="0"/>
          <w:lang w:eastAsia="zh-CN"/>
        </w:rPr>
        <w:t xml:space="preserve">, Axelsson J, Franck K, Ploner A, Lekander M, Bälter K, Gaines H. Short natural sleep is associated with higher T cell and lower NK cell activities. </w:t>
      </w:r>
      <w:r w:rsidRPr="00C40A8B">
        <w:rPr>
          <w:rFonts w:ascii="Book Antiqua" w:hAnsi="Book Antiqua" w:cs="宋体"/>
          <w:i/>
          <w:iCs/>
          <w:kern w:val="0"/>
          <w:lang w:eastAsia="zh-CN"/>
        </w:rPr>
        <w:t>Brain Behav Immun</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25</w:t>
      </w:r>
      <w:r w:rsidRPr="00C40A8B">
        <w:rPr>
          <w:rFonts w:ascii="Book Antiqua" w:hAnsi="Book Antiqua" w:cs="宋体"/>
          <w:kern w:val="0"/>
          <w:lang w:eastAsia="zh-CN"/>
        </w:rPr>
        <w:t>: 1367-1375 [PMID: 21496482 DOI: S0889-1591(11)00120-6]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100 </w:t>
      </w:r>
      <w:r w:rsidRPr="00C40A8B">
        <w:rPr>
          <w:rFonts w:ascii="Book Antiqua" w:hAnsi="Book Antiqua" w:cs="宋体"/>
          <w:b/>
          <w:bCs/>
          <w:kern w:val="0"/>
          <w:lang w:eastAsia="zh-CN"/>
        </w:rPr>
        <w:t>Bellingrath S</w:t>
      </w:r>
      <w:r w:rsidRPr="00C40A8B">
        <w:rPr>
          <w:rFonts w:ascii="Book Antiqua" w:hAnsi="Book Antiqua" w:cs="宋体"/>
          <w:kern w:val="0"/>
          <w:lang w:eastAsia="zh-CN"/>
        </w:rPr>
        <w:t xml:space="preserve">, Rohleder N, Kudielka BM. Healthy working school teachers with high effort-reward-imbalance and overcommitment show increased pro-inflammatory immune activity and a dampened innate immune defence. </w:t>
      </w:r>
      <w:r w:rsidRPr="00C40A8B">
        <w:rPr>
          <w:rFonts w:ascii="Book Antiqua" w:hAnsi="Book Antiqua" w:cs="宋体"/>
          <w:i/>
          <w:iCs/>
          <w:kern w:val="0"/>
          <w:lang w:eastAsia="zh-CN"/>
        </w:rPr>
        <w:t>Brain Behav Immun</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24</w:t>
      </w:r>
      <w:r w:rsidRPr="00C40A8B">
        <w:rPr>
          <w:rFonts w:ascii="Book Antiqua" w:hAnsi="Book Antiqua" w:cs="宋体"/>
          <w:kern w:val="0"/>
          <w:lang w:eastAsia="zh-CN"/>
        </w:rPr>
        <w:t>: 1332-1339 [PMID: 20599495 DOI: 10.1016/j.bbi.2010.06.011]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101 </w:t>
      </w:r>
      <w:r w:rsidRPr="00C40A8B">
        <w:rPr>
          <w:rFonts w:ascii="Book Antiqua" w:hAnsi="Book Antiqua" w:cs="宋体"/>
          <w:b/>
          <w:bCs/>
          <w:kern w:val="0"/>
          <w:lang w:eastAsia="zh-CN"/>
        </w:rPr>
        <w:t>Rohleder N</w:t>
      </w:r>
      <w:r w:rsidRPr="00C40A8B">
        <w:rPr>
          <w:rFonts w:ascii="Book Antiqua" w:hAnsi="Book Antiqua" w:cs="宋体"/>
          <w:kern w:val="0"/>
          <w:lang w:eastAsia="zh-CN"/>
        </w:rPr>
        <w:t xml:space="preserve">, Aringer M, Boentert M. Role of interleukin-6 in stress, sleep, and fatigue. </w:t>
      </w:r>
      <w:r w:rsidRPr="00C40A8B">
        <w:rPr>
          <w:rFonts w:ascii="Book Antiqua" w:hAnsi="Book Antiqua" w:cs="宋体"/>
          <w:i/>
          <w:iCs/>
          <w:kern w:val="0"/>
          <w:lang w:eastAsia="zh-CN"/>
        </w:rPr>
        <w:t>Ann N Y Acad Sci</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1261</w:t>
      </w:r>
      <w:r w:rsidRPr="00C40A8B">
        <w:rPr>
          <w:rFonts w:ascii="Book Antiqua" w:hAnsi="Book Antiqua" w:cs="宋体"/>
          <w:kern w:val="0"/>
          <w:lang w:eastAsia="zh-CN"/>
        </w:rPr>
        <w:t>: 88-96 [PMID: 22823398 DOI: 10.1111/j.1749-6632.2012.06634.x]</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102 </w:t>
      </w:r>
      <w:r w:rsidRPr="00C40A8B">
        <w:rPr>
          <w:rFonts w:ascii="Book Antiqua" w:hAnsi="Book Antiqua" w:cs="宋体"/>
          <w:b/>
          <w:bCs/>
          <w:kern w:val="0"/>
          <w:lang w:eastAsia="zh-CN"/>
        </w:rPr>
        <w:t>Goshen I</w:t>
      </w:r>
      <w:r w:rsidRPr="00C40A8B">
        <w:rPr>
          <w:rFonts w:ascii="Book Antiqua" w:hAnsi="Book Antiqua" w:cs="宋体"/>
          <w:kern w:val="0"/>
          <w:lang w:eastAsia="zh-CN"/>
        </w:rPr>
        <w:t xml:space="preserve">, Yirmiya R. Interleukin-1 (IL-1): a central regulator of stress responses. </w:t>
      </w:r>
      <w:r w:rsidRPr="00C40A8B">
        <w:rPr>
          <w:rFonts w:ascii="Book Antiqua" w:hAnsi="Book Antiqua" w:cs="宋体"/>
          <w:i/>
          <w:iCs/>
          <w:kern w:val="0"/>
          <w:lang w:eastAsia="zh-CN"/>
        </w:rPr>
        <w:t>Front Neuroendocrinol</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30</w:t>
      </w:r>
      <w:r w:rsidRPr="00C40A8B">
        <w:rPr>
          <w:rFonts w:ascii="Book Antiqua" w:hAnsi="Book Antiqua" w:cs="宋体"/>
          <w:kern w:val="0"/>
          <w:lang w:eastAsia="zh-CN"/>
        </w:rPr>
        <w:t>: 30-45 [PMID: 19017533 DOI: 10.1016/j.yfrne.2008.10.001]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103 </w:t>
      </w:r>
      <w:r w:rsidRPr="00C40A8B">
        <w:rPr>
          <w:rFonts w:ascii="Book Antiqua" w:hAnsi="Book Antiqua" w:cs="宋体"/>
          <w:b/>
          <w:bCs/>
          <w:kern w:val="0"/>
          <w:lang w:eastAsia="zh-CN"/>
        </w:rPr>
        <w:t>Elenkov IJ</w:t>
      </w:r>
      <w:r w:rsidRPr="00C40A8B">
        <w:rPr>
          <w:rFonts w:ascii="Book Antiqua" w:hAnsi="Book Antiqua" w:cs="宋体"/>
          <w:kern w:val="0"/>
          <w:lang w:eastAsia="zh-CN"/>
        </w:rPr>
        <w:t xml:space="preserve">, Wilder RL, Chrousos GP, Vizi ES. The sympathetic nerve--an integrative interface between two supersystems: the brain and the immune system. </w:t>
      </w:r>
      <w:r w:rsidRPr="00C40A8B">
        <w:rPr>
          <w:rFonts w:ascii="Book Antiqua" w:hAnsi="Book Antiqua" w:cs="宋体"/>
          <w:i/>
          <w:iCs/>
          <w:kern w:val="0"/>
          <w:lang w:eastAsia="zh-CN"/>
        </w:rPr>
        <w:t>Pharmacol Rev</w:t>
      </w:r>
      <w:r w:rsidRPr="00C40A8B">
        <w:rPr>
          <w:rFonts w:ascii="Book Antiqua" w:hAnsi="Book Antiqua" w:cs="宋体"/>
          <w:kern w:val="0"/>
          <w:lang w:eastAsia="zh-CN"/>
        </w:rPr>
        <w:t xml:space="preserve"> 2000; </w:t>
      </w:r>
      <w:r w:rsidRPr="00C40A8B">
        <w:rPr>
          <w:rFonts w:ascii="Book Antiqua" w:hAnsi="Book Antiqua" w:cs="宋体"/>
          <w:b/>
          <w:bCs/>
          <w:kern w:val="0"/>
          <w:lang w:eastAsia="zh-CN"/>
        </w:rPr>
        <w:t>52</w:t>
      </w:r>
      <w:r w:rsidRPr="00C40A8B">
        <w:rPr>
          <w:rFonts w:ascii="Book Antiqua" w:hAnsi="Book Antiqua" w:cs="宋体"/>
          <w:kern w:val="0"/>
          <w:lang w:eastAsia="zh-CN"/>
        </w:rPr>
        <w:t>: 595-638 [PMID: 11121511]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104 </w:t>
      </w:r>
      <w:r w:rsidRPr="00C40A8B">
        <w:rPr>
          <w:rFonts w:ascii="Book Antiqua" w:hAnsi="Book Antiqua" w:cs="宋体"/>
          <w:b/>
          <w:bCs/>
          <w:kern w:val="0"/>
          <w:lang w:eastAsia="zh-CN"/>
        </w:rPr>
        <w:t>Gadek-Michalska A</w:t>
      </w:r>
      <w:r w:rsidRPr="00C40A8B">
        <w:rPr>
          <w:rFonts w:ascii="Book Antiqua" w:hAnsi="Book Antiqua" w:cs="宋体"/>
          <w:kern w:val="0"/>
          <w:lang w:eastAsia="zh-CN"/>
        </w:rPr>
        <w:t xml:space="preserve">, Spyrka J, Bugajski J. Psychosocial stress affects the involvement of prostaglandins and nitric oxide in the lipopolysaccharide-induced hypothalamic-pituitary-adrenal response. </w:t>
      </w:r>
      <w:r w:rsidRPr="00C40A8B">
        <w:rPr>
          <w:rFonts w:ascii="Book Antiqua" w:hAnsi="Book Antiqua" w:cs="宋体"/>
          <w:i/>
          <w:iCs/>
          <w:kern w:val="0"/>
          <w:lang w:eastAsia="zh-CN"/>
        </w:rPr>
        <w:t>J Physiol Pharmacol</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56</w:t>
      </w:r>
      <w:r w:rsidRPr="00C40A8B">
        <w:rPr>
          <w:rFonts w:ascii="Book Antiqua" w:hAnsi="Book Antiqua" w:cs="宋体"/>
          <w:kern w:val="0"/>
          <w:lang w:eastAsia="zh-CN"/>
        </w:rPr>
        <w:t>: 287-298 [PMID: 15985709]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105 </w:t>
      </w:r>
      <w:r w:rsidRPr="00C40A8B">
        <w:rPr>
          <w:rFonts w:ascii="Book Antiqua" w:hAnsi="Book Antiqua" w:cs="宋体"/>
          <w:b/>
          <w:bCs/>
          <w:kern w:val="0"/>
          <w:lang w:eastAsia="zh-CN"/>
        </w:rPr>
        <w:t>Dinarello CA</w:t>
      </w:r>
      <w:r w:rsidRPr="00C40A8B">
        <w:rPr>
          <w:rFonts w:ascii="Book Antiqua" w:hAnsi="Book Antiqua" w:cs="宋体"/>
          <w:kern w:val="0"/>
          <w:lang w:eastAsia="zh-CN"/>
        </w:rPr>
        <w:t xml:space="preserve">, Simon A, van der Meer JW. Treating inflammation by blocking interleukin-1 in a broad spectrum of diseases. </w:t>
      </w:r>
      <w:r w:rsidRPr="00C40A8B">
        <w:rPr>
          <w:rFonts w:ascii="Book Antiqua" w:hAnsi="Book Antiqua" w:cs="宋体"/>
          <w:i/>
          <w:iCs/>
          <w:kern w:val="0"/>
          <w:lang w:eastAsia="zh-CN"/>
        </w:rPr>
        <w:t>Nat Rev Drug Discov</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11</w:t>
      </w:r>
      <w:r w:rsidRPr="00C40A8B">
        <w:rPr>
          <w:rFonts w:ascii="Book Antiqua" w:hAnsi="Book Antiqua" w:cs="宋体"/>
          <w:kern w:val="0"/>
          <w:lang w:eastAsia="zh-CN"/>
        </w:rPr>
        <w:t>: 633-652 [PMID: 22850787 DOI: 10.1038/nrd3800]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106 </w:t>
      </w:r>
      <w:r w:rsidRPr="00C40A8B">
        <w:rPr>
          <w:rFonts w:ascii="Book Antiqua" w:hAnsi="Book Antiqua" w:cs="宋体"/>
          <w:b/>
          <w:bCs/>
          <w:kern w:val="0"/>
          <w:lang w:eastAsia="zh-CN"/>
        </w:rPr>
        <w:t>Bellingrath S</w:t>
      </w:r>
      <w:r w:rsidRPr="00C40A8B">
        <w:rPr>
          <w:rFonts w:ascii="Book Antiqua" w:hAnsi="Book Antiqua" w:cs="宋体"/>
          <w:kern w:val="0"/>
          <w:lang w:eastAsia="zh-CN"/>
        </w:rPr>
        <w:t xml:space="preserve">, Rohleder N, Kudielka BM. Effort-reward-imbalance in healthy teachers is associated with higher LPS-stimulated production and lower glucocorticoid sensitivity of interleukin-6 in vitro. </w:t>
      </w:r>
      <w:r w:rsidRPr="00C40A8B">
        <w:rPr>
          <w:rFonts w:ascii="Book Antiqua" w:hAnsi="Book Antiqua" w:cs="宋体"/>
          <w:i/>
          <w:iCs/>
          <w:kern w:val="0"/>
          <w:lang w:eastAsia="zh-CN"/>
        </w:rPr>
        <w:t>Biol Psychol</w:t>
      </w:r>
      <w:r w:rsidRPr="00C40A8B">
        <w:rPr>
          <w:rFonts w:ascii="Book Antiqua" w:hAnsi="Book Antiqua" w:cs="宋体"/>
          <w:kern w:val="0"/>
          <w:lang w:eastAsia="zh-CN"/>
        </w:rPr>
        <w:t xml:space="preserve"> 2013; </w:t>
      </w:r>
      <w:r w:rsidRPr="00C40A8B">
        <w:rPr>
          <w:rFonts w:ascii="Book Antiqua" w:hAnsi="Book Antiqua" w:cs="宋体"/>
          <w:b/>
          <w:bCs/>
          <w:kern w:val="0"/>
          <w:lang w:eastAsia="zh-CN"/>
        </w:rPr>
        <w:t>92</w:t>
      </w:r>
      <w:r w:rsidRPr="00C40A8B">
        <w:rPr>
          <w:rFonts w:ascii="Book Antiqua" w:hAnsi="Book Antiqua" w:cs="宋体"/>
          <w:kern w:val="0"/>
          <w:lang w:eastAsia="zh-CN"/>
        </w:rPr>
        <w:t>: 403-409 [PMID: 23246534 DOI: 10.1016/j.biopsycho.2012.12.003]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107 </w:t>
      </w:r>
      <w:r w:rsidRPr="00C40A8B">
        <w:rPr>
          <w:rFonts w:ascii="Book Antiqua" w:hAnsi="Book Antiqua" w:cs="宋体"/>
          <w:b/>
          <w:bCs/>
          <w:kern w:val="0"/>
          <w:lang w:eastAsia="zh-CN"/>
        </w:rPr>
        <w:t>Scheller J</w:t>
      </w:r>
      <w:r w:rsidRPr="00C40A8B">
        <w:rPr>
          <w:rFonts w:ascii="Book Antiqua" w:hAnsi="Book Antiqua" w:cs="宋体"/>
          <w:kern w:val="0"/>
          <w:lang w:eastAsia="zh-CN"/>
        </w:rPr>
        <w:t xml:space="preserve">, Chalaris A, Schmidt-Arras D, Rose-John S. The pro- and anti-inflammatory properties of the cytokine interleukin-6. </w:t>
      </w:r>
      <w:r w:rsidRPr="00C40A8B">
        <w:rPr>
          <w:rFonts w:ascii="Book Antiqua" w:hAnsi="Book Antiqua" w:cs="宋体"/>
          <w:i/>
          <w:iCs/>
          <w:kern w:val="0"/>
          <w:lang w:eastAsia="zh-CN"/>
        </w:rPr>
        <w:t>Biochim Biophys Acta</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1813</w:t>
      </w:r>
      <w:r w:rsidRPr="00C40A8B">
        <w:rPr>
          <w:rFonts w:ascii="Book Antiqua" w:hAnsi="Book Antiqua" w:cs="宋体"/>
          <w:kern w:val="0"/>
          <w:lang w:eastAsia="zh-CN"/>
        </w:rPr>
        <w:t>: 878-888 [PMID: 21296109 DOI: S0167-4889(11)00042-5]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108 </w:t>
      </w:r>
      <w:r w:rsidRPr="00C40A8B">
        <w:rPr>
          <w:rFonts w:ascii="Book Antiqua" w:hAnsi="Book Antiqua" w:cs="宋体"/>
          <w:b/>
          <w:bCs/>
          <w:kern w:val="0"/>
          <w:lang w:eastAsia="zh-CN"/>
        </w:rPr>
        <w:t>Bierhaus A</w:t>
      </w:r>
      <w:r w:rsidRPr="00C40A8B">
        <w:rPr>
          <w:rFonts w:ascii="Book Antiqua" w:hAnsi="Book Antiqua" w:cs="宋体"/>
          <w:kern w:val="0"/>
          <w:lang w:eastAsia="zh-CN"/>
        </w:rPr>
        <w:t xml:space="preserve">, Wolf J, Andrassy M, Rohleder N, Humpert PM, Petrov D, Ferstl R, von Eynatten M, Wendt T, Rudofsky G, Joswig M, Morcos M, Schwaninger M, McEwen B, Kirschbaum C, Nawroth PP. A mechanism converting psychosocial stress into mononuclear cell activation. </w:t>
      </w:r>
      <w:r w:rsidRPr="00C40A8B">
        <w:rPr>
          <w:rFonts w:ascii="Book Antiqua" w:hAnsi="Book Antiqua" w:cs="宋体"/>
          <w:i/>
          <w:iCs/>
          <w:kern w:val="0"/>
          <w:lang w:eastAsia="zh-CN"/>
        </w:rPr>
        <w:t>Proc Natl Acad Sci U S A</w:t>
      </w:r>
      <w:r w:rsidRPr="00C40A8B">
        <w:rPr>
          <w:rFonts w:ascii="Book Antiqua" w:hAnsi="Book Antiqua" w:cs="宋体"/>
          <w:kern w:val="0"/>
          <w:lang w:eastAsia="zh-CN"/>
        </w:rPr>
        <w:t xml:space="preserve"> 2003; </w:t>
      </w:r>
      <w:r w:rsidRPr="00C40A8B">
        <w:rPr>
          <w:rFonts w:ascii="Book Antiqua" w:hAnsi="Book Antiqua" w:cs="宋体"/>
          <w:b/>
          <w:bCs/>
          <w:kern w:val="0"/>
          <w:lang w:eastAsia="zh-CN"/>
        </w:rPr>
        <w:t>100</w:t>
      </w:r>
      <w:r w:rsidRPr="00C40A8B">
        <w:rPr>
          <w:rFonts w:ascii="Book Antiqua" w:hAnsi="Book Antiqua" w:cs="宋体"/>
          <w:kern w:val="0"/>
          <w:lang w:eastAsia="zh-CN"/>
        </w:rPr>
        <w:t>: 1920-1925 [PMID: 12578963 DOI: 10.1073/pnas.0438019100]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109 </w:t>
      </w:r>
      <w:r w:rsidRPr="00C40A8B">
        <w:rPr>
          <w:rFonts w:ascii="Book Antiqua" w:hAnsi="Book Antiqua" w:cs="宋体"/>
          <w:b/>
          <w:bCs/>
          <w:kern w:val="0"/>
          <w:lang w:eastAsia="zh-CN"/>
        </w:rPr>
        <w:t>Pace TW</w:t>
      </w:r>
      <w:r w:rsidRPr="00C40A8B">
        <w:rPr>
          <w:rFonts w:ascii="Book Antiqua" w:hAnsi="Book Antiqua" w:cs="宋体"/>
          <w:kern w:val="0"/>
          <w:lang w:eastAsia="zh-CN"/>
        </w:rPr>
        <w:t xml:space="preserve">, Mletzko TC, Alagbe O, Musselman DL, Nemeroff CB, Miller AH, Heim CM. Increased stress-induced inflammatory responses in male patients with major depression and increased early life stress. </w:t>
      </w:r>
      <w:r w:rsidRPr="00C40A8B">
        <w:rPr>
          <w:rFonts w:ascii="Book Antiqua" w:hAnsi="Book Antiqua" w:cs="宋体"/>
          <w:i/>
          <w:iCs/>
          <w:kern w:val="0"/>
          <w:lang w:eastAsia="zh-CN"/>
        </w:rPr>
        <w:t>Am J Psychiatry</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163</w:t>
      </w:r>
      <w:r w:rsidRPr="00C40A8B">
        <w:rPr>
          <w:rFonts w:ascii="Book Antiqua" w:hAnsi="Book Antiqua" w:cs="宋体"/>
          <w:kern w:val="0"/>
          <w:lang w:eastAsia="zh-CN"/>
        </w:rPr>
        <w:t>: 1630-1633 [PMID: 16946190 DOI: 10.1176/appi.ajp.163.9.1630]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110 </w:t>
      </w:r>
      <w:r w:rsidRPr="00C40A8B">
        <w:rPr>
          <w:rFonts w:ascii="Book Antiqua" w:hAnsi="Book Antiqua" w:cs="宋体"/>
          <w:b/>
          <w:bCs/>
          <w:kern w:val="0"/>
          <w:lang w:eastAsia="zh-CN"/>
        </w:rPr>
        <w:t>Richlin VA</w:t>
      </w:r>
      <w:r w:rsidRPr="00C40A8B">
        <w:rPr>
          <w:rFonts w:ascii="Book Antiqua" w:hAnsi="Book Antiqua" w:cs="宋体"/>
          <w:kern w:val="0"/>
          <w:lang w:eastAsia="zh-CN"/>
        </w:rPr>
        <w:t xml:space="preserve">, Arevalo JM, Zack JA, Cole SW. Stress-induced enhancement of NF-kappaB DNA-binding in the peripheral blood leukocyte pool: effects of lymphocyte redistribution. </w:t>
      </w:r>
      <w:r w:rsidRPr="00C40A8B">
        <w:rPr>
          <w:rFonts w:ascii="Book Antiqua" w:hAnsi="Book Antiqua" w:cs="宋体"/>
          <w:i/>
          <w:iCs/>
          <w:kern w:val="0"/>
          <w:lang w:eastAsia="zh-CN"/>
        </w:rPr>
        <w:t>Brain Behav Immun</w:t>
      </w:r>
      <w:r w:rsidRPr="00C40A8B">
        <w:rPr>
          <w:rFonts w:ascii="Book Antiqua" w:hAnsi="Book Antiqua" w:cs="宋体"/>
          <w:kern w:val="0"/>
          <w:lang w:eastAsia="zh-CN"/>
        </w:rPr>
        <w:t xml:space="preserve"> 2004; </w:t>
      </w:r>
      <w:r w:rsidRPr="00C40A8B">
        <w:rPr>
          <w:rFonts w:ascii="Book Antiqua" w:hAnsi="Book Antiqua" w:cs="宋体"/>
          <w:b/>
          <w:bCs/>
          <w:kern w:val="0"/>
          <w:lang w:eastAsia="zh-CN"/>
        </w:rPr>
        <w:t>18</w:t>
      </w:r>
      <w:r w:rsidRPr="00C40A8B">
        <w:rPr>
          <w:rFonts w:ascii="Book Antiqua" w:hAnsi="Book Antiqua" w:cs="宋体"/>
          <w:kern w:val="0"/>
          <w:lang w:eastAsia="zh-CN"/>
        </w:rPr>
        <w:t>: 231-237 [PMID: 15050650 DOI: 10.1016/j.bbi.2003.08.001]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111 </w:t>
      </w:r>
      <w:r w:rsidRPr="00C40A8B">
        <w:rPr>
          <w:rFonts w:ascii="Book Antiqua" w:hAnsi="Book Antiqua" w:cs="宋体"/>
          <w:b/>
          <w:bCs/>
          <w:kern w:val="0"/>
          <w:lang w:eastAsia="zh-CN"/>
        </w:rPr>
        <w:t>Iliopoulos D</w:t>
      </w:r>
      <w:r w:rsidRPr="00C40A8B">
        <w:rPr>
          <w:rFonts w:ascii="Book Antiqua" w:hAnsi="Book Antiqua" w:cs="宋体"/>
          <w:kern w:val="0"/>
          <w:lang w:eastAsia="zh-CN"/>
        </w:rPr>
        <w:t xml:space="preserve">, Jaeger SA, Hirsch HA, Bulyk ML, Struhl K. STAT3 activation of miR-21 and miR-181b-1 via PTEN and CYLD are part of the epigenetic switch linking inflammation to cancer. </w:t>
      </w:r>
      <w:r w:rsidRPr="00C40A8B">
        <w:rPr>
          <w:rFonts w:ascii="Book Antiqua" w:hAnsi="Book Antiqua" w:cs="宋体"/>
          <w:i/>
          <w:iCs/>
          <w:kern w:val="0"/>
          <w:lang w:eastAsia="zh-CN"/>
        </w:rPr>
        <w:t>Mol Cell</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39</w:t>
      </w:r>
      <w:r w:rsidRPr="00C40A8B">
        <w:rPr>
          <w:rFonts w:ascii="Book Antiqua" w:hAnsi="Book Antiqua" w:cs="宋体"/>
          <w:kern w:val="0"/>
          <w:lang w:eastAsia="zh-CN"/>
        </w:rPr>
        <w:t>: 493-506 [PMID: 20797623 DOI: S1097-2765(10)00570-8]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112 </w:t>
      </w:r>
      <w:r w:rsidRPr="00C40A8B">
        <w:rPr>
          <w:rFonts w:ascii="Book Antiqua" w:hAnsi="Book Antiqua" w:cs="宋体"/>
          <w:b/>
          <w:bCs/>
          <w:kern w:val="0"/>
          <w:lang w:eastAsia="zh-CN"/>
        </w:rPr>
        <w:t>Jeong HJ</w:t>
      </w:r>
      <w:r w:rsidRPr="00C40A8B">
        <w:rPr>
          <w:rFonts w:ascii="Book Antiqua" w:hAnsi="Book Antiqua" w:cs="宋体"/>
          <w:kern w:val="0"/>
          <w:lang w:eastAsia="zh-CN"/>
        </w:rPr>
        <w:t xml:space="preserve">, Hong SH, Park RK, Shin T, An NH, Kim HM. Hypoxia-induced IL-6 production is associated with activation of MAP kinase, HIF-1, and NF-kappaB on HEI-OC1 cells. </w:t>
      </w:r>
      <w:r w:rsidRPr="00C40A8B">
        <w:rPr>
          <w:rFonts w:ascii="Book Antiqua" w:hAnsi="Book Antiqua" w:cs="宋体"/>
          <w:i/>
          <w:iCs/>
          <w:kern w:val="0"/>
          <w:lang w:eastAsia="zh-CN"/>
        </w:rPr>
        <w:t>Hear Res</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207</w:t>
      </w:r>
      <w:r w:rsidRPr="00C40A8B">
        <w:rPr>
          <w:rFonts w:ascii="Book Antiqua" w:hAnsi="Book Antiqua" w:cs="宋体"/>
          <w:kern w:val="0"/>
          <w:lang w:eastAsia="zh-CN"/>
        </w:rPr>
        <w:t>: 59-67 [PMID: 15913932 DOI: S0378-5955(05)00135-8]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113 </w:t>
      </w:r>
      <w:r w:rsidRPr="00C40A8B">
        <w:rPr>
          <w:rFonts w:ascii="Book Antiqua" w:hAnsi="Book Antiqua" w:cs="宋体"/>
          <w:b/>
          <w:bCs/>
          <w:kern w:val="0"/>
          <w:lang w:eastAsia="zh-CN"/>
        </w:rPr>
        <w:t>Rief W</w:t>
      </w:r>
      <w:r w:rsidRPr="00C40A8B">
        <w:rPr>
          <w:rFonts w:ascii="Book Antiqua" w:hAnsi="Book Antiqua" w:cs="宋体"/>
          <w:kern w:val="0"/>
          <w:lang w:eastAsia="zh-CN"/>
        </w:rPr>
        <w:t xml:space="preserve">, Mills PJ, Ancoli-Israel S, Ziegler MG, Pung MA, Dimsdale JE. Overnight changes of immune parameters and catecholamines are associated </w:t>
      </w:r>
      <w:r w:rsidRPr="00C40A8B">
        <w:rPr>
          <w:rFonts w:ascii="Book Antiqua" w:hAnsi="Book Antiqua" w:cs="宋体"/>
          <w:kern w:val="0"/>
          <w:lang w:eastAsia="zh-CN"/>
        </w:rPr>
        <w:lastRenderedPageBreak/>
        <w:t xml:space="preserve">with mood and stress. </w:t>
      </w:r>
      <w:r w:rsidRPr="00C40A8B">
        <w:rPr>
          <w:rFonts w:ascii="Book Antiqua" w:hAnsi="Book Antiqua" w:cs="宋体"/>
          <w:i/>
          <w:iCs/>
          <w:kern w:val="0"/>
          <w:lang w:eastAsia="zh-CN"/>
        </w:rPr>
        <w:t>Psychosom Med</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72</w:t>
      </w:r>
      <w:r w:rsidRPr="00C40A8B">
        <w:rPr>
          <w:rFonts w:ascii="Book Antiqua" w:hAnsi="Book Antiqua" w:cs="宋体"/>
          <w:kern w:val="0"/>
          <w:lang w:eastAsia="zh-CN"/>
        </w:rPr>
        <w:t>: 755-762 [PMID: 20841563 DOI: 10.1097/PSY.0b013e3181f367e2]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114 </w:t>
      </w:r>
      <w:r w:rsidRPr="00C40A8B">
        <w:rPr>
          <w:rFonts w:ascii="Book Antiqua" w:hAnsi="Book Antiqua" w:cs="宋体"/>
          <w:b/>
          <w:bCs/>
          <w:kern w:val="0"/>
          <w:lang w:eastAsia="zh-CN"/>
        </w:rPr>
        <w:t>Chennaoui M</w:t>
      </w:r>
      <w:r w:rsidRPr="00C40A8B">
        <w:rPr>
          <w:rFonts w:ascii="Book Antiqua" w:hAnsi="Book Antiqua" w:cs="宋体"/>
          <w:kern w:val="0"/>
          <w:lang w:eastAsia="zh-CN"/>
        </w:rPr>
        <w:t xml:space="preserve">, Sauvet F, Drogou C, Van Beers P, Langrume C, Guillard M, Gourby B, Bourrilhon C, Florence G, Gomez-Merino D. Effect of one night of sleep loss on changes in tumor necrosis factor alpha (TNF-α) levels in healthy men. </w:t>
      </w:r>
      <w:r w:rsidRPr="00C40A8B">
        <w:rPr>
          <w:rFonts w:ascii="Book Antiqua" w:hAnsi="Book Antiqua" w:cs="宋体"/>
          <w:i/>
          <w:iCs/>
          <w:kern w:val="0"/>
          <w:lang w:eastAsia="zh-CN"/>
        </w:rPr>
        <w:t>Cytokine</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56</w:t>
      </w:r>
      <w:r w:rsidRPr="00C40A8B">
        <w:rPr>
          <w:rFonts w:ascii="Book Antiqua" w:hAnsi="Book Antiqua" w:cs="宋体"/>
          <w:kern w:val="0"/>
          <w:lang w:eastAsia="zh-CN"/>
        </w:rPr>
        <w:t>: 318-324 [PMID: 21737301 DOI: 10.1016/j.cyto.2011.06.002]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115 </w:t>
      </w:r>
      <w:r w:rsidRPr="00C40A8B">
        <w:rPr>
          <w:rFonts w:ascii="Book Antiqua" w:hAnsi="Book Antiqua" w:cs="宋体"/>
          <w:b/>
          <w:bCs/>
          <w:kern w:val="0"/>
          <w:lang w:eastAsia="zh-CN"/>
        </w:rPr>
        <w:t>von Känel R</w:t>
      </w:r>
      <w:r w:rsidRPr="00C40A8B">
        <w:rPr>
          <w:rFonts w:ascii="Book Antiqua" w:hAnsi="Book Antiqua" w:cs="宋体"/>
          <w:kern w:val="0"/>
          <w:lang w:eastAsia="zh-CN"/>
        </w:rPr>
        <w:t xml:space="preserve">, Bellingrath S, Kudielka BM. Association between burnout and circulating levels of pro- and anti-inflammatory cytokines in schoolteachers. </w:t>
      </w:r>
      <w:r w:rsidRPr="00C40A8B">
        <w:rPr>
          <w:rFonts w:ascii="Book Antiqua" w:hAnsi="Book Antiqua" w:cs="宋体"/>
          <w:i/>
          <w:iCs/>
          <w:kern w:val="0"/>
          <w:lang w:eastAsia="zh-CN"/>
        </w:rPr>
        <w:t>J Psychosom Res</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65</w:t>
      </w:r>
      <w:r w:rsidRPr="00C40A8B">
        <w:rPr>
          <w:rFonts w:ascii="Book Antiqua" w:hAnsi="Book Antiqua" w:cs="宋体"/>
          <w:kern w:val="0"/>
          <w:lang w:eastAsia="zh-CN"/>
        </w:rPr>
        <w:t>: 51-59 [PMID: 18582612 DOI: 10.1016/j.jpsychores.2008.02.007]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116 </w:t>
      </w:r>
      <w:r w:rsidRPr="00C40A8B">
        <w:rPr>
          <w:rFonts w:ascii="Book Antiqua" w:hAnsi="Book Antiqua" w:cs="宋体"/>
          <w:b/>
          <w:bCs/>
          <w:kern w:val="0"/>
          <w:lang w:eastAsia="zh-CN"/>
        </w:rPr>
        <w:t>Lalive PH</w:t>
      </w:r>
      <w:r w:rsidRPr="00C40A8B">
        <w:rPr>
          <w:rFonts w:ascii="Book Antiqua" w:hAnsi="Book Antiqua" w:cs="宋体"/>
          <w:kern w:val="0"/>
          <w:lang w:eastAsia="zh-CN"/>
        </w:rPr>
        <w:t xml:space="preserve">, Burkhard PR, Chofflon M. TNF-alpha and psychologically stressful events in healthy subjects: potential relevance for multiple sclerosis relapse. </w:t>
      </w:r>
      <w:r w:rsidRPr="00C40A8B">
        <w:rPr>
          <w:rFonts w:ascii="Book Antiqua" w:hAnsi="Book Antiqua" w:cs="宋体"/>
          <w:i/>
          <w:iCs/>
          <w:kern w:val="0"/>
          <w:lang w:eastAsia="zh-CN"/>
        </w:rPr>
        <w:t>Behav Neurosci</w:t>
      </w:r>
      <w:r w:rsidRPr="00C40A8B">
        <w:rPr>
          <w:rFonts w:ascii="Book Antiqua" w:hAnsi="Book Antiqua" w:cs="宋体"/>
          <w:kern w:val="0"/>
          <w:lang w:eastAsia="zh-CN"/>
        </w:rPr>
        <w:t xml:space="preserve"> 2002; </w:t>
      </w:r>
      <w:r w:rsidRPr="00C40A8B">
        <w:rPr>
          <w:rFonts w:ascii="Book Antiqua" w:hAnsi="Book Antiqua" w:cs="宋体"/>
          <w:b/>
          <w:bCs/>
          <w:kern w:val="0"/>
          <w:lang w:eastAsia="zh-CN"/>
        </w:rPr>
        <w:t>116</w:t>
      </w:r>
      <w:r w:rsidRPr="00C40A8B">
        <w:rPr>
          <w:rFonts w:ascii="Book Antiqua" w:hAnsi="Book Antiqua" w:cs="宋体"/>
          <w:kern w:val="0"/>
          <w:lang w:eastAsia="zh-CN"/>
        </w:rPr>
        <w:t>: 1093-1097 [PMID: 12492308]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117 </w:t>
      </w:r>
      <w:r w:rsidRPr="00C40A8B">
        <w:rPr>
          <w:rFonts w:ascii="Book Antiqua" w:hAnsi="Book Antiqua" w:cs="宋体"/>
          <w:b/>
          <w:bCs/>
          <w:kern w:val="0"/>
          <w:lang w:eastAsia="zh-CN"/>
        </w:rPr>
        <w:t>Weber C</w:t>
      </w:r>
      <w:r w:rsidRPr="00C40A8B">
        <w:rPr>
          <w:rFonts w:ascii="Book Antiqua" w:hAnsi="Book Antiqua" w:cs="宋体"/>
          <w:kern w:val="0"/>
          <w:lang w:eastAsia="zh-CN"/>
        </w:rPr>
        <w:t xml:space="preserve">, Arck P, Mazurek B, Klapp BF. Impact of a relaxation training on psychometric and immunologic parameters in tinnitus sufferers. </w:t>
      </w:r>
      <w:r w:rsidRPr="00C40A8B">
        <w:rPr>
          <w:rFonts w:ascii="Book Antiqua" w:hAnsi="Book Antiqua" w:cs="宋体"/>
          <w:i/>
          <w:iCs/>
          <w:kern w:val="0"/>
          <w:lang w:eastAsia="zh-CN"/>
        </w:rPr>
        <w:t>J Psychosom Res</w:t>
      </w:r>
      <w:r w:rsidRPr="00C40A8B">
        <w:rPr>
          <w:rFonts w:ascii="Book Antiqua" w:hAnsi="Book Antiqua" w:cs="宋体"/>
          <w:kern w:val="0"/>
          <w:lang w:eastAsia="zh-CN"/>
        </w:rPr>
        <w:t xml:space="preserve"> 2002; </w:t>
      </w:r>
      <w:r w:rsidRPr="00C40A8B">
        <w:rPr>
          <w:rFonts w:ascii="Book Antiqua" w:hAnsi="Book Antiqua" w:cs="宋体"/>
          <w:b/>
          <w:bCs/>
          <w:kern w:val="0"/>
          <w:lang w:eastAsia="zh-CN"/>
        </w:rPr>
        <w:t>52</w:t>
      </w:r>
      <w:r w:rsidRPr="00C40A8B">
        <w:rPr>
          <w:rFonts w:ascii="Book Antiqua" w:hAnsi="Book Antiqua" w:cs="宋体"/>
          <w:kern w:val="0"/>
          <w:lang w:eastAsia="zh-CN"/>
        </w:rPr>
        <w:t>: 29-33 [PMID: 11801262]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118 </w:t>
      </w:r>
      <w:r w:rsidRPr="00C40A8B">
        <w:rPr>
          <w:rFonts w:ascii="Book Antiqua" w:hAnsi="Book Antiqua" w:cs="宋体"/>
          <w:b/>
          <w:bCs/>
          <w:kern w:val="0"/>
          <w:lang w:eastAsia="zh-CN"/>
        </w:rPr>
        <w:t>Mommersteeg PM</w:t>
      </w:r>
      <w:r w:rsidRPr="00C40A8B">
        <w:rPr>
          <w:rFonts w:ascii="Book Antiqua" w:hAnsi="Book Antiqua" w:cs="宋体"/>
          <w:kern w:val="0"/>
          <w:lang w:eastAsia="zh-CN"/>
        </w:rPr>
        <w:t xml:space="preserve">, Pelle AJ, Ramakers C, Szabó BM, Denollet J, Kupper N. Type D personality and course of health status over 18 months in outpatients with heart failure: multiple mediating inflammatory biomarkers. </w:t>
      </w:r>
      <w:r w:rsidRPr="00C40A8B">
        <w:rPr>
          <w:rFonts w:ascii="Book Antiqua" w:hAnsi="Book Antiqua" w:cs="宋体"/>
          <w:i/>
          <w:iCs/>
          <w:kern w:val="0"/>
          <w:lang w:eastAsia="zh-CN"/>
        </w:rPr>
        <w:t>Brain Behav Immun</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26</w:t>
      </w:r>
      <w:r w:rsidRPr="00C40A8B">
        <w:rPr>
          <w:rFonts w:ascii="Book Antiqua" w:hAnsi="Book Antiqua" w:cs="宋体"/>
          <w:kern w:val="0"/>
          <w:lang w:eastAsia="zh-CN"/>
        </w:rPr>
        <w:t>: 301-310 [PMID: 21983280 DOI: 10.1016/j.bbi.2011.09.010]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119 </w:t>
      </w:r>
      <w:r w:rsidRPr="00C40A8B">
        <w:rPr>
          <w:rFonts w:ascii="Book Antiqua" w:hAnsi="Book Antiqua" w:cs="宋体"/>
          <w:b/>
          <w:bCs/>
          <w:kern w:val="0"/>
          <w:lang w:eastAsia="zh-CN"/>
        </w:rPr>
        <w:t>Heinrich UR</w:t>
      </w:r>
      <w:r w:rsidRPr="00C40A8B">
        <w:rPr>
          <w:rFonts w:ascii="Book Antiqua" w:hAnsi="Book Antiqua" w:cs="宋体"/>
          <w:kern w:val="0"/>
          <w:lang w:eastAsia="zh-CN"/>
        </w:rPr>
        <w:t xml:space="preserve">, Helling K. Nitric oxide--a versatile key player in cochlear function and hearing disorders. </w:t>
      </w:r>
      <w:r w:rsidRPr="00C40A8B">
        <w:rPr>
          <w:rFonts w:ascii="Book Antiqua" w:hAnsi="Book Antiqua" w:cs="宋体"/>
          <w:i/>
          <w:iCs/>
          <w:kern w:val="0"/>
          <w:lang w:eastAsia="zh-CN"/>
        </w:rPr>
        <w:t>Nitric Oxide</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27</w:t>
      </w:r>
      <w:r w:rsidRPr="00C40A8B">
        <w:rPr>
          <w:rFonts w:ascii="Book Antiqua" w:hAnsi="Book Antiqua" w:cs="宋体"/>
          <w:kern w:val="0"/>
          <w:lang w:eastAsia="zh-CN"/>
        </w:rPr>
        <w:t>: 106-116 [PMID: 22659013 DOI: 10.1016/j.niox.2012.05.005]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120 </w:t>
      </w:r>
      <w:r w:rsidRPr="00C40A8B">
        <w:rPr>
          <w:rFonts w:ascii="Book Antiqua" w:hAnsi="Book Antiqua" w:cs="宋体"/>
          <w:b/>
          <w:bCs/>
          <w:kern w:val="0"/>
          <w:lang w:eastAsia="zh-CN"/>
        </w:rPr>
        <w:t>Kerr PM</w:t>
      </w:r>
      <w:r w:rsidRPr="00C40A8B">
        <w:rPr>
          <w:rFonts w:ascii="Book Antiqua" w:hAnsi="Book Antiqua" w:cs="宋体"/>
          <w:kern w:val="0"/>
          <w:lang w:eastAsia="zh-CN"/>
        </w:rPr>
        <w:t xml:space="preserve">, Tam R, Narang D, Potts K, McMillan D, McMillan K, Plane F. Endothelial calcium-activated potassium channels as therapeutic targets to enhance availability of nitric oxide. </w:t>
      </w:r>
      <w:r w:rsidRPr="00C40A8B">
        <w:rPr>
          <w:rFonts w:ascii="Book Antiqua" w:hAnsi="Book Antiqua" w:cs="宋体"/>
          <w:i/>
          <w:iCs/>
          <w:kern w:val="0"/>
          <w:lang w:eastAsia="zh-CN"/>
        </w:rPr>
        <w:t>Can J Physiol Pharmacol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90</w:t>
      </w:r>
      <w:r w:rsidRPr="00C40A8B">
        <w:rPr>
          <w:rFonts w:ascii="Book Antiqua" w:hAnsi="Book Antiqua" w:cs="宋体"/>
          <w:kern w:val="0"/>
          <w:lang w:eastAsia="zh-CN"/>
        </w:rPr>
        <w:t>: 739-752 [PMID: 22626011 DOI: 10.1139/y2012-075]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121 </w:t>
      </w:r>
      <w:r w:rsidRPr="00C40A8B">
        <w:rPr>
          <w:rFonts w:ascii="Book Antiqua" w:hAnsi="Book Antiqua" w:cs="宋体"/>
          <w:b/>
          <w:bCs/>
          <w:kern w:val="0"/>
          <w:lang w:eastAsia="zh-CN"/>
        </w:rPr>
        <w:t>Keynes RG</w:t>
      </w:r>
      <w:r w:rsidRPr="00C40A8B">
        <w:rPr>
          <w:rFonts w:ascii="Book Antiqua" w:hAnsi="Book Antiqua" w:cs="宋体"/>
          <w:kern w:val="0"/>
          <w:lang w:eastAsia="zh-CN"/>
        </w:rPr>
        <w:t xml:space="preserve">, Garthwaite J. Nitric oxide and its role in ischaemic brain injury. </w:t>
      </w:r>
      <w:r w:rsidRPr="00C40A8B">
        <w:rPr>
          <w:rFonts w:ascii="Book Antiqua" w:hAnsi="Book Antiqua" w:cs="宋体"/>
          <w:i/>
          <w:iCs/>
          <w:kern w:val="0"/>
          <w:lang w:eastAsia="zh-CN"/>
        </w:rPr>
        <w:t>Curr Mol Med</w:t>
      </w:r>
      <w:r w:rsidRPr="00C40A8B">
        <w:rPr>
          <w:rFonts w:ascii="Book Antiqua" w:hAnsi="Book Antiqua" w:cs="宋体"/>
          <w:kern w:val="0"/>
          <w:lang w:eastAsia="zh-CN"/>
        </w:rPr>
        <w:t xml:space="preserve"> 2004; </w:t>
      </w:r>
      <w:r w:rsidRPr="00C40A8B">
        <w:rPr>
          <w:rFonts w:ascii="Book Antiqua" w:hAnsi="Book Antiqua" w:cs="宋体"/>
          <w:b/>
          <w:bCs/>
          <w:kern w:val="0"/>
          <w:lang w:eastAsia="zh-CN"/>
        </w:rPr>
        <w:t>4</w:t>
      </w:r>
      <w:r w:rsidRPr="00C40A8B">
        <w:rPr>
          <w:rFonts w:ascii="Book Antiqua" w:hAnsi="Book Antiqua" w:cs="宋体"/>
          <w:kern w:val="0"/>
          <w:lang w:eastAsia="zh-CN"/>
        </w:rPr>
        <w:t>: 179-191 [PMID: 15032712]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122 </w:t>
      </w:r>
      <w:r w:rsidRPr="00C40A8B">
        <w:rPr>
          <w:rFonts w:ascii="Book Antiqua" w:hAnsi="Book Antiqua" w:cs="宋体"/>
          <w:b/>
          <w:bCs/>
          <w:kern w:val="0"/>
          <w:lang w:eastAsia="zh-CN"/>
        </w:rPr>
        <w:t>Zhao HB</w:t>
      </w:r>
      <w:r w:rsidRPr="00C40A8B">
        <w:rPr>
          <w:rFonts w:ascii="Book Antiqua" w:hAnsi="Book Antiqua" w:cs="宋体"/>
          <w:kern w:val="0"/>
          <w:lang w:eastAsia="zh-CN"/>
        </w:rPr>
        <w:t xml:space="preserve">, Kikuchi T, Ngezahayo A, White TW. Gap junctions and cochlear homeostasis. </w:t>
      </w:r>
      <w:r w:rsidRPr="00C40A8B">
        <w:rPr>
          <w:rFonts w:ascii="Book Antiqua" w:hAnsi="Book Antiqua" w:cs="宋体"/>
          <w:i/>
          <w:iCs/>
          <w:kern w:val="0"/>
          <w:lang w:eastAsia="zh-CN"/>
        </w:rPr>
        <w:t>J Membr Biol</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209</w:t>
      </w:r>
      <w:r w:rsidRPr="00C40A8B">
        <w:rPr>
          <w:rFonts w:ascii="Book Antiqua" w:hAnsi="Book Antiqua" w:cs="宋体"/>
          <w:kern w:val="0"/>
          <w:lang w:eastAsia="zh-CN"/>
        </w:rPr>
        <w:t>: 177-186 [PMID: 16773501 DOI: 10.1007/s00232-005-0832-x]</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123 </w:t>
      </w:r>
      <w:r w:rsidRPr="00C40A8B">
        <w:rPr>
          <w:rFonts w:ascii="Book Antiqua" w:hAnsi="Book Antiqua" w:cs="宋体"/>
          <w:b/>
          <w:bCs/>
          <w:kern w:val="0"/>
          <w:lang w:eastAsia="zh-CN"/>
        </w:rPr>
        <w:t>Kikuchi T</w:t>
      </w:r>
      <w:r w:rsidRPr="00C40A8B">
        <w:rPr>
          <w:rFonts w:ascii="Book Antiqua" w:hAnsi="Book Antiqua" w:cs="宋体"/>
          <w:kern w:val="0"/>
          <w:lang w:eastAsia="zh-CN"/>
        </w:rPr>
        <w:t xml:space="preserve">, Kimura RS, Paul DL, Adams JC. Gap junctions in the rat cochlea: immunohistochemical and ultrastructural analysis. </w:t>
      </w:r>
      <w:r w:rsidRPr="00C40A8B">
        <w:rPr>
          <w:rFonts w:ascii="Book Antiqua" w:hAnsi="Book Antiqua" w:cs="宋体"/>
          <w:i/>
          <w:iCs/>
          <w:kern w:val="0"/>
          <w:lang w:eastAsia="zh-CN"/>
        </w:rPr>
        <w:t>Anat Embryol (Berl)</w:t>
      </w:r>
      <w:r w:rsidRPr="00C40A8B">
        <w:rPr>
          <w:rFonts w:ascii="Book Antiqua" w:hAnsi="Book Antiqua" w:cs="宋体"/>
          <w:kern w:val="0"/>
          <w:lang w:eastAsia="zh-CN"/>
        </w:rPr>
        <w:t xml:space="preserve"> 1995; </w:t>
      </w:r>
      <w:r w:rsidRPr="00C40A8B">
        <w:rPr>
          <w:rFonts w:ascii="Book Antiqua" w:hAnsi="Book Antiqua" w:cs="宋体"/>
          <w:b/>
          <w:bCs/>
          <w:kern w:val="0"/>
          <w:lang w:eastAsia="zh-CN"/>
        </w:rPr>
        <w:t>191</w:t>
      </w:r>
      <w:r w:rsidRPr="00C40A8B">
        <w:rPr>
          <w:rFonts w:ascii="Book Antiqua" w:hAnsi="Book Antiqua" w:cs="宋体"/>
          <w:kern w:val="0"/>
          <w:lang w:eastAsia="zh-CN"/>
        </w:rPr>
        <w:t>: 101-118 [PMID: 7726389]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124 </w:t>
      </w:r>
      <w:r w:rsidRPr="00C40A8B">
        <w:rPr>
          <w:rFonts w:ascii="Book Antiqua" w:hAnsi="Book Antiqua" w:cs="宋体"/>
          <w:b/>
          <w:bCs/>
          <w:kern w:val="0"/>
          <w:lang w:eastAsia="zh-CN"/>
        </w:rPr>
        <w:t>Spicer SS</w:t>
      </w:r>
      <w:r w:rsidRPr="00C40A8B">
        <w:rPr>
          <w:rFonts w:ascii="Book Antiqua" w:hAnsi="Book Antiqua" w:cs="宋体"/>
          <w:kern w:val="0"/>
          <w:lang w:eastAsia="zh-CN"/>
        </w:rPr>
        <w:t xml:space="preserve">, Schulte BA. Differentiation of inner ear fibrocytes according to their ion transport related activity. </w:t>
      </w:r>
      <w:r w:rsidRPr="00C40A8B">
        <w:rPr>
          <w:rFonts w:ascii="Book Antiqua" w:hAnsi="Book Antiqua" w:cs="宋体"/>
          <w:i/>
          <w:iCs/>
          <w:kern w:val="0"/>
          <w:lang w:eastAsia="zh-CN"/>
        </w:rPr>
        <w:t>Hear Res</w:t>
      </w:r>
      <w:r w:rsidRPr="00C40A8B">
        <w:rPr>
          <w:rFonts w:ascii="Book Antiqua" w:hAnsi="Book Antiqua" w:cs="宋体"/>
          <w:kern w:val="0"/>
          <w:lang w:eastAsia="zh-CN"/>
        </w:rPr>
        <w:t xml:space="preserve"> 1991; </w:t>
      </w:r>
      <w:r w:rsidRPr="00C40A8B">
        <w:rPr>
          <w:rFonts w:ascii="Book Antiqua" w:hAnsi="Book Antiqua" w:cs="宋体"/>
          <w:b/>
          <w:bCs/>
          <w:kern w:val="0"/>
          <w:lang w:eastAsia="zh-CN"/>
        </w:rPr>
        <w:t>56</w:t>
      </w:r>
      <w:r w:rsidRPr="00C40A8B">
        <w:rPr>
          <w:rFonts w:ascii="Book Antiqua" w:hAnsi="Book Antiqua" w:cs="宋体"/>
          <w:kern w:val="0"/>
          <w:lang w:eastAsia="zh-CN"/>
        </w:rPr>
        <w:t>: 53-64 [PMID: 1663106]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125 </w:t>
      </w:r>
      <w:r w:rsidRPr="00C40A8B">
        <w:rPr>
          <w:rFonts w:ascii="Book Antiqua" w:hAnsi="Book Antiqua" w:cs="宋体"/>
          <w:b/>
          <w:bCs/>
          <w:kern w:val="0"/>
          <w:lang w:eastAsia="zh-CN"/>
        </w:rPr>
        <w:t>Hirose K</w:t>
      </w:r>
      <w:r w:rsidRPr="00C40A8B">
        <w:rPr>
          <w:rFonts w:ascii="Book Antiqua" w:hAnsi="Book Antiqua" w:cs="宋体"/>
          <w:kern w:val="0"/>
          <w:lang w:eastAsia="zh-CN"/>
        </w:rPr>
        <w:t xml:space="preserve">, Liberman MC. Lateral wall histopathology and endocochlear potential in the noise-damaged mouse cochlea. </w:t>
      </w:r>
      <w:r w:rsidRPr="00C40A8B">
        <w:rPr>
          <w:rFonts w:ascii="Book Antiqua" w:hAnsi="Book Antiqua" w:cs="宋体"/>
          <w:i/>
          <w:iCs/>
          <w:kern w:val="0"/>
          <w:lang w:eastAsia="zh-CN"/>
        </w:rPr>
        <w:t>J Assoc Res Otolaryngol</w:t>
      </w:r>
      <w:r w:rsidRPr="00C40A8B">
        <w:rPr>
          <w:rFonts w:ascii="Book Antiqua" w:hAnsi="Book Antiqua" w:cs="宋体"/>
          <w:kern w:val="0"/>
          <w:lang w:eastAsia="zh-CN"/>
        </w:rPr>
        <w:t xml:space="preserve"> 2003; </w:t>
      </w:r>
      <w:r w:rsidRPr="00C40A8B">
        <w:rPr>
          <w:rFonts w:ascii="Book Antiqua" w:hAnsi="Book Antiqua" w:cs="宋体"/>
          <w:b/>
          <w:bCs/>
          <w:kern w:val="0"/>
          <w:lang w:eastAsia="zh-CN"/>
        </w:rPr>
        <w:t>4</w:t>
      </w:r>
      <w:r w:rsidRPr="00C40A8B">
        <w:rPr>
          <w:rFonts w:ascii="Book Antiqua" w:hAnsi="Book Antiqua" w:cs="宋体"/>
          <w:kern w:val="0"/>
          <w:lang w:eastAsia="zh-CN"/>
        </w:rPr>
        <w:t>: 339-352 [PMID: 14690052 DOI: 10.1007/s10162-002-3036-4]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126 </w:t>
      </w:r>
      <w:r w:rsidRPr="00C40A8B">
        <w:rPr>
          <w:rFonts w:ascii="Book Antiqua" w:hAnsi="Book Antiqua" w:cs="宋体"/>
          <w:b/>
          <w:bCs/>
          <w:kern w:val="0"/>
          <w:lang w:eastAsia="zh-CN"/>
        </w:rPr>
        <w:t>Kelly JJ</w:t>
      </w:r>
      <w:r w:rsidRPr="00C40A8B">
        <w:rPr>
          <w:rFonts w:ascii="Book Antiqua" w:hAnsi="Book Antiqua" w:cs="宋体"/>
          <w:kern w:val="0"/>
          <w:lang w:eastAsia="zh-CN"/>
        </w:rPr>
        <w:t xml:space="preserve">, Forge A, Jagger DJ. Development of gap junctional intercellular communication within the lateral wall of the rat cochlea. </w:t>
      </w:r>
      <w:r w:rsidRPr="00C40A8B">
        <w:rPr>
          <w:rFonts w:ascii="Book Antiqua" w:hAnsi="Book Antiqua" w:cs="宋体"/>
          <w:i/>
          <w:iCs/>
          <w:kern w:val="0"/>
          <w:lang w:eastAsia="zh-CN"/>
        </w:rPr>
        <w:t>Neuroscience</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180</w:t>
      </w:r>
      <w:r w:rsidRPr="00C40A8B">
        <w:rPr>
          <w:rFonts w:ascii="Book Antiqua" w:hAnsi="Book Antiqua" w:cs="宋体"/>
          <w:kern w:val="0"/>
          <w:lang w:eastAsia="zh-CN"/>
        </w:rPr>
        <w:t>: 360-369 [PMID: 21320575 DOI: 10.1016/j.neuroscience.2011.02.011]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127 </w:t>
      </w:r>
      <w:r w:rsidRPr="00C40A8B">
        <w:rPr>
          <w:rFonts w:ascii="Book Antiqua" w:hAnsi="Book Antiqua" w:cs="宋体"/>
          <w:b/>
          <w:bCs/>
          <w:kern w:val="0"/>
          <w:lang w:eastAsia="zh-CN"/>
        </w:rPr>
        <w:t>Suzuki T</w:t>
      </w:r>
      <w:r w:rsidRPr="00C40A8B">
        <w:rPr>
          <w:rFonts w:ascii="Book Antiqua" w:hAnsi="Book Antiqua" w:cs="宋体"/>
          <w:kern w:val="0"/>
          <w:lang w:eastAsia="zh-CN"/>
        </w:rPr>
        <w:t xml:space="preserve">, Matsunami T, Hisa Y, Takata K, Takamatsu T, Oyamada M. Roles of gap junctions in glucose transport from glucose transporter 1-positive to -negative cells in the lateral wall of the rat cochlea. </w:t>
      </w:r>
      <w:r w:rsidRPr="00C40A8B">
        <w:rPr>
          <w:rFonts w:ascii="Book Antiqua" w:hAnsi="Book Antiqua" w:cs="宋体"/>
          <w:i/>
          <w:iCs/>
          <w:kern w:val="0"/>
          <w:lang w:eastAsia="zh-CN"/>
        </w:rPr>
        <w:t>Histochem Cell Biol</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131</w:t>
      </w:r>
      <w:r w:rsidRPr="00C40A8B">
        <w:rPr>
          <w:rFonts w:ascii="Book Antiqua" w:hAnsi="Book Antiqua" w:cs="宋体"/>
          <w:kern w:val="0"/>
          <w:lang w:eastAsia="zh-CN"/>
        </w:rPr>
        <w:t>: 89-102 [PMID: 18787834 DOI: 10.1007/s00418-008-0502-z]</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128 </w:t>
      </w:r>
      <w:r w:rsidRPr="00C40A8B">
        <w:rPr>
          <w:rFonts w:ascii="Book Antiqua" w:hAnsi="Book Antiqua" w:cs="宋体"/>
          <w:b/>
          <w:bCs/>
          <w:kern w:val="0"/>
          <w:lang w:eastAsia="zh-CN"/>
        </w:rPr>
        <w:t>Kelly JJ</w:t>
      </w:r>
      <w:r w:rsidRPr="00C40A8B">
        <w:rPr>
          <w:rFonts w:ascii="Book Antiqua" w:hAnsi="Book Antiqua" w:cs="宋体"/>
          <w:kern w:val="0"/>
          <w:lang w:eastAsia="zh-CN"/>
        </w:rPr>
        <w:t xml:space="preserve">, Forge A, Jagger DJ. Contractility in type III cochlear fibrocytes is dependent on non-muscle myosin II and intercellular gap junctional coupling. </w:t>
      </w:r>
      <w:r w:rsidRPr="00C40A8B">
        <w:rPr>
          <w:rFonts w:ascii="Book Antiqua" w:hAnsi="Book Antiqua" w:cs="宋体"/>
          <w:i/>
          <w:iCs/>
          <w:kern w:val="0"/>
          <w:lang w:eastAsia="zh-CN"/>
        </w:rPr>
        <w:t>J Assoc Res Otolaryngol</w:t>
      </w:r>
      <w:r w:rsidRPr="00C40A8B">
        <w:rPr>
          <w:rFonts w:ascii="Book Antiqua" w:hAnsi="Book Antiqua" w:cs="宋体"/>
          <w:kern w:val="0"/>
          <w:lang w:eastAsia="zh-CN"/>
        </w:rPr>
        <w:t xml:space="preserve"> 2012; </w:t>
      </w:r>
      <w:r w:rsidRPr="00C40A8B">
        <w:rPr>
          <w:rFonts w:ascii="Book Antiqua" w:hAnsi="Book Antiqua" w:cs="宋体"/>
          <w:b/>
          <w:bCs/>
          <w:kern w:val="0"/>
          <w:lang w:eastAsia="zh-CN"/>
        </w:rPr>
        <w:t>13</w:t>
      </w:r>
      <w:r w:rsidRPr="00C40A8B">
        <w:rPr>
          <w:rFonts w:ascii="Book Antiqua" w:hAnsi="Book Antiqua" w:cs="宋体"/>
          <w:kern w:val="0"/>
          <w:lang w:eastAsia="zh-CN"/>
        </w:rPr>
        <w:t>: 473-484 [PMID: 22476723 DOI: 10.1007/s10162-012-0322-7]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129 </w:t>
      </w:r>
      <w:r w:rsidRPr="00C40A8B">
        <w:rPr>
          <w:rFonts w:ascii="Book Antiqua" w:hAnsi="Book Antiqua" w:cs="宋体"/>
          <w:b/>
          <w:bCs/>
          <w:kern w:val="0"/>
          <w:lang w:eastAsia="zh-CN"/>
        </w:rPr>
        <w:t>Hibino H</w:t>
      </w:r>
      <w:r w:rsidRPr="00C40A8B">
        <w:rPr>
          <w:rFonts w:ascii="Book Antiqua" w:hAnsi="Book Antiqua" w:cs="宋体"/>
          <w:kern w:val="0"/>
          <w:lang w:eastAsia="zh-CN"/>
        </w:rPr>
        <w:t xml:space="preserve">, Nin F, Tsuzuki C, Kurachi Y. How is the highly positive endocochlear potential formed? The specific architecture of the stria vascularis and the roles of the ion-transport apparatus. </w:t>
      </w:r>
      <w:r w:rsidRPr="00C40A8B">
        <w:rPr>
          <w:rFonts w:ascii="Book Antiqua" w:hAnsi="Book Antiqua" w:cs="宋体"/>
          <w:i/>
          <w:iCs/>
          <w:kern w:val="0"/>
          <w:lang w:eastAsia="zh-CN"/>
        </w:rPr>
        <w:t>Pflugers Arch</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459</w:t>
      </w:r>
      <w:r w:rsidRPr="00C40A8B">
        <w:rPr>
          <w:rFonts w:ascii="Book Antiqua" w:hAnsi="Book Antiqua" w:cs="宋体"/>
          <w:kern w:val="0"/>
          <w:lang w:eastAsia="zh-CN"/>
        </w:rPr>
        <w:t>: 521-533 [PMID: 20012478 DOI: 10.1007/s00424-009-0754-z]</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130 </w:t>
      </w:r>
      <w:r w:rsidRPr="00C40A8B">
        <w:rPr>
          <w:rFonts w:ascii="Book Antiqua" w:hAnsi="Book Antiqua" w:cs="宋体"/>
          <w:b/>
          <w:bCs/>
          <w:kern w:val="0"/>
          <w:lang w:eastAsia="zh-CN"/>
        </w:rPr>
        <w:t>Hequembourg S</w:t>
      </w:r>
      <w:r w:rsidRPr="00C40A8B">
        <w:rPr>
          <w:rFonts w:ascii="Book Antiqua" w:hAnsi="Book Antiqua" w:cs="宋体"/>
          <w:kern w:val="0"/>
          <w:lang w:eastAsia="zh-CN"/>
        </w:rPr>
        <w:t xml:space="preserve">, Liberman MC. Spiral ligament pathology: a major aspect of age-related cochlear degeneration in C57BL/6 mice. </w:t>
      </w:r>
      <w:r w:rsidRPr="00C40A8B">
        <w:rPr>
          <w:rFonts w:ascii="Book Antiqua" w:hAnsi="Book Antiqua" w:cs="宋体"/>
          <w:i/>
          <w:iCs/>
          <w:kern w:val="0"/>
          <w:lang w:eastAsia="zh-CN"/>
        </w:rPr>
        <w:t>J Assoc Res Otolaryngol</w:t>
      </w:r>
      <w:r w:rsidRPr="00C40A8B">
        <w:rPr>
          <w:rFonts w:ascii="Book Antiqua" w:hAnsi="Book Antiqua" w:cs="宋体"/>
          <w:kern w:val="0"/>
          <w:lang w:eastAsia="zh-CN"/>
        </w:rPr>
        <w:t xml:space="preserve"> 2001; </w:t>
      </w:r>
      <w:r w:rsidRPr="00C40A8B">
        <w:rPr>
          <w:rFonts w:ascii="Book Antiqua" w:hAnsi="Book Antiqua" w:cs="宋体"/>
          <w:b/>
          <w:bCs/>
          <w:kern w:val="0"/>
          <w:lang w:eastAsia="zh-CN"/>
        </w:rPr>
        <w:t>2</w:t>
      </w:r>
      <w:r w:rsidRPr="00C40A8B">
        <w:rPr>
          <w:rFonts w:ascii="Book Antiqua" w:hAnsi="Book Antiqua" w:cs="宋体"/>
          <w:kern w:val="0"/>
          <w:lang w:eastAsia="zh-CN"/>
        </w:rPr>
        <w:t>: 118-129 [PMID: 11550522]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131 </w:t>
      </w:r>
      <w:r w:rsidRPr="00C40A8B">
        <w:rPr>
          <w:rFonts w:ascii="Book Antiqua" w:hAnsi="Book Antiqua" w:cs="宋体"/>
          <w:b/>
          <w:bCs/>
          <w:kern w:val="0"/>
          <w:lang w:eastAsia="zh-CN"/>
        </w:rPr>
        <w:t>Hoya N</w:t>
      </w:r>
      <w:r w:rsidRPr="00C40A8B">
        <w:rPr>
          <w:rFonts w:ascii="Book Antiqua" w:hAnsi="Book Antiqua" w:cs="宋体"/>
          <w:kern w:val="0"/>
          <w:lang w:eastAsia="zh-CN"/>
        </w:rPr>
        <w:t xml:space="preserve">, Okamoto Y, Kamiya K, Fujii M, Matsunaga T. A novel animal model of acute cochlear mitochondrial dysfunction. </w:t>
      </w:r>
      <w:r w:rsidRPr="00C40A8B">
        <w:rPr>
          <w:rFonts w:ascii="Book Antiqua" w:hAnsi="Book Antiqua" w:cs="宋体"/>
          <w:i/>
          <w:iCs/>
          <w:kern w:val="0"/>
          <w:lang w:eastAsia="zh-CN"/>
        </w:rPr>
        <w:t>Neuroreport</w:t>
      </w:r>
      <w:r w:rsidRPr="00C40A8B">
        <w:rPr>
          <w:rFonts w:ascii="Book Antiqua" w:hAnsi="Book Antiqua" w:cs="宋体"/>
          <w:kern w:val="0"/>
          <w:lang w:eastAsia="zh-CN"/>
        </w:rPr>
        <w:t xml:space="preserve"> 2004; </w:t>
      </w:r>
      <w:r w:rsidRPr="00C40A8B">
        <w:rPr>
          <w:rFonts w:ascii="Book Antiqua" w:hAnsi="Book Antiqua" w:cs="宋体"/>
          <w:b/>
          <w:bCs/>
          <w:kern w:val="0"/>
          <w:lang w:eastAsia="zh-CN"/>
        </w:rPr>
        <w:t>15</w:t>
      </w:r>
      <w:r w:rsidRPr="00C40A8B">
        <w:rPr>
          <w:rFonts w:ascii="Book Antiqua" w:hAnsi="Book Antiqua" w:cs="宋体"/>
          <w:kern w:val="0"/>
          <w:lang w:eastAsia="zh-CN"/>
        </w:rPr>
        <w:t>: 1597-1600 [PMID: 15232290]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132 </w:t>
      </w:r>
      <w:r w:rsidRPr="00C40A8B">
        <w:rPr>
          <w:rFonts w:ascii="Book Antiqua" w:hAnsi="Book Antiqua" w:cs="宋体"/>
          <w:b/>
          <w:bCs/>
          <w:kern w:val="0"/>
          <w:lang w:eastAsia="zh-CN"/>
        </w:rPr>
        <w:t>Mizutari K</w:t>
      </w:r>
      <w:r w:rsidRPr="00C40A8B">
        <w:rPr>
          <w:rFonts w:ascii="Book Antiqua" w:hAnsi="Book Antiqua" w:cs="宋体"/>
          <w:kern w:val="0"/>
          <w:lang w:eastAsia="zh-CN"/>
        </w:rPr>
        <w:t xml:space="preserve">, Matsunaga T, Kamiya K, Fujinami Y, Fujii M, Ogawa K. Caspase inhibitor facilitates recovery of hearing by protecting the cochlear lateral wall from acute cochlear mitochondrial dysfunction. </w:t>
      </w:r>
      <w:r w:rsidRPr="00C40A8B">
        <w:rPr>
          <w:rFonts w:ascii="Book Antiqua" w:hAnsi="Book Antiqua" w:cs="宋体"/>
          <w:i/>
          <w:iCs/>
          <w:kern w:val="0"/>
          <w:lang w:eastAsia="zh-CN"/>
        </w:rPr>
        <w:t>J Neurosci Res</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86</w:t>
      </w:r>
      <w:r w:rsidRPr="00C40A8B">
        <w:rPr>
          <w:rFonts w:ascii="Book Antiqua" w:hAnsi="Book Antiqua" w:cs="宋体"/>
          <w:kern w:val="0"/>
          <w:lang w:eastAsia="zh-CN"/>
        </w:rPr>
        <w:t>: 215-222 [PMID: 17722114 DOI: 10.1002/jnr.21470]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133 </w:t>
      </w:r>
      <w:r w:rsidRPr="00C40A8B">
        <w:rPr>
          <w:rFonts w:ascii="Book Antiqua" w:hAnsi="Book Antiqua" w:cs="宋体"/>
          <w:b/>
          <w:bCs/>
          <w:kern w:val="0"/>
          <w:lang w:eastAsia="zh-CN"/>
        </w:rPr>
        <w:t>Okamoto Y</w:t>
      </w:r>
      <w:r w:rsidRPr="00C40A8B">
        <w:rPr>
          <w:rFonts w:ascii="Book Antiqua" w:hAnsi="Book Antiqua" w:cs="宋体"/>
          <w:kern w:val="0"/>
          <w:lang w:eastAsia="zh-CN"/>
        </w:rPr>
        <w:t xml:space="preserve">, Hoya N, Kamiya K, Fujii M, Ogawa K, Matsunaga T. Permanent threshold shift caused by acute cochlear mitochondrial dysfunction is primarily mediated by degeneration of the lateral wall of the cochlea. </w:t>
      </w:r>
      <w:r w:rsidRPr="00C40A8B">
        <w:rPr>
          <w:rFonts w:ascii="Book Antiqua" w:hAnsi="Book Antiqua" w:cs="宋体"/>
          <w:i/>
          <w:iCs/>
          <w:kern w:val="0"/>
          <w:lang w:eastAsia="zh-CN"/>
        </w:rPr>
        <w:t>Audiol Neurootol</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10</w:t>
      </w:r>
      <w:r w:rsidRPr="00C40A8B">
        <w:rPr>
          <w:rFonts w:ascii="Book Antiqua" w:hAnsi="Book Antiqua" w:cs="宋体"/>
          <w:kern w:val="0"/>
          <w:lang w:eastAsia="zh-CN"/>
        </w:rPr>
        <w:t>: 220-233 [PMID: 15809501 DOI: 10.1159/000084843]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134 </w:t>
      </w:r>
      <w:r w:rsidRPr="00C40A8B">
        <w:rPr>
          <w:rFonts w:ascii="Book Antiqua" w:hAnsi="Book Antiqua" w:cs="宋体"/>
          <w:b/>
          <w:bCs/>
          <w:kern w:val="0"/>
          <w:lang w:eastAsia="zh-CN"/>
        </w:rPr>
        <w:t>Wang Y</w:t>
      </w:r>
      <w:r w:rsidRPr="00C40A8B">
        <w:rPr>
          <w:rFonts w:ascii="Book Antiqua" w:hAnsi="Book Antiqua" w:cs="宋体"/>
          <w:kern w:val="0"/>
          <w:lang w:eastAsia="zh-CN"/>
        </w:rPr>
        <w:t xml:space="preserve">, Hirose K, Liberman MC. Dynamics of noise-induced cellular injury and repair in the mouse cochlea. </w:t>
      </w:r>
      <w:r w:rsidRPr="00C40A8B">
        <w:rPr>
          <w:rFonts w:ascii="Book Antiqua" w:hAnsi="Book Antiqua" w:cs="宋体"/>
          <w:i/>
          <w:iCs/>
          <w:kern w:val="0"/>
          <w:lang w:eastAsia="zh-CN"/>
        </w:rPr>
        <w:t>J Assoc Res Otolaryngol</w:t>
      </w:r>
      <w:r w:rsidRPr="00C40A8B">
        <w:rPr>
          <w:rFonts w:ascii="Book Antiqua" w:hAnsi="Book Antiqua" w:cs="宋体"/>
          <w:kern w:val="0"/>
          <w:lang w:eastAsia="zh-CN"/>
        </w:rPr>
        <w:t xml:space="preserve"> 2002; </w:t>
      </w:r>
      <w:r w:rsidRPr="00C40A8B">
        <w:rPr>
          <w:rFonts w:ascii="Book Antiqua" w:hAnsi="Book Antiqua" w:cs="宋体"/>
          <w:b/>
          <w:bCs/>
          <w:kern w:val="0"/>
          <w:lang w:eastAsia="zh-CN"/>
        </w:rPr>
        <w:t>3</w:t>
      </w:r>
      <w:r w:rsidRPr="00C40A8B">
        <w:rPr>
          <w:rFonts w:ascii="Book Antiqua" w:hAnsi="Book Antiqua" w:cs="宋体"/>
          <w:kern w:val="0"/>
          <w:lang w:eastAsia="zh-CN"/>
        </w:rPr>
        <w:t>: 248-268 [PMID: 12382101 DOI: 10.1007/s101620020028]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135 </w:t>
      </w:r>
      <w:r w:rsidRPr="00C40A8B">
        <w:rPr>
          <w:rFonts w:ascii="Book Antiqua" w:hAnsi="Book Antiqua" w:cs="宋体"/>
          <w:b/>
          <w:bCs/>
          <w:kern w:val="0"/>
          <w:lang w:eastAsia="zh-CN"/>
        </w:rPr>
        <w:t>Adams JC</w:t>
      </w:r>
      <w:r w:rsidRPr="00C40A8B">
        <w:rPr>
          <w:rFonts w:ascii="Book Antiqua" w:hAnsi="Book Antiqua" w:cs="宋体"/>
          <w:kern w:val="0"/>
          <w:lang w:eastAsia="zh-CN"/>
        </w:rPr>
        <w:t xml:space="preserve">, Seed B, Lu N, Landry A, Xavier RJ. Selective activation of nuclear factor kappa B in the cochlea by sensory and inflammatory stress. </w:t>
      </w:r>
      <w:r w:rsidRPr="00C40A8B">
        <w:rPr>
          <w:rFonts w:ascii="Book Antiqua" w:hAnsi="Book Antiqua" w:cs="宋体"/>
          <w:i/>
          <w:iCs/>
          <w:kern w:val="0"/>
          <w:lang w:eastAsia="zh-CN"/>
        </w:rPr>
        <w:t>Neuroscience</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160</w:t>
      </w:r>
      <w:r w:rsidRPr="00C40A8B">
        <w:rPr>
          <w:rFonts w:ascii="Book Antiqua" w:hAnsi="Book Antiqua" w:cs="宋体"/>
          <w:kern w:val="0"/>
          <w:lang w:eastAsia="zh-CN"/>
        </w:rPr>
        <w:t>: 530-539 [PMID: 19285117 DOI: S0306-4522(09)00269-3]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136 </w:t>
      </w:r>
      <w:r w:rsidRPr="00C40A8B">
        <w:rPr>
          <w:rFonts w:ascii="Book Antiqua" w:hAnsi="Book Antiqua" w:cs="宋体"/>
          <w:b/>
          <w:bCs/>
          <w:kern w:val="0"/>
          <w:lang w:eastAsia="zh-CN"/>
        </w:rPr>
        <w:t>Yamamoto H</w:t>
      </w:r>
      <w:r w:rsidRPr="00C40A8B">
        <w:rPr>
          <w:rFonts w:ascii="Book Antiqua" w:hAnsi="Book Antiqua" w:cs="宋体"/>
          <w:kern w:val="0"/>
          <w:lang w:eastAsia="zh-CN"/>
        </w:rPr>
        <w:t xml:space="preserve">, Omelchenko I, Shi X, Nuttall AL. The influence of NF-kappaB signal-transduction pathways on the murine inner ear by acoustic overstimulation. </w:t>
      </w:r>
      <w:r w:rsidRPr="00C40A8B">
        <w:rPr>
          <w:rFonts w:ascii="Book Antiqua" w:hAnsi="Book Antiqua" w:cs="宋体"/>
          <w:i/>
          <w:iCs/>
          <w:kern w:val="0"/>
          <w:lang w:eastAsia="zh-CN"/>
        </w:rPr>
        <w:t>J Neurosci Res</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87</w:t>
      </w:r>
      <w:r w:rsidRPr="00C40A8B">
        <w:rPr>
          <w:rFonts w:ascii="Book Antiqua" w:hAnsi="Book Antiqua" w:cs="宋体"/>
          <w:kern w:val="0"/>
          <w:lang w:eastAsia="zh-CN"/>
        </w:rPr>
        <w:t>: 1832-1840 [PMID: 19185019 DOI: 10.1002/jnr.22018]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137 </w:t>
      </w:r>
      <w:r w:rsidRPr="00C40A8B">
        <w:rPr>
          <w:rFonts w:ascii="Book Antiqua" w:hAnsi="Book Antiqua" w:cs="宋体"/>
          <w:b/>
          <w:bCs/>
          <w:kern w:val="0"/>
          <w:lang w:eastAsia="zh-CN"/>
        </w:rPr>
        <w:t>Miyao M</w:t>
      </w:r>
      <w:r w:rsidRPr="00C40A8B">
        <w:rPr>
          <w:rFonts w:ascii="Book Antiqua" w:hAnsi="Book Antiqua" w:cs="宋体"/>
          <w:kern w:val="0"/>
          <w:lang w:eastAsia="zh-CN"/>
        </w:rPr>
        <w:t xml:space="preserve">, Firestein GS, Keithley EM. Acoustic trauma augments the cochlear immune response to antigen.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118</w:t>
      </w:r>
      <w:r w:rsidRPr="00C40A8B">
        <w:rPr>
          <w:rFonts w:ascii="Book Antiqua" w:hAnsi="Book Antiqua" w:cs="宋体"/>
          <w:kern w:val="0"/>
          <w:lang w:eastAsia="zh-CN"/>
        </w:rPr>
        <w:t>: 1801-1808 [PMID: 18806477 DOI: 10.1097/MLG.0b013e31817e2c27]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138 </w:t>
      </w:r>
      <w:r w:rsidRPr="00C40A8B">
        <w:rPr>
          <w:rFonts w:ascii="Book Antiqua" w:hAnsi="Book Antiqua" w:cs="宋体"/>
          <w:b/>
          <w:bCs/>
          <w:kern w:val="0"/>
          <w:lang w:eastAsia="zh-CN"/>
        </w:rPr>
        <w:t>Masuda M</w:t>
      </w:r>
      <w:r w:rsidRPr="00C40A8B">
        <w:rPr>
          <w:rFonts w:ascii="Book Antiqua" w:hAnsi="Book Antiqua" w:cs="宋体"/>
          <w:kern w:val="0"/>
          <w:lang w:eastAsia="zh-CN"/>
        </w:rPr>
        <w:t xml:space="preserve">, Nagashima R, Kanzaki S, Fujioka M, Ogita K, Ogawa K. Nuclear factor-kappa B nuclear translocation in the cochlea of mice following acoustic overstimulation. </w:t>
      </w:r>
      <w:r w:rsidRPr="00C40A8B">
        <w:rPr>
          <w:rFonts w:ascii="Book Antiqua" w:hAnsi="Book Antiqua" w:cs="宋体"/>
          <w:i/>
          <w:iCs/>
          <w:kern w:val="0"/>
          <w:lang w:eastAsia="zh-CN"/>
        </w:rPr>
        <w:t>Brain Res</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1068</w:t>
      </w:r>
      <w:r w:rsidRPr="00C40A8B">
        <w:rPr>
          <w:rFonts w:ascii="Book Antiqua" w:hAnsi="Book Antiqua" w:cs="宋体"/>
          <w:kern w:val="0"/>
          <w:lang w:eastAsia="zh-CN"/>
        </w:rPr>
        <w:t>: 237-247 [PMID: 16376312 DOI: S0006-8993(05)01570-2]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139 </w:t>
      </w:r>
      <w:r w:rsidRPr="00C40A8B">
        <w:rPr>
          <w:rFonts w:ascii="Book Antiqua" w:hAnsi="Book Antiqua" w:cs="宋体"/>
          <w:b/>
          <w:bCs/>
          <w:kern w:val="0"/>
          <w:lang w:eastAsia="zh-CN"/>
        </w:rPr>
        <w:t>So H</w:t>
      </w:r>
      <w:r w:rsidRPr="00C40A8B">
        <w:rPr>
          <w:rFonts w:ascii="Book Antiqua" w:hAnsi="Book Antiqua" w:cs="宋体"/>
          <w:kern w:val="0"/>
          <w:lang w:eastAsia="zh-CN"/>
        </w:rPr>
        <w:t xml:space="preserve">, Kim H, Lee JH, Park C, Kim Y, Kim E, Kim JK, Yun KJ, Lee KM, Lee HY, Moon SK, Lim DJ, Park R. Cisplatin cytotoxicity of auditory cells requires </w:t>
      </w:r>
      <w:r w:rsidRPr="00C40A8B">
        <w:rPr>
          <w:rFonts w:ascii="Book Antiqua" w:hAnsi="Book Antiqua" w:cs="宋体"/>
          <w:kern w:val="0"/>
          <w:lang w:eastAsia="zh-CN"/>
        </w:rPr>
        <w:lastRenderedPageBreak/>
        <w:t xml:space="preserve">secretions of proinflammatory cytokines via activation of ERK and NF-kappaB. </w:t>
      </w:r>
      <w:r w:rsidRPr="00C40A8B">
        <w:rPr>
          <w:rFonts w:ascii="Book Antiqua" w:hAnsi="Book Antiqua" w:cs="宋体"/>
          <w:i/>
          <w:iCs/>
          <w:kern w:val="0"/>
          <w:lang w:eastAsia="zh-CN"/>
        </w:rPr>
        <w:t>J Assoc Res Otolaryngol</w:t>
      </w:r>
      <w:r w:rsidRPr="00C40A8B">
        <w:rPr>
          <w:rFonts w:ascii="Book Antiqua" w:hAnsi="Book Antiqua" w:cs="宋体"/>
          <w:kern w:val="0"/>
          <w:lang w:eastAsia="zh-CN"/>
        </w:rPr>
        <w:t xml:space="preserve"> 2007; </w:t>
      </w:r>
      <w:r w:rsidRPr="00C40A8B">
        <w:rPr>
          <w:rFonts w:ascii="Book Antiqua" w:hAnsi="Book Antiqua" w:cs="宋体"/>
          <w:b/>
          <w:bCs/>
          <w:kern w:val="0"/>
          <w:lang w:eastAsia="zh-CN"/>
        </w:rPr>
        <w:t>8</w:t>
      </w:r>
      <w:r w:rsidRPr="00C40A8B">
        <w:rPr>
          <w:rFonts w:ascii="Book Antiqua" w:hAnsi="Book Antiqua" w:cs="宋体"/>
          <w:kern w:val="0"/>
          <w:lang w:eastAsia="zh-CN"/>
        </w:rPr>
        <w:t>: 338-355 [PMID: 17516123 DOI: 10.1007/s10162-007-0084-9]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140 </w:t>
      </w:r>
      <w:r w:rsidRPr="00C40A8B">
        <w:rPr>
          <w:rFonts w:ascii="Book Antiqua" w:hAnsi="Book Antiqua" w:cs="宋体"/>
          <w:b/>
          <w:bCs/>
          <w:kern w:val="0"/>
          <w:lang w:eastAsia="zh-CN"/>
        </w:rPr>
        <w:t>Fujioka M</w:t>
      </w:r>
      <w:r w:rsidRPr="00C40A8B">
        <w:rPr>
          <w:rFonts w:ascii="Book Antiqua" w:hAnsi="Book Antiqua" w:cs="宋体"/>
          <w:kern w:val="0"/>
          <w:lang w:eastAsia="zh-CN"/>
        </w:rPr>
        <w:t xml:space="preserve">, Kanzaki S, Okano HJ, Masuda M, Ogawa K, Okano H. Proinflammatory cytokines expression in noise-induced damaged cochlea. </w:t>
      </w:r>
      <w:r w:rsidRPr="00C40A8B">
        <w:rPr>
          <w:rFonts w:ascii="Book Antiqua" w:hAnsi="Book Antiqua" w:cs="宋体"/>
          <w:i/>
          <w:iCs/>
          <w:kern w:val="0"/>
          <w:lang w:eastAsia="zh-CN"/>
        </w:rPr>
        <w:t>J Neurosci Res</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83</w:t>
      </w:r>
      <w:r w:rsidRPr="00C40A8B">
        <w:rPr>
          <w:rFonts w:ascii="Book Antiqua" w:hAnsi="Book Antiqua" w:cs="宋体"/>
          <w:kern w:val="0"/>
          <w:lang w:eastAsia="zh-CN"/>
        </w:rPr>
        <w:t>: 575-583 [PMID: 16429448 DOI: 10.1002/jnr.20764]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141 </w:t>
      </w:r>
      <w:r w:rsidRPr="00C40A8B">
        <w:rPr>
          <w:rFonts w:ascii="Book Antiqua" w:hAnsi="Book Antiqua" w:cs="宋体"/>
          <w:b/>
          <w:bCs/>
          <w:kern w:val="0"/>
          <w:lang w:eastAsia="zh-CN"/>
        </w:rPr>
        <w:t>Rahman A</w:t>
      </w:r>
      <w:r w:rsidRPr="00C40A8B">
        <w:rPr>
          <w:rFonts w:ascii="Book Antiqua" w:hAnsi="Book Antiqua" w:cs="宋体"/>
          <w:kern w:val="0"/>
          <w:lang w:eastAsia="zh-CN"/>
        </w:rPr>
        <w:t xml:space="preserve">, Fazal F. Hug tightly and say goodbye: role of endothelial ICAM-1 in leukocyte transmigration. </w:t>
      </w:r>
      <w:r w:rsidRPr="00C40A8B">
        <w:rPr>
          <w:rFonts w:ascii="Book Antiqua" w:hAnsi="Book Antiqua" w:cs="宋体"/>
          <w:i/>
          <w:iCs/>
          <w:kern w:val="0"/>
          <w:lang w:eastAsia="zh-CN"/>
        </w:rPr>
        <w:t>Antioxid Redox Signal</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11</w:t>
      </w:r>
      <w:r w:rsidRPr="00C40A8B">
        <w:rPr>
          <w:rFonts w:ascii="Book Antiqua" w:hAnsi="Book Antiqua" w:cs="宋体"/>
          <w:kern w:val="0"/>
          <w:lang w:eastAsia="zh-CN"/>
        </w:rPr>
        <w:t>: 823-839 [PMID: 18808323 DOI: 10.1089/ARS.2008.2204]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142 </w:t>
      </w:r>
      <w:r w:rsidRPr="00C40A8B">
        <w:rPr>
          <w:rFonts w:ascii="Book Antiqua" w:hAnsi="Book Antiqua" w:cs="宋体"/>
          <w:b/>
          <w:bCs/>
          <w:kern w:val="0"/>
          <w:lang w:eastAsia="zh-CN"/>
        </w:rPr>
        <w:t>Wagner DD</w:t>
      </w:r>
      <w:r w:rsidRPr="00C40A8B">
        <w:rPr>
          <w:rFonts w:ascii="Book Antiqua" w:hAnsi="Book Antiqua" w:cs="宋体"/>
          <w:kern w:val="0"/>
          <w:lang w:eastAsia="zh-CN"/>
        </w:rPr>
        <w:t xml:space="preserve">, Frenette PS. The vessel wall and its interactions. </w:t>
      </w:r>
      <w:r w:rsidRPr="00C40A8B">
        <w:rPr>
          <w:rFonts w:ascii="Book Antiqua" w:hAnsi="Book Antiqua" w:cs="宋体"/>
          <w:i/>
          <w:iCs/>
          <w:kern w:val="0"/>
          <w:lang w:eastAsia="zh-CN"/>
        </w:rPr>
        <w:t>Blood</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111</w:t>
      </w:r>
      <w:r w:rsidRPr="00C40A8B">
        <w:rPr>
          <w:rFonts w:ascii="Book Antiqua" w:hAnsi="Book Antiqua" w:cs="宋体"/>
          <w:kern w:val="0"/>
          <w:lang w:eastAsia="zh-CN"/>
        </w:rPr>
        <w:t>: 5271-5281 [PMID: 18502843 DOI: 10.1182/blood-2008-01-078204]</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143 </w:t>
      </w:r>
      <w:r w:rsidRPr="00C40A8B">
        <w:rPr>
          <w:rFonts w:ascii="Book Antiqua" w:hAnsi="Book Antiqua" w:cs="宋体"/>
          <w:b/>
          <w:bCs/>
          <w:kern w:val="0"/>
          <w:lang w:eastAsia="zh-CN"/>
        </w:rPr>
        <w:t>Sumagin R</w:t>
      </w:r>
      <w:r w:rsidRPr="00C40A8B">
        <w:rPr>
          <w:rFonts w:ascii="Book Antiqua" w:hAnsi="Book Antiqua" w:cs="宋体"/>
          <w:kern w:val="0"/>
          <w:lang w:eastAsia="zh-CN"/>
        </w:rPr>
        <w:t xml:space="preserve">, Kuebel JM, Sarelius IH. Leukocyte rolling and adhesion both contribute to regulation of microvascular permeability to albumin via ligation of ICAM-1. </w:t>
      </w:r>
      <w:r w:rsidRPr="00C40A8B">
        <w:rPr>
          <w:rFonts w:ascii="Book Antiqua" w:hAnsi="Book Antiqua" w:cs="宋体"/>
          <w:i/>
          <w:iCs/>
          <w:kern w:val="0"/>
          <w:lang w:eastAsia="zh-CN"/>
        </w:rPr>
        <w:t>Am J Physiol Cell Physiol</w:t>
      </w:r>
      <w:r w:rsidRPr="00C40A8B">
        <w:rPr>
          <w:rFonts w:ascii="Book Antiqua" w:hAnsi="Book Antiqua" w:cs="宋体"/>
          <w:kern w:val="0"/>
          <w:lang w:eastAsia="zh-CN"/>
        </w:rPr>
        <w:t xml:space="preserve"> 2011; </w:t>
      </w:r>
      <w:r w:rsidRPr="00C40A8B">
        <w:rPr>
          <w:rFonts w:ascii="Book Antiqua" w:hAnsi="Book Antiqua" w:cs="宋体"/>
          <w:b/>
          <w:bCs/>
          <w:kern w:val="0"/>
          <w:lang w:eastAsia="zh-CN"/>
        </w:rPr>
        <w:t>301</w:t>
      </w:r>
      <w:r w:rsidRPr="00C40A8B">
        <w:rPr>
          <w:rFonts w:ascii="Book Antiqua" w:hAnsi="Book Antiqua" w:cs="宋体"/>
          <w:kern w:val="0"/>
          <w:lang w:eastAsia="zh-CN"/>
        </w:rPr>
        <w:t>: C804-C813 [PMID: 21653902 DOI: 10.1152/ajpcell.00135.2011]</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144 </w:t>
      </w:r>
      <w:r w:rsidRPr="00C40A8B">
        <w:rPr>
          <w:rFonts w:ascii="Book Antiqua" w:hAnsi="Book Antiqua" w:cs="宋体"/>
          <w:b/>
          <w:bCs/>
          <w:kern w:val="0"/>
          <w:lang w:eastAsia="zh-CN"/>
        </w:rPr>
        <w:t>Neuser J</w:t>
      </w:r>
      <w:r w:rsidRPr="00C40A8B">
        <w:rPr>
          <w:rFonts w:ascii="Book Antiqua" w:hAnsi="Book Antiqua" w:cs="宋体"/>
          <w:kern w:val="0"/>
          <w:lang w:eastAsia="zh-CN"/>
        </w:rPr>
        <w:t xml:space="preserve">, Knoop T. Sudden idiopathic hearing loss: psychopathology and antecedent stressful life-events. </w:t>
      </w:r>
      <w:r w:rsidRPr="00C40A8B">
        <w:rPr>
          <w:rFonts w:ascii="Book Antiqua" w:hAnsi="Book Antiqua" w:cs="宋体"/>
          <w:i/>
          <w:iCs/>
          <w:kern w:val="0"/>
          <w:lang w:eastAsia="zh-CN"/>
        </w:rPr>
        <w:t>Br J Med Psychol</w:t>
      </w:r>
      <w:r w:rsidRPr="00C40A8B">
        <w:rPr>
          <w:rFonts w:ascii="Book Antiqua" w:hAnsi="Book Antiqua" w:cs="宋体"/>
          <w:kern w:val="0"/>
          <w:lang w:eastAsia="zh-CN"/>
        </w:rPr>
        <w:t xml:space="preserve"> 1986; </w:t>
      </w:r>
      <w:r w:rsidRPr="00C40A8B">
        <w:rPr>
          <w:rFonts w:ascii="Book Antiqua" w:hAnsi="Book Antiqua" w:cs="宋体"/>
          <w:b/>
          <w:bCs/>
          <w:kern w:val="0"/>
          <w:lang w:eastAsia="zh-CN"/>
        </w:rPr>
        <w:t>59 ( Pt 3)</w:t>
      </w:r>
      <w:r w:rsidRPr="00C40A8B">
        <w:rPr>
          <w:rFonts w:ascii="Book Antiqua" w:hAnsi="Book Antiqua" w:cs="宋体"/>
          <w:kern w:val="0"/>
          <w:lang w:eastAsia="zh-CN"/>
        </w:rPr>
        <w:t>: 245-251 [PMID: 3768272]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145 </w:t>
      </w:r>
      <w:r w:rsidRPr="00C40A8B">
        <w:rPr>
          <w:rFonts w:ascii="Book Antiqua" w:hAnsi="Book Antiqua" w:cs="宋体"/>
          <w:b/>
          <w:bCs/>
          <w:kern w:val="0"/>
          <w:lang w:eastAsia="zh-CN"/>
        </w:rPr>
        <w:t>Nakamura M</w:t>
      </w:r>
      <w:r w:rsidRPr="00C40A8B">
        <w:rPr>
          <w:rFonts w:ascii="Book Antiqua" w:hAnsi="Book Antiqua" w:cs="宋体"/>
          <w:kern w:val="0"/>
          <w:lang w:eastAsia="zh-CN"/>
        </w:rPr>
        <w:t xml:space="preserve">, Aoki N, Nakashima T, Hoshino T, Yokoyama T, Morioka S, Kawamura T, Tanaka H, Hashimoto T, Ohno Y, Whitlock G. Smoking, alcohol, sleep and risk of idiopathic sudden deafness: a case-control study using pooled controls. </w:t>
      </w:r>
      <w:r w:rsidRPr="00C40A8B">
        <w:rPr>
          <w:rFonts w:ascii="Book Antiqua" w:hAnsi="Book Antiqua" w:cs="宋体"/>
          <w:i/>
          <w:iCs/>
          <w:kern w:val="0"/>
          <w:lang w:eastAsia="zh-CN"/>
        </w:rPr>
        <w:t>J Epidemiol</w:t>
      </w:r>
      <w:r w:rsidRPr="00C40A8B">
        <w:rPr>
          <w:rFonts w:ascii="Book Antiqua" w:hAnsi="Book Antiqua" w:cs="宋体"/>
          <w:kern w:val="0"/>
          <w:lang w:eastAsia="zh-CN"/>
        </w:rPr>
        <w:t xml:space="preserve"> 2001; </w:t>
      </w:r>
      <w:r w:rsidRPr="00C40A8B">
        <w:rPr>
          <w:rFonts w:ascii="Book Antiqua" w:hAnsi="Book Antiqua" w:cs="宋体"/>
          <w:b/>
          <w:bCs/>
          <w:kern w:val="0"/>
          <w:lang w:eastAsia="zh-CN"/>
        </w:rPr>
        <w:t>11</w:t>
      </w:r>
      <w:r w:rsidRPr="00C40A8B">
        <w:rPr>
          <w:rFonts w:ascii="Book Antiqua" w:hAnsi="Book Antiqua" w:cs="宋体"/>
          <w:kern w:val="0"/>
          <w:lang w:eastAsia="zh-CN"/>
        </w:rPr>
        <w:t>: 81-86 [PMID: 11388497]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146 </w:t>
      </w:r>
      <w:r w:rsidRPr="00C40A8B">
        <w:rPr>
          <w:rFonts w:ascii="Book Antiqua" w:hAnsi="Book Antiqua" w:cs="宋体"/>
          <w:b/>
          <w:bCs/>
          <w:kern w:val="0"/>
          <w:lang w:eastAsia="zh-CN"/>
        </w:rPr>
        <w:t>Nakashima T</w:t>
      </w:r>
      <w:r w:rsidRPr="00C40A8B">
        <w:rPr>
          <w:rFonts w:ascii="Book Antiqua" w:hAnsi="Book Antiqua" w:cs="宋体"/>
          <w:kern w:val="0"/>
          <w:lang w:eastAsia="zh-CN"/>
        </w:rPr>
        <w:t xml:space="preserve">, Tanabe T, Yanagita N, Wakai K, Ohno Y. Risk factors for sudden deafness: a case-control study. </w:t>
      </w:r>
      <w:r w:rsidRPr="00C40A8B">
        <w:rPr>
          <w:rFonts w:ascii="Book Antiqua" w:hAnsi="Book Antiqua" w:cs="宋体"/>
          <w:i/>
          <w:iCs/>
          <w:kern w:val="0"/>
          <w:lang w:eastAsia="zh-CN"/>
        </w:rPr>
        <w:t>Auris Nasus Larynx</w:t>
      </w:r>
      <w:r w:rsidRPr="00C40A8B">
        <w:rPr>
          <w:rFonts w:ascii="Book Antiqua" w:hAnsi="Book Antiqua" w:cs="宋体"/>
          <w:kern w:val="0"/>
          <w:lang w:eastAsia="zh-CN"/>
        </w:rPr>
        <w:t xml:space="preserve"> 1997; </w:t>
      </w:r>
      <w:r w:rsidRPr="00C40A8B">
        <w:rPr>
          <w:rFonts w:ascii="Book Antiqua" w:hAnsi="Book Antiqua" w:cs="宋体"/>
          <w:b/>
          <w:bCs/>
          <w:kern w:val="0"/>
          <w:lang w:eastAsia="zh-CN"/>
        </w:rPr>
        <w:t>24</w:t>
      </w:r>
      <w:r w:rsidRPr="00C40A8B">
        <w:rPr>
          <w:rFonts w:ascii="Book Antiqua" w:hAnsi="Book Antiqua" w:cs="宋体"/>
          <w:kern w:val="0"/>
          <w:lang w:eastAsia="zh-CN"/>
        </w:rPr>
        <w:t>: 265-270 [PMID: 9251855 DOI: S0385-8146(96)00024-7]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147 </w:t>
      </w:r>
      <w:r w:rsidRPr="00C40A8B">
        <w:rPr>
          <w:rFonts w:ascii="Book Antiqua" w:hAnsi="Book Antiqua" w:cs="宋体"/>
          <w:b/>
          <w:bCs/>
          <w:kern w:val="0"/>
          <w:lang w:eastAsia="zh-CN"/>
        </w:rPr>
        <w:t>Merchant SN</w:t>
      </w:r>
      <w:r w:rsidRPr="00C40A8B">
        <w:rPr>
          <w:rFonts w:ascii="Book Antiqua" w:hAnsi="Book Antiqua" w:cs="宋体"/>
          <w:kern w:val="0"/>
          <w:lang w:eastAsia="zh-CN"/>
        </w:rPr>
        <w:t xml:space="preserve">, Durand ML, Adams JC. Sudden deafness: is it viral? </w:t>
      </w:r>
      <w:r w:rsidRPr="00C40A8B">
        <w:rPr>
          <w:rFonts w:ascii="Book Antiqua" w:hAnsi="Book Antiqua" w:cs="宋体"/>
          <w:i/>
          <w:iCs/>
          <w:kern w:val="0"/>
          <w:lang w:eastAsia="zh-CN"/>
        </w:rPr>
        <w:t>ORL J Otorhinolaryngol Relat Spec</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70</w:t>
      </w:r>
      <w:r w:rsidRPr="00C40A8B">
        <w:rPr>
          <w:rFonts w:ascii="Book Antiqua" w:hAnsi="Book Antiqua" w:cs="宋体"/>
          <w:kern w:val="0"/>
          <w:lang w:eastAsia="zh-CN"/>
        </w:rPr>
        <w:t>: 52-60; discussion 60-2 [PMID: 18235206 DOI: 000111048]</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148 </w:t>
      </w:r>
      <w:r w:rsidRPr="00C40A8B">
        <w:rPr>
          <w:rFonts w:ascii="Book Antiqua" w:hAnsi="Book Antiqua" w:cs="宋体"/>
          <w:b/>
          <w:bCs/>
          <w:kern w:val="0"/>
          <w:lang w:eastAsia="zh-CN"/>
        </w:rPr>
        <w:t>Mazzeo RS</w:t>
      </w:r>
      <w:r w:rsidRPr="00C40A8B">
        <w:rPr>
          <w:rFonts w:ascii="Book Antiqua" w:hAnsi="Book Antiqua" w:cs="宋体"/>
          <w:kern w:val="0"/>
          <w:lang w:eastAsia="zh-CN"/>
        </w:rPr>
        <w:t xml:space="preserve">, Donovan D, Fleshner M, Butterfield GE, Zamudio S, Wolfel EE, Moore LG. Interleukin-6 response to exercise and high-altitude exposure: influence of alpha-adrenergic blockade. </w:t>
      </w:r>
      <w:r w:rsidRPr="00C40A8B">
        <w:rPr>
          <w:rFonts w:ascii="Book Antiqua" w:hAnsi="Book Antiqua" w:cs="宋体"/>
          <w:i/>
          <w:iCs/>
          <w:kern w:val="0"/>
          <w:lang w:eastAsia="zh-CN"/>
        </w:rPr>
        <w:t>J Appl Physiol</w:t>
      </w:r>
      <w:r w:rsidRPr="00C40A8B">
        <w:rPr>
          <w:rFonts w:ascii="Book Antiqua" w:hAnsi="Book Antiqua" w:cs="宋体"/>
          <w:kern w:val="0"/>
          <w:lang w:eastAsia="zh-CN"/>
        </w:rPr>
        <w:t xml:space="preserve"> 2001; </w:t>
      </w:r>
      <w:r w:rsidRPr="00C40A8B">
        <w:rPr>
          <w:rFonts w:ascii="Book Antiqua" w:hAnsi="Book Antiqua" w:cs="宋体"/>
          <w:b/>
          <w:bCs/>
          <w:kern w:val="0"/>
          <w:lang w:eastAsia="zh-CN"/>
        </w:rPr>
        <w:t>91</w:t>
      </w:r>
      <w:r w:rsidRPr="00C40A8B">
        <w:rPr>
          <w:rFonts w:ascii="Book Antiqua" w:hAnsi="Book Antiqua" w:cs="宋体"/>
          <w:kern w:val="0"/>
          <w:lang w:eastAsia="zh-CN"/>
        </w:rPr>
        <w:t>: 2143-2149 [PMID: 11641355]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149 </w:t>
      </w:r>
      <w:r w:rsidRPr="00C40A8B">
        <w:rPr>
          <w:rFonts w:ascii="Book Antiqua" w:hAnsi="Book Antiqua" w:cs="宋体"/>
          <w:b/>
          <w:bCs/>
          <w:kern w:val="0"/>
          <w:lang w:eastAsia="zh-CN"/>
        </w:rPr>
        <w:t>Mattox DE</w:t>
      </w:r>
      <w:r w:rsidRPr="00C40A8B">
        <w:rPr>
          <w:rFonts w:ascii="Book Antiqua" w:hAnsi="Book Antiqua" w:cs="宋体"/>
          <w:kern w:val="0"/>
          <w:lang w:eastAsia="zh-CN"/>
        </w:rPr>
        <w:t xml:space="preserve">, Simmons FB. Natural history of sudden sensorineural hearing loss. </w:t>
      </w:r>
      <w:r w:rsidRPr="00C40A8B">
        <w:rPr>
          <w:rFonts w:ascii="Book Antiqua" w:hAnsi="Book Antiqua" w:cs="宋体"/>
          <w:i/>
          <w:iCs/>
          <w:kern w:val="0"/>
          <w:lang w:eastAsia="zh-CN"/>
        </w:rPr>
        <w:t>Ann Otol Rhinol Laryngol</w:t>
      </w:r>
      <w:r w:rsidRPr="00C40A8B">
        <w:rPr>
          <w:rFonts w:ascii="Book Antiqua" w:hAnsi="Book Antiqua" w:cs="宋体"/>
          <w:kern w:val="0"/>
          <w:lang w:eastAsia="zh-CN"/>
        </w:rPr>
        <w:t xml:space="preserve"> 1977; </w:t>
      </w:r>
      <w:r w:rsidRPr="00C40A8B">
        <w:rPr>
          <w:rFonts w:ascii="Book Antiqua" w:hAnsi="Book Antiqua" w:cs="宋体"/>
          <w:b/>
          <w:bCs/>
          <w:kern w:val="0"/>
          <w:lang w:eastAsia="zh-CN"/>
        </w:rPr>
        <w:t>86</w:t>
      </w:r>
      <w:r w:rsidRPr="00C40A8B">
        <w:rPr>
          <w:rFonts w:ascii="Book Antiqua" w:hAnsi="Book Antiqua" w:cs="宋体"/>
          <w:kern w:val="0"/>
          <w:lang w:eastAsia="zh-CN"/>
        </w:rPr>
        <w:t>: 463-480 [PMID: 889223]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150 </w:t>
      </w:r>
      <w:r w:rsidRPr="00C40A8B">
        <w:rPr>
          <w:rFonts w:ascii="Book Antiqua" w:hAnsi="Book Antiqua"/>
          <w:b/>
          <w:bCs/>
        </w:rPr>
        <w:t>Eisenberger NI</w:t>
      </w:r>
      <w:r w:rsidRPr="00C40A8B">
        <w:rPr>
          <w:rFonts w:ascii="Book Antiqua" w:hAnsi="Book Antiqua"/>
        </w:rPr>
        <w:t xml:space="preserve">, Inagaki TK, Mashal NM, Irwin MR. Inflammation and social experience: an inflammatory challenge induces feelings of social disconnection in addition to depressed mood. </w:t>
      </w:r>
      <w:r w:rsidRPr="00C40A8B">
        <w:rPr>
          <w:rFonts w:ascii="Book Antiqua" w:hAnsi="Book Antiqua"/>
          <w:i/>
          <w:iCs/>
        </w:rPr>
        <w:t>Brain Behav Immun</w:t>
      </w:r>
      <w:r w:rsidRPr="00C40A8B">
        <w:rPr>
          <w:rFonts w:ascii="Book Antiqua" w:hAnsi="Book Antiqua"/>
        </w:rPr>
        <w:t xml:space="preserve"> 2010; </w:t>
      </w:r>
      <w:r w:rsidRPr="00C40A8B">
        <w:rPr>
          <w:rFonts w:ascii="Book Antiqua" w:hAnsi="Book Antiqua"/>
          <w:b/>
          <w:bCs/>
        </w:rPr>
        <w:t>24</w:t>
      </w:r>
      <w:r w:rsidRPr="00C40A8B">
        <w:rPr>
          <w:rFonts w:ascii="Book Antiqua" w:hAnsi="Book Antiqua"/>
        </w:rPr>
        <w:t>: 558-563 [PMID: 20043983 DOI: 10.1016/j.bbi.2009.12.009]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151 </w:t>
      </w:r>
      <w:r w:rsidRPr="00C40A8B">
        <w:rPr>
          <w:rFonts w:ascii="Book Antiqua" w:hAnsi="Book Antiqua" w:cs="宋体"/>
          <w:b/>
          <w:bCs/>
          <w:kern w:val="0"/>
          <w:lang w:eastAsia="zh-CN"/>
        </w:rPr>
        <w:t>Kimbrell MR</w:t>
      </w:r>
      <w:r w:rsidRPr="00C40A8B">
        <w:rPr>
          <w:rFonts w:ascii="Book Antiqua" w:hAnsi="Book Antiqua" w:cs="宋体"/>
          <w:kern w:val="0"/>
          <w:lang w:eastAsia="zh-CN"/>
        </w:rPr>
        <w:t xml:space="preserve">, Warshakoon H, Cromer JR, Malladi S, Hood JD, Balakrishna R, Scholdberg TA, David SA. Comparison of the immunostimulatory and proinflammatory activities of candidate Gram-positive endotoxins, lipoteichoic acid, peptidoglycan, and lipopeptides, in murine and human cells. </w:t>
      </w:r>
      <w:r w:rsidRPr="00C40A8B">
        <w:rPr>
          <w:rFonts w:ascii="Book Antiqua" w:hAnsi="Book Antiqua" w:cs="宋体"/>
          <w:i/>
          <w:iCs/>
          <w:kern w:val="0"/>
          <w:lang w:eastAsia="zh-CN"/>
        </w:rPr>
        <w:t>Immunol Lett</w:t>
      </w:r>
      <w:r w:rsidRPr="00C40A8B">
        <w:rPr>
          <w:rFonts w:ascii="Book Antiqua" w:hAnsi="Book Antiqua" w:cs="宋体"/>
          <w:kern w:val="0"/>
          <w:lang w:eastAsia="zh-CN"/>
        </w:rPr>
        <w:t xml:space="preserve"> 2008; </w:t>
      </w:r>
      <w:r w:rsidRPr="00C40A8B">
        <w:rPr>
          <w:rFonts w:ascii="Book Antiqua" w:hAnsi="Book Antiqua" w:cs="宋体"/>
          <w:b/>
          <w:bCs/>
          <w:kern w:val="0"/>
          <w:lang w:eastAsia="zh-CN"/>
        </w:rPr>
        <w:t>118</w:t>
      </w:r>
      <w:r w:rsidRPr="00C40A8B">
        <w:rPr>
          <w:rFonts w:ascii="Book Antiqua" w:hAnsi="Book Antiqua" w:cs="宋体"/>
          <w:kern w:val="0"/>
          <w:lang w:eastAsia="zh-CN"/>
        </w:rPr>
        <w:t>: 132-141 [PMID: 18468694 DOI: S0165-2478(08)00096-5]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152 </w:t>
      </w:r>
      <w:r w:rsidRPr="00C40A8B">
        <w:rPr>
          <w:rFonts w:ascii="Book Antiqua" w:hAnsi="Book Antiqua" w:cs="宋体"/>
          <w:b/>
          <w:bCs/>
          <w:kern w:val="0"/>
          <w:lang w:eastAsia="zh-CN"/>
        </w:rPr>
        <w:t>Suwa T</w:t>
      </w:r>
      <w:r w:rsidRPr="00C40A8B">
        <w:rPr>
          <w:rFonts w:ascii="Book Antiqua" w:hAnsi="Book Antiqua" w:cs="宋体"/>
          <w:kern w:val="0"/>
          <w:lang w:eastAsia="zh-CN"/>
        </w:rPr>
        <w:t xml:space="preserve">, Hogg JC, English D, Van Eeden SF. Interleukin-6 induces demargination of intravascular neutrophils and shortens their transit in marrow. </w:t>
      </w:r>
      <w:r w:rsidRPr="00C40A8B">
        <w:rPr>
          <w:rFonts w:ascii="Book Antiqua" w:hAnsi="Book Antiqua" w:cs="宋体"/>
          <w:i/>
          <w:iCs/>
          <w:kern w:val="0"/>
          <w:lang w:eastAsia="zh-CN"/>
        </w:rPr>
        <w:t>Am J Physiol Heart Circ Physiol</w:t>
      </w:r>
      <w:r w:rsidRPr="00C40A8B">
        <w:rPr>
          <w:rFonts w:ascii="Book Antiqua" w:hAnsi="Book Antiqua" w:cs="宋体"/>
          <w:kern w:val="0"/>
          <w:lang w:eastAsia="zh-CN"/>
        </w:rPr>
        <w:t xml:space="preserve"> 2000; </w:t>
      </w:r>
      <w:r w:rsidRPr="00C40A8B">
        <w:rPr>
          <w:rFonts w:ascii="Book Antiqua" w:hAnsi="Book Antiqua" w:cs="宋体"/>
          <w:b/>
          <w:bCs/>
          <w:kern w:val="0"/>
          <w:lang w:eastAsia="zh-CN"/>
        </w:rPr>
        <w:t>279</w:t>
      </w:r>
      <w:r w:rsidRPr="00C40A8B">
        <w:rPr>
          <w:rFonts w:ascii="Book Antiqua" w:hAnsi="Book Antiqua" w:cs="宋体"/>
          <w:kern w:val="0"/>
          <w:lang w:eastAsia="zh-CN"/>
        </w:rPr>
        <w:t>: H2954-H2960 [PMID: 11087252]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153 </w:t>
      </w:r>
      <w:r w:rsidRPr="00C40A8B">
        <w:rPr>
          <w:rFonts w:ascii="Book Antiqua" w:hAnsi="Book Antiqua" w:cs="宋体"/>
          <w:b/>
          <w:bCs/>
          <w:kern w:val="0"/>
          <w:lang w:eastAsia="zh-CN"/>
        </w:rPr>
        <w:t>Wolters PJ</w:t>
      </w:r>
      <w:r w:rsidRPr="00C40A8B">
        <w:rPr>
          <w:rFonts w:ascii="Book Antiqua" w:hAnsi="Book Antiqua" w:cs="宋体"/>
          <w:kern w:val="0"/>
          <w:lang w:eastAsia="zh-CN"/>
        </w:rPr>
        <w:t xml:space="preserve">, Wray C, Sutherland RE, Kim SS, Koff J, Mao Y, Frank JA. Neutrophil-derived IL-6 limits alveolar barrier disruption in experimental ventilator-induced lung injury. </w:t>
      </w:r>
      <w:r w:rsidRPr="00C40A8B">
        <w:rPr>
          <w:rFonts w:ascii="Book Antiqua" w:hAnsi="Book Antiqua" w:cs="宋体"/>
          <w:i/>
          <w:iCs/>
          <w:kern w:val="0"/>
          <w:lang w:eastAsia="zh-CN"/>
        </w:rPr>
        <w:t>J Immunol</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182</w:t>
      </w:r>
      <w:r w:rsidRPr="00C40A8B">
        <w:rPr>
          <w:rFonts w:ascii="Book Antiqua" w:hAnsi="Book Antiqua" w:cs="宋体"/>
          <w:kern w:val="0"/>
          <w:lang w:eastAsia="zh-CN"/>
        </w:rPr>
        <w:t>: 8056-8062 [PMID: 19494331 DOI: 182/12/8056]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154 </w:t>
      </w:r>
      <w:r w:rsidRPr="00C40A8B">
        <w:rPr>
          <w:rFonts w:ascii="Book Antiqua" w:hAnsi="Book Antiqua" w:cs="宋体"/>
          <w:b/>
          <w:bCs/>
          <w:kern w:val="0"/>
          <w:lang w:eastAsia="zh-CN"/>
        </w:rPr>
        <w:t>Nijm J</w:t>
      </w:r>
      <w:r w:rsidRPr="00C40A8B">
        <w:rPr>
          <w:rFonts w:ascii="Book Antiqua" w:hAnsi="Book Antiqua" w:cs="宋体"/>
          <w:kern w:val="0"/>
          <w:lang w:eastAsia="zh-CN"/>
        </w:rPr>
        <w:t xml:space="preserve">, Wikby A, Tompa A, Olsson AG, Jonasson L. Circulating levels of proinflammatory cytokines and neutrophil-platelet aggregates in patients with coronary artery disease. </w:t>
      </w:r>
      <w:r w:rsidRPr="00C40A8B">
        <w:rPr>
          <w:rFonts w:ascii="Book Antiqua" w:hAnsi="Book Antiqua" w:cs="宋体"/>
          <w:i/>
          <w:iCs/>
          <w:kern w:val="0"/>
          <w:lang w:eastAsia="zh-CN"/>
        </w:rPr>
        <w:t>Am J Cardiol</w:t>
      </w:r>
      <w:r w:rsidRPr="00C40A8B">
        <w:rPr>
          <w:rFonts w:ascii="Book Antiqua" w:hAnsi="Book Antiqua" w:cs="宋体"/>
          <w:kern w:val="0"/>
          <w:lang w:eastAsia="zh-CN"/>
        </w:rPr>
        <w:t xml:space="preserve"> 2005; </w:t>
      </w:r>
      <w:r w:rsidRPr="00C40A8B">
        <w:rPr>
          <w:rFonts w:ascii="Book Antiqua" w:hAnsi="Book Antiqua" w:cs="宋体"/>
          <w:b/>
          <w:bCs/>
          <w:kern w:val="0"/>
          <w:lang w:eastAsia="zh-CN"/>
        </w:rPr>
        <w:t>95</w:t>
      </w:r>
      <w:r w:rsidRPr="00C40A8B">
        <w:rPr>
          <w:rFonts w:ascii="Book Antiqua" w:hAnsi="Book Antiqua" w:cs="宋体"/>
          <w:kern w:val="0"/>
          <w:lang w:eastAsia="zh-CN"/>
        </w:rPr>
        <w:t>: 452-456 [PMID: 15695127 DOI: S0002-9149(04)01633-9]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155 </w:t>
      </w:r>
      <w:r w:rsidRPr="00C40A8B">
        <w:rPr>
          <w:rFonts w:ascii="Book Antiqua" w:hAnsi="Book Antiqua" w:cs="宋体"/>
          <w:b/>
          <w:bCs/>
          <w:kern w:val="0"/>
          <w:lang w:eastAsia="zh-CN"/>
        </w:rPr>
        <w:t>Khuseyinova N</w:t>
      </w:r>
      <w:r w:rsidRPr="00C40A8B">
        <w:rPr>
          <w:rFonts w:ascii="Book Antiqua" w:hAnsi="Book Antiqua" w:cs="宋体"/>
          <w:kern w:val="0"/>
          <w:lang w:eastAsia="zh-CN"/>
        </w:rPr>
        <w:t xml:space="preserve">, Koenig W. Biomarkers of outcome from cardiovascular disease. </w:t>
      </w:r>
      <w:r w:rsidRPr="00C40A8B">
        <w:rPr>
          <w:rFonts w:ascii="Book Antiqua" w:hAnsi="Book Antiqua" w:cs="宋体"/>
          <w:i/>
          <w:iCs/>
          <w:kern w:val="0"/>
          <w:lang w:eastAsia="zh-CN"/>
        </w:rPr>
        <w:t>Curr Opin Crit Care</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12</w:t>
      </w:r>
      <w:r w:rsidRPr="00C40A8B">
        <w:rPr>
          <w:rFonts w:ascii="Book Antiqua" w:hAnsi="Book Antiqua" w:cs="宋体"/>
          <w:kern w:val="0"/>
          <w:lang w:eastAsia="zh-CN"/>
        </w:rPr>
        <w:t>: 412-419 [PMID: 16943718 DOI: 10.1097/01.ccx.0000244119.16377.75]</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156 </w:t>
      </w:r>
      <w:r w:rsidRPr="00C40A8B">
        <w:rPr>
          <w:rFonts w:ascii="Book Antiqua" w:hAnsi="Book Antiqua" w:cs="宋体"/>
          <w:b/>
          <w:bCs/>
          <w:kern w:val="0"/>
          <w:lang w:eastAsia="zh-CN"/>
        </w:rPr>
        <w:t>Maugeri N</w:t>
      </w:r>
      <w:r w:rsidRPr="00C40A8B">
        <w:rPr>
          <w:rFonts w:ascii="Book Antiqua" w:hAnsi="Book Antiqua" w:cs="宋体"/>
          <w:kern w:val="0"/>
          <w:lang w:eastAsia="zh-CN"/>
        </w:rPr>
        <w:t xml:space="preserve">, Manfredi AA, Maseri A. Clinical and experimental evidences on the prothrombotic properties of neutrophils. </w:t>
      </w:r>
      <w:r w:rsidRPr="00C40A8B">
        <w:rPr>
          <w:rFonts w:ascii="Book Antiqua" w:hAnsi="Book Antiqua" w:cs="宋体"/>
          <w:i/>
          <w:iCs/>
          <w:kern w:val="0"/>
          <w:lang w:eastAsia="zh-CN"/>
        </w:rPr>
        <w:t>Srp Arh Celok Lek</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 xml:space="preserve">138 </w:t>
      </w:r>
      <w:r w:rsidRPr="00C40A8B">
        <w:rPr>
          <w:rFonts w:ascii="Book Antiqua" w:hAnsi="Book Antiqua" w:cs="宋体"/>
          <w:bCs/>
          <w:kern w:val="0"/>
          <w:lang w:eastAsia="zh-CN"/>
        </w:rPr>
        <w:t>Suppl 1</w:t>
      </w:r>
      <w:r w:rsidRPr="00C40A8B">
        <w:rPr>
          <w:rFonts w:ascii="Book Antiqua" w:hAnsi="Book Antiqua" w:cs="宋体"/>
          <w:kern w:val="0"/>
          <w:lang w:eastAsia="zh-CN"/>
        </w:rPr>
        <w:t>: 50-52 [PMID: 20229683]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157 </w:t>
      </w:r>
      <w:r w:rsidRPr="00C40A8B">
        <w:rPr>
          <w:rFonts w:ascii="Book Antiqua" w:hAnsi="Book Antiqua" w:cs="宋体"/>
          <w:b/>
          <w:bCs/>
          <w:kern w:val="0"/>
          <w:lang w:eastAsia="zh-CN"/>
        </w:rPr>
        <w:t>Wakabayashi K</w:t>
      </w:r>
      <w:r w:rsidRPr="00C40A8B">
        <w:rPr>
          <w:rFonts w:ascii="Book Antiqua" w:hAnsi="Book Antiqua" w:cs="宋体"/>
          <w:kern w:val="0"/>
          <w:lang w:eastAsia="zh-CN"/>
        </w:rPr>
        <w:t xml:space="preserve">, Fujioka M, Kanzaki S, Okano HJ, Shibata S, Yamashita D, Masuda M, Mihara M, Ohsugi Y, Ogawa K, Okano H. Blockade of interleukin-6 signaling suppressed cochlear inflammatory response and improved hearing impairment in noise-damaged mice cochlea. </w:t>
      </w:r>
      <w:r w:rsidRPr="00C40A8B">
        <w:rPr>
          <w:rFonts w:ascii="Book Antiqua" w:hAnsi="Book Antiqua" w:cs="宋体"/>
          <w:i/>
          <w:iCs/>
          <w:kern w:val="0"/>
          <w:lang w:eastAsia="zh-CN"/>
        </w:rPr>
        <w:t>Neurosci Res</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66</w:t>
      </w:r>
      <w:r w:rsidRPr="00C40A8B">
        <w:rPr>
          <w:rFonts w:ascii="Book Antiqua" w:hAnsi="Book Antiqua" w:cs="宋体"/>
          <w:kern w:val="0"/>
          <w:lang w:eastAsia="zh-CN"/>
        </w:rPr>
        <w:t>: 345-352 [PMID: 20026135 DOI: S0168-0102(09)02092-6]</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lastRenderedPageBreak/>
        <w:t xml:space="preserve">158 </w:t>
      </w:r>
      <w:r w:rsidRPr="00C40A8B">
        <w:rPr>
          <w:rFonts w:ascii="Book Antiqua" w:hAnsi="Book Antiqua" w:cs="宋体"/>
          <w:b/>
          <w:bCs/>
          <w:kern w:val="0"/>
          <w:lang w:eastAsia="zh-CN"/>
        </w:rPr>
        <w:t>Scherer EQ</w:t>
      </w:r>
      <w:r w:rsidRPr="00C40A8B">
        <w:rPr>
          <w:rFonts w:ascii="Book Antiqua" w:hAnsi="Book Antiqua" w:cs="宋体"/>
          <w:kern w:val="0"/>
          <w:lang w:eastAsia="zh-CN"/>
        </w:rPr>
        <w:t xml:space="preserve">, Yang J, Canis M, Reimann K, Ivanov K, Diehl CD, Backx PH, Wier WG, Strieth S, Wangemann P, Voigtlaender-Bolz J, Lidington D, Bolz SS. Tumor necrosis factor-α enhances microvascular tone and reduces blood flow in the cochlea via enhanced sphingosine-1-phosphate signaling. </w:t>
      </w:r>
      <w:r w:rsidRPr="00C40A8B">
        <w:rPr>
          <w:rFonts w:ascii="Book Antiqua" w:hAnsi="Book Antiqua" w:cs="宋体"/>
          <w:i/>
          <w:iCs/>
          <w:kern w:val="0"/>
          <w:lang w:eastAsia="zh-CN"/>
        </w:rPr>
        <w:t>Stroke</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41</w:t>
      </w:r>
      <w:r w:rsidRPr="00C40A8B">
        <w:rPr>
          <w:rFonts w:ascii="Book Antiqua" w:hAnsi="Book Antiqua" w:cs="宋体"/>
          <w:kern w:val="0"/>
          <w:lang w:eastAsia="zh-CN"/>
        </w:rPr>
        <w:t>: 2618-2624 [PMID: 20930159 DOI: 10.1161/STROKEAHA.110.593327]</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159 </w:t>
      </w:r>
      <w:r w:rsidRPr="00C40A8B">
        <w:rPr>
          <w:rFonts w:ascii="Book Antiqua" w:hAnsi="Book Antiqua" w:cs="宋体"/>
          <w:b/>
          <w:bCs/>
          <w:kern w:val="0"/>
          <w:lang w:eastAsia="zh-CN"/>
        </w:rPr>
        <w:t>Sugiura M</w:t>
      </w:r>
      <w:r w:rsidRPr="00C40A8B">
        <w:rPr>
          <w:rFonts w:ascii="Book Antiqua" w:hAnsi="Book Antiqua" w:cs="宋体"/>
          <w:kern w:val="0"/>
          <w:lang w:eastAsia="zh-CN"/>
        </w:rPr>
        <w:t xml:space="preserve">, Naganawa S, Teranishi M, Nakashima T. Three-dimensional fluid-attenuated inversion recovery magnetic resonance imaging findings in patients with sudden sensorineural hearing loss. </w:t>
      </w:r>
      <w:r w:rsidRPr="00C40A8B">
        <w:rPr>
          <w:rFonts w:ascii="Book Antiqua" w:hAnsi="Book Antiqua" w:cs="宋体"/>
          <w:i/>
          <w:iCs/>
          <w:kern w:val="0"/>
          <w:lang w:eastAsia="zh-CN"/>
        </w:rPr>
        <w:t>Laryngoscope</w:t>
      </w:r>
      <w:r w:rsidRPr="00C40A8B">
        <w:rPr>
          <w:rFonts w:ascii="Book Antiqua" w:hAnsi="Book Antiqua" w:cs="宋体"/>
          <w:kern w:val="0"/>
          <w:lang w:eastAsia="zh-CN"/>
        </w:rPr>
        <w:t xml:space="preserve"> 2006; </w:t>
      </w:r>
      <w:r w:rsidRPr="00C40A8B">
        <w:rPr>
          <w:rFonts w:ascii="Book Antiqua" w:hAnsi="Book Antiqua" w:cs="宋体"/>
          <w:b/>
          <w:bCs/>
          <w:kern w:val="0"/>
          <w:lang w:eastAsia="zh-CN"/>
        </w:rPr>
        <w:t>116</w:t>
      </w:r>
      <w:r w:rsidRPr="00C40A8B">
        <w:rPr>
          <w:rFonts w:ascii="Book Antiqua" w:hAnsi="Book Antiqua" w:cs="宋体"/>
          <w:kern w:val="0"/>
          <w:lang w:eastAsia="zh-CN"/>
        </w:rPr>
        <w:t>: 1451-1454 [PMID: 16885752 DOI: 10.1097/01.mlg.0000228005.78187.23]</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160 </w:t>
      </w:r>
      <w:r w:rsidRPr="00C40A8B">
        <w:rPr>
          <w:rFonts w:ascii="Book Antiqua" w:hAnsi="Book Antiqua" w:cs="宋体"/>
          <w:b/>
          <w:bCs/>
          <w:kern w:val="0"/>
          <w:lang w:eastAsia="zh-CN"/>
        </w:rPr>
        <w:t>Asberg M</w:t>
      </w:r>
      <w:r w:rsidRPr="00C40A8B">
        <w:rPr>
          <w:rFonts w:ascii="Book Antiqua" w:hAnsi="Book Antiqua" w:cs="宋体"/>
          <w:kern w:val="0"/>
          <w:lang w:eastAsia="zh-CN"/>
        </w:rPr>
        <w:t xml:space="preserve">, Nygren A, Leopardi R, Rylander G, Peterson U, Wilczek L, Källmén H, Ekstedt M, Akerstedt T, Lekander M, Ekman R. Novel biochemical markers of psychosocial stress in women. </w:t>
      </w:r>
      <w:r w:rsidRPr="00C40A8B">
        <w:rPr>
          <w:rFonts w:ascii="Book Antiqua" w:hAnsi="Book Antiqua" w:cs="宋体"/>
          <w:i/>
          <w:iCs/>
          <w:kern w:val="0"/>
          <w:lang w:eastAsia="zh-CN"/>
        </w:rPr>
        <w:t>PLoS One</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4</w:t>
      </w:r>
      <w:r w:rsidRPr="00C40A8B">
        <w:rPr>
          <w:rFonts w:ascii="Book Antiqua" w:hAnsi="Book Antiqua" w:cs="宋体"/>
          <w:kern w:val="0"/>
          <w:lang w:eastAsia="zh-CN"/>
        </w:rPr>
        <w:t>: e3590 [PMID: 19177163 DOI: 10.1371/journal.pone.0003590]</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161 </w:t>
      </w:r>
      <w:r w:rsidRPr="00C40A8B">
        <w:rPr>
          <w:rFonts w:ascii="Book Antiqua" w:hAnsi="Book Antiqua" w:cs="宋体"/>
          <w:b/>
          <w:bCs/>
          <w:kern w:val="0"/>
          <w:lang w:eastAsia="zh-CN"/>
        </w:rPr>
        <w:t>Jonsdottir IH</w:t>
      </w:r>
      <w:r w:rsidRPr="00C40A8B">
        <w:rPr>
          <w:rFonts w:ascii="Book Antiqua" w:hAnsi="Book Antiqua" w:cs="宋体"/>
          <w:kern w:val="0"/>
          <w:lang w:eastAsia="zh-CN"/>
        </w:rPr>
        <w:t xml:space="preserve">, Hägg DA, Glise K, Ekman R. Monocyte chemotactic protein-1 (MCP-1) and growth factors called into question as markers of prolonged psychosocial stress. </w:t>
      </w:r>
      <w:r w:rsidRPr="00C40A8B">
        <w:rPr>
          <w:rFonts w:ascii="Book Antiqua" w:hAnsi="Book Antiqua" w:cs="宋体"/>
          <w:i/>
          <w:iCs/>
          <w:kern w:val="0"/>
          <w:lang w:eastAsia="zh-CN"/>
        </w:rPr>
        <w:t>PLoS One</w:t>
      </w:r>
      <w:r w:rsidRPr="00C40A8B">
        <w:rPr>
          <w:rFonts w:ascii="Book Antiqua" w:hAnsi="Book Antiqua" w:cs="宋体"/>
          <w:kern w:val="0"/>
          <w:lang w:eastAsia="zh-CN"/>
        </w:rPr>
        <w:t xml:space="preserve"> 2009; </w:t>
      </w:r>
      <w:r w:rsidRPr="00C40A8B">
        <w:rPr>
          <w:rFonts w:ascii="Book Antiqua" w:hAnsi="Book Antiqua" w:cs="宋体"/>
          <w:b/>
          <w:bCs/>
          <w:kern w:val="0"/>
          <w:lang w:eastAsia="zh-CN"/>
        </w:rPr>
        <w:t>4</w:t>
      </w:r>
      <w:r w:rsidRPr="00C40A8B">
        <w:rPr>
          <w:rFonts w:ascii="Book Antiqua" w:hAnsi="Book Antiqua" w:cs="宋体"/>
          <w:kern w:val="0"/>
          <w:lang w:eastAsia="zh-CN"/>
        </w:rPr>
        <w:t>: e7659 [PMID: 19888340 DOI: 10.1371/journal.pone.0007659]</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 xml:space="preserve">162 </w:t>
      </w:r>
      <w:r w:rsidRPr="00C40A8B">
        <w:rPr>
          <w:rFonts w:ascii="Book Antiqua" w:hAnsi="Book Antiqua" w:cs="宋体"/>
          <w:b/>
          <w:bCs/>
          <w:kern w:val="0"/>
          <w:lang w:eastAsia="zh-CN"/>
        </w:rPr>
        <w:t>Broderick G</w:t>
      </w:r>
      <w:r w:rsidRPr="00C40A8B">
        <w:rPr>
          <w:rFonts w:ascii="Book Antiqua" w:hAnsi="Book Antiqua" w:cs="宋体"/>
          <w:kern w:val="0"/>
          <w:lang w:eastAsia="zh-CN"/>
        </w:rPr>
        <w:t xml:space="preserve">, Fuite J, Kreitz A, Vernon SD, Klimas N, Fletcher MA. A formal analysis of cytokine networks in chronic fatigue syndrome. </w:t>
      </w:r>
      <w:r w:rsidRPr="00C40A8B">
        <w:rPr>
          <w:rFonts w:ascii="Book Antiqua" w:hAnsi="Book Antiqua" w:cs="宋体"/>
          <w:i/>
          <w:iCs/>
          <w:kern w:val="0"/>
          <w:lang w:eastAsia="zh-CN"/>
        </w:rPr>
        <w:t>Brain Behav Immun</w:t>
      </w:r>
      <w:r w:rsidRPr="00C40A8B">
        <w:rPr>
          <w:rFonts w:ascii="Book Antiqua" w:hAnsi="Book Antiqua" w:cs="宋体"/>
          <w:kern w:val="0"/>
          <w:lang w:eastAsia="zh-CN"/>
        </w:rPr>
        <w:t xml:space="preserve"> 2010; </w:t>
      </w:r>
      <w:r w:rsidRPr="00C40A8B">
        <w:rPr>
          <w:rFonts w:ascii="Book Antiqua" w:hAnsi="Book Antiqua" w:cs="宋体"/>
          <w:b/>
          <w:bCs/>
          <w:kern w:val="0"/>
          <w:lang w:eastAsia="zh-CN"/>
        </w:rPr>
        <w:t>24</w:t>
      </w:r>
      <w:r w:rsidRPr="00C40A8B">
        <w:rPr>
          <w:rFonts w:ascii="Book Antiqua" w:hAnsi="Book Antiqua" w:cs="宋体"/>
          <w:kern w:val="0"/>
          <w:lang w:eastAsia="zh-CN"/>
        </w:rPr>
        <w:t>: 1209-1217 [PMID: 20447453 DOI: 10.1016/j.bbi.2010.04.012]</w:t>
      </w:r>
    </w:p>
    <w:p w:rsidR="00726399" w:rsidRPr="00C40A8B" w:rsidRDefault="00726399" w:rsidP="00E60C33">
      <w:pPr>
        <w:widowControl/>
        <w:rPr>
          <w:rFonts w:ascii="Book Antiqua" w:hAnsi="Book Antiqua" w:cs="宋体"/>
          <w:kern w:val="0"/>
          <w:lang w:eastAsia="zh-CN"/>
        </w:rPr>
      </w:pPr>
      <w:r w:rsidRPr="00C40A8B">
        <w:rPr>
          <w:rFonts w:ascii="Book Antiqua" w:hAnsi="Book Antiqua" w:cs="宋体"/>
          <w:kern w:val="0"/>
          <w:lang w:eastAsia="zh-CN"/>
        </w:rPr>
        <w:t>163</w:t>
      </w:r>
      <w:r w:rsidRPr="00C40A8B">
        <w:rPr>
          <w:rFonts w:ascii="Book Antiqua" w:hAnsi="Book Antiqua" w:cs="宋体"/>
          <w:b/>
          <w:kern w:val="0"/>
          <w:lang w:eastAsia="zh-CN"/>
        </w:rPr>
        <w:t xml:space="preserve"> Kang HS</w:t>
      </w:r>
      <w:r w:rsidRPr="00C40A8B">
        <w:rPr>
          <w:rFonts w:ascii="Book Antiqua" w:hAnsi="Book Antiqua" w:cs="宋体"/>
          <w:kern w:val="0"/>
          <w:lang w:eastAsia="zh-CN"/>
        </w:rPr>
        <w:t xml:space="preserve">, Park JJ, Ahn SK, Hur DG, Kim HY. </w:t>
      </w:r>
      <w:bookmarkStart w:id="522" w:name="OLE_LINK2505"/>
      <w:bookmarkStart w:id="523" w:name="OLE_LINK2506"/>
      <w:r w:rsidRPr="00C40A8B">
        <w:rPr>
          <w:rFonts w:ascii="Book Antiqua" w:hAnsi="Book Antiqua" w:cs="宋体"/>
          <w:kern w:val="0"/>
          <w:lang w:eastAsia="zh-CN"/>
        </w:rPr>
        <w:t xml:space="preserve">Effect of high dose intravenous vitamin C on idiopathic sudden sensorineural hearing loss: a </w:t>
      </w:r>
      <w:r w:rsidRPr="00C40A8B">
        <w:rPr>
          <w:rFonts w:ascii="Book Antiqua" w:hAnsi="Book Antiqua" w:cs="宋体"/>
          <w:kern w:val="0"/>
          <w:lang w:eastAsia="zh-CN"/>
        </w:rPr>
        <w:lastRenderedPageBreak/>
        <w:t xml:space="preserve">prospective single-blind randomized controlled trial. </w:t>
      </w:r>
      <w:bookmarkEnd w:id="522"/>
      <w:bookmarkEnd w:id="523"/>
      <w:r w:rsidRPr="00C40A8B">
        <w:rPr>
          <w:rFonts w:ascii="Book Antiqua" w:hAnsi="Book Antiqua" w:cs="宋体"/>
          <w:i/>
          <w:iCs/>
          <w:kern w:val="0"/>
          <w:lang w:eastAsia="zh-CN"/>
        </w:rPr>
        <w:t>Eur Arch Otorhinolaryngol</w:t>
      </w:r>
      <w:r w:rsidRPr="00C40A8B">
        <w:rPr>
          <w:rFonts w:ascii="Book Antiqua" w:hAnsi="Book Antiqua" w:cs="宋体"/>
          <w:kern w:val="0"/>
          <w:lang w:eastAsia="zh-CN"/>
        </w:rPr>
        <w:t xml:space="preserve"> 2012; </w:t>
      </w:r>
      <w:r w:rsidRPr="00A84B76">
        <w:rPr>
          <w:rFonts w:ascii="Book Antiqua" w:hAnsi="Book Antiqua" w:cs="宋体"/>
          <w:kern w:val="0"/>
          <w:lang w:eastAsia="zh-CN"/>
        </w:rPr>
        <w:t>[Epub ahead of print]</w:t>
      </w:r>
      <w:r w:rsidRPr="00C40A8B">
        <w:rPr>
          <w:rFonts w:ascii="Book Antiqua" w:hAnsi="Book Antiqua" w:cs="宋体"/>
          <w:kern w:val="0"/>
          <w:lang w:eastAsia="zh-CN"/>
        </w:rPr>
        <w:t xml:space="preserve"> [PMID: 23208525 DOI: 10.1007/s00405-012-2294-y]</w:t>
      </w:r>
    </w:p>
    <w:p w:rsidR="00726399" w:rsidRDefault="00726399" w:rsidP="00E60C33">
      <w:pPr>
        <w:widowControl/>
        <w:snapToGrid w:val="0"/>
        <w:spacing w:line="360" w:lineRule="auto"/>
        <w:rPr>
          <w:rFonts w:ascii="Book Antiqua" w:hAnsi="Book Antiqua"/>
          <w:lang w:eastAsia="zh-CN"/>
        </w:rPr>
      </w:pPr>
    </w:p>
    <w:p w:rsidR="00726399" w:rsidRDefault="00726399" w:rsidP="00A84B76">
      <w:pPr>
        <w:tabs>
          <w:tab w:val="left" w:pos="180"/>
          <w:tab w:val="left" w:pos="360"/>
        </w:tabs>
        <w:adjustRightInd w:val="0"/>
        <w:snapToGrid w:val="0"/>
        <w:spacing w:line="360" w:lineRule="auto"/>
        <w:jc w:val="right"/>
        <w:rPr>
          <w:rFonts w:ascii="Book Antiqua" w:hAnsi="Book Antiqua" w:cs="Tahoma"/>
          <w:b/>
          <w:color w:val="000000"/>
          <w:lang w:eastAsia="zh-CN"/>
        </w:rPr>
      </w:pPr>
      <w:bookmarkStart w:id="524" w:name="OLE_LINK874"/>
      <w:bookmarkStart w:id="525" w:name="OLE_LINK875"/>
      <w:bookmarkStart w:id="526" w:name="OLE_LINK347"/>
      <w:bookmarkStart w:id="527" w:name="OLE_LINK384"/>
      <w:bookmarkStart w:id="528" w:name="OLE_LINK557"/>
      <w:bookmarkStart w:id="529" w:name="OLE_LINK558"/>
      <w:bookmarkStart w:id="530" w:name="OLE_LINK631"/>
      <w:bookmarkStart w:id="531" w:name="OLE_LINK632"/>
      <w:bookmarkStart w:id="532" w:name="OLE_LINK386"/>
      <w:bookmarkStart w:id="533" w:name="OLE_LINK431"/>
      <w:bookmarkStart w:id="534" w:name="OLE_LINK564"/>
      <w:bookmarkStart w:id="535" w:name="OLE_LINK493"/>
      <w:bookmarkStart w:id="536" w:name="OLE_LINK442"/>
      <w:bookmarkStart w:id="537" w:name="OLE_LINK551"/>
      <w:bookmarkStart w:id="538" w:name="OLE_LINK668"/>
      <w:bookmarkStart w:id="539" w:name="OLE_LINK669"/>
      <w:bookmarkStart w:id="540" w:name="OLE_LINK725"/>
      <w:bookmarkStart w:id="541" w:name="OLE_LINK489"/>
      <w:bookmarkStart w:id="542" w:name="OLE_LINK602"/>
      <w:bookmarkStart w:id="543" w:name="OLE_LINK658"/>
      <w:bookmarkStart w:id="544" w:name="OLE_LINK747"/>
      <w:bookmarkStart w:id="545" w:name="OLE_LINK897"/>
      <w:bookmarkStart w:id="546" w:name="OLE_LINK1138"/>
      <w:bookmarkStart w:id="547" w:name="OLE_LINK1139"/>
      <w:bookmarkStart w:id="548" w:name="OLE_LINK882"/>
      <w:bookmarkStart w:id="549" w:name="OLE_LINK1095"/>
      <w:bookmarkStart w:id="550" w:name="OLE_LINK1305"/>
      <w:bookmarkStart w:id="551" w:name="OLE_LINK1390"/>
      <w:bookmarkStart w:id="552" w:name="OLE_LINK964"/>
      <w:bookmarkStart w:id="553" w:name="OLE_LINK1190"/>
      <w:bookmarkStart w:id="554" w:name="OLE_LINK1314"/>
      <w:bookmarkStart w:id="555" w:name="OLE_LINK1031"/>
      <w:bookmarkStart w:id="556" w:name="OLE_LINK1092"/>
      <w:bookmarkStart w:id="557" w:name="OLE_LINK1258"/>
      <w:bookmarkStart w:id="558" w:name="OLE_LINK1259"/>
      <w:bookmarkStart w:id="559" w:name="OLE_LINK1337"/>
      <w:bookmarkStart w:id="560" w:name="OLE_LINK1338"/>
      <w:bookmarkStart w:id="561" w:name="OLE_LINK1363"/>
      <w:bookmarkStart w:id="562" w:name="OLE_LINK1364"/>
      <w:bookmarkStart w:id="563" w:name="OLE_LINK86"/>
      <w:bookmarkStart w:id="564" w:name="OLE_LINK1595"/>
      <w:bookmarkStart w:id="565" w:name="OLE_LINK1613"/>
      <w:bookmarkStart w:id="566" w:name="OLE_LINK1708"/>
      <w:bookmarkStart w:id="567" w:name="OLE_LINK1774"/>
      <w:bookmarkStart w:id="568" w:name="OLE_LINK1872"/>
      <w:bookmarkStart w:id="569" w:name="OLE_LINK1899"/>
      <w:bookmarkStart w:id="570" w:name="OLE_LINK1492"/>
      <w:bookmarkStart w:id="571" w:name="OLE_LINK1497"/>
      <w:bookmarkStart w:id="572" w:name="OLE_LINK1498"/>
      <w:bookmarkStart w:id="573" w:name="OLE_LINK1589"/>
      <w:bookmarkStart w:id="574" w:name="OLE_LINK1666"/>
      <w:bookmarkStart w:id="575" w:name="OLE_LINK1752"/>
      <w:bookmarkStart w:id="576" w:name="OLE_LINK1616"/>
      <w:bookmarkStart w:id="577" w:name="OLE_LINK1696"/>
      <w:bookmarkStart w:id="578" w:name="OLE_LINK1855"/>
      <w:bookmarkStart w:id="579" w:name="OLE_LINK1942"/>
      <w:bookmarkStart w:id="580" w:name="OLE_LINK1943"/>
      <w:bookmarkStart w:id="581" w:name="OLE_LINK1573"/>
      <w:bookmarkStart w:id="582" w:name="OLE_LINK1574"/>
      <w:bookmarkStart w:id="583" w:name="OLE_LINK1575"/>
      <w:bookmarkStart w:id="584" w:name="OLE_LINK1739"/>
      <w:bookmarkStart w:id="585" w:name="OLE_LINK1761"/>
      <w:bookmarkStart w:id="586" w:name="OLE_LINK1743"/>
      <w:bookmarkStart w:id="587" w:name="OLE_LINK1841"/>
      <w:bookmarkStart w:id="588" w:name="OLE_LINK1858"/>
      <w:bookmarkStart w:id="589" w:name="OLE_LINK1890"/>
      <w:bookmarkStart w:id="590" w:name="OLE_LINK1915"/>
      <w:bookmarkStart w:id="591" w:name="OLE_LINK1980"/>
      <w:bookmarkStart w:id="592" w:name="OLE_LINK1883"/>
      <w:bookmarkStart w:id="593" w:name="OLE_LINK1935"/>
      <w:bookmarkStart w:id="594" w:name="OLE_LINK1936"/>
      <w:bookmarkStart w:id="595" w:name="OLE_LINK1952"/>
      <w:bookmarkStart w:id="596" w:name="OLE_LINK1953"/>
      <w:bookmarkStart w:id="597" w:name="OLE_LINK1999"/>
      <w:bookmarkStart w:id="598" w:name="OLE_LINK2050"/>
      <w:bookmarkStart w:id="599" w:name="OLE_LINK1862"/>
      <w:bookmarkStart w:id="600" w:name="OLE_LINK1963"/>
      <w:bookmarkStart w:id="601" w:name="OLE_LINK2052"/>
      <w:bookmarkStart w:id="602" w:name="OLE_LINK1906"/>
      <w:bookmarkStart w:id="603" w:name="OLE_LINK2031"/>
      <w:bookmarkStart w:id="604" w:name="OLE_LINK2032"/>
      <w:bookmarkStart w:id="605" w:name="OLE_LINK1907"/>
      <w:bookmarkStart w:id="606" w:name="OLE_LINK2004"/>
      <w:bookmarkStart w:id="607" w:name="OLE_LINK2238"/>
      <w:bookmarkStart w:id="608" w:name="OLE_LINK2239"/>
      <w:bookmarkStart w:id="609" w:name="OLE_LINK2163"/>
      <w:bookmarkStart w:id="610" w:name="OLE_LINK2207"/>
      <w:bookmarkStart w:id="611" w:name="OLE_LINK2341"/>
      <w:bookmarkStart w:id="612" w:name="OLE_LINK2509"/>
      <w:bookmarkStart w:id="613" w:name="OLE_LINK2510"/>
      <w:bookmarkStart w:id="614" w:name="OLE_LINK2511"/>
      <w:bookmarkStart w:id="615" w:name="OLE_LINK2512"/>
      <w:bookmarkStart w:id="616" w:name="OLE_LINK2513"/>
      <w:bookmarkStart w:id="617" w:name="OLE_LINK2514"/>
      <w:bookmarkStart w:id="618" w:name="OLE_LINK2515"/>
      <w:bookmarkStart w:id="619" w:name="OLE_LINK2516"/>
      <w:bookmarkStart w:id="620" w:name="OLE_LINK2517"/>
      <w:bookmarkStart w:id="621" w:name="OLE_LINK2518"/>
      <w:bookmarkStart w:id="622" w:name="OLE_LINK2519"/>
      <w:bookmarkStart w:id="623" w:name="OLE_LINK2520"/>
      <w:bookmarkStart w:id="624" w:name="OLE_LINK2521"/>
      <w:bookmarkStart w:id="625" w:name="OLE_LINK2522"/>
      <w:bookmarkStart w:id="626" w:name="OLE_LINK2523"/>
      <w:bookmarkStart w:id="627" w:name="OLE_LINK2524"/>
      <w:bookmarkStart w:id="628" w:name="OLE_LINK2051"/>
      <w:bookmarkStart w:id="629" w:name="OLE_LINK2109"/>
      <w:bookmarkStart w:id="630" w:name="OLE_LINK2165"/>
      <w:bookmarkStart w:id="631" w:name="OLE_LINK2593"/>
      <w:bookmarkStart w:id="632" w:name="OLE_LINK2332"/>
      <w:bookmarkStart w:id="633" w:name="OLE_LINK2448"/>
      <w:bookmarkStart w:id="634" w:name="OLE_LINK2525"/>
      <w:bookmarkStart w:id="635" w:name="OLE_LINK2507"/>
      <w:bookmarkStart w:id="636" w:name="OLE_LINK2291"/>
      <w:bookmarkStart w:id="637" w:name="OLE_LINK2294"/>
      <w:bookmarkStart w:id="638" w:name="OLE_LINK2298"/>
      <w:bookmarkStart w:id="639" w:name="OLE_LINK2300"/>
      <w:bookmarkStart w:id="640" w:name="OLE_LINK2301"/>
      <w:r w:rsidRPr="00C56046">
        <w:rPr>
          <w:rFonts w:ascii="Book Antiqua" w:hAnsi="Book Antiqua" w:cs="Tahoma"/>
          <w:b/>
          <w:color w:val="000000"/>
        </w:rPr>
        <w:t>P-Reviewer</w:t>
      </w:r>
      <w:r>
        <w:rPr>
          <w:rFonts w:ascii="Book Antiqua" w:hAnsi="Book Antiqua" w:cs="Tahoma"/>
          <w:b/>
          <w:color w:val="000000"/>
          <w:lang w:eastAsia="zh-CN"/>
        </w:rPr>
        <w:t xml:space="preserve">s </w:t>
      </w:r>
      <w:r w:rsidRPr="00A84B76">
        <w:rPr>
          <w:rFonts w:ascii="Book Antiqua" w:hAnsi="Book Antiqua" w:cs="Tahoma"/>
          <w:color w:val="000000"/>
          <w:lang w:eastAsia="zh-CN"/>
        </w:rPr>
        <w:t>Ciuman R, Gross M, Nakashima T</w:t>
      </w:r>
      <w:r w:rsidRPr="00C56046">
        <w:rPr>
          <w:rFonts w:ascii="Book Antiqua" w:hAnsi="Book Antiqua" w:cs="Tahoma"/>
          <w:b/>
          <w:color w:val="000000"/>
        </w:rPr>
        <w:t xml:space="preserve"> S-Editor </w:t>
      </w:r>
      <w:r w:rsidRPr="00C56046">
        <w:rPr>
          <w:rFonts w:ascii="Book Antiqua" w:hAnsi="Book Antiqua" w:cs="Tahoma"/>
          <w:color w:val="000000"/>
        </w:rPr>
        <w:t xml:space="preserve">Gou SX </w:t>
      </w:r>
      <w:r w:rsidRPr="00C56046">
        <w:rPr>
          <w:rFonts w:ascii="Book Antiqua" w:hAnsi="Book Antiqua" w:cs="Tahoma"/>
          <w:b/>
          <w:color w:val="000000"/>
        </w:rPr>
        <w:t xml:space="preserve"> </w:t>
      </w:r>
    </w:p>
    <w:p w:rsidR="00726399" w:rsidRPr="00C56046" w:rsidRDefault="00726399" w:rsidP="00A84B76">
      <w:pPr>
        <w:tabs>
          <w:tab w:val="left" w:pos="180"/>
          <w:tab w:val="left" w:pos="360"/>
        </w:tabs>
        <w:adjustRightInd w:val="0"/>
        <w:snapToGrid w:val="0"/>
        <w:spacing w:line="360" w:lineRule="auto"/>
        <w:jc w:val="right"/>
        <w:rPr>
          <w:rFonts w:ascii="Book Antiqua" w:hAnsi="Book Antiqua" w:cs="Tahoma"/>
          <w:b/>
          <w:color w:val="000000"/>
        </w:rPr>
      </w:pPr>
      <w:r w:rsidRPr="00C56046">
        <w:rPr>
          <w:rFonts w:ascii="Book Antiqua" w:hAnsi="Book Antiqua" w:cs="Tahoma"/>
          <w:b/>
          <w:color w:val="000000"/>
        </w:rPr>
        <w:t>L-Editor    E-Edito</w:t>
      </w:r>
      <w:bookmarkEnd w:id="524"/>
      <w:bookmarkEnd w:id="525"/>
      <w:r w:rsidRPr="00C56046">
        <w:rPr>
          <w:rFonts w:ascii="Book Antiqua" w:hAnsi="Book Antiqua" w:cs="Tahoma"/>
          <w:b/>
          <w:color w:val="000000"/>
        </w:rPr>
        <w:t>r</w:t>
      </w:r>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rsidR="00726399" w:rsidRPr="00A84B76" w:rsidRDefault="00726399" w:rsidP="00E60C33">
      <w:pPr>
        <w:widowControl/>
        <w:snapToGrid w:val="0"/>
        <w:spacing w:line="360" w:lineRule="auto"/>
        <w:rPr>
          <w:rFonts w:ascii="Book Antiqua" w:hAnsi="Book Antiqua"/>
          <w:lang w:eastAsia="zh-CN"/>
        </w:rPr>
      </w:pPr>
    </w:p>
    <w:p w:rsidR="00726399" w:rsidRPr="00C40A8B" w:rsidRDefault="00522642" w:rsidP="00E60C33">
      <w:pPr>
        <w:snapToGrid w:val="0"/>
        <w:spacing w:line="360" w:lineRule="auto"/>
        <w:rPr>
          <w:rFonts w:ascii="Book Antiqua" w:hAnsi="Book Antiqua"/>
          <w:b/>
        </w:rPr>
      </w:pPr>
      <w:r>
        <w:rPr>
          <w:rFonts w:ascii="Book Antiqua" w:hAnsi="Book Antiqua"/>
          <w:noProof/>
          <w:lang w:eastAsia="zh-CN"/>
        </w:rPr>
        <w:lastRenderedPageBreak/>
        <w:drawing>
          <wp:inline distT="0" distB="0" distL="0" distR="0">
            <wp:extent cx="5391785" cy="72809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785" cy="7280910"/>
                    </a:xfrm>
                    <a:prstGeom prst="rect">
                      <a:avLst/>
                    </a:prstGeom>
                    <a:noFill/>
                    <a:ln>
                      <a:noFill/>
                    </a:ln>
                  </pic:spPr>
                </pic:pic>
              </a:graphicData>
            </a:graphic>
          </wp:inline>
        </w:drawing>
      </w:r>
      <w:r w:rsidR="00726399" w:rsidRPr="00C40A8B">
        <w:rPr>
          <w:rFonts w:ascii="Book Antiqua" w:hAnsi="Book Antiqua"/>
          <w:b/>
        </w:rPr>
        <w:t>Figure 1 Characteristics of the lateral wall stress response</w:t>
      </w:r>
      <w:r w:rsidR="00726399" w:rsidRPr="00C40A8B">
        <w:rPr>
          <w:rFonts w:ascii="Book Antiqua" w:hAnsi="Book Antiqua"/>
          <w:b/>
          <w:lang w:eastAsia="zh-CN"/>
        </w:rPr>
        <w:t>.</w:t>
      </w:r>
      <w:r w:rsidR="00726399" w:rsidRPr="00C40A8B">
        <w:rPr>
          <w:rFonts w:ascii="Book Antiqua" w:hAnsi="Book Antiqua"/>
          <w:lang w:eastAsia="zh-CN"/>
        </w:rPr>
        <w:t xml:space="preserve"> A-D:</w:t>
      </w:r>
      <w:r w:rsidR="00726399" w:rsidRPr="00C40A8B">
        <w:rPr>
          <w:rFonts w:ascii="Book Antiqua" w:hAnsi="Book Antiqua"/>
          <w:b/>
          <w:lang w:eastAsia="zh-CN"/>
        </w:rPr>
        <w:t xml:space="preserve"> </w:t>
      </w:r>
      <w:r w:rsidR="00726399" w:rsidRPr="00C40A8B">
        <w:rPr>
          <w:rFonts w:ascii="Book Antiqua" w:hAnsi="Book Antiqua"/>
        </w:rPr>
        <w:t xml:space="preserve">The lateral wall is composed of the stria vascularis (SV) and the spiral ligament, in which there are four types of fibrocytes (I-IV). Intraperitoneal lipopolysaccharide (LPS) injection mainly activates </w:t>
      </w:r>
      <w:bookmarkStart w:id="641" w:name="OLE_LINK2410"/>
      <w:bookmarkStart w:id="642" w:name="OLE_LINK2411"/>
      <w:bookmarkStart w:id="643" w:name="OLE_LINK2412"/>
      <w:r w:rsidR="00726399" w:rsidRPr="00C40A8B">
        <w:rPr>
          <w:rFonts w:ascii="Book Antiqua" w:hAnsi="Book Antiqua"/>
          <w:kern w:val="0"/>
          <w:lang w:eastAsia="zh-CN"/>
        </w:rPr>
        <w:t>n</w:t>
      </w:r>
      <w:r w:rsidR="00726399" w:rsidRPr="00C40A8B">
        <w:rPr>
          <w:rFonts w:ascii="Book Antiqua" w:hAnsi="Book Antiqua"/>
          <w:kern w:val="0"/>
        </w:rPr>
        <w:t xml:space="preserve">uclear factor kappa-light-chain-enhancer of </w:t>
      </w:r>
      <w:r w:rsidR="00726399" w:rsidRPr="00C40A8B">
        <w:rPr>
          <w:rFonts w:ascii="Book Antiqua" w:hAnsi="Book Antiqua"/>
          <w:kern w:val="0"/>
        </w:rPr>
        <w:lastRenderedPageBreak/>
        <w:t>activated B cells</w:t>
      </w:r>
      <w:r w:rsidR="00726399" w:rsidRPr="00C40A8B">
        <w:rPr>
          <w:rFonts w:ascii="Book Antiqua" w:hAnsi="Book Antiqua" w:cs="AdvPL"/>
          <w:kern w:val="0"/>
        </w:rPr>
        <w:t xml:space="preserve"> </w:t>
      </w:r>
      <w:r w:rsidR="00726399" w:rsidRPr="00C40A8B">
        <w:rPr>
          <w:rFonts w:ascii="Book Antiqua" w:hAnsi="Book Antiqua" w:cs="AdvPL"/>
          <w:kern w:val="0"/>
          <w:lang w:eastAsia="zh-CN"/>
        </w:rPr>
        <w:t>(</w:t>
      </w:r>
      <w:r w:rsidR="00726399" w:rsidRPr="00C40A8B">
        <w:rPr>
          <w:rFonts w:ascii="Book Antiqua" w:hAnsi="Book Antiqua" w:cs="AdvPL"/>
          <w:kern w:val="0"/>
        </w:rPr>
        <w:t>NF-κB</w:t>
      </w:r>
      <w:r w:rsidR="00726399" w:rsidRPr="00C40A8B">
        <w:rPr>
          <w:rFonts w:ascii="Book Antiqua" w:hAnsi="Book Antiqua" w:cs="AdvPL"/>
          <w:kern w:val="0"/>
          <w:lang w:eastAsia="zh-CN"/>
        </w:rPr>
        <w:t>)</w:t>
      </w:r>
      <w:r w:rsidR="00726399" w:rsidRPr="00C40A8B">
        <w:rPr>
          <w:rFonts w:ascii="Book Antiqua" w:hAnsi="Book Antiqua"/>
        </w:rPr>
        <w:t xml:space="preserve"> </w:t>
      </w:r>
      <w:bookmarkEnd w:id="641"/>
      <w:bookmarkEnd w:id="642"/>
      <w:bookmarkEnd w:id="643"/>
      <w:r w:rsidR="00726399" w:rsidRPr="00C40A8B">
        <w:rPr>
          <w:rFonts w:ascii="Book Antiqua" w:hAnsi="Book Antiqua"/>
        </w:rPr>
        <w:t>(red dots) in the type II fibrocytes asymmetrically between the two ears. However, local LPS injection (</w:t>
      </w:r>
      <w:r w:rsidR="00726399" w:rsidRPr="00C40A8B">
        <w:rPr>
          <w:rFonts w:ascii="Book Antiqua" w:hAnsi="Book Antiqua"/>
          <w:i/>
        </w:rPr>
        <w:t>i.e.</w:t>
      </w:r>
      <w:r w:rsidR="00726399" w:rsidRPr="00C40A8B">
        <w:rPr>
          <w:rFonts w:ascii="Book Antiqua" w:hAnsi="Book Antiqua"/>
        </w:rPr>
        <w:t xml:space="preserve"> intratympanic injection) does not induce the activation. Noise exposure activates NF-κB in type I fibrocytes symmetrically at first. Systemic cisplatin injection activates NF-κB in the whole lateral wall, outer hair cells (HCs), and the spiral limbus, and causes HC loss</w:t>
      </w:r>
      <w:r w:rsidR="00726399" w:rsidRPr="00C40A8B">
        <w:rPr>
          <w:rFonts w:ascii="Book Antiqua" w:hAnsi="Book Antiqua"/>
          <w:lang w:eastAsia="zh-CN"/>
        </w:rPr>
        <w:t>; E:</w:t>
      </w:r>
      <w:r w:rsidR="00726399" w:rsidRPr="00C40A8B">
        <w:rPr>
          <w:rFonts w:ascii="Book Antiqua" w:hAnsi="Book Antiqua"/>
        </w:rPr>
        <w:t xml:space="preserve"> Mild energy failure of the lateral wall causes transient threshold shift (TTS)</w:t>
      </w:r>
      <w:r w:rsidR="00726399" w:rsidRPr="00C40A8B">
        <w:rPr>
          <w:rFonts w:ascii="Book Antiqua" w:hAnsi="Book Antiqua"/>
          <w:lang w:eastAsia="zh-CN"/>
        </w:rPr>
        <w:t>; F:</w:t>
      </w:r>
      <w:r w:rsidR="00726399" w:rsidRPr="00C40A8B">
        <w:rPr>
          <w:rFonts w:ascii="Book Antiqua" w:hAnsi="Book Antiqua"/>
        </w:rPr>
        <w:t xml:space="preserve"> However, severe energy failure causes permanent threshold shift (PTS) with degeneration of cochlear lateral wall, and mild degeneration of the organ of Corti.</w:t>
      </w:r>
    </w:p>
    <w:p w:rsidR="00726399" w:rsidRPr="00C40A8B" w:rsidRDefault="00522642" w:rsidP="00E60C33">
      <w:pPr>
        <w:snapToGrid w:val="0"/>
        <w:spacing w:line="360" w:lineRule="auto"/>
        <w:rPr>
          <w:rFonts w:ascii="Book Antiqua" w:hAnsi="Book Antiqua"/>
          <w:color w:val="000000"/>
          <w:kern w:val="0"/>
          <w:lang w:eastAsia="zh-CN"/>
        </w:rPr>
      </w:pPr>
      <w:r>
        <w:rPr>
          <w:rFonts w:ascii="Book Antiqua" w:hAnsi="Book Antiqua"/>
          <w:noProof/>
          <w:color w:val="000000"/>
          <w:kern w:val="0"/>
          <w:lang w:eastAsia="zh-CN"/>
        </w:rPr>
        <w:drawing>
          <wp:inline distT="0" distB="0" distL="0" distR="0">
            <wp:extent cx="5313680" cy="4244340"/>
            <wp:effectExtent l="0" t="0" r="127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680" cy="4244340"/>
                    </a:xfrm>
                    <a:prstGeom prst="rect">
                      <a:avLst/>
                    </a:prstGeom>
                    <a:noFill/>
                    <a:ln>
                      <a:noFill/>
                    </a:ln>
                  </pic:spPr>
                </pic:pic>
              </a:graphicData>
            </a:graphic>
          </wp:inline>
        </w:drawing>
      </w:r>
    </w:p>
    <w:p w:rsidR="00726399" w:rsidRPr="00C40A8B" w:rsidRDefault="00726399" w:rsidP="00E60C33">
      <w:pPr>
        <w:snapToGrid w:val="0"/>
        <w:spacing w:line="360" w:lineRule="auto"/>
        <w:rPr>
          <w:rFonts w:ascii="Book Antiqua" w:hAnsi="Book Antiqua"/>
          <w:b/>
        </w:rPr>
      </w:pPr>
      <w:r w:rsidRPr="00C40A8B">
        <w:rPr>
          <w:rFonts w:ascii="Book Antiqua" w:hAnsi="Book Antiqua"/>
          <w:b/>
        </w:rPr>
        <w:t>Figure 2 The stress response theory</w:t>
      </w:r>
      <w:r w:rsidRPr="00C40A8B">
        <w:rPr>
          <w:rFonts w:ascii="Book Antiqua" w:hAnsi="Book Antiqua"/>
          <w:b/>
          <w:lang w:eastAsia="zh-CN"/>
        </w:rPr>
        <w:t xml:space="preserve">. </w:t>
      </w:r>
      <w:r w:rsidRPr="00C40A8B">
        <w:rPr>
          <w:rFonts w:ascii="Book Antiqua" w:hAnsi="Book Antiqua"/>
        </w:rPr>
        <w:t xml:space="preserve">Synchronism of different types of stressors activate </w:t>
      </w:r>
      <w:r w:rsidRPr="00C40A8B">
        <w:rPr>
          <w:rFonts w:ascii="Book Antiqua" w:hAnsi="Book Antiqua"/>
          <w:kern w:val="0"/>
          <w:lang w:eastAsia="zh-CN"/>
        </w:rPr>
        <w:t>n</w:t>
      </w:r>
      <w:r w:rsidRPr="00C40A8B">
        <w:rPr>
          <w:rFonts w:ascii="Book Antiqua" w:hAnsi="Book Antiqua"/>
          <w:kern w:val="0"/>
        </w:rPr>
        <w:t>uclear factor kappa-light-chain-enhancer of activated B cells</w:t>
      </w:r>
      <w:r w:rsidRPr="00C40A8B">
        <w:rPr>
          <w:rFonts w:ascii="Book Antiqua" w:hAnsi="Book Antiqua" w:cs="AdvPL"/>
          <w:kern w:val="0"/>
        </w:rPr>
        <w:t xml:space="preserve"> </w:t>
      </w:r>
      <w:r w:rsidRPr="00C40A8B">
        <w:rPr>
          <w:rFonts w:ascii="Book Antiqua" w:hAnsi="Book Antiqua" w:cs="AdvPL"/>
          <w:kern w:val="0"/>
          <w:lang w:eastAsia="zh-CN"/>
        </w:rPr>
        <w:t>(</w:t>
      </w:r>
      <w:r w:rsidRPr="00C40A8B">
        <w:rPr>
          <w:rFonts w:ascii="Book Antiqua" w:hAnsi="Book Antiqua" w:cs="AdvPL"/>
          <w:kern w:val="0"/>
        </w:rPr>
        <w:t>NF-κB</w:t>
      </w:r>
      <w:r w:rsidRPr="00C40A8B">
        <w:rPr>
          <w:rFonts w:ascii="Book Antiqua" w:hAnsi="Book Antiqua" w:cs="AdvPL"/>
          <w:kern w:val="0"/>
          <w:lang w:eastAsia="zh-CN"/>
        </w:rPr>
        <w:t>)</w:t>
      </w:r>
      <w:r w:rsidRPr="00C40A8B">
        <w:rPr>
          <w:rFonts w:ascii="Book Antiqua" w:hAnsi="Book Antiqua"/>
        </w:rPr>
        <w:t xml:space="preserve"> of the cochlear lateral wall and cause </w:t>
      </w:r>
      <w:bookmarkStart w:id="644" w:name="OLE_LINK2424"/>
      <w:bookmarkStart w:id="645" w:name="OLE_LINK2425"/>
      <w:bookmarkStart w:id="646" w:name="OLE_LINK2426"/>
      <w:r w:rsidRPr="00C40A8B">
        <w:rPr>
          <w:rFonts w:ascii="Book Antiqua" w:hAnsi="Book Antiqua"/>
          <w:color w:val="000000"/>
          <w:kern w:val="0"/>
        </w:rPr>
        <w:t>idiopathic sudden sensorineural hearing loss</w:t>
      </w:r>
      <w:bookmarkEnd w:id="644"/>
      <w:bookmarkEnd w:id="645"/>
      <w:bookmarkEnd w:id="646"/>
      <w:r w:rsidRPr="00C40A8B">
        <w:rPr>
          <w:rFonts w:ascii="Book Antiqua" w:hAnsi="Book Antiqua"/>
          <w:color w:val="000000"/>
          <w:kern w:val="0"/>
        </w:rPr>
        <w:t xml:space="preserve"> (ISHL)</w:t>
      </w:r>
      <w:r w:rsidRPr="00C40A8B">
        <w:rPr>
          <w:rFonts w:ascii="Book Antiqua" w:hAnsi="Book Antiqua"/>
        </w:rPr>
        <w:t xml:space="preserve">. The causative factors should occur in order to make an effective positive feedback loop for breaking open the abnormal NF-κB activation in the </w:t>
      </w:r>
      <w:r w:rsidRPr="00C40A8B">
        <w:rPr>
          <w:rFonts w:ascii="Book Antiqua" w:hAnsi="Book Antiqua"/>
        </w:rPr>
        <w:lastRenderedPageBreak/>
        <w:t xml:space="preserve">lateral wall. Stressful life-events </w:t>
      </w:r>
      <w:bookmarkStart w:id="647" w:name="OLE_LINK2417"/>
      <w:bookmarkStart w:id="648" w:name="OLE_LINK2418"/>
      <w:bookmarkStart w:id="649" w:name="OLE_LINK2419"/>
      <w:bookmarkStart w:id="650" w:name="OLE_LINK2420"/>
      <w:r w:rsidRPr="00C40A8B">
        <w:rPr>
          <w:rFonts w:ascii="Book Antiqua" w:hAnsi="Book Antiqua"/>
        </w:rPr>
        <w:t>decrease natural killer cell activity (NKCA), stimulate</w:t>
      </w:r>
      <w:bookmarkEnd w:id="647"/>
      <w:bookmarkEnd w:id="648"/>
      <w:bookmarkEnd w:id="649"/>
      <w:bookmarkEnd w:id="650"/>
      <w:r w:rsidRPr="00C40A8B">
        <w:rPr>
          <w:rFonts w:ascii="Book Antiqua" w:hAnsi="Book Antiqua"/>
        </w:rPr>
        <w:t xml:space="preserve"> the hypothalamic-pituitary-adrenal (HPA) axis and the sympathetic nervous system (SNS), and increase cytokines.</w:t>
      </w:r>
      <w:r w:rsidRPr="00C40A8B">
        <w:rPr>
          <w:rFonts w:ascii="Book Antiqua" w:hAnsi="Book Antiqua" w:hint="eastAsia"/>
        </w:rPr>
        <w:t xml:space="preserve">　</w:t>
      </w:r>
      <w:r w:rsidRPr="00C40A8B">
        <w:rPr>
          <w:rFonts w:ascii="Book Antiqua" w:hAnsi="Book Antiqua"/>
        </w:rPr>
        <w:t xml:space="preserve">The decrease of NKCA induces subclinical infection and/or immune system dysregulation, and then neutrophils and cytokines increase acutely, making the positive feedback loop. The acute increase of neutrophils and a cytokine like </w:t>
      </w:r>
      <w:bookmarkStart w:id="651" w:name="OLE_LINK2421"/>
      <w:bookmarkStart w:id="652" w:name="OLE_LINK2423"/>
      <w:r w:rsidRPr="00C40A8B">
        <w:rPr>
          <w:rFonts w:ascii="Book Antiqua" w:hAnsi="Book Antiqua"/>
        </w:rPr>
        <w:t xml:space="preserve">tumor necrosis factor alpha impede </w:t>
      </w:r>
      <w:bookmarkEnd w:id="651"/>
      <w:bookmarkEnd w:id="652"/>
      <w:r w:rsidRPr="00C40A8B">
        <w:rPr>
          <w:rFonts w:ascii="Book Antiqua" w:hAnsi="Book Antiqua"/>
        </w:rPr>
        <w:t>blood flow, resulting in acute energy failure of the lateral wall. Systemic stressors also induce and enhance norepinephrine-dependent NF-κB activation and cytokine production through the HPA axis and the SNS. They trigger the lateral wall NF-κB activation. Anatomical asymmetry, pre-existing cochlear injury, and innate factors should be involved in the flow considering the clinical characteristics of IS</w:t>
      </w:r>
      <w:r w:rsidRPr="00C40A8B">
        <w:rPr>
          <w:rFonts w:ascii="Book Antiqua" w:hAnsi="Book Antiqua"/>
          <w:color w:val="000000"/>
        </w:rPr>
        <w:t>HL. These factors potentially explain why ISHL usually affects the ear unilaterally, why prevalence is much lower in childhood than in adulthood, and why ISHL does not affect all persons under stress.</w:t>
      </w:r>
    </w:p>
    <w:p w:rsidR="00726399" w:rsidRPr="00C40A8B" w:rsidRDefault="00726399" w:rsidP="00E60C33">
      <w:pPr>
        <w:snapToGrid w:val="0"/>
        <w:spacing w:line="360" w:lineRule="auto"/>
        <w:rPr>
          <w:rFonts w:ascii="Book Antiqua" w:hAnsi="Book Antiqua"/>
        </w:rPr>
      </w:pPr>
    </w:p>
    <w:p w:rsidR="00726399" w:rsidRPr="00C40A8B" w:rsidRDefault="00726399" w:rsidP="00E60C33">
      <w:pPr>
        <w:widowControl/>
        <w:snapToGrid w:val="0"/>
        <w:spacing w:line="360" w:lineRule="auto"/>
        <w:rPr>
          <w:rFonts w:ascii="Book Antiqua" w:eastAsia="MS PGothic" w:hAnsi="Book Antiqua"/>
          <w:b/>
          <w:color w:val="000000"/>
          <w:kern w:val="0"/>
        </w:rPr>
      </w:pPr>
      <w:r w:rsidRPr="00C40A8B">
        <w:rPr>
          <w:rFonts w:ascii="Book Antiqua" w:eastAsia="MS PGothic" w:hAnsi="Book Antiqua"/>
          <w:b/>
          <w:color w:val="000000"/>
          <w:kern w:val="0"/>
        </w:rPr>
        <w:br w:type="page"/>
      </w:r>
    </w:p>
    <w:p w:rsidR="00726399" w:rsidRPr="00C40A8B" w:rsidRDefault="00726399" w:rsidP="00E60C33">
      <w:pPr>
        <w:snapToGrid w:val="0"/>
        <w:spacing w:line="360" w:lineRule="auto"/>
        <w:rPr>
          <w:rFonts w:ascii="Book Antiqua" w:eastAsia="MS PGothic" w:hAnsi="Book Antiqua"/>
          <w:b/>
          <w:color w:val="000000"/>
          <w:kern w:val="0"/>
        </w:rPr>
        <w:sectPr w:rsidR="00726399" w:rsidRPr="00C40A8B" w:rsidSect="00CE1DD0">
          <w:headerReference w:type="even" r:id="rId9"/>
          <w:headerReference w:type="default" r:id="rId10"/>
          <w:footerReference w:type="even" r:id="rId11"/>
          <w:footerReference w:type="default" r:id="rId12"/>
          <w:pgSz w:w="11906" w:h="16838"/>
          <w:pgMar w:top="1985" w:right="1701" w:bottom="1701" w:left="1701" w:header="851" w:footer="992" w:gutter="0"/>
          <w:cols w:space="425"/>
          <w:docGrid w:type="lines" w:linePitch="286"/>
        </w:sectPr>
      </w:pPr>
    </w:p>
    <w:p w:rsidR="00726399" w:rsidRPr="00C40A8B" w:rsidRDefault="00726399" w:rsidP="00E60C33">
      <w:pPr>
        <w:snapToGrid w:val="0"/>
        <w:spacing w:line="360" w:lineRule="auto"/>
        <w:rPr>
          <w:rFonts w:ascii="Book Antiqua" w:eastAsia="MS PGothic" w:hAnsi="Book Antiqua"/>
          <w:b/>
          <w:color w:val="000000"/>
          <w:kern w:val="0"/>
        </w:rPr>
      </w:pPr>
      <w:r w:rsidRPr="00C40A8B">
        <w:rPr>
          <w:rFonts w:ascii="Book Antiqua" w:eastAsia="MS PGothic" w:hAnsi="Book Antiqua"/>
          <w:b/>
          <w:color w:val="000000"/>
          <w:kern w:val="0"/>
        </w:rPr>
        <w:lastRenderedPageBreak/>
        <w:t xml:space="preserve">Table 1 Potential causes of </w:t>
      </w:r>
      <w:r w:rsidRPr="00C40A8B">
        <w:rPr>
          <w:rFonts w:ascii="Book Antiqua" w:hAnsi="Book Antiqua"/>
          <w:b/>
          <w:color w:val="000000"/>
          <w:kern w:val="0"/>
        </w:rPr>
        <w:t>idiopathic sudden sensorineural hearing loss</w:t>
      </w:r>
      <w:r w:rsidRPr="00C40A8B">
        <w:rPr>
          <w:rFonts w:ascii="Book Antiqua" w:eastAsia="MS PGothic" w:hAnsi="Book Antiqua"/>
          <w:b/>
          <w:color w:val="000000"/>
          <w:kern w:val="0"/>
        </w:rPr>
        <w:t xml:space="preserve"> proposed during this decade</w:t>
      </w:r>
    </w:p>
    <w:tbl>
      <w:tblPr>
        <w:tblW w:w="5000" w:type="pct"/>
        <w:tblBorders>
          <w:top w:val="single" w:sz="4" w:space="0" w:color="auto"/>
          <w:bottom w:val="single" w:sz="4" w:space="0" w:color="auto"/>
        </w:tblBorders>
        <w:tblCellMar>
          <w:left w:w="99" w:type="dxa"/>
          <w:right w:w="99" w:type="dxa"/>
        </w:tblCellMar>
        <w:tblLook w:val="00A0" w:firstRow="1" w:lastRow="0" w:firstColumn="1" w:lastColumn="0" w:noHBand="0" w:noVBand="0"/>
      </w:tblPr>
      <w:tblGrid>
        <w:gridCol w:w="66"/>
        <w:gridCol w:w="1538"/>
        <w:gridCol w:w="61"/>
        <w:gridCol w:w="1977"/>
        <w:gridCol w:w="72"/>
        <w:gridCol w:w="4324"/>
        <w:gridCol w:w="3954"/>
        <w:gridCol w:w="1814"/>
      </w:tblGrid>
      <w:tr w:rsidR="00726399" w:rsidRPr="00480615" w:rsidTr="0066243E">
        <w:trPr>
          <w:trHeight w:val="510"/>
        </w:trPr>
        <w:tc>
          <w:tcPr>
            <w:tcW w:w="581" w:type="pct"/>
            <w:gridSpan w:val="2"/>
            <w:tcBorders>
              <w:top w:val="single" w:sz="4" w:space="0" w:color="auto"/>
              <w:bottom w:val="single" w:sz="4" w:space="0" w:color="auto"/>
            </w:tcBorders>
            <w:vAlign w:val="center"/>
          </w:tcPr>
          <w:p w:rsidR="00726399" w:rsidRPr="00C40A8B" w:rsidRDefault="00726399" w:rsidP="00E60C33">
            <w:pPr>
              <w:widowControl/>
              <w:snapToGrid w:val="0"/>
              <w:spacing w:line="360" w:lineRule="auto"/>
              <w:rPr>
                <w:rFonts w:ascii="Book Antiqua" w:eastAsia="MS PGothic" w:hAnsi="Book Antiqua"/>
                <w:b/>
                <w:kern w:val="0"/>
              </w:rPr>
            </w:pPr>
            <w:bookmarkStart w:id="653" w:name="OLE_LINK2402"/>
            <w:bookmarkStart w:id="654" w:name="OLE_LINK2403"/>
            <w:r w:rsidRPr="00C40A8B">
              <w:rPr>
                <w:rFonts w:ascii="Book Antiqua" w:eastAsia="MS PGothic" w:hAnsi="Book Antiqua"/>
                <w:b/>
                <w:kern w:val="0"/>
              </w:rPr>
              <w:t>Main category</w:t>
            </w:r>
          </w:p>
        </w:tc>
        <w:tc>
          <w:tcPr>
            <w:tcW w:w="764" w:type="pct"/>
            <w:gridSpan w:val="3"/>
            <w:tcBorders>
              <w:top w:val="single" w:sz="4" w:space="0" w:color="auto"/>
              <w:bottom w:val="single" w:sz="4" w:space="0" w:color="auto"/>
            </w:tcBorders>
            <w:vAlign w:val="center"/>
          </w:tcPr>
          <w:p w:rsidR="00726399" w:rsidRPr="00C40A8B" w:rsidRDefault="00726399" w:rsidP="000052C4">
            <w:pPr>
              <w:widowControl/>
              <w:snapToGrid w:val="0"/>
              <w:spacing w:line="360" w:lineRule="auto"/>
              <w:jc w:val="center"/>
              <w:rPr>
                <w:rFonts w:ascii="Book Antiqua" w:eastAsia="MS PGothic" w:hAnsi="Book Antiqua"/>
                <w:b/>
                <w:kern w:val="0"/>
              </w:rPr>
            </w:pPr>
            <w:r w:rsidRPr="00C40A8B">
              <w:rPr>
                <w:rFonts w:ascii="Book Antiqua" w:eastAsia="MS PGothic" w:hAnsi="Book Antiqua"/>
                <w:b/>
                <w:kern w:val="0"/>
              </w:rPr>
              <w:t>Subcategory</w:t>
            </w:r>
          </w:p>
        </w:tc>
        <w:tc>
          <w:tcPr>
            <w:tcW w:w="1566" w:type="pct"/>
            <w:tcBorders>
              <w:top w:val="single" w:sz="4" w:space="0" w:color="auto"/>
              <w:bottom w:val="single" w:sz="4" w:space="0" w:color="auto"/>
            </w:tcBorders>
            <w:vAlign w:val="center"/>
          </w:tcPr>
          <w:p w:rsidR="00726399" w:rsidRPr="00C40A8B" w:rsidRDefault="00726399" w:rsidP="000052C4">
            <w:pPr>
              <w:widowControl/>
              <w:snapToGrid w:val="0"/>
              <w:spacing w:line="360" w:lineRule="auto"/>
              <w:jc w:val="center"/>
              <w:rPr>
                <w:rFonts w:ascii="Book Antiqua" w:eastAsia="MS PGothic" w:hAnsi="Book Antiqua"/>
                <w:b/>
                <w:kern w:val="0"/>
              </w:rPr>
            </w:pPr>
            <w:r w:rsidRPr="00C40A8B">
              <w:rPr>
                <w:rFonts w:ascii="Book Antiqua" w:eastAsia="MS PGothic" w:hAnsi="Book Antiqua"/>
                <w:b/>
                <w:kern w:val="0"/>
              </w:rPr>
              <w:t>Significantly associated factor</w:t>
            </w:r>
          </w:p>
        </w:tc>
        <w:tc>
          <w:tcPr>
            <w:tcW w:w="1432" w:type="pct"/>
            <w:tcBorders>
              <w:top w:val="single" w:sz="4" w:space="0" w:color="auto"/>
              <w:bottom w:val="single" w:sz="4" w:space="0" w:color="auto"/>
            </w:tcBorders>
            <w:vAlign w:val="center"/>
          </w:tcPr>
          <w:p w:rsidR="00726399" w:rsidRPr="00C40A8B" w:rsidRDefault="00726399" w:rsidP="000052C4">
            <w:pPr>
              <w:widowControl/>
              <w:snapToGrid w:val="0"/>
              <w:spacing w:line="360" w:lineRule="auto"/>
              <w:jc w:val="center"/>
              <w:rPr>
                <w:rFonts w:ascii="Book Antiqua" w:eastAsia="MS PGothic" w:hAnsi="Book Antiqua"/>
                <w:b/>
                <w:kern w:val="0"/>
              </w:rPr>
            </w:pPr>
            <w:r w:rsidRPr="00C40A8B">
              <w:rPr>
                <w:rFonts w:ascii="Book Antiqua" w:eastAsia="MS PGothic" w:hAnsi="Book Antiqua"/>
                <w:b/>
                <w:kern w:val="0"/>
              </w:rPr>
              <w:t>NOT significantly associated factor</w:t>
            </w:r>
          </w:p>
        </w:tc>
        <w:tc>
          <w:tcPr>
            <w:tcW w:w="657" w:type="pct"/>
            <w:tcBorders>
              <w:top w:val="single" w:sz="4" w:space="0" w:color="auto"/>
              <w:bottom w:val="single" w:sz="4" w:space="0" w:color="auto"/>
            </w:tcBorders>
            <w:vAlign w:val="center"/>
          </w:tcPr>
          <w:p w:rsidR="00726399" w:rsidRPr="00C40A8B" w:rsidRDefault="00726399" w:rsidP="000052C4">
            <w:pPr>
              <w:widowControl/>
              <w:snapToGrid w:val="0"/>
              <w:spacing w:line="360" w:lineRule="auto"/>
              <w:jc w:val="center"/>
              <w:rPr>
                <w:rFonts w:ascii="Book Antiqua" w:eastAsia="MS PGothic" w:hAnsi="Book Antiqua"/>
                <w:b/>
                <w:kern w:val="0"/>
              </w:rPr>
            </w:pPr>
            <w:r w:rsidRPr="00C40A8B">
              <w:rPr>
                <w:rFonts w:ascii="Book Antiqua" w:eastAsia="MS PGothic" w:hAnsi="Book Antiqua"/>
                <w:b/>
                <w:kern w:val="0"/>
              </w:rPr>
              <w:t>Reference</w:t>
            </w:r>
          </w:p>
        </w:tc>
      </w:tr>
      <w:tr w:rsidR="00726399" w:rsidRPr="00480615" w:rsidTr="0066243E">
        <w:trPr>
          <w:trHeight w:val="660"/>
        </w:trPr>
        <w:tc>
          <w:tcPr>
            <w:tcW w:w="581" w:type="pct"/>
            <w:gridSpan w:val="2"/>
            <w:vMerge w:val="restart"/>
            <w:tcBorders>
              <w:top w:val="single" w:sz="4" w:space="0" w:color="auto"/>
            </w:tcBorders>
          </w:tcPr>
          <w:p w:rsidR="00726399" w:rsidRPr="00C40A8B" w:rsidRDefault="00726399" w:rsidP="00E60C33">
            <w:pPr>
              <w:widowControl/>
              <w:snapToGrid w:val="0"/>
              <w:spacing w:line="360" w:lineRule="auto"/>
              <w:rPr>
                <w:rFonts w:ascii="Book Antiqua" w:eastAsia="MS PGothic" w:hAnsi="Book Antiqua"/>
                <w:kern w:val="0"/>
              </w:rPr>
            </w:pPr>
            <w:r w:rsidRPr="00C40A8B">
              <w:rPr>
                <w:rFonts w:ascii="Book Antiqua" w:eastAsia="MS PGothic" w:hAnsi="Book Antiqua"/>
                <w:kern w:val="0"/>
              </w:rPr>
              <w:t>Vascular Impairment</w:t>
            </w:r>
          </w:p>
        </w:tc>
        <w:tc>
          <w:tcPr>
            <w:tcW w:w="764" w:type="pct"/>
            <w:gridSpan w:val="3"/>
            <w:tcBorders>
              <w:top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Borders>
              <w:top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MTHFR poly., homocysteine</w:t>
            </w:r>
          </w:p>
        </w:tc>
        <w:tc>
          <w:tcPr>
            <w:tcW w:w="1432" w:type="pct"/>
            <w:tcBorders>
              <w:top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FV poly., PT poly., AT, LAC, protein S, protein C</w:t>
            </w:r>
          </w:p>
        </w:tc>
        <w:tc>
          <w:tcPr>
            <w:tcW w:w="657" w:type="pct"/>
            <w:tcBorders>
              <w:top w:val="single" w:sz="4" w:space="0" w:color="auto"/>
            </w:tcBorders>
          </w:tcPr>
          <w:p w:rsidR="00726399" w:rsidRPr="00480615" w:rsidRDefault="00726399" w:rsidP="000052C4">
            <w:pPr>
              <w:widowControl/>
              <w:snapToGrid w:val="0"/>
              <w:spacing w:line="360" w:lineRule="auto"/>
              <w:jc w:val="center"/>
              <w:rPr>
                <w:rFonts w:ascii="Book Antiqua" w:hAnsi="Book Antiqua"/>
                <w:kern w:val="0"/>
                <w:lang w:eastAsia="zh-CN"/>
              </w:rPr>
            </w:pPr>
            <w:r w:rsidRPr="00480615">
              <w:rPr>
                <w:rFonts w:ascii="Book Antiqua" w:hAnsi="Book Antiqua"/>
                <w:kern w:val="0"/>
                <w:lang w:eastAsia="zh-CN"/>
              </w:rPr>
              <w:t>[1,2]</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Medical history</w:t>
            </w: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MTHFR poly., FV Leiden poly., folate, cardioV risk factors</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657" w:type="pct"/>
          </w:tcPr>
          <w:p w:rsidR="00726399" w:rsidRPr="00480615" w:rsidRDefault="00726399" w:rsidP="000052C4">
            <w:pPr>
              <w:widowControl/>
              <w:snapToGrid w:val="0"/>
              <w:spacing w:line="360" w:lineRule="auto"/>
              <w:jc w:val="center"/>
              <w:rPr>
                <w:rFonts w:ascii="Book Antiqua" w:hAnsi="Book Antiqua"/>
                <w:kern w:val="0"/>
                <w:lang w:eastAsia="zh-CN"/>
              </w:rPr>
            </w:pPr>
            <w:bookmarkStart w:id="655" w:name="OLE_LINK2432"/>
            <w:bookmarkStart w:id="656" w:name="OLE_LINK2433"/>
            <w:r w:rsidRPr="00480615">
              <w:rPr>
                <w:rFonts w:ascii="Book Antiqua" w:hAnsi="Book Antiqua"/>
                <w:kern w:val="0"/>
                <w:lang w:eastAsia="zh-CN"/>
              </w:rPr>
              <w:t>[3]</w:t>
            </w:r>
            <w:bookmarkEnd w:id="655"/>
            <w:bookmarkEnd w:id="656"/>
          </w:p>
        </w:tc>
      </w:tr>
      <w:tr w:rsidR="00726399" w:rsidRPr="00480615" w:rsidTr="0066243E">
        <w:trPr>
          <w:trHeight w:val="110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Medical history</w:t>
            </w: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Platelet GlyIa poly.</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Platelet GlyIIIa poly., Framingham cardioV risk factors, FV Leiden poly., PT poly., history of cardioV events, brain stroke, antiphospholipid syndrome</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[4,5]</w:t>
            </w:r>
          </w:p>
        </w:tc>
      </w:tr>
      <w:tr w:rsidR="00726399" w:rsidRPr="00480615" w:rsidTr="0066243E">
        <w:trPr>
          <w:trHeight w:val="403"/>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PAI-1 poly.</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w:t>
            </w:r>
          </w:p>
        </w:tc>
      </w:tr>
      <w:tr w:rsidR="00726399" w:rsidRPr="00480615" w:rsidTr="0066243E">
        <w:trPr>
          <w:trHeight w:val="22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Medical history</w:t>
            </w: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CFH poly. with DM</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HT, lipid</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[7]</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Medical history</w:t>
            </w: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Low FMD of the brachial artery</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Low C-IMTl, LDL, cardioV risk factors</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[8]</w:t>
            </w:r>
          </w:p>
        </w:tc>
      </w:tr>
      <w:tr w:rsidR="00726399" w:rsidRPr="00480615" w:rsidTr="0066243E">
        <w:trPr>
          <w:trHeight w:val="22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Vertebrobasilar junction angulation</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[9]</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High global oxidative stress index</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[10]</w:t>
            </w:r>
          </w:p>
        </w:tc>
      </w:tr>
      <w:tr w:rsidR="00726399" w:rsidRPr="00480615" w:rsidTr="0066243E">
        <w:trPr>
          <w:trHeight w:val="22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FV Leiden poly., PT poly.</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[11]</w:t>
            </w:r>
          </w:p>
        </w:tc>
      </w:tr>
      <w:tr w:rsidR="00726399" w:rsidRPr="00480615" w:rsidTr="0066243E">
        <w:trPr>
          <w:trHeight w:val="88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Medical history</w:t>
            </w: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SBP, personal/family history cardioV events</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FV poly., PT poly., HT, DM, lipid, smoking, personal/family history or in the presence of thrombotic factors</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[12]</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PKCH poly., MTHFR poly.</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[13,14]</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Cho, LDL</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[15]</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Cho, LDL, unsaturated fatty acid, coenzyme Q10, folate, homocysteine</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MTHFR poly., FV poly., PT poly., antithrombin III, protein C and S, D-dimer, FG, activated protein C resistance.</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[16-18]</w:t>
            </w:r>
          </w:p>
        </w:tc>
      </w:tr>
      <w:tr w:rsidR="00726399" w:rsidRPr="00480615" w:rsidTr="0066243E">
        <w:trPr>
          <w:trHeight w:val="88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MTHFR poly., FV Leiden poly., PT poly., platelet GlyIIIaA1/A2 poly., homocysteine, Cho, FG, folate</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[19,20]</w:t>
            </w:r>
          </w:p>
        </w:tc>
      </w:tr>
      <w:tr w:rsidR="00726399" w:rsidRPr="00480615" w:rsidTr="0066243E">
        <w:trPr>
          <w:trHeight w:val="66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MTHFR poly.</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FV, PT, EPCR, PAI-1</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[21]</w:t>
            </w:r>
          </w:p>
        </w:tc>
      </w:tr>
      <w:tr w:rsidR="00726399" w:rsidRPr="00480615" w:rsidTr="0066243E">
        <w:trPr>
          <w:trHeight w:val="22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Medical history</w:t>
            </w: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ICAM-1, VCAM-1</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Cho, triglyceride, FG, ESR, smoking, DM</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[22]</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MTHFR poly. with MTR poly., MTR poly.</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MTHFR poly. alone</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[41</w:t>
            </w:r>
          </w:p>
        </w:tc>
      </w:tr>
      <w:tr w:rsidR="00726399" w:rsidRPr="00480615" w:rsidTr="0066243E">
        <w:trPr>
          <w:trHeight w:val="44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FV Leiden poly.</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PT poly.</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bookmarkStart w:id="657" w:name="OLE_LINK2465"/>
            <w:bookmarkStart w:id="658" w:name="OLE_LINK2466"/>
            <w:r w:rsidRPr="00480615">
              <w:rPr>
                <w:rFonts w:ascii="Book Antiqua" w:hAnsi="Book Antiqua"/>
                <w:kern w:val="0"/>
                <w:lang w:eastAsia="zh-CN"/>
              </w:rPr>
              <w:t>[23]</w:t>
            </w:r>
            <w:bookmarkEnd w:id="657"/>
            <w:bookmarkEnd w:id="658"/>
          </w:p>
        </w:tc>
      </w:tr>
      <w:tr w:rsidR="00726399" w:rsidRPr="00480615" w:rsidTr="0066243E">
        <w:trPr>
          <w:trHeight w:val="220"/>
        </w:trPr>
        <w:tc>
          <w:tcPr>
            <w:tcW w:w="581" w:type="pct"/>
            <w:gridSpan w:val="2"/>
            <w:vMerge/>
          </w:tcPr>
          <w:p w:rsidR="00726399" w:rsidRPr="00C40A8B" w:rsidRDefault="00726399" w:rsidP="00E60C33">
            <w:pPr>
              <w:widowControl/>
              <w:snapToGrid w:val="0"/>
              <w:spacing w:line="360" w:lineRule="auto"/>
              <w:rPr>
                <w:rFonts w:ascii="Book Antiqua" w:eastAsia="MS PGothic" w:hAnsi="Book Antiqua"/>
                <w:kern w:val="0"/>
              </w:rPr>
            </w:pPr>
          </w:p>
        </w:tc>
        <w:tc>
          <w:tcPr>
            <w:tcW w:w="764" w:type="pct"/>
            <w:gridSpan w:val="3"/>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Auto-immunity</w:t>
            </w:r>
          </w:p>
        </w:tc>
        <w:tc>
          <w:tcPr>
            <w:tcW w:w="156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Cho, homocysteine, PAI-1, anticardiolipin antibodies</w:t>
            </w:r>
          </w:p>
        </w:tc>
        <w:tc>
          <w:tcPr>
            <w:tcW w:w="1432"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FV Leiden poly., FII poly., antithrombin, protein C and S, lupus anticoagulant, lipoprotein(a)</w:t>
            </w:r>
          </w:p>
        </w:tc>
        <w:tc>
          <w:tcPr>
            <w:tcW w:w="657" w:type="pct"/>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[24]</w:t>
            </w:r>
          </w:p>
        </w:tc>
      </w:tr>
      <w:bookmarkEnd w:id="653"/>
      <w:bookmarkEnd w:id="654"/>
      <w:tr w:rsidR="00726399" w:rsidRPr="00480615" w:rsidTr="0066243E">
        <w:trPr>
          <w:gridBefore w:val="1"/>
          <w:wBefore w:w="24" w:type="pct"/>
          <w:trHeight w:val="220"/>
        </w:trPr>
        <w:tc>
          <w:tcPr>
            <w:tcW w:w="579" w:type="pct"/>
            <w:gridSpan w:val="2"/>
            <w:vMerge w:val="restar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Vascular Impairment</w:t>
            </w:r>
            <w:r w:rsidRPr="00C40A8B">
              <w:rPr>
                <w:rFonts w:ascii="Book Antiqua" w:eastAsia="MS PGothic" w:hAnsi="Book Antiqua" w:hint="eastAsia"/>
                <w:kern w:val="0"/>
              </w:rPr>
              <w:t xml:space="preserve">　</w:t>
            </w:r>
            <w:r w:rsidRPr="00C40A8B">
              <w:rPr>
                <w:rFonts w:ascii="Book Antiqua" w:eastAsia="MS PGothic" w:hAnsi="Book Antiqua"/>
                <w:kern w:val="0"/>
              </w:rPr>
              <w:t>(continued)</w:t>
            </w: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eNOS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[25]</w:t>
            </w:r>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FMD</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[26]</w:t>
            </w:r>
          </w:p>
        </w:tc>
      </w:tr>
      <w:tr w:rsidR="00726399" w:rsidRPr="00480615" w:rsidTr="0066243E">
        <w:trPr>
          <w:gridBefore w:val="1"/>
          <w:wBefore w:w="24" w:type="pct"/>
          <w:trHeight w:val="88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Whole blood viscosity, erythrocyte deformability index, activated clotting time, clot rate, PAI-1 antigen, factor VIII:C</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Plasma viscosity, FG</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[27]</w:t>
            </w:r>
          </w:p>
        </w:tc>
      </w:tr>
      <w:tr w:rsidR="00726399" w:rsidRPr="00480615" w:rsidTr="0066243E">
        <w:trPr>
          <w:gridBefore w:val="1"/>
          <w:wBefore w:w="24" w:type="pct"/>
          <w:trHeight w:val="66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Auto-immunity</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Antiendothelial cell antibody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[28,29]</w:t>
            </w:r>
          </w:p>
        </w:tc>
      </w:tr>
      <w:tr w:rsidR="00726399" w:rsidRPr="00480615" w:rsidTr="0066243E">
        <w:trPr>
          <w:gridBefore w:val="1"/>
          <w:wBefore w:w="24" w:type="pct"/>
          <w:trHeight w:val="440"/>
        </w:trPr>
        <w:tc>
          <w:tcPr>
            <w:tcW w:w="579" w:type="pct"/>
            <w:gridSpan w:val="2"/>
            <w:vMerge w:val="restar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Cytokine</w:t>
            </w: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IL-1 B poly., TNF-β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[30,31]</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TNF-α</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IL-10, IL-12</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[32]</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IL-6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IL-4R poly., IL-10 poly., TNF-α poly., TNFRSF1B poly., VEGF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[33]</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IL-1A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IL-1B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[34]</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Vascular Impairment</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IL-6, IL-8, ICAM-1, VCAM-1, E-selectin, MCP-1, lipid, FG,</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[35]</w:t>
            </w:r>
          </w:p>
        </w:tc>
      </w:tr>
      <w:tr w:rsidR="00726399" w:rsidRPr="00480615" w:rsidTr="0066243E">
        <w:trPr>
          <w:gridBefore w:val="1"/>
          <w:wBefore w:w="24" w:type="pct"/>
          <w:trHeight w:val="70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TNF-α, sCD40, sCD40L, T lymphocyte, CD40, cyclooxygenase 2, CD38 positive T or B lymphocyte</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monocyte, macrophage</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[36]</w:t>
            </w:r>
          </w:p>
        </w:tc>
      </w:tr>
      <w:tr w:rsidR="00726399" w:rsidRPr="00480615" w:rsidTr="0066243E">
        <w:trPr>
          <w:gridBefore w:val="1"/>
          <w:wBefore w:w="24" w:type="pct"/>
          <w:trHeight w:val="440"/>
        </w:trPr>
        <w:tc>
          <w:tcPr>
            <w:tcW w:w="579" w:type="pct"/>
            <w:gridSpan w:val="2"/>
            <w:vMerge w:val="restar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Cellular Stress</w:t>
            </w: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HSP70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[37]</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GPX1 poli., PON1 poli., PON2 poli., SOD2 poli.</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[38]</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GST poly., CYP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[39]</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Auto-immunity</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Anti-HSP 70 antibody, TNF-α, ESR, ANA, antiphospholipid antibody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bookmarkStart w:id="659" w:name="OLE_LINK2434"/>
            <w:bookmarkStart w:id="660" w:name="OLE_LINK2435"/>
            <w:bookmarkStart w:id="661" w:name="OLE_LINK2436"/>
            <w:r w:rsidRPr="00480615">
              <w:rPr>
                <w:rFonts w:ascii="Book Antiqua" w:hAnsi="Book Antiqua"/>
                <w:kern w:val="0"/>
                <w:lang w:eastAsia="zh-CN"/>
              </w:rPr>
              <w:t>[40]</w:t>
            </w:r>
            <w:bookmarkEnd w:id="659"/>
            <w:bookmarkEnd w:id="660"/>
            <w:bookmarkEnd w:id="661"/>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Auto-immunity</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Anti-HSP70antibody, anti-phospholipids antibody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[41]</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HSP70</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[42]</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GST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[43]</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Infection</w:t>
            </w: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IgA to HSV1</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IgG and IgM to CMV, VZV, HSV1, and HSV2. IgA to CMV, VZV, and HSV2.</w:t>
            </w:r>
          </w:p>
        </w:tc>
        <w:tc>
          <w:tcPr>
            <w:tcW w:w="0" w:type="auto"/>
          </w:tcPr>
          <w:p w:rsidR="00726399" w:rsidRPr="00480615" w:rsidRDefault="00726399" w:rsidP="000052C4">
            <w:pPr>
              <w:widowControl/>
              <w:snapToGrid w:val="0"/>
              <w:spacing w:line="360" w:lineRule="auto"/>
              <w:jc w:val="center"/>
              <w:rPr>
                <w:rFonts w:ascii="Book Antiqua" w:hAnsi="Book Antiqua"/>
                <w:kern w:val="0"/>
                <w:lang w:eastAsia="zh-CN"/>
              </w:rPr>
            </w:pP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Borrelia</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[44]</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Herpes zoster</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[45]</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Recent subclinical viral infection (cytomegalovirus, herpes simplex, Epstein-Barr virus), toxoplasmosis infections</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[46]</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Enterovirus, cytomegalovirus, Epstein-Barr virus</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bookmarkStart w:id="662" w:name="OLE_LINK2458"/>
            <w:bookmarkStart w:id="663" w:name="OLE_LINK2459"/>
            <w:r w:rsidRPr="00480615">
              <w:rPr>
                <w:rFonts w:ascii="Book Antiqua" w:hAnsi="Book Antiqua"/>
                <w:kern w:val="0"/>
                <w:lang w:eastAsia="zh-CN"/>
              </w:rPr>
              <w:t>[47]</w:t>
            </w:r>
            <w:bookmarkEnd w:id="662"/>
            <w:bookmarkEnd w:id="663"/>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r w:rsidRPr="00C40A8B">
              <w:rPr>
                <w:rFonts w:ascii="Book Antiqua" w:eastAsia="MS PGothic" w:hAnsi="Book Antiqua"/>
                <w:kern w:val="0"/>
              </w:rPr>
              <w:t>Auto- immunity</w:t>
            </w: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Anti-double stranded DNA, RF, antiphospholipid IgG and M, antinuclear antibody, complements C3 and C4</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T cell responding to cochlin</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[48]</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Stress Response Theory</w:t>
            </w: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Neutrophil, NKCA, IL-6</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TNF, hCRP</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[49]</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Histological evidence of severe osmotic stress of the organ of Corti</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[50]</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Medical History</w:t>
            </w: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Vascular Impairment</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AMI</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bookmarkStart w:id="664" w:name="OLE_LINK2437"/>
            <w:bookmarkStart w:id="665" w:name="OLE_LINK2438"/>
            <w:bookmarkStart w:id="666" w:name="OLE_LINK2439"/>
            <w:r w:rsidRPr="00480615">
              <w:rPr>
                <w:rFonts w:ascii="Book Antiqua" w:hAnsi="Book Antiqua"/>
                <w:kern w:val="0"/>
                <w:lang w:eastAsia="zh-CN"/>
              </w:rPr>
              <w:t>[53]</w:t>
            </w:r>
            <w:bookmarkEnd w:id="664"/>
            <w:bookmarkEnd w:id="665"/>
            <w:bookmarkEnd w:id="666"/>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Migraine with HT</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bookmarkStart w:id="667" w:name="OLE_LINK2450"/>
            <w:bookmarkStart w:id="668" w:name="OLE_LINK2451"/>
            <w:bookmarkStart w:id="669" w:name="OLE_LINK2452"/>
            <w:r w:rsidRPr="00480615">
              <w:rPr>
                <w:rFonts w:ascii="Book Antiqua" w:hAnsi="Book Antiqua"/>
                <w:kern w:val="0"/>
                <w:lang w:eastAsia="zh-CN"/>
              </w:rPr>
              <w:t>[54]</w:t>
            </w:r>
            <w:bookmarkEnd w:id="667"/>
            <w:bookmarkEnd w:id="668"/>
            <w:bookmarkEnd w:id="669"/>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Vascular Impairment</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ED</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[55]</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Vascular Impairment</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DM</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[51]</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Chronic kidney disease with and without DM</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[52]</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Allergy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[56]</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Male with OSA</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Female with OSA</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[57]</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Vascular Impairment</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CardioV risk factors, DM, Cho</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[58]</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Family history of ISHL</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[59]</w:t>
            </w:r>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Vascular Impairment</w:t>
            </w: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CerebroV stroke</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bookmarkStart w:id="670" w:name="OLE_LINK2440"/>
            <w:bookmarkStart w:id="671" w:name="OLE_LINK2441"/>
            <w:bookmarkStart w:id="672" w:name="OLE_LINK2442"/>
            <w:r w:rsidRPr="00480615">
              <w:rPr>
                <w:rFonts w:ascii="Book Antiqua" w:hAnsi="Book Antiqua"/>
                <w:kern w:val="0"/>
                <w:lang w:eastAsia="zh-CN"/>
              </w:rPr>
              <w:t>[60]</w:t>
            </w:r>
            <w:bookmarkEnd w:id="670"/>
            <w:bookmarkEnd w:id="671"/>
            <w:bookmarkEnd w:id="672"/>
          </w:p>
        </w:tc>
      </w:tr>
      <w:tr w:rsidR="00726399" w:rsidRPr="00480615" w:rsidTr="0066243E">
        <w:trPr>
          <w:gridBefore w:val="1"/>
          <w:wBefore w:w="24" w:type="pct"/>
          <w:trHeight w:val="440"/>
        </w:trPr>
        <w:tc>
          <w:tcPr>
            <w:tcW w:w="579" w:type="pct"/>
            <w:gridSpan w:val="2"/>
            <w:vMerge/>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Other etiology</w:t>
            </w:r>
          </w:p>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Aquaporin 4 and 5 poly., estrogen receptor α poly.</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[7]</w:t>
            </w:r>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Round window membrane rupture</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[61]</w:t>
            </w:r>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Endolymphatic hydrops</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[62]</w:t>
            </w:r>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Eustachian tube dysfunction</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[63]</w:t>
            </w:r>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General anesthesia</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[64]</w:t>
            </w:r>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Month, weather</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[65]</w:t>
            </w:r>
          </w:p>
        </w:tc>
      </w:tr>
      <w:tr w:rsidR="00726399" w:rsidRPr="00480615" w:rsidTr="0066243E">
        <w:trPr>
          <w:gridBefore w:val="1"/>
          <w:wBefore w:w="24" w:type="pct"/>
          <w:trHeight w:val="440"/>
        </w:trPr>
        <w:tc>
          <w:tcPr>
            <w:tcW w:w="579" w:type="pct"/>
            <w:gridSpan w:val="2"/>
            <w:vMerge/>
          </w:tcPr>
          <w:p w:rsidR="00726399" w:rsidRPr="00C40A8B" w:rsidRDefault="00726399" w:rsidP="000052C4">
            <w:pPr>
              <w:snapToGrid w:val="0"/>
              <w:spacing w:line="360" w:lineRule="auto"/>
              <w:jc w:val="center"/>
              <w:rPr>
                <w:rFonts w:ascii="Book Antiqua" w:eastAsia="MS PGothic" w:hAnsi="Book Antiqua"/>
                <w:kern w:val="0"/>
              </w:rPr>
            </w:pPr>
          </w:p>
        </w:tc>
        <w:tc>
          <w:tcPr>
            <w:tcW w:w="716" w:type="pct"/>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HLA-DQB1 and -DRB1</w:t>
            </w: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[66]</w:t>
            </w:r>
          </w:p>
        </w:tc>
      </w:tr>
      <w:tr w:rsidR="00726399" w:rsidRPr="00480615" w:rsidTr="0066243E">
        <w:trPr>
          <w:gridBefore w:val="1"/>
          <w:wBefore w:w="24" w:type="pct"/>
          <w:trHeight w:val="440"/>
        </w:trPr>
        <w:tc>
          <w:tcPr>
            <w:tcW w:w="579" w:type="pct"/>
            <w:gridSpan w:val="2"/>
            <w:vMerge/>
            <w:tcBorders>
              <w:bottom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716" w:type="pct"/>
            <w:tcBorders>
              <w:bottom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1592" w:type="pct"/>
            <w:gridSpan w:val="2"/>
            <w:tcBorders>
              <w:bottom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p>
        </w:tc>
        <w:tc>
          <w:tcPr>
            <w:tcW w:w="0" w:type="auto"/>
            <w:tcBorders>
              <w:bottom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r w:rsidRPr="00C40A8B">
              <w:rPr>
                <w:rFonts w:ascii="Book Antiqua" w:eastAsia="MS PGothic" w:hAnsi="Book Antiqua"/>
                <w:kern w:val="0"/>
              </w:rPr>
              <w:t>Season, weather</w:t>
            </w:r>
          </w:p>
        </w:tc>
        <w:tc>
          <w:tcPr>
            <w:tcW w:w="0" w:type="auto"/>
            <w:tcBorders>
              <w:bottom w:val="single" w:sz="4" w:space="0" w:color="auto"/>
            </w:tcBorders>
          </w:tcPr>
          <w:p w:rsidR="00726399" w:rsidRPr="00C40A8B" w:rsidRDefault="00726399" w:rsidP="000052C4">
            <w:pPr>
              <w:widowControl/>
              <w:snapToGrid w:val="0"/>
              <w:spacing w:line="360" w:lineRule="auto"/>
              <w:jc w:val="center"/>
              <w:rPr>
                <w:rFonts w:ascii="Book Antiqua" w:eastAsia="MS PGothic" w:hAnsi="Book Antiqua"/>
                <w:kern w:val="0"/>
              </w:rPr>
            </w:pPr>
            <w:r w:rsidRPr="00480615">
              <w:rPr>
                <w:rFonts w:ascii="Book Antiqua" w:hAnsi="Book Antiqua"/>
                <w:kern w:val="0"/>
                <w:lang w:eastAsia="zh-CN"/>
              </w:rPr>
              <w:t>[67]</w:t>
            </w:r>
          </w:p>
        </w:tc>
      </w:tr>
    </w:tbl>
    <w:p w:rsidR="00726399" w:rsidRPr="00C40A8B" w:rsidRDefault="00726399" w:rsidP="00E60C33">
      <w:pPr>
        <w:snapToGrid w:val="0"/>
        <w:spacing w:line="360" w:lineRule="auto"/>
        <w:rPr>
          <w:rFonts w:ascii="Book Antiqua" w:eastAsia="MS PGothic" w:hAnsi="Book Antiqua"/>
          <w:color w:val="000000"/>
          <w:kern w:val="0"/>
        </w:rPr>
      </w:pPr>
      <w:r w:rsidRPr="00C40A8B">
        <w:rPr>
          <w:rFonts w:ascii="Book Antiqua" w:eastAsia="MS PGothic" w:hAnsi="Book Antiqua"/>
          <w:color w:val="000000"/>
          <w:kern w:val="0"/>
        </w:rPr>
        <w:lastRenderedPageBreak/>
        <w:t xml:space="preserve">Papers on human studies are categorized by the proposed etiologies. Papers that deduce possible etiologies from the effect of a treatment are excluded. For example, Kang </w:t>
      </w:r>
      <w:r w:rsidRPr="00C40A8B">
        <w:rPr>
          <w:rFonts w:ascii="Book Antiqua" w:eastAsia="MS PGothic" w:hAnsi="Book Antiqua"/>
          <w:i/>
          <w:color w:val="000000"/>
          <w:kern w:val="0"/>
        </w:rPr>
        <w:t>et al</w:t>
      </w:r>
      <w:r w:rsidRPr="00C40A8B">
        <w:rPr>
          <w:rFonts w:ascii="Book Antiqua" w:hAnsi="Book Antiqua"/>
          <w:noProof/>
          <w:vertAlign w:val="superscript"/>
        </w:rPr>
        <w:t>[171]</w:t>
      </w:r>
      <w:r w:rsidRPr="00C40A8B">
        <w:rPr>
          <w:rFonts w:ascii="Book Antiqua" w:hAnsi="Book Antiqua"/>
          <w:noProof/>
          <w:vertAlign w:val="superscript"/>
          <w:lang w:eastAsia="zh-CN"/>
        </w:rPr>
        <w:t xml:space="preserve"> </w:t>
      </w:r>
      <w:r w:rsidRPr="00C40A8B">
        <w:rPr>
          <w:rFonts w:ascii="Book Antiqua" w:eastAsia="MS PGothic" w:hAnsi="Book Antiqua"/>
          <w:color w:val="000000"/>
          <w:kern w:val="0"/>
        </w:rPr>
        <w:t>stated that the cause might be reactive oxygen metabolites produced by inner ear ischemia or inflammation, because high dose vitamin C was effective. Such papers are excluded from this table in order to save space, although they are noteworthy.</w:t>
      </w:r>
      <w:r w:rsidRPr="00C40A8B">
        <w:rPr>
          <w:rFonts w:ascii="Book Antiqua" w:hAnsi="Book Antiqua"/>
          <w:color w:val="000000"/>
          <w:kern w:val="0"/>
          <w:lang w:eastAsia="zh-CN"/>
        </w:rPr>
        <w:t xml:space="preserve"> </w:t>
      </w:r>
      <w:r w:rsidRPr="00C40A8B">
        <w:rPr>
          <w:rFonts w:ascii="Book Antiqua" w:eastAsia="MS PGothic" w:hAnsi="Book Antiqua"/>
          <w:color w:val="000000"/>
          <w:kern w:val="0"/>
        </w:rPr>
        <w:t>AMI: Acute myocardial infarction; AT: Antithrombin; C-IMT: Carotid intima-media thickness; CardioV: Cardio vascular; CDL: CD ligand; CerebroV: Cerebrovascular; CFH: Complement factor H; Cho: Cholesterol; CMV: Cytomegalovirus; CYP: Cytochrome P450; DM: Diabetes mellitus; E-selectin: Endothelial selectin; ED: Erectile dysfunction; eNOS: Endothelial nitric oxide synthase; EPCR: Endothelial cell protein C receptor; ESR: Erythrocyte sedimentation rate; FG: Fibrinogen; FMD: Flow-mediated dilatation; FII: Factor II; FV: Factor V; Gly: Glycoprotein; GPX: Glutathione peroxidase; GST: Glutathione S-transferases; hCRP: High sensitivity C-reactive protein; HIV: Human immunodeficiency virus; HLA: Human leukocyte antigen; HSP: Heat shock protein; HSV: Herpes simplex virus; HT: Hypertension; ICAM-1: Intercellular adhesion molecule 1; IL: Interleukin; ISHL: Idiopathic sudden sensorineural hearing loss; LAC: Lupus anticoagulant; LDL: Low density lipoprotein; MCP 1: Monocyte chemoattractant protein 1; MTHFR: Methylene tetrahydrofolate reductase; MTR: Methionine synthase; NKCA: Natural killer cell activity; OSA: Obstructive sleep apnea; PAI-1: Plasminogen activator inhibitor-1; PKCH: Protein kinase C-Eta; poly</w:t>
      </w:r>
      <w:r w:rsidRPr="00C40A8B">
        <w:rPr>
          <w:rFonts w:ascii="Book Antiqua" w:hAnsi="Book Antiqua"/>
          <w:color w:val="000000"/>
          <w:kern w:val="0"/>
          <w:lang w:eastAsia="zh-CN"/>
        </w:rPr>
        <w:t>.</w:t>
      </w:r>
      <w:r w:rsidRPr="00C40A8B">
        <w:rPr>
          <w:rFonts w:ascii="Book Antiqua" w:eastAsia="MS PGothic" w:hAnsi="Book Antiqua"/>
          <w:color w:val="000000"/>
          <w:kern w:val="0"/>
        </w:rPr>
        <w:t>: Polymorphism; PON: Paraoxonase; PT: Prothrombin; RF: Rheumatoid factor; SBP: Systolic blood pressure; SLE: Systemic lupus erythematosus; sCD: Soluble cluster of differentiation; SOD: Superoxide dismutase; TNF: Tumor necrosis factor; TNFRSF1B: Tumor necrosis factor receptor superfamily 1b;</w:t>
      </w:r>
      <w:r w:rsidRPr="00C40A8B">
        <w:rPr>
          <w:rFonts w:ascii="Book Antiqua" w:eastAsia="MS PGothic" w:hAnsi="Book Antiqua"/>
          <w:color w:val="000000"/>
        </w:rPr>
        <w:t xml:space="preserve"> </w:t>
      </w:r>
      <w:r w:rsidRPr="00C40A8B">
        <w:rPr>
          <w:rFonts w:ascii="Book Antiqua" w:eastAsia="MS PGothic" w:hAnsi="Book Antiqua"/>
          <w:color w:val="000000"/>
          <w:kern w:val="0"/>
        </w:rPr>
        <w:t>VCAM-1: Vascular cell adhesion molecule 1; VEGF: Vascular endothelial growth factor; VZV: Varicella-zoster virus.</w:t>
      </w:r>
    </w:p>
    <w:p w:rsidR="00726399" w:rsidRPr="00C40A8B" w:rsidRDefault="00726399" w:rsidP="00E60C33">
      <w:pPr>
        <w:snapToGrid w:val="0"/>
        <w:spacing w:line="360" w:lineRule="auto"/>
        <w:rPr>
          <w:rFonts w:ascii="Book Antiqua" w:hAnsi="Book Antiqua"/>
        </w:rPr>
      </w:pPr>
    </w:p>
    <w:p w:rsidR="00726399" w:rsidRPr="00C40A8B" w:rsidRDefault="00726399" w:rsidP="00E60C33">
      <w:pPr>
        <w:widowControl/>
        <w:snapToGrid w:val="0"/>
        <w:spacing w:line="360" w:lineRule="auto"/>
        <w:rPr>
          <w:rFonts w:ascii="Book Antiqua" w:hAnsi="Book Antiqua"/>
        </w:rPr>
      </w:pPr>
      <w:r w:rsidRPr="00C40A8B">
        <w:rPr>
          <w:rFonts w:ascii="Book Antiqua" w:hAnsi="Book Antiqua"/>
        </w:rPr>
        <w:br w:type="page"/>
      </w:r>
    </w:p>
    <w:p w:rsidR="00726399" w:rsidRPr="00C40A8B" w:rsidRDefault="00726399" w:rsidP="00E60C33">
      <w:pPr>
        <w:snapToGrid w:val="0"/>
        <w:spacing w:line="360" w:lineRule="auto"/>
        <w:rPr>
          <w:rFonts w:ascii="Book Antiqua" w:hAnsi="Book Antiqua"/>
          <w:b/>
        </w:rPr>
      </w:pPr>
      <w:r w:rsidRPr="00C40A8B">
        <w:rPr>
          <w:rFonts w:ascii="Book Antiqua" w:hAnsi="Book Antiqua"/>
          <w:b/>
        </w:rPr>
        <w:t>Table 2 Receptors of catecholamine in the cochlea</w:t>
      </w:r>
    </w:p>
    <w:tbl>
      <w:tblPr>
        <w:tblW w:w="4854" w:type="pct"/>
        <w:tblBorders>
          <w:top w:val="single" w:sz="4" w:space="0" w:color="auto"/>
          <w:bottom w:val="single" w:sz="4" w:space="0" w:color="auto"/>
        </w:tblBorders>
        <w:tblCellMar>
          <w:left w:w="99" w:type="dxa"/>
          <w:right w:w="99" w:type="dxa"/>
        </w:tblCellMar>
        <w:tblLook w:val="00A0" w:firstRow="1" w:lastRow="0" w:firstColumn="1" w:lastColumn="0" w:noHBand="0" w:noVBand="0"/>
      </w:tblPr>
      <w:tblGrid>
        <w:gridCol w:w="5236"/>
        <w:gridCol w:w="904"/>
        <w:gridCol w:w="903"/>
        <w:gridCol w:w="903"/>
        <w:gridCol w:w="903"/>
        <w:gridCol w:w="903"/>
        <w:gridCol w:w="914"/>
        <w:gridCol w:w="914"/>
        <w:gridCol w:w="914"/>
        <w:gridCol w:w="909"/>
      </w:tblGrid>
      <w:tr w:rsidR="00726399" w:rsidRPr="00480615" w:rsidTr="00727EF4">
        <w:trPr>
          <w:trHeight w:val="720"/>
        </w:trPr>
        <w:tc>
          <w:tcPr>
            <w:tcW w:w="1953" w:type="pct"/>
            <w:vMerge w:val="restart"/>
            <w:tcBorders>
              <w:top w:val="single" w:sz="4" w:space="0" w:color="auto"/>
              <w:bottom w:val="single" w:sz="4" w:space="0" w:color="auto"/>
            </w:tcBorders>
            <w:vAlign w:val="center"/>
          </w:tcPr>
          <w:p w:rsidR="00726399" w:rsidRPr="00C40A8B" w:rsidRDefault="00726399" w:rsidP="00B44E38">
            <w:pPr>
              <w:widowControl/>
              <w:snapToGrid w:val="0"/>
              <w:spacing w:line="360" w:lineRule="auto"/>
              <w:jc w:val="left"/>
              <w:rPr>
                <w:rFonts w:ascii="Book Antiqua" w:eastAsia="MS PGothic" w:hAnsi="Book Antiqua"/>
                <w:b/>
                <w:color w:val="000000"/>
                <w:kern w:val="0"/>
              </w:rPr>
            </w:pPr>
            <w:r w:rsidRPr="00C40A8B">
              <w:rPr>
                <w:rFonts w:ascii="Book Antiqua" w:eastAsia="MS PGothic" w:hAnsi="Book Antiqua"/>
                <w:b/>
                <w:color w:val="000000"/>
                <w:kern w:val="0"/>
              </w:rPr>
              <w:t>Location</w:t>
            </w:r>
          </w:p>
        </w:tc>
        <w:tc>
          <w:tcPr>
            <w:tcW w:w="1685" w:type="pct"/>
            <w:gridSpan w:val="5"/>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Adrenergic receptor</w:t>
            </w:r>
          </w:p>
        </w:tc>
        <w:tc>
          <w:tcPr>
            <w:tcW w:w="1362" w:type="pct"/>
            <w:gridSpan w:val="4"/>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Cholinergic receptor</w:t>
            </w:r>
          </w:p>
        </w:tc>
      </w:tr>
      <w:tr w:rsidR="00726399" w:rsidRPr="00480615" w:rsidTr="00727EF4">
        <w:trPr>
          <w:trHeight w:val="380"/>
        </w:trPr>
        <w:tc>
          <w:tcPr>
            <w:tcW w:w="1953" w:type="pct"/>
            <w:vMerge/>
            <w:tcBorders>
              <w:top w:val="single" w:sz="4" w:space="0" w:color="auto"/>
              <w:bottom w:val="single" w:sz="4" w:space="0" w:color="auto"/>
            </w:tcBorders>
            <w:vAlign w:val="center"/>
          </w:tcPr>
          <w:p w:rsidR="00726399" w:rsidRPr="00C40A8B" w:rsidRDefault="00726399" w:rsidP="00B44E38">
            <w:pPr>
              <w:widowControl/>
              <w:snapToGrid w:val="0"/>
              <w:spacing w:line="360" w:lineRule="auto"/>
              <w:jc w:val="left"/>
              <w:rPr>
                <w:rFonts w:ascii="Book Antiqua" w:eastAsia="MS PGothic" w:hAnsi="Book Antiqua"/>
                <w:color w:val="000000"/>
                <w:kern w:val="0"/>
              </w:rPr>
            </w:pPr>
          </w:p>
        </w:tc>
        <w:tc>
          <w:tcPr>
            <w:tcW w:w="337"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α1</w:t>
            </w:r>
          </w:p>
        </w:tc>
        <w:tc>
          <w:tcPr>
            <w:tcW w:w="337"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α2</w:t>
            </w:r>
          </w:p>
        </w:tc>
        <w:tc>
          <w:tcPr>
            <w:tcW w:w="337"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β1</w:t>
            </w:r>
          </w:p>
        </w:tc>
        <w:tc>
          <w:tcPr>
            <w:tcW w:w="337"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β2</w:t>
            </w:r>
          </w:p>
        </w:tc>
        <w:tc>
          <w:tcPr>
            <w:tcW w:w="337"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vertAlign w:val="superscript"/>
              </w:rPr>
              <w:t>1</w:t>
            </w:r>
            <w:r w:rsidRPr="00C40A8B">
              <w:rPr>
                <w:rFonts w:ascii="Book Antiqua" w:eastAsia="MS PGothic" w:hAnsi="Book Antiqua"/>
                <w:b/>
                <w:color w:val="000000"/>
                <w:kern w:val="0"/>
              </w:rPr>
              <w:t>β</w:t>
            </w:r>
          </w:p>
        </w:tc>
        <w:tc>
          <w:tcPr>
            <w:tcW w:w="341"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M1</w:t>
            </w:r>
          </w:p>
        </w:tc>
        <w:tc>
          <w:tcPr>
            <w:tcW w:w="341"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M2</w:t>
            </w:r>
          </w:p>
        </w:tc>
        <w:tc>
          <w:tcPr>
            <w:tcW w:w="341"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M3</w:t>
            </w:r>
          </w:p>
        </w:tc>
        <w:tc>
          <w:tcPr>
            <w:tcW w:w="339" w:type="pct"/>
            <w:tcBorders>
              <w:top w:val="single" w:sz="4" w:space="0" w:color="auto"/>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M5</w:t>
            </w:r>
          </w:p>
        </w:tc>
      </w:tr>
      <w:tr w:rsidR="00726399" w:rsidRPr="00480615" w:rsidTr="00727EF4">
        <w:trPr>
          <w:trHeight w:val="360"/>
        </w:trPr>
        <w:tc>
          <w:tcPr>
            <w:tcW w:w="1953" w:type="pct"/>
            <w:tcBorders>
              <w:top w:val="single" w:sz="4" w:space="0" w:color="auto"/>
              <w:bottom w:val="nil"/>
            </w:tcBorders>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IHC</w:t>
            </w:r>
          </w:p>
        </w:tc>
        <w:tc>
          <w:tcPr>
            <w:tcW w:w="337"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9" w:type="pct"/>
            <w:tcBorders>
              <w:top w:val="single" w:sz="4" w:space="0" w:color="auto"/>
              <w:bottom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r>
      <w:tr w:rsidR="00726399" w:rsidRPr="00480615" w:rsidTr="00727EF4">
        <w:trPr>
          <w:trHeight w:val="360"/>
        </w:trPr>
        <w:tc>
          <w:tcPr>
            <w:tcW w:w="1953" w:type="pct"/>
            <w:tcBorders>
              <w:top w:val="nil"/>
            </w:tcBorders>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OHC</w:t>
            </w:r>
          </w:p>
        </w:tc>
        <w:tc>
          <w:tcPr>
            <w:tcW w:w="337"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9" w:type="pct"/>
            <w:tcBorders>
              <w:top w:val="nil"/>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Deiters' cells</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Hensen's cells</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Outer sulcus</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Stria vascularis</w:t>
            </w:r>
            <w:r w:rsidRPr="00C40A8B">
              <w:rPr>
                <w:rFonts w:ascii="Book Antiqua" w:eastAsia="MS PGothic" w:hAnsi="Book Antiqua"/>
                <w:color w:val="000000"/>
                <w:kern w:val="0"/>
                <w:vertAlign w:val="superscript"/>
              </w:rPr>
              <w:t>2</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Strial marginal cell</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r>
      <w:tr w:rsidR="00726399" w:rsidRPr="00480615" w:rsidTr="00727EF4">
        <w:trPr>
          <w:trHeight w:val="5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capillaries in the stria vascularis</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Spiral ligament</w:t>
            </w:r>
            <w:r w:rsidRPr="00C40A8B">
              <w:rPr>
                <w:rFonts w:ascii="Book Antiqua" w:eastAsia="MS PGothic" w:hAnsi="Book Antiqua"/>
                <w:color w:val="000000"/>
                <w:kern w:val="0"/>
                <w:vertAlign w:val="superscript"/>
              </w:rPr>
              <w:t>2</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Rissener's membrane</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Spiral ganglion</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Nerve fibers approaching HCs</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5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Efferent fibers of the intraganglionic spiral bundle</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r>
      <w:tr w:rsidR="00726399" w:rsidRPr="00480615" w:rsidTr="00727EF4">
        <w:trPr>
          <w:trHeight w:val="360"/>
        </w:trPr>
        <w:tc>
          <w:tcPr>
            <w:tcW w:w="1953" w:type="pct"/>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Spiral modiolar artery</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r w:rsidR="00726399" w:rsidRPr="00480615" w:rsidTr="00727EF4">
        <w:trPr>
          <w:trHeight w:val="380"/>
        </w:trPr>
        <w:tc>
          <w:tcPr>
            <w:tcW w:w="1953" w:type="pct"/>
            <w:tcBorders>
              <w:bottom w:val="single" w:sz="4" w:space="0" w:color="auto"/>
            </w:tcBorders>
            <w:vAlign w:val="bottom"/>
          </w:tcPr>
          <w:p w:rsidR="00726399" w:rsidRPr="00C40A8B" w:rsidRDefault="00726399" w:rsidP="00B44E38">
            <w:pPr>
              <w:widowControl/>
              <w:snapToGrid w:val="0"/>
              <w:spacing w:line="360" w:lineRule="auto"/>
              <w:jc w:val="left"/>
              <w:rPr>
                <w:rFonts w:ascii="Book Antiqua" w:eastAsia="MS PGothic" w:hAnsi="Book Antiqua"/>
                <w:color w:val="000000"/>
                <w:kern w:val="0"/>
              </w:rPr>
            </w:pPr>
            <w:r w:rsidRPr="00C40A8B">
              <w:rPr>
                <w:rFonts w:ascii="Book Antiqua" w:eastAsia="MS PGothic" w:hAnsi="Book Antiqua"/>
                <w:color w:val="000000"/>
                <w:kern w:val="0"/>
              </w:rPr>
              <w:t>Endolymphatic sac</w:t>
            </w:r>
          </w:p>
        </w:tc>
        <w:tc>
          <w:tcPr>
            <w:tcW w:w="337"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7"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t>
            </w:r>
          </w:p>
        </w:tc>
        <w:tc>
          <w:tcPr>
            <w:tcW w:w="337"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41"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c>
          <w:tcPr>
            <w:tcW w:w="339" w:type="pct"/>
            <w:tcBorders>
              <w:bottom w:val="single" w:sz="4" w:space="0" w:color="auto"/>
            </w:tcBorders>
            <w:vAlign w:val="bottom"/>
          </w:tcPr>
          <w:p w:rsidR="00726399" w:rsidRPr="00C40A8B" w:rsidRDefault="00726399" w:rsidP="000052C4">
            <w:pPr>
              <w:widowControl/>
              <w:snapToGrid w:val="0"/>
              <w:spacing w:line="360" w:lineRule="auto"/>
              <w:jc w:val="center"/>
              <w:rPr>
                <w:rFonts w:ascii="Book Antiqua" w:eastAsia="MS PGothic" w:hAnsi="Book Antiqua"/>
                <w:color w:val="000000"/>
                <w:kern w:val="0"/>
              </w:rPr>
            </w:pPr>
          </w:p>
        </w:tc>
      </w:tr>
    </w:tbl>
    <w:p w:rsidR="00726399" w:rsidRPr="00C40A8B" w:rsidRDefault="00726399" w:rsidP="00E60C33">
      <w:pPr>
        <w:snapToGrid w:val="0"/>
        <w:spacing w:line="360" w:lineRule="auto"/>
        <w:rPr>
          <w:rFonts w:ascii="Book Antiqua" w:hAnsi="Book Antiqua"/>
          <w:color w:val="000000"/>
        </w:rPr>
      </w:pPr>
      <w:r w:rsidRPr="00C40A8B">
        <w:rPr>
          <w:rFonts w:ascii="Book Antiqua" w:hAnsi="Book Antiqua"/>
          <w:vertAlign w:val="superscript"/>
        </w:rPr>
        <w:t>1</w:t>
      </w:r>
      <w:r w:rsidRPr="00C40A8B">
        <w:rPr>
          <w:rFonts w:ascii="Book Antiqua" w:hAnsi="Book Antiqua"/>
        </w:rPr>
        <w:t>The specific</w:t>
      </w:r>
      <w:r w:rsidRPr="00C40A8B">
        <w:rPr>
          <w:rFonts w:ascii="Book Antiqua" w:hAnsi="Book Antiqua"/>
          <w:color w:val="000000"/>
        </w:rPr>
        <w:t xml:space="preserve"> receptor subtype, β1 or β2, was not determined</w:t>
      </w:r>
      <w:r w:rsidRPr="00C40A8B">
        <w:rPr>
          <w:rFonts w:ascii="Book Antiqua" w:hAnsi="Book Antiqua"/>
          <w:color w:val="000000"/>
          <w:lang w:eastAsia="zh-CN"/>
        </w:rPr>
        <w:t xml:space="preserve">; </w:t>
      </w:r>
      <w:r w:rsidRPr="00C40A8B">
        <w:rPr>
          <w:rFonts w:ascii="Book Antiqua" w:hAnsi="Book Antiqua"/>
          <w:color w:val="000000"/>
          <w:vertAlign w:val="superscript"/>
        </w:rPr>
        <w:t>2</w:t>
      </w:r>
      <w:r w:rsidRPr="00C40A8B">
        <w:rPr>
          <w:rFonts w:ascii="Book Antiqua" w:hAnsi="Book Antiqua"/>
          <w:color w:val="000000"/>
          <w:lang w:eastAsia="zh-CN"/>
        </w:rPr>
        <w:t>N</w:t>
      </w:r>
      <w:r w:rsidRPr="00C40A8B">
        <w:rPr>
          <w:rFonts w:ascii="Book Antiqua" w:hAnsi="Book Antiqua"/>
          <w:color w:val="000000"/>
        </w:rPr>
        <w:t>ote that the receptors were detected in tissues apart from blood vessels.</w:t>
      </w:r>
      <w:r w:rsidRPr="00C40A8B">
        <w:rPr>
          <w:rFonts w:ascii="Book Antiqua" w:hAnsi="Book Antiqua"/>
          <w:color w:val="000000"/>
          <w:lang w:eastAsia="zh-CN"/>
        </w:rPr>
        <w:t xml:space="preserve"> </w:t>
      </w:r>
      <w:r w:rsidRPr="00C40A8B">
        <w:rPr>
          <w:rFonts w:ascii="Book Antiqua" w:hAnsi="Book Antiqua"/>
        </w:rPr>
        <w:t>IHC</w:t>
      </w:r>
      <w:r w:rsidRPr="00C40A8B">
        <w:rPr>
          <w:rFonts w:ascii="Book Antiqua" w:hAnsi="Book Antiqua"/>
          <w:lang w:eastAsia="zh-CN"/>
        </w:rPr>
        <w:t>:</w:t>
      </w:r>
      <w:r w:rsidRPr="00C40A8B">
        <w:rPr>
          <w:rFonts w:ascii="Book Antiqua" w:hAnsi="Book Antiqua"/>
        </w:rPr>
        <w:t xml:space="preserve"> Inner hair cell; OHC</w:t>
      </w:r>
      <w:r w:rsidRPr="00C40A8B">
        <w:rPr>
          <w:rFonts w:ascii="Book Antiqua" w:hAnsi="Book Antiqua"/>
          <w:lang w:eastAsia="zh-CN"/>
        </w:rPr>
        <w:t>:</w:t>
      </w:r>
      <w:r w:rsidRPr="00C40A8B">
        <w:rPr>
          <w:rFonts w:ascii="Book Antiqua" w:hAnsi="Book Antiqua"/>
        </w:rPr>
        <w:t xml:space="preserve"> Outer hair cell. </w:t>
      </w:r>
    </w:p>
    <w:p w:rsidR="00726399" w:rsidRPr="00C40A8B" w:rsidRDefault="00726399" w:rsidP="00E60C33">
      <w:pPr>
        <w:snapToGrid w:val="0"/>
        <w:spacing w:line="360" w:lineRule="auto"/>
        <w:ind w:firstLineChars="236" w:firstLine="566"/>
        <w:rPr>
          <w:rFonts w:ascii="Book Antiqua" w:hAnsi="Book Antiqua"/>
        </w:rPr>
        <w:sectPr w:rsidR="00726399" w:rsidRPr="00C40A8B" w:rsidSect="0006614C">
          <w:pgSz w:w="17010" w:h="16838"/>
          <w:pgMar w:top="1985" w:right="1701" w:bottom="1701" w:left="1701" w:header="851" w:footer="992" w:gutter="0"/>
          <w:cols w:space="425"/>
          <w:docGrid w:type="linesAndChars" w:linePitch="286"/>
        </w:sectPr>
      </w:pPr>
    </w:p>
    <w:p w:rsidR="00726399" w:rsidRPr="00C40A8B" w:rsidRDefault="00726399" w:rsidP="00E60C33">
      <w:pPr>
        <w:snapToGrid w:val="0"/>
        <w:spacing w:line="360" w:lineRule="auto"/>
        <w:rPr>
          <w:rFonts w:ascii="Book Antiqua" w:hAnsi="Book Antiqua"/>
          <w:b/>
        </w:rPr>
      </w:pPr>
      <w:r w:rsidRPr="00C40A8B">
        <w:rPr>
          <w:rFonts w:ascii="Book Antiqua" w:hAnsi="Book Antiqua"/>
          <w:b/>
        </w:rPr>
        <w:lastRenderedPageBreak/>
        <w:t>Table 3</w:t>
      </w:r>
      <w:r w:rsidRPr="00C40A8B">
        <w:rPr>
          <w:rFonts w:ascii="Book Antiqua" w:hAnsi="Book Antiqua"/>
          <w:b/>
          <w:lang w:eastAsia="zh-CN"/>
        </w:rPr>
        <w:t xml:space="preserve"> </w:t>
      </w:r>
      <w:r w:rsidRPr="00C40A8B">
        <w:rPr>
          <w:rFonts w:ascii="Book Antiqua" w:hAnsi="Book Antiqua"/>
          <w:b/>
          <w:kern w:val="0"/>
          <w:lang w:eastAsia="zh-CN"/>
        </w:rPr>
        <w:t>N</w:t>
      </w:r>
      <w:r w:rsidRPr="00C40A8B">
        <w:rPr>
          <w:rFonts w:ascii="Book Antiqua" w:hAnsi="Book Antiqua"/>
          <w:b/>
          <w:kern w:val="0"/>
        </w:rPr>
        <w:t>uclear factor kappa-light-chain-enhancer of activated B cells</w:t>
      </w:r>
      <w:r w:rsidRPr="00C40A8B">
        <w:rPr>
          <w:rFonts w:ascii="Book Antiqua" w:eastAsia="MS PGothic" w:hAnsi="Book Antiqua"/>
          <w:b/>
          <w:color w:val="000000"/>
        </w:rPr>
        <w:t xml:space="preserve"> activation and associated cytokine expression in the lateral wall</w:t>
      </w:r>
    </w:p>
    <w:tbl>
      <w:tblPr>
        <w:tblW w:w="0" w:type="auto"/>
        <w:tblInd w:w="84" w:type="dxa"/>
        <w:tblBorders>
          <w:top w:val="single" w:sz="4" w:space="0" w:color="auto"/>
          <w:bottom w:val="single" w:sz="4" w:space="0" w:color="auto"/>
        </w:tblBorders>
        <w:tblCellMar>
          <w:left w:w="99" w:type="dxa"/>
          <w:right w:w="99" w:type="dxa"/>
        </w:tblCellMar>
        <w:tblLook w:val="00A0" w:firstRow="1" w:lastRow="0" w:firstColumn="1" w:lastColumn="0" w:noHBand="0" w:noVBand="0"/>
      </w:tblPr>
      <w:tblGrid>
        <w:gridCol w:w="2020"/>
        <w:gridCol w:w="2018"/>
        <w:gridCol w:w="837"/>
        <w:gridCol w:w="1636"/>
        <w:gridCol w:w="1461"/>
        <w:gridCol w:w="1327"/>
        <w:gridCol w:w="1794"/>
        <w:gridCol w:w="1337"/>
        <w:gridCol w:w="1292"/>
      </w:tblGrid>
      <w:tr w:rsidR="00726399" w:rsidRPr="00480615" w:rsidTr="00F00904">
        <w:trPr>
          <w:trHeight w:val="240"/>
        </w:trPr>
        <w:tc>
          <w:tcPr>
            <w:tcW w:w="0" w:type="auto"/>
            <w:tcBorders>
              <w:top w:val="single" w:sz="4" w:space="0" w:color="auto"/>
              <w:bottom w:val="nil"/>
            </w:tcBorders>
            <w:vAlign w:val="center"/>
          </w:tcPr>
          <w:p w:rsidR="00726399" w:rsidRPr="00C40A8B" w:rsidRDefault="00726399" w:rsidP="00E60C33">
            <w:pPr>
              <w:widowControl/>
              <w:snapToGrid w:val="0"/>
              <w:spacing w:line="360" w:lineRule="auto"/>
              <w:rPr>
                <w:rFonts w:ascii="Book Antiqua" w:eastAsia="MS PGothic" w:hAnsi="Book Antiqua"/>
                <w:b/>
                <w:color w:val="000000"/>
                <w:kern w:val="0"/>
              </w:rPr>
            </w:pPr>
          </w:p>
        </w:tc>
        <w:tc>
          <w:tcPr>
            <w:tcW w:w="0" w:type="auto"/>
            <w:tcBorders>
              <w:top w:val="single" w:sz="4" w:space="0" w:color="auto"/>
              <w:bottom w:val="nil"/>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p>
        </w:tc>
        <w:tc>
          <w:tcPr>
            <w:tcW w:w="0" w:type="auto"/>
            <w:tcBorders>
              <w:top w:val="single" w:sz="4" w:space="0" w:color="auto"/>
              <w:bottom w:val="nil"/>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p>
        </w:tc>
        <w:tc>
          <w:tcPr>
            <w:tcW w:w="0" w:type="auto"/>
            <w:gridSpan w:val="2"/>
            <w:tcBorders>
              <w:top w:val="single" w:sz="4" w:space="0" w:color="auto"/>
              <w:bottom w:val="nil"/>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NF-κB</w:t>
            </w:r>
          </w:p>
        </w:tc>
        <w:tc>
          <w:tcPr>
            <w:tcW w:w="0" w:type="auto"/>
            <w:gridSpan w:val="3"/>
            <w:tcBorders>
              <w:top w:val="single" w:sz="4" w:space="0" w:color="auto"/>
              <w:bottom w:val="nil"/>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Other factors</w:t>
            </w:r>
          </w:p>
        </w:tc>
        <w:tc>
          <w:tcPr>
            <w:tcW w:w="0" w:type="auto"/>
            <w:tcBorders>
              <w:top w:val="single" w:sz="4" w:space="0" w:color="auto"/>
              <w:bottom w:val="nil"/>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p>
        </w:tc>
      </w:tr>
      <w:tr w:rsidR="00726399" w:rsidRPr="00480615" w:rsidTr="00F00904">
        <w:trPr>
          <w:trHeight w:val="460"/>
        </w:trPr>
        <w:tc>
          <w:tcPr>
            <w:tcW w:w="0" w:type="auto"/>
            <w:tcBorders>
              <w:top w:val="nil"/>
              <w:bottom w:val="single" w:sz="4" w:space="0" w:color="auto"/>
            </w:tcBorders>
            <w:vAlign w:val="center"/>
          </w:tcPr>
          <w:p w:rsidR="00726399" w:rsidRPr="00C40A8B" w:rsidRDefault="00726399" w:rsidP="00E60C33">
            <w:pPr>
              <w:widowControl/>
              <w:snapToGrid w:val="0"/>
              <w:spacing w:line="360" w:lineRule="auto"/>
              <w:rPr>
                <w:rFonts w:ascii="Book Antiqua" w:eastAsia="MS PGothic" w:hAnsi="Book Antiqua"/>
                <w:b/>
                <w:color w:val="000000"/>
                <w:kern w:val="0"/>
              </w:rPr>
            </w:pPr>
            <w:r w:rsidRPr="00C40A8B">
              <w:rPr>
                <w:rFonts w:ascii="Book Antiqua" w:eastAsia="MS PGothic" w:hAnsi="Book Antiqua"/>
                <w:b/>
                <w:color w:val="000000"/>
                <w:kern w:val="0"/>
              </w:rPr>
              <w:t>Animal</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Stressor</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Time point</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Response</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Location</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Factor</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Response</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Location</w:t>
            </w:r>
          </w:p>
        </w:tc>
        <w:tc>
          <w:tcPr>
            <w:tcW w:w="0" w:type="auto"/>
            <w:tcBorders>
              <w:top w:val="nil"/>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b/>
                <w:color w:val="000000"/>
                <w:kern w:val="0"/>
              </w:rPr>
            </w:pPr>
            <w:r w:rsidRPr="00C40A8B">
              <w:rPr>
                <w:rFonts w:ascii="Book Antiqua" w:eastAsia="MS PGothic" w:hAnsi="Book Antiqua"/>
                <w:b/>
                <w:color w:val="000000"/>
                <w:kern w:val="0"/>
              </w:rPr>
              <w:t>Reference</w:t>
            </w:r>
          </w:p>
        </w:tc>
      </w:tr>
      <w:tr w:rsidR="00726399" w:rsidRPr="00480615" w:rsidTr="00F00904">
        <w:trPr>
          <w:trHeight w:val="500"/>
        </w:trPr>
        <w:tc>
          <w:tcPr>
            <w:tcW w:w="0" w:type="auto"/>
            <w:vMerge w:val="restart"/>
            <w:tcBorders>
              <w:top w:val="single" w:sz="4" w:space="0" w:color="auto"/>
            </w:tcBorders>
            <w:vAlign w:val="center"/>
          </w:tcPr>
          <w:p w:rsidR="00726399" w:rsidRPr="00C40A8B" w:rsidRDefault="00726399" w:rsidP="00E60C33">
            <w:pPr>
              <w:widowControl/>
              <w:snapToGrid w:val="0"/>
              <w:spacing w:line="360" w:lineRule="auto"/>
              <w:rPr>
                <w:rFonts w:ascii="Book Antiqua" w:eastAsia="MS PGothic" w:hAnsi="Book Antiqua"/>
                <w:color w:val="000000"/>
                <w:kern w:val="0"/>
              </w:rPr>
            </w:pPr>
            <w:r w:rsidRPr="00C40A8B">
              <w:rPr>
                <w:rFonts w:ascii="Book Antiqua" w:eastAsia="MS PGothic" w:hAnsi="Book Antiqua"/>
                <w:color w:val="000000"/>
                <w:kern w:val="0"/>
              </w:rPr>
              <w:t>CBA/CaJ mice</w:t>
            </w:r>
          </w:p>
        </w:tc>
        <w:tc>
          <w:tcPr>
            <w:tcW w:w="0" w:type="auto"/>
            <w:tcBorders>
              <w:top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 xml:space="preserve">LPS, </w:t>
            </w:r>
            <w:r w:rsidRPr="00C40A8B">
              <w:rPr>
                <w:rFonts w:ascii="Book Antiqua" w:eastAsia="MS PGothic" w:hAnsi="Book Antiqua"/>
                <w:i/>
                <w:color w:val="000000"/>
                <w:kern w:val="0"/>
              </w:rPr>
              <w:t>ip</w:t>
            </w:r>
          </w:p>
        </w:tc>
        <w:tc>
          <w:tcPr>
            <w:tcW w:w="0" w:type="auto"/>
            <w:vMerge w:val="restart"/>
            <w:tcBorders>
              <w:top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24 h</w:t>
            </w:r>
          </w:p>
        </w:tc>
        <w:tc>
          <w:tcPr>
            <w:tcW w:w="0" w:type="auto"/>
            <w:tcBorders>
              <w:top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tcBorders>
              <w:top w:val="single" w:sz="4" w:space="0" w:color="auto"/>
            </w:tcBorders>
            <w:vAlign w:val="center"/>
          </w:tcPr>
          <w:p w:rsidR="00726399" w:rsidRPr="00480615" w:rsidRDefault="00726399" w:rsidP="003415D0">
            <w:pPr>
              <w:widowControl/>
              <w:snapToGrid w:val="0"/>
              <w:spacing w:line="360" w:lineRule="auto"/>
              <w:jc w:val="center"/>
              <w:rPr>
                <w:rFonts w:ascii="Book Antiqua" w:hAnsi="Book Antiqua"/>
                <w:color w:val="000000"/>
                <w:kern w:val="0"/>
                <w:lang w:eastAsia="zh-CN"/>
              </w:rPr>
            </w:pPr>
            <w:r w:rsidRPr="00C40A8B">
              <w:rPr>
                <w:rFonts w:ascii="Book Antiqua" w:eastAsia="MS PGothic" w:hAnsi="Book Antiqua"/>
                <w:color w:val="000000"/>
                <w:kern w:val="0"/>
              </w:rPr>
              <w:t>Unilateral, II &gt;&gt; I, Lim</w:t>
            </w:r>
          </w:p>
        </w:tc>
        <w:tc>
          <w:tcPr>
            <w:tcW w:w="0" w:type="auto"/>
            <w:tcBorders>
              <w:top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tcBorders>
              <w:top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tcBorders>
              <w:top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tcBorders>
              <w:top w:val="single" w:sz="4" w:space="0" w:color="auto"/>
            </w:tcBorders>
            <w:vAlign w:val="center"/>
          </w:tcPr>
          <w:p w:rsidR="00726399" w:rsidRPr="00480615" w:rsidRDefault="00726399" w:rsidP="003415D0">
            <w:pPr>
              <w:widowControl/>
              <w:snapToGrid w:val="0"/>
              <w:spacing w:line="360" w:lineRule="auto"/>
              <w:jc w:val="center"/>
              <w:rPr>
                <w:rFonts w:ascii="Book Antiqua" w:hAnsi="Book Antiqua"/>
                <w:color w:val="000000"/>
                <w:kern w:val="0"/>
                <w:lang w:eastAsia="zh-CN"/>
              </w:rPr>
            </w:pPr>
            <w:bookmarkStart w:id="673" w:name="OLE_LINK2480"/>
            <w:r w:rsidRPr="00480615">
              <w:rPr>
                <w:rFonts w:ascii="Book Antiqua" w:hAnsi="Book Antiqua"/>
                <w:color w:val="000000"/>
                <w:kern w:val="0"/>
                <w:lang w:eastAsia="zh-CN"/>
              </w:rPr>
              <w:t>[135]</w:t>
            </w:r>
            <w:bookmarkEnd w:id="673"/>
          </w:p>
        </w:tc>
      </w:tr>
      <w:tr w:rsidR="00726399" w:rsidRPr="00480615" w:rsidTr="00F00904">
        <w:trPr>
          <w:trHeight w:val="46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 xml:space="preserve">LPS, </w:t>
            </w:r>
            <w:r w:rsidRPr="00C40A8B">
              <w:rPr>
                <w:rFonts w:ascii="Book Antiqua" w:eastAsia="MS PGothic" w:hAnsi="Book Antiqua"/>
                <w:i/>
                <w:color w:val="000000"/>
                <w:kern w:val="0"/>
              </w:rPr>
              <w:t>ip</w:t>
            </w:r>
            <w:r w:rsidRPr="00C40A8B">
              <w:rPr>
                <w:rFonts w:ascii="Book Antiqua" w:eastAsia="MS PGothic" w:hAnsi="Book Antiqua"/>
                <w:color w:val="000000"/>
                <w:kern w:val="0"/>
              </w:rPr>
              <w:t xml:space="preserve"> + dexamethasone, </w:t>
            </w:r>
            <w:r w:rsidRPr="00C40A8B">
              <w:rPr>
                <w:rFonts w:ascii="Book Antiqua" w:eastAsia="MS PGothic" w:hAnsi="Book Antiqua"/>
                <w:i/>
                <w:color w:val="000000"/>
                <w:kern w:val="0"/>
              </w:rPr>
              <w:t>ip</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No activation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 xml:space="preserve">Anti-CD3, </w:t>
            </w:r>
            <w:r w:rsidRPr="00C40A8B">
              <w:rPr>
                <w:rFonts w:ascii="Book Antiqua" w:eastAsia="MS PGothic" w:hAnsi="Book Antiqua"/>
                <w:i/>
                <w:color w:val="000000"/>
                <w:kern w:val="0"/>
              </w:rPr>
              <w:t>ip</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 xml:space="preserve">Taxol, </w:t>
            </w:r>
            <w:r w:rsidRPr="00C40A8B">
              <w:rPr>
                <w:rFonts w:ascii="Book Antiqua" w:eastAsia="MS PGothic" w:hAnsi="Book Antiqua"/>
                <w:i/>
                <w:color w:val="000000"/>
                <w:kern w:val="0"/>
              </w:rPr>
              <w:t>ip</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100 dB SPL</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Align w:val="center"/>
          </w:tcPr>
          <w:p w:rsidR="00726399" w:rsidRPr="00480615" w:rsidRDefault="00726399" w:rsidP="003415D0">
            <w:pPr>
              <w:widowControl/>
              <w:snapToGrid w:val="0"/>
              <w:spacing w:line="360" w:lineRule="auto"/>
              <w:jc w:val="center"/>
              <w:rPr>
                <w:rFonts w:ascii="Book Antiqua" w:hAnsi="Book Antiqua"/>
                <w:color w:val="000000"/>
                <w:kern w:val="0"/>
                <w:lang w:eastAsia="zh-CN"/>
              </w:rPr>
            </w:pPr>
            <w:r w:rsidRPr="00C40A8B">
              <w:rPr>
                <w:rFonts w:ascii="Book Antiqua" w:eastAsia="MS PGothic" w:hAnsi="Book Antiqua"/>
                <w:color w:val="000000"/>
                <w:kern w:val="0"/>
              </w:rPr>
              <w:t>Bilateral, I &gt;&gt; II, Lim</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restart"/>
            <w:vAlign w:val="center"/>
          </w:tcPr>
          <w:p w:rsidR="00726399" w:rsidRPr="00C40A8B" w:rsidRDefault="00726399" w:rsidP="00E60C33">
            <w:pPr>
              <w:widowControl/>
              <w:snapToGrid w:val="0"/>
              <w:spacing w:line="360" w:lineRule="auto"/>
              <w:rPr>
                <w:rFonts w:ascii="Book Antiqua" w:eastAsia="MS PGothic" w:hAnsi="Book Antiqua"/>
                <w:color w:val="000000"/>
                <w:kern w:val="0"/>
              </w:rPr>
            </w:pPr>
            <w:r w:rsidRPr="00C40A8B">
              <w:rPr>
                <w:rFonts w:ascii="Book Antiqua" w:eastAsia="MS PGothic" w:hAnsi="Book Antiqua"/>
                <w:color w:val="000000"/>
                <w:kern w:val="0"/>
              </w:rPr>
              <w:t>CBA mice</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117 dB SPL</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4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Transcription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LW</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480615">
              <w:rPr>
                <w:rFonts w:ascii="Book Antiqua" w:hAnsi="Book Antiqua"/>
                <w:color w:val="000000"/>
                <w:kern w:val="0"/>
                <w:lang w:eastAsia="zh-CN"/>
              </w:rPr>
              <w:t>[136]</w:t>
            </w: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2-12 h</w:t>
            </w:r>
            <w:r w:rsidRPr="00C40A8B">
              <w:rPr>
                <w:rFonts w:ascii="Book Antiqua" w:eastAsia="MS PGothic" w:hAnsi="Book Antiqua"/>
                <w:color w:val="000000"/>
                <w:kern w:val="0"/>
                <w:vertAlign w:val="superscript"/>
              </w:rPr>
              <w:t>1</w:t>
            </w:r>
            <w:r w:rsidRPr="00C40A8B">
              <w:rPr>
                <w:rFonts w:ascii="Book Antiqua" w:eastAsia="MS PGothic" w:hAnsi="Book Antiqua"/>
                <w:color w:val="000000"/>
                <w:kern w:val="0"/>
              </w:rPr>
              <w:t>(4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iNOS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Transcription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LW</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0-12 h (6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ICAM-1</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Transcription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LW</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2-12 h (6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VCAM-1</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Transcription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LW</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14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ICAM-1</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SV</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14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VCAM-1</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SV</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restart"/>
            <w:vAlign w:val="center"/>
          </w:tcPr>
          <w:p w:rsidR="00726399" w:rsidRPr="00C40A8B" w:rsidRDefault="00726399" w:rsidP="00E60C33">
            <w:pPr>
              <w:widowControl/>
              <w:snapToGrid w:val="0"/>
              <w:spacing w:line="360" w:lineRule="auto"/>
              <w:rPr>
                <w:rFonts w:ascii="Book Antiqua" w:eastAsia="MS PGothic" w:hAnsi="Book Antiqua"/>
                <w:color w:val="000000"/>
                <w:kern w:val="0"/>
              </w:rPr>
            </w:pPr>
            <w:r w:rsidRPr="00C40A8B">
              <w:rPr>
                <w:rFonts w:ascii="Book Antiqua" w:eastAsia="MS PGothic" w:hAnsi="Book Antiqua"/>
                <w:color w:val="000000"/>
                <w:kern w:val="0"/>
              </w:rPr>
              <w:t xml:space="preserve">Swiss-Webster </w:t>
            </w:r>
            <w:r w:rsidRPr="00C40A8B">
              <w:rPr>
                <w:rFonts w:ascii="Book Antiqua" w:eastAsia="MS PGothic" w:hAnsi="Book Antiqua"/>
                <w:color w:val="000000"/>
                <w:kern w:val="0"/>
              </w:rPr>
              <w:lastRenderedPageBreak/>
              <w:t>mice</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lastRenderedPageBreak/>
              <w:t>Ag</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7 d</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leukocytes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2</w:t>
            </w: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3</w:t>
            </w:r>
            <w:r w:rsidRPr="00C40A8B">
              <w:rPr>
                <w:rFonts w:ascii="Book Antiqua" w:eastAsia="MS PGothic" w:hAnsi="Book Antiqua"/>
                <w:color w:val="000000"/>
                <w:kern w:val="0"/>
              </w:rPr>
              <w:t>SL</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480615">
              <w:rPr>
                <w:rFonts w:ascii="Book Antiqua" w:hAnsi="Book Antiqua"/>
                <w:color w:val="000000"/>
                <w:kern w:val="0"/>
                <w:lang w:eastAsia="zh-CN"/>
              </w:rPr>
              <w:t>[137]</w:t>
            </w: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90 or 100 dB SPL</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7 d</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No 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46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90 or 100 dB SPL + Ag</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7 d</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No 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118 dB SPL</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4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 II, IV</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7 d</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No activation</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leukocytes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2</w:t>
            </w: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LW</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ICAM-1</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II</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118 dB SPL + Ag</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4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 II, IV, HC, SC</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7d</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HC, SC</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leukocytes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4</w:t>
            </w:r>
            <w:r w:rsidRPr="00C40A8B">
              <w:rPr>
                <w:rFonts w:ascii="Book Antiqua" w:eastAsia="MS PGothic" w:hAnsi="Book Antiqua"/>
                <w:color w:val="000000"/>
                <w:kern w:val="0"/>
              </w:rPr>
              <w:t>LW</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ICAM-1</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4</w:t>
            </w:r>
            <w:r w:rsidRPr="00C40A8B">
              <w:rPr>
                <w:rFonts w:ascii="Book Antiqua" w:eastAsia="MS PGothic" w:hAnsi="Book Antiqua"/>
                <w:color w:val="000000"/>
                <w:kern w:val="0"/>
              </w:rPr>
              <w:t>II, III &gt;&gt; I</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460"/>
        </w:trPr>
        <w:tc>
          <w:tcPr>
            <w:tcW w:w="0" w:type="auto"/>
            <w:vMerge w:val="restart"/>
            <w:vAlign w:val="center"/>
          </w:tcPr>
          <w:p w:rsidR="00726399" w:rsidRPr="00C40A8B" w:rsidRDefault="00726399" w:rsidP="00E60C33">
            <w:pPr>
              <w:widowControl/>
              <w:snapToGrid w:val="0"/>
              <w:spacing w:line="360" w:lineRule="auto"/>
              <w:rPr>
                <w:rFonts w:ascii="Book Antiqua" w:eastAsia="MS PGothic" w:hAnsi="Book Antiqua"/>
                <w:color w:val="000000"/>
                <w:kern w:val="0"/>
              </w:rPr>
            </w:pPr>
            <w:r w:rsidRPr="00C40A8B">
              <w:rPr>
                <w:rFonts w:ascii="Book Antiqua" w:eastAsia="MS PGothic" w:hAnsi="Book Antiqua"/>
                <w:color w:val="000000"/>
                <w:kern w:val="0"/>
              </w:rPr>
              <w:t>C57/Bl6J mice</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124 dB SPL</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2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 II, III, IV, SV</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iNOS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Most of NF-κB activated cells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480615">
              <w:rPr>
                <w:rFonts w:ascii="Book Antiqua" w:hAnsi="Book Antiqua"/>
                <w:color w:val="000000"/>
                <w:kern w:val="0"/>
                <w:lang w:eastAsia="zh-CN"/>
              </w:rPr>
              <w:t>[138]</w:t>
            </w:r>
          </w:p>
        </w:tc>
      </w:tr>
      <w:tr w:rsidR="00726399" w:rsidRPr="00480615" w:rsidTr="00F00904">
        <w:trPr>
          <w:trHeight w:val="46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72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5</w:t>
            </w:r>
            <w:r w:rsidRPr="00C40A8B">
              <w:rPr>
                <w:rFonts w:ascii="Book Antiqua" w:eastAsia="MS PGothic" w:hAnsi="Book Antiqua"/>
                <w:color w:val="000000"/>
                <w:kern w:val="0"/>
              </w:rPr>
              <w:t>I, II, III, IV, SV</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iNOS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5</w:t>
            </w:r>
            <w:r w:rsidRPr="00C40A8B">
              <w:rPr>
                <w:rFonts w:ascii="Book Antiqua" w:eastAsia="MS PGothic" w:hAnsi="Book Antiqua"/>
                <w:color w:val="000000"/>
                <w:kern w:val="0"/>
              </w:rPr>
              <w:t>Most of NF-κB activated cells</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restart"/>
            <w:vAlign w:val="center"/>
          </w:tcPr>
          <w:p w:rsidR="00726399" w:rsidRPr="00C40A8B" w:rsidRDefault="00726399" w:rsidP="00E60C33">
            <w:pPr>
              <w:widowControl/>
              <w:snapToGrid w:val="0"/>
              <w:spacing w:line="360" w:lineRule="auto"/>
              <w:rPr>
                <w:rFonts w:ascii="Book Antiqua" w:eastAsia="MS PGothic" w:hAnsi="Book Antiqua"/>
                <w:color w:val="000000"/>
                <w:kern w:val="0"/>
              </w:rPr>
            </w:pPr>
            <w:r w:rsidRPr="00C40A8B">
              <w:rPr>
                <w:rFonts w:ascii="Book Antiqua" w:eastAsia="MS PGothic" w:hAnsi="Book Antiqua"/>
                <w:color w:val="000000"/>
                <w:kern w:val="0"/>
              </w:rPr>
              <w:t>Sprague-Dawley rats</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 xml:space="preserve">Cisplatin, </w:t>
            </w:r>
            <w:r w:rsidRPr="00C40A8B">
              <w:rPr>
                <w:rFonts w:ascii="Book Antiqua" w:eastAsia="MS PGothic" w:hAnsi="Book Antiqua"/>
                <w:i/>
                <w:color w:val="000000"/>
                <w:kern w:val="0"/>
              </w:rPr>
              <w:t>ip</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24 h</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Activation</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 II, III, IV, SV, OHC, Lim.</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IL-1β</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II, IV &gt;&gt; I, III, SMV</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480615">
              <w:rPr>
                <w:rFonts w:ascii="Book Antiqua" w:hAnsi="Book Antiqua"/>
                <w:color w:val="000000"/>
                <w:kern w:val="0"/>
                <w:lang w:eastAsia="zh-CN"/>
              </w:rPr>
              <w:t>[139]</w:t>
            </w: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IL-6</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SMV</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46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TNF-α</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 II, III, IV, SV, Lim., SMV, HC</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Cisplatin + TNF-α inhibitor</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No activation</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IL-1β</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No expression, no transcription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whole cochlea</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IL-6</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 xml:space="preserve">No expression, no </w:t>
            </w:r>
            <w:r w:rsidRPr="00C40A8B">
              <w:rPr>
                <w:rFonts w:ascii="Book Antiqua" w:eastAsia="MS PGothic" w:hAnsi="Book Antiqua"/>
                <w:color w:val="000000"/>
                <w:kern w:val="0"/>
              </w:rPr>
              <w:lastRenderedPageBreak/>
              <w:t>transcription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lastRenderedPageBreak/>
              <w:t>whole cochlea</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TNF-α</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No expression, no transcription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whole cochlea</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restart"/>
            <w:vAlign w:val="center"/>
          </w:tcPr>
          <w:p w:rsidR="00726399" w:rsidRPr="00C40A8B" w:rsidRDefault="00726399" w:rsidP="00E60C33">
            <w:pPr>
              <w:widowControl/>
              <w:snapToGrid w:val="0"/>
              <w:spacing w:line="360" w:lineRule="auto"/>
              <w:rPr>
                <w:rFonts w:ascii="Book Antiqua" w:eastAsia="MS PGothic" w:hAnsi="Book Antiqua"/>
                <w:color w:val="000000"/>
                <w:kern w:val="0"/>
              </w:rPr>
            </w:pPr>
            <w:r w:rsidRPr="00C40A8B">
              <w:rPr>
                <w:rFonts w:ascii="Book Antiqua" w:eastAsia="MS PGothic" w:hAnsi="Book Antiqua"/>
                <w:color w:val="000000"/>
                <w:kern w:val="0"/>
              </w:rPr>
              <w:t>Sprague-Dawley rats</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124 dB SPL</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3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IL-6</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III, IV</w:t>
            </w:r>
          </w:p>
        </w:tc>
        <w:tc>
          <w:tcPr>
            <w:tcW w:w="0" w:type="auto"/>
            <w:vMerge w:val="restart"/>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480615">
              <w:rPr>
                <w:rFonts w:ascii="Book Antiqua" w:hAnsi="Book Antiqua"/>
                <w:color w:val="000000"/>
                <w:kern w:val="0"/>
                <w:lang w:eastAsia="zh-CN"/>
              </w:rPr>
              <w:t>[140]</w:t>
            </w: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6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 II, III, IV</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12 h</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vAlign w:val="center"/>
          </w:tcPr>
          <w:p w:rsidR="00726399" w:rsidRPr="00C40A8B" w:rsidRDefault="00726399" w:rsidP="003415D0">
            <w:pPr>
              <w:snapToGrid w:val="0"/>
              <w:spacing w:line="360" w:lineRule="auto"/>
              <w:jc w:val="center"/>
              <w:rPr>
                <w:rFonts w:ascii="Book Antiqua" w:eastAsia="MS PGothic" w:hAnsi="Book Antiqua"/>
                <w:color w:val="000000"/>
                <w:kern w:val="0"/>
              </w:rPr>
            </w:pP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I, II, III, IV, SV, SG</w:t>
            </w:r>
          </w:p>
        </w:tc>
        <w:tc>
          <w:tcPr>
            <w:tcW w:w="0" w:type="auto"/>
            <w:vMerge/>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r w:rsidR="00726399" w:rsidRPr="00480615" w:rsidTr="00F00904">
        <w:trPr>
          <w:trHeight w:val="340"/>
        </w:trPr>
        <w:tc>
          <w:tcPr>
            <w:tcW w:w="0" w:type="auto"/>
            <w:vMerge/>
            <w:tcBorders>
              <w:bottom w:val="single" w:sz="4" w:space="0" w:color="auto"/>
            </w:tcBorders>
            <w:vAlign w:val="center"/>
          </w:tcPr>
          <w:p w:rsidR="00726399" w:rsidRPr="00C40A8B" w:rsidRDefault="00726399" w:rsidP="00E60C33">
            <w:pPr>
              <w:widowControl/>
              <w:snapToGrid w:val="0"/>
              <w:spacing w:line="360" w:lineRule="auto"/>
              <w:rPr>
                <w:rFonts w:ascii="Book Antiqua" w:eastAsia="MS PGothic" w:hAnsi="Book Antiqua"/>
                <w:color w:val="000000"/>
                <w:kern w:val="0"/>
              </w:rPr>
            </w:pPr>
          </w:p>
        </w:tc>
        <w:tc>
          <w:tcPr>
            <w:tcW w:w="0" w:type="auto"/>
            <w:vMerge/>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24 h</w:t>
            </w:r>
          </w:p>
        </w:tc>
        <w:tc>
          <w:tcPr>
            <w:tcW w:w="0" w:type="auto"/>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vMerge/>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c>
          <w:tcPr>
            <w:tcW w:w="0" w:type="auto"/>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rPr>
              <w:t>Expression</w:t>
            </w:r>
          </w:p>
        </w:tc>
        <w:tc>
          <w:tcPr>
            <w:tcW w:w="0" w:type="auto"/>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r w:rsidRPr="00C40A8B">
              <w:rPr>
                <w:rFonts w:ascii="Book Antiqua" w:eastAsia="MS PGothic" w:hAnsi="Book Antiqua"/>
                <w:color w:val="000000"/>
                <w:kern w:val="0"/>
                <w:vertAlign w:val="superscript"/>
              </w:rPr>
              <w:t>6</w:t>
            </w:r>
            <w:r w:rsidRPr="00C40A8B">
              <w:rPr>
                <w:rFonts w:ascii="Book Antiqua" w:eastAsia="MS PGothic" w:hAnsi="Book Antiqua"/>
                <w:color w:val="000000"/>
                <w:kern w:val="0"/>
              </w:rPr>
              <w:t>I, II, III, IV, SG</w:t>
            </w:r>
          </w:p>
        </w:tc>
        <w:tc>
          <w:tcPr>
            <w:tcW w:w="0" w:type="auto"/>
            <w:vMerge/>
            <w:tcBorders>
              <w:bottom w:val="single" w:sz="4" w:space="0" w:color="auto"/>
            </w:tcBorders>
            <w:vAlign w:val="center"/>
          </w:tcPr>
          <w:p w:rsidR="00726399" w:rsidRPr="00C40A8B" w:rsidRDefault="00726399" w:rsidP="003415D0">
            <w:pPr>
              <w:widowControl/>
              <w:snapToGrid w:val="0"/>
              <w:spacing w:line="360" w:lineRule="auto"/>
              <w:jc w:val="center"/>
              <w:rPr>
                <w:rFonts w:ascii="Book Antiqua" w:eastAsia="MS PGothic" w:hAnsi="Book Antiqua"/>
                <w:color w:val="000000"/>
                <w:kern w:val="0"/>
              </w:rPr>
            </w:pPr>
          </w:p>
        </w:tc>
      </w:tr>
    </w:tbl>
    <w:p w:rsidR="00726399" w:rsidRPr="00C40A8B" w:rsidRDefault="00726399" w:rsidP="00E60C33">
      <w:pPr>
        <w:snapToGrid w:val="0"/>
        <w:spacing w:line="360" w:lineRule="auto"/>
        <w:rPr>
          <w:rFonts w:ascii="Book Antiqua" w:hAnsi="Book Antiqua"/>
        </w:rPr>
      </w:pPr>
      <w:r w:rsidRPr="00C40A8B">
        <w:rPr>
          <w:rFonts w:ascii="Book Antiqua" w:eastAsia="MS PGothic" w:hAnsi="Book Antiqua"/>
          <w:color w:val="000000"/>
          <w:kern w:val="0"/>
          <w:vertAlign w:val="superscript"/>
        </w:rPr>
        <w:t>1</w:t>
      </w:r>
      <w:r w:rsidRPr="00C40A8B">
        <w:rPr>
          <w:rFonts w:ascii="Book Antiqua" w:eastAsia="MS PGothic" w:hAnsi="Book Antiqua"/>
          <w:color w:val="000000"/>
          <w:kern w:val="0"/>
        </w:rPr>
        <w:t>The time in the</w:t>
      </w:r>
      <w:r w:rsidRPr="00C40A8B">
        <w:rPr>
          <w:rFonts w:ascii="Book Antiqua" w:eastAsia="MS PGothic" w:hAnsi="Book Antiqua" w:hint="eastAsia"/>
          <w:color w:val="000000"/>
          <w:kern w:val="0"/>
        </w:rPr>
        <w:t xml:space="preserve">　</w:t>
      </w:r>
      <w:r w:rsidRPr="00C40A8B">
        <w:rPr>
          <w:rFonts w:ascii="Book Antiqua" w:eastAsia="MS PGothic" w:hAnsi="Book Antiqua"/>
          <w:color w:val="000000"/>
          <w:kern w:val="0"/>
        </w:rPr>
        <w:t>parentheses is the time of the maximum up-regulation of a factor</w:t>
      </w:r>
      <w:r>
        <w:rPr>
          <w:rFonts w:ascii="Book Antiqua" w:hAnsi="Book Antiqua"/>
          <w:color w:val="000000"/>
          <w:kern w:val="0"/>
          <w:lang w:eastAsia="zh-CN"/>
        </w:rPr>
        <w:t>;</w:t>
      </w:r>
      <w:r w:rsidRPr="00C40A8B">
        <w:rPr>
          <w:rFonts w:ascii="Book Antiqua" w:eastAsia="MS PGothic" w:hAnsi="Book Antiqua"/>
          <w:color w:val="000000"/>
          <w:kern w:val="0"/>
        </w:rPr>
        <w:t xml:space="preserve"> </w:t>
      </w:r>
      <w:r w:rsidRPr="00C40A8B">
        <w:rPr>
          <w:rFonts w:ascii="Book Antiqua" w:eastAsia="MS PGothic" w:hAnsi="Book Antiqua"/>
          <w:color w:val="000000"/>
          <w:vertAlign w:val="superscript"/>
        </w:rPr>
        <w:t>2</w:t>
      </w:r>
      <w:r w:rsidRPr="00C40A8B">
        <w:rPr>
          <w:rFonts w:ascii="Book Antiqua" w:eastAsia="MS PGothic" w:hAnsi="Book Antiqua"/>
          <w:color w:val="000000"/>
        </w:rPr>
        <w:t xml:space="preserve">The paper did not show whether it was significant or not in only the lateral wall, although it was significant in the total number of leukocytes in the modiolus, </w:t>
      </w:r>
      <w:r w:rsidRPr="00C40A8B">
        <w:rPr>
          <w:rFonts w:ascii="Book Antiqua" w:eastAsia="MS PGothic" w:hAnsi="Book Antiqua"/>
          <w:color w:val="000000"/>
          <w:kern w:val="0"/>
        </w:rPr>
        <w:t>spiral limbus</w:t>
      </w:r>
      <w:r w:rsidRPr="00C40A8B">
        <w:rPr>
          <w:rFonts w:ascii="Book Antiqua" w:eastAsia="MS PGothic" w:hAnsi="Book Antiqua"/>
          <w:color w:val="000000"/>
        </w:rPr>
        <w:t xml:space="preserve"> </w:t>
      </w:r>
      <w:r>
        <w:rPr>
          <w:rFonts w:ascii="Book Antiqua" w:hAnsi="Book Antiqua"/>
          <w:color w:val="000000"/>
          <w:lang w:eastAsia="zh-CN"/>
        </w:rPr>
        <w:t>(</w:t>
      </w:r>
      <w:r w:rsidRPr="00C40A8B">
        <w:rPr>
          <w:rFonts w:ascii="Book Antiqua" w:eastAsia="MS PGothic" w:hAnsi="Book Antiqua"/>
          <w:color w:val="000000"/>
        </w:rPr>
        <w:t>Lim.</w:t>
      </w:r>
      <w:r>
        <w:rPr>
          <w:rFonts w:ascii="Book Antiqua" w:hAnsi="Book Antiqua"/>
          <w:color w:val="000000"/>
          <w:lang w:eastAsia="zh-CN"/>
        </w:rPr>
        <w:t>)</w:t>
      </w:r>
      <w:r w:rsidRPr="00C40A8B">
        <w:rPr>
          <w:rFonts w:ascii="Book Antiqua" w:eastAsia="MS PGothic" w:hAnsi="Book Antiqua"/>
          <w:color w:val="000000"/>
        </w:rPr>
        <w:t xml:space="preserve">, spiral ligament </w:t>
      </w:r>
      <w:r>
        <w:rPr>
          <w:rFonts w:ascii="Book Antiqua" w:hAnsi="Book Antiqua"/>
          <w:color w:val="000000"/>
          <w:lang w:eastAsia="zh-CN"/>
        </w:rPr>
        <w:t>(</w:t>
      </w:r>
      <w:r w:rsidRPr="00C40A8B">
        <w:rPr>
          <w:rFonts w:ascii="Book Antiqua" w:eastAsia="MS PGothic" w:hAnsi="Book Antiqua"/>
          <w:color w:val="000000"/>
        </w:rPr>
        <w:t>SL</w:t>
      </w:r>
      <w:r>
        <w:rPr>
          <w:rFonts w:ascii="Book Antiqua" w:hAnsi="Book Antiqua"/>
          <w:color w:val="000000"/>
          <w:lang w:eastAsia="zh-CN"/>
        </w:rPr>
        <w:t>)</w:t>
      </w:r>
      <w:r w:rsidRPr="00C40A8B">
        <w:rPr>
          <w:rFonts w:ascii="Book Antiqua" w:eastAsia="MS PGothic" w:hAnsi="Book Antiqua"/>
          <w:color w:val="000000"/>
        </w:rPr>
        <w:t xml:space="preserve">, stria vascularis </w:t>
      </w:r>
      <w:r>
        <w:rPr>
          <w:rFonts w:ascii="Book Antiqua" w:hAnsi="Book Antiqua"/>
          <w:color w:val="000000"/>
          <w:lang w:eastAsia="zh-CN"/>
        </w:rPr>
        <w:t>(</w:t>
      </w:r>
      <w:r w:rsidRPr="00C40A8B">
        <w:rPr>
          <w:rFonts w:ascii="Book Antiqua" w:eastAsia="MS PGothic" w:hAnsi="Book Antiqua"/>
          <w:color w:val="000000"/>
        </w:rPr>
        <w:t>SV</w:t>
      </w:r>
      <w:r>
        <w:rPr>
          <w:rFonts w:ascii="Book Antiqua" w:hAnsi="Book Antiqua"/>
          <w:color w:val="000000"/>
          <w:lang w:eastAsia="zh-CN"/>
        </w:rPr>
        <w:t>)</w:t>
      </w:r>
      <w:r w:rsidRPr="00C40A8B">
        <w:rPr>
          <w:rFonts w:ascii="Book Antiqua" w:eastAsia="MS PGothic" w:hAnsi="Book Antiqua"/>
          <w:color w:val="000000"/>
        </w:rPr>
        <w:t>, and the scala tympani. However, the number in the lateral wall showed a clear tendency of increase compared with controls</w:t>
      </w:r>
      <w:r>
        <w:rPr>
          <w:rFonts w:ascii="Book Antiqua" w:hAnsi="Book Antiqua"/>
          <w:color w:val="000000"/>
          <w:lang w:eastAsia="zh-CN"/>
        </w:rPr>
        <w:t xml:space="preserve">; </w:t>
      </w:r>
      <w:r w:rsidRPr="00C40A8B">
        <w:rPr>
          <w:rFonts w:ascii="Book Antiqua" w:eastAsia="MS PGothic" w:hAnsi="Book Antiqua"/>
          <w:color w:val="000000"/>
          <w:kern w:val="0"/>
          <w:vertAlign w:val="superscript"/>
        </w:rPr>
        <w:t>3</w:t>
      </w:r>
      <w:r w:rsidRPr="00C40A8B">
        <w:rPr>
          <w:rFonts w:ascii="Book Antiqua" w:eastAsia="MS PGothic" w:hAnsi="Book Antiqua"/>
          <w:color w:val="000000"/>
          <w:kern w:val="0"/>
        </w:rPr>
        <w:t xml:space="preserve">There were a small number of leukocytes in the spiral ligament. </w:t>
      </w:r>
      <w:r w:rsidRPr="00C40A8B">
        <w:rPr>
          <w:rFonts w:ascii="Book Antiqua" w:eastAsia="MS PGothic" w:hAnsi="Book Antiqua"/>
          <w:color w:val="000000"/>
          <w:kern w:val="0"/>
          <w:vertAlign w:val="superscript"/>
        </w:rPr>
        <w:t>4</w:t>
      </w:r>
      <w:r w:rsidRPr="00C40A8B">
        <w:rPr>
          <w:rFonts w:ascii="Book Antiqua" w:eastAsia="MS PGothic" w:hAnsi="Book Antiqua"/>
          <w:color w:val="000000"/>
          <w:kern w:val="0"/>
        </w:rPr>
        <w:t>The leukocyte number and the intercellular adhesion molecule 1 (</w:t>
      </w:r>
      <w:r w:rsidRPr="00C40A8B">
        <w:rPr>
          <w:rFonts w:ascii="Book Antiqua" w:hAnsi="Book Antiqua"/>
          <w:kern w:val="0"/>
        </w:rPr>
        <w:t>ICAM-1)</w:t>
      </w:r>
      <w:r w:rsidRPr="00C40A8B">
        <w:rPr>
          <w:rFonts w:ascii="Book Antiqua" w:eastAsia="MS PGothic" w:hAnsi="Book Antiqua"/>
          <w:color w:val="000000"/>
          <w:kern w:val="0"/>
        </w:rPr>
        <w:t xml:space="preserve"> expression intensity were significantly more than those of Ag alone and 118 dB noise alone </w:t>
      </w:r>
      <w:r w:rsidRPr="00C40A8B">
        <w:rPr>
          <w:rFonts w:ascii="Book Antiqua" w:eastAsia="MS PGothic" w:hAnsi="Book Antiqua"/>
          <w:color w:val="000000"/>
        </w:rPr>
        <w:t>in the total of modiolus, Lim., SL, SV, and the scala tympani</w:t>
      </w:r>
      <w:r>
        <w:rPr>
          <w:rFonts w:ascii="Book Antiqua" w:hAnsi="Book Antiqua"/>
          <w:color w:val="000000"/>
          <w:lang w:eastAsia="zh-CN"/>
        </w:rPr>
        <w:t>;</w:t>
      </w:r>
      <w:r w:rsidRPr="00C40A8B">
        <w:rPr>
          <w:rFonts w:ascii="Book Antiqua" w:eastAsia="MS PGothic" w:hAnsi="Book Antiqua"/>
          <w:color w:val="000000"/>
          <w:kern w:val="0"/>
        </w:rPr>
        <w:t xml:space="preserve"> </w:t>
      </w:r>
      <w:r w:rsidRPr="00C40A8B">
        <w:rPr>
          <w:rFonts w:ascii="Book Antiqua" w:eastAsia="MS PGothic" w:hAnsi="Book Antiqua"/>
          <w:color w:val="000000"/>
          <w:kern w:val="0"/>
          <w:vertAlign w:val="superscript"/>
        </w:rPr>
        <w:t>5</w:t>
      </w:r>
      <w:r w:rsidRPr="00C40A8B">
        <w:rPr>
          <w:rFonts w:ascii="Book Antiqua" w:eastAsia="MS PGothic" w:hAnsi="Book Antiqua"/>
          <w:color w:val="000000"/>
          <w:kern w:val="0"/>
        </w:rPr>
        <w:t>The intensity at 72 h was weaker than at 2 h</w:t>
      </w:r>
      <w:r>
        <w:rPr>
          <w:rFonts w:ascii="Book Antiqua" w:hAnsi="Book Antiqua"/>
          <w:color w:val="000000"/>
          <w:kern w:val="0"/>
          <w:lang w:eastAsia="zh-CN"/>
        </w:rPr>
        <w:t xml:space="preserve">; </w:t>
      </w:r>
      <w:r w:rsidRPr="00C40A8B">
        <w:rPr>
          <w:rFonts w:ascii="Book Antiqua" w:eastAsia="MS PGothic" w:hAnsi="Book Antiqua"/>
          <w:color w:val="000000"/>
          <w:kern w:val="0"/>
          <w:vertAlign w:val="superscript"/>
        </w:rPr>
        <w:t>6</w:t>
      </w:r>
      <w:r w:rsidRPr="00C40A8B">
        <w:rPr>
          <w:rFonts w:ascii="Book Antiqua" w:eastAsia="MS PGothic" w:hAnsi="Book Antiqua"/>
          <w:color w:val="000000"/>
          <w:kern w:val="0"/>
        </w:rPr>
        <w:t>The intensity at 24 h was much weaker than at 12 h in the lateral wall.</w:t>
      </w:r>
      <w:r w:rsidRPr="00C40A8B">
        <w:rPr>
          <w:rFonts w:ascii="Book Antiqua" w:hAnsi="Book Antiqua"/>
        </w:rPr>
        <w:t xml:space="preserve"> Some papers demonstrated </w:t>
      </w:r>
      <w:bookmarkStart w:id="674" w:name="OLE_LINK2472"/>
      <w:bookmarkStart w:id="675" w:name="OLE_LINK2473"/>
      <w:r w:rsidRPr="00C40A8B">
        <w:rPr>
          <w:rFonts w:ascii="Book Antiqua" w:hAnsi="Book Antiqua"/>
          <w:kern w:val="0"/>
          <w:lang w:eastAsia="zh-CN"/>
        </w:rPr>
        <w:t>n</w:t>
      </w:r>
      <w:r w:rsidRPr="00C40A8B">
        <w:rPr>
          <w:rFonts w:ascii="Book Antiqua" w:hAnsi="Book Antiqua"/>
          <w:kern w:val="0"/>
        </w:rPr>
        <w:t>uclear factor kappa-light-chain-enhancer of activated B cells</w:t>
      </w:r>
      <w:bookmarkEnd w:id="674"/>
      <w:bookmarkEnd w:id="675"/>
      <w:r w:rsidRPr="00C40A8B">
        <w:rPr>
          <w:rFonts w:ascii="Book Antiqua" w:hAnsi="Book Antiqua" w:cs="AdvPL"/>
          <w:kern w:val="0"/>
        </w:rPr>
        <w:t xml:space="preserve"> </w:t>
      </w:r>
      <w:r w:rsidRPr="00C40A8B">
        <w:rPr>
          <w:rFonts w:ascii="Book Antiqua" w:hAnsi="Book Antiqua" w:cs="AdvPL"/>
          <w:kern w:val="0"/>
          <w:lang w:eastAsia="zh-CN"/>
        </w:rPr>
        <w:t>(</w:t>
      </w:r>
      <w:r w:rsidRPr="00C40A8B">
        <w:rPr>
          <w:rFonts w:ascii="Book Antiqua" w:hAnsi="Book Antiqua" w:cs="AdvPL"/>
          <w:kern w:val="0"/>
        </w:rPr>
        <w:t>NF-κB</w:t>
      </w:r>
      <w:r w:rsidRPr="00C40A8B">
        <w:rPr>
          <w:rFonts w:ascii="Book Antiqua" w:hAnsi="Book Antiqua" w:cs="AdvPL"/>
          <w:kern w:val="0"/>
          <w:lang w:eastAsia="zh-CN"/>
        </w:rPr>
        <w:t>)</w:t>
      </w:r>
      <w:r w:rsidRPr="00C40A8B">
        <w:rPr>
          <w:rFonts w:ascii="Book Antiqua" w:hAnsi="Book Antiqua"/>
        </w:rPr>
        <w:t xml:space="preserve"> activation in the lateral wall and cytokine expression. The systemic stressors that induce stress response of the lateral wall are shown in the column ‘Stressor.’ Each paper used different methods and time points to observe the response. For example, the activation of NF-κB (activation) (</w:t>
      </w:r>
      <w:r w:rsidRPr="00C40A8B">
        <w:rPr>
          <w:rFonts w:ascii="Book Antiqua" w:hAnsi="Book Antiqua"/>
          <w:i/>
        </w:rPr>
        <w:t>i.e.</w:t>
      </w:r>
      <w:r w:rsidRPr="00C40A8B">
        <w:rPr>
          <w:rFonts w:ascii="Book Antiqua" w:hAnsi="Book Antiqua"/>
          <w:i/>
          <w:lang w:eastAsia="zh-CN"/>
        </w:rPr>
        <w:t>,</w:t>
      </w:r>
      <w:r w:rsidRPr="00C40A8B">
        <w:rPr>
          <w:rFonts w:ascii="Book Antiqua" w:hAnsi="Book Antiqua"/>
        </w:rPr>
        <w:t xml:space="preserve"> translocation of NF-κB from the cytoplasm into the nucleus), its transcriptional up-regulation (transcription), and the protein expression (expression) were analyzed. Some papers demonstrated which types of cells responded to stressors in the lateral wall, but some did not.</w:t>
      </w:r>
      <w:r w:rsidRPr="00C40A8B">
        <w:rPr>
          <w:rFonts w:ascii="Book Antiqua" w:hAnsi="Book Antiqua"/>
          <w:lang w:eastAsia="zh-CN"/>
        </w:rPr>
        <w:t xml:space="preserve"> </w:t>
      </w:r>
      <w:r w:rsidRPr="00C40A8B">
        <w:rPr>
          <w:rFonts w:ascii="Book Antiqua" w:eastAsia="MS PGothic" w:hAnsi="Book Antiqua"/>
          <w:color w:val="000000"/>
        </w:rPr>
        <w:t>Noise was band noise for 2 h in all experiments, and the intensities are shown in the table.</w:t>
      </w:r>
      <w:r w:rsidRPr="00C40A8B">
        <w:rPr>
          <w:rFonts w:ascii="Book Antiqua" w:hAnsi="Book Antiqua"/>
          <w:lang w:eastAsia="zh-CN"/>
        </w:rPr>
        <w:t xml:space="preserve"> </w:t>
      </w:r>
      <w:r w:rsidRPr="00C40A8B">
        <w:rPr>
          <w:rFonts w:ascii="Book Antiqua" w:eastAsia="MS PGothic" w:hAnsi="Book Antiqua"/>
          <w:color w:val="000000"/>
          <w:kern w:val="0"/>
        </w:rPr>
        <w:t>I-IV, type I-IV fibrocytes in the lateral wall; II</w:t>
      </w:r>
      <w:r w:rsidRPr="00C40A8B">
        <w:rPr>
          <w:rFonts w:ascii="Book Antiqua" w:hAnsi="Book Antiqua"/>
          <w:color w:val="000000"/>
          <w:kern w:val="0"/>
          <w:lang w:eastAsia="zh-CN"/>
        </w:rPr>
        <w:t xml:space="preserve"> </w:t>
      </w:r>
      <w:r w:rsidRPr="00C40A8B">
        <w:rPr>
          <w:rFonts w:ascii="Book Antiqua" w:eastAsia="MS PGothic" w:hAnsi="Book Antiqua"/>
          <w:color w:val="000000"/>
          <w:kern w:val="0"/>
        </w:rPr>
        <w:t>&gt;&gt;</w:t>
      </w:r>
      <w:r w:rsidRPr="00C40A8B">
        <w:rPr>
          <w:rFonts w:ascii="Book Antiqua" w:hAnsi="Book Antiqua"/>
          <w:color w:val="000000"/>
          <w:kern w:val="0"/>
          <w:lang w:eastAsia="zh-CN"/>
        </w:rPr>
        <w:t xml:space="preserve"> </w:t>
      </w:r>
      <w:r w:rsidRPr="00C40A8B">
        <w:rPr>
          <w:rFonts w:ascii="Book Antiqua" w:eastAsia="MS PGothic" w:hAnsi="Book Antiqua"/>
          <w:color w:val="000000"/>
          <w:kern w:val="0"/>
        </w:rPr>
        <w:t>I, The NF-κB activation was much stronger in type II fibrocytes than type I fibrocytes; Ag, An adaptive inner ear immune response was created by sensitizing mice to the keyhole limpet hemocyanin. Then, the mice were sensitized systemically to the antigen in experimental conditions shown as Ag or + Ag in the table</w:t>
      </w:r>
      <w:r w:rsidRPr="00C40A8B">
        <w:rPr>
          <w:rFonts w:ascii="Book Antiqua" w:hAnsi="Book Antiqua"/>
          <w:color w:val="000000"/>
          <w:kern w:val="0"/>
          <w:lang w:eastAsia="zh-CN"/>
        </w:rPr>
        <w:t xml:space="preserve">. </w:t>
      </w:r>
      <w:r w:rsidRPr="00C40A8B">
        <w:rPr>
          <w:rFonts w:ascii="Book Antiqua" w:eastAsia="MS PGothic" w:hAnsi="Book Antiqua"/>
          <w:color w:val="000000"/>
          <w:kern w:val="0"/>
        </w:rPr>
        <w:t xml:space="preserve">iNOS: Inducible nitric oxide synthase; </w:t>
      </w:r>
      <w:r w:rsidRPr="00C40A8B">
        <w:rPr>
          <w:rFonts w:ascii="Book Antiqua" w:eastAsia="MS PGothic" w:hAnsi="Book Antiqua"/>
          <w:i/>
          <w:color w:val="000000"/>
          <w:kern w:val="0"/>
        </w:rPr>
        <w:t>ip</w:t>
      </w:r>
      <w:r w:rsidRPr="00C40A8B">
        <w:rPr>
          <w:rFonts w:ascii="Book Antiqua" w:eastAsia="MS PGothic" w:hAnsi="Book Antiqua"/>
          <w:color w:val="000000"/>
          <w:kern w:val="0"/>
        </w:rPr>
        <w:t xml:space="preserve">: Intraperitoneal injection; LPS: Lipopolysaccharide; </w:t>
      </w:r>
      <w:r w:rsidRPr="00C40A8B">
        <w:rPr>
          <w:rFonts w:ascii="Book Antiqua" w:eastAsia="MS PGothic" w:hAnsi="Book Antiqua"/>
          <w:color w:val="000000"/>
        </w:rPr>
        <w:t xml:space="preserve">LW: The transcriptional up-regulation or the protein </w:t>
      </w:r>
      <w:r w:rsidRPr="00C40A8B">
        <w:rPr>
          <w:rFonts w:ascii="Book Antiqua" w:eastAsia="MS PGothic" w:hAnsi="Book Antiqua"/>
          <w:color w:val="000000"/>
        </w:rPr>
        <w:lastRenderedPageBreak/>
        <w:t>expression was observed in the lateral wall: but the specific cell type was not determined; SC: Supporting cell; SMV: Spiral modiolar vein.</w:t>
      </w:r>
    </w:p>
    <w:p w:rsidR="00726399" w:rsidRPr="00C40A8B" w:rsidRDefault="00726399" w:rsidP="00E60C33">
      <w:pPr>
        <w:snapToGrid w:val="0"/>
        <w:spacing w:line="360" w:lineRule="auto"/>
        <w:ind w:firstLineChars="235" w:firstLine="564"/>
        <w:rPr>
          <w:rFonts w:ascii="Book Antiqua" w:eastAsia="MS PGothic" w:hAnsi="Book Antiqua"/>
          <w:color w:val="000000"/>
        </w:rPr>
      </w:pPr>
    </w:p>
    <w:sectPr w:rsidR="00726399" w:rsidRPr="00C40A8B" w:rsidSect="0006614C">
      <w:pgSz w:w="17010" w:h="15840"/>
      <w:pgMar w:top="1985" w:right="1701" w:bottom="1701" w:left="1701" w:header="851" w:footer="992" w:gutter="0"/>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81A" w:rsidRDefault="002D481A">
      <w:r>
        <w:separator/>
      </w:r>
    </w:p>
  </w:endnote>
  <w:endnote w:type="continuationSeparator" w:id="0">
    <w:p w:rsidR="002D481A" w:rsidRDefault="002D4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PL">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399" w:rsidRDefault="00726399" w:rsidP="00CE1DD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726399" w:rsidRDefault="0072639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399" w:rsidRDefault="00726399" w:rsidP="00CE1DD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14AA8">
      <w:rPr>
        <w:rStyle w:val="a4"/>
        <w:noProof/>
      </w:rPr>
      <w:t>59</w:t>
    </w:r>
    <w:r>
      <w:rPr>
        <w:rStyle w:val="a4"/>
      </w:rPr>
      <w:fldChar w:fldCharType="end"/>
    </w:r>
  </w:p>
  <w:p w:rsidR="00726399" w:rsidRDefault="0072639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81A" w:rsidRDefault="002D481A">
      <w:r>
        <w:separator/>
      </w:r>
    </w:p>
  </w:footnote>
  <w:footnote w:type="continuationSeparator" w:id="0">
    <w:p w:rsidR="002D481A" w:rsidRDefault="002D48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399" w:rsidRDefault="00726399" w:rsidP="00480615">
    <w:pPr>
      <w:pStyle w:val="a6"/>
      <w:tabs>
        <w:tab w:val="clear" w:pos="8504"/>
      </w:tabs>
    </w:pPr>
    <w:r>
      <w:t>[</w:t>
    </w:r>
    <w:r>
      <w:rPr>
        <w:rFonts w:hint="eastAsia"/>
      </w:rPr>
      <w:t>テキストの入力</w:t>
    </w:r>
    <w:r>
      <w:t>]</w:t>
    </w:r>
    <w:r>
      <w:tab/>
      <w:t>[</w:t>
    </w:r>
    <w:r>
      <w:rPr>
        <w:rFonts w:hint="eastAsia"/>
      </w:rPr>
      <w:t>テキストの入力</w:t>
    </w:r>
    <w:r>
      <w:t>] [</w:t>
    </w:r>
    <w:r>
      <w:rPr>
        <w:rFonts w:hint="eastAsia"/>
      </w:rPr>
      <w:t>テキストの入力</w:t>
    </w:r>
    <w:r>
      <w:t>]</w:t>
    </w:r>
  </w:p>
  <w:p w:rsidR="00726399" w:rsidRDefault="0072639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399" w:rsidRDefault="00726399" w:rsidP="00480615">
    <w:pPr>
      <w:pStyle w:val="a6"/>
      <w:jc w:val="right"/>
    </w:pPr>
    <w:r>
      <w:t>Stress response theory</w:t>
    </w:r>
  </w:p>
  <w:p w:rsidR="00726399" w:rsidRDefault="00726399" w:rsidP="00480615">
    <w:pPr>
      <w:pStyle w:val="a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960"/>
  <w:drawingGridHorizontalSpacing w:val="105"/>
  <w:drawingGridVerticalSpacing w:val="143"/>
  <w:displayHorizontalDrawingGridEvery w:val="2"/>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76AE4"/>
    <w:rsid w:val="00003A34"/>
    <w:rsid w:val="000052C4"/>
    <w:rsid w:val="00006685"/>
    <w:rsid w:val="0001407D"/>
    <w:rsid w:val="0002473F"/>
    <w:rsid w:val="000311F6"/>
    <w:rsid w:val="00034A01"/>
    <w:rsid w:val="00054C54"/>
    <w:rsid w:val="000625F2"/>
    <w:rsid w:val="0006614C"/>
    <w:rsid w:val="0007086E"/>
    <w:rsid w:val="00071B45"/>
    <w:rsid w:val="000B12A3"/>
    <w:rsid w:val="000B4F81"/>
    <w:rsid w:val="000B6FE0"/>
    <w:rsid w:val="000C3EBA"/>
    <w:rsid w:val="000D5CA8"/>
    <w:rsid w:val="000D5F70"/>
    <w:rsid w:val="0010191A"/>
    <w:rsid w:val="0012262B"/>
    <w:rsid w:val="001411F9"/>
    <w:rsid w:val="00155844"/>
    <w:rsid w:val="001612B6"/>
    <w:rsid w:val="0016418F"/>
    <w:rsid w:val="001A387C"/>
    <w:rsid w:val="001A6EBA"/>
    <w:rsid w:val="001C55EF"/>
    <w:rsid w:val="002009BB"/>
    <w:rsid w:val="0020223D"/>
    <w:rsid w:val="00214AA8"/>
    <w:rsid w:val="0023641F"/>
    <w:rsid w:val="002506CF"/>
    <w:rsid w:val="0026044C"/>
    <w:rsid w:val="00290C4B"/>
    <w:rsid w:val="00297C12"/>
    <w:rsid w:val="002D00C9"/>
    <w:rsid w:val="002D481A"/>
    <w:rsid w:val="002E3FC0"/>
    <w:rsid w:val="002E55A2"/>
    <w:rsid w:val="00301788"/>
    <w:rsid w:val="00310ADE"/>
    <w:rsid w:val="00314C29"/>
    <w:rsid w:val="0032348F"/>
    <w:rsid w:val="003415D0"/>
    <w:rsid w:val="00364B02"/>
    <w:rsid w:val="00365268"/>
    <w:rsid w:val="003756EA"/>
    <w:rsid w:val="0038012D"/>
    <w:rsid w:val="00384B6E"/>
    <w:rsid w:val="00394B5A"/>
    <w:rsid w:val="003A13EE"/>
    <w:rsid w:val="003E6762"/>
    <w:rsid w:val="003F5683"/>
    <w:rsid w:val="00420BDD"/>
    <w:rsid w:val="00431076"/>
    <w:rsid w:val="00435047"/>
    <w:rsid w:val="00480615"/>
    <w:rsid w:val="00483940"/>
    <w:rsid w:val="00485BEC"/>
    <w:rsid w:val="004B304E"/>
    <w:rsid w:val="004D4028"/>
    <w:rsid w:val="004D59CA"/>
    <w:rsid w:val="004F110F"/>
    <w:rsid w:val="004F59DC"/>
    <w:rsid w:val="00522642"/>
    <w:rsid w:val="0054354F"/>
    <w:rsid w:val="00547D7F"/>
    <w:rsid w:val="005521FD"/>
    <w:rsid w:val="00565D63"/>
    <w:rsid w:val="005671A5"/>
    <w:rsid w:val="00576448"/>
    <w:rsid w:val="00614BFA"/>
    <w:rsid w:val="00616FE7"/>
    <w:rsid w:val="006201FB"/>
    <w:rsid w:val="00657B1F"/>
    <w:rsid w:val="0066243E"/>
    <w:rsid w:val="0067646B"/>
    <w:rsid w:val="00696A23"/>
    <w:rsid w:val="006B7C76"/>
    <w:rsid w:val="006D2810"/>
    <w:rsid w:val="006D451B"/>
    <w:rsid w:val="006F6C36"/>
    <w:rsid w:val="00726399"/>
    <w:rsid w:val="00727EF4"/>
    <w:rsid w:val="007401CD"/>
    <w:rsid w:val="00742C6D"/>
    <w:rsid w:val="00757195"/>
    <w:rsid w:val="007C3F27"/>
    <w:rsid w:val="007C522F"/>
    <w:rsid w:val="007C6DAA"/>
    <w:rsid w:val="0080174A"/>
    <w:rsid w:val="0081187B"/>
    <w:rsid w:val="00816B72"/>
    <w:rsid w:val="008218CC"/>
    <w:rsid w:val="008509D0"/>
    <w:rsid w:val="00853365"/>
    <w:rsid w:val="00864C4A"/>
    <w:rsid w:val="008843E8"/>
    <w:rsid w:val="00886679"/>
    <w:rsid w:val="008A454C"/>
    <w:rsid w:val="008C16B9"/>
    <w:rsid w:val="008D6360"/>
    <w:rsid w:val="00907028"/>
    <w:rsid w:val="00914787"/>
    <w:rsid w:val="009473AE"/>
    <w:rsid w:val="009905AD"/>
    <w:rsid w:val="009C2B4F"/>
    <w:rsid w:val="009C6803"/>
    <w:rsid w:val="00A1611E"/>
    <w:rsid w:val="00A20EED"/>
    <w:rsid w:val="00A72754"/>
    <w:rsid w:val="00A84B76"/>
    <w:rsid w:val="00AA2557"/>
    <w:rsid w:val="00AF646F"/>
    <w:rsid w:val="00B44E38"/>
    <w:rsid w:val="00B53A8A"/>
    <w:rsid w:val="00B76095"/>
    <w:rsid w:val="00B76AE4"/>
    <w:rsid w:val="00B85988"/>
    <w:rsid w:val="00BA0BDB"/>
    <w:rsid w:val="00C23CB2"/>
    <w:rsid w:val="00C24B9E"/>
    <w:rsid w:val="00C252B4"/>
    <w:rsid w:val="00C3715D"/>
    <w:rsid w:val="00C40A8B"/>
    <w:rsid w:val="00C53198"/>
    <w:rsid w:val="00C56046"/>
    <w:rsid w:val="00C80F05"/>
    <w:rsid w:val="00C812E8"/>
    <w:rsid w:val="00C919F8"/>
    <w:rsid w:val="00C91D21"/>
    <w:rsid w:val="00CC2869"/>
    <w:rsid w:val="00CD37B2"/>
    <w:rsid w:val="00CE1DD0"/>
    <w:rsid w:val="00CF1292"/>
    <w:rsid w:val="00D730BB"/>
    <w:rsid w:val="00D82129"/>
    <w:rsid w:val="00D82D44"/>
    <w:rsid w:val="00D850BE"/>
    <w:rsid w:val="00DA18FF"/>
    <w:rsid w:val="00DC2B63"/>
    <w:rsid w:val="00DC2CE4"/>
    <w:rsid w:val="00DC784E"/>
    <w:rsid w:val="00DE606C"/>
    <w:rsid w:val="00DE76C1"/>
    <w:rsid w:val="00E013C9"/>
    <w:rsid w:val="00E13736"/>
    <w:rsid w:val="00E260E7"/>
    <w:rsid w:val="00E3160F"/>
    <w:rsid w:val="00E40954"/>
    <w:rsid w:val="00E51EF1"/>
    <w:rsid w:val="00E53D30"/>
    <w:rsid w:val="00E60C33"/>
    <w:rsid w:val="00E86366"/>
    <w:rsid w:val="00EB4CC2"/>
    <w:rsid w:val="00F00904"/>
    <w:rsid w:val="00F0563A"/>
    <w:rsid w:val="00F17B89"/>
    <w:rsid w:val="00F515DE"/>
    <w:rsid w:val="00F6160B"/>
    <w:rsid w:val="00F74BB0"/>
    <w:rsid w:val="00F93FA1"/>
    <w:rsid w:val="00F97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AE4"/>
    <w:pPr>
      <w:widowControl w:val="0"/>
      <w:jc w:val="both"/>
    </w:pPr>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B76AE4"/>
    <w:pPr>
      <w:tabs>
        <w:tab w:val="center" w:pos="4252"/>
        <w:tab w:val="right" w:pos="8504"/>
      </w:tabs>
      <w:snapToGrid w:val="0"/>
    </w:pPr>
  </w:style>
  <w:style w:type="character" w:customStyle="1" w:styleId="Char">
    <w:name w:val="页脚 Char"/>
    <w:basedOn w:val="a0"/>
    <w:link w:val="a3"/>
    <w:uiPriority w:val="99"/>
    <w:locked/>
    <w:rsid w:val="00B76AE4"/>
    <w:rPr>
      <w:rFonts w:cs="Times New Roman"/>
    </w:rPr>
  </w:style>
  <w:style w:type="character" w:styleId="a4">
    <w:name w:val="page number"/>
    <w:basedOn w:val="a0"/>
    <w:uiPriority w:val="99"/>
    <w:semiHidden/>
    <w:rsid w:val="00B76AE4"/>
    <w:rPr>
      <w:rFonts w:cs="Times New Roman"/>
    </w:rPr>
  </w:style>
  <w:style w:type="character" w:styleId="a5">
    <w:name w:val="Hyperlink"/>
    <w:basedOn w:val="a0"/>
    <w:uiPriority w:val="99"/>
    <w:rsid w:val="00B76AE4"/>
    <w:rPr>
      <w:rFonts w:cs="Times New Roman"/>
      <w:color w:val="0000FF"/>
      <w:u w:val="single"/>
    </w:rPr>
  </w:style>
  <w:style w:type="paragraph" w:styleId="a6">
    <w:name w:val="header"/>
    <w:basedOn w:val="a"/>
    <w:link w:val="Char0"/>
    <w:uiPriority w:val="99"/>
    <w:rsid w:val="00B76AE4"/>
    <w:pPr>
      <w:tabs>
        <w:tab w:val="center" w:pos="4252"/>
        <w:tab w:val="right" w:pos="8504"/>
      </w:tabs>
      <w:snapToGrid w:val="0"/>
    </w:pPr>
    <w:rPr>
      <w:rFonts w:eastAsia="MS Mincho"/>
      <w:sz w:val="21"/>
      <w:szCs w:val="22"/>
    </w:rPr>
  </w:style>
  <w:style w:type="character" w:customStyle="1" w:styleId="Char0">
    <w:name w:val="页眉 Char"/>
    <w:basedOn w:val="a0"/>
    <w:link w:val="a6"/>
    <w:uiPriority w:val="99"/>
    <w:locked/>
    <w:rsid w:val="00B76AE4"/>
    <w:rPr>
      <w:rFonts w:ascii="Century" w:eastAsia="MS Mincho" w:hAnsi="Century" w:cs="Times New Roman"/>
      <w:sz w:val="22"/>
      <w:szCs w:val="22"/>
    </w:rPr>
  </w:style>
  <w:style w:type="paragraph" w:styleId="a7">
    <w:name w:val="Balloon Text"/>
    <w:basedOn w:val="a"/>
    <w:link w:val="Char1"/>
    <w:uiPriority w:val="99"/>
    <w:semiHidden/>
    <w:rsid w:val="00B76AE4"/>
    <w:rPr>
      <w:rFonts w:ascii="Tahoma" w:hAnsi="Tahoma" w:cs="Tahoma"/>
      <w:sz w:val="16"/>
      <w:szCs w:val="16"/>
    </w:rPr>
  </w:style>
  <w:style w:type="character" w:customStyle="1" w:styleId="Char1">
    <w:name w:val="批注框文本 Char"/>
    <w:basedOn w:val="a0"/>
    <w:link w:val="a7"/>
    <w:uiPriority w:val="99"/>
    <w:semiHidden/>
    <w:locked/>
    <w:rsid w:val="00B76AE4"/>
    <w:rPr>
      <w:rFonts w:ascii="Tahoma" w:hAnsi="Tahoma" w:cs="Tahoma"/>
      <w:sz w:val="16"/>
      <w:szCs w:val="16"/>
    </w:rPr>
  </w:style>
  <w:style w:type="character" w:styleId="a8">
    <w:name w:val="annotation reference"/>
    <w:basedOn w:val="a0"/>
    <w:uiPriority w:val="99"/>
    <w:semiHidden/>
    <w:rsid w:val="00B76AE4"/>
    <w:rPr>
      <w:rFonts w:cs="Times New Roman"/>
      <w:sz w:val="16"/>
      <w:szCs w:val="16"/>
    </w:rPr>
  </w:style>
  <w:style w:type="paragraph" w:styleId="a9">
    <w:name w:val="annotation text"/>
    <w:basedOn w:val="a"/>
    <w:link w:val="Char2"/>
    <w:uiPriority w:val="99"/>
    <w:semiHidden/>
    <w:rsid w:val="00B76AE4"/>
    <w:rPr>
      <w:sz w:val="20"/>
      <w:szCs w:val="20"/>
    </w:rPr>
  </w:style>
  <w:style w:type="character" w:customStyle="1" w:styleId="Char2">
    <w:name w:val="批注文字 Char"/>
    <w:basedOn w:val="a0"/>
    <w:link w:val="a9"/>
    <w:uiPriority w:val="99"/>
    <w:semiHidden/>
    <w:locked/>
    <w:rsid w:val="00B76AE4"/>
    <w:rPr>
      <w:rFonts w:cs="Times New Roman"/>
      <w:sz w:val="20"/>
      <w:szCs w:val="20"/>
    </w:rPr>
  </w:style>
  <w:style w:type="paragraph" w:styleId="aa">
    <w:name w:val="annotation subject"/>
    <w:basedOn w:val="a9"/>
    <w:next w:val="a9"/>
    <w:link w:val="Char3"/>
    <w:uiPriority w:val="99"/>
    <w:semiHidden/>
    <w:rsid w:val="00B76AE4"/>
    <w:rPr>
      <w:b/>
      <w:bCs/>
    </w:rPr>
  </w:style>
  <w:style w:type="character" w:customStyle="1" w:styleId="Char3">
    <w:name w:val="批注主题 Char"/>
    <w:basedOn w:val="Char2"/>
    <w:link w:val="aa"/>
    <w:uiPriority w:val="99"/>
    <w:semiHidden/>
    <w:locked/>
    <w:rsid w:val="00B76AE4"/>
    <w:rPr>
      <w:rFonts w:cs="Times New Roman"/>
      <w:b/>
      <w:bCs/>
      <w:sz w:val="20"/>
      <w:szCs w:val="20"/>
    </w:rPr>
  </w:style>
  <w:style w:type="paragraph" w:styleId="ab">
    <w:name w:val="Revision"/>
    <w:hidden/>
    <w:uiPriority w:val="99"/>
    <w:semiHidden/>
    <w:rsid w:val="00B76AE4"/>
    <w:rPr>
      <w:sz w:val="24"/>
      <w:szCs w:val="24"/>
      <w:lang w:eastAsia="ja-JP"/>
    </w:rPr>
  </w:style>
  <w:style w:type="paragraph" w:customStyle="1" w:styleId="p0">
    <w:name w:val="p0"/>
    <w:basedOn w:val="a"/>
    <w:uiPriority w:val="99"/>
    <w:rsid w:val="00290C4B"/>
    <w:pPr>
      <w:widowControl/>
      <w:spacing w:line="240" w:lineRule="atLeast"/>
      <w:jc w:val="left"/>
    </w:pPr>
    <w:rPr>
      <w:rFonts w:cs="宋体"/>
      <w:kern w:val="0"/>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AE4"/>
    <w:pPr>
      <w:widowControl w:val="0"/>
      <w:jc w:val="both"/>
    </w:pPr>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B76AE4"/>
    <w:pPr>
      <w:tabs>
        <w:tab w:val="center" w:pos="4252"/>
        <w:tab w:val="right" w:pos="8504"/>
      </w:tabs>
      <w:snapToGrid w:val="0"/>
    </w:pPr>
  </w:style>
  <w:style w:type="character" w:customStyle="1" w:styleId="Char">
    <w:name w:val="页脚 Char"/>
    <w:basedOn w:val="a0"/>
    <w:link w:val="a3"/>
    <w:uiPriority w:val="99"/>
    <w:locked/>
    <w:rsid w:val="00B76AE4"/>
    <w:rPr>
      <w:rFonts w:cs="Times New Roman"/>
    </w:rPr>
  </w:style>
  <w:style w:type="character" w:styleId="a4">
    <w:name w:val="page number"/>
    <w:basedOn w:val="a0"/>
    <w:uiPriority w:val="99"/>
    <w:semiHidden/>
    <w:rsid w:val="00B76AE4"/>
    <w:rPr>
      <w:rFonts w:cs="Times New Roman"/>
    </w:rPr>
  </w:style>
  <w:style w:type="character" w:styleId="a5">
    <w:name w:val="Hyperlink"/>
    <w:basedOn w:val="a0"/>
    <w:uiPriority w:val="99"/>
    <w:rsid w:val="00B76AE4"/>
    <w:rPr>
      <w:rFonts w:cs="Times New Roman"/>
      <w:color w:val="0000FF"/>
      <w:u w:val="single"/>
    </w:rPr>
  </w:style>
  <w:style w:type="paragraph" w:styleId="a6">
    <w:name w:val="header"/>
    <w:basedOn w:val="a"/>
    <w:link w:val="Char0"/>
    <w:uiPriority w:val="99"/>
    <w:rsid w:val="00B76AE4"/>
    <w:pPr>
      <w:tabs>
        <w:tab w:val="center" w:pos="4252"/>
        <w:tab w:val="right" w:pos="8504"/>
      </w:tabs>
      <w:snapToGrid w:val="0"/>
    </w:pPr>
    <w:rPr>
      <w:rFonts w:eastAsia="MS Mincho"/>
      <w:sz w:val="21"/>
      <w:szCs w:val="22"/>
    </w:rPr>
  </w:style>
  <w:style w:type="character" w:customStyle="1" w:styleId="Char0">
    <w:name w:val="页眉 Char"/>
    <w:basedOn w:val="a0"/>
    <w:link w:val="a6"/>
    <w:uiPriority w:val="99"/>
    <w:locked/>
    <w:rsid w:val="00B76AE4"/>
    <w:rPr>
      <w:rFonts w:ascii="Century" w:eastAsia="MS Mincho" w:hAnsi="Century" w:cs="Times New Roman"/>
      <w:sz w:val="22"/>
      <w:szCs w:val="22"/>
    </w:rPr>
  </w:style>
  <w:style w:type="paragraph" w:styleId="a7">
    <w:name w:val="Balloon Text"/>
    <w:basedOn w:val="a"/>
    <w:link w:val="Char1"/>
    <w:uiPriority w:val="99"/>
    <w:semiHidden/>
    <w:rsid w:val="00B76AE4"/>
    <w:rPr>
      <w:rFonts w:ascii="Tahoma" w:hAnsi="Tahoma" w:cs="Tahoma"/>
      <w:sz w:val="16"/>
      <w:szCs w:val="16"/>
    </w:rPr>
  </w:style>
  <w:style w:type="character" w:customStyle="1" w:styleId="Char1">
    <w:name w:val="批注框文本 Char"/>
    <w:basedOn w:val="a0"/>
    <w:link w:val="a7"/>
    <w:uiPriority w:val="99"/>
    <w:semiHidden/>
    <w:locked/>
    <w:rsid w:val="00B76AE4"/>
    <w:rPr>
      <w:rFonts w:ascii="Tahoma" w:hAnsi="Tahoma" w:cs="Tahoma"/>
      <w:sz w:val="16"/>
      <w:szCs w:val="16"/>
    </w:rPr>
  </w:style>
  <w:style w:type="character" w:styleId="a8">
    <w:name w:val="annotation reference"/>
    <w:basedOn w:val="a0"/>
    <w:uiPriority w:val="99"/>
    <w:semiHidden/>
    <w:rsid w:val="00B76AE4"/>
    <w:rPr>
      <w:rFonts w:cs="Times New Roman"/>
      <w:sz w:val="16"/>
      <w:szCs w:val="16"/>
    </w:rPr>
  </w:style>
  <w:style w:type="paragraph" w:styleId="a9">
    <w:name w:val="annotation text"/>
    <w:basedOn w:val="a"/>
    <w:link w:val="Char2"/>
    <w:uiPriority w:val="99"/>
    <w:semiHidden/>
    <w:rsid w:val="00B76AE4"/>
    <w:rPr>
      <w:sz w:val="20"/>
      <w:szCs w:val="20"/>
    </w:rPr>
  </w:style>
  <w:style w:type="character" w:customStyle="1" w:styleId="Char2">
    <w:name w:val="批注文字 Char"/>
    <w:basedOn w:val="a0"/>
    <w:link w:val="a9"/>
    <w:uiPriority w:val="99"/>
    <w:semiHidden/>
    <w:locked/>
    <w:rsid w:val="00B76AE4"/>
    <w:rPr>
      <w:rFonts w:cs="Times New Roman"/>
      <w:sz w:val="20"/>
      <w:szCs w:val="20"/>
    </w:rPr>
  </w:style>
  <w:style w:type="paragraph" w:styleId="aa">
    <w:name w:val="annotation subject"/>
    <w:basedOn w:val="a9"/>
    <w:next w:val="a9"/>
    <w:link w:val="Char3"/>
    <w:uiPriority w:val="99"/>
    <w:semiHidden/>
    <w:rsid w:val="00B76AE4"/>
    <w:rPr>
      <w:b/>
      <w:bCs/>
    </w:rPr>
  </w:style>
  <w:style w:type="character" w:customStyle="1" w:styleId="Char3">
    <w:name w:val="批注主题 Char"/>
    <w:basedOn w:val="Char2"/>
    <w:link w:val="aa"/>
    <w:uiPriority w:val="99"/>
    <w:semiHidden/>
    <w:locked/>
    <w:rsid w:val="00B76AE4"/>
    <w:rPr>
      <w:rFonts w:cs="Times New Roman"/>
      <w:b/>
      <w:bCs/>
      <w:sz w:val="20"/>
      <w:szCs w:val="20"/>
    </w:rPr>
  </w:style>
  <w:style w:type="paragraph" w:styleId="ab">
    <w:name w:val="Revision"/>
    <w:hidden/>
    <w:uiPriority w:val="99"/>
    <w:semiHidden/>
    <w:rsid w:val="00B76AE4"/>
    <w:rPr>
      <w:sz w:val="24"/>
      <w:szCs w:val="24"/>
      <w:lang w:eastAsia="ja-JP"/>
    </w:rPr>
  </w:style>
  <w:style w:type="paragraph" w:customStyle="1" w:styleId="p0">
    <w:name w:val="p0"/>
    <w:basedOn w:val="a"/>
    <w:uiPriority w:val="99"/>
    <w:rsid w:val="00290C4B"/>
    <w:pPr>
      <w:widowControl/>
      <w:spacing w:line="240" w:lineRule="atLeast"/>
      <w:jc w:val="left"/>
    </w:pPr>
    <w:rPr>
      <w:rFonts w:cs="宋体"/>
      <w:kern w:val="0"/>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4917">
      <w:marLeft w:val="0"/>
      <w:marRight w:val="0"/>
      <w:marTop w:val="0"/>
      <w:marBottom w:val="0"/>
      <w:divBdr>
        <w:top w:val="none" w:sz="0" w:space="0" w:color="auto"/>
        <w:left w:val="none" w:sz="0" w:space="0" w:color="auto"/>
        <w:bottom w:val="none" w:sz="0" w:space="0" w:color="auto"/>
        <w:right w:val="none" w:sz="0" w:space="0" w:color="auto"/>
      </w:divBdr>
      <w:divsChild>
        <w:div w:id="705914902">
          <w:marLeft w:val="0"/>
          <w:marRight w:val="0"/>
          <w:marTop w:val="0"/>
          <w:marBottom w:val="0"/>
          <w:divBdr>
            <w:top w:val="none" w:sz="0" w:space="0" w:color="auto"/>
            <w:left w:val="none" w:sz="0" w:space="0" w:color="auto"/>
            <w:bottom w:val="none" w:sz="0" w:space="0" w:color="auto"/>
            <w:right w:val="none" w:sz="0" w:space="0" w:color="auto"/>
          </w:divBdr>
        </w:div>
        <w:div w:id="705914903">
          <w:marLeft w:val="0"/>
          <w:marRight w:val="0"/>
          <w:marTop w:val="0"/>
          <w:marBottom w:val="0"/>
          <w:divBdr>
            <w:top w:val="none" w:sz="0" w:space="0" w:color="auto"/>
            <w:left w:val="none" w:sz="0" w:space="0" w:color="auto"/>
            <w:bottom w:val="none" w:sz="0" w:space="0" w:color="auto"/>
            <w:right w:val="none" w:sz="0" w:space="0" w:color="auto"/>
          </w:divBdr>
        </w:div>
        <w:div w:id="705914904">
          <w:marLeft w:val="0"/>
          <w:marRight w:val="0"/>
          <w:marTop w:val="0"/>
          <w:marBottom w:val="0"/>
          <w:divBdr>
            <w:top w:val="none" w:sz="0" w:space="0" w:color="auto"/>
            <w:left w:val="none" w:sz="0" w:space="0" w:color="auto"/>
            <w:bottom w:val="none" w:sz="0" w:space="0" w:color="auto"/>
            <w:right w:val="none" w:sz="0" w:space="0" w:color="auto"/>
          </w:divBdr>
        </w:div>
        <w:div w:id="705914905">
          <w:marLeft w:val="0"/>
          <w:marRight w:val="0"/>
          <w:marTop w:val="0"/>
          <w:marBottom w:val="0"/>
          <w:divBdr>
            <w:top w:val="none" w:sz="0" w:space="0" w:color="auto"/>
            <w:left w:val="none" w:sz="0" w:space="0" w:color="auto"/>
            <w:bottom w:val="none" w:sz="0" w:space="0" w:color="auto"/>
            <w:right w:val="none" w:sz="0" w:space="0" w:color="auto"/>
          </w:divBdr>
        </w:div>
        <w:div w:id="705914906">
          <w:marLeft w:val="0"/>
          <w:marRight w:val="0"/>
          <w:marTop w:val="0"/>
          <w:marBottom w:val="0"/>
          <w:divBdr>
            <w:top w:val="none" w:sz="0" w:space="0" w:color="auto"/>
            <w:left w:val="none" w:sz="0" w:space="0" w:color="auto"/>
            <w:bottom w:val="none" w:sz="0" w:space="0" w:color="auto"/>
            <w:right w:val="none" w:sz="0" w:space="0" w:color="auto"/>
          </w:divBdr>
        </w:div>
        <w:div w:id="705914907">
          <w:marLeft w:val="0"/>
          <w:marRight w:val="0"/>
          <w:marTop w:val="0"/>
          <w:marBottom w:val="0"/>
          <w:divBdr>
            <w:top w:val="none" w:sz="0" w:space="0" w:color="auto"/>
            <w:left w:val="none" w:sz="0" w:space="0" w:color="auto"/>
            <w:bottom w:val="none" w:sz="0" w:space="0" w:color="auto"/>
            <w:right w:val="none" w:sz="0" w:space="0" w:color="auto"/>
          </w:divBdr>
        </w:div>
        <w:div w:id="705914908">
          <w:marLeft w:val="0"/>
          <w:marRight w:val="0"/>
          <w:marTop w:val="0"/>
          <w:marBottom w:val="0"/>
          <w:divBdr>
            <w:top w:val="none" w:sz="0" w:space="0" w:color="auto"/>
            <w:left w:val="none" w:sz="0" w:space="0" w:color="auto"/>
            <w:bottom w:val="none" w:sz="0" w:space="0" w:color="auto"/>
            <w:right w:val="none" w:sz="0" w:space="0" w:color="auto"/>
          </w:divBdr>
        </w:div>
        <w:div w:id="705914909">
          <w:marLeft w:val="0"/>
          <w:marRight w:val="0"/>
          <w:marTop w:val="0"/>
          <w:marBottom w:val="0"/>
          <w:divBdr>
            <w:top w:val="none" w:sz="0" w:space="0" w:color="auto"/>
            <w:left w:val="none" w:sz="0" w:space="0" w:color="auto"/>
            <w:bottom w:val="none" w:sz="0" w:space="0" w:color="auto"/>
            <w:right w:val="none" w:sz="0" w:space="0" w:color="auto"/>
          </w:divBdr>
        </w:div>
        <w:div w:id="705914910">
          <w:marLeft w:val="0"/>
          <w:marRight w:val="0"/>
          <w:marTop w:val="0"/>
          <w:marBottom w:val="0"/>
          <w:divBdr>
            <w:top w:val="none" w:sz="0" w:space="0" w:color="auto"/>
            <w:left w:val="none" w:sz="0" w:space="0" w:color="auto"/>
            <w:bottom w:val="none" w:sz="0" w:space="0" w:color="auto"/>
            <w:right w:val="none" w:sz="0" w:space="0" w:color="auto"/>
          </w:divBdr>
        </w:div>
        <w:div w:id="705914911">
          <w:marLeft w:val="0"/>
          <w:marRight w:val="0"/>
          <w:marTop w:val="0"/>
          <w:marBottom w:val="0"/>
          <w:divBdr>
            <w:top w:val="none" w:sz="0" w:space="0" w:color="auto"/>
            <w:left w:val="none" w:sz="0" w:space="0" w:color="auto"/>
            <w:bottom w:val="none" w:sz="0" w:space="0" w:color="auto"/>
            <w:right w:val="none" w:sz="0" w:space="0" w:color="auto"/>
          </w:divBdr>
        </w:div>
        <w:div w:id="705914912">
          <w:marLeft w:val="0"/>
          <w:marRight w:val="0"/>
          <w:marTop w:val="0"/>
          <w:marBottom w:val="0"/>
          <w:divBdr>
            <w:top w:val="none" w:sz="0" w:space="0" w:color="auto"/>
            <w:left w:val="none" w:sz="0" w:space="0" w:color="auto"/>
            <w:bottom w:val="none" w:sz="0" w:space="0" w:color="auto"/>
            <w:right w:val="none" w:sz="0" w:space="0" w:color="auto"/>
          </w:divBdr>
        </w:div>
        <w:div w:id="705914913">
          <w:marLeft w:val="0"/>
          <w:marRight w:val="0"/>
          <w:marTop w:val="0"/>
          <w:marBottom w:val="0"/>
          <w:divBdr>
            <w:top w:val="none" w:sz="0" w:space="0" w:color="auto"/>
            <w:left w:val="none" w:sz="0" w:space="0" w:color="auto"/>
            <w:bottom w:val="none" w:sz="0" w:space="0" w:color="auto"/>
            <w:right w:val="none" w:sz="0" w:space="0" w:color="auto"/>
          </w:divBdr>
        </w:div>
        <w:div w:id="705914914">
          <w:marLeft w:val="0"/>
          <w:marRight w:val="0"/>
          <w:marTop w:val="0"/>
          <w:marBottom w:val="0"/>
          <w:divBdr>
            <w:top w:val="none" w:sz="0" w:space="0" w:color="auto"/>
            <w:left w:val="none" w:sz="0" w:space="0" w:color="auto"/>
            <w:bottom w:val="none" w:sz="0" w:space="0" w:color="auto"/>
            <w:right w:val="none" w:sz="0" w:space="0" w:color="auto"/>
          </w:divBdr>
        </w:div>
        <w:div w:id="705914915">
          <w:marLeft w:val="0"/>
          <w:marRight w:val="0"/>
          <w:marTop w:val="0"/>
          <w:marBottom w:val="0"/>
          <w:divBdr>
            <w:top w:val="none" w:sz="0" w:space="0" w:color="auto"/>
            <w:left w:val="none" w:sz="0" w:space="0" w:color="auto"/>
            <w:bottom w:val="none" w:sz="0" w:space="0" w:color="auto"/>
            <w:right w:val="none" w:sz="0" w:space="0" w:color="auto"/>
          </w:divBdr>
        </w:div>
        <w:div w:id="705914916">
          <w:marLeft w:val="0"/>
          <w:marRight w:val="0"/>
          <w:marTop w:val="0"/>
          <w:marBottom w:val="0"/>
          <w:divBdr>
            <w:top w:val="none" w:sz="0" w:space="0" w:color="auto"/>
            <w:left w:val="none" w:sz="0" w:space="0" w:color="auto"/>
            <w:bottom w:val="none" w:sz="0" w:space="0" w:color="auto"/>
            <w:right w:val="none" w:sz="0" w:space="0" w:color="auto"/>
          </w:divBdr>
        </w:div>
        <w:div w:id="705914918">
          <w:marLeft w:val="0"/>
          <w:marRight w:val="0"/>
          <w:marTop w:val="0"/>
          <w:marBottom w:val="0"/>
          <w:divBdr>
            <w:top w:val="none" w:sz="0" w:space="0" w:color="auto"/>
            <w:left w:val="none" w:sz="0" w:space="0" w:color="auto"/>
            <w:bottom w:val="none" w:sz="0" w:space="0" w:color="auto"/>
            <w:right w:val="none" w:sz="0" w:space="0" w:color="auto"/>
          </w:divBdr>
        </w:div>
        <w:div w:id="705914919">
          <w:marLeft w:val="0"/>
          <w:marRight w:val="0"/>
          <w:marTop w:val="0"/>
          <w:marBottom w:val="0"/>
          <w:divBdr>
            <w:top w:val="none" w:sz="0" w:space="0" w:color="auto"/>
            <w:left w:val="none" w:sz="0" w:space="0" w:color="auto"/>
            <w:bottom w:val="none" w:sz="0" w:space="0" w:color="auto"/>
            <w:right w:val="none" w:sz="0" w:space="0" w:color="auto"/>
          </w:divBdr>
        </w:div>
        <w:div w:id="705914920">
          <w:marLeft w:val="0"/>
          <w:marRight w:val="0"/>
          <w:marTop w:val="0"/>
          <w:marBottom w:val="0"/>
          <w:divBdr>
            <w:top w:val="none" w:sz="0" w:space="0" w:color="auto"/>
            <w:left w:val="none" w:sz="0" w:space="0" w:color="auto"/>
            <w:bottom w:val="none" w:sz="0" w:space="0" w:color="auto"/>
            <w:right w:val="none" w:sz="0" w:space="0" w:color="auto"/>
          </w:divBdr>
        </w:div>
        <w:div w:id="705914921">
          <w:marLeft w:val="0"/>
          <w:marRight w:val="0"/>
          <w:marTop w:val="0"/>
          <w:marBottom w:val="0"/>
          <w:divBdr>
            <w:top w:val="none" w:sz="0" w:space="0" w:color="auto"/>
            <w:left w:val="none" w:sz="0" w:space="0" w:color="auto"/>
            <w:bottom w:val="none" w:sz="0" w:space="0" w:color="auto"/>
            <w:right w:val="none" w:sz="0" w:space="0" w:color="auto"/>
          </w:divBdr>
        </w:div>
        <w:div w:id="705914922">
          <w:marLeft w:val="0"/>
          <w:marRight w:val="0"/>
          <w:marTop w:val="0"/>
          <w:marBottom w:val="0"/>
          <w:divBdr>
            <w:top w:val="none" w:sz="0" w:space="0" w:color="auto"/>
            <w:left w:val="none" w:sz="0" w:space="0" w:color="auto"/>
            <w:bottom w:val="none" w:sz="0" w:space="0" w:color="auto"/>
            <w:right w:val="none" w:sz="0" w:space="0" w:color="auto"/>
          </w:divBdr>
        </w:div>
        <w:div w:id="705914923">
          <w:marLeft w:val="0"/>
          <w:marRight w:val="0"/>
          <w:marTop w:val="0"/>
          <w:marBottom w:val="0"/>
          <w:divBdr>
            <w:top w:val="none" w:sz="0" w:space="0" w:color="auto"/>
            <w:left w:val="none" w:sz="0" w:space="0" w:color="auto"/>
            <w:bottom w:val="none" w:sz="0" w:space="0" w:color="auto"/>
            <w:right w:val="none" w:sz="0" w:space="0" w:color="auto"/>
          </w:divBdr>
        </w:div>
        <w:div w:id="705914924">
          <w:marLeft w:val="0"/>
          <w:marRight w:val="0"/>
          <w:marTop w:val="0"/>
          <w:marBottom w:val="0"/>
          <w:divBdr>
            <w:top w:val="none" w:sz="0" w:space="0" w:color="auto"/>
            <w:left w:val="none" w:sz="0" w:space="0" w:color="auto"/>
            <w:bottom w:val="none" w:sz="0" w:space="0" w:color="auto"/>
            <w:right w:val="none" w:sz="0" w:space="0" w:color="auto"/>
          </w:divBdr>
        </w:div>
        <w:div w:id="705914925">
          <w:marLeft w:val="0"/>
          <w:marRight w:val="0"/>
          <w:marTop w:val="0"/>
          <w:marBottom w:val="0"/>
          <w:divBdr>
            <w:top w:val="none" w:sz="0" w:space="0" w:color="auto"/>
            <w:left w:val="none" w:sz="0" w:space="0" w:color="auto"/>
            <w:bottom w:val="none" w:sz="0" w:space="0" w:color="auto"/>
            <w:right w:val="none" w:sz="0" w:space="0" w:color="auto"/>
          </w:divBdr>
        </w:div>
        <w:div w:id="705914926">
          <w:marLeft w:val="0"/>
          <w:marRight w:val="0"/>
          <w:marTop w:val="0"/>
          <w:marBottom w:val="0"/>
          <w:divBdr>
            <w:top w:val="none" w:sz="0" w:space="0" w:color="auto"/>
            <w:left w:val="none" w:sz="0" w:space="0" w:color="auto"/>
            <w:bottom w:val="none" w:sz="0" w:space="0" w:color="auto"/>
            <w:right w:val="none" w:sz="0" w:space="0" w:color="auto"/>
          </w:divBdr>
        </w:div>
        <w:div w:id="705914927">
          <w:marLeft w:val="0"/>
          <w:marRight w:val="0"/>
          <w:marTop w:val="0"/>
          <w:marBottom w:val="0"/>
          <w:divBdr>
            <w:top w:val="none" w:sz="0" w:space="0" w:color="auto"/>
            <w:left w:val="none" w:sz="0" w:space="0" w:color="auto"/>
            <w:bottom w:val="none" w:sz="0" w:space="0" w:color="auto"/>
            <w:right w:val="none" w:sz="0" w:space="0" w:color="auto"/>
          </w:divBdr>
        </w:div>
        <w:div w:id="705914928">
          <w:marLeft w:val="0"/>
          <w:marRight w:val="0"/>
          <w:marTop w:val="0"/>
          <w:marBottom w:val="0"/>
          <w:divBdr>
            <w:top w:val="none" w:sz="0" w:space="0" w:color="auto"/>
            <w:left w:val="none" w:sz="0" w:space="0" w:color="auto"/>
            <w:bottom w:val="none" w:sz="0" w:space="0" w:color="auto"/>
            <w:right w:val="none" w:sz="0" w:space="0" w:color="auto"/>
          </w:divBdr>
        </w:div>
        <w:div w:id="705914929">
          <w:marLeft w:val="0"/>
          <w:marRight w:val="0"/>
          <w:marTop w:val="0"/>
          <w:marBottom w:val="0"/>
          <w:divBdr>
            <w:top w:val="none" w:sz="0" w:space="0" w:color="auto"/>
            <w:left w:val="none" w:sz="0" w:space="0" w:color="auto"/>
            <w:bottom w:val="none" w:sz="0" w:space="0" w:color="auto"/>
            <w:right w:val="none" w:sz="0" w:space="0" w:color="auto"/>
          </w:divBdr>
        </w:div>
        <w:div w:id="705914930">
          <w:marLeft w:val="0"/>
          <w:marRight w:val="0"/>
          <w:marTop w:val="0"/>
          <w:marBottom w:val="0"/>
          <w:divBdr>
            <w:top w:val="none" w:sz="0" w:space="0" w:color="auto"/>
            <w:left w:val="none" w:sz="0" w:space="0" w:color="auto"/>
            <w:bottom w:val="none" w:sz="0" w:space="0" w:color="auto"/>
            <w:right w:val="none" w:sz="0" w:space="0" w:color="auto"/>
          </w:divBdr>
        </w:div>
        <w:div w:id="705914931">
          <w:marLeft w:val="0"/>
          <w:marRight w:val="0"/>
          <w:marTop w:val="0"/>
          <w:marBottom w:val="0"/>
          <w:divBdr>
            <w:top w:val="none" w:sz="0" w:space="0" w:color="auto"/>
            <w:left w:val="none" w:sz="0" w:space="0" w:color="auto"/>
            <w:bottom w:val="none" w:sz="0" w:space="0" w:color="auto"/>
            <w:right w:val="none" w:sz="0" w:space="0" w:color="auto"/>
          </w:divBdr>
        </w:div>
        <w:div w:id="705914932">
          <w:marLeft w:val="0"/>
          <w:marRight w:val="0"/>
          <w:marTop w:val="0"/>
          <w:marBottom w:val="0"/>
          <w:divBdr>
            <w:top w:val="none" w:sz="0" w:space="0" w:color="auto"/>
            <w:left w:val="none" w:sz="0" w:space="0" w:color="auto"/>
            <w:bottom w:val="none" w:sz="0" w:space="0" w:color="auto"/>
            <w:right w:val="none" w:sz="0" w:space="0" w:color="auto"/>
          </w:divBdr>
        </w:div>
        <w:div w:id="705914933">
          <w:marLeft w:val="0"/>
          <w:marRight w:val="0"/>
          <w:marTop w:val="0"/>
          <w:marBottom w:val="0"/>
          <w:divBdr>
            <w:top w:val="none" w:sz="0" w:space="0" w:color="auto"/>
            <w:left w:val="none" w:sz="0" w:space="0" w:color="auto"/>
            <w:bottom w:val="none" w:sz="0" w:space="0" w:color="auto"/>
            <w:right w:val="none" w:sz="0" w:space="0" w:color="auto"/>
          </w:divBdr>
        </w:div>
        <w:div w:id="705914934">
          <w:marLeft w:val="0"/>
          <w:marRight w:val="0"/>
          <w:marTop w:val="0"/>
          <w:marBottom w:val="0"/>
          <w:divBdr>
            <w:top w:val="none" w:sz="0" w:space="0" w:color="auto"/>
            <w:left w:val="none" w:sz="0" w:space="0" w:color="auto"/>
            <w:bottom w:val="none" w:sz="0" w:space="0" w:color="auto"/>
            <w:right w:val="none" w:sz="0" w:space="0" w:color="auto"/>
          </w:divBdr>
        </w:div>
        <w:div w:id="705914936">
          <w:marLeft w:val="0"/>
          <w:marRight w:val="0"/>
          <w:marTop w:val="0"/>
          <w:marBottom w:val="0"/>
          <w:divBdr>
            <w:top w:val="none" w:sz="0" w:space="0" w:color="auto"/>
            <w:left w:val="none" w:sz="0" w:space="0" w:color="auto"/>
            <w:bottom w:val="none" w:sz="0" w:space="0" w:color="auto"/>
            <w:right w:val="none" w:sz="0" w:space="0" w:color="auto"/>
          </w:divBdr>
        </w:div>
        <w:div w:id="705914937">
          <w:marLeft w:val="0"/>
          <w:marRight w:val="0"/>
          <w:marTop w:val="0"/>
          <w:marBottom w:val="0"/>
          <w:divBdr>
            <w:top w:val="none" w:sz="0" w:space="0" w:color="auto"/>
            <w:left w:val="none" w:sz="0" w:space="0" w:color="auto"/>
            <w:bottom w:val="none" w:sz="0" w:space="0" w:color="auto"/>
            <w:right w:val="none" w:sz="0" w:space="0" w:color="auto"/>
          </w:divBdr>
        </w:div>
        <w:div w:id="705914938">
          <w:marLeft w:val="0"/>
          <w:marRight w:val="0"/>
          <w:marTop w:val="0"/>
          <w:marBottom w:val="0"/>
          <w:divBdr>
            <w:top w:val="none" w:sz="0" w:space="0" w:color="auto"/>
            <w:left w:val="none" w:sz="0" w:space="0" w:color="auto"/>
            <w:bottom w:val="none" w:sz="0" w:space="0" w:color="auto"/>
            <w:right w:val="none" w:sz="0" w:space="0" w:color="auto"/>
          </w:divBdr>
        </w:div>
        <w:div w:id="705914939">
          <w:marLeft w:val="0"/>
          <w:marRight w:val="0"/>
          <w:marTop w:val="0"/>
          <w:marBottom w:val="0"/>
          <w:divBdr>
            <w:top w:val="none" w:sz="0" w:space="0" w:color="auto"/>
            <w:left w:val="none" w:sz="0" w:space="0" w:color="auto"/>
            <w:bottom w:val="none" w:sz="0" w:space="0" w:color="auto"/>
            <w:right w:val="none" w:sz="0" w:space="0" w:color="auto"/>
          </w:divBdr>
        </w:div>
        <w:div w:id="705914940">
          <w:marLeft w:val="0"/>
          <w:marRight w:val="0"/>
          <w:marTop w:val="0"/>
          <w:marBottom w:val="0"/>
          <w:divBdr>
            <w:top w:val="none" w:sz="0" w:space="0" w:color="auto"/>
            <w:left w:val="none" w:sz="0" w:space="0" w:color="auto"/>
            <w:bottom w:val="none" w:sz="0" w:space="0" w:color="auto"/>
            <w:right w:val="none" w:sz="0" w:space="0" w:color="auto"/>
          </w:divBdr>
        </w:div>
        <w:div w:id="705914941">
          <w:marLeft w:val="0"/>
          <w:marRight w:val="0"/>
          <w:marTop w:val="0"/>
          <w:marBottom w:val="0"/>
          <w:divBdr>
            <w:top w:val="none" w:sz="0" w:space="0" w:color="auto"/>
            <w:left w:val="none" w:sz="0" w:space="0" w:color="auto"/>
            <w:bottom w:val="none" w:sz="0" w:space="0" w:color="auto"/>
            <w:right w:val="none" w:sz="0" w:space="0" w:color="auto"/>
          </w:divBdr>
        </w:div>
        <w:div w:id="705914942">
          <w:marLeft w:val="0"/>
          <w:marRight w:val="0"/>
          <w:marTop w:val="0"/>
          <w:marBottom w:val="0"/>
          <w:divBdr>
            <w:top w:val="none" w:sz="0" w:space="0" w:color="auto"/>
            <w:left w:val="none" w:sz="0" w:space="0" w:color="auto"/>
            <w:bottom w:val="none" w:sz="0" w:space="0" w:color="auto"/>
            <w:right w:val="none" w:sz="0" w:space="0" w:color="auto"/>
          </w:divBdr>
        </w:div>
        <w:div w:id="705914943">
          <w:marLeft w:val="0"/>
          <w:marRight w:val="0"/>
          <w:marTop w:val="0"/>
          <w:marBottom w:val="0"/>
          <w:divBdr>
            <w:top w:val="none" w:sz="0" w:space="0" w:color="auto"/>
            <w:left w:val="none" w:sz="0" w:space="0" w:color="auto"/>
            <w:bottom w:val="none" w:sz="0" w:space="0" w:color="auto"/>
            <w:right w:val="none" w:sz="0" w:space="0" w:color="auto"/>
          </w:divBdr>
        </w:div>
        <w:div w:id="705914944">
          <w:marLeft w:val="0"/>
          <w:marRight w:val="0"/>
          <w:marTop w:val="0"/>
          <w:marBottom w:val="0"/>
          <w:divBdr>
            <w:top w:val="none" w:sz="0" w:space="0" w:color="auto"/>
            <w:left w:val="none" w:sz="0" w:space="0" w:color="auto"/>
            <w:bottom w:val="none" w:sz="0" w:space="0" w:color="auto"/>
            <w:right w:val="none" w:sz="0" w:space="0" w:color="auto"/>
          </w:divBdr>
        </w:div>
        <w:div w:id="705914945">
          <w:marLeft w:val="0"/>
          <w:marRight w:val="0"/>
          <w:marTop w:val="0"/>
          <w:marBottom w:val="0"/>
          <w:divBdr>
            <w:top w:val="none" w:sz="0" w:space="0" w:color="auto"/>
            <w:left w:val="none" w:sz="0" w:space="0" w:color="auto"/>
            <w:bottom w:val="none" w:sz="0" w:space="0" w:color="auto"/>
            <w:right w:val="none" w:sz="0" w:space="0" w:color="auto"/>
          </w:divBdr>
        </w:div>
        <w:div w:id="705914946">
          <w:marLeft w:val="0"/>
          <w:marRight w:val="0"/>
          <w:marTop w:val="0"/>
          <w:marBottom w:val="0"/>
          <w:divBdr>
            <w:top w:val="none" w:sz="0" w:space="0" w:color="auto"/>
            <w:left w:val="none" w:sz="0" w:space="0" w:color="auto"/>
            <w:bottom w:val="none" w:sz="0" w:space="0" w:color="auto"/>
            <w:right w:val="none" w:sz="0" w:space="0" w:color="auto"/>
          </w:divBdr>
        </w:div>
        <w:div w:id="705914947">
          <w:marLeft w:val="0"/>
          <w:marRight w:val="0"/>
          <w:marTop w:val="0"/>
          <w:marBottom w:val="0"/>
          <w:divBdr>
            <w:top w:val="none" w:sz="0" w:space="0" w:color="auto"/>
            <w:left w:val="none" w:sz="0" w:space="0" w:color="auto"/>
            <w:bottom w:val="none" w:sz="0" w:space="0" w:color="auto"/>
            <w:right w:val="none" w:sz="0" w:space="0" w:color="auto"/>
          </w:divBdr>
        </w:div>
        <w:div w:id="705914948">
          <w:marLeft w:val="0"/>
          <w:marRight w:val="0"/>
          <w:marTop w:val="0"/>
          <w:marBottom w:val="0"/>
          <w:divBdr>
            <w:top w:val="none" w:sz="0" w:space="0" w:color="auto"/>
            <w:left w:val="none" w:sz="0" w:space="0" w:color="auto"/>
            <w:bottom w:val="none" w:sz="0" w:space="0" w:color="auto"/>
            <w:right w:val="none" w:sz="0" w:space="0" w:color="auto"/>
          </w:divBdr>
        </w:div>
        <w:div w:id="705914949">
          <w:marLeft w:val="0"/>
          <w:marRight w:val="0"/>
          <w:marTop w:val="0"/>
          <w:marBottom w:val="0"/>
          <w:divBdr>
            <w:top w:val="none" w:sz="0" w:space="0" w:color="auto"/>
            <w:left w:val="none" w:sz="0" w:space="0" w:color="auto"/>
            <w:bottom w:val="none" w:sz="0" w:space="0" w:color="auto"/>
            <w:right w:val="none" w:sz="0" w:space="0" w:color="auto"/>
          </w:divBdr>
        </w:div>
        <w:div w:id="705914950">
          <w:marLeft w:val="0"/>
          <w:marRight w:val="0"/>
          <w:marTop w:val="0"/>
          <w:marBottom w:val="0"/>
          <w:divBdr>
            <w:top w:val="none" w:sz="0" w:space="0" w:color="auto"/>
            <w:left w:val="none" w:sz="0" w:space="0" w:color="auto"/>
            <w:bottom w:val="none" w:sz="0" w:space="0" w:color="auto"/>
            <w:right w:val="none" w:sz="0" w:space="0" w:color="auto"/>
          </w:divBdr>
        </w:div>
        <w:div w:id="705914951">
          <w:marLeft w:val="0"/>
          <w:marRight w:val="0"/>
          <w:marTop w:val="0"/>
          <w:marBottom w:val="0"/>
          <w:divBdr>
            <w:top w:val="none" w:sz="0" w:space="0" w:color="auto"/>
            <w:left w:val="none" w:sz="0" w:space="0" w:color="auto"/>
            <w:bottom w:val="none" w:sz="0" w:space="0" w:color="auto"/>
            <w:right w:val="none" w:sz="0" w:space="0" w:color="auto"/>
          </w:divBdr>
        </w:div>
        <w:div w:id="705914952">
          <w:marLeft w:val="0"/>
          <w:marRight w:val="0"/>
          <w:marTop w:val="0"/>
          <w:marBottom w:val="0"/>
          <w:divBdr>
            <w:top w:val="none" w:sz="0" w:space="0" w:color="auto"/>
            <w:left w:val="none" w:sz="0" w:space="0" w:color="auto"/>
            <w:bottom w:val="none" w:sz="0" w:space="0" w:color="auto"/>
            <w:right w:val="none" w:sz="0" w:space="0" w:color="auto"/>
          </w:divBdr>
        </w:div>
        <w:div w:id="705914953">
          <w:marLeft w:val="0"/>
          <w:marRight w:val="0"/>
          <w:marTop w:val="0"/>
          <w:marBottom w:val="0"/>
          <w:divBdr>
            <w:top w:val="none" w:sz="0" w:space="0" w:color="auto"/>
            <w:left w:val="none" w:sz="0" w:space="0" w:color="auto"/>
            <w:bottom w:val="none" w:sz="0" w:space="0" w:color="auto"/>
            <w:right w:val="none" w:sz="0" w:space="0" w:color="auto"/>
          </w:divBdr>
        </w:div>
        <w:div w:id="705914954">
          <w:marLeft w:val="0"/>
          <w:marRight w:val="0"/>
          <w:marTop w:val="0"/>
          <w:marBottom w:val="0"/>
          <w:divBdr>
            <w:top w:val="none" w:sz="0" w:space="0" w:color="auto"/>
            <w:left w:val="none" w:sz="0" w:space="0" w:color="auto"/>
            <w:bottom w:val="none" w:sz="0" w:space="0" w:color="auto"/>
            <w:right w:val="none" w:sz="0" w:space="0" w:color="auto"/>
          </w:divBdr>
        </w:div>
        <w:div w:id="705914955">
          <w:marLeft w:val="0"/>
          <w:marRight w:val="0"/>
          <w:marTop w:val="0"/>
          <w:marBottom w:val="0"/>
          <w:divBdr>
            <w:top w:val="none" w:sz="0" w:space="0" w:color="auto"/>
            <w:left w:val="none" w:sz="0" w:space="0" w:color="auto"/>
            <w:bottom w:val="none" w:sz="0" w:space="0" w:color="auto"/>
            <w:right w:val="none" w:sz="0" w:space="0" w:color="auto"/>
          </w:divBdr>
        </w:div>
        <w:div w:id="705914956">
          <w:marLeft w:val="0"/>
          <w:marRight w:val="0"/>
          <w:marTop w:val="0"/>
          <w:marBottom w:val="0"/>
          <w:divBdr>
            <w:top w:val="none" w:sz="0" w:space="0" w:color="auto"/>
            <w:left w:val="none" w:sz="0" w:space="0" w:color="auto"/>
            <w:bottom w:val="none" w:sz="0" w:space="0" w:color="auto"/>
            <w:right w:val="none" w:sz="0" w:space="0" w:color="auto"/>
          </w:divBdr>
        </w:div>
        <w:div w:id="705914957">
          <w:marLeft w:val="0"/>
          <w:marRight w:val="0"/>
          <w:marTop w:val="0"/>
          <w:marBottom w:val="0"/>
          <w:divBdr>
            <w:top w:val="none" w:sz="0" w:space="0" w:color="auto"/>
            <w:left w:val="none" w:sz="0" w:space="0" w:color="auto"/>
            <w:bottom w:val="none" w:sz="0" w:space="0" w:color="auto"/>
            <w:right w:val="none" w:sz="0" w:space="0" w:color="auto"/>
          </w:divBdr>
        </w:div>
        <w:div w:id="705914958">
          <w:marLeft w:val="0"/>
          <w:marRight w:val="0"/>
          <w:marTop w:val="0"/>
          <w:marBottom w:val="0"/>
          <w:divBdr>
            <w:top w:val="none" w:sz="0" w:space="0" w:color="auto"/>
            <w:left w:val="none" w:sz="0" w:space="0" w:color="auto"/>
            <w:bottom w:val="none" w:sz="0" w:space="0" w:color="auto"/>
            <w:right w:val="none" w:sz="0" w:space="0" w:color="auto"/>
          </w:divBdr>
        </w:div>
        <w:div w:id="705914959">
          <w:marLeft w:val="0"/>
          <w:marRight w:val="0"/>
          <w:marTop w:val="0"/>
          <w:marBottom w:val="0"/>
          <w:divBdr>
            <w:top w:val="none" w:sz="0" w:space="0" w:color="auto"/>
            <w:left w:val="none" w:sz="0" w:space="0" w:color="auto"/>
            <w:bottom w:val="none" w:sz="0" w:space="0" w:color="auto"/>
            <w:right w:val="none" w:sz="0" w:space="0" w:color="auto"/>
          </w:divBdr>
        </w:div>
        <w:div w:id="705914960">
          <w:marLeft w:val="0"/>
          <w:marRight w:val="0"/>
          <w:marTop w:val="0"/>
          <w:marBottom w:val="0"/>
          <w:divBdr>
            <w:top w:val="none" w:sz="0" w:space="0" w:color="auto"/>
            <w:left w:val="none" w:sz="0" w:space="0" w:color="auto"/>
            <w:bottom w:val="none" w:sz="0" w:space="0" w:color="auto"/>
            <w:right w:val="none" w:sz="0" w:space="0" w:color="auto"/>
          </w:divBdr>
        </w:div>
        <w:div w:id="705914961">
          <w:marLeft w:val="0"/>
          <w:marRight w:val="0"/>
          <w:marTop w:val="0"/>
          <w:marBottom w:val="0"/>
          <w:divBdr>
            <w:top w:val="none" w:sz="0" w:space="0" w:color="auto"/>
            <w:left w:val="none" w:sz="0" w:space="0" w:color="auto"/>
            <w:bottom w:val="none" w:sz="0" w:space="0" w:color="auto"/>
            <w:right w:val="none" w:sz="0" w:space="0" w:color="auto"/>
          </w:divBdr>
        </w:div>
        <w:div w:id="705914962">
          <w:marLeft w:val="0"/>
          <w:marRight w:val="0"/>
          <w:marTop w:val="0"/>
          <w:marBottom w:val="0"/>
          <w:divBdr>
            <w:top w:val="none" w:sz="0" w:space="0" w:color="auto"/>
            <w:left w:val="none" w:sz="0" w:space="0" w:color="auto"/>
            <w:bottom w:val="none" w:sz="0" w:space="0" w:color="auto"/>
            <w:right w:val="none" w:sz="0" w:space="0" w:color="auto"/>
          </w:divBdr>
        </w:div>
        <w:div w:id="705914963">
          <w:marLeft w:val="0"/>
          <w:marRight w:val="0"/>
          <w:marTop w:val="0"/>
          <w:marBottom w:val="0"/>
          <w:divBdr>
            <w:top w:val="none" w:sz="0" w:space="0" w:color="auto"/>
            <w:left w:val="none" w:sz="0" w:space="0" w:color="auto"/>
            <w:bottom w:val="none" w:sz="0" w:space="0" w:color="auto"/>
            <w:right w:val="none" w:sz="0" w:space="0" w:color="auto"/>
          </w:divBdr>
        </w:div>
        <w:div w:id="705914964">
          <w:marLeft w:val="0"/>
          <w:marRight w:val="0"/>
          <w:marTop w:val="0"/>
          <w:marBottom w:val="0"/>
          <w:divBdr>
            <w:top w:val="none" w:sz="0" w:space="0" w:color="auto"/>
            <w:left w:val="none" w:sz="0" w:space="0" w:color="auto"/>
            <w:bottom w:val="none" w:sz="0" w:space="0" w:color="auto"/>
            <w:right w:val="none" w:sz="0" w:space="0" w:color="auto"/>
          </w:divBdr>
        </w:div>
        <w:div w:id="705914965">
          <w:marLeft w:val="0"/>
          <w:marRight w:val="0"/>
          <w:marTop w:val="0"/>
          <w:marBottom w:val="0"/>
          <w:divBdr>
            <w:top w:val="none" w:sz="0" w:space="0" w:color="auto"/>
            <w:left w:val="none" w:sz="0" w:space="0" w:color="auto"/>
            <w:bottom w:val="none" w:sz="0" w:space="0" w:color="auto"/>
            <w:right w:val="none" w:sz="0" w:space="0" w:color="auto"/>
          </w:divBdr>
        </w:div>
        <w:div w:id="705914966">
          <w:marLeft w:val="0"/>
          <w:marRight w:val="0"/>
          <w:marTop w:val="0"/>
          <w:marBottom w:val="0"/>
          <w:divBdr>
            <w:top w:val="none" w:sz="0" w:space="0" w:color="auto"/>
            <w:left w:val="none" w:sz="0" w:space="0" w:color="auto"/>
            <w:bottom w:val="none" w:sz="0" w:space="0" w:color="auto"/>
            <w:right w:val="none" w:sz="0" w:space="0" w:color="auto"/>
          </w:divBdr>
        </w:div>
        <w:div w:id="705914967">
          <w:marLeft w:val="0"/>
          <w:marRight w:val="0"/>
          <w:marTop w:val="0"/>
          <w:marBottom w:val="0"/>
          <w:divBdr>
            <w:top w:val="none" w:sz="0" w:space="0" w:color="auto"/>
            <w:left w:val="none" w:sz="0" w:space="0" w:color="auto"/>
            <w:bottom w:val="none" w:sz="0" w:space="0" w:color="auto"/>
            <w:right w:val="none" w:sz="0" w:space="0" w:color="auto"/>
          </w:divBdr>
        </w:div>
        <w:div w:id="705914968">
          <w:marLeft w:val="0"/>
          <w:marRight w:val="0"/>
          <w:marTop w:val="0"/>
          <w:marBottom w:val="0"/>
          <w:divBdr>
            <w:top w:val="none" w:sz="0" w:space="0" w:color="auto"/>
            <w:left w:val="none" w:sz="0" w:space="0" w:color="auto"/>
            <w:bottom w:val="none" w:sz="0" w:space="0" w:color="auto"/>
            <w:right w:val="none" w:sz="0" w:space="0" w:color="auto"/>
          </w:divBdr>
        </w:div>
        <w:div w:id="705914969">
          <w:marLeft w:val="0"/>
          <w:marRight w:val="0"/>
          <w:marTop w:val="0"/>
          <w:marBottom w:val="0"/>
          <w:divBdr>
            <w:top w:val="none" w:sz="0" w:space="0" w:color="auto"/>
            <w:left w:val="none" w:sz="0" w:space="0" w:color="auto"/>
            <w:bottom w:val="none" w:sz="0" w:space="0" w:color="auto"/>
            <w:right w:val="none" w:sz="0" w:space="0" w:color="auto"/>
          </w:divBdr>
        </w:div>
        <w:div w:id="705914970">
          <w:marLeft w:val="0"/>
          <w:marRight w:val="0"/>
          <w:marTop w:val="0"/>
          <w:marBottom w:val="0"/>
          <w:divBdr>
            <w:top w:val="none" w:sz="0" w:space="0" w:color="auto"/>
            <w:left w:val="none" w:sz="0" w:space="0" w:color="auto"/>
            <w:bottom w:val="none" w:sz="0" w:space="0" w:color="auto"/>
            <w:right w:val="none" w:sz="0" w:space="0" w:color="auto"/>
          </w:divBdr>
        </w:div>
        <w:div w:id="705914971">
          <w:marLeft w:val="0"/>
          <w:marRight w:val="0"/>
          <w:marTop w:val="0"/>
          <w:marBottom w:val="0"/>
          <w:divBdr>
            <w:top w:val="none" w:sz="0" w:space="0" w:color="auto"/>
            <w:left w:val="none" w:sz="0" w:space="0" w:color="auto"/>
            <w:bottom w:val="none" w:sz="0" w:space="0" w:color="auto"/>
            <w:right w:val="none" w:sz="0" w:space="0" w:color="auto"/>
          </w:divBdr>
        </w:div>
        <w:div w:id="705914972">
          <w:marLeft w:val="0"/>
          <w:marRight w:val="0"/>
          <w:marTop w:val="0"/>
          <w:marBottom w:val="0"/>
          <w:divBdr>
            <w:top w:val="none" w:sz="0" w:space="0" w:color="auto"/>
            <w:left w:val="none" w:sz="0" w:space="0" w:color="auto"/>
            <w:bottom w:val="none" w:sz="0" w:space="0" w:color="auto"/>
            <w:right w:val="none" w:sz="0" w:space="0" w:color="auto"/>
          </w:divBdr>
        </w:div>
        <w:div w:id="705914973">
          <w:marLeft w:val="0"/>
          <w:marRight w:val="0"/>
          <w:marTop w:val="0"/>
          <w:marBottom w:val="0"/>
          <w:divBdr>
            <w:top w:val="none" w:sz="0" w:space="0" w:color="auto"/>
            <w:left w:val="none" w:sz="0" w:space="0" w:color="auto"/>
            <w:bottom w:val="none" w:sz="0" w:space="0" w:color="auto"/>
            <w:right w:val="none" w:sz="0" w:space="0" w:color="auto"/>
          </w:divBdr>
        </w:div>
        <w:div w:id="705914974">
          <w:marLeft w:val="0"/>
          <w:marRight w:val="0"/>
          <w:marTop w:val="0"/>
          <w:marBottom w:val="0"/>
          <w:divBdr>
            <w:top w:val="none" w:sz="0" w:space="0" w:color="auto"/>
            <w:left w:val="none" w:sz="0" w:space="0" w:color="auto"/>
            <w:bottom w:val="none" w:sz="0" w:space="0" w:color="auto"/>
            <w:right w:val="none" w:sz="0" w:space="0" w:color="auto"/>
          </w:divBdr>
        </w:div>
        <w:div w:id="705914975">
          <w:marLeft w:val="0"/>
          <w:marRight w:val="0"/>
          <w:marTop w:val="0"/>
          <w:marBottom w:val="0"/>
          <w:divBdr>
            <w:top w:val="none" w:sz="0" w:space="0" w:color="auto"/>
            <w:left w:val="none" w:sz="0" w:space="0" w:color="auto"/>
            <w:bottom w:val="none" w:sz="0" w:space="0" w:color="auto"/>
            <w:right w:val="none" w:sz="0" w:space="0" w:color="auto"/>
          </w:divBdr>
        </w:div>
        <w:div w:id="705914976">
          <w:marLeft w:val="0"/>
          <w:marRight w:val="0"/>
          <w:marTop w:val="0"/>
          <w:marBottom w:val="0"/>
          <w:divBdr>
            <w:top w:val="none" w:sz="0" w:space="0" w:color="auto"/>
            <w:left w:val="none" w:sz="0" w:space="0" w:color="auto"/>
            <w:bottom w:val="none" w:sz="0" w:space="0" w:color="auto"/>
            <w:right w:val="none" w:sz="0" w:space="0" w:color="auto"/>
          </w:divBdr>
        </w:div>
        <w:div w:id="705914977">
          <w:marLeft w:val="0"/>
          <w:marRight w:val="0"/>
          <w:marTop w:val="0"/>
          <w:marBottom w:val="0"/>
          <w:divBdr>
            <w:top w:val="none" w:sz="0" w:space="0" w:color="auto"/>
            <w:left w:val="none" w:sz="0" w:space="0" w:color="auto"/>
            <w:bottom w:val="none" w:sz="0" w:space="0" w:color="auto"/>
            <w:right w:val="none" w:sz="0" w:space="0" w:color="auto"/>
          </w:divBdr>
        </w:div>
        <w:div w:id="705914978">
          <w:marLeft w:val="0"/>
          <w:marRight w:val="0"/>
          <w:marTop w:val="0"/>
          <w:marBottom w:val="0"/>
          <w:divBdr>
            <w:top w:val="none" w:sz="0" w:space="0" w:color="auto"/>
            <w:left w:val="none" w:sz="0" w:space="0" w:color="auto"/>
            <w:bottom w:val="none" w:sz="0" w:space="0" w:color="auto"/>
            <w:right w:val="none" w:sz="0" w:space="0" w:color="auto"/>
          </w:divBdr>
        </w:div>
        <w:div w:id="705914979">
          <w:marLeft w:val="0"/>
          <w:marRight w:val="0"/>
          <w:marTop w:val="0"/>
          <w:marBottom w:val="0"/>
          <w:divBdr>
            <w:top w:val="none" w:sz="0" w:space="0" w:color="auto"/>
            <w:left w:val="none" w:sz="0" w:space="0" w:color="auto"/>
            <w:bottom w:val="none" w:sz="0" w:space="0" w:color="auto"/>
            <w:right w:val="none" w:sz="0" w:space="0" w:color="auto"/>
          </w:divBdr>
        </w:div>
        <w:div w:id="705914980">
          <w:marLeft w:val="0"/>
          <w:marRight w:val="0"/>
          <w:marTop w:val="0"/>
          <w:marBottom w:val="0"/>
          <w:divBdr>
            <w:top w:val="none" w:sz="0" w:space="0" w:color="auto"/>
            <w:left w:val="none" w:sz="0" w:space="0" w:color="auto"/>
            <w:bottom w:val="none" w:sz="0" w:space="0" w:color="auto"/>
            <w:right w:val="none" w:sz="0" w:space="0" w:color="auto"/>
          </w:divBdr>
        </w:div>
        <w:div w:id="705914981">
          <w:marLeft w:val="0"/>
          <w:marRight w:val="0"/>
          <w:marTop w:val="0"/>
          <w:marBottom w:val="0"/>
          <w:divBdr>
            <w:top w:val="none" w:sz="0" w:space="0" w:color="auto"/>
            <w:left w:val="none" w:sz="0" w:space="0" w:color="auto"/>
            <w:bottom w:val="none" w:sz="0" w:space="0" w:color="auto"/>
            <w:right w:val="none" w:sz="0" w:space="0" w:color="auto"/>
          </w:divBdr>
        </w:div>
        <w:div w:id="705914982">
          <w:marLeft w:val="0"/>
          <w:marRight w:val="0"/>
          <w:marTop w:val="0"/>
          <w:marBottom w:val="0"/>
          <w:divBdr>
            <w:top w:val="none" w:sz="0" w:space="0" w:color="auto"/>
            <w:left w:val="none" w:sz="0" w:space="0" w:color="auto"/>
            <w:bottom w:val="none" w:sz="0" w:space="0" w:color="auto"/>
            <w:right w:val="none" w:sz="0" w:space="0" w:color="auto"/>
          </w:divBdr>
        </w:div>
        <w:div w:id="705914983">
          <w:marLeft w:val="0"/>
          <w:marRight w:val="0"/>
          <w:marTop w:val="0"/>
          <w:marBottom w:val="0"/>
          <w:divBdr>
            <w:top w:val="none" w:sz="0" w:space="0" w:color="auto"/>
            <w:left w:val="none" w:sz="0" w:space="0" w:color="auto"/>
            <w:bottom w:val="none" w:sz="0" w:space="0" w:color="auto"/>
            <w:right w:val="none" w:sz="0" w:space="0" w:color="auto"/>
          </w:divBdr>
        </w:div>
        <w:div w:id="705914984">
          <w:marLeft w:val="0"/>
          <w:marRight w:val="0"/>
          <w:marTop w:val="0"/>
          <w:marBottom w:val="0"/>
          <w:divBdr>
            <w:top w:val="none" w:sz="0" w:space="0" w:color="auto"/>
            <w:left w:val="none" w:sz="0" w:space="0" w:color="auto"/>
            <w:bottom w:val="none" w:sz="0" w:space="0" w:color="auto"/>
            <w:right w:val="none" w:sz="0" w:space="0" w:color="auto"/>
          </w:divBdr>
        </w:div>
        <w:div w:id="705914985">
          <w:marLeft w:val="0"/>
          <w:marRight w:val="0"/>
          <w:marTop w:val="0"/>
          <w:marBottom w:val="0"/>
          <w:divBdr>
            <w:top w:val="none" w:sz="0" w:space="0" w:color="auto"/>
            <w:left w:val="none" w:sz="0" w:space="0" w:color="auto"/>
            <w:bottom w:val="none" w:sz="0" w:space="0" w:color="auto"/>
            <w:right w:val="none" w:sz="0" w:space="0" w:color="auto"/>
          </w:divBdr>
        </w:div>
        <w:div w:id="705914986">
          <w:marLeft w:val="0"/>
          <w:marRight w:val="0"/>
          <w:marTop w:val="0"/>
          <w:marBottom w:val="0"/>
          <w:divBdr>
            <w:top w:val="none" w:sz="0" w:space="0" w:color="auto"/>
            <w:left w:val="none" w:sz="0" w:space="0" w:color="auto"/>
            <w:bottom w:val="none" w:sz="0" w:space="0" w:color="auto"/>
            <w:right w:val="none" w:sz="0" w:space="0" w:color="auto"/>
          </w:divBdr>
        </w:div>
        <w:div w:id="705914987">
          <w:marLeft w:val="0"/>
          <w:marRight w:val="0"/>
          <w:marTop w:val="0"/>
          <w:marBottom w:val="0"/>
          <w:divBdr>
            <w:top w:val="none" w:sz="0" w:space="0" w:color="auto"/>
            <w:left w:val="none" w:sz="0" w:space="0" w:color="auto"/>
            <w:bottom w:val="none" w:sz="0" w:space="0" w:color="auto"/>
            <w:right w:val="none" w:sz="0" w:space="0" w:color="auto"/>
          </w:divBdr>
        </w:div>
        <w:div w:id="705914988">
          <w:marLeft w:val="0"/>
          <w:marRight w:val="0"/>
          <w:marTop w:val="0"/>
          <w:marBottom w:val="0"/>
          <w:divBdr>
            <w:top w:val="none" w:sz="0" w:space="0" w:color="auto"/>
            <w:left w:val="none" w:sz="0" w:space="0" w:color="auto"/>
            <w:bottom w:val="none" w:sz="0" w:space="0" w:color="auto"/>
            <w:right w:val="none" w:sz="0" w:space="0" w:color="auto"/>
          </w:divBdr>
        </w:div>
        <w:div w:id="705914989">
          <w:marLeft w:val="0"/>
          <w:marRight w:val="0"/>
          <w:marTop w:val="0"/>
          <w:marBottom w:val="0"/>
          <w:divBdr>
            <w:top w:val="none" w:sz="0" w:space="0" w:color="auto"/>
            <w:left w:val="none" w:sz="0" w:space="0" w:color="auto"/>
            <w:bottom w:val="none" w:sz="0" w:space="0" w:color="auto"/>
            <w:right w:val="none" w:sz="0" w:space="0" w:color="auto"/>
          </w:divBdr>
        </w:div>
        <w:div w:id="705914990">
          <w:marLeft w:val="0"/>
          <w:marRight w:val="0"/>
          <w:marTop w:val="0"/>
          <w:marBottom w:val="0"/>
          <w:divBdr>
            <w:top w:val="none" w:sz="0" w:space="0" w:color="auto"/>
            <w:left w:val="none" w:sz="0" w:space="0" w:color="auto"/>
            <w:bottom w:val="none" w:sz="0" w:space="0" w:color="auto"/>
            <w:right w:val="none" w:sz="0" w:space="0" w:color="auto"/>
          </w:divBdr>
        </w:div>
        <w:div w:id="705914991">
          <w:marLeft w:val="0"/>
          <w:marRight w:val="0"/>
          <w:marTop w:val="0"/>
          <w:marBottom w:val="0"/>
          <w:divBdr>
            <w:top w:val="none" w:sz="0" w:space="0" w:color="auto"/>
            <w:left w:val="none" w:sz="0" w:space="0" w:color="auto"/>
            <w:bottom w:val="none" w:sz="0" w:space="0" w:color="auto"/>
            <w:right w:val="none" w:sz="0" w:space="0" w:color="auto"/>
          </w:divBdr>
        </w:div>
        <w:div w:id="705914992">
          <w:marLeft w:val="0"/>
          <w:marRight w:val="0"/>
          <w:marTop w:val="0"/>
          <w:marBottom w:val="0"/>
          <w:divBdr>
            <w:top w:val="none" w:sz="0" w:space="0" w:color="auto"/>
            <w:left w:val="none" w:sz="0" w:space="0" w:color="auto"/>
            <w:bottom w:val="none" w:sz="0" w:space="0" w:color="auto"/>
            <w:right w:val="none" w:sz="0" w:space="0" w:color="auto"/>
          </w:divBdr>
        </w:div>
        <w:div w:id="705914993">
          <w:marLeft w:val="0"/>
          <w:marRight w:val="0"/>
          <w:marTop w:val="0"/>
          <w:marBottom w:val="0"/>
          <w:divBdr>
            <w:top w:val="none" w:sz="0" w:space="0" w:color="auto"/>
            <w:left w:val="none" w:sz="0" w:space="0" w:color="auto"/>
            <w:bottom w:val="none" w:sz="0" w:space="0" w:color="auto"/>
            <w:right w:val="none" w:sz="0" w:space="0" w:color="auto"/>
          </w:divBdr>
        </w:div>
        <w:div w:id="705914994">
          <w:marLeft w:val="0"/>
          <w:marRight w:val="0"/>
          <w:marTop w:val="0"/>
          <w:marBottom w:val="0"/>
          <w:divBdr>
            <w:top w:val="none" w:sz="0" w:space="0" w:color="auto"/>
            <w:left w:val="none" w:sz="0" w:space="0" w:color="auto"/>
            <w:bottom w:val="none" w:sz="0" w:space="0" w:color="auto"/>
            <w:right w:val="none" w:sz="0" w:space="0" w:color="auto"/>
          </w:divBdr>
        </w:div>
        <w:div w:id="705914995">
          <w:marLeft w:val="0"/>
          <w:marRight w:val="0"/>
          <w:marTop w:val="0"/>
          <w:marBottom w:val="0"/>
          <w:divBdr>
            <w:top w:val="none" w:sz="0" w:space="0" w:color="auto"/>
            <w:left w:val="none" w:sz="0" w:space="0" w:color="auto"/>
            <w:bottom w:val="none" w:sz="0" w:space="0" w:color="auto"/>
            <w:right w:val="none" w:sz="0" w:space="0" w:color="auto"/>
          </w:divBdr>
        </w:div>
        <w:div w:id="705914996">
          <w:marLeft w:val="0"/>
          <w:marRight w:val="0"/>
          <w:marTop w:val="0"/>
          <w:marBottom w:val="0"/>
          <w:divBdr>
            <w:top w:val="none" w:sz="0" w:space="0" w:color="auto"/>
            <w:left w:val="none" w:sz="0" w:space="0" w:color="auto"/>
            <w:bottom w:val="none" w:sz="0" w:space="0" w:color="auto"/>
            <w:right w:val="none" w:sz="0" w:space="0" w:color="auto"/>
          </w:divBdr>
        </w:div>
        <w:div w:id="705914997">
          <w:marLeft w:val="0"/>
          <w:marRight w:val="0"/>
          <w:marTop w:val="0"/>
          <w:marBottom w:val="0"/>
          <w:divBdr>
            <w:top w:val="none" w:sz="0" w:space="0" w:color="auto"/>
            <w:left w:val="none" w:sz="0" w:space="0" w:color="auto"/>
            <w:bottom w:val="none" w:sz="0" w:space="0" w:color="auto"/>
            <w:right w:val="none" w:sz="0" w:space="0" w:color="auto"/>
          </w:divBdr>
        </w:div>
        <w:div w:id="705914998">
          <w:marLeft w:val="0"/>
          <w:marRight w:val="0"/>
          <w:marTop w:val="0"/>
          <w:marBottom w:val="0"/>
          <w:divBdr>
            <w:top w:val="none" w:sz="0" w:space="0" w:color="auto"/>
            <w:left w:val="none" w:sz="0" w:space="0" w:color="auto"/>
            <w:bottom w:val="none" w:sz="0" w:space="0" w:color="auto"/>
            <w:right w:val="none" w:sz="0" w:space="0" w:color="auto"/>
          </w:divBdr>
        </w:div>
        <w:div w:id="705914999">
          <w:marLeft w:val="0"/>
          <w:marRight w:val="0"/>
          <w:marTop w:val="0"/>
          <w:marBottom w:val="0"/>
          <w:divBdr>
            <w:top w:val="none" w:sz="0" w:space="0" w:color="auto"/>
            <w:left w:val="none" w:sz="0" w:space="0" w:color="auto"/>
            <w:bottom w:val="none" w:sz="0" w:space="0" w:color="auto"/>
            <w:right w:val="none" w:sz="0" w:space="0" w:color="auto"/>
          </w:divBdr>
        </w:div>
        <w:div w:id="705915000">
          <w:marLeft w:val="0"/>
          <w:marRight w:val="0"/>
          <w:marTop w:val="0"/>
          <w:marBottom w:val="0"/>
          <w:divBdr>
            <w:top w:val="none" w:sz="0" w:space="0" w:color="auto"/>
            <w:left w:val="none" w:sz="0" w:space="0" w:color="auto"/>
            <w:bottom w:val="none" w:sz="0" w:space="0" w:color="auto"/>
            <w:right w:val="none" w:sz="0" w:space="0" w:color="auto"/>
          </w:divBdr>
        </w:div>
        <w:div w:id="705915001">
          <w:marLeft w:val="0"/>
          <w:marRight w:val="0"/>
          <w:marTop w:val="0"/>
          <w:marBottom w:val="0"/>
          <w:divBdr>
            <w:top w:val="none" w:sz="0" w:space="0" w:color="auto"/>
            <w:left w:val="none" w:sz="0" w:space="0" w:color="auto"/>
            <w:bottom w:val="none" w:sz="0" w:space="0" w:color="auto"/>
            <w:right w:val="none" w:sz="0" w:space="0" w:color="auto"/>
          </w:divBdr>
        </w:div>
        <w:div w:id="705915002">
          <w:marLeft w:val="0"/>
          <w:marRight w:val="0"/>
          <w:marTop w:val="0"/>
          <w:marBottom w:val="0"/>
          <w:divBdr>
            <w:top w:val="none" w:sz="0" w:space="0" w:color="auto"/>
            <w:left w:val="none" w:sz="0" w:space="0" w:color="auto"/>
            <w:bottom w:val="none" w:sz="0" w:space="0" w:color="auto"/>
            <w:right w:val="none" w:sz="0" w:space="0" w:color="auto"/>
          </w:divBdr>
        </w:div>
        <w:div w:id="705915003">
          <w:marLeft w:val="0"/>
          <w:marRight w:val="0"/>
          <w:marTop w:val="0"/>
          <w:marBottom w:val="0"/>
          <w:divBdr>
            <w:top w:val="none" w:sz="0" w:space="0" w:color="auto"/>
            <w:left w:val="none" w:sz="0" w:space="0" w:color="auto"/>
            <w:bottom w:val="none" w:sz="0" w:space="0" w:color="auto"/>
            <w:right w:val="none" w:sz="0" w:space="0" w:color="auto"/>
          </w:divBdr>
        </w:div>
        <w:div w:id="705915004">
          <w:marLeft w:val="0"/>
          <w:marRight w:val="0"/>
          <w:marTop w:val="0"/>
          <w:marBottom w:val="0"/>
          <w:divBdr>
            <w:top w:val="none" w:sz="0" w:space="0" w:color="auto"/>
            <w:left w:val="none" w:sz="0" w:space="0" w:color="auto"/>
            <w:bottom w:val="none" w:sz="0" w:space="0" w:color="auto"/>
            <w:right w:val="none" w:sz="0" w:space="0" w:color="auto"/>
          </w:divBdr>
        </w:div>
        <w:div w:id="705915006">
          <w:marLeft w:val="0"/>
          <w:marRight w:val="0"/>
          <w:marTop w:val="0"/>
          <w:marBottom w:val="0"/>
          <w:divBdr>
            <w:top w:val="none" w:sz="0" w:space="0" w:color="auto"/>
            <w:left w:val="none" w:sz="0" w:space="0" w:color="auto"/>
            <w:bottom w:val="none" w:sz="0" w:space="0" w:color="auto"/>
            <w:right w:val="none" w:sz="0" w:space="0" w:color="auto"/>
          </w:divBdr>
        </w:div>
        <w:div w:id="705915007">
          <w:marLeft w:val="0"/>
          <w:marRight w:val="0"/>
          <w:marTop w:val="0"/>
          <w:marBottom w:val="0"/>
          <w:divBdr>
            <w:top w:val="none" w:sz="0" w:space="0" w:color="auto"/>
            <w:left w:val="none" w:sz="0" w:space="0" w:color="auto"/>
            <w:bottom w:val="none" w:sz="0" w:space="0" w:color="auto"/>
            <w:right w:val="none" w:sz="0" w:space="0" w:color="auto"/>
          </w:divBdr>
        </w:div>
        <w:div w:id="705915008">
          <w:marLeft w:val="0"/>
          <w:marRight w:val="0"/>
          <w:marTop w:val="0"/>
          <w:marBottom w:val="0"/>
          <w:divBdr>
            <w:top w:val="none" w:sz="0" w:space="0" w:color="auto"/>
            <w:left w:val="none" w:sz="0" w:space="0" w:color="auto"/>
            <w:bottom w:val="none" w:sz="0" w:space="0" w:color="auto"/>
            <w:right w:val="none" w:sz="0" w:space="0" w:color="auto"/>
          </w:divBdr>
        </w:div>
        <w:div w:id="705915009">
          <w:marLeft w:val="0"/>
          <w:marRight w:val="0"/>
          <w:marTop w:val="0"/>
          <w:marBottom w:val="0"/>
          <w:divBdr>
            <w:top w:val="none" w:sz="0" w:space="0" w:color="auto"/>
            <w:left w:val="none" w:sz="0" w:space="0" w:color="auto"/>
            <w:bottom w:val="none" w:sz="0" w:space="0" w:color="auto"/>
            <w:right w:val="none" w:sz="0" w:space="0" w:color="auto"/>
          </w:divBdr>
        </w:div>
        <w:div w:id="705915010">
          <w:marLeft w:val="0"/>
          <w:marRight w:val="0"/>
          <w:marTop w:val="0"/>
          <w:marBottom w:val="0"/>
          <w:divBdr>
            <w:top w:val="none" w:sz="0" w:space="0" w:color="auto"/>
            <w:left w:val="none" w:sz="0" w:space="0" w:color="auto"/>
            <w:bottom w:val="none" w:sz="0" w:space="0" w:color="auto"/>
            <w:right w:val="none" w:sz="0" w:space="0" w:color="auto"/>
          </w:divBdr>
        </w:div>
        <w:div w:id="705915011">
          <w:marLeft w:val="0"/>
          <w:marRight w:val="0"/>
          <w:marTop w:val="0"/>
          <w:marBottom w:val="0"/>
          <w:divBdr>
            <w:top w:val="none" w:sz="0" w:space="0" w:color="auto"/>
            <w:left w:val="none" w:sz="0" w:space="0" w:color="auto"/>
            <w:bottom w:val="none" w:sz="0" w:space="0" w:color="auto"/>
            <w:right w:val="none" w:sz="0" w:space="0" w:color="auto"/>
          </w:divBdr>
        </w:div>
        <w:div w:id="705915012">
          <w:marLeft w:val="0"/>
          <w:marRight w:val="0"/>
          <w:marTop w:val="0"/>
          <w:marBottom w:val="0"/>
          <w:divBdr>
            <w:top w:val="none" w:sz="0" w:space="0" w:color="auto"/>
            <w:left w:val="none" w:sz="0" w:space="0" w:color="auto"/>
            <w:bottom w:val="none" w:sz="0" w:space="0" w:color="auto"/>
            <w:right w:val="none" w:sz="0" w:space="0" w:color="auto"/>
          </w:divBdr>
        </w:div>
        <w:div w:id="705915013">
          <w:marLeft w:val="0"/>
          <w:marRight w:val="0"/>
          <w:marTop w:val="0"/>
          <w:marBottom w:val="0"/>
          <w:divBdr>
            <w:top w:val="none" w:sz="0" w:space="0" w:color="auto"/>
            <w:left w:val="none" w:sz="0" w:space="0" w:color="auto"/>
            <w:bottom w:val="none" w:sz="0" w:space="0" w:color="auto"/>
            <w:right w:val="none" w:sz="0" w:space="0" w:color="auto"/>
          </w:divBdr>
        </w:div>
        <w:div w:id="705915014">
          <w:marLeft w:val="0"/>
          <w:marRight w:val="0"/>
          <w:marTop w:val="0"/>
          <w:marBottom w:val="0"/>
          <w:divBdr>
            <w:top w:val="none" w:sz="0" w:space="0" w:color="auto"/>
            <w:left w:val="none" w:sz="0" w:space="0" w:color="auto"/>
            <w:bottom w:val="none" w:sz="0" w:space="0" w:color="auto"/>
            <w:right w:val="none" w:sz="0" w:space="0" w:color="auto"/>
          </w:divBdr>
        </w:div>
        <w:div w:id="705915015">
          <w:marLeft w:val="0"/>
          <w:marRight w:val="0"/>
          <w:marTop w:val="0"/>
          <w:marBottom w:val="0"/>
          <w:divBdr>
            <w:top w:val="none" w:sz="0" w:space="0" w:color="auto"/>
            <w:left w:val="none" w:sz="0" w:space="0" w:color="auto"/>
            <w:bottom w:val="none" w:sz="0" w:space="0" w:color="auto"/>
            <w:right w:val="none" w:sz="0" w:space="0" w:color="auto"/>
          </w:divBdr>
        </w:div>
        <w:div w:id="705915016">
          <w:marLeft w:val="0"/>
          <w:marRight w:val="0"/>
          <w:marTop w:val="0"/>
          <w:marBottom w:val="0"/>
          <w:divBdr>
            <w:top w:val="none" w:sz="0" w:space="0" w:color="auto"/>
            <w:left w:val="none" w:sz="0" w:space="0" w:color="auto"/>
            <w:bottom w:val="none" w:sz="0" w:space="0" w:color="auto"/>
            <w:right w:val="none" w:sz="0" w:space="0" w:color="auto"/>
          </w:divBdr>
        </w:div>
        <w:div w:id="705915017">
          <w:marLeft w:val="0"/>
          <w:marRight w:val="0"/>
          <w:marTop w:val="0"/>
          <w:marBottom w:val="0"/>
          <w:divBdr>
            <w:top w:val="none" w:sz="0" w:space="0" w:color="auto"/>
            <w:left w:val="none" w:sz="0" w:space="0" w:color="auto"/>
            <w:bottom w:val="none" w:sz="0" w:space="0" w:color="auto"/>
            <w:right w:val="none" w:sz="0" w:space="0" w:color="auto"/>
          </w:divBdr>
        </w:div>
        <w:div w:id="705915018">
          <w:marLeft w:val="0"/>
          <w:marRight w:val="0"/>
          <w:marTop w:val="0"/>
          <w:marBottom w:val="0"/>
          <w:divBdr>
            <w:top w:val="none" w:sz="0" w:space="0" w:color="auto"/>
            <w:left w:val="none" w:sz="0" w:space="0" w:color="auto"/>
            <w:bottom w:val="none" w:sz="0" w:space="0" w:color="auto"/>
            <w:right w:val="none" w:sz="0" w:space="0" w:color="auto"/>
          </w:divBdr>
        </w:div>
        <w:div w:id="705915019">
          <w:marLeft w:val="0"/>
          <w:marRight w:val="0"/>
          <w:marTop w:val="0"/>
          <w:marBottom w:val="0"/>
          <w:divBdr>
            <w:top w:val="none" w:sz="0" w:space="0" w:color="auto"/>
            <w:left w:val="none" w:sz="0" w:space="0" w:color="auto"/>
            <w:bottom w:val="none" w:sz="0" w:space="0" w:color="auto"/>
            <w:right w:val="none" w:sz="0" w:space="0" w:color="auto"/>
          </w:divBdr>
        </w:div>
        <w:div w:id="705915020">
          <w:marLeft w:val="0"/>
          <w:marRight w:val="0"/>
          <w:marTop w:val="0"/>
          <w:marBottom w:val="0"/>
          <w:divBdr>
            <w:top w:val="none" w:sz="0" w:space="0" w:color="auto"/>
            <w:left w:val="none" w:sz="0" w:space="0" w:color="auto"/>
            <w:bottom w:val="none" w:sz="0" w:space="0" w:color="auto"/>
            <w:right w:val="none" w:sz="0" w:space="0" w:color="auto"/>
          </w:divBdr>
        </w:div>
        <w:div w:id="705915021">
          <w:marLeft w:val="0"/>
          <w:marRight w:val="0"/>
          <w:marTop w:val="0"/>
          <w:marBottom w:val="0"/>
          <w:divBdr>
            <w:top w:val="none" w:sz="0" w:space="0" w:color="auto"/>
            <w:left w:val="none" w:sz="0" w:space="0" w:color="auto"/>
            <w:bottom w:val="none" w:sz="0" w:space="0" w:color="auto"/>
            <w:right w:val="none" w:sz="0" w:space="0" w:color="auto"/>
          </w:divBdr>
        </w:div>
        <w:div w:id="705915022">
          <w:marLeft w:val="0"/>
          <w:marRight w:val="0"/>
          <w:marTop w:val="0"/>
          <w:marBottom w:val="0"/>
          <w:divBdr>
            <w:top w:val="none" w:sz="0" w:space="0" w:color="auto"/>
            <w:left w:val="none" w:sz="0" w:space="0" w:color="auto"/>
            <w:bottom w:val="none" w:sz="0" w:space="0" w:color="auto"/>
            <w:right w:val="none" w:sz="0" w:space="0" w:color="auto"/>
          </w:divBdr>
        </w:div>
        <w:div w:id="705915024">
          <w:marLeft w:val="0"/>
          <w:marRight w:val="0"/>
          <w:marTop w:val="0"/>
          <w:marBottom w:val="0"/>
          <w:divBdr>
            <w:top w:val="none" w:sz="0" w:space="0" w:color="auto"/>
            <w:left w:val="none" w:sz="0" w:space="0" w:color="auto"/>
            <w:bottom w:val="none" w:sz="0" w:space="0" w:color="auto"/>
            <w:right w:val="none" w:sz="0" w:space="0" w:color="auto"/>
          </w:divBdr>
        </w:div>
        <w:div w:id="705915025">
          <w:marLeft w:val="0"/>
          <w:marRight w:val="0"/>
          <w:marTop w:val="0"/>
          <w:marBottom w:val="0"/>
          <w:divBdr>
            <w:top w:val="none" w:sz="0" w:space="0" w:color="auto"/>
            <w:left w:val="none" w:sz="0" w:space="0" w:color="auto"/>
            <w:bottom w:val="none" w:sz="0" w:space="0" w:color="auto"/>
            <w:right w:val="none" w:sz="0" w:space="0" w:color="auto"/>
          </w:divBdr>
        </w:div>
        <w:div w:id="705915026">
          <w:marLeft w:val="0"/>
          <w:marRight w:val="0"/>
          <w:marTop w:val="0"/>
          <w:marBottom w:val="0"/>
          <w:divBdr>
            <w:top w:val="none" w:sz="0" w:space="0" w:color="auto"/>
            <w:left w:val="none" w:sz="0" w:space="0" w:color="auto"/>
            <w:bottom w:val="none" w:sz="0" w:space="0" w:color="auto"/>
            <w:right w:val="none" w:sz="0" w:space="0" w:color="auto"/>
          </w:divBdr>
        </w:div>
        <w:div w:id="705915027">
          <w:marLeft w:val="0"/>
          <w:marRight w:val="0"/>
          <w:marTop w:val="0"/>
          <w:marBottom w:val="0"/>
          <w:divBdr>
            <w:top w:val="none" w:sz="0" w:space="0" w:color="auto"/>
            <w:left w:val="none" w:sz="0" w:space="0" w:color="auto"/>
            <w:bottom w:val="none" w:sz="0" w:space="0" w:color="auto"/>
            <w:right w:val="none" w:sz="0" w:space="0" w:color="auto"/>
          </w:divBdr>
        </w:div>
        <w:div w:id="705915028">
          <w:marLeft w:val="0"/>
          <w:marRight w:val="0"/>
          <w:marTop w:val="0"/>
          <w:marBottom w:val="0"/>
          <w:divBdr>
            <w:top w:val="none" w:sz="0" w:space="0" w:color="auto"/>
            <w:left w:val="none" w:sz="0" w:space="0" w:color="auto"/>
            <w:bottom w:val="none" w:sz="0" w:space="0" w:color="auto"/>
            <w:right w:val="none" w:sz="0" w:space="0" w:color="auto"/>
          </w:divBdr>
        </w:div>
        <w:div w:id="705915029">
          <w:marLeft w:val="0"/>
          <w:marRight w:val="0"/>
          <w:marTop w:val="0"/>
          <w:marBottom w:val="0"/>
          <w:divBdr>
            <w:top w:val="none" w:sz="0" w:space="0" w:color="auto"/>
            <w:left w:val="none" w:sz="0" w:space="0" w:color="auto"/>
            <w:bottom w:val="none" w:sz="0" w:space="0" w:color="auto"/>
            <w:right w:val="none" w:sz="0" w:space="0" w:color="auto"/>
          </w:divBdr>
        </w:div>
        <w:div w:id="705915030">
          <w:marLeft w:val="0"/>
          <w:marRight w:val="0"/>
          <w:marTop w:val="0"/>
          <w:marBottom w:val="0"/>
          <w:divBdr>
            <w:top w:val="none" w:sz="0" w:space="0" w:color="auto"/>
            <w:left w:val="none" w:sz="0" w:space="0" w:color="auto"/>
            <w:bottom w:val="none" w:sz="0" w:space="0" w:color="auto"/>
            <w:right w:val="none" w:sz="0" w:space="0" w:color="auto"/>
          </w:divBdr>
        </w:div>
        <w:div w:id="705915031">
          <w:marLeft w:val="0"/>
          <w:marRight w:val="0"/>
          <w:marTop w:val="0"/>
          <w:marBottom w:val="0"/>
          <w:divBdr>
            <w:top w:val="none" w:sz="0" w:space="0" w:color="auto"/>
            <w:left w:val="none" w:sz="0" w:space="0" w:color="auto"/>
            <w:bottom w:val="none" w:sz="0" w:space="0" w:color="auto"/>
            <w:right w:val="none" w:sz="0" w:space="0" w:color="auto"/>
          </w:divBdr>
        </w:div>
        <w:div w:id="705915032">
          <w:marLeft w:val="0"/>
          <w:marRight w:val="0"/>
          <w:marTop w:val="0"/>
          <w:marBottom w:val="0"/>
          <w:divBdr>
            <w:top w:val="none" w:sz="0" w:space="0" w:color="auto"/>
            <w:left w:val="none" w:sz="0" w:space="0" w:color="auto"/>
            <w:bottom w:val="none" w:sz="0" w:space="0" w:color="auto"/>
            <w:right w:val="none" w:sz="0" w:space="0" w:color="auto"/>
          </w:divBdr>
        </w:div>
        <w:div w:id="705915033">
          <w:marLeft w:val="0"/>
          <w:marRight w:val="0"/>
          <w:marTop w:val="0"/>
          <w:marBottom w:val="0"/>
          <w:divBdr>
            <w:top w:val="none" w:sz="0" w:space="0" w:color="auto"/>
            <w:left w:val="none" w:sz="0" w:space="0" w:color="auto"/>
            <w:bottom w:val="none" w:sz="0" w:space="0" w:color="auto"/>
            <w:right w:val="none" w:sz="0" w:space="0" w:color="auto"/>
          </w:divBdr>
        </w:div>
        <w:div w:id="705915034">
          <w:marLeft w:val="0"/>
          <w:marRight w:val="0"/>
          <w:marTop w:val="0"/>
          <w:marBottom w:val="0"/>
          <w:divBdr>
            <w:top w:val="none" w:sz="0" w:space="0" w:color="auto"/>
            <w:left w:val="none" w:sz="0" w:space="0" w:color="auto"/>
            <w:bottom w:val="none" w:sz="0" w:space="0" w:color="auto"/>
            <w:right w:val="none" w:sz="0" w:space="0" w:color="auto"/>
          </w:divBdr>
        </w:div>
        <w:div w:id="705915035">
          <w:marLeft w:val="0"/>
          <w:marRight w:val="0"/>
          <w:marTop w:val="0"/>
          <w:marBottom w:val="0"/>
          <w:divBdr>
            <w:top w:val="none" w:sz="0" w:space="0" w:color="auto"/>
            <w:left w:val="none" w:sz="0" w:space="0" w:color="auto"/>
            <w:bottom w:val="none" w:sz="0" w:space="0" w:color="auto"/>
            <w:right w:val="none" w:sz="0" w:space="0" w:color="auto"/>
          </w:divBdr>
        </w:div>
        <w:div w:id="705915036">
          <w:marLeft w:val="0"/>
          <w:marRight w:val="0"/>
          <w:marTop w:val="0"/>
          <w:marBottom w:val="0"/>
          <w:divBdr>
            <w:top w:val="none" w:sz="0" w:space="0" w:color="auto"/>
            <w:left w:val="none" w:sz="0" w:space="0" w:color="auto"/>
            <w:bottom w:val="none" w:sz="0" w:space="0" w:color="auto"/>
            <w:right w:val="none" w:sz="0" w:space="0" w:color="auto"/>
          </w:divBdr>
        </w:div>
        <w:div w:id="705915037">
          <w:marLeft w:val="0"/>
          <w:marRight w:val="0"/>
          <w:marTop w:val="0"/>
          <w:marBottom w:val="0"/>
          <w:divBdr>
            <w:top w:val="none" w:sz="0" w:space="0" w:color="auto"/>
            <w:left w:val="none" w:sz="0" w:space="0" w:color="auto"/>
            <w:bottom w:val="none" w:sz="0" w:space="0" w:color="auto"/>
            <w:right w:val="none" w:sz="0" w:space="0" w:color="auto"/>
          </w:divBdr>
        </w:div>
        <w:div w:id="705915038">
          <w:marLeft w:val="0"/>
          <w:marRight w:val="0"/>
          <w:marTop w:val="0"/>
          <w:marBottom w:val="0"/>
          <w:divBdr>
            <w:top w:val="none" w:sz="0" w:space="0" w:color="auto"/>
            <w:left w:val="none" w:sz="0" w:space="0" w:color="auto"/>
            <w:bottom w:val="none" w:sz="0" w:space="0" w:color="auto"/>
            <w:right w:val="none" w:sz="0" w:space="0" w:color="auto"/>
          </w:divBdr>
        </w:div>
        <w:div w:id="705915039">
          <w:marLeft w:val="0"/>
          <w:marRight w:val="0"/>
          <w:marTop w:val="0"/>
          <w:marBottom w:val="0"/>
          <w:divBdr>
            <w:top w:val="none" w:sz="0" w:space="0" w:color="auto"/>
            <w:left w:val="none" w:sz="0" w:space="0" w:color="auto"/>
            <w:bottom w:val="none" w:sz="0" w:space="0" w:color="auto"/>
            <w:right w:val="none" w:sz="0" w:space="0" w:color="auto"/>
          </w:divBdr>
        </w:div>
        <w:div w:id="705915040">
          <w:marLeft w:val="0"/>
          <w:marRight w:val="0"/>
          <w:marTop w:val="0"/>
          <w:marBottom w:val="0"/>
          <w:divBdr>
            <w:top w:val="none" w:sz="0" w:space="0" w:color="auto"/>
            <w:left w:val="none" w:sz="0" w:space="0" w:color="auto"/>
            <w:bottom w:val="none" w:sz="0" w:space="0" w:color="auto"/>
            <w:right w:val="none" w:sz="0" w:space="0" w:color="auto"/>
          </w:divBdr>
        </w:div>
        <w:div w:id="705915041">
          <w:marLeft w:val="0"/>
          <w:marRight w:val="0"/>
          <w:marTop w:val="0"/>
          <w:marBottom w:val="0"/>
          <w:divBdr>
            <w:top w:val="none" w:sz="0" w:space="0" w:color="auto"/>
            <w:left w:val="none" w:sz="0" w:space="0" w:color="auto"/>
            <w:bottom w:val="none" w:sz="0" w:space="0" w:color="auto"/>
            <w:right w:val="none" w:sz="0" w:space="0" w:color="auto"/>
          </w:divBdr>
        </w:div>
        <w:div w:id="705915042">
          <w:marLeft w:val="0"/>
          <w:marRight w:val="0"/>
          <w:marTop w:val="0"/>
          <w:marBottom w:val="0"/>
          <w:divBdr>
            <w:top w:val="none" w:sz="0" w:space="0" w:color="auto"/>
            <w:left w:val="none" w:sz="0" w:space="0" w:color="auto"/>
            <w:bottom w:val="none" w:sz="0" w:space="0" w:color="auto"/>
            <w:right w:val="none" w:sz="0" w:space="0" w:color="auto"/>
          </w:divBdr>
        </w:div>
        <w:div w:id="705915043">
          <w:marLeft w:val="0"/>
          <w:marRight w:val="0"/>
          <w:marTop w:val="0"/>
          <w:marBottom w:val="0"/>
          <w:divBdr>
            <w:top w:val="none" w:sz="0" w:space="0" w:color="auto"/>
            <w:left w:val="none" w:sz="0" w:space="0" w:color="auto"/>
            <w:bottom w:val="none" w:sz="0" w:space="0" w:color="auto"/>
            <w:right w:val="none" w:sz="0" w:space="0" w:color="auto"/>
          </w:divBdr>
        </w:div>
        <w:div w:id="705915044">
          <w:marLeft w:val="0"/>
          <w:marRight w:val="0"/>
          <w:marTop w:val="0"/>
          <w:marBottom w:val="0"/>
          <w:divBdr>
            <w:top w:val="none" w:sz="0" w:space="0" w:color="auto"/>
            <w:left w:val="none" w:sz="0" w:space="0" w:color="auto"/>
            <w:bottom w:val="none" w:sz="0" w:space="0" w:color="auto"/>
            <w:right w:val="none" w:sz="0" w:space="0" w:color="auto"/>
          </w:divBdr>
        </w:div>
        <w:div w:id="705915045">
          <w:marLeft w:val="0"/>
          <w:marRight w:val="0"/>
          <w:marTop w:val="0"/>
          <w:marBottom w:val="0"/>
          <w:divBdr>
            <w:top w:val="none" w:sz="0" w:space="0" w:color="auto"/>
            <w:left w:val="none" w:sz="0" w:space="0" w:color="auto"/>
            <w:bottom w:val="none" w:sz="0" w:space="0" w:color="auto"/>
            <w:right w:val="none" w:sz="0" w:space="0" w:color="auto"/>
          </w:divBdr>
        </w:div>
        <w:div w:id="705915046">
          <w:marLeft w:val="0"/>
          <w:marRight w:val="0"/>
          <w:marTop w:val="0"/>
          <w:marBottom w:val="0"/>
          <w:divBdr>
            <w:top w:val="none" w:sz="0" w:space="0" w:color="auto"/>
            <w:left w:val="none" w:sz="0" w:space="0" w:color="auto"/>
            <w:bottom w:val="none" w:sz="0" w:space="0" w:color="auto"/>
            <w:right w:val="none" w:sz="0" w:space="0" w:color="auto"/>
          </w:divBdr>
        </w:div>
        <w:div w:id="705915047">
          <w:marLeft w:val="0"/>
          <w:marRight w:val="0"/>
          <w:marTop w:val="0"/>
          <w:marBottom w:val="0"/>
          <w:divBdr>
            <w:top w:val="none" w:sz="0" w:space="0" w:color="auto"/>
            <w:left w:val="none" w:sz="0" w:space="0" w:color="auto"/>
            <w:bottom w:val="none" w:sz="0" w:space="0" w:color="auto"/>
            <w:right w:val="none" w:sz="0" w:space="0" w:color="auto"/>
          </w:divBdr>
        </w:div>
        <w:div w:id="705915048">
          <w:marLeft w:val="0"/>
          <w:marRight w:val="0"/>
          <w:marTop w:val="0"/>
          <w:marBottom w:val="0"/>
          <w:divBdr>
            <w:top w:val="none" w:sz="0" w:space="0" w:color="auto"/>
            <w:left w:val="none" w:sz="0" w:space="0" w:color="auto"/>
            <w:bottom w:val="none" w:sz="0" w:space="0" w:color="auto"/>
            <w:right w:val="none" w:sz="0" w:space="0" w:color="auto"/>
          </w:divBdr>
        </w:div>
        <w:div w:id="705915049">
          <w:marLeft w:val="0"/>
          <w:marRight w:val="0"/>
          <w:marTop w:val="0"/>
          <w:marBottom w:val="0"/>
          <w:divBdr>
            <w:top w:val="none" w:sz="0" w:space="0" w:color="auto"/>
            <w:left w:val="none" w:sz="0" w:space="0" w:color="auto"/>
            <w:bottom w:val="none" w:sz="0" w:space="0" w:color="auto"/>
            <w:right w:val="none" w:sz="0" w:space="0" w:color="auto"/>
          </w:divBdr>
        </w:div>
        <w:div w:id="705915050">
          <w:marLeft w:val="0"/>
          <w:marRight w:val="0"/>
          <w:marTop w:val="0"/>
          <w:marBottom w:val="0"/>
          <w:divBdr>
            <w:top w:val="none" w:sz="0" w:space="0" w:color="auto"/>
            <w:left w:val="none" w:sz="0" w:space="0" w:color="auto"/>
            <w:bottom w:val="none" w:sz="0" w:space="0" w:color="auto"/>
            <w:right w:val="none" w:sz="0" w:space="0" w:color="auto"/>
          </w:divBdr>
        </w:div>
        <w:div w:id="705915051">
          <w:marLeft w:val="0"/>
          <w:marRight w:val="0"/>
          <w:marTop w:val="0"/>
          <w:marBottom w:val="0"/>
          <w:divBdr>
            <w:top w:val="none" w:sz="0" w:space="0" w:color="auto"/>
            <w:left w:val="none" w:sz="0" w:space="0" w:color="auto"/>
            <w:bottom w:val="none" w:sz="0" w:space="0" w:color="auto"/>
            <w:right w:val="none" w:sz="0" w:space="0" w:color="auto"/>
          </w:divBdr>
        </w:div>
        <w:div w:id="705915052">
          <w:marLeft w:val="0"/>
          <w:marRight w:val="0"/>
          <w:marTop w:val="0"/>
          <w:marBottom w:val="0"/>
          <w:divBdr>
            <w:top w:val="none" w:sz="0" w:space="0" w:color="auto"/>
            <w:left w:val="none" w:sz="0" w:space="0" w:color="auto"/>
            <w:bottom w:val="none" w:sz="0" w:space="0" w:color="auto"/>
            <w:right w:val="none" w:sz="0" w:space="0" w:color="auto"/>
          </w:divBdr>
        </w:div>
        <w:div w:id="705915053">
          <w:marLeft w:val="0"/>
          <w:marRight w:val="0"/>
          <w:marTop w:val="0"/>
          <w:marBottom w:val="0"/>
          <w:divBdr>
            <w:top w:val="none" w:sz="0" w:space="0" w:color="auto"/>
            <w:left w:val="none" w:sz="0" w:space="0" w:color="auto"/>
            <w:bottom w:val="none" w:sz="0" w:space="0" w:color="auto"/>
            <w:right w:val="none" w:sz="0" w:space="0" w:color="auto"/>
          </w:divBdr>
        </w:div>
        <w:div w:id="705915054">
          <w:marLeft w:val="0"/>
          <w:marRight w:val="0"/>
          <w:marTop w:val="0"/>
          <w:marBottom w:val="0"/>
          <w:divBdr>
            <w:top w:val="none" w:sz="0" w:space="0" w:color="auto"/>
            <w:left w:val="none" w:sz="0" w:space="0" w:color="auto"/>
            <w:bottom w:val="none" w:sz="0" w:space="0" w:color="auto"/>
            <w:right w:val="none" w:sz="0" w:space="0" w:color="auto"/>
          </w:divBdr>
        </w:div>
        <w:div w:id="705915055">
          <w:marLeft w:val="0"/>
          <w:marRight w:val="0"/>
          <w:marTop w:val="0"/>
          <w:marBottom w:val="0"/>
          <w:divBdr>
            <w:top w:val="none" w:sz="0" w:space="0" w:color="auto"/>
            <w:left w:val="none" w:sz="0" w:space="0" w:color="auto"/>
            <w:bottom w:val="none" w:sz="0" w:space="0" w:color="auto"/>
            <w:right w:val="none" w:sz="0" w:space="0" w:color="auto"/>
          </w:divBdr>
        </w:div>
        <w:div w:id="705915056">
          <w:marLeft w:val="0"/>
          <w:marRight w:val="0"/>
          <w:marTop w:val="0"/>
          <w:marBottom w:val="0"/>
          <w:divBdr>
            <w:top w:val="none" w:sz="0" w:space="0" w:color="auto"/>
            <w:left w:val="none" w:sz="0" w:space="0" w:color="auto"/>
            <w:bottom w:val="none" w:sz="0" w:space="0" w:color="auto"/>
            <w:right w:val="none" w:sz="0" w:space="0" w:color="auto"/>
          </w:divBdr>
        </w:div>
        <w:div w:id="705915057">
          <w:marLeft w:val="0"/>
          <w:marRight w:val="0"/>
          <w:marTop w:val="0"/>
          <w:marBottom w:val="0"/>
          <w:divBdr>
            <w:top w:val="none" w:sz="0" w:space="0" w:color="auto"/>
            <w:left w:val="none" w:sz="0" w:space="0" w:color="auto"/>
            <w:bottom w:val="none" w:sz="0" w:space="0" w:color="auto"/>
            <w:right w:val="none" w:sz="0" w:space="0" w:color="auto"/>
          </w:divBdr>
        </w:div>
        <w:div w:id="705915058">
          <w:marLeft w:val="0"/>
          <w:marRight w:val="0"/>
          <w:marTop w:val="0"/>
          <w:marBottom w:val="0"/>
          <w:divBdr>
            <w:top w:val="none" w:sz="0" w:space="0" w:color="auto"/>
            <w:left w:val="none" w:sz="0" w:space="0" w:color="auto"/>
            <w:bottom w:val="none" w:sz="0" w:space="0" w:color="auto"/>
            <w:right w:val="none" w:sz="0" w:space="0" w:color="auto"/>
          </w:divBdr>
        </w:div>
        <w:div w:id="705915059">
          <w:marLeft w:val="0"/>
          <w:marRight w:val="0"/>
          <w:marTop w:val="0"/>
          <w:marBottom w:val="0"/>
          <w:divBdr>
            <w:top w:val="none" w:sz="0" w:space="0" w:color="auto"/>
            <w:left w:val="none" w:sz="0" w:space="0" w:color="auto"/>
            <w:bottom w:val="none" w:sz="0" w:space="0" w:color="auto"/>
            <w:right w:val="none" w:sz="0" w:space="0" w:color="auto"/>
          </w:divBdr>
        </w:div>
        <w:div w:id="705915060">
          <w:marLeft w:val="0"/>
          <w:marRight w:val="0"/>
          <w:marTop w:val="0"/>
          <w:marBottom w:val="0"/>
          <w:divBdr>
            <w:top w:val="none" w:sz="0" w:space="0" w:color="auto"/>
            <w:left w:val="none" w:sz="0" w:space="0" w:color="auto"/>
            <w:bottom w:val="none" w:sz="0" w:space="0" w:color="auto"/>
            <w:right w:val="none" w:sz="0" w:space="0" w:color="auto"/>
          </w:divBdr>
        </w:div>
        <w:div w:id="705915061">
          <w:marLeft w:val="0"/>
          <w:marRight w:val="0"/>
          <w:marTop w:val="0"/>
          <w:marBottom w:val="0"/>
          <w:divBdr>
            <w:top w:val="none" w:sz="0" w:space="0" w:color="auto"/>
            <w:left w:val="none" w:sz="0" w:space="0" w:color="auto"/>
            <w:bottom w:val="none" w:sz="0" w:space="0" w:color="auto"/>
            <w:right w:val="none" w:sz="0" w:space="0" w:color="auto"/>
          </w:divBdr>
        </w:div>
        <w:div w:id="705915062">
          <w:marLeft w:val="0"/>
          <w:marRight w:val="0"/>
          <w:marTop w:val="0"/>
          <w:marBottom w:val="0"/>
          <w:divBdr>
            <w:top w:val="none" w:sz="0" w:space="0" w:color="auto"/>
            <w:left w:val="none" w:sz="0" w:space="0" w:color="auto"/>
            <w:bottom w:val="none" w:sz="0" w:space="0" w:color="auto"/>
            <w:right w:val="none" w:sz="0" w:space="0" w:color="auto"/>
          </w:divBdr>
        </w:div>
        <w:div w:id="705915063">
          <w:marLeft w:val="0"/>
          <w:marRight w:val="0"/>
          <w:marTop w:val="0"/>
          <w:marBottom w:val="0"/>
          <w:divBdr>
            <w:top w:val="none" w:sz="0" w:space="0" w:color="auto"/>
            <w:left w:val="none" w:sz="0" w:space="0" w:color="auto"/>
            <w:bottom w:val="none" w:sz="0" w:space="0" w:color="auto"/>
            <w:right w:val="none" w:sz="0" w:space="0" w:color="auto"/>
          </w:divBdr>
        </w:div>
        <w:div w:id="705915064">
          <w:marLeft w:val="0"/>
          <w:marRight w:val="0"/>
          <w:marTop w:val="0"/>
          <w:marBottom w:val="0"/>
          <w:divBdr>
            <w:top w:val="none" w:sz="0" w:space="0" w:color="auto"/>
            <w:left w:val="none" w:sz="0" w:space="0" w:color="auto"/>
            <w:bottom w:val="none" w:sz="0" w:space="0" w:color="auto"/>
            <w:right w:val="none" w:sz="0" w:space="0" w:color="auto"/>
          </w:divBdr>
        </w:div>
        <w:div w:id="705915065">
          <w:marLeft w:val="0"/>
          <w:marRight w:val="0"/>
          <w:marTop w:val="0"/>
          <w:marBottom w:val="0"/>
          <w:divBdr>
            <w:top w:val="none" w:sz="0" w:space="0" w:color="auto"/>
            <w:left w:val="none" w:sz="0" w:space="0" w:color="auto"/>
            <w:bottom w:val="none" w:sz="0" w:space="0" w:color="auto"/>
            <w:right w:val="none" w:sz="0" w:space="0" w:color="auto"/>
          </w:divBdr>
        </w:div>
        <w:div w:id="705915066">
          <w:marLeft w:val="0"/>
          <w:marRight w:val="0"/>
          <w:marTop w:val="0"/>
          <w:marBottom w:val="0"/>
          <w:divBdr>
            <w:top w:val="none" w:sz="0" w:space="0" w:color="auto"/>
            <w:left w:val="none" w:sz="0" w:space="0" w:color="auto"/>
            <w:bottom w:val="none" w:sz="0" w:space="0" w:color="auto"/>
            <w:right w:val="none" w:sz="0" w:space="0" w:color="auto"/>
          </w:divBdr>
        </w:div>
        <w:div w:id="705915067">
          <w:marLeft w:val="0"/>
          <w:marRight w:val="0"/>
          <w:marTop w:val="0"/>
          <w:marBottom w:val="0"/>
          <w:divBdr>
            <w:top w:val="none" w:sz="0" w:space="0" w:color="auto"/>
            <w:left w:val="none" w:sz="0" w:space="0" w:color="auto"/>
            <w:bottom w:val="none" w:sz="0" w:space="0" w:color="auto"/>
            <w:right w:val="none" w:sz="0" w:space="0" w:color="auto"/>
          </w:divBdr>
        </w:div>
      </w:divsChild>
    </w:div>
    <w:div w:id="705915005">
      <w:marLeft w:val="0"/>
      <w:marRight w:val="0"/>
      <w:marTop w:val="0"/>
      <w:marBottom w:val="0"/>
      <w:divBdr>
        <w:top w:val="none" w:sz="0" w:space="0" w:color="auto"/>
        <w:left w:val="none" w:sz="0" w:space="0" w:color="auto"/>
        <w:bottom w:val="none" w:sz="0" w:space="0" w:color="auto"/>
        <w:right w:val="none" w:sz="0" w:space="0" w:color="auto"/>
      </w:divBdr>
      <w:divsChild>
        <w:div w:id="705914935">
          <w:marLeft w:val="0"/>
          <w:marRight w:val="0"/>
          <w:marTop w:val="0"/>
          <w:marBottom w:val="0"/>
          <w:divBdr>
            <w:top w:val="none" w:sz="0" w:space="0" w:color="auto"/>
            <w:left w:val="none" w:sz="0" w:space="0" w:color="auto"/>
            <w:bottom w:val="none" w:sz="0" w:space="0" w:color="auto"/>
            <w:right w:val="none" w:sz="0" w:space="0" w:color="auto"/>
          </w:divBdr>
          <w:divsChild>
            <w:div w:id="70591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12708</Words>
  <Characters>72442</Characters>
  <Application>Microsoft Office Word</Application>
  <DocSecurity>0</DocSecurity>
  <Lines>603</Lines>
  <Paragraphs>169</Paragraphs>
  <ScaleCrop>false</ScaleCrop>
  <Company>Masuda</Company>
  <LinksUpToDate>false</LinksUpToDate>
  <CharactersWithSpaces>84981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Masuda Masatsugu</dc:creator>
  <cp:lastModifiedBy>LS Ma</cp:lastModifiedBy>
  <cp:revision>2</cp:revision>
  <dcterms:created xsi:type="dcterms:W3CDTF">2013-07-23T01:42:00Z</dcterms:created>
  <dcterms:modified xsi:type="dcterms:W3CDTF">2013-07-23T01:42:00Z</dcterms:modified>
</cp:coreProperties>
</file>