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39" w:rsidRPr="00E52223" w:rsidRDefault="00BC4C39" w:rsidP="00F87B0F">
      <w:pPr>
        <w:adjustRightInd w:val="0"/>
        <w:snapToGrid w:val="0"/>
        <w:spacing w:line="360" w:lineRule="auto"/>
        <w:jc w:val="both"/>
        <w:rPr>
          <w:rFonts w:ascii="Book Antiqua" w:eastAsia="Times New Roman" w:hAnsi="Book Antiqua" w:cs="SimSun"/>
          <w:b/>
          <w:i/>
          <w:color w:val="000000"/>
          <w:sz w:val="24"/>
          <w:szCs w:val="24"/>
          <w:lang w:val="en-US"/>
        </w:rPr>
      </w:pPr>
      <w:bookmarkStart w:id="0" w:name="OLE_LINK543"/>
      <w:bookmarkStart w:id="1" w:name="OLE_LINK544"/>
      <w:bookmarkStart w:id="2" w:name="OLE_LINK545"/>
      <w:bookmarkStart w:id="3" w:name="OLE_LINK546"/>
      <w:bookmarkStart w:id="4" w:name="OLE_LINK592"/>
      <w:r w:rsidRPr="00E52223">
        <w:rPr>
          <w:rFonts w:ascii="Book Antiqua" w:eastAsia="Times New Roman" w:hAnsi="Book Antiqua" w:cs="SimSun"/>
          <w:b/>
          <w:color w:val="000000"/>
          <w:sz w:val="24"/>
          <w:szCs w:val="24"/>
          <w:lang w:val="en-US"/>
        </w:rPr>
        <w:t xml:space="preserve">Name of journal: </w:t>
      </w:r>
      <w:bookmarkStart w:id="5" w:name="OLE_LINK718"/>
      <w:bookmarkStart w:id="6" w:name="OLE_LINK719"/>
      <w:bookmarkStart w:id="7" w:name="OLE_LINK645"/>
      <w:bookmarkStart w:id="8" w:name="OLE_LINK661"/>
      <w:bookmarkStart w:id="9" w:name="OLE_LINK1068"/>
      <w:r w:rsidRPr="00E52223">
        <w:rPr>
          <w:rFonts w:ascii="Book Antiqua" w:eastAsia="Times New Roman" w:hAnsi="Book Antiqua" w:cs="SimSun"/>
          <w:b/>
          <w:i/>
          <w:color w:val="000000"/>
          <w:sz w:val="24"/>
          <w:szCs w:val="24"/>
          <w:lang w:val="en-US"/>
        </w:rPr>
        <w:t xml:space="preserve">World Journal of </w:t>
      </w:r>
      <w:bookmarkStart w:id="10" w:name="OLE_LINK1222"/>
      <w:bookmarkStart w:id="11" w:name="OLE_LINK1223"/>
      <w:r w:rsidRPr="00E52223">
        <w:rPr>
          <w:rFonts w:ascii="Book Antiqua" w:eastAsia="Times New Roman" w:hAnsi="Book Antiqua" w:cs="SimSun"/>
          <w:b/>
          <w:i/>
          <w:color w:val="000000"/>
          <w:sz w:val="24"/>
          <w:szCs w:val="24"/>
          <w:lang w:val="en-US"/>
        </w:rPr>
        <w:t>Gastroenterology</w:t>
      </w:r>
      <w:bookmarkEnd w:id="5"/>
      <w:bookmarkEnd w:id="6"/>
      <w:bookmarkEnd w:id="7"/>
      <w:bookmarkEnd w:id="8"/>
      <w:bookmarkEnd w:id="9"/>
      <w:bookmarkEnd w:id="10"/>
      <w:bookmarkEnd w:id="11"/>
    </w:p>
    <w:p w:rsidR="00BC4C39" w:rsidRPr="00E52223" w:rsidRDefault="00BC4C39" w:rsidP="00F87B0F">
      <w:pPr>
        <w:adjustRightInd w:val="0"/>
        <w:snapToGrid w:val="0"/>
        <w:spacing w:line="360" w:lineRule="auto"/>
        <w:jc w:val="both"/>
        <w:rPr>
          <w:rFonts w:ascii="Book Antiqua" w:hAnsi="Book Antiqua" w:cs="Arial"/>
          <w:color w:val="000000"/>
          <w:sz w:val="24"/>
          <w:szCs w:val="24"/>
          <w:lang w:val="en-US" w:eastAsia="zh-CN"/>
        </w:rPr>
      </w:pPr>
      <w:r w:rsidRPr="00E52223">
        <w:rPr>
          <w:rFonts w:ascii="Book Antiqua" w:hAnsi="Book Antiqua" w:cs="Arial"/>
          <w:b/>
          <w:color w:val="000000"/>
          <w:sz w:val="24"/>
          <w:szCs w:val="24"/>
          <w:lang w:val="en-US"/>
        </w:rPr>
        <w:t xml:space="preserve">Manuscript NO: </w:t>
      </w:r>
      <w:r w:rsidRPr="00E52223">
        <w:rPr>
          <w:rFonts w:ascii="Book Antiqua" w:hAnsi="Book Antiqua" w:cs="Arial"/>
          <w:b/>
          <w:color w:val="000000"/>
          <w:sz w:val="24"/>
          <w:szCs w:val="24"/>
          <w:lang w:val="en-US" w:eastAsia="zh-CN"/>
        </w:rPr>
        <w:t>33044</w:t>
      </w:r>
    </w:p>
    <w:p w:rsidR="00BC4C39" w:rsidRPr="00E52223" w:rsidRDefault="00BC4C39" w:rsidP="00F87B0F">
      <w:pPr>
        <w:spacing w:line="360" w:lineRule="auto"/>
        <w:jc w:val="both"/>
        <w:rPr>
          <w:rFonts w:ascii="Book Antiqua" w:hAnsi="Book Antiqua" w:cs="Tahoma"/>
          <w:b/>
          <w:color w:val="000000"/>
          <w:sz w:val="24"/>
          <w:szCs w:val="24"/>
          <w:lang w:val="fr-FR"/>
        </w:rPr>
      </w:pPr>
      <w:r w:rsidRPr="00E52223">
        <w:rPr>
          <w:rFonts w:ascii="Book Antiqua" w:hAnsi="Book Antiqua"/>
          <w:b/>
          <w:sz w:val="24"/>
          <w:szCs w:val="24"/>
          <w:lang w:val="en-US"/>
        </w:rPr>
        <w:t xml:space="preserve">Manuscript Type: </w:t>
      </w:r>
      <w:r w:rsidR="00CB4FED" w:rsidRPr="00E52223">
        <w:rPr>
          <w:rFonts w:ascii="Book Antiqua" w:eastAsia="YouYuan" w:hAnsi="Book Antiqua"/>
          <w:b/>
          <w:color w:val="000000"/>
          <w:sz w:val="24"/>
          <w:szCs w:val="24"/>
          <w:lang w:val="fr-FR"/>
        </w:rPr>
        <w:t>EDITORIAL</w:t>
      </w:r>
    </w:p>
    <w:bookmarkEnd w:id="0"/>
    <w:bookmarkEnd w:id="1"/>
    <w:bookmarkEnd w:id="2"/>
    <w:bookmarkEnd w:id="3"/>
    <w:bookmarkEnd w:id="4"/>
    <w:p w:rsidR="00C774E8" w:rsidRPr="00E52223" w:rsidRDefault="00CB4FED" w:rsidP="00F87B0F">
      <w:pPr>
        <w:jc w:val="both"/>
        <w:rPr>
          <w:rFonts w:ascii="Book Antiqua" w:hAnsi="Book Antiqua"/>
          <w:b/>
          <w:sz w:val="24"/>
          <w:szCs w:val="24"/>
          <w:lang w:val="en-US" w:eastAsia="zh-CN"/>
        </w:rPr>
      </w:pPr>
      <w:r w:rsidRPr="00E52223">
        <w:rPr>
          <w:rFonts w:ascii="Book Antiqua" w:hAnsi="Book Antiqua"/>
          <w:b/>
          <w:sz w:val="24"/>
          <w:szCs w:val="24"/>
          <w:lang w:val="fr-FR" w:eastAsia="zh-CN"/>
        </w:rPr>
        <w:t xml:space="preserve"> </w:t>
      </w:r>
      <w:r w:rsidRPr="00E52223">
        <w:rPr>
          <w:rFonts w:ascii="Book Antiqua" w:hAnsi="Book Antiqua" w:cs="Arial"/>
          <w:b/>
          <w:color w:val="000000"/>
          <w:sz w:val="24"/>
          <w:szCs w:val="24"/>
          <w:lang w:val="en-US" w:eastAsia="zh-CN"/>
        </w:rPr>
        <w:t xml:space="preserve"> </w:t>
      </w:r>
    </w:p>
    <w:p w:rsidR="00C774E8" w:rsidRPr="00E52223" w:rsidRDefault="00C774E8" w:rsidP="00F87B0F">
      <w:pPr>
        <w:spacing w:line="360" w:lineRule="auto"/>
        <w:jc w:val="both"/>
        <w:rPr>
          <w:rFonts w:ascii="Book Antiqua" w:hAnsi="Book Antiqua" w:cs="Estrangelo Edessa"/>
          <w:b/>
          <w:sz w:val="24"/>
          <w:szCs w:val="24"/>
          <w:lang w:val="en-GB"/>
        </w:rPr>
      </w:pPr>
      <w:r w:rsidRPr="00E52223">
        <w:rPr>
          <w:rFonts w:ascii="Book Antiqua" w:hAnsi="Book Antiqua" w:cs="Estrangelo Edessa"/>
          <w:b/>
          <w:sz w:val="24"/>
          <w:szCs w:val="24"/>
          <w:lang w:val="en-GB"/>
        </w:rPr>
        <w:t>Endoscopic</w:t>
      </w:r>
      <w:r w:rsidR="00CB4FED" w:rsidRPr="00E52223">
        <w:rPr>
          <w:rFonts w:ascii="Book Antiqua" w:hAnsi="Book Antiqua" w:cs="Estrangelo Edessa"/>
          <w:b/>
          <w:sz w:val="24"/>
          <w:szCs w:val="24"/>
          <w:lang w:val="en-GB"/>
        </w:rPr>
        <w:t xml:space="preserve"> shielding technique, a new method in thera</w:t>
      </w:r>
      <w:r w:rsidRPr="00E52223">
        <w:rPr>
          <w:rFonts w:ascii="Book Antiqua" w:hAnsi="Book Antiqua" w:cs="Estrangelo Edessa"/>
          <w:b/>
          <w:sz w:val="24"/>
          <w:szCs w:val="24"/>
          <w:lang w:val="en-GB"/>
        </w:rPr>
        <w:t>peutic endoscopy</w:t>
      </w:r>
    </w:p>
    <w:p w:rsidR="00C774E8" w:rsidRPr="00E52223" w:rsidRDefault="00C774E8" w:rsidP="00F87B0F">
      <w:pPr>
        <w:autoSpaceDE w:val="0"/>
        <w:autoSpaceDN w:val="0"/>
        <w:adjustRightInd w:val="0"/>
        <w:spacing w:line="360" w:lineRule="auto"/>
        <w:jc w:val="both"/>
        <w:rPr>
          <w:rFonts w:ascii="Book Antiqua" w:hAnsi="Book Antiqua"/>
          <w:color w:val="000000"/>
          <w:sz w:val="24"/>
          <w:szCs w:val="24"/>
          <w:lang w:val="en-GB"/>
        </w:rPr>
      </w:pPr>
    </w:p>
    <w:p w:rsidR="00C774E8" w:rsidRPr="00E52223" w:rsidRDefault="00C774E8" w:rsidP="00F87B0F">
      <w:pPr>
        <w:autoSpaceDE w:val="0"/>
        <w:autoSpaceDN w:val="0"/>
        <w:adjustRightInd w:val="0"/>
        <w:spacing w:line="360" w:lineRule="auto"/>
        <w:jc w:val="both"/>
        <w:rPr>
          <w:rFonts w:ascii="Book Antiqua" w:hAnsi="Book Antiqua" w:cs="Tahoma"/>
          <w:sz w:val="24"/>
          <w:szCs w:val="24"/>
          <w:lang w:val="fr-FR"/>
        </w:rPr>
      </w:pPr>
      <w:r w:rsidRPr="00E52223">
        <w:rPr>
          <w:rFonts w:ascii="Book Antiqua" w:hAnsi="Book Antiqua" w:cs="Tahoma"/>
          <w:sz w:val="24"/>
          <w:szCs w:val="24"/>
          <w:lang w:val="fr-FR"/>
        </w:rPr>
        <w:t>Bon I</w:t>
      </w:r>
      <w:r w:rsidR="00CB4FED" w:rsidRPr="00E52223">
        <w:rPr>
          <w:rFonts w:ascii="Book Antiqua" w:hAnsi="Book Antiqua" w:cs="Tahoma"/>
          <w:i/>
          <w:sz w:val="24"/>
          <w:szCs w:val="24"/>
          <w:lang w:val="fr-FR" w:eastAsia="zh-CN"/>
        </w:rPr>
        <w:t xml:space="preserve"> et al</w:t>
      </w:r>
      <w:r w:rsidRPr="00E52223">
        <w:rPr>
          <w:rFonts w:ascii="Book Antiqua" w:hAnsi="Book Antiqua" w:cs="Tahoma"/>
          <w:sz w:val="24"/>
          <w:szCs w:val="24"/>
          <w:lang w:val="fr-FR"/>
        </w:rPr>
        <w:t>. Endoscopic</w:t>
      </w:r>
      <w:r w:rsidRPr="00E52223">
        <w:rPr>
          <w:rFonts w:ascii="Book Antiqua" w:hAnsi="Book Antiqua" w:cs="Tahoma"/>
          <w:sz w:val="24"/>
          <w:szCs w:val="24"/>
          <w:lang w:val="es-ES"/>
        </w:rPr>
        <w:t xml:space="preserve"> shielding</w:t>
      </w:r>
      <w:r w:rsidRPr="00E52223">
        <w:rPr>
          <w:rFonts w:ascii="Book Antiqua" w:hAnsi="Book Antiqua" w:cs="Tahoma"/>
          <w:sz w:val="24"/>
          <w:szCs w:val="24"/>
          <w:lang w:val="fr-FR"/>
        </w:rPr>
        <w:t xml:space="preserve"> technique</w:t>
      </w:r>
    </w:p>
    <w:p w:rsidR="00C774E8" w:rsidRPr="00E52223" w:rsidRDefault="00C774E8" w:rsidP="00F87B0F">
      <w:pPr>
        <w:spacing w:line="360" w:lineRule="auto"/>
        <w:jc w:val="both"/>
        <w:rPr>
          <w:rFonts w:ascii="Book Antiqua" w:hAnsi="Book Antiqua" w:cs="SimSun"/>
          <w:bCs/>
          <w:color w:val="000000"/>
          <w:sz w:val="24"/>
          <w:szCs w:val="24"/>
          <w:lang w:val="fr-FR"/>
        </w:rPr>
      </w:pPr>
    </w:p>
    <w:p w:rsidR="00C774E8" w:rsidRPr="00E52223" w:rsidRDefault="00C774E8" w:rsidP="00F87B0F">
      <w:pPr>
        <w:spacing w:line="360" w:lineRule="auto"/>
        <w:jc w:val="both"/>
        <w:rPr>
          <w:rFonts w:ascii="Book Antiqua" w:hAnsi="Book Antiqua"/>
          <w:sz w:val="24"/>
          <w:szCs w:val="24"/>
          <w:lang w:val="fr-FR" w:eastAsia="zh-CN"/>
        </w:rPr>
      </w:pPr>
      <w:r w:rsidRPr="00E52223">
        <w:rPr>
          <w:rFonts w:ascii="Book Antiqua" w:hAnsi="Book Antiqua"/>
          <w:sz w:val="24"/>
          <w:szCs w:val="24"/>
          <w:lang w:val="fr-FR"/>
        </w:rPr>
        <w:t>Ignacio Bon, Ramon</w:t>
      </w:r>
      <w:r w:rsidRPr="00E52223">
        <w:rPr>
          <w:rFonts w:ascii="Book Antiqua" w:hAnsi="Book Antiqua"/>
          <w:sz w:val="24"/>
          <w:szCs w:val="24"/>
          <w:lang w:val="es-ES"/>
        </w:rPr>
        <w:t xml:space="preserve"> Bartolí</w:t>
      </w:r>
      <w:r w:rsidRPr="00E52223">
        <w:rPr>
          <w:rFonts w:ascii="Book Antiqua" w:hAnsi="Book Antiqua"/>
          <w:sz w:val="24"/>
          <w:szCs w:val="24"/>
          <w:lang w:val="fr-FR"/>
        </w:rPr>
        <w:t>, Vicente Lorenzo-Zúñiga</w:t>
      </w:r>
    </w:p>
    <w:p w:rsidR="00C774E8" w:rsidRPr="00E52223" w:rsidRDefault="00C774E8" w:rsidP="00F87B0F">
      <w:pPr>
        <w:spacing w:line="360" w:lineRule="auto"/>
        <w:jc w:val="both"/>
        <w:rPr>
          <w:rFonts w:ascii="Book Antiqua" w:hAnsi="Book Antiqua"/>
          <w:sz w:val="24"/>
          <w:szCs w:val="24"/>
          <w:lang w:val="fr-FR" w:eastAsia="zh-CN"/>
        </w:rPr>
      </w:pPr>
    </w:p>
    <w:p w:rsidR="00C774E8" w:rsidRPr="00E52223" w:rsidRDefault="00C774E8" w:rsidP="00F87B0F">
      <w:pPr>
        <w:spacing w:line="360" w:lineRule="auto"/>
        <w:jc w:val="both"/>
        <w:rPr>
          <w:rFonts w:ascii="Book Antiqua" w:hAnsi="Book Antiqua"/>
          <w:sz w:val="24"/>
          <w:szCs w:val="24"/>
          <w:vertAlign w:val="superscript"/>
          <w:lang w:eastAsia="zh-CN"/>
        </w:rPr>
      </w:pPr>
      <w:r w:rsidRPr="00E52223">
        <w:rPr>
          <w:rFonts w:ascii="Book Antiqua" w:hAnsi="Book Antiqua"/>
          <w:b/>
          <w:sz w:val="24"/>
          <w:szCs w:val="24"/>
        </w:rPr>
        <w:t>Ignacio Bon</w:t>
      </w:r>
      <w:r w:rsidRPr="00E52223">
        <w:rPr>
          <w:rFonts w:ascii="Book Antiqua" w:hAnsi="Book Antiqua"/>
          <w:sz w:val="24"/>
          <w:szCs w:val="24"/>
        </w:rPr>
        <w:t xml:space="preserve">, </w:t>
      </w:r>
      <w:r w:rsidR="00CB4FED" w:rsidRPr="00E52223">
        <w:rPr>
          <w:rFonts w:ascii="Book Antiqua" w:hAnsi="Book Antiqua"/>
          <w:b/>
          <w:sz w:val="24"/>
          <w:szCs w:val="24"/>
          <w:lang w:val="fr-FR"/>
        </w:rPr>
        <w:t>Ramon</w:t>
      </w:r>
      <w:r w:rsidR="00CB4FED" w:rsidRPr="00E52223">
        <w:rPr>
          <w:rFonts w:ascii="Book Antiqua" w:hAnsi="Book Antiqua"/>
          <w:b/>
          <w:sz w:val="24"/>
          <w:szCs w:val="24"/>
          <w:lang w:val="es-ES"/>
        </w:rPr>
        <w:t xml:space="preserve"> Bartolí</w:t>
      </w:r>
      <w:r w:rsidR="00CB4FED" w:rsidRPr="00E52223">
        <w:rPr>
          <w:rFonts w:ascii="Book Antiqua" w:hAnsi="Book Antiqua"/>
          <w:b/>
          <w:sz w:val="24"/>
          <w:szCs w:val="24"/>
          <w:lang w:val="fr-FR"/>
        </w:rPr>
        <w:t>, Vicente Lorenzo-Zúñiga</w:t>
      </w:r>
      <w:r w:rsidR="00A02C3B">
        <w:rPr>
          <w:rFonts w:ascii="Book Antiqua" w:hAnsi="Book Antiqua" w:hint="eastAsia"/>
          <w:b/>
          <w:sz w:val="24"/>
          <w:szCs w:val="24"/>
          <w:lang w:val="fr-FR" w:eastAsia="zh-CN"/>
        </w:rPr>
        <w:t>,</w:t>
      </w:r>
      <w:r w:rsidR="00CB4FED" w:rsidRPr="00E52223">
        <w:rPr>
          <w:rFonts w:ascii="Book Antiqua" w:hAnsi="Book Antiqua"/>
          <w:b/>
          <w:sz w:val="24"/>
          <w:szCs w:val="24"/>
          <w:lang w:val="fr-FR" w:eastAsia="zh-CN"/>
        </w:rPr>
        <w:t xml:space="preserve"> </w:t>
      </w:r>
      <w:bookmarkStart w:id="12" w:name="OLE_LINK226"/>
      <w:bookmarkStart w:id="13" w:name="OLE_LINK227"/>
      <w:r w:rsidRPr="00E52223">
        <w:rPr>
          <w:rFonts w:ascii="Book Antiqua" w:hAnsi="Book Antiqua"/>
          <w:sz w:val="24"/>
          <w:szCs w:val="24"/>
        </w:rPr>
        <w:t>Institut Investigació en Ciències de la Salut Germans Trias i Pujol</w:t>
      </w:r>
      <w:bookmarkEnd w:id="12"/>
      <w:bookmarkEnd w:id="13"/>
      <w:r w:rsidRPr="00E52223">
        <w:rPr>
          <w:rFonts w:ascii="Book Antiqua" w:hAnsi="Book Antiqua"/>
          <w:sz w:val="24"/>
          <w:szCs w:val="24"/>
        </w:rPr>
        <w:t xml:space="preserve">, Badalona, </w:t>
      </w:r>
      <w:r w:rsidR="00A02C3B" w:rsidRPr="00A02C3B">
        <w:rPr>
          <w:rFonts w:ascii="Book Antiqua" w:hAnsi="Book Antiqua"/>
          <w:sz w:val="24"/>
          <w:szCs w:val="24"/>
          <w:lang w:val="en-US"/>
        </w:rPr>
        <w:t xml:space="preserve">08916 </w:t>
      </w:r>
      <w:r w:rsidR="00A02C3B" w:rsidRPr="00E52223">
        <w:rPr>
          <w:rFonts w:ascii="Book Antiqua" w:hAnsi="Book Antiqua"/>
          <w:sz w:val="24"/>
          <w:szCs w:val="24"/>
          <w:lang w:val="en-US"/>
        </w:rPr>
        <w:t>Badalona</w:t>
      </w:r>
      <w:r w:rsidR="00A02C3B">
        <w:rPr>
          <w:rFonts w:ascii="Book Antiqua" w:hAnsi="Book Antiqua" w:hint="eastAsia"/>
          <w:sz w:val="24"/>
          <w:szCs w:val="24"/>
          <w:lang w:val="en-US" w:eastAsia="zh-CN"/>
        </w:rPr>
        <w:t xml:space="preserve">, </w:t>
      </w:r>
      <w:r w:rsidRPr="00E52223">
        <w:rPr>
          <w:rFonts w:ascii="Book Antiqua" w:hAnsi="Book Antiqua"/>
          <w:sz w:val="24"/>
          <w:szCs w:val="24"/>
        </w:rPr>
        <w:t xml:space="preserve">Spain </w:t>
      </w:r>
    </w:p>
    <w:p w:rsidR="00CB4FED" w:rsidRPr="00E52223" w:rsidRDefault="00CB4FED" w:rsidP="00F87B0F">
      <w:pPr>
        <w:spacing w:line="360" w:lineRule="auto"/>
        <w:jc w:val="both"/>
        <w:rPr>
          <w:rFonts w:ascii="Book Antiqua" w:hAnsi="Book Antiqua"/>
          <w:sz w:val="24"/>
          <w:szCs w:val="24"/>
          <w:lang w:eastAsia="zh-CN"/>
        </w:rPr>
      </w:pPr>
    </w:p>
    <w:p w:rsidR="00CB4FED" w:rsidRPr="00E52223" w:rsidRDefault="00C774E8" w:rsidP="00F87B0F">
      <w:pPr>
        <w:spacing w:line="360" w:lineRule="auto"/>
        <w:jc w:val="both"/>
        <w:rPr>
          <w:rFonts w:ascii="Book Antiqua" w:hAnsi="Book Antiqua"/>
          <w:sz w:val="24"/>
          <w:szCs w:val="24"/>
          <w:lang w:eastAsia="zh-CN"/>
        </w:rPr>
      </w:pPr>
      <w:r w:rsidRPr="00E52223">
        <w:rPr>
          <w:rFonts w:ascii="Book Antiqua" w:hAnsi="Book Antiqua"/>
          <w:b/>
          <w:sz w:val="24"/>
          <w:szCs w:val="24"/>
        </w:rPr>
        <w:t>Ramon Bartolí</w:t>
      </w:r>
      <w:r w:rsidRPr="00E52223">
        <w:rPr>
          <w:rFonts w:ascii="Book Antiqua" w:hAnsi="Book Antiqua"/>
          <w:sz w:val="24"/>
          <w:szCs w:val="24"/>
        </w:rPr>
        <w:t xml:space="preserve">, </w:t>
      </w:r>
      <w:r w:rsidR="00CB4FED" w:rsidRPr="00E52223">
        <w:rPr>
          <w:rFonts w:ascii="Book Antiqua" w:hAnsi="Book Antiqua"/>
          <w:b/>
          <w:sz w:val="24"/>
          <w:szCs w:val="24"/>
          <w:lang w:val="fr-FR"/>
        </w:rPr>
        <w:t>Vicente Lorenzo-Zúñiga</w:t>
      </w:r>
      <w:r w:rsidR="00CB4FED" w:rsidRPr="00E52223">
        <w:rPr>
          <w:rFonts w:ascii="Book Antiqua" w:hAnsi="Book Antiqua"/>
          <w:b/>
          <w:sz w:val="24"/>
          <w:szCs w:val="24"/>
          <w:lang w:val="fr-FR" w:eastAsia="zh-CN"/>
        </w:rPr>
        <w:t>,</w:t>
      </w:r>
      <w:r w:rsidR="00CB4FED" w:rsidRPr="00E52223">
        <w:rPr>
          <w:rFonts w:ascii="Book Antiqua" w:hAnsi="Book Antiqua"/>
          <w:sz w:val="24"/>
          <w:szCs w:val="24"/>
        </w:rPr>
        <w:t xml:space="preserve"> </w:t>
      </w:r>
      <w:bookmarkStart w:id="14" w:name="OLE_LINK221"/>
      <w:bookmarkStart w:id="15" w:name="OLE_LINK222"/>
      <w:r w:rsidR="00CB4FED" w:rsidRPr="00E52223">
        <w:rPr>
          <w:rFonts w:ascii="Book Antiqua" w:hAnsi="Book Antiqua"/>
          <w:sz w:val="24"/>
          <w:szCs w:val="24"/>
        </w:rPr>
        <w:t>Centro de Investigación Biomédica en Red de Enfermedades Hepáticas y Digestivas</w:t>
      </w:r>
      <w:bookmarkEnd w:id="14"/>
      <w:bookmarkEnd w:id="15"/>
      <w:r w:rsidR="00CB4FED" w:rsidRPr="00E52223">
        <w:rPr>
          <w:rFonts w:ascii="Book Antiqua" w:hAnsi="Book Antiqua"/>
          <w:sz w:val="24"/>
          <w:szCs w:val="24"/>
        </w:rPr>
        <w:t xml:space="preserve">, </w:t>
      </w:r>
      <w:r w:rsidR="00A02C3B" w:rsidRPr="00A02C3B">
        <w:rPr>
          <w:rFonts w:ascii="Book Antiqua" w:hAnsi="Book Antiqua"/>
          <w:sz w:val="24"/>
          <w:szCs w:val="24"/>
          <w:lang w:val="en-US"/>
        </w:rPr>
        <w:t xml:space="preserve">08916 </w:t>
      </w:r>
      <w:r w:rsidR="00A02C3B" w:rsidRPr="00E52223">
        <w:rPr>
          <w:rFonts w:ascii="Book Antiqua" w:hAnsi="Book Antiqua"/>
          <w:sz w:val="24"/>
          <w:szCs w:val="24"/>
          <w:lang w:val="en-US"/>
        </w:rPr>
        <w:t>Badalona</w:t>
      </w:r>
      <w:r w:rsidR="00A02C3B">
        <w:rPr>
          <w:rFonts w:ascii="Book Antiqua" w:hAnsi="Book Antiqua" w:hint="eastAsia"/>
          <w:sz w:val="24"/>
          <w:szCs w:val="24"/>
          <w:lang w:val="en-US" w:eastAsia="zh-CN"/>
        </w:rPr>
        <w:t xml:space="preserve">, </w:t>
      </w:r>
      <w:r w:rsidR="00CB4FED" w:rsidRPr="00E52223">
        <w:rPr>
          <w:rFonts w:ascii="Book Antiqua" w:hAnsi="Book Antiqua"/>
          <w:sz w:val="24"/>
          <w:szCs w:val="24"/>
        </w:rPr>
        <w:t>Spain</w:t>
      </w:r>
    </w:p>
    <w:p w:rsidR="00CB4FED" w:rsidRPr="00E52223" w:rsidRDefault="00CB4FED" w:rsidP="00F87B0F">
      <w:pPr>
        <w:spacing w:line="360" w:lineRule="auto"/>
        <w:jc w:val="both"/>
        <w:rPr>
          <w:rFonts w:ascii="Book Antiqua" w:hAnsi="Book Antiqua"/>
          <w:sz w:val="24"/>
          <w:szCs w:val="24"/>
          <w:lang w:eastAsia="zh-CN"/>
        </w:rPr>
      </w:pPr>
    </w:p>
    <w:p w:rsidR="00C774E8" w:rsidRPr="00E52223" w:rsidRDefault="00CB4FED" w:rsidP="00F87B0F">
      <w:pPr>
        <w:spacing w:line="360" w:lineRule="auto"/>
        <w:jc w:val="both"/>
        <w:rPr>
          <w:rFonts w:ascii="Book Antiqua" w:hAnsi="Book Antiqua"/>
          <w:sz w:val="24"/>
          <w:szCs w:val="24"/>
          <w:lang w:val="en-US"/>
        </w:rPr>
      </w:pPr>
      <w:r w:rsidRPr="00E52223">
        <w:rPr>
          <w:rFonts w:ascii="Book Antiqua" w:hAnsi="Book Antiqua"/>
          <w:b/>
          <w:sz w:val="24"/>
          <w:szCs w:val="24"/>
        </w:rPr>
        <w:t xml:space="preserve">Vicente Lorenzo-Zúñiga, </w:t>
      </w:r>
      <w:r w:rsidR="00C774E8" w:rsidRPr="00E52223">
        <w:rPr>
          <w:rFonts w:ascii="Book Antiqua" w:hAnsi="Book Antiqua"/>
          <w:sz w:val="24"/>
          <w:szCs w:val="24"/>
          <w:lang w:val="en-US"/>
        </w:rPr>
        <w:t xml:space="preserve">Endoscopy Unit, Department of Gastroenterology, </w:t>
      </w:r>
      <w:bookmarkStart w:id="16" w:name="OLE_LINK218"/>
      <w:bookmarkStart w:id="17" w:name="OLE_LINK219"/>
      <w:bookmarkStart w:id="18" w:name="OLE_LINK220"/>
      <w:r w:rsidR="00C774E8" w:rsidRPr="00E52223">
        <w:rPr>
          <w:rFonts w:ascii="Book Antiqua" w:hAnsi="Book Antiqua"/>
          <w:sz w:val="24"/>
          <w:szCs w:val="24"/>
          <w:lang w:val="en-US"/>
        </w:rPr>
        <w:t>Hospital Universitari Germans Trias i Pujol</w:t>
      </w:r>
      <w:bookmarkEnd w:id="16"/>
      <w:bookmarkEnd w:id="17"/>
      <w:bookmarkEnd w:id="18"/>
      <w:r w:rsidR="00C774E8" w:rsidRPr="00E52223">
        <w:rPr>
          <w:rFonts w:ascii="Book Antiqua" w:hAnsi="Book Antiqua"/>
          <w:sz w:val="24"/>
          <w:szCs w:val="24"/>
          <w:lang w:val="en-US"/>
        </w:rPr>
        <w:t xml:space="preserve">, </w:t>
      </w:r>
      <w:r w:rsidR="00A02C3B" w:rsidRPr="00A02C3B">
        <w:rPr>
          <w:rFonts w:ascii="Book Antiqua" w:hAnsi="Book Antiqua"/>
          <w:sz w:val="24"/>
          <w:szCs w:val="24"/>
          <w:lang w:val="en-US"/>
        </w:rPr>
        <w:t xml:space="preserve">08916 </w:t>
      </w:r>
      <w:r w:rsidR="00C774E8" w:rsidRPr="00E52223">
        <w:rPr>
          <w:rFonts w:ascii="Book Antiqua" w:hAnsi="Book Antiqua"/>
          <w:sz w:val="24"/>
          <w:szCs w:val="24"/>
          <w:lang w:val="en-US"/>
        </w:rPr>
        <w:t>Badalona</w:t>
      </w:r>
      <w:r w:rsidR="00A02C3B">
        <w:rPr>
          <w:rFonts w:ascii="Book Antiqua" w:hAnsi="Book Antiqua" w:hint="eastAsia"/>
          <w:sz w:val="24"/>
          <w:szCs w:val="24"/>
          <w:lang w:val="en-US" w:eastAsia="zh-CN"/>
        </w:rPr>
        <w:t xml:space="preserve">, </w:t>
      </w:r>
      <w:r w:rsidR="00C774E8" w:rsidRPr="00E52223">
        <w:rPr>
          <w:rFonts w:ascii="Book Antiqua" w:hAnsi="Book Antiqua"/>
          <w:sz w:val="24"/>
          <w:szCs w:val="24"/>
          <w:lang w:val="en-US"/>
        </w:rPr>
        <w:t xml:space="preserve">Spain </w:t>
      </w:r>
    </w:p>
    <w:p w:rsidR="00C774E8" w:rsidRPr="00A02C3B" w:rsidRDefault="00C774E8" w:rsidP="00F87B0F">
      <w:pPr>
        <w:spacing w:line="360" w:lineRule="auto"/>
        <w:jc w:val="both"/>
        <w:rPr>
          <w:rFonts w:ascii="Book Antiqua" w:hAnsi="Book Antiqua"/>
          <w:b/>
          <w:sz w:val="24"/>
          <w:szCs w:val="24"/>
          <w:lang w:val="en-US"/>
        </w:rPr>
      </w:pPr>
    </w:p>
    <w:p w:rsidR="00C774E8" w:rsidRPr="00E52223" w:rsidRDefault="00C774E8" w:rsidP="00F87B0F">
      <w:pPr>
        <w:spacing w:line="360" w:lineRule="auto"/>
        <w:jc w:val="both"/>
        <w:rPr>
          <w:rFonts w:ascii="Book Antiqua" w:hAnsi="Book Antiqua"/>
          <w:b/>
          <w:sz w:val="24"/>
          <w:szCs w:val="24"/>
          <w:lang w:val="en-GB"/>
        </w:rPr>
      </w:pPr>
      <w:r w:rsidRPr="00E52223">
        <w:rPr>
          <w:rFonts w:ascii="Book Antiqua" w:hAnsi="Book Antiqua" w:cs="Tahoma"/>
          <w:b/>
          <w:bCs/>
          <w:spacing w:val="-5"/>
          <w:sz w:val="24"/>
          <w:szCs w:val="24"/>
          <w:lang w:val="en-GB"/>
        </w:rPr>
        <w:t>Author contributions:</w:t>
      </w:r>
      <w:r w:rsidRPr="00E52223">
        <w:rPr>
          <w:rFonts w:ascii="Book Antiqua" w:hAnsi="Book Antiqua" w:cs="Tahoma"/>
          <w:spacing w:val="-5"/>
          <w:sz w:val="24"/>
          <w:szCs w:val="24"/>
          <w:lang w:val="en-GB"/>
        </w:rPr>
        <w:t xml:space="preserve"> Bon I, Bartolí R and </w:t>
      </w:r>
      <w:r w:rsidRPr="00E52223">
        <w:rPr>
          <w:rFonts w:ascii="Book Antiqua" w:hAnsi="Book Antiqua"/>
          <w:sz w:val="24"/>
          <w:szCs w:val="24"/>
          <w:lang w:val="en-GB"/>
        </w:rPr>
        <w:t xml:space="preserve">Lorenzo-Zúñiga V </w:t>
      </w:r>
      <w:r w:rsidRPr="00E52223">
        <w:rPr>
          <w:rFonts w:ascii="Book Antiqua" w:hAnsi="Book Antiqua" w:cs="Tahoma"/>
          <w:spacing w:val="-5"/>
          <w:sz w:val="24"/>
          <w:szCs w:val="24"/>
          <w:lang w:val="en-GB"/>
        </w:rPr>
        <w:t>contributed in equally form to this paper.</w:t>
      </w: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BC4C39" w:rsidP="00F87B0F">
      <w:pPr>
        <w:autoSpaceDE w:val="0"/>
        <w:autoSpaceDN w:val="0"/>
        <w:adjustRightInd w:val="0"/>
        <w:spacing w:line="360" w:lineRule="auto"/>
        <w:jc w:val="both"/>
        <w:rPr>
          <w:rFonts w:ascii="Book Antiqua" w:hAnsi="Book Antiqua"/>
          <w:sz w:val="24"/>
          <w:szCs w:val="24"/>
          <w:lang w:val="en-GB" w:eastAsia="zh-CN"/>
        </w:rPr>
      </w:pPr>
      <w:bookmarkStart w:id="19" w:name="OLE_LINK526"/>
      <w:bookmarkStart w:id="20" w:name="OLE_LINK527"/>
      <w:r w:rsidRPr="00E52223">
        <w:rPr>
          <w:rFonts w:ascii="Book Antiqua" w:hAnsi="Book Antiqua" w:cs="TimesNewRomanPS-BoldItalicMT"/>
          <w:b/>
          <w:bCs/>
          <w:iCs/>
          <w:color w:val="000000"/>
          <w:sz w:val="24"/>
          <w:szCs w:val="24"/>
          <w:lang w:val="en-US"/>
        </w:rPr>
        <w:t>Conflict-of-interest</w:t>
      </w:r>
      <w:r w:rsidRPr="00E52223">
        <w:rPr>
          <w:rFonts w:ascii="Book Antiqua" w:hAnsi="Book Antiqua"/>
          <w:b/>
          <w:bCs/>
          <w:iCs/>
          <w:sz w:val="24"/>
          <w:szCs w:val="24"/>
          <w:lang w:val="en-US"/>
        </w:rPr>
        <w:t xml:space="preserve"> statement</w:t>
      </w:r>
      <w:r w:rsidRPr="00E52223">
        <w:rPr>
          <w:rFonts w:ascii="Book Antiqua" w:hAnsi="Book Antiqua" w:cs="TimesNewRomanPS-BoldItalicMT"/>
          <w:b/>
          <w:bCs/>
          <w:iCs/>
          <w:color w:val="000000"/>
          <w:sz w:val="24"/>
          <w:szCs w:val="24"/>
          <w:lang w:val="en-US"/>
        </w:rPr>
        <w:t>:</w:t>
      </w:r>
      <w:bookmarkEnd w:id="19"/>
      <w:bookmarkEnd w:id="20"/>
      <w:r w:rsidR="00CB4FED" w:rsidRPr="00E52223">
        <w:rPr>
          <w:rFonts w:ascii="Book Antiqua" w:hAnsi="Book Antiqua" w:cs="TimesNewRomanPS-BoldItalicMT"/>
          <w:b/>
          <w:bCs/>
          <w:iCs/>
          <w:color w:val="000000"/>
          <w:sz w:val="24"/>
          <w:szCs w:val="24"/>
          <w:lang w:val="en-US" w:eastAsia="zh-CN"/>
        </w:rPr>
        <w:t xml:space="preserve"> </w:t>
      </w:r>
      <w:r w:rsidR="00C774E8" w:rsidRPr="00E52223">
        <w:rPr>
          <w:rFonts w:ascii="Book Antiqua" w:hAnsi="Book Antiqua"/>
          <w:sz w:val="24"/>
          <w:szCs w:val="24"/>
          <w:lang w:val="en-GB"/>
        </w:rPr>
        <w:t>Bon I, Bartolí R and Lorenzo-Zúñiga V declare no conflict of interest related to this publication</w:t>
      </w:r>
      <w:r w:rsidR="00CB4FED" w:rsidRPr="00E52223">
        <w:rPr>
          <w:rFonts w:ascii="Book Antiqua" w:hAnsi="Book Antiqua"/>
          <w:sz w:val="24"/>
          <w:szCs w:val="24"/>
          <w:lang w:val="en-GB" w:eastAsia="zh-CN"/>
        </w:rPr>
        <w:t>.</w:t>
      </w:r>
    </w:p>
    <w:p w:rsidR="00CB4FED" w:rsidRPr="00E52223" w:rsidRDefault="00CB4FED" w:rsidP="00F87B0F">
      <w:pPr>
        <w:autoSpaceDE w:val="0"/>
        <w:autoSpaceDN w:val="0"/>
        <w:adjustRightInd w:val="0"/>
        <w:spacing w:line="360" w:lineRule="auto"/>
        <w:jc w:val="both"/>
        <w:rPr>
          <w:rFonts w:ascii="Book Antiqua" w:hAnsi="Book Antiqua" w:cs="TimesNewRomanPS-BoldItalicMT"/>
          <w:b/>
          <w:bCs/>
          <w:iCs/>
          <w:color w:val="000000"/>
          <w:sz w:val="24"/>
          <w:szCs w:val="24"/>
          <w:lang w:val="en-GB" w:eastAsia="zh-CN"/>
        </w:rPr>
      </w:pPr>
    </w:p>
    <w:p w:rsidR="00BC4C39" w:rsidRPr="00E52223" w:rsidRDefault="00BC4C39" w:rsidP="00F87B0F">
      <w:pPr>
        <w:spacing w:line="360" w:lineRule="auto"/>
        <w:jc w:val="both"/>
        <w:rPr>
          <w:rFonts w:ascii="Book Antiqua" w:hAnsi="Book Antiqua"/>
          <w:b/>
          <w:color w:val="000000"/>
          <w:sz w:val="24"/>
          <w:szCs w:val="24"/>
          <w:lang w:val="en-US"/>
        </w:rPr>
      </w:pPr>
      <w:bookmarkStart w:id="21" w:name="OLE_LINK155"/>
      <w:bookmarkStart w:id="22" w:name="OLE_LINK183"/>
      <w:bookmarkStart w:id="23" w:name="OLE_LINK441"/>
      <w:r w:rsidRPr="00E52223">
        <w:rPr>
          <w:rFonts w:ascii="Book Antiqua" w:hAnsi="Book Antiqua"/>
          <w:b/>
          <w:color w:val="000000"/>
          <w:sz w:val="24"/>
          <w:szCs w:val="24"/>
          <w:lang w:val="en-US"/>
        </w:rPr>
        <w:t xml:space="preserve">Open-Access: </w:t>
      </w:r>
      <w:r w:rsidRPr="00E52223">
        <w:rPr>
          <w:rFonts w:ascii="Book Antiqua" w:hAnsi="Book Antiqua"/>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1"/>
    <w:bookmarkEnd w:id="22"/>
    <w:bookmarkEnd w:id="23"/>
    <w:p w:rsidR="00BC4C39" w:rsidRPr="00E52223" w:rsidRDefault="00BC4C39" w:rsidP="00F87B0F">
      <w:pPr>
        <w:spacing w:line="360" w:lineRule="auto"/>
        <w:jc w:val="both"/>
        <w:rPr>
          <w:rFonts w:ascii="Book Antiqua" w:hAnsi="Book Antiqua" w:cs="Arial Unicode MS"/>
          <w:color w:val="000000"/>
          <w:sz w:val="24"/>
          <w:szCs w:val="24"/>
          <w:lang w:val="en-US" w:eastAsia="zh-CN"/>
        </w:rPr>
      </w:pPr>
    </w:p>
    <w:p w:rsidR="00BC4C39" w:rsidRPr="00E52223" w:rsidRDefault="00BC4C39" w:rsidP="00F87B0F">
      <w:pPr>
        <w:spacing w:line="360" w:lineRule="auto"/>
        <w:jc w:val="both"/>
        <w:rPr>
          <w:rFonts w:ascii="Book Antiqua" w:hAnsi="Book Antiqua" w:cs="Arial Unicode MS"/>
          <w:color w:val="000000"/>
          <w:sz w:val="24"/>
          <w:szCs w:val="24"/>
          <w:lang w:val="en-US"/>
        </w:rPr>
      </w:pPr>
      <w:r w:rsidRPr="00E52223">
        <w:rPr>
          <w:rFonts w:ascii="Book Antiqua" w:hAnsi="Book Antiqua" w:cs="Arial Unicode MS"/>
          <w:b/>
          <w:color w:val="000000"/>
          <w:sz w:val="24"/>
          <w:szCs w:val="24"/>
          <w:lang w:val="en-US"/>
        </w:rPr>
        <w:t>Manuscript source:</w:t>
      </w:r>
      <w:r w:rsidRPr="00E52223">
        <w:rPr>
          <w:rFonts w:ascii="Book Antiqua" w:hAnsi="Book Antiqua" w:cs="Arial Unicode MS"/>
          <w:color w:val="000000"/>
          <w:sz w:val="24"/>
          <w:szCs w:val="24"/>
          <w:lang w:val="en-US"/>
        </w:rPr>
        <w:t xml:space="preserve"> Invited manuscript</w:t>
      </w:r>
    </w:p>
    <w:p w:rsidR="00C774E8" w:rsidRPr="00E52223" w:rsidRDefault="00C774E8" w:rsidP="00F87B0F">
      <w:pPr>
        <w:spacing w:line="360" w:lineRule="auto"/>
        <w:jc w:val="both"/>
        <w:rPr>
          <w:rFonts w:ascii="Book Antiqua" w:hAnsi="Book Antiqua"/>
          <w:b/>
          <w:sz w:val="24"/>
          <w:szCs w:val="24"/>
          <w:lang w:val="en-US"/>
        </w:rPr>
      </w:pPr>
    </w:p>
    <w:p w:rsidR="00C774E8" w:rsidRPr="00E52223" w:rsidRDefault="00C774E8" w:rsidP="00F87B0F">
      <w:pPr>
        <w:spacing w:line="360" w:lineRule="auto"/>
        <w:jc w:val="both"/>
        <w:rPr>
          <w:rFonts w:ascii="Book Antiqua" w:hAnsi="Book Antiqua"/>
          <w:sz w:val="24"/>
          <w:szCs w:val="24"/>
          <w:lang w:val="en-GB" w:eastAsia="zh-CN"/>
        </w:rPr>
      </w:pPr>
      <w:r w:rsidRPr="00E52223">
        <w:rPr>
          <w:rFonts w:ascii="Book Antiqua" w:hAnsi="Book Antiqua"/>
          <w:b/>
          <w:sz w:val="24"/>
          <w:szCs w:val="24"/>
          <w:lang w:val="en-GB"/>
        </w:rPr>
        <w:t>Correspondence to:</w:t>
      </w:r>
      <w:r w:rsidRPr="00E52223">
        <w:rPr>
          <w:rFonts w:ascii="Book Antiqua" w:hAnsi="Book Antiqua"/>
          <w:sz w:val="24"/>
          <w:szCs w:val="24"/>
          <w:lang w:val="en-GB"/>
        </w:rPr>
        <w:t xml:space="preserve"> </w:t>
      </w:r>
      <w:r w:rsidRPr="00E52223">
        <w:rPr>
          <w:rFonts w:ascii="Book Antiqua" w:hAnsi="Book Antiqua"/>
          <w:b/>
          <w:sz w:val="24"/>
          <w:szCs w:val="24"/>
          <w:lang w:val="en-GB"/>
        </w:rPr>
        <w:t xml:space="preserve">Vicente Lorenzo-Zúñiga, MD, PhD, Professor, </w:t>
      </w:r>
      <w:r w:rsidRPr="00E52223">
        <w:rPr>
          <w:rFonts w:ascii="Book Antiqua" w:hAnsi="Book Antiqua"/>
          <w:sz w:val="24"/>
          <w:szCs w:val="24"/>
          <w:lang w:val="en-GB"/>
        </w:rPr>
        <w:t xml:space="preserve">Endoscopy Unit, Department of Gastroenterology, </w:t>
      </w:r>
      <w:bookmarkStart w:id="24" w:name="OLE_LINK223"/>
      <w:bookmarkStart w:id="25" w:name="OLE_LINK224"/>
      <w:bookmarkStart w:id="26" w:name="OLE_LINK225"/>
      <w:r w:rsidRPr="00E52223">
        <w:rPr>
          <w:rFonts w:ascii="Book Antiqua" w:hAnsi="Book Antiqua"/>
          <w:sz w:val="24"/>
          <w:szCs w:val="24"/>
          <w:lang w:val="en-GB"/>
        </w:rPr>
        <w:t>Hospital Universitari Germans Trias i Pujol</w:t>
      </w:r>
      <w:bookmarkEnd w:id="24"/>
      <w:bookmarkEnd w:id="25"/>
      <w:bookmarkEnd w:id="26"/>
      <w:r w:rsidRPr="00E52223">
        <w:rPr>
          <w:rFonts w:ascii="Book Antiqua" w:hAnsi="Book Antiqua"/>
          <w:sz w:val="24"/>
          <w:szCs w:val="24"/>
          <w:lang w:val="en-GB"/>
        </w:rPr>
        <w:t>,</w:t>
      </w:r>
      <w:r w:rsidR="00A02C3B" w:rsidRPr="00A02C3B">
        <w:rPr>
          <w:rFonts w:ascii="Book Antiqua" w:hAnsi="Book Antiqua"/>
          <w:sz w:val="24"/>
          <w:szCs w:val="24"/>
          <w:lang w:val="en-US"/>
        </w:rPr>
        <w:t xml:space="preserve"> Carretera de Canyet, s/n, 08916 </w:t>
      </w:r>
      <w:r w:rsidR="00A02C3B" w:rsidRPr="00E52223">
        <w:rPr>
          <w:rFonts w:ascii="Book Antiqua" w:hAnsi="Book Antiqua"/>
          <w:sz w:val="24"/>
          <w:szCs w:val="24"/>
          <w:lang w:val="en-US"/>
        </w:rPr>
        <w:t>Badalona</w:t>
      </w:r>
      <w:r w:rsidR="00A02C3B">
        <w:rPr>
          <w:rFonts w:ascii="Book Antiqua" w:hAnsi="Book Antiqua" w:hint="eastAsia"/>
          <w:sz w:val="24"/>
          <w:szCs w:val="24"/>
          <w:lang w:val="en-US" w:eastAsia="zh-CN"/>
        </w:rPr>
        <w:t xml:space="preserve">, </w:t>
      </w:r>
      <w:r w:rsidRPr="00E52223">
        <w:rPr>
          <w:rFonts w:ascii="Book Antiqua" w:hAnsi="Book Antiqua"/>
          <w:sz w:val="24"/>
          <w:szCs w:val="24"/>
          <w:lang w:val="en-GB"/>
        </w:rPr>
        <w:t xml:space="preserve">Spain. </w:t>
      </w:r>
      <w:hyperlink r:id="rId7" w:history="1">
        <w:r w:rsidRPr="00E52223">
          <w:rPr>
            <w:rStyle w:val="Hyperlink"/>
            <w:rFonts w:ascii="Book Antiqua" w:hAnsi="Book Antiqua"/>
            <w:sz w:val="24"/>
            <w:szCs w:val="24"/>
            <w:lang w:val="en-GB"/>
          </w:rPr>
          <w:t>vlorenzo.germanstrias@gencat.cat</w:t>
        </w:r>
      </w:hyperlink>
    </w:p>
    <w:p w:rsidR="00C774E8" w:rsidRPr="00E52223" w:rsidRDefault="00C774E8" w:rsidP="00F87B0F">
      <w:pPr>
        <w:spacing w:line="360" w:lineRule="auto"/>
        <w:jc w:val="both"/>
        <w:rPr>
          <w:rFonts w:ascii="Book Antiqua" w:hAnsi="Book Antiqua"/>
          <w:sz w:val="24"/>
          <w:szCs w:val="24"/>
          <w:lang w:val="en-US" w:eastAsia="zh-CN"/>
        </w:rPr>
      </w:pPr>
      <w:r w:rsidRPr="00E52223">
        <w:rPr>
          <w:rFonts w:ascii="Book Antiqua" w:hAnsi="Book Antiqua"/>
          <w:b/>
          <w:sz w:val="24"/>
          <w:szCs w:val="24"/>
          <w:lang w:val="en-US"/>
        </w:rPr>
        <w:t xml:space="preserve">Telephone: </w:t>
      </w:r>
      <w:r w:rsidRPr="00E52223">
        <w:rPr>
          <w:rFonts w:ascii="Book Antiqua" w:hAnsi="Book Antiqua"/>
          <w:sz w:val="24"/>
          <w:szCs w:val="24"/>
          <w:lang w:val="en-US"/>
        </w:rPr>
        <w:t xml:space="preserve">+34-93-4978443     </w:t>
      </w:r>
    </w:p>
    <w:p w:rsidR="00BC4C39" w:rsidRPr="00E52223" w:rsidRDefault="00BC4C39" w:rsidP="00F87B0F">
      <w:pPr>
        <w:spacing w:line="360" w:lineRule="auto"/>
        <w:jc w:val="both"/>
        <w:rPr>
          <w:rFonts w:ascii="Book Antiqua" w:hAnsi="Book Antiqua"/>
          <w:sz w:val="24"/>
          <w:szCs w:val="24"/>
          <w:lang w:val="en-GB" w:eastAsia="zh-CN"/>
        </w:rPr>
      </w:pPr>
    </w:p>
    <w:p w:rsidR="00BC4C39" w:rsidRPr="00E52223" w:rsidRDefault="00BC4C39" w:rsidP="00F87B0F">
      <w:pPr>
        <w:spacing w:line="360" w:lineRule="auto"/>
        <w:jc w:val="both"/>
        <w:rPr>
          <w:rFonts w:ascii="Book Antiqua" w:hAnsi="Book Antiqua"/>
          <w:b/>
          <w:sz w:val="24"/>
          <w:szCs w:val="24"/>
          <w:lang w:val="en-US" w:eastAsia="zh-CN"/>
        </w:rPr>
      </w:pPr>
      <w:bookmarkStart w:id="27" w:name="OLE_LINK476"/>
      <w:bookmarkStart w:id="28" w:name="OLE_LINK477"/>
      <w:bookmarkStart w:id="29" w:name="OLE_LINK117"/>
      <w:bookmarkStart w:id="30" w:name="OLE_LINK528"/>
      <w:bookmarkStart w:id="31" w:name="OLE_LINK557"/>
      <w:r w:rsidRPr="00E52223">
        <w:rPr>
          <w:rFonts w:ascii="Book Antiqua" w:hAnsi="Book Antiqua"/>
          <w:b/>
          <w:sz w:val="24"/>
          <w:szCs w:val="24"/>
          <w:lang w:val="en-US"/>
        </w:rPr>
        <w:t>Received:</w:t>
      </w:r>
      <w:r w:rsidR="00167602" w:rsidRPr="00E52223">
        <w:rPr>
          <w:rFonts w:ascii="Book Antiqua" w:hAnsi="Book Antiqua"/>
          <w:b/>
          <w:sz w:val="24"/>
          <w:szCs w:val="24"/>
          <w:lang w:val="en-US" w:eastAsia="zh-CN"/>
        </w:rPr>
        <w:t xml:space="preserve"> </w:t>
      </w:r>
      <w:r w:rsidR="00167602" w:rsidRPr="00E52223">
        <w:rPr>
          <w:rFonts w:ascii="Book Antiqua" w:hAnsi="Book Antiqua"/>
          <w:sz w:val="24"/>
          <w:szCs w:val="24"/>
          <w:lang w:val="en-US" w:eastAsia="zh-CN"/>
        </w:rPr>
        <w:t>January 27, 2017</w:t>
      </w:r>
    </w:p>
    <w:p w:rsidR="00BC4C39" w:rsidRPr="00E52223" w:rsidRDefault="00BC4C39" w:rsidP="00F87B0F">
      <w:pPr>
        <w:spacing w:line="360" w:lineRule="auto"/>
        <w:jc w:val="both"/>
        <w:rPr>
          <w:rFonts w:ascii="Book Antiqua" w:hAnsi="Book Antiqua"/>
          <w:b/>
          <w:sz w:val="24"/>
          <w:szCs w:val="24"/>
          <w:lang w:val="en-US" w:eastAsia="zh-CN"/>
        </w:rPr>
      </w:pPr>
      <w:r w:rsidRPr="00E52223">
        <w:rPr>
          <w:rFonts w:ascii="Book Antiqua" w:hAnsi="Book Antiqua"/>
          <w:b/>
          <w:sz w:val="24"/>
          <w:szCs w:val="24"/>
          <w:lang w:val="en-US"/>
        </w:rPr>
        <w:t>Peer-review started:</w:t>
      </w:r>
      <w:r w:rsidR="00167602" w:rsidRPr="00E52223">
        <w:rPr>
          <w:rFonts w:ascii="Book Antiqua" w:hAnsi="Book Antiqua"/>
          <w:b/>
          <w:sz w:val="24"/>
          <w:szCs w:val="24"/>
          <w:lang w:val="en-US" w:eastAsia="zh-CN"/>
        </w:rPr>
        <w:t xml:space="preserve"> </w:t>
      </w:r>
      <w:r w:rsidR="00167602" w:rsidRPr="00E52223">
        <w:rPr>
          <w:rFonts w:ascii="Book Antiqua" w:hAnsi="Book Antiqua"/>
          <w:sz w:val="24"/>
          <w:szCs w:val="24"/>
          <w:lang w:val="en-US" w:eastAsia="zh-CN"/>
        </w:rPr>
        <w:t>February 6, 2017</w:t>
      </w:r>
    </w:p>
    <w:p w:rsidR="00BC4C39" w:rsidRPr="00E52223" w:rsidRDefault="00BC4C39" w:rsidP="00F87B0F">
      <w:pPr>
        <w:spacing w:line="360" w:lineRule="auto"/>
        <w:jc w:val="both"/>
        <w:rPr>
          <w:rFonts w:ascii="Book Antiqua" w:hAnsi="Book Antiqua"/>
          <w:b/>
          <w:sz w:val="24"/>
          <w:szCs w:val="24"/>
          <w:lang w:val="en-US" w:eastAsia="zh-CN"/>
        </w:rPr>
      </w:pPr>
      <w:r w:rsidRPr="00E52223">
        <w:rPr>
          <w:rFonts w:ascii="Book Antiqua" w:hAnsi="Book Antiqua"/>
          <w:b/>
          <w:sz w:val="24"/>
          <w:szCs w:val="24"/>
          <w:lang w:val="en-US"/>
        </w:rPr>
        <w:t>First decision:</w:t>
      </w:r>
      <w:r w:rsidR="00167602" w:rsidRPr="00E52223">
        <w:rPr>
          <w:rFonts w:ascii="Book Antiqua" w:hAnsi="Book Antiqua"/>
          <w:b/>
          <w:sz w:val="24"/>
          <w:szCs w:val="24"/>
          <w:lang w:val="en-US" w:eastAsia="zh-CN"/>
        </w:rPr>
        <w:t xml:space="preserve"> </w:t>
      </w:r>
      <w:r w:rsidR="00167602" w:rsidRPr="00E52223">
        <w:rPr>
          <w:rFonts w:ascii="Book Antiqua" w:hAnsi="Book Antiqua"/>
          <w:sz w:val="24"/>
          <w:szCs w:val="24"/>
          <w:lang w:val="en-US" w:eastAsia="zh-CN"/>
        </w:rPr>
        <w:t>March 3, 2017</w:t>
      </w:r>
    </w:p>
    <w:p w:rsidR="00BC4C39" w:rsidRPr="00E52223" w:rsidRDefault="00BC4C39" w:rsidP="00F87B0F">
      <w:pPr>
        <w:spacing w:line="360" w:lineRule="auto"/>
        <w:jc w:val="both"/>
        <w:rPr>
          <w:rFonts w:ascii="Book Antiqua" w:hAnsi="Book Antiqua"/>
          <w:b/>
          <w:sz w:val="24"/>
          <w:szCs w:val="24"/>
          <w:lang w:val="en-US"/>
        </w:rPr>
      </w:pPr>
      <w:r w:rsidRPr="00E52223">
        <w:rPr>
          <w:rFonts w:ascii="Book Antiqua" w:hAnsi="Book Antiqua"/>
          <w:b/>
          <w:sz w:val="24"/>
          <w:szCs w:val="24"/>
          <w:lang w:val="en-US"/>
        </w:rPr>
        <w:t>Revised:</w:t>
      </w:r>
      <w:r w:rsidR="00167602" w:rsidRPr="00E52223">
        <w:rPr>
          <w:rFonts w:ascii="Book Antiqua" w:hAnsi="Book Antiqua"/>
          <w:sz w:val="24"/>
          <w:szCs w:val="24"/>
          <w:lang w:val="en-US" w:eastAsia="zh-CN"/>
        </w:rPr>
        <w:t xml:space="preserve"> March 21, 2017</w:t>
      </w:r>
    </w:p>
    <w:p w:rsidR="00BC4C39" w:rsidRPr="004A6336" w:rsidRDefault="00BC4C39" w:rsidP="004A6336">
      <w:pPr>
        <w:spacing w:line="360" w:lineRule="auto"/>
        <w:rPr>
          <w:rFonts w:ascii="Book Antiqua" w:hAnsi="Book Antiqua"/>
          <w:color w:val="000000"/>
          <w:sz w:val="24"/>
        </w:rPr>
      </w:pPr>
      <w:r w:rsidRPr="00E52223">
        <w:rPr>
          <w:rFonts w:ascii="Book Antiqua" w:hAnsi="Book Antiqua"/>
          <w:b/>
          <w:sz w:val="24"/>
          <w:szCs w:val="24"/>
          <w:lang w:val="en-US"/>
        </w:rPr>
        <w:t>Accepted:</w:t>
      </w:r>
      <w:bookmarkStart w:id="32" w:name="OLE_LINK118"/>
      <w:r w:rsidR="004A6336" w:rsidRPr="004A6336">
        <w:rPr>
          <w:rFonts w:ascii="Book Antiqua" w:hAnsi="Book Antiqua"/>
          <w:color w:val="000000"/>
          <w:sz w:val="24"/>
        </w:rPr>
        <w:t xml:space="preserve"> </w:t>
      </w:r>
      <w:r w:rsidR="004A6336">
        <w:rPr>
          <w:rFonts w:ascii="Book Antiqua" w:hAnsi="Book Antiqua"/>
          <w:color w:val="000000"/>
          <w:sz w:val="24"/>
        </w:rPr>
        <w:t>May 4, 2017</w:t>
      </w:r>
      <w:bookmarkStart w:id="33" w:name="_GoBack"/>
      <w:bookmarkEnd w:id="32"/>
      <w:bookmarkEnd w:id="33"/>
      <w:r w:rsidRPr="00E52223">
        <w:rPr>
          <w:rFonts w:ascii="Book Antiqua" w:hAnsi="Book Antiqua"/>
          <w:b/>
          <w:sz w:val="24"/>
          <w:szCs w:val="24"/>
          <w:lang w:val="en-US"/>
        </w:rPr>
        <w:t xml:space="preserve">  </w:t>
      </w:r>
    </w:p>
    <w:p w:rsidR="00BC4C39" w:rsidRPr="00E52223" w:rsidRDefault="00BC4C39" w:rsidP="00F87B0F">
      <w:pPr>
        <w:spacing w:line="360" w:lineRule="auto"/>
        <w:jc w:val="both"/>
        <w:rPr>
          <w:rFonts w:ascii="Book Antiqua" w:hAnsi="Book Antiqua"/>
          <w:b/>
          <w:sz w:val="24"/>
          <w:szCs w:val="24"/>
          <w:lang w:val="en-US"/>
        </w:rPr>
      </w:pPr>
      <w:r w:rsidRPr="00E52223">
        <w:rPr>
          <w:rFonts w:ascii="Book Antiqua" w:hAnsi="Book Antiqua"/>
          <w:b/>
          <w:sz w:val="24"/>
          <w:szCs w:val="24"/>
          <w:lang w:val="en-US"/>
        </w:rPr>
        <w:t>Article in press:</w:t>
      </w:r>
    </w:p>
    <w:p w:rsidR="00BC4C39" w:rsidRPr="00E52223" w:rsidRDefault="00BC4C39" w:rsidP="00F87B0F">
      <w:pPr>
        <w:spacing w:line="360" w:lineRule="auto"/>
        <w:jc w:val="both"/>
        <w:rPr>
          <w:rFonts w:ascii="Book Antiqua" w:hAnsi="Book Antiqua"/>
          <w:b/>
          <w:sz w:val="24"/>
          <w:szCs w:val="24"/>
          <w:lang w:val="en-US"/>
        </w:rPr>
      </w:pPr>
      <w:r w:rsidRPr="00E52223">
        <w:rPr>
          <w:rFonts w:ascii="Book Antiqua" w:hAnsi="Book Antiqua"/>
          <w:b/>
          <w:sz w:val="24"/>
          <w:szCs w:val="24"/>
          <w:lang w:val="en-US"/>
        </w:rPr>
        <w:t>Published online:</w:t>
      </w:r>
    </w:p>
    <w:bookmarkEnd w:id="27"/>
    <w:bookmarkEnd w:id="28"/>
    <w:bookmarkEnd w:id="29"/>
    <w:bookmarkEnd w:id="30"/>
    <w:bookmarkEnd w:id="31"/>
    <w:p w:rsidR="00C774E8" w:rsidRPr="00E52223" w:rsidDel="0032125E" w:rsidRDefault="00C774E8" w:rsidP="00F87B0F">
      <w:pPr>
        <w:spacing w:line="360" w:lineRule="auto"/>
        <w:jc w:val="both"/>
        <w:rPr>
          <w:rFonts w:ascii="Book Antiqua" w:hAnsi="Book Antiqua"/>
          <w:b/>
          <w:sz w:val="24"/>
          <w:szCs w:val="24"/>
          <w:lang w:val="en-US"/>
        </w:rPr>
      </w:pPr>
    </w:p>
    <w:p w:rsidR="00C774E8" w:rsidRPr="00E52223" w:rsidRDefault="00BC4C39" w:rsidP="00F87B0F">
      <w:pPr>
        <w:spacing w:line="360" w:lineRule="auto"/>
        <w:jc w:val="both"/>
        <w:rPr>
          <w:rFonts w:ascii="Book Antiqua" w:hAnsi="Book Antiqua"/>
          <w:b/>
          <w:sz w:val="24"/>
          <w:szCs w:val="24"/>
          <w:lang w:val="en-GB"/>
        </w:rPr>
      </w:pPr>
      <w:r w:rsidRPr="00E52223">
        <w:rPr>
          <w:rFonts w:ascii="Book Antiqua" w:hAnsi="Book Antiqua"/>
          <w:b/>
          <w:sz w:val="24"/>
          <w:szCs w:val="24"/>
          <w:lang w:val="en-GB"/>
        </w:rPr>
        <w:br w:type="page"/>
      </w:r>
      <w:r w:rsidR="00C774E8" w:rsidRPr="00E52223">
        <w:rPr>
          <w:rFonts w:ascii="Book Antiqua" w:hAnsi="Book Antiqua"/>
          <w:b/>
          <w:sz w:val="24"/>
          <w:szCs w:val="24"/>
          <w:lang w:val="en-GB"/>
        </w:rPr>
        <w:lastRenderedPageBreak/>
        <w:t xml:space="preserve">Abstract </w:t>
      </w:r>
    </w:p>
    <w:p w:rsidR="00C774E8" w:rsidRPr="00E52223" w:rsidRDefault="00C774E8" w:rsidP="00F87B0F">
      <w:pPr>
        <w:spacing w:line="360" w:lineRule="auto"/>
        <w:jc w:val="both"/>
        <w:rPr>
          <w:rFonts w:ascii="Book Antiqua" w:hAnsi="Book Antiqua" w:cs="Tahoma"/>
          <w:color w:val="FF0000"/>
          <w:sz w:val="24"/>
          <w:szCs w:val="24"/>
          <w:lang w:val="en-GB"/>
        </w:rPr>
      </w:pPr>
      <w:r w:rsidRPr="00E52223">
        <w:rPr>
          <w:rFonts w:ascii="Book Antiqua" w:hAnsi="Book Antiqua" w:cs="Tahoma"/>
          <w:sz w:val="24"/>
          <w:szCs w:val="24"/>
          <w:lang w:val="en-GB"/>
        </w:rPr>
        <w:t xml:space="preserve">Prevention of </w:t>
      </w:r>
      <w:r w:rsidR="00EA2B62" w:rsidRPr="00E52223">
        <w:rPr>
          <w:rFonts w:ascii="Book Antiqua" w:hAnsi="Book Antiqua" w:cs="Tahoma"/>
          <w:sz w:val="24"/>
          <w:szCs w:val="24"/>
          <w:lang w:val="en-GB"/>
        </w:rPr>
        <w:t xml:space="preserve">late </w:t>
      </w:r>
      <w:r w:rsidRPr="00E52223">
        <w:rPr>
          <w:rFonts w:ascii="Book Antiqua" w:hAnsi="Book Antiqua" w:cs="Tahoma"/>
          <w:sz w:val="24"/>
          <w:szCs w:val="24"/>
          <w:lang w:val="en-GB"/>
        </w:rPr>
        <w:t xml:space="preserve">complications after large endoscopic resection is inefficient with current methods. Endoscopic shielding, as a simple and safe technique, has been proposed to improve the incidence of these events. Different methods, sheets or hydrogels, have showed proven efficacy in the prevention of </w:t>
      </w:r>
      <w:r w:rsidR="00EA2B62" w:rsidRPr="00E52223">
        <w:rPr>
          <w:rFonts w:ascii="Book Antiqua" w:hAnsi="Book Antiqua" w:cs="Tahoma"/>
          <w:sz w:val="24"/>
          <w:szCs w:val="24"/>
          <w:lang w:val="en-GB"/>
        </w:rPr>
        <w:t xml:space="preserve">late </w:t>
      </w:r>
      <w:r w:rsidRPr="00E52223">
        <w:rPr>
          <w:rFonts w:ascii="Book Antiqua" w:hAnsi="Book Antiqua" w:cs="Tahoma"/>
          <w:sz w:val="24"/>
          <w:szCs w:val="24"/>
          <w:lang w:val="en-GB"/>
        </w:rPr>
        <w:t>bleeding and perforation, as well as the improvement of tissue repair, in experimental models and in clinical practice.</w:t>
      </w:r>
    </w:p>
    <w:p w:rsidR="00C774E8" w:rsidRPr="00E52223" w:rsidRDefault="00C774E8" w:rsidP="00F87B0F">
      <w:pPr>
        <w:spacing w:line="360" w:lineRule="auto"/>
        <w:jc w:val="both"/>
        <w:rPr>
          <w:rFonts w:ascii="Book Antiqua" w:hAnsi="Book Antiqua"/>
          <w:color w:val="000000"/>
          <w:sz w:val="24"/>
          <w:szCs w:val="24"/>
          <w:lang w:val="en-GB"/>
        </w:rPr>
      </w:pPr>
    </w:p>
    <w:p w:rsidR="00C774E8" w:rsidRPr="00E52223" w:rsidRDefault="00C774E8" w:rsidP="00F87B0F">
      <w:pPr>
        <w:spacing w:line="360" w:lineRule="auto"/>
        <w:jc w:val="both"/>
        <w:rPr>
          <w:rFonts w:ascii="Book Antiqua" w:hAnsi="Book Antiqua" w:cs="Tahoma"/>
          <w:sz w:val="24"/>
          <w:szCs w:val="24"/>
          <w:lang w:val="en-GB" w:eastAsia="zh-CN"/>
        </w:rPr>
      </w:pPr>
      <w:r w:rsidRPr="00E52223">
        <w:rPr>
          <w:rFonts w:ascii="Book Antiqua" w:hAnsi="Book Antiqua"/>
          <w:b/>
          <w:sz w:val="24"/>
          <w:szCs w:val="24"/>
          <w:lang w:val="en-GB"/>
        </w:rPr>
        <w:t xml:space="preserve">Key words: </w:t>
      </w:r>
      <w:r w:rsidRPr="00E52223">
        <w:rPr>
          <w:rFonts w:ascii="Book Antiqua" w:hAnsi="Book Antiqua" w:cs="Tahoma"/>
          <w:sz w:val="24"/>
          <w:szCs w:val="24"/>
          <w:lang w:val="en-GB"/>
        </w:rPr>
        <w:t xml:space="preserve">Endoscopic shielding technique; </w:t>
      </w:r>
      <w:r w:rsidR="00422AC6" w:rsidRPr="00E52223">
        <w:rPr>
          <w:rFonts w:ascii="Book Antiqua" w:hAnsi="Book Antiqua" w:cs="Tahoma"/>
          <w:sz w:val="24"/>
          <w:szCs w:val="24"/>
          <w:lang w:val="en-GB"/>
        </w:rPr>
        <w:t xml:space="preserve">Late </w:t>
      </w:r>
      <w:r w:rsidRPr="00E52223">
        <w:rPr>
          <w:rFonts w:ascii="Book Antiqua" w:hAnsi="Book Antiqua" w:cs="Tahoma"/>
          <w:sz w:val="24"/>
          <w:szCs w:val="24"/>
          <w:lang w:val="en-GB"/>
        </w:rPr>
        <w:t xml:space="preserve">complication; </w:t>
      </w:r>
      <w:r w:rsidR="00422AC6" w:rsidRPr="00E52223">
        <w:rPr>
          <w:rFonts w:ascii="Book Antiqua" w:hAnsi="Book Antiqua" w:cs="Tahoma"/>
          <w:sz w:val="24"/>
          <w:szCs w:val="24"/>
          <w:lang w:val="en-GB"/>
        </w:rPr>
        <w:t xml:space="preserve">Therapeutic </w:t>
      </w:r>
      <w:r w:rsidRPr="00E52223">
        <w:rPr>
          <w:rFonts w:ascii="Book Antiqua" w:hAnsi="Book Antiqua" w:cs="Tahoma"/>
          <w:sz w:val="24"/>
          <w:szCs w:val="24"/>
          <w:lang w:val="en-GB"/>
        </w:rPr>
        <w:t>endoscopy</w:t>
      </w:r>
    </w:p>
    <w:p w:rsidR="00BC4C39" w:rsidRPr="00E52223" w:rsidRDefault="00BC4C39" w:rsidP="00F87B0F">
      <w:pPr>
        <w:spacing w:line="360" w:lineRule="auto"/>
        <w:jc w:val="both"/>
        <w:rPr>
          <w:rFonts w:ascii="Book Antiqua" w:hAnsi="Book Antiqua" w:cs="Tahoma"/>
          <w:sz w:val="24"/>
          <w:szCs w:val="24"/>
          <w:lang w:val="en-GB" w:eastAsia="zh-CN"/>
        </w:rPr>
      </w:pPr>
    </w:p>
    <w:p w:rsidR="00BC4C39" w:rsidRPr="00E52223" w:rsidRDefault="00BC4C39" w:rsidP="00F87B0F">
      <w:pPr>
        <w:spacing w:line="360" w:lineRule="auto"/>
        <w:jc w:val="both"/>
        <w:rPr>
          <w:rFonts w:ascii="Book Antiqua" w:hAnsi="Book Antiqua" w:cs="Arial"/>
          <w:sz w:val="24"/>
          <w:szCs w:val="24"/>
          <w:lang w:val="en-US"/>
        </w:rPr>
      </w:pPr>
      <w:bookmarkStart w:id="34" w:name="OLE_LINK55"/>
      <w:bookmarkStart w:id="35" w:name="OLE_LINK56"/>
      <w:bookmarkStart w:id="36" w:name="OLE_LINK105"/>
      <w:bookmarkStart w:id="37" w:name="OLE_LINK116"/>
      <w:bookmarkStart w:id="38" w:name="OLE_LINK89"/>
      <w:r w:rsidRPr="00E52223">
        <w:rPr>
          <w:rFonts w:ascii="Book Antiqua" w:hAnsi="Book Antiqua"/>
          <w:b/>
          <w:sz w:val="24"/>
          <w:szCs w:val="24"/>
          <w:lang w:val="en-US"/>
        </w:rPr>
        <w:t>©</w:t>
      </w:r>
      <w:bookmarkEnd w:id="34"/>
      <w:bookmarkEnd w:id="35"/>
      <w:r w:rsidRPr="00E52223">
        <w:rPr>
          <w:rFonts w:ascii="Book Antiqua" w:hAnsi="Book Antiqua"/>
          <w:b/>
          <w:sz w:val="24"/>
          <w:szCs w:val="24"/>
          <w:lang w:val="en-US"/>
        </w:rPr>
        <w:t xml:space="preserve"> </w:t>
      </w:r>
      <w:r w:rsidRPr="00E52223">
        <w:rPr>
          <w:rFonts w:ascii="Book Antiqua" w:hAnsi="Book Antiqua" w:cs="Arial"/>
          <w:b/>
          <w:sz w:val="24"/>
          <w:szCs w:val="24"/>
          <w:lang w:val="en-US"/>
        </w:rPr>
        <w:t xml:space="preserve">The Author(s) 2017. </w:t>
      </w:r>
      <w:r w:rsidRPr="00E52223">
        <w:rPr>
          <w:rFonts w:ascii="Book Antiqua" w:hAnsi="Book Antiqua" w:cs="Arial"/>
          <w:sz w:val="24"/>
          <w:szCs w:val="24"/>
          <w:lang w:val="en-US"/>
        </w:rPr>
        <w:t>Published by Baishideng Publishing Group Inc. All rights reserved.</w:t>
      </w:r>
    </w:p>
    <w:bookmarkEnd w:id="36"/>
    <w:bookmarkEnd w:id="37"/>
    <w:bookmarkEnd w:id="38"/>
    <w:p w:rsidR="00C774E8" w:rsidRPr="00E52223" w:rsidRDefault="00C774E8" w:rsidP="00F87B0F">
      <w:pPr>
        <w:spacing w:line="360" w:lineRule="auto"/>
        <w:jc w:val="both"/>
        <w:rPr>
          <w:rFonts w:ascii="Book Antiqua" w:hAnsi="Book Antiqua"/>
          <w:sz w:val="24"/>
          <w:szCs w:val="24"/>
          <w:lang w:val="en-GB"/>
        </w:rPr>
      </w:pPr>
    </w:p>
    <w:p w:rsidR="00C774E8" w:rsidRPr="00E52223" w:rsidRDefault="00C774E8" w:rsidP="00F87B0F">
      <w:pPr>
        <w:spacing w:line="360" w:lineRule="auto"/>
        <w:jc w:val="both"/>
        <w:rPr>
          <w:rFonts w:ascii="Book Antiqua" w:hAnsi="Book Antiqua" w:cs="Tahoma"/>
          <w:sz w:val="24"/>
          <w:szCs w:val="24"/>
          <w:lang w:val="en-GB"/>
        </w:rPr>
      </w:pPr>
      <w:r w:rsidRPr="00E52223">
        <w:rPr>
          <w:rFonts w:ascii="Book Antiqua" w:hAnsi="Book Antiqua"/>
          <w:b/>
          <w:sz w:val="24"/>
          <w:szCs w:val="24"/>
          <w:lang w:val="en-GB"/>
        </w:rPr>
        <w:t xml:space="preserve">Core tip:  </w:t>
      </w:r>
      <w:r w:rsidRPr="00E52223">
        <w:rPr>
          <w:rFonts w:ascii="Book Antiqua" w:hAnsi="Book Antiqua" w:cs="Tahoma"/>
          <w:sz w:val="24"/>
          <w:szCs w:val="24"/>
          <w:lang w:val="en-GB"/>
        </w:rPr>
        <w:t xml:space="preserve">Prevention of </w:t>
      </w:r>
      <w:r w:rsidR="00EA2B62" w:rsidRPr="00E52223">
        <w:rPr>
          <w:rFonts w:ascii="Book Antiqua" w:hAnsi="Book Antiqua" w:cs="Tahoma"/>
          <w:sz w:val="24"/>
          <w:szCs w:val="24"/>
          <w:lang w:val="en-GB"/>
        </w:rPr>
        <w:t xml:space="preserve">late </w:t>
      </w:r>
      <w:r w:rsidRPr="00E52223">
        <w:rPr>
          <w:rFonts w:ascii="Book Antiqua" w:hAnsi="Book Antiqua" w:cs="Tahoma"/>
          <w:sz w:val="24"/>
          <w:szCs w:val="24"/>
          <w:lang w:val="en-GB"/>
        </w:rPr>
        <w:t xml:space="preserve">complications after large endoscopic resection is inefficient with current methods. Endoscopic shielding technique is a simple and safe method to reduce the incidence of </w:t>
      </w:r>
      <w:r w:rsidR="00EA2B62" w:rsidRPr="00E52223">
        <w:rPr>
          <w:rFonts w:ascii="Book Antiqua" w:hAnsi="Book Antiqua" w:cs="Tahoma"/>
          <w:sz w:val="24"/>
          <w:szCs w:val="24"/>
          <w:lang w:val="en-GB"/>
        </w:rPr>
        <w:t xml:space="preserve">late </w:t>
      </w:r>
      <w:r w:rsidRPr="00E52223">
        <w:rPr>
          <w:rFonts w:ascii="Book Antiqua" w:hAnsi="Book Antiqua" w:cs="Tahoma"/>
          <w:sz w:val="24"/>
          <w:szCs w:val="24"/>
          <w:lang w:val="en-GB"/>
        </w:rPr>
        <w:t>bleeding and perforation.</w:t>
      </w:r>
    </w:p>
    <w:p w:rsidR="00C774E8" w:rsidRPr="00E52223" w:rsidRDefault="00C774E8" w:rsidP="00F87B0F">
      <w:pPr>
        <w:spacing w:line="360" w:lineRule="auto"/>
        <w:jc w:val="both"/>
        <w:rPr>
          <w:rFonts w:ascii="Book Antiqua" w:hAnsi="Book Antiqua"/>
          <w:b/>
          <w:sz w:val="24"/>
          <w:szCs w:val="24"/>
          <w:lang w:val="en-GB" w:eastAsia="zh-CN"/>
        </w:rPr>
      </w:pPr>
      <w:r w:rsidRPr="00E52223">
        <w:rPr>
          <w:rFonts w:ascii="Book Antiqua" w:hAnsi="Book Antiqua" w:cs="Tahoma"/>
          <w:sz w:val="24"/>
          <w:szCs w:val="24"/>
          <w:lang w:val="en-GB"/>
        </w:rPr>
        <w:tab/>
      </w:r>
      <w:r w:rsidRPr="00E52223">
        <w:rPr>
          <w:rFonts w:ascii="Book Antiqua" w:hAnsi="Book Antiqua" w:cs="Tahoma"/>
          <w:sz w:val="24"/>
          <w:szCs w:val="24"/>
          <w:lang w:val="en-GB"/>
        </w:rPr>
        <w:tab/>
      </w:r>
    </w:p>
    <w:p w:rsidR="00BC4C39" w:rsidRPr="00E52223" w:rsidRDefault="00422AC6" w:rsidP="00F87B0F">
      <w:pPr>
        <w:spacing w:line="360" w:lineRule="auto"/>
        <w:jc w:val="both"/>
        <w:rPr>
          <w:rFonts w:ascii="Book Antiqua" w:hAnsi="Book Antiqua"/>
          <w:sz w:val="24"/>
          <w:szCs w:val="24"/>
          <w:lang w:val="fr-FR" w:eastAsia="zh-CN"/>
        </w:rPr>
      </w:pPr>
      <w:r w:rsidRPr="00E52223">
        <w:rPr>
          <w:rFonts w:ascii="Book Antiqua" w:hAnsi="Book Antiqua"/>
          <w:sz w:val="24"/>
          <w:szCs w:val="24"/>
          <w:lang w:val="fr-FR"/>
        </w:rPr>
        <w:t>Bon</w:t>
      </w:r>
      <w:r w:rsidRPr="00E52223">
        <w:rPr>
          <w:rFonts w:ascii="Book Antiqua" w:hAnsi="Book Antiqua"/>
          <w:sz w:val="24"/>
          <w:szCs w:val="24"/>
          <w:lang w:val="fr-FR" w:eastAsia="zh-CN"/>
        </w:rPr>
        <w:t xml:space="preserve"> I, </w:t>
      </w:r>
      <w:r w:rsidRPr="00E52223">
        <w:rPr>
          <w:rFonts w:ascii="Book Antiqua" w:hAnsi="Book Antiqua"/>
          <w:sz w:val="24"/>
          <w:szCs w:val="24"/>
          <w:lang w:val="es-ES"/>
        </w:rPr>
        <w:t>Bartolí</w:t>
      </w:r>
      <w:r w:rsidRPr="00E52223">
        <w:rPr>
          <w:rFonts w:ascii="Book Antiqua" w:hAnsi="Book Antiqua"/>
          <w:sz w:val="24"/>
          <w:szCs w:val="24"/>
          <w:lang w:val="es-ES" w:eastAsia="zh-CN"/>
        </w:rPr>
        <w:t xml:space="preserve"> R, </w:t>
      </w:r>
      <w:r w:rsidRPr="00E52223">
        <w:rPr>
          <w:rFonts w:ascii="Book Antiqua" w:hAnsi="Book Antiqua"/>
          <w:sz w:val="24"/>
          <w:szCs w:val="24"/>
          <w:lang w:val="fr-FR"/>
        </w:rPr>
        <w:t>Lorenzo-Zúñiga</w:t>
      </w:r>
      <w:r w:rsidRPr="00E52223">
        <w:rPr>
          <w:rFonts w:ascii="Book Antiqua" w:hAnsi="Book Antiqua"/>
          <w:sz w:val="24"/>
          <w:szCs w:val="24"/>
          <w:lang w:val="fr-FR" w:eastAsia="zh-CN"/>
        </w:rPr>
        <w:t xml:space="preserve"> V. </w:t>
      </w:r>
      <w:r w:rsidRPr="00E52223">
        <w:rPr>
          <w:rFonts w:ascii="Book Antiqua" w:hAnsi="Book Antiqua" w:cs="Tahoma"/>
          <w:sz w:val="24"/>
          <w:szCs w:val="24"/>
          <w:lang w:val="fr-FR"/>
        </w:rPr>
        <w:t>Endoscopic shielding technique, a new method in therapeutic endoscopy</w:t>
      </w:r>
      <w:r w:rsidR="00BC4C39" w:rsidRPr="00E52223">
        <w:rPr>
          <w:rFonts w:ascii="Book Antiqua" w:hAnsi="Book Antiqua" w:cs="Tahoma"/>
          <w:sz w:val="24"/>
          <w:szCs w:val="24"/>
          <w:lang w:val="fr-FR" w:eastAsia="zh-CN"/>
        </w:rPr>
        <w:t xml:space="preserve">. </w:t>
      </w:r>
      <w:bookmarkStart w:id="39" w:name="OLE_LINK424"/>
      <w:bookmarkStart w:id="40" w:name="OLE_LINK425"/>
      <w:r w:rsidR="00BC4C39" w:rsidRPr="00E52223">
        <w:rPr>
          <w:rFonts w:ascii="Book Antiqua" w:hAnsi="Book Antiqua"/>
          <w:i/>
          <w:sz w:val="24"/>
          <w:szCs w:val="24"/>
          <w:lang w:val="en-US"/>
        </w:rPr>
        <w:t>World J Gastroenterol</w:t>
      </w:r>
      <w:r w:rsidR="00BC4C39" w:rsidRPr="00E52223">
        <w:rPr>
          <w:rFonts w:ascii="Book Antiqua" w:hAnsi="Book Antiqua"/>
          <w:sz w:val="24"/>
          <w:szCs w:val="24"/>
          <w:lang w:val="en-US"/>
        </w:rPr>
        <w:t xml:space="preserve"> 2017; </w:t>
      </w:r>
      <w:bookmarkStart w:id="41" w:name="OLE_LINK1689"/>
      <w:bookmarkStart w:id="42" w:name="OLE_LINK1298"/>
      <w:bookmarkStart w:id="43" w:name="OLE_LINK1297"/>
      <w:r w:rsidR="00BC4C39" w:rsidRPr="00E52223">
        <w:rPr>
          <w:rFonts w:ascii="Book Antiqua" w:hAnsi="Book Antiqua"/>
          <w:sz w:val="24"/>
          <w:szCs w:val="24"/>
          <w:lang w:val="en-US"/>
        </w:rPr>
        <w:t>In press</w:t>
      </w:r>
      <w:bookmarkEnd w:id="41"/>
      <w:bookmarkEnd w:id="42"/>
      <w:bookmarkEnd w:id="43"/>
    </w:p>
    <w:bookmarkEnd w:id="39"/>
    <w:bookmarkEnd w:id="40"/>
    <w:p w:rsidR="00C774E8" w:rsidRPr="00E52223" w:rsidRDefault="00C774E8" w:rsidP="00F87B0F">
      <w:pPr>
        <w:autoSpaceDE w:val="0"/>
        <w:autoSpaceDN w:val="0"/>
        <w:adjustRightInd w:val="0"/>
        <w:spacing w:line="360" w:lineRule="auto"/>
        <w:jc w:val="both"/>
        <w:rPr>
          <w:rFonts w:ascii="Book Antiqua" w:hAnsi="Book Antiqua" w:cs="Tahoma"/>
          <w:sz w:val="24"/>
          <w:szCs w:val="24"/>
          <w:lang w:val="fr-FR" w:eastAsia="zh-CN"/>
        </w:rPr>
      </w:pPr>
    </w:p>
    <w:p w:rsidR="00C774E8" w:rsidRPr="00E52223" w:rsidRDefault="00C774E8" w:rsidP="00F87B0F">
      <w:pPr>
        <w:spacing w:line="360" w:lineRule="auto"/>
        <w:jc w:val="both"/>
        <w:rPr>
          <w:rFonts w:ascii="Book Antiqua" w:hAnsi="Book Antiqua"/>
          <w:sz w:val="24"/>
          <w:szCs w:val="24"/>
          <w:lang w:val="en-GB"/>
        </w:rPr>
      </w:pPr>
    </w:p>
    <w:p w:rsidR="00C774E8" w:rsidRPr="00E52223" w:rsidRDefault="00C774E8" w:rsidP="00F87B0F">
      <w:pPr>
        <w:spacing w:line="360" w:lineRule="auto"/>
        <w:jc w:val="both"/>
        <w:rPr>
          <w:rFonts w:ascii="Book Antiqua" w:hAnsi="Book Antiqua"/>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r w:rsidRPr="00E52223">
        <w:rPr>
          <w:rFonts w:ascii="Book Antiqua" w:hAnsi="Book Antiqua"/>
          <w:b/>
          <w:sz w:val="24"/>
          <w:szCs w:val="24"/>
          <w:lang w:val="en-GB"/>
        </w:rPr>
        <w:lastRenderedPageBreak/>
        <w:t>INTRODUCTION</w:t>
      </w:r>
    </w:p>
    <w:p w:rsidR="00EA2B62" w:rsidRPr="00E52223" w:rsidRDefault="00EA2B62" w:rsidP="00F87B0F">
      <w:pPr>
        <w:autoSpaceDE w:val="0"/>
        <w:autoSpaceDN w:val="0"/>
        <w:adjustRightInd w:val="0"/>
        <w:spacing w:line="360" w:lineRule="auto"/>
        <w:jc w:val="both"/>
        <w:rPr>
          <w:rFonts w:ascii="Book Antiqua" w:hAnsi="Book Antiqua" w:cs="Tahoma"/>
          <w:sz w:val="24"/>
          <w:szCs w:val="24"/>
          <w:lang w:val="en-US"/>
        </w:rPr>
      </w:pPr>
      <w:r w:rsidRPr="00E52223">
        <w:rPr>
          <w:rFonts w:ascii="Book Antiqua" w:hAnsi="Book Antiqua" w:cs="Tahoma"/>
          <w:sz w:val="24"/>
          <w:szCs w:val="24"/>
          <w:lang w:val="en-US"/>
        </w:rPr>
        <w:t>Endoscopic resection of large lesions leads to extensive mucosal defects and submucosal exposure, with a substantial risk of complications. Late complications (bleeding, stricture, and perforation) are well known by endoscopists that perform advanced techniques</w:t>
      </w:r>
      <w:r w:rsidRPr="00E52223">
        <w:rPr>
          <w:rFonts w:ascii="Book Antiqua" w:hAnsi="Book Antiqua" w:cs="Tahoma"/>
          <w:sz w:val="24"/>
          <w:szCs w:val="24"/>
          <w:vertAlign w:val="superscript"/>
          <w:lang w:val="en-US"/>
        </w:rPr>
        <w:fldChar w:fldCharType="begin" w:fldLock="1"/>
      </w:r>
      <w:r w:rsidRPr="00E52223">
        <w:rPr>
          <w:rFonts w:ascii="Book Antiqua" w:hAnsi="Book Antiqua" w:cs="Tahoma"/>
          <w:sz w:val="24"/>
          <w:szCs w:val="24"/>
          <w:vertAlign w:val="superscript"/>
          <w:lang w:val="en-US"/>
        </w:rPr>
        <w:instrText>ADDIN CSL_CITATION { "citationItems" : [ { "id" : "ITEM-1", "itemData" : { "author" : [ { "dropping-particle" : "", "family" : "Paspatis", "given" : "Gregorios A", "non-dropping-particle" : "", "parse-names" : false, "suffix" : "" }, { "dropping-particle" : "", "family" : "Dumonceau", "given" : "Jean-marc", "non-dropping-particle" : "", "parse-names" : false, "suffix" : "" }, { "dropping-particle" : "", "family" : "Barthet", "given" : "Marc", "non-dropping-particle" : "", "parse-names" : false, "suffix" : "" }, { "dropping-particle" : "", "family" : "Meisner", "given" : "S\u00f8ren", "non-dropping-particle" : "", "parse-names" : false, "suffix" : "" }, { "dropping-particle" : "", "family" : "Repici", "given" : "Alessandro", "non-dropping-particle" : "", "parse-names" : false, "suffix" : "" }, { "dropping-particle" : "", "family" : "Saunders", "given" : "Brian P", "non-dropping-particle" : "", "parse-names" : false, "suffix" : "" }, { "dropping-particle" : "", "family" : "Vezakis", "given" : "Antonios", "non-dropping-particle" : "", "parse-names" : false, "suffix" : "" }, { "dropping-particle" : "", "family" : "Gonzalez", "given" : "Jean Michel", "non-dropping-particle" : "", "parse-names" : false, "suffix" : "" }, { "dropping-particle" : "", "family" : "Turino", "given" : "Stine Ydegaard", "non-dropping-particle" : "", "parse-names" : false, "suffix" : "" }, { "dropping-particle" : "", "family" : "Tsiamoulos", "given" : "Zacharias P", "non-dropping-particle" : "", "parse-names" : false, "suffix" : "" }, { "dropping-particle" : "", "family" : "Fockens", "given" : "Paul", "non-dropping-particle" : "", "parse-names" : false, "suffix" : "" }, { "dropping-particle" : "", "family" : "Hassan", "given" : "Cesare", "non-dropping-particle" : "", "parse-names" : false, "suffix" : "" } ], "id" : "ITEM-1", "issued" : { "date-parts" : [ [ "2014" ] ] }, "page" : "693-711", "title" : "Diagnosis and management of iatrogenic endoscopic perforations : European Society of Gastrointestinal Endoscopy ( ESGE ) Position Statement", "type" : "article-journal" }, "uris" : [ "http://www.mendeley.com/documents/?uuid=ffddac47-f5d2-4994-a702-c817b86239f3" ] } ], "mendeley" : { "previouslyFormattedCitation" : "(1)" }, "properties" : { "noteIndex" : 0 }, "schema" : "https://github.com/citation-style-language/schema/raw/master/csl-citation.json" }</w:instrText>
      </w:r>
      <w:r w:rsidRPr="00E52223">
        <w:rPr>
          <w:rFonts w:ascii="Book Antiqua" w:hAnsi="Book Antiqua" w:cs="Tahoma"/>
          <w:sz w:val="24"/>
          <w:szCs w:val="24"/>
          <w:vertAlign w:val="superscript"/>
          <w:lang w:val="en-US"/>
        </w:rPr>
        <w:fldChar w:fldCharType="separate"/>
      </w:r>
      <w:r w:rsidRPr="00E52223">
        <w:rPr>
          <w:rFonts w:ascii="Book Antiqua" w:hAnsi="Book Antiqua" w:cs="Tahoma"/>
          <w:sz w:val="24"/>
          <w:szCs w:val="24"/>
          <w:vertAlign w:val="superscript"/>
          <w:lang w:val="en-US" w:eastAsia="zh-CN"/>
        </w:rPr>
        <w:t>[</w:t>
      </w:r>
      <w:r w:rsidRPr="00E52223">
        <w:rPr>
          <w:rFonts w:ascii="Book Antiqua" w:hAnsi="Book Antiqua" w:cs="Tahoma"/>
          <w:sz w:val="24"/>
          <w:szCs w:val="24"/>
          <w:vertAlign w:val="superscript"/>
          <w:lang w:val="en-US"/>
        </w:rPr>
        <w:t>1</w:t>
      </w:r>
      <w:r w:rsidRPr="00E52223">
        <w:rPr>
          <w:rFonts w:ascii="Book Antiqua" w:hAnsi="Book Antiqua" w:cs="Tahoma"/>
          <w:sz w:val="24"/>
          <w:szCs w:val="24"/>
          <w:vertAlign w:val="superscript"/>
          <w:lang w:val="en-US" w:eastAsia="zh-CN"/>
        </w:rPr>
        <w:t>]</w:t>
      </w:r>
      <w:r w:rsidRPr="00E52223">
        <w:rPr>
          <w:rFonts w:ascii="Book Antiqua" w:hAnsi="Book Antiqua" w:cs="Tahoma"/>
          <w:sz w:val="24"/>
          <w:szCs w:val="24"/>
          <w:vertAlign w:val="superscript"/>
          <w:lang w:val="en-US"/>
        </w:rPr>
        <w:fldChar w:fldCharType="end"/>
      </w:r>
      <w:r w:rsidRPr="00E52223">
        <w:rPr>
          <w:rFonts w:ascii="Book Antiqua" w:hAnsi="Book Antiqua" w:cs="Tahoma"/>
          <w:sz w:val="24"/>
          <w:szCs w:val="24"/>
          <w:lang w:val="en-US"/>
        </w:rPr>
        <w:t>. There are several techniques can be used to prevent these adverse effects, such as adding adrenaline to the submucosal cushion, applying argon plasma coagulation, or clipping closure of the mucosal defect. However, these approaches are inefficient in the management of extensive submucosal exposure</w:t>
      </w:r>
      <w:r w:rsidRPr="00E52223">
        <w:rPr>
          <w:rFonts w:ascii="Book Antiqua" w:hAnsi="Book Antiqua" w:cs="Tahoma"/>
          <w:sz w:val="24"/>
          <w:szCs w:val="24"/>
          <w:vertAlign w:val="superscript"/>
          <w:lang w:val="en-US"/>
        </w:rPr>
        <w:t>[2]</w:t>
      </w:r>
      <w:r w:rsidRPr="00E52223">
        <w:rPr>
          <w:rFonts w:ascii="Book Antiqua" w:hAnsi="Book Antiqua" w:cs="Tahoma"/>
          <w:sz w:val="24"/>
          <w:szCs w:val="24"/>
          <w:lang w:val="en-US"/>
        </w:rPr>
        <w:t>.</w:t>
      </w:r>
    </w:p>
    <w:p w:rsidR="00EA2B62" w:rsidRPr="00E52223" w:rsidRDefault="00EA2B62" w:rsidP="00F87B0F">
      <w:pPr>
        <w:autoSpaceDE w:val="0"/>
        <w:autoSpaceDN w:val="0"/>
        <w:adjustRightInd w:val="0"/>
        <w:spacing w:line="360" w:lineRule="auto"/>
        <w:ind w:firstLineChars="100" w:firstLine="240"/>
        <w:jc w:val="both"/>
        <w:rPr>
          <w:rFonts w:ascii="Book Antiqua" w:hAnsi="Book Antiqua" w:cs="Tahoma"/>
          <w:sz w:val="24"/>
          <w:szCs w:val="24"/>
          <w:lang w:val="en-US"/>
        </w:rPr>
      </w:pPr>
      <w:r w:rsidRPr="00E52223">
        <w:rPr>
          <w:rFonts w:ascii="Book Antiqua" w:hAnsi="Book Antiqua" w:cs="Tahoma"/>
          <w:sz w:val="24"/>
          <w:szCs w:val="24"/>
          <w:lang w:val="en-US"/>
        </w:rPr>
        <w:t>A shielding technique refers to the application of different biocompatible substances with proven biological activity to cover the lesion after therapeutic endoscopy. There are different techniques to perform this procedure. All of them are simple and safe methods to provide shielding protection of the resected area as a way to prevent late complications</w:t>
      </w:r>
      <w:r w:rsidRPr="00E52223">
        <w:rPr>
          <w:rFonts w:ascii="Book Antiqua" w:hAnsi="Book Antiqua" w:cs="Tahoma"/>
          <w:sz w:val="24"/>
          <w:szCs w:val="24"/>
          <w:vertAlign w:val="superscript"/>
          <w:lang w:val="en-US"/>
        </w:rPr>
        <w:t>[3]</w:t>
      </w:r>
      <w:r w:rsidRPr="00E52223">
        <w:rPr>
          <w:rFonts w:ascii="Book Antiqua" w:hAnsi="Book Antiqua" w:cs="Tahoma"/>
          <w:sz w:val="24"/>
          <w:szCs w:val="24"/>
          <w:lang w:val="en-US"/>
        </w:rPr>
        <w:t>.</w:t>
      </w:r>
      <w:r w:rsidRPr="00E52223">
        <w:rPr>
          <w:rFonts w:ascii="Book Antiqua" w:hAnsi="Book Antiqua" w:cs="Tahoma"/>
          <w:color w:val="0070C0"/>
          <w:sz w:val="24"/>
          <w:szCs w:val="24"/>
          <w:lang w:val="en-US"/>
        </w:rPr>
        <w:t xml:space="preserve"> </w:t>
      </w:r>
      <w:r w:rsidRPr="00E52223">
        <w:rPr>
          <w:rFonts w:ascii="Book Antiqua" w:hAnsi="Book Antiqua" w:cs="Tahoma"/>
          <w:sz w:val="24"/>
          <w:szCs w:val="24"/>
          <w:lang w:val="en-US"/>
        </w:rPr>
        <w:t>Due to the experience we have gained using this technique, we aim to review our evidence, as well as the experimental models used in clinical practice.</w:t>
      </w:r>
    </w:p>
    <w:p w:rsidR="00C774E8" w:rsidRPr="00E52223" w:rsidRDefault="00C774E8" w:rsidP="00F87B0F">
      <w:pPr>
        <w:widowControl w:val="0"/>
        <w:autoSpaceDE w:val="0"/>
        <w:autoSpaceDN w:val="0"/>
        <w:adjustRightInd w:val="0"/>
        <w:spacing w:line="360" w:lineRule="auto"/>
        <w:jc w:val="both"/>
        <w:rPr>
          <w:rFonts w:ascii="Book Antiqua" w:hAnsi="Book Antiqua"/>
          <w:sz w:val="24"/>
          <w:szCs w:val="24"/>
          <w:lang w:val="en-US" w:eastAsia="es-ES_tradnl" w:bidi="ar-SA"/>
        </w:rPr>
      </w:pPr>
      <w:r w:rsidRPr="00E52223">
        <w:rPr>
          <w:rFonts w:ascii="Book Antiqua" w:hAnsi="Book Antiqua"/>
          <w:sz w:val="24"/>
          <w:szCs w:val="24"/>
          <w:lang w:val="en-US" w:eastAsia="es-ES_tradnl" w:bidi="ar-SA"/>
        </w:rPr>
        <w:t xml:space="preserve">   </w:t>
      </w:r>
    </w:p>
    <w:p w:rsidR="001B7879" w:rsidRPr="00E52223" w:rsidRDefault="001B7879" w:rsidP="00F87B0F">
      <w:pPr>
        <w:spacing w:line="360" w:lineRule="auto"/>
        <w:jc w:val="both"/>
        <w:rPr>
          <w:rFonts w:ascii="Book Antiqua" w:hAnsi="Book Antiqua"/>
          <w:b/>
          <w:i/>
          <w:sz w:val="24"/>
          <w:szCs w:val="24"/>
          <w:lang w:val="en-GB"/>
        </w:rPr>
      </w:pPr>
      <w:r w:rsidRPr="00E52223">
        <w:rPr>
          <w:rFonts w:ascii="Book Antiqua" w:hAnsi="Book Antiqua"/>
          <w:b/>
          <w:i/>
          <w:sz w:val="24"/>
          <w:szCs w:val="24"/>
          <w:lang w:val="en-GB"/>
        </w:rPr>
        <w:t>Search strategies</w:t>
      </w:r>
    </w:p>
    <w:p w:rsidR="00EA2B62" w:rsidRPr="00E52223" w:rsidRDefault="00EA2B62" w:rsidP="00F87B0F">
      <w:pPr>
        <w:spacing w:line="360" w:lineRule="auto"/>
        <w:jc w:val="both"/>
        <w:rPr>
          <w:rFonts w:ascii="Book Antiqua" w:hAnsi="Book Antiqua" w:cs="Tahoma"/>
          <w:sz w:val="24"/>
          <w:szCs w:val="24"/>
          <w:lang w:val="en-US"/>
        </w:rPr>
      </w:pPr>
      <w:r w:rsidRPr="00E52223">
        <w:rPr>
          <w:rFonts w:ascii="Book Antiqua" w:hAnsi="Book Antiqua" w:cs="Tahoma"/>
          <w:sz w:val="24"/>
          <w:szCs w:val="24"/>
          <w:lang w:val="en-US"/>
        </w:rPr>
        <w:t>Studies in English studies were identified by using a comprehensive search of PUBMED. The key words and search strategies were as follows: 1, (“endoscopy” [All Fields]</w:t>
      </w:r>
      <w:r w:rsidR="00F87B0F">
        <w:rPr>
          <w:rFonts w:ascii="Book Antiqua" w:hAnsi="Book Antiqua" w:cs="Tahoma" w:hint="eastAsia"/>
          <w:sz w:val="24"/>
          <w:szCs w:val="24"/>
          <w:lang w:val="en-US" w:eastAsia="zh-CN"/>
        </w:rPr>
        <w:t xml:space="preserve"> </w:t>
      </w:r>
      <w:r w:rsidRPr="00E52223">
        <w:rPr>
          <w:rFonts w:ascii="Book Antiqua" w:hAnsi="Book Antiqua" w:cs="Tahoma"/>
          <w:sz w:val="24"/>
          <w:szCs w:val="24"/>
          <w:lang w:val="en-US"/>
        </w:rPr>
        <w:t>AND (“shielding” [All Fields]). 2, (“hydrogel” [All Fields] AND “mucosectomy” [All Fields]). The Reference lists of primary study publications were searched manually. We did not consider abstracts or unpublished reports for inclusion.</w:t>
      </w:r>
    </w:p>
    <w:p w:rsidR="001B7879" w:rsidRPr="00E52223" w:rsidRDefault="001B7879" w:rsidP="00F87B0F">
      <w:pPr>
        <w:spacing w:line="360" w:lineRule="auto"/>
        <w:jc w:val="both"/>
        <w:rPr>
          <w:rFonts w:ascii="Book Antiqua" w:hAnsi="Book Antiqua"/>
          <w:b/>
          <w:sz w:val="24"/>
          <w:szCs w:val="24"/>
          <w:lang w:val="en-GB"/>
        </w:rPr>
      </w:pPr>
    </w:p>
    <w:p w:rsidR="00C774E8" w:rsidRPr="00E52223" w:rsidRDefault="00C774E8" w:rsidP="00F87B0F">
      <w:pPr>
        <w:spacing w:line="360" w:lineRule="auto"/>
        <w:jc w:val="both"/>
        <w:rPr>
          <w:rFonts w:ascii="Book Antiqua" w:hAnsi="Book Antiqua"/>
          <w:b/>
          <w:sz w:val="24"/>
          <w:szCs w:val="24"/>
          <w:lang w:val="en-GB"/>
        </w:rPr>
      </w:pPr>
      <w:r w:rsidRPr="00E52223">
        <w:rPr>
          <w:rFonts w:ascii="Book Antiqua" w:hAnsi="Book Antiqua"/>
          <w:b/>
          <w:sz w:val="24"/>
          <w:szCs w:val="24"/>
          <w:lang w:val="en-GB"/>
        </w:rPr>
        <w:t>EXPERIMENTAL MODELS</w:t>
      </w:r>
    </w:p>
    <w:p w:rsidR="00EA2B62" w:rsidRPr="00E52223" w:rsidRDefault="00EA2B62" w:rsidP="00F87B0F">
      <w:pPr>
        <w:spacing w:line="360" w:lineRule="auto"/>
        <w:jc w:val="both"/>
        <w:rPr>
          <w:rFonts w:ascii="Book Antiqua" w:hAnsi="Book Antiqua" w:cs="Tahoma"/>
          <w:sz w:val="24"/>
          <w:szCs w:val="24"/>
          <w:lang w:val="en-US"/>
        </w:rPr>
      </w:pPr>
      <w:r w:rsidRPr="00E52223">
        <w:rPr>
          <w:rFonts w:ascii="Book Antiqua" w:hAnsi="Book Antiqua" w:cs="Tahoma"/>
          <w:sz w:val="24"/>
          <w:szCs w:val="24"/>
          <w:lang w:val="en-US"/>
        </w:rPr>
        <w:t>Endoscopic shielding techniques have been evaluated in some preclinical models (Table 1). Aimed to increase mucosal healing, to prevent late bleeding secondary to acetic acid or EMR-induced gastric ulcers, a hydrogel based on epidermal growth factor-containing chitosan hydrogel was tested in rabbits and pigs</w:t>
      </w:r>
      <w:r w:rsidRPr="00E52223">
        <w:rPr>
          <w:rFonts w:ascii="Book Antiqua" w:hAnsi="Book Antiqua" w:cs="Tahoma"/>
          <w:sz w:val="24"/>
          <w:szCs w:val="24"/>
          <w:vertAlign w:val="superscript"/>
          <w:lang w:val="en-US"/>
        </w:rPr>
        <w:t>[4]</w:t>
      </w:r>
      <w:r w:rsidRPr="00E52223">
        <w:rPr>
          <w:rFonts w:ascii="Book Antiqua" w:hAnsi="Book Antiqua" w:cs="Tahoma"/>
          <w:sz w:val="24"/>
          <w:szCs w:val="24"/>
          <w:lang w:val="en-US"/>
        </w:rPr>
        <w:t xml:space="preserve">.  Feasibility of endoscopic application of this hydrogel was observed in </w:t>
      </w:r>
      <w:r w:rsidRPr="00E52223">
        <w:rPr>
          <w:rFonts w:ascii="Book Antiqua" w:hAnsi="Book Antiqua" w:cs="Tahoma"/>
          <w:sz w:val="24"/>
          <w:szCs w:val="24"/>
          <w:lang w:val="en-US"/>
        </w:rPr>
        <w:lastRenderedPageBreak/>
        <w:t>both models, with a significant reduction in the ulcer size in animals treated with this hydrogel. Moreover, the depth of the untreated ulcers was greater, and the underlying muscle layer remained exposed one week after treatment, with deep scar formation and fibrotic submucosa six weeks after endoscopic resection. Other studies refer to the use of Polyglycolic acid sheets (PGA) and Fibrin Glue (FG) to prevent late complications of ESD-induced ulcers in the stomach of two animal models, porcine</w:t>
      </w:r>
      <w:r w:rsidRPr="00E52223">
        <w:rPr>
          <w:rFonts w:ascii="Book Antiqua" w:hAnsi="Book Antiqua" w:cs="Tahoma"/>
          <w:sz w:val="24"/>
          <w:szCs w:val="24"/>
          <w:vertAlign w:val="superscript"/>
          <w:lang w:val="en-US"/>
        </w:rPr>
        <w:t>[5]</w:t>
      </w:r>
      <w:r w:rsidRPr="00E52223">
        <w:rPr>
          <w:rFonts w:ascii="Book Antiqua" w:hAnsi="Book Antiqua" w:cs="Tahoma"/>
          <w:sz w:val="24"/>
          <w:szCs w:val="24"/>
          <w:lang w:val="en-US"/>
        </w:rPr>
        <w:t xml:space="preserve"> and canine</w:t>
      </w:r>
      <w:r w:rsidRPr="00E52223">
        <w:rPr>
          <w:rFonts w:ascii="Book Antiqua" w:hAnsi="Book Antiqua" w:cs="Tahoma"/>
          <w:sz w:val="24"/>
          <w:szCs w:val="24"/>
          <w:vertAlign w:val="superscript"/>
          <w:lang w:val="en-US"/>
        </w:rPr>
        <w:t>[6]</w:t>
      </w:r>
      <w:r w:rsidRPr="00E52223">
        <w:rPr>
          <w:rFonts w:ascii="Book Antiqua" w:hAnsi="Book Antiqua" w:cs="Tahoma"/>
          <w:sz w:val="24"/>
          <w:szCs w:val="24"/>
          <w:lang w:val="en-US"/>
        </w:rPr>
        <w:t xml:space="preserve">. PGA-FG exhibited a protective effect against gastric juice, and no peeling of the sheet was observed despite the influence of peristalsis and gastric acid. Histopathological examination revealed excellent long-term tissue repair, with no adverse events. </w:t>
      </w:r>
    </w:p>
    <w:p w:rsidR="00EA2B62" w:rsidRPr="00E52223" w:rsidRDefault="00EA2B62" w:rsidP="00F87B0F">
      <w:pPr>
        <w:spacing w:line="360" w:lineRule="auto"/>
        <w:jc w:val="both"/>
        <w:rPr>
          <w:rFonts w:ascii="Book Antiqua" w:hAnsi="Book Antiqua" w:cs="Tahoma"/>
          <w:sz w:val="24"/>
          <w:szCs w:val="24"/>
          <w:lang w:val="en-US"/>
        </w:rPr>
      </w:pPr>
      <w:r w:rsidRPr="00E52223">
        <w:rPr>
          <w:rFonts w:ascii="Book Antiqua" w:hAnsi="Book Antiqua" w:cs="Tahoma"/>
          <w:sz w:val="24"/>
          <w:szCs w:val="24"/>
          <w:lang w:val="en-US"/>
        </w:rPr>
        <w:t>Shielding with Platelet Rich Plasma (PRP) has been successfully tested in colonic EMR-induced ulcers to prevent late perforations in rats and pigs</w:t>
      </w:r>
      <w:r w:rsidRPr="00E52223">
        <w:rPr>
          <w:rFonts w:ascii="Book Antiqua" w:hAnsi="Book Antiqua" w:cs="Tahoma"/>
          <w:sz w:val="24"/>
          <w:szCs w:val="24"/>
          <w:vertAlign w:val="superscript"/>
          <w:lang w:val="en-US"/>
        </w:rPr>
        <w:t>[7]</w:t>
      </w:r>
      <w:r w:rsidRPr="00E52223">
        <w:rPr>
          <w:rFonts w:ascii="Book Antiqua" w:hAnsi="Book Antiqua" w:cs="Tahoma"/>
          <w:sz w:val="24"/>
          <w:szCs w:val="24"/>
          <w:lang w:val="en-US"/>
        </w:rPr>
        <w:t xml:space="preserve">. On the other hand, PRP showed strong healing properties in both models, with a significant reduction of the ulcer size (2.4% in control groups </w:t>
      </w:r>
      <w:r w:rsidRPr="00F87B0F">
        <w:rPr>
          <w:rFonts w:ascii="Book Antiqua" w:hAnsi="Book Antiqua" w:cs="Tahoma"/>
          <w:i/>
          <w:sz w:val="24"/>
          <w:szCs w:val="24"/>
          <w:lang w:val="en-US"/>
        </w:rPr>
        <w:t>vs</w:t>
      </w:r>
      <w:r w:rsidRPr="00E52223">
        <w:rPr>
          <w:rFonts w:ascii="Book Antiqua" w:hAnsi="Book Antiqua" w:cs="Tahoma"/>
          <w:sz w:val="24"/>
          <w:szCs w:val="24"/>
          <w:lang w:val="en-US"/>
        </w:rPr>
        <w:t xml:space="preserve"> 80% in treated animals).</w:t>
      </w:r>
      <w:r w:rsidR="00F24E89" w:rsidRPr="00E52223">
        <w:rPr>
          <w:rFonts w:ascii="Book Antiqua" w:hAnsi="Book Antiqua" w:cs="Tahoma"/>
          <w:sz w:val="24"/>
          <w:szCs w:val="24"/>
          <w:lang w:val="en-US"/>
        </w:rPr>
        <w:t xml:space="preserve"> More recently, </w:t>
      </w:r>
      <w:r w:rsidR="00393DEA" w:rsidRPr="00E52223">
        <w:rPr>
          <w:rFonts w:ascii="Book Antiqua" w:hAnsi="Book Antiqua" w:cs="Tahoma"/>
          <w:sz w:val="24"/>
          <w:szCs w:val="24"/>
          <w:lang w:val="en-US"/>
        </w:rPr>
        <w:t xml:space="preserve">the application of other new </w:t>
      </w:r>
      <w:r w:rsidR="00F24E89" w:rsidRPr="00E52223">
        <w:rPr>
          <w:rFonts w:ascii="Book Antiqua" w:hAnsi="Book Antiqua" w:cs="Tahoma"/>
          <w:sz w:val="24"/>
          <w:szCs w:val="24"/>
          <w:lang w:val="en-US"/>
        </w:rPr>
        <w:t xml:space="preserve">hydrogel based on </w:t>
      </w:r>
      <w:r w:rsidR="00393DEA" w:rsidRPr="00E52223">
        <w:rPr>
          <w:rFonts w:ascii="Book Antiqua" w:hAnsi="Book Antiqua" w:cs="Tahoma"/>
          <w:sz w:val="24"/>
          <w:szCs w:val="24"/>
          <w:lang w:val="en-US"/>
        </w:rPr>
        <w:t xml:space="preserve">the combination of </w:t>
      </w:r>
      <w:r w:rsidR="00F24E89" w:rsidRPr="00E52223">
        <w:rPr>
          <w:rFonts w:ascii="Book Antiqua" w:hAnsi="Book Antiqua" w:cs="Tahoma"/>
          <w:sz w:val="24"/>
          <w:szCs w:val="24"/>
          <w:lang w:val="en-US"/>
        </w:rPr>
        <w:t>hyaluronic acid</w:t>
      </w:r>
      <w:r w:rsidR="00393DEA" w:rsidRPr="00E52223">
        <w:rPr>
          <w:rFonts w:ascii="Book Antiqua" w:hAnsi="Book Antiqua" w:cs="Tahoma"/>
          <w:sz w:val="24"/>
          <w:szCs w:val="24"/>
          <w:lang w:val="en-US"/>
        </w:rPr>
        <w:t>, methylcellulose, poloxamer 407 and a non-absorbable antibiotic,</w:t>
      </w:r>
      <w:r w:rsidR="00F24E89" w:rsidRPr="00E52223">
        <w:rPr>
          <w:rFonts w:ascii="Book Antiqua" w:hAnsi="Book Antiqua" w:cs="Tahoma"/>
          <w:sz w:val="24"/>
          <w:szCs w:val="24"/>
          <w:lang w:val="en-US"/>
        </w:rPr>
        <w:t xml:space="preserve"> </w:t>
      </w:r>
      <w:r w:rsidR="00645630" w:rsidRPr="00E52223">
        <w:rPr>
          <w:rFonts w:ascii="Book Antiqua" w:hAnsi="Book Antiqua" w:cs="Tahoma"/>
          <w:sz w:val="24"/>
          <w:szCs w:val="24"/>
          <w:lang w:val="en-US"/>
        </w:rPr>
        <w:t>is able to increase mucosal healing rate and to prevent late perforation secondary to deep thermal injury in two experimental models, murine and porcine</w:t>
      </w:r>
      <w:r w:rsidR="00393DEA" w:rsidRPr="00E52223">
        <w:rPr>
          <w:rFonts w:ascii="Book Antiqua" w:hAnsi="Book Antiqua" w:cs="Tahoma"/>
          <w:sz w:val="24"/>
          <w:szCs w:val="24"/>
          <w:vertAlign w:val="superscript"/>
          <w:lang w:val="en-US"/>
        </w:rPr>
        <w:t>[8]</w:t>
      </w:r>
      <w:r w:rsidR="00393DEA" w:rsidRPr="00E52223">
        <w:rPr>
          <w:rFonts w:ascii="Book Antiqua" w:hAnsi="Book Antiqua" w:cs="Tahoma"/>
          <w:sz w:val="24"/>
          <w:szCs w:val="24"/>
          <w:lang w:val="en-US"/>
        </w:rPr>
        <w:t xml:space="preserve">. </w:t>
      </w:r>
    </w:p>
    <w:p w:rsidR="00C774E8" w:rsidRPr="00E52223" w:rsidRDefault="00C774E8" w:rsidP="00F87B0F">
      <w:pPr>
        <w:widowControl w:val="0"/>
        <w:autoSpaceDE w:val="0"/>
        <w:autoSpaceDN w:val="0"/>
        <w:adjustRightInd w:val="0"/>
        <w:spacing w:line="360" w:lineRule="auto"/>
        <w:jc w:val="both"/>
        <w:rPr>
          <w:rFonts w:ascii="Book Antiqua" w:hAnsi="Book Antiqua"/>
          <w:sz w:val="24"/>
          <w:szCs w:val="24"/>
          <w:lang w:val="en-US" w:eastAsia="es-ES_tradnl" w:bidi="ar-SA"/>
        </w:rPr>
      </w:pPr>
    </w:p>
    <w:p w:rsidR="00C774E8" w:rsidRPr="00E52223" w:rsidRDefault="00C774E8" w:rsidP="00F87B0F">
      <w:pPr>
        <w:spacing w:line="360" w:lineRule="auto"/>
        <w:jc w:val="both"/>
        <w:rPr>
          <w:rFonts w:ascii="Book Antiqua" w:hAnsi="Book Antiqua"/>
          <w:b/>
          <w:sz w:val="24"/>
          <w:szCs w:val="24"/>
          <w:lang w:val="en-GB"/>
        </w:rPr>
      </w:pPr>
      <w:r w:rsidRPr="00E52223">
        <w:rPr>
          <w:rFonts w:ascii="Book Antiqua" w:hAnsi="Book Antiqua"/>
          <w:b/>
          <w:sz w:val="24"/>
          <w:szCs w:val="24"/>
          <w:lang w:val="en-GB"/>
        </w:rPr>
        <w:t>CLINICAL EXPERIENCE</w:t>
      </w:r>
    </w:p>
    <w:p w:rsidR="00054BAD" w:rsidRPr="00E52223" w:rsidRDefault="00054BAD" w:rsidP="00F87B0F">
      <w:pPr>
        <w:autoSpaceDE w:val="0"/>
        <w:autoSpaceDN w:val="0"/>
        <w:adjustRightInd w:val="0"/>
        <w:spacing w:line="360" w:lineRule="auto"/>
        <w:jc w:val="both"/>
        <w:rPr>
          <w:rFonts w:ascii="Book Antiqua" w:hAnsi="Book Antiqua" w:cs="Tahoma"/>
          <w:color w:val="FF0000"/>
          <w:sz w:val="24"/>
          <w:szCs w:val="24"/>
          <w:lang w:val="en-US"/>
        </w:rPr>
      </w:pPr>
      <w:r w:rsidRPr="00E52223">
        <w:rPr>
          <w:rFonts w:ascii="Book Antiqua" w:hAnsi="Book Antiqua" w:cs="Tahoma"/>
          <w:sz w:val="24"/>
          <w:szCs w:val="24"/>
          <w:lang w:val="en-US"/>
        </w:rPr>
        <w:t>According to our study, 9 articles were identified with around one hundred patients included, and are summarized in Table 2. The first report was published in 2012</w:t>
      </w:r>
      <w:r w:rsidRPr="00E52223">
        <w:rPr>
          <w:rFonts w:ascii="Book Antiqua" w:hAnsi="Book Antiqua" w:cs="Tahoma"/>
          <w:sz w:val="24"/>
          <w:szCs w:val="24"/>
          <w:vertAlign w:val="superscript"/>
          <w:lang w:val="en-US"/>
        </w:rPr>
        <w:t>[3]</w:t>
      </w:r>
      <w:r w:rsidRPr="00E52223">
        <w:rPr>
          <w:rFonts w:ascii="Book Antiqua" w:hAnsi="Book Antiqua" w:cs="Tahoma"/>
          <w:sz w:val="24"/>
          <w:szCs w:val="24"/>
          <w:lang w:val="en-US"/>
        </w:rPr>
        <w:t xml:space="preserve"> as a case report using PGA-FG to prevent late perforation associated with ESD for a duodenal tumor 20mm in diameter. The ulcer was covered with pieces of PGA sheets using biopsy forceps and fixed in place with sprayed FG, that were spontaneously absorbed within 4-15 </w:t>
      </w:r>
      <w:r w:rsidR="00422AC6" w:rsidRPr="00E52223">
        <w:rPr>
          <w:rFonts w:ascii="Book Antiqua" w:hAnsi="Book Antiqua" w:cs="Tahoma"/>
          <w:sz w:val="24"/>
          <w:szCs w:val="24"/>
          <w:lang w:val="en-US" w:eastAsia="zh-CN"/>
        </w:rPr>
        <w:t>wk</w:t>
      </w:r>
      <w:r w:rsidRPr="00E52223">
        <w:rPr>
          <w:rFonts w:ascii="Book Antiqua" w:hAnsi="Book Antiqua" w:cs="Tahoma"/>
          <w:sz w:val="24"/>
          <w:szCs w:val="24"/>
          <w:lang w:val="en-US"/>
        </w:rPr>
        <w:t>. FG is the result of spraying fibrinogen and thrombin with different tubes. This method, considered to be useful, simple and safe, can sometimes</w:t>
      </w:r>
      <w:r w:rsidR="00F87B0F">
        <w:rPr>
          <w:rFonts w:ascii="Book Antiqua" w:hAnsi="Book Antiqua" w:cs="Tahoma" w:hint="eastAsia"/>
          <w:sz w:val="24"/>
          <w:szCs w:val="24"/>
          <w:lang w:val="en-US" w:eastAsia="zh-CN"/>
        </w:rPr>
        <w:t xml:space="preserve"> </w:t>
      </w:r>
      <w:r w:rsidRPr="00E52223">
        <w:rPr>
          <w:rFonts w:ascii="Book Antiqua" w:hAnsi="Book Antiqua" w:cs="Tahoma"/>
          <w:sz w:val="24"/>
          <w:szCs w:val="24"/>
          <w:lang w:val="en-US"/>
        </w:rPr>
        <w:t xml:space="preserve">present problems because of gravitational influence, with early slipping of the sheets. To resolve this and to improve the coverage, adding clips to PGA-FG has been successfully </w:t>
      </w:r>
      <w:r w:rsidRPr="00E52223">
        <w:rPr>
          <w:rFonts w:ascii="Book Antiqua" w:hAnsi="Book Antiqua" w:cs="Tahoma"/>
          <w:sz w:val="24"/>
          <w:szCs w:val="24"/>
          <w:lang w:val="en-US"/>
        </w:rPr>
        <w:lastRenderedPageBreak/>
        <w:t>assessed in endoscopic resection of duodenal lesions, with a median covering procedure time of 22 minutes</w:t>
      </w:r>
      <w:r w:rsidRPr="00E52223">
        <w:rPr>
          <w:rFonts w:ascii="Book Antiqua" w:hAnsi="Book Antiqua" w:cs="Tahoma"/>
          <w:sz w:val="24"/>
          <w:szCs w:val="24"/>
          <w:vertAlign w:val="superscript"/>
          <w:lang w:val="en-US"/>
        </w:rPr>
        <w:t>[</w:t>
      </w:r>
      <w:r w:rsidR="00977770" w:rsidRPr="00E52223">
        <w:rPr>
          <w:rFonts w:ascii="Book Antiqua" w:hAnsi="Book Antiqua" w:cs="Tahoma"/>
          <w:sz w:val="24"/>
          <w:szCs w:val="24"/>
          <w:vertAlign w:val="superscript"/>
          <w:lang w:val="en-US"/>
        </w:rPr>
        <w:t>9</w:t>
      </w:r>
      <w:r w:rsidRPr="00E52223">
        <w:rPr>
          <w:rFonts w:ascii="Book Antiqua" w:hAnsi="Book Antiqua" w:cs="Tahoma"/>
          <w:sz w:val="24"/>
          <w:szCs w:val="24"/>
          <w:vertAlign w:val="superscript"/>
          <w:lang w:val="en-US"/>
        </w:rPr>
        <w:t>,</w:t>
      </w:r>
      <w:r w:rsidR="00977770" w:rsidRPr="00E52223">
        <w:rPr>
          <w:rFonts w:ascii="Book Antiqua" w:hAnsi="Book Antiqua" w:cs="Tahoma"/>
          <w:sz w:val="24"/>
          <w:szCs w:val="24"/>
          <w:vertAlign w:val="superscript"/>
          <w:lang w:val="en-US"/>
        </w:rPr>
        <w:t>10</w:t>
      </w:r>
      <w:r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w:t>
      </w:r>
    </w:p>
    <w:p w:rsidR="00054BAD" w:rsidRPr="00E52223" w:rsidRDefault="00054BAD" w:rsidP="00F87B0F">
      <w:pPr>
        <w:autoSpaceDE w:val="0"/>
        <w:autoSpaceDN w:val="0"/>
        <w:adjustRightInd w:val="0"/>
        <w:spacing w:line="360" w:lineRule="auto"/>
        <w:ind w:firstLineChars="100" w:firstLine="240"/>
        <w:jc w:val="both"/>
        <w:rPr>
          <w:rFonts w:ascii="Book Antiqua" w:hAnsi="Book Antiqua" w:cs="Tahoma"/>
          <w:color w:val="FF0000"/>
          <w:sz w:val="24"/>
          <w:szCs w:val="24"/>
          <w:lang w:val="en-US"/>
        </w:rPr>
      </w:pPr>
      <w:r w:rsidRPr="00E52223">
        <w:rPr>
          <w:rFonts w:ascii="Book Antiqua" w:hAnsi="Book Antiqua" w:cs="Tahoma"/>
          <w:sz w:val="24"/>
          <w:szCs w:val="24"/>
          <w:lang w:val="en-US"/>
        </w:rPr>
        <w:t>The usefulness of the shielding technique in the prevention of late complications has been evaluated in colorectal ESD with large sheets of PGA-FG</w:t>
      </w:r>
      <w:r w:rsidRPr="00E52223">
        <w:rPr>
          <w:rFonts w:ascii="Book Antiqua" w:hAnsi="Book Antiqua" w:cs="Tahoma"/>
          <w:sz w:val="24"/>
          <w:szCs w:val="24"/>
          <w:vertAlign w:val="superscript"/>
          <w:lang w:val="en-US"/>
        </w:rPr>
        <w:t>[10]</w:t>
      </w:r>
      <w:r w:rsidRPr="00E52223">
        <w:rPr>
          <w:rFonts w:ascii="Book Antiqua" w:hAnsi="Book Antiqua" w:cs="Tahoma"/>
          <w:sz w:val="24"/>
          <w:szCs w:val="24"/>
          <w:lang w:val="en-US"/>
        </w:rPr>
        <w:t xml:space="preserve"> or Surgicel</w:t>
      </w:r>
      <w:r w:rsidRPr="00E52223">
        <w:rPr>
          <w:rFonts w:ascii="Book Antiqua" w:hAnsi="Book Antiqua" w:cs="Tahoma"/>
          <w:sz w:val="24"/>
          <w:szCs w:val="24"/>
          <w:vertAlign w:val="superscript"/>
          <w:lang w:val="en-US"/>
        </w:rPr>
        <w:t>®[1</w:t>
      </w:r>
      <w:r w:rsidR="00977770" w:rsidRPr="00E52223">
        <w:rPr>
          <w:rFonts w:ascii="Book Antiqua" w:hAnsi="Book Antiqua" w:cs="Tahoma"/>
          <w:sz w:val="24"/>
          <w:szCs w:val="24"/>
          <w:vertAlign w:val="superscript"/>
          <w:lang w:val="en-US"/>
        </w:rPr>
        <w:t>2</w:t>
      </w:r>
      <w:r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 Both substances showed a success rate of 100%. Regarding total procedure time, Surgicel</w:t>
      </w:r>
      <w:r w:rsidR="00422AC6"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 xml:space="preserve">, an oxidized cellulose polymer that swells into a gelatinous mass with hemostatic and bactericidal effects, showed the best results as a rapid technique (mean time 5 min), in comparison with PGA-FG (19 </w:t>
      </w:r>
      <w:r w:rsidR="00422AC6" w:rsidRPr="00E52223">
        <w:rPr>
          <w:rFonts w:ascii="Book Antiqua" w:hAnsi="Book Antiqua" w:cs="Tahoma"/>
          <w:sz w:val="24"/>
          <w:szCs w:val="24"/>
          <w:lang w:val="en-US"/>
        </w:rPr>
        <w:t>min</w:t>
      </w:r>
      <w:r w:rsidRPr="00E52223">
        <w:rPr>
          <w:rFonts w:ascii="Book Antiqua" w:hAnsi="Book Antiqua" w:cs="Tahoma"/>
          <w:sz w:val="24"/>
          <w:szCs w:val="24"/>
          <w:lang w:val="en-US"/>
        </w:rPr>
        <w:t>). Despite the use of large PGA sheets being less time consuming than many small PGA sheets, is not comparable with the use of a gel agent.</w:t>
      </w:r>
    </w:p>
    <w:p w:rsidR="00054BAD" w:rsidRPr="00E52223" w:rsidRDefault="00054BAD" w:rsidP="00F87B0F">
      <w:pPr>
        <w:autoSpaceDE w:val="0"/>
        <w:autoSpaceDN w:val="0"/>
        <w:adjustRightInd w:val="0"/>
        <w:spacing w:line="360" w:lineRule="auto"/>
        <w:ind w:firstLineChars="100" w:firstLine="240"/>
        <w:jc w:val="both"/>
        <w:rPr>
          <w:rFonts w:ascii="Book Antiqua" w:hAnsi="Book Antiqua" w:cs="Tahoma"/>
          <w:sz w:val="24"/>
          <w:szCs w:val="24"/>
          <w:lang w:val="en-US"/>
        </w:rPr>
      </w:pPr>
      <w:r w:rsidRPr="00E52223">
        <w:rPr>
          <w:rFonts w:ascii="Book Antiqua" w:hAnsi="Book Antiqua" w:cs="Tahoma"/>
          <w:sz w:val="24"/>
          <w:szCs w:val="24"/>
          <w:lang w:val="en-US"/>
        </w:rPr>
        <w:t>PGA-FG decreased the risk of bleeding after ESD of a large gastric neoplasm, with a mean resection size of 40mm</w:t>
      </w:r>
      <w:r w:rsidRPr="00E52223">
        <w:rPr>
          <w:rFonts w:ascii="Book Antiqua" w:hAnsi="Book Antiqua" w:cs="Tahoma"/>
          <w:sz w:val="24"/>
          <w:szCs w:val="24"/>
          <w:vertAlign w:val="superscript"/>
          <w:lang w:val="en-US"/>
        </w:rPr>
        <w:t>[1</w:t>
      </w:r>
      <w:r w:rsidR="00977770" w:rsidRPr="00E52223">
        <w:rPr>
          <w:rFonts w:ascii="Book Antiqua" w:hAnsi="Book Antiqua" w:cs="Tahoma"/>
          <w:sz w:val="24"/>
          <w:szCs w:val="24"/>
          <w:vertAlign w:val="superscript"/>
          <w:lang w:val="en-US"/>
        </w:rPr>
        <w:t>3</w:t>
      </w:r>
      <w:r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 The post-ESD bleeding occurred at a rate of 6.7% in the study group, compared to 22% in the historical control group. Furthermore, another study</w:t>
      </w:r>
      <w:r w:rsidRPr="00E52223">
        <w:rPr>
          <w:rFonts w:ascii="Book Antiqua" w:hAnsi="Book Antiqua" w:cs="Tahoma"/>
          <w:sz w:val="24"/>
          <w:szCs w:val="24"/>
          <w:vertAlign w:val="superscript"/>
          <w:lang w:val="en-US"/>
        </w:rPr>
        <w:t>[1</w:t>
      </w:r>
      <w:r w:rsidR="00977770" w:rsidRPr="00E52223">
        <w:rPr>
          <w:rFonts w:ascii="Book Antiqua" w:hAnsi="Book Antiqua" w:cs="Tahoma"/>
          <w:sz w:val="24"/>
          <w:szCs w:val="24"/>
          <w:vertAlign w:val="superscript"/>
          <w:lang w:val="en-US"/>
        </w:rPr>
        <w:t>4</w:t>
      </w:r>
      <w:r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 xml:space="preserve"> reported the efficacy of PGA-FG in the closure of postoperative gastric perforations without large and deep cavities. </w:t>
      </w:r>
    </w:p>
    <w:p w:rsidR="00054BAD" w:rsidRPr="00E52223" w:rsidRDefault="00054BAD" w:rsidP="00F87B0F">
      <w:pPr>
        <w:autoSpaceDE w:val="0"/>
        <w:autoSpaceDN w:val="0"/>
        <w:adjustRightInd w:val="0"/>
        <w:spacing w:line="360" w:lineRule="auto"/>
        <w:ind w:firstLineChars="100" w:firstLine="240"/>
        <w:jc w:val="both"/>
        <w:rPr>
          <w:rFonts w:ascii="Book Antiqua" w:hAnsi="Book Antiqua" w:cs="Tahoma"/>
          <w:color w:val="FF0000"/>
          <w:sz w:val="24"/>
          <w:szCs w:val="24"/>
          <w:lang w:val="en-US"/>
        </w:rPr>
      </w:pPr>
      <w:r w:rsidRPr="00E52223">
        <w:rPr>
          <w:rFonts w:ascii="Book Antiqua" w:hAnsi="Book Antiqua" w:cs="Tahoma"/>
          <w:sz w:val="24"/>
          <w:szCs w:val="24"/>
          <w:lang w:val="en-US"/>
        </w:rPr>
        <w:t xml:space="preserve">The prevention of late esophageal strictures after circumferential ESD has been evaluated with the combination of intra-lesional steroid injections </w:t>
      </w:r>
      <w:r w:rsidR="00422AC6" w:rsidRPr="00E52223">
        <w:rPr>
          <w:rFonts w:ascii="Book Antiqua" w:hAnsi="Book Antiqua" w:cs="Tahoma"/>
          <w:sz w:val="24"/>
          <w:szCs w:val="24"/>
          <w:lang w:val="en-US" w:eastAsia="zh-CN"/>
        </w:rPr>
        <w:t>(</w:t>
      </w:r>
      <w:r w:rsidRPr="00E52223">
        <w:rPr>
          <w:rFonts w:ascii="Book Antiqua" w:hAnsi="Book Antiqua" w:cs="Tahoma"/>
          <w:sz w:val="24"/>
          <w:szCs w:val="24"/>
          <w:lang w:val="en-US"/>
        </w:rPr>
        <w:t>triamcinolone 40mg, 5 mg/m</w:t>
      </w:r>
      <w:r w:rsidR="00422AC6" w:rsidRPr="00E52223">
        <w:rPr>
          <w:rFonts w:ascii="Book Antiqua" w:hAnsi="Book Antiqua" w:cs="Tahoma"/>
          <w:sz w:val="24"/>
          <w:szCs w:val="24"/>
          <w:lang w:val="en-US"/>
        </w:rPr>
        <w:t>L</w:t>
      </w:r>
      <w:r w:rsidRPr="00E52223">
        <w:rPr>
          <w:rFonts w:ascii="Book Antiqua" w:hAnsi="Book Antiqua" w:cs="Tahoma"/>
          <w:sz w:val="24"/>
          <w:szCs w:val="24"/>
          <w:lang w:val="en-US"/>
        </w:rPr>
        <w:t>) and shielding with PGA sheets and FG</w:t>
      </w:r>
      <w:r w:rsidRPr="00E52223">
        <w:rPr>
          <w:rFonts w:ascii="Book Antiqua" w:hAnsi="Book Antiqua" w:cs="Tahoma"/>
          <w:sz w:val="24"/>
          <w:szCs w:val="24"/>
          <w:vertAlign w:val="superscript"/>
          <w:lang w:val="en-US"/>
        </w:rPr>
        <w:t>[1</w:t>
      </w:r>
      <w:r w:rsidR="00977770" w:rsidRPr="00E52223">
        <w:rPr>
          <w:rFonts w:ascii="Book Antiqua" w:hAnsi="Book Antiqua" w:cs="Tahoma"/>
          <w:sz w:val="24"/>
          <w:szCs w:val="24"/>
          <w:vertAlign w:val="superscript"/>
          <w:lang w:val="en-US"/>
        </w:rPr>
        <w:t>5</w:t>
      </w:r>
      <w:r w:rsidRPr="00E52223">
        <w:rPr>
          <w:rFonts w:ascii="Book Antiqua" w:hAnsi="Book Antiqua" w:cs="Tahoma"/>
          <w:sz w:val="24"/>
          <w:szCs w:val="24"/>
          <w:vertAlign w:val="superscript"/>
          <w:lang w:val="en-US"/>
        </w:rPr>
        <w:t>,1</w:t>
      </w:r>
      <w:r w:rsidR="00977770" w:rsidRPr="00E52223">
        <w:rPr>
          <w:rFonts w:ascii="Book Antiqua" w:hAnsi="Book Antiqua" w:cs="Tahoma"/>
          <w:sz w:val="24"/>
          <w:szCs w:val="24"/>
          <w:vertAlign w:val="superscript"/>
          <w:lang w:val="en-US"/>
        </w:rPr>
        <w:t>6</w:t>
      </w:r>
      <w:r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 xml:space="preserve"> with and incidence of stricture around 18%.</w:t>
      </w:r>
    </w:p>
    <w:p w:rsidR="00C774E8" w:rsidRPr="00E52223" w:rsidRDefault="00C774E8" w:rsidP="00F87B0F">
      <w:pPr>
        <w:widowControl w:val="0"/>
        <w:autoSpaceDE w:val="0"/>
        <w:autoSpaceDN w:val="0"/>
        <w:adjustRightInd w:val="0"/>
        <w:jc w:val="both"/>
        <w:rPr>
          <w:rFonts w:ascii="Book Antiqua" w:hAnsi="Book Antiqua"/>
          <w:color w:val="231F20"/>
          <w:sz w:val="24"/>
          <w:szCs w:val="24"/>
          <w:lang w:val="en-US" w:eastAsia="es-ES_tradnl" w:bidi="ar-SA"/>
        </w:rPr>
      </w:pPr>
    </w:p>
    <w:p w:rsidR="00C774E8" w:rsidRPr="00E52223" w:rsidRDefault="002240A0" w:rsidP="00F87B0F">
      <w:pPr>
        <w:spacing w:line="360" w:lineRule="auto"/>
        <w:jc w:val="both"/>
        <w:rPr>
          <w:rFonts w:ascii="Book Antiqua" w:hAnsi="Book Antiqua"/>
          <w:b/>
          <w:sz w:val="24"/>
          <w:szCs w:val="24"/>
          <w:lang w:val="en-GB" w:eastAsia="zh-CN"/>
        </w:rPr>
      </w:pPr>
      <w:r>
        <w:rPr>
          <w:rFonts w:ascii="Book Antiqua" w:hAnsi="Book Antiqua"/>
          <w:b/>
          <w:sz w:val="24"/>
          <w:szCs w:val="24"/>
          <w:lang w:val="en-GB"/>
        </w:rPr>
        <w:t>CONCLUSION</w:t>
      </w:r>
    </w:p>
    <w:p w:rsidR="00054BAD" w:rsidRPr="00E52223" w:rsidRDefault="00054BAD" w:rsidP="00F87B0F">
      <w:pPr>
        <w:autoSpaceDE w:val="0"/>
        <w:autoSpaceDN w:val="0"/>
        <w:adjustRightInd w:val="0"/>
        <w:spacing w:line="360" w:lineRule="auto"/>
        <w:jc w:val="both"/>
        <w:rPr>
          <w:rFonts w:ascii="Book Antiqua" w:hAnsi="Book Antiqua" w:cs="Tahoma"/>
          <w:sz w:val="24"/>
          <w:szCs w:val="24"/>
          <w:lang w:val="en-US"/>
        </w:rPr>
      </w:pPr>
      <w:r w:rsidRPr="00E52223">
        <w:rPr>
          <w:rFonts w:ascii="Book Antiqua" w:hAnsi="Book Antiqua" w:cs="Tahoma"/>
          <w:sz w:val="24"/>
          <w:szCs w:val="24"/>
          <w:lang w:val="en-US"/>
        </w:rPr>
        <w:t>Significant technological advancements have led to a rapid expansion of the indications of therapeutic endoscopy, which carries a small, but significant, risk of complications. Adverse events associated with large endoscopic resections cannot be overlooked. To prevent these events we should close the submucosal exposure, although it is difficult to completely close ones &gt;</w:t>
      </w:r>
      <w:r w:rsidR="00422AC6" w:rsidRPr="00E52223">
        <w:rPr>
          <w:rFonts w:ascii="Book Antiqua" w:hAnsi="Book Antiqua" w:cs="Tahoma"/>
          <w:sz w:val="24"/>
          <w:szCs w:val="24"/>
          <w:lang w:val="en-US" w:eastAsia="zh-CN"/>
        </w:rPr>
        <w:t xml:space="preserve"> </w:t>
      </w:r>
      <w:r w:rsidRPr="00E52223">
        <w:rPr>
          <w:rFonts w:ascii="Book Antiqua" w:hAnsi="Book Antiqua" w:cs="Tahoma"/>
          <w:sz w:val="24"/>
          <w:szCs w:val="24"/>
          <w:lang w:val="en-US"/>
        </w:rPr>
        <w:t>30</w:t>
      </w:r>
      <w:r w:rsidR="00422AC6" w:rsidRPr="00E52223">
        <w:rPr>
          <w:rFonts w:ascii="Book Antiqua" w:hAnsi="Book Antiqua" w:cs="Tahoma"/>
          <w:sz w:val="24"/>
          <w:szCs w:val="24"/>
          <w:lang w:val="en-US" w:eastAsia="zh-CN"/>
        </w:rPr>
        <w:t xml:space="preserve"> </w:t>
      </w:r>
      <w:r w:rsidRPr="00E52223">
        <w:rPr>
          <w:rFonts w:ascii="Book Antiqua" w:hAnsi="Book Antiqua" w:cs="Tahoma"/>
          <w:sz w:val="24"/>
          <w:szCs w:val="24"/>
          <w:lang w:val="en-US"/>
        </w:rPr>
        <w:t>mm in diameter with clipping closure</w:t>
      </w:r>
      <w:r w:rsidRPr="00E52223">
        <w:rPr>
          <w:rFonts w:ascii="Book Antiqua" w:hAnsi="Book Antiqua" w:cs="Tahoma"/>
          <w:sz w:val="24"/>
          <w:szCs w:val="24"/>
          <w:vertAlign w:val="superscript"/>
          <w:lang w:val="en-US"/>
        </w:rPr>
        <w:t>[1</w:t>
      </w:r>
      <w:r w:rsidR="00977770" w:rsidRPr="00E52223">
        <w:rPr>
          <w:rFonts w:ascii="Book Antiqua" w:hAnsi="Book Antiqua" w:cs="Tahoma"/>
          <w:sz w:val="24"/>
          <w:szCs w:val="24"/>
          <w:vertAlign w:val="superscript"/>
          <w:lang w:val="en-US"/>
        </w:rPr>
        <w:t>7</w:t>
      </w:r>
      <w:r w:rsidRPr="00E52223">
        <w:rPr>
          <w:rFonts w:ascii="Book Antiqua" w:hAnsi="Book Antiqua" w:cs="Tahoma"/>
          <w:sz w:val="24"/>
          <w:szCs w:val="24"/>
          <w:vertAlign w:val="superscript"/>
          <w:lang w:val="en-US"/>
        </w:rPr>
        <w:t>]</w:t>
      </w:r>
      <w:r w:rsidRPr="00E52223">
        <w:rPr>
          <w:rFonts w:ascii="Book Antiqua" w:hAnsi="Book Antiqua" w:cs="Tahoma"/>
          <w:sz w:val="24"/>
          <w:szCs w:val="24"/>
          <w:lang w:val="en-US"/>
        </w:rPr>
        <w:t xml:space="preserve">. In our opinion, endoscopic shielding technique is a very promising method that does not require special or complex devices. Shielding large mucosal defects has been demonstrated in experimental models and in clinical practice with around one hundred patients included, showing effectiveness in the prevention of late complications (perforation, bleeding or </w:t>
      </w:r>
      <w:r w:rsidRPr="00E52223">
        <w:rPr>
          <w:rFonts w:ascii="Book Antiqua" w:hAnsi="Book Antiqua" w:cs="Tahoma"/>
          <w:sz w:val="24"/>
          <w:szCs w:val="24"/>
          <w:lang w:val="en-US"/>
        </w:rPr>
        <w:lastRenderedPageBreak/>
        <w:t>stricture). There are now different substances, sheets or hydrogels, with different mechanisms of action, which can be used as covering agents.  We believe that the use of a single gelling agent seems to have more advantages, as it is the simplest and quickest method to cover large lesions. Moreover, these agents typically have bioactive properties that can accelerate mucosal healing.</w:t>
      </w:r>
      <w:r w:rsidRPr="00E52223">
        <w:rPr>
          <w:rFonts w:ascii="Book Antiqua" w:hAnsi="Book Antiqua" w:cs="Tahoma"/>
          <w:color w:val="0070C0"/>
          <w:sz w:val="24"/>
          <w:szCs w:val="24"/>
          <w:lang w:val="en-US"/>
        </w:rPr>
        <w:t xml:space="preserve"> </w:t>
      </w:r>
      <w:r w:rsidRPr="00E52223">
        <w:rPr>
          <w:rFonts w:ascii="Book Antiqua" w:hAnsi="Book Antiqua" w:cs="Tahoma"/>
          <w:sz w:val="24"/>
          <w:szCs w:val="24"/>
          <w:lang w:val="en-US"/>
        </w:rPr>
        <w:t>However, larger prospective studies with control groups are needed to perform a comparison of the different substances.</w:t>
      </w:r>
    </w:p>
    <w:p w:rsidR="00C774E8" w:rsidRPr="00E52223" w:rsidDel="00751F53" w:rsidRDefault="00C774E8" w:rsidP="00F87B0F">
      <w:pPr>
        <w:widowControl w:val="0"/>
        <w:autoSpaceDE w:val="0"/>
        <w:autoSpaceDN w:val="0"/>
        <w:adjustRightInd w:val="0"/>
        <w:spacing w:line="360" w:lineRule="auto"/>
        <w:jc w:val="both"/>
        <w:rPr>
          <w:rFonts w:ascii="Book Antiqua" w:hAnsi="Book Antiqua"/>
          <w:sz w:val="24"/>
          <w:szCs w:val="24"/>
          <w:lang w:val="en-US" w:eastAsia="es-ES_tradnl" w:bidi="ar-SA"/>
        </w:rPr>
      </w:pPr>
    </w:p>
    <w:p w:rsidR="00422AC6" w:rsidRPr="00E52223" w:rsidRDefault="00422AC6" w:rsidP="00F87B0F">
      <w:pPr>
        <w:rPr>
          <w:rFonts w:ascii="Book Antiqua" w:hAnsi="Book Antiqua"/>
          <w:b/>
          <w:sz w:val="24"/>
          <w:szCs w:val="24"/>
          <w:lang w:val="en-GB"/>
        </w:rPr>
      </w:pPr>
      <w:r w:rsidRPr="00E52223">
        <w:rPr>
          <w:rFonts w:ascii="Book Antiqua" w:hAnsi="Book Antiqua"/>
          <w:b/>
          <w:sz w:val="24"/>
          <w:szCs w:val="24"/>
          <w:lang w:val="en-GB"/>
        </w:rPr>
        <w:br w:type="page"/>
      </w:r>
    </w:p>
    <w:p w:rsidR="007B02B3" w:rsidRDefault="00C774E8" w:rsidP="00F87B0F">
      <w:pPr>
        <w:spacing w:line="360" w:lineRule="auto"/>
        <w:jc w:val="both"/>
        <w:rPr>
          <w:rFonts w:ascii="Book Antiqua" w:hAnsi="Book Antiqua"/>
          <w:sz w:val="24"/>
          <w:szCs w:val="24"/>
          <w:lang w:eastAsia="zh-CN"/>
        </w:rPr>
      </w:pPr>
      <w:r w:rsidRPr="00E52223">
        <w:rPr>
          <w:rFonts w:ascii="Book Antiqua" w:hAnsi="Book Antiqua"/>
          <w:b/>
          <w:sz w:val="24"/>
          <w:szCs w:val="24"/>
          <w:lang w:val="en-GB"/>
        </w:rPr>
        <w:lastRenderedPageBreak/>
        <w:t>REFERENCES</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1 </w:t>
      </w:r>
      <w:r w:rsidRPr="00E666A8">
        <w:rPr>
          <w:rFonts w:ascii="Book Antiqua" w:hAnsi="Book Antiqua" w:cs="SimSun"/>
          <w:b/>
          <w:bCs/>
          <w:sz w:val="24"/>
          <w:szCs w:val="24"/>
        </w:rPr>
        <w:t>Paspatis GA</w:t>
      </w:r>
      <w:r w:rsidRPr="00E666A8">
        <w:rPr>
          <w:rFonts w:ascii="Book Antiqua" w:hAnsi="Book Antiqua" w:cs="SimSun"/>
          <w:sz w:val="24"/>
          <w:szCs w:val="24"/>
        </w:rPr>
        <w:t>, Dumonceau JM, Barthet M, Meisner S, Repici A, Saunders BP, Vezakis A, Gonzalez JM, Turino SY, Tsiamoulos ZP, Fockens P, Hassan C. Diagnosis and management of iatrogenic endoscopic perforations: European Society of Gastrointestinal Endoscopy (ESGE) Position Statement. </w:t>
      </w:r>
      <w:r w:rsidRPr="00E666A8">
        <w:rPr>
          <w:rFonts w:ascii="Book Antiqua" w:hAnsi="Book Antiqua" w:cs="SimSun"/>
          <w:i/>
          <w:iCs/>
          <w:sz w:val="24"/>
          <w:szCs w:val="24"/>
        </w:rPr>
        <w:t>Endoscopy</w:t>
      </w:r>
      <w:r w:rsidRPr="00E666A8">
        <w:rPr>
          <w:rFonts w:ascii="Book Antiqua" w:hAnsi="Book Antiqua" w:cs="SimSun"/>
          <w:sz w:val="24"/>
          <w:szCs w:val="24"/>
        </w:rPr>
        <w:t> 2014; </w:t>
      </w:r>
      <w:r w:rsidRPr="00E666A8">
        <w:rPr>
          <w:rFonts w:ascii="Book Antiqua" w:hAnsi="Book Antiqua" w:cs="SimSun"/>
          <w:b/>
          <w:bCs/>
          <w:sz w:val="24"/>
          <w:szCs w:val="24"/>
        </w:rPr>
        <w:t>46</w:t>
      </w:r>
      <w:r w:rsidRPr="00E666A8">
        <w:rPr>
          <w:rFonts w:ascii="Book Antiqua" w:hAnsi="Book Antiqua" w:cs="SimSun"/>
          <w:sz w:val="24"/>
          <w:szCs w:val="24"/>
        </w:rPr>
        <w:t>: 693-711 [PMID: 25046348 DOI: 10.1055/s-0034-1377531]</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2 </w:t>
      </w:r>
      <w:r w:rsidRPr="00E666A8">
        <w:rPr>
          <w:rFonts w:ascii="Book Antiqua" w:hAnsi="Book Antiqua" w:cs="SimSun"/>
          <w:b/>
          <w:bCs/>
          <w:sz w:val="24"/>
          <w:szCs w:val="24"/>
        </w:rPr>
        <w:t>Toyonaga T</w:t>
      </w:r>
      <w:r w:rsidRPr="00E666A8">
        <w:rPr>
          <w:rFonts w:ascii="Book Antiqua" w:hAnsi="Book Antiqua" w:cs="SimSun"/>
          <w:sz w:val="24"/>
          <w:szCs w:val="24"/>
        </w:rPr>
        <w:t>, Man-i M, East JE, Nishino E, Ono W, Hirooka T, Ueda C, Iwata Y, Sugiyama T, Dozaiku T, Hirooka T, Fujita T, Inokuchi H, Azuma T. 1,635 Endoscopic submucosal dissection cases in the esophagus, stomach, and colorectum: complication rates and long-term outcomes. </w:t>
      </w:r>
      <w:r w:rsidRPr="00E666A8">
        <w:rPr>
          <w:rFonts w:ascii="Book Antiqua" w:hAnsi="Book Antiqua" w:cs="SimSun"/>
          <w:i/>
          <w:iCs/>
          <w:sz w:val="24"/>
          <w:szCs w:val="24"/>
        </w:rPr>
        <w:t>Surg Endosc</w:t>
      </w:r>
      <w:r w:rsidRPr="00E666A8">
        <w:rPr>
          <w:rFonts w:ascii="Book Antiqua" w:hAnsi="Book Antiqua" w:cs="SimSun"/>
          <w:sz w:val="24"/>
          <w:szCs w:val="24"/>
        </w:rPr>
        <w:t> 2013; </w:t>
      </w:r>
      <w:r w:rsidRPr="00E666A8">
        <w:rPr>
          <w:rFonts w:ascii="Book Antiqua" w:hAnsi="Book Antiqua" w:cs="SimSun"/>
          <w:b/>
          <w:bCs/>
          <w:sz w:val="24"/>
          <w:szCs w:val="24"/>
        </w:rPr>
        <w:t>27</w:t>
      </w:r>
      <w:r w:rsidRPr="00E666A8">
        <w:rPr>
          <w:rFonts w:ascii="Book Antiqua" w:hAnsi="Book Antiqua" w:cs="SimSun"/>
          <w:sz w:val="24"/>
          <w:szCs w:val="24"/>
        </w:rPr>
        <w:t>: 1000-1008 [PMID: 23052530 DOI: 10.1007/s00464-012-2555-2]</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3 </w:t>
      </w:r>
      <w:r w:rsidRPr="00E666A8">
        <w:rPr>
          <w:rFonts w:ascii="Book Antiqua" w:hAnsi="Book Antiqua" w:cs="SimSun"/>
          <w:b/>
          <w:bCs/>
          <w:sz w:val="24"/>
          <w:szCs w:val="24"/>
        </w:rPr>
        <w:t>Takimoto K</w:t>
      </w:r>
      <w:r w:rsidRPr="00E666A8">
        <w:rPr>
          <w:rFonts w:ascii="Book Antiqua" w:hAnsi="Book Antiqua" w:cs="SimSun"/>
          <w:sz w:val="24"/>
          <w:szCs w:val="24"/>
        </w:rPr>
        <w:t>, Toyonaga T, Matsuyama K. Endoscopic tissue shielding to prevent delayed perforation associated with endoscopic submucosal dissection for duodenal neoplasms. </w:t>
      </w:r>
      <w:r w:rsidRPr="00E666A8">
        <w:rPr>
          <w:rFonts w:ascii="Book Antiqua" w:hAnsi="Book Antiqua" w:cs="SimSun"/>
          <w:i/>
          <w:iCs/>
          <w:sz w:val="24"/>
          <w:szCs w:val="24"/>
        </w:rPr>
        <w:t>Endoscopy</w:t>
      </w:r>
      <w:r w:rsidRPr="00E666A8">
        <w:rPr>
          <w:rFonts w:ascii="Book Antiqua" w:hAnsi="Book Antiqua" w:cs="SimSun"/>
          <w:sz w:val="24"/>
          <w:szCs w:val="24"/>
        </w:rPr>
        <w:t> 2012; </w:t>
      </w:r>
      <w:r w:rsidRPr="00E666A8">
        <w:rPr>
          <w:rFonts w:ascii="Book Antiqua" w:hAnsi="Book Antiqua" w:cs="SimSun"/>
          <w:b/>
          <w:bCs/>
          <w:sz w:val="24"/>
          <w:szCs w:val="24"/>
        </w:rPr>
        <w:t xml:space="preserve">44 </w:t>
      </w:r>
      <w:r w:rsidRPr="00E666A8">
        <w:rPr>
          <w:rFonts w:ascii="Book Antiqua" w:hAnsi="Book Antiqua" w:cs="SimSun"/>
          <w:bCs/>
          <w:sz w:val="24"/>
          <w:szCs w:val="24"/>
        </w:rPr>
        <w:t>Suppl 2 UCTN</w:t>
      </w:r>
      <w:r w:rsidRPr="00E666A8">
        <w:rPr>
          <w:rFonts w:ascii="Book Antiqua" w:hAnsi="Book Antiqua" w:cs="SimSun"/>
          <w:sz w:val="24"/>
          <w:szCs w:val="24"/>
        </w:rPr>
        <w:t>: E414-E415 [PMID: 23169042 DOI: 10.1055/s-0032-1325739]</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4 </w:t>
      </w:r>
      <w:r w:rsidRPr="00E666A8">
        <w:rPr>
          <w:rFonts w:ascii="Book Antiqua" w:hAnsi="Book Antiqua" w:cs="SimSun"/>
          <w:b/>
          <w:bCs/>
          <w:sz w:val="24"/>
          <w:szCs w:val="24"/>
        </w:rPr>
        <w:t>Maeng JH</w:t>
      </w:r>
      <w:r w:rsidRPr="00E666A8">
        <w:rPr>
          <w:rFonts w:ascii="Book Antiqua" w:hAnsi="Book Antiqua" w:cs="SimSun"/>
          <w:sz w:val="24"/>
          <w:szCs w:val="24"/>
        </w:rPr>
        <w:t>, Bang BW, Lee E, Kim J, Kim HG, Lee DH, Yang SG. Endoscopic application of EGF-chitosan hydrogel for precipitated healing of GI peptic ulcers and mucosectomy-induced ulcers. </w:t>
      </w:r>
      <w:r w:rsidRPr="00E666A8">
        <w:rPr>
          <w:rFonts w:ascii="Book Antiqua" w:hAnsi="Book Antiqua" w:cs="SimSun"/>
          <w:i/>
          <w:iCs/>
          <w:sz w:val="24"/>
          <w:szCs w:val="24"/>
        </w:rPr>
        <w:t>J Mater Sci Mater Med</w:t>
      </w:r>
      <w:r w:rsidRPr="00E666A8">
        <w:rPr>
          <w:rFonts w:ascii="Book Antiqua" w:hAnsi="Book Antiqua" w:cs="SimSun"/>
          <w:sz w:val="24"/>
          <w:szCs w:val="24"/>
        </w:rPr>
        <w:t> 2014; </w:t>
      </w:r>
      <w:r w:rsidRPr="00E666A8">
        <w:rPr>
          <w:rFonts w:ascii="Book Antiqua" w:hAnsi="Book Antiqua" w:cs="SimSun"/>
          <w:b/>
          <w:bCs/>
          <w:sz w:val="24"/>
          <w:szCs w:val="24"/>
        </w:rPr>
        <w:t>25</w:t>
      </w:r>
      <w:r w:rsidRPr="00E666A8">
        <w:rPr>
          <w:rFonts w:ascii="Book Antiqua" w:hAnsi="Book Antiqua" w:cs="SimSun"/>
          <w:sz w:val="24"/>
          <w:szCs w:val="24"/>
        </w:rPr>
        <w:t>: 573-582 [PMID: 24338378 DOI: 10.1007/s10856-013-5088-x]</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5 </w:t>
      </w:r>
      <w:r w:rsidRPr="00E666A8">
        <w:rPr>
          <w:rFonts w:ascii="Book Antiqua" w:hAnsi="Book Antiqua" w:cs="SimSun"/>
          <w:b/>
          <w:bCs/>
          <w:sz w:val="24"/>
          <w:szCs w:val="24"/>
        </w:rPr>
        <w:t>Takao T</w:t>
      </w:r>
      <w:r w:rsidRPr="00E666A8">
        <w:rPr>
          <w:rFonts w:ascii="Book Antiqua" w:hAnsi="Book Antiqua" w:cs="SimSun"/>
          <w:sz w:val="24"/>
          <w:szCs w:val="24"/>
        </w:rPr>
        <w:t>, Takegawa Y, Shinya N, Tsudomi K, Oka S, Ono H. Tissue shielding with polyglycolic acid sheets and fibrin glue on ulcers induced by endoscopic submucosal dissection in a porcine model. </w:t>
      </w:r>
      <w:r w:rsidRPr="00E666A8">
        <w:rPr>
          <w:rFonts w:ascii="Book Antiqua" w:hAnsi="Book Antiqua" w:cs="SimSun"/>
          <w:i/>
          <w:iCs/>
          <w:sz w:val="24"/>
          <w:szCs w:val="24"/>
        </w:rPr>
        <w:t>Endosc Int Open</w:t>
      </w:r>
      <w:r w:rsidRPr="00E666A8">
        <w:rPr>
          <w:rFonts w:ascii="Book Antiqua" w:hAnsi="Book Antiqua" w:cs="SimSun"/>
          <w:sz w:val="24"/>
          <w:szCs w:val="24"/>
        </w:rPr>
        <w:t> 2015; </w:t>
      </w:r>
      <w:r w:rsidRPr="00E666A8">
        <w:rPr>
          <w:rFonts w:ascii="Book Antiqua" w:hAnsi="Book Antiqua" w:cs="SimSun"/>
          <w:b/>
          <w:bCs/>
          <w:sz w:val="24"/>
          <w:szCs w:val="24"/>
        </w:rPr>
        <w:t>3</w:t>
      </w:r>
      <w:r w:rsidRPr="00E666A8">
        <w:rPr>
          <w:rFonts w:ascii="Book Antiqua" w:hAnsi="Book Antiqua" w:cs="SimSun"/>
          <w:sz w:val="24"/>
          <w:szCs w:val="24"/>
        </w:rPr>
        <w:t>: E146-E151 [PMID: 26135658 DOI: 10.1055/s-0034-1391391]</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6 </w:t>
      </w:r>
      <w:r w:rsidRPr="00E666A8">
        <w:rPr>
          <w:rFonts w:ascii="Book Antiqua" w:hAnsi="Book Antiqua" w:cs="SimSun"/>
          <w:b/>
          <w:bCs/>
          <w:sz w:val="24"/>
          <w:szCs w:val="24"/>
        </w:rPr>
        <w:t>Hiroyuki T</w:t>
      </w:r>
      <w:r w:rsidRPr="00E666A8">
        <w:rPr>
          <w:rFonts w:ascii="Book Antiqua" w:hAnsi="Book Antiqua" w:cs="SimSun"/>
          <w:sz w:val="24"/>
          <w:szCs w:val="24"/>
        </w:rPr>
        <w:t>, Kohki Y, Hiroe M, Tsunehito H, Rie A, Shota T, Hiroko T, Yuki O, Takagi T, Kengo T, Takashi T, Hideyuki K, Hideki T, Akeo H. A basic study of the effect of the shielding method with polyglycolic acid fabric and fibrin glue after endoscopic submucosal dissection. </w:t>
      </w:r>
      <w:r w:rsidRPr="00E666A8">
        <w:rPr>
          <w:rFonts w:ascii="Book Antiqua" w:hAnsi="Book Antiqua" w:cs="SimSun"/>
          <w:i/>
          <w:iCs/>
          <w:sz w:val="24"/>
          <w:szCs w:val="24"/>
        </w:rPr>
        <w:t>Endosc Int Open</w:t>
      </w:r>
      <w:r w:rsidRPr="00E666A8">
        <w:rPr>
          <w:rFonts w:ascii="Book Antiqua" w:hAnsi="Book Antiqua" w:cs="SimSun"/>
          <w:sz w:val="24"/>
          <w:szCs w:val="24"/>
        </w:rPr>
        <w:t> 2016; </w:t>
      </w:r>
      <w:r w:rsidRPr="00E666A8">
        <w:rPr>
          <w:rFonts w:ascii="Book Antiqua" w:hAnsi="Book Antiqua" w:cs="SimSun"/>
          <w:b/>
          <w:bCs/>
          <w:sz w:val="24"/>
          <w:szCs w:val="24"/>
        </w:rPr>
        <w:t>4</w:t>
      </w:r>
      <w:r w:rsidRPr="00E666A8">
        <w:rPr>
          <w:rFonts w:ascii="Book Antiqua" w:hAnsi="Book Antiqua" w:cs="SimSun"/>
          <w:sz w:val="24"/>
          <w:szCs w:val="24"/>
        </w:rPr>
        <w:t>: E1298-E1304 [PMID: 27995192 DOI: 10.1055/s-0042-118208]</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7 </w:t>
      </w:r>
      <w:r w:rsidRPr="00E666A8">
        <w:rPr>
          <w:rFonts w:ascii="Book Antiqua" w:hAnsi="Book Antiqua" w:cs="SimSun"/>
          <w:b/>
          <w:bCs/>
          <w:sz w:val="24"/>
          <w:szCs w:val="24"/>
        </w:rPr>
        <w:t>Lorenzo-Zúñiga V</w:t>
      </w:r>
      <w:r w:rsidRPr="00E666A8">
        <w:rPr>
          <w:rFonts w:ascii="Book Antiqua" w:hAnsi="Book Antiqua" w:cs="SimSun"/>
          <w:sz w:val="24"/>
          <w:szCs w:val="24"/>
        </w:rPr>
        <w:t xml:space="preserve">, Boix J, Moreno de Vega V, Bon I, Marín I, Bartolí R. Efficacy of platelet-rich plasma as a shielding technique after endoscopic </w:t>
      </w:r>
      <w:r w:rsidRPr="00E666A8">
        <w:rPr>
          <w:rFonts w:ascii="Book Antiqua" w:hAnsi="Book Antiqua" w:cs="SimSun"/>
          <w:sz w:val="24"/>
          <w:szCs w:val="24"/>
        </w:rPr>
        <w:lastRenderedPageBreak/>
        <w:t>mucosal resection in rat and porcine models. </w:t>
      </w:r>
      <w:r w:rsidRPr="00E666A8">
        <w:rPr>
          <w:rFonts w:ascii="Book Antiqua" w:hAnsi="Book Antiqua" w:cs="SimSun"/>
          <w:i/>
          <w:iCs/>
          <w:sz w:val="24"/>
          <w:szCs w:val="24"/>
        </w:rPr>
        <w:t>Endosc Int Open</w:t>
      </w:r>
      <w:r w:rsidRPr="00E666A8">
        <w:rPr>
          <w:rFonts w:ascii="Book Antiqua" w:hAnsi="Book Antiqua" w:cs="SimSun"/>
          <w:sz w:val="24"/>
          <w:szCs w:val="24"/>
        </w:rPr>
        <w:t> 2016; </w:t>
      </w:r>
      <w:r w:rsidRPr="00E666A8">
        <w:rPr>
          <w:rFonts w:ascii="Book Antiqua" w:hAnsi="Book Antiqua" w:cs="SimSun"/>
          <w:b/>
          <w:bCs/>
          <w:sz w:val="24"/>
          <w:szCs w:val="24"/>
        </w:rPr>
        <w:t>4</w:t>
      </w:r>
      <w:r w:rsidRPr="00E666A8">
        <w:rPr>
          <w:rFonts w:ascii="Book Antiqua" w:hAnsi="Book Antiqua" w:cs="SimSun"/>
          <w:sz w:val="24"/>
          <w:szCs w:val="24"/>
        </w:rPr>
        <w:t>: E859-E864 [PMID: 27540573 DOI: 10.1055/s-0042-109170]</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8 </w:t>
      </w:r>
      <w:r w:rsidRPr="00E666A8">
        <w:rPr>
          <w:rFonts w:ascii="Book Antiqua" w:hAnsi="Book Antiqua" w:cs="SimSun"/>
          <w:b/>
          <w:bCs/>
          <w:sz w:val="24"/>
          <w:szCs w:val="24"/>
        </w:rPr>
        <w:t>Lorenzo-Zúñiga V</w:t>
      </w:r>
      <w:r w:rsidRPr="00E666A8">
        <w:rPr>
          <w:rFonts w:ascii="Book Antiqua" w:hAnsi="Book Antiqua" w:cs="SimSun"/>
          <w:sz w:val="24"/>
          <w:szCs w:val="24"/>
        </w:rPr>
        <w:t>, Boix J, Moreno de Vega V, Bon I, Marín I, Bartolí R. Endoscopic shielding technique with a newly developed hydrogel to prevent thermal injury in two experimental models. </w:t>
      </w:r>
      <w:r w:rsidRPr="00E666A8">
        <w:rPr>
          <w:rFonts w:ascii="Book Antiqua" w:hAnsi="Book Antiqua" w:cs="SimSun"/>
          <w:i/>
          <w:iCs/>
          <w:sz w:val="24"/>
          <w:szCs w:val="24"/>
        </w:rPr>
        <w:t>Dig Endosc</w:t>
      </w:r>
      <w:r w:rsidRPr="00E666A8">
        <w:rPr>
          <w:rFonts w:ascii="Book Antiqua" w:hAnsi="Book Antiqua" w:cs="SimSun"/>
          <w:sz w:val="24"/>
          <w:szCs w:val="24"/>
        </w:rPr>
        <w:t> 2017;</w:t>
      </w:r>
      <w:r w:rsidRPr="00E666A8">
        <w:t xml:space="preserve"> </w:t>
      </w:r>
      <w:r w:rsidRPr="00E666A8">
        <w:rPr>
          <w:rFonts w:ascii="Book Antiqua" w:hAnsi="Book Antiqua" w:cs="SimSun"/>
          <w:sz w:val="24"/>
          <w:szCs w:val="24"/>
        </w:rPr>
        <w:t xml:space="preserve">Epub ahead of print [PMID: </w:t>
      </w:r>
      <w:bookmarkStart w:id="44" w:name="OLE_LINK214"/>
      <w:bookmarkStart w:id="45" w:name="OLE_LINK215"/>
      <w:r w:rsidRPr="00E666A8">
        <w:rPr>
          <w:rFonts w:ascii="Book Antiqua" w:hAnsi="Book Antiqua" w:cs="SimSun"/>
          <w:sz w:val="24"/>
          <w:szCs w:val="24"/>
        </w:rPr>
        <w:t xml:space="preserve">28294423 </w:t>
      </w:r>
      <w:bookmarkEnd w:id="44"/>
      <w:bookmarkEnd w:id="45"/>
      <w:r w:rsidRPr="00E666A8">
        <w:rPr>
          <w:rFonts w:ascii="Book Antiqua" w:hAnsi="Book Antiqua" w:cs="SimSun"/>
          <w:sz w:val="24"/>
          <w:szCs w:val="24"/>
        </w:rPr>
        <w:t>DOI: 10.111/den.12864]</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9 </w:t>
      </w:r>
      <w:r w:rsidRPr="00E666A8">
        <w:rPr>
          <w:rFonts w:ascii="Book Antiqua" w:hAnsi="Book Antiqua" w:cs="SimSun"/>
          <w:b/>
          <w:bCs/>
          <w:sz w:val="24"/>
          <w:szCs w:val="24"/>
        </w:rPr>
        <w:t>Doyama H</w:t>
      </w:r>
      <w:r w:rsidRPr="00E666A8">
        <w:rPr>
          <w:rFonts w:ascii="Book Antiqua" w:hAnsi="Book Antiqua" w:cs="SimSun"/>
          <w:sz w:val="24"/>
          <w:szCs w:val="24"/>
        </w:rPr>
        <w:t>, Tominaga K, Yoshida N, Takemura K, Yamada S. Endoscopic tissue shielding with polyglycolic acid sheets, fibrin glue and clips to prevent delayed perforation after duodenal endoscopic resection. </w:t>
      </w:r>
      <w:r w:rsidRPr="00E666A8">
        <w:rPr>
          <w:rFonts w:ascii="Book Antiqua" w:hAnsi="Book Antiqua" w:cs="SimSun"/>
          <w:i/>
          <w:iCs/>
          <w:sz w:val="24"/>
          <w:szCs w:val="24"/>
        </w:rPr>
        <w:t>Dig Endosc</w:t>
      </w:r>
      <w:r w:rsidRPr="00E666A8">
        <w:rPr>
          <w:rFonts w:ascii="Book Antiqua" w:hAnsi="Book Antiqua" w:cs="SimSun"/>
          <w:sz w:val="24"/>
          <w:szCs w:val="24"/>
        </w:rPr>
        <w:t> 2014; </w:t>
      </w:r>
      <w:r w:rsidRPr="00E666A8">
        <w:rPr>
          <w:rFonts w:ascii="Book Antiqua" w:hAnsi="Book Antiqua" w:cs="SimSun"/>
          <w:b/>
          <w:bCs/>
          <w:sz w:val="24"/>
          <w:szCs w:val="24"/>
        </w:rPr>
        <w:t xml:space="preserve">26 </w:t>
      </w:r>
      <w:r w:rsidRPr="00E666A8">
        <w:rPr>
          <w:rFonts w:ascii="Book Antiqua" w:hAnsi="Book Antiqua" w:cs="SimSun"/>
          <w:bCs/>
          <w:sz w:val="24"/>
          <w:szCs w:val="24"/>
        </w:rPr>
        <w:t>Suppl 2</w:t>
      </w:r>
      <w:r w:rsidRPr="00E666A8">
        <w:rPr>
          <w:rFonts w:ascii="Book Antiqua" w:hAnsi="Book Antiqua" w:cs="SimSun"/>
          <w:sz w:val="24"/>
          <w:szCs w:val="24"/>
        </w:rPr>
        <w:t>: 41-45 [PMID: 24750147 DOI: 10.1111/den.12253]</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10 </w:t>
      </w:r>
      <w:r w:rsidRPr="00E666A8">
        <w:rPr>
          <w:rFonts w:ascii="Book Antiqua" w:hAnsi="Book Antiqua" w:cs="SimSun"/>
          <w:b/>
          <w:bCs/>
          <w:sz w:val="24"/>
          <w:szCs w:val="24"/>
        </w:rPr>
        <w:t>Takimoto K</w:t>
      </w:r>
      <w:r w:rsidRPr="00E666A8">
        <w:rPr>
          <w:rFonts w:ascii="Book Antiqua" w:hAnsi="Book Antiqua" w:cs="SimSun"/>
          <w:sz w:val="24"/>
          <w:szCs w:val="24"/>
        </w:rPr>
        <w:t>, Imai Y, Matsuyama K. Endoscopic tissue shielding method with polyglycolic acid sheets and fibrin glue to prevent delayed perforation after duodenal endoscopic submucosal dissection. </w:t>
      </w:r>
      <w:r w:rsidRPr="00E666A8">
        <w:rPr>
          <w:rFonts w:ascii="Book Antiqua" w:hAnsi="Book Antiqua" w:cs="SimSun"/>
          <w:i/>
          <w:iCs/>
          <w:sz w:val="24"/>
          <w:szCs w:val="24"/>
        </w:rPr>
        <w:t>Dig Endosc</w:t>
      </w:r>
      <w:r w:rsidRPr="00E666A8">
        <w:rPr>
          <w:rFonts w:ascii="Book Antiqua" w:hAnsi="Book Antiqua" w:cs="SimSun"/>
          <w:sz w:val="24"/>
          <w:szCs w:val="24"/>
        </w:rPr>
        <w:t> 2014; </w:t>
      </w:r>
      <w:r w:rsidRPr="00E666A8">
        <w:rPr>
          <w:rFonts w:ascii="Book Antiqua" w:hAnsi="Book Antiqua" w:cs="SimSun"/>
          <w:b/>
          <w:bCs/>
          <w:sz w:val="24"/>
          <w:szCs w:val="24"/>
        </w:rPr>
        <w:t xml:space="preserve">26 </w:t>
      </w:r>
      <w:r w:rsidRPr="00E666A8">
        <w:rPr>
          <w:rFonts w:ascii="Book Antiqua" w:hAnsi="Book Antiqua" w:cs="SimSun"/>
          <w:bCs/>
          <w:sz w:val="24"/>
          <w:szCs w:val="24"/>
        </w:rPr>
        <w:t>Suppl 2</w:t>
      </w:r>
      <w:r w:rsidRPr="00E666A8">
        <w:rPr>
          <w:rFonts w:ascii="Book Antiqua" w:hAnsi="Book Antiqua" w:cs="SimSun"/>
          <w:sz w:val="24"/>
          <w:szCs w:val="24"/>
        </w:rPr>
        <w:t>: 46-49 [PMID: 24750148 DOI: 10.1111/den.12280]</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11 </w:t>
      </w:r>
      <w:r w:rsidRPr="00E666A8">
        <w:rPr>
          <w:rFonts w:ascii="Book Antiqua" w:hAnsi="Book Antiqua" w:cs="SimSun"/>
          <w:b/>
          <w:bCs/>
          <w:sz w:val="24"/>
          <w:szCs w:val="24"/>
        </w:rPr>
        <w:t>Tsuji Y</w:t>
      </w:r>
      <w:r w:rsidRPr="00E666A8">
        <w:rPr>
          <w:rFonts w:ascii="Book Antiqua" w:hAnsi="Book Antiqua" w:cs="SimSun"/>
          <w:sz w:val="24"/>
          <w:szCs w:val="24"/>
        </w:rPr>
        <w:t>, Ohata K, Gunji T, Shozushima M, Hamanaka J, Ohno A, Ito T, Yamamichi N, Fujishiro M, Matsuhashi N, Koike K. Endoscopic tissue shielding method with polyglycolic acid sheets and fibrin glue to cover wounds after colorectal endoscopic submucosal dissection (with video). </w:t>
      </w:r>
      <w:r w:rsidRPr="00E666A8">
        <w:rPr>
          <w:rFonts w:ascii="Book Antiqua" w:hAnsi="Book Antiqua" w:cs="SimSun"/>
          <w:i/>
          <w:iCs/>
          <w:sz w:val="24"/>
          <w:szCs w:val="24"/>
        </w:rPr>
        <w:t>Gastrointest Endosc</w:t>
      </w:r>
      <w:r w:rsidRPr="00E666A8">
        <w:rPr>
          <w:rFonts w:ascii="Book Antiqua" w:hAnsi="Book Antiqua" w:cs="SimSun"/>
          <w:sz w:val="24"/>
          <w:szCs w:val="24"/>
        </w:rPr>
        <w:t> 2014; </w:t>
      </w:r>
      <w:r w:rsidRPr="00E666A8">
        <w:rPr>
          <w:rFonts w:ascii="Book Antiqua" w:hAnsi="Book Antiqua" w:cs="SimSun"/>
          <w:b/>
          <w:bCs/>
          <w:sz w:val="24"/>
          <w:szCs w:val="24"/>
        </w:rPr>
        <w:t>79</w:t>
      </w:r>
      <w:r w:rsidRPr="00E666A8">
        <w:rPr>
          <w:rFonts w:ascii="Book Antiqua" w:hAnsi="Book Antiqua" w:cs="SimSun"/>
          <w:sz w:val="24"/>
          <w:szCs w:val="24"/>
        </w:rPr>
        <w:t>: 151-155 [PMID: 24140128 DOI: 10.1016/j.gie.2013.08.041]</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12 </w:t>
      </w:r>
      <w:r w:rsidRPr="00E666A8">
        <w:rPr>
          <w:rFonts w:ascii="Book Antiqua" w:hAnsi="Book Antiqua" w:cs="SimSun"/>
          <w:b/>
          <w:bCs/>
          <w:sz w:val="24"/>
          <w:szCs w:val="24"/>
        </w:rPr>
        <w:t>Myung YS</w:t>
      </w:r>
      <w:r w:rsidRPr="00E666A8">
        <w:rPr>
          <w:rFonts w:ascii="Book Antiqua" w:hAnsi="Book Antiqua" w:cs="SimSun"/>
          <w:sz w:val="24"/>
          <w:szCs w:val="24"/>
        </w:rPr>
        <w:t>, Ko BM, Han JP, Hong SJ, Jeon SR, Kim JO, Moon JH, Lee MS. Effectiveness of Surgicel® (Fibrillar) in patients with colorectal endoscopic submucosal dissection. </w:t>
      </w:r>
      <w:r w:rsidRPr="00E666A8">
        <w:rPr>
          <w:rFonts w:ascii="Book Antiqua" w:hAnsi="Book Antiqua" w:cs="SimSun"/>
          <w:i/>
          <w:iCs/>
          <w:sz w:val="24"/>
          <w:szCs w:val="24"/>
        </w:rPr>
        <w:t>Surg Endosc</w:t>
      </w:r>
      <w:r w:rsidRPr="00E666A8">
        <w:rPr>
          <w:rFonts w:ascii="Book Antiqua" w:hAnsi="Book Antiqua" w:cs="SimSun"/>
          <w:sz w:val="24"/>
          <w:szCs w:val="24"/>
        </w:rPr>
        <w:t> 2016; </w:t>
      </w:r>
      <w:r w:rsidRPr="00E666A8">
        <w:rPr>
          <w:rFonts w:ascii="Book Antiqua" w:hAnsi="Book Antiqua" w:cs="SimSun"/>
          <w:b/>
          <w:bCs/>
          <w:sz w:val="24"/>
          <w:szCs w:val="24"/>
        </w:rPr>
        <w:t>30</w:t>
      </w:r>
      <w:r w:rsidRPr="00E666A8">
        <w:rPr>
          <w:rFonts w:ascii="Book Antiqua" w:hAnsi="Book Antiqua" w:cs="SimSun"/>
          <w:sz w:val="24"/>
          <w:szCs w:val="24"/>
        </w:rPr>
        <w:t>: 1534-1541 [PMID: 26201411 DOI: 10.1007/s00464-015-4369-5]</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13 </w:t>
      </w:r>
      <w:r w:rsidRPr="00E666A8">
        <w:rPr>
          <w:rFonts w:ascii="Book Antiqua" w:hAnsi="Book Antiqua" w:cs="SimSun"/>
          <w:b/>
          <w:bCs/>
          <w:sz w:val="24"/>
          <w:szCs w:val="24"/>
        </w:rPr>
        <w:t>Tsuji Y</w:t>
      </w:r>
      <w:r w:rsidRPr="00E666A8">
        <w:rPr>
          <w:rFonts w:ascii="Book Antiqua" w:hAnsi="Book Antiqua" w:cs="SimSun"/>
          <w:sz w:val="24"/>
          <w:szCs w:val="24"/>
        </w:rPr>
        <w:t>, Fujishiro M, Kodashima S, Ono S, Niimi K, Mochizuki S, Asada-Hirayama I, Matsuda R, Minatsuki C, Nakayama C, Takahashi Y, Sakaguchi Y, Yamamichi N, Koike K. Polyglycolic acid sheets and fibrin glue decrease the risk of bleeding after endoscopic submucosal dissection of gastric neoplasms (with video). </w:t>
      </w:r>
      <w:r w:rsidRPr="00E666A8">
        <w:rPr>
          <w:rFonts w:ascii="Book Antiqua" w:hAnsi="Book Antiqua" w:cs="SimSun"/>
          <w:i/>
          <w:iCs/>
          <w:sz w:val="24"/>
          <w:szCs w:val="24"/>
        </w:rPr>
        <w:t>Gastrointest Endosc</w:t>
      </w:r>
      <w:r w:rsidRPr="00E666A8">
        <w:rPr>
          <w:rFonts w:ascii="Book Antiqua" w:hAnsi="Book Antiqua" w:cs="SimSun"/>
          <w:sz w:val="24"/>
          <w:szCs w:val="24"/>
        </w:rPr>
        <w:t> 2015; </w:t>
      </w:r>
      <w:r w:rsidRPr="00E666A8">
        <w:rPr>
          <w:rFonts w:ascii="Book Antiqua" w:hAnsi="Book Antiqua" w:cs="SimSun"/>
          <w:b/>
          <w:bCs/>
          <w:sz w:val="24"/>
          <w:szCs w:val="24"/>
        </w:rPr>
        <w:t>81</w:t>
      </w:r>
      <w:r w:rsidRPr="00E666A8">
        <w:rPr>
          <w:rFonts w:ascii="Book Antiqua" w:hAnsi="Book Antiqua" w:cs="SimSun"/>
          <w:sz w:val="24"/>
          <w:szCs w:val="24"/>
        </w:rPr>
        <w:t>: 906-912 [PMID: 25440679 DOI: 10.1016/j.gie.2014.08.028]</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14 </w:t>
      </w:r>
      <w:r w:rsidRPr="00E666A8">
        <w:rPr>
          <w:rFonts w:ascii="Book Antiqua" w:hAnsi="Book Antiqua" w:cs="SimSun"/>
          <w:b/>
          <w:bCs/>
          <w:sz w:val="24"/>
          <w:szCs w:val="24"/>
        </w:rPr>
        <w:t>Takimoto K</w:t>
      </w:r>
      <w:r w:rsidRPr="00E666A8">
        <w:rPr>
          <w:rFonts w:ascii="Book Antiqua" w:hAnsi="Book Antiqua" w:cs="SimSun"/>
          <w:sz w:val="24"/>
          <w:szCs w:val="24"/>
        </w:rPr>
        <w:t xml:space="preserve">, Hagiwara A. Filling and shielding for postoperative gastric perforations of endoscopic submucosal dissection using polyglycolic acid sheets </w:t>
      </w:r>
      <w:r w:rsidRPr="00E666A8">
        <w:rPr>
          <w:rFonts w:ascii="Book Antiqua" w:hAnsi="Book Antiqua" w:cs="SimSun"/>
          <w:sz w:val="24"/>
          <w:szCs w:val="24"/>
        </w:rPr>
        <w:lastRenderedPageBreak/>
        <w:t>and fibrin glue. </w:t>
      </w:r>
      <w:r w:rsidRPr="00E666A8">
        <w:rPr>
          <w:rFonts w:ascii="Book Antiqua" w:hAnsi="Book Antiqua" w:cs="SimSun"/>
          <w:i/>
          <w:iCs/>
          <w:sz w:val="24"/>
          <w:szCs w:val="24"/>
        </w:rPr>
        <w:t>Endosc Int Open</w:t>
      </w:r>
      <w:r w:rsidRPr="00E666A8">
        <w:rPr>
          <w:rFonts w:ascii="Book Antiqua" w:hAnsi="Book Antiqua" w:cs="SimSun"/>
          <w:sz w:val="24"/>
          <w:szCs w:val="24"/>
        </w:rPr>
        <w:t> 2016; </w:t>
      </w:r>
      <w:r w:rsidRPr="00E666A8">
        <w:rPr>
          <w:rFonts w:ascii="Book Antiqua" w:hAnsi="Book Antiqua" w:cs="SimSun"/>
          <w:b/>
          <w:bCs/>
          <w:sz w:val="24"/>
          <w:szCs w:val="24"/>
        </w:rPr>
        <w:t>4</w:t>
      </w:r>
      <w:r w:rsidRPr="00E666A8">
        <w:rPr>
          <w:rFonts w:ascii="Book Antiqua" w:hAnsi="Book Antiqua" w:cs="SimSun"/>
          <w:sz w:val="24"/>
          <w:szCs w:val="24"/>
        </w:rPr>
        <w:t>: E661-E664 [PMID: 27556075 DOI: 10.1055/s-0042-105867]</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15 </w:t>
      </w:r>
      <w:r w:rsidRPr="00E666A8">
        <w:rPr>
          <w:rFonts w:ascii="Book Antiqua" w:hAnsi="Book Antiqua" w:cs="SimSun"/>
          <w:b/>
          <w:bCs/>
          <w:sz w:val="24"/>
          <w:szCs w:val="24"/>
        </w:rPr>
        <w:t>Sakaguchi Y</w:t>
      </w:r>
      <w:r w:rsidRPr="00E666A8">
        <w:rPr>
          <w:rFonts w:ascii="Book Antiqua" w:hAnsi="Book Antiqua" w:cs="SimSun"/>
          <w:sz w:val="24"/>
          <w:szCs w:val="24"/>
        </w:rPr>
        <w:t>, Tsuji Y, Fujishiro M, Kataoka Y, Takeuchi C, Yakabi S, Saito I, Shichijo S, Minatsuki C, Asada-Hirayama I, Yamaguchi D, Niimi K, Ono S, Kodashima S, Yamamichi N, Koike K. Triamcinolone Injection and Shielding with Polyglycolic Acid Sheets and Fibrin Glue for Postoperative Stricture Prevention after Esophageal Endoscopic Resection: A Pilot Study. </w:t>
      </w:r>
      <w:r w:rsidRPr="00E666A8">
        <w:rPr>
          <w:rFonts w:ascii="Book Antiqua" w:hAnsi="Book Antiqua" w:cs="SimSun"/>
          <w:i/>
          <w:iCs/>
          <w:sz w:val="24"/>
          <w:szCs w:val="24"/>
        </w:rPr>
        <w:t>Am J Gastroenterol</w:t>
      </w:r>
      <w:r w:rsidRPr="00E666A8">
        <w:rPr>
          <w:rFonts w:ascii="Book Antiqua" w:hAnsi="Book Antiqua" w:cs="SimSun"/>
          <w:sz w:val="24"/>
          <w:szCs w:val="24"/>
        </w:rPr>
        <w:t> 2016; </w:t>
      </w:r>
      <w:r w:rsidRPr="00E666A8">
        <w:rPr>
          <w:rFonts w:ascii="Book Antiqua" w:hAnsi="Book Antiqua" w:cs="SimSun"/>
          <w:b/>
          <w:bCs/>
          <w:sz w:val="24"/>
          <w:szCs w:val="24"/>
        </w:rPr>
        <w:t>111</w:t>
      </w:r>
      <w:r w:rsidRPr="00E666A8">
        <w:rPr>
          <w:rFonts w:ascii="Book Antiqua" w:hAnsi="Book Antiqua" w:cs="SimSun"/>
          <w:sz w:val="24"/>
          <w:szCs w:val="24"/>
        </w:rPr>
        <w:t>: 581-583 [PMID: 27125718 DOI: 10.1038/ajg.2016.60]</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16 </w:t>
      </w:r>
      <w:r w:rsidRPr="00E666A8">
        <w:rPr>
          <w:rFonts w:ascii="Book Antiqua" w:hAnsi="Book Antiqua" w:cs="SimSun"/>
          <w:b/>
          <w:bCs/>
          <w:sz w:val="24"/>
          <w:szCs w:val="24"/>
        </w:rPr>
        <w:t>Kataoka Y</w:t>
      </w:r>
      <w:r w:rsidRPr="00E666A8">
        <w:rPr>
          <w:rFonts w:ascii="Book Antiqua" w:hAnsi="Book Antiqua" w:cs="SimSun"/>
          <w:sz w:val="24"/>
          <w:szCs w:val="24"/>
        </w:rPr>
        <w:t>, Tsuji Y, Sakaguchi Y, Kodashima S, Yamamichi N, Fujishiro M, Koike K. Preventing esophageal stricture after endoscopic submucosal dissection: steroid injection and shielding with polyglycolic acid sheets and fibrin glue. </w:t>
      </w:r>
      <w:r w:rsidRPr="00E666A8">
        <w:rPr>
          <w:rFonts w:ascii="Book Antiqua" w:hAnsi="Book Antiqua" w:cs="SimSun"/>
          <w:i/>
          <w:iCs/>
          <w:sz w:val="24"/>
          <w:szCs w:val="24"/>
        </w:rPr>
        <w:t>Endoscopy</w:t>
      </w:r>
      <w:r w:rsidRPr="00E666A8">
        <w:rPr>
          <w:rFonts w:ascii="Book Antiqua" w:hAnsi="Book Antiqua" w:cs="SimSun"/>
          <w:sz w:val="24"/>
          <w:szCs w:val="24"/>
        </w:rPr>
        <w:t> 2015; </w:t>
      </w:r>
      <w:r w:rsidRPr="00E666A8">
        <w:rPr>
          <w:rFonts w:ascii="Book Antiqua" w:hAnsi="Book Antiqua" w:cs="SimSun"/>
          <w:b/>
          <w:bCs/>
          <w:sz w:val="24"/>
          <w:szCs w:val="24"/>
        </w:rPr>
        <w:t xml:space="preserve">47 </w:t>
      </w:r>
      <w:r w:rsidRPr="00E666A8">
        <w:rPr>
          <w:rFonts w:ascii="Book Antiqua" w:hAnsi="Book Antiqua" w:cs="SimSun"/>
          <w:bCs/>
          <w:sz w:val="24"/>
          <w:szCs w:val="24"/>
        </w:rPr>
        <w:t>Suppl 1 UCTN</w:t>
      </w:r>
      <w:r w:rsidRPr="00E666A8">
        <w:rPr>
          <w:rFonts w:ascii="Book Antiqua" w:hAnsi="Book Antiqua" w:cs="SimSun"/>
          <w:sz w:val="24"/>
          <w:szCs w:val="24"/>
        </w:rPr>
        <w:t>: E473-E474 [PMID: 26465191 DOI: 10.1055/s-0034-1392975]</w:t>
      </w:r>
    </w:p>
    <w:p w:rsidR="007B02B3" w:rsidRPr="00E666A8" w:rsidRDefault="007B02B3" w:rsidP="00F87B0F">
      <w:pPr>
        <w:spacing w:line="360" w:lineRule="auto"/>
        <w:jc w:val="both"/>
        <w:rPr>
          <w:rFonts w:ascii="Book Antiqua" w:hAnsi="Book Antiqua" w:cs="SimSun"/>
          <w:sz w:val="24"/>
          <w:szCs w:val="24"/>
        </w:rPr>
      </w:pPr>
      <w:r w:rsidRPr="00E666A8">
        <w:rPr>
          <w:rFonts w:ascii="Book Antiqua" w:hAnsi="Book Antiqua" w:cs="SimSun"/>
          <w:sz w:val="24"/>
          <w:szCs w:val="24"/>
        </w:rPr>
        <w:t>17 </w:t>
      </w:r>
      <w:r w:rsidRPr="00E666A8">
        <w:rPr>
          <w:rFonts w:ascii="Book Antiqua" w:hAnsi="Book Antiqua" w:cs="SimSun"/>
          <w:b/>
          <w:bCs/>
          <w:sz w:val="24"/>
          <w:szCs w:val="24"/>
        </w:rPr>
        <w:t>Liaquat H</w:t>
      </w:r>
      <w:r w:rsidRPr="00E666A8">
        <w:rPr>
          <w:rFonts w:ascii="Book Antiqua" w:hAnsi="Book Antiqua" w:cs="SimSun"/>
          <w:sz w:val="24"/>
          <w:szCs w:val="24"/>
        </w:rPr>
        <w:t>, Rohn E, Rex DK. Prophylactic clip closure reduced the risk of delayed postpolypectomy hemorrhage: experience in 277 clipped large sessile or flat colorectal lesions and 247 control lesions. </w:t>
      </w:r>
      <w:r w:rsidRPr="00E666A8">
        <w:rPr>
          <w:rFonts w:ascii="Book Antiqua" w:hAnsi="Book Antiqua" w:cs="SimSun"/>
          <w:i/>
          <w:iCs/>
          <w:sz w:val="24"/>
          <w:szCs w:val="24"/>
        </w:rPr>
        <w:t>Gastrointest Endosc</w:t>
      </w:r>
      <w:r w:rsidRPr="00E666A8">
        <w:rPr>
          <w:rFonts w:ascii="Book Antiqua" w:hAnsi="Book Antiqua" w:cs="SimSun"/>
          <w:sz w:val="24"/>
          <w:szCs w:val="24"/>
        </w:rPr>
        <w:t> 2013; </w:t>
      </w:r>
      <w:r w:rsidRPr="00E666A8">
        <w:rPr>
          <w:rFonts w:ascii="Book Antiqua" w:hAnsi="Book Antiqua" w:cs="SimSun"/>
          <w:b/>
          <w:bCs/>
          <w:sz w:val="24"/>
          <w:szCs w:val="24"/>
        </w:rPr>
        <w:t>77</w:t>
      </w:r>
      <w:r w:rsidRPr="00E666A8">
        <w:rPr>
          <w:rFonts w:ascii="Book Antiqua" w:hAnsi="Book Antiqua" w:cs="SimSun"/>
          <w:sz w:val="24"/>
          <w:szCs w:val="24"/>
        </w:rPr>
        <w:t>: 401-407 [PMID: 23317580 DOI: 10.1016/j.gie.2012.10.024]</w:t>
      </w:r>
    </w:p>
    <w:p w:rsidR="00C774E8" w:rsidRPr="00E52223" w:rsidRDefault="00C774E8" w:rsidP="00F87B0F">
      <w:pPr>
        <w:widowControl w:val="0"/>
        <w:autoSpaceDE w:val="0"/>
        <w:autoSpaceDN w:val="0"/>
        <w:adjustRightInd w:val="0"/>
        <w:spacing w:line="360" w:lineRule="auto"/>
        <w:jc w:val="both"/>
        <w:rPr>
          <w:rFonts w:ascii="Book Antiqua" w:hAnsi="Book Antiqua"/>
          <w:color w:val="FF0000"/>
          <w:sz w:val="24"/>
          <w:szCs w:val="24"/>
          <w:lang w:val="en-US" w:eastAsia="zh-CN" w:bidi="ar-SA"/>
        </w:rPr>
      </w:pPr>
    </w:p>
    <w:p w:rsidR="00E52223" w:rsidRPr="00E52223" w:rsidRDefault="00E52223" w:rsidP="00F87B0F">
      <w:pPr>
        <w:pStyle w:val="ListParagraph"/>
        <w:spacing w:line="360" w:lineRule="auto"/>
        <w:ind w:firstLineChars="0" w:firstLine="0"/>
        <w:rPr>
          <w:rFonts w:ascii="Book Antiqua" w:eastAsia="SimSun" w:hAnsi="Book Antiqua"/>
          <w:b/>
          <w:bCs/>
          <w:color w:val="000000"/>
          <w:szCs w:val="24"/>
          <w:lang w:eastAsia="zh-CN"/>
        </w:rPr>
      </w:pPr>
      <w:bookmarkStart w:id="46" w:name="OLE_LINK162"/>
      <w:bookmarkStart w:id="47" w:name="OLE_LINK198"/>
      <w:r w:rsidRPr="00E52223">
        <w:rPr>
          <w:rStyle w:val="Strong"/>
          <w:rFonts w:ascii="Book Antiqua" w:hAnsi="Book Antiqua" w:cs="Arial"/>
          <w:bCs w:val="0"/>
          <w:noProof/>
          <w:color w:val="000000"/>
          <w:szCs w:val="24"/>
        </w:rPr>
        <w:t>P-Reviewer</w:t>
      </w:r>
      <w:r w:rsidRPr="00E52223">
        <w:rPr>
          <w:rStyle w:val="Strong"/>
          <w:rFonts w:ascii="Book Antiqua" w:eastAsia="SimSun" w:hAnsi="Book Antiqua" w:cs="Arial"/>
          <w:bCs w:val="0"/>
          <w:noProof/>
          <w:color w:val="000000"/>
          <w:szCs w:val="24"/>
          <w:lang w:eastAsia="zh-CN"/>
        </w:rPr>
        <w:t>:</w:t>
      </w:r>
      <w:r w:rsidRPr="00E52223">
        <w:rPr>
          <w:rFonts w:ascii="Book Antiqua" w:hAnsi="Book Antiqua"/>
          <w:bCs/>
          <w:color w:val="000000"/>
          <w:szCs w:val="24"/>
        </w:rPr>
        <w:t xml:space="preserve"> </w:t>
      </w:r>
      <w:r w:rsidR="00E337D7" w:rsidRPr="00E337D7">
        <w:rPr>
          <w:rFonts w:ascii="Book Antiqua" w:hAnsi="Book Antiqua"/>
          <w:bCs/>
          <w:color w:val="000000"/>
          <w:szCs w:val="24"/>
        </w:rPr>
        <w:t>Phillips</w:t>
      </w:r>
      <w:r w:rsidR="00E337D7">
        <w:rPr>
          <w:rFonts w:ascii="Book Antiqua" w:eastAsiaTheme="minorEastAsia" w:hAnsi="Book Antiqua" w:hint="eastAsia"/>
          <w:bCs/>
          <w:color w:val="000000"/>
          <w:szCs w:val="24"/>
          <w:lang w:eastAsia="zh-CN"/>
        </w:rPr>
        <w:t xml:space="preserve"> </w:t>
      </w:r>
      <w:r w:rsidR="00E337D7" w:rsidRPr="00E337D7">
        <w:rPr>
          <w:rFonts w:ascii="Book Antiqua" w:hAnsi="Book Antiqua"/>
          <w:bCs/>
          <w:color w:val="000000"/>
          <w:szCs w:val="24"/>
        </w:rPr>
        <w:t>HN</w:t>
      </w:r>
      <w:r w:rsidR="00E337D7">
        <w:rPr>
          <w:rFonts w:ascii="Book Antiqua" w:eastAsiaTheme="minorEastAsia" w:hAnsi="Book Antiqua" w:hint="eastAsia"/>
          <w:bCs/>
          <w:color w:val="000000"/>
          <w:szCs w:val="24"/>
          <w:lang w:eastAsia="zh-CN"/>
        </w:rPr>
        <w:t>,</w:t>
      </w:r>
      <w:r w:rsidRPr="00E52223">
        <w:rPr>
          <w:rFonts w:ascii="Book Antiqua" w:hAnsi="Book Antiqua"/>
          <w:bCs/>
          <w:color w:val="000000"/>
          <w:szCs w:val="24"/>
        </w:rPr>
        <w:t xml:space="preserve"> </w:t>
      </w:r>
      <w:r w:rsidR="00E337D7" w:rsidRPr="00E337D7">
        <w:rPr>
          <w:rFonts w:ascii="Book Antiqua" w:hAnsi="Book Antiqua"/>
          <w:bCs/>
          <w:color w:val="000000"/>
          <w:szCs w:val="24"/>
        </w:rPr>
        <w:t>Tallon-Aguilar</w:t>
      </w:r>
      <w:r w:rsidR="00E337D7">
        <w:rPr>
          <w:rFonts w:ascii="Book Antiqua" w:eastAsiaTheme="minorEastAsia" w:hAnsi="Book Antiqua" w:hint="eastAsia"/>
          <w:bCs/>
          <w:color w:val="000000"/>
          <w:szCs w:val="24"/>
          <w:lang w:eastAsia="zh-CN"/>
        </w:rPr>
        <w:t xml:space="preserve"> </w:t>
      </w:r>
      <w:r w:rsidR="00E337D7" w:rsidRPr="00E337D7">
        <w:rPr>
          <w:rFonts w:ascii="Book Antiqua" w:hAnsi="Book Antiqua"/>
          <w:bCs/>
          <w:color w:val="000000"/>
          <w:szCs w:val="24"/>
        </w:rPr>
        <w:t>L</w:t>
      </w:r>
      <w:r w:rsidR="00E337D7">
        <w:rPr>
          <w:rFonts w:ascii="Book Antiqua" w:eastAsiaTheme="minorEastAsia" w:hAnsi="Book Antiqua" w:hint="eastAsia"/>
          <w:bCs/>
          <w:color w:val="000000"/>
          <w:szCs w:val="24"/>
          <w:lang w:eastAsia="zh-CN"/>
        </w:rPr>
        <w:t xml:space="preserve"> </w:t>
      </w:r>
      <w:r w:rsidRPr="00E52223">
        <w:rPr>
          <w:rFonts w:ascii="Book Antiqua" w:hAnsi="Book Antiqua"/>
          <w:b/>
          <w:bCs/>
          <w:color w:val="000000"/>
          <w:szCs w:val="24"/>
        </w:rPr>
        <w:t>S-Editor</w:t>
      </w:r>
      <w:r w:rsidRPr="00E52223">
        <w:rPr>
          <w:rFonts w:ascii="Book Antiqua" w:eastAsia="SimSun" w:hAnsi="Book Antiqua"/>
          <w:b/>
          <w:bCs/>
          <w:color w:val="000000"/>
          <w:szCs w:val="24"/>
          <w:lang w:eastAsia="zh-CN"/>
        </w:rPr>
        <w:t>:</w:t>
      </w:r>
      <w:r w:rsidRPr="00E52223">
        <w:rPr>
          <w:rFonts w:ascii="Book Antiqua" w:hAnsi="Book Antiqua"/>
          <w:bCs/>
          <w:color w:val="000000"/>
          <w:szCs w:val="24"/>
        </w:rPr>
        <w:t xml:space="preserve"> </w:t>
      </w:r>
      <w:r w:rsidRPr="00E52223">
        <w:rPr>
          <w:rFonts w:ascii="Book Antiqua" w:eastAsia="SimSun" w:hAnsi="Book Antiqua"/>
          <w:bCs/>
          <w:color w:val="000000"/>
          <w:szCs w:val="24"/>
          <w:lang w:eastAsia="zh-CN"/>
        </w:rPr>
        <w:t>Qi Y</w:t>
      </w:r>
      <w:r w:rsidRPr="00E52223">
        <w:rPr>
          <w:rFonts w:ascii="Book Antiqua" w:hAnsi="Book Antiqua"/>
          <w:b/>
          <w:bCs/>
          <w:color w:val="000000"/>
          <w:szCs w:val="24"/>
        </w:rPr>
        <w:t xml:space="preserve">   L-Editor</w:t>
      </w:r>
      <w:r w:rsidRPr="00E52223">
        <w:rPr>
          <w:rFonts w:ascii="Book Antiqua" w:eastAsia="SimSun" w:hAnsi="Book Antiqua"/>
          <w:b/>
          <w:bCs/>
          <w:color w:val="000000"/>
          <w:szCs w:val="24"/>
          <w:lang w:eastAsia="zh-CN"/>
        </w:rPr>
        <w:t>:</w:t>
      </w:r>
      <w:r w:rsidRPr="00E52223">
        <w:rPr>
          <w:rFonts w:ascii="Book Antiqua" w:hAnsi="Book Antiqua"/>
          <w:b/>
          <w:bCs/>
          <w:color w:val="000000"/>
          <w:szCs w:val="24"/>
        </w:rPr>
        <w:t xml:space="preserve">   E-Editor</w:t>
      </w:r>
      <w:r w:rsidRPr="00E52223">
        <w:rPr>
          <w:rFonts w:ascii="Book Antiqua" w:eastAsia="SimSun" w:hAnsi="Book Antiqua"/>
          <w:b/>
          <w:bCs/>
          <w:color w:val="000000"/>
          <w:szCs w:val="24"/>
          <w:lang w:eastAsia="zh-CN"/>
        </w:rPr>
        <w:t>:</w:t>
      </w:r>
    </w:p>
    <w:p w:rsidR="00E52223" w:rsidRPr="00E52223" w:rsidRDefault="00E52223" w:rsidP="00F87B0F">
      <w:pPr>
        <w:shd w:val="clear" w:color="auto" w:fill="FFFFFF"/>
        <w:snapToGrid w:val="0"/>
        <w:spacing w:line="360" w:lineRule="auto"/>
        <w:rPr>
          <w:rFonts w:ascii="Book Antiqua" w:hAnsi="Book Antiqua" w:cs="Helvetica"/>
          <w:b/>
          <w:sz w:val="24"/>
          <w:szCs w:val="24"/>
        </w:rPr>
      </w:pPr>
      <w:r w:rsidRPr="00E52223">
        <w:rPr>
          <w:rFonts w:ascii="Book Antiqua" w:hAnsi="Book Antiqua" w:cs="Helvetica"/>
          <w:b/>
          <w:sz w:val="24"/>
          <w:szCs w:val="24"/>
        </w:rPr>
        <w:t xml:space="preserve">Specialty type: </w:t>
      </w:r>
      <w:r w:rsidRPr="00E52223">
        <w:rPr>
          <w:rFonts w:ascii="Book Antiqua" w:hAnsi="Book Antiqua" w:cs="Helvetica"/>
          <w:sz w:val="24"/>
          <w:szCs w:val="24"/>
        </w:rPr>
        <w:t>Gastroenterology and hepatology</w:t>
      </w:r>
    </w:p>
    <w:p w:rsidR="00E52223" w:rsidRPr="00E52223" w:rsidRDefault="00E52223" w:rsidP="00F87B0F">
      <w:pPr>
        <w:shd w:val="clear" w:color="auto" w:fill="FFFFFF"/>
        <w:snapToGrid w:val="0"/>
        <w:spacing w:line="360" w:lineRule="auto"/>
        <w:rPr>
          <w:rFonts w:ascii="Book Antiqua" w:hAnsi="Book Antiqua" w:cs="Helvetica"/>
          <w:b/>
          <w:sz w:val="24"/>
          <w:szCs w:val="24"/>
        </w:rPr>
      </w:pPr>
      <w:r w:rsidRPr="00E52223">
        <w:rPr>
          <w:rFonts w:ascii="Book Antiqua" w:hAnsi="Book Antiqua" w:cs="Helvetica"/>
          <w:b/>
          <w:sz w:val="24"/>
          <w:szCs w:val="24"/>
        </w:rPr>
        <w:t xml:space="preserve">Country of origin: </w:t>
      </w:r>
      <w:r w:rsidR="00E337D7" w:rsidRPr="00E52223">
        <w:rPr>
          <w:rFonts w:ascii="Book Antiqua" w:hAnsi="Book Antiqua"/>
          <w:sz w:val="24"/>
          <w:szCs w:val="24"/>
          <w:lang w:val="en-US"/>
        </w:rPr>
        <w:t>Spain</w:t>
      </w:r>
    </w:p>
    <w:p w:rsidR="00E52223" w:rsidRPr="00E52223" w:rsidRDefault="00E52223" w:rsidP="00F87B0F">
      <w:pPr>
        <w:shd w:val="clear" w:color="auto" w:fill="FFFFFF"/>
        <w:snapToGrid w:val="0"/>
        <w:spacing w:line="360" w:lineRule="auto"/>
        <w:rPr>
          <w:rFonts w:ascii="Book Antiqua" w:hAnsi="Book Antiqua" w:cs="Helvetica"/>
          <w:b/>
          <w:sz w:val="24"/>
          <w:szCs w:val="24"/>
        </w:rPr>
      </w:pPr>
      <w:r w:rsidRPr="00E52223">
        <w:rPr>
          <w:rFonts w:ascii="Book Antiqua" w:hAnsi="Book Antiqua" w:cs="Helvetica"/>
          <w:b/>
          <w:sz w:val="24"/>
          <w:szCs w:val="24"/>
        </w:rPr>
        <w:t>Peer-review report classification</w:t>
      </w:r>
    </w:p>
    <w:p w:rsidR="00E52223" w:rsidRPr="00E52223" w:rsidRDefault="00E52223" w:rsidP="00F87B0F">
      <w:pPr>
        <w:shd w:val="clear" w:color="auto" w:fill="FFFFFF"/>
        <w:snapToGrid w:val="0"/>
        <w:spacing w:line="360" w:lineRule="auto"/>
        <w:rPr>
          <w:rFonts w:ascii="Book Antiqua" w:hAnsi="Book Antiqua" w:cs="Helvetica"/>
          <w:sz w:val="24"/>
          <w:szCs w:val="24"/>
        </w:rPr>
      </w:pPr>
      <w:r w:rsidRPr="00E52223">
        <w:rPr>
          <w:rFonts w:ascii="Book Antiqua" w:hAnsi="Book Antiqua" w:cs="Helvetica"/>
          <w:sz w:val="24"/>
          <w:szCs w:val="24"/>
        </w:rPr>
        <w:t>Grade A (Excellent): 0</w:t>
      </w:r>
    </w:p>
    <w:p w:rsidR="00E52223" w:rsidRPr="00E52223" w:rsidRDefault="00E52223" w:rsidP="00F87B0F">
      <w:pPr>
        <w:shd w:val="clear" w:color="auto" w:fill="FFFFFF"/>
        <w:snapToGrid w:val="0"/>
        <w:spacing w:line="360" w:lineRule="auto"/>
        <w:rPr>
          <w:rFonts w:ascii="Book Antiqua" w:hAnsi="Book Antiqua" w:cs="Helvetica"/>
          <w:sz w:val="24"/>
          <w:szCs w:val="24"/>
          <w:lang w:eastAsia="zh-CN"/>
        </w:rPr>
      </w:pPr>
      <w:r w:rsidRPr="00E52223">
        <w:rPr>
          <w:rFonts w:ascii="Book Antiqua" w:hAnsi="Book Antiqua" w:cs="Helvetica"/>
          <w:sz w:val="24"/>
          <w:szCs w:val="24"/>
        </w:rPr>
        <w:t xml:space="preserve">Grade B (Very good): </w:t>
      </w:r>
      <w:r w:rsidR="00E337D7">
        <w:rPr>
          <w:rFonts w:ascii="Book Antiqua" w:hAnsi="Book Antiqua" w:cs="Helvetica" w:hint="eastAsia"/>
          <w:sz w:val="24"/>
          <w:szCs w:val="24"/>
          <w:lang w:eastAsia="zh-CN"/>
        </w:rPr>
        <w:t>B</w:t>
      </w:r>
    </w:p>
    <w:p w:rsidR="00E52223" w:rsidRPr="00E52223" w:rsidRDefault="00E52223" w:rsidP="00F87B0F">
      <w:pPr>
        <w:shd w:val="clear" w:color="auto" w:fill="FFFFFF"/>
        <w:snapToGrid w:val="0"/>
        <w:spacing w:line="360" w:lineRule="auto"/>
        <w:rPr>
          <w:rFonts w:ascii="Book Antiqua" w:hAnsi="Book Antiqua" w:cs="Helvetica"/>
          <w:sz w:val="24"/>
          <w:szCs w:val="24"/>
          <w:lang w:eastAsia="zh-CN"/>
        </w:rPr>
      </w:pPr>
      <w:r w:rsidRPr="00E52223">
        <w:rPr>
          <w:rFonts w:ascii="Book Antiqua" w:hAnsi="Book Antiqua" w:cs="Helvetica"/>
          <w:sz w:val="24"/>
          <w:szCs w:val="24"/>
        </w:rPr>
        <w:t xml:space="preserve">Grade C (Good): </w:t>
      </w:r>
      <w:r w:rsidR="00E337D7">
        <w:rPr>
          <w:rFonts w:ascii="Book Antiqua" w:hAnsi="Book Antiqua" w:cs="Helvetica" w:hint="eastAsia"/>
          <w:sz w:val="24"/>
          <w:szCs w:val="24"/>
          <w:lang w:eastAsia="zh-CN"/>
        </w:rPr>
        <w:t>C</w:t>
      </w:r>
    </w:p>
    <w:p w:rsidR="00E52223" w:rsidRPr="00E52223" w:rsidRDefault="00E52223" w:rsidP="00F87B0F">
      <w:pPr>
        <w:shd w:val="clear" w:color="auto" w:fill="FFFFFF"/>
        <w:snapToGrid w:val="0"/>
        <w:spacing w:line="360" w:lineRule="auto"/>
        <w:rPr>
          <w:rFonts w:ascii="Book Antiqua" w:hAnsi="Book Antiqua" w:cs="Helvetica"/>
          <w:sz w:val="24"/>
          <w:szCs w:val="24"/>
        </w:rPr>
      </w:pPr>
      <w:r w:rsidRPr="00E52223">
        <w:rPr>
          <w:rFonts w:ascii="Book Antiqua" w:hAnsi="Book Antiqua" w:cs="Helvetica"/>
          <w:sz w:val="24"/>
          <w:szCs w:val="24"/>
        </w:rPr>
        <w:t>Grade D (Fair): 0</w:t>
      </w:r>
    </w:p>
    <w:p w:rsidR="00E52223" w:rsidRPr="00E52223" w:rsidRDefault="00E52223" w:rsidP="00F87B0F">
      <w:pPr>
        <w:shd w:val="clear" w:color="auto" w:fill="FFFFFF"/>
        <w:snapToGrid w:val="0"/>
        <w:spacing w:line="360" w:lineRule="auto"/>
        <w:rPr>
          <w:rFonts w:ascii="Book Antiqua" w:hAnsi="Book Antiqua" w:cs="Helvetica"/>
          <w:sz w:val="24"/>
          <w:szCs w:val="24"/>
        </w:rPr>
      </w:pPr>
      <w:r w:rsidRPr="00E52223">
        <w:rPr>
          <w:rFonts w:ascii="Book Antiqua" w:hAnsi="Book Antiqua" w:cs="Helvetica"/>
          <w:sz w:val="24"/>
          <w:szCs w:val="24"/>
        </w:rPr>
        <w:t>Grade E (Poor): 0</w:t>
      </w:r>
    </w:p>
    <w:bookmarkEnd w:id="46"/>
    <w:bookmarkEnd w:id="47"/>
    <w:p w:rsidR="0014263B" w:rsidRPr="00E52223" w:rsidRDefault="0014263B" w:rsidP="00F87B0F">
      <w:pPr>
        <w:widowControl w:val="0"/>
        <w:autoSpaceDE w:val="0"/>
        <w:autoSpaceDN w:val="0"/>
        <w:adjustRightInd w:val="0"/>
        <w:spacing w:line="360" w:lineRule="auto"/>
        <w:jc w:val="both"/>
        <w:rPr>
          <w:rFonts w:ascii="Book Antiqua" w:hAnsi="Book Antiqua"/>
          <w:color w:val="FF0000"/>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0A6480" w:rsidRPr="00E52223" w:rsidRDefault="000A6480"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0A6480" w:rsidRPr="00E52223" w:rsidRDefault="000A6480"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lastRenderedPageBreak/>
        <w:t>Table 1</w:t>
      </w:r>
      <w:r w:rsidR="00E52223" w:rsidRPr="00E52223">
        <w:rPr>
          <w:rFonts w:ascii="Book Antiqua" w:hAnsi="Book Antiqua" w:cs="Arial"/>
          <w:b/>
          <w:sz w:val="24"/>
          <w:szCs w:val="24"/>
          <w:lang w:val="en-US" w:eastAsia="zh-CN" w:bidi="ar-SA"/>
        </w:rPr>
        <w:t xml:space="preserve"> </w:t>
      </w:r>
      <w:r w:rsidRPr="00E52223">
        <w:rPr>
          <w:rFonts w:ascii="Book Antiqua" w:hAnsi="Book Antiqua" w:cs="Arial"/>
          <w:b/>
          <w:sz w:val="24"/>
          <w:szCs w:val="24"/>
          <w:lang w:val="en-US" w:eastAsia="es-ES_tradnl" w:bidi="ar-SA"/>
        </w:rPr>
        <w:t>Outcomes of endoscopic shielding techniques with different experimental models</w:t>
      </w: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tbl>
      <w:tblPr>
        <w:tblW w:w="9130" w:type="dxa"/>
        <w:jc w:val="center"/>
        <w:tblBorders>
          <w:top w:val="single" w:sz="4" w:space="0" w:color="000000"/>
          <w:bottom w:val="single" w:sz="4" w:space="0" w:color="000000"/>
        </w:tblBorders>
        <w:tblLayout w:type="fixed"/>
        <w:tblLook w:val="00A0" w:firstRow="1" w:lastRow="0" w:firstColumn="1" w:lastColumn="0" w:noHBand="0" w:noVBand="0"/>
      </w:tblPr>
      <w:tblGrid>
        <w:gridCol w:w="1702"/>
        <w:gridCol w:w="844"/>
        <w:gridCol w:w="543"/>
        <w:gridCol w:w="1016"/>
        <w:gridCol w:w="993"/>
        <w:gridCol w:w="1134"/>
        <w:gridCol w:w="1701"/>
        <w:gridCol w:w="1197"/>
      </w:tblGrid>
      <w:tr w:rsidR="00C774E8" w:rsidRPr="00E52223" w:rsidTr="00E52223">
        <w:trPr>
          <w:jc w:val="center"/>
        </w:trPr>
        <w:tc>
          <w:tcPr>
            <w:tcW w:w="1702" w:type="dxa"/>
            <w:tcBorders>
              <w:top w:val="single" w:sz="4" w:space="0" w:color="000000"/>
              <w:bottom w:val="single" w:sz="4" w:space="0" w:color="000000"/>
            </w:tcBorders>
          </w:tcPr>
          <w:p w:rsidR="00C774E8" w:rsidRPr="00E52223" w:rsidRDefault="00F87B0F" w:rsidP="00F87B0F">
            <w:pPr>
              <w:spacing w:line="360" w:lineRule="auto"/>
              <w:jc w:val="both"/>
              <w:rPr>
                <w:rFonts w:ascii="Book Antiqua" w:hAnsi="Book Antiqua" w:cs="Arial"/>
                <w:b/>
                <w:sz w:val="24"/>
                <w:szCs w:val="24"/>
                <w:lang w:val="en-US" w:eastAsia="zh-CN" w:bidi="ar-SA"/>
              </w:rPr>
            </w:pPr>
            <w:r>
              <w:rPr>
                <w:rFonts w:ascii="Book Antiqua" w:hAnsi="Book Antiqua" w:cs="Arial" w:hint="eastAsia"/>
                <w:b/>
                <w:sz w:val="24"/>
                <w:szCs w:val="24"/>
                <w:lang w:val="en-US" w:eastAsia="zh-CN" w:bidi="ar-SA"/>
              </w:rPr>
              <w:t>Ref.</w:t>
            </w:r>
          </w:p>
        </w:tc>
        <w:tc>
          <w:tcPr>
            <w:tcW w:w="844"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Year</w:t>
            </w:r>
          </w:p>
        </w:tc>
        <w:tc>
          <w:tcPr>
            <w:tcW w:w="543" w:type="dxa"/>
            <w:tcBorders>
              <w:top w:val="single" w:sz="4" w:space="0" w:color="000000"/>
              <w:bottom w:val="single" w:sz="4" w:space="0" w:color="000000"/>
            </w:tcBorders>
          </w:tcPr>
          <w:p w:rsidR="00C774E8" w:rsidRPr="00E52223" w:rsidRDefault="00E52223" w:rsidP="00F87B0F">
            <w:pPr>
              <w:spacing w:line="360" w:lineRule="auto"/>
              <w:jc w:val="both"/>
              <w:rPr>
                <w:rFonts w:ascii="Book Antiqua" w:hAnsi="Book Antiqua" w:cs="Arial"/>
                <w:b/>
                <w:i/>
                <w:sz w:val="24"/>
                <w:szCs w:val="24"/>
                <w:lang w:val="en-US" w:eastAsia="es-ES_tradnl" w:bidi="ar-SA"/>
              </w:rPr>
            </w:pPr>
            <w:r w:rsidRPr="00E52223">
              <w:rPr>
                <w:rFonts w:ascii="Book Antiqua" w:hAnsi="Book Antiqua" w:cs="Arial"/>
                <w:b/>
                <w:i/>
                <w:sz w:val="24"/>
                <w:szCs w:val="24"/>
                <w:lang w:val="en-US" w:eastAsia="es-ES_tradnl" w:bidi="ar-SA"/>
              </w:rPr>
              <w:t>n</w:t>
            </w:r>
          </w:p>
        </w:tc>
        <w:tc>
          <w:tcPr>
            <w:tcW w:w="1016"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Species</w:t>
            </w:r>
          </w:p>
        </w:tc>
        <w:tc>
          <w:tcPr>
            <w:tcW w:w="993"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Location of lesions</w:t>
            </w:r>
          </w:p>
        </w:tc>
        <w:tc>
          <w:tcPr>
            <w:tcW w:w="1134"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Substance</w:t>
            </w:r>
          </w:p>
        </w:tc>
        <w:tc>
          <w:tcPr>
            <w:tcW w:w="1701"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Primary endpoint</w:t>
            </w:r>
          </w:p>
        </w:tc>
        <w:tc>
          <w:tcPr>
            <w:tcW w:w="1197" w:type="dxa"/>
            <w:tcBorders>
              <w:top w:val="single" w:sz="4" w:space="0" w:color="000000"/>
              <w:bottom w:val="single" w:sz="4" w:space="0" w:color="000000"/>
            </w:tcBorders>
          </w:tcPr>
          <w:p w:rsidR="00C774E8" w:rsidRPr="00E52223" w:rsidDel="006F25F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 xml:space="preserve">Efficacy </w:t>
            </w:r>
          </w:p>
        </w:tc>
      </w:tr>
      <w:tr w:rsidR="00C774E8" w:rsidRPr="00E52223" w:rsidTr="00E52223">
        <w:trPr>
          <w:jc w:val="center"/>
        </w:trPr>
        <w:tc>
          <w:tcPr>
            <w:tcW w:w="1702"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Maeng</w:t>
            </w:r>
            <w:r w:rsidRPr="00E52223">
              <w:rPr>
                <w:rFonts w:ascii="Book Antiqua" w:hAnsi="Book Antiqua" w:cs="Arial"/>
                <w:i/>
                <w:sz w:val="24"/>
                <w:szCs w:val="24"/>
                <w:lang w:val="en-US" w:eastAsia="es-ES_tradnl" w:bidi="ar-SA"/>
              </w:rPr>
              <w:t xml:space="preserve"> et al</w:t>
            </w:r>
            <w:r w:rsidR="00E52223" w:rsidRPr="00E52223">
              <w:rPr>
                <w:rFonts w:ascii="Book Antiqua" w:hAnsi="Book Antiqua" w:cs="Arial" w:hint="eastAsia"/>
                <w:sz w:val="24"/>
                <w:szCs w:val="24"/>
                <w:vertAlign w:val="superscript"/>
                <w:lang w:val="en-US" w:eastAsia="zh-CN" w:bidi="ar-SA"/>
              </w:rPr>
              <w:t>[4]</w:t>
            </w:r>
          </w:p>
        </w:tc>
        <w:tc>
          <w:tcPr>
            <w:tcW w:w="844"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2014</w:t>
            </w:r>
          </w:p>
        </w:tc>
        <w:tc>
          <w:tcPr>
            <w:tcW w:w="543"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12/</w:t>
            </w:r>
          </w:p>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w:t>
            </w:r>
          </w:p>
        </w:tc>
        <w:tc>
          <w:tcPr>
            <w:tcW w:w="1016"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Rabbit/</w:t>
            </w:r>
          </w:p>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Pigs</w:t>
            </w:r>
          </w:p>
        </w:tc>
        <w:tc>
          <w:tcPr>
            <w:tcW w:w="993"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Stomach</w:t>
            </w:r>
          </w:p>
        </w:tc>
        <w:tc>
          <w:tcPr>
            <w:tcW w:w="1134"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EGF-CS</w:t>
            </w:r>
          </w:p>
        </w:tc>
        <w:tc>
          <w:tcPr>
            <w:tcW w:w="1701"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Mucosal healing </w:t>
            </w:r>
          </w:p>
        </w:tc>
        <w:tc>
          <w:tcPr>
            <w:tcW w:w="1197"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90</w:t>
            </w:r>
            <w:r w:rsidR="00F87B0F">
              <w:rPr>
                <w:rFonts w:ascii="Book Antiqua" w:hAnsi="Book Antiqua" w:cs="Arial" w:hint="eastAsia"/>
                <w:sz w:val="24"/>
                <w:szCs w:val="24"/>
                <w:lang w:val="en-US" w:eastAsia="zh-CN" w:bidi="ar-SA"/>
              </w:rPr>
              <w:t>%</w:t>
            </w:r>
            <w:r w:rsidRPr="00E52223">
              <w:rPr>
                <w:rFonts w:ascii="Book Antiqua" w:hAnsi="Book Antiqua" w:cs="Arial"/>
                <w:sz w:val="24"/>
                <w:szCs w:val="24"/>
                <w:lang w:val="en-US" w:eastAsia="es-ES_tradnl" w:bidi="ar-SA"/>
              </w:rPr>
              <w:t>-95%</w:t>
            </w:r>
          </w:p>
        </w:tc>
      </w:tr>
      <w:tr w:rsidR="00C774E8" w:rsidRPr="00E52223" w:rsidTr="00E52223">
        <w:trPr>
          <w:jc w:val="center"/>
        </w:trPr>
        <w:tc>
          <w:tcPr>
            <w:tcW w:w="1702"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Takao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5</w:t>
            </w:r>
            <w:r w:rsidR="00E52223" w:rsidRPr="00E52223">
              <w:rPr>
                <w:rFonts w:ascii="Book Antiqua" w:hAnsi="Book Antiqua" w:cs="Arial" w:hint="eastAsia"/>
                <w:sz w:val="24"/>
                <w:szCs w:val="24"/>
                <w:vertAlign w:val="superscript"/>
                <w:lang w:val="en-US" w:eastAsia="zh-CN" w:bidi="ar-SA"/>
              </w:rPr>
              <w:t>]</w:t>
            </w:r>
          </w:p>
        </w:tc>
        <w:tc>
          <w:tcPr>
            <w:tcW w:w="84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2015</w:t>
            </w:r>
          </w:p>
        </w:tc>
        <w:tc>
          <w:tcPr>
            <w:tcW w:w="54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9</w:t>
            </w:r>
          </w:p>
        </w:tc>
        <w:tc>
          <w:tcPr>
            <w:tcW w:w="1016"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Pigs</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Stomach</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PGA-FG </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complications</w:t>
            </w:r>
          </w:p>
        </w:tc>
        <w:tc>
          <w:tcPr>
            <w:tcW w:w="119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p>
        </w:tc>
      </w:tr>
      <w:tr w:rsidR="00C774E8" w:rsidRPr="00E52223" w:rsidTr="00E52223">
        <w:trPr>
          <w:jc w:val="center"/>
        </w:trPr>
        <w:tc>
          <w:tcPr>
            <w:tcW w:w="1702"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Hiroyuki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6</w:t>
            </w:r>
            <w:r w:rsidR="00E52223" w:rsidRPr="00E52223">
              <w:rPr>
                <w:rFonts w:ascii="Book Antiqua" w:hAnsi="Book Antiqua" w:cs="Arial" w:hint="eastAsia"/>
                <w:sz w:val="24"/>
                <w:szCs w:val="24"/>
                <w:vertAlign w:val="superscript"/>
                <w:lang w:val="en-US" w:eastAsia="zh-CN" w:bidi="ar-SA"/>
              </w:rPr>
              <w:t>]</w:t>
            </w:r>
          </w:p>
        </w:tc>
        <w:tc>
          <w:tcPr>
            <w:tcW w:w="84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2016</w:t>
            </w:r>
          </w:p>
        </w:tc>
        <w:tc>
          <w:tcPr>
            <w:tcW w:w="54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w:t>
            </w:r>
          </w:p>
        </w:tc>
        <w:tc>
          <w:tcPr>
            <w:tcW w:w="1016"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Canine</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Stomach</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 with suture</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complications</w:t>
            </w:r>
          </w:p>
        </w:tc>
        <w:tc>
          <w:tcPr>
            <w:tcW w:w="119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p>
        </w:tc>
      </w:tr>
      <w:tr w:rsidR="00C774E8" w:rsidRPr="00E52223" w:rsidTr="00E52223">
        <w:trPr>
          <w:jc w:val="center"/>
        </w:trPr>
        <w:tc>
          <w:tcPr>
            <w:tcW w:w="1702"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Lorenzo-Zúñiga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7</w:t>
            </w:r>
            <w:r w:rsidR="00E52223" w:rsidRPr="00E52223">
              <w:rPr>
                <w:rFonts w:ascii="Book Antiqua" w:hAnsi="Book Antiqua" w:cs="Arial" w:hint="eastAsia"/>
                <w:sz w:val="24"/>
                <w:szCs w:val="24"/>
                <w:vertAlign w:val="superscript"/>
                <w:lang w:val="en-US" w:eastAsia="zh-CN" w:bidi="ar-SA"/>
              </w:rPr>
              <w:t>]</w:t>
            </w:r>
          </w:p>
        </w:tc>
        <w:tc>
          <w:tcPr>
            <w:tcW w:w="84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2016</w:t>
            </w:r>
          </w:p>
        </w:tc>
        <w:tc>
          <w:tcPr>
            <w:tcW w:w="54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4/</w:t>
            </w:r>
          </w:p>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16</w:t>
            </w:r>
          </w:p>
        </w:tc>
        <w:tc>
          <w:tcPr>
            <w:tcW w:w="1016"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Pigs/</w:t>
            </w:r>
          </w:p>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Rats</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Colon</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PRP</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 xml:space="preserve">perforation </w:t>
            </w:r>
            <w:r w:rsidR="00F87B0F">
              <w:rPr>
                <w:rFonts w:ascii="Book Antiqua" w:hAnsi="Book Antiqua" w:cs="Arial" w:hint="eastAsia"/>
                <w:sz w:val="24"/>
                <w:szCs w:val="24"/>
                <w:lang w:val="en-US" w:eastAsia="zh-CN" w:bidi="ar-SA"/>
              </w:rPr>
              <w:t>and</w:t>
            </w:r>
            <w:r w:rsidRPr="00E52223">
              <w:rPr>
                <w:rFonts w:ascii="Book Antiqua" w:hAnsi="Book Antiqua" w:cs="Arial"/>
                <w:sz w:val="24"/>
                <w:szCs w:val="24"/>
                <w:lang w:val="en-US" w:eastAsia="es-ES_tradnl" w:bidi="ar-SA"/>
              </w:rPr>
              <w:t xml:space="preserve"> mucosal healing</w:t>
            </w:r>
          </w:p>
        </w:tc>
        <w:tc>
          <w:tcPr>
            <w:tcW w:w="119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100% </w:t>
            </w:r>
            <w:r w:rsidR="00F87B0F">
              <w:rPr>
                <w:rFonts w:ascii="Book Antiqua" w:hAnsi="Book Antiqua" w:cs="Arial" w:hint="eastAsia"/>
                <w:sz w:val="24"/>
                <w:szCs w:val="24"/>
                <w:lang w:val="en-US" w:eastAsia="zh-CN" w:bidi="ar-SA"/>
              </w:rPr>
              <w:t>and</w:t>
            </w:r>
            <w:r w:rsidRPr="00E52223">
              <w:rPr>
                <w:rFonts w:ascii="Book Antiqua" w:hAnsi="Book Antiqua" w:cs="Arial"/>
                <w:sz w:val="24"/>
                <w:szCs w:val="24"/>
                <w:lang w:val="en-US" w:eastAsia="es-ES_tradnl" w:bidi="ar-SA"/>
              </w:rPr>
              <w:t xml:space="preserve"> 2.4% (control) </w:t>
            </w:r>
            <w:r w:rsidRPr="00F87B0F">
              <w:rPr>
                <w:rFonts w:ascii="Book Antiqua" w:hAnsi="Book Antiqua" w:cs="Arial"/>
                <w:i/>
                <w:sz w:val="24"/>
                <w:szCs w:val="24"/>
                <w:lang w:val="en-US" w:eastAsia="es-ES_tradnl" w:bidi="ar-SA"/>
              </w:rPr>
              <w:t>vs</w:t>
            </w:r>
            <w:r w:rsidRPr="00E52223">
              <w:rPr>
                <w:rFonts w:ascii="Book Antiqua" w:hAnsi="Book Antiqua" w:cs="Arial"/>
                <w:sz w:val="24"/>
                <w:szCs w:val="24"/>
                <w:lang w:val="en-US" w:eastAsia="es-ES_tradnl" w:bidi="ar-SA"/>
              </w:rPr>
              <w:t xml:space="preserve"> 80% (treated)</w:t>
            </w:r>
          </w:p>
        </w:tc>
      </w:tr>
      <w:tr w:rsidR="0069263C" w:rsidRPr="00E52223" w:rsidTr="00E52223">
        <w:trPr>
          <w:jc w:val="center"/>
        </w:trPr>
        <w:tc>
          <w:tcPr>
            <w:tcW w:w="1702" w:type="dxa"/>
          </w:tcPr>
          <w:p w:rsidR="0069263C" w:rsidRPr="00E52223" w:rsidRDefault="0069263C"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Lorenzo-Zúñiga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8</w:t>
            </w:r>
            <w:r w:rsidR="00E52223" w:rsidRPr="00E52223">
              <w:rPr>
                <w:rFonts w:ascii="Book Antiqua" w:hAnsi="Book Antiqua" w:cs="Arial" w:hint="eastAsia"/>
                <w:sz w:val="24"/>
                <w:szCs w:val="24"/>
                <w:vertAlign w:val="superscript"/>
                <w:lang w:val="en-US" w:eastAsia="zh-CN" w:bidi="ar-SA"/>
              </w:rPr>
              <w:t>]</w:t>
            </w:r>
          </w:p>
        </w:tc>
        <w:tc>
          <w:tcPr>
            <w:tcW w:w="844" w:type="dxa"/>
          </w:tcPr>
          <w:p w:rsidR="0069263C" w:rsidRPr="00E52223" w:rsidRDefault="0069263C"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2017</w:t>
            </w:r>
          </w:p>
        </w:tc>
        <w:tc>
          <w:tcPr>
            <w:tcW w:w="543" w:type="dxa"/>
          </w:tcPr>
          <w:p w:rsidR="0069263C" w:rsidRPr="00E52223" w:rsidRDefault="00977770"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8/24</w:t>
            </w:r>
          </w:p>
        </w:tc>
        <w:tc>
          <w:tcPr>
            <w:tcW w:w="1016" w:type="dxa"/>
          </w:tcPr>
          <w:p w:rsidR="0069263C" w:rsidRPr="00E52223" w:rsidRDefault="0069263C"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Pigs/Rats</w:t>
            </w:r>
          </w:p>
        </w:tc>
        <w:tc>
          <w:tcPr>
            <w:tcW w:w="993" w:type="dxa"/>
          </w:tcPr>
          <w:p w:rsidR="0069263C" w:rsidRPr="00E52223" w:rsidRDefault="0069263C"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Colon</w:t>
            </w:r>
          </w:p>
        </w:tc>
        <w:tc>
          <w:tcPr>
            <w:tcW w:w="1134" w:type="dxa"/>
          </w:tcPr>
          <w:p w:rsidR="0069263C" w:rsidRPr="00E52223" w:rsidRDefault="000A6480"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HAMPA</w:t>
            </w:r>
          </w:p>
        </w:tc>
        <w:tc>
          <w:tcPr>
            <w:tcW w:w="1701" w:type="dxa"/>
          </w:tcPr>
          <w:p w:rsidR="0069263C" w:rsidRPr="00E52223" w:rsidRDefault="0069263C"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Prevent late perforation</w:t>
            </w:r>
            <w:r w:rsidR="00F24E89" w:rsidRPr="00E52223">
              <w:rPr>
                <w:rFonts w:ascii="Book Antiqua" w:hAnsi="Book Antiqua" w:cs="Arial"/>
                <w:sz w:val="24"/>
                <w:szCs w:val="24"/>
                <w:lang w:val="en-US" w:eastAsia="es-ES_tradnl" w:bidi="ar-SA"/>
              </w:rPr>
              <w:t xml:space="preserve"> </w:t>
            </w:r>
          </w:p>
        </w:tc>
        <w:tc>
          <w:tcPr>
            <w:tcW w:w="1197" w:type="dxa"/>
          </w:tcPr>
          <w:p w:rsidR="0069263C" w:rsidRPr="00E52223" w:rsidRDefault="00F24E89"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p>
        </w:tc>
      </w:tr>
    </w:tbl>
    <w:p w:rsidR="00C774E8" w:rsidRPr="00E52223" w:rsidRDefault="00C774E8" w:rsidP="00F87B0F">
      <w:pPr>
        <w:spacing w:line="360" w:lineRule="auto"/>
        <w:jc w:val="both"/>
        <w:rPr>
          <w:rFonts w:ascii="Book Antiqua" w:hAnsi="Book Antiqua"/>
          <w:sz w:val="24"/>
          <w:szCs w:val="24"/>
          <w:lang w:val="en-GB" w:eastAsia="zh-CN"/>
        </w:rPr>
      </w:pPr>
      <w:r w:rsidRPr="00E52223">
        <w:rPr>
          <w:rFonts w:ascii="Book Antiqua" w:hAnsi="Book Antiqua" w:cs="Arial"/>
          <w:sz w:val="24"/>
          <w:szCs w:val="24"/>
          <w:lang w:val="en-US" w:eastAsia="es-ES_tradnl" w:bidi="ar-SA"/>
        </w:rPr>
        <w:t>PGA: Polyglycocolic acid sheets; FG: Fibrin glue; EGF-CS: Hydrogel Epidermal Growth Factor with Chitosan; PRP: Platelet rich Plasma</w:t>
      </w:r>
      <w:r w:rsidR="000A6480" w:rsidRPr="00E52223">
        <w:rPr>
          <w:rFonts w:ascii="Book Antiqua" w:hAnsi="Book Antiqua" w:cs="Arial"/>
          <w:sz w:val="24"/>
          <w:szCs w:val="24"/>
          <w:lang w:val="en-US" w:eastAsia="es-ES_tradnl" w:bidi="ar-SA"/>
        </w:rPr>
        <w:t>; HAMPA: Hydrogel based on the combination of hyaluronic acid, methylcellulose, poloxamer 407 and a non-absorbable antibiotic</w:t>
      </w:r>
      <w:r w:rsidR="00E52223">
        <w:rPr>
          <w:rFonts w:ascii="Book Antiqua" w:hAnsi="Book Antiqua" w:cs="Arial" w:hint="eastAsia"/>
          <w:sz w:val="24"/>
          <w:szCs w:val="24"/>
          <w:lang w:val="en-US" w:eastAsia="zh-CN" w:bidi="ar-SA"/>
        </w:rPr>
        <w:t>.</w:t>
      </w: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es-ES_tradnl"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zh-CN" w:bidi="ar-SA"/>
        </w:rPr>
      </w:pPr>
    </w:p>
    <w:p w:rsidR="00C774E8" w:rsidRPr="00E52223" w:rsidRDefault="00C774E8" w:rsidP="00F87B0F">
      <w:pPr>
        <w:widowControl w:val="0"/>
        <w:autoSpaceDE w:val="0"/>
        <w:autoSpaceDN w:val="0"/>
        <w:adjustRightInd w:val="0"/>
        <w:spacing w:line="360" w:lineRule="auto"/>
        <w:jc w:val="both"/>
        <w:rPr>
          <w:rFonts w:ascii="Book Antiqua" w:hAnsi="Book Antiqua" w:cs="Arial"/>
          <w:b/>
          <w:sz w:val="24"/>
          <w:szCs w:val="24"/>
          <w:lang w:val="en-US" w:eastAsia="zh-CN" w:bidi="ar-SA"/>
        </w:rPr>
      </w:pPr>
      <w:r w:rsidRPr="00E52223">
        <w:rPr>
          <w:rFonts w:ascii="Book Antiqua" w:hAnsi="Book Antiqua" w:cs="Arial"/>
          <w:b/>
          <w:sz w:val="24"/>
          <w:szCs w:val="24"/>
          <w:lang w:val="en-US" w:eastAsia="es-ES_tradnl" w:bidi="ar-SA"/>
        </w:rPr>
        <w:t>Table 2</w:t>
      </w:r>
      <w:r w:rsidR="00E52223">
        <w:rPr>
          <w:rFonts w:ascii="Book Antiqua" w:hAnsi="Book Antiqua" w:cs="Arial" w:hint="eastAsia"/>
          <w:b/>
          <w:sz w:val="24"/>
          <w:szCs w:val="24"/>
          <w:lang w:val="en-US" w:eastAsia="zh-CN" w:bidi="ar-SA"/>
        </w:rPr>
        <w:t xml:space="preserve"> </w:t>
      </w:r>
      <w:r w:rsidRPr="00E52223">
        <w:rPr>
          <w:rFonts w:ascii="Book Antiqua" w:hAnsi="Book Antiqua" w:cs="Arial"/>
          <w:b/>
          <w:sz w:val="24"/>
          <w:szCs w:val="24"/>
          <w:lang w:val="en-US" w:eastAsia="es-ES_tradnl" w:bidi="ar-SA"/>
        </w:rPr>
        <w:t xml:space="preserve">Outcomes of endoscopic shielding with different substances to prevent </w:t>
      </w:r>
      <w:r w:rsidR="0069263C" w:rsidRPr="00E52223">
        <w:rPr>
          <w:rFonts w:ascii="Book Antiqua" w:hAnsi="Book Antiqua" w:cs="Arial"/>
          <w:b/>
          <w:sz w:val="24"/>
          <w:szCs w:val="24"/>
          <w:lang w:val="en-US" w:eastAsia="es-ES_tradnl" w:bidi="ar-SA"/>
        </w:rPr>
        <w:t xml:space="preserve">late </w:t>
      </w:r>
      <w:r w:rsidRPr="00E52223">
        <w:rPr>
          <w:rFonts w:ascii="Book Antiqua" w:hAnsi="Book Antiqua" w:cs="Arial"/>
          <w:b/>
          <w:sz w:val="24"/>
          <w:szCs w:val="24"/>
          <w:lang w:val="en-US" w:eastAsia="es-ES_tradnl" w:bidi="ar-SA"/>
        </w:rPr>
        <w:t>complicat</w:t>
      </w:r>
      <w:r w:rsidR="00E52223">
        <w:rPr>
          <w:rFonts w:ascii="Book Antiqua" w:hAnsi="Book Antiqua" w:cs="Arial"/>
          <w:b/>
          <w:sz w:val="24"/>
          <w:szCs w:val="24"/>
          <w:lang w:val="en-US" w:eastAsia="es-ES_tradnl" w:bidi="ar-SA"/>
        </w:rPr>
        <w:t>ions after endoscopic resection</w:t>
      </w:r>
    </w:p>
    <w:p w:rsidR="00C774E8" w:rsidRPr="00E52223" w:rsidRDefault="00C774E8" w:rsidP="00F87B0F">
      <w:pPr>
        <w:widowControl w:val="0"/>
        <w:autoSpaceDE w:val="0"/>
        <w:autoSpaceDN w:val="0"/>
        <w:adjustRightInd w:val="0"/>
        <w:spacing w:line="360" w:lineRule="auto"/>
        <w:jc w:val="both"/>
        <w:rPr>
          <w:rFonts w:ascii="Book Antiqua" w:hAnsi="Book Antiqua"/>
          <w:color w:val="FF0000"/>
          <w:sz w:val="24"/>
          <w:szCs w:val="24"/>
          <w:lang w:val="en-US" w:eastAsia="es-ES_tradnl" w:bidi="ar-SA"/>
        </w:rPr>
      </w:pPr>
    </w:p>
    <w:tbl>
      <w:tblPr>
        <w:tblW w:w="10320" w:type="dxa"/>
        <w:jc w:val="center"/>
        <w:tblBorders>
          <w:top w:val="single" w:sz="4" w:space="0" w:color="000000"/>
          <w:bottom w:val="single" w:sz="4" w:space="0" w:color="000000"/>
        </w:tblBorders>
        <w:tblLayout w:type="fixed"/>
        <w:tblLook w:val="00A0" w:firstRow="1" w:lastRow="0" w:firstColumn="1" w:lastColumn="0" w:noHBand="0" w:noVBand="0"/>
      </w:tblPr>
      <w:tblGrid>
        <w:gridCol w:w="1389"/>
        <w:gridCol w:w="851"/>
        <w:gridCol w:w="561"/>
        <w:gridCol w:w="1134"/>
        <w:gridCol w:w="993"/>
        <w:gridCol w:w="1134"/>
        <w:gridCol w:w="1417"/>
        <w:gridCol w:w="1701"/>
        <w:gridCol w:w="1140"/>
      </w:tblGrid>
      <w:tr w:rsidR="00C774E8" w:rsidRPr="00E52223" w:rsidTr="00E52223">
        <w:trPr>
          <w:jc w:val="center"/>
        </w:trPr>
        <w:tc>
          <w:tcPr>
            <w:tcW w:w="1389" w:type="dxa"/>
            <w:tcBorders>
              <w:top w:val="single" w:sz="4" w:space="0" w:color="000000"/>
              <w:bottom w:val="single" w:sz="4" w:space="0" w:color="000000"/>
            </w:tcBorders>
          </w:tcPr>
          <w:p w:rsidR="00C774E8" w:rsidRPr="00E52223" w:rsidRDefault="00F87B0F" w:rsidP="00F87B0F">
            <w:pPr>
              <w:spacing w:line="360" w:lineRule="auto"/>
              <w:jc w:val="both"/>
              <w:rPr>
                <w:rFonts w:ascii="Book Antiqua" w:hAnsi="Book Antiqua" w:cs="Arial"/>
                <w:b/>
                <w:sz w:val="24"/>
                <w:szCs w:val="24"/>
                <w:lang w:val="en-US" w:eastAsia="zh-CN" w:bidi="ar-SA"/>
              </w:rPr>
            </w:pPr>
            <w:r>
              <w:rPr>
                <w:rFonts w:ascii="Book Antiqua" w:hAnsi="Book Antiqua" w:cs="Arial" w:hint="eastAsia"/>
                <w:b/>
                <w:sz w:val="24"/>
                <w:szCs w:val="24"/>
                <w:lang w:val="en-US" w:eastAsia="zh-CN" w:bidi="ar-SA"/>
              </w:rPr>
              <w:t>Ref.</w:t>
            </w:r>
          </w:p>
        </w:tc>
        <w:tc>
          <w:tcPr>
            <w:tcW w:w="851"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Year</w:t>
            </w:r>
          </w:p>
        </w:tc>
        <w:tc>
          <w:tcPr>
            <w:tcW w:w="561" w:type="dxa"/>
            <w:tcBorders>
              <w:top w:val="single" w:sz="4" w:space="0" w:color="000000"/>
              <w:bottom w:val="single" w:sz="4" w:space="0" w:color="000000"/>
            </w:tcBorders>
          </w:tcPr>
          <w:p w:rsidR="00C774E8" w:rsidRPr="00E52223" w:rsidRDefault="00E52223" w:rsidP="00F87B0F">
            <w:pPr>
              <w:spacing w:line="360" w:lineRule="auto"/>
              <w:jc w:val="both"/>
              <w:rPr>
                <w:rFonts w:ascii="Book Antiqua" w:hAnsi="Book Antiqua" w:cs="Arial"/>
                <w:b/>
                <w:i/>
                <w:sz w:val="24"/>
                <w:szCs w:val="24"/>
                <w:lang w:val="en-US" w:eastAsia="es-ES_tradnl" w:bidi="ar-SA"/>
              </w:rPr>
            </w:pPr>
            <w:r w:rsidRPr="00E52223">
              <w:rPr>
                <w:rFonts w:ascii="Book Antiqua" w:hAnsi="Book Antiqua" w:cs="Arial"/>
                <w:b/>
                <w:i/>
                <w:sz w:val="24"/>
                <w:szCs w:val="24"/>
                <w:lang w:val="en-US" w:eastAsia="es-ES_tradnl" w:bidi="ar-SA"/>
              </w:rPr>
              <w:t>n</w:t>
            </w:r>
          </w:p>
        </w:tc>
        <w:tc>
          <w:tcPr>
            <w:tcW w:w="1134"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Location of lesions</w:t>
            </w:r>
          </w:p>
        </w:tc>
        <w:tc>
          <w:tcPr>
            <w:tcW w:w="993"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Size (mm)</w:t>
            </w:r>
          </w:p>
        </w:tc>
        <w:tc>
          <w:tcPr>
            <w:tcW w:w="1134"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Substance</w:t>
            </w:r>
          </w:p>
        </w:tc>
        <w:tc>
          <w:tcPr>
            <w:tcW w:w="1417"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Procedure time (min)</w:t>
            </w:r>
          </w:p>
        </w:tc>
        <w:tc>
          <w:tcPr>
            <w:tcW w:w="1701" w:type="dxa"/>
            <w:tcBorders>
              <w:top w:val="single" w:sz="4" w:space="0" w:color="000000"/>
              <w:bottom w:val="single" w:sz="4" w:space="0" w:color="000000"/>
            </w:tcBorders>
          </w:tcPr>
          <w:p w:rsidR="00C774E8" w:rsidRPr="00E52223" w:rsidRDefault="00C774E8" w:rsidP="00F87B0F">
            <w:pPr>
              <w:spacing w:line="360" w:lineRule="auto"/>
              <w:jc w:val="both"/>
              <w:rPr>
                <w:rFonts w:ascii="Book Antiqua" w:hAnsi="Book Antiqua" w:cs="Arial"/>
                <w:b/>
                <w:sz w:val="24"/>
                <w:szCs w:val="24"/>
                <w:lang w:val="en-US" w:eastAsia="es-ES_tradnl" w:bidi="ar-SA"/>
              </w:rPr>
            </w:pPr>
            <w:r w:rsidRPr="00E52223">
              <w:rPr>
                <w:rFonts w:ascii="Book Antiqua" w:hAnsi="Book Antiqua" w:cs="Arial"/>
                <w:b/>
                <w:sz w:val="24"/>
                <w:szCs w:val="24"/>
                <w:lang w:val="en-US" w:eastAsia="es-ES_tradnl" w:bidi="ar-SA"/>
              </w:rPr>
              <w:t>Primary endpoint</w:t>
            </w:r>
          </w:p>
        </w:tc>
        <w:tc>
          <w:tcPr>
            <w:tcW w:w="1140" w:type="dxa"/>
            <w:tcBorders>
              <w:top w:val="single" w:sz="4" w:space="0" w:color="000000"/>
              <w:bottom w:val="single" w:sz="4" w:space="0" w:color="000000"/>
            </w:tcBorders>
          </w:tcPr>
          <w:p w:rsidR="00C774E8" w:rsidRPr="00E52223" w:rsidDel="006F25F3" w:rsidRDefault="00C774E8" w:rsidP="00F87B0F">
            <w:pPr>
              <w:spacing w:line="360" w:lineRule="auto"/>
              <w:jc w:val="both"/>
              <w:rPr>
                <w:rFonts w:ascii="Book Antiqua" w:hAnsi="Book Antiqua" w:cs="Arial"/>
                <w:b/>
                <w:sz w:val="24"/>
                <w:szCs w:val="24"/>
                <w:lang w:val="en-US" w:eastAsia="zh-CN" w:bidi="ar-SA"/>
              </w:rPr>
            </w:pPr>
            <w:r w:rsidRPr="00E52223">
              <w:rPr>
                <w:rFonts w:ascii="Book Antiqua" w:hAnsi="Book Antiqua" w:cs="Arial"/>
                <w:b/>
                <w:sz w:val="24"/>
                <w:szCs w:val="24"/>
                <w:lang w:val="en-US" w:eastAsia="es-ES_tradnl" w:bidi="ar-SA"/>
              </w:rPr>
              <w:t xml:space="preserve">Efficacy </w:t>
            </w:r>
            <w:r w:rsidR="00E52223">
              <w:rPr>
                <w:rFonts w:ascii="Book Antiqua" w:hAnsi="Book Antiqua" w:cs="Arial" w:hint="eastAsia"/>
                <w:b/>
                <w:sz w:val="24"/>
                <w:szCs w:val="24"/>
                <w:lang w:val="en-US" w:eastAsia="zh-CN" w:bidi="ar-SA"/>
              </w:rPr>
              <w:t xml:space="preserve"> </w:t>
            </w:r>
          </w:p>
        </w:tc>
      </w:tr>
      <w:tr w:rsidR="00C774E8" w:rsidRPr="00E52223" w:rsidTr="00E52223">
        <w:trPr>
          <w:jc w:val="center"/>
        </w:trPr>
        <w:tc>
          <w:tcPr>
            <w:tcW w:w="1389"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Takimoto</w:t>
            </w:r>
            <w:r w:rsidR="00E52223" w:rsidRPr="00E52223">
              <w:rPr>
                <w:rFonts w:ascii="Book Antiqua" w:hAnsi="Book Antiqua" w:cs="Arial"/>
                <w:i/>
                <w:sz w:val="24"/>
                <w:szCs w:val="24"/>
                <w:lang w:val="en-US" w:eastAsia="es-ES_tradnl" w:bidi="ar-SA"/>
              </w:rPr>
              <w:t xml:space="preserve"> 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3</w:t>
            </w:r>
            <w:r w:rsidR="00E52223" w:rsidRPr="00E52223">
              <w:rPr>
                <w:rFonts w:ascii="Book Antiqua" w:hAnsi="Book Antiqua" w:cs="Arial" w:hint="eastAsia"/>
                <w:sz w:val="24"/>
                <w:szCs w:val="24"/>
                <w:vertAlign w:val="superscript"/>
                <w:lang w:val="en-US" w:eastAsia="zh-CN" w:bidi="ar-SA"/>
              </w:rPr>
              <w:t>]</w:t>
            </w:r>
          </w:p>
        </w:tc>
        <w:tc>
          <w:tcPr>
            <w:tcW w:w="851"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2012</w:t>
            </w:r>
          </w:p>
        </w:tc>
        <w:tc>
          <w:tcPr>
            <w:tcW w:w="561"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w:t>
            </w:r>
          </w:p>
        </w:tc>
        <w:tc>
          <w:tcPr>
            <w:tcW w:w="1134"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Duodenum</w:t>
            </w:r>
          </w:p>
        </w:tc>
        <w:tc>
          <w:tcPr>
            <w:tcW w:w="993"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w:t>
            </w:r>
          </w:p>
        </w:tc>
        <w:tc>
          <w:tcPr>
            <w:tcW w:w="1134"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w:t>
            </w:r>
          </w:p>
        </w:tc>
        <w:tc>
          <w:tcPr>
            <w:tcW w:w="1417"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NR</w:t>
            </w:r>
          </w:p>
        </w:tc>
        <w:tc>
          <w:tcPr>
            <w:tcW w:w="1701"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perforation</w:t>
            </w:r>
          </w:p>
        </w:tc>
        <w:tc>
          <w:tcPr>
            <w:tcW w:w="1140" w:type="dxa"/>
            <w:tcBorders>
              <w:top w:val="single" w:sz="4" w:space="0" w:color="000000"/>
            </w:tcBorders>
          </w:tcPr>
          <w:p w:rsidR="00C774E8" w:rsidRPr="00E52223" w:rsidRDefault="00C774E8" w:rsidP="00F87B0F">
            <w:pPr>
              <w:spacing w:line="360" w:lineRule="auto"/>
              <w:jc w:val="both"/>
              <w:rPr>
                <w:rFonts w:ascii="Book Antiqua" w:hAnsi="Book Antiqua" w:cs="Arial"/>
                <w:sz w:val="24"/>
                <w:szCs w:val="24"/>
                <w:lang w:val="en-US" w:eastAsia="zh-CN"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Doyama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9</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2014</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3</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Duodenum</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17.5</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 with clips</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22</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perforation</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Takimoto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10</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2014</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Duodenum</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17.5</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 with clips</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NR</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perforation</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Tsuji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11</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2014</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Colorectal</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39.7</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18.7</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complications</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Tsuji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13</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2015</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41</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Stomach</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40.1</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20.4</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bleeding</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93.3</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Kataoka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16</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2015</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Esophagus</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55</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PGA-FG-T</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NR</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stricture</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Myung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12</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2016</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35</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Colorectal</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38.8</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Surgicel®</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5</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complications</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Sakaguchi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15</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2016</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11</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Esophagus</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38.3</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PGA-T</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12</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Prevent </w:t>
            </w:r>
            <w:r w:rsidR="0069263C" w:rsidRPr="00E52223">
              <w:rPr>
                <w:rFonts w:ascii="Book Antiqua" w:hAnsi="Book Antiqua" w:cs="Arial"/>
                <w:sz w:val="24"/>
                <w:szCs w:val="24"/>
                <w:lang w:val="en-US" w:eastAsia="es-ES_tradnl" w:bidi="ar-SA"/>
              </w:rPr>
              <w:t xml:space="preserve">late </w:t>
            </w:r>
            <w:r w:rsidRPr="00E52223">
              <w:rPr>
                <w:rFonts w:ascii="Book Antiqua" w:hAnsi="Book Antiqua" w:cs="Arial"/>
                <w:sz w:val="24"/>
                <w:szCs w:val="24"/>
                <w:lang w:val="en-US" w:eastAsia="es-ES_tradnl" w:bidi="ar-SA"/>
              </w:rPr>
              <w:t>stricture</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81.8</w:t>
            </w:r>
            <w:r w:rsidR="00E52223">
              <w:rPr>
                <w:rFonts w:ascii="Book Antiqua" w:hAnsi="Book Antiqua" w:cs="Arial" w:hint="eastAsia"/>
                <w:sz w:val="24"/>
                <w:szCs w:val="24"/>
                <w:lang w:val="en-US" w:eastAsia="zh-CN" w:bidi="ar-SA"/>
              </w:rPr>
              <w:t>%</w:t>
            </w:r>
          </w:p>
        </w:tc>
      </w:tr>
      <w:tr w:rsidR="00C774E8" w:rsidRPr="00E52223" w:rsidTr="00E52223">
        <w:trPr>
          <w:jc w:val="center"/>
        </w:trPr>
        <w:tc>
          <w:tcPr>
            <w:tcW w:w="1389"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 xml:space="preserve">Takimoto </w:t>
            </w:r>
            <w:r w:rsidR="00E52223" w:rsidRPr="00E52223">
              <w:rPr>
                <w:rFonts w:ascii="Book Antiqua" w:hAnsi="Book Antiqua" w:cs="Arial"/>
                <w:i/>
                <w:sz w:val="24"/>
                <w:szCs w:val="24"/>
                <w:lang w:val="en-US" w:eastAsia="es-ES_tradnl" w:bidi="ar-SA"/>
              </w:rPr>
              <w:t>et al</w:t>
            </w:r>
            <w:r w:rsidR="00E52223" w:rsidRPr="00E52223">
              <w:rPr>
                <w:rFonts w:ascii="Book Antiqua" w:hAnsi="Book Antiqua" w:cs="Arial" w:hint="eastAsia"/>
                <w:sz w:val="24"/>
                <w:szCs w:val="24"/>
                <w:vertAlign w:val="superscript"/>
                <w:lang w:val="en-US" w:eastAsia="zh-CN" w:bidi="ar-SA"/>
              </w:rPr>
              <w:t>[</w:t>
            </w:r>
            <w:r w:rsidR="00E52223">
              <w:rPr>
                <w:rFonts w:ascii="Book Antiqua" w:hAnsi="Book Antiqua" w:cs="Arial" w:hint="eastAsia"/>
                <w:sz w:val="24"/>
                <w:szCs w:val="24"/>
                <w:vertAlign w:val="superscript"/>
                <w:lang w:val="en-US" w:eastAsia="zh-CN" w:bidi="ar-SA"/>
              </w:rPr>
              <w:t>14</w:t>
            </w:r>
            <w:r w:rsidR="00E52223" w:rsidRPr="00E52223">
              <w:rPr>
                <w:rFonts w:ascii="Book Antiqua" w:hAnsi="Book Antiqua" w:cs="Arial" w:hint="eastAsia"/>
                <w:sz w:val="24"/>
                <w:szCs w:val="24"/>
                <w:vertAlign w:val="superscript"/>
                <w:lang w:val="en-US" w:eastAsia="zh-CN" w:bidi="ar-SA"/>
              </w:rPr>
              <w:t>]</w:t>
            </w:r>
          </w:p>
        </w:tc>
        <w:tc>
          <w:tcPr>
            <w:tcW w:w="85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2016</w:t>
            </w:r>
          </w:p>
        </w:tc>
        <w:tc>
          <w:tcPr>
            <w:tcW w:w="56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3</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Stomach</w:t>
            </w:r>
          </w:p>
        </w:tc>
        <w:tc>
          <w:tcPr>
            <w:tcW w:w="993"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25</w:t>
            </w:r>
          </w:p>
        </w:tc>
        <w:tc>
          <w:tcPr>
            <w:tcW w:w="1134"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PGA-FG</w:t>
            </w:r>
          </w:p>
        </w:tc>
        <w:tc>
          <w:tcPr>
            <w:tcW w:w="1417"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NR</w:t>
            </w:r>
          </w:p>
        </w:tc>
        <w:tc>
          <w:tcPr>
            <w:tcW w:w="1701"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Treatment of postoperative perforations</w:t>
            </w:r>
          </w:p>
        </w:tc>
        <w:tc>
          <w:tcPr>
            <w:tcW w:w="1140" w:type="dxa"/>
          </w:tcPr>
          <w:p w:rsidR="00C774E8" w:rsidRPr="00E52223" w:rsidRDefault="00C774E8" w:rsidP="00F87B0F">
            <w:pPr>
              <w:spacing w:line="360" w:lineRule="auto"/>
              <w:jc w:val="both"/>
              <w:rPr>
                <w:rFonts w:ascii="Book Antiqua" w:hAnsi="Book Antiqua" w:cs="Arial"/>
                <w:sz w:val="24"/>
                <w:szCs w:val="24"/>
                <w:lang w:val="en-US" w:eastAsia="es-ES_tradnl" w:bidi="ar-SA"/>
              </w:rPr>
            </w:pPr>
            <w:r w:rsidRPr="00E52223">
              <w:rPr>
                <w:rFonts w:ascii="Book Antiqua" w:hAnsi="Book Antiqua" w:cs="Arial"/>
                <w:sz w:val="24"/>
                <w:szCs w:val="24"/>
                <w:lang w:val="en-US" w:eastAsia="es-ES_tradnl" w:bidi="ar-SA"/>
              </w:rPr>
              <w:t>100</w:t>
            </w:r>
            <w:r w:rsidR="00E52223">
              <w:rPr>
                <w:rFonts w:ascii="Book Antiqua" w:hAnsi="Book Antiqua" w:cs="Arial" w:hint="eastAsia"/>
                <w:sz w:val="24"/>
                <w:szCs w:val="24"/>
                <w:lang w:val="en-US" w:eastAsia="zh-CN" w:bidi="ar-SA"/>
              </w:rPr>
              <w:t>%</w:t>
            </w:r>
          </w:p>
        </w:tc>
      </w:tr>
    </w:tbl>
    <w:p w:rsidR="00C774E8" w:rsidRPr="00E52223" w:rsidRDefault="00C774E8" w:rsidP="00F87B0F">
      <w:pPr>
        <w:spacing w:line="360" w:lineRule="auto"/>
        <w:jc w:val="both"/>
        <w:rPr>
          <w:rFonts w:ascii="Book Antiqua" w:hAnsi="Book Antiqua"/>
          <w:sz w:val="24"/>
          <w:szCs w:val="24"/>
          <w:lang w:val="en-GB"/>
        </w:rPr>
      </w:pPr>
      <w:r w:rsidRPr="00E52223">
        <w:rPr>
          <w:rFonts w:ascii="Book Antiqua" w:hAnsi="Book Antiqua" w:cs="Arial"/>
          <w:sz w:val="24"/>
          <w:szCs w:val="24"/>
          <w:lang w:val="en-US" w:eastAsia="es-ES_tradnl" w:bidi="ar-SA"/>
        </w:rPr>
        <w:t xml:space="preserve">PGA: Polyglycocolic acid sheets; FG: Fibrin glue; T: Triamcinolone; NR: Not reported. </w:t>
      </w:r>
    </w:p>
    <w:sectPr w:rsidR="00C774E8" w:rsidRPr="00E52223" w:rsidSect="001F7E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8A" w:rsidRDefault="00E5798A" w:rsidP="00BC4C39">
      <w:r>
        <w:separator/>
      </w:r>
    </w:p>
  </w:endnote>
  <w:endnote w:type="continuationSeparator" w:id="0">
    <w:p w:rsidR="00E5798A" w:rsidRDefault="00E5798A" w:rsidP="00BC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Estrangelo Edessa">
    <w:panose1 w:val="03080600000000000000"/>
    <w:charset w:val="00"/>
    <w:family w:val="script"/>
    <w:pitch w:val="variable"/>
    <w:sig w:usb0="80002043" w:usb1="00000000" w:usb2="0000008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8A" w:rsidRDefault="00E5798A" w:rsidP="00BC4C39">
      <w:r>
        <w:separator/>
      </w:r>
    </w:p>
  </w:footnote>
  <w:footnote w:type="continuationSeparator" w:id="0">
    <w:p w:rsidR="00E5798A" w:rsidRDefault="00E5798A" w:rsidP="00BC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269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7062CC"/>
    <w:multiLevelType w:val="hybridMultilevel"/>
    <w:tmpl w:val="FC4A266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9230479"/>
    <w:multiLevelType w:val="hybridMultilevel"/>
    <w:tmpl w:val="6AE44B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9833FFE"/>
    <w:multiLevelType w:val="hybridMultilevel"/>
    <w:tmpl w:val="6AE44B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02579BB"/>
    <w:multiLevelType w:val="hybridMultilevel"/>
    <w:tmpl w:val="6AE44B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3A558DC"/>
    <w:multiLevelType w:val="hybridMultilevel"/>
    <w:tmpl w:val="6AE44B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84"/>
    <w:rsid w:val="00054BAD"/>
    <w:rsid w:val="000A6480"/>
    <w:rsid w:val="000C1A3A"/>
    <w:rsid w:val="001206FE"/>
    <w:rsid w:val="0014263B"/>
    <w:rsid w:val="00167602"/>
    <w:rsid w:val="001B7879"/>
    <w:rsid w:val="001F7E98"/>
    <w:rsid w:val="00214273"/>
    <w:rsid w:val="002240A0"/>
    <w:rsid w:val="002A75CE"/>
    <w:rsid w:val="002F7802"/>
    <w:rsid w:val="00381927"/>
    <w:rsid w:val="00393DEA"/>
    <w:rsid w:val="003E44E3"/>
    <w:rsid w:val="00422857"/>
    <w:rsid w:val="00422AC6"/>
    <w:rsid w:val="004A361B"/>
    <w:rsid w:val="004A6336"/>
    <w:rsid w:val="004E3E26"/>
    <w:rsid w:val="00552484"/>
    <w:rsid w:val="00587E75"/>
    <w:rsid w:val="005A7FA5"/>
    <w:rsid w:val="005D214D"/>
    <w:rsid w:val="00645630"/>
    <w:rsid w:val="0069263C"/>
    <w:rsid w:val="006E2E93"/>
    <w:rsid w:val="007A3446"/>
    <w:rsid w:val="007B02B3"/>
    <w:rsid w:val="007C6B78"/>
    <w:rsid w:val="008E47C4"/>
    <w:rsid w:val="00977770"/>
    <w:rsid w:val="009A2981"/>
    <w:rsid w:val="00A02C3B"/>
    <w:rsid w:val="00B23837"/>
    <w:rsid w:val="00B52093"/>
    <w:rsid w:val="00BC4C39"/>
    <w:rsid w:val="00BD45FF"/>
    <w:rsid w:val="00C02DC6"/>
    <w:rsid w:val="00C109FE"/>
    <w:rsid w:val="00C774E8"/>
    <w:rsid w:val="00CB4FED"/>
    <w:rsid w:val="00D3549A"/>
    <w:rsid w:val="00D3577E"/>
    <w:rsid w:val="00E337D7"/>
    <w:rsid w:val="00E52223"/>
    <w:rsid w:val="00E5798A"/>
    <w:rsid w:val="00EA28A4"/>
    <w:rsid w:val="00EA2B62"/>
    <w:rsid w:val="00ED2DF2"/>
    <w:rsid w:val="00F24E89"/>
    <w:rsid w:val="00F53FE4"/>
    <w:rsid w:val="00F87B0F"/>
    <w:rsid w:val="00F91DD4"/>
  </w:rsids>
  <m:mathPr>
    <m:mathFont m:val="Cambria Math"/>
    <m:brkBin m:val="before"/>
    <m:brkBinSub m:val="--"/>
    <m:smallFrac m:val="0"/>
    <m:dispDef m:val="0"/>
    <m:lMargin m:val="0"/>
    <m:rMargin m:val="0"/>
    <m:defJc m:val="centerGroup"/>
    <m:wrapRight/>
    <m:intLim m:val="subSup"/>
    <m:naryLim m:val="subSup"/>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55D394-0214-4D56-9ECE-4CDD5F47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84"/>
    <w:rPr>
      <w:lang w:val="es-ES_tradnl" w:bidi="he-IL"/>
    </w:rPr>
  </w:style>
  <w:style w:type="paragraph" w:styleId="Heading1">
    <w:name w:val="heading 1"/>
    <w:basedOn w:val="Normal"/>
    <w:next w:val="Normal"/>
    <w:link w:val="Heading1Char"/>
    <w:qFormat/>
    <w:rsid w:val="00350433"/>
    <w:pPr>
      <w:keepNext/>
      <w:spacing w:before="240" w:after="60"/>
      <w:outlineLvl w:val="0"/>
    </w:pPr>
    <w:rPr>
      <w:rFonts w:ascii="Cambria" w:eastAsia="Times New Roman" w:hAnsi="Cambria"/>
      <w:b/>
      <w:bCs/>
      <w:kern w:val="32"/>
      <w:sz w:val="32"/>
      <w:szCs w:val="32"/>
    </w:rPr>
  </w:style>
  <w:style w:type="paragraph" w:styleId="Heading8">
    <w:name w:val="heading 8"/>
    <w:basedOn w:val="Normal"/>
    <w:next w:val="Normal"/>
    <w:qFormat/>
    <w:rsid w:val="009E1C13"/>
    <w:pPr>
      <w:keepNext/>
      <w:spacing w:line="360" w:lineRule="auto"/>
      <w:jc w:val="both"/>
      <w:outlineLvl w:val="7"/>
    </w:pPr>
    <w:rPr>
      <w:rFonts w:ascii="Arial" w:hAnsi="Arial"/>
      <w:b/>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2484"/>
    <w:rPr>
      <w:color w:val="0000FF"/>
      <w:u w:val="single"/>
    </w:rPr>
  </w:style>
  <w:style w:type="paragraph" w:styleId="Header">
    <w:name w:val="header"/>
    <w:basedOn w:val="Normal"/>
    <w:link w:val="HeaderChar"/>
    <w:uiPriority w:val="99"/>
    <w:rsid w:val="00552484"/>
    <w:pPr>
      <w:tabs>
        <w:tab w:val="center" w:pos="4252"/>
        <w:tab w:val="right" w:pos="8504"/>
      </w:tabs>
    </w:pPr>
  </w:style>
  <w:style w:type="character" w:customStyle="1" w:styleId="HeaderChar">
    <w:name w:val="Header Char"/>
    <w:link w:val="Header"/>
    <w:uiPriority w:val="99"/>
    <w:locked/>
    <w:rsid w:val="009D7356"/>
    <w:rPr>
      <w:lang w:eastAsia="es-ES" w:bidi="he-IL"/>
    </w:rPr>
  </w:style>
  <w:style w:type="paragraph" w:styleId="BodyText2">
    <w:name w:val="Body Text 2"/>
    <w:basedOn w:val="Normal"/>
    <w:rsid w:val="009E1C13"/>
    <w:pPr>
      <w:jc w:val="both"/>
    </w:pPr>
    <w:rPr>
      <w:sz w:val="24"/>
      <w:lang w:val="es-ES" w:bidi="ar-SA"/>
    </w:rPr>
  </w:style>
  <w:style w:type="character" w:customStyle="1" w:styleId="FooterChar">
    <w:name w:val="Footer Char"/>
    <w:link w:val="Footer"/>
    <w:rsid w:val="004C27B3"/>
    <w:rPr>
      <w:rFonts w:eastAsia="SimSun"/>
      <w:kern w:val="2"/>
      <w:sz w:val="18"/>
      <w:szCs w:val="18"/>
      <w:lang w:val="en-US" w:eastAsia="zh-CN"/>
    </w:rPr>
  </w:style>
  <w:style w:type="paragraph" w:styleId="Footer">
    <w:name w:val="footer"/>
    <w:basedOn w:val="Normal"/>
    <w:link w:val="FooterChar"/>
    <w:rsid w:val="004C27B3"/>
    <w:pPr>
      <w:widowControl w:val="0"/>
      <w:tabs>
        <w:tab w:val="center" w:pos="4153"/>
        <w:tab w:val="right" w:pos="8306"/>
      </w:tabs>
      <w:snapToGrid w:val="0"/>
    </w:pPr>
    <w:rPr>
      <w:kern w:val="2"/>
      <w:sz w:val="18"/>
      <w:szCs w:val="18"/>
      <w:lang w:val="en-US" w:eastAsia="zh-CN" w:bidi="ar-SA"/>
    </w:rPr>
  </w:style>
  <w:style w:type="character" w:customStyle="1" w:styleId="Heading1Char">
    <w:name w:val="Heading 1 Char"/>
    <w:link w:val="Heading1"/>
    <w:rsid w:val="00350433"/>
    <w:rPr>
      <w:rFonts w:ascii="Cambria" w:eastAsia="Times New Roman" w:hAnsi="Cambria" w:cs="Times New Roman"/>
      <w:b/>
      <w:bCs/>
      <w:kern w:val="32"/>
      <w:sz w:val="32"/>
      <w:szCs w:val="32"/>
      <w:lang w:val="es-ES_tradnl" w:bidi="he-IL"/>
    </w:rPr>
  </w:style>
  <w:style w:type="character" w:customStyle="1" w:styleId="highlight2">
    <w:name w:val="highlight2"/>
    <w:basedOn w:val="DefaultParagraphFont"/>
    <w:rsid w:val="00350433"/>
  </w:style>
  <w:style w:type="paragraph" w:styleId="BalloonText">
    <w:name w:val="Balloon Text"/>
    <w:basedOn w:val="Normal"/>
    <w:link w:val="BalloonTextChar"/>
    <w:rsid w:val="002702AD"/>
    <w:rPr>
      <w:rFonts w:ascii="Segoe UI" w:hAnsi="Segoe UI" w:cs="Segoe UI"/>
      <w:sz w:val="18"/>
      <w:szCs w:val="18"/>
    </w:rPr>
  </w:style>
  <w:style w:type="character" w:customStyle="1" w:styleId="BalloonTextChar">
    <w:name w:val="Balloon Text Char"/>
    <w:link w:val="BalloonText"/>
    <w:rsid w:val="002702AD"/>
    <w:rPr>
      <w:rFonts w:ascii="Segoe UI" w:hAnsi="Segoe UI" w:cs="Segoe UI"/>
      <w:sz w:val="18"/>
      <w:szCs w:val="18"/>
      <w:lang w:val="es-ES_tradnl" w:eastAsia="es-ES" w:bidi="he-IL"/>
    </w:rPr>
  </w:style>
  <w:style w:type="paragraph" w:customStyle="1" w:styleId="Sombreadovistoso-nfasis31">
    <w:name w:val="Sombreado vistoso - Énfasis 31"/>
    <w:basedOn w:val="Normal"/>
    <w:uiPriority w:val="34"/>
    <w:qFormat/>
    <w:rsid w:val="00CB2E9D"/>
    <w:pPr>
      <w:ind w:left="720"/>
      <w:contextualSpacing/>
    </w:pPr>
    <w:rPr>
      <w:rFonts w:ascii="Cambria" w:eastAsia="Cambria" w:hAnsi="Cambria"/>
      <w:sz w:val="24"/>
      <w:szCs w:val="24"/>
      <w:lang w:val="en-US" w:eastAsia="en-US" w:bidi="ar-SA"/>
    </w:rPr>
  </w:style>
  <w:style w:type="table" w:styleId="TableGrid">
    <w:name w:val="Table Grid"/>
    <w:basedOn w:val="TableNormal"/>
    <w:uiPriority w:val="99"/>
    <w:rsid w:val="0020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6D40"/>
    <w:pPr>
      <w:spacing w:before="100" w:beforeAutospacing="1" w:after="100" w:afterAutospacing="1"/>
    </w:pPr>
    <w:rPr>
      <w:rFonts w:eastAsia="Times New Roman"/>
      <w:sz w:val="24"/>
      <w:szCs w:val="24"/>
      <w:lang w:val="ca-ES" w:eastAsia="ca-ES" w:bidi="ar-SA"/>
    </w:rPr>
  </w:style>
  <w:style w:type="character" w:styleId="CommentReference">
    <w:name w:val="annotation reference"/>
    <w:rsid w:val="00BC4C39"/>
    <w:rPr>
      <w:rFonts w:cs="Times New Roman"/>
      <w:sz w:val="21"/>
      <w:szCs w:val="21"/>
    </w:rPr>
  </w:style>
  <w:style w:type="paragraph" w:styleId="CommentText">
    <w:name w:val="annotation text"/>
    <w:basedOn w:val="Normal"/>
    <w:link w:val="CommentTextChar"/>
    <w:rsid w:val="00BC4C39"/>
    <w:rPr>
      <w:sz w:val="24"/>
      <w:szCs w:val="24"/>
      <w:lang w:eastAsia="en-US" w:bidi="ar-SA"/>
    </w:rPr>
  </w:style>
  <w:style w:type="character" w:customStyle="1" w:styleId="CommentTextChar">
    <w:name w:val="Comment Text Char"/>
    <w:link w:val="CommentText"/>
    <w:rsid w:val="00BC4C39"/>
    <w:rPr>
      <w:rFonts w:eastAsia="SimSun"/>
      <w:sz w:val="24"/>
      <w:szCs w:val="24"/>
      <w:lang w:eastAsia="en-US"/>
    </w:rPr>
  </w:style>
  <w:style w:type="character" w:styleId="Strong">
    <w:name w:val="Strong"/>
    <w:uiPriority w:val="22"/>
    <w:qFormat/>
    <w:rsid w:val="00BC4C39"/>
    <w:rPr>
      <w:b/>
      <w:bCs/>
    </w:rPr>
  </w:style>
  <w:style w:type="paragraph" w:styleId="CommentSubject">
    <w:name w:val="annotation subject"/>
    <w:basedOn w:val="CommentText"/>
    <w:next w:val="CommentText"/>
    <w:link w:val="CommentSubjectChar"/>
    <w:rsid w:val="00BC4C39"/>
    <w:rPr>
      <w:b/>
      <w:bCs/>
      <w:lang w:eastAsia="es-ES" w:bidi="he-IL"/>
    </w:rPr>
  </w:style>
  <w:style w:type="character" w:customStyle="1" w:styleId="CommentSubjectChar">
    <w:name w:val="Comment Subject Char"/>
    <w:link w:val="CommentSubject"/>
    <w:rsid w:val="00BC4C39"/>
    <w:rPr>
      <w:rFonts w:eastAsia="SimSun"/>
      <w:b/>
      <w:bCs/>
      <w:sz w:val="24"/>
      <w:szCs w:val="24"/>
      <w:lang w:val="es-ES_tradnl" w:eastAsia="es-ES" w:bidi="he-IL"/>
    </w:rPr>
  </w:style>
  <w:style w:type="character" w:styleId="FollowedHyperlink">
    <w:name w:val="FollowedHyperlink"/>
    <w:rsid w:val="00B23837"/>
    <w:rPr>
      <w:color w:val="954F72"/>
      <w:u w:val="single"/>
    </w:rPr>
  </w:style>
  <w:style w:type="character" w:customStyle="1" w:styleId="jrnl">
    <w:name w:val="jrnl"/>
    <w:basedOn w:val="DefaultParagraphFont"/>
    <w:rsid w:val="0014263B"/>
  </w:style>
  <w:style w:type="paragraph" w:styleId="ListParagraph">
    <w:name w:val="List Paragraph"/>
    <w:basedOn w:val="Normal"/>
    <w:uiPriority w:val="34"/>
    <w:qFormat/>
    <w:rsid w:val="00E52223"/>
    <w:pPr>
      <w:suppressAutoHyphens/>
      <w:ind w:firstLineChars="200" w:firstLine="420"/>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3072">
      <w:bodyDiv w:val="1"/>
      <w:marLeft w:val="0"/>
      <w:marRight w:val="0"/>
      <w:marTop w:val="0"/>
      <w:marBottom w:val="0"/>
      <w:divBdr>
        <w:top w:val="none" w:sz="0" w:space="0" w:color="auto"/>
        <w:left w:val="none" w:sz="0" w:space="0" w:color="auto"/>
        <w:bottom w:val="none" w:sz="0" w:space="0" w:color="auto"/>
        <w:right w:val="none" w:sz="0" w:space="0" w:color="auto"/>
      </w:divBdr>
      <w:divsChild>
        <w:div w:id="562103296">
          <w:marLeft w:val="0"/>
          <w:marRight w:val="0"/>
          <w:marTop w:val="0"/>
          <w:marBottom w:val="0"/>
          <w:divBdr>
            <w:top w:val="none" w:sz="0" w:space="0" w:color="auto"/>
            <w:left w:val="none" w:sz="0" w:space="0" w:color="auto"/>
            <w:bottom w:val="none" w:sz="0" w:space="0" w:color="auto"/>
            <w:right w:val="none" w:sz="0" w:space="0" w:color="auto"/>
          </w:divBdr>
          <w:divsChild>
            <w:div w:id="1093673163">
              <w:marLeft w:val="0"/>
              <w:marRight w:val="0"/>
              <w:marTop w:val="0"/>
              <w:marBottom w:val="0"/>
              <w:divBdr>
                <w:top w:val="none" w:sz="0" w:space="0" w:color="auto"/>
                <w:left w:val="none" w:sz="0" w:space="0" w:color="auto"/>
                <w:bottom w:val="none" w:sz="0" w:space="0" w:color="auto"/>
                <w:right w:val="none" w:sz="0" w:space="0" w:color="auto"/>
              </w:divBdr>
              <w:divsChild>
                <w:div w:id="2089955084">
                  <w:marLeft w:val="0"/>
                  <w:marRight w:val="0"/>
                  <w:marTop w:val="0"/>
                  <w:marBottom w:val="0"/>
                  <w:divBdr>
                    <w:top w:val="none" w:sz="0" w:space="0" w:color="auto"/>
                    <w:left w:val="none" w:sz="0" w:space="0" w:color="auto"/>
                    <w:bottom w:val="none" w:sz="0" w:space="0" w:color="auto"/>
                    <w:right w:val="none" w:sz="0" w:space="0" w:color="auto"/>
                  </w:divBdr>
                  <w:divsChild>
                    <w:div w:id="1564947869">
                      <w:marLeft w:val="0"/>
                      <w:marRight w:val="0"/>
                      <w:marTop w:val="0"/>
                      <w:marBottom w:val="0"/>
                      <w:divBdr>
                        <w:top w:val="none" w:sz="0" w:space="0" w:color="auto"/>
                        <w:left w:val="none" w:sz="0" w:space="0" w:color="auto"/>
                        <w:bottom w:val="none" w:sz="0" w:space="0" w:color="auto"/>
                        <w:right w:val="none" w:sz="0" w:space="0" w:color="auto"/>
                      </w:divBdr>
                      <w:divsChild>
                        <w:div w:id="1394964716">
                          <w:marLeft w:val="0"/>
                          <w:marRight w:val="0"/>
                          <w:marTop w:val="0"/>
                          <w:marBottom w:val="0"/>
                          <w:divBdr>
                            <w:top w:val="none" w:sz="0" w:space="0" w:color="auto"/>
                            <w:left w:val="none" w:sz="0" w:space="0" w:color="auto"/>
                            <w:bottom w:val="none" w:sz="0" w:space="0" w:color="auto"/>
                            <w:right w:val="none" w:sz="0" w:space="0" w:color="auto"/>
                          </w:divBdr>
                          <w:divsChild>
                            <w:div w:id="661085749">
                              <w:marLeft w:val="0"/>
                              <w:marRight w:val="0"/>
                              <w:marTop w:val="0"/>
                              <w:marBottom w:val="0"/>
                              <w:divBdr>
                                <w:top w:val="none" w:sz="0" w:space="0" w:color="auto"/>
                                <w:left w:val="none" w:sz="0" w:space="0" w:color="auto"/>
                                <w:bottom w:val="none" w:sz="0" w:space="0" w:color="auto"/>
                                <w:right w:val="none" w:sz="0" w:space="0" w:color="auto"/>
                              </w:divBdr>
                              <w:divsChild>
                                <w:div w:id="1893348067">
                                  <w:marLeft w:val="0"/>
                                  <w:marRight w:val="0"/>
                                  <w:marTop w:val="0"/>
                                  <w:marBottom w:val="0"/>
                                  <w:divBdr>
                                    <w:top w:val="none" w:sz="0" w:space="0" w:color="auto"/>
                                    <w:left w:val="none" w:sz="0" w:space="0" w:color="auto"/>
                                    <w:bottom w:val="none" w:sz="0" w:space="0" w:color="auto"/>
                                    <w:right w:val="none" w:sz="0" w:space="0" w:color="auto"/>
                                  </w:divBdr>
                                  <w:divsChild>
                                    <w:div w:id="19260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39086">
      <w:bodyDiv w:val="1"/>
      <w:marLeft w:val="0"/>
      <w:marRight w:val="0"/>
      <w:marTop w:val="0"/>
      <w:marBottom w:val="0"/>
      <w:divBdr>
        <w:top w:val="none" w:sz="0" w:space="0" w:color="auto"/>
        <w:left w:val="none" w:sz="0" w:space="0" w:color="auto"/>
        <w:bottom w:val="none" w:sz="0" w:space="0" w:color="auto"/>
        <w:right w:val="none" w:sz="0" w:space="0" w:color="auto"/>
      </w:divBdr>
    </w:div>
    <w:div w:id="1009065358">
      <w:bodyDiv w:val="1"/>
      <w:marLeft w:val="0"/>
      <w:marRight w:val="0"/>
      <w:marTop w:val="0"/>
      <w:marBottom w:val="0"/>
      <w:divBdr>
        <w:top w:val="none" w:sz="0" w:space="0" w:color="auto"/>
        <w:left w:val="none" w:sz="0" w:space="0" w:color="auto"/>
        <w:bottom w:val="none" w:sz="0" w:space="0" w:color="auto"/>
        <w:right w:val="none" w:sz="0" w:space="0" w:color="auto"/>
      </w:divBdr>
      <w:divsChild>
        <w:div w:id="1472750317">
          <w:marLeft w:val="0"/>
          <w:marRight w:val="1"/>
          <w:marTop w:val="0"/>
          <w:marBottom w:val="0"/>
          <w:divBdr>
            <w:top w:val="none" w:sz="0" w:space="0" w:color="auto"/>
            <w:left w:val="none" w:sz="0" w:space="0" w:color="auto"/>
            <w:bottom w:val="none" w:sz="0" w:space="0" w:color="auto"/>
            <w:right w:val="none" w:sz="0" w:space="0" w:color="auto"/>
          </w:divBdr>
          <w:divsChild>
            <w:div w:id="1237284888">
              <w:marLeft w:val="0"/>
              <w:marRight w:val="0"/>
              <w:marTop w:val="0"/>
              <w:marBottom w:val="0"/>
              <w:divBdr>
                <w:top w:val="none" w:sz="0" w:space="0" w:color="auto"/>
                <w:left w:val="none" w:sz="0" w:space="0" w:color="auto"/>
                <w:bottom w:val="none" w:sz="0" w:space="0" w:color="auto"/>
                <w:right w:val="none" w:sz="0" w:space="0" w:color="auto"/>
              </w:divBdr>
              <w:divsChild>
                <w:div w:id="1927763662">
                  <w:marLeft w:val="0"/>
                  <w:marRight w:val="1"/>
                  <w:marTop w:val="0"/>
                  <w:marBottom w:val="0"/>
                  <w:divBdr>
                    <w:top w:val="none" w:sz="0" w:space="0" w:color="auto"/>
                    <w:left w:val="none" w:sz="0" w:space="0" w:color="auto"/>
                    <w:bottom w:val="none" w:sz="0" w:space="0" w:color="auto"/>
                    <w:right w:val="none" w:sz="0" w:space="0" w:color="auto"/>
                  </w:divBdr>
                  <w:divsChild>
                    <w:div w:id="1141655363">
                      <w:marLeft w:val="0"/>
                      <w:marRight w:val="0"/>
                      <w:marTop w:val="0"/>
                      <w:marBottom w:val="0"/>
                      <w:divBdr>
                        <w:top w:val="none" w:sz="0" w:space="0" w:color="auto"/>
                        <w:left w:val="none" w:sz="0" w:space="0" w:color="auto"/>
                        <w:bottom w:val="none" w:sz="0" w:space="0" w:color="auto"/>
                        <w:right w:val="none" w:sz="0" w:space="0" w:color="auto"/>
                      </w:divBdr>
                      <w:divsChild>
                        <w:div w:id="2066757798">
                          <w:marLeft w:val="0"/>
                          <w:marRight w:val="0"/>
                          <w:marTop w:val="0"/>
                          <w:marBottom w:val="0"/>
                          <w:divBdr>
                            <w:top w:val="none" w:sz="0" w:space="0" w:color="auto"/>
                            <w:left w:val="none" w:sz="0" w:space="0" w:color="auto"/>
                            <w:bottom w:val="none" w:sz="0" w:space="0" w:color="auto"/>
                            <w:right w:val="none" w:sz="0" w:space="0" w:color="auto"/>
                          </w:divBdr>
                          <w:divsChild>
                            <w:div w:id="693843885">
                              <w:marLeft w:val="0"/>
                              <w:marRight w:val="0"/>
                              <w:marTop w:val="120"/>
                              <w:marBottom w:val="360"/>
                              <w:divBdr>
                                <w:top w:val="none" w:sz="0" w:space="0" w:color="auto"/>
                                <w:left w:val="none" w:sz="0" w:space="0" w:color="auto"/>
                                <w:bottom w:val="none" w:sz="0" w:space="0" w:color="auto"/>
                                <w:right w:val="none" w:sz="0" w:space="0" w:color="auto"/>
                              </w:divBdr>
                              <w:divsChild>
                                <w:div w:id="1307666227">
                                  <w:marLeft w:val="0"/>
                                  <w:marRight w:val="0"/>
                                  <w:marTop w:val="0"/>
                                  <w:marBottom w:val="0"/>
                                  <w:divBdr>
                                    <w:top w:val="none" w:sz="0" w:space="0" w:color="auto"/>
                                    <w:left w:val="none" w:sz="0" w:space="0" w:color="auto"/>
                                    <w:bottom w:val="none" w:sz="0" w:space="0" w:color="auto"/>
                                    <w:right w:val="none" w:sz="0" w:space="0" w:color="auto"/>
                                  </w:divBdr>
                                </w:div>
                                <w:div w:id="17219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orenzo.germanstrias@genca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2947</Words>
  <Characters>16804</Characters>
  <Application>Microsoft Office Word</Application>
  <DocSecurity>0</DocSecurity>
  <Lines>140</Lines>
  <Paragraphs>39</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vt:lpstr>
      <vt:lpstr>{{}}</vt:lpstr>
      <vt:lpstr>{{}}</vt:lpstr>
    </vt:vector>
  </TitlesOfParts>
  <Company>Dr. V. Lorenzo-Zúñiga</Company>
  <LinksUpToDate>false</LinksUpToDate>
  <CharactersWithSpaces>19712</CharactersWithSpaces>
  <SharedDoc>false</SharedDoc>
  <HLinks>
    <vt:vector size="54" baseType="variant">
      <vt:variant>
        <vt:i4>1900565</vt:i4>
      </vt:variant>
      <vt:variant>
        <vt:i4>26</vt:i4>
      </vt:variant>
      <vt:variant>
        <vt:i4>0</vt:i4>
      </vt:variant>
      <vt:variant>
        <vt:i4>5</vt:i4>
      </vt:variant>
      <vt:variant>
        <vt:lpwstr>https://dx.doi.org/10.1055/s-0034-1392975</vt:lpwstr>
      </vt:variant>
      <vt:variant>
        <vt:lpwstr/>
      </vt:variant>
      <vt:variant>
        <vt:i4>1245200</vt:i4>
      </vt:variant>
      <vt:variant>
        <vt:i4>23</vt:i4>
      </vt:variant>
      <vt:variant>
        <vt:i4>0</vt:i4>
      </vt:variant>
      <vt:variant>
        <vt:i4>5</vt:i4>
      </vt:variant>
      <vt:variant>
        <vt:lpwstr>https://dx.doi.org/10.1055/s-0042-105867</vt:lpwstr>
      </vt:variant>
      <vt:variant>
        <vt:lpwstr/>
      </vt:variant>
      <vt:variant>
        <vt:i4>72</vt:i4>
      </vt:variant>
      <vt:variant>
        <vt:i4>20</vt:i4>
      </vt:variant>
      <vt:variant>
        <vt:i4>0</vt:i4>
      </vt:variant>
      <vt:variant>
        <vt:i4>5</vt:i4>
      </vt:variant>
      <vt:variant>
        <vt:lpwstr>https://dx.doi.org/10.1016/j.gie.2014.08.028</vt:lpwstr>
      </vt:variant>
      <vt:variant>
        <vt:lpwstr/>
      </vt:variant>
      <vt:variant>
        <vt:i4>1900573</vt:i4>
      </vt:variant>
      <vt:variant>
        <vt:i4>17</vt:i4>
      </vt:variant>
      <vt:variant>
        <vt:i4>0</vt:i4>
      </vt:variant>
      <vt:variant>
        <vt:i4>5</vt:i4>
      </vt:variant>
      <vt:variant>
        <vt:lpwstr>https://dx.doi.org/10.1055/s-0042-109170</vt:lpwstr>
      </vt:variant>
      <vt:variant>
        <vt:lpwstr/>
      </vt:variant>
      <vt:variant>
        <vt:i4>1507355</vt:i4>
      </vt:variant>
      <vt:variant>
        <vt:i4>14</vt:i4>
      </vt:variant>
      <vt:variant>
        <vt:i4>0</vt:i4>
      </vt:variant>
      <vt:variant>
        <vt:i4>5</vt:i4>
      </vt:variant>
      <vt:variant>
        <vt:lpwstr>https://dx.doi.org/10.1055/s-0042-118208</vt:lpwstr>
      </vt:variant>
      <vt:variant>
        <vt:lpwstr/>
      </vt:variant>
      <vt:variant>
        <vt:i4>1048607</vt:i4>
      </vt:variant>
      <vt:variant>
        <vt:i4>11</vt:i4>
      </vt:variant>
      <vt:variant>
        <vt:i4>0</vt:i4>
      </vt:variant>
      <vt:variant>
        <vt:i4>5</vt:i4>
      </vt:variant>
      <vt:variant>
        <vt:lpwstr>https://dx.doi.org/10.1055/s-0034-1391391</vt:lpwstr>
      </vt:variant>
      <vt:variant>
        <vt:lpwstr/>
      </vt:variant>
      <vt:variant>
        <vt:i4>1966102</vt:i4>
      </vt:variant>
      <vt:variant>
        <vt:i4>8</vt:i4>
      </vt:variant>
      <vt:variant>
        <vt:i4>0</vt:i4>
      </vt:variant>
      <vt:variant>
        <vt:i4>5</vt:i4>
      </vt:variant>
      <vt:variant>
        <vt:lpwstr>https://dx.doi.org/10.1055/s-0032-1325739</vt:lpwstr>
      </vt:variant>
      <vt:variant>
        <vt:lpwstr/>
      </vt:variant>
      <vt:variant>
        <vt:i4>6619152</vt:i4>
      </vt:variant>
      <vt:variant>
        <vt:i4>0</vt:i4>
      </vt:variant>
      <vt:variant>
        <vt:i4>0</vt:i4>
      </vt:variant>
      <vt:variant>
        <vt:i4>5</vt:i4>
      </vt:variant>
      <vt:variant>
        <vt:lpwstr>mailto:vlorenzo.germanstrias@gencat.cat</vt:lpwstr>
      </vt:variant>
      <vt:variant>
        <vt:lpwstr/>
      </vt:variant>
      <vt:variant>
        <vt:i4>1966093</vt:i4>
      </vt:variant>
      <vt:variant>
        <vt:i4>0</vt:i4>
      </vt:variant>
      <vt:variant>
        <vt:i4>0</vt:i4>
      </vt:variant>
      <vt:variant>
        <vt:i4>5</vt:i4>
      </vt:variant>
      <vt:variant>
        <vt:lpwstr>http://www.wjgnet.com/bpg/gerinfo/240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 Lorenzo-Zúñiga</dc:creator>
  <cp:keywords/>
  <cp:lastModifiedBy>Na Ma</cp:lastModifiedBy>
  <cp:revision>2</cp:revision>
  <cp:lastPrinted>2017-01-20T10:15:00Z</cp:lastPrinted>
  <dcterms:created xsi:type="dcterms:W3CDTF">2017-05-04T01:02:00Z</dcterms:created>
  <dcterms:modified xsi:type="dcterms:W3CDTF">2017-05-04T01:02:00Z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rbartolisole@gmail.com@www.mendeley.com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